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FF9007F" w:rsidR="007122AD" w:rsidRDefault="00DD466D" w:rsidP="00936AD0">
      <w:pPr>
        <w:pStyle w:val="Heading1"/>
      </w:pPr>
      <w:r>
        <w:t>1.ИМЕ НА ЛЕКАРСТВЕНИЯ ПРОДУКТ</w:t>
      </w:r>
    </w:p>
    <w:p w14:paraId="0E950BCB" w14:textId="06F21456" w:rsidR="005C76A8" w:rsidRDefault="005C76A8" w:rsidP="005C76A8"/>
    <w:p w14:paraId="6AA33F21" w14:textId="59AD9AF0" w:rsidR="005C76A8" w:rsidRPr="005C76A8" w:rsidRDefault="00501BBD" w:rsidP="005C76A8">
      <w:pPr>
        <w:rPr>
          <w:sz w:val="24"/>
          <w:szCs w:val="24"/>
        </w:rPr>
      </w:pPr>
      <w:r>
        <w:rPr>
          <w:lang w:eastAsia="bg-BG"/>
        </w:rPr>
        <w:t>ЛАПРИЛЕН 5</w:t>
      </w:r>
      <w:r w:rsidR="005C76A8" w:rsidRPr="005C76A8">
        <w:rPr>
          <w:lang w:eastAsia="bg-BG"/>
        </w:rPr>
        <w:t xml:space="preserve"> </w:t>
      </w:r>
      <w:r w:rsidR="005C76A8" w:rsidRPr="005C76A8">
        <w:rPr>
          <w:lang w:val="en-US"/>
        </w:rPr>
        <w:t>mg</w:t>
      </w:r>
      <w:r w:rsidR="005C76A8" w:rsidRPr="005C76A8">
        <w:t xml:space="preserve"> </w:t>
      </w:r>
      <w:r w:rsidR="005C76A8" w:rsidRPr="005C76A8">
        <w:rPr>
          <w:lang w:eastAsia="bg-BG"/>
        </w:rPr>
        <w:t>таблетки</w:t>
      </w:r>
    </w:p>
    <w:p w14:paraId="13B9D737" w14:textId="7D6B6A83" w:rsidR="005C76A8" w:rsidRPr="005C76A8" w:rsidRDefault="005C76A8" w:rsidP="005C76A8">
      <w:pPr>
        <w:rPr>
          <w:sz w:val="24"/>
          <w:szCs w:val="24"/>
        </w:rPr>
      </w:pPr>
      <w:r w:rsidRPr="005C76A8">
        <w:rPr>
          <w:lang w:val="en-US"/>
        </w:rPr>
        <w:t>LAPR</w:t>
      </w:r>
      <w:r w:rsidR="009879E4">
        <w:rPr>
          <w:lang w:val="en-US"/>
        </w:rPr>
        <w:t>I</w:t>
      </w:r>
      <w:r w:rsidRPr="005C76A8">
        <w:rPr>
          <w:lang w:val="en-US"/>
        </w:rPr>
        <w:t>LEN</w:t>
      </w:r>
      <w:r w:rsidRPr="005C76A8">
        <w:t xml:space="preserve"> </w:t>
      </w:r>
      <w:r w:rsidR="00501BBD">
        <w:rPr>
          <w:lang w:eastAsia="bg-BG"/>
        </w:rPr>
        <w:t>5</w:t>
      </w:r>
      <w:r w:rsidRPr="005C76A8">
        <w:rPr>
          <w:lang w:eastAsia="bg-BG"/>
        </w:rPr>
        <w:t xml:space="preserve"> </w:t>
      </w:r>
      <w:r w:rsidRPr="005C76A8">
        <w:rPr>
          <w:lang w:val="en-US"/>
        </w:rPr>
        <w:t>mg</w:t>
      </w:r>
      <w:r w:rsidRPr="005C76A8">
        <w:t xml:space="preserve"> </w:t>
      </w:r>
      <w:r w:rsidRPr="005C76A8">
        <w:rPr>
          <w:lang w:val="en-US"/>
        </w:rPr>
        <w:t>tablets</w:t>
      </w:r>
    </w:p>
    <w:p w14:paraId="1002D374" w14:textId="77777777" w:rsidR="005C76A8" w:rsidRPr="005C76A8" w:rsidRDefault="005C76A8" w:rsidP="005C76A8"/>
    <w:p w14:paraId="6920A680" w14:textId="5B8226FB" w:rsidR="00C40420" w:rsidRDefault="00DD466D" w:rsidP="004A448E">
      <w:pPr>
        <w:pStyle w:val="Heading1"/>
      </w:pPr>
      <w:r>
        <w:t>2. КАЧЕСТВЕН И КОЛИЧЕСТВЕН СЪСТАВ</w:t>
      </w:r>
    </w:p>
    <w:p w14:paraId="2B1E4865" w14:textId="43CC2308" w:rsidR="005C76A8" w:rsidRDefault="005C76A8" w:rsidP="005C76A8"/>
    <w:p w14:paraId="49A75FF9" w14:textId="4F7EE2A6"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Вс</w:t>
      </w:r>
      <w:r w:rsidR="00501BBD">
        <w:rPr>
          <w:rFonts w:eastAsia="Times New Roman" w:cs="Arial"/>
          <w:color w:val="000000"/>
          <w:lang w:eastAsia="bg-BG"/>
        </w:rPr>
        <w:t>яка таблетка Лаприлен съдържа 5</w:t>
      </w:r>
      <w:r w:rsidRPr="005C76A8">
        <w:rPr>
          <w:rFonts w:eastAsia="Times New Roman" w:cs="Arial"/>
          <w:color w:val="000000"/>
          <w:lang w:eastAsia="bg-BG"/>
        </w:rPr>
        <w:t xml:space="preserve"> </w:t>
      </w:r>
      <w:r w:rsidRPr="005C76A8">
        <w:rPr>
          <w:rFonts w:eastAsia="Times New Roman" w:cs="Arial"/>
          <w:color w:val="000000"/>
          <w:lang w:val="en-US"/>
        </w:rPr>
        <w:t>mg</w:t>
      </w:r>
      <w:r w:rsidRPr="005C76A8">
        <w:rPr>
          <w:rFonts w:eastAsia="Times New Roman" w:cs="Arial"/>
          <w:color w:val="000000"/>
        </w:rPr>
        <w:t xml:space="preserve"> </w:t>
      </w:r>
      <w:r w:rsidRPr="005C76A8">
        <w:rPr>
          <w:rFonts w:eastAsia="Times New Roman" w:cs="Arial"/>
          <w:color w:val="000000"/>
          <w:lang w:eastAsia="bg-BG"/>
        </w:rPr>
        <w:t xml:space="preserve">еналаприлов малеат </w:t>
      </w:r>
      <w:r w:rsidR="009879E4" w:rsidRPr="009879E4">
        <w:rPr>
          <w:rFonts w:eastAsia="Times New Roman" w:cs="Arial"/>
          <w:i/>
          <w:iCs/>
          <w:color w:val="000000"/>
        </w:rPr>
        <w:t>(</w:t>
      </w:r>
      <w:proofErr w:type="spellStart"/>
      <w:r w:rsidRPr="005C76A8">
        <w:rPr>
          <w:rFonts w:eastAsia="Times New Roman" w:cs="Arial"/>
          <w:i/>
          <w:iCs/>
          <w:color w:val="000000"/>
          <w:lang w:val="en-US"/>
        </w:rPr>
        <w:t>enalapril</w:t>
      </w:r>
      <w:proofErr w:type="spellEnd"/>
      <w:r w:rsidRPr="005C76A8">
        <w:rPr>
          <w:rFonts w:eastAsia="Times New Roman" w:cs="Arial"/>
          <w:i/>
          <w:iCs/>
          <w:color w:val="000000"/>
        </w:rPr>
        <w:t xml:space="preserve"> </w:t>
      </w:r>
      <w:r w:rsidRPr="005C76A8">
        <w:rPr>
          <w:rFonts w:eastAsia="Times New Roman" w:cs="Arial"/>
          <w:i/>
          <w:iCs/>
          <w:color w:val="000000"/>
          <w:lang w:val="en-US"/>
        </w:rPr>
        <w:t>maleate</w:t>
      </w:r>
      <w:r w:rsidRPr="005C76A8">
        <w:rPr>
          <w:rFonts w:eastAsia="Times New Roman" w:cs="Arial"/>
          <w:i/>
          <w:iCs/>
          <w:color w:val="000000"/>
        </w:rPr>
        <w:t>).</w:t>
      </w:r>
    </w:p>
    <w:p w14:paraId="3519A8A7" w14:textId="77777777"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Помощни вещества: лактоза и др.</w:t>
      </w:r>
    </w:p>
    <w:p w14:paraId="0968C9AB" w14:textId="77777777" w:rsidR="005C76A8" w:rsidRPr="005C76A8" w:rsidRDefault="005C76A8" w:rsidP="005C76A8"/>
    <w:p w14:paraId="614984C4" w14:textId="08399184" w:rsidR="008A6AF2" w:rsidRDefault="00DD466D" w:rsidP="002C50EE">
      <w:pPr>
        <w:pStyle w:val="Heading1"/>
      </w:pPr>
      <w:r>
        <w:t>3. ЛЕКАРСТВЕНА ФОРМА</w:t>
      </w:r>
    </w:p>
    <w:p w14:paraId="239034DE" w14:textId="6E49002A" w:rsidR="005C76A8" w:rsidRDefault="005C76A8" w:rsidP="005C76A8"/>
    <w:p w14:paraId="14E0C9DE" w14:textId="77777777" w:rsidR="00501BBD" w:rsidRPr="00501BBD" w:rsidRDefault="00501BBD" w:rsidP="00501BBD">
      <w:pPr>
        <w:rPr>
          <w:sz w:val="24"/>
          <w:szCs w:val="24"/>
        </w:rPr>
      </w:pPr>
      <w:r w:rsidRPr="00501BBD">
        <w:rPr>
          <w:lang w:eastAsia="bg-BG"/>
        </w:rPr>
        <w:t>Таблетка за перорално приложение.</w:t>
      </w:r>
    </w:p>
    <w:p w14:paraId="0EAD0452" w14:textId="77777777" w:rsidR="00501BBD" w:rsidRPr="00501BBD" w:rsidRDefault="00501BBD" w:rsidP="00501BBD">
      <w:pPr>
        <w:rPr>
          <w:sz w:val="24"/>
          <w:szCs w:val="24"/>
        </w:rPr>
      </w:pPr>
      <w:r w:rsidRPr="00501BBD">
        <w:rPr>
          <w:lang w:eastAsia="bg-BG"/>
        </w:rPr>
        <w:t>Бели до почти бели кръгли, плоски, нефилмирани таблетки, с делителна черта от едната страна.</w:t>
      </w:r>
    </w:p>
    <w:p w14:paraId="01982B18" w14:textId="1E8B79E2" w:rsidR="005C76A8" w:rsidRPr="005C76A8" w:rsidRDefault="00501BBD" w:rsidP="00501BBD">
      <w:r w:rsidRPr="00501BBD">
        <w:rPr>
          <w:lang w:eastAsia="bg-BG"/>
        </w:rPr>
        <w:t>Таблетката може да бъде разделена на две равни дози.</w:t>
      </w:r>
    </w:p>
    <w:p w14:paraId="490FC2C4" w14:textId="0F4A4A75" w:rsidR="002C50EE" w:rsidRDefault="002C50EE" w:rsidP="002C50EE">
      <w:pPr>
        <w:pStyle w:val="Heading1"/>
      </w:pPr>
      <w:r>
        <w:t>4. КЛИНИЧНИ ДАННИ</w:t>
      </w:r>
    </w:p>
    <w:p w14:paraId="74330405" w14:textId="25C64C48" w:rsidR="007122AD" w:rsidRDefault="002C50EE" w:rsidP="00936AD0">
      <w:pPr>
        <w:pStyle w:val="Heading2"/>
      </w:pPr>
      <w:r>
        <w:t>4.1. Терапевтични показания</w:t>
      </w:r>
    </w:p>
    <w:p w14:paraId="43693AE6" w14:textId="3705741B" w:rsidR="005C76A8" w:rsidRDefault="005C76A8" w:rsidP="005C76A8"/>
    <w:p w14:paraId="092AC7DF" w14:textId="77777777" w:rsidR="005C76A8" w:rsidRPr="005C76A8" w:rsidRDefault="005C76A8" w:rsidP="005C76A8">
      <w:pPr>
        <w:pStyle w:val="ListParagraph"/>
        <w:numPr>
          <w:ilvl w:val="0"/>
          <w:numId w:val="37"/>
        </w:numPr>
        <w:spacing w:line="240" w:lineRule="auto"/>
        <w:rPr>
          <w:rFonts w:eastAsia="Times New Roman" w:cs="Arial"/>
          <w:color w:val="000000"/>
          <w:lang w:eastAsia="bg-BG"/>
        </w:rPr>
      </w:pPr>
      <w:r w:rsidRPr="005C76A8">
        <w:rPr>
          <w:rFonts w:eastAsia="Times New Roman" w:cs="Arial"/>
          <w:color w:val="000000"/>
          <w:lang w:eastAsia="bg-BG"/>
        </w:rPr>
        <w:t>За лечение на всички степени на артериална хипертония</w:t>
      </w:r>
    </w:p>
    <w:p w14:paraId="67A66817" w14:textId="4FBFB90B" w:rsidR="005C76A8" w:rsidRPr="005C76A8" w:rsidRDefault="005C76A8" w:rsidP="005C76A8">
      <w:pPr>
        <w:pStyle w:val="ListParagraph"/>
        <w:numPr>
          <w:ilvl w:val="0"/>
          <w:numId w:val="37"/>
        </w:numPr>
        <w:spacing w:line="240" w:lineRule="auto"/>
        <w:rPr>
          <w:rFonts w:eastAsia="Times New Roman" w:cs="Arial"/>
          <w:color w:val="000000"/>
          <w:lang w:eastAsia="bg-BG"/>
        </w:rPr>
      </w:pPr>
      <w:r w:rsidRPr="005C76A8">
        <w:rPr>
          <w:rFonts w:eastAsia="Times New Roman" w:cs="Arial"/>
          <w:color w:val="000000"/>
          <w:lang w:eastAsia="bg-BG"/>
        </w:rPr>
        <w:t>За лечение на всички степени на сърдечна недостатъчност</w:t>
      </w:r>
    </w:p>
    <w:p w14:paraId="4D67541A" w14:textId="77777777" w:rsidR="005C76A8" w:rsidRPr="005C76A8" w:rsidRDefault="005C76A8" w:rsidP="005C76A8">
      <w:pPr>
        <w:spacing w:line="240" w:lineRule="auto"/>
        <w:rPr>
          <w:rFonts w:eastAsia="Times New Roman" w:cs="Arial"/>
          <w:color w:val="000000"/>
          <w:lang w:eastAsia="bg-BG"/>
        </w:rPr>
      </w:pPr>
    </w:p>
    <w:p w14:paraId="75F41CE2" w14:textId="101250D9" w:rsidR="005C76A8" w:rsidRPr="005C76A8" w:rsidRDefault="005C76A8" w:rsidP="005C76A8">
      <w:pPr>
        <w:spacing w:line="240" w:lineRule="auto"/>
        <w:rPr>
          <w:rFonts w:eastAsia="Times New Roman" w:cs="Arial"/>
          <w:color w:val="000000"/>
          <w:lang w:eastAsia="bg-BG"/>
        </w:rPr>
      </w:pPr>
      <w:r w:rsidRPr="005C76A8">
        <w:rPr>
          <w:rFonts w:eastAsia="Times New Roman" w:cs="Arial"/>
          <w:color w:val="000000"/>
          <w:lang w:eastAsia="bg-BG"/>
        </w:rPr>
        <w:t>При пациенти със симптоматична сърдечна недостатъчност еналаприл е показан за подобряване на преживяемостта; забавяне прогресията на сърдечната недостатъчност; намаляване броя на хоспитализациите по повод на сърдечна недостатъчност.</w:t>
      </w:r>
    </w:p>
    <w:p w14:paraId="29B461C9" w14:textId="77777777" w:rsidR="005C76A8" w:rsidRPr="005C76A8" w:rsidRDefault="005C76A8" w:rsidP="005C76A8">
      <w:pPr>
        <w:spacing w:line="240" w:lineRule="auto"/>
        <w:rPr>
          <w:rFonts w:eastAsia="Times New Roman" w:cs="Arial"/>
          <w:sz w:val="24"/>
          <w:szCs w:val="24"/>
        </w:rPr>
      </w:pPr>
    </w:p>
    <w:p w14:paraId="51A86FA5" w14:textId="77777777" w:rsidR="005C76A8" w:rsidRPr="005C76A8" w:rsidRDefault="005C76A8" w:rsidP="005C76A8">
      <w:pPr>
        <w:pStyle w:val="ListParagraph"/>
        <w:numPr>
          <w:ilvl w:val="0"/>
          <w:numId w:val="38"/>
        </w:numPr>
        <w:spacing w:line="240" w:lineRule="auto"/>
        <w:rPr>
          <w:rFonts w:eastAsia="Times New Roman" w:cs="Arial"/>
          <w:color w:val="000000"/>
          <w:lang w:eastAsia="bg-BG"/>
        </w:rPr>
      </w:pPr>
      <w:r w:rsidRPr="005C76A8">
        <w:rPr>
          <w:rFonts w:eastAsia="Times New Roman" w:cs="Arial"/>
          <w:color w:val="000000"/>
          <w:lang w:eastAsia="bg-BG"/>
        </w:rPr>
        <w:t>За лечение на някои типове на реноваскуларна хипертония (вж. точка 4.4)</w:t>
      </w:r>
    </w:p>
    <w:p w14:paraId="6743EE86" w14:textId="34C0620C" w:rsidR="005C76A8" w:rsidRDefault="005C76A8" w:rsidP="005C76A8">
      <w:pPr>
        <w:pStyle w:val="ListParagraph"/>
        <w:numPr>
          <w:ilvl w:val="0"/>
          <w:numId w:val="38"/>
        </w:numPr>
        <w:spacing w:line="240" w:lineRule="auto"/>
        <w:rPr>
          <w:rFonts w:eastAsia="Times New Roman" w:cs="Arial"/>
          <w:color w:val="000000"/>
          <w:lang w:eastAsia="bg-BG"/>
        </w:rPr>
      </w:pPr>
      <w:r w:rsidRPr="005C76A8">
        <w:rPr>
          <w:rFonts w:eastAsia="Times New Roman" w:cs="Arial"/>
          <w:color w:val="000000"/>
          <w:lang w:eastAsia="bg-BG"/>
        </w:rPr>
        <w:t>Профилактика на симптоматична сърдечна недостатъчност при пациенти с асимптоматична левокамерна дисфункция (левокамерна фракция на изтласкване ≤ 35%)</w:t>
      </w:r>
    </w:p>
    <w:p w14:paraId="537E236D" w14:textId="77777777" w:rsidR="005C76A8" w:rsidRPr="005C76A8" w:rsidRDefault="005C76A8" w:rsidP="005C76A8">
      <w:pPr>
        <w:spacing w:line="240" w:lineRule="auto"/>
        <w:rPr>
          <w:rFonts w:eastAsia="Times New Roman" w:cs="Arial"/>
          <w:color w:val="000000"/>
          <w:lang w:eastAsia="bg-BG"/>
        </w:rPr>
      </w:pPr>
    </w:p>
    <w:p w14:paraId="53F5B866" w14:textId="4C2CF4BC" w:rsidR="007122AD" w:rsidRDefault="002C50EE" w:rsidP="00936AD0">
      <w:pPr>
        <w:pStyle w:val="Heading2"/>
      </w:pPr>
      <w:r>
        <w:t>4.2. Дозировка и начин на приложение</w:t>
      </w:r>
    </w:p>
    <w:p w14:paraId="73B5C050" w14:textId="1E9FAC1C" w:rsidR="005C76A8" w:rsidRDefault="005C76A8" w:rsidP="005C76A8"/>
    <w:p w14:paraId="673CB558"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Тъй като абсорбцията на таблетките еналаприл не се повлиява от приемането на храна, те могат да се назначават преди, по време или след хранене.</w:t>
      </w:r>
    </w:p>
    <w:p w14:paraId="27654185" w14:textId="77777777" w:rsidR="005C76A8" w:rsidRPr="005C76A8" w:rsidRDefault="005C76A8" w:rsidP="005C76A8">
      <w:pPr>
        <w:spacing w:line="240" w:lineRule="auto"/>
        <w:rPr>
          <w:rFonts w:eastAsia="Times New Roman" w:cs="Arial"/>
          <w:color w:val="000000"/>
          <w:u w:val="single"/>
          <w:lang w:eastAsia="bg-BG"/>
        </w:rPr>
      </w:pPr>
    </w:p>
    <w:p w14:paraId="1F05D4DA" w14:textId="07B43516" w:rsidR="005C76A8" w:rsidRPr="005C76A8" w:rsidRDefault="005C76A8" w:rsidP="005C76A8">
      <w:pPr>
        <w:pStyle w:val="Heading3"/>
        <w:rPr>
          <w:rFonts w:eastAsia="Times New Roman"/>
          <w:u w:val="single"/>
        </w:rPr>
      </w:pPr>
      <w:r w:rsidRPr="005C76A8">
        <w:rPr>
          <w:rFonts w:eastAsia="Times New Roman"/>
          <w:u w:val="single"/>
          <w:lang w:eastAsia="bg-BG"/>
        </w:rPr>
        <w:t>Дозировка</w:t>
      </w:r>
    </w:p>
    <w:p w14:paraId="3DC3678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Дозата трябва да бъде определена индивидуално в зависимост от профила на пациента (вж.</w:t>
      </w:r>
    </w:p>
    <w:p w14:paraId="0C6809C1"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точка 4.4) и отговора на кръвното налягане.</w:t>
      </w:r>
    </w:p>
    <w:p w14:paraId="5EE1B68C" w14:textId="77777777" w:rsidR="005C76A8" w:rsidRPr="005C76A8" w:rsidRDefault="005C76A8" w:rsidP="005C76A8">
      <w:pPr>
        <w:spacing w:line="240" w:lineRule="auto"/>
        <w:rPr>
          <w:rFonts w:eastAsia="Times New Roman" w:cs="Arial"/>
          <w:b/>
          <w:bCs/>
          <w:color w:val="000000"/>
          <w:lang w:eastAsia="bg-BG"/>
        </w:rPr>
      </w:pPr>
    </w:p>
    <w:p w14:paraId="0E4AE4D1" w14:textId="6EBCDFC7" w:rsidR="005C76A8" w:rsidRPr="005C76A8" w:rsidRDefault="005C76A8" w:rsidP="005C76A8">
      <w:pPr>
        <w:pStyle w:val="ListParagraph"/>
        <w:numPr>
          <w:ilvl w:val="0"/>
          <w:numId w:val="39"/>
        </w:numPr>
        <w:spacing w:line="240" w:lineRule="auto"/>
        <w:rPr>
          <w:rFonts w:eastAsia="Times New Roman" w:cs="Arial"/>
        </w:rPr>
      </w:pPr>
      <w:r w:rsidRPr="005C76A8">
        <w:rPr>
          <w:rFonts w:eastAsia="Times New Roman" w:cs="Arial"/>
          <w:b/>
          <w:bCs/>
          <w:color w:val="000000"/>
          <w:lang w:eastAsia="bg-BG"/>
        </w:rPr>
        <w:t>Хипертония</w:t>
      </w:r>
    </w:p>
    <w:p w14:paraId="6A38E623"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Началната доза е 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до максимално 20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в зависимост от степента на хипертония и състоянието на пациента. Еналаприл се приема веднъж дневно. При лека степенна хипертония препоръчителната начална доза е 5-10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В началото на лечението може да се прояви рязко</w:t>
      </w:r>
    </w:p>
    <w:p w14:paraId="23E1C01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понижение на кръвното налягане при пациенти със силно активирана </w:t>
      </w:r>
      <w:r w:rsidRPr="005C76A8">
        <w:rPr>
          <w:rFonts w:eastAsia="Times New Roman" w:cs="Arial"/>
          <w:i/>
          <w:iCs/>
          <w:color w:val="000000"/>
          <w:lang w:eastAsia="bg-BG"/>
        </w:rPr>
        <w:t>ренин ангиотензин-</w:t>
      </w:r>
    </w:p>
    <w:p w14:paraId="59D521A8" w14:textId="77777777" w:rsidR="005C76A8" w:rsidRPr="005C76A8" w:rsidRDefault="005C76A8" w:rsidP="005C76A8">
      <w:pPr>
        <w:rPr>
          <w:rFonts w:eastAsia="Times New Roman" w:cs="Arial"/>
        </w:rPr>
      </w:pPr>
      <w:r w:rsidRPr="005C76A8">
        <w:rPr>
          <w:rFonts w:eastAsia="Times New Roman" w:cs="Arial"/>
          <w:color w:val="000000"/>
          <w:lang w:eastAsia="bg-BG"/>
        </w:rPr>
        <w:t>алдостеронова система (напр. реноваскуларна хипертония, недостиг на соли и/или воден</w:t>
      </w:r>
      <w:r w:rsidRPr="005C76A8">
        <w:rPr>
          <w:rFonts w:eastAsia="Times New Roman" w:cs="Arial"/>
          <w:smallCaps/>
          <w:color w:val="000000"/>
          <w:lang w:eastAsia="bg-BG"/>
        </w:rPr>
        <w:t xml:space="preserve"> </w:t>
      </w:r>
      <w:r w:rsidRPr="005C76A8">
        <w:rPr>
          <w:rFonts w:eastAsia="Times New Roman" w:cs="Arial"/>
          <w:color w:val="000000"/>
          <w:lang w:eastAsia="bg-BG"/>
        </w:rPr>
        <w:t xml:space="preserve">дефицит, сърдечна декомпенсация или тежка хипертония). При тези пациенти лечението трябва да започне с 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или с по-ниска доза и да бъде под пряко лекарско наблюдение Предшестващо лечение с високи дози диуретици може да доведе до дефицит на течности и риск от хипотония в началото на лечението с еналаприл. При тези пациенти лечението трябва да започне с 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или с по-ниска доза. При възможност приложението на диуретици трябва да се преустанови 2-3 дни преди започване на лечение с еналаприл. Трябва да се проследява бъбречната функция и нивата на серумния калий.</w:t>
      </w:r>
    </w:p>
    <w:p w14:paraId="60791C85"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Обичайната поддържаща доза е 20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еналаприл дневно. Максималната поддържаща доза е 40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еналаприл дневно.</w:t>
      </w:r>
    </w:p>
    <w:p w14:paraId="67FC25FD" w14:textId="77777777" w:rsidR="005C76A8" w:rsidRPr="005C76A8" w:rsidRDefault="005C76A8" w:rsidP="005C76A8">
      <w:pPr>
        <w:spacing w:line="240" w:lineRule="auto"/>
        <w:rPr>
          <w:rFonts w:eastAsia="Times New Roman" w:cs="Arial"/>
          <w:b/>
          <w:bCs/>
          <w:color w:val="000000"/>
          <w:lang w:eastAsia="bg-BG"/>
        </w:rPr>
      </w:pPr>
      <w:bookmarkStart w:id="1" w:name="bookmark0"/>
    </w:p>
    <w:p w14:paraId="21480923" w14:textId="083803F3" w:rsidR="005C76A8" w:rsidRPr="005C76A8" w:rsidRDefault="005C76A8" w:rsidP="005C76A8">
      <w:pPr>
        <w:pStyle w:val="ListParagraph"/>
        <w:numPr>
          <w:ilvl w:val="0"/>
          <w:numId w:val="39"/>
        </w:numPr>
        <w:spacing w:line="240" w:lineRule="auto"/>
        <w:rPr>
          <w:rFonts w:eastAsia="Times New Roman" w:cs="Arial"/>
          <w:b/>
          <w:bCs/>
          <w:color w:val="000000"/>
          <w:lang w:eastAsia="bg-BG"/>
        </w:rPr>
      </w:pPr>
      <w:r w:rsidRPr="005C76A8">
        <w:rPr>
          <w:rFonts w:eastAsia="Times New Roman" w:cs="Arial"/>
          <w:b/>
          <w:bCs/>
          <w:color w:val="000000"/>
          <w:lang w:eastAsia="bg-BG"/>
        </w:rPr>
        <w:t>Реноваскуларна хипертония</w:t>
      </w:r>
      <w:bookmarkEnd w:id="1"/>
    </w:p>
    <w:p w14:paraId="63934FFD"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Тъй като реналната функция и артериалното налягане при такива пациенти могат да бъдат особено чувствителни към АСЕ-инхибиране, терапията би трябвало да започне с по-ниски дози (т.е. 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дневно или по-малко). След това дозата трябва да се адаптира в съответствие с индивидуалните нужди на пациента. Може да се очаква повечето пациенти да се повлияят от една таблетка от 20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назначена веднъж дневно. При пациенти с хипертония, на които непосредствено преди това са били прилагани диуретици, е необходимо да се подходи с повишено внимание (вж. следващия параграф).</w:t>
      </w:r>
    </w:p>
    <w:p w14:paraId="729BF8F2" w14:textId="77777777" w:rsidR="005C76A8" w:rsidRPr="005C76A8" w:rsidRDefault="005C76A8" w:rsidP="005C76A8">
      <w:pPr>
        <w:spacing w:line="240" w:lineRule="auto"/>
        <w:rPr>
          <w:rFonts w:eastAsia="Times New Roman" w:cs="Arial"/>
          <w:b/>
          <w:bCs/>
          <w:color w:val="000000"/>
          <w:lang w:eastAsia="bg-BG"/>
        </w:rPr>
      </w:pPr>
      <w:bookmarkStart w:id="2" w:name="bookmark2"/>
    </w:p>
    <w:p w14:paraId="257099AB" w14:textId="4F4A5B43" w:rsidR="005C76A8" w:rsidRPr="005C76A8" w:rsidRDefault="005C76A8" w:rsidP="005C76A8">
      <w:pPr>
        <w:pStyle w:val="ListParagraph"/>
        <w:numPr>
          <w:ilvl w:val="0"/>
          <w:numId w:val="39"/>
        </w:numPr>
        <w:spacing w:line="240" w:lineRule="auto"/>
        <w:rPr>
          <w:rFonts w:eastAsia="Times New Roman" w:cs="Arial"/>
          <w:b/>
          <w:bCs/>
          <w:color w:val="000000"/>
          <w:lang w:eastAsia="bg-BG"/>
        </w:rPr>
      </w:pPr>
      <w:r w:rsidRPr="005C76A8">
        <w:rPr>
          <w:rFonts w:eastAsia="Times New Roman" w:cs="Arial"/>
          <w:b/>
          <w:bCs/>
          <w:color w:val="000000"/>
          <w:lang w:eastAsia="bg-BG"/>
        </w:rPr>
        <w:t>Съпътстваща диуретнчна терапия при хипертония</w:t>
      </w:r>
      <w:bookmarkEnd w:id="2"/>
    </w:p>
    <w:p w14:paraId="6BC3F927"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След приемането на първата доза еналаприл може да се появи симптоматична хипотония; това е по-вероятно при пациенти, които понастоящем се лекуват с диуретици. Препоръчва се особено внимание при тези пациенти, най-вече поради това, че те могат да бъдат с нарушен водно-солеви баланс. Приемането на диуретик трябва да бъде преустановено 2-3 дни преди началото на терапията с еналаприл. Ако това не е възможно, трябва да бъде избрана доза на еналаприл, по-ниска от началната (5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или по-малко), до определяне на началния ефект върху кръвното налягане. След това дозата трябва да се адаптира в съответствие с нуждите на пациента.</w:t>
      </w:r>
    </w:p>
    <w:p w14:paraId="00213956" w14:textId="77777777" w:rsidR="005C76A8" w:rsidRPr="005C76A8" w:rsidRDefault="005C76A8" w:rsidP="005C76A8">
      <w:pPr>
        <w:spacing w:line="240" w:lineRule="auto"/>
        <w:rPr>
          <w:rFonts w:eastAsia="Times New Roman" w:cs="Arial"/>
          <w:b/>
          <w:bCs/>
          <w:color w:val="000000"/>
          <w:lang w:eastAsia="bg-BG"/>
        </w:rPr>
      </w:pPr>
      <w:bookmarkStart w:id="3" w:name="bookmark4"/>
    </w:p>
    <w:p w14:paraId="583A4AAC" w14:textId="36CA0B53" w:rsidR="005C76A8" w:rsidRPr="005C76A8" w:rsidRDefault="005C76A8" w:rsidP="005C76A8">
      <w:pPr>
        <w:pStyle w:val="ListParagraph"/>
        <w:numPr>
          <w:ilvl w:val="0"/>
          <w:numId w:val="39"/>
        </w:numPr>
        <w:spacing w:line="240" w:lineRule="auto"/>
        <w:rPr>
          <w:rFonts w:eastAsia="Times New Roman" w:cs="Arial"/>
          <w:b/>
          <w:bCs/>
          <w:color w:val="000000"/>
          <w:lang w:eastAsia="bg-BG"/>
        </w:rPr>
      </w:pPr>
      <w:r w:rsidRPr="005C76A8">
        <w:rPr>
          <w:rFonts w:eastAsia="Times New Roman" w:cs="Arial"/>
          <w:b/>
          <w:bCs/>
          <w:color w:val="000000"/>
          <w:lang w:eastAsia="bg-BG"/>
        </w:rPr>
        <w:t>Употреба при пациенти в старческа възраст</w:t>
      </w:r>
      <w:bookmarkEnd w:id="3"/>
    </w:p>
    <w:p w14:paraId="4F4F8BEA"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При пациенти в старческа възраст дозата трябва да бъде съобразена с бъбречната функция (вж. точка 4.4).</w:t>
      </w:r>
    </w:p>
    <w:p w14:paraId="2D9257AF" w14:textId="77777777" w:rsidR="005C76A8" w:rsidRPr="005C76A8" w:rsidRDefault="005C76A8" w:rsidP="005C76A8">
      <w:pPr>
        <w:spacing w:line="240" w:lineRule="auto"/>
        <w:rPr>
          <w:rFonts w:eastAsia="Times New Roman" w:cs="Arial"/>
          <w:b/>
          <w:bCs/>
          <w:color w:val="000000"/>
          <w:lang w:eastAsia="bg-BG"/>
        </w:rPr>
      </w:pPr>
      <w:bookmarkStart w:id="4" w:name="bookmark6"/>
    </w:p>
    <w:p w14:paraId="39B76B45" w14:textId="13473393" w:rsidR="005C76A8" w:rsidRPr="005C76A8" w:rsidRDefault="005C76A8" w:rsidP="005C76A8">
      <w:pPr>
        <w:pStyle w:val="ListParagraph"/>
        <w:numPr>
          <w:ilvl w:val="0"/>
          <w:numId w:val="39"/>
        </w:numPr>
        <w:spacing w:line="240" w:lineRule="auto"/>
        <w:rPr>
          <w:rFonts w:eastAsia="Times New Roman" w:cs="Arial"/>
          <w:b/>
          <w:bCs/>
          <w:color w:val="000000"/>
          <w:lang w:eastAsia="bg-BG"/>
        </w:rPr>
      </w:pPr>
      <w:r w:rsidRPr="005C76A8">
        <w:rPr>
          <w:rFonts w:eastAsia="Times New Roman" w:cs="Arial"/>
          <w:b/>
          <w:bCs/>
          <w:color w:val="000000"/>
          <w:lang w:eastAsia="bg-BG"/>
        </w:rPr>
        <w:t>Дозировка при болни с бъбречна недостатъчност</w:t>
      </w:r>
      <w:bookmarkEnd w:id="4"/>
    </w:p>
    <w:p w14:paraId="4C9B190C"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В повечето случаи при пациенти с увредена бъбречна функция интервалите между приемите на еналаприл трябва да бъдат удължени или дозировката да се редуцира.</w:t>
      </w:r>
    </w:p>
    <w:p w14:paraId="6E9A6923" w14:textId="399BED3F" w:rsidR="005C76A8" w:rsidRPr="005C76A8" w:rsidRDefault="005C76A8" w:rsidP="005C76A8">
      <w:pPr>
        <w:rPr>
          <w:rFonts w:cs="Arial"/>
        </w:rPr>
      </w:pPr>
    </w:p>
    <w:tbl>
      <w:tblPr>
        <w:tblStyle w:val="TableGrid"/>
        <w:tblW w:w="0" w:type="auto"/>
        <w:tblLook w:val="04A0" w:firstRow="1" w:lastRow="0" w:firstColumn="1" w:lastColumn="0" w:noHBand="0" w:noVBand="1"/>
      </w:tblPr>
      <w:tblGrid>
        <w:gridCol w:w="4680"/>
        <w:gridCol w:w="4670"/>
      </w:tblGrid>
      <w:tr w:rsidR="005C76A8" w:rsidRPr="005C76A8" w14:paraId="470E4099" w14:textId="77777777" w:rsidTr="005C76A8">
        <w:tc>
          <w:tcPr>
            <w:tcW w:w="4788" w:type="dxa"/>
          </w:tcPr>
          <w:p w14:paraId="27CC8463" w14:textId="43714298" w:rsidR="005C76A8" w:rsidRPr="005C76A8" w:rsidRDefault="005C76A8" w:rsidP="005C76A8">
            <w:pPr>
              <w:rPr>
                <w:rFonts w:cs="Arial"/>
              </w:rPr>
            </w:pPr>
            <w:r w:rsidRPr="005C76A8">
              <w:rPr>
                <w:rFonts w:cs="Arial"/>
              </w:rPr>
              <w:t xml:space="preserve">Креатининов клирънс (СгС1) </w:t>
            </w:r>
            <w:r w:rsidRPr="005C76A8">
              <w:rPr>
                <w:rFonts w:cs="Arial"/>
                <w:lang w:val="en-US"/>
              </w:rPr>
              <w:t>ml</w:t>
            </w:r>
            <w:r w:rsidRPr="005C76A8">
              <w:rPr>
                <w:rFonts w:cs="Arial"/>
                <w:lang w:val="ru-RU"/>
              </w:rPr>
              <w:t>/</w:t>
            </w:r>
            <w:r w:rsidRPr="005C76A8">
              <w:rPr>
                <w:rFonts w:cs="Arial"/>
                <w:lang w:val="en-US"/>
              </w:rPr>
              <w:t>min</w:t>
            </w:r>
          </w:p>
        </w:tc>
        <w:tc>
          <w:tcPr>
            <w:tcW w:w="4788" w:type="dxa"/>
          </w:tcPr>
          <w:p w14:paraId="6BFF9544" w14:textId="6B148D7E" w:rsidR="005C76A8" w:rsidRPr="005C76A8" w:rsidRDefault="005C76A8" w:rsidP="005C76A8">
            <w:pPr>
              <w:rPr>
                <w:rFonts w:cs="Arial"/>
              </w:rPr>
            </w:pPr>
            <w:r w:rsidRPr="005C76A8">
              <w:rPr>
                <w:rFonts w:cs="Arial"/>
              </w:rPr>
              <w:t xml:space="preserve">Начална дневна доза </w:t>
            </w:r>
            <w:r w:rsidRPr="005C76A8">
              <w:rPr>
                <w:rFonts w:cs="Arial"/>
                <w:lang w:val="en-US"/>
              </w:rPr>
              <w:t>mg</w:t>
            </w:r>
            <w:r w:rsidRPr="005C76A8">
              <w:rPr>
                <w:rFonts w:cs="Arial"/>
              </w:rPr>
              <w:t>/ден</w:t>
            </w:r>
          </w:p>
        </w:tc>
      </w:tr>
      <w:tr w:rsidR="005C76A8" w:rsidRPr="005C76A8" w14:paraId="51CDB64B" w14:textId="77777777" w:rsidTr="005C76A8">
        <w:tc>
          <w:tcPr>
            <w:tcW w:w="4788" w:type="dxa"/>
          </w:tcPr>
          <w:p w14:paraId="08D100D5" w14:textId="0E851788" w:rsidR="005C76A8" w:rsidRPr="005C76A8" w:rsidRDefault="005C76A8" w:rsidP="005C76A8">
            <w:pPr>
              <w:rPr>
                <w:rFonts w:cs="Arial"/>
              </w:rPr>
            </w:pPr>
            <w:r w:rsidRPr="005C76A8">
              <w:rPr>
                <w:rFonts w:cs="Arial"/>
              </w:rPr>
              <w:t xml:space="preserve">30 &lt; </w:t>
            </w:r>
            <w:proofErr w:type="spellStart"/>
            <w:r w:rsidRPr="005C76A8">
              <w:rPr>
                <w:rFonts w:cs="Arial"/>
                <w:lang w:val="en-US"/>
              </w:rPr>
              <w:t>CrCl</w:t>
            </w:r>
            <w:proofErr w:type="spellEnd"/>
            <w:r w:rsidRPr="005C76A8">
              <w:rPr>
                <w:rFonts w:cs="Arial"/>
                <w:lang w:val="en-US"/>
              </w:rPr>
              <w:t xml:space="preserve"> </w:t>
            </w:r>
            <w:r w:rsidRPr="005C76A8">
              <w:rPr>
                <w:rFonts w:cs="Arial"/>
              </w:rPr>
              <w:t xml:space="preserve">&lt; 80 </w:t>
            </w:r>
            <w:r w:rsidRPr="005C76A8">
              <w:rPr>
                <w:rFonts w:cs="Arial"/>
                <w:lang w:val="en-US"/>
              </w:rPr>
              <w:t>ml/min</w:t>
            </w:r>
          </w:p>
        </w:tc>
        <w:tc>
          <w:tcPr>
            <w:tcW w:w="4788" w:type="dxa"/>
          </w:tcPr>
          <w:p w14:paraId="55199749" w14:textId="22E48085" w:rsidR="005C76A8" w:rsidRPr="005C76A8" w:rsidRDefault="005C76A8" w:rsidP="005C76A8">
            <w:pPr>
              <w:rPr>
                <w:rFonts w:cs="Arial"/>
              </w:rPr>
            </w:pPr>
            <w:r w:rsidRPr="005C76A8">
              <w:rPr>
                <w:rFonts w:cs="Arial"/>
                <w:lang w:val="en-US"/>
              </w:rPr>
              <w:t>5-10 mg</w:t>
            </w:r>
          </w:p>
        </w:tc>
      </w:tr>
      <w:tr w:rsidR="005C76A8" w:rsidRPr="005C76A8" w14:paraId="1C94243A" w14:textId="77777777" w:rsidTr="005C76A8">
        <w:tc>
          <w:tcPr>
            <w:tcW w:w="4788" w:type="dxa"/>
          </w:tcPr>
          <w:p w14:paraId="5BD72EDD" w14:textId="33232610" w:rsidR="005C76A8" w:rsidRPr="005C76A8" w:rsidRDefault="005C76A8" w:rsidP="005C76A8">
            <w:pPr>
              <w:rPr>
                <w:rFonts w:cs="Arial"/>
              </w:rPr>
            </w:pPr>
            <w:r w:rsidRPr="005C76A8">
              <w:rPr>
                <w:rFonts w:cs="Arial"/>
                <w:lang w:val="en-US"/>
              </w:rPr>
              <w:t>10 &lt;</w:t>
            </w:r>
            <w:proofErr w:type="spellStart"/>
            <w:r w:rsidRPr="005C76A8">
              <w:rPr>
                <w:rFonts w:cs="Arial"/>
                <w:lang w:val="en-US"/>
              </w:rPr>
              <w:t>CrCl</w:t>
            </w:r>
            <w:proofErr w:type="spellEnd"/>
            <w:r w:rsidRPr="005C76A8">
              <w:rPr>
                <w:rFonts w:cs="Arial"/>
                <w:lang w:val="en-US"/>
              </w:rPr>
              <w:t xml:space="preserve"> </w:t>
            </w:r>
            <w:r w:rsidRPr="005C76A8">
              <w:rPr>
                <w:rFonts w:cs="Arial"/>
              </w:rPr>
              <w:t>≤</w:t>
            </w:r>
            <w:r w:rsidRPr="005C76A8">
              <w:rPr>
                <w:rFonts w:cs="Arial"/>
                <w:lang w:val="en-US"/>
              </w:rPr>
              <w:t xml:space="preserve"> 30 ml/min</w:t>
            </w:r>
          </w:p>
        </w:tc>
        <w:tc>
          <w:tcPr>
            <w:tcW w:w="4788" w:type="dxa"/>
          </w:tcPr>
          <w:p w14:paraId="692DC965" w14:textId="6678130B" w:rsidR="005C76A8" w:rsidRPr="005C76A8" w:rsidRDefault="005C76A8" w:rsidP="005C76A8">
            <w:pPr>
              <w:rPr>
                <w:rFonts w:cs="Arial"/>
              </w:rPr>
            </w:pPr>
            <w:r w:rsidRPr="005C76A8">
              <w:rPr>
                <w:rFonts w:cs="Arial"/>
                <w:lang w:val="en-US"/>
              </w:rPr>
              <w:t>2,5 mg</w:t>
            </w:r>
          </w:p>
        </w:tc>
      </w:tr>
      <w:tr w:rsidR="005C76A8" w:rsidRPr="005C76A8" w14:paraId="20609124" w14:textId="77777777" w:rsidTr="005C76A8">
        <w:tc>
          <w:tcPr>
            <w:tcW w:w="4788" w:type="dxa"/>
          </w:tcPr>
          <w:p w14:paraId="7A3E7432" w14:textId="277F8808" w:rsidR="005C76A8" w:rsidRPr="005C76A8" w:rsidRDefault="005C76A8" w:rsidP="005C76A8">
            <w:pPr>
              <w:rPr>
                <w:rFonts w:cs="Arial"/>
              </w:rPr>
            </w:pPr>
            <w:proofErr w:type="spellStart"/>
            <w:r w:rsidRPr="005C76A8">
              <w:rPr>
                <w:rFonts w:cs="Arial"/>
                <w:lang w:val="en-US"/>
              </w:rPr>
              <w:lastRenderedPageBreak/>
              <w:t>CrCl</w:t>
            </w:r>
            <w:proofErr w:type="spellEnd"/>
            <w:r w:rsidRPr="005C76A8">
              <w:rPr>
                <w:rFonts w:cs="Arial"/>
                <w:lang w:val="en-US"/>
              </w:rPr>
              <w:t xml:space="preserve"> &lt;10 ml/min</w:t>
            </w:r>
          </w:p>
        </w:tc>
        <w:tc>
          <w:tcPr>
            <w:tcW w:w="4788" w:type="dxa"/>
          </w:tcPr>
          <w:p w14:paraId="48FCAC08" w14:textId="6292581F" w:rsidR="005C76A8" w:rsidRPr="005C76A8" w:rsidRDefault="005C76A8" w:rsidP="005C76A8">
            <w:pPr>
              <w:rPr>
                <w:rFonts w:cs="Arial"/>
              </w:rPr>
            </w:pPr>
            <w:r w:rsidRPr="005C76A8">
              <w:rPr>
                <w:rFonts w:cs="Arial"/>
                <w:lang w:val="ru-RU"/>
              </w:rPr>
              <w:t xml:space="preserve">2,5 </w:t>
            </w:r>
            <w:r w:rsidRPr="005C76A8">
              <w:rPr>
                <w:rFonts w:cs="Arial"/>
                <w:lang w:val="en-US"/>
              </w:rPr>
              <w:t>mg</w:t>
            </w:r>
            <w:r w:rsidRPr="005C76A8">
              <w:rPr>
                <w:rFonts w:cs="Arial"/>
                <w:lang w:val="ru-RU"/>
              </w:rPr>
              <w:t xml:space="preserve"> </w:t>
            </w:r>
            <w:r w:rsidRPr="005C76A8">
              <w:rPr>
                <w:rFonts w:cs="Arial"/>
              </w:rPr>
              <w:t>в дните на диализа**</w:t>
            </w:r>
          </w:p>
        </w:tc>
      </w:tr>
    </w:tbl>
    <w:p w14:paraId="2DE96932" w14:textId="221746C5" w:rsidR="005C76A8" w:rsidRPr="005C76A8" w:rsidRDefault="005C76A8" w:rsidP="005C76A8">
      <w:pPr>
        <w:rPr>
          <w:rFonts w:cs="Arial"/>
        </w:rPr>
      </w:pPr>
    </w:p>
    <w:p w14:paraId="13360E9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**Еналаприлат се отстранява чрез диализа. Дозата през дните без хемодиализа трябва да се адаптира в зависимост от промените в кръвното налягане.</w:t>
      </w:r>
    </w:p>
    <w:p w14:paraId="6AB29F43" w14:textId="77777777" w:rsidR="005C76A8" w:rsidRPr="005C76A8" w:rsidRDefault="005C76A8" w:rsidP="005C76A8">
      <w:pPr>
        <w:spacing w:line="240" w:lineRule="auto"/>
        <w:rPr>
          <w:rFonts w:eastAsia="Times New Roman" w:cs="Arial"/>
          <w:b/>
          <w:bCs/>
          <w:color w:val="000000"/>
          <w:lang w:eastAsia="bg-BG"/>
        </w:rPr>
      </w:pPr>
    </w:p>
    <w:p w14:paraId="1BDACBE4" w14:textId="4D5C5841" w:rsidR="005C76A8" w:rsidRPr="005C76A8" w:rsidRDefault="005C76A8" w:rsidP="005C76A8">
      <w:pPr>
        <w:pStyle w:val="ListParagraph"/>
        <w:numPr>
          <w:ilvl w:val="0"/>
          <w:numId w:val="39"/>
        </w:numPr>
        <w:spacing w:line="240" w:lineRule="auto"/>
        <w:rPr>
          <w:rFonts w:eastAsia="Times New Roman" w:cs="Arial"/>
          <w:b/>
          <w:bCs/>
          <w:color w:val="000000"/>
          <w:lang w:eastAsia="bg-BG"/>
        </w:rPr>
      </w:pPr>
      <w:r w:rsidRPr="005C76A8">
        <w:rPr>
          <w:rFonts w:eastAsia="Times New Roman" w:cs="Arial"/>
          <w:b/>
          <w:bCs/>
          <w:color w:val="000000"/>
          <w:lang w:eastAsia="bg-BG"/>
        </w:rPr>
        <w:t>Сърдечна недостатъчност/Аснмптоматична левокамерна дисфункция</w:t>
      </w:r>
    </w:p>
    <w:p w14:paraId="33CCA82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Еналаприл може да се използва за лечение на симптоматична сърдечна недостатъчност, обикновено в комбинация с диуретик и дигиталисов продукт или бета-блокер, както е подходящо. Началната доза на еналаприл при пациенти със симптоматична сърдечна недостатъчност или асимптоматична левокамерна дисфункция е 2,5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и трябва да се прилага под медицинско наблюдение, за да се определи началният ефект върху кръвното налягане. Когато няма хипотония или след ефективното лечение на симптоматичната хипотония</w:t>
      </w:r>
      <w:r w:rsidRPr="005C76A8">
        <w:rPr>
          <w:rFonts w:eastAsia="Times New Roman" w:cs="Arial"/>
          <w:color w:val="000000"/>
          <w:lang w:val="ru-RU"/>
        </w:rPr>
        <w:t xml:space="preserve"> </w:t>
      </w:r>
      <w:r w:rsidRPr="005C76A8">
        <w:rPr>
          <w:rFonts w:eastAsia="Times New Roman" w:cs="Arial"/>
          <w:color w:val="000000"/>
          <w:lang w:eastAsia="bg-BG"/>
        </w:rPr>
        <w:t>след</w:t>
      </w:r>
      <w:r w:rsidRPr="005C76A8">
        <w:rPr>
          <w:rFonts w:eastAsia="Times New Roman" w:cs="Arial"/>
          <w:color w:val="000000"/>
          <w:u w:val="single"/>
          <w:lang w:eastAsia="bg-BG"/>
        </w:rPr>
        <w:t xml:space="preserve"> </w:t>
      </w:r>
      <w:r w:rsidRPr="005C76A8">
        <w:rPr>
          <w:rFonts w:eastAsia="Times New Roman" w:cs="Arial"/>
          <w:color w:val="000000"/>
          <w:lang w:eastAsia="bg-BG"/>
        </w:rPr>
        <w:t xml:space="preserve">терапията с еналаприл при сърдечна недостатъчност, дозата му трябва постепенно да се увеличи до поддържаща доза от 20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приложена веднъж или два пъти дневно в зависимост от поносимостта на пациента. Това титриране на дозата е препоръчително да се извърши за период от 2-4 седмици. Максималната доза е 40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дневно, разделена на два приема.</w:t>
      </w:r>
    </w:p>
    <w:p w14:paraId="7202B99F" w14:textId="1D29B2AD" w:rsidR="005C76A8" w:rsidRPr="005C76A8" w:rsidRDefault="005C76A8" w:rsidP="005C76A8">
      <w:pPr>
        <w:rPr>
          <w:rFonts w:cs="Arial"/>
        </w:rPr>
      </w:pPr>
    </w:p>
    <w:p w14:paraId="0A1EBDFA"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Предложено титриране на дозата на еналаприл при пациенти със сърдечна </w:t>
      </w:r>
      <w:r w:rsidRPr="005C76A8">
        <w:rPr>
          <w:rFonts w:eastAsia="Times New Roman" w:cs="Arial"/>
          <w:color w:val="000000"/>
          <w:u w:val="single"/>
          <w:lang w:eastAsia="bg-BG"/>
        </w:rPr>
        <w:t>недостатъчност/асимптоматична левокамерна дисфункция</w:t>
      </w:r>
    </w:p>
    <w:p w14:paraId="63B84FF1" w14:textId="586AD492" w:rsidR="005C76A8" w:rsidRPr="005C76A8" w:rsidRDefault="005C76A8" w:rsidP="005C76A8">
      <w:pPr>
        <w:rPr>
          <w:rFonts w:cs="Arial"/>
        </w:rPr>
      </w:pPr>
    </w:p>
    <w:tbl>
      <w:tblPr>
        <w:tblStyle w:val="TableGrid"/>
        <w:tblW w:w="0" w:type="auto"/>
        <w:tblLook w:val="04A0" w:firstRow="1" w:lastRow="0" w:firstColumn="1" w:lastColumn="0" w:noHBand="0" w:noVBand="1"/>
      </w:tblPr>
      <w:tblGrid>
        <w:gridCol w:w="4675"/>
        <w:gridCol w:w="4675"/>
      </w:tblGrid>
      <w:tr w:rsidR="005C76A8" w:rsidRPr="005C76A8" w14:paraId="16790B9C" w14:textId="77777777" w:rsidTr="005C76A8">
        <w:tc>
          <w:tcPr>
            <w:tcW w:w="4788" w:type="dxa"/>
          </w:tcPr>
          <w:p w14:paraId="1C36C8F3" w14:textId="12D14271" w:rsidR="005C76A8" w:rsidRPr="005C76A8" w:rsidRDefault="005C76A8" w:rsidP="005C76A8">
            <w:pPr>
              <w:rPr>
                <w:rFonts w:cs="Arial"/>
              </w:rPr>
            </w:pPr>
            <w:r w:rsidRPr="005C76A8">
              <w:rPr>
                <w:rFonts w:cs="Arial"/>
              </w:rPr>
              <w:t>Седмица</w:t>
            </w:r>
          </w:p>
        </w:tc>
        <w:tc>
          <w:tcPr>
            <w:tcW w:w="4788" w:type="dxa"/>
          </w:tcPr>
          <w:p w14:paraId="7CC7C261" w14:textId="00EE926A" w:rsidR="005C76A8" w:rsidRPr="005C76A8" w:rsidRDefault="005C76A8" w:rsidP="005C76A8">
            <w:pPr>
              <w:rPr>
                <w:rFonts w:cs="Arial"/>
              </w:rPr>
            </w:pPr>
            <w:r w:rsidRPr="005C76A8">
              <w:rPr>
                <w:rFonts w:cs="Arial"/>
              </w:rPr>
              <w:t xml:space="preserve">Доза </w:t>
            </w:r>
            <w:r w:rsidRPr="005C76A8">
              <w:rPr>
                <w:rFonts w:cs="Arial"/>
                <w:lang w:val="en-US"/>
              </w:rPr>
              <w:t>mg</w:t>
            </w:r>
            <w:r w:rsidRPr="005C76A8">
              <w:rPr>
                <w:rFonts w:cs="Arial"/>
              </w:rPr>
              <w:t>/ден</w:t>
            </w:r>
          </w:p>
        </w:tc>
      </w:tr>
      <w:tr w:rsidR="005C76A8" w:rsidRPr="005C76A8" w14:paraId="5ADBBAE8" w14:textId="77777777" w:rsidTr="005C76A8">
        <w:tc>
          <w:tcPr>
            <w:tcW w:w="4788" w:type="dxa"/>
          </w:tcPr>
          <w:p w14:paraId="3CBF29A0" w14:textId="5B73AA2C" w:rsidR="005C76A8" w:rsidRPr="005C76A8" w:rsidRDefault="005C76A8" w:rsidP="005C76A8">
            <w:pPr>
              <w:rPr>
                <w:rFonts w:cs="Arial"/>
              </w:rPr>
            </w:pPr>
            <w:r w:rsidRPr="005C76A8">
              <w:rPr>
                <w:rFonts w:cs="Arial"/>
              </w:rPr>
              <w:t>Първа седмица</w:t>
            </w:r>
          </w:p>
        </w:tc>
        <w:tc>
          <w:tcPr>
            <w:tcW w:w="4788" w:type="dxa"/>
          </w:tcPr>
          <w:p w14:paraId="7F5446A1" w14:textId="77777777" w:rsidR="005C76A8" w:rsidRPr="005C76A8" w:rsidRDefault="005C76A8" w:rsidP="005C76A8">
            <w:pPr>
              <w:rPr>
                <w:rFonts w:cs="Arial"/>
              </w:rPr>
            </w:pPr>
            <w:r w:rsidRPr="005C76A8">
              <w:rPr>
                <w:rFonts w:cs="Arial"/>
              </w:rPr>
              <w:t xml:space="preserve">От първи до трети ден: 2,5 </w:t>
            </w:r>
            <w:r w:rsidRPr="005C76A8">
              <w:rPr>
                <w:rFonts w:cs="Arial"/>
                <w:lang w:val="en-US"/>
              </w:rPr>
              <w:t>mg</w:t>
            </w:r>
            <w:r w:rsidRPr="005C76A8">
              <w:rPr>
                <w:rFonts w:cs="Arial"/>
              </w:rPr>
              <w:t>/ден* на един прием</w:t>
            </w:r>
          </w:p>
          <w:p w14:paraId="0CACC3AF" w14:textId="5F268253" w:rsidR="005C76A8" w:rsidRPr="005C76A8" w:rsidRDefault="005C76A8" w:rsidP="005C76A8">
            <w:pPr>
              <w:rPr>
                <w:rFonts w:cs="Arial"/>
              </w:rPr>
            </w:pPr>
            <w:r w:rsidRPr="005C76A8">
              <w:rPr>
                <w:rFonts w:cs="Arial"/>
              </w:rPr>
              <w:t xml:space="preserve">От четвърти до седми ден: 5 </w:t>
            </w:r>
            <w:r w:rsidRPr="005C76A8">
              <w:rPr>
                <w:rFonts w:cs="Arial"/>
                <w:lang w:val="en-US"/>
              </w:rPr>
              <w:t>mg</w:t>
            </w:r>
            <w:r w:rsidRPr="005C76A8">
              <w:rPr>
                <w:rFonts w:cs="Arial"/>
              </w:rPr>
              <w:t>/ден на два приема</w:t>
            </w:r>
          </w:p>
        </w:tc>
      </w:tr>
      <w:tr w:rsidR="005C76A8" w:rsidRPr="005C76A8" w14:paraId="6DFAFF1D" w14:textId="77777777" w:rsidTr="005C76A8">
        <w:tc>
          <w:tcPr>
            <w:tcW w:w="4788" w:type="dxa"/>
          </w:tcPr>
          <w:p w14:paraId="3A9E482C" w14:textId="6362A376" w:rsidR="005C76A8" w:rsidRPr="005C76A8" w:rsidRDefault="005C76A8" w:rsidP="005C76A8">
            <w:pPr>
              <w:rPr>
                <w:rFonts w:cs="Arial"/>
              </w:rPr>
            </w:pPr>
            <w:r w:rsidRPr="005C76A8">
              <w:rPr>
                <w:rFonts w:cs="Arial"/>
              </w:rPr>
              <w:t>Втора седмица</w:t>
            </w:r>
          </w:p>
        </w:tc>
        <w:tc>
          <w:tcPr>
            <w:tcW w:w="4788" w:type="dxa"/>
          </w:tcPr>
          <w:p w14:paraId="65439D6B" w14:textId="5A25C2A1" w:rsidR="005C76A8" w:rsidRPr="005C76A8" w:rsidRDefault="005C76A8" w:rsidP="005C76A8">
            <w:pPr>
              <w:rPr>
                <w:rFonts w:cs="Arial"/>
              </w:rPr>
            </w:pPr>
            <w:r w:rsidRPr="005C76A8">
              <w:rPr>
                <w:rFonts w:cs="Arial"/>
              </w:rPr>
              <w:t xml:space="preserve">10 </w:t>
            </w:r>
            <w:r w:rsidRPr="005C76A8">
              <w:rPr>
                <w:rFonts w:cs="Arial"/>
                <w:lang w:val="en-US"/>
              </w:rPr>
              <w:t>mg</w:t>
            </w:r>
            <w:r w:rsidRPr="005C76A8">
              <w:rPr>
                <w:rFonts w:cs="Arial"/>
              </w:rPr>
              <w:t>/ден на един или два приема</w:t>
            </w:r>
          </w:p>
        </w:tc>
      </w:tr>
      <w:tr w:rsidR="005C76A8" w:rsidRPr="005C76A8" w14:paraId="29740A8B" w14:textId="77777777" w:rsidTr="005C76A8">
        <w:tc>
          <w:tcPr>
            <w:tcW w:w="4788" w:type="dxa"/>
          </w:tcPr>
          <w:p w14:paraId="5119F54B" w14:textId="75A86F61" w:rsidR="005C76A8" w:rsidRPr="005C76A8" w:rsidRDefault="005C76A8" w:rsidP="005C76A8">
            <w:pPr>
              <w:rPr>
                <w:rFonts w:cs="Arial"/>
              </w:rPr>
            </w:pPr>
            <w:r w:rsidRPr="005C76A8">
              <w:rPr>
                <w:rFonts w:cs="Arial"/>
              </w:rPr>
              <w:t>Трета и четвърта седмица</w:t>
            </w:r>
          </w:p>
        </w:tc>
        <w:tc>
          <w:tcPr>
            <w:tcW w:w="4788" w:type="dxa"/>
          </w:tcPr>
          <w:p w14:paraId="6BE41E87" w14:textId="59C5D4B9" w:rsidR="005C76A8" w:rsidRPr="005C76A8" w:rsidRDefault="005C76A8" w:rsidP="005C76A8">
            <w:pPr>
              <w:rPr>
                <w:rFonts w:cs="Arial"/>
              </w:rPr>
            </w:pPr>
            <w:r w:rsidRPr="005C76A8">
              <w:rPr>
                <w:rFonts w:cs="Arial"/>
              </w:rPr>
              <w:t xml:space="preserve">20 </w:t>
            </w:r>
            <w:r w:rsidRPr="005C76A8">
              <w:rPr>
                <w:rFonts w:cs="Arial"/>
                <w:lang w:val="en-US"/>
              </w:rPr>
              <w:t>mg</w:t>
            </w:r>
            <w:r w:rsidRPr="005C76A8">
              <w:rPr>
                <w:rFonts w:cs="Arial"/>
              </w:rPr>
              <w:t>/ден на един или два приема</w:t>
            </w:r>
          </w:p>
        </w:tc>
      </w:tr>
    </w:tbl>
    <w:p w14:paraId="3362A37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*При пациенти с увредена бъбречна функция или приемащи диуретици трябва да се вземат специални предпазни мерки (вж. точка 4.4).</w:t>
      </w:r>
    </w:p>
    <w:p w14:paraId="17BA6F89" w14:textId="77777777" w:rsidR="005C76A8" w:rsidRPr="005C76A8" w:rsidRDefault="005C76A8" w:rsidP="005C76A8">
      <w:pPr>
        <w:spacing w:line="240" w:lineRule="auto"/>
        <w:rPr>
          <w:rFonts w:eastAsia="Times New Roman" w:cs="Arial"/>
          <w:color w:val="000000"/>
          <w:lang w:eastAsia="bg-BG"/>
        </w:rPr>
      </w:pPr>
    </w:p>
    <w:p w14:paraId="6A2662AC" w14:textId="46DFEE01" w:rsidR="005C76A8" w:rsidRPr="005C76A8" w:rsidRDefault="005C76A8" w:rsidP="005C76A8">
      <w:pPr>
        <w:spacing w:line="240" w:lineRule="auto"/>
        <w:rPr>
          <w:rFonts w:eastAsia="Times New Roman" w:cs="Arial"/>
        </w:rPr>
      </w:pPr>
      <w:r w:rsidRPr="005C76A8">
        <w:rPr>
          <w:rFonts w:eastAsia="Times New Roman" w:cs="Arial"/>
          <w:color w:val="000000"/>
          <w:lang w:eastAsia="bg-BG"/>
        </w:rPr>
        <w:t>Кръвното налягане и бъбречната функция трябва стриктно да бъдат мониторирани преди и след започване на лечението с еналаприл (вж. точка 4.4), поради съобщения за развитие на хипотония и (по-рядко) на последваща бъбречна недостатъчност. При пациенти, лекувани е диуретици, дозата трябва да се намали ако е възможно още преди започване на терапията с еналаприл. Появата на хипотония след прилагане на начална доза еналаприл не означава, че хипотонията ще възникне при по-нататъшната терапия с еналаприл и не налага прекратяване на започнатото лечение. Необходимо е също така да бъдат мониторирани нивото на серумния калий и бъбречната функция.</w:t>
      </w:r>
    </w:p>
    <w:p w14:paraId="7ED0EF6E" w14:textId="77777777" w:rsidR="005C76A8" w:rsidRPr="005C76A8" w:rsidRDefault="005C76A8" w:rsidP="005C76A8">
      <w:pPr>
        <w:spacing w:line="240" w:lineRule="auto"/>
        <w:rPr>
          <w:rFonts w:eastAsia="Times New Roman" w:cs="Arial"/>
          <w:i/>
          <w:iCs/>
          <w:color w:val="000000"/>
          <w:lang w:eastAsia="bg-BG"/>
        </w:rPr>
      </w:pPr>
    </w:p>
    <w:p w14:paraId="5DA45B24" w14:textId="6655A612"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Педиатрична популация</w:t>
      </w:r>
    </w:p>
    <w:p w14:paraId="77B2DB62" w14:textId="77777777" w:rsidR="005C76A8" w:rsidRPr="005C76A8" w:rsidRDefault="005C76A8" w:rsidP="005C76A8">
      <w:pPr>
        <w:spacing w:line="240" w:lineRule="auto"/>
        <w:rPr>
          <w:rFonts w:eastAsia="Times New Roman" w:cs="Arial"/>
          <w:color w:val="000000"/>
          <w:lang w:eastAsia="bg-BG"/>
        </w:rPr>
      </w:pPr>
    </w:p>
    <w:p w14:paraId="05495B2F" w14:textId="307E4892" w:rsidR="005C76A8" w:rsidRPr="005C76A8" w:rsidRDefault="005C76A8" w:rsidP="005C76A8">
      <w:pPr>
        <w:spacing w:line="240" w:lineRule="auto"/>
        <w:rPr>
          <w:rFonts w:eastAsia="Times New Roman" w:cs="Arial"/>
        </w:rPr>
      </w:pPr>
      <w:r w:rsidRPr="005C76A8">
        <w:rPr>
          <w:rFonts w:eastAsia="Times New Roman" w:cs="Arial"/>
          <w:color w:val="000000"/>
          <w:lang w:eastAsia="bg-BG"/>
        </w:rPr>
        <w:t>Има ограничени клинични данни за употребата на еналаприл при педиатрични пациенти с хипертония (вж. точки 4.4, 5.1 и 5.2).</w:t>
      </w:r>
    </w:p>
    <w:p w14:paraId="6A3BCB26"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При пациенти, които могат да поглъщат таблетки, дозата трябва да се определи индивидуално в зависимост от профила на пациента и от отговора на кръвното налягане. Препоръчителната начална доза е 2,5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при пациенти между 20 и 50 </w:t>
      </w:r>
      <w:r w:rsidRPr="005C76A8">
        <w:rPr>
          <w:rFonts w:eastAsia="Times New Roman" w:cs="Arial"/>
          <w:color w:val="000000"/>
          <w:lang w:val="en-US"/>
        </w:rPr>
        <w:t>kg</w:t>
      </w:r>
      <w:r w:rsidRPr="005C76A8">
        <w:rPr>
          <w:rFonts w:eastAsia="Times New Roman" w:cs="Arial"/>
          <w:color w:val="000000"/>
          <w:lang w:val="ru-RU"/>
        </w:rPr>
        <w:t xml:space="preserve"> </w:t>
      </w:r>
      <w:r w:rsidRPr="005C76A8">
        <w:rPr>
          <w:rFonts w:eastAsia="Times New Roman" w:cs="Arial"/>
          <w:color w:val="000000"/>
          <w:lang w:eastAsia="bg-BG"/>
        </w:rPr>
        <w:t xml:space="preserve">и 5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при пациенти с телесно тегло</w:t>
      </w:r>
    </w:p>
    <w:p w14:paraId="12ED700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lastRenderedPageBreak/>
        <w:t xml:space="preserve">≥ </w:t>
      </w:r>
      <w:r w:rsidRPr="005C76A8">
        <w:rPr>
          <w:rFonts w:eastAsia="Times New Roman" w:cs="Arial"/>
          <w:color w:val="000000"/>
          <w:lang w:val="ru-RU"/>
        </w:rPr>
        <w:t>50</w:t>
      </w:r>
      <w:r w:rsidRPr="005C76A8">
        <w:rPr>
          <w:rFonts w:eastAsia="Times New Roman" w:cs="Arial"/>
          <w:color w:val="000000"/>
          <w:lang w:val="en-US"/>
        </w:rPr>
        <w:t>kg</w:t>
      </w:r>
      <w:r w:rsidRPr="005C76A8">
        <w:rPr>
          <w:rFonts w:eastAsia="Times New Roman" w:cs="Arial"/>
          <w:color w:val="000000"/>
          <w:lang w:val="ru-RU"/>
        </w:rPr>
        <w:t xml:space="preserve">. </w:t>
      </w:r>
      <w:r w:rsidRPr="005C76A8">
        <w:rPr>
          <w:rFonts w:eastAsia="Times New Roman" w:cs="Arial"/>
          <w:color w:val="000000"/>
          <w:lang w:eastAsia="bg-BG"/>
        </w:rPr>
        <w:t xml:space="preserve">Еналаприл се приема веднъж дневно. Дозата трябва да бъде коригирана съгласно нуждите на пациентите максимум до 20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дневно при пациенти с телесно тегло &lt; </w:t>
      </w:r>
      <w:r w:rsidRPr="005C76A8">
        <w:rPr>
          <w:rFonts w:eastAsia="Times New Roman" w:cs="Arial"/>
          <w:color w:val="000000"/>
          <w:lang w:val="ru-RU"/>
        </w:rPr>
        <w:t>50</w:t>
      </w:r>
      <w:r w:rsidRPr="005C76A8">
        <w:rPr>
          <w:rFonts w:eastAsia="Times New Roman" w:cs="Arial"/>
          <w:color w:val="000000"/>
          <w:lang w:val="en-US"/>
        </w:rPr>
        <w:t>kg</w:t>
      </w:r>
      <w:r w:rsidRPr="005C76A8">
        <w:rPr>
          <w:rFonts w:eastAsia="Times New Roman" w:cs="Arial"/>
          <w:color w:val="000000"/>
          <w:lang w:val="ru-RU"/>
        </w:rPr>
        <w:t xml:space="preserve"> </w:t>
      </w:r>
      <w:r w:rsidRPr="005C76A8">
        <w:rPr>
          <w:rFonts w:eastAsia="Times New Roman" w:cs="Arial"/>
          <w:color w:val="000000"/>
          <w:lang w:eastAsia="bg-BG"/>
        </w:rPr>
        <w:t xml:space="preserve">и 40 </w:t>
      </w:r>
      <w:r w:rsidRPr="005C76A8">
        <w:rPr>
          <w:rFonts w:eastAsia="Times New Roman" w:cs="Arial"/>
          <w:color w:val="000000"/>
          <w:lang w:val="en-US"/>
        </w:rPr>
        <w:t>mg</w:t>
      </w:r>
      <w:r w:rsidRPr="005C76A8">
        <w:rPr>
          <w:rFonts w:eastAsia="Times New Roman" w:cs="Arial"/>
          <w:color w:val="000000"/>
          <w:lang w:val="ru-RU"/>
        </w:rPr>
        <w:t xml:space="preserve"> </w:t>
      </w:r>
      <w:r w:rsidRPr="005C76A8">
        <w:rPr>
          <w:rFonts w:eastAsia="Times New Roman" w:cs="Arial"/>
          <w:color w:val="000000"/>
          <w:lang w:eastAsia="bg-BG"/>
        </w:rPr>
        <w:t xml:space="preserve">дневно при пациенти с телесно тегло ≥ 50 </w:t>
      </w:r>
      <w:r w:rsidRPr="005C76A8">
        <w:rPr>
          <w:rFonts w:eastAsia="Times New Roman" w:cs="Arial"/>
          <w:color w:val="000000"/>
          <w:lang w:val="en-US"/>
        </w:rPr>
        <w:t>kg</w:t>
      </w:r>
      <w:r w:rsidRPr="005C76A8">
        <w:rPr>
          <w:rFonts w:eastAsia="Times New Roman" w:cs="Arial"/>
          <w:color w:val="000000"/>
          <w:lang w:val="ru-RU"/>
        </w:rPr>
        <w:t xml:space="preserve"> </w:t>
      </w:r>
      <w:r w:rsidRPr="005C76A8">
        <w:rPr>
          <w:rFonts w:eastAsia="Times New Roman" w:cs="Arial"/>
          <w:color w:val="000000"/>
          <w:lang w:eastAsia="bg-BG"/>
        </w:rPr>
        <w:t>(вж. точка 4.4).</w:t>
      </w:r>
    </w:p>
    <w:p w14:paraId="7A266F9D" w14:textId="77777777" w:rsidR="005C76A8" w:rsidRPr="005C76A8" w:rsidRDefault="005C76A8" w:rsidP="005C76A8">
      <w:pPr>
        <w:spacing w:line="240" w:lineRule="auto"/>
        <w:rPr>
          <w:rFonts w:eastAsia="Times New Roman" w:cs="Arial"/>
          <w:color w:val="000000"/>
          <w:lang w:eastAsia="bg-BG"/>
        </w:rPr>
      </w:pPr>
    </w:p>
    <w:p w14:paraId="39EFCD15" w14:textId="23973058"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Еналаприл не се препоръчва при новородени и при педиатрични пациенти с ниво на гломерулната филтрация &lt; 30 </w:t>
      </w:r>
      <w:r w:rsidRPr="005C76A8">
        <w:rPr>
          <w:rFonts w:eastAsia="Times New Roman" w:cs="Arial"/>
          <w:color w:val="000000"/>
          <w:lang w:val="en-US"/>
        </w:rPr>
        <w:t>ml</w:t>
      </w:r>
      <w:r w:rsidRPr="005C76A8">
        <w:rPr>
          <w:rFonts w:eastAsia="Times New Roman" w:cs="Arial"/>
          <w:color w:val="000000"/>
          <w:lang w:val="ru-RU"/>
        </w:rPr>
        <w:t>/</w:t>
      </w:r>
      <w:r w:rsidRPr="005C76A8">
        <w:rPr>
          <w:rFonts w:eastAsia="Times New Roman" w:cs="Arial"/>
          <w:color w:val="000000"/>
          <w:lang w:val="en-US"/>
        </w:rPr>
        <w:t>min</w:t>
      </w:r>
      <w:r w:rsidRPr="005C76A8">
        <w:rPr>
          <w:rFonts w:eastAsia="Times New Roman" w:cs="Arial"/>
          <w:color w:val="000000"/>
          <w:lang w:val="ru-RU"/>
        </w:rPr>
        <w:t>/</w:t>
      </w:r>
      <w:r w:rsidRPr="005C76A8">
        <w:rPr>
          <w:rFonts w:eastAsia="Times New Roman" w:cs="Arial"/>
          <w:color w:val="000000"/>
          <w:lang w:val="en-US"/>
        </w:rPr>
        <w:t>l</w:t>
      </w:r>
      <w:r w:rsidRPr="005C76A8">
        <w:rPr>
          <w:rFonts w:eastAsia="Times New Roman" w:cs="Arial"/>
          <w:color w:val="000000"/>
          <w:lang w:val="ru-RU"/>
        </w:rPr>
        <w:t xml:space="preserve">,73 </w:t>
      </w:r>
      <w:r w:rsidRPr="005C76A8">
        <w:rPr>
          <w:rFonts w:eastAsia="Times New Roman" w:cs="Arial"/>
          <w:color w:val="000000"/>
          <w:lang w:val="en-US"/>
        </w:rPr>
        <w:t>m</w:t>
      </w:r>
      <w:r w:rsidRPr="005C76A8">
        <w:rPr>
          <w:rFonts w:eastAsia="Times New Roman" w:cs="Arial"/>
          <w:color w:val="000000"/>
          <w:vertAlign w:val="superscript"/>
          <w:lang w:val="ru-RU"/>
        </w:rPr>
        <w:t>2</w:t>
      </w:r>
      <w:r w:rsidRPr="005C76A8">
        <w:rPr>
          <w:rFonts w:eastAsia="Times New Roman" w:cs="Arial"/>
          <w:color w:val="000000"/>
          <w:lang w:val="ru-RU"/>
        </w:rPr>
        <w:t xml:space="preserve">, </w:t>
      </w:r>
      <w:r w:rsidRPr="005C76A8">
        <w:rPr>
          <w:rFonts w:eastAsia="Times New Roman" w:cs="Arial"/>
          <w:color w:val="000000"/>
          <w:lang w:eastAsia="bg-BG"/>
        </w:rPr>
        <w:t>поради липса на данни при тези групи пациенти.</w:t>
      </w:r>
    </w:p>
    <w:p w14:paraId="7D00C26B" w14:textId="77777777" w:rsidR="005C76A8" w:rsidRPr="005C76A8" w:rsidRDefault="005C76A8" w:rsidP="005C76A8">
      <w:pPr>
        <w:spacing w:line="240" w:lineRule="auto"/>
        <w:rPr>
          <w:rFonts w:eastAsia="Times New Roman" w:cs="Arial"/>
          <w:color w:val="000000"/>
          <w:u w:val="single"/>
          <w:lang w:eastAsia="bg-BG"/>
        </w:rPr>
      </w:pPr>
    </w:p>
    <w:p w14:paraId="353A7371" w14:textId="77777777" w:rsidR="005C76A8" w:rsidRPr="005C76A8" w:rsidRDefault="005C76A8" w:rsidP="005C76A8">
      <w:pPr>
        <w:pStyle w:val="Heading3"/>
        <w:rPr>
          <w:rFonts w:eastAsia="Times New Roman"/>
          <w:u w:val="single"/>
          <w:lang w:eastAsia="bg-BG"/>
        </w:rPr>
      </w:pPr>
      <w:r w:rsidRPr="005C76A8">
        <w:rPr>
          <w:rFonts w:eastAsia="Times New Roman"/>
          <w:u w:val="single"/>
          <w:lang w:eastAsia="bg-BG"/>
        </w:rPr>
        <w:t xml:space="preserve">Начин на приложение </w:t>
      </w:r>
    </w:p>
    <w:p w14:paraId="3F9B60DE" w14:textId="212F78CF" w:rsidR="005C76A8" w:rsidRPr="005C76A8" w:rsidRDefault="005C76A8" w:rsidP="005C76A8">
      <w:pPr>
        <w:spacing w:line="240" w:lineRule="auto"/>
        <w:rPr>
          <w:rFonts w:eastAsia="Times New Roman" w:cs="Arial"/>
        </w:rPr>
      </w:pPr>
      <w:r w:rsidRPr="005C76A8">
        <w:rPr>
          <w:rFonts w:eastAsia="Times New Roman" w:cs="Arial"/>
          <w:color w:val="000000"/>
          <w:lang w:eastAsia="bg-BG"/>
        </w:rPr>
        <w:t>Перорално приложение.</w:t>
      </w:r>
    </w:p>
    <w:p w14:paraId="1569BA16" w14:textId="77777777" w:rsidR="005C76A8" w:rsidRPr="005C76A8" w:rsidRDefault="005C76A8" w:rsidP="005C76A8"/>
    <w:p w14:paraId="0F253247" w14:textId="7386F5C0" w:rsidR="007122AD" w:rsidRDefault="002C50EE" w:rsidP="00936AD0">
      <w:pPr>
        <w:pStyle w:val="Heading2"/>
      </w:pPr>
      <w:r>
        <w:t>4.3. Противопоказания</w:t>
      </w:r>
    </w:p>
    <w:p w14:paraId="1B8EC0D0" w14:textId="4E879AFE" w:rsidR="005C76A8" w:rsidRDefault="005C76A8" w:rsidP="005C76A8"/>
    <w:p w14:paraId="788F5003"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Еналаприл е противопоказан при:</w:t>
      </w:r>
    </w:p>
    <w:p w14:paraId="05787E5A" w14:textId="77777777" w:rsidR="005C76A8" w:rsidRPr="005C76A8" w:rsidRDefault="005C76A8" w:rsidP="005C76A8">
      <w:pPr>
        <w:pStyle w:val="ListParagraph"/>
        <w:numPr>
          <w:ilvl w:val="0"/>
          <w:numId w:val="39"/>
        </w:numPr>
        <w:spacing w:line="240" w:lineRule="auto"/>
        <w:rPr>
          <w:rFonts w:eastAsia="Times New Roman" w:cs="Arial"/>
          <w:color w:val="000000"/>
          <w:lang w:eastAsia="bg-BG"/>
        </w:rPr>
      </w:pPr>
      <w:r w:rsidRPr="005C76A8">
        <w:rPr>
          <w:rFonts w:eastAsia="Times New Roman" w:cs="Arial"/>
          <w:color w:val="000000"/>
          <w:lang w:eastAsia="bg-BG"/>
        </w:rPr>
        <w:t>свръхчувствителност към активното вещество, към някое от помощните вещества, изброени в точка 6.1 или към други АСЕ-инхибитори;</w:t>
      </w:r>
    </w:p>
    <w:p w14:paraId="6DFBF2F6" w14:textId="77777777" w:rsidR="005C76A8" w:rsidRPr="005C76A8" w:rsidRDefault="005C76A8" w:rsidP="005C76A8">
      <w:pPr>
        <w:pStyle w:val="ListParagraph"/>
        <w:numPr>
          <w:ilvl w:val="0"/>
          <w:numId w:val="39"/>
        </w:numPr>
        <w:spacing w:line="240" w:lineRule="auto"/>
        <w:rPr>
          <w:rFonts w:eastAsia="Times New Roman" w:cs="Arial"/>
          <w:color w:val="000000"/>
          <w:lang w:eastAsia="bg-BG"/>
        </w:rPr>
      </w:pPr>
      <w:r w:rsidRPr="005C76A8">
        <w:rPr>
          <w:rFonts w:eastAsia="Times New Roman" w:cs="Arial"/>
          <w:color w:val="000000"/>
          <w:lang w:eastAsia="bg-BG"/>
        </w:rPr>
        <w:t>анамнеза за ангионевротичен едем, получен при предходна терапия с АСЕ-инхибитори;</w:t>
      </w:r>
    </w:p>
    <w:p w14:paraId="1B4AAC42" w14:textId="77777777" w:rsidR="005C76A8" w:rsidRPr="005C76A8" w:rsidRDefault="005C76A8" w:rsidP="005C76A8">
      <w:pPr>
        <w:pStyle w:val="ListParagraph"/>
        <w:numPr>
          <w:ilvl w:val="0"/>
          <w:numId w:val="39"/>
        </w:numPr>
        <w:spacing w:line="240" w:lineRule="auto"/>
        <w:rPr>
          <w:rFonts w:eastAsia="Times New Roman" w:cs="Arial"/>
          <w:color w:val="000000"/>
          <w:lang w:eastAsia="bg-BG"/>
        </w:rPr>
      </w:pPr>
      <w:r w:rsidRPr="005C76A8">
        <w:rPr>
          <w:rFonts w:eastAsia="Times New Roman" w:cs="Arial"/>
          <w:color w:val="000000"/>
          <w:lang w:eastAsia="bg-BG"/>
        </w:rPr>
        <w:t>вроден или идиопатичен ангиоедем;</w:t>
      </w:r>
    </w:p>
    <w:p w14:paraId="08D74787" w14:textId="77777777" w:rsidR="005C76A8" w:rsidRPr="005C76A8" w:rsidRDefault="005C76A8" w:rsidP="005C76A8">
      <w:pPr>
        <w:pStyle w:val="ListParagraph"/>
        <w:numPr>
          <w:ilvl w:val="0"/>
          <w:numId w:val="39"/>
        </w:numPr>
        <w:spacing w:line="240" w:lineRule="auto"/>
        <w:rPr>
          <w:rFonts w:eastAsia="Times New Roman" w:cs="Arial"/>
          <w:color w:val="000000"/>
          <w:lang w:eastAsia="bg-BG"/>
        </w:rPr>
      </w:pPr>
      <w:r w:rsidRPr="005C76A8">
        <w:rPr>
          <w:rFonts w:eastAsia="Times New Roman" w:cs="Arial"/>
          <w:color w:val="000000"/>
          <w:lang w:eastAsia="bg-BG"/>
        </w:rPr>
        <w:t>втори и трети триместър на бременността (вж. точки 4.4 и 4.6);</w:t>
      </w:r>
    </w:p>
    <w:p w14:paraId="1DB33AA9" w14:textId="77777777" w:rsidR="005C76A8" w:rsidRPr="005C76A8" w:rsidRDefault="005C76A8" w:rsidP="005C76A8">
      <w:pPr>
        <w:pStyle w:val="ListParagraph"/>
        <w:numPr>
          <w:ilvl w:val="0"/>
          <w:numId w:val="39"/>
        </w:numPr>
        <w:spacing w:line="240" w:lineRule="auto"/>
        <w:rPr>
          <w:rFonts w:eastAsia="Times New Roman" w:cs="Arial"/>
          <w:color w:val="000000"/>
          <w:lang w:eastAsia="bg-BG"/>
        </w:rPr>
      </w:pPr>
      <w:r w:rsidRPr="005C76A8">
        <w:rPr>
          <w:rFonts w:eastAsia="Times New Roman" w:cs="Arial"/>
          <w:color w:val="000000"/>
          <w:lang w:eastAsia="bg-BG"/>
        </w:rPr>
        <w:t xml:space="preserve">едновременната употреба на еналаприл с алискирен-съдържащи продукти е противопоказана при пациенти със захарен диабет или бъбречно увреждане </w:t>
      </w:r>
      <w:r w:rsidRPr="005C76A8">
        <w:rPr>
          <w:rFonts w:eastAsia="Times New Roman" w:cs="Arial"/>
          <w:color w:val="000000"/>
          <w:lang w:val="ru-RU"/>
        </w:rPr>
        <w:t>(</w:t>
      </w:r>
      <w:r w:rsidRPr="005C76A8">
        <w:rPr>
          <w:rFonts w:eastAsia="Times New Roman" w:cs="Arial"/>
          <w:color w:val="000000"/>
          <w:lang w:val="en-US"/>
        </w:rPr>
        <w:t>GFR</w:t>
      </w:r>
      <w:r w:rsidRPr="005C76A8">
        <w:rPr>
          <w:rFonts w:eastAsia="Times New Roman" w:cs="Arial"/>
          <w:color w:val="000000"/>
          <w:lang w:val="ru-RU"/>
        </w:rPr>
        <w:t xml:space="preserve"> </w:t>
      </w:r>
      <w:r w:rsidRPr="005C76A8">
        <w:rPr>
          <w:rFonts w:eastAsia="Times New Roman" w:cs="Arial"/>
          <w:color w:val="000000"/>
          <w:lang w:eastAsia="bg-BG"/>
        </w:rPr>
        <w:t xml:space="preserve">&lt; 60 2 </w:t>
      </w:r>
      <w:r w:rsidRPr="005C76A8">
        <w:rPr>
          <w:rFonts w:eastAsia="Times New Roman" w:cs="Arial"/>
          <w:color w:val="000000"/>
          <w:lang w:val="en-US"/>
        </w:rPr>
        <w:t>ml</w:t>
      </w:r>
      <w:r w:rsidRPr="005C76A8">
        <w:rPr>
          <w:rFonts w:eastAsia="Times New Roman" w:cs="Arial"/>
          <w:color w:val="000000"/>
          <w:lang w:val="ru-RU"/>
        </w:rPr>
        <w:t>/</w:t>
      </w:r>
      <w:r w:rsidRPr="005C76A8">
        <w:rPr>
          <w:rFonts w:eastAsia="Times New Roman" w:cs="Arial"/>
          <w:color w:val="000000"/>
          <w:lang w:val="en-US"/>
        </w:rPr>
        <w:t>min</w:t>
      </w:r>
      <w:r w:rsidRPr="005C76A8">
        <w:rPr>
          <w:rFonts w:eastAsia="Times New Roman" w:cs="Arial"/>
          <w:color w:val="000000"/>
          <w:lang w:val="ru-RU"/>
        </w:rPr>
        <w:t xml:space="preserve">/1,73 </w:t>
      </w:r>
      <w:r w:rsidRPr="005C76A8">
        <w:rPr>
          <w:rFonts w:eastAsia="Times New Roman" w:cs="Arial"/>
          <w:color w:val="000000"/>
          <w:lang w:val="en-US"/>
        </w:rPr>
        <w:t>m</w:t>
      </w:r>
      <w:r w:rsidRPr="005C76A8">
        <w:rPr>
          <w:rFonts w:eastAsia="Times New Roman" w:cs="Arial"/>
          <w:color w:val="000000"/>
          <w:lang w:val="ru-RU"/>
        </w:rPr>
        <w:t xml:space="preserve"> </w:t>
      </w:r>
      <w:r w:rsidRPr="005C76A8">
        <w:rPr>
          <w:rFonts w:eastAsia="Times New Roman" w:cs="Arial"/>
          <w:color w:val="000000"/>
          <w:lang w:eastAsia="bg-BG"/>
        </w:rPr>
        <w:t>) (вж. точки 4.5 и 5.1);</w:t>
      </w:r>
    </w:p>
    <w:p w14:paraId="0AB1290D" w14:textId="2FB60E63" w:rsidR="005C76A8" w:rsidRDefault="005C76A8" w:rsidP="005C76A8">
      <w:pPr>
        <w:pStyle w:val="ListParagraph"/>
        <w:numPr>
          <w:ilvl w:val="0"/>
          <w:numId w:val="39"/>
        </w:numPr>
        <w:spacing w:line="240" w:lineRule="auto"/>
        <w:rPr>
          <w:rFonts w:eastAsia="Times New Roman" w:cs="Arial"/>
          <w:color w:val="000000"/>
          <w:lang w:eastAsia="bg-BG"/>
        </w:rPr>
      </w:pPr>
      <w:r w:rsidRPr="005C76A8">
        <w:rPr>
          <w:rFonts w:eastAsia="Times New Roman" w:cs="Arial"/>
          <w:color w:val="000000"/>
          <w:lang w:eastAsia="bg-BG"/>
        </w:rPr>
        <w:t>комбинация със сакубитрил/валсартан, поради повишен риск от ангиоедем. Еналаприл не трябва да се прилага в рамките на 36 часа от преминаването към или от сакубитрил/валсартан, продукт, съдържащ неприлизинов инхибитор (вж. точки 4.4 и 4.5).</w:t>
      </w:r>
    </w:p>
    <w:p w14:paraId="7652BDB5" w14:textId="77777777" w:rsidR="005C76A8" w:rsidRPr="005C76A8" w:rsidRDefault="005C76A8" w:rsidP="005C76A8">
      <w:pPr>
        <w:spacing w:line="240" w:lineRule="auto"/>
        <w:rPr>
          <w:rFonts w:eastAsia="Times New Roman" w:cs="Arial"/>
          <w:color w:val="000000"/>
          <w:lang w:eastAsia="bg-BG"/>
        </w:rPr>
      </w:pPr>
    </w:p>
    <w:p w14:paraId="0E0BDCC7" w14:textId="58AFD2EF" w:rsidR="007122AD" w:rsidRDefault="002C50EE" w:rsidP="00936AD0">
      <w:pPr>
        <w:pStyle w:val="Heading2"/>
      </w:pPr>
      <w:r>
        <w:t>4.4. Специални предупреждения и предпазни мерки при употреба</w:t>
      </w:r>
    </w:p>
    <w:p w14:paraId="6C3C04C5" w14:textId="558FF3A0" w:rsidR="005C76A8" w:rsidRDefault="005C76A8" w:rsidP="005C76A8"/>
    <w:p w14:paraId="04232D6E" w14:textId="0D754E4E" w:rsidR="005C76A8" w:rsidRPr="005C76A8" w:rsidRDefault="005C76A8" w:rsidP="005C76A8">
      <w:pPr>
        <w:pStyle w:val="ListParagraph"/>
        <w:numPr>
          <w:ilvl w:val="0"/>
          <w:numId w:val="41"/>
        </w:numPr>
        <w:spacing w:line="240" w:lineRule="auto"/>
        <w:rPr>
          <w:rFonts w:eastAsia="Times New Roman" w:cs="Arial"/>
        </w:rPr>
      </w:pPr>
      <w:r w:rsidRPr="005C76A8">
        <w:rPr>
          <w:rFonts w:eastAsia="Times New Roman" w:cs="Arial"/>
          <w:b/>
          <w:bCs/>
          <w:color w:val="000000"/>
          <w:lang w:eastAsia="bg-BG"/>
        </w:rPr>
        <w:t>Свръхчувствителност/Ангионевротичен оток</w:t>
      </w:r>
    </w:p>
    <w:p w14:paraId="0C306E7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Ангионевротичен оток, обхващащ лицето, крайниците, устните, езика, глотиса и/или ларинкса е наблюдаван при пациенти, лекувани с АСЕ-инхибитори, включително еналаприл. Това може да се случи по всяко време на лечението. В тези случаи еналаприл трябва да бъде спрян незабавно и пациентът да бъде подложен на наблюдение до пълно изчезване на симптомите преди изписването. Дори в случаите, когато отокът обхваща само езика, без да има респираторен дистрес синдром, може да се наложи по-продължително наблюдение на пациентите, тъй като лечението с антихистамини и кортикостероиди може да не е достатъчно. Ларингеалната ангиоедема може да бъде фатална. Пациенти, при които е обхванат езика, глотиса или ларинкса е възможно да получат обструкция на дихателните пътища, особено онези, които имат анамнеза за оперативна интервенция в областта на дихателните пътища. Когато са засегнати езика, глотиса или ларинкса и има опасност от обструкция на въздухоносните пътища, трябва да се осигури подходящо лечение - подкожно прилагане на разтвор на епинефрин 1:1000 (0,3 </w:t>
      </w:r>
      <w:r w:rsidRPr="005C76A8">
        <w:rPr>
          <w:rFonts w:eastAsia="Times New Roman" w:cs="Arial"/>
          <w:color w:val="000000"/>
          <w:lang w:val="en-US"/>
        </w:rPr>
        <w:t>ml</w:t>
      </w:r>
      <w:r w:rsidRPr="005C76A8">
        <w:rPr>
          <w:rFonts w:eastAsia="Times New Roman" w:cs="Arial"/>
          <w:color w:val="000000"/>
          <w:lang w:val="ru-RU"/>
        </w:rPr>
        <w:t xml:space="preserve"> </w:t>
      </w:r>
      <w:r w:rsidRPr="005C76A8">
        <w:rPr>
          <w:rFonts w:eastAsia="Times New Roman" w:cs="Arial"/>
          <w:color w:val="000000"/>
          <w:lang w:eastAsia="bg-BG"/>
        </w:rPr>
        <w:t xml:space="preserve">до 0,5 </w:t>
      </w:r>
      <w:r w:rsidRPr="005C76A8">
        <w:rPr>
          <w:rFonts w:eastAsia="Times New Roman" w:cs="Arial"/>
          <w:color w:val="000000"/>
          <w:lang w:val="en-US"/>
        </w:rPr>
        <w:t>ml</w:t>
      </w:r>
      <w:r w:rsidRPr="005C76A8">
        <w:rPr>
          <w:rFonts w:eastAsia="Times New Roman" w:cs="Arial"/>
          <w:color w:val="000000"/>
          <w:lang w:val="ru-RU"/>
        </w:rPr>
        <w:t xml:space="preserve">) </w:t>
      </w:r>
      <w:r w:rsidRPr="005C76A8">
        <w:rPr>
          <w:rFonts w:eastAsia="Times New Roman" w:cs="Arial"/>
          <w:color w:val="000000"/>
          <w:lang w:eastAsia="bg-BG"/>
        </w:rPr>
        <w:t>и/или мерки за освобождаване на дихателните пътища.</w:t>
      </w:r>
    </w:p>
    <w:p w14:paraId="390ADA1F"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Чернокожите пациенти са с повишен риск от развитие на ангионевротичен оток при лечение с АСЕ-инхибитори в сравнение с тези от бялата раса.</w:t>
      </w:r>
    </w:p>
    <w:p w14:paraId="705E99A5"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lastRenderedPageBreak/>
        <w:t>Съществува повишен риск за развитие на ангионевротичен оток в хода на лечението с АСЕ- инхибитор при пациенти с анамнеза за предхождащ ангиоедем от друг произход.</w:t>
      </w:r>
    </w:p>
    <w:p w14:paraId="753A3614" w14:textId="77777777" w:rsidR="005C76A8" w:rsidRPr="005C76A8" w:rsidRDefault="005C76A8" w:rsidP="005C76A8">
      <w:pPr>
        <w:spacing w:line="240" w:lineRule="auto"/>
        <w:rPr>
          <w:rFonts w:eastAsia="Times New Roman" w:cs="Arial"/>
          <w:color w:val="000000"/>
          <w:lang w:eastAsia="bg-BG"/>
        </w:rPr>
      </w:pPr>
    </w:p>
    <w:p w14:paraId="78394C98" w14:textId="00A280F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Пациенти, получаващи едновременно АСЕ инхибитор и лечение с инхибитор на </w:t>
      </w:r>
      <w:proofErr w:type="spellStart"/>
      <w:r w:rsidRPr="005C76A8">
        <w:rPr>
          <w:rFonts w:eastAsia="Times New Roman" w:cs="Arial"/>
          <w:color w:val="000000"/>
          <w:lang w:val="en-US"/>
        </w:rPr>
        <w:t>mTOR</w:t>
      </w:r>
      <w:proofErr w:type="spellEnd"/>
      <w:r w:rsidRPr="005C76A8">
        <w:rPr>
          <w:rFonts w:eastAsia="Times New Roman" w:cs="Arial"/>
          <w:color w:val="000000"/>
          <w:lang w:val="ru-RU"/>
        </w:rPr>
        <w:t xml:space="preserve"> </w:t>
      </w:r>
      <w:r w:rsidRPr="005C76A8">
        <w:rPr>
          <w:rFonts w:eastAsia="Times New Roman" w:cs="Arial"/>
          <w:color w:val="000000"/>
          <w:lang w:eastAsia="bg-BG"/>
        </w:rPr>
        <w:t>(ензим, таргетен за рапамицин при бозайници) (напр. сиролимус, еверолимус, темсиролимус) или вилдаглиптин, може да бъдат изложени на повишен риск от ангиоедем.</w:t>
      </w:r>
    </w:p>
    <w:p w14:paraId="1EB6DDBE" w14:textId="77777777" w:rsidR="005C76A8" w:rsidRPr="005C76A8" w:rsidRDefault="005C76A8" w:rsidP="005C76A8">
      <w:pPr>
        <w:spacing w:line="240" w:lineRule="auto"/>
        <w:rPr>
          <w:rFonts w:eastAsia="Times New Roman" w:cs="Arial"/>
          <w:color w:val="000000"/>
          <w:lang w:eastAsia="bg-BG"/>
        </w:rPr>
      </w:pPr>
    </w:p>
    <w:p w14:paraId="493C5496" w14:textId="55399FDE" w:rsidR="005C76A8" w:rsidRPr="005C76A8" w:rsidRDefault="005C76A8" w:rsidP="005C76A8">
      <w:pPr>
        <w:spacing w:line="240" w:lineRule="auto"/>
        <w:rPr>
          <w:rFonts w:eastAsia="Times New Roman" w:cs="Arial"/>
        </w:rPr>
      </w:pPr>
      <w:r w:rsidRPr="005C76A8">
        <w:rPr>
          <w:rFonts w:eastAsia="Times New Roman" w:cs="Arial"/>
          <w:color w:val="000000"/>
          <w:lang w:eastAsia="bg-BG"/>
        </w:rPr>
        <w:t>Пациенти, получаващи съпътстваща терапия с АСЕ- инхибитор и неприлизинов инхибитор (напр. сакубитрил, рацекадотрил), може да са с повишен риск от ангиоедем (вж. точка 4.5).</w:t>
      </w:r>
    </w:p>
    <w:p w14:paraId="1B67327D" w14:textId="77777777" w:rsidR="005C76A8" w:rsidRPr="005C76A8" w:rsidRDefault="005C76A8" w:rsidP="005C76A8">
      <w:pPr>
        <w:spacing w:line="240" w:lineRule="auto"/>
        <w:rPr>
          <w:rFonts w:eastAsia="Times New Roman" w:cs="Arial"/>
          <w:color w:val="000000"/>
          <w:lang w:eastAsia="bg-BG"/>
        </w:rPr>
      </w:pPr>
    </w:p>
    <w:p w14:paraId="2A85D197" w14:textId="6865908C" w:rsidR="005C76A8" w:rsidRPr="005C76A8" w:rsidRDefault="005C76A8" w:rsidP="005C76A8">
      <w:pPr>
        <w:spacing w:line="240" w:lineRule="auto"/>
        <w:rPr>
          <w:rFonts w:eastAsia="Times New Roman" w:cs="Arial"/>
        </w:rPr>
      </w:pPr>
      <w:r w:rsidRPr="005C76A8">
        <w:rPr>
          <w:rFonts w:eastAsia="Times New Roman" w:cs="Arial"/>
          <w:color w:val="000000"/>
          <w:lang w:eastAsia="bg-BG"/>
        </w:rPr>
        <w:t>Комбинацията от еналаприл и сакубитрил/валсартан е противопоказана, поради повишен риск от ангиоедем (вж. точка 4.3). Сакубитрил/валсартан не трябва да се започва до 36 часа след приема на последната доза от терапията с еналаприл. Ако лечението със сакубитрил/валсартан е прекратено, терапията с еналаприл не трябва да започва до 36 часа след последната доза сакубитрил/валсартан (вж. точки 4.3 и 4.5).</w:t>
      </w:r>
    </w:p>
    <w:p w14:paraId="2311A04D" w14:textId="77777777" w:rsidR="005C76A8" w:rsidRPr="005C76A8" w:rsidRDefault="005C76A8" w:rsidP="005C76A8">
      <w:pPr>
        <w:spacing w:line="240" w:lineRule="auto"/>
        <w:rPr>
          <w:rFonts w:eastAsia="Times New Roman" w:cs="Arial"/>
          <w:b/>
          <w:bCs/>
          <w:color w:val="000000"/>
          <w:lang w:eastAsia="bg-BG"/>
        </w:rPr>
      </w:pPr>
    </w:p>
    <w:p w14:paraId="6AC65230" w14:textId="6108A0E7"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Анафилактондни реакции, наблюдавани при десенсибилизацня</w:t>
      </w:r>
    </w:p>
    <w:p w14:paraId="554BEE74"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Рядко са съобщавани животозастрашаващи анафилактични реакции по време на десенсибилизиращо лечение срещу отрова на ципокрили и едновременно приложение на АСЕ- инхибитор. Тези реакции могат да се избегнат чрез временно преустановяване на лечението с АСЕ-инхибитор преди всяко десенсибилизиращо лечение.</w:t>
      </w:r>
    </w:p>
    <w:p w14:paraId="54C85147" w14:textId="77777777" w:rsidR="005C76A8" w:rsidRPr="005C76A8" w:rsidRDefault="005C76A8" w:rsidP="005C76A8">
      <w:pPr>
        <w:spacing w:line="240" w:lineRule="auto"/>
        <w:rPr>
          <w:rFonts w:eastAsia="Times New Roman" w:cs="Arial"/>
          <w:b/>
          <w:bCs/>
          <w:color w:val="000000"/>
          <w:lang w:eastAsia="bg-BG"/>
        </w:rPr>
      </w:pPr>
    </w:p>
    <w:p w14:paraId="5D07AB16" w14:textId="7619BF2E"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 xml:space="preserve">Анафилактондни реакции по време на </w:t>
      </w:r>
      <w:r w:rsidRPr="005C76A8">
        <w:rPr>
          <w:rFonts w:eastAsia="Times New Roman" w:cs="Arial"/>
          <w:b/>
          <w:bCs/>
          <w:color w:val="000000"/>
          <w:lang w:val="en-US"/>
        </w:rPr>
        <w:t>LDL</w:t>
      </w:r>
      <w:r w:rsidRPr="005C76A8">
        <w:rPr>
          <w:rFonts w:eastAsia="Times New Roman" w:cs="Arial"/>
          <w:b/>
          <w:bCs/>
          <w:color w:val="000000"/>
          <w:lang w:eastAsia="bg-BG"/>
        </w:rPr>
        <w:t>-афереза</w:t>
      </w:r>
    </w:p>
    <w:p w14:paraId="0A3B47C2"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Рядко са съобщавани животозастрашаващи анафилактични реакции по време на </w:t>
      </w:r>
      <w:r w:rsidRPr="005C76A8">
        <w:rPr>
          <w:rFonts w:eastAsia="Times New Roman" w:cs="Arial"/>
          <w:color w:val="000000"/>
          <w:lang w:val="en-US"/>
        </w:rPr>
        <w:t>LDL</w:t>
      </w:r>
      <w:r w:rsidRPr="005C76A8">
        <w:rPr>
          <w:rFonts w:eastAsia="Times New Roman" w:cs="Arial"/>
          <w:color w:val="000000"/>
          <w:lang w:eastAsia="bg-BG"/>
        </w:rPr>
        <w:t>-афереза (липопротеини с ниска плътност-афереза) с декстран сулфат и едновременно приложение на АСЕ-инхибитор. Тези реакции могат да се избегнат чрез временно преустановяване на лечението с АСЕ-инхибитор преди всяка афереза.</w:t>
      </w:r>
    </w:p>
    <w:p w14:paraId="217D395D" w14:textId="77777777" w:rsidR="005C76A8" w:rsidRPr="005C76A8" w:rsidRDefault="005C76A8" w:rsidP="005C76A8">
      <w:pPr>
        <w:spacing w:line="240" w:lineRule="auto"/>
        <w:rPr>
          <w:rFonts w:eastAsia="Times New Roman" w:cs="Arial"/>
          <w:b/>
          <w:bCs/>
          <w:color w:val="000000"/>
          <w:lang w:eastAsia="bg-BG"/>
        </w:rPr>
      </w:pPr>
    </w:p>
    <w:p w14:paraId="1F3C8C02" w14:textId="7863A350"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Пациенти на хемодиализа</w:t>
      </w:r>
    </w:p>
    <w:p w14:paraId="70D3FAD8"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Анафилактондни реакции са наблюдавани при пациенти, подложени на диализа с </w:t>
      </w:r>
      <w:r w:rsidRPr="005C76A8">
        <w:rPr>
          <w:rFonts w:eastAsia="Times New Roman" w:cs="Arial"/>
          <w:i/>
          <w:iCs/>
          <w:color w:val="000000"/>
          <w:lang w:val="en-US"/>
        </w:rPr>
        <w:t>high</w:t>
      </w:r>
      <w:r w:rsidRPr="005C76A8">
        <w:rPr>
          <w:rFonts w:eastAsia="Times New Roman" w:cs="Arial"/>
          <w:i/>
          <w:iCs/>
          <w:color w:val="000000"/>
          <w:lang w:val="ru-RU"/>
        </w:rPr>
        <w:t>-</w:t>
      </w:r>
      <w:r w:rsidRPr="005C76A8">
        <w:rPr>
          <w:rFonts w:eastAsia="Times New Roman" w:cs="Arial"/>
          <w:i/>
          <w:iCs/>
          <w:color w:val="000000"/>
          <w:lang w:val="en-US"/>
        </w:rPr>
        <w:t>flux</w:t>
      </w:r>
      <w:r w:rsidRPr="005C76A8">
        <w:rPr>
          <w:rFonts w:eastAsia="Times New Roman" w:cs="Arial"/>
          <w:i/>
          <w:iCs/>
          <w:color w:val="000000"/>
          <w:lang w:val="ru-RU"/>
        </w:rPr>
        <w:t xml:space="preserve"> </w:t>
      </w:r>
      <w:r w:rsidRPr="005C76A8">
        <w:rPr>
          <w:rFonts w:eastAsia="Times New Roman" w:cs="Arial"/>
          <w:color w:val="000000"/>
          <w:lang w:eastAsia="bg-BG"/>
        </w:rPr>
        <w:t xml:space="preserve">мембрани (напр. </w:t>
      </w:r>
      <w:r w:rsidRPr="005C76A8">
        <w:rPr>
          <w:rFonts w:eastAsia="Times New Roman" w:cs="Arial"/>
          <w:color w:val="000000"/>
          <w:lang w:val="en-US"/>
        </w:rPr>
        <w:t>AN</w:t>
      </w:r>
      <w:r w:rsidRPr="005C76A8">
        <w:rPr>
          <w:rFonts w:eastAsia="Times New Roman" w:cs="Arial"/>
          <w:color w:val="000000"/>
          <w:lang w:val="ru-RU"/>
        </w:rPr>
        <w:t xml:space="preserve"> </w:t>
      </w:r>
      <w:r w:rsidRPr="005C76A8">
        <w:rPr>
          <w:rFonts w:eastAsia="Times New Roman" w:cs="Arial"/>
          <w:color w:val="000000"/>
          <w:lang w:eastAsia="bg-BG"/>
        </w:rPr>
        <w:t>69</w:t>
      </w:r>
      <w:r w:rsidRPr="005C76A8">
        <w:rPr>
          <w:rFonts w:eastAsia="Times New Roman" w:cs="Arial"/>
          <w:color w:val="000000"/>
          <w:vertAlign w:val="superscript"/>
          <w:lang w:eastAsia="bg-BG"/>
        </w:rPr>
        <w:t>®</w:t>
      </w:r>
      <w:r w:rsidRPr="005C76A8">
        <w:rPr>
          <w:rFonts w:eastAsia="Times New Roman" w:cs="Arial"/>
          <w:color w:val="000000"/>
          <w:lang w:eastAsia="bg-BG"/>
        </w:rPr>
        <w:t>) и лекувани същевременно с АСЕ-инхибитори. При тези пациенти би трябвало да се обсъди използването на друг вид диализни мембрани или на друг клас антихипертензивни средства.</w:t>
      </w:r>
    </w:p>
    <w:p w14:paraId="13F74FE1" w14:textId="77777777" w:rsidR="005C76A8" w:rsidRPr="005C76A8" w:rsidRDefault="005C76A8" w:rsidP="005C76A8">
      <w:pPr>
        <w:spacing w:line="240" w:lineRule="auto"/>
        <w:rPr>
          <w:rFonts w:eastAsia="Times New Roman" w:cs="Arial"/>
          <w:b/>
          <w:bCs/>
          <w:color w:val="000000"/>
          <w:lang w:eastAsia="bg-BG"/>
        </w:rPr>
      </w:pPr>
    </w:p>
    <w:p w14:paraId="0F4B33AC" w14:textId="4D42BA71"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Симптоматична хипотония</w:t>
      </w:r>
    </w:p>
    <w:p w14:paraId="530A030F"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Симптоматична хипотония се наблюдава рядко при хипертоници без усложнения. При хипертониците, получаващи еналаприл, е по-вероятно да се появи хипотония, ако пациентите са с хиповолемия в резултат на диуретична терапия, ограничаваща солта диета, диализа, диария или повръщане (вж. точки 4.5 и 4.8). Симптоматична хипотония се наблюдава при пациенти със сърдечна недостатъчност - с или без съпътстваща бъбречна недостатъчност. По-вероятно е тя</w:t>
      </w:r>
    </w:p>
    <w:p w14:paraId="7F059699" w14:textId="77777777" w:rsidR="005C76A8" w:rsidRPr="005C76A8" w:rsidRDefault="005C76A8" w:rsidP="005C76A8">
      <w:pPr>
        <w:rPr>
          <w:rFonts w:eastAsia="Times New Roman" w:cs="Arial"/>
        </w:rPr>
      </w:pPr>
      <w:r w:rsidRPr="005C76A8">
        <w:rPr>
          <w:rFonts w:eastAsia="Times New Roman" w:cs="Arial"/>
          <w:color w:val="000000"/>
          <w:lang w:eastAsia="bg-BG"/>
        </w:rPr>
        <w:t>да се появи при пациенти с по-тежка степен сърдечна недостатъчност, в резултат на приложение на високи дози бримкови диуретици, хипонатриемия или нарушена бъбречна функция. При тези пациенти лечението започва под лекарски контрол и продължава да се проследява при по-нататъшно адаптиране на дозата на еналаприл и/или диуретик. Това се има предвид и при пациенти с исхемична болест на сърцето или мозъчно-съдови заболявания, при които рязкото спадане на кръвното налягане може да доведе до инфаркт на миокарда или до мозъчно-съдов инцидент.</w:t>
      </w:r>
    </w:p>
    <w:p w14:paraId="146F6D5C"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lastRenderedPageBreak/>
        <w:t>При поява на хипотония, пациентът трябва да се постави в легнало положение и при необходимост да му се приложи интравенозна инфузия с физиологичен разтвор. Преходна хипотонична реакция не е противопоказание за по-нататъшно лечение, което обикновено може да продължи без проблеми след повишение на кръвното налягане с обемозаместителна терапия. При някои пациенти със сърдечна недостатъчност с нормално или ниско кръвно налягане при приложение на еналаприл системното кръвно налягане може допълнително да се понижи. Този ефект може да се очаква и обикновено не е причина за преустановяване на лечението. Ако понижението на кръвното налягане е симптоматично, може да се наложи понижение на дозата и/или преустановяване на приложението на диуретик и/или еналаприл.</w:t>
      </w:r>
    </w:p>
    <w:p w14:paraId="0E1E7B52" w14:textId="77777777" w:rsidR="005C76A8" w:rsidRPr="005C76A8" w:rsidRDefault="005C76A8" w:rsidP="005C76A8">
      <w:pPr>
        <w:spacing w:line="240" w:lineRule="auto"/>
        <w:rPr>
          <w:rFonts w:eastAsia="Times New Roman" w:cs="Arial"/>
          <w:b/>
          <w:bCs/>
          <w:color w:val="000000"/>
          <w:lang w:eastAsia="bg-BG"/>
        </w:rPr>
      </w:pPr>
    </w:p>
    <w:p w14:paraId="11C32CFB" w14:textId="254CCB42"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Аортна стеноза/Хипертрофична кардиомнопатия</w:t>
      </w:r>
    </w:p>
    <w:p w14:paraId="07A14266"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АСЕ-инхибиторите трябва да се използват внимателно при пациенти с обструкция на изходния кръвоток на лява камера, като не е желателно тяхното приложение при хемодинамично значима обструкция.</w:t>
      </w:r>
    </w:p>
    <w:p w14:paraId="01E4E38D" w14:textId="77777777" w:rsidR="005C76A8" w:rsidRPr="005C76A8" w:rsidRDefault="005C76A8" w:rsidP="005C76A8">
      <w:pPr>
        <w:spacing w:line="240" w:lineRule="auto"/>
        <w:rPr>
          <w:rFonts w:eastAsia="Times New Roman" w:cs="Arial"/>
          <w:b/>
          <w:bCs/>
          <w:color w:val="000000"/>
          <w:lang w:eastAsia="bg-BG"/>
        </w:rPr>
      </w:pPr>
    </w:p>
    <w:p w14:paraId="507CF2C9" w14:textId="56A7E40E"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Неутропения/Агранулоцитоза</w:t>
      </w:r>
    </w:p>
    <w:p w14:paraId="647AD78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При пациенти на АСЕ-инхибитори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неутропения се развива рядко. Еналаприл трябва да се прилага изключително внимателно при пациенти със съдова колагеноза, имуносупресивна терапия, лечение с алопуринол или прокаинамид или комбинация от тези усложняващи фактори, особено при предварително съществуваща увредена бъбречна функция. Някои от тези пациенти развиват сериозни инфекции, които в някои случаи не се повлияват от интензивно антибиотично лечение. Ако еналаприл се прилага на такива пациенти, препоръчва се периодично да се контролират нивата на белите кръвни клетки (левкоцитите) и пациентите трябва да бъдат уведомени, че следва да съобщават всяка проява на инфекция.</w:t>
      </w:r>
    </w:p>
    <w:p w14:paraId="0FBCBB6D" w14:textId="77777777" w:rsidR="005C76A8" w:rsidRPr="005C76A8" w:rsidRDefault="005C76A8" w:rsidP="005C76A8">
      <w:pPr>
        <w:spacing w:line="240" w:lineRule="auto"/>
        <w:rPr>
          <w:rFonts w:eastAsia="Times New Roman" w:cs="Arial"/>
          <w:b/>
          <w:bCs/>
          <w:color w:val="000000"/>
          <w:lang w:eastAsia="bg-BG"/>
        </w:rPr>
      </w:pPr>
    </w:p>
    <w:p w14:paraId="57ABD71F" w14:textId="2F69FA86"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Чернодробна недостатъчност</w:t>
      </w:r>
    </w:p>
    <w:p w14:paraId="7668A21D"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Рядко АСЕ-инхибиторите са били свързани със синдром, който започва с холестатична жълтеница и прогресира до фулминантна чернодробна некроза и (понякога) до смърт. Механизмът на този синдром не е ясен. Пациентите, получаващи АСЕ-инхибитори, които развиват жълтеница или изразено повишение на чернодробните ензими, трябва да прекратят лечението с АСЕ-инхибитора и да бъдат подходящо проследявани от лекар след това.</w:t>
      </w:r>
    </w:p>
    <w:p w14:paraId="248B0797" w14:textId="77777777" w:rsidR="005C76A8" w:rsidRPr="005C76A8" w:rsidRDefault="005C76A8" w:rsidP="005C76A8">
      <w:pPr>
        <w:spacing w:line="240" w:lineRule="auto"/>
        <w:rPr>
          <w:rFonts w:eastAsia="Times New Roman" w:cs="Arial"/>
          <w:b/>
          <w:bCs/>
          <w:color w:val="000000"/>
          <w:lang w:eastAsia="bg-BG"/>
        </w:rPr>
      </w:pPr>
    </w:p>
    <w:p w14:paraId="27203B48" w14:textId="034FB979"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Бременност и кърмене</w:t>
      </w:r>
    </w:p>
    <w:p w14:paraId="1A8EFFA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По време на бременност </w:t>
      </w:r>
      <w:r w:rsidRPr="005C76A8">
        <w:rPr>
          <w:rFonts w:eastAsia="Times New Roman" w:cs="Arial"/>
          <w:i/>
          <w:iCs/>
          <w:color w:val="000000"/>
          <w:lang w:eastAsia="bg-BG"/>
        </w:rPr>
        <w:t>не</w:t>
      </w:r>
      <w:r w:rsidRPr="005C76A8">
        <w:rPr>
          <w:rFonts w:eastAsia="Times New Roman" w:cs="Arial"/>
          <w:color w:val="000000"/>
          <w:lang w:eastAsia="bg-BG"/>
        </w:rPr>
        <w:t xml:space="preserve"> трябва да се започва лечение с АСЕ-инхибитори. Освен когато продължаването на лечението с АСЕ-инхибитор се смята за наложително, пациентките, планиращи бременност, трябва да преминат на друго алтернативно антихипертензивно лечение, което има установен профил на безопасност при бременност. След като се установи бременност, приемът на АСЕ-инхибитори трябва да бъде прекратен възможно най-бързо и да се започне алтернативно лечение, ако е подходящо (вж. точки 4.3 и 4.6). Приложението на еналаприл не се препоръчва по време на кърмене.</w:t>
      </w:r>
    </w:p>
    <w:p w14:paraId="6E67CFF4" w14:textId="77777777" w:rsidR="005C76A8" w:rsidRPr="005C76A8" w:rsidRDefault="005C76A8" w:rsidP="005C76A8">
      <w:pPr>
        <w:spacing w:line="240" w:lineRule="auto"/>
        <w:rPr>
          <w:rFonts w:eastAsia="Times New Roman" w:cs="Arial"/>
          <w:b/>
          <w:bCs/>
          <w:color w:val="000000"/>
          <w:lang w:eastAsia="bg-BG"/>
        </w:rPr>
      </w:pPr>
      <w:bookmarkStart w:id="5" w:name="bookmark8"/>
    </w:p>
    <w:p w14:paraId="7AF2F3AC" w14:textId="7E1E6078"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Нарушена бъбречна функция</w:t>
      </w:r>
      <w:bookmarkEnd w:id="5"/>
    </w:p>
    <w:p w14:paraId="557B024C"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При нарушена бъбречна функция (креатининов клирънс &lt; 80 </w:t>
      </w:r>
      <w:r w:rsidRPr="005C76A8">
        <w:rPr>
          <w:rFonts w:eastAsia="Times New Roman" w:cs="Arial"/>
          <w:color w:val="000000"/>
          <w:lang w:val="en-US"/>
        </w:rPr>
        <w:t>ml</w:t>
      </w:r>
      <w:r w:rsidRPr="005C76A8">
        <w:rPr>
          <w:rFonts w:eastAsia="Times New Roman" w:cs="Arial"/>
          <w:color w:val="000000"/>
          <w:lang w:val="ru-RU"/>
        </w:rPr>
        <w:t>/</w:t>
      </w:r>
      <w:r w:rsidRPr="005C76A8">
        <w:rPr>
          <w:rFonts w:eastAsia="Times New Roman" w:cs="Arial"/>
          <w:color w:val="000000"/>
          <w:lang w:val="en-US"/>
        </w:rPr>
        <w:t>min</w:t>
      </w:r>
      <w:r w:rsidRPr="005C76A8">
        <w:rPr>
          <w:rFonts w:eastAsia="Times New Roman" w:cs="Arial"/>
          <w:color w:val="000000"/>
          <w:lang w:val="ru-RU"/>
        </w:rPr>
        <w:t xml:space="preserve">), </w:t>
      </w:r>
      <w:r w:rsidRPr="005C76A8">
        <w:rPr>
          <w:rFonts w:eastAsia="Times New Roman" w:cs="Arial"/>
          <w:color w:val="000000"/>
          <w:lang w:eastAsia="bg-BG"/>
        </w:rPr>
        <w:t xml:space="preserve">началната доза еналаприл се определя според креатининовия клирънс на пациента (вж. точка 4.2), а </w:t>
      </w:r>
      <w:r w:rsidRPr="005C76A8">
        <w:rPr>
          <w:rFonts w:eastAsia="Times New Roman" w:cs="Arial"/>
          <w:color w:val="000000"/>
          <w:lang w:eastAsia="bg-BG"/>
        </w:rPr>
        <w:lastRenderedPageBreak/>
        <w:t>след това от отговора на пациента към лечението. Редовното проследяване на калия и креатинина е част от обичайната лекарска практика за тези пациенти.</w:t>
      </w:r>
    </w:p>
    <w:p w14:paraId="6B13FE57"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Има данни за бъбречна недостатъчност във връзка с приложението на еналаприл основно при пациенти с тежка сърдечна недостатъчност или с подлежащо бъбречно заболяване,</w:t>
      </w:r>
    </w:p>
    <w:p w14:paraId="731672D3" w14:textId="77777777" w:rsidR="005C76A8" w:rsidRPr="005C76A8" w:rsidRDefault="005C76A8" w:rsidP="005C76A8">
      <w:pPr>
        <w:rPr>
          <w:rFonts w:eastAsia="Times New Roman" w:cs="Arial"/>
        </w:rPr>
      </w:pPr>
      <w:r w:rsidRPr="005C76A8">
        <w:rPr>
          <w:rFonts w:eastAsia="Times New Roman" w:cs="Arial"/>
          <w:color w:val="000000"/>
          <w:lang w:eastAsia="bg-BG"/>
        </w:rPr>
        <w:t>включително стеноза на бъбречна артерия. Бъбречната недостатъчност при приложение на еналаприл обикновено е обратима, когато е диагностицирана веднага и е приложено подходящо лечение.</w:t>
      </w:r>
    </w:p>
    <w:p w14:paraId="3F3FEE55"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При някои хипертоници без предшестващо бъбречно заболяване се наблюдава повишение на нивата на урея и креатинин в кръвта при комбиниране на еналаприл с диуретик. Може да се наложи намаление на дозата на еналаприл или преустановяване на диуретика. В тези случаи трябва да се има предвид вероятна подлежаща стеноза на бъбречната артерия (вж. точка 4.4).</w:t>
      </w:r>
    </w:p>
    <w:p w14:paraId="05EA3047" w14:textId="77777777" w:rsidR="005C76A8" w:rsidRPr="005C76A8" w:rsidRDefault="005C76A8" w:rsidP="005C76A8">
      <w:pPr>
        <w:spacing w:line="240" w:lineRule="auto"/>
        <w:rPr>
          <w:rFonts w:eastAsia="Times New Roman" w:cs="Arial"/>
          <w:b/>
          <w:bCs/>
          <w:color w:val="000000"/>
          <w:lang w:eastAsia="bg-BG"/>
        </w:rPr>
      </w:pPr>
    </w:p>
    <w:p w14:paraId="12A6F917" w14:textId="2696E55F"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Реноваскуларна хипертония</w:t>
      </w:r>
    </w:p>
    <w:p w14:paraId="2AAEA267"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Съществува риск от развитие на хипотония и бъбречна недостатъчност при пациенти с билатерална стеноза на бъбречните артерии или артериална стеноза на единствен бъбрек при лечение с АСЕ-инхибитори. Може да настъпи загуба на бъбречната функция при много леки промени в серумния креатинин. При тези пациенти лечението трябва да започне под непосредствен лекарски контрол с ниски дози, внимателно титриране и проследяване на бъбречната функция.</w:t>
      </w:r>
    </w:p>
    <w:p w14:paraId="25CC9932" w14:textId="77777777" w:rsidR="005C76A8" w:rsidRPr="005C76A8" w:rsidRDefault="005C76A8" w:rsidP="005C76A8">
      <w:pPr>
        <w:spacing w:line="240" w:lineRule="auto"/>
        <w:rPr>
          <w:rFonts w:eastAsia="Times New Roman" w:cs="Arial"/>
          <w:b/>
          <w:bCs/>
          <w:color w:val="000000"/>
          <w:lang w:eastAsia="bg-BG"/>
        </w:rPr>
      </w:pPr>
    </w:p>
    <w:p w14:paraId="089901FE" w14:textId="371B1A4C"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Бъбречна трансплантация</w:t>
      </w:r>
    </w:p>
    <w:p w14:paraId="70EE2611"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Няма опит по отношение приложението на еналаприл при пациенти с неотдавнашна бъбречна трансплантация. По тази причина лечение с еналаприл не се препоръчва.</w:t>
      </w:r>
    </w:p>
    <w:p w14:paraId="4C6D0EA1" w14:textId="77777777" w:rsidR="005C76A8" w:rsidRPr="005C76A8" w:rsidRDefault="005C76A8" w:rsidP="005C76A8">
      <w:pPr>
        <w:spacing w:line="240" w:lineRule="auto"/>
        <w:rPr>
          <w:rFonts w:eastAsia="Times New Roman" w:cs="Arial"/>
          <w:b/>
          <w:bCs/>
          <w:color w:val="000000"/>
          <w:lang w:eastAsia="bg-BG"/>
        </w:rPr>
      </w:pPr>
    </w:p>
    <w:p w14:paraId="7B374E3D" w14:textId="100289CC"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Хиперкалиемия</w:t>
      </w:r>
    </w:p>
    <w:p w14:paraId="13C161F0"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Повишени серумни нива на калий са наблюдавани при някои пациенти, лекувани с АСЕ- инхибитори, включително с еналаприл. Рисковите фактори за развитие на хиперкалиемия включват бъбречна недостатъчност, влошаване на бъбречната функция, възраст (&gt; 70 години), захарен диабет, съпътстващи събития, особено дехидратация, остра сърдечна декомпенсация, метаболитна ацидоза и едновременното прилагане на калий-съхраняващи диуретици (напр.спиронолактон, еплеренон,триамтерен или амилорид), калиеви добавки или калий- съдържащи заместители на готварска сол или други лекарствени продукти, свързани с повишаване на серумния калий (напр. хепарин и продукти, съдържащи триметоприм като ко- тримоксазол). Употребата на добавки, съдържащи калий, на калий-съхраняващи диуретици или на заместители на солта, съдържащи калий, особено при пациенти с увредена бъбречна функция, може да доведе до значително повишаване на серумния калий. Хиперкалиемията може да причини сериозни, понякога фатални аритмии. Ако е наложителна съпътстваща употреба на еналаприл с което и да е от гореспоменатите средства, то те трябва да се използват внимателно и при редовно следене на нивата на калий в серума (вж. точка 4.5).</w:t>
      </w:r>
    </w:p>
    <w:p w14:paraId="33AE5EFA" w14:textId="77777777" w:rsidR="005C76A8" w:rsidRPr="005C76A8" w:rsidRDefault="005C76A8" w:rsidP="005C76A8">
      <w:pPr>
        <w:spacing w:line="240" w:lineRule="auto"/>
        <w:rPr>
          <w:rFonts w:eastAsia="Times New Roman" w:cs="Arial"/>
          <w:b/>
          <w:bCs/>
          <w:color w:val="000000"/>
          <w:lang w:eastAsia="bg-BG"/>
        </w:rPr>
      </w:pPr>
    </w:p>
    <w:p w14:paraId="7CD6FDB0" w14:textId="7A1FDEAC"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Литий</w:t>
      </w:r>
    </w:p>
    <w:p w14:paraId="5ECF5068"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Комбинирането на литий и еналаприл по принцип не се препоръчва (вж. точка 4.5).</w:t>
      </w:r>
    </w:p>
    <w:p w14:paraId="3842BB9D" w14:textId="77777777" w:rsidR="005C76A8" w:rsidRPr="005C76A8" w:rsidRDefault="005C76A8" w:rsidP="005C76A8">
      <w:pPr>
        <w:spacing w:line="240" w:lineRule="auto"/>
        <w:rPr>
          <w:rFonts w:eastAsia="Times New Roman" w:cs="Arial"/>
          <w:b/>
          <w:bCs/>
          <w:color w:val="000000"/>
          <w:lang w:eastAsia="bg-BG"/>
        </w:rPr>
      </w:pPr>
    </w:p>
    <w:p w14:paraId="524C8F34" w14:textId="49395A1C"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Етнически различия</w:t>
      </w:r>
    </w:p>
    <w:p w14:paraId="5E1EAD88"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Както и останалите АСЕ-инхибитори, еналаприл е по-слабо ефективен за понижаване на кръвното налягане при чернокожи пациенти в сравнение с останалите пациенти, най-</w:t>
      </w:r>
      <w:r w:rsidRPr="005C76A8">
        <w:rPr>
          <w:rFonts w:eastAsia="Times New Roman" w:cs="Arial"/>
          <w:color w:val="000000"/>
          <w:lang w:eastAsia="bg-BG"/>
        </w:rPr>
        <w:lastRenderedPageBreak/>
        <w:t>вероятно поради високата честота на разпространение на нискоренинова хипертония при чернокожите.</w:t>
      </w:r>
    </w:p>
    <w:p w14:paraId="1E831516" w14:textId="77777777" w:rsidR="005C76A8" w:rsidRPr="005C76A8" w:rsidRDefault="005C76A8" w:rsidP="005C76A8">
      <w:pPr>
        <w:spacing w:line="240" w:lineRule="auto"/>
        <w:rPr>
          <w:rFonts w:eastAsia="Times New Roman" w:cs="Arial"/>
          <w:b/>
          <w:bCs/>
          <w:color w:val="000000"/>
          <w:lang w:eastAsia="bg-BG"/>
        </w:rPr>
      </w:pPr>
      <w:bookmarkStart w:id="6" w:name="bookmark10"/>
    </w:p>
    <w:p w14:paraId="59F42CF8" w14:textId="492B55B0"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Кашлица</w:t>
      </w:r>
      <w:bookmarkEnd w:id="6"/>
    </w:p>
    <w:p w14:paraId="076E1BE3"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При употребата на АСЕ-инхибитори се съобщава за появата на кашлица. Характерно за кашлицата е, че тя е непродуктивна, продължителна и изчезва след преустановяване на лечението. Кашлицата, предизвикана от АСЕ-инхибитори, трябва да се вземе под внимание при диференциалната диагноза на кашлицата.</w:t>
      </w:r>
    </w:p>
    <w:p w14:paraId="5194DBB6" w14:textId="77777777" w:rsidR="005C76A8" w:rsidRPr="005C76A8" w:rsidRDefault="005C76A8" w:rsidP="005C76A8">
      <w:pPr>
        <w:spacing w:line="240" w:lineRule="auto"/>
        <w:rPr>
          <w:rFonts w:eastAsia="Times New Roman" w:cs="Arial"/>
          <w:b/>
          <w:bCs/>
          <w:color w:val="000000"/>
          <w:lang w:eastAsia="bg-BG"/>
        </w:rPr>
      </w:pPr>
      <w:bookmarkStart w:id="7" w:name="bookmark12"/>
    </w:p>
    <w:p w14:paraId="26307542" w14:textId="69B14AF0"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Хирургия и анестезия</w:t>
      </w:r>
      <w:bookmarkEnd w:id="7"/>
    </w:p>
    <w:p w14:paraId="2C0F3BBF"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При пациенти, подложени на големи хирургични интервенции или по време на анестезия с</w:t>
      </w:r>
    </w:p>
    <w:p w14:paraId="5F73CEE6"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хипотензивно действащи агенти, еналаприл може да блокира ангиотензин II системата и компенсаторното освобождаване на ренин. Ако настъпилата хипотония се дължи на тизу механизъм, тя може да бъде преодоляна чрез вливания.</w:t>
      </w:r>
    </w:p>
    <w:p w14:paraId="700B4BFA" w14:textId="77777777" w:rsidR="005C76A8" w:rsidRPr="005C76A8" w:rsidRDefault="005C76A8" w:rsidP="005C76A8">
      <w:pPr>
        <w:spacing w:line="240" w:lineRule="auto"/>
        <w:rPr>
          <w:rFonts w:eastAsia="Times New Roman" w:cs="Arial"/>
          <w:b/>
          <w:bCs/>
          <w:color w:val="000000"/>
          <w:lang w:eastAsia="bg-BG"/>
        </w:rPr>
      </w:pPr>
    </w:p>
    <w:p w14:paraId="78D53673" w14:textId="7DB05073"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Хипогликемия</w:t>
      </w:r>
    </w:p>
    <w:p w14:paraId="5FA30BE8"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При диабетици, които се лекуват с перорални антидиабетни средства или инсулин, през първия месец от приложението на АСЕ-инхибитор е необходимо строго проследяване на гликемичния контрол поради риск от хипогликемия (вж. точка 4.5).</w:t>
      </w:r>
    </w:p>
    <w:p w14:paraId="28D9BE8F" w14:textId="77777777" w:rsidR="005C76A8" w:rsidRPr="005C76A8" w:rsidRDefault="005C76A8" w:rsidP="005C76A8">
      <w:pPr>
        <w:spacing w:line="240" w:lineRule="auto"/>
        <w:rPr>
          <w:rFonts w:eastAsia="Times New Roman" w:cs="Arial"/>
          <w:b/>
          <w:bCs/>
          <w:color w:val="000000"/>
          <w:lang w:eastAsia="bg-BG"/>
        </w:rPr>
      </w:pPr>
    </w:p>
    <w:p w14:paraId="0D0C9CE6" w14:textId="65F9525E"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Двойно блокиране на ренин-ангиотензнн-алдостероновата система (РААС)</w:t>
      </w:r>
    </w:p>
    <w:p w14:paraId="37EBE053"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Има данни, че едновременната употреба на АСЕ-инхибитори,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(вж. точки 4.5 и 5.1).</w:t>
      </w:r>
    </w:p>
    <w:p w14:paraId="6F098F8A"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CD4949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АСЕ-инхибитори и ангиотензин II рецепторни блокери не трябва да се използват едновременно при пациенти с диабетна нефропатия.</w:t>
      </w:r>
    </w:p>
    <w:p w14:paraId="74A31140" w14:textId="77777777" w:rsidR="005C76A8" w:rsidRPr="005C76A8" w:rsidRDefault="005C76A8" w:rsidP="005C76A8">
      <w:pPr>
        <w:spacing w:line="240" w:lineRule="auto"/>
        <w:rPr>
          <w:rFonts w:eastAsia="Times New Roman" w:cs="Arial"/>
          <w:b/>
          <w:bCs/>
          <w:color w:val="000000"/>
          <w:lang w:eastAsia="bg-BG"/>
        </w:rPr>
      </w:pPr>
    </w:p>
    <w:p w14:paraId="625587F9" w14:textId="1A52C6D8" w:rsidR="005C76A8" w:rsidRPr="005C76A8" w:rsidRDefault="005C76A8" w:rsidP="005C76A8">
      <w:pPr>
        <w:pStyle w:val="ListParagraph"/>
        <w:numPr>
          <w:ilvl w:val="0"/>
          <w:numId w:val="40"/>
        </w:numPr>
        <w:spacing w:line="240" w:lineRule="auto"/>
        <w:rPr>
          <w:rFonts w:eastAsia="Times New Roman" w:cs="Arial"/>
          <w:b/>
          <w:bCs/>
          <w:color w:val="000000"/>
          <w:lang w:eastAsia="bg-BG"/>
        </w:rPr>
      </w:pPr>
      <w:r w:rsidRPr="005C76A8">
        <w:rPr>
          <w:rFonts w:eastAsia="Times New Roman" w:cs="Arial"/>
          <w:b/>
          <w:bCs/>
          <w:color w:val="000000"/>
          <w:lang w:eastAsia="bg-BG"/>
        </w:rPr>
        <w:t>Лактоза</w:t>
      </w:r>
    </w:p>
    <w:p w14:paraId="064E45DC"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Този лекарствен продукт съдържа като помощно вещество лактоза. Пациенти с редки наследствени проблеми на непоносимост към галактоза, пълен лактазен дефицит или глюкозо- галактозна малабсорбция не трябва да приемат това лекарство.</w:t>
      </w:r>
    </w:p>
    <w:p w14:paraId="179BB57F" w14:textId="77777777" w:rsidR="005C76A8" w:rsidRPr="005C76A8" w:rsidRDefault="005C76A8" w:rsidP="005C76A8">
      <w:pPr>
        <w:spacing w:line="240" w:lineRule="auto"/>
        <w:rPr>
          <w:rFonts w:eastAsia="Times New Roman" w:cs="Arial"/>
          <w:color w:val="000000"/>
          <w:u w:val="single"/>
          <w:lang w:eastAsia="bg-BG"/>
        </w:rPr>
      </w:pPr>
    </w:p>
    <w:p w14:paraId="03DAB9B4" w14:textId="59F142C7" w:rsidR="005C76A8" w:rsidRPr="005C76A8" w:rsidRDefault="005C76A8" w:rsidP="005C76A8">
      <w:pPr>
        <w:spacing w:line="240" w:lineRule="auto"/>
        <w:rPr>
          <w:rFonts w:eastAsia="Times New Roman" w:cs="Arial"/>
        </w:rPr>
      </w:pPr>
      <w:r w:rsidRPr="005C76A8">
        <w:rPr>
          <w:rFonts w:eastAsia="Times New Roman" w:cs="Arial"/>
          <w:color w:val="000000"/>
          <w:u w:val="single"/>
          <w:lang w:eastAsia="bg-BG"/>
        </w:rPr>
        <w:t>Педиатрична популация</w:t>
      </w:r>
    </w:p>
    <w:p w14:paraId="7912EB61"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Има ограничени данни за ефективността и безопасността при деца над 6 години с хипертония. Няма данни за другите показания. Налице са ограничени фармакокинетични данни при деца над 2 месеца (вж. също точки 4.2,5.1 и 5.2). Еналаприл не се препоръчва за приложение при деца, освен за показанието хипертония.</w:t>
      </w:r>
    </w:p>
    <w:p w14:paraId="65DCE2E5"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Еналаприл не се препоръчва при новородени и при педиатрични пациенти с ниво на гломерулната филтрация &lt; 30 </w:t>
      </w:r>
      <w:r w:rsidRPr="005C76A8">
        <w:rPr>
          <w:rFonts w:eastAsia="Times New Roman" w:cs="Arial"/>
          <w:color w:val="000000"/>
          <w:lang w:val="en-US"/>
        </w:rPr>
        <w:t>ml</w:t>
      </w:r>
      <w:r w:rsidRPr="005C76A8">
        <w:rPr>
          <w:rFonts w:eastAsia="Times New Roman" w:cs="Arial"/>
          <w:color w:val="000000"/>
          <w:lang w:val="ru-RU"/>
        </w:rPr>
        <w:t>/</w:t>
      </w:r>
      <w:r w:rsidRPr="005C76A8">
        <w:rPr>
          <w:rFonts w:eastAsia="Times New Roman" w:cs="Arial"/>
          <w:color w:val="000000"/>
          <w:lang w:val="en-US"/>
        </w:rPr>
        <w:t>min</w:t>
      </w:r>
      <w:r w:rsidRPr="005C76A8">
        <w:rPr>
          <w:rFonts w:eastAsia="Times New Roman" w:cs="Arial"/>
          <w:color w:val="000000"/>
          <w:lang w:val="ru-RU"/>
        </w:rPr>
        <w:t xml:space="preserve">/1.73 </w:t>
      </w:r>
      <w:r w:rsidRPr="005C76A8">
        <w:rPr>
          <w:rFonts w:eastAsia="Times New Roman" w:cs="Arial"/>
          <w:color w:val="000000"/>
          <w:lang w:val="en-US"/>
        </w:rPr>
        <w:t>m</w:t>
      </w:r>
      <w:r w:rsidRPr="005C76A8">
        <w:rPr>
          <w:rFonts w:eastAsia="Times New Roman" w:cs="Arial"/>
          <w:color w:val="000000"/>
          <w:vertAlign w:val="superscript"/>
          <w:lang w:val="ru-RU"/>
        </w:rPr>
        <w:t>2</w:t>
      </w:r>
      <w:r w:rsidRPr="005C76A8">
        <w:rPr>
          <w:rFonts w:eastAsia="Times New Roman" w:cs="Arial"/>
          <w:color w:val="000000"/>
          <w:lang w:val="ru-RU"/>
        </w:rPr>
        <w:t xml:space="preserve">, </w:t>
      </w:r>
      <w:r w:rsidRPr="005C76A8">
        <w:rPr>
          <w:rFonts w:eastAsia="Times New Roman" w:cs="Arial"/>
          <w:color w:val="000000"/>
          <w:lang w:eastAsia="bg-BG"/>
        </w:rPr>
        <w:t>поради липса на данни при тези групи пациенти (вж. точка 4.2).</w:t>
      </w:r>
    </w:p>
    <w:p w14:paraId="0E8216EC" w14:textId="598AB8BE" w:rsidR="005C76A8" w:rsidRPr="005C76A8" w:rsidRDefault="005C76A8" w:rsidP="005C76A8"/>
    <w:p w14:paraId="45B11D10" w14:textId="77777777" w:rsidR="005C76A8" w:rsidRDefault="002C50EE" w:rsidP="00936AD0">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ED6339C" w14:textId="77777777" w:rsidR="005C76A8" w:rsidRDefault="005C76A8" w:rsidP="00936AD0">
      <w:pPr>
        <w:pStyle w:val="Heading2"/>
      </w:pPr>
    </w:p>
    <w:p w14:paraId="4C9A0088" w14:textId="77777777" w:rsidR="005C76A8" w:rsidRPr="005C76A8" w:rsidRDefault="005C76A8" w:rsidP="005C76A8">
      <w:pPr>
        <w:pStyle w:val="ListParagraph"/>
        <w:numPr>
          <w:ilvl w:val="0"/>
          <w:numId w:val="40"/>
        </w:numPr>
        <w:spacing w:line="240" w:lineRule="auto"/>
        <w:rPr>
          <w:rFonts w:ascii="Times New Roman" w:eastAsia="Times New Roman" w:hAnsi="Times New Roman" w:cs="Times New Roman"/>
          <w:b/>
          <w:bCs/>
          <w:color w:val="000000"/>
          <w:lang w:eastAsia="bg-BG"/>
        </w:rPr>
      </w:pPr>
      <w:r w:rsidRPr="005C76A8">
        <w:rPr>
          <w:rFonts w:ascii="Times New Roman" w:eastAsia="Times New Roman" w:hAnsi="Times New Roman" w:cs="Times New Roman"/>
          <w:b/>
          <w:bCs/>
          <w:color w:val="000000"/>
          <w:lang w:eastAsia="bg-BG"/>
        </w:rPr>
        <w:t>Диуретици (тиазидни или бримкови диуретици)</w:t>
      </w:r>
    </w:p>
    <w:p w14:paraId="4B13474F"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Предшестващо лечение с високи дози диуретици може да доведе до обемен дефицит и до риск от хипотония в началото на лечението с еналаприл (вж. точка 4.4). Хипотоничните ефекти могат да бъдат намалени като се преустанови приема на диуретик, увеличи се приема на течности и соли или чрез започване на лечението с еналаприл в ниски дози.</w:t>
      </w:r>
    </w:p>
    <w:p w14:paraId="44D8DCB9"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3DA37CBD" w14:textId="323F637F" w:rsidR="005C76A8" w:rsidRPr="005C76A8" w:rsidRDefault="005C76A8" w:rsidP="005C76A8">
      <w:pPr>
        <w:pStyle w:val="ListParagraph"/>
        <w:numPr>
          <w:ilvl w:val="0"/>
          <w:numId w:val="40"/>
        </w:numPr>
        <w:spacing w:line="240" w:lineRule="auto"/>
        <w:rPr>
          <w:rFonts w:ascii="Times New Roman" w:eastAsia="Times New Roman" w:hAnsi="Times New Roman" w:cs="Times New Roman"/>
          <w:b/>
          <w:bCs/>
          <w:color w:val="000000"/>
          <w:lang w:eastAsia="bg-BG"/>
        </w:rPr>
      </w:pPr>
      <w:r w:rsidRPr="005C76A8">
        <w:rPr>
          <w:rFonts w:ascii="Times New Roman" w:eastAsia="Times New Roman" w:hAnsi="Times New Roman" w:cs="Times New Roman"/>
          <w:b/>
          <w:bCs/>
          <w:color w:val="000000"/>
          <w:lang w:eastAsia="bg-BG"/>
        </w:rPr>
        <w:t>Калий-съхраняващи диуретици, калиеви добавки или други лекарства, които могат да повишат серумния калий</w:t>
      </w:r>
    </w:p>
    <w:p w14:paraId="43F52CBC"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АСЕ-инхибиторите намаляват загубата на калий, причинена от диуретици. Използването на калий-съхраняващите диуретици (напр. спиронолактон, еплеренон, триамтерен или амилорид), калиеви добавки, калий-съдържащи заместители на готварската сол или други средства, които могат да повишат серумния калий (напр. хепарин или продукти, съдържащи триметоприм, като ко-тримоксазол) едновременно с еналаприл, може да доведе до значително увеличение на серумния калий. Ако е показана едновременната употреба при доказана хипокалиемия, приложението трябва да се извърши внимателно и при често проследяване на серумния калий (вж. точка 4.4).</w:t>
      </w:r>
    </w:p>
    <w:p w14:paraId="12479D7D"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2FC20C7A" w14:textId="3DC38EBC" w:rsidR="005C76A8" w:rsidRPr="005C76A8" w:rsidRDefault="005C76A8" w:rsidP="005C76A8">
      <w:pPr>
        <w:pStyle w:val="ListParagraph"/>
        <w:numPr>
          <w:ilvl w:val="0"/>
          <w:numId w:val="40"/>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Циклоспорин</w:t>
      </w:r>
    </w:p>
    <w:p w14:paraId="4265788A"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3F12AA07"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49CE2644" w14:textId="21C93568" w:rsidR="005C76A8" w:rsidRPr="005C76A8" w:rsidRDefault="005C76A8" w:rsidP="005C76A8">
      <w:pPr>
        <w:pStyle w:val="ListParagraph"/>
        <w:numPr>
          <w:ilvl w:val="0"/>
          <w:numId w:val="40"/>
        </w:numPr>
        <w:spacing w:line="240" w:lineRule="auto"/>
        <w:rPr>
          <w:rFonts w:ascii="Times New Roman" w:eastAsia="Times New Roman" w:hAnsi="Times New Roman" w:cs="Times New Roman"/>
          <w:b/>
          <w:bCs/>
          <w:color w:val="000000"/>
          <w:lang w:eastAsia="bg-BG"/>
        </w:rPr>
      </w:pPr>
      <w:r w:rsidRPr="005C76A8">
        <w:rPr>
          <w:rFonts w:ascii="Times New Roman" w:eastAsia="Times New Roman" w:hAnsi="Times New Roman" w:cs="Times New Roman"/>
          <w:b/>
          <w:bCs/>
          <w:color w:val="000000"/>
          <w:lang w:eastAsia="bg-BG"/>
        </w:rPr>
        <w:t>Литий</w:t>
      </w:r>
    </w:p>
    <w:p w14:paraId="7F722707" w14:textId="77777777" w:rsidR="005C76A8" w:rsidRPr="005C76A8" w:rsidRDefault="005C76A8" w:rsidP="005C76A8">
      <w:pPr>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При едновременно прилагане на литий и АСЕ-инхибитори е наблюдавано обратимо повишаване на концентрациите на серумния литий и токсичност. Едновременната употреба на</w:t>
      </w:r>
      <w:r w:rsidRPr="005C76A8">
        <w:rPr>
          <w:rFonts w:ascii="Times New Roman" w:eastAsia="Times New Roman" w:hAnsi="Times New Roman" w:cs="Times New Roman"/>
          <w:i/>
          <w:iCs/>
          <w:color w:val="000000"/>
          <w:lang w:eastAsia="bg-BG"/>
        </w:rPr>
        <w:t xml:space="preserve"> </w:t>
      </w:r>
      <w:r w:rsidRPr="005C76A8">
        <w:rPr>
          <w:rFonts w:ascii="Times New Roman" w:eastAsia="Times New Roman" w:hAnsi="Times New Roman" w:cs="Times New Roman"/>
          <w:color w:val="000000"/>
          <w:lang w:eastAsia="bg-BG"/>
        </w:rPr>
        <w:t>тиазидни диуретици и АСЕ-инхибитори може допълнително да повиши концентрациите на</w:t>
      </w:r>
      <w:r>
        <w:rPr>
          <w:rFonts w:ascii="Times New Roman" w:eastAsia="Times New Roman" w:hAnsi="Times New Roman" w:cs="Times New Roman"/>
          <w:color w:val="000000"/>
          <w:lang w:eastAsia="bg-BG"/>
        </w:rPr>
        <w:t xml:space="preserve"> </w:t>
      </w:r>
      <w:r w:rsidRPr="005C76A8">
        <w:rPr>
          <w:rFonts w:ascii="Times New Roman" w:eastAsia="Times New Roman" w:hAnsi="Times New Roman" w:cs="Times New Roman"/>
          <w:color w:val="000000"/>
          <w:lang w:eastAsia="bg-BG"/>
        </w:rPr>
        <w:t>серумния литий и да повиши риска от литиева токсичност. Не се препоръчва едновременното прилагане на еналаприл с литий, но ако е наложително, трябва внимателно да се проследяват серумните концентрации на лития (вж. точка 4.4).</w:t>
      </w:r>
    </w:p>
    <w:p w14:paraId="01482ECA"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59502E27" w14:textId="55218069" w:rsidR="005C76A8" w:rsidRPr="005C76A8" w:rsidRDefault="005C76A8" w:rsidP="005C76A8">
      <w:pPr>
        <w:pStyle w:val="ListParagraph"/>
        <w:numPr>
          <w:ilvl w:val="0"/>
          <w:numId w:val="40"/>
        </w:numPr>
        <w:spacing w:line="240" w:lineRule="auto"/>
        <w:rPr>
          <w:rFonts w:ascii="Times New Roman" w:eastAsia="Times New Roman" w:hAnsi="Times New Roman" w:cs="Times New Roman"/>
          <w:b/>
          <w:bCs/>
          <w:color w:val="000000"/>
          <w:lang w:eastAsia="bg-BG"/>
        </w:rPr>
      </w:pPr>
      <w:r w:rsidRPr="005C76A8">
        <w:rPr>
          <w:rFonts w:ascii="Times New Roman" w:eastAsia="Times New Roman" w:hAnsi="Times New Roman" w:cs="Times New Roman"/>
          <w:b/>
          <w:bCs/>
          <w:color w:val="000000"/>
          <w:lang w:eastAsia="bg-BG"/>
        </w:rPr>
        <w:t xml:space="preserve">Трициклични антидепресанти/антнпсихотици/анестетицн/наркотици </w:t>
      </w:r>
      <w:r w:rsidRPr="005C76A8">
        <w:rPr>
          <w:rFonts w:ascii="Times New Roman" w:eastAsia="Times New Roman" w:hAnsi="Times New Roman" w:cs="Times New Roman"/>
          <w:color w:val="000000"/>
          <w:lang w:eastAsia="bg-BG"/>
        </w:rPr>
        <w:t>Едновременното приложение на някои анестетици, трициклични антидепресанти и антипсихотици с АСЕ-инхибитори може да доведе до допълнително намаление на кръвното налягане (вж. точка 4.4).</w:t>
      </w:r>
    </w:p>
    <w:p w14:paraId="6DC57D96"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74077CAF" w14:textId="6103E718" w:rsidR="005C76A8" w:rsidRPr="005C76A8" w:rsidRDefault="005C76A8" w:rsidP="005C76A8">
      <w:pPr>
        <w:pStyle w:val="ListParagraph"/>
        <w:numPr>
          <w:ilvl w:val="0"/>
          <w:numId w:val="40"/>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Антидиабетнн лекарствени продукти</w:t>
      </w:r>
    </w:p>
    <w:p w14:paraId="5E4742B4"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 xml:space="preserve">По данни от епидемиологични проучвания, едновременното прилагане на АСЕ-инхибитори и антидиабетни средства (инсулин, перорални хипогликемични средства) може да причини повишен ефект на понижаване на </w:t>
      </w:r>
      <w:r w:rsidRPr="005C76A8">
        <w:rPr>
          <w:rFonts w:ascii="Times New Roman" w:eastAsia="Times New Roman" w:hAnsi="Times New Roman" w:cs="Times New Roman"/>
          <w:i/>
          <w:iCs/>
          <w:color w:val="000000"/>
          <w:lang w:eastAsia="bg-BG"/>
        </w:rPr>
        <w:t>глюкозата</w:t>
      </w:r>
      <w:r w:rsidRPr="005C76A8">
        <w:rPr>
          <w:rFonts w:ascii="Times New Roman" w:eastAsia="Times New Roman" w:hAnsi="Times New Roman" w:cs="Times New Roman"/>
          <w:color w:val="000000"/>
          <w:lang w:eastAsia="bg-BG"/>
        </w:rPr>
        <w:t xml:space="preserve"> в кръвта с риск от хипогликемия. Този феномен се проявява по-често през първите седмици от комбинираното лечение и при пациенти с бъбречни увреждания (вж. точки 4.4 и 4.8).</w:t>
      </w:r>
    </w:p>
    <w:p w14:paraId="44511BA7"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6ED6DA6A" w14:textId="2D58D787" w:rsidR="005C76A8" w:rsidRPr="005C76A8" w:rsidRDefault="005C76A8" w:rsidP="005C76A8">
      <w:pPr>
        <w:pStyle w:val="ListParagraph"/>
        <w:numPr>
          <w:ilvl w:val="0"/>
          <w:numId w:val="42"/>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Нсстерондни противовъзпалителни средства (НСПВС), включително селективни инхибитори на циклооксигеназа 2 (СОХ-2)</w:t>
      </w:r>
    </w:p>
    <w:p w14:paraId="43860B58"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 xml:space="preserve">Продължителното лечение с НСПВС, включително селективните инхибитори на циклооксигеназа 2(СОХ-2 инхибитори), би могло да намали ефектът на диуретиците и други антихипертензивни средства. Следователно антихипертензивният ефект на ангиотензин II рецепторни антагонисти </w:t>
      </w:r>
      <w:r w:rsidRPr="005C76A8">
        <w:rPr>
          <w:rFonts w:ascii="Times New Roman" w:eastAsia="Times New Roman" w:hAnsi="Times New Roman" w:cs="Times New Roman"/>
          <w:color w:val="000000"/>
          <w:lang w:eastAsia="bg-BG"/>
        </w:rPr>
        <w:lastRenderedPageBreak/>
        <w:t>или АСЕ инхибитори може да бъде намален от НСПВС, включително селективните инхибитори на циклооксигеназа 2.</w:t>
      </w:r>
    </w:p>
    <w:p w14:paraId="086E0C1C"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Установено е, че НСПВС (включително СОХ-2 инхибитори) и ангиотензин II рецепторни антагонисти или АСЕ-инхибиторите имат адитивен ефект по отношение на серумното ниво на калий, което може да доведе до увреждане на бъбречната функция. По принцип тези ефекти са обратими. Остра бъбречна недостатъчност може да възникне рядко, особено при пациенти с нарушена бъбречна функция (напр, пациенти в старческа възраст или пациенти с обемен дефицит, включително тези на диуретична терапия). Пациентите трябва да бъдат адекватно хидратирани и трябва да се обмисли мониториране на бъбречната функция след започване на едновременно лечение с НСПВС и периодично след това.</w:t>
      </w:r>
    </w:p>
    <w:p w14:paraId="1D1B0A76"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00D3392F" w14:textId="35D08F6D" w:rsidR="005C76A8" w:rsidRPr="005C76A8" w:rsidRDefault="005C76A8" w:rsidP="005C76A8">
      <w:pPr>
        <w:pStyle w:val="ListParagraph"/>
        <w:numPr>
          <w:ilvl w:val="0"/>
          <w:numId w:val="42"/>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Злато</w:t>
      </w:r>
    </w:p>
    <w:p w14:paraId="42457D97"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 xml:space="preserve">Нитритни реакции (симптоми, включващи зачервяване на лицето, гадене, повръщане и ниско кръвно налягане) са съобщавани рядко при пациенти на лечение с инжекционна форма, съдържаща злато </w:t>
      </w:r>
      <w:r w:rsidRPr="005C76A8">
        <w:rPr>
          <w:rFonts w:ascii="Times New Roman" w:eastAsia="Times New Roman" w:hAnsi="Times New Roman" w:cs="Times New Roman"/>
          <w:i/>
          <w:iCs/>
          <w:color w:val="000000"/>
          <w:lang w:val="ru-RU"/>
        </w:rPr>
        <w:t>(</w:t>
      </w:r>
      <w:r w:rsidRPr="005C76A8">
        <w:rPr>
          <w:rFonts w:ascii="Times New Roman" w:eastAsia="Times New Roman" w:hAnsi="Times New Roman" w:cs="Times New Roman"/>
          <w:i/>
          <w:iCs/>
          <w:color w:val="000000"/>
          <w:lang w:val="en-US"/>
        </w:rPr>
        <w:t>sodium</w:t>
      </w:r>
      <w:r w:rsidRPr="005C76A8">
        <w:rPr>
          <w:rFonts w:ascii="Times New Roman" w:eastAsia="Times New Roman" w:hAnsi="Times New Roman" w:cs="Times New Roman"/>
          <w:i/>
          <w:iCs/>
          <w:color w:val="000000"/>
          <w:lang w:val="ru-RU"/>
        </w:rPr>
        <w:t xml:space="preserve"> </w:t>
      </w:r>
      <w:proofErr w:type="spellStart"/>
      <w:r w:rsidRPr="005C76A8">
        <w:rPr>
          <w:rFonts w:ascii="Times New Roman" w:eastAsia="Times New Roman" w:hAnsi="Times New Roman" w:cs="Times New Roman"/>
          <w:i/>
          <w:iCs/>
          <w:color w:val="000000"/>
          <w:lang w:val="en-US"/>
        </w:rPr>
        <w:t>aurothiomalate</w:t>
      </w:r>
      <w:proofErr w:type="spellEnd"/>
      <w:r w:rsidRPr="005C76A8">
        <w:rPr>
          <w:rFonts w:ascii="Times New Roman" w:eastAsia="Times New Roman" w:hAnsi="Times New Roman" w:cs="Times New Roman"/>
          <w:i/>
          <w:iCs/>
          <w:color w:val="000000"/>
          <w:lang w:val="ru-RU"/>
        </w:rPr>
        <w:t>)</w:t>
      </w:r>
      <w:r w:rsidRPr="005C76A8">
        <w:rPr>
          <w:rFonts w:ascii="Times New Roman" w:eastAsia="Times New Roman" w:hAnsi="Times New Roman" w:cs="Times New Roman"/>
          <w:color w:val="000000"/>
          <w:lang w:val="ru-RU"/>
        </w:rPr>
        <w:t xml:space="preserve"> </w:t>
      </w:r>
      <w:r w:rsidRPr="005C76A8">
        <w:rPr>
          <w:rFonts w:ascii="Times New Roman" w:eastAsia="Times New Roman" w:hAnsi="Times New Roman" w:cs="Times New Roman"/>
          <w:color w:val="000000"/>
          <w:lang w:eastAsia="bg-BG"/>
        </w:rPr>
        <w:t>и едновременно лечение с АСЕ-инхибитори, включително еналаприл.</w:t>
      </w:r>
    </w:p>
    <w:p w14:paraId="7D32FA90"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7EEFE890" w14:textId="70FEE20D" w:rsidR="005C76A8" w:rsidRPr="005C76A8" w:rsidRDefault="005C76A8" w:rsidP="005C76A8">
      <w:pPr>
        <w:pStyle w:val="ListParagraph"/>
        <w:numPr>
          <w:ilvl w:val="0"/>
          <w:numId w:val="42"/>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 xml:space="preserve">Инхибитори на ензим, таргетен за рапамицин при бозайници </w:t>
      </w:r>
      <w:r w:rsidRPr="005C76A8">
        <w:rPr>
          <w:rFonts w:ascii="Times New Roman" w:eastAsia="Times New Roman" w:hAnsi="Times New Roman" w:cs="Times New Roman"/>
          <w:b/>
          <w:bCs/>
          <w:color w:val="000000"/>
          <w:lang w:val="ru-RU"/>
        </w:rPr>
        <w:t>(</w:t>
      </w:r>
      <w:proofErr w:type="spellStart"/>
      <w:r w:rsidRPr="005C76A8">
        <w:rPr>
          <w:rFonts w:ascii="Times New Roman" w:eastAsia="Times New Roman" w:hAnsi="Times New Roman" w:cs="Times New Roman"/>
          <w:b/>
          <w:bCs/>
          <w:color w:val="000000"/>
          <w:lang w:val="en-US"/>
        </w:rPr>
        <w:t>mTOR</w:t>
      </w:r>
      <w:proofErr w:type="spellEnd"/>
      <w:r w:rsidRPr="005C76A8">
        <w:rPr>
          <w:rFonts w:ascii="Times New Roman" w:eastAsia="Times New Roman" w:hAnsi="Times New Roman" w:cs="Times New Roman"/>
          <w:b/>
          <w:bCs/>
          <w:color w:val="000000"/>
          <w:lang w:val="ru-RU"/>
        </w:rPr>
        <w:t>)</w:t>
      </w:r>
    </w:p>
    <w:p w14:paraId="54B9D865"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 xml:space="preserve">Пациенти, получаващи едновременно лечение с инхибитор на </w:t>
      </w:r>
      <w:proofErr w:type="spellStart"/>
      <w:r w:rsidRPr="005C76A8">
        <w:rPr>
          <w:rFonts w:ascii="Times New Roman" w:eastAsia="Times New Roman" w:hAnsi="Times New Roman" w:cs="Times New Roman"/>
          <w:color w:val="000000"/>
          <w:lang w:val="en-US"/>
        </w:rPr>
        <w:t>mTOR</w:t>
      </w:r>
      <w:proofErr w:type="spellEnd"/>
      <w:r w:rsidRPr="005C76A8">
        <w:rPr>
          <w:rFonts w:ascii="Times New Roman" w:eastAsia="Times New Roman" w:hAnsi="Times New Roman" w:cs="Times New Roman"/>
          <w:color w:val="000000"/>
          <w:lang w:val="ru-RU"/>
        </w:rPr>
        <w:t xml:space="preserve"> </w:t>
      </w:r>
      <w:r w:rsidRPr="005C76A8">
        <w:rPr>
          <w:rFonts w:ascii="Times New Roman" w:eastAsia="Times New Roman" w:hAnsi="Times New Roman" w:cs="Times New Roman"/>
          <w:color w:val="000000"/>
          <w:lang w:eastAsia="bg-BG"/>
        </w:rPr>
        <w:t>(напр. темсиролимус, сиролимус, еверолимус), може да бъдат изложени на повишен риск от ангиоедем (вж. точка 4.4).</w:t>
      </w:r>
    </w:p>
    <w:p w14:paraId="45EAC2E3"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78AF6CBC" w14:textId="122F916D" w:rsidR="005C76A8" w:rsidRPr="005C76A8" w:rsidRDefault="005C76A8" w:rsidP="005C76A8">
      <w:pPr>
        <w:pStyle w:val="ListParagraph"/>
        <w:numPr>
          <w:ilvl w:val="0"/>
          <w:numId w:val="42"/>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Неприлизиновн инхибитори</w:t>
      </w:r>
    </w:p>
    <w:p w14:paraId="7CEB6486"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Пациенти, получаващи съпътстваща терапия с АСЕ-инхибитор и неприлизинов инхибитор (напр. сакубитрил, рацекадотрил) може да са с повишен риск от ангиоедем (вж. точка 4.4). Едновременната употреба на еналаприл и сакубитрил/валсартан е противопоказана, тъй като едновременното инхибиране от неприлизин и АСЕ може да повиши риска от ангиоедем. Сакубитрил/валсартан не трябва да се започва до 36 часа след приема на последната доза от терапията с еналаприл. Терапията с еналаприл не трябва да се започва до 36 часа след последната доза сакубитрил/валсартан (вж. точки 4.3 и 4.4).</w:t>
      </w:r>
    </w:p>
    <w:p w14:paraId="03F939E2"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6D7C6F2C" w14:textId="0DBF6E5A" w:rsidR="005C76A8" w:rsidRPr="005C76A8" w:rsidRDefault="005C76A8" w:rsidP="005C76A8">
      <w:pPr>
        <w:pStyle w:val="ListParagraph"/>
        <w:numPr>
          <w:ilvl w:val="0"/>
          <w:numId w:val="42"/>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Симпатикомиметици</w:t>
      </w:r>
    </w:p>
    <w:p w14:paraId="59C1ECFC" w14:textId="77777777" w:rsidR="005C76A8" w:rsidRPr="005C76A8" w:rsidRDefault="005C76A8" w:rsidP="005C76A8">
      <w:p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color w:val="000000"/>
          <w:lang w:eastAsia="bg-BG"/>
        </w:rPr>
        <w:t xml:space="preserve">Симпатикомиметиците могат да намалят антихипертензивните ефекти на </w:t>
      </w:r>
      <w:r w:rsidRPr="005C76A8">
        <w:rPr>
          <w:rFonts w:ascii="Times New Roman" w:eastAsia="Times New Roman" w:hAnsi="Times New Roman" w:cs="Times New Roman"/>
          <w:color w:val="000000"/>
          <w:lang w:val="en-US"/>
        </w:rPr>
        <w:t>ACE</w:t>
      </w:r>
      <w:r w:rsidRPr="005C76A8">
        <w:rPr>
          <w:rFonts w:ascii="Times New Roman" w:eastAsia="Times New Roman" w:hAnsi="Times New Roman" w:cs="Times New Roman"/>
          <w:color w:val="000000"/>
          <w:lang w:val="ru-RU"/>
        </w:rPr>
        <w:t>-</w:t>
      </w:r>
      <w:r w:rsidRPr="005C76A8">
        <w:rPr>
          <w:rFonts w:ascii="Times New Roman" w:eastAsia="Times New Roman" w:hAnsi="Times New Roman" w:cs="Times New Roman"/>
          <w:color w:val="000000"/>
          <w:lang w:eastAsia="bg-BG"/>
        </w:rPr>
        <w:t>инхибиторите</w:t>
      </w:r>
    </w:p>
    <w:p w14:paraId="0F28524D" w14:textId="77777777" w:rsidR="005C76A8" w:rsidRDefault="005C76A8" w:rsidP="005C76A8">
      <w:pPr>
        <w:spacing w:line="240" w:lineRule="auto"/>
        <w:rPr>
          <w:rFonts w:ascii="Times New Roman" w:eastAsia="Times New Roman" w:hAnsi="Times New Roman" w:cs="Times New Roman"/>
          <w:b/>
          <w:bCs/>
          <w:color w:val="000000"/>
          <w:lang w:eastAsia="bg-BG"/>
        </w:rPr>
      </w:pPr>
    </w:p>
    <w:p w14:paraId="049EDA45" w14:textId="404E192B" w:rsidR="005C76A8" w:rsidRPr="005C76A8" w:rsidRDefault="005C76A8" w:rsidP="005C76A8">
      <w:pPr>
        <w:pStyle w:val="ListParagraph"/>
        <w:numPr>
          <w:ilvl w:val="0"/>
          <w:numId w:val="42"/>
        </w:numPr>
        <w:spacing w:line="240" w:lineRule="auto"/>
        <w:rPr>
          <w:rFonts w:ascii="Times New Roman" w:eastAsia="Times New Roman" w:hAnsi="Times New Roman" w:cs="Times New Roman"/>
          <w:sz w:val="24"/>
          <w:szCs w:val="24"/>
        </w:rPr>
      </w:pPr>
      <w:r w:rsidRPr="005C76A8">
        <w:rPr>
          <w:rFonts w:ascii="Times New Roman" w:eastAsia="Times New Roman" w:hAnsi="Times New Roman" w:cs="Times New Roman"/>
          <w:b/>
          <w:bCs/>
          <w:color w:val="000000"/>
          <w:lang w:eastAsia="bg-BG"/>
        </w:rPr>
        <w:t>Алкохол</w:t>
      </w:r>
    </w:p>
    <w:p w14:paraId="2519980D" w14:textId="77777777" w:rsidR="005C76A8" w:rsidRDefault="002C50EE" w:rsidP="005C76A8">
      <w:r>
        <w:t xml:space="preserve"> </w:t>
      </w:r>
      <w:r w:rsidR="005C76A8">
        <w:t>Алкохолът повишава хипотензивния ефект на АСЕ-инхибиторите.</w:t>
      </w:r>
    </w:p>
    <w:p w14:paraId="39E11437" w14:textId="77777777" w:rsidR="005C76A8" w:rsidRDefault="005C76A8" w:rsidP="005C76A8">
      <w:pPr>
        <w:rPr>
          <w:b/>
          <w:bCs/>
        </w:rPr>
      </w:pPr>
    </w:p>
    <w:p w14:paraId="61EAF9FF" w14:textId="2FE9DD71" w:rsidR="005C76A8" w:rsidRDefault="005C76A8" w:rsidP="005C76A8">
      <w:pPr>
        <w:pStyle w:val="ListParagraph"/>
        <w:numPr>
          <w:ilvl w:val="0"/>
          <w:numId w:val="42"/>
        </w:numPr>
      </w:pPr>
      <w:r w:rsidRPr="005C76A8">
        <w:rPr>
          <w:b/>
          <w:bCs/>
        </w:rPr>
        <w:t>Ацетилсалицилова киселина/тромболитици и бета-блокери</w:t>
      </w:r>
    </w:p>
    <w:p w14:paraId="0E858C39" w14:textId="77777777" w:rsidR="005C76A8" w:rsidRDefault="005C76A8" w:rsidP="005C76A8">
      <w:r>
        <w:t>Еналаприл може без проблеми да се използва едновременно с ацетилсалицилова киселина (в дози, препоръчителни за сърдечно-съдова профилактика), тромболитици и бета-блокери.</w:t>
      </w:r>
    </w:p>
    <w:p w14:paraId="715BDE73" w14:textId="77777777" w:rsidR="005C76A8" w:rsidRDefault="005C76A8" w:rsidP="005C76A8">
      <w:pPr>
        <w:rPr>
          <w:b/>
          <w:bCs/>
        </w:rPr>
      </w:pPr>
    </w:p>
    <w:p w14:paraId="34611F5B" w14:textId="0794C525" w:rsidR="005C76A8" w:rsidRDefault="005C76A8" w:rsidP="005C76A8">
      <w:pPr>
        <w:pStyle w:val="ListParagraph"/>
        <w:numPr>
          <w:ilvl w:val="0"/>
          <w:numId w:val="42"/>
        </w:numPr>
      </w:pPr>
      <w:r w:rsidRPr="005C76A8">
        <w:rPr>
          <w:b/>
          <w:bCs/>
        </w:rPr>
        <w:t>Други антихипертензивни лекарства</w:t>
      </w:r>
    </w:p>
    <w:p w14:paraId="0CFCA5D3" w14:textId="77777777" w:rsidR="005C76A8" w:rsidRDefault="005C76A8" w:rsidP="005C76A8">
      <w:r>
        <w:t>Едновременното приложение на тези лекарства може да усили хипотензивния ефект на еналаприл. Едновременното приложение на нитроглицерин и други нитрати или други вазодилататори също може допълнително да понижи кръвното налягане.</w:t>
      </w:r>
    </w:p>
    <w:p w14:paraId="05D13BB6" w14:textId="77777777" w:rsidR="005C76A8" w:rsidRDefault="005C76A8" w:rsidP="005C76A8">
      <w:pPr>
        <w:rPr>
          <w:b/>
          <w:bCs/>
        </w:rPr>
      </w:pPr>
    </w:p>
    <w:p w14:paraId="5372593B" w14:textId="7D677A71" w:rsidR="005C76A8" w:rsidRDefault="005C76A8" w:rsidP="005C76A8">
      <w:pPr>
        <w:pStyle w:val="ListParagraph"/>
        <w:numPr>
          <w:ilvl w:val="0"/>
          <w:numId w:val="42"/>
        </w:numPr>
      </w:pPr>
      <w:r w:rsidRPr="005C76A8">
        <w:rPr>
          <w:b/>
          <w:bCs/>
        </w:rPr>
        <w:t>Двойна блокада на ренин-ангиотензин-алдостероновата система</w:t>
      </w:r>
    </w:p>
    <w:p w14:paraId="64D61482" w14:textId="77777777" w:rsidR="005C76A8" w:rsidRDefault="005C76A8" w:rsidP="005C76A8">
      <w: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АСЕ-инхибитори, </w:t>
      </w:r>
      <w:r>
        <w:lastRenderedPageBreak/>
        <w:t xml:space="preserve">ангиотензин </w:t>
      </w:r>
      <w:r>
        <w:rPr>
          <w:lang w:val="en-US"/>
        </w:rPr>
        <w:t>II</w:t>
      </w:r>
      <w:r>
        <w:t xml:space="preserve">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 Двойната блокада (напр. чрез добавяне на АСЕ-инхибитор към ангиотензин II рецепторен антагонист) трябва да бъде ограничена до индивидуално определени случаи с внимателно проследяване на бъбречната функция.</w:t>
      </w:r>
    </w:p>
    <w:p w14:paraId="76B56FF4" w14:textId="77777777" w:rsidR="005C76A8" w:rsidRDefault="005C76A8" w:rsidP="005C76A8">
      <w:pPr>
        <w:rPr>
          <w:u w:val="single"/>
        </w:rPr>
      </w:pPr>
    </w:p>
    <w:p w14:paraId="2B385409" w14:textId="77777777" w:rsidR="005C76A8" w:rsidRDefault="005C76A8" w:rsidP="005C76A8">
      <w:pPr>
        <w:rPr>
          <w:u w:val="single"/>
        </w:rPr>
      </w:pPr>
      <w:r>
        <w:rPr>
          <w:u w:val="single"/>
        </w:rPr>
        <w:t>Педиатрична популация</w:t>
      </w:r>
    </w:p>
    <w:p w14:paraId="0734264C" w14:textId="7B22BD8D" w:rsidR="007122AD" w:rsidRDefault="005C76A8" w:rsidP="005C76A8">
      <w:r>
        <w:t>Проучвания за взаимодействия са провеждани само при възрастни.</w:t>
      </w:r>
    </w:p>
    <w:p w14:paraId="7ECED6EF" w14:textId="77777777" w:rsidR="005C76A8" w:rsidRPr="007122AD" w:rsidRDefault="005C76A8" w:rsidP="005C76A8"/>
    <w:p w14:paraId="5D9F40EA" w14:textId="601893D2" w:rsidR="007122AD" w:rsidRDefault="002C50EE" w:rsidP="00936AD0">
      <w:pPr>
        <w:pStyle w:val="Heading2"/>
      </w:pPr>
      <w:r>
        <w:t>4.6. Фертилитет, бременност и кърмене</w:t>
      </w:r>
    </w:p>
    <w:p w14:paraId="29EBC904" w14:textId="558B5D3E" w:rsidR="005C76A8" w:rsidRDefault="005C76A8" w:rsidP="005C76A8"/>
    <w:p w14:paraId="4AF5698E" w14:textId="77777777" w:rsidR="005C76A8" w:rsidRPr="005C76A8" w:rsidRDefault="005C76A8" w:rsidP="005C76A8">
      <w:pPr>
        <w:pStyle w:val="Heading3"/>
        <w:rPr>
          <w:rFonts w:eastAsia="Times New Roman"/>
          <w:u w:val="single"/>
        </w:rPr>
      </w:pPr>
      <w:r w:rsidRPr="005C76A8">
        <w:rPr>
          <w:rFonts w:eastAsia="Times New Roman"/>
          <w:u w:val="single"/>
          <w:lang w:eastAsia="bg-BG"/>
        </w:rPr>
        <w:t>Бременност</w:t>
      </w:r>
    </w:p>
    <w:p w14:paraId="5E84F59A" w14:textId="6A77B46B" w:rsidR="005C76A8" w:rsidRPr="005C76A8" w:rsidRDefault="005C76A8" w:rsidP="005C76A8">
      <w:pPr>
        <w:rPr>
          <w:rFonts w:eastAsia="Times New Roman" w:cs="Arial"/>
          <w:color w:val="000000"/>
          <w:u w:val="single"/>
          <w:lang w:eastAsia="bg-BG"/>
        </w:rPr>
      </w:pPr>
      <w:r w:rsidRPr="005C76A8">
        <w:rPr>
          <w:rFonts w:eastAsia="Times New Roman" w:cs="Arial"/>
          <w:color w:val="000000"/>
          <w:u w:val="single"/>
          <w:lang w:eastAsia="bg-BG"/>
        </w:rPr>
        <w:t>АСЕ-инхибитори:</w:t>
      </w:r>
    </w:p>
    <w:tbl>
      <w:tblPr>
        <w:tblStyle w:val="TableGrid"/>
        <w:tblW w:w="0" w:type="auto"/>
        <w:tblLook w:val="04A0" w:firstRow="1" w:lastRow="0" w:firstColumn="1" w:lastColumn="0" w:noHBand="0" w:noVBand="1"/>
      </w:tblPr>
      <w:tblGrid>
        <w:gridCol w:w="9350"/>
      </w:tblGrid>
      <w:tr w:rsidR="005C76A8" w:rsidRPr="005C76A8" w14:paraId="157850BB" w14:textId="77777777" w:rsidTr="005C76A8">
        <w:tc>
          <w:tcPr>
            <w:tcW w:w="9576" w:type="dxa"/>
          </w:tcPr>
          <w:p w14:paraId="5BF3079F" w14:textId="3BB1977B"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Не се препоръчва употребата на АСЕ-инхибитори през първия триместьр на бременността.(вж.точка 4.4). Употребата на АСЕ-инхибитори по време на втория и третия триместьр на бременността е противопоказана.(вж.точки 4.3 и 4.4 ).</w:t>
            </w:r>
          </w:p>
        </w:tc>
      </w:tr>
    </w:tbl>
    <w:p w14:paraId="0D5161B0" w14:textId="270D14D7" w:rsidR="005C76A8" w:rsidRPr="005C76A8" w:rsidRDefault="005C76A8" w:rsidP="005C76A8">
      <w:pPr>
        <w:rPr>
          <w:rFonts w:cs="Arial"/>
        </w:rPr>
      </w:pPr>
    </w:p>
    <w:p w14:paraId="18168844" w14:textId="77777777"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Епидемиологичните данни относно тератогенния риск вследствие приложение на АСЕ- инхибитори по време на първия триместьр на бременността не са убедителни; не би могло да се изключи малко повишение на риска. Освен когато продължаването на започнатото лечение с АСЕ-инхибитор се смята за наложително, при пациентките, планиращи бременност, е необходимо антихипертензивната терапия да се смени с алтернативна, която е с установен профил на безопасност при бременност.</w:t>
      </w:r>
    </w:p>
    <w:p w14:paraId="337659F7" w14:textId="77777777"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Ако е диагностицирана бременност, възможно най-рано трябва да се премине на алтернативно лечение, ако е подходящо.</w:t>
      </w:r>
    </w:p>
    <w:p w14:paraId="5E663A96" w14:textId="77777777"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Продължителната експозиция на АСЕ-инхибитори по време на втория и третия триместьр на бременността може да предизвика фетотоксичност (влошаване на бъбречна функция, олигохидрамнион, забавена осификация на черепа) и неонатална токсичност (бъбречна недостатъчност, хипотония, хиперкалиемия) (вж. също точка 5.3). Олигохидрамнион при майката, вероятно представляващ намалена ембрионална бъбречна функция, се появява и може да доведе до контрактура на крайниците, черепно-лицеви деформации и хипоплазия на белия дроб.</w:t>
      </w:r>
    </w:p>
    <w:p w14:paraId="12E26EE0" w14:textId="77777777"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Ако се установи експозиция на АСЕ-инхибитори от началото на втория триместьр на бременността, е препоръчително ултразвуково изследване за проследяване на бъбречната функция и черепа.</w:t>
      </w:r>
    </w:p>
    <w:p w14:paraId="13C44DD0" w14:textId="77777777"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Новородени, чиито майки са приемали еналаприл, трябва стриктно да бъдат проследявани за поява на хипотония, олигурия и хиперкалиемия (вж. точки 4.3 и 4.4)</w:t>
      </w:r>
    </w:p>
    <w:p w14:paraId="0315F550" w14:textId="77777777" w:rsidR="005C76A8" w:rsidRPr="005C76A8" w:rsidRDefault="005C76A8" w:rsidP="005C76A8">
      <w:pPr>
        <w:spacing w:line="240" w:lineRule="auto"/>
        <w:rPr>
          <w:rFonts w:eastAsia="Times New Roman" w:cs="Arial"/>
          <w:color w:val="000000"/>
          <w:u w:val="single"/>
          <w:lang w:eastAsia="bg-BG"/>
        </w:rPr>
      </w:pPr>
    </w:p>
    <w:p w14:paraId="6CE9CE25" w14:textId="60965A60" w:rsidR="005C76A8" w:rsidRPr="005C76A8" w:rsidRDefault="005C76A8" w:rsidP="005C76A8">
      <w:pPr>
        <w:pStyle w:val="Heading3"/>
        <w:rPr>
          <w:rFonts w:eastAsia="Times New Roman"/>
          <w:u w:val="single"/>
        </w:rPr>
      </w:pPr>
      <w:r w:rsidRPr="005C76A8">
        <w:rPr>
          <w:rFonts w:eastAsia="Times New Roman"/>
          <w:u w:val="single"/>
          <w:lang w:eastAsia="bg-BG"/>
        </w:rPr>
        <w:t>Кърмене</w:t>
      </w:r>
    </w:p>
    <w:p w14:paraId="08708422" w14:textId="77777777" w:rsidR="005C76A8" w:rsidRPr="005C76A8" w:rsidRDefault="005C76A8" w:rsidP="005C76A8">
      <w:pPr>
        <w:spacing w:line="240" w:lineRule="auto"/>
        <w:rPr>
          <w:rFonts w:eastAsia="Times New Roman" w:cs="Arial"/>
          <w:sz w:val="24"/>
          <w:szCs w:val="24"/>
        </w:rPr>
      </w:pPr>
      <w:r w:rsidRPr="005C76A8">
        <w:rPr>
          <w:rFonts w:eastAsia="Times New Roman" w:cs="Arial"/>
          <w:color w:val="000000"/>
          <w:lang w:eastAsia="bg-BG"/>
        </w:rPr>
        <w:t>Еналаприл и еналаприлат се екскретират в кърмата в много ниски концентрации, но не са проучвани ефектите им върху кърмачетата. Макар и тези концентрации да изглеждат клинично незначими, употребата на еналаприл и еналаприлат не се препоръчва по време на кърмене при преждевременно родени и през първите няколко седмици след раждането, поради потенциален риск от сърдечно-съдови и бъбречни ефекти и поради недостатъчен клиничен опит. При по- големи кърмачета употребата на еналаприл при кърмещи майки може да се обмисли, ако това лечение е наложително за майката и ако детето се наблюдава внимателно за появата на нежелани ефекти.</w:t>
      </w:r>
    </w:p>
    <w:p w14:paraId="3BE536B3" w14:textId="77777777" w:rsidR="005C76A8" w:rsidRPr="005C76A8" w:rsidRDefault="005C76A8" w:rsidP="005C76A8"/>
    <w:p w14:paraId="5DD7A76D" w14:textId="07FFC11F" w:rsidR="007122AD" w:rsidRDefault="002C50EE" w:rsidP="00936AD0">
      <w:pPr>
        <w:pStyle w:val="Heading2"/>
      </w:pPr>
      <w:r>
        <w:t>4.7. Ефекти върху способността за шофиране и работа с машини</w:t>
      </w:r>
    </w:p>
    <w:p w14:paraId="79A08505" w14:textId="1E1C0AF4" w:rsidR="005C76A8" w:rsidRDefault="005C76A8" w:rsidP="005C76A8"/>
    <w:p w14:paraId="34DCE91D" w14:textId="1731CC5D" w:rsidR="005C76A8" w:rsidRDefault="005C76A8" w:rsidP="005C76A8">
      <w:r>
        <w:t>При шофиране или работа с машини трябва да се има предвид, че понякога може да се появи замаяност или обща отпадналост (вж. точка 4.8).</w:t>
      </w:r>
    </w:p>
    <w:p w14:paraId="6C79C328" w14:textId="77777777" w:rsidR="005C76A8" w:rsidRPr="005C76A8" w:rsidRDefault="005C76A8" w:rsidP="005C76A8"/>
    <w:p w14:paraId="44CE30A3" w14:textId="1640B84A" w:rsidR="007122AD" w:rsidRDefault="002C50EE" w:rsidP="00936AD0">
      <w:pPr>
        <w:pStyle w:val="Heading2"/>
      </w:pPr>
      <w:r>
        <w:t>4.8. Нежелани лекарствени реакции</w:t>
      </w:r>
    </w:p>
    <w:p w14:paraId="4BEAB1F1" w14:textId="05B95A33" w:rsidR="005C76A8" w:rsidRDefault="005C76A8" w:rsidP="005C76A8"/>
    <w:p w14:paraId="7A3C273E"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Нежеланите реакции са класифицирани в зависимост от честотата на тяхната проява по следния начин: много чести (≥1/10), чести (≥1/100, &lt;1/10), нечести (≥1/1000, &lt;1/100), редки (≥1/10000, &lt;1/1000), много редки (&lt;1/10000), включително с неизвестна честота (от наличните данни не може да се направи оценка).</w:t>
      </w:r>
    </w:p>
    <w:p w14:paraId="70BA7F04"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Съобщавани са следните нежелани лекарствени реакции за еналаприл при клинични проучвания и постмаркетингов опит:</w:t>
      </w:r>
    </w:p>
    <w:p w14:paraId="1C240412" w14:textId="77777777" w:rsidR="005C76A8" w:rsidRPr="005C76A8" w:rsidRDefault="005C76A8" w:rsidP="005C76A8">
      <w:pPr>
        <w:spacing w:line="240" w:lineRule="auto"/>
        <w:rPr>
          <w:rFonts w:eastAsia="Times New Roman" w:cs="Arial"/>
          <w:i/>
          <w:iCs/>
          <w:color w:val="000000"/>
          <w:lang w:eastAsia="bg-BG"/>
        </w:rPr>
      </w:pPr>
    </w:p>
    <w:p w14:paraId="3DA7A248" w14:textId="594DE3AB"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кръвта и лимфната система</w:t>
      </w:r>
    </w:p>
    <w:p w14:paraId="6309784D"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анемия (включително апластична и хемолитична)</w:t>
      </w:r>
    </w:p>
    <w:p w14:paraId="7D58FB22"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неутропения, намален хемоглобин, намален хематокрит, тромбоцитопения, агранулоцитоза, потискане на костния мозък, панцитопения, лимфаденопатия, автоимунни заболявания.</w:t>
      </w:r>
    </w:p>
    <w:p w14:paraId="649FD624" w14:textId="77777777" w:rsidR="005C76A8" w:rsidRPr="005C76A8" w:rsidRDefault="005C76A8" w:rsidP="005C76A8">
      <w:pPr>
        <w:spacing w:line="240" w:lineRule="auto"/>
        <w:rPr>
          <w:rFonts w:eastAsia="Times New Roman" w:cs="Arial"/>
          <w:i/>
          <w:iCs/>
          <w:color w:val="000000"/>
          <w:lang w:eastAsia="bg-BG"/>
        </w:rPr>
      </w:pPr>
    </w:p>
    <w:p w14:paraId="59A74D66" w14:textId="2CBCDE10"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ендокринната система</w:t>
      </w:r>
    </w:p>
    <w:p w14:paraId="02511A40"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С неизвестна честота: синдром на несъответна секреция на антидиуретичен хормон </w:t>
      </w:r>
      <w:r w:rsidRPr="005C76A8">
        <w:rPr>
          <w:rFonts w:eastAsia="Times New Roman" w:cs="Arial"/>
          <w:color w:val="000000"/>
          <w:lang w:val="ru-RU"/>
        </w:rPr>
        <w:t>(</w:t>
      </w:r>
      <w:r w:rsidRPr="005C76A8">
        <w:rPr>
          <w:rFonts w:eastAsia="Times New Roman" w:cs="Arial"/>
          <w:color w:val="000000"/>
          <w:lang w:val="en-US"/>
        </w:rPr>
        <w:t>SIADH</w:t>
      </w:r>
      <w:r w:rsidRPr="005C76A8">
        <w:rPr>
          <w:rFonts w:eastAsia="Times New Roman" w:cs="Arial"/>
          <w:color w:val="000000"/>
          <w:lang w:val="ru-RU"/>
        </w:rPr>
        <w:t>).</w:t>
      </w:r>
    </w:p>
    <w:p w14:paraId="539588A0" w14:textId="77777777" w:rsidR="005C76A8" w:rsidRPr="005C76A8" w:rsidRDefault="005C76A8" w:rsidP="005C76A8">
      <w:pPr>
        <w:spacing w:line="240" w:lineRule="auto"/>
        <w:rPr>
          <w:rFonts w:eastAsia="Times New Roman" w:cs="Arial"/>
          <w:i/>
          <w:iCs/>
          <w:color w:val="000000"/>
          <w:lang w:eastAsia="bg-BG"/>
        </w:rPr>
      </w:pPr>
    </w:p>
    <w:p w14:paraId="4803C5A8" w14:textId="77777777" w:rsidR="005C76A8" w:rsidRPr="005C76A8" w:rsidRDefault="005C76A8" w:rsidP="005C76A8">
      <w:pPr>
        <w:spacing w:line="240" w:lineRule="auto"/>
        <w:rPr>
          <w:rFonts w:eastAsia="Times New Roman" w:cs="Arial"/>
          <w:i/>
          <w:iCs/>
          <w:color w:val="000000"/>
          <w:lang w:eastAsia="bg-BG"/>
        </w:rPr>
      </w:pPr>
      <w:r w:rsidRPr="005C76A8">
        <w:rPr>
          <w:rFonts w:eastAsia="Times New Roman" w:cs="Arial"/>
          <w:i/>
          <w:iCs/>
          <w:color w:val="000000"/>
          <w:lang w:eastAsia="bg-BG"/>
        </w:rPr>
        <w:t>Нарушения на метаболизма и храненето</w:t>
      </w:r>
    </w:p>
    <w:p w14:paraId="7C68B4B4" w14:textId="65DC1AFA"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 xml:space="preserve"> </w:t>
      </w:r>
      <w:r w:rsidRPr="005C76A8">
        <w:rPr>
          <w:rFonts w:eastAsia="Times New Roman" w:cs="Arial"/>
          <w:color w:val="000000"/>
          <w:lang w:eastAsia="bg-BG"/>
        </w:rPr>
        <w:t>Нечести: хипогликемия (вж. точка 4.4)</w:t>
      </w:r>
    </w:p>
    <w:p w14:paraId="7096D7A7" w14:textId="77777777" w:rsidR="005C76A8" w:rsidRPr="005C76A8" w:rsidRDefault="005C76A8" w:rsidP="005C76A8">
      <w:pPr>
        <w:spacing w:line="240" w:lineRule="auto"/>
        <w:rPr>
          <w:rFonts w:eastAsia="Times New Roman" w:cs="Arial"/>
          <w:i/>
          <w:iCs/>
          <w:color w:val="000000"/>
          <w:lang w:eastAsia="bg-BG"/>
        </w:rPr>
      </w:pPr>
    </w:p>
    <w:p w14:paraId="57E96B15" w14:textId="2AA755E4"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нервната система</w:t>
      </w:r>
    </w:p>
    <w:p w14:paraId="30BDE19E"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Много чести: замаяност</w:t>
      </w:r>
    </w:p>
    <w:p w14:paraId="491CB6ED" w14:textId="77777777" w:rsidR="005C76A8" w:rsidRPr="005C76A8" w:rsidRDefault="005C76A8" w:rsidP="005C76A8">
      <w:pPr>
        <w:spacing w:line="240" w:lineRule="auto"/>
        <w:rPr>
          <w:rFonts w:eastAsia="Times New Roman" w:cs="Arial"/>
          <w:color w:val="000000"/>
          <w:lang w:eastAsia="bg-BG"/>
        </w:rPr>
      </w:pPr>
      <w:r w:rsidRPr="005C76A8">
        <w:rPr>
          <w:rFonts w:eastAsia="Times New Roman" w:cs="Arial"/>
          <w:color w:val="000000"/>
          <w:lang w:eastAsia="bg-BG"/>
        </w:rPr>
        <w:t>Чести: главоболие, синкоп, променен вкус</w:t>
      </w:r>
    </w:p>
    <w:p w14:paraId="7F852DD5" w14:textId="4B745639"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сънливост, парестезии, вертиго</w:t>
      </w:r>
    </w:p>
    <w:p w14:paraId="6B96B430" w14:textId="77777777" w:rsidR="005C76A8" w:rsidRPr="005C76A8" w:rsidRDefault="005C76A8" w:rsidP="005C76A8">
      <w:pPr>
        <w:spacing w:line="240" w:lineRule="auto"/>
        <w:rPr>
          <w:rFonts w:eastAsia="Times New Roman" w:cs="Arial"/>
          <w:i/>
          <w:iCs/>
          <w:color w:val="000000"/>
          <w:lang w:eastAsia="bg-BG"/>
        </w:rPr>
      </w:pPr>
    </w:p>
    <w:p w14:paraId="333C3080" w14:textId="53C299E4"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Психични нарушения</w:t>
      </w:r>
    </w:p>
    <w:p w14:paraId="271D7C8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Чести: депресия</w:t>
      </w:r>
    </w:p>
    <w:p w14:paraId="313F6C0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объркване, нервност, безсъние</w:t>
      </w:r>
    </w:p>
    <w:p w14:paraId="69206E0F"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нарушение на съня, необичайни сънища</w:t>
      </w:r>
    </w:p>
    <w:p w14:paraId="7979E06D" w14:textId="77777777" w:rsidR="005C76A8" w:rsidRPr="005C76A8" w:rsidRDefault="005C76A8" w:rsidP="005C76A8">
      <w:pPr>
        <w:spacing w:line="240" w:lineRule="auto"/>
        <w:rPr>
          <w:rFonts w:eastAsia="Times New Roman" w:cs="Arial"/>
          <w:i/>
          <w:iCs/>
          <w:color w:val="000000"/>
          <w:lang w:eastAsia="bg-BG"/>
        </w:rPr>
      </w:pPr>
    </w:p>
    <w:p w14:paraId="1C2B18A8" w14:textId="0F8B9904"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очите</w:t>
      </w:r>
    </w:p>
    <w:p w14:paraId="3C5DAB64"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Много чести: замъглено зрение</w:t>
      </w:r>
    </w:p>
    <w:p w14:paraId="4B656114" w14:textId="77777777" w:rsidR="005C76A8" w:rsidRPr="005C76A8" w:rsidRDefault="005C76A8" w:rsidP="005C76A8">
      <w:pPr>
        <w:spacing w:line="240" w:lineRule="auto"/>
        <w:rPr>
          <w:rFonts w:eastAsia="Times New Roman" w:cs="Arial"/>
          <w:i/>
          <w:iCs/>
          <w:color w:val="000000"/>
          <w:lang w:eastAsia="bg-BG"/>
        </w:rPr>
      </w:pPr>
    </w:p>
    <w:p w14:paraId="33788468" w14:textId="77777777" w:rsidR="005C76A8" w:rsidRPr="005C76A8" w:rsidRDefault="005C76A8" w:rsidP="005C76A8">
      <w:pPr>
        <w:spacing w:line="240" w:lineRule="auto"/>
        <w:rPr>
          <w:rFonts w:eastAsia="Times New Roman" w:cs="Arial"/>
          <w:i/>
          <w:iCs/>
          <w:color w:val="000000"/>
          <w:lang w:eastAsia="bg-BG"/>
        </w:rPr>
      </w:pPr>
      <w:r w:rsidRPr="005C76A8">
        <w:rPr>
          <w:rFonts w:eastAsia="Times New Roman" w:cs="Arial"/>
          <w:i/>
          <w:iCs/>
          <w:color w:val="000000"/>
          <w:lang w:eastAsia="bg-BG"/>
        </w:rPr>
        <w:t xml:space="preserve">Нарушения на ухото и лабиринта </w:t>
      </w:r>
    </w:p>
    <w:p w14:paraId="7084E44E" w14:textId="0B4A10F0"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шум в ушите</w:t>
      </w:r>
    </w:p>
    <w:p w14:paraId="08942424" w14:textId="77777777" w:rsidR="005C76A8" w:rsidRPr="005C76A8" w:rsidRDefault="005C76A8" w:rsidP="005C76A8">
      <w:pPr>
        <w:spacing w:line="240" w:lineRule="auto"/>
        <w:rPr>
          <w:rFonts w:eastAsia="Times New Roman" w:cs="Arial"/>
          <w:i/>
          <w:iCs/>
          <w:color w:val="000000"/>
          <w:lang w:eastAsia="bg-BG"/>
        </w:rPr>
      </w:pPr>
    </w:p>
    <w:p w14:paraId="35378164" w14:textId="317C4C9E"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Сърдечни нарушения</w:t>
      </w:r>
    </w:p>
    <w:p w14:paraId="2D6BB950"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Чести: болка в гърдите, ритъмни нарушения, ангина пекторис, тахикардия Нечести: палпитации, инфаркт на миокарда или мозъчно-съдов инцидент*, възможна вторична до ексцесивна хипотония при пациенти с висок риск (вж. точка 4.4).</w:t>
      </w:r>
    </w:p>
    <w:p w14:paraId="16F83776" w14:textId="77777777" w:rsidR="005C76A8" w:rsidRPr="005C76A8" w:rsidRDefault="005C76A8" w:rsidP="005C76A8">
      <w:pPr>
        <w:spacing w:line="240" w:lineRule="auto"/>
        <w:rPr>
          <w:rFonts w:eastAsia="Times New Roman" w:cs="Arial"/>
          <w:i/>
          <w:iCs/>
          <w:color w:val="000000"/>
          <w:lang w:eastAsia="bg-BG"/>
        </w:rPr>
      </w:pPr>
    </w:p>
    <w:p w14:paraId="18B0FFB1" w14:textId="6DA2835A" w:rsidR="005C76A8" w:rsidRPr="005C76A8" w:rsidRDefault="005C76A8" w:rsidP="005C76A8">
      <w:pPr>
        <w:spacing w:line="240" w:lineRule="auto"/>
        <w:rPr>
          <w:rFonts w:eastAsia="Times New Roman" w:cs="Arial"/>
          <w:i/>
          <w:iCs/>
          <w:color w:val="000000"/>
          <w:lang w:eastAsia="bg-BG"/>
        </w:rPr>
      </w:pPr>
      <w:r w:rsidRPr="005C76A8">
        <w:rPr>
          <w:rFonts w:eastAsia="Times New Roman" w:cs="Arial"/>
          <w:i/>
          <w:iCs/>
          <w:color w:val="000000"/>
          <w:lang w:eastAsia="bg-BG"/>
        </w:rPr>
        <w:lastRenderedPageBreak/>
        <w:t>Съдови нарушения</w:t>
      </w:r>
    </w:p>
    <w:p w14:paraId="23D4C67C"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Чести: хипотония, (включително ортостатична хипотония)</w:t>
      </w:r>
    </w:p>
    <w:p w14:paraId="34CF3ADF"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зачервяване на лицето, ортостатична хипотония</w:t>
      </w:r>
    </w:p>
    <w:p w14:paraId="0D123CD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Редки: феномен на </w:t>
      </w:r>
      <w:r w:rsidRPr="005C76A8">
        <w:rPr>
          <w:rFonts w:eastAsia="Times New Roman" w:cs="Arial"/>
          <w:color w:val="000000"/>
          <w:lang w:val="en-US"/>
        </w:rPr>
        <w:t>Raynaud</w:t>
      </w:r>
    </w:p>
    <w:p w14:paraId="6532B64F" w14:textId="77777777" w:rsidR="005C76A8" w:rsidRPr="005C76A8" w:rsidRDefault="005C76A8" w:rsidP="005C76A8">
      <w:pPr>
        <w:spacing w:line="240" w:lineRule="auto"/>
        <w:rPr>
          <w:rFonts w:eastAsia="Times New Roman" w:cs="Arial"/>
          <w:i/>
          <w:iCs/>
          <w:color w:val="000000"/>
          <w:lang w:eastAsia="bg-BG"/>
        </w:rPr>
      </w:pPr>
    </w:p>
    <w:p w14:paraId="0FB547BF" w14:textId="45D3B0CE"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Респираторни, гръдни и медиастинални нарушения</w:t>
      </w:r>
    </w:p>
    <w:p w14:paraId="388E27F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Много чести: кашлица</w:t>
      </w:r>
    </w:p>
    <w:p w14:paraId="40A08780"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Чести: задух</w:t>
      </w:r>
    </w:p>
    <w:p w14:paraId="697AFFA1"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ринорея, възпалено гърло и дрезгав глас, бронхоспазъм/астма</w:t>
      </w:r>
    </w:p>
    <w:p w14:paraId="2EADC44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белодробни инфилтрати, ринит, алергичен алвеолит/еозинофилна пневмония</w:t>
      </w:r>
    </w:p>
    <w:p w14:paraId="5144FDCE" w14:textId="77777777" w:rsidR="005C76A8" w:rsidRPr="005C76A8" w:rsidRDefault="005C76A8" w:rsidP="005C76A8">
      <w:pPr>
        <w:spacing w:line="240" w:lineRule="auto"/>
        <w:rPr>
          <w:rFonts w:eastAsia="Times New Roman" w:cs="Arial"/>
          <w:i/>
          <w:iCs/>
          <w:color w:val="000000"/>
          <w:lang w:eastAsia="bg-BG"/>
        </w:rPr>
      </w:pPr>
    </w:p>
    <w:p w14:paraId="5B502DF0" w14:textId="6588EEFB"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Стомашно-чревни нарушения.</w:t>
      </w:r>
    </w:p>
    <w:p w14:paraId="2DFF2EF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Много чести: гадене</w:t>
      </w:r>
    </w:p>
    <w:p w14:paraId="31B9D7AE"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Чести: диария, коремна болка</w:t>
      </w:r>
    </w:p>
    <w:p w14:paraId="41940427"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илеус, панкреатит, повръщане, диспепсия, констипация, анорексия, стомашно дразнене, сухота в устата, пептична язва</w:t>
      </w:r>
    </w:p>
    <w:p w14:paraId="6670331E"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стоматит/афтозни улцерации, глосит</w:t>
      </w:r>
    </w:p>
    <w:p w14:paraId="7965F5C3"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Много редки: интестинален ангиоедем</w:t>
      </w:r>
    </w:p>
    <w:p w14:paraId="7B06BC17" w14:textId="77777777" w:rsidR="005C76A8" w:rsidRPr="005C76A8" w:rsidRDefault="005C76A8" w:rsidP="005C76A8">
      <w:pPr>
        <w:spacing w:line="240" w:lineRule="auto"/>
        <w:rPr>
          <w:rFonts w:eastAsia="Times New Roman" w:cs="Arial"/>
          <w:i/>
          <w:iCs/>
          <w:color w:val="000000"/>
          <w:lang w:eastAsia="bg-BG"/>
        </w:rPr>
      </w:pPr>
    </w:p>
    <w:p w14:paraId="5792414F" w14:textId="5EC9B3E2"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Хепатобилиарни нарушения:</w:t>
      </w:r>
    </w:p>
    <w:p w14:paraId="20E05D20"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чернодробна недостатъчност, хепатит - хепатоцелуларен или холестатичен, включително чернодробна некроза, холецистит (включително жълтеница)</w:t>
      </w:r>
    </w:p>
    <w:p w14:paraId="3573AD41" w14:textId="77777777" w:rsidR="005C76A8" w:rsidRPr="005C76A8" w:rsidRDefault="005C76A8" w:rsidP="005C76A8">
      <w:pPr>
        <w:spacing w:line="240" w:lineRule="auto"/>
        <w:rPr>
          <w:rFonts w:eastAsia="Times New Roman" w:cs="Arial"/>
          <w:i/>
          <w:iCs/>
          <w:color w:val="000000"/>
          <w:lang w:eastAsia="bg-BG"/>
        </w:rPr>
      </w:pPr>
    </w:p>
    <w:p w14:paraId="5A615DE7" w14:textId="4C6ABA23"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кожата и подкожната тъкан</w:t>
      </w:r>
    </w:p>
    <w:p w14:paraId="645C597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Чести: обрив, свръхчувствителност/ангионевротичен оток: ангионевротичен оток на лицето, крайниците, устните, езика, глотиса и/или ларинкса (вж. точка 4.4).</w:t>
      </w:r>
    </w:p>
    <w:p w14:paraId="45E1B97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диафореза, сърбеж, уртикария, алопеция</w:t>
      </w:r>
    </w:p>
    <w:p w14:paraId="7F951F1C"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Редки: еритема мултиформе, синдром на </w:t>
      </w:r>
      <w:r w:rsidRPr="005C76A8">
        <w:rPr>
          <w:rFonts w:eastAsia="Times New Roman" w:cs="Arial"/>
          <w:color w:val="000000"/>
          <w:lang w:val="en-US"/>
        </w:rPr>
        <w:t>Stevens</w:t>
      </w:r>
      <w:r w:rsidRPr="005C76A8">
        <w:rPr>
          <w:rFonts w:eastAsia="Times New Roman" w:cs="Arial"/>
          <w:color w:val="000000"/>
        </w:rPr>
        <w:t>-</w:t>
      </w:r>
      <w:r w:rsidRPr="005C76A8">
        <w:rPr>
          <w:rFonts w:eastAsia="Times New Roman" w:cs="Arial"/>
          <w:color w:val="000000"/>
          <w:lang w:val="en-US"/>
        </w:rPr>
        <w:t>Johnson</w:t>
      </w:r>
      <w:r w:rsidRPr="005C76A8">
        <w:rPr>
          <w:rFonts w:eastAsia="Times New Roman" w:cs="Arial"/>
          <w:color w:val="000000"/>
        </w:rPr>
        <w:t xml:space="preserve">, </w:t>
      </w:r>
      <w:r w:rsidRPr="005C76A8">
        <w:rPr>
          <w:rFonts w:eastAsia="Times New Roman" w:cs="Arial"/>
          <w:color w:val="000000"/>
          <w:lang w:eastAsia="bg-BG"/>
        </w:rPr>
        <w:t>ексфолиативен дерматит, токсична епидермална некролиза, пемфигус, еритродермия</w:t>
      </w:r>
    </w:p>
    <w:p w14:paraId="16D7724E" w14:textId="73968B2B"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Съобщаван е симптомокомплекс, който може да включва някоя или всички от следните нежелани ефекти: повишена температура, серозит, васкулит, миалгия/миозит, артралгия/артрит, положителен </w:t>
      </w:r>
      <w:r w:rsidRPr="005C76A8">
        <w:rPr>
          <w:rFonts w:eastAsia="Times New Roman" w:cs="Arial"/>
          <w:color w:val="000000"/>
          <w:lang w:val="en-US"/>
        </w:rPr>
        <w:t>ANA</w:t>
      </w:r>
      <w:r w:rsidRPr="005C76A8">
        <w:rPr>
          <w:rFonts w:eastAsia="Times New Roman" w:cs="Arial"/>
          <w:color w:val="000000"/>
          <w:lang w:val="ru-RU"/>
        </w:rPr>
        <w:t xml:space="preserve"> </w:t>
      </w:r>
      <w:r w:rsidRPr="005C76A8">
        <w:rPr>
          <w:rFonts w:eastAsia="Times New Roman" w:cs="Arial"/>
          <w:color w:val="000000"/>
          <w:lang w:eastAsia="bg-BG"/>
        </w:rPr>
        <w:t>тигър, повишено СУЕ, еозинофилия и левкоцитоза. Може да се проявят кожен обрив, фоточувствителност или други кожни изяви.</w:t>
      </w:r>
    </w:p>
    <w:p w14:paraId="3A69306E" w14:textId="77777777" w:rsidR="005C76A8" w:rsidRPr="005C76A8" w:rsidRDefault="005C76A8" w:rsidP="005C76A8">
      <w:pPr>
        <w:spacing w:line="240" w:lineRule="auto"/>
        <w:rPr>
          <w:rFonts w:eastAsia="Times New Roman" w:cs="Arial"/>
          <w:i/>
          <w:iCs/>
          <w:color w:val="000000"/>
          <w:lang w:eastAsia="bg-BG"/>
        </w:rPr>
      </w:pPr>
    </w:p>
    <w:p w14:paraId="6248DAFF" w14:textId="31CA569A"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мускулно-скелетната система и съединителната тъкан</w:t>
      </w:r>
    </w:p>
    <w:p w14:paraId="20065F7A"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мускулни крампи</w:t>
      </w:r>
    </w:p>
    <w:p w14:paraId="6F89B853" w14:textId="77777777" w:rsidR="005C76A8" w:rsidRPr="005C76A8" w:rsidRDefault="005C76A8" w:rsidP="005C76A8">
      <w:pPr>
        <w:spacing w:line="240" w:lineRule="auto"/>
        <w:rPr>
          <w:rFonts w:eastAsia="Times New Roman" w:cs="Arial"/>
          <w:i/>
          <w:iCs/>
          <w:color w:val="000000"/>
          <w:lang w:eastAsia="bg-BG"/>
        </w:rPr>
      </w:pPr>
    </w:p>
    <w:p w14:paraId="2F8981F2" w14:textId="7165F58B"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бъбреците и пикочните пътища</w:t>
      </w:r>
    </w:p>
    <w:p w14:paraId="494AE45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бъбречна дисфункция, бъбречна недостатъчност, протеинурия</w:t>
      </w:r>
    </w:p>
    <w:p w14:paraId="59271674"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олигурия</w:t>
      </w:r>
    </w:p>
    <w:p w14:paraId="3F903839" w14:textId="77777777" w:rsidR="005C76A8" w:rsidRPr="005C76A8" w:rsidRDefault="005C76A8" w:rsidP="005C76A8">
      <w:pPr>
        <w:spacing w:line="240" w:lineRule="auto"/>
        <w:rPr>
          <w:rFonts w:eastAsia="Times New Roman" w:cs="Arial"/>
          <w:i/>
          <w:iCs/>
          <w:color w:val="000000"/>
          <w:lang w:eastAsia="bg-BG"/>
        </w:rPr>
      </w:pPr>
    </w:p>
    <w:p w14:paraId="4B953E1A" w14:textId="11713879"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Нарушения на възпроизводителната система и гърдата</w:t>
      </w:r>
    </w:p>
    <w:p w14:paraId="377C3CBE"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импотентност</w:t>
      </w:r>
    </w:p>
    <w:p w14:paraId="343321F0"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гинекомастия</w:t>
      </w:r>
    </w:p>
    <w:p w14:paraId="47FFBC48" w14:textId="77777777" w:rsidR="005C76A8" w:rsidRPr="005C76A8" w:rsidRDefault="005C76A8" w:rsidP="005C76A8">
      <w:pPr>
        <w:spacing w:line="240" w:lineRule="auto"/>
        <w:rPr>
          <w:rFonts w:eastAsia="Times New Roman" w:cs="Arial"/>
          <w:i/>
          <w:iCs/>
          <w:color w:val="000000"/>
          <w:lang w:eastAsia="bg-BG"/>
        </w:rPr>
      </w:pPr>
    </w:p>
    <w:p w14:paraId="28A9B0A8" w14:textId="1AC9BA60"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Общи нарушения и ефекти на мястото на приложение</w:t>
      </w:r>
    </w:p>
    <w:p w14:paraId="10EAE6EA"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Много чести: астения</w:t>
      </w:r>
    </w:p>
    <w:p w14:paraId="1EA9563B"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Чести: умора</w:t>
      </w:r>
    </w:p>
    <w:p w14:paraId="615DEA40"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общо неразположение, висока температура</w:t>
      </w:r>
    </w:p>
    <w:p w14:paraId="0F2A3475" w14:textId="77777777" w:rsidR="005C76A8" w:rsidRPr="005C76A8" w:rsidRDefault="005C76A8" w:rsidP="005C76A8">
      <w:pPr>
        <w:spacing w:line="240" w:lineRule="auto"/>
        <w:rPr>
          <w:rFonts w:eastAsia="Times New Roman" w:cs="Arial"/>
          <w:i/>
          <w:iCs/>
          <w:color w:val="000000"/>
          <w:lang w:eastAsia="bg-BG"/>
        </w:rPr>
      </w:pPr>
    </w:p>
    <w:p w14:paraId="6AF08AC4" w14:textId="38E6F3F8" w:rsidR="005C76A8" w:rsidRPr="005C76A8" w:rsidRDefault="005C76A8" w:rsidP="005C76A8">
      <w:pPr>
        <w:spacing w:line="240" w:lineRule="auto"/>
        <w:rPr>
          <w:rFonts w:eastAsia="Times New Roman" w:cs="Arial"/>
        </w:rPr>
      </w:pPr>
      <w:r w:rsidRPr="005C76A8">
        <w:rPr>
          <w:rFonts w:eastAsia="Times New Roman" w:cs="Arial"/>
          <w:i/>
          <w:iCs/>
          <w:color w:val="000000"/>
          <w:lang w:eastAsia="bg-BG"/>
        </w:rPr>
        <w:t>Изследвания</w:t>
      </w:r>
    </w:p>
    <w:p w14:paraId="29086229"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lastRenderedPageBreak/>
        <w:t>Чести: хиперкалиемия, повишен серумен креатинин</w:t>
      </w:r>
    </w:p>
    <w:p w14:paraId="41AA9A88"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Нечести: повишена урея, хипонатриемия</w:t>
      </w:r>
    </w:p>
    <w:p w14:paraId="48F732DD"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Редки: повишени стойности на чернодробните ензими, повишени стойности на билирубин</w:t>
      </w:r>
    </w:p>
    <w:p w14:paraId="4E6731DC" w14:textId="77777777" w:rsidR="005C76A8" w:rsidRPr="005C76A8" w:rsidRDefault="005C76A8" w:rsidP="005C76A8">
      <w:pPr>
        <w:spacing w:line="240" w:lineRule="auto"/>
        <w:rPr>
          <w:rFonts w:eastAsia="Times New Roman" w:cs="Arial"/>
        </w:rPr>
      </w:pPr>
    </w:p>
    <w:p w14:paraId="0E960B0F" w14:textId="612B2B4B" w:rsidR="005C76A8" w:rsidRPr="005C76A8" w:rsidRDefault="005C76A8" w:rsidP="005C76A8">
      <w:pPr>
        <w:spacing w:line="240" w:lineRule="auto"/>
        <w:rPr>
          <w:rFonts w:eastAsia="Times New Roman" w:cs="Arial"/>
        </w:rPr>
      </w:pPr>
      <w:r w:rsidRPr="005C76A8">
        <w:rPr>
          <w:rFonts w:eastAsia="Times New Roman" w:cs="Arial"/>
          <w:color w:val="000000"/>
          <w:lang w:eastAsia="bg-BG"/>
        </w:rPr>
        <w:t>* В клиничните изпитвания честотата на тези в групата на плацебо и тези в групата на активната контрола е била сравнима.</w:t>
      </w:r>
    </w:p>
    <w:p w14:paraId="32C5FC5E" w14:textId="5028BE54" w:rsidR="005C76A8" w:rsidRPr="005C76A8" w:rsidRDefault="005C76A8" w:rsidP="005C76A8">
      <w:pPr>
        <w:rPr>
          <w:rFonts w:cs="Arial"/>
        </w:rPr>
      </w:pPr>
    </w:p>
    <w:p w14:paraId="5A721AA0" w14:textId="77777777" w:rsidR="005C76A8" w:rsidRPr="005C76A8" w:rsidRDefault="005C76A8" w:rsidP="005C76A8">
      <w:pPr>
        <w:spacing w:line="240" w:lineRule="auto"/>
        <w:rPr>
          <w:rFonts w:eastAsia="Times New Roman" w:cs="Arial"/>
        </w:rPr>
      </w:pPr>
      <w:r w:rsidRPr="005C76A8">
        <w:rPr>
          <w:rFonts w:eastAsia="Times New Roman" w:cs="Arial"/>
          <w:color w:val="000000"/>
          <w:u w:val="single"/>
          <w:lang w:eastAsia="bg-BG"/>
        </w:rPr>
        <w:t>Съобщаване на подозирани нежелани реакции</w:t>
      </w:r>
    </w:p>
    <w:p w14:paraId="66743F85" w14:textId="77777777" w:rsidR="005C76A8" w:rsidRPr="005C76A8" w:rsidRDefault="005C76A8" w:rsidP="005C76A8">
      <w:pPr>
        <w:spacing w:line="240" w:lineRule="auto"/>
        <w:rPr>
          <w:rFonts w:eastAsia="Times New Roman" w:cs="Arial"/>
        </w:rPr>
      </w:pPr>
      <w:r w:rsidRPr="005C76A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нежелани реакция към: Изпълнителна агенция по лекарствата, ул. „Дамян Груев” № 8, 1303 София, Тел.: +35928903417, уебсайт: </w:t>
      </w:r>
      <w:r w:rsidRPr="005C76A8">
        <w:rPr>
          <w:rFonts w:eastAsia="Times New Roman" w:cs="Arial"/>
        </w:rPr>
        <w:fldChar w:fldCharType="begin"/>
      </w:r>
      <w:r w:rsidRPr="005C76A8">
        <w:rPr>
          <w:rFonts w:eastAsia="Times New Roman" w:cs="Arial"/>
        </w:rPr>
        <w:instrText xml:space="preserve"> HYPERLINK "http://www.bda.bg" </w:instrText>
      </w:r>
      <w:r w:rsidRPr="005C76A8">
        <w:rPr>
          <w:rFonts w:eastAsia="Times New Roman" w:cs="Arial"/>
        </w:rPr>
      </w:r>
      <w:r w:rsidRPr="005C76A8">
        <w:rPr>
          <w:rFonts w:eastAsia="Times New Roman" w:cs="Arial"/>
        </w:rPr>
        <w:fldChar w:fldCharType="separate"/>
      </w:r>
      <w:r w:rsidRPr="005C76A8">
        <w:rPr>
          <w:rFonts w:eastAsia="Times New Roman" w:cs="Arial"/>
          <w:color w:val="000000"/>
          <w:lang w:val="en-US"/>
        </w:rPr>
        <w:t>www.bda.bg</w:t>
      </w:r>
      <w:r w:rsidRPr="005C76A8">
        <w:rPr>
          <w:rFonts w:eastAsia="Times New Roman" w:cs="Arial"/>
        </w:rPr>
        <w:fldChar w:fldCharType="end"/>
      </w:r>
      <w:r w:rsidRPr="005C76A8">
        <w:rPr>
          <w:rFonts w:eastAsia="Times New Roman" w:cs="Arial"/>
          <w:color w:val="000000"/>
          <w:lang w:val="en-US"/>
        </w:rPr>
        <w:t>.</w:t>
      </w:r>
    </w:p>
    <w:p w14:paraId="461A6D70" w14:textId="77777777" w:rsidR="005C76A8" w:rsidRPr="005C76A8" w:rsidRDefault="005C76A8" w:rsidP="005C76A8"/>
    <w:p w14:paraId="5A87DBA3" w14:textId="500D9FFC" w:rsidR="007122AD" w:rsidRDefault="002C50EE" w:rsidP="00936AD0">
      <w:pPr>
        <w:pStyle w:val="Heading2"/>
      </w:pPr>
      <w:r>
        <w:t>4.9. Предозиране</w:t>
      </w:r>
    </w:p>
    <w:p w14:paraId="35BF749E" w14:textId="0CE9A4B9" w:rsidR="005C76A8" w:rsidRDefault="005C76A8" w:rsidP="005C76A8"/>
    <w:p w14:paraId="2D713EC5" w14:textId="77777777" w:rsidR="005C76A8" w:rsidRPr="005C76A8" w:rsidRDefault="005C76A8" w:rsidP="00755439">
      <w:pPr>
        <w:rPr>
          <w:sz w:val="24"/>
          <w:szCs w:val="24"/>
        </w:rPr>
      </w:pPr>
      <w:r w:rsidRPr="005C76A8">
        <w:rPr>
          <w:lang w:eastAsia="bg-BG"/>
        </w:rPr>
        <w:t xml:space="preserve">Има ограничени данни за предозиране при хора. Най-характерните белези на предозирането са: изразена хипотония, започваща около 6 часа след поемане на таблетката и съпътствана от блокиране на ренин-ангиотензин-алдостероновата система и ступор. В резултат на предозиране на АСЕ-инхибитори могат да се проявят симптоми като циркулаторен шок, електролитен дисбаланс, бъбречна недостатъчност, хипервентилация, тахикардия, сърцебиене, брадикардия, замаяност, безпокойство и кашлица. Нивата на серумния еналаприлат са 100 и 200 пъти по- високи след приемане на 300 </w:t>
      </w:r>
      <w:r w:rsidRPr="005C76A8">
        <w:rPr>
          <w:lang w:val="en-US"/>
        </w:rPr>
        <w:t>mg</w:t>
      </w:r>
      <w:r w:rsidRPr="005C76A8">
        <w:rPr>
          <w:lang w:val="ru-RU"/>
        </w:rPr>
        <w:t xml:space="preserve">, </w:t>
      </w:r>
      <w:r w:rsidRPr="005C76A8">
        <w:rPr>
          <w:lang w:eastAsia="bg-BG"/>
        </w:rPr>
        <w:t xml:space="preserve">респективно 440 </w:t>
      </w:r>
      <w:r w:rsidRPr="005C76A8">
        <w:rPr>
          <w:lang w:val="en-US"/>
        </w:rPr>
        <w:t>mg</w:t>
      </w:r>
      <w:r w:rsidRPr="005C76A8">
        <w:rPr>
          <w:lang w:val="ru-RU"/>
        </w:rPr>
        <w:t xml:space="preserve"> </w:t>
      </w:r>
      <w:r w:rsidRPr="005C76A8">
        <w:rPr>
          <w:lang w:eastAsia="bg-BG"/>
        </w:rPr>
        <w:t>в сравнение с обичайно наблюдаваните след терапевтично дозиране.</w:t>
      </w:r>
    </w:p>
    <w:p w14:paraId="7A610015" w14:textId="55F2FAAF" w:rsidR="005C76A8" w:rsidRDefault="005C76A8" w:rsidP="005C76A8">
      <w:pPr>
        <w:rPr>
          <w:lang w:eastAsia="bg-BG"/>
        </w:rPr>
      </w:pPr>
      <w:r w:rsidRPr="005C76A8">
        <w:rPr>
          <w:lang w:eastAsia="bg-BG"/>
        </w:rPr>
        <w:t xml:space="preserve">Препоръчителните мерки при предозиране включват интравенозна </w:t>
      </w:r>
      <w:r w:rsidRPr="005C76A8">
        <w:rPr>
          <w:lang w:val="ru-RU"/>
        </w:rPr>
        <w:t>(</w:t>
      </w:r>
      <w:proofErr w:type="spellStart"/>
      <w:r w:rsidRPr="005C76A8">
        <w:rPr>
          <w:lang w:val="en-US"/>
        </w:rPr>
        <w:t>i</w:t>
      </w:r>
      <w:proofErr w:type="spellEnd"/>
      <w:r w:rsidRPr="005C76A8">
        <w:rPr>
          <w:lang w:val="ru-RU"/>
        </w:rPr>
        <w:t>.</w:t>
      </w:r>
      <w:r w:rsidRPr="005C76A8">
        <w:rPr>
          <w:lang w:val="en-US"/>
        </w:rPr>
        <w:t>v</w:t>
      </w:r>
      <w:r w:rsidRPr="005C76A8">
        <w:rPr>
          <w:lang w:val="ru-RU"/>
        </w:rPr>
        <w:t xml:space="preserve">.) </w:t>
      </w:r>
      <w:r w:rsidRPr="005C76A8">
        <w:rPr>
          <w:lang w:eastAsia="bg-BG"/>
        </w:rPr>
        <w:t>инфузия на физиологичен разтвор. Ако настъпи хипотония, пациентът трябва да се постави в легнало положение с повдигнати крака. Ако е налична инфузия на ангиотензин II и/или инфузия на катехоламини може да бъде от полза. Ако приемането на препарата е станало скоро, трябва да се вземат мерки за отстраняването на еналаприл малеат (напр. повръщане, стомашна промивка, приложение на абсорбенти и натриев сулфат). Еналаприлат може да бъде елиминиран от общото кръвообръщение чрез хемодиализа (вж. точка 4.4). Пейсмейкър терапията е показана при резистентна брадикардия. Виталните показатели, серумните електролити и концентрациите на креатинина трябва постоянно да се мониторират.</w:t>
      </w:r>
    </w:p>
    <w:p w14:paraId="6587F18D" w14:textId="77777777" w:rsidR="00755439" w:rsidRPr="00755439" w:rsidRDefault="00755439" w:rsidP="005C76A8">
      <w:pPr>
        <w:rPr>
          <w:sz w:val="24"/>
          <w:szCs w:val="24"/>
        </w:rPr>
      </w:pPr>
    </w:p>
    <w:p w14:paraId="02081B24" w14:textId="1F46E296" w:rsidR="00395555" w:rsidRPr="00395555" w:rsidRDefault="002C50EE" w:rsidP="008A6AF2">
      <w:pPr>
        <w:pStyle w:val="Heading1"/>
      </w:pPr>
      <w:r>
        <w:t>5. ФАРМАКОЛОГИЧНИ СВОЙСТВА</w:t>
      </w:r>
    </w:p>
    <w:p w14:paraId="7DE36AC8" w14:textId="4E9C55B8" w:rsidR="00B6672E" w:rsidRDefault="002C50EE" w:rsidP="00936AD0">
      <w:pPr>
        <w:pStyle w:val="Heading2"/>
      </w:pPr>
      <w:r>
        <w:t>5.1. Фармакодинамични свойства</w:t>
      </w:r>
    </w:p>
    <w:p w14:paraId="5E915EC4" w14:textId="09ED66C3" w:rsidR="00755439" w:rsidRDefault="00755439" w:rsidP="00755439"/>
    <w:p w14:paraId="2191CB5E"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Фармакотерапевтична група: инхибитор на ангиотензин-конвертиращия ензим;</w:t>
      </w:r>
    </w:p>
    <w:p w14:paraId="713396A2"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АТС код: С09АА 02</w:t>
      </w:r>
    </w:p>
    <w:p w14:paraId="1DD8212F" w14:textId="77777777" w:rsidR="00755439" w:rsidRPr="00755439" w:rsidRDefault="00755439" w:rsidP="00755439">
      <w:pPr>
        <w:spacing w:line="240" w:lineRule="auto"/>
        <w:rPr>
          <w:rFonts w:eastAsia="Times New Roman" w:cs="Arial"/>
          <w:color w:val="000000"/>
          <w:lang w:eastAsia="bg-BG"/>
        </w:rPr>
      </w:pPr>
    </w:p>
    <w:p w14:paraId="6326BB9C" w14:textId="173315CD"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Еналаприл малеат е производно на две аминокиселини - </w:t>
      </w:r>
      <w:r w:rsidRPr="00755439">
        <w:rPr>
          <w:rFonts w:eastAsia="Times New Roman" w:cs="Arial"/>
          <w:color w:val="000000"/>
          <w:lang w:val="en-US"/>
        </w:rPr>
        <w:t>L</w:t>
      </w:r>
      <w:r w:rsidRPr="00755439">
        <w:rPr>
          <w:rFonts w:eastAsia="Times New Roman" w:cs="Arial"/>
          <w:color w:val="000000"/>
          <w:lang w:eastAsia="bg-BG"/>
        </w:rPr>
        <w:t xml:space="preserve">-аланин и </w:t>
      </w:r>
      <w:r w:rsidRPr="00755439">
        <w:rPr>
          <w:rFonts w:eastAsia="Times New Roman" w:cs="Arial"/>
          <w:color w:val="000000"/>
          <w:lang w:val="en-US"/>
        </w:rPr>
        <w:t>L</w:t>
      </w:r>
      <w:r w:rsidRPr="00755439">
        <w:rPr>
          <w:rFonts w:eastAsia="Times New Roman" w:cs="Arial"/>
          <w:color w:val="000000"/>
          <w:lang w:eastAsia="bg-BG"/>
        </w:rPr>
        <w:t>-пролин. Ангиотензин- конвертиращият ензим (АСЕ) е пептидил дипептидаза, която катализира конверсията на ангиотензин I до пресорната субстанция ангиотензин II. След абсорбцията, еналаприл се хидролизира до еналаприлат, който инхибира ангиотензин-</w:t>
      </w:r>
      <w:r w:rsidRPr="00755439">
        <w:rPr>
          <w:rFonts w:eastAsia="Times New Roman" w:cs="Arial"/>
          <w:color w:val="000000"/>
          <w:lang w:eastAsia="bg-BG"/>
        </w:rPr>
        <w:lastRenderedPageBreak/>
        <w:t>конвертиращия ензим (АСЕ). Инхибирането на АСЕ води до намаляване на на плазмения ангиотензин II, което води до увеличаване на плазмената ренинова активност (в резултат на премахване на негативната обратна връзка на рениново освобождаване) и намаляване на алдостероновата секреция.</w:t>
      </w:r>
    </w:p>
    <w:p w14:paraId="00094572" w14:textId="77777777" w:rsidR="00755439" w:rsidRPr="00755439" w:rsidRDefault="00755439" w:rsidP="00755439">
      <w:pPr>
        <w:spacing w:line="240" w:lineRule="auto"/>
        <w:rPr>
          <w:rFonts w:eastAsia="Times New Roman" w:cs="Arial"/>
          <w:color w:val="000000"/>
          <w:lang w:eastAsia="bg-BG"/>
        </w:rPr>
      </w:pPr>
    </w:p>
    <w:p w14:paraId="5FF84C20" w14:textId="077DCC0A"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АСЕ е идентичен на кининаза II. Така еналаприл може също да блокира разграждането на брадикинин, мощен вазодепресорен пептид. Обаче ролята на този ефект на еналаприл в терапевтично отношение остава да се изясни.</w:t>
      </w:r>
    </w:p>
    <w:p w14:paraId="3CF3F9F7" w14:textId="77777777" w:rsidR="00755439" w:rsidRPr="00755439" w:rsidRDefault="00755439" w:rsidP="00755439">
      <w:pPr>
        <w:spacing w:line="240" w:lineRule="auto"/>
        <w:rPr>
          <w:rFonts w:eastAsia="Times New Roman" w:cs="Arial"/>
          <w:color w:val="000000"/>
          <w:u w:val="single"/>
          <w:lang w:eastAsia="bg-BG"/>
        </w:rPr>
      </w:pPr>
    </w:p>
    <w:p w14:paraId="538D5C83" w14:textId="7EB9E786" w:rsidR="00755439" w:rsidRPr="00755439" w:rsidRDefault="00755439" w:rsidP="00755439">
      <w:pPr>
        <w:spacing w:line="240" w:lineRule="auto"/>
        <w:rPr>
          <w:rFonts w:eastAsia="Times New Roman" w:cs="Arial"/>
          <w:sz w:val="24"/>
          <w:szCs w:val="24"/>
        </w:rPr>
      </w:pPr>
      <w:r w:rsidRPr="00755439">
        <w:rPr>
          <w:rFonts w:eastAsia="Times New Roman" w:cs="Arial"/>
          <w:color w:val="000000"/>
          <w:u w:val="single"/>
          <w:lang w:eastAsia="bg-BG"/>
        </w:rPr>
        <w:t>Механизъм на действие</w:t>
      </w:r>
    </w:p>
    <w:p w14:paraId="7122F537"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Въпреки че се счита, че механизмът, чрез който еналаприл понижава кръвното налягане, е първично потискане на ренин-ангиотензин-алдостеронова система, която играе главна роля в регулацията на кръвното налягане, еналаприл има антихипертензивен ефект, дори при пациенти с ниско-ренинова хипертония.</w:t>
      </w:r>
    </w:p>
    <w:p w14:paraId="23468A2A" w14:textId="77777777" w:rsidR="00755439" w:rsidRPr="00755439" w:rsidRDefault="00755439" w:rsidP="00755439">
      <w:pPr>
        <w:spacing w:line="240" w:lineRule="auto"/>
        <w:rPr>
          <w:rFonts w:eastAsia="Times New Roman" w:cs="Arial"/>
          <w:color w:val="000000"/>
          <w:u w:val="single"/>
          <w:lang w:eastAsia="bg-BG"/>
        </w:rPr>
      </w:pPr>
    </w:p>
    <w:p w14:paraId="652620D6" w14:textId="76C94AC6" w:rsidR="00755439" w:rsidRPr="00755439" w:rsidRDefault="00755439" w:rsidP="00755439">
      <w:pPr>
        <w:spacing w:line="240" w:lineRule="auto"/>
        <w:rPr>
          <w:rFonts w:eastAsia="Times New Roman" w:cs="Arial"/>
          <w:sz w:val="24"/>
          <w:szCs w:val="24"/>
        </w:rPr>
      </w:pPr>
      <w:r w:rsidRPr="00755439">
        <w:rPr>
          <w:rFonts w:eastAsia="Times New Roman" w:cs="Arial"/>
          <w:color w:val="000000"/>
          <w:u w:val="single"/>
          <w:lang w:eastAsia="bg-BG"/>
        </w:rPr>
        <w:t>Фармакодинамични ефекти</w:t>
      </w:r>
    </w:p>
    <w:p w14:paraId="02C69447"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Приемът на еналаприл при пациенти с хипертония води до намаляване на кръвното налягане</w:t>
      </w:r>
      <w:r w:rsidRPr="00755439">
        <w:rPr>
          <w:rFonts w:eastAsia="Times New Roman" w:cs="Arial"/>
          <w:color w:val="000000"/>
          <w:vertAlign w:val="superscript"/>
          <w:lang w:eastAsia="bg-BG"/>
        </w:rPr>
        <w:t xml:space="preserve"> </w:t>
      </w:r>
      <w:r w:rsidRPr="00755439">
        <w:rPr>
          <w:rFonts w:eastAsia="Times New Roman" w:cs="Arial"/>
          <w:color w:val="000000"/>
          <w:lang w:eastAsia="bg-BG"/>
        </w:rPr>
        <w:t>както в легнало, така и в изправено положение без значително увеличаване на сърдечната честота.</w:t>
      </w:r>
    </w:p>
    <w:p w14:paraId="738C0D58" w14:textId="642F2707" w:rsidR="00755439" w:rsidRPr="00755439" w:rsidRDefault="00755439" w:rsidP="00755439">
      <w:pPr>
        <w:rPr>
          <w:rFonts w:cs="Arial"/>
        </w:rPr>
      </w:pPr>
    </w:p>
    <w:p w14:paraId="59381EED"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Симптоматичната ортостатична хипотония е рядка. При някои пациенти оптималното понижаване на кръвното налягане може да изисква продължителност на терапията няколко седмици. Внезапното спиране на еналаприл не би трябвало да се свързва с рязко увеличаване на кръвното налягане.</w:t>
      </w:r>
    </w:p>
    <w:p w14:paraId="59074AAE"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Ефективно инхибиране на АСЕ активността обикновено настъпва на 2-ия до 4-ия час след перорален прием на единична доза еналаприл. Началото на антихипертензивната активност е наблюдавано обикновено на първия час с максималното намаляване на кръвното налягане, постигнато на 4-ия до 6-ия час след приема. Продължителността на ефекта е зависима от дозата. При препоръчителните дози обаче, антихипертензивният и хемодинамичен ефект се поддържат най-малко 24 часа.</w:t>
      </w:r>
    </w:p>
    <w:p w14:paraId="26B01246" w14:textId="77777777" w:rsidR="00755439" w:rsidRPr="00755439" w:rsidRDefault="00755439" w:rsidP="00755439">
      <w:pPr>
        <w:spacing w:line="240" w:lineRule="auto"/>
        <w:rPr>
          <w:rFonts w:eastAsia="Times New Roman" w:cs="Arial"/>
          <w:color w:val="000000"/>
          <w:lang w:eastAsia="bg-BG"/>
        </w:rPr>
      </w:pPr>
    </w:p>
    <w:p w14:paraId="07C8D439" w14:textId="76188B9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В хемодинамични изследвания при пациенти с есенциална хипертония, спадането на кръвното налягане е свързано с редукция на периферното съдово съпротивление, повишение на сърдечния дебит и отсъстваща или слаба промяна на сърдечната честота. След прием на еналаприл се повишава бъбречният кръвоток, а скоростта на гломерулната филтрация остава непроменена. Няма признаци за задръжка на натрий и вода. Обаче при пациенти с ниска скорост на гломерулната филтрация преди лечението тази скорост обикновено се увеличава.</w:t>
      </w:r>
    </w:p>
    <w:p w14:paraId="31608FA4" w14:textId="77777777" w:rsidR="00755439" w:rsidRPr="00755439" w:rsidRDefault="00755439" w:rsidP="00755439">
      <w:pPr>
        <w:spacing w:line="240" w:lineRule="auto"/>
        <w:rPr>
          <w:rFonts w:eastAsia="Times New Roman" w:cs="Arial"/>
          <w:color w:val="000000"/>
          <w:lang w:eastAsia="bg-BG"/>
        </w:rPr>
      </w:pPr>
    </w:p>
    <w:p w14:paraId="3E824E79" w14:textId="4BB9C8FE"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При провеждане на краткосрочни клинични проучвания при пациенти с бъбречни заболявания с и без придружаващ диабет, след приложение на еналаприл са наблюдавани намаляване на албуминурията, екскрецията на уринни </w:t>
      </w:r>
      <w:r w:rsidRPr="00755439">
        <w:rPr>
          <w:rFonts w:eastAsia="Times New Roman" w:cs="Arial"/>
          <w:color w:val="000000"/>
          <w:lang w:val="en-US"/>
        </w:rPr>
        <w:t>IgG</w:t>
      </w:r>
      <w:r w:rsidRPr="00755439">
        <w:rPr>
          <w:rFonts w:eastAsia="Times New Roman" w:cs="Arial"/>
          <w:color w:val="000000"/>
          <w:lang w:val="ru-RU"/>
        </w:rPr>
        <w:t xml:space="preserve"> </w:t>
      </w:r>
      <w:r w:rsidRPr="00755439">
        <w:rPr>
          <w:rFonts w:eastAsia="Times New Roman" w:cs="Arial"/>
          <w:color w:val="000000"/>
          <w:lang w:eastAsia="bg-BG"/>
        </w:rPr>
        <w:t>и на протеини в урината.</w:t>
      </w:r>
    </w:p>
    <w:p w14:paraId="44160840" w14:textId="77777777" w:rsidR="00755439" w:rsidRPr="00755439" w:rsidRDefault="00755439" w:rsidP="00755439">
      <w:pPr>
        <w:spacing w:line="240" w:lineRule="auto"/>
        <w:rPr>
          <w:rFonts w:eastAsia="Times New Roman" w:cs="Arial"/>
          <w:color w:val="000000"/>
          <w:lang w:eastAsia="bg-BG"/>
        </w:rPr>
      </w:pPr>
    </w:p>
    <w:p w14:paraId="2809418A" w14:textId="60735879"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Ако еналаприл се прилага съвместно с тиазидни диуретици, ефектът на намаляване на кръвното налягане е адитивен. Еналаприл може да намали или предотврати развитието на тиазид- индуцираната хипокалиемия.</w:t>
      </w:r>
    </w:p>
    <w:p w14:paraId="7A598032" w14:textId="77777777" w:rsidR="00755439" w:rsidRPr="00755439" w:rsidRDefault="00755439" w:rsidP="00755439">
      <w:pPr>
        <w:spacing w:line="240" w:lineRule="auto"/>
        <w:rPr>
          <w:rFonts w:eastAsia="Times New Roman" w:cs="Arial"/>
          <w:color w:val="000000"/>
          <w:lang w:eastAsia="bg-BG"/>
        </w:rPr>
      </w:pPr>
    </w:p>
    <w:p w14:paraId="06240CD9" w14:textId="1C47677A"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При пациенти със сърдечна недостатъчност, лекувани с дигиталисови гликозиди и диуретици, терапията с перорален и инжекционен еналаприл е била свързана с намаляване на периферното съпротивление и кръвното налягане. Сърдечният дебит се </w:t>
      </w:r>
      <w:r w:rsidRPr="00755439">
        <w:rPr>
          <w:rFonts w:eastAsia="Times New Roman" w:cs="Arial"/>
          <w:color w:val="000000"/>
          <w:lang w:eastAsia="bg-BG"/>
        </w:rPr>
        <w:lastRenderedPageBreak/>
        <w:t xml:space="preserve">повишава, докато сърдечната честота (обикновено увеличена при пациенти със сърдечна недостатъчност) се понижава. Белодробното капилярно заклинено налягане също се понижава. Според критериите за оценка на </w:t>
      </w:r>
      <w:r w:rsidRPr="00755439">
        <w:rPr>
          <w:rFonts w:eastAsia="Times New Roman" w:cs="Arial"/>
          <w:color w:val="000000"/>
          <w:lang w:val="en-US"/>
        </w:rPr>
        <w:t>New</w:t>
      </w:r>
      <w:r w:rsidRPr="00755439">
        <w:rPr>
          <w:rFonts w:eastAsia="Times New Roman" w:cs="Arial"/>
          <w:color w:val="000000"/>
          <w:lang w:val="ru-RU"/>
        </w:rPr>
        <w:t xml:space="preserve"> </w:t>
      </w:r>
      <w:r w:rsidRPr="00755439">
        <w:rPr>
          <w:rFonts w:eastAsia="Times New Roman" w:cs="Arial"/>
          <w:color w:val="000000"/>
          <w:lang w:val="en-US"/>
        </w:rPr>
        <w:t>York</w:t>
      </w:r>
      <w:r w:rsidRPr="00755439">
        <w:rPr>
          <w:rFonts w:eastAsia="Times New Roman" w:cs="Arial"/>
          <w:color w:val="000000"/>
          <w:lang w:val="ru-RU"/>
        </w:rPr>
        <w:t xml:space="preserve"> </w:t>
      </w:r>
      <w:r w:rsidRPr="00755439">
        <w:rPr>
          <w:rFonts w:eastAsia="Times New Roman" w:cs="Arial"/>
          <w:color w:val="000000"/>
          <w:lang w:val="en-US"/>
        </w:rPr>
        <w:t>Heart</w:t>
      </w:r>
      <w:r w:rsidRPr="00755439">
        <w:rPr>
          <w:rFonts w:eastAsia="Times New Roman" w:cs="Arial"/>
          <w:color w:val="000000"/>
          <w:lang w:val="ru-RU"/>
        </w:rPr>
        <w:t xml:space="preserve"> </w:t>
      </w:r>
      <w:r w:rsidRPr="00755439">
        <w:rPr>
          <w:rFonts w:eastAsia="Times New Roman" w:cs="Arial"/>
          <w:color w:val="000000"/>
          <w:lang w:val="en-US"/>
        </w:rPr>
        <w:t>Association</w:t>
      </w:r>
      <w:r w:rsidRPr="00755439">
        <w:rPr>
          <w:rFonts w:eastAsia="Times New Roman" w:cs="Arial"/>
          <w:color w:val="000000"/>
          <w:lang w:val="ru-RU"/>
        </w:rPr>
        <w:t xml:space="preserve"> (</w:t>
      </w:r>
      <w:r w:rsidRPr="00755439">
        <w:rPr>
          <w:rFonts w:eastAsia="Times New Roman" w:cs="Arial"/>
          <w:color w:val="000000"/>
          <w:lang w:val="en-US"/>
        </w:rPr>
        <w:t>NYHA</w:t>
      </w:r>
      <w:r w:rsidRPr="00755439">
        <w:rPr>
          <w:rFonts w:eastAsia="Times New Roman" w:cs="Arial"/>
          <w:color w:val="000000"/>
          <w:lang w:val="ru-RU"/>
        </w:rPr>
        <w:t xml:space="preserve">), </w:t>
      </w:r>
      <w:r w:rsidRPr="00755439">
        <w:rPr>
          <w:rFonts w:eastAsia="Times New Roman" w:cs="Arial"/>
          <w:color w:val="000000"/>
          <w:lang w:eastAsia="bg-BG"/>
        </w:rPr>
        <w:t>толерансът при натоварване и тежестта на сърдечна недостатъчност също се подобряват. Тези ефекти се поддържат по време на дългосрочна терапия.</w:t>
      </w:r>
    </w:p>
    <w:p w14:paraId="1C5D180F" w14:textId="77777777" w:rsidR="00755439" w:rsidRPr="00755439" w:rsidRDefault="00755439" w:rsidP="00755439">
      <w:pPr>
        <w:spacing w:line="240" w:lineRule="auto"/>
        <w:rPr>
          <w:rFonts w:eastAsia="Times New Roman" w:cs="Arial"/>
          <w:color w:val="000000"/>
          <w:lang w:eastAsia="bg-BG"/>
        </w:rPr>
      </w:pPr>
    </w:p>
    <w:p w14:paraId="300D9FC6" w14:textId="5697E5F0"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При пациенти с лека до умерена сърдечна недостатъчност, еналаприл забавя нивото на прогресивната сърдечна дилатация и недостатъчност, което се обяснява с намаляване на крайния диастоличен и крайния систолен обем на лявата камера и подобряване на фракцията на изтласкване.</w:t>
      </w:r>
    </w:p>
    <w:p w14:paraId="1EDBB819" w14:textId="44240D07" w:rsidR="00501BBD" w:rsidRDefault="00501BBD" w:rsidP="00755439">
      <w:pPr>
        <w:rPr>
          <w:rFonts w:eastAsia="Times New Roman" w:cs="Arial"/>
          <w:color w:val="000000"/>
          <w:lang w:eastAsia="bg-BG"/>
        </w:rPr>
      </w:pPr>
    </w:p>
    <w:p w14:paraId="0C739242" w14:textId="77777777" w:rsidR="00501BBD" w:rsidRPr="00501BBD" w:rsidRDefault="00501BBD" w:rsidP="00501BBD">
      <w:pPr>
        <w:spacing w:line="240" w:lineRule="auto"/>
        <w:rPr>
          <w:rFonts w:eastAsia="Times New Roman" w:cs="Arial"/>
          <w:sz w:val="24"/>
          <w:szCs w:val="24"/>
        </w:rPr>
      </w:pPr>
      <w:r w:rsidRPr="00501BBD">
        <w:rPr>
          <w:rFonts w:eastAsia="Times New Roman" w:cs="Arial"/>
          <w:color w:val="000000"/>
          <w:u w:val="single"/>
          <w:lang w:eastAsia="bg-BG"/>
        </w:rPr>
        <w:t>Клинична ефикасност и безопасност</w:t>
      </w:r>
    </w:p>
    <w:p w14:paraId="48BEAB0B" w14:textId="77777777" w:rsidR="00501BBD" w:rsidRPr="00501BBD" w:rsidRDefault="00501BBD" w:rsidP="00501BBD">
      <w:pPr>
        <w:spacing w:line="240" w:lineRule="auto"/>
        <w:rPr>
          <w:rFonts w:eastAsia="Times New Roman" w:cs="Arial"/>
          <w:sz w:val="24"/>
          <w:szCs w:val="24"/>
        </w:rPr>
      </w:pPr>
      <w:r w:rsidRPr="00501BBD">
        <w:rPr>
          <w:rFonts w:eastAsia="Times New Roman" w:cs="Arial"/>
          <w:color w:val="000000"/>
          <w:lang w:eastAsia="bg-BG"/>
        </w:rPr>
        <w:t xml:space="preserve">Едно многоцентрово, рандомизирано, плацебо - контролирано, двойно сляпо клинично проучване </w:t>
      </w:r>
      <w:r w:rsidRPr="00501BBD">
        <w:rPr>
          <w:rFonts w:eastAsia="Times New Roman" w:cs="Arial"/>
          <w:color w:val="000000"/>
          <w:lang w:val="ru-RU"/>
        </w:rPr>
        <w:t>(</w:t>
      </w:r>
      <w:r w:rsidRPr="00501BBD">
        <w:rPr>
          <w:rFonts w:eastAsia="Times New Roman" w:cs="Arial"/>
          <w:color w:val="000000"/>
          <w:lang w:val="en-US"/>
        </w:rPr>
        <w:t>SOLVD</w:t>
      </w:r>
      <w:r w:rsidRPr="00501BBD">
        <w:rPr>
          <w:rFonts w:eastAsia="Times New Roman" w:cs="Arial"/>
          <w:color w:val="000000"/>
          <w:lang w:val="ru-RU"/>
        </w:rPr>
        <w:t xml:space="preserve"> </w:t>
      </w:r>
      <w:r w:rsidRPr="00501BBD">
        <w:rPr>
          <w:rFonts w:eastAsia="Times New Roman" w:cs="Arial"/>
          <w:color w:val="000000"/>
          <w:lang w:val="en-US"/>
        </w:rPr>
        <w:t>Prevention</w:t>
      </w:r>
      <w:r w:rsidRPr="00501BBD">
        <w:rPr>
          <w:rFonts w:eastAsia="Times New Roman" w:cs="Arial"/>
          <w:color w:val="000000"/>
          <w:lang w:val="ru-RU"/>
        </w:rPr>
        <w:t xml:space="preserve"> </w:t>
      </w:r>
      <w:r w:rsidRPr="00501BBD">
        <w:rPr>
          <w:rFonts w:eastAsia="Times New Roman" w:cs="Arial"/>
          <w:color w:val="000000"/>
          <w:lang w:val="en-US"/>
        </w:rPr>
        <w:t>trial</w:t>
      </w:r>
      <w:r w:rsidRPr="00501BBD">
        <w:rPr>
          <w:rFonts w:eastAsia="Times New Roman" w:cs="Arial"/>
          <w:color w:val="000000"/>
          <w:lang w:val="ru-RU"/>
        </w:rPr>
        <w:t xml:space="preserve">) </w:t>
      </w:r>
      <w:r w:rsidRPr="00501BBD">
        <w:rPr>
          <w:rFonts w:eastAsia="Times New Roman" w:cs="Arial"/>
          <w:color w:val="000000"/>
          <w:lang w:eastAsia="bg-BG"/>
        </w:rPr>
        <w:t xml:space="preserve">изследва популация с асимптоматична дисфункция на лявата камера </w:t>
      </w:r>
      <w:r w:rsidRPr="00501BBD">
        <w:rPr>
          <w:rFonts w:eastAsia="Times New Roman" w:cs="Arial"/>
          <w:color w:val="000000"/>
          <w:lang w:val="ru-RU"/>
        </w:rPr>
        <w:t>(</w:t>
      </w:r>
      <w:r w:rsidRPr="00501BBD">
        <w:rPr>
          <w:rFonts w:eastAsia="Times New Roman" w:cs="Arial"/>
          <w:color w:val="000000"/>
          <w:lang w:val="en-US"/>
        </w:rPr>
        <w:t>LVEF</w:t>
      </w:r>
      <w:r w:rsidRPr="00501BBD">
        <w:rPr>
          <w:rFonts w:eastAsia="Times New Roman" w:cs="Arial"/>
          <w:color w:val="000000"/>
          <w:lang w:val="ru-RU"/>
        </w:rPr>
        <w:t xml:space="preserve"> </w:t>
      </w:r>
      <w:r w:rsidRPr="00501BBD">
        <w:rPr>
          <w:rFonts w:eastAsia="Times New Roman" w:cs="Arial"/>
          <w:color w:val="000000"/>
          <w:lang w:eastAsia="bg-BG"/>
        </w:rPr>
        <w:t>&lt;35%). 4228 пациенти са рандомизирани да получават плацебо (</w:t>
      </w:r>
      <w:r w:rsidRPr="00501BBD">
        <w:rPr>
          <w:rFonts w:eastAsia="Times New Roman" w:cs="Arial"/>
          <w:color w:val="000000"/>
          <w:lang w:val="en-US"/>
        </w:rPr>
        <w:t>n</w:t>
      </w:r>
      <w:r w:rsidRPr="00501BBD">
        <w:rPr>
          <w:rFonts w:eastAsia="Times New Roman" w:cs="Arial"/>
          <w:color w:val="000000"/>
          <w:lang w:eastAsia="bg-BG"/>
        </w:rPr>
        <w:t xml:space="preserve">=2117) или еналаприл </w:t>
      </w:r>
      <w:r w:rsidRPr="00501BBD">
        <w:rPr>
          <w:rFonts w:eastAsia="Times New Roman" w:cs="Arial"/>
          <w:color w:val="000000"/>
          <w:lang w:val="ru-RU"/>
        </w:rPr>
        <w:t>(</w:t>
      </w:r>
      <w:r w:rsidRPr="00501BBD">
        <w:rPr>
          <w:rFonts w:eastAsia="Times New Roman" w:cs="Arial"/>
          <w:color w:val="000000"/>
          <w:lang w:val="en-US"/>
        </w:rPr>
        <w:t>n</w:t>
      </w:r>
      <w:r w:rsidRPr="00501BBD">
        <w:rPr>
          <w:rFonts w:eastAsia="Times New Roman" w:cs="Arial"/>
          <w:color w:val="000000"/>
          <w:lang w:val="ru-RU"/>
        </w:rPr>
        <w:t>=21</w:t>
      </w:r>
      <w:r w:rsidRPr="00501BBD">
        <w:rPr>
          <w:rFonts w:eastAsia="Times New Roman" w:cs="Arial"/>
          <w:color w:val="000000"/>
          <w:lang w:eastAsia="bg-BG"/>
        </w:rPr>
        <w:t xml:space="preserve">11). 818 пациенти в групата на плацебо са били със сърдечна недостатъчност или са починали (38,6%) в сравнение с 630 в групата на еналаприл (29,8%) (понижаване на риска: 29 %; 95% </w:t>
      </w:r>
      <w:r w:rsidRPr="00501BBD">
        <w:rPr>
          <w:rFonts w:eastAsia="Times New Roman" w:cs="Arial"/>
          <w:color w:val="000000"/>
          <w:lang w:val="en-US"/>
        </w:rPr>
        <w:t>CI</w:t>
      </w:r>
      <w:r w:rsidRPr="00501BBD">
        <w:rPr>
          <w:rFonts w:eastAsia="Times New Roman" w:cs="Arial"/>
          <w:color w:val="000000"/>
          <w:lang w:val="ru-RU"/>
        </w:rPr>
        <w:t xml:space="preserve">; </w:t>
      </w:r>
      <w:r w:rsidRPr="00501BBD">
        <w:rPr>
          <w:rFonts w:eastAsia="Times New Roman" w:cs="Arial"/>
          <w:color w:val="000000"/>
          <w:lang w:eastAsia="bg-BG"/>
        </w:rPr>
        <w:t xml:space="preserve">21-36%; р&lt;0,001). 518 пациенти в групата на </w:t>
      </w:r>
      <w:r w:rsidRPr="00501BBD">
        <w:rPr>
          <w:rFonts w:eastAsia="Times New Roman" w:cs="Arial"/>
          <w:color w:val="000000"/>
          <w:u w:val="single"/>
          <w:lang w:eastAsia="bg-BG"/>
        </w:rPr>
        <w:t>плаце</w:t>
      </w:r>
      <w:r w:rsidRPr="00501BBD">
        <w:rPr>
          <w:rFonts w:eastAsia="Times New Roman" w:cs="Arial"/>
          <w:color w:val="000000"/>
          <w:lang w:eastAsia="bg-BG"/>
        </w:rPr>
        <w:t>бо (24,5%) и 434 в групата на еналаприл (20,6%) са починали или са били хоспитализирани поради нова или влошаваща се сърдечна недостатъчност (понижаване на риска:</w:t>
      </w:r>
      <w:r w:rsidRPr="00501BBD">
        <w:rPr>
          <w:rFonts w:eastAsia="Times New Roman" w:cs="Arial"/>
          <w:color w:val="000000"/>
          <w:lang w:val="ru-RU"/>
        </w:rPr>
        <w:t xml:space="preserve"> 20%; 95% </w:t>
      </w:r>
      <w:r w:rsidRPr="00501BBD">
        <w:rPr>
          <w:rFonts w:eastAsia="Times New Roman" w:cs="Arial"/>
          <w:color w:val="000000"/>
          <w:lang w:val="en-US"/>
        </w:rPr>
        <w:t>Cl</w:t>
      </w:r>
      <w:r w:rsidRPr="00501BBD">
        <w:rPr>
          <w:rFonts w:eastAsia="Times New Roman" w:cs="Arial"/>
          <w:color w:val="000000"/>
          <w:lang w:val="ru-RU"/>
        </w:rPr>
        <w:t>;9-30%;</w:t>
      </w:r>
    </w:p>
    <w:p w14:paraId="55B4A042" w14:textId="77777777" w:rsidR="00501BBD" w:rsidRPr="00501BBD" w:rsidRDefault="00501BBD" w:rsidP="00501BBD">
      <w:pPr>
        <w:spacing w:line="240" w:lineRule="auto"/>
        <w:rPr>
          <w:rFonts w:eastAsia="Times New Roman" w:cs="Arial"/>
          <w:sz w:val="24"/>
          <w:szCs w:val="24"/>
        </w:rPr>
      </w:pPr>
      <w:r w:rsidRPr="00501BBD">
        <w:rPr>
          <w:rFonts w:eastAsia="Times New Roman" w:cs="Arial"/>
          <w:color w:val="000000"/>
          <w:lang w:val="en-US"/>
        </w:rPr>
        <w:t>p</w:t>
      </w:r>
      <w:r w:rsidRPr="00501BBD">
        <w:rPr>
          <w:rFonts w:eastAsia="Times New Roman" w:cs="Arial"/>
          <w:color w:val="000000"/>
          <w:lang w:val="ru-RU"/>
        </w:rPr>
        <w:t>&lt;0,001).</w:t>
      </w:r>
    </w:p>
    <w:p w14:paraId="58CD1CD2" w14:textId="3614AEE5" w:rsidR="00501BBD" w:rsidRPr="00501BBD" w:rsidRDefault="00501BBD" w:rsidP="00501BBD">
      <w:pPr>
        <w:spacing w:line="240" w:lineRule="auto"/>
        <w:rPr>
          <w:rFonts w:eastAsia="Times New Roman" w:cs="Arial"/>
          <w:sz w:val="24"/>
          <w:szCs w:val="24"/>
        </w:rPr>
      </w:pPr>
      <w:r w:rsidRPr="00501BBD">
        <w:rPr>
          <w:rFonts w:eastAsia="Times New Roman" w:cs="Arial"/>
          <w:color w:val="000000"/>
          <w:lang w:eastAsia="bg-BG"/>
        </w:rPr>
        <w:t>Едно многоцентрово, рандомизирано, плацебо - контролирано, двойно</w:t>
      </w:r>
      <w:r w:rsidRPr="00501BBD">
        <w:rPr>
          <w:rFonts w:eastAsia="Times New Roman" w:cs="Arial"/>
          <w:color w:val="000000"/>
          <w:lang w:val="ru-RU"/>
        </w:rPr>
        <w:t xml:space="preserve"> </w:t>
      </w:r>
      <w:r w:rsidRPr="00501BBD">
        <w:rPr>
          <w:rFonts w:eastAsia="Times New Roman" w:cs="Arial"/>
          <w:color w:val="000000"/>
          <w:lang w:eastAsia="bg-BG"/>
        </w:rPr>
        <w:t>сляпо клинично</w:t>
      </w:r>
    </w:p>
    <w:p w14:paraId="3F738FA0" w14:textId="77777777" w:rsidR="00501BBD" w:rsidRPr="00501BBD" w:rsidRDefault="00501BBD" w:rsidP="00501BBD">
      <w:pPr>
        <w:rPr>
          <w:rFonts w:eastAsia="Times New Roman" w:cs="Arial"/>
          <w:sz w:val="24"/>
          <w:szCs w:val="24"/>
        </w:rPr>
      </w:pPr>
      <w:r w:rsidRPr="00501BBD">
        <w:rPr>
          <w:rFonts w:eastAsia="Times New Roman" w:cs="Arial"/>
          <w:color w:val="000000"/>
          <w:lang w:eastAsia="bg-BG"/>
        </w:rPr>
        <w:t xml:space="preserve">проучване </w:t>
      </w:r>
      <w:r w:rsidRPr="00501BBD">
        <w:rPr>
          <w:rFonts w:eastAsia="Times New Roman" w:cs="Arial"/>
          <w:color w:val="000000"/>
          <w:lang w:val="ru-RU"/>
        </w:rPr>
        <w:t>(</w:t>
      </w:r>
      <w:r w:rsidRPr="00501BBD">
        <w:rPr>
          <w:rFonts w:eastAsia="Times New Roman" w:cs="Arial"/>
          <w:color w:val="000000"/>
          <w:lang w:val="en-US"/>
        </w:rPr>
        <w:t>SOLVD</w:t>
      </w:r>
      <w:r w:rsidRPr="00501BBD">
        <w:rPr>
          <w:rFonts w:eastAsia="Times New Roman" w:cs="Arial"/>
          <w:color w:val="000000"/>
          <w:lang w:val="ru-RU"/>
        </w:rPr>
        <w:t xml:space="preserve"> </w:t>
      </w:r>
      <w:r w:rsidRPr="00501BBD">
        <w:rPr>
          <w:rFonts w:eastAsia="Times New Roman" w:cs="Arial"/>
          <w:color w:val="000000"/>
          <w:lang w:val="en-US"/>
        </w:rPr>
        <w:t>Treatment</w:t>
      </w:r>
      <w:r w:rsidRPr="00501BBD">
        <w:rPr>
          <w:rFonts w:eastAsia="Times New Roman" w:cs="Arial"/>
          <w:color w:val="000000"/>
          <w:lang w:val="ru-RU"/>
        </w:rPr>
        <w:t xml:space="preserve"> </w:t>
      </w:r>
      <w:r w:rsidRPr="00501BBD">
        <w:rPr>
          <w:rFonts w:eastAsia="Times New Roman" w:cs="Arial"/>
          <w:color w:val="000000"/>
          <w:lang w:val="en-US"/>
        </w:rPr>
        <w:t>trial</w:t>
      </w:r>
      <w:r w:rsidRPr="00501BBD">
        <w:rPr>
          <w:rFonts w:eastAsia="Times New Roman" w:cs="Arial"/>
          <w:color w:val="000000"/>
          <w:lang w:val="ru-RU"/>
        </w:rPr>
        <w:t xml:space="preserve">) </w:t>
      </w:r>
      <w:r w:rsidRPr="00501BBD">
        <w:rPr>
          <w:rFonts w:eastAsia="Times New Roman" w:cs="Arial"/>
          <w:color w:val="000000"/>
          <w:lang w:eastAsia="bg-BG"/>
        </w:rPr>
        <w:t>изследва популация със симптоматична застойна съдечна недостатъчност поради систолна дисфункция (фракция на изтласкване &lt;35%). 2569 пациенти,</w:t>
      </w:r>
      <w:r w:rsidRPr="00501BBD">
        <w:rPr>
          <w:rFonts w:eastAsia="Times New Roman" w:cs="Arial"/>
          <w:color w:val="000000"/>
          <w:lang w:val="ru-RU" w:eastAsia="bg-BG"/>
        </w:rPr>
        <w:t xml:space="preserve"> </w:t>
      </w:r>
      <w:r w:rsidRPr="00501BBD">
        <w:rPr>
          <w:rFonts w:eastAsia="Times New Roman" w:cs="Arial"/>
          <w:color w:val="000000"/>
          <w:lang w:eastAsia="bg-BG"/>
        </w:rPr>
        <w:t>получаващи конвенционална терапия за сърдечна недостатъчност са рандомизирани да получават плацебо (</w:t>
      </w:r>
      <w:r w:rsidRPr="00501BBD">
        <w:rPr>
          <w:rFonts w:eastAsia="Times New Roman" w:cs="Arial"/>
          <w:color w:val="000000"/>
          <w:lang w:val="en-US"/>
        </w:rPr>
        <w:t>n</w:t>
      </w:r>
      <w:r w:rsidRPr="00501BBD">
        <w:rPr>
          <w:rFonts w:eastAsia="Times New Roman" w:cs="Arial"/>
          <w:color w:val="000000"/>
          <w:lang w:eastAsia="bg-BG"/>
        </w:rPr>
        <w:t>=1284) или еналаприл (</w:t>
      </w:r>
      <w:r w:rsidRPr="00501BBD">
        <w:rPr>
          <w:rFonts w:eastAsia="Times New Roman" w:cs="Arial"/>
          <w:color w:val="000000"/>
          <w:lang w:val="en-US"/>
        </w:rPr>
        <w:t>n</w:t>
      </w:r>
      <w:r w:rsidRPr="00501BBD">
        <w:rPr>
          <w:rFonts w:eastAsia="Times New Roman" w:cs="Arial"/>
          <w:color w:val="000000"/>
          <w:lang w:eastAsia="bg-BG"/>
        </w:rPr>
        <w:t>=1285).</w:t>
      </w:r>
    </w:p>
    <w:p w14:paraId="1E54143B" w14:textId="4F59D3ED" w:rsidR="00501BBD" w:rsidRPr="00501BBD" w:rsidRDefault="00501BBD" w:rsidP="00501BBD">
      <w:pPr>
        <w:rPr>
          <w:rFonts w:eastAsia="Times New Roman" w:cs="Arial"/>
          <w:sz w:val="24"/>
          <w:szCs w:val="24"/>
          <w:lang w:val="ru-RU"/>
        </w:rPr>
      </w:pPr>
      <w:r w:rsidRPr="00501BBD">
        <w:rPr>
          <w:rFonts w:eastAsia="Times New Roman" w:cs="Arial"/>
          <w:color w:val="000000"/>
          <w:lang w:eastAsia="bg-BG"/>
        </w:rPr>
        <w:t xml:space="preserve">В групата на плацебо 510 са починали (39,7%) в сравнение с 452 в групата на еналаприл (35,2%) (понижаване на риска: 16 %; 95% </w:t>
      </w:r>
      <w:r w:rsidRPr="00501BBD">
        <w:rPr>
          <w:rFonts w:eastAsia="Times New Roman" w:cs="Arial"/>
          <w:color w:val="000000"/>
          <w:lang w:val="en-US"/>
        </w:rPr>
        <w:t>CI</w:t>
      </w:r>
      <w:r w:rsidRPr="00501BBD">
        <w:rPr>
          <w:rFonts w:eastAsia="Times New Roman" w:cs="Arial"/>
          <w:color w:val="000000"/>
          <w:lang w:val="ru-RU"/>
        </w:rPr>
        <w:t xml:space="preserve">; </w:t>
      </w:r>
      <w:r w:rsidRPr="00501BBD">
        <w:rPr>
          <w:rFonts w:eastAsia="Times New Roman" w:cs="Arial"/>
          <w:color w:val="000000"/>
          <w:lang w:eastAsia="bg-BG"/>
        </w:rPr>
        <w:t xml:space="preserve">5-26%; р=0,0036). В групата на плацебо 461 са починали от сърдечно-съдови заболявания в сравнение с 399 в групата на еналаприл (понижаване на риска: 18 %; 95% </w:t>
      </w:r>
      <w:r w:rsidRPr="00501BBD">
        <w:rPr>
          <w:rFonts w:eastAsia="Times New Roman" w:cs="Arial"/>
          <w:color w:val="000000"/>
          <w:lang w:val="en-US"/>
        </w:rPr>
        <w:t>CI</w:t>
      </w:r>
      <w:r w:rsidRPr="00501BBD">
        <w:rPr>
          <w:rFonts w:eastAsia="Times New Roman" w:cs="Arial"/>
          <w:color w:val="000000"/>
          <w:lang w:val="ru-RU"/>
        </w:rPr>
        <w:t xml:space="preserve">; </w:t>
      </w:r>
      <w:r w:rsidRPr="00501BBD">
        <w:rPr>
          <w:rFonts w:eastAsia="Times New Roman" w:cs="Arial"/>
          <w:color w:val="000000"/>
          <w:lang w:eastAsia="bg-BG"/>
        </w:rPr>
        <w:t xml:space="preserve">6-28%; р&lt;0,002), главно от понижаване на смъртността поради прогресивна сърдечна недостатъчност (251 в групата на плацебо спрямо 209 в групата на еналаприл, понижаване на риска 22%, 95% </w:t>
      </w:r>
      <w:r w:rsidRPr="00501BBD">
        <w:rPr>
          <w:rFonts w:eastAsia="Times New Roman" w:cs="Arial"/>
          <w:color w:val="000000"/>
          <w:lang w:val="en-US"/>
        </w:rPr>
        <w:t>CI</w:t>
      </w:r>
      <w:r w:rsidRPr="00501BBD">
        <w:rPr>
          <w:rFonts w:eastAsia="Times New Roman" w:cs="Arial"/>
          <w:color w:val="000000"/>
          <w:lang w:val="ru-RU"/>
        </w:rPr>
        <w:t xml:space="preserve">; </w:t>
      </w:r>
      <w:r w:rsidRPr="00501BBD">
        <w:rPr>
          <w:rFonts w:eastAsia="Times New Roman" w:cs="Arial"/>
          <w:color w:val="000000"/>
          <w:lang w:eastAsia="bg-BG"/>
        </w:rPr>
        <w:t xml:space="preserve">6-35%). По-малко пациенти са починали или са били хоспитализирани поради влошаваща се сърдечна недостатъчност (736 в групата на плацебо и 613 в групата на еналаприл; понижаване на риска 26%, 95% </w:t>
      </w:r>
      <w:r w:rsidRPr="00501BBD">
        <w:rPr>
          <w:rFonts w:eastAsia="Times New Roman" w:cs="Arial"/>
          <w:color w:val="000000"/>
          <w:lang w:val="en-US"/>
        </w:rPr>
        <w:t>CI</w:t>
      </w:r>
      <w:r w:rsidRPr="00501BBD">
        <w:rPr>
          <w:rFonts w:eastAsia="Times New Roman" w:cs="Arial"/>
          <w:color w:val="000000"/>
          <w:lang w:val="ru-RU"/>
        </w:rPr>
        <w:t xml:space="preserve">; </w:t>
      </w:r>
      <w:r w:rsidRPr="00501BBD">
        <w:rPr>
          <w:rFonts w:eastAsia="Times New Roman" w:cs="Arial"/>
          <w:color w:val="000000"/>
          <w:lang w:eastAsia="bg-BG"/>
        </w:rPr>
        <w:t xml:space="preserve">18-34%; р&lt;0,001). Като цяло в </w:t>
      </w:r>
      <w:r w:rsidRPr="00501BBD">
        <w:rPr>
          <w:rFonts w:eastAsia="Times New Roman" w:cs="Arial"/>
          <w:color w:val="000000"/>
          <w:lang w:val="en-US"/>
        </w:rPr>
        <w:t>SOLVD</w:t>
      </w:r>
      <w:r w:rsidRPr="00501BBD">
        <w:rPr>
          <w:rFonts w:eastAsia="Times New Roman" w:cs="Arial"/>
          <w:color w:val="000000"/>
          <w:lang w:val="ru-RU"/>
        </w:rPr>
        <w:t xml:space="preserve"> </w:t>
      </w:r>
      <w:r w:rsidRPr="00501BBD">
        <w:rPr>
          <w:rFonts w:eastAsia="Times New Roman" w:cs="Arial"/>
          <w:color w:val="000000"/>
          <w:lang w:eastAsia="bg-BG"/>
        </w:rPr>
        <w:t xml:space="preserve">проучването, при пациенти с дисфункция на лявата камера, еналаприл понижава риска от инфаркт на миокарда с 23% (95% </w:t>
      </w:r>
      <w:r w:rsidRPr="00501BBD">
        <w:rPr>
          <w:rFonts w:eastAsia="Times New Roman" w:cs="Arial"/>
          <w:color w:val="000000"/>
          <w:lang w:val="en-US"/>
        </w:rPr>
        <w:t>CI</w:t>
      </w:r>
      <w:r w:rsidRPr="00501BBD">
        <w:rPr>
          <w:rFonts w:eastAsia="Times New Roman" w:cs="Arial"/>
          <w:color w:val="000000"/>
          <w:lang w:val="ru-RU"/>
        </w:rPr>
        <w:t xml:space="preserve">; </w:t>
      </w:r>
      <w:r w:rsidRPr="00501BBD">
        <w:rPr>
          <w:rFonts w:eastAsia="Times New Roman" w:cs="Arial"/>
          <w:color w:val="000000"/>
          <w:lang w:eastAsia="bg-BG"/>
        </w:rPr>
        <w:t xml:space="preserve">11-34%; р&lt;0,001) и понижава риска от хоспитализация поради нестабилна стенокардия с 20% (95% </w:t>
      </w:r>
      <w:r w:rsidRPr="00501BBD">
        <w:rPr>
          <w:rFonts w:eastAsia="Times New Roman" w:cs="Arial"/>
          <w:color w:val="000000"/>
          <w:lang w:val="en-US"/>
        </w:rPr>
        <w:t>CI</w:t>
      </w:r>
      <w:r w:rsidRPr="00501BBD">
        <w:rPr>
          <w:rFonts w:eastAsia="Times New Roman" w:cs="Arial"/>
          <w:color w:val="000000"/>
          <w:lang w:val="ru-RU"/>
        </w:rPr>
        <w:t xml:space="preserve">; </w:t>
      </w:r>
      <w:r w:rsidRPr="00501BBD">
        <w:rPr>
          <w:rFonts w:eastAsia="Times New Roman" w:cs="Arial"/>
          <w:color w:val="000000"/>
          <w:lang w:eastAsia="bg-BG"/>
        </w:rPr>
        <w:t>9-29%; р&lt;0,001).</w:t>
      </w:r>
    </w:p>
    <w:p w14:paraId="7309D52A" w14:textId="77777777" w:rsidR="00755439" w:rsidRPr="00755439" w:rsidRDefault="00755439" w:rsidP="00755439">
      <w:pPr>
        <w:spacing w:line="240" w:lineRule="auto"/>
        <w:rPr>
          <w:rFonts w:eastAsia="Times New Roman" w:cs="Arial"/>
          <w:color w:val="000000"/>
          <w:lang w:eastAsia="bg-BG"/>
        </w:rPr>
      </w:pPr>
    </w:p>
    <w:p w14:paraId="73531693" w14:textId="2A46A3E2"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Две големи рандомизирани контролирани проучвания - </w:t>
      </w:r>
      <w:r w:rsidRPr="00755439">
        <w:rPr>
          <w:rFonts w:eastAsia="Times New Roman" w:cs="Arial"/>
          <w:color w:val="000000"/>
          <w:lang w:val="en-US"/>
        </w:rPr>
        <w:t>ONTARGET</w:t>
      </w:r>
      <w:r w:rsidRPr="00755439">
        <w:rPr>
          <w:rFonts w:eastAsia="Times New Roman" w:cs="Arial"/>
          <w:color w:val="000000"/>
        </w:rPr>
        <w:t xml:space="preserve"> (</w:t>
      </w:r>
      <w:proofErr w:type="spellStart"/>
      <w:r w:rsidRPr="00755439">
        <w:rPr>
          <w:rFonts w:eastAsia="Times New Roman" w:cs="Arial"/>
          <w:color w:val="000000"/>
          <w:lang w:val="en-US"/>
        </w:rPr>
        <w:t>ONgoing</w:t>
      </w:r>
      <w:proofErr w:type="spellEnd"/>
      <w:r w:rsidRPr="00755439">
        <w:rPr>
          <w:rFonts w:eastAsia="Times New Roman" w:cs="Arial"/>
          <w:color w:val="000000"/>
        </w:rPr>
        <w:t xml:space="preserve"> </w:t>
      </w:r>
      <w:proofErr w:type="spellStart"/>
      <w:r w:rsidRPr="00755439">
        <w:rPr>
          <w:rFonts w:eastAsia="Times New Roman" w:cs="Arial"/>
          <w:color w:val="000000"/>
          <w:lang w:val="en-US"/>
        </w:rPr>
        <w:t>Telmisartan</w:t>
      </w:r>
      <w:proofErr w:type="spellEnd"/>
      <w:r w:rsidRPr="00755439">
        <w:rPr>
          <w:rFonts w:eastAsia="Times New Roman" w:cs="Arial"/>
          <w:color w:val="000000"/>
        </w:rPr>
        <w:t xml:space="preserve"> </w:t>
      </w:r>
      <w:r w:rsidRPr="00755439">
        <w:rPr>
          <w:rFonts w:eastAsia="Times New Roman" w:cs="Arial"/>
          <w:color w:val="000000"/>
          <w:lang w:val="en-US"/>
        </w:rPr>
        <w:t>Alone</w:t>
      </w:r>
      <w:r w:rsidRPr="00755439">
        <w:rPr>
          <w:rFonts w:eastAsia="Times New Roman" w:cs="Arial"/>
          <w:color w:val="000000"/>
        </w:rPr>
        <w:t xml:space="preserve"> </w:t>
      </w:r>
      <w:r w:rsidRPr="00755439">
        <w:rPr>
          <w:rFonts w:eastAsia="Times New Roman" w:cs="Arial"/>
          <w:color w:val="000000"/>
          <w:lang w:val="en-US"/>
        </w:rPr>
        <w:t>and</w:t>
      </w:r>
      <w:r w:rsidRPr="00755439">
        <w:rPr>
          <w:rFonts w:eastAsia="Times New Roman" w:cs="Arial"/>
          <w:color w:val="000000"/>
        </w:rPr>
        <w:t xml:space="preserve"> </w:t>
      </w:r>
      <w:r w:rsidRPr="00755439">
        <w:rPr>
          <w:rFonts w:eastAsia="Times New Roman" w:cs="Arial"/>
          <w:color w:val="000000"/>
          <w:lang w:val="en-US"/>
        </w:rPr>
        <w:t>in</w:t>
      </w:r>
      <w:r w:rsidRPr="00755439">
        <w:rPr>
          <w:rFonts w:eastAsia="Times New Roman" w:cs="Arial"/>
          <w:color w:val="000000"/>
        </w:rPr>
        <w:t xml:space="preserve"> </w:t>
      </w:r>
      <w:r w:rsidRPr="00755439">
        <w:rPr>
          <w:rFonts w:eastAsia="Times New Roman" w:cs="Arial"/>
          <w:color w:val="000000"/>
          <w:lang w:val="en-US"/>
        </w:rPr>
        <w:t>combination</w:t>
      </w:r>
      <w:r w:rsidRPr="00755439">
        <w:rPr>
          <w:rFonts w:eastAsia="Times New Roman" w:cs="Arial"/>
          <w:color w:val="000000"/>
        </w:rPr>
        <w:t xml:space="preserve"> </w:t>
      </w:r>
      <w:r w:rsidRPr="00755439">
        <w:rPr>
          <w:rFonts w:eastAsia="Times New Roman" w:cs="Arial"/>
          <w:color w:val="000000"/>
          <w:lang w:val="en-US"/>
        </w:rPr>
        <w:t>with</w:t>
      </w:r>
      <w:r w:rsidRPr="00755439">
        <w:rPr>
          <w:rFonts w:eastAsia="Times New Roman" w:cs="Arial"/>
          <w:color w:val="000000"/>
        </w:rPr>
        <w:t xml:space="preserve"> </w:t>
      </w:r>
      <w:r w:rsidRPr="00755439">
        <w:rPr>
          <w:rFonts w:eastAsia="Times New Roman" w:cs="Arial"/>
          <w:color w:val="000000"/>
          <w:lang w:val="en-US"/>
        </w:rPr>
        <w:t>Ramipril</w:t>
      </w:r>
      <w:r w:rsidRPr="00755439">
        <w:rPr>
          <w:rFonts w:eastAsia="Times New Roman" w:cs="Arial"/>
          <w:color w:val="000000"/>
        </w:rPr>
        <w:t xml:space="preserve"> </w:t>
      </w:r>
      <w:r w:rsidRPr="00755439">
        <w:rPr>
          <w:rFonts w:eastAsia="Times New Roman" w:cs="Arial"/>
          <w:color w:val="000000"/>
          <w:lang w:val="en-US"/>
        </w:rPr>
        <w:t>Global</w:t>
      </w:r>
      <w:r w:rsidRPr="00755439">
        <w:rPr>
          <w:rFonts w:eastAsia="Times New Roman" w:cs="Arial"/>
          <w:color w:val="000000"/>
        </w:rPr>
        <w:t xml:space="preserve"> </w:t>
      </w:r>
      <w:r w:rsidRPr="00755439">
        <w:rPr>
          <w:rFonts w:eastAsia="Times New Roman" w:cs="Arial"/>
          <w:color w:val="000000"/>
          <w:lang w:val="en-US"/>
        </w:rPr>
        <w:t>Endpoint</w:t>
      </w:r>
      <w:r w:rsidRPr="00755439">
        <w:rPr>
          <w:rFonts w:eastAsia="Times New Roman" w:cs="Arial"/>
          <w:color w:val="000000"/>
        </w:rPr>
        <w:t xml:space="preserve"> </w:t>
      </w:r>
      <w:r w:rsidRPr="00755439">
        <w:rPr>
          <w:rFonts w:eastAsia="Times New Roman" w:cs="Arial"/>
          <w:color w:val="000000"/>
          <w:lang w:val="en-US"/>
        </w:rPr>
        <w:t>Trial</w:t>
      </w:r>
      <w:r w:rsidRPr="00755439">
        <w:rPr>
          <w:rFonts w:eastAsia="Times New Roman" w:cs="Arial"/>
          <w:color w:val="000000"/>
        </w:rPr>
        <w:t xml:space="preserve"> - </w:t>
      </w:r>
      <w:r w:rsidRPr="00755439">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755439">
        <w:rPr>
          <w:rFonts w:eastAsia="Times New Roman" w:cs="Arial"/>
          <w:color w:val="000000"/>
          <w:lang w:val="en-US"/>
        </w:rPr>
        <w:t>VA</w:t>
      </w:r>
      <w:r w:rsidRPr="00755439">
        <w:rPr>
          <w:rFonts w:eastAsia="Times New Roman" w:cs="Arial"/>
          <w:color w:val="000000"/>
        </w:rPr>
        <w:t xml:space="preserve"> </w:t>
      </w:r>
      <w:r w:rsidRPr="00755439">
        <w:rPr>
          <w:rFonts w:eastAsia="Times New Roman" w:cs="Arial"/>
          <w:color w:val="000000"/>
          <w:lang w:val="en-US"/>
        </w:rPr>
        <w:t>NEPHRON</w:t>
      </w:r>
      <w:r w:rsidRPr="00755439">
        <w:rPr>
          <w:rFonts w:eastAsia="Times New Roman" w:cs="Arial"/>
          <w:color w:val="000000"/>
        </w:rPr>
        <w:t>-</w:t>
      </w:r>
      <w:r w:rsidRPr="00755439">
        <w:rPr>
          <w:rFonts w:eastAsia="Times New Roman" w:cs="Arial"/>
          <w:color w:val="000000"/>
          <w:lang w:val="en-US"/>
        </w:rPr>
        <w:t>D</w:t>
      </w:r>
      <w:r w:rsidRPr="00755439">
        <w:rPr>
          <w:rFonts w:eastAsia="Times New Roman" w:cs="Arial"/>
          <w:color w:val="000000"/>
        </w:rPr>
        <w:t xml:space="preserve"> </w:t>
      </w:r>
      <w:r w:rsidRPr="00755439">
        <w:rPr>
          <w:rFonts w:eastAsia="Times New Roman" w:cs="Arial"/>
          <w:color w:val="000000"/>
          <w:lang w:eastAsia="bg-BG"/>
        </w:rPr>
        <w:t>(Клинично проучван</w:t>
      </w:r>
      <w:r w:rsidRPr="00755439">
        <w:rPr>
          <w:rFonts w:eastAsia="Times New Roman" w:cs="Arial"/>
          <w:color w:val="000000"/>
          <w:lang w:val="en-US"/>
        </w:rPr>
        <w:t>e</w:t>
      </w:r>
      <w:r w:rsidRPr="00755439">
        <w:rPr>
          <w:rFonts w:eastAsia="Times New Roman" w:cs="Arial"/>
          <w:color w:val="000000"/>
          <w:lang w:eastAsia="bg-BG"/>
        </w:rPr>
        <w:t xml:space="preserve">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 рецепторен блокер.</w:t>
      </w:r>
    </w:p>
    <w:p w14:paraId="5596059B"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val="en-US"/>
        </w:rPr>
        <w:t>ONTARGET</w:t>
      </w:r>
      <w:r w:rsidRPr="00755439">
        <w:rPr>
          <w:rFonts w:eastAsia="Times New Roman" w:cs="Arial"/>
          <w:color w:val="000000"/>
          <w:lang w:val="ru-RU"/>
        </w:rPr>
        <w:t xml:space="preserve"> </w:t>
      </w:r>
      <w:r w:rsidRPr="00755439">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w:t>
      </w:r>
      <w:r w:rsidRPr="00755439">
        <w:rPr>
          <w:rFonts w:eastAsia="Times New Roman" w:cs="Arial"/>
          <w:i/>
          <w:iCs/>
          <w:color w:val="000000"/>
          <w:lang w:eastAsia="bg-BG"/>
        </w:rPr>
        <w:t>придружени с</w:t>
      </w:r>
      <w:r w:rsidRPr="00755439">
        <w:rPr>
          <w:rFonts w:eastAsia="Times New Roman" w:cs="Arial"/>
          <w:color w:val="000000"/>
          <w:lang w:eastAsia="bg-BG"/>
        </w:rPr>
        <w:t xml:space="preserve"> данни за увреждане на ефекторни органи. </w:t>
      </w:r>
      <w:r w:rsidRPr="00755439">
        <w:rPr>
          <w:rFonts w:eastAsia="Times New Roman" w:cs="Arial"/>
          <w:color w:val="000000"/>
          <w:lang w:val="en-US"/>
        </w:rPr>
        <w:t>VA</w:t>
      </w:r>
      <w:r w:rsidRPr="00755439">
        <w:rPr>
          <w:rFonts w:eastAsia="Times New Roman" w:cs="Arial"/>
          <w:color w:val="000000"/>
          <w:lang w:val="ru-RU"/>
        </w:rPr>
        <w:t xml:space="preserve"> </w:t>
      </w:r>
      <w:r w:rsidRPr="00755439">
        <w:rPr>
          <w:rFonts w:eastAsia="Times New Roman" w:cs="Arial"/>
          <w:color w:val="000000"/>
          <w:lang w:val="en-US"/>
        </w:rPr>
        <w:t>NEPHRON</w:t>
      </w:r>
      <w:r w:rsidRPr="00755439">
        <w:rPr>
          <w:rFonts w:eastAsia="Times New Roman" w:cs="Arial"/>
          <w:color w:val="000000"/>
          <w:lang w:val="ru-RU"/>
        </w:rPr>
        <w:t>-</w:t>
      </w:r>
      <w:r w:rsidRPr="00755439">
        <w:rPr>
          <w:rFonts w:eastAsia="Times New Roman" w:cs="Arial"/>
          <w:color w:val="000000"/>
          <w:lang w:val="en-US"/>
        </w:rPr>
        <w:t>D</w:t>
      </w:r>
      <w:r w:rsidRPr="00755439">
        <w:rPr>
          <w:rFonts w:eastAsia="Times New Roman" w:cs="Arial"/>
          <w:color w:val="000000"/>
          <w:lang w:val="ru-RU"/>
        </w:rPr>
        <w:t xml:space="preserve"> </w:t>
      </w:r>
      <w:r w:rsidRPr="00755439">
        <w:rPr>
          <w:rFonts w:eastAsia="Times New Roman" w:cs="Arial"/>
          <w:color w:val="000000"/>
          <w:lang w:eastAsia="bg-BG"/>
        </w:rPr>
        <w:t>е проучване при пациенти със захарен диабет тип 2 и диабетна нефропатия.</w:t>
      </w:r>
    </w:p>
    <w:p w14:paraId="7761DD0D"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lastRenderedPageBreak/>
        <w:t>Тези проучвания не показват значим благоприятен ефект върху бъбречните и/или сърдечно</w:t>
      </w:r>
      <w:r w:rsidRPr="00755439">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II рецепторни блокери.</w:t>
      </w:r>
    </w:p>
    <w:p w14:paraId="006A4273"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АСЕ-инхибитори и ангиотензин II рецепторни блокери следователно не трябва да се използват едновременно при пациенти с диабетна нефропатия.</w:t>
      </w:r>
    </w:p>
    <w:p w14:paraId="0783D9AC"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val="en-US"/>
        </w:rPr>
        <w:t>ALTITUDE</w:t>
      </w:r>
      <w:r w:rsidRPr="00755439">
        <w:rPr>
          <w:rFonts w:eastAsia="Times New Roman" w:cs="Arial"/>
          <w:color w:val="000000"/>
          <w:lang w:val="ru-RU"/>
        </w:rPr>
        <w:t xml:space="preserve"> </w:t>
      </w:r>
      <w:r w:rsidRPr="00755439">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 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A39CADC" w14:textId="77777777" w:rsidR="00755439" w:rsidRPr="00755439" w:rsidRDefault="00755439" w:rsidP="00755439">
      <w:pPr>
        <w:spacing w:line="240" w:lineRule="auto"/>
        <w:rPr>
          <w:rFonts w:eastAsia="Times New Roman" w:cs="Arial"/>
          <w:color w:val="000000"/>
          <w:u w:val="single"/>
          <w:lang w:eastAsia="bg-BG"/>
        </w:rPr>
      </w:pPr>
    </w:p>
    <w:p w14:paraId="68424F2F" w14:textId="5B4391B6" w:rsidR="00755439" w:rsidRPr="00755439" w:rsidRDefault="00755439" w:rsidP="00755439">
      <w:pPr>
        <w:spacing w:line="240" w:lineRule="auto"/>
        <w:rPr>
          <w:rFonts w:eastAsia="Times New Roman" w:cs="Arial"/>
          <w:sz w:val="24"/>
          <w:szCs w:val="24"/>
        </w:rPr>
      </w:pPr>
      <w:r w:rsidRPr="00755439">
        <w:rPr>
          <w:rFonts w:eastAsia="Times New Roman" w:cs="Arial"/>
          <w:color w:val="000000"/>
          <w:u w:val="single"/>
          <w:lang w:eastAsia="bg-BG"/>
        </w:rPr>
        <w:t>Педиатрична популация</w:t>
      </w:r>
    </w:p>
    <w:p w14:paraId="52E4B027"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Налице са ограничени данни за приложението на еналаприл при педиатрични пациенти над 6 години с хипертония. В клинично проучване със 110 педиатрични пациенти с хипертония на възраст 6-16 години, телесно тегло ≥ 20 </w:t>
      </w:r>
      <w:r w:rsidRPr="00755439">
        <w:rPr>
          <w:rFonts w:eastAsia="Times New Roman" w:cs="Arial"/>
          <w:color w:val="000000"/>
          <w:lang w:val="en-US"/>
        </w:rPr>
        <w:t>kg</w:t>
      </w:r>
      <w:r w:rsidRPr="00755439">
        <w:rPr>
          <w:rFonts w:eastAsia="Times New Roman" w:cs="Arial"/>
          <w:color w:val="000000"/>
          <w:lang w:val="ru-RU"/>
        </w:rPr>
        <w:t xml:space="preserve"> </w:t>
      </w:r>
      <w:r w:rsidRPr="00755439">
        <w:rPr>
          <w:rFonts w:eastAsia="Times New Roman" w:cs="Arial"/>
          <w:color w:val="000000"/>
          <w:lang w:eastAsia="bg-BG"/>
        </w:rPr>
        <w:t xml:space="preserve">и скорост на гломерулна филтрация &gt; 30 </w:t>
      </w:r>
      <w:r w:rsidRPr="00755439">
        <w:rPr>
          <w:rFonts w:eastAsia="Times New Roman" w:cs="Arial"/>
          <w:color w:val="000000"/>
          <w:lang w:val="en-US"/>
        </w:rPr>
        <w:t>ml</w:t>
      </w:r>
      <w:r w:rsidRPr="00755439">
        <w:rPr>
          <w:rFonts w:eastAsia="Times New Roman" w:cs="Arial"/>
          <w:color w:val="000000"/>
          <w:lang w:val="ru-RU"/>
        </w:rPr>
        <w:t>/</w:t>
      </w:r>
      <w:r w:rsidRPr="00755439">
        <w:rPr>
          <w:rFonts w:eastAsia="Times New Roman" w:cs="Arial"/>
          <w:color w:val="000000"/>
          <w:lang w:val="en-US"/>
        </w:rPr>
        <w:t>min</w:t>
      </w:r>
      <w:r w:rsidRPr="00755439">
        <w:rPr>
          <w:rFonts w:eastAsia="Times New Roman" w:cs="Arial"/>
          <w:color w:val="000000"/>
          <w:lang w:val="ru-RU"/>
        </w:rPr>
        <w:t>/ 1,73</w:t>
      </w:r>
      <w:r w:rsidRPr="00755439">
        <w:rPr>
          <w:rFonts w:eastAsia="Times New Roman" w:cs="Arial"/>
          <w:color w:val="000000"/>
          <w:lang w:val="en-US"/>
        </w:rPr>
        <w:t>m</w:t>
      </w:r>
      <w:r w:rsidRPr="00755439">
        <w:rPr>
          <w:rFonts w:eastAsia="Times New Roman" w:cs="Arial"/>
          <w:color w:val="000000"/>
          <w:vertAlign w:val="superscript"/>
          <w:lang w:val="ru-RU"/>
        </w:rPr>
        <w:t>2</w:t>
      </w:r>
      <w:r w:rsidRPr="00755439">
        <w:rPr>
          <w:rFonts w:eastAsia="Times New Roman" w:cs="Arial"/>
          <w:color w:val="000000"/>
          <w:lang w:val="ru-RU"/>
        </w:rPr>
        <w:t xml:space="preserve">, </w:t>
      </w:r>
      <w:r w:rsidRPr="00755439">
        <w:rPr>
          <w:rFonts w:eastAsia="Times New Roman" w:cs="Arial"/>
          <w:color w:val="000000"/>
          <w:lang w:eastAsia="bg-BG"/>
        </w:rPr>
        <w:t xml:space="preserve">пациентите с тегло &lt; 50 </w:t>
      </w:r>
      <w:r w:rsidRPr="00755439">
        <w:rPr>
          <w:rFonts w:eastAsia="Times New Roman" w:cs="Arial"/>
          <w:color w:val="000000"/>
          <w:lang w:val="en-US"/>
        </w:rPr>
        <w:t>kg</w:t>
      </w:r>
      <w:r w:rsidRPr="00755439">
        <w:rPr>
          <w:rFonts w:eastAsia="Times New Roman" w:cs="Arial"/>
          <w:color w:val="000000"/>
          <w:lang w:val="ru-RU"/>
        </w:rPr>
        <w:t xml:space="preserve"> </w:t>
      </w:r>
      <w:r w:rsidRPr="00755439">
        <w:rPr>
          <w:rFonts w:eastAsia="Times New Roman" w:cs="Arial"/>
          <w:color w:val="000000"/>
          <w:lang w:eastAsia="bg-BG"/>
        </w:rPr>
        <w:t xml:space="preserve">получават 0,625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2,5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или 20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еналаприл на ден, а пациентите с телесно тегло ≥ 50 </w:t>
      </w:r>
      <w:r w:rsidRPr="00755439">
        <w:rPr>
          <w:rFonts w:eastAsia="Times New Roman" w:cs="Arial"/>
          <w:color w:val="000000"/>
          <w:lang w:val="en-US"/>
        </w:rPr>
        <w:t>kg</w:t>
      </w:r>
      <w:r w:rsidRPr="00755439">
        <w:rPr>
          <w:rFonts w:eastAsia="Times New Roman" w:cs="Arial"/>
          <w:color w:val="000000"/>
          <w:lang w:val="ru-RU"/>
        </w:rPr>
        <w:t xml:space="preserve"> </w:t>
      </w:r>
      <w:r w:rsidRPr="00755439">
        <w:rPr>
          <w:rFonts w:eastAsia="Times New Roman" w:cs="Arial"/>
          <w:color w:val="000000"/>
          <w:lang w:eastAsia="bg-BG"/>
        </w:rPr>
        <w:t xml:space="preserve">получават 1,25, 5 или 40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еналаприл на ден. Приложението на еналаприл еднократно дневно понижава кръвното налягане в зависимост от дозата. Дозозависимият антихипертензивен ефект на еналаприл е значителен при всички подгрупи (възраст, стадий на Танер, пол, расова принадлежност). Най-ниските проучвани дози обаче - 0,625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и 1,25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които съответстват на средно 0,02 </w:t>
      </w:r>
      <w:r w:rsidRPr="00755439">
        <w:rPr>
          <w:rFonts w:eastAsia="Times New Roman" w:cs="Arial"/>
          <w:color w:val="000000"/>
          <w:lang w:val="en-US"/>
        </w:rPr>
        <w:t>mg</w:t>
      </w:r>
      <w:r w:rsidRPr="00755439">
        <w:rPr>
          <w:rFonts w:eastAsia="Times New Roman" w:cs="Arial"/>
          <w:color w:val="000000"/>
          <w:lang w:val="ru-RU"/>
        </w:rPr>
        <w:t>/</w:t>
      </w:r>
      <w:r w:rsidRPr="00755439">
        <w:rPr>
          <w:rFonts w:eastAsia="Times New Roman" w:cs="Arial"/>
          <w:color w:val="000000"/>
          <w:lang w:val="en-US"/>
        </w:rPr>
        <w:t>kg</w:t>
      </w:r>
      <w:r w:rsidRPr="00755439">
        <w:rPr>
          <w:rFonts w:eastAsia="Times New Roman" w:cs="Arial"/>
          <w:color w:val="000000"/>
          <w:lang w:val="ru-RU"/>
        </w:rPr>
        <w:t xml:space="preserve"> </w:t>
      </w:r>
      <w:r w:rsidRPr="00755439">
        <w:rPr>
          <w:rFonts w:eastAsia="Times New Roman" w:cs="Arial"/>
          <w:color w:val="000000"/>
          <w:lang w:eastAsia="bg-BG"/>
        </w:rPr>
        <w:t xml:space="preserve">веднъж дневно, не показват значителна антихипертензивна ефикасност. Максималната проучвана доза е 0,58 </w:t>
      </w:r>
      <w:r w:rsidRPr="00755439">
        <w:rPr>
          <w:rFonts w:eastAsia="Times New Roman" w:cs="Arial"/>
          <w:color w:val="000000"/>
          <w:lang w:val="en-US"/>
        </w:rPr>
        <w:t>mg</w:t>
      </w:r>
      <w:r w:rsidRPr="00755439">
        <w:rPr>
          <w:rFonts w:eastAsia="Times New Roman" w:cs="Arial"/>
          <w:color w:val="000000"/>
          <w:lang w:val="ru-RU"/>
        </w:rPr>
        <w:t>/</w:t>
      </w:r>
      <w:r w:rsidRPr="00755439">
        <w:rPr>
          <w:rFonts w:eastAsia="Times New Roman" w:cs="Arial"/>
          <w:color w:val="000000"/>
          <w:lang w:val="en-US"/>
        </w:rPr>
        <w:t>kg</w:t>
      </w:r>
      <w:r w:rsidRPr="00755439">
        <w:rPr>
          <w:rFonts w:eastAsia="Times New Roman" w:cs="Arial"/>
          <w:color w:val="000000"/>
          <w:lang w:val="ru-RU"/>
        </w:rPr>
        <w:t xml:space="preserve"> </w:t>
      </w:r>
      <w:r w:rsidRPr="00755439">
        <w:rPr>
          <w:rFonts w:eastAsia="Times New Roman" w:cs="Arial"/>
          <w:color w:val="000000"/>
          <w:lang w:eastAsia="bg-BG"/>
        </w:rPr>
        <w:t xml:space="preserve">(до 40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веднъж дневно. Профилът на нежеланите ефекти при педиатрични пациенти не се различава от този при възрастни.</w:t>
      </w:r>
    </w:p>
    <w:p w14:paraId="7FF9131A" w14:textId="56FCD959" w:rsidR="00755439" w:rsidRPr="00755439" w:rsidRDefault="00755439" w:rsidP="00755439"/>
    <w:p w14:paraId="78DD93AA" w14:textId="1FB94E85" w:rsidR="00B6672E" w:rsidRDefault="002C50EE" w:rsidP="00936AD0">
      <w:pPr>
        <w:pStyle w:val="Heading2"/>
      </w:pPr>
      <w:r>
        <w:t>5.2. Фармакокинетични свойства</w:t>
      </w:r>
    </w:p>
    <w:p w14:paraId="2305F7B8" w14:textId="36FD188C" w:rsidR="00755439" w:rsidRDefault="00755439" w:rsidP="00755439"/>
    <w:p w14:paraId="1CDBC92A" w14:textId="77777777" w:rsidR="00755439" w:rsidRPr="00755439" w:rsidRDefault="00755439" w:rsidP="00755439">
      <w:pPr>
        <w:pStyle w:val="Heading3"/>
        <w:rPr>
          <w:rFonts w:eastAsia="Times New Roman"/>
          <w:u w:val="single"/>
        </w:rPr>
      </w:pPr>
      <w:r w:rsidRPr="00755439">
        <w:rPr>
          <w:rFonts w:eastAsia="Times New Roman"/>
          <w:u w:val="single"/>
          <w:lang w:eastAsia="bg-BG"/>
        </w:rPr>
        <w:t>Абсорбция</w:t>
      </w:r>
    </w:p>
    <w:p w14:paraId="36C107DB"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Пероралният еналаприл се абсорбира бързо с пикови серумни концентрации на</w:t>
      </w:r>
      <w:r w:rsidRPr="00755439">
        <w:rPr>
          <w:rFonts w:eastAsia="Times New Roman" w:cs="Arial"/>
          <w:color w:val="000000"/>
          <w:lang w:val="ru-RU"/>
        </w:rPr>
        <w:t xml:space="preserve"> </w:t>
      </w:r>
      <w:r w:rsidRPr="00755439">
        <w:rPr>
          <w:rFonts w:eastAsia="Times New Roman" w:cs="Arial"/>
          <w:color w:val="000000"/>
          <w:lang w:val="en-US"/>
        </w:rPr>
        <w:t>e</w:t>
      </w:r>
      <w:r w:rsidRPr="00755439">
        <w:rPr>
          <w:rFonts w:eastAsia="Times New Roman" w:cs="Arial"/>
          <w:color w:val="000000"/>
          <w:lang w:eastAsia="bg-BG"/>
        </w:rPr>
        <w:t>налприл,</w:t>
      </w:r>
    </w:p>
    <w:p w14:paraId="2E3C328F" w14:textId="77777777" w:rsidR="00755439" w:rsidRPr="00755439" w:rsidRDefault="00755439" w:rsidP="00755439">
      <w:pPr>
        <w:rPr>
          <w:rFonts w:eastAsia="Times New Roman" w:cs="Arial"/>
          <w:sz w:val="24"/>
          <w:szCs w:val="24"/>
        </w:rPr>
      </w:pPr>
      <w:r w:rsidRPr="00755439">
        <w:rPr>
          <w:rFonts w:eastAsia="Times New Roman" w:cs="Arial"/>
          <w:color w:val="000000"/>
          <w:lang w:eastAsia="bg-BG"/>
        </w:rPr>
        <w:t>настъпващи в рамките на първия час. На базата на откриване в урината при перорален прием на еналаприл под формата на таблетки, степента на абсорбция на еналаприл е приблизително 60%. Абсорбцията на пероралния еналаприл не се повлиява от наличието на храна в гастроинтестиналния тракт.</w:t>
      </w:r>
    </w:p>
    <w:p w14:paraId="216FDB0B" w14:textId="77777777" w:rsidR="00755439" w:rsidRPr="00755439" w:rsidRDefault="00755439" w:rsidP="00755439">
      <w:pPr>
        <w:spacing w:line="240" w:lineRule="auto"/>
        <w:rPr>
          <w:rFonts w:eastAsia="Times New Roman" w:cs="Arial"/>
          <w:color w:val="000000"/>
          <w:lang w:eastAsia="bg-BG"/>
        </w:rPr>
      </w:pPr>
    </w:p>
    <w:p w14:paraId="566C5EFB" w14:textId="7192A278"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След абсорбцията пероралният еналаприл бързо и продължително се хидролизира до еналаприлат, мощен инхибитор на ангиотензин-конвертиращия ензим. Максималните серумни концентрации на еналаприлат настъпват около 4-ия час след пероралния прием на еналаприл таблетки. Ефективното акумулативно време на полуживот на еналаприлат е 11 часа след многократен перорален прием на еналаприл. Серумните концентрации на </w:t>
      </w:r>
      <w:r w:rsidRPr="00755439">
        <w:rPr>
          <w:rFonts w:eastAsia="Times New Roman" w:cs="Arial"/>
          <w:color w:val="000000"/>
          <w:lang w:eastAsia="bg-BG"/>
        </w:rPr>
        <w:lastRenderedPageBreak/>
        <w:t>еналаприлат в стационарно състояние се достигат около 4 дни след началото на лечението при пациенти с нормална бъбречна функция.</w:t>
      </w:r>
    </w:p>
    <w:p w14:paraId="4DF2DA43" w14:textId="77777777" w:rsidR="00755439" w:rsidRPr="00755439" w:rsidRDefault="00755439" w:rsidP="00755439">
      <w:pPr>
        <w:spacing w:line="240" w:lineRule="auto"/>
        <w:rPr>
          <w:rFonts w:eastAsia="Times New Roman" w:cs="Arial"/>
          <w:color w:val="000000"/>
          <w:u w:val="single"/>
          <w:lang w:eastAsia="bg-BG"/>
        </w:rPr>
      </w:pPr>
    </w:p>
    <w:p w14:paraId="1684A485" w14:textId="5B32FBCD" w:rsidR="00755439" w:rsidRPr="00755439" w:rsidRDefault="00755439" w:rsidP="00755439">
      <w:pPr>
        <w:pStyle w:val="Heading3"/>
        <w:rPr>
          <w:rFonts w:eastAsia="Times New Roman"/>
          <w:u w:val="single"/>
        </w:rPr>
      </w:pPr>
      <w:r w:rsidRPr="00755439">
        <w:rPr>
          <w:rFonts w:eastAsia="Times New Roman"/>
          <w:u w:val="single"/>
          <w:lang w:eastAsia="bg-BG"/>
        </w:rPr>
        <w:t>Разпределение</w:t>
      </w:r>
    </w:p>
    <w:p w14:paraId="79A833EA"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Свързването на еналаприл с човешката плазма над нивата на терапевтично-значими концентрации е не повече от 60 %.</w:t>
      </w:r>
    </w:p>
    <w:p w14:paraId="7E6E2246" w14:textId="77777777" w:rsidR="00755439" w:rsidRPr="00755439" w:rsidRDefault="00755439" w:rsidP="00755439">
      <w:pPr>
        <w:spacing w:line="240" w:lineRule="auto"/>
        <w:rPr>
          <w:rFonts w:eastAsia="Times New Roman" w:cs="Arial"/>
          <w:color w:val="000000"/>
          <w:u w:val="single"/>
          <w:lang w:eastAsia="bg-BG"/>
        </w:rPr>
      </w:pPr>
    </w:p>
    <w:p w14:paraId="44DCA1A7" w14:textId="78AC20AA" w:rsidR="00755439" w:rsidRPr="00755439" w:rsidRDefault="00755439" w:rsidP="00755439">
      <w:pPr>
        <w:pStyle w:val="Heading3"/>
        <w:rPr>
          <w:rFonts w:eastAsia="Times New Roman"/>
          <w:u w:val="single"/>
        </w:rPr>
      </w:pPr>
      <w:r w:rsidRPr="00755439">
        <w:rPr>
          <w:rFonts w:eastAsia="Times New Roman"/>
          <w:u w:val="single"/>
          <w:lang w:eastAsia="bg-BG"/>
        </w:rPr>
        <w:t>Биотрансформация</w:t>
      </w:r>
    </w:p>
    <w:p w14:paraId="5F325111"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Освен превръщането в еналаприлат, няма други данни за значителен метаболизъм на еналаприл.</w:t>
      </w:r>
    </w:p>
    <w:p w14:paraId="608936B3" w14:textId="77777777" w:rsidR="00755439" w:rsidRPr="00755439" w:rsidRDefault="00755439" w:rsidP="00755439">
      <w:pPr>
        <w:spacing w:line="240" w:lineRule="auto"/>
        <w:rPr>
          <w:rFonts w:eastAsia="Times New Roman" w:cs="Arial"/>
          <w:color w:val="000000"/>
          <w:u w:val="single"/>
          <w:lang w:eastAsia="bg-BG"/>
        </w:rPr>
      </w:pPr>
    </w:p>
    <w:p w14:paraId="285CEB5E" w14:textId="6225D5D5" w:rsidR="00755439" w:rsidRPr="00755439" w:rsidRDefault="00755439" w:rsidP="00755439">
      <w:pPr>
        <w:pStyle w:val="Heading3"/>
        <w:rPr>
          <w:rFonts w:eastAsia="Times New Roman"/>
          <w:u w:val="single"/>
        </w:rPr>
      </w:pPr>
      <w:r w:rsidRPr="00755439">
        <w:rPr>
          <w:rFonts w:eastAsia="Times New Roman"/>
          <w:u w:val="single"/>
          <w:lang w:eastAsia="bg-BG"/>
        </w:rPr>
        <w:t>Елиминиране</w:t>
      </w:r>
    </w:p>
    <w:p w14:paraId="0FBE4819"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Екскрецията на еналаприлат се осъществява главно с бъбреците. Основните компоненти в урината са еналаприлат, който съставлява около 40 % от дозата и непроменен еналаприл (около 20%).</w:t>
      </w:r>
    </w:p>
    <w:p w14:paraId="4305E6CA" w14:textId="77777777" w:rsidR="00755439" w:rsidRPr="00755439" w:rsidRDefault="00755439" w:rsidP="00755439">
      <w:pPr>
        <w:spacing w:line="240" w:lineRule="auto"/>
        <w:rPr>
          <w:rFonts w:eastAsia="Times New Roman" w:cs="Arial"/>
          <w:color w:val="000000"/>
          <w:u w:val="single"/>
          <w:lang w:eastAsia="bg-BG"/>
        </w:rPr>
      </w:pPr>
    </w:p>
    <w:p w14:paraId="11E09D7C" w14:textId="0B046791" w:rsidR="00755439" w:rsidRPr="00755439" w:rsidRDefault="00755439" w:rsidP="00755439">
      <w:pPr>
        <w:pStyle w:val="Heading3"/>
        <w:rPr>
          <w:rFonts w:eastAsia="Times New Roman"/>
          <w:u w:val="single"/>
        </w:rPr>
      </w:pPr>
      <w:r w:rsidRPr="00755439">
        <w:rPr>
          <w:rFonts w:eastAsia="Times New Roman"/>
          <w:u w:val="single"/>
          <w:lang w:eastAsia="bg-BG"/>
        </w:rPr>
        <w:t>Кърмене</w:t>
      </w:r>
    </w:p>
    <w:p w14:paraId="71064C93"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След еднократна перорална доза от 20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при пет жени по време на следродилния период, средното пиково ниво на еналаприл в кърмата е било 1,7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(диапазон от 0,54 до 5.9 μ</w:t>
      </w:r>
      <w:r w:rsidRPr="00755439">
        <w:rPr>
          <w:rFonts w:eastAsia="Times New Roman" w:cs="Arial"/>
          <w:color w:val="000000"/>
          <w:lang w:val="en-US"/>
        </w:rPr>
        <w:t>g</w:t>
      </w:r>
      <w:r w:rsidRPr="00755439">
        <w:rPr>
          <w:rFonts w:eastAsia="Times New Roman" w:cs="Arial"/>
          <w:color w:val="000000"/>
          <w:lang w:val="ru-RU"/>
        </w:rPr>
        <w:t xml:space="preserve">/1) </w:t>
      </w:r>
      <w:r w:rsidRPr="00755439">
        <w:rPr>
          <w:rFonts w:eastAsia="Times New Roman" w:cs="Arial"/>
          <w:color w:val="000000"/>
          <w:lang w:eastAsia="bg-BG"/>
        </w:rPr>
        <w:t>в рамките на 4 до 6 часа след приема на дозата. Средното пиково ниво на еналаприлат е било 1,7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(диапазон от 1,2 до 2,3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 xml:space="preserve">пиковете са настъпили по различно време през 24 часовия период. Използвайки данните от пиковите нива в кърмата, изчисления максимален прием при едно кърмаче, хранено единствено с кърма, би бил около 0,16 % от коригираната според теглото на майката доза. Жена, която е приемала перорално 10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еналаприл дневно за 11 месеца, е имала пикови нива на еналаприл в кърмата от 2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4 часа след приема и пикови нива на еналаприлат от 0,75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около 9 часа след приема. Общото количество на еналаприл и еналаприлат, измерено в кърмата по време на 24 часовия период е било 1,44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и 0,63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съответно. Нивата на еналаприлат в кърмата са били недоловими (&lt; 0,2 μ</w:t>
      </w:r>
      <w:r w:rsidRPr="00755439">
        <w:rPr>
          <w:rFonts w:eastAsia="Times New Roman" w:cs="Arial"/>
          <w:color w:val="000000"/>
          <w:lang w:val="en-US"/>
        </w:rPr>
        <w:t>g</w:t>
      </w:r>
      <w:r w:rsidRPr="00755439">
        <w:rPr>
          <w:rFonts w:eastAsia="Times New Roman" w:cs="Arial"/>
          <w:color w:val="000000"/>
          <w:lang w:val="ru-RU"/>
        </w:rPr>
        <w:t>/</w:t>
      </w:r>
      <w:r w:rsidRPr="00755439">
        <w:rPr>
          <w:rFonts w:eastAsia="Times New Roman" w:cs="Arial"/>
          <w:color w:val="000000"/>
          <w:lang w:val="en-US"/>
        </w:rPr>
        <w:t>l</w:t>
      </w:r>
      <w:r w:rsidRPr="00755439">
        <w:rPr>
          <w:rFonts w:eastAsia="Times New Roman" w:cs="Arial"/>
          <w:color w:val="000000"/>
          <w:lang w:val="ru-RU"/>
        </w:rPr>
        <w:t xml:space="preserve">) </w:t>
      </w:r>
      <w:r w:rsidRPr="00755439">
        <w:rPr>
          <w:rFonts w:eastAsia="Times New Roman" w:cs="Arial"/>
          <w:color w:val="000000"/>
          <w:lang w:eastAsia="bg-BG"/>
        </w:rPr>
        <w:t xml:space="preserve">4 часа след прием на еднократна доза от 5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еналаприл при една майка и 10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при две майки; нивата на еналаприл не са били определени.</w:t>
      </w:r>
    </w:p>
    <w:p w14:paraId="73E61F98" w14:textId="77777777" w:rsidR="00755439" w:rsidRPr="00755439" w:rsidRDefault="00755439" w:rsidP="00755439">
      <w:pPr>
        <w:spacing w:line="240" w:lineRule="auto"/>
        <w:rPr>
          <w:rFonts w:eastAsia="Times New Roman" w:cs="Arial"/>
          <w:color w:val="000000"/>
          <w:u w:val="single"/>
          <w:lang w:eastAsia="bg-BG"/>
        </w:rPr>
      </w:pPr>
    </w:p>
    <w:p w14:paraId="19B49BE4" w14:textId="5473A74D" w:rsidR="00755439" w:rsidRPr="00755439" w:rsidRDefault="00755439" w:rsidP="00755439">
      <w:pPr>
        <w:pStyle w:val="Heading3"/>
        <w:rPr>
          <w:rFonts w:eastAsia="Times New Roman"/>
          <w:u w:val="single"/>
        </w:rPr>
      </w:pPr>
      <w:r w:rsidRPr="00755439">
        <w:rPr>
          <w:rFonts w:eastAsia="Times New Roman"/>
          <w:u w:val="single"/>
          <w:lang w:eastAsia="bg-BG"/>
        </w:rPr>
        <w:t>Бъбречно увреждане</w:t>
      </w:r>
    </w:p>
    <w:p w14:paraId="40CD304D"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Експозицията към еналаприл и еналаприлат се увеличава при пациенти с бъбречна недостатъчност. При пациенти с лека до умерена бъбречна недостатъчност (креатининов клирънс 40-60 </w:t>
      </w:r>
      <w:r w:rsidRPr="00755439">
        <w:rPr>
          <w:rFonts w:eastAsia="Times New Roman" w:cs="Arial"/>
          <w:color w:val="000000"/>
          <w:lang w:val="en-US"/>
        </w:rPr>
        <w:t>ml</w:t>
      </w:r>
      <w:r w:rsidRPr="00755439">
        <w:rPr>
          <w:rFonts w:eastAsia="Times New Roman" w:cs="Arial"/>
          <w:color w:val="000000"/>
          <w:lang w:val="ru-RU"/>
        </w:rPr>
        <w:t>/</w:t>
      </w:r>
      <w:r w:rsidRPr="00755439">
        <w:rPr>
          <w:rFonts w:eastAsia="Times New Roman" w:cs="Arial"/>
          <w:color w:val="000000"/>
          <w:lang w:val="en-US"/>
        </w:rPr>
        <w:t>min</w:t>
      </w:r>
      <w:r w:rsidRPr="00755439">
        <w:rPr>
          <w:rFonts w:eastAsia="Times New Roman" w:cs="Arial"/>
          <w:color w:val="000000"/>
          <w:lang w:val="ru-RU"/>
        </w:rPr>
        <w:t xml:space="preserve">), </w:t>
      </w:r>
      <w:r w:rsidRPr="00755439">
        <w:rPr>
          <w:rFonts w:eastAsia="Times New Roman" w:cs="Arial"/>
          <w:i/>
          <w:iCs/>
          <w:color w:val="000000"/>
          <w:lang w:val="en-US"/>
        </w:rPr>
        <w:t>steady</w:t>
      </w:r>
      <w:r w:rsidRPr="00755439">
        <w:rPr>
          <w:rFonts w:eastAsia="Times New Roman" w:cs="Arial"/>
          <w:i/>
          <w:iCs/>
          <w:color w:val="000000"/>
          <w:lang w:val="ru-RU"/>
        </w:rPr>
        <w:t xml:space="preserve"> </w:t>
      </w:r>
      <w:r w:rsidRPr="00755439">
        <w:rPr>
          <w:rFonts w:eastAsia="Times New Roman" w:cs="Arial"/>
          <w:i/>
          <w:iCs/>
          <w:color w:val="000000"/>
          <w:lang w:val="en-US"/>
        </w:rPr>
        <w:t>state</w:t>
      </w:r>
      <w:r w:rsidRPr="00755439">
        <w:rPr>
          <w:rFonts w:eastAsia="Times New Roman" w:cs="Arial"/>
          <w:color w:val="000000"/>
          <w:lang w:val="ru-RU"/>
        </w:rPr>
        <w:t xml:space="preserve"> </w:t>
      </w:r>
      <w:r w:rsidRPr="00755439">
        <w:rPr>
          <w:rFonts w:eastAsia="Times New Roman" w:cs="Arial"/>
          <w:color w:val="000000"/>
          <w:lang w:val="en-US"/>
        </w:rPr>
        <w:t>AUC</w:t>
      </w:r>
      <w:r w:rsidRPr="00755439">
        <w:rPr>
          <w:rFonts w:eastAsia="Times New Roman" w:cs="Arial"/>
          <w:color w:val="000000"/>
          <w:lang w:val="ru-RU"/>
        </w:rPr>
        <w:t xml:space="preserve"> </w:t>
      </w:r>
      <w:r w:rsidRPr="00755439">
        <w:rPr>
          <w:rFonts w:eastAsia="Times New Roman" w:cs="Arial"/>
          <w:color w:val="000000"/>
          <w:lang w:eastAsia="bg-BG"/>
        </w:rPr>
        <w:t xml:space="preserve">на еналаприлат е около 2 пъти по-висока от тази при пациенти с нормална бъбречна функция след прием на 5 </w:t>
      </w:r>
      <w:r w:rsidRPr="00755439">
        <w:rPr>
          <w:rFonts w:eastAsia="Times New Roman" w:cs="Arial"/>
          <w:color w:val="000000"/>
          <w:lang w:val="en-US"/>
        </w:rPr>
        <w:t>mg</w:t>
      </w:r>
      <w:r w:rsidRPr="00755439">
        <w:rPr>
          <w:rFonts w:eastAsia="Times New Roman" w:cs="Arial"/>
          <w:color w:val="000000"/>
          <w:lang w:val="ru-RU"/>
        </w:rPr>
        <w:t xml:space="preserve"> </w:t>
      </w:r>
      <w:r w:rsidRPr="00755439">
        <w:rPr>
          <w:rFonts w:eastAsia="Times New Roman" w:cs="Arial"/>
          <w:color w:val="000000"/>
          <w:lang w:eastAsia="bg-BG"/>
        </w:rPr>
        <w:t xml:space="preserve">веднъж дневно. При тежка бъбречна недостатъчност (креатининов клирънс ≤ 30 </w:t>
      </w:r>
      <w:r w:rsidRPr="00755439">
        <w:rPr>
          <w:rFonts w:eastAsia="Times New Roman" w:cs="Arial"/>
          <w:color w:val="000000"/>
          <w:lang w:val="en-US"/>
        </w:rPr>
        <w:t>ml</w:t>
      </w:r>
      <w:r w:rsidRPr="00755439">
        <w:rPr>
          <w:rFonts w:eastAsia="Times New Roman" w:cs="Arial"/>
          <w:color w:val="000000"/>
          <w:lang w:val="ru-RU"/>
        </w:rPr>
        <w:t>/</w:t>
      </w:r>
      <w:r w:rsidRPr="00755439">
        <w:rPr>
          <w:rFonts w:eastAsia="Times New Roman" w:cs="Arial"/>
          <w:color w:val="000000"/>
          <w:lang w:val="en-US"/>
        </w:rPr>
        <w:t>min</w:t>
      </w:r>
      <w:r w:rsidRPr="00755439">
        <w:rPr>
          <w:rFonts w:eastAsia="Times New Roman" w:cs="Arial"/>
          <w:color w:val="000000"/>
          <w:lang w:val="ru-RU"/>
        </w:rPr>
        <w:t xml:space="preserve">), </w:t>
      </w:r>
      <w:r w:rsidRPr="00755439">
        <w:rPr>
          <w:rFonts w:eastAsia="Times New Roman" w:cs="Arial"/>
          <w:color w:val="000000"/>
          <w:lang w:val="en-US"/>
        </w:rPr>
        <w:t>AUC</w:t>
      </w:r>
      <w:r w:rsidRPr="00755439">
        <w:rPr>
          <w:rFonts w:eastAsia="Times New Roman" w:cs="Arial"/>
          <w:color w:val="000000"/>
          <w:lang w:val="ru-RU"/>
        </w:rPr>
        <w:t xml:space="preserve"> </w:t>
      </w:r>
      <w:r w:rsidRPr="00755439">
        <w:rPr>
          <w:rFonts w:eastAsia="Times New Roman" w:cs="Arial"/>
          <w:color w:val="000000"/>
          <w:lang w:eastAsia="bg-BG"/>
        </w:rPr>
        <w:t>е повишена около 8 пъти. Ефективното време на полуживот на еналаприлат след многократно дозиране на еналаприл се удължава до това ниво на бъбречна недостатъчност, а времето за достигане на стационарно състояние се забавя (вж. точка 4.2).</w:t>
      </w:r>
    </w:p>
    <w:p w14:paraId="1AC2D5D6"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Еналаприлат може да бъде отстранен от системното кръвообръщение чрез хемодиализа. Диализният клирънс е 62 </w:t>
      </w:r>
      <w:r w:rsidRPr="00755439">
        <w:rPr>
          <w:rFonts w:eastAsia="Times New Roman" w:cs="Arial"/>
          <w:color w:val="000000"/>
          <w:lang w:val="en-US"/>
        </w:rPr>
        <w:t>ml</w:t>
      </w:r>
      <w:r w:rsidRPr="00755439">
        <w:rPr>
          <w:rFonts w:eastAsia="Times New Roman" w:cs="Arial"/>
          <w:color w:val="000000"/>
          <w:lang w:val="ru-RU"/>
        </w:rPr>
        <w:t>/</w:t>
      </w:r>
      <w:r w:rsidRPr="00755439">
        <w:rPr>
          <w:rFonts w:eastAsia="Times New Roman" w:cs="Arial"/>
          <w:color w:val="000000"/>
          <w:lang w:val="en-US"/>
        </w:rPr>
        <w:t>min</w:t>
      </w:r>
      <w:r w:rsidRPr="00755439">
        <w:rPr>
          <w:rFonts w:eastAsia="Times New Roman" w:cs="Arial"/>
          <w:color w:val="000000"/>
          <w:lang w:val="ru-RU"/>
        </w:rPr>
        <w:t>.</w:t>
      </w:r>
    </w:p>
    <w:p w14:paraId="493265D8" w14:textId="77777777" w:rsidR="00755439" w:rsidRPr="00755439" w:rsidRDefault="00755439" w:rsidP="00755439">
      <w:pPr>
        <w:spacing w:line="240" w:lineRule="auto"/>
        <w:rPr>
          <w:rFonts w:eastAsia="Times New Roman" w:cs="Arial"/>
          <w:color w:val="000000"/>
          <w:u w:val="single"/>
          <w:lang w:eastAsia="bg-BG"/>
        </w:rPr>
      </w:pPr>
    </w:p>
    <w:p w14:paraId="3F9240BE" w14:textId="5E56F644" w:rsidR="00755439" w:rsidRPr="00755439" w:rsidRDefault="00755439" w:rsidP="00755439">
      <w:pPr>
        <w:pStyle w:val="Heading3"/>
        <w:rPr>
          <w:rFonts w:eastAsia="Times New Roman"/>
          <w:u w:val="single"/>
        </w:rPr>
      </w:pPr>
      <w:r w:rsidRPr="00755439">
        <w:rPr>
          <w:rFonts w:eastAsia="Times New Roman"/>
          <w:u w:val="single"/>
          <w:lang w:eastAsia="bg-BG"/>
        </w:rPr>
        <w:t>Педиатрична популация</w:t>
      </w:r>
    </w:p>
    <w:p w14:paraId="68CA963B"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Фармакокинетично проучване с многократно дозиране е проведено при 40 педиатрични пациенти, момичета и момчета, с хипертония на възраст от 2 месеца до ≤ 16 години след</w:t>
      </w:r>
    </w:p>
    <w:p w14:paraId="3EF25423"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lastRenderedPageBreak/>
        <w:t xml:space="preserve">перорално приложение на 0,07 до 0,14 </w:t>
      </w:r>
      <w:r w:rsidRPr="00755439">
        <w:rPr>
          <w:rFonts w:eastAsia="Times New Roman" w:cs="Arial"/>
          <w:color w:val="000000"/>
          <w:lang w:val="en-US"/>
        </w:rPr>
        <w:t>mg</w:t>
      </w:r>
      <w:r w:rsidRPr="00755439">
        <w:rPr>
          <w:rFonts w:eastAsia="Times New Roman" w:cs="Arial"/>
          <w:color w:val="000000"/>
          <w:lang w:val="ru-RU"/>
        </w:rPr>
        <w:t>/</w:t>
      </w:r>
      <w:r w:rsidRPr="00755439">
        <w:rPr>
          <w:rFonts w:eastAsia="Times New Roman" w:cs="Arial"/>
          <w:color w:val="000000"/>
          <w:lang w:val="en-US"/>
        </w:rPr>
        <w:t>kg</w:t>
      </w:r>
      <w:r w:rsidRPr="00755439">
        <w:rPr>
          <w:rFonts w:eastAsia="Times New Roman" w:cs="Arial"/>
          <w:color w:val="000000"/>
          <w:lang w:val="ru-RU"/>
        </w:rPr>
        <w:t xml:space="preserve"> </w:t>
      </w:r>
      <w:r w:rsidRPr="00755439">
        <w:rPr>
          <w:rFonts w:eastAsia="Times New Roman" w:cs="Arial"/>
          <w:color w:val="000000"/>
          <w:lang w:eastAsia="bg-BG"/>
        </w:rPr>
        <w:t>еналаприл дневно. Няма големи разлики във фармакокинетиката на еналаприлат у деца в сравнение с наличните данни при възрастни.</w:t>
      </w:r>
    </w:p>
    <w:p w14:paraId="26A3905F" w14:textId="2D79F2D3" w:rsidR="00755439" w:rsidRPr="00755439" w:rsidRDefault="00755439" w:rsidP="00755439">
      <w:pPr>
        <w:rPr>
          <w:rFonts w:cs="Arial"/>
        </w:rPr>
      </w:pPr>
    </w:p>
    <w:p w14:paraId="7B36CAF4" w14:textId="77777777" w:rsidR="00755439" w:rsidRPr="00755439" w:rsidRDefault="00755439" w:rsidP="00755439">
      <w:pPr>
        <w:spacing w:line="240" w:lineRule="auto"/>
        <w:rPr>
          <w:rFonts w:eastAsia="Times New Roman" w:cs="Arial"/>
          <w:sz w:val="24"/>
          <w:szCs w:val="24"/>
        </w:rPr>
      </w:pPr>
      <w:r w:rsidRPr="00755439">
        <w:rPr>
          <w:rFonts w:eastAsia="Times New Roman" w:cs="Arial"/>
          <w:color w:val="000000"/>
          <w:lang w:eastAsia="bg-BG"/>
        </w:rPr>
        <w:t xml:space="preserve">Данните показват нарастване в </w:t>
      </w:r>
      <w:r w:rsidRPr="00755439">
        <w:rPr>
          <w:rFonts w:eastAsia="Times New Roman" w:cs="Arial"/>
          <w:color w:val="000000"/>
          <w:lang w:val="en-US"/>
        </w:rPr>
        <w:t>AUC</w:t>
      </w:r>
      <w:r w:rsidRPr="00755439">
        <w:rPr>
          <w:rFonts w:eastAsia="Times New Roman" w:cs="Arial"/>
          <w:color w:val="000000"/>
          <w:lang w:val="ru-RU"/>
        </w:rPr>
        <w:t xml:space="preserve"> </w:t>
      </w:r>
      <w:r w:rsidRPr="00755439">
        <w:rPr>
          <w:rFonts w:eastAsia="Times New Roman" w:cs="Arial"/>
          <w:color w:val="000000"/>
          <w:lang w:eastAsia="bg-BG"/>
        </w:rPr>
        <w:t xml:space="preserve">(нормализирано според доза на телесно тегло) с увеличаване на възрастта. Когато обаче данните се нормализират според телесна повърхност, не се наблюдава нарастване в </w:t>
      </w:r>
      <w:r w:rsidRPr="00755439">
        <w:rPr>
          <w:rFonts w:eastAsia="Times New Roman" w:cs="Arial"/>
          <w:color w:val="000000"/>
          <w:lang w:val="en-US"/>
        </w:rPr>
        <w:t>AUC</w:t>
      </w:r>
      <w:r w:rsidRPr="00755439">
        <w:rPr>
          <w:rFonts w:eastAsia="Times New Roman" w:cs="Arial"/>
          <w:color w:val="000000"/>
          <w:lang w:val="ru-RU"/>
        </w:rPr>
        <w:t xml:space="preserve">. </w:t>
      </w:r>
      <w:r w:rsidRPr="00755439">
        <w:rPr>
          <w:rFonts w:eastAsia="Times New Roman" w:cs="Arial"/>
          <w:color w:val="000000"/>
          <w:lang w:eastAsia="bg-BG"/>
        </w:rPr>
        <w:t>При стационарно състояние средното ефективно време на полуживот за акумулация на еналаприлат е 14 часа.</w:t>
      </w:r>
    </w:p>
    <w:p w14:paraId="3A655CF3" w14:textId="77777777" w:rsidR="00755439" w:rsidRPr="00755439" w:rsidRDefault="00755439" w:rsidP="00755439"/>
    <w:p w14:paraId="4FB791BE" w14:textId="4C572098" w:rsidR="00B6672E" w:rsidRDefault="002C50EE" w:rsidP="00936AD0">
      <w:pPr>
        <w:pStyle w:val="Heading2"/>
      </w:pPr>
      <w:r>
        <w:t>5.3. Предклинични данни за безопасност</w:t>
      </w:r>
    </w:p>
    <w:p w14:paraId="458A4E8B" w14:textId="65F416D7" w:rsidR="00755439" w:rsidRDefault="00755439" w:rsidP="00755439"/>
    <w:p w14:paraId="67372520" w14:textId="77777777" w:rsidR="00755439" w:rsidRPr="00755439" w:rsidRDefault="00755439" w:rsidP="00755439">
      <w:pPr>
        <w:rPr>
          <w:sz w:val="24"/>
          <w:szCs w:val="24"/>
        </w:rPr>
      </w:pPr>
      <w:r w:rsidRPr="00755439">
        <w:rPr>
          <w:lang w:eastAsia="bg-BG"/>
        </w:rPr>
        <w:t>Неклиничните данни не показват особен риск за хора на базата на конвенционалните фармакологични проучвания за безопасност, проучвания за токсичност при многократно прилагане, генотоксичност, карциногенен потенциал. Проучванията за репродуктивна тиксичност предполагат, че еналаприл няма ефект върху фертилитета и репродуктивната способност при плъхове и не е тератогенен. При проучване, в което женски плъхове са дозирани преди чифтосване и през гестационния период, по време на лактация се появява повишена честота на смърт при малките плъхове. Показано е, че съединението преминава през плацентата и се секретира в млякото. Инхибиторите на ангиотензин конвертиращия ензим, като клас, не са показали фетотоксичност (причиняващи нараняване и/или смърт на фетуса), когато се прилагат по време на втория или третия триместър.</w:t>
      </w:r>
    </w:p>
    <w:p w14:paraId="601D28F8" w14:textId="77777777" w:rsidR="00755439" w:rsidRPr="00755439" w:rsidRDefault="00755439" w:rsidP="00755439"/>
    <w:p w14:paraId="1BA6531D" w14:textId="49983CC1" w:rsidR="00B6672E" w:rsidRDefault="002C50EE" w:rsidP="00936AD0">
      <w:pPr>
        <w:pStyle w:val="Heading1"/>
      </w:pPr>
      <w:r>
        <w:t>7. ПРИТЕЖАТЕЛ НА РАЗРЕШЕНИЕТО ЗА УПОТРЕБА</w:t>
      </w:r>
    </w:p>
    <w:p w14:paraId="705F82D0" w14:textId="1B2A6970" w:rsidR="00755439" w:rsidRDefault="00755439" w:rsidP="00755439"/>
    <w:p w14:paraId="4141AE87" w14:textId="77777777" w:rsidR="00755439" w:rsidRPr="00755439" w:rsidRDefault="00755439" w:rsidP="00755439">
      <w:pPr>
        <w:rPr>
          <w:sz w:val="24"/>
          <w:szCs w:val="24"/>
        </w:rPr>
      </w:pPr>
      <w:r w:rsidRPr="00755439">
        <w:rPr>
          <w:lang w:eastAsia="bg-BG"/>
        </w:rPr>
        <w:t>ЕКОФАРМ ГРУП АД</w:t>
      </w:r>
    </w:p>
    <w:p w14:paraId="0FD136BB" w14:textId="77777777" w:rsidR="00755439" w:rsidRPr="00755439" w:rsidRDefault="00755439" w:rsidP="00755439">
      <w:pPr>
        <w:rPr>
          <w:sz w:val="24"/>
          <w:szCs w:val="24"/>
        </w:rPr>
      </w:pPr>
      <w:r w:rsidRPr="00755439">
        <w:rPr>
          <w:lang w:eastAsia="bg-BG"/>
        </w:rPr>
        <w:t>ул. Атанас Дуков №29, ет. 3</w:t>
      </w:r>
    </w:p>
    <w:p w14:paraId="451BBB8A" w14:textId="2E11EDBB" w:rsidR="00755439" w:rsidRDefault="00755439" w:rsidP="00755439">
      <w:pPr>
        <w:rPr>
          <w:lang w:eastAsia="bg-BG"/>
        </w:rPr>
      </w:pPr>
      <w:r w:rsidRPr="00755439">
        <w:rPr>
          <w:lang w:eastAsia="bg-BG"/>
        </w:rPr>
        <w:t>1407 София, България</w:t>
      </w:r>
    </w:p>
    <w:p w14:paraId="630BF45D" w14:textId="77777777" w:rsidR="00755439" w:rsidRPr="00755439" w:rsidRDefault="00755439" w:rsidP="00755439">
      <w:pPr>
        <w:rPr>
          <w:sz w:val="24"/>
          <w:szCs w:val="24"/>
        </w:rPr>
      </w:pPr>
      <w:r w:rsidRPr="00755439">
        <w:rPr>
          <w:lang w:eastAsia="bg-BG"/>
        </w:rPr>
        <w:t>тел.: (02) 906 90 70</w:t>
      </w:r>
    </w:p>
    <w:p w14:paraId="00D9FB79" w14:textId="5CAA703F" w:rsidR="00755439" w:rsidRPr="00755439" w:rsidRDefault="00755439" w:rsidP="00755439">
      <w:r w:rsidRPr="00755439">
        <w:rPr>
          <w:lang w:eastAsia="bg-BG"/>
        </w:rPr>
        <w:t>факс: (02) 906 90 71</w:t>
      </w:r>
    </w:p>
    <w:p w14:paraId="508F3A54" w14:textId="11A10046" w:rsidR="00B6672E" w:rsidRDefault="00936AD0" w:rsidP="00936AD0">
      <w:pPr>
        <w:pStyle w:val="Heading1"/>
      </w:pPr>
      <w:r>
        <w:t>8.</w:t>
      </w:r>
      <w:r w:rsidR="002C50EE">
        <w:t>НОМЕР НА РАЗРЕШЕНИЕТО ЗА УПОТРЕБА</w:t>
      </w:r>
    </w:p>
    <w:p w14:paraId="689439AB" w14:textId="197556D3" w:rsidR="00755439" w:rsidRDefault="00755439" w:rsidP="00755439"/>
    <w:p w14:paraId="4590A03D" w14:textId="54CB945D" w:rsidR="00755439" w:rsidRPr="00755439" w:rsidRDefault="00501BBD" w:rsidP="00755439">
      <w:pPr>
        <w:rPr>
          <w:sz w:val="24"/>
          <w:szCs w:val="24"/>
        </w:rPr>
      </w:pPr>
      <w:r>
        <w:rPr>
          <w:lang w:eastAsia="bg-BG"/>
        </w:rPr>
        <w:t>20050104</w:t>
      </w:r>
    </w:p>
    <w:p w14:paraId="2CCB5832" w14:textId="2CFC63A7" w:rsidR="007C605B" w:rsidRDefault="002C50EE" w:rsidP="007C605B">
      <w:pPr>
        <w:pStyle w:val="Heading1"/>
      </w:pPr>
      <w:r>
        <w:t>9. ДАТА НА П</w:t>
      </w:r>
      <w:bookmarkStart w:id="8" w:name="_GoBack"/>
      <w:bookmarkEnd w:id="8"/>
      <w:r>
        <w:t>ЪРВО РАЗРЕШАВАНЕ/ПОДНОВЯВАНЕ НА РАЗРЕШЕНИЕТО ЗА УПОТРЕБА</w:t>
      </w:r>
    </w:p>
    <w:p w14:paraId="6987D928" w14:textId="1BA2BC0F" w:rsidR="00755439" w:rsidRDefault="00755439" w:rsidP="00755439"/>
    <w:p w14:paraId="57487001" w14:textId="77777777" w:rsidR="00755439" w:rsidRPr="00755439" w:rsidRDefault="00755439" w:rsidP="00755439">
      <w:pPr>
        <w:rPr>
          <w:sz w:val="24"/>
          <w:szCs w:val="24"/>
        </w:rPr>
      </w:pPr>
      <w:r w:rsidRPr="00755439">
        <w:rPr>
          <w:lang w:eastAsia="bg-BG"/>
        </w:rPr>
        <w:t>Дата на първо разрешение: 22.02.2005 г.</w:t>
      </w:r>
    </w:p>
    <w:p w14:paraId="10FDCDCD" w14:textId="77777777" w:rsidR="00755439" w:rsidRPr="00755439" w:rsidRDefault="00755439" w:rsidP="00755439">
      <w:pPr>
        <w:rPr>
          <w:sz w:val="24"/>
          <w:szCs w:val="24"/>
        </w:rPr>
      </w:pPr>
      <w:r w:rsidRPr="00755439">
        <w:rPr>
          <w:lang w:eastAsia="bg-BG"/>
        </w:rPr>
        <w:t>Дата на последно подновяване: 18.05.2010 г.</w:t>
      </w:r>
    </w:p>
    <w:p w14:paraId="4D154DD6" w14:textId="77777777" w:rsidR="00755439" w:rsidRPr="00755439" w:rsidRDefault="00755439" w:rsidP="00755439"/>
    <w:p w14:paraId="0E9D0119" w14:textId="0245C6D7" w:rsidR="002C50EE" w:rsidRDefault="002C50EE" w:rsidP="002C50EE">
      <w:pPr>
        <w:pStyle w:val="Heading1"/>
      </w:pPr>
      <w:r>
        <w:t>10. ДАТА НА АКТУАЛИЗИРАНЕ НА ТЕКСТА</w:t>
      </w:r>
    </w:p>
    <w:bookmarkEnd w:id="0"/>
    <w:p w14:paraId="43FB38A2" w14:textId="4DB372E9" w:rsidR="007C605B" w:rsidRPr="003E3126" w:rsidRDefault="00755439" w:rsidP="00755439">
      <w:r>
        <w:t>04/2020</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182139"/>
    <w:multiLevelType w:val="hybridMultilevel"/>
    <w:tmpl w:val="5B4E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4246CF1"/>
    <w:multiLevelType w:val="hybridMultilevel"/>
    <w:tmpl w:val="3A2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11365"/>
    <w:multiLevelType w:val="hybridMultilevel"/>
    <w:tmpl w:val="76C6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87085"/>
    <w:multiLevelType w:val="hybridMultilevel"/>
    <w:tmpl w:val="FA9E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E7AC7"/>
    <w:multiLevelType w:val="hybridMultilevel"/>
    <w:tmpl w:val="98D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D3F46"/>
    <w:multiLevelType w:val="hybridMultilevel"/>
    <w:tmpl w:val="8DD6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4"/>
  </w:num>
  <w:num w:numId="11">
    <w:abstractNumId w:val="34"/>
  </w:num>
  <w:num w:numId="12">
    <w:abstractNumId w:val="17"/>
  </w:num>
  <w:num w:numId="13">
    <w:abstractNumId w:val="22"/>
  </w:num>
  <w:num w:numId="14">
    <w:abstractNumId w:val="15"/>
  </w:num>
  <w:num w:numId="15">
    <w:abstractNumId w:val="33"/>
  </w:num>
  <w:num w:numId="16">
    <w:abstractNumId w:val="13"/>
  </w:num>
  <w:num w:numId="17">
    <w:abstractNumId w:val="28"/>
  </w:num>
  <w:num w:numId="18">
    <w:abstractNumId w:val="10"/>
  </w:num>
  <w:num w:numId="19">
    <w:abstractNumId w:val="30"/>
  </w:num>
  <w:num w:numId="20">
    <w:abstractNumId w:val="27"/>
  </w:num>
  <w:num w:numId="21">
    <w:abstractNumId w:val="20"/>
  </w:num>
  <w:num w:numId="22">
    <w:abstractNumId w:val="29"/>
  </w:num>
  <w:num w:numId="23">
    <w:abstractNumId w:val="21"/>
  </w:num>
  <w:num w:numId="24">
    <w:abstractNumId w:val="11"/>
  </w:num>
  <w:num w:numId="25">
    <w:abstractNumId w:val="26"/>
  </w:num>
  <w:num w:numId="26">
    <w:abstractNumId w:val="25"/>
  </w:num>
  <w:num w:numId="27">
    <w:abstractNumId w:val="36"/>
  </w:num>
  <w:num w:numId="28">
    <w:abstractNumId w:val="7"/>
  </w:num>
  <w:num w:numId="29">
    <w:abstractNumId w:val="24"/>
  </w:num>
  <w:num w:numId="30">
    <w:abstractNumId w:val="41"/>
  </w:num>
  <w:num w:numId="31">
    <w:abstractNumId w:val="6"/>
  </w:num>
  <w:num w:numId="32">
    <w:abstractNumId w:val="40"/>
  </w:num>
  <w:num w:numId="33">
    <w:abstractNumId w:val="32"/>
  </w:num>
  <w:num w:numId="34">
    <w:abstractNumId w:val="37"/>
  </w:num>
  <w:num w:numId="35">
    <w:abstractNumId w:val="9"/>
  </w:num>
  <w:num w:numId="36">
    <w:abstractNumId w:val="12"/>
  </w:num>
  <w:num w:numId="37">
    <w:abstractNumId w:val="5"/>
  </w:num>
  <w:num w:numId="38">
    <w:abstractNumId w:val="23"/>
  </w:num>
  <w:num w:numId="39">
    <w:abstractNumId w:val="8"/>
  </w:num>
  <w:num w:numId="40">
    <w:abstractNumId w:val="38"/>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01BBD"/>
    <w:rsid w:val="00517A5B"/>
    <w:rsid w:val="00593A00"/>
    <w:rsid w:val="005A66D9"/>
    <w:rsid w:val="005C76A8"/>
    <w:rsid w:val="00605BCA"/>
    <w:rsid w:val="006158A1"/>
    <w:rsid w:val="00617B1F"/>
    <w:rsid w:val="00672487"/>
    <w:rsid w:val="00672600"/>
    <w:rsid w:val="00681D4A"/>
    <w:rsid w:val="00685882"/>
    <w:rsid w:val="007122AD"/>
    <w:rsid w:val="00755439"/>
    <w:rsid w:val="0075649D"/>
    <w:rsid w:val="007C605B"/>
    <w:rsid w:val="008134C8"/>
    <w:rsid w:val="00814073"/>
    <w:rsid w:val="00826F0D"/>
    <w:rsid w:val="00893B92"/>
    <w:rsid w:val="008A6AF2"/>
    <w:rsid w:val="008C70A2"/>
    <w:rsid w:val="00936AD0"/>
    <w:rsid w:val="009773E4"/>
    <w:rsid w:val="009879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7471</Words>
  <Characters>42585</Characters>
  <Application>Microsoft Office Word</Application>
  <DocSecurity>0</DocSecurity>
  <Lines>354</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2022-09-04T19:12:00Z</dcterms:created>
  <dcterms:modified xsi:type="dcterms:W3CDTF">2022-09-04T19:12:00Z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