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D1DA9E2" w:rsidR="007122AD" w:rsidRDefault="00DD466D" w:rsidP="00936AD0">
      <w:pPr>
        <w:pStyle w:val="Heading1"/>
      </w:pPr>
      <w:r>
        <w:t>1.ИМЕ НА ЛЕКАРСТВЕНИЯ ПРОДУКТ</w:t>
      </w:r>
    </w:p>
    <w:p w14:paraId="760B3E35" w14:textId="285E61E1" w:rsidR="00AF0720" w:rsidRDefault="00AF0720" w:rsidP="00AF0720"/>
    <w:p w14:paraId="6D125233" w14:textId="77777777" w:rsidR="00AF0720" w:rsidRPr="00AF0720" w:rsidRDefault="00AF0720" w:rsidP="00AF0720">
      <w:pPr>
        <w:rPr>
          <w:sz w:val="24"/>
          <w:szCs w:val="24"/>
        </w:rPr>
      </w:pPr>
      <w:r w:rsidRPr="00AF0720">
        <w:rPr>
          <w:lang w:eastAsia="bg-BG"/>
        </w:rPr>
        <w:t>ЛАТАЛУКС 50 микрограма</w:t>
      </w:r>
      <w:r w:rsidRPr="00AF0720">
        <w:rPr>
          <w:lang w:val="ru-RU"/>
        </w:rPr>
        <w:t>/</w:t>
      </w:r>
      <w:r w:rsidRPr="00AF0720">
        <w:rPr>
          <w:lang w:val="en-US"/>
        </w:rPr>
        <w:t>ml</w:t>
      </w:r>
      <w:r w:rsidRPr="00AF0720">
        <w:rPr>
          <w:lang w:val="ru-RU"/>
        </w:rPr>
        <w:t xml:space="preserve"> </w:t>
      </w:r>
      <w:r w:rsidRPr="00AF0720">
        <w:rPr>
          <w:lang w:eastAsia="bg-BG"/>
        </w:rPr>
        <w:t>капки за очи, разтвор</w:t>
      </w:r>
    </w:p>
    <w:p w14:paraId="72E85F97" w14:textId="77777777" w:rsidR="00AF0720" w:rsidRPr="00AF0720" w:rsidRDefault="00AF0720" w:rsidP="00AF0720">
      <w:pPr>
        <w:rPr>
          <w:sz w:val="24"/>
          <w:szCs w:val="24"/>
        </w:rPr>
      </w:pPr>
      <w:r w:rsidRPr="00AF0720">
        <w:rPr>
          <w:lang w:val="en-US"/>
        </w:rPr>
        <w:t xml:space="preserve">LATALUX </w:t>
      </w:r>
      <w:r w:rsidRPr="00AF0720">
        <w:rPr>
          <w:lang w:eastAsia="bg-BG"/>
        </w:rPr>
        <w:t xml:space="preserve">50 </w:t>
      </w:r>
      <w:r w:rsidRPr="00AF0720">
        <w:rPr>
          <w:lang w:val="en-US"/>
        </w:rPr>
        <w:t>micrograms/ml eye drops, solution</w:t>
      </w:r>
    </w:p>
    <w:p w14:paraId="47DDBA7F" w14:textId="77777777" w:rsidR="00AF0720" w:rsidRPr="00AF0720" w:rsidRDefault="00AF0720" w:rsidP="00AF0720"/>
    <w:p w14:paraId="6920A680" w14:textId="57A827CE" w:rsidR="00C40420" w:rsidRDefault="00DD466D" w:rsidP="004A448E">
      <w:pPr>
        <w:pStyle w:val="Heading1"/>
      </w:pPr>
      <w:r>
        <w:t>2. КАЧЕСТВЕН И КОЛИЧЕСТВЕН СЪСТАВ</w:t>
      </w:r>
    </w:p>
    <w:p w14:paraId="690BDEBA" w14:textId="076C7E0F" w:rsidR="00AF0720" w:rsidRDefault="00AF0720" w:rsidP="00AF0720"/>
    <w:p w14:paraId="561C6001"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Един </w:t>
      </w:r>
      <w:r w:rsidRPr="00AF0720">
        <w:rPr>
          <w:rFonts w:eastAsia="Times New Roman" w:cs="Arial"/>
          <w:color w:val="000000"/>
          <w:szCs w:val="20"/>
          <w:lang w:val="en-US"/>
        </w:rPr>
        <w:t>ml</w:t>
      </w:r>
      <w:r w:rsidRPr="00AF0720">
        <w:rPr>
          <w:rFonts w:eastAsia="Times New Roman" w:cs="Arial"/>
          <w:color w:val="000000"/>
          <w:szCs w:val="20"/>
          <w:lang w:val="ru-RU"/>
        </w:rPr>
        <w:t xml:space="preserve"> </w:t>
      </w:r>
      <w:r w:rsidRPr="00AF0720">
        <w:rPr>
          <w:rFonts w:eastAsia="Times New Roman" w:cs="Arial"/>
          <w:color w:val="000000"/>
          <w:szCs w:val="20"/>
          <w:lang w:eastAsia="bg-BG"/>
        </w:rPr>
        <w:t xml:space="preserve">капки за очи, разтвор съдържа 50 микрограма латанопрост </w:t>
      </w:r>
      <w:r w:rsidRPr="00AF0720">
        <w:rPr>
          <w:rFonts w:eastAsia="Times New Roman" w:cs="Arial"/>
          <w:i/>
          <w:iCs/>
          <w:color w:val="000000"/>
          <w:szCs w:val="20"/>
          <w:lang w:val="ru-RU"/>
        </w:rPr>
        <w:t>(</w:t>
      </w:r>
      <w:proofErr w:type="spellStart"/>
      <w:r w:rsidRPr="00AF0720">
        <w:rPr>
          <w:rFonts w:eastAsia="Times New Roman" w:cs="Arial"/>
          <w:i/>
          <w:iCs/>
          <w:color w:val="000000"/>
          <w:szCs w:val="20"/>
          <w:lang w:val="en-US"/>
        </w:rPr>
        <w:t>latanoprost</w:t>
      </w:r>
      <w:proofErr w:type="spellEnd"/>
      <w:r w:rsidRPr="00AF0720">
        <w:rPr>
          <w:rFonts w:eastAsia="Times New Roman" w:cs="Arial"/>
          <w:i/>
          <w:iCs/>
          <w:color w:val="000000"/>
          <w:szCs w:val="20"/>
          <w:lang w:val="ru-RU"/>
        </w:rPr>
        <w:t>).</w:t>
      </w:r>
    </w:p>
    <w:p w14:paraId="199BDF75"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Една капка съдържа приблизително 1,5 микрограма латанопрост </w:t>
      </w:r>
      <w:r w:rsidRPr="00AF0720">
        <w:rPr>
          <w:rFonts w:eastAsia="Times New Roman" w:cs="Arial"/>
          <w:i/>
          <w:iCs/>
          <w:color w:val="000000"/>
          <w:szCs w:val="20"/>
          <w:lang w:val="ru-RU"/>
        </w:rPr>
        <w:t>(</w:t>
      </w:r>
      <w:proofErr w:type="spellStart"/>
      <w:r w:rsidRPr="00AF0720">
        <w:rPr>
          <w:rFonts w:eastAsia="Times New Roman" w:cs="Arial"/>
          <w:i/>
          <w:iCs/>
          <w:color w:val="000000"/>
          <w:szCs w:val="20"/>
          <w:lang w:val="en-US"/>
        </w:rPr>
        <w:t>latanoprost</w:t>
      </w:r>
      <w:proofErr w:type="spellEnd"/>
      <w:r w:rsidRPr="00AF0720">
        <w:rPr>
          <w:rFonts w:eastAsia="Times New Roman" w:cs="Arial"/>
          <w:i/>
          <w:iCs/>
          <w:color w:val="000000"/>
          <w:szCs w:val="20"/>
          <w:lang w:val="ru-RU"/>
        </w:rPr>
        <w:t>).</w:t>
      </w:r>
    </w:p>
    <w:p w14:paraId="7E02DB76" w14:textId="77777777" w:rsidR="00AF0720" w:rsidRPr="00AF0720" w:rsidRDefault="00AF0720" w:rsidP="00AF0720">
      <w:pPr>
        <w:spacing w:line="240" w:lineRule="auto"/>
        <w:rPr>
          <w:rFonts w:eastAsia="Times New Roman" w:cs="Arial"/>
          <w:color w:val="000000"/>
          <w:szCs w:val="20"/>
          <w:u w:val="single"/>
          <w:lang w:eastAsia="bg-BG"/>
        </w:rPr>
      </w:pPr>
    </w:p>
    <w:p w14:paraId="0BD83DDC" w14:textId="37421A9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u w:val="single"/>
          <w:lang w:eastAsia="bg-BG"/>
        </w:rPr>
        <w:t>Помощни вещества с известно действие:</w:t>
      </w:r>
    </w:p>
    <w:p w14:paraId="01C9D6CD"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Бензалкониев хлорид 0,2 </w:t>
      </w:r>
      <w:r w:rsidRPr="00AF0720">
        <w:rPr>
          <w:rFonts w:eastAsia="Times New Roman" w:cs="Arial"/>
          <w:color w:val="000000"/>
          <w:szCs w:val="20"/>
          <w:lang w:val="en-US"/>
        </w:rPr>
        <w:t>mg</w:t>
      </w:r>
      <w:r w:rsidRPr="00AF0720">
        <w:rPr>
          <w:rFonts w:eastAsia="Times New Roman" w:cs="Arial"/>
          <w:color w:val="000000"/>
          <w:szCs w:val="20"/>
          <w:lang w:val="ru-RU"/>
        </w:rPr>
        <w:t>/</w:t>
      </w:r>
      <w:r w:rsidRPr="00AF0720">
        <w:rPr>
          <w:rFonts w:eastAsia="Times New Roman" w:cs="Arial"/>
          <w:color w:val="000000"/>
          <w:szCs w:val="20"/>
          <w:lang w:val="en-US"/>
        </w:rPr>
        <w:t>ml</w:t>
      </w:r>
      <w:r w:rsidRPr="00AF0720">
        <w:rPr>
          <w:rFonts w:eastAsia="Times New Roman" w:cs="Arial"/>
          <w:color w:val="000000"/>
          <w:szCs w:val="20"/>
          <w:lang w:val="ru-RU"/>
        </w:rPr>
        <w:t>.</w:t>
      </w:r>
    </w:p>
    <w:p w14:paraId="682CBBEC" w14:textId="77777777" w:rsidR="00AF0720" w:rsidRPr="00AF0720" w:rsidRDefault="00AF0720" w:rsidP="00AF0720"/>
    <w:p w14:paraId="614984C4" w14:textId="4BC0B8BF" w:rsidR="008A6AF2" w:rsidRDefault="00DD466D" w:rsidP="002C50EE">
      <w:pPr>
        <w:pStyle w:val="Heading1"/>
      </w:pPr>
      <w:r>
        <w:t>3. ЛЕКАРСТВЕНА ФОРМА</w:t>
      </w:r>
    </w:p>
    <w:p w14:paraId="3B7C4371" w14:textId="2934078A" w:rsidR="00AF0720" w:rsidRDefault="00AF0720" w:rsidP="00AF0720"/>
    <w:p w14:paraId="6517EA0C" w14:textId="77777777" w:rsidR="00AF0720" w:rsidRPr="00AF0720" w:rsidRDefault="00AF0720" w:rsidP="00AF0720">
      <w:pPr>
        <w:rPr>
          <w:sz w:val="24"/>
          <w:szCs w:val="24"/>
        </w:rPr>
      </w:pPr>
      <w:r w:rsidRPr="00AF0720">
        <w:rPr>
          <w:lang w:eastAsia="bg-BG"/>
        </w:rPr>
        <w:t>Капки за очи, разтвор.</w:t>
      </w:r>
    </w:p>
    <w:p w14:paraId="617AA859" w14:textId="77777777" w:rsidR="00AF0720" w:rsidRPr="00AF0720" w:rsidRDefault="00AF0720" w:rsidP="00AF0720">
      <w:pPr>
        <w:rPr>
          <w:sz w:val="24"/>
          <w:szCs w:val="24"/>
        </w:rPr>
      </w:pPr>
      <w:r w:rsidRPr="00AF0720">
        <w:rPr>
          <w:lang w:eastAsia="bg-BG"/>
        </w:rPr>
        <w:t xml:space="preserve">Бистър, безцветен, стерилен воден разтвор с </w:t>
      </w:r>
      <w:r w:rsidRPr="00AF0720">
        <w:rPr>
          <w:lang w:val="en-US"/>
        </w:rPr>
        <w:t>pH</w:t>
      </w:r>
      <w:r w:rsidRPr="00AF0720">
        <w:rPr>
          <w:lang w:val="ru-RU"/>
        </w:rPr>
        <w:t xml:space="preserve"> </w:t>
      </w:r>
      <w:r w:rsidRPr="00AF0720">
        <w:rPr>
          <w:lang w:eastAsia="bg-BG"/>
        </w:rPr>
        <w:t xml:space="preserve">6,0 - 7,5 и осмолалитет между 260 и 330 </w:t>
      </w:r>
      <w:proofErr w:type="spellStart"/>
      <w:r w:rsidRPr="00AF0720">
        <w:rPr>
          <w:lang w:val="en-US"/>
        </w:rPr>
        <w:t>mOsmol</w:t>
      </w:r>
      <w:proofErr w:type="spellEnd"/>
      <w:r w:rsidRPr="00AF0720">
        <w:rPr>
          <w:lang w:val="ru-RU"/>
        </w:rPr>
        <w:t>/</w:t>
      </w:r>
      <w:r w:rsidRPr="00AF0720">
        <w:rPr>
          <w:lang w:val="en-US"/>
        </w:rPr>
        <w:t>kg</w:t>
      </w:r>
      <w:r w:rsidRPr="00AF0720">
        <w:rPr>
          <w:lang w:val="ru-RU"/>
        </w:rPr>
        <w:t>.</w:t>
      </w:r>
    </w:p>
    <w:p w14:paraId="4C120988" w14:textId="77777777" w:rsidR="00AF0720" w:rsidRPr="00AF0720" w:rsidRDefault="00AF0720" w:rsidP="00AF0720"/>
    <w:p w14:paraId="490FC2C4" w14:textId="0F4A4A75" w:rsidR="002C50EE" w:rsidRDefault="002C50EE" w:rsidP="002C50EE">
      <w:pPr>
        <w:pStyle w:val="Heading1"/>
      </w:pPr>
      <w:r>
        <w:t>4. КЛИНИЧНИ ДАННИ</w:t>
      </w:r>
    </w:p>
    <w:p w14:paraId="74330405" w14:textId="39993DF1" w:rsidR="007122AD" w:rsidRDefault="002C50EE" w:rsidP="00936AD0">
      <w:pPr>
        <w:pStyle w:val="Heading2"/>
      </w:pPr>
      <w:r>
        <w:t>4.1. Терапевтични показания</w:t>
      </w:r>
    </w:p>
    <w:p w14:paraId="46EA17B3" w14:textId="1D9BFD01" w:rsidR="00AF0720" w:rsidRDefault="00AF0720" w:rsidP="00AF0720"/>
    <w:p w14:paraId="4F0C4863" w14:textId="77777777" w:rsidR="00AF0720" w:rsidRPr="00AF0720" w:rsidRDefault="00AF0720" w:rsidP="00AF0720">
      <w:pPr>
        <w:rPr>
          <w:sz w:val="24"/>
          <w:szCs w:val="24"/>
        </w:rPr>
      </w:pPr>
      <w:r w:rsidRPr="00AF0720">
        <w:rPr>
          <w:lang w:eastAsia="bg-BG"/>
        </w:rPr>
        <w:t>Намаляване на повишеното вътреочно налягане (ВОН) при пациенти с откритоъгълна глаукома и очна хипертензия.</w:t>
      </w:r>
    </w:p>
    <w:p w14:paraId="58AF021B" w14:textId="77777777" w:rsidR="00AF0720" w:rsidRDefault="00AF0720" w:rsidP="00AF0720">
      <w:pPr>
        <w:rPr>
          <w:lang w:eastAsia="bg-BG"/>
        </w:rPr>
      </w:pPr>
    </w:p>
    <w:p w14:paraId="0445D414" w14:textId="7FB23799" w:rsidR="00AF0720" w:rsidRDefault="00AF0720" w:rsidP="00AF0720">
      <w:pPr>
        <w:rPr>
          <w:lang w:eastAsia="bg-BG"/>
        </w:rPr>
      </w:pPr>
      <w:r w:rsidRPr="00AF0720">
        <w:rPr>
          <w:lang w:eastAsia="bg-BG"/>
        </w:rPr>
        <w:t>Намаляване на повишеното вътреочно налягане (ВОН) при педиатрични пациенти с повишено вътреочно налягане и педиатрична глаукома.</w:t>
      </w:r>
    </w:p>
    <w:p w14:paraId="730BDC91" w14:textId="77777777" w:rsidR="00AF0720" w:rsidRPr="00AF0720" w:rsidRDefault="00AF0720" w:rsidP="00AF0720"/>
    <w:p w14:paraId="53F5B866" w14:textId="4CF0BE38" w:rsidR="007122AD" w:rsidRDefault="002C50EE" w:rsidP="00936AD0">
      <w:pPr>
        <w:pStyle w:val="Heading2"/>
      </w:pPr>
      <w:r>
        <w:t>4.2. Дозировка и начин на приложение</w:t>
      </w:r>
    </w:p>
    <w:p w14:paraId="4ABE4036" w14:textId="2919ADC6" w:rsidR="00AF0720" w:rsidRDefault="00AF0720" w:rsidP="00AF0720"/>
    <w:p w14:paraId="46B5F8C4" w14:textId="77777777" w:rsidR="00AF0720" w:rsidRPr="00AF0720" w:rsidRDefault="00AF0720" w:rsidP="00AF0720">
      <w:pPr>
        <w:pStyle w:val="Heading3"/>
        <w:rPr>
          <w:rFonts w:eastAsia="Times New Roman"/>
          <w:sz w:val="28"/>
          <w:u w:val="single"/>
        </w:rPr>
      </w:pPr>
      <w:r w:rsidRPr="00AF0720">
        <w:rPr>
          <w:rFonts w:eastAsia="Times New Roman"/>
          <w:u w:val="single"/>
          <w:lang w:eastAsia="bg-BG"/>
        </w:rPr>
        <w:t>Дозировка</w:t>
      </w:r>
    </w:p>
    <w:p w14:paraId="4E1544D4" w14:textId="77777777" w:rsidR="00AF0720" w:rsidRPr="00AF0720" w:rsidRDefault="00AF0720" w:rsidP="00AF0720">
      <w:pPr>
        <w:spacing w:line="240" w:lineRule="auto"/>
        <w:rPr>
          <w:rFonts w:eastAsia="Times New Roman" w:cs="Arial"/>
          <w:sz w:val="28"/>
          <w:szCs w:val="24"/>
        </w:rPr>
      </w:pPr>
      <w:r w:rsidRPr="00AF0720">
        <w:rPr>
          <w:rFonts w:eastAsia="Times New Roman" w:cs="Arial"/>
          <w:i/>
          <w:iCs/>
          <w:color w:val="000000"/>
          <w:szCs w:val="20"/>
          <w:lang w:eastAsia="bg-BG"/>
        </w:rPr>
        <w:t>Възрастни (включително пациенти в старческа възраст):</w:t>
      </w:r>
    </w:p>
    <w:p w14:paraId="20FE59C0"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Препоръчителното лечение е една капка в засегнатото око (очи) един път дневно. Оптимален ефект се получава, ако латанопрост се прилага вечер.</w:t>
      </w:r>
    </w:p>
    <w:p w14:paraId="1E418925" w14:textId="77777777" w:rsidR="00AF0720" w:rsidRPr="00AF0720" w:rsidRDefault="00AF0720" w:rsidP="00AF0720">
      <w:pPr>
        <w:spacing w:line="240" w:lineRule="auto"/>
        <w:rPr>
          <w:rFonts w:eastAsia="Times New Roman" w:cs="Arial"/>
          <w:color w:val="000000"/>
          <w:szCs w:val="20"/>
          <w:lang w:eastAsia="bg-BG"/>
        </w:rPr>
      </w:pPr>
    </w:p>
    <w:p w14:paraId="58C5E155" w14:textId="15F97671"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Дозировката на латанопрост не трябва да надвишава един път дневно, тъй като има данни, че по- честото приложение намалява ефекта на понижаване на вътреочното налягане.</w:t>
      </w:r>
    </w:p>
    <w:p w14:paraId="0480B34D" w14:textId="77777777" w:rsidR="00AF0720" w:rsidRPr="00AF0720" w:rsidRDefault="00AF0720" w:rsidP="00AF0720">
      <w:pPr>
        <w:spacing w:line="240" w:lineRule="auto"/>
        <w:rPr>
          <w:rFonts w:eastAsia="Times New Roman" w:cs="Arial"/>
          <w:color w:val="000000"/>
          <w:szCs w:val="20"/>
          <w:lang w:eastAsia="bg-BG"/>
        </w:rPr>
      </w:pPr>
    </w:p>
    <w:p w14:paraId="3A6257C4" w14:textId="53371DD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lastRenderedPageBreak/>
        <w:t>Ако се пропусне една доза, лечението трябва да продължи със следващата доза по обичайния начин.</w:t>
      </w:r>
    </w:p>
    <w:p w14:paraId="25254D59" w14:textId="77777777" w:rsidR="00AF0720" w:rsidRPr="00AF0720" w:rsidRDefault="00AF0720" w:rsidP="00AF0720">
      <w:pPr>
        <w:rPr>
          <w:rFonts w:eastAsia="Times New Roman" w:cs="Arial"/>
          <w:color w:val="000000"/>
          <w:szCs w:val="20"/>
          <w:lang w:eastAsia="bg-BG"/>
        </w:rPr>
      </w:pPr>
    </w:p>
    <w:p w14:paraId="592C4B96" w14:textId="2315243A" w:rsidR="00AF0720" w:rsidRPr="00AF0720" w:rsidRDefault="00AF0720" w:rsidP="00AF0720">
      <w:pPr>
        <w:rPr>
          <w:rFonts w:eastAsia="Times New Roman" w:cs="Arial"/>
          <w:color w:val="000000"/>
          <w:szCs w:val="20"/>
          <w:lang w:eastAsia="bg-BG"/>
        </w:rPr>
      </w:pPr>
      <w:r w:rsidRPr="00AF0720">
        <w:rPr>
          <w:rFonts w:eastAsia="Times New Roman" w:cs="Arial"/>
          <w:color w:val="000000"/>
          <w:szCs w:val="20"/>
          <w:lang w:eastAsia="bg-BG"/>
        </w:rPr>
        <w:t>Както и при други капки за очи, за да се намали системната абсорбция се препоръчва да се притисне слъзния сак към медиалния кантус (точкова оклузия) за една минута. Това трябва да се прави веднага след поставянето на всяка капка.</w:t>
      </w:r>
    </w:p>
    <w:p w14:paraId="7D1B9730" w14:textId="26840FA4" w:rsidR="00AF0720" w:rsidRPr="00AF0720" w:rsidRDefault="00AF0720" w:rsidP="00AF0720">
      <w:pPr>
        <w:rPr>
          <w:rFonts w:eastAsia="Times New Roman" w:cs="Arial"/>
          <w:color w:val="000000"/>
          <w:szCs w:val="20"/>
          <w:lang w:eastAsia="bg-BG"/>
        </w:rPr>
      </w:pPr>
    </w:p>
    <w:p w14:paraId="287F33C6"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Контактните лещи трябва да се махнат преди поставянето на капките за очи и могат да се поставят отново след 15 минути.</w:t>
      </w:r>
    </w:p>
    <w:p w14:paraId="36C968FE" w14:textId="77777777" w:rsidR="00AF0720" w:rsidRPr="00AF0720" w:rsidRDefault="00AF0720" w:rsidP="00AF0720">
      <w:pPr>
        <w:spacing w:line="240" w:lineRule="auto"/>
        <w:rPr>
          <w:rFonts w:eastAsia="Times New Roman" w:cs="Arial"/>
          <w:color w:val="000000"/>
          <w:szCs w:val="20"/>
          <w:lang w:eastAsia="bg-BG"/>
        </w:rPr>
      </w:pPr>
    </w:p>
    <w:p w14:paraId="32F1F637" w14:textId="5B7BC88B"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Ако се използва повече от един офталмологичен лекарствен продукт за локално приложение, лекарствените продукти трябва да се прилагат през интервал от най-малко пет минути.</w:t>
      </w:r>
    </w:p>
    <w:p w14:paraId="4316C476" w14:textId="77777777" w:rsidR="00AF0720" w:rsidRPr="00AF0720" w:rsidRDefault="00AF0720" w:rsidP="00AF0720">
      <w:pPr>
        <w:spacing w:line="240" w:lineRule="auto"/>
        <w:rPr>
          <w:rFonts w:eastAsia="Times New Roman" w:cs="Arial"/>
          <w:i/>
          <w:iCs/>
          <w:color w:val="000000"/>
          <w:szCs w:val="20"/>
          <w:lang w:eastAsia="bg-BG"/>
        </w:rPr>
      </w:pPr>
    </w:p>
    <w:p w14:paraId="077F7A2B" w14:textId="5086166A" w:rsidR="00AF0720" w:rsidRPr="00AF0720" w:rsidRDefault="00AF0720" w:rsidP="00AF0720">
      <w:pPr>
        <w:spacing w:line="240" w:lineRule="auto"/>
        <w:rPr>
          <w:rFonts w:eastAsia="Times New Roman" w:cs="Arial"/>
          <w:sz w:val="28"/>
          <w:szCs w:val="24"/>
        </w:rPr>
      </w:pPr>
      <w:r w:rsidRPr="00AF0720">
        <w:rPr>
          <w:rFonts w:eastAsia="Times New Roman" w:cs="Arial"/>
          <w:i/>
          <w:iCs/>
          <w:color w:val="000000"/>
          <w:szCs w:val="20"/>
          <w:lang w:eastAsia="bg-BG"/>
        </w:rPr>
        <w:t>Педиатрична популация:</w:t>
      </w:r>
    </w:p>
    <w:p w14:paraId="407E8376" w14:textId="77777777" w:rsidR="00AF0720" w:rsidRPr="00AF0720" w:rsidRDefault="00AF0720" w:rsidP="00AF0720">
      <w:pPr>
        <w:spacing w:line="240" w:lineRule="auto"/>
        <w:rPr>
          <w:rFonts w:ascii="Times New Roman" w:eastAsia="Times New Roman" w:hAnsi="Times New Roman" w:cs="Times New Roman"/>
          <w:sz w:val="24"/>
          <w:szCs w:val="24"/>
        </w:rPr>
      </w:pPr>
      <w:r w:rsidRPr="00AF0720">
        <w:rPr>
          <w:rFonts w:eastAsia="Times New Roman" w:cs="Arial"/>
          <w:color w:val="000000"/>
          <w:szCs w:val="20"/>
          <w:lang w:eastAsia="bg-BG"/>
        </w:rPr>
        <w:t>Латанопрост капки за очи могат да се използват при педиатрични пациенти в същата дозировка, както при възрастни. Не са налични данни за преждевременно родени бебета (по-малко от 36 гестационни седмици). Данните относно възрастовата група &lt; 1 година (4 пациенти) са много ограничени (вж. точка 5.1).</w:t>
      </w:r>
    </w:p>
    <w:p w14:paraId="3358BC27" w14:textId="77777777" w:rsidR="00AF0720" w:rsidRPr="00AF0720" w:rsidRDefault="00AF0720" w:rsidP="00AF0720"/>
    <w:p w14:paraId="0F253247" w14:textId="19AB1DC5" w:rsidR="007122AD" w:rsidRDefault="002C50EE" w:rsidP="00936AD0">
      <w:pPr>
        <w:pStyle w:val="Heading2"/>
      </w:pPr>
      <w:r>
        <w:t>4.3. Противопоказания</w:t>
      </w:r>
    </w:p>
    <w:p w14:paraId="54A1DFCA" w14:textId="61131E53" w:rsidR="00AF0720" w:rsidRDefault="00AF0720" w:rsidP="00AF0720"/>
    <w:p w14:paraId="357F3D1B" w14:textId="34F8CD73" w:rsidR="00AF0720" w:rsidRDefault="00AF0720" w:rsidP="00AF0720">
      <w:r>
        <w:t>Свръхчувствителност към активното вещество или към някое от помощните вещества, изброени в точка 6.1.</w:t>
      </w:r>
    </w:p>
    <w:p w14:paraId="47EE7FB5" w14:textId="77777777" w:rsidR="00AF0720" w:rsidRPr="00AF0720" w:rsidRDefault="00AF0720" w:rsidP="00AF0720"/>
    <w:p w14:paraId="0E0BDCC7" w14:textId="24A3FB23" w:rsidR="007122AD" w:rsidRDefault="002C50EE" w:rsidP="00936AD0">
      <w:pPr>
        <w:pStyle w:val="Heading2"/>
      </w:pPr>
      <w:r>
        <w:t>4.4. Специални предупреждения и предпазни мерки при употреба</w:t>
      </w:r>
    </w:p>
    <w:p w14:paraId="41E623D1" w14:textId="23A60ECF" w:rsidR="00AF0720" w:rsidRDefault="00AF0720" w:rsidP="00AF0720"/>
    <w:p w14:paraId="1FC2BB40"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Латанопрост може постепенно да промени цвета на очите, като увеличи количеството на кафявия пигмент в ириса. Преди започване на лечението, пациентите трябва да се информират за възможността от трайна промяна на цвета на очите. Едностранно лечение може да доведе до трайна хетерохромия.</w:t>
      </w:r>
    </w:p>
    <w:p w14:paraId="0C964AAA"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Тази промяна в цвета на очите се наблюдава повече при пациенти със смесен цвят на ириса, т.е. синьо-кафяв, сиво-кафяв, зелено-кафяв или жълто-кафяв. В проучвания с латанопрост промяната в цвета настъпва обикновено през първите 8 месеца от лечението, много рядко през втората и третата година, а след четвъртата година на лечение не се наблюдава. С времето скоростта на напредване на пигментацията на ириса намалява и се стабилизира за пет години. Ефектът на увеличената пигментация след този период от пет години не е оценен. В отворено 5-годишно проучване за безопасност на латанопрост, 33% от пациентите развиват пигментация на ириса (вж. точка 4.8). Промяната в цвета на ириса е малка в повечето случаи и често не се наблюдава клинично. При пациенти със смесен цвят на ириса честотата е от 7 до 85%, като най-висока е честотата при пациенти с жълто-кафяв ирис. При пациенти с хомогенен син цвят на очите не се наблюдава промяна, а при пациенти с хомогенен сив, зелен или кафяв цвят на очите се наблюдава промяна много рядко.</w:t>
      </w:r>
    </w:p>
    <w:p w14:paraId="7CBB0903"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Промяната в цвета се дължи на повишено количество меланин в стромалните меланоцити на ириса, а не на повишаване брой на меланоцитите. Обикновено кафявата пигментация около зеницата се разпростира концентрично към периферията на засегнатите очи, но целият ирис или части от него могат да станат по-кафяви. След прекратяване на лечението не се наблюдава по</w:t>
      </w:r>
      <w:r w:rsidRPr="00AF0720">
        <w:rPr>
          <w:rFonts w:eastAsia="Times New Roman" w:cs="Arial"/>
          <w:color w:val="000000"/>
          <w:szCs w:val="20"/>
          <w:lang w:eastAsia="bg-BG"/>
        </w:rPr>
        <w:softHyphen/>
        <w:t xml:space="preserve">нататъшно увеличаване на кафевия </w:t>
      </w:r>
      <w:r w:rsidRPr="00AF0720">
        <w:rPr>
          <w:rFonts w:eastAsia="Times New Roman" w:cs="Arial"/>
          <w:color w:val="000000"/>
          <w:szCs w:val="20"/>
          <w:lang w:eastAsia="bg-BG"/>
        </w:rPr>
        <w:lastRenderedPageBreak/>
        <w:t>пигмент на ириса. До момента, тази промяна не е свързвана с каквито и да било симптоми или патологични промени по време на клинични проучвания.</w:t>
      </w:r>
    </w:p>
    <w:p w14:paraId="672C689A" w14:textId="77777777" w:rsidR="00AF0720" w:rsidRPr="00AF0720" w:rsidRDefault="00AF0720" w:rsidP="00AF0720">
      <w:pPr>
        <w:spacing w:line="240" w:lineRule="auto"/>
        <w:rPr>
          <w:rFonts w:eastAsia="Times New Roman" w:cs="Arial"/>
          <w:color w:val="000000"/>
          <w:szCs w:val="20"/>
          <w:lang w:eastAsia="bg-BG"/>
        </w:rPr>
      </w:pPr>
    </w:p>
    <w:p w14:paraId="2E55AD34" w14:textId="41E0C683"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Невусите или точиците в ириса не се повлияват от лечението. При клинични проучвания не е наблюдавано натрупване на пигмент в трабекуларната мрежа или на друго място в предната камера. Петгодишният клиничен опит показва, че увеличената пигментация на ириса няма негативно клинично последствие и лечението с латанопрост може да продължи, ако се появи пигментация на ириса. Все пак, пациентите трябва да бъдат проследявани редовно и ако клиничната ситуация го налага, лечението с латанопрост може да бъде прекратено.</w:t>
      </w:r>
    </w:p>
    <w:p w14:paraId="595C3818" w14:textId="77777777" w:rsidR="00AF0720" w:rsidRPr="00AF0720" w:rsidRDefault="00AF0720" w:rsidP="00AF0720">
      <w:pPr>
        <w:spacing w:line="240" w:lineRule="auto"/>
        <w:rPr>
          <w:rFonts w:eastAsia="Times New Roman" w:cs="Arial"/>
          <w:color w:val="000000"/>
          <w:szCs w:val="20"/>
          <w:lang w:eastAsia="bg-BG"/>
        </w:rPr>
      </w:pPr>
    </w:p>
    <w:p w14:paraId="2F8ACFA8" w14:textId="7B4D239D" w:rsidR="00AF0720" w:rsidRPr="00AF0720" w:rsidRDefault="00AF0720" w:rsidP="00AF0720">
      <w:pPr>
        <w:spacing w:line="240" w:lineRule="auto"/>
        <w:rPr>
          <w:rFonts w:eastAsia="Times New Roman" w:cs="Arial"/>
          <w:color w:val="000000"/>
          <w:szCs w:val="20"/>
          <w:lang w:eastAsia="bg-BG"/>
        </w:rPr>
      </w:pPr>
      <w:r w:rsidRPr="00AF0720">
        <w:rPr>
          <w:rFonts w:eastAsia="Times New Roman" w:cs="Arial"/>
          <w:color w:val="000000"/>
          <w:szCs w:val="20"/>
          <w:lang w:eastAsia="bg-BG"/>
        </w:rPr>
        <w:t xml:space="preserve">Има ограничен опит с употребата на латанопрост при хронична закритоъгълна глаукома откритоъгълна </w:t>
      </w:r>
    </w:p>
    <w:p w14:paraId="3492DCB0" w14:textId="481F9BEC" w:rsidR="00AF0720" w:rsidRPr="00AF0720" w:rsidRDefault="00AF0720" w:rsidP="00AF0720">
      <w:pPr>
        <w:spacing w:line="240" w:lineRule="auto"/>
        <w:rPr>
          <w:rFonts w:eastAsia="Times New Roman" w:cs="Arial"/>
          <w:color w:val="000000"/>
          <w:szCs w:val="20"/>
          <w:lang w:eastAsia="bg-BG"/>
        </w:rPr>
      </w:pPr>
      <w:r w:rsidRPr="00AF0720">
        <w:rPr>
          <w:rFonts w:eastAsia="Times New Roman" w:cs="Arial"/>
          <w:color w:val="000000"/>
          <w:szCs w:val="20"/>
          <w:lang w:eastAsia="bg-BG"/>
        </w:rPr>
        <w:t>глаукома при пациенти с псевдофакия и при пигментна глаукома. Няма опит с употребата на латанопрост при възпалителна и неоваскуларна глаукома или възпалителни очни</w:t>
      </w:r>
      <w:r w:rsidRPr="00AF0720">
        <w:rPr>
          <w:rFonts w:eastAsia="Times New Roman" w:cs="Arial"/>
          <w:sz w:val="28"/>
          <w:szCs w:val="24"/>
        </w:rPr>
        <w:t xml:space="preserve"> </w:t>
      </w:r>
      <w:r w:rsidRPr="00AF0720">
        <w:rPr>
          <w:rFonts w:eastAsia="Times New Roman" w:cs="Arial"/>
          <w:color w:val="000000"/>
          <w:szCs w:val="20"/>
          <w:lang w:eastAsia="bg-BG"/>
        </w:rPr>
        <w:t>заболявания. Латанопрост няма никакъв или има слаб ефект върху зеницата, но няма изследвания при остри пристъпи на закритоъгьлна глаукома. Ето защо, се препоръчва при тези състояния</w:t>
      </w:r>
      <w:r w:rsidRPr="00AF0720">
        <w:rPr>
          <w:rFonts w:eastAsia="Times New Roman" w:cs="Arial"/>
          <w:sz w:val="28"/>
          <w:szCs w:val="24"/>
        </w:rPr>
        <w:t xml:space="preserve"> </w:t>
      </w:r>
      <w:r w:rsidRPr="00AF0720">
        <w:rPr>
          <w:rFonts w:eastAsia="Times New Roman" w:cs="Arial"/>
          <w:color w:val="000000"/>
          <w:szCs w:val="20"/>
          <w:lang w:eastAsia="bg-BG"/>
        </w:rPr>
        <w:t>латанопрост да се прилага с повишено внимание до натрупването на повече опит.</w:t>
      </w:r>
    </w:p>
    <w:p w14:paraId="7FAD7A22" w14:textId="3D335C8B" w:rsidR="00AF0720" w:rsidRPr="00AF0720" w:rsidRDefault="00AF0720" w:rsidP="00AF0720">
      <w:pPr>
        <w:spacing w:line="240" w:lineRule="auto"/>
        <w:rPr>
          <w:rFonts w:eastAsia="Times New Roman" w:cs="Arial"/>
          <w:color w:val="000000"/>
          <w:szCs w:val="20"/>
          <w:lang w:eastAsia="bg-BG"/>
        </w:rPr>
      </w:pPr>
    </w:p>
    <w:p w14:paraId="448AD283"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Има ограничени </w:t>
      </w:r>
      <w:r w:rsidRPr="00AF0720">
        <w:rPr>
          <w:rFonts w:eastAsia="Times New Roman" w:cs="Arial"/>
          <w:i/>
          <w:iCs/>
          <w:color w:val="000000"/>
          <w:szCs w:val="20"/>
          <w:lang w:eastAsia="bg-BG"/>
        </w:rPr>
        <w:t>данни</w:t>
      </w:r>
      <w:r w:rsidRPr="00AF0720">
        <w:rPr>
          <w:rFonts w:eastAsia="Times New Roman" w:cs="Arial"/>
          <w:color w:val="000000"/>
          <w:szCs w:val="20"/>
          <w:lang w:eastAsia="bg-BG"/>
        </w:rPr>
        <w:t xml:space="preserve"> за </w:t>
      </w:r>
      <w:r w:rsidRPr="00AF0720">
        <w:rPr>
          <w:rFonts w:eastAsia="Times New Roman" w:cs="Arial"/>
          <w:i/>
          <w:iCs/>
          <w:color w:val="000000"/>
          <w:szCs w:val="20"/>
          <w:lang w:eastAsia="bg-BG"/>
        </w:rPr>
        <w:t>употребата</w:t>
      </w:r>
      <w:r w:rsidRPr="00AF0720">
        <w:rPr>
          <w:rFonts w:eastAsia="Times New Roman" w:cs="Arial"/>
          <w:color w:val="000000"/>
          <w:szCs w:val="20"/>
          <w:lang w:eastAsia="bg-BG"/>
        </w:rPr>
        <w:t xml:space="preserve"> на латанопрост ло време на периоперативния период при операция на катаракта. Латанопрост трябва да се прилага с повишено внимание при такива пациенти.</w:t>
      </w:r>
    </w:p>
    <w:p w14:paraId="1CBAC92E"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Латанопрост трябва да се използва с повишено внимание при пациенти с анамнеза за херпесен кератит и трябва да се избягва в случаи на активен херпес симплекс кератит и при пациенти с анамнеза за рецидивиращ херпесен кератит, конкретно свързан с аналози на простагландина.</w:t>
      </w:r>
    </w:p>
    <w:p w14:paraId="4E89E50B" w14:textId="77777777" w:rsidR="00AF0720" w:rsidRPr="00AF0720" w:rsidRDefault="00AF0720" w:rsidP="00AF0720">
      <w:pPr>
        <w:spacing w:line="240" w:lineRule="auto"/>
        <w:rPr>
          <w:rFonts w:eastAsia="Times New Roman" w:cs="Arial"/>
          <w:color w:val="000000"/>
          <w:szCs w:val="20"/>
          <w:lang w:eastAsia="bg-BG"/>
        </w:rPr>
      </w:pPr>
    </w:p>
    <w:p w14:paraId="44C4982B" w14:textId="27B7BAE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Има съобщения за макулен едем (вж. точка 4.8), главно при пациенти с афакия, пациенти с псевдофакия с разкъсана задна капсула на лещата или предната камера на лещата, или при пациенти с известни рискови фактори за кистозен макулен едем (например с диабетна ретинопатия или оклузия на ретинална вена). Латанопрост трябва да се прилага с внимание при пациенти с афакия, пациенти с псевдофакия с разкъсана задна капсула на лещата или предната камера на лещата, или при пациенти с известни рискови фактори за кистозен макулен едем.</w:t>
      </w:r>
    </w:p>
    <w:p w14:paraId="6861C1C4" w14:textId="77777777" w:rsidR="00AF0720" w:rsidRPr="00AF0720" w:rsidRDefault="00AF0720" w:rsidP="00AF0720">
      <w:pPr>
        <w:spacing w:line="240" w:lineRule="auto"/>
        <w:rPr>
          <w:rFonts w:eastAsia="Times New Roman" w:cs="Arial"/>
          <w:color w:val="000000"/>
          <w:szCs w:val="20"/>
          <w:lang w:eastAsia="bg-BG"/>
        </w:rPr>
      </w:pPr>
    </w:p>
    <w:p w14:paraId="450E74C6" w14:textId="1B24A885"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При пациенти с известни рискови фактори предразполагащи за ирит/увеит, латанопрост трябва да се прилага с повишено внимание.</w:t>
      </w:r>
    </w:p>
    <w:p w14:paraId="62571945" w14:textId="77777777" w:rsidR="00AF0720" w:rsidRPr="00AF0720" w:rsidRDefault="00AF0720" w:rsidP="00AF0720">
      <w:pPr>
        <w:spacing w:line="240" w:lineRule="auto"/>
        <w:rPr>
          <w:rFonts w:eastAsia="Times New Roman" w:cs="Arial"/>
          <w:color w:val="000000"/>
          <w:szCs w:val="20"/>
          <w:lang w:eastAsia="bg-BG"/>
        </w:rPr>
      </w:pPr>
    </w:p>
    <w:p w14:paraId="56A2B0E3" w14:textId="0953790A"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Опитът при пациенти с астма е ограничен, но има постмаркетингови съобщения за обостряне на астмата и/или диспнея. По тази причина пациентите с астма трябва да се лекуват с внимание до натрупване на достатъчно клинични данни (вж. също точка 4.8).</w:t>
      </w:r>
    </w:p>
    <w:p w14:paraId="134DD083" w14:textId="77777777" w:rsidR="00AF0720" w:rsidRPr="00AF0720" w:rsidRDefault="00AF0720" w:rsidP="00AF0720">
      <w:pPr>
        <w:spacing w:line="240" w:lineRule="auto"/>
        <w:rPr>
          <w:rFonts w:eastAsia="Times New Roman" w:cs="Arial"/>
          <w:color w:val="000000"/>
          <w:szCs w:val="20"/>
          <w:lang w:eastAsia="bg-BG"/>
        </w:rPr>
      </w:pPr>
    </w:p>
    <w:p w14:paraId="3A68CFF4" w14:textId="42716573"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Наблюдава се и промяна в цвета на кожата в периорбиталната област, като повечето съобщения се отнасят за пациенти с японски произход. Опитът показва, че промяната в цвета на кожата в периорбиталната област не е постоянна и в някои случаи тя отшумява в хода на лечението с латанопрост.</w:t>
      </w:r>
    </w:p>
    <w:p w14:paraId="0BB8BE80" w14:textId="77777777" w:rsidR="00AF0720" w:rsidRPr="00AF0720" w:rsidRDefault="00AF0720" w:rsidP="00AF0720">
      <w:pPr>
        <w:spacing w:line="240" w:lineRule="auto"/>
        <w:rPr>
          <w:rFonts w:eastAsia="Times New Roman" w:cs="Arial"/>
          <w:color w:val="000000"/>
          <w:szCs w:val="20"/>
          <w:lang w:eastAsia="bg-BG"/>
        </w:rPr>
      </w:pPr>
    </w:p>
    <w:p w14:paraId="61FE9529" w14:textId="2B44DC00"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Латанопрост може постепенно да доведе до промяна в миглите и фините косъмчета </w:t>
      </w:r>
      <w:r w:rsidRPr="00AF0720">
        <w:rPr>
          <w:rFonts w:eastAsia="Times New Roman" w:cs="Arial"/>
          <w:color w:val="000000"/>
          <w:szCs w:val="20"/>
          <w:lang w:val="ru-RU"/>
        </w:rPr>
        <w:t>(</w:t>
      </w:r>
      <w:proofErr w:type="spellStart"/>
      <w:r w:rsidRPr="00AF0720">
        <w:rPr>
          <w:rFonts w:eastAsia="Times New Roman" w:cs="Arial"/>
          <w:color w:val="000000"/>
          <w:szCs w:val="20"/>
          <w:lang w:val="en-US"/>
        </w:rPr>
        <w:t>vellus</w:t>
      </w:r>
      <w:proofErr w:type="spellEnd"/>
      <w:r w:rsidRPr="00AF0720">
        <w:rPr>
          <w:rFonts w:eastAsia="Times New Roman" w:cs="Arial"/>
          <w:color w:val="000000"/>
          <w:szCs w:val="20"/>
          <w:lang w:val="ru-RU"/>
        </w:rPr>
        <w:t xml:space="preserve">) </w:t>
      </w:r>
      <w:r w:rsidRPr="00AF0720">
        <w:rPr>
          <w:rFonts w:eastAsia="Times New Roman" w:cs="Arial"/>
          <w:color w:val="000000"/>
          <w:szCs w:val="20"/>
          <w:lang w:eastAsia="bg-BG"/>
        </w:rPr>
        <w:t xml:space="preserve">на лекуваното око и областта около него; тези промени включват по-голяма </w:t>
      </w:r>
      <w:r w:rsidRPr="00AF0720">
        <w:rPr>
          <w:rFonts w:eastAsia="Times New Roman" w:cs="Arial"/>
          <w:color w:val="000000"/>
          <w:szCs w:val="20"/>
          <w:lang w:eastAsia="bg-BG"/>
        </w:rPr>
        <w:lastRenderedPageBreak/>
        <w:t>дължина, дебелина, пигментация, брой на косъмчетата на лекуваното око и врастнали мигли. Промените в миглите са обратими при прекратяване на лечението.</w:t>
      </w:r>
    </w:p>
    <w:p w14:paraId="0B6C1467" w14:textId="77777777" w:rsidR="00AF0720" w:rsidRPr="00AF0720" w:rsidRDefault="00AF0720" w:rsidP="00AF0720">
      <w:pPr>
        <w:spacing w:line="240" w:lineRule="auto"/>
        <w:rPr>
          <w:rFonts w:eastAsia="Times New Roman" w:cs="Arial"/>
          <w:color w:val="000000"/>
          <w:szCs w:val="20"/>
          <w:lang w:eastAsia="bg-BG"/>
        </w:rPr>
      </w:pPr>
    </w:p>
    <w:p w14:paraId="7EAD37B5" w14:textId="4970E773"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Това лекарство съдържа 0,0058 </w:t>
      </w:r>
      <w:r w:rsidRPr="00AF0720">
        <w:rPr>
          <w:rFonts w:eastAsia="Times New Roman" w:cs="Arial"/>
          <w:color w:val="000000"/>
          <w:szCs w:val="20"/>
          <w:lang w:val="en-US"/>
        </w:rPr>
        <w:t>mg</w:t>
      </w:r>
      <w:r w:rsidRPr="00AF0720">
        <w:rPr>
          <w:rFonts w:eastAsia="Times New Roman" w:cs="Arial"/>
          <w:color w:val="000000"/>
          <w:szCs w:val="20"/>
          <w:lang w:val="ru-RU"/>
        </w:rPr>
        <w:t xml:space="preserve"> </w:t>
      </w:r>
      <w:r w:rsidRPr="00AF0720">
        <w:rPr>
          <w:rFonts w:eastAsia="Times New Roman" w:cs="Arial"/>
          <w:color w:val="000000"/>
          <w:szCs w:val="20"/>
          <w:lang w:eastAsia="bg-BG"/>
        </w:rPr>
        <w:t xml:space="preserve">бензалкониев хлорид във всяка капка, които са еквивалентни на 0,2 </w:t>
      </w:r>
      <w:r w:rsidRPr="00AF0720">
        <w:rPr>
          <w:rFonts w:eastAsia="Times New Roman" w:cs="Arial"/>
          <w:color w:val="000000"/>
          <w:szCs w:val="20"/>
          <w:lang w:val="en-US"/>
        </w:rPr>
        <w:t>mg</w:t>
      </w:r>
      <w:r w:rsidRPr="00AF0720">
        <w:rPr>
          <w:rFonts w:eastAsia="Times New Roman" w:cs="Arial"/>
          <w:color w:val="000000"/>
          <w:szCs w:val="20"/>
          <w:lang w:val="ru-RU"/>
        </w:rPr>
        <w:t>/</w:t>
      </w:r>
      <w:r w:rsidRPr="00AF0720">
        <w:rPr>
          <w:rFonts w:eastAsia="Times New Roman" w:cs="Arial"/>
          <w:color w:val="000000"/>
          <w:szCs w:val="20"/>
          <w:lang w:val="en-US"/>
        </w:rPr>
        <w:t>ml</w:t>
      </w:r>
      <w:r w:rsidRPr="00AF0720">
        <w:rPr>
          <w:rFonts w:eastAsia="Times New Roman" w:cs="Arial"/>
          <w:color w:val="000000"/>
          <w:szCs w:val="20"/>
          <w:lang w:val="ru-RU"/>
        </w:rPr>
        <w:t xml:space="preserve">. </w:t>
      </w:r>
      <w:r w:rsidRPr="00AF0720">
        <w:rPr>
          <w:rFonts w:eastAsia="Times New Roman" w:cs="Arial"/>
          <w:color w:val="000000"/>
          <w:szCs w:val="20"/>
          <w:lang w:eastAsia="bg-BG"/>
        </w:rPr>
        <w:t>Бензалкониевият хлорид може да се абсорбира от меките контактни лещи и може да промени цвета на лещите. Пациентите трябва да бъдат инструктирани да свалят контактните лещи преди употребата на това лекарство и да изчакат поне 15 минути преди да ги поставят отново. Бензалкониевият хлорид може също да причини дразнене на очите, особено ако пациентите имат „сухо око“ или нарушение на роговицата (прозрачния слой в предната част на окото). Пациентите трябва да бъдат посъветвани да говорят с лекар ако имат необичайно усещане в окото, като парене или болка в окото след употребата на това лекарство.</w:t>
      </w:r>
    </w:p>
    <w:p w14:paraId="4E94E210" w14:textId="77777777" w:rsidR="00AF0720" w:rsidRPr="00AF0720" w:rsidRDefault="00AF0720" w:rsidP="00AF0720">
      <w:pPr>
        <w:spacing w:line="240" w:lineRule="auto"/>
        <w:rPr>
          <w:rFonts w:eastAsia="Times New Roman" w:cs="Arial"/>
          <w:i/>
          <w:iCs/>
          <w:color w:val="000000"/>
          <w:szCs w:val="20"/>
          <w:lang w:eastAsia="bg-BG"/>
        </w:rPr>
      </w:pPr>
    </w:p>
    <w:p w14:paraId="563F1795" w14:textId="4C575CEE" w:rsidR="00AF0720" w:rsidRPr="00AF0720" w:rsidRDefault="00AF0720" w:rsidP="00AF0720">
      <w:pPr>
        <w:spacing w:line="240" w:lineRule="auto"/>
        <w:rPr>
          <w:rFonts w:eastAsia="Times New Roman" w:cs="Arial"/>
          <w:sz w:val="28"/>
          <w:szCs w:val="24"/>
        </w:rPr>
      </w:pPr>
      <w:r w:rsidRPr="00AF0720">
        <w:rPr>
          <w:rFonts w:eastAsia="Times New Roman" w:cs="Arial"/>
          <w:i/>
          <w:iCs/>
          <w:color w:val="000000"/>
          <w:szCs w:val="20"/>
          <w:lang w:eastAsia="bg-BG"/>
        </w:rPr>
        <w:t>Педиатрична популация</w:t>
      </w:r>
    </w:p>
    <w:p w14:paraId="76721370" w14:textId="232D0FE2" w:rsidR="00AF0720" w:rsidRDefault="00AF0720" w:rsidP="00AF0720">
      <w:pPr>
        <w:spacing w:line="240" w:lineRule="auto"/>
        <w:rPr>
          <w:rFonts w:eastAsia="Times New Roman" w:cs="Arial"/>
          <w:color w:val="000000"/>
          <w:szCs w:val="20"/>
          <w:lang w:eastAsia="bg-BG"/>
        </w:rPr>
      </w:pPr>
      <w:r w:rsidRPr="00AF0720">
        <w:rPr>
          <w:rFonts w:eastAsia="Times New Roman" w:cs="Arial"/>
          <w:color w:val="000000"/>
          <w:szCs w:val="20"/>
          <w:lang w:eastAsia="bg-BG"/>
        </w:rPr>
        <w:t>Данните за ефикасност и безопасност във възрастовата група &lt;1 година (4 пациенти) са много ограничени (вж. точка 5.1). Не са налични данни за преждевременно родени бебета (по-малко от 36 гестационни седмици). При деца от 0 до &lt; 3-годишна възраст, които страдат най-вече от ПВГ (първична вродена глаукома), хирургията (например, трабекулотомия/гониотомия) остава лечение от първа линия. Дългосрочната безопасност при деца все още не е установена.</w:t>
      </w:r>
    </w:p>
    <w:p w14:paraId="12C72613" w14:textId="77777777" w:rsidR="00AF0720" w:rsidRPr="00AF0720" w:rsidRDefault="00AF0720" w:rsidP="00AF0720">
      <w:pPr>
        <w:spacing w:line="240" w:lineRule="auto"/>
        <w:rPr>
          <w:rFonts w:eastAsia="Times New Roman" w:cs="Arial"/>
          <w:sz w:val="28"/>
          <w:szCs w:val="24"/>
        </w:rPr>
      </w:pPr>
    </w:p>
    <w:p w14:paraId="0734264C" w14:textId="7D0C59A0"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DD74E34" w14:textId="27DFFD21" w:rsidR="00AF0720" w:rsidRDefault="00AF0720" w:rsidP="00AF0720"/>
    <w:p w14:paraId="37C2AE73"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Не са налични дефинитивни данни за взаимодействия с този лекарствен продукт.</w:t>
      </w:r>
    </w:p>
    <w:p w14:paraId="42AB3DD4"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Има съобщения за парадоксално повишаване </w:t>
      </w:r>
      <w:r w:rsidRPr="00AF0720">
        <w:rPr>
          <w:rFonts w:eastAsia="Times New Roman" w:cs="Arial"/>
          <w:i/>
          <w:iCs/>
          <w:color w:val="000000"/>
          <w:szCs w:val="20"/>
          <w:lang w:eastAsia="bg-BG"/>
        </w:rPr>
        <w:t>на</w:t>
      </w:r>
      <w:r w:rsidRPr="00AF0720">
        <w:rPr>
          <w:rFonts w:eastAsia="Times New Roman" w:cs="Arial"/>
          <w:color w:val="000000"/>
          <w:szCs w:val="20"/>
          <w:lang w:eastAsia="bg-BG"/>
        </w:rPr>
        <w:t xml:space="preserve"> вътреочното налягане след едноврменно офталмологично приложение на два простагландинови аналога. По тази причина не се препоръчва употребата на два или повече простагландина, простагландинови аналога или простагландинови</w:t>
      </w:r>
    </w:p>
    <w:p w14:paraId="56FEA577" w14:textId="636C760B" w:rsidR="00AF0720" w:rsidRPr="00AF0720" w:rsidRDefault="00AF0720" w:rsidP="00AF0720">
      <w:pPr>
        <w:rPr>
          <w:rFonts w:eastAsia="Times New Roman" w:cs="Arial"/>
          <w:color w:val="000000"/>
          <w:szCs w:val="20"/>
          <w:lang w:eastAsia="bg-BG"/>
        </w:rPr>
      </w:pPr>
      <w:r w:rsidRPr="00AF0720">
        <w:rPr>
          <w:rFonts w:eastAsia="Times New Roman" w:cs="Arial"/>
          <w:color w:val="000000"/>
          <w:szCs w:val="20"/>
          <w:lang w:eastAsia="bg-BG"/>
        </w:rPr>
        <w:t>производни.</w:t>
      </w:r>
    </w:p>
    <w:p w14:paraId="52F98060" w14:textId="48BED0CB" w:rsidR="00AF0720" w:rsidRPr="00AF0720" w:rsidRDefault="00AF0720" w:rsidP="00AF0720">
      <w:pPr>
        <w:rPr>
          <w:rFonts w:eastAsia="Times New Roman" w:cs="Arial"/>
          <w:color w:val="000000"/>
          <w:szCs w:val="20"/>
          <w:lang w:eastAsia="bg-BG"/>
        </w:rPr>
      </w:pPr>
    </w:p>
    <w:p w14:paraId="0ABD2C1F" w14:textId="77777777" w:rsidR="00AF0720" w:rsidRPr="00AF0720" w:rsidRDefault="00AF0720" w:rsidP="00AF0720">
      <w:pPr>
        <w:spacing w:line="240" w:lineRule="auto"/>
        <w:rPr>
          <w:rFonts w:eastAsia="Times New Roman" w:cs="Arial"/>
          <w:sz w:val="28"/>
          <w:szCs w:val="24"/>
        </w:rPr>
      </w:pPr>
      <w:r w:rsidRPr="00AF0720">
        <w:rPr>
          <w:rFonts w:eastAsia="Times New Roman" w:cs="Arial"/>
          <w:i/>
          <w:iCs/>
          <w:color w:val="000000"/>
          <w:szCs w:val="20"/>
          <w:lang w:eastAsia="bg-BG"/>
        </w:rPr>
        <w:t>Педиатрична популация</w:t>
      </w:r>
    </w:p>
    <w:p w14:paraId="5B5CE77E" w14:textId="34053407" w:rsidR="00AF0720" w:rsidRDefault="00AF0720" w:rsidP="00AF0720">
      <w:pPr>
        <w:rPr>
          <w:rFonts w:eastAsia="Times New Roman" w:cs="Arial"/>
          <w:color w:val="000000"/>
          <w:szCs w:val="20"/>
          <w:lang w:eastAsia="bg-BG"/>
        </w:rPr>
      </w:pPr>
      <w:r w:rsidRPr="00AF0720">
        <w:rPr>
          <w:rFonts w:eastAsia="Times New Roman" w:cs="Arial"/>
          <w:color w:val="000000"/>
          <w:szCs w:val="20"/>
          <w:lang w:eastAsia="bg-BG"/>
        </w:rPr>
        <w:t>Проучвания за взаимодействие са провеждани само при възрастни.</w:t>
      </w:r>
    </w:p>
    <w:p w14:paraId="46A9C968" w14:textId="77777777" w:rsidR="00AF0720" w:rsidRPr="00AF0720" w:rsidRDefault="00AF0720" w:rsidP="00AF0720">
      <w:pPr>
        <w:rPr>
          <w:rFonts w:eastAsia="Times New Roman" w:cs="Arial"/>
          <w:color w:val="000000"/>
          <w:szCs w:val="20"/>
          <w:lang w:eastAsia="bg-BG"/>
        </w:rPr>
      </w:pPr>
    </w:p>
    <w:p w14:paraId="5D9F40EA" w14:textId="2268C6E9" w:rsidR="007122AD" w:rsidRDefault="002C50EE" w:rsidP="00936AD0">
      <w:pPr>
        <w:pStyle w:val="Heading2"/>
      </w:pPr>
      <w:r>
        <w:t>4.6. Фертилитет, бременност и кърмене</w:t>
      </w:r>
    </w:p>
    <w:p w14:paraId="28A39CAE" w14:textId="7AA084F4" w:rsidR="00AF0720" w:rsidRDefault="00AF0720" w:rsidP="00AF0720"/>
    <w:p w14:paraId="11C975A8" w14:textId="77777777" w:rsidR="00AF0720" w:rsidRPr="00AF0720" w:rsidRDefault="00AF0720" w:rsidP="00AF0720">
      <w:pPr>
        <w:pStyle w:val="Heading3"/>
        <w:rPr>
          <w:u w:val="single"/>
        </w:rPr>
      </w:pPr>
      <w:r w:rsidRPr="00AF0720">
        <w:rPr>
          <w:u w:val="single"/>
        </w:rPr>
        <w:t>Бременност</w:t>
      </w:r>
    </w:p>
    <w:p w14:paraId="78B35E35"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Не е установена безопасността на този лекарствен продукт за употреба по време на бременност при хора. Продуктът има потенциално опасни фармакологични ефекти по отношение на протичането на бременността, плода или новороденото. Ето защо латанопрост не трябва да се използва по време на бременност.</w:t>
      </w:r>
    </w:p>
    <w:p w14:paraId="1B84C864" w14:textId="77777777" w:rsidR="00AF0720" w:rsidRPr="00AF0720" w:rsidRDefault="00AF0720" w:rsidP="00AF0720">
      <w:pPr>
        <w:spacing w:line="240" w:lineRule="auto"/>
        <w:rPr>
          <w:rFonts w:eastAsia="Times New Roman" w:cs="Arial"/>
          <w:color w:val="000000"/>
          <w:szCs w:val="20"/>
          <w:u w:val="single"/>
          <w:lang w:eastAsia="bg-BG"/>
        </w:rPr>
      </w:pPr>
    </w:p>
    <w:p w14:paraId="14320F97" w14:textId="58D91844" w:rsidR="00AF0720" w:rsidRPr="00AF0720" w:rsidRDefault="00AF0720" w:rsidP="00AF0720">
      <w:pPr>
        <w:pStyle w:val="Heading3"/>
        <w:rPr>
          <w:u w:val="single"/>
        </w:rPr>
      </w:pPr>
      <w:r w:rsidRPr="00AF0720">
        <w:rPr>
          <w:u w:val="single"/>
        </w:rPr>
        <w:t>Кърмене</w:t>
      </w:r>
    </w:p>
    <w:p w14:paraId="5F8CE2E7"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Латанопрост и неговите метаболити могат да преминат в кърмата и затова латанопрост не трябва да се използва при жени, които кърмят, или кърменето трябва да се прекрати.</w:t>
      </w:r>
    </w:p>
    <w:p w14:paraId="5ACBD5E2" w14:textId="77777777" w:rsidR="00AF0720" w:rsidRPr="00AF0720" w:rsidRDefault="00AF0720" w:rsidP="00AF0720">
      <w:pPr>
        <w:spacing w:line="240" w:lineRule="auto"/>
        <w:rPr>
          <w:rFonts w:eastAsia="Times New Roman" w:cs="Arial"/>
          <w:color w:val="000000"/>
          <w:szCs w:val="20"/>
          <w:u w:val="single"/>
          <w:lang w:eastAsia="bg-BG"/>
        </w:rPr>
      </w:pPr>
    </w:p>
    <w:p w14:paraId="3AE9A9F6" w14:textId="3469D2E1" w:rsidR="00AF0720" w:rsidRPr="00AF0720" w:rsidRDefault="00AF0720" w:rsidP="00AF0720">
      <w:pPr>
        <w:pStyle w:val="Heading3"/>
        <w:rPr>
          <w:u w:val="single"/>
        </w:rPr>
      </w:pPr>
      <w:r w:rsidRPr="00AF0720">
        <w:rPr>
          <w:u w:val="single"/>
        </w:rPr>
        <w:lastRenderedPageBreak/>
        <w:t>Фертилитет</w:t>
      </w:r>
    </w:p>
    <w:p w14:paraId="312A0761"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В проучвания върху животни не е установено латанопрост да има ефект върху мъжкия или женския фертилитет (виж точка 5.3).</w:t>
      </w:r>
    </w:p>
    <w:p w14:paraId="7B196D3D" w14:textId="77777777" w:rsidR="00AF0720" w:rsidRPr="00AF0720" w:rsidRDefault="00AF0720" w:rsidP="00AF0720"/>
    <w:p w14:paraId="5DD7A76D" w14:textId="75931021" w:rsidR="007122AD" w:rsidRDefault="002C50EE" w:rsidP="00936AD0">
      <w:pPr>
        <w:pStyle w:val="Heading2"/>
      </w:pPr>
      <w:r>
        <w:t>4.7. Ефекти върху способността за шофиране и работа с машини</w:t>
      </w:r>
    </w:p>
    <w:p w14:paraId="25DEAE1D" w14:textId="6ACA4634" w:rsidR="00AF0720" w:rsidRDefault="00AF0720" w:rsidP="00AF0720"/>
    <w:p w14:paraId="3783A90F" w14:textId="77777777" w:rsidR="00AF0720" w:rsidRPr="00AF0720" w:rsidRDefault="00AF0720" w:rsidP="00AF0720">
      <w:pPr>
        <w:rPr>
          <w:sz w:val="24"/>
          <w:szCs w:val="24"/>
        </w:rPr>
      </w:pPr>
      <w:r w:rsidRPr="00AF0720">
        <w:rPr>
          <w:lang w:eastAsia="bg-BG"/>
        </w:rPr>
        <w:t>Не са провеждани проучвания за ефектите върху способността за шофиране и работа с машини, Подобно на други лекарствени продукти за очно приложение, поставянето на капки може да причини преходно замъгляване на зрението. Ако пациентите имат замъглено зрение, не трябва да шофират или да работят с машини.</w:t>
      </w:r>
    </w:p>
    <w:p w14:paraId="6CF43784" w14:textId="77777777" w:rsidR="00AF0720" w:rsidRPr="00AF0720" w:rsidRDefault="00AF0720" w:rsidP="00AF0720"/>
    <w:p w14:paraId="44CE30A3" w14:textId="50F97FB6" w:rsidR="007122AD" w:rsidRDefault="002C50EE" w:rsidP="00936AD0">
      <w:pPr>
        <w:pStyle w:val="Heading2"/>
      </w:pPr>
      <w:r>
        <w:t>4.8. Нежелани лекарствени реакции</w:t>
      </w:r>
    </w:p>
    <w:p w14:paraId="0EA54C1A" w14:textId="766532E5" w:rsidR="00AF0720" w:rsidRDefault="00AF0720" w:rsidP="00AF0720"/>
    <w:p w14:paraId="4CCF14BE"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u w:val="single"/>
          <w:lang w:eastAsia="bg-BG"/>
        </w:rPr>
        <w:t>Резюме на профила на безопасност</w:t>
      </w:r>
    </w:p>
    <w:p w14:paraId="3F5BA600"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По-голямата част от нежеланите реакции са свързани със зрителната система. В едно отворено 5- годишно проучване за безопасност на латанопрост при 33% от пациентите е наблюдавана увеличена пигментация на ириса (виж точка 4.4). Другите нежелани реакции, свързани с очите обикновено са преходни и се проявяват при прилагане на дозата,</w:t>
      </w:r>
    </w:p>
    <w:p w14:paraId="152B4826" w14:textId="77777777" w:rsidR="00AF0720" w:rsidRPr="00AF0720" w:rsidRDefault="00AF0720" w:rsidP="00AF0720">
      <w:pPr>
        <w:spacing w:line="240" w:lineRule="auto"/>
        <w:rPr>
          <w:rFonts w:eastAsia="Times New Roman" w:cs="Arial"/>
          <w:color w:val="000000"/>
          <w:szCs w:val="20"/>
          <w:u w:val="single"/>
          <w:lang w:eastAsia="bg-BG"/>
        </w:rPr>
      </w:pPr>
    </w:p>
    <w:p w14:paraId="39FC13D5" w14:textId="2B05B631"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u w:val="single"/>
          <w:lang w:eastAsia="bg-BG"/>
        </w:rPr>
        <w:t>Табличен списък на нежеланите лекарствени реакции</w:t>
      </w:r>
    </w:p>
    <w:p w14:paraId="7A7CCB92" w14:textId="77777777" w:rsidR="00AF0720" w:rsidRPr="00AF0720" w:rsidRDefault="00AF0720" w:rsidP="00AF0720">
      <w:pPr>
        <w:spacing w:line="240" w:lineRule="auto"/>
        <w:rPr>
          <w:rFonts w:eastAsia="Times New Roman" w:cs="Arial"/>
          <w:color w:val="000000"/>
          <w:szCs w:val="20"/>
          <w:lang w:eastAsia="bg-BG"/>
        </w:rPr>
      </w:pPr>
    </w:p>
    <w:p w14:paraId="1691B74F" w14:textId="387BA52F"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Нежеланите реакции са категоризирани според системо-органен клас и честота както следва:</w:t>
      </w:r>
    </w:p>
    <w:p w14:paraId="6F321EDF" w14:textId="69DBFFD0"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Много чести</w:t>
      </w:r>
      <w:r w:rsidRPr="00AF0720">
        <w:rPr>
          <w:rFonts w:eastAsia="Times New Roman" w:cs="Arial"/>
          <w:color w:val="000000"/>
          <w:szCs w:val="20"/>
          <w:lang w:eastAsia="bg-BG"/>
        </w:rPr>
        <w:tab/>
        <w:t>(≥1/10)</w:t>
      </w:r>
    </w:p>
    <w:p w14:paraId="70D754A8" w14:textId="513476C8"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Чести</w:t>
      </w:r>
      <w:r w:rsidRPr="00AF0720">
        <w:rPr>
          <w:rFonts w:eastAsia="Times New Roman" w:cs="Arial"/>
          <w:color w:val="000000"/>
          <w:szCs w:val="20"/>
          <w:lang w:eastAsia="bg-BG"/>
        </w:rPr>
        <w:tab/>
        <w:t>(≥1/100 до &lt;1/10)</w:t>
      </w:r>
    </w:p>
    <w:p w14:paraId="0FD7B6C8" w14:textId="40262AF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Нечести</w:t>
      </w:r>
      <w:r w:rsidRPr="00AF0720">
        <w:rPr>
          <w:rFonts w:eastAsia="Times New Roman" w:cs="Arial"/>
          <w:color w:val="000000"/>
          <w:szCs w:val="20"/>
          <w:lang w:eastAsia="bg-BG"/>
        </w:rPr>
        <w:tab/>
        <w:t>(≥1/1 000 до&lt; 1/100)</w:t>
      </w:r>
    </w:p>
    <w:p w14:paraId="618BD2F9"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Редки</w:t>
      </w:r>
      <w:r w:rsidRPr="00AF0720">
        <w:rPr>
          <w:rFonts w:eastAsia="Times New Roman" w:cs="Arial"/>
          <w:color w:val="000000"/>
          <w:szCs w:val="20"/>
          <w:lang w:eastAsia="bg-BG"/>
        </w:rPr>
        <w:tab/>
        <w:t>(≥ 1/10 000 до &lt; 1/1 000)</w:t>
      </w:r>
    </w:p>
    <w:p w14:paraId="4C297CC3" w14:textId="2F36685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Много редки(&lt;1/10 000)</w:t>
      </w:r>
    </w:p>
    <w:p w14:paraId="6EA42AAA"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С неизвестна честота (честотата не може да бъде определена въз основа на наличните данни)</w:t>
      </w:r>
    </w:p>
    <w:p w14:paraId="235E76E6" w14:textId="69AC47D6" w:rsidR="00AF0720" w:rsidRDefault="00AF0720" w:rsidP="00AF0720"/>
    <w:tbl>
      <w:tblPr>
        <w:tblStyle w:val="TableGrid"/>
        <w:tblW w:w="0" w:type="auto"/>
        <w:tblLook w:val="04A0" w:firstRow="1" w:lastRow="0" w:firstColumn="1" w:lastColumn="0" w:noHBand="0" w:noVBand="1"/>
      </w:tblPr>
      <w:tblGrid>
        <w:gridCol w:w="1673"/>
        <w:gridCol w:w="1564"/>
        <w:gridCol w:w="1518"/>
        <w:gridCol w:w="1427"/>
        <w:gridCol w:w="1580"/>
        <w:gridCol w:w="1588"/>
      </w:tblGrid>
      <w:tr w:rsidR="00AF0720" w14:paraId="3CF33EE3" w14:textId="77777777" w:rsidTr="00AF0720">
        <w:tc>
          <w:tcPr>
            <w:tcW w:w="1714" w:type="dxa"/>
          </w:tcPr>
          <w:p w14:paraId="0B368514" w14:textId="0E169484" w:rsidR="00AF0720" w:rsidRPr="00AF0720" w:rsidRDefault="00AF0720" w:rsidP="00AF0720">
            <w:r w:rsidRPr="00AF0720">
              <w:rPr>
                <w:b/>
                <w:bCs/>
                <w:szCs w:val="20"/>
              </w:rPr>
              <w:t>Системо-органен клас</w:t>
            </w:r>
          </w:p>
        </w:tc>
        <w:tc>
          <w:tcPr>
            <w:tcW w:w="1602" w:type="dxa"/>
          </w:tcPr>
          <w:p w14:paraId="134C56E2" w14:textId="77777777" w:rsidR="00AF0720" w:rsidRPr="00AF0720" w:rsidRDefault="00AF0720" w:rsidP="00AF0720">
            <w:r w:rsidRPr="00AF0720">
              <w:rPr>
                <w:b/>
                <w:bCs/>
                <w:szCs w:val="20"/>
              </w:rPr>
              <w:t>Много чести</w:t>
            </w:r>
          </w:p>
          <w:p w14:paraId="459C162C" w14:textId="72ADE827" w:rsidR="00AF0720" w:rsidRPr="00AF0720" w:rsidRDefault="00AF0720" w:rsidP="00AF0720">
            <w:r w:rsidRPr="00AF0720">
              <w:rPr>
                <w:b/>
                <w:bCs/>
                <w:szCs w:val="20"/>
              </w:rPr>
              <w:t>≥1/10</w:t>
            </w:r>
          </w:p>
        </w:tc>
        <w:tc>
          <w:tcPr>
            <w:tcW w:w="1554" w:type="dxa"/>
          </w:tcPr>
          <w:p w14:paraId="100B81E2" w14:textId="14B00806" w:rsidR="00AF0720" w:rsidRPr="00AF0720" w:rsidRDefault="00AF0720" w:rsidP="00AF0720">
            <w:r w:rsidRPr="00AF0720">
              <w:rPr>
                <w:b/>
                <w:bCs/>
                <w:szCs w:val="20"/>
              </w:rPr>
              <w:t>Честн ≥1/100, &lt;1/10</w:t>
            </w:r>
          </w:p>
        </w:tc>
        <w:tc>
          <w:tcPr>
            <w:tcW w:w="1461" w:type="dxa"/>
          </w:tcPr>
          <w:p w14:paraId="4030785D" w14:textId="77777777" w:rsidR="00AF0720" w:rsidRPr="00AF0720" w:rsidRDefault="00AF0720" w:rsidP="00AF0720">
            <w:r w:rsidRPr="00AF0720">
              <w:rPr>
                <w:b/>
                <w:bCs/>
                <w:szCs w:val="20"/>
              </w:rPr>
              <w:t>Нечести</w:t>
            </w:r>
          </w:p>
          <w:p w14:paraId="24828429" w14:textId="1E866BBE" w:rsidR="00AF0720" w:rsidRPr="00AF0720" w:rsidRDefault="00AF0720" w:rsidP="00AF0720">
            <w:r w:rsidRPr="00AF0720">
              <w:rPr>
                <w:b/>
                <w:bCs/>
                <w:szCs w:val="20"/>
              </w:rPr>
              <w:t>≥1/1 000, &lt;1/100</w:t>
            </w:r>
          </w:p>
        </w:tc>
        <w:tc>
          <w:tcPr>
            <w:tcW w:w="1618" w:type="dxa"/>
          </w:tcPr>
          <w:p w14:paraId="25E01757" w14:textId="77777777" w:rsidR="00AF0720" w:rsidRPr="00AF0720" w:rsidRDefault="00AF0720" w:rsidP="00AF0720">
            <w:r w:rsidRPr="00AF0720">
              <w:rPr>
                <w:b/>
                <w:bCs/>
                <w:szCs w:val="20"/>
              </w:rPr>
              <w:t>Редки</w:t>
            </w:r>
          </w:p>
          <w:p w14:paraId="3E14D031" w14:textId="20EC2ABE" w:rsidR="00AF0720" w:rsidRPr="00AF0720" w:rsidRDefault="00AF0720" w:rsidP="00AF0720">
            <w:r w:rsidRPr="00AF0720">
              <w:rPr>
                <w:b/>
                <w:bCs/>
                <w:szCs w:val="20"/>
              </w:rPr>
              <w:t>≥1/10 000, &lt;1/1 000</w:t>
            </w:r>
          </w:p>
        </w:tc>
        <w:tc>
          <w:tcPr>
            <w:tcW w:w="1627" w:type="dxa"/>
          </w:tcPr>
          <w:p w14:paraId="3F83C397" w14:textId="1F306F1A" w:rsidR="00AF0720" w:rsidRPr="00AF0720" w:rsidRDefault="00AF0720" w:rsidP="00AF0720">
            <w:r w:rsidRPr="00AF0720">
              <w:rPr>
                <w:b/>
                <w:bCs/>
                <w:szCs w:val="20"/>
              </w:rPr>
              <w:t>Много редки &lt;1/10 000</w:t>
            </w:r>
          </w:p>
        </w:tc>
      </w:tr>
      <w:tr w:rsidR="00AF0720" w14:paraId="32BD434F" w14:textId="77777777" w:rsidTr="00AF0720">
        <w:tc>
          <w:tcPr>
            <w:tcW w:w="1714" w:type="dxa"/>
          </w:tcPr>
          <w:p w14:paraId="5AC06BCC" w14:textId="2022F524" w:rsidR="00AF0720" w:rsidRPr="00AF0720" w:rsidRDefault="00AF0720" w:rsidP="00AF0720">
            <w:r w:rsidRPr="00AF0720">
              <w:rPr>
                <w:szCs w:val="20"/>
              </w:rPr>
              <w:t>Инфекции и инфестации</w:t>
            </w:r>
          </w:p>
        </w:tc>
        <w:tc>
          <w:tcPr>
            <w:tcW w:w="1602" w:type="dxa"/>
          </w:tcPr>
          <w:p w14:paraId="22F44914" w14:textId="77777777" w:rsidR="00AF0720" w:rsidRPr="00AF0720" w:rsidRDefault="00AF0720" w:rsidP="00AF0720"/>
        </w:tc>
        <w:tc>
          <w:tcPr>
            <w:tcW w:w="1554" w:type="dxa"/>
          </w:tcPr>
          <w:p w14:paraId="10A4412F" w14:textId="77777777" w:rsidR="00AF0720" w:rsidRPr="00AF0720" w:rsidRDefault="00AF0720" w:rsidP="00AF0720"/>
        </w:tc>
        <w:tc>
          <w:tcPr>
            <w:tcW w:w="1461" w:type="dxa"/>
          </w:tcPr>
          <w:p w14:paraId="08657567" w14:textId="77777777" w:rsidR="00AF0720" w:rsidRPr="00AF0720" w:rsidRDefault="00AF0720" w:rsidP="00AF0720"/>
        </w:tc>
        <w:tc>
          <w:tcPr>
            <w:tcW w:w="1618" w:type="dxa"/>
          </w:tcPr>
          <w:p w14:paraId="3755B547" w14:textId="78231E7F" w:rsidR="00AF0720" w:rsidRPr="00AF0720" w:rsidRDefault="00AF0720" w:rsidP="00AF0720">
            <w:r w:rsidRPr="00AF0720">
              <w:rPr>
                <w:szCs w:val="20"/>
              </w:rPr>
              <w:t>Херпесен кератит*</w:t>
            </w:r>
            <w:r w:rsidRPr="00AF0720">
              <w:rPr>
                <w:szCs w:val="20"/>
                <w:vertAlign w:val="superscript"/>
              </w:rPr>
              <w:t>§</w:t>
            </w:r>
          </w:p>
        </w:tc>
        <w:tc>
          <w:tcPr>
            <w:tcW w:w="1627" w:type="dxa"/>
          </w:tcPr>
          <w:p w14:paraId="6E183BDB" w14:textId="77777777" w:rsidR="00AF0720" w:rsidRPr="00AF0720" w:rsidRDefault="00AF0720" w:rsidP="00AF0720"/>
        </w:tc>
      </w:tr>
      <w:tr w:rsidR="00AF0720" w14:paraId="7A1C61F0" w14:textId="77777777" w:rsidTr="00AF0720">
        <w:tc>
          <w:tcPr>
            <w:tcW w:w="1714" w:type="dxa"/>
          </w:tcPr>
          <w:p w14:paraId="21CC0631" w14:textId="7655E5B8" w:rsidR="00AF0720" w:rsidRPr="00AF0720" w:rsidRDefault="00AF0720" w:rsidP="00AF0720">
            <w:r w:rsidRPr="00AF0720">
              <w:rPr>
                <w:szCs w:val="20"/>
              </w:rPr>
              <w:t>Нарушения на нервната система</w:t>
            </w:r>
          </w:p>
        </w:tc>
        <w:tc>
          <w:tcPr>
            <w:tcW w:w="1602" w:type="dxa"/>
          </w:tcPr>
          <w:p w14:paraId="2B164D22" w14:textId="77777777" w:rsidR="00AF0720" w:rsidRPr="00AF0720" w:rsidRDefault="00AF0720" w:rsidP="00AF0720"/>
        </w:tc>
        <w:tc>
          <w:tcPr>
            <w:tcW w:w="1554" w:type="dxa"/>
          </w:tcPr>
          <w:p w14:paraId="1199E832" w14:textId="77777777" w:rsidR="00AF0720" w:rsidRPr="00AF0720" w:rsidRDefault="00AF0720" w:rsidP="00AF0720"/>
        </w:tc>
        <w:tc>
          <w:tcPr>
            <w:tcW w:w="1461" w:type="dxa"/>
          </w:tcPr>
          <w:p w14:paraId="586D8DA5" w14:textId="585AC026" w:rsidR="00AF0720" w:rsidRPr="00AF0720" w:rsidRDefault="00AF0720" w:rsidP="00AF0720">
            <w:r w:rsidRPr="00AF0720">
              <w:rPr>
                <w:szCs w:val="20"/>
              </w:rPr>
              <w:t>Главоболие*; замаяност*</w:t>
            </w:r>
          </w:p>
        </w:tc>
        <w:tc>
          <w:tcPr>
            <w:tcW w:w="1618" w:type="dxa"/>
            <w:vAlign w:val="bottom"/>
          </w:tcPr>
          <w:p w14:paraId="7DDFD7B7" w14:textId="77777777" w:rsidR="00AF0720" w:rsidRPr="00AF0720" w:rsidRDefault="00AF0720" w:rsidP="00AF0720"/>
        </w:tc>
        <w:tc>
          <w:tcPr>
            <w:tcW w:w="1627" w:type="dxa"/>
          </w:tcPr>
          <w:p w14:paraId="0F639373" w14:textId="77777777" w:rsidR="00AF0720" w:rsidRPr="00AF0720" w:rsidRDefault="00AF0720" w:rsidP="00AF0720"/>
        </w:tc>
      </w:tr>
      <w:tr w:rsidR="00AF0720" w14:paraId="7EC64E41" w14:textId="77777777" w:rsidTr="00AF0720">
        <w:tc>
          <w:tcPr>
            <w:tcW w:w="1714" w:type="dxa"/>
          </w:tcPr>
          <w:p w14:paraId="2DE6391D" w14:textId="2C8A58D5" w:rsidR="00AF0720" w:rsidRPr="00AF0720" w:rsidRDefault="00AF0720" w:rsidP="00AF0720">
            <w:r w:rsidRPr="00AF0720">
              <w:rPr>
                <w:szCs w:val="20"/>
              </w:rPr>
              <w:t>Нарушения на очите</w:t>
            </w:r>
          </w:p>
        </w:tc>
        <w:tc>
          <w:tcPr>
            <w:tcW w:w="1602" w:type="dxa"/>
          </w:tcPr>
          <w:p w14:paraId="7429CA00" w14:textId="527EB3DA" w:rsidR="00AF0720" w:rsidRPr="00AF0720" w:rsidRDefault="00AF0720" w:rsidP="00AF0720">
            <w:r w:rsidRPr="00AF0720">
              <w:rPr>
                <w:szCs w:val="20"/>
              </w:rPr>
              <w:t xml:space="preserve">Уеличена пигментация на ириса; лека до умерена конюнктивална хиперемия; </w:t>
            </w:r>
            <w:r w:rsidRPr="00AF0720">
              <w:rPr>
                <w:szCs w:val="20"/>
              </w:rPr>
              <w:lastRenderedPageBreak/>
              <w:t>очно дразнене (парене, усещане за „песъчинки</w:t>
            </w:r>
            <w:r w:rsidRPr="00AF0720">
              <w:rPr>
                <w:szCs w:val="20"/>
                <w:vertAlign w:val="superscript"/>
              </w:rPr>
              <w:t>44</w:t>
            </w:r>
            <w:r w:rsidRPr="00AF0720">
              <w:rPr>
                <w:szCs w:val="20"/>
              </w:rPr>
              <w:t>, сърбеж, бодеж и усещане за чуждо тяло); промени в миглите и околоочния мъх (увеличаване на дължината, гъстотата, пигментацията и броя на миглите)</w:t>
            </w:r>
          </w:p>
        </w:tc>
        <w:tc>
          <w:tcPr>
            <w:tcW w:w="1554" w:type="dxa"/>
          </w:tcPr>
          <w:p w14:paraId="0237523F" w14:textId="61C68F2E" w:rsidR="00AF0720" w:rsidRPr="00AF0720" w:rsidRDefault="00AF0720" w:rsidP="00AF0720">
            <w:r w:rsidRPr="00AF0720">
              <w:rPr>
                <w:szCs w:val="20"/>
              </w:rPr>
              <w:lastRenderedPageBreak/>
              <w:t xml:space="preserve">(Точковиден (кератит, най- често без симптоматика; блефарит, болка в </w:t>
            </w:r>
            <w:r w:rsidRPr="00AF0720">
              <w:rPr>
                <w:szCs w:val="20"/>
              </w:rPr>
              <w:lastRenderedPageBreak/>
              <w:t>окото, фотофобия; конюнктивит*</w:t>
            </w:r>
          </w:p>
        </w:tc>
        <w:tc>
          <w:tcPr>
            <w:tcW w:w="1461" w:type="dxa"/>
          </w:tcPr>
          <w:p w14:paraId="1F5AF243" w14:textId="196FC183" w:rsidR="00AF0720" w:rsidRPr="00AF0720" w:rsidRDefault="00AF0720" w:rsidP="00AF0720">
            <w:r w:rsidRPr="00AF0720">
              <w:rPr>
                <w:szCs w:val="20"/>
              </w:rPr>
              <w:lastRenderedPageBreak/>
              <w:t xml:space="preserve">Едем на клепачите; сухота в очите; кератит*; замъглено зрение; макулен </w:t>
            </w:r>
            <w:r w:rsidRPr="00AF0720">
              <w:rPr>
                <w:szCs w:val="20"/>
              </w:rPr>
              <w:lastRenderedPageBreak/>
              <w:t>едем, включително кистоиден макулен едем*; увеит*</w:t>
            </w:r>
          </w:p>
        </w:tc>
        <w:tc>
          <w:tcPr>
            <w:tcW w:w="1618" w:type="dxa"/>
          </w:tcPr>
          <w:p w14:paraId="6F5F8458" w14:textId="77777777" w:rsidR="00AF0720" w:rsidRPr="00AF0720" w:rsidRDefault="00AF0720" w:rsidP="00AF0720">
            <w:r w:rsidRPr="00AF0720">
              <w:rPr>
                <w:szCs w:val="20"/>
              </w:rPr>
              <w:lastRenderedPageBreak/>
              <w:t>Ирит*; едем на корнеята*;</w:t>
            </w:r>
          </w:p>
          <w:p w14:paraId="3E65284B" w14:textId="77777777" w:rsidR="00AF0720" w:rsidRPr="00AF0720" w:rsidRDefault="00AF0720" w:rsidP="00AF0720">
            <w:r w:rsidRPr="00AF0720">
              <w:rPr>
                <w:szCs w:val="20"/>
              </w:rPr>
              <w:t>ерозия на корнеята;</w:t>
            </w:r>
          </w:p>
          <w:p w14:paraId="49C796B1" w14:textId="77777777" w:rsidR="00AF0720" w:rsidRPr="00AF0720" w:rsidRDefault="00AF0720" w:rsidP="00AF0720">
            <w:r w:rsidRPr="00AF0720">
              <w:rPr>
                <w:szCs w:val="20"/>
              </w:rPr>
              <w:t>периорбитален едем; трихиаза*;</w:t>
            </w:r>
          </w:p>
          <w:p w14:paraId="08ECEF27" w14:textId="77777777" w:rsidR="00AF0720" w:rsidRPr="00AF0720" w:rsidRDefault="00AF0720" w:rsidP="00AF0720">
            <w:r w:rsidRPr="00AF0720">
              <w:rPr>
                <w:szCs w:val="20"/>
              </w:rPr>
              <w:lastRenderedPageBreak/>
              <w:t>дистихиаза; киста на ириса*</w:t>
            </w:r>
            <w:r w:rsidRPr="00AF0720">
              <w:rPr>
                <w:szCs w:val="20"/>
                <w:vertAlign w:val="superscript"/>
              </w:rPr>
              <w:t>§</w:t>
            </w:r>
            <w:r w:rsidRPr="00AF0720">
              <w:rPr>
                <w:szCs w:val="20"/>
              </w:rPr>
              <w:t>;</w:t>
            </w:r>
          </w:p>
          <w:p w14:paraId="049F5F66" w14:textId="77777777" w:rsidR="00AF0720" w:rsidRPr="00AF0720" w:rsidRDefault="00AF0720" w:rsidP="00AF0720">
            <w:r w:rsidRPr="00AF0720">
              <w:rPr>
                <w:szCs w:val="20"/>
              </w:rPr>
              <w:t>локализирана кожна реакция на клепачите;</w:t>
            </w:r>
          </w:p>
          <w:p w14:paraId="711B7051" w14:textId="77777777" w:rsidR="00AF0720" w:rsidRPr="00AF0720" w:rsidRDefault="00AF0720" w:rsidP="00AF0720">
            <w:r w:rsidRPr="00AF0720">
              <w:rPr>
                <w:szCs w:val="20"/>
              </w:rPr>
              <w:t>потъмняване на</w:t>
            </w:r>
          </w:p>
          <w:p w14:paraId="44B0D055" w14:textId="77777777" w:rsidR="00AF0720" w:rsidRPr="00AF0720" w:rsidRDefault="00AF0720" w:rsidP="00AF0720">
            <w:r w:rsidRPr="00AF0720">
              <w:rPr>
                <w:szCs w:val="20"/>
              </w:rPr>
              <w:t>кожата на</w:t>
            </w:r>
          </w:p>
          <w:p w14:paraId="4E351EED" w14:textId="77777777" w:rsidR="00AF0720" w:rsidRPr="00AF0720" w:rsidRDefault="00AF0720" w:rsidP="00AF0720">
            <w:r w:rsidRPr="00AF0720">
              <w:rPr>
                <w:szCs w:val="20"/>
              </w:rPr>
              <w:t>клепачите;</w:t>
            </w:r>
          </w:p>
          <w:p w14:paraId="7F0CB0BB" w14:textId="66F03FF7" w:rsidR="00AF0720" w:rsidRPr="00AF0720" w:rsidRDefault="00AF0720" w:rsidP="00AF0720">
            <w:r w:rsidRPr="00AF0720">
              <w:rPr>
                <w:szCs w:val="20"/>
              </w:rPr>
              <w:t>псевдо- пемфигоид на очната конюнктива*</w:t>
            </w:r>
            <w:r w:rsidRPr="00AF0720">
              <w:rPr>
                <w:szCs w:val="20"/>
                <w:vertAlign w:val="superscript"/>
              </w:rPr>
              <w:t>§</w:t>
            </w:r>
          </w:p>
        </w:tc>
        <w:tc>
          <w:tcPr>
            <w:tcW w:w="1627" w:type="dxa"/>
          </w:tcPr>
          <w:p w14:paraId="24E4F636" w14:textId="29D2C6B7" w:rsidR="00AF0720" w:rsidRPr="00AF0720" w:rsidRDefault="00AF0720" w:rsidP="00AF0720">
            <w:r w:rsidRPr="00AF0720">
              <w:rPr>
                <w:szCs w:val="20"/>
              </w:rPr>
              <w:lastRenderedPageBreak/>
              <w:t xml:space="preserve">Промени около орбитите и клепачите, водещи до задълбочаване на клепачната </w:t>
            </w:r>
            <w:r w:rsidRPr="00AF0720">
              <w:rPr>
                <w:szCs w:val="20"/>
              </w:rPr>
              <w:lastRenderedPageBreak/>
              <w:t>гънка (сулкус)</w:t>
            </w:r>
          </w:p>
        </w:tc>
      </w:tr>
      <w:tr w:rsidR="00AF0720" w14:paraId="54197C9E" w14:textId="77777777" w:rsidTr="00AF0720">
        <w:tc>
          <w:tcPr>
            <w:tcW w:w="1714" w:type="dxa"/>
          </w:tcPr>
          <w:p w14:paraId="18B50F3F" w14:textId="6A0EF8D0" w:rsidR="00AF0720" w:rsidRPr="00AF0720" w:rsidRDefault="00AF0720" w:rsidP="00AF0720">
            <w:r w:rsidRPr="00AF0720">
              <w:rPr>
                <w:szCs w:val="20"/>
              </w:rPr>
              <w:t>Сърдечни нарушения</w:t>
            </w:r>
          </w:p>
        </w:tc>
        <w:tc>
          <w:tcPr>
            <w:tcW w:w="1602" w:type="dxa"/>
          </w:tcPr>
          <w:p w14:paraId="7516B2A2" w14:textId="77777777" w:rsidR="00AF0720" w:rsidRPr="00AF0720" w:rsidRDefault="00AF0720" w:rsidP="00AF0720"/>
        </w:tc>
        <w:tc>
          <w:tcPr>
            <w:tcW w:w="1554" w:type="dxa"/>
          </w:tcPr>
          <w:p w14:paraId="02CFED63" w14:textId="77777777" w:rsidR="00AF0720" w:rsidRPr="00AF0720" w:rsidRDefault="00AF0720" w:rsidP="00AF0720"/>
        </w:tc>
        <w:tc>
          <w:tcPr>
            <w:tcW w:w="1461" w:type="dxa"/>
          </w:tcPr>
          <w:p w14:paraId="7DD29E3E" w14:textId="5B6C3168" w:rsidR="00AF0720" w:rsidRPr="00AF0720" w:rsidRDefault="00AF0720" w:rsidP="00AF0720">
            <w:r w:rsidRPr="00AF0720">
              <w:rPr>
                <w:szCs w:val="20"/>
              </w:rPr>
              <w:t>Стенокардия; палпитации*</w:t>
            </w:r>
          </w:p>
        </w:tc>
        <w:tc>
          <w:tcPr>
            <w:tcW w:w="1618" w:type="dxa"/>
          </w:tcPr>
          <w:p w14:paraId="140DA1F8" w14:textId="77777777" w:rsidR="00AF0720" w:rsidRPr="00AF0720" w:rsidRDefault="00AF0720" w:rsidP="00AF0720"/>
        </w:tc>
        <w:tc>
          <w:tcPr>
            <w:tcW w:w="1627" w:type="dxa"/>
          </w:tcPr>
          <w:p w14:paraId="6A0B71CC" w14:textId="60B0478F" w:rsidR="00AF0720" w:rsidRPr="00AF0720" w:rsidRDefault="00AF0720" w:rsidP="00AF0720">
            <w:r w:rsidRPr="00AF0720">
              <w:rPr>
                <w:szCs w:val="20"/>
              </w:rPr>
              <w:t>Нестабилна стенокардия</w:t>
            </w:r>
          </w:p>
        </w:tc>
      </w:tr>
      <w:tr w:rsidR="00AF0720" w14:paraId="6C1BDE4F" w14:textId="77777777" w:rsidTr="00AF0720">
        <w:tc>
          <w:tcPr>
            <w:tcW w:w="1714" w:type="dxa"/>
          </w:tcPr>
          <w:p w14:paraId="70CEAD9C" w14:textId="65B61E8D" w:rsidR="00AF0720" w:rsidRPr="00AF0720" w:rsidRDefault="00AF0720" w:rsidP="00AF0720">
            <w:r w:rsidRPr="00AF0720">
              <w:rPr>
                <w:szCs w:val="20"/>
              </w:rPr>
              <w:t>Респираторни, гръдни и медиастинални нарушения</w:t>
            </w:r>
          </w:p>
        </w:tc>
        <w:tc>
          <w:tcPr>
            <w:tcW w:w="1602" w:type="dxa"/>
          </w:tcPr>
          <w:p w14:paraId="43E72F4F" w14:textId="77777777" w:rsidR="00AF0720" w:rsidRPr="00AF0720" w:rsidRDefault="00AF0720" w:rsidP="00AF0720"/>
        </w:tc>
        <w:tc>
          <w:tcPr>
            <w:tcW w:w="1554" w:type="dxa"/>
          </w:tcPr>
          <w:p w14:paraId="170ECA6F" w14:textId="77777777" w:rsidR="00AF0720" w:rsidRPr="00AF0720" w:rsidRDefault="00AF0720" w:rsidP="00AF0720"/>
        </w:tc>
        <w:tc>
          <w:tcPr>
            <w:tcW w:w="1461" w:type="dxa"/>
          </w:tcPr>
          <w:p w14:paraId="2D78CAE8" w14:textId="16BEECC1" w:rsidR="00AF0720" w:rsidRPr="00AF0720" w:rsidRDefault="00AF0720" w:rsidP="00AF0720">
            <w:r w:rsidRPr="00AF0720">
              <w:rPr>
                <w:szCs w:val="20"/>
              </w:rPr>
              <w:t>Астма*, диспнея*</w:t>
            </w:r>
          </w:p>
        </w:tc>
        <w:tc>
          <w:tcPr>
            <w:tcW w:w="1618" w:type="dxa"/>
          </w:tcPr>
          <w:p w14:paraId="0E0D042B" w14:textId="358D604F" w:rsidR="00AF0720" w:rsidRPr="00AF0720" w:rsidRDefault="00AF0720" w:rsidP="00AF0720">
            <w:r w:rsidRPr="00AF0720">
              <w:rPr>
                <w:szCs w:val="20"/>
              </w:rPr>
              <w:t>Влошаване на астма</w:t>
            </w:r>
          </w:p>
        </w:tc>
        <w:tc>
          <w:tcPr>
            <w:tcW w:w="1627" w:type="dxa"/>
          </w:tcPr>
          <w:p w14:paraId="2465AFF4" w14:textId="77777777" w:rsidR="00AF0720" w:rsidRPr="00AF0720" w:rsidRDefault="00AF0720" w:rsidP="00AF0720"/>
        </w:tc>
      </w:tr>
      <w:tr w:rsidR="00AF0720" w14:paraId="6348734C" w14:textId="77777777" w:rsidTr="00AF0720">
        <w:tc>
          <w:tcPr>
            <w:tcW w:w="1714" w:type="dxa"/>
          </w:tcPr>
          <w:p w14:paraId="042C5F29" w14:textId="23995A78" w:rsidR="00AF0720" w:rsidRPr="00AF0720" w:rsidRDefault="00AF0720" w:rsidP="00AF0720">
            <w:r w:rsidRPr="00AF0720">
              <w:rPr>
                <w:szCs w:val="20"/>
              </w:rPr>
              <w:t>Стомашно-чревни нарушения</w:t>
            </w:r>
          </w:p>
        </w:tc>
        <w:tc>
          <w:tcPr>
            <w:tcW w:w="1602" w:type="dxa"/>
          </w:tcPr>
          <w:p w14:paraId="354B4F15" w14:textId="77777777" w:rsidR="00AF0720" w:rsidRPr="00AF0720" w:rsidRDefault="00AF0720" w:rsidP="00AF0720"/>
        </w:tc>
        <w:tc>
          <w:tcPr>
            <w:tcW w:w="1554" w:type="dxa"/>
          </w:tcPr>
          <w:p w14:paraId="2525B265" w14:textId="77777777" w:rsidR="00AF0720" w:rsidRPr="00AF0720" w:rsidRDefault="00AF0720" w:rsidP="00AF0720"/>
        </w:tc>
        <w:tc>
          <w:tcPr>
            <w:tcW w:w="1461" w:type="dxa"/>
          </w:tcPr>
          <w:p w14:paraId="32399765" w14:textId="4D306C62" w:rsidR="00AF0720" w:rsidRPr="00AF0720" w:rsidRDefault="00AF0720" w:rsidP="00AF0720">
            <w:r w:rsidRPr="00AF0720">
              <w:rPr>
                <w:szCs w:val="20"/>
              </w:rPr>
              <w:t>Гадене, повръщане</w:t>
            </w:r>
          </w:p>
        </w:tc>
        <w:tc>
          <w:tcPr>
            <w:tcW w:w="1618" w:type="dxa"/>
          </w:tcPr>
          <w:p w14:paraId="6671DB33" w14:textId="77777777" w:rsidR="00AF0720" w:rsidRDefault="00AF0720" w:rsidP="00AF0720"/>
        </w:tc>
        <w:tc>
          <w:tcPr>
            <w:tcW w:w="1627" w:type="dxa"/>
          </w:tcPr>
          <w:p w14:paraId="38F327BE" w14:textId="77777777" w:rsidR="00AF0720" w:rsidRDefault="00AF0720" w:rsidP="00AF0720"/>
        </w:tc>
      </w:tr>
      <w:tr w:rsidR="00AF0720" w14:paraId="59977560" w14:textId="77777777" w:rsidTr="00AF0720">
        <w:tc>
          <w:tcPr>
            <w:tcW w:w="1714" w:type="dxa"/>
          </w:tcPr>
          <w:p w14:paraId="6D7C0B31" w14:textId="45C0BF41" w:rsidR="00AF0720" w:rsidRPr="00AF0720" w:rsidRDefault="00AF0720" w:rsidP="00AF0720">
            <w:r w:rsidRPr="00AF0720">
              <w:rPr>
                <w:szCs w:val="20"/>
              </w:rPr>
              <w:t>Нарушения на кожата и подкожната тъкан</w:t>
            </w:r>
          </w:p>
        </w:tc>
        <w:tc>
          <w:tcPr>
            <w:tcW w:w="1602" w:type="dxa"/>
          </w:tcPr>
          <w:p w14:paraId="4AC635CF" w14:textId="77777777" w:rsidR="00AF0720" w:rsidRPr="00AF0720" w:rsidRDefault="00AF0720" w:rsidP="00AF0720"/>
        </w:tc>
        <w:tc>
          <w:tcPr>
            <w:tcW w:w="1554" w:type="dxa"/>
          </w:tcPr>
          <w:p w14:paraId="310B2C54" w14:textId="77777777" w:rsidR="00AF0720" w:rsidRPr="00AF0720" w:rsidRDefault="00AF0720" w:rsidP="00AF0720"/>
        </w:tc>
        <w:tc>
          <w:tcPr>
            <w:tcW w:w="1461" w:type="dxa"/>
          </w:tcPr>
          <w:p w14:paraId="14B05C19" w14:textId="0E760578" w:rsidR="00AF0720" w:rsidRPr="00AF0720" w:rsidRDefault="00AF0720" w:rsidP="00AF0720">
            <w:r w:rsidRPr="00AF0720">
              <w:rPr>
                <w:szCs w:val="20"/>
              </w:rPr>
              <w:t>Обрив</w:t>
            </w:r>
          </w:p>
        </w:tc>
        <w:tc>
          <w:tcPr>
            <w:tcW w:w="1618" w:type="dxa"/>
          </w:tcPr>
          <w:p w14:paraId="4CC9ECCB" w14:textId="60BC92CD" w:rsidR="00AF0720" w:rsidRPr="00AF0720" w:rsidRDefault="00AF0720" w:rsidP="00AF0720">
            <w:r w:rsidRPr="00AF0720">
              <w:rPr>
                <w:szCs w:val="20"/>
              </w:rPr>
              <w:t>Сърбеж</w:t>
            </w:r>
          </w:p>
        </w:tc>
        <w:tc>
          <w:tcPr>
            <w:tcW w:w="1627" w:type="dxa"/>
          </w:tcPr>
          <w:p w14:paraId="798E0D0C" w14:textId="77777777" w:rsidR="00AF0720" w:rsidRPr="00AF0720" w:rsidRDefault="00AF0720" w:rsidP="00AF0720"/>
        </w:tc>
      </w:tr>
      <w:tr w:rsidR="00AF0720" w14:paraId="65032513" w14:textId="77777777" w:rsidTr="00AF0720">
        <w:tc>
          <w:tcPr>
            <w:tcW w:w="1714" w:type="dxa"/>
          </w:tcPr>
          <w:p w14:paraId="227ED2FF" w14:textId="3D58A3E1" w:rsidR="00AF0720" w:rsidRPr="00AF0720" w:rsidRDefault="00AF0720" w:rsidP="00AF0720">
            <w:r w:rsidRPr="00AF0720">
              <w:rPr>
                <w:szCs w:val="20"/>
              </w:rPr>
              <w:t>Нарушения на мускулно- скелетната система и съединителната тъкан</w:t>
            </w:r>
          </w:p>
        </w:tc>
        <w:tc>
          <w:tcPr>
            <w:tcW w:w="1602" w:type="dxa"/>
          </w:tcPr>
          <w:p w14:paraId="7671426C" w14:textId="77777777" w:rsidR="00AF0720" w:rsidRPr="00AF0720" w:rsidRDefault="00AF0720" w:rsidP="00AF0720"/>
        </w:tc>
        <w:tc>
          <w:tcPr>
            <w:tcW w:w="1554" w:type="dxa"/>
          </w:tcPr>
          <w:p w14:paraId="720E1581" w14:textId="77777777" w:rsidR="00AF0720" w:rsidRPr="00AF0720" w:rsidRDefault="00AF0720" w:rsidP="00AF0720"/>
        </w:tc>
        <w:tc>
          <w:tcPr>
            <w:tcW w:w="1461" w:type="dxa"/>
          </w:tcPr>
          <w:p w14:paraId="215BE1D6" w14:textId="0C93CDAD" w:rsidR="00AF0720" w:rsidRPr="00AF0720" w:rsidRDefault="00AF0720" w:rsidP="00AF0720">
            <w:r w:rsidRPr="00AF0720">
              <w:rPr>
                <w:szCs w:val="20"/>
              </w:rPr>
              <w:t>Миалгия*; артралгия*</w:t>
            </w:r>
          </w:p>
        </w:tc>
        <w:tc>
          <w:tcPr>
            <w:tcW w:w="1618" w:type="dxa"/>
          </w:tcPr>
          <w:p w14:paraId="5CF39ED7" w14:textId="77777777" w:rsidR="00AF0720" w:rsidRPr="00AF0720" w:rsidRDefault="00AF0720" w:rsidP="00AF0720"/>
        </w:tc>
        <w:tc>
          <w:tcPr>
            <w:tcW w:w="1627" w:type="dxa"/>
          </w:tcPr>
          <w:p w14:paraId="09217E9E" w14:textId="77777777" w:rsidR="00AF0720" w:rsidRPr="00AF0720" w:rsidRDefault="00AF0720" w:rsidP="00AF0720"/>
        </w:tc>
      </w:tr>
      <w:tr w:rsidR="00AF0720" w14:paraId="647283C6" w14:textId="77777777" w:rsidTr="00AF0720">
        <w:tc>
          <w:tcPr>
            <w:tcW w:w="1714" w:type="dxa"/>
          </w:tcPr>
          <w:p w14:paraId="44B23427" w14:textId="1D461EA5" w:rsidR="00AF0720" w:rsidRPr="00AF0720" w:rsidRDefault="00AF0720" w:rsidP="00AF0720">
            <w:r w:rsidRPr="00AF0720">
              <w:rPr>
                <w:szCs w:val="20"/>
              </w:rPr>
              <w:t>Общи нарушения и ефекти на мястото на приложение</w:t>
            </w:r>
          </w:p>
        </w:tc>
        <w:tc>
          <w:tcPr>
            <w:tcW w:w="1602" w:type="dxa"/>
          </w:tcPr>
          <w:p w14:paraId="03878560" w14:textId="77777777" w:rsidR="00AF0720" w:rsidRPr="00AF0720" w:rsidRDefault="00AF0720" w:rsidP="00AF0720"/>
        </w:tc>
        <w:tc>
          <w:tcPr>
            <w:tcW w:w="1554" w:type="dxa"/>
          </w:tcPr>
          <w:p w14:paraId="0114791D" w14:textId="77777777" w:rsidR="00AF0720" w:rsidRPr="00AF0720" w:rsidRDefault="00AF0720" w:rsidP="00AF0720"/>
        </w:tc>
        <w:tc>
          <w:tcPr>
            <w:tcW w:w="1461" w:type="dxa"/>
          </w:tcPr>
          <w:p w14:paraId="0976FAB8" w14:textId="26126DA5" w:rsidR="00AF0720" w:rsidRPr="00AF0720" w:rsidRDefault="00AF0720" w:rsidP="00AF0720">
            <w:r w:rsidRPr="00AF0720">
              <w:rPr>
                <w:szCs w:val="20"/>
              </w:rPr>
              <w:t>Болка в гърдите*</w:t>
            </w:r>
          </w:p>
        </w:tc>
        <w:tc>
          <w:tcPr>
            <w:tcW w:w="1618" w:type="dxa"/>
          </w:tcPr>
          <w:p w14:paraId="347D2CA1" w14:textId="77777777" w:rsidR="00AF0720" w:rsidRPr="00AF0720" w:rsidRDefault="00AF0720" w:rsidP="00AF0720"/>
        </w:tc>
        <w:tc>
          <w:tcPr>
            <w:tcW w:w="1627" w:type="dxa"/>
          </w:tcPr>
          <w:p w14:paraId="4125DBEA" w14:textId="77777777" w:rsidR="00AF0720" w:rsidRPr="00AF0720" w:rsidRDefault="00AF0720" w:rsidP="00AF0720"/>
        </w:tc>
      </w:tr>
    </w:tbl>
    <w:p w14:paraId="79E17BCB" w14:textId="77777777" w:rsidR="00AF0720" w:rsidRPr="00AF0720" w:rsidRDefault="00AF0720" w:rsidP="00AF0720">
      <w:pPr>
        <w:spacing w:line="240" w:lineRule="auto"/>
        <w:rPr>
          <w:rFonts w:eastAsia="Times New Roman" w:cs="Arial"/>
        </w:rPr>
      </w:pPr>
      <w:r w:rsidRPr="00AF0720">
        <w:rPr>
          <w:rFonts w:eastAsia="Times New Roman" w:cs="Arial"/>
          <w:color w:val="000000"/>
          <w:lang w:eastAsia="bg-BG"/>
        </w:rPr>
        <w:lastRenderedPageBreak/>
        <w:t>*Нежелани реакции идентифицирани при постмаркетингова употреба §Честотата на нежеланите реакции е определена с ,,Просто тройно правило"</w:t>
      </w:r>
    </w:p>
    <w:p w14:paraId="3FCCA7CC" w14:textId="77777777" w:rsidR="00AF0720" w:rsidRPr="00AF0720" w:rsidRDefault="00AF0720" w:rsidP="00AF0720">
      <w:pPr>
        <w:spacing w:line="240" w:lineRule="auto"/>
        <w:rPr>
          <w:rFonts w:eastAsia="Times New Roman" w:cs="Arial"/>
          <w:color w:val="000000"/>
          <w:u w:val="single"/>
          <w:lang w:eastAsia="bg-BG"/>
        </w:rPr>
      </w:pPr>
    </w:p>
    <w:p w14:paraId="5A571268" w14:textId="3EE7058C" w:rsidR="00AF0720" w:rsidRPr="00AF0720" w:rsidRDefault="00AF0720" w:rsidP="00AF0720">
      <w:pPr>
        <w:spacing w:line="240" w:lineRule="auto"/>
        <w:rPr>
          <w:rFonts w:eastAsia="Times New Roman" w:cs="Arial"/>
        </w:rPr>
      </w:pPr>
      <w:r w:rsidRPr="00AF0720">
        <w:rPr>
          <w:rFonts w:eastAsia="Times New Roman" w:cs="Arial"/>
          <w:color w:val="000000"/>
          <w:u w:val="single"/>
          <w:lang w:eastAsia="bg-BG"/>
        </w:rPr>
        <w:t>Описание на избрани нежелани реакции</w:t>
      </w:r>
    </w:p>
    <w:p w14:paraId="5969FCC4" w14:textId="77777777" w:rsidR="00AF0720" w:rsidRPr="00AF0720" w:rsidRDefault="00AF0720" w:rsidP="00AF0720">
      <w:pPr>
        <w:spacing w:line="240" w:lineRule="auto"/>
        <w:rPr>
          <w:rFonts w:eastAsia="Times New Roman" w:cs="Arial"/>
        </w:rPr>
      </w:pPr>
      <w:r w:rsidRPr="00AF0720">
        <w:rPr>
          <w:rFonts w:eastAsia="Times New Roman" w:cs="Arial"/>
          <w:color w:val="000000"/>
          <w:lang w:eastAsia="bg-BG"/>
        </w:rPr>
        <w:t>Няма предоставена информация</w:t>
      </w:r>
    </w:p>
    <w:p w14:paraId="3318625B" w14:textId="77777777" w:rsidR="00AF0720" w:rsidRPr="00AF0720" w:rsidRDefault="00AF0720" w:rsidP="00AF0720">
      <w:pPr>
        <w:spacing w:line="240" w:lineRule="auto"/>
        <w:rPr>
          <w:rFonts w:eastAsia="Times New Roman" w:cs="Arial"/>
          <w:color w:val="000000"/>
          <w:u w:val="single"/>
          <w:lang w:eastAsia="bg-BG"/>
        </w:rPr>
      </w:pPr>
    </w:p>
    <w:p w14:paraId="5212D500" w14:textId="294E1214" w:rsidR="00AF0720" w:rsidRPr="00AF0720" w:rsidRDefault="00AF0720" w:rsidP="00AF0720">
      <w:pPr>
        <w:spacing w:line="240" w:lineRule="auto"/>
        <w:rPr>
          <w:rFonts w:eastAsia="Times New Roman" w:cs="Arial"/>
        </w:rPr>
      </w:pPr>
      <w:r w:rsidRPr="00AF0720">
        <w:rPr>
          <w:rFonts w:eastAsia="Times New Roman" w:cs="Arial"/>
          <w:color w:val="000000"/>
          <w:u w:val="single"/>
          <w:lang w:eastAsia="bg-BG"/>
        </w:rPr>
        <w:t>Педиатрична популация</w:t>
      </w:r>
    </w:p>
    <w:p w14:paraId="37824D1F" w14:textId="77777777" w:rsidR="00AF0720" w:rsidRPr="00AF0720" w:rsidRDefault="00AF0720" w:rsidP="00AF0720">
      <w:pPr>
        <w:spacing w:line="240" w:lineRule="auto"/>
        <w:rPr>
          <w:rFonts w:eastAsia="Times New Roman" w:cs="Arial"/>
        </w:rPr>
      </w:pPr>
      <w:r w:rsidRPr="00AF0720">
        <w:rPr>
          <w:rFonts w:eastAsia="Times New Roman" w:cs="Arial"/>
          <w:color w:val="000000"/>
          <w:lang w:eastAsia="bg-BG"/>
        </w:rPr>
        <w:t>В две краткосрочни клинични проучвания (≤12 седмици) с участието на 93 (25 и 68) педиатрични пациенти профилът на безопасност е бил подобен на този при възрастни и не са били идентифицирани нови нежелани реакции. Краткосрочните профили на безопасност в различните педиатрични подгрупи също са били сходни (вж. точка 5.1). Нежеланите реакции, наблюдавани по-често при педиатрична популация в сравнение с възрастните, са: ринофарингит и пирексия.</w:t>
      </w:r>
    </w:p>
    <w:p w14:paraId="1E8A292B" w14:textId="77777777" w:rsidR="00AF0720" w:rsidRPr="00AF0720" w:rsidRDefault="00AF0720" w:rsidP="00AF0720">
      <w:pPr>
        <w:spacing w:line="240" w:lineRule="auto"/>
        <w:rPr>
          <w:rFonts w:eastAsia="Times New Roman" w:cs="Arial"/>
          <w:color w:val="000000"/>
          <w:lang w:eastAsia="bg-BG"/>
        </w:rPr>
      </w:pPr>
    </w:p>
    <w:p w14:paraId="1CD57C39" w14:textId="498215C6" w:rsidR="00AF0720" w:rsidRPr="00AF0720" w:rsidRDefault="00AF0720" w:rsidP="00AF0720">
      <w:pPr>
        <w:spacing w:line="240" w:lineRule="auto"/>
        <w:rPr>
          <w:rFonts w:eastAsia="Times New Roman" w:cs="Arial"/>
        </w:rPr>
      </w:pPr>
      <w:r w:rsidRPr="00AF0720">
        <w:rPr>
          <w:rFonts w:eastAsia="Times New Roman" w:cs="Arial"/>
          <w:color w:val="000000"/>
          <w:lang w:eastAsia="bg-BG"/>
        </w:rPr>
        <w:t>Много рядко са съобщавани случаи на калцификация на роговицата във връзка с употребата на капки за очи, съдържащи фосфат, при някои пациенти със значително увредени роговици.</w:t>
      </w:r>
    </w:p>
    <w:p w14:paraId="5DB4AB0D" w14:textId="77777777" w:rsidR="00AF0720" w:rsidRPr="00AF0720" w:rsidRDefault="00AF0720" w:rsidP="00AF0720">
      <w:pPr>
        <w:spacing w:line="240" w:lineRule="auto"/>
        <w:rPr>
          <w:rFonts w:eastAsia="Times New Roman" w:cs="Arial"/>
          <w:color w:val="000000"/>
          <w:u w:val="single"/>
          <w:lang w:eastAsia="bg-BG"/>
        </w:rPr>
      </w:pPr>
    </w:p>
    <w:p w14:paraId="450B6801" w14:textId="355A211A" w:rsidR="00AF0720" w:rsidRPr="00AF0720" w:rsidRDefault="00AF0720" w:rsidP="00AF0720">
      <w:pPr>
        <w:spacing w:line="240" w:lineRule="auto"/>
        <w:rPr>
          <w:rFonts w:eastAsia="Times New Roman" w:cs="Arial"/>
        </w:rPr>
      </w:pPr>
      <w:r w:rsidRPr="00AF0720">
        <w:rPr>
          <w:rFonts w:eastAsia="Times New Roman" w:cs="Arial"/>
          <w:color w:val="000000"/>
          <w:u w:val="single"/>
          <w:lang w:eastAsia="bg-BG"/>
        </w:rPr>
        <w:t>Съобщаване на подозирани нежелани реакции</w:t>
      </w:r>
    </w:p>
    <w:p w14:paraId="61A1CB46" w14:textId="77777777" w:rsidR="00AF0720" w:rsidRPr="00AF0720" w:rsidRDefault="00AF0720" w:rsidP="00AF0720">
      <w:pPr>
        <w:spacing w:line="240" w:lineRule="auto"/>
        <w:rPr>
          <w:rFonts w:eastAsia="Times New Roman" w:cs="Arial"/>
        </w:rPr>
      </w:pPr>
      <w:r w:rsidRPr="00AF072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BF22457" w14:textId="77777777" w:rsidR="00AF0720" w:rsidRPr="00AF0720" w:rsidRDefault="00AF0720" w:rsidP="00AF0720">
      <w:pPr>
        <w:spacing w:line="240" w:lineRule="auto"/>
        <w:rPr>
          <w:rFonts w:eastAsia="Times New Roman" w:cs="Arial"/>
          <w:color w:val="000000"/>
          <w:lang w:eastAsia="bg-BG"/>
        </w:rPr>
      </w:pPr>
    </w:p>
    <w:p w14:paraId="17001F43" w14:textId="7712EBEF" w:rsidR="00AF0720" w:rsidRPr="00AF0720" w:rsidRDefault="00AF0720" w:rsidP="00AF0720">
      <w:pPr>
        <w:spacing w:line="240" w:lineRule="auto"/>
        <w:rPr>
          <w:rFonts w:eastAsia="Times New Roman" w:cs="Arial"/>
        </w:rPr>
      </w:pPr>
      <w:r w:rsidRPr="00AF0720">
        <w:rPr>
          <w:rFonts w:eastAsia="Times New Roman" w:cs="Arial"/>
          <w:color w:val="000000"/>
          <w:lang w:eastAsia="bg-BG"/>
        </w:rPr>
        <w:t>Изпълнителна агенция по лекарствата</w:t>
      </w:r>
    </w:p>
    <w:p w14:paraId="7ABC1737" w14:textId="77777777" w:rsidR="00AF0720" w:rsidRPr="00AF0720" w:rsidRDefault="00AF0720" w:rsidP="00AF0720">
      <w:pPr>
        <w:spacing w:line="240" w:lineRule="auto"/>
        <w:rPr>
          <w:rFonts w:eastAsia="Times New Roman" w:cs="Arial"/>
        </w:rPr>
      </w:pPr>
      <w:r w:rsidRPr="00AF0720">
        <w:rPr>
          <w:rFonts w:eastAsia="Times New Roman" w:cs="Arial"/>
          <w:color w:val="000000"/>
          <w:lang w:eastAsia="bg-BG"/>
        </w:rPr>
        <w:t>ул. „Дамян Груев" № 8</w:t>
      </w:r>
    </w:p>
    <w:p w14:paraId="1CD39CEF" w14:textId="77777777" w:rsidR="00AF0720" w:rsidRPr="00AF0720" w:rsidRDefault="00AF0720" w:rsidP="00AF0720">
      <w:pPr>
        <w:spacing w:line="240" w:lineRule="auto"/>
        <w:rPr>
          <w:rFonts w:eastAsia="Times New Roman" w:cs="Arial"/>
        </w:rPr>
      </w:pPr>
      <w:r w:rsidRPr="00AF0720">
        <w:rPr>
          <w:rFonts w:eastAsia="Times New Roman" w:cs="Arial"/>
          <w:color w:val="000000"/>
          <w:lang w:eastAsia="bg-BG"/>
        </w:rPr>
        <w:t>1303 София</w:t>
      </w:r>
    </w:p>
    <w:p w14:paraId="7D382B5A" w14:textId="77777777" w:rsidR="00AF0720" w:rsidRPr="00AF0720" w:rsidRDefault="00AF0720" w:rsidP="00AF0720">
      <w:pPr>
        <w:spacing w:line="240" w:lineRule="auto"/>
        <w:rPr>
          <w:rFonts w:eastAsia="Times New Roman" w:cs="Arial"/>
        </w:rPr>
      </w:pPr>
      <w:r w:rsidRPr="00AF0720">
        <w:rPr>
          <w:rFonts w:eastAsia="Times New Roman" w:cs="Arial"/>
          <w:color w:val="000000"/>
          <w:lang w:eastAsia="bg-BG"/>
        </w:rPr>
        <w:t>Тел.:+359 2 8903417</w:t>
      </w:r>
    </w:p>
    <w:p w14:paraId="114CB9CE" w14:textId="0368E278" w:rsidR="00AF0720" w:rsidRPr="00AF0720" w:rsidRDefault="00AF0720" w:rsidP="00AF0720">
      <w:pPr>
        <w:rPr>
          <w:rFonts w:eastAsia="Times New Roman" w:cs="Arial"/>
        </w:rPr>
      </w:pPr>
      <w:r w:rsidRPr="00AF0720">
        <w:rPr>
          <w:rFonts w:eastAsia="Times New Roman" w:cs="Arial"/>
          <w:color w:val="000000"/>
          <w:lang w:eastAsia="bg-BG"/>
        </w:rPr>
        <w:t xml:space="preserve">уебсайт: </w:t>
      </w:r>
      <w:hyperlink r:id="rId5" w:history="1">
        <w:r w:rsidRPr="00AF0720">
          <w:rPr>
            <w:rFonts w:eastAsia="Times New Roman" w:cs="Arial"/>
            <w:color w:val="000000"/>
            <w:u w:val="single"/>
            <w:lang w:val="en-US"/>
          </w:rPr>
          <w:t>www.bda.bg</w:t>
        </w:r>
      </w:hyperlink>
    </w:p>
    <w:p w14:paraId="69C4C64B" w14:textId="77777777" w:rsidR="00AF0720" w:rsidRPr="00AF0720" w:rsidRDefault="00AF0720" w:rsidP="00AF0720"/>
    <w:p w14:paraId="5A87DBA3" w14:textId="11A7A722" w:rsidR="007122AD" w:rsidRDefault="002C50EE" w:rsidP="00936AD0">
      <w:pPr>
        <w:pStyle w:val="Heading2"/>
      </w:pPr>
      <w:r>
        <w:t>4.9. Предозиране</w:t>
      </w:r>
    </w:p>
    <w:p w14:paraId="67C38549" w14:textId="52DD3BBA" w:rsidR="00AF0720" w:rsidRDefault="00AF0720" w:rsidP="00AF0720"/>
    <w:p w14:paraId="02BC41E1"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Освен дразнене в очите и хиперемия на конюнктивата, няма съобщения за други нежелани очни реакции при предозиране на латанопрост.</w:t>
      </w:r>
    </w:p>
    <w:p w14:paraId="4642EFAB" w14:textId="77777777" w:rsidR="00AF0720" w:rsidRPr="00AF0720" w:rsidRDefault="00AF0720" w:rsidP="00AF0720">
      <w:pPr>
        <w:rPr>
          <w:rFonts w:eastAsia="Times New Roman" w:cs="Arial"/>
          <w:color w:val="000000"/>
          <w:szCs w:val="20"/>
          <w:lang w:eastAsia="bg-BG"/>
        </w:rPr>
      </w:pPr>
    </w:p>
    <w:p w14:paraId="608A3852" w14:textId="77777777" w:rsidR="00AF0720" w:rsidRPr="00AF0720" w:rsidRDefault="00AF0720" w:rsidP="00AF0720">
      <w:pPr>
        <w:rPr>
          <w:rFonts w:eastAsia="Times New Roman" w:cs="Arial"/>
          <w:sz w:val="28"/>
          <w:szCs w:val="24"/>
        </w:rPr>
      </w:pPr>
      <w:r w:rsidRPr="00AF0720">
        <w:rPr>
          <w:rFonts w:eastAsia="Times New Roman" w:cs="Arial"/>
          <w:color w:val="000000"/>
          <w:szCs w:val="20"/>
          <w:lang w:eastAsia="bg-BG"/>
        </w:rPr>
        <w:t>При случайно поглъщане на латанопрост, следната информация може да бъде от полза един флакон съдържа 125 μ</w:t>
      </w:r>
      <w:r w:rsidRPr="00AF0720">
        <w:rPr>
          <w:rFonts w:eastAsia="Times New Roman" w:cs="Arial"/>
          <w:color w:val="000000"/>
          <w:szCs w:val="20"/>
          <w:lang w:val="en-US"/>
        </w:rPr>
        <w:t>g</w:t>
      </w:r>
      <w:r w:rsidRPr="00AF0720">
        <w:rPr>
          <w:rFonts w:eastAsia="Times New Roman" w:cs="Arial"/>
          <w:color w:val="000000"/>
          <w:szCs w:val="20"/>
          <w:lang w:val="ru-RU"/>
        </w:rPr>
        <w:t xml:space="preserve"> </w:t>
      </w:r>
      <w:r w:rsidRPr="00AF0720">
        <w:rPr>
          <w:rFonts w:eastAsia="Times New Roman" w:cs="Arial"/>
          <w:color w:val="000000"/>
          <w:szCs w:val="20"/>
          <w:lang w:eastAsia="bg-BG"/>
        </w:rPr>
        <w:t>латанопрост. Повече от 90% се метаболизира при първото премиаване</w:t>
      </w:r>
      <w:r w:rsidRPr="00AF0720">
        <w:rPr>
          <w:rFonts w:eastAsia="Times New Roman" w:cs="Arial"/>
          <w:b/>
          <w:bCs/>
          <w:color w:val="000000"/>
          <w:sz w:val="18"/>
          <w:szCs w:val="16"/>
          <w:lang w:eastAsia="bg-BG"/>
        </w:rPr>
        <w:t xml:space="preserve"> </w:t>
      </w:r>
      <w:r w:rsidRPr="00AF0720">
        <w:rPr>
          <w:rFonts w:eastAsia="Times New Roman" w:cs="Arial"/>
          <w:color w:val="000000"/>
          <w:szCs w:val="20"/>
          <w:lang w:eastAsia="bg-BG"/>
        </w:rPr>
        <w:t xml:space="preserve">през черния дроб. Интравенозната инфузия на </w:t>
      </w:r>
      <w:r w:rsidRPr="00AF0720">
        <w:rPr>
          <w:rFonts w:eastAsia="Times New Roman" w:cs="Arial"/>
          <w:i/>
          <w:iCs/>
          <w:color w:val="000000"/>
          <w:szCs w:val="20"/>
          <w:lang w:eastAsia="bg-BG"/>
        </w:rPr>
        <w:t>3</w:t>
      </w:r>
      <w:r w:rsidRPr="00AF0720">
        <w:rPr>
          <w:rFonts w:eastAsia="Times New Roman" w:cs="Arial"/>
          <w:color w:val="000000"/>
          <w:szCs w:val="20"/>
          <w:lang w:eastAsia="bg-BG"/>
        </w:rPr>
        <w:t xml:space="preserve"> μ</w:t>
      </w:r>
      <w:r w:rsidRPr="00AF0720">
        <w:rPr>
          <w:rFonts w:eastAsia="Times New Roman" w:cs="Arial"/>
          <w:color w:val="000000"/>
          <w:szCs w:val="20"/>
          <w:lang w:val="en-US"/>
        </w:rPr>
        <w:t>g</w:t>
      </w:r>
      <w:r w:rsidRPr="00AF0720">
        <w:rPr>
          <w:rFonts w:eastAsia="Times New Roman" w:cs="Arial"/>
          <w:color w:val="000000"/>
          <w:szCs w:val="20"/>
          <w:lang w:val="ru-RU"/>
        </w:rPr>
        <w:t>/</w:t>
      </w:r>
      <w:r w:rsidRPr="00AF0720">
        <w:rPr>
          <w:rFonts w:eastAsia="Times New Roman" w:cs="Arial"/>
          <w:color w:val="000000"/>
          <w:szCs w:val="20"/>
          <w:lang w:val="en-US"/>
        </w:rPr>
        <w:t>kg</w:t>
      </w:r>
      <w:r w:rsidRPr="00AF0720">
        <w:rPr>
          <w:rFonts w:eastAsia="Times New Roman" w:cs="Arial"/>
          <w:color w:val="000000"/>
          <w:szCs w:val="20"/>
          <w:lang w:val="ru-RU"/>
        </w:rPr>
        <w:t xml:space="preserve"> </w:t>
      </w:r>
      <w:r w:rsidRPr="00AF0720">
        <w:rPr>
          <w:rFonts w:eastAsia="Times New Roman" w:cs="Arial"/>
          <w:color w:val="000000"/>
          <w:szCs w:val="20"/>
          <w:lang w:eastAsia="bg-BG"/>
        </w:rPr>
        <w:t>при здрави доброволци не предизвиква симптоми, но доза от 5,5-10 μ</w:t>
      </w:r>
      <w:r w:rsidRPr="00AF0720">
        <w:rPr>
          <w:rFonts w:eastAsia="Times New Roman" w:cs="Arial"/>
          <w:color w:val="000000"/>
          <w:szCs w:val="20"/>
          <w:lang w:val="en-US"/>
        </w:rPr>
        <w:t>g</w:t>
      </w:r>
      <w:r w:rsidRPr="00AF0720">
        <w:rPr>
          <w:rFonts w:eastAsia="Times New Roman" w:cs="Arial"/>
          <w:color w:val="000000"/>
          <w:szCs w:val="20"/>
          <w:lang w:val="ru-RU"/>
        </w:rPr>
        <w:t>/</w:t>
      </w:r>
      <w:r w:rsidRPr="00AF0720">
        <w:rPr>
          <w:rFonts w:eastAsia="Times New Roman" w:cs="Arial"/>
          <w:color w:val="000000"/>
          <w:szCs w:val="20"/>
          <w:lang w:val="en-US"/>
        </w:rPr>
        <w:t>kg</w:t>
      </w:r>
      <w:r w:rsidRPr="00AF0720">
        <w:rPr>
          <w:rFonts w:eastAsia="Times New Roman" w:cs="Arial"/>
          <w:color w:val="000000"/>
          <w:szCs w:val="20"/>
          <w:lang w:val="ru-RU"/>
        </w:rPr>
        <w:t xml:space="preserve"> </w:t>
      </w:r>
      <w:r w:rsidRPr="00AF0720">
        <w:rPr>
          <w:rFonts w:eastAsia="Times New Roman" w:cs="Arial"/>
          <w:color w:val="000000"/>
          <w:szCs w:val="20"/>
          <w:lang w:eastAsia="bg-BG"/>
        </w:rPr>
        <w:t>предизвиква гадене, коремна болка, замайване, умора, горещи вълни и изпотяване. При маймуни латанопрост е прилаган като венозна инфузия в дози до 500</w:t>
      </w:r>
    </w:p>
    <w:p w14:paraId="319F8871"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μ</w:t>
      </w:r>
      <w:r w:rsidRPr="00AF0720">
        <w:rPr>
          <w:rFonts w:eastAsia="Times New Roman" w:cs="Arial"/>
          <w:color w:val="000000"/>
          <w:szCs w:val="20"/>
          <w:lang w:val="en-US"/>
        </w:rPr>
        <w:t>g</w:t>
      </w:r>
      <w:r w:rsidRPr="00AF0720">
        <w:rPr>
          <w:rFonts w:eastAsia="Times New Roman" w:cs="Arial"/>
          <w:color w:val="000000"/>
          <w:szCs w:val="20"/>
          <w:lang w:val="ru-RU"/>
        </w:rPr>
        <w:t>/</w:t>
      </w:r>
      <w:r w:rsidRPr="00AF0720">
        <w:rPr>
          <w:rFonts w:eastAsia="Times New Roman" w:cs="Arial"/>
          <w:color w:val="000000"/>
          <w:szCs w:val="20"/>
          <w:lang w:val="en-US"/>
        </w:rPr>
        <w:t>kg</w:t>
      </w:r>
      <w:r w:rsidRPr="00AF0720">
        <w:rPr>
          <w:rFonts w:eastAsia="Times New Roman" w:cs="Arial"/>
          <w:color w:val="000000"/>
          <w:szCs w:val="20"/>
          <w:lang w:val="ru-RU"/>
        </w:rPr>
        <w:t xml:space="preserve"> </w:t>
      </w:r>
      <w:r w:rsidRPr="00AF0720">
        <w:rPr>
          <w:rFonts w:eastAsia="Times New Roman" w:cs="Arial"/>
          <w:color w:val="000000"/>
          <w:szCs w:val="20"/>
          <w:lang w:eastAsia="bg-BG"/>
        </w:rPr>
        <w:t>без сериозни ефекти върху сърдечно-съдовата система.</w:t>
      </w:r>
    </w:p>
    <w:p w14:paraId="50422B0B"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Интравенозното приложение на латанопрост при маймуни се свързва с преходна бронхоконстрикция. При пациенти с умерена бронхиална астма обаче, бронхоконстрикция не се индуцира от латанопрост, когато се прилага локално в очите в дози седем пъти по-високи от клиничната доза на латанопрост.</w:t>
      </w:r>
    </w:p>
    <w:p w14:paraId="1855E03D" w14:textId="77777777" w:rsidR="00AF0720" w:rsidRPr="00AF0720" w:rsidRDefault="00AF0720" w:rsidP="00AF0720">
      <w:pPr>
        <w:spacing w:line="240" w:lineRule="auto"/>
        <w:rPr>
          <w:rFonts w:eastAsia="Times New Roman" w:cs="Arial"/>
          <w:color w:val="000000"/>
          <w:szCs w:val="20"/>
          <w:lang w:eastAsia="bg-BG"/>
        </w:rPr>
      </w:pPr>
    </w:p>
    <w:p w14:paraId="157A3697" w14:textId="0C8D006C"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При предозиране на латанопрост лечението трябва да бъде симптоматично.</w:t>
      </w:r>
    </w:p>
    <w:p w14:paraId="0C49323A" w14:textId="10F15636" w:rsidR="00AF0720" w:rsidRPr="00AF0720" w:rsidRDefault="00AF0720" w:rsidP="00AF0720"/>
    <w:p w14:paraId="02081B24" w14:textId="1F46E296" w:rsidR="00395555" w:rsidRPr="00395555" w:rsidRDefault="002C50EE" w:rsidP="008A6AF2">
      <w:pPr>
        <w:pStyle w:val="Heading1"/>
      </w:pPr>
      <w:r>
        <w:lastRenderedPageBreak/>
        <w:t>5. ФАРМАКОЛОГИЧНИ СВОЙСТВА</w:t>
      </w:r>
    </w:p>
    <w:p w14:paraId="7DE36AC8" w14:textId="60248276" w:rsidR="00B6672E" w:rsidRDefault="002C50EE" w:rsidP="00936AD0">
      <w:pPr>
        <w:pStyle w:val="Heading2"/>
      </w:pPr>
      <w:r>
        <w:t>5.1. Фармакодинамични свойства</w:t>
      </w:r>
    </w:p>
    <w:p w14:paraId="73ADDC1B" w14:textId="6FE1DF95" w:rsidR="00AF0720" w:rsidRDefault="00AF0720" w:rsidP="00AF0720"/>
    <w:p w14:paraId="7D444EC2"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Фармакотерапевтична група: антиглаукомни препарати и миотици; простагландинови аналози, АТС код: </w:t>
      </w:r>
      <w:r w:rsidRPr="00AF0720">
        <w:rPr>
          <w:rFonts w:eastAsia="Times New Roman" w:cs="Arial"/>
          <w:color w:val="000000"/>
          <w:szCs w:val="20"/>
          <w:lang w:val="en-US"/>
        </w:rPr>
        <w:t>S</w:t>
      </w:r>
      <w:r w:rsidRPr="00AF0720">
        <w:rPr>
          <w:rFonts w:eastAsia="Times New Roman" w:cs="Arial"/>
          <w:color w:val="000000"/>
          <w:szCs w:val="20"/>
          <w:lang w:val="ru-RU"/>
        </w:rPr>
        <w:t xml:space="preserve"> </w:t>
      </w:r>
      <w:r w:rsidRPr="00AF0720">
        <w:rPr>
          <w:rFonts w:eastAsia="Times New Roman" w:cs="Arial"/>
          <w:color w:val="000000"/>
          <w:szCs w:val="20"/>
          <w:lang w:eastAsia="bg-BG"/>
        </w:rPr>
        <w:t>01Е Е01</w:t>
      </w:r>
    </w:p>
    <w:p w14:paraId="1D680168" w14:textId="77777777" w:rsidR="00AF0720" w:rsidRPr="00AF0720" w:rsidRDefault="00AF0720" w:rsidP="00AF0720">
      <w:pPr>
        <w:spacing w:line="240" w:lineRule="auto"/>
        <w:rPr>
          <w:rFonts w:eastAsia="Times New Roman" w:cs="Arial"/>
          <w:color w:val="000000"/>
          <w:szCs w:val="20"/>
          <w:lang w:eastAsia="bg-BG"/>
        </w:rPr>
      </w:pPr>
    </w:p>
    <w:p w14:paraId="408E642F" w14:textId="7F8B48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Активното вещество латанопрост, простагландинов </w:t>
      </w:r>
      <w:r w:rsidRPr="00AF0720">
        <w:rPr>
          <w:rFonts w:eastAsia="Times New Roman" w:cs="Arial"/>
          <w:color w:val="000000"/>
          <w:szCs w:val="20"/>
          <w:lang w:val="en-US"/>
        </w:rPr>
        <w:t>F</w:t>
      </w:r>
      <w:r w:rsidRPr="00AF0720">
        <w:rPr>
          <w:rFonts w:eastAsia="Times New Roman" w:cs="Arial"/>
          <w:color w:val="000000"/>
          <w:szCs w:val="20"/>
          <w:lang w:val="ru-RU"/>
        </w:rPr>
        <w:t>2</w:t>
      </w:r>
      <w:r w:rsidRPr="00AF0720">
        <w:rPr>
          <w:rFonts w:eastAsia="Times New Roman" w:cs="Arial"/>
          <w:color w:val="000000"/>
          <w:szCs w:val="20"/>
          <w:lang w:eastAsia="bg-BG"/>
        </w:rPr>
        <w:t>α</w:t>
      </w:r>
      <w:r w:rsidRPr="00AF0720">
        <w:rPr>
          <w:rFonts w:eastAsia="Times New Roman" w:cs="Arial"/>
          <w:color w:val="000000"/>
          <w:szCs w:val="20"/>
          <w:lang w:val="ru-RU"/>
        </w:rPr>
        <w:t xml:space="preserve"> </w:t>
      </w:r>
      <w:r w:rsidRPr="00AF0720">
        <w:rPr>
          <w:rFonts w:eastAsia="Times New Roman" w:cs="Arial"/>
          <w:color w:val="000000"/>
          <w:szCs w:val="20"/>
          <w:lang w:eastAsia="bg-BG"/>
        </w:rPr>
        <w:t xml:space="preserve">аналог, е селективен агонист на простаноидните </w:t>
      </w:r>
      <w:r w:rsidRPr="00AF0720">
        <w:rPr>
          <w:rFonts w:eastAsia="Times New Roman" w:cs="Arial"/>
          <w:color w:val="000000"/>
          <w:szCs w:val="20"/>
          <w:lang w:val="en-US"/>
        </w:rPr>
        <w:t>FP</w:t>
      </w:r>
      <w:r w:rsidRPr="00AF0720">
        <w:rPr>
          <w:rFonts w:eastAsia="Times New Roman" w:cs="Arial"/>
          <w:color w:val="000000"/>
          <w:szCs w:val="20"/>
          <w:lang w:val="ru-RU"/>
        </w:rPr>
        <w:t xml:space="preserve"> </w:t>
      </w:r>
      <w:r w:rsidRPr="00AF0720">
        <w:rPr>
          <w:rFonts w:eastAsia="Times New Roman" w:cs="Arial"/>
          <w:color w:val="000000"/>
          <w:szCs w:val="20"/>
          <w:lang w:eastAsia="bg-BG"/>
        </w:rPr>
        <w:t>рецептори, който понижава вътреочното налягане като увеличава отока на вътреочна течност. Понижението на вътреочното налягане при човека започва около три до четири часа след приложение, като максимален ефект се достига след осем до дванадесет часа. Намаляването на налягането се поддържа в продължение най-малко на 24 часа.</w:t>
      </w:r>
    </w:p>
    <w:p w14:paraId="5F1E81A2" w14:textId="77777777" w:rsidR="00AF0720" w:rsidRPr="00AF0720" w:rsidRDefault="00AF0720" w:rsidP="00AF0720">
      <w:pPr>
        <w:spacing w:line="240" w:lineRule="auto"/>
        <w:rPr>
          <w:rFonts w:eastAsia="Times New Roman" w:cs="Arial"/>
          <w:color w:val="000000"/>
          <w:szCs w:val="20"/>
          <w:u w:val="single"/>
          <w:lang w:eastAsia="bg-BG"/>
        </w:rPr>
      </w:pPr>
    </w:p>
    <w:p w14:paraId="31A634B8" w14:textId="21C6B51B"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u w:val="single"/>
          <w:lang w:eastAsia="bg-BG"/>
        </w:rPr>
        <w:t>Механизъм на действие</w:t>
      </w:r>
    </w:p>
    <w:p w14:paraId="504141EC" w14:textId="42D934AD"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Проучвания при животни и хора показват, че основният механизъм на действие е увеличаване на увеосклералния оток, въпреки че при хора се съобщава за известно повишаване на капацитета на отока (намаляване на съпротивлението на отока).</w:t>
      </w:r>
    </w:p>
    <w:p w14:paraId="728AD4B8"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Основните проучвания показват, че латанопрост е ефективен като монотерапия. Освен това са провеждани клинични проучвания, които изследват употребата му в комбинация. Между тях са изпитвания, които показват, че латанопрост е ефективен в комбинация с бета-адренергични антагонисти </w:t>
      </w:r>
      <w:r w:rsidRPr="00AF0720">
        <w:rPr>
          <w:rFonts w:eastAsia="Times New Roman" w:cs="Arial"/>
          <w:color w:val="000000"/>
          <w:szCs w:val="20"/>
          <w:lang w:val="ru-RU"/>
        </w:rPr>
        <w:t>(</w:t>
      </w:r>
      <w:proofErr w:type="spellStart"/>
      <w:r w:rsidRPr="00AF0720">
        <w:rPr>
          <w:rFonts w:eastAsia="Times New Roman" w:cs="Arial"/>
          <w:color w:val="000000"/>
          <w:szCs w:val="20"/>
          <w:lang w:val="en-US"/>
        </w:rPr>
        <w:t>timolol</w:t>
      </w:r>
      <w:proofErr w:type="spellEnd"/>
      <w:r w:rsidRPr="00AF0720">
        <w:rPr>
          <w:rFonts w:eastAsia="Times New Roman" w:cs="Arial"/>
          <w:color w:val="000000"/>
          <w:szCs w:val="20"/>
          <w:lang w:val="ru-RU"/>
        </w:rPr>
        <w:t xml:space="preserve">). </w:t>
      </w:r>
      <w:r w:rsidRPr="00AF0720">
        <w:rPr>
          <w:rFonts w:eastAsia="Times New Roman" w:cs="Arial"/>
          <w:color w:val="000000"/>
          <w:szCs w:val="20"/>
          <w:lang w:eastAsia="bg-BG"/>
        </w:rPr>
        <w:t>Краткосрочни проучвания (1 или 2 седмици) показват адитивен ефект на латанопрост в комбинация с адренергични агонисти (дипивалил епинефрин), орални карбоанхидразни инхибитори (ацетазоламид) и поне отчасти адитивен с холинергични агонисти (пилокарпин).</w:t>
      </w:r>
    </w:p>
    <w:p w14:paraId="6DE79D38" w14:textId="77777777" w:rsidR="00AF0720" w:rsidRPr="00AF0720" w:rsidRDefault="00AF0720" w:rsidP="00AF0720">
      <w:pPr>
        <w:spacing w:line="240" w:lineRule="auto"/>
        <w:rPr>
          <w:rFonts w:eastAsia="Times New Roman" w:cs="Arial"/>
          <w:color w:val="000000"/>
          <w:szCs w:val="20"/>
          <w:lang w:eastAsia="bg-BG"/>
        </w:rPr>
      </w:pPr>
    </w:p>
    <w:p w14:paraId="530F9CD1" w14:textId="305FFFDD"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Клиничните изпитвания показват, че латанопрост няма значим ефект върху образуването на вътреочна течност. Латанопрост няма ефект и върху кръвно-водната бариера.</w:t>
      </w:r>
    </w:p>
    <w:p w14:paraId="0AC78E17" w14:textId="77777777" w:rsidR="00AF0720" w:rsidRPr="00AF0720" w:rsidRDefault="00AF0720" w:rsidP="00AF0720">
      <w:pPr>
        <w:spacing w:line="240" w:lineRule="auto"/>
        <w:rPr>
          <w:rFonts w:eastAsia="Times New Roman" w:cs="Arial"/>
          <w:color w:val="000000"/>
          <w:szCs w:val="20"/>
          <w:lang w:eastAsia="bg-BG"/>
        </w:rPr>
      </w:pPr>
    </w:p>
    <w:p w14:paraId="18FFCF13" w14:textId="698768AC"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Латанопрост няма или има незначителен ефект върху вътреочната циркулация на кръвта, когато се прилага в клинични дози и при изпитвания върху маймуни. Въпреки това, при локално приложение е възможна появата на лека до умерена хиперемия на конюнктивата или еписклерата.</w:t>
      </w:r>
    </w:p>
    <w:p w14:paraId="13F835F0" w14:textId="77777777" w:rsidR="00AF0720" w:rsidRPr="00AF0720" w:rsidRDefault="00AF0720" w:rsidP="00AF0720">
      <w:pPr>
        <w:spacing w:line="240" w:lineRule="auto"/>
        <w:rPr>
          <w:rFonts w:eastAsia="Times New Roman" w:cs="Arial"/>
          <w:color w:val="000000"/>
          <w:szCs w:val="20"/>
          <w:lang w:eastAsia="bg-BG"/>
        </w:rPr>
      </w:pPr>
    </w:p>
    <w:p w14:paraId="28B7DAE1" w14:textId="24A2C8A5"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Хронично лечение с латанопрост на очите при маймуни, които са били подложени на екстракапсулна екстракция на лещата, не е повлияло кръвоносните съдове на ретината, установено чрез флуоресцеинова ангиография.</w:t>
      </w:r>
    </w:p>
    <w:p w14:paraId="30A1E16F" w14:textId="77777777" w:rsidR="00AF0720" w:rsidRPr="00AF0720" w:rsidRDefault="00AF0720" w:rsidP="00AF0720">
      <w:pPr>
        <w:spacing w:line="240" w:lineRule="auto"/>
        <w:rPr>
          <w:rFonts w:eastAsia="Times New Roman" w:cs="Arial"/>
          <w:color w:val="000000"/>
          <w:szCs w:val="20"/>
          <w:lang w:eastAsia="bg-BG"/>
        </w:rPr>
      </w:pPr>
    </w:p>
    <w:p w14:paraId="3054AE73" w14:textId="343A036B"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Латанопрост не индуцира излив на флуоресцеин в задния очен сегмент на псевдофакични очи при хора при краткосрочно лечение.</w:t>
      </w:r>
    </w:p>
    <w:p w14:paraId="6608F632" w14:textId="77777777" w:rsidR="00AF0720" w:rsidRPr="00AF0720" w:rsidRDefault="00AF0720" w:rsidP="00AF0720">
      <w:pPr>
        <w:spacing w:line="240" w:lineRule="auto"/>
        <w:rPr>
          <w:rFonts w:eastAsia="Times New Roman" w:cs="Arial"/>
          <w:color w:val="000000"/>
          <w:szCs w:val="20"/>
          <w:lang w:eastAsia="bg-BG"/>
        </w:rPr>
      </w:pPr>
    </w:p>
    <w:p w14:paraId="3BB53AE8" w14:textId="4D5236B1"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При латанопрост няма установени значими фармакологични ефекти върху дихателната система.</w:t>
      </w:r>
    </w:p>
    <w:p w14:paraId="5629C476" w14:textId="77777777" w:rsidR="00AF0720" w:rsidRPr="00AF0720" w:rsidRDefault="00AF0720" w:rsidP="00AF0720">
      <w:pPr>
        <w:spacing w:line="240" w:lineRule="auto"/>
        <w:rPr>
          <w:rFonts w:eastAsia="Times New Roman" w:cs="Arial"/>
          <w:i/>
          <w:iCs/>
          <w:color w:val="000000"/>
          <w:szCs w:val="20"/>
          <w:lang w:eastAsia="bg-BG"/>
        </w:rPr>
      </w:pPr>
    </w:p>
    <w:p w14:paraId="32A1BAE9" w14:textId="03D32471" w:rsidR="00AF0720" w:rsidRPr="00AF0720" w:rsidRDefault="00AF0720" w:rsidP="00AF0720">
      <w:pPr>
        <w:spacing w:line="240" w:lineRule="auto"/>
        <w:rPr>
          <w:rFonts w:eastAsia="Times New Roman" w:cs="Arial"/>
          <w:sz w:val="28"/>
          <w:szCs w:val="24"/>
        </w:rPr>
      </w:pPr>
      <w:r w:rsidRPr="00AF0720">
        <w:rPr>
          <w:rFonts w:eastAsia="Times New Roman" w:cs="Arial"/>
          <w:i/>
          <w:iCs/>
          <w:color w:val="000000"/>
          <w:szCs w:val="20"/>
          <w:lang w:eastAsia="bg-BG"/>
        </w:rPr>
        <w:t>Педиатрична популация</w:t>
      </w:r>
    </w:p>
    <w:p w14:paraId="254EC5AA" w14:textId="77777777" w:rsidR="00AF0720" w:rsidRPr="00AF0720" w:rsidRDefault="00AF0720" w:rsidP="00AF0720">
      <w:pPr>
        <w:rPr>
          <w:rFonts w:eastAsia="Times New Roman" w:cs="Arial"/>
          <w:sz w:val="28"/>
          <w:szCs w:val="24"/>
        </w:rPr>
      </w:pPr>
      <w:r w:rsidRPr="00AF0720">
        <w:rPr>
          <w:rFonts w:eastAsia="Times New Roman" w:cs="Arial"/>
          <w:color w:val="000000"/>
          <w:szCs w:val="20"/>
          <w:lang w:eastAsia="bg-BG"/>
        </w:rPr>
        <w:t>Ефикасността на латанопрост при педиатрични пациенти ≤18 години е доказана в 12-седмично</w:t>
      </w:r>
      <w:r w:rsidRPr="00AF0720">
        <w:rPr>
          <w:rFonts w:eastAsia="Times New Roman" w:cs="Arial"/>
          <w:b/>
          <w:bCs/>
          <w:color w:val="000000"/>
          <w:sz w:val="18"/>
          <w:szCs w:val="16"/>
          <w:lang w:eastAsia="bg-BG"/>
        </w:rPr>
        <w:t xml:space="preserve"> </w:t>
      </w:r>
      <w:r w:rsidRPr="00AF0720">
        <w:rPr>
          <w:rFonts w:eastAsia="Times New Roman" w:cs="Arial"/>
          <w:color w:val="000000"/>
          <w:szCs w:val="20"/>
          <w:lang w:eastAsia="bg-BG"/>
        </w:rPr>
        <w:t xml:space="preserve">двойно-маскирано клинично проучване на латанопрост в сравнение с тимолол при 107 пациенти диагностицирани с очна хипертензия и педиатрична глаукома. Изисквало се е новородените да са най-малко в 36-та гестационна седмица. Пациентите са получавали или латанопрост 50 </w:t>
      </w:r>
      <w:r w:rsidRPr="00AF0720">
        <w:rPr>
          <w:rFonts w:eastAsia="Times New Roman" w:cs="Arial"/>
          <w:color w:val="000000"/>
          <w:szCs w:val="20"/>
          <w:lang w:val="en-US"/>
        </w:rPr>
        <w:t>mcg</w:t>
      </w:r>
      <w:r w:rsidRPr="00AF0720">
        <w:rPr>
          <w:rFonts w:eastAsia="Times New Roman" w:cs="Arial"/>
          <w:color w:val="000000"/>
          <w:szCs w:val="20"/>
          <w:lang w:val="ru-RU"/>
        </w:rPr>
        <w:t>/</w:t>
      </w:r>
      <w:r w:rsidRPr="00AF0720">
        <w:rPr>
          <w:rFonts w:eastAsia="Times New Roman" w:cs="Arial"/>
          <w:color w:val="000000"/>
          <w:szCs w:val="20"/>
          <w:lang w:val="en-US"/>
        </w:rPr>
        <w:t>ml</w:t>
      </w:r>
      <w:r w:rsidRPr="00AF0720">
        <w:rPr>
          <w:rFonts w:eastAsia="Times New Roman" w:cs="Arial"/>
          <w:color w:val="000000"/>
          <w:szCs w:val="20"/>
          <w:lang w:val="ru-RU"/>
        </w:rPr>
        <w:t xml:space="preserve"> </w:t>
      </w:r>
      <w:r w:rsidRPr="00AF0720">
        <w:rPr>
          <w:rFonts w:eastAsia="Times New Roman" w:cs="Arial"/>
          <w:color w:val="000000"/>
          <w:szCs w:val="20"/>
          <w:lang w:eastAsia="bg-BG"/>
        </w:rPr>
        <w:t xml:space="preserve">веднъж дневно, или тимолол 0,5% (или по </w:t>
      </w:r>
      <w:r w:rsidRPr="00AF0720">
        <w:rPr>
          <w:rFonts w:eastAsia="Times New Roman" w:cs="Arial"/>
          <w:color w:val="000000"/>
          <w:szCs w:val="20"/>
          <w:lang w:eastAsia="bg-BG"/>
        </w:rPr>
        <w:lastRenderedPageBreak/>
        <w:t>избор 0,25% при лица под 3-годишна възраст) два пъти дневно. Първичната крайна точка за ефикасност е средното понижаване на вътреочното налягане (ВОН) спрямо изходното ниво през Седмица 12 от проучването. Средното понижаване на ВОН в групите с латанопрост и тимолол е било сходно. Във всички изследвани възрастови групи (от 0 до &lt; 3 години, от 3 до &lt;12 години и от 12- до 18-годишна възраст), средното понижаване на ВОН през Седмица 12 в групата с латанопрост е било подобно на това в групата с тимолол. Въпреки това, данните за ефикасност във възрастовата група от 0 до &lt;3 години се основават само на 13 пациенти за латанопрост и не е наблюдавана съответна ефикасност при 4 пациенти, представляващи възрастовата група от 0 до &lt;1 година в клиничното педиатрично проучване. Не са налични данни за преждевременно родени бебета (по-малко от 36 гестационни седмици).</w:t>
      </w:r>
    </w:p>
    <w:p w14:paraId="2FD84C52" w14:textId="77777777" w:rsidR="00AF0720" w:rsidRPr="00AF0720" w:rsidRDefault="00AF0720" w:rsidP="00AF0720">
      <w:pPr>
        <w:spacing w:line="240" w:lineRule="auto"/>
        <w:rPr>
          <w:rFonts w:eastAsia="Times New Roman" w:cs="Arial"/>
          <w:color w:val="000000"/>
          <w:szCs w:val="20"/>
          <w:lang w:eastAsia="bg-BG"/>
        </w:rPr>
      </w:pPr>
    </w:p>
    <w:p w14:paraId="5A01C7AC" w14:textId="2C115435"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Пониженията на ВОН при субектите в подгрупите с първична вродена / инфантилна глаукома (ПВГ) са били сходни с групите с латанопрост и тимолол. Подгрупата с не-ПВГ (например, ювенилна откритоъгълна глаукома, глаукома след афакия) е показала сходни резултати като подгрупата с ПВГ.</w:t>
      </w:r>
    </w:p>
    <w:p w14:paraId="23CA10C4" w14:textId="77777777" w:rsidR="00AF0720" w:rsidRPr="00AF0720" w:rsidRDefault="00AF0720" w:rsidP="00AF0720">
      <w:pPr>
        <w:spacing w:line="240" w:lineRule="auto"/>
        <w:rPr>
          <w:rFonts w:eastAsia="Times New Roman" w:cs="Arial"/>
          <w:color w:val="000000"/>
          <w:szCs w:val="20"/>
          <w:lang w:eastAsia="bg-BG"/>
        </w:rPr>
      </w:pPr>
    </w:p>
    <w:p w14:paraId="1156052D" w14:textId="17F4C22E"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Ефектът върху ВОН се наблюдава след първата седмица от лечението и се поддържа през целия период от 12 седмици от проучването, като при възрастни</w:t>
      </w:r>
    </w:p>
    <w:p w14:paraId="474B46FF" w14:textId="663B22AF" w:rsidR="00AF0720" w:rsidRDefault="00AF0720" w:rsidP="00AF0720"/>
    <w:tbl>
      <w:tblPr>
        <w:tblStyle w:val="TableGrid"/>
        <w:tblW w:w="0" w:type="auto"/>
        <w:tblLook w:val="04A0" w:firstRow="1" w:lastRow="0" w:firstColumn="1" w:lastColumn="0" w:noHBand="0" w:noVBand="1"/>
      </w:tblPr>
      <w:tblGrid>
        <w:gridCol w:w="2990"/>
        <w:gridCol w:w="1924"/>
        <w:gridCol w:w="1942"/>
        <w:gridCol w:w="1407"/>
        <w:gridCol w:w="1087"/>
      </w:tblGrid>
      <w:tr w:rsidR="00AF0720" w14:paraId="0C168AA9" w14:textId="77777777" w:rsidTr="00503CAA">
        <w:tc>
          <w:tcPr>
            <w:tcW w:w="9576" w:type="dxa"/>
            <w:gridSpan w:val="5"/>
          </w:tcPr>
          <w:p w14:paraId="163F0E5C" w14:textId="4EFD1BB8" w:rsidR="00AF0720" w:rsidRPr="00AF0720" w:rsidRDefault="00AF0720" w:rsidP="00AF0720">
            <w:pPr>
              <w:jc w:val="center"/>
              <w:rPr>
                <w:rFonts w:cs="Arial"/>
              </w:rPr>
            </w:pPr>
            <w:r w:rsidRPr="00AF0720">
              <w:rPr>
                <w:rFonts w:eastAsia="Times New Roman" w:cs="Arial"/>
                <w:b/>
                <w:bCs/>
                <w:color w:val="000000"/>
                <w:lang w:eastAsia="bg-BG"/>
              </w:rPr>
              <w:t xml:space="preserve">Таблица: Понижаване на ВОН </w:t>
            </w:r>
            <w:r w:rsidRPr="00AF0720">
              <w:rPr>
                <w:rFonts w:eastAsia="Times New Roman" w:cs="Arial"/>
                <w:b/>
                <w:bCs/>
                <w:color w:val="000000"/>
                <w:lang w:val="ru-RU"/>
              </w:rPr>
              <w:t>(</w:t>
            </w:r>
            <w:r w:rsidRPr="00AF0720">
              <w:rPr>
                <w:rFonts w:eastAsia="Times New Roman" w:cs="Arial"/>
                <w:b/>
                <w:bCs/>
                <w:color w:val="000000"/>
                <w:lang w:val="en-US"/>
              </w:rPr>
              <w:t>mmHg</w:t>
            </w:r>
            <w:r w:rsidRPr="00AF0720">
              <w:rPr>
                <w:rFonts w:eastAsia="Times New Roman" w:cs="Arial"/>
                <w:b/>
                <w:bCs/>
                <w:color w:val="000000"/>
                <w:lang w:val="ru-RU"/>
              </w:rPr>
              <w:t xml:space="preserve">) </w:t>
            </w:r>
            <w:r w:rsidRPr="00AF0720">
              <w:rPr>
                <w:rFonts w:eastAsia="Times New Roman" w:cs="Arial"/>
                <w:b/>
                <w:bCs/>
                <w:color w:val="000000"/>
                <w:lang w:eastAsia="bg-BG"/>
              </w:rPr>
              <w:t xml:space="preserve">през седмица </w:t>
            </w:r>
            <w:r w:rsidRPr="00AF0720">
              <w:rPr>
                <w:rFonts w:eastAsia="Times New Roman" w:cs="Arial"/>
                <w:b/>
                <w:bCs/>
                <w:i/>
                <w:iCs/>
                <w:color w:val="000000"/>
                <w:lang w:eastAsia="bg-BG"/>
              </w:rPr>
              <w:t>12 в групата с активно</w:t>
            </w:r>
            <w:r w:rsidRPr="00AF0720">
              <w:rPr>
                <w:rFonts w:eastAsia="Times New Roman" w:cs="Arial"/>
                <w:b/>
                <w:bCs/>
                <w:color w:val="000000"/>
                <w:lang w:eastAsia="bg-BG"/>
              </w:rPr>
              <w:t xml:space="preserve"> лечение и първоначалната диагноза</w:t>
            </w:r>
          </w:p>
        </w:tc>
      </w:tr>
      <w:tr w:rsidR="00AF0720" w14:paraId="67F5AFB7" w14:textId="77777777" w:rsidTr="00AF0720">
        <w:tc>
          <w:tcPr>
            <w:tcW w:w="3085" w:type="dxa"/>
          </w:tcPr>
          <w:p w14:paraId="57D22174" w14:textId="77777777" w:rsidR="00AF0720" w:rsidRPr="00AF0720" w:rsidRDefault="00AF0720" w:rsidP="00AF0720">
            <w:pPr>
              <w:rPr>
                <w:rFonts w:cs="Arial"/>
              </w:rPr>
            </w:pPr>
          </w:p>
        </w:tc>
        <w:tc>
          <w:tcPr>
            <w:tcW w:w="3969" w:type="dxa"/>
            <w:gridSpan w:val="2"/>
          </w:tcPr>
          <w:p w14:paraId="262953CA" w14:textId="7862B61A" w:rsidR="00AF0720" w:rsidRPr="00AF0720" w:rsidRDefault="00AF0720" w:rsidP="00AF0720">
            <w:pPr>
              <w:rPr>
                <w:rFonts w:cs="Arial"/>
              </w:rPr>
            </w:pPr>
            <w:r w:rsidRPr="00AF0720">
              <w:rPr>
                <w:rFonts w:cs="Arial"/>
                <w:b/>
                <w:bCs/>
              </w:rPr>
              <w:t xml:space="preserve">Латанопрост </w:t>
            </w:r>
            <w:r w:rsidRPr="00AF0720">
              <w:rPr>
                <w:rFonts w:cs="Arial"/>
                <w:b/>
                <w:bCs/>
                <w:lang w:val="en-US"/>
              </w:rPr>
              <w:t>N=53</w:t>
            </w:r>
          </w:p>
        </w:tc>
        <w:tc>
          <w:tcPr>
            <w:tcW w:w="2522" w:type="dxa"/>
            <w:gridSpan w:val="2"/>
          </w:tcPr>
          <w:p w14:paraId="44861C3A" w14:textId="7DF0F063" w:rsidR="00AF0720" w:rsidRPr="00AF0720" w:rsidRDefault="00AF0720" w:rsidP="00AF0720">
            <w:pPr>
              <w:rPr>
                <w:rFonts w:cs="Arial"/>
              </w:rPr>
            </w:pPr>
            <w:r w:rsidRPr="00AF0720">
              <w:rPr>
                <w:rFonts w:cs="Arial"/>
                <w:b/>
                <w:bCs/>
              </w:rPr>
              <w:t xml:space="preserve">Тимолол </w:t>
            </w:r>
            <w:r w:rsidRPr="00AF0720">
              <w:rPr>
                <w:rFonts w:cs="Arial"/>
                <w:b/>
                <w:bCs/>
                <w:lang w:val="en-US"/>
              </w:rPr>
              <w:t>N-54</w:t>
            </w:r>
          </w:p>
        </w:tc>
      </w:tr>
      <w:tr w:rsidR="00AF0720" w14:paraId="02B4262D" w14:textId="77777777" w:rsidTr="00AF0720">
        <w:tc>
          <w:tcPr>
            <w:tcW w:w="3085" w:type="dxa"/>
          </w:tcPr>
          <w:p w14:paraId="5762E6BB" w14:textId="1F430A5E" w:rsidR="00AF0720" w:rsidRPr="00AF0720" w:rsidRDefault="00AF0720" w:rsidP="00AF0720">
            <w:pPr>
              <w:rPr>
                <w:rFonts w:cs="Arial"/>
              </w:rPr>
            </w:pPr>
            <w:r w:rsidRPr="00AF0720">
              <w:rPr>
                <w:rFonts w:cs="Arial"/>
              </w:rPr>
              <w:t>Средно изходно ниво (СГ) Промяна през Седмица 12 спрямо средното изходно ниво</w:t>
            </w:r>
            <w:r w:rsidRPr="00AF0720">
              <w:rPr>
                <w:rFonts w:cs="Arial"/>
                <w:vertAlign w:val="superscript"/>
              </w:rPr>
              <w:t>1</w:t>
            </w:r>
            <w:r w:rsidRPr="00AF0720">
              <w:rPr>
                <w:rFonts w:cs="Arial"/>
              </w:rPr>
              <w:t>(СГ) р-стойност спрямо тимолол</w:t>
            </w:r>
          </w:p>
        </w:tc>
        <w:tc>
          <w:tcPr>
            <w:tcW w:w="3969" w:type="dxa"/>
            <w:gridSpan w:val="2"/>
          </w:tcPr>
          <w:p w14:paraId="69F16A20" w14:textId="77777777" w:rsidR="00AF0720" w:rsidRPr="00AF0720" w:rsidRDefault="00AF0720" w:rsidP="00AF0720">
            <w:pPr>
              <w:rPr>
                <w:rFonts w:cs="Arial"/>
              </w:rPr>
            </w:pPr>
            <w:r w:rsidRPr="00AF0720">
              <w:rPr>
                <w:rFonts w:cs="Arial"/>
              </w:rPr>
              <w:t>27,3 (0,75)</w:t>
            </w:r>
          </w:p>
          <w:p w14:paraId="6D812D62" w14:textId="77777777" w:rsidR="00AF0720" w:rsidRPr="00AF0720" w:rsidRDefault="00AF0720" w:rsidP="00AF0720">
            <w:pPr>
              <w:rPr>
                <w:rFonts w:cs="Arial"/>
              </w:rPr>
            </w:pPr>
            <w:r w:rsidRPr="00AF0720">
              <w:rPr>
                <w:rFonts w:cs="Arial"/>
              </w:rPr>
              <w:t>-7,18(0,81)</w:t>
            </w:r>
          </w:p>
          <w:p w14:paraId="464CC2AF" w14:textId="0FB6E7B0" w:rsidR="00AF0720" w:rsidRPr="00AF0720" w:rsidRDefault="00AF0720" w:rsidP="00AF0720">
            <w:pPr>
              <w:rPr>
                <w:rFonts w:cs="Arial"/>
              </w:rPr>
            </w:pPr>
            <w:r w:rsidRPr="00AF0720">
              <w:rPr>
                <w:rFonts w:cs="Arial"/>
              </w:rPr>
              <w:t>0,2056</w:t>
            </w:r>
          </w:p>
        </w:tc>
        <w:tc>
          <w:tcPr>
            <w:tcW w:w="2522" w:type="dxa"/>
            <w:gridSpan w:val="2"/>
          </w:tcPr>
          <w:p w14:paraId="76E311BE" w14:textId="77777777" w:rsidR="00AF0720" w:rsidRPr="00AF0720" w:rsidRDefault="00AF0720" w:rsidP="00AF0720">
            <w:pPr>
              <w:rPr>
                <w:rFonts w:cs="Arial"/>
              </w:rPr>
            </w:pPr>
            <w:r w:rsidRPr="00AF0720">
              <w:rPr>
                <w:rFonts w:cs="Arial"/>
              </w:rPr>
              <w:t>27,8 (0,84)</w:t>
            </w:r>
          </w:p>
          <w:p w14:paraId="632E4FB1" w14:textId="002C98D1" w:rsidR="00AF0720" w:rsidRPr="00AF0720" w:rsidRDefault="00AF0720" w:rsidP="00AF0720">
            <w:pPr>
              <w:rPr>
                <w:rFonts w:cs="Arial"/>
              </w:rPr>
            </w:pPr>
            <w:r w:rsidRPr="00AF0720">
              <w:rPr>
                <w:rFonts w:cs="Arial"/>
              </w:rPr>
              <w:t>-5,72 (0,81)</w:t>
            </w:r>
          </w:p>
        </w:tc>
      </w:tr>
      <w:tr w:rsidR="00AF0720" w14:paraId="73C4FC3D" w14:textId="77777777" w:rsidTr="00AF0720">
        <w:tc>
          <w:tcPr>
            <w:tcW w:w="3085" w:type="dxa"/>
          </w:tcPr>
          <w:p w14:paraId="54293CE6" w14:textId="77777777" w:rsidR="00AF0720" w:rsidRPr="00AF0720" w:rsidRDefault="00AF0720" w:rsidP="00AF0720">
            <w:pPr>
              <w:rPr>
                <w:rFonts w:cs="Arial"/>
              </w:rPr>
            </w:pPr>
          </w:p>
        </w:tc>
        <w:tc>
          <w:tcPr>
            <w:tcW w:w="1985" w:type="dxa"/>
          </w:tcPr>
          <w:p w14:paraId="4D12385F" w14:textId="028F48B0" w:rsidR="00AF0720" w:rsidRPr="00AF0720" w:rsidRDefault="00AF0720" w:rsidP="00AF0720">
            <w:pPr>
              <w:rPr>
                <w:rFonts w:cs="Arial"/>
              </w:rPr>
            </w:pPr>
            <w:r w:rsidRPr="00AF0720">
              <w:rPr>
                <w:rFonts w:cs="Arial"/>
              </w:rPr>
              <w:t>пвг</w:t>
            </w:r>
          </w:p>
        </w:tc>
        <w:tc>
          <w:tcPr>
            <w:tcW w:w="1984" w:type="dxa"/>
          </w:tcPr>
          <w:p w14:paraId="4F0965CF" w14:textId="4DE4386A" w:rsidR="00AF0720" w:rsidRPr="00AF0720" w:rsidRDefault="00AF0720" w:rsidP="00AF0720">
            <w:pPr>
              <w:rPr>
                <w:rFonts w:cs="Arial"/>
              </w:rPr>
            </w:pPr>
            <w:r w:rsidRPr="00AF0720">
              <w:rPr>
                <w:rFonts w:cs="Arial"/>
                <w:b/>
                <w:bCs/>
              </w:rPr>
              <w:t>Не-ПВГ</w:t>
            </w:r>
          </w:p>
        </w:tc>
        <w:tc>
          <w:tcPr>
            <w:tcW w:w="1418" w:type="dxa"/>
          </w:tcPr>
          <w:p w14:paraId="3693931C" w14:textId="4755285B" w:rsidR="00AF0720" w:rsidRPr="00AF0720" w:rsidRDefault="00AF0720" w:rsidP="00AF0720">
            <w:pPr>
              <w:rPr>
                <w:rFonts w:cs="Arial"/>
              </w:rPr>
            </w:pPr>
            <w:r w:rsidRPr="00AF0720">
              <w:rPr>
                <w:rFonts w:cs="Arial"/>
                <w:b/>
                <w:bCs/>
              </w:rPr>
              <w:t>ПВГ</w:t>
            </w:r>
          </w:p>
        </w:tc>
        <w:tc>
          <w:tcPr>
            <w:tcW w:w="1104" w:type="dxa"/>
          </w:tcPr>
          <w:p w14:paraId="567F7C00" w14:textId="28FA007B" w:rsidR="00AF0720" w:rsidRPr="00AF0720" w:rsidRDefault="00AF0720" w:rsidP="00AF0720">
            <w:pPr>
              <w:rPr>
                <w:rFonts w:cs="Arial"/>
              </w:rPr>
            </w:pPr>
            <w:r w:rsidRPr="00AF0720">
              <w:rPr>
                <w:rFonts w:cs="Arial"/>
                <w:b/>
                <w:bCs/>
              </w:rPr>
              <w:t>Не-ПВГ</w:t>
            </w:r>
          </w:p>
        </w:tc>
      </w:tr>
      <w:tr w:rsidR="00AF0720" w14:paraId="795C6FCA" w14:textId="77777777" w:rsidTr="00AF0720">
        <w:tc>
          <w:tcPr>
            <w:tcW w:w="3085" w:type="dxa"/>
          </w:tcPr>
          <w:p w14:paraId="670DB41B" w14:textId="77777777" w:rsidR="00AF0720" w:rsidRPr="00AF0720" w:rsidRDefault="00AF0720" w:rsidP="00AF0720">
            <w:pPr>
              <w:rPr>
                <w:rFonts w:cs="Arial"/>
              </w:rPr>
            </w:pPr>
          </w:p>
        </w:tc>
        <w:tc>
          <w:tcPr>
            <w:tcW w:w="1985" w:type="dxa"/>
          </w:tcPr>
          <w:p w14:paraId="13C36B12" w14:textId="19F124DC" w:rsidR="00AF0720" w:rsidRPr="00AF0720" w:rsidRDefault="00AF0720" w:rsidP="00AF0720">
            <w:pPr>
              <w:rPr>
                <w:rFonts w:cs="Arial"/>
              </w:rPr>
            </w:pPr>
            <w:r w:rsidRPr="00AF0720">
              <w:rPr>
                <w:rFonts w:cs="Arial"/>
                <w:b/>
                <w:bCs/>
                <w:lang w:val="en-US"/>
              </w:rPr>
              <w:t>N=28</w:t>
            </w:r>
          </w:p>
        </w:tc>
        <w:tc>
          <w:tcPr>
            <w:tcW w:w="1984" w:type="dxa"/>
          </w:tcPr>
          <w:p w14:paraId="4AEF3D4C" w14:textId="531FCBE9" w:rsidR="00AF0720" w:rsidRPr="00AF0720" w:rsidRDefault="00AF0720" w:rsidP="00AF0720">
            <w:pPr>
              <w:rPr>
                <w:rFonts w:cs="Arial"/>
              </w:rPr>
            </w:pPr>
            <w:r w:rsidRPr="00AF0720">
              <w:rPr>
                <w:rFonts w:cs="Arial"/>
                <w:b/>
                <w:bCs/>
                <w:lang w:val="en-US"/>
              </w:rPr>
              <w:t>N=25</w:t>
            </w:r>
          </w:p>
        </w:tc>
        <w:tc>
          <w:tcPr>
            <w:tcW w:w="1418" w:type="dxa"/>
          </w:tcPr>
          <w:p w14:paraId="570F6972" w14:textId="1B26C9BC" w:rsidR="00AF0720" w:rsidRPr="00AF0720" w:rsidRDefault="00AF0720" w:rsidP="00AF0720">
            <w:pPr>
              <w:rPr>
                <w:rFonts w:cs="Arial"/>
              </w:rPr>
            </w:pPr>
            <w:r w:rsidRPr="00AF0720">
              <w:rPr>
                <w:rFonts w:cs="Arial"/>
                <w:b/>
                <w:bCs/>
                <w:lang w:val="en-US"/>
              </w:rPr>
              <w:t>N=26</w:t>
            </w:r>
          </w:p>
        </w:tc>
        <w:tc>
          <w:tcPr>
            <w:tcW w:w="1104" w:type="dxa"/>
          </w:tcPr>
          <w:p w14:paraId="054D1648" w14:textId="451935B3" w:rsidR="00AF0720" w:rsidRPr="00AF0720" w:rsidRDefault="00AF0720" w:rsidP="00AF0720">
            <w:pPr>
              <w:rPr>
                <w:rFonts w:cs="Arial"/>
              </w:rPr>
            </w:pPr>
            <w:r w:rsidRPr="00AF0720">
              <w:rPr>
                <w:rFonts w:cs="Arial"/>
                <w:b/>
                <w:bCs/>
                <w:lang w:val="en-US"/>
              </w:rPr>
              <w:t>N=28</w:t>
            </w:r>
          </w:p>
        </w:tc>
      </w:tr>
      <w:tr w:rsidR="00AF0720" w14:paraId="06AD0289" w14:textId="77777777" w:rsidTr="00AF0720">
        <w:tc>
          <w:tcPr>
            <w:tcW w:w="3085" w:type="dxa"/>
          </w:tcPr>
          <w:p w14:paraId="6A399BF4" w14:textId="732DFA74" w:rsidR="00AF0720" w:rsidRPr="00AF0720" w:rsidRDefault="00AF0720" w:rsidP="00AF0720">
            <w:pPr>
              <w:rPr>
                <w:rFonts w:cs="Arial"/>
              </w:rPr>
            </w:pPr>
            <w:r w:rsidRPr="00AF0720">
              <w:rPr>
                <w:rFonts w:cs="Arial"/>
              </w:rPr>
              <w:t>Средно изходно ниво (СГ) Промяна през Седмица 12 спрямо средното изходно ниво</w:t>
            </w:r>
            <w:r w:rsidRPr="00AF0720">
              <w:rPr>
                <w:rFonts w:cs="Arial"/>
                <w:vertAlign w:val="superscript"/>
              </w:rPr>
              <w:t>+</w:t>
            </w:r>
            <w:r w:rsidRPr="00AF0720">
              <w:rPr>
                <w:rFonts w:cs="Arial"/>
              </w:rPr>
              <w:t>(СГ) р-стойност спрямо тимолол</w:t>
            </w:r>
          </w:p>
        </w:tc>
        <w:tc>
          <w:tcPr>
            <w:tcW w:w="1985" w:type="dxa"/>
          </w:tcPr>
          <w:p w14:paraId="45EE1998" w14:textId="77777777" w:rsidR="00AF0720" w:rsidRPr="00AF0720" w:rsidRDefault="00AF0720" w:rsidP="00AF0720">
            <w:pPr>
              <w:rPr>
                <w:rFonts w:cs="Arial"/>
              </w:rPr>
            </w:pPr>
            <w:r w:rsidRPr="00AF0720">
              <w:rPr>
                <w:rFonts w:cs="Arial"/>
              </w:rPr>
              <w:t>26,5 (0,72)</w:t>
            </w:r>
          </w:p>
          <w:p w14:paraId="74F371BA" w14:textId="77777777" w:rsidR="00AF0720" w:rsidRPr="00AF0720" w:rsidRDefault="00AF0720" w:rsidP="00AF0720">
            <w:pPr>
              <w:rPr>
                <w:rFonts w:cs="Arial"/>
              </w:rPr>
            </w:pPr>
            <w:r w:rsidRPr="00AF0720">
              <w:rPr>
                <w:rFonts w:cs="Arial"/>
              </w:rPr>
              <w:t xml:space="preserve">-5,90 (0,98) </w:t>
            </w:r>
          </w:p>
          <w:p w14:paraId="3F20DE58" w14:textId="3A15E4B3" w:rsidR="00AF0720" w:rsidRPr="00AF0720" w:rsidRDefault="00AF0720" w:rsidP="00AF0720">
            <w:pPr>
              <w:rPr>
                <w:rFonts w:cs="Arial"/>
              </w:rPr>
            </w:pPr>
            <w:r w:rsidRPr="00AF0720">
              <w:rPr>
                <w:rFonts w:cs="Arial"/>
              </w:rPr>
              <w:t>0,6957</w:t>
            </w:r>
          </w:p>
        </w:tc>
        <w:tc>
          <w:tcPr>
            <w:tcW w:w="1984" w:type="dxa"/>
          </w:tcPr>
          <w:p w14:paraId="17FCB2BF" w14:textId="77777777" w:rsidR="00AF0720" w:rsidRPr="00AF0720" w:rsidRDefault="00AF0720" w:rsidP="00AF0720">
            <w:pPr>
              <w:rPr>
                <w:rFonts w:cs="Arial"/>
              </w:rPr>
            </w:pPr>
            <w:r w:rsidRPr="00AF0720">
              <w:rPr>
                <w:rFonts w:cs="Arial"/>
              </w:rPr>
              <w:t>28,2(1,37)</w:t>
            </w:r>
          </w:p>
          <w:p w14:paraId="673B1343" w14:textId="77777777" w:rsidR="00AF0720" w:rsidRPr="00AF0720" w:rsidRDefault="00AF0720" w:rsidP="00AF0720">
            <w:pPr>
              <w:rPr>
                <w:rFonts w:cs="Arial"/>
              </w:rPr>
            </w:pPr>
            <w:r w:rsidRPr="00AF0720">
              <w:rPr>
                <w:rFonts w:cs="Arial"/>
              </w:rPr>
              <w:t xml:space="preserve">-8,66(1,25) </w:t>
            </w:r>
          </w:p>
          <w:p w14:paraId="6AFEB5BA" w14:textId="3A5EF072" w:rsidR="00AF0720" w:rsidRPr="00AF0720" w:rsidRDefault="00AF0720" w:rsidP="00AF0720">
            <w:pPr>
              <w:rPr>
                <w:rFonts w:cs="Arial"/>
              </w:rPr>
            </w:pPr>
            <w:r w:rsidRPr="00AF0720">
              <w:rPr>
                <w:rFonts w:cs="Arial"/>
              </w:rPr>
              <w:t>0,1317</w:t>
            </w:r>
          </w:p>
        </w:tc>
        <w:tc>
          <w:tcPr>
            <w:tcW w:w="1418" w:type="dxa"/>
          </w:tcPr>
          <w:p w14:paraId="4E28BC37" w14:textId="77777777" w:rsidR="00AF0720" w:rsidRPr="00AF0720" w:rsidRDefault="00AF0720" w:rsidP="00AF0720">
            <w:pPr>
              <w:rPr>
                <w:rFonts w:cs="Arial"/>
              </w:rPr>
            </w:pPr>
            <w:r w:rsidRPr="00AF0720">
              <w:rPr>
                <w:rFonts w:cs="Arial"/>
              </w:rPr>
              <w:t>26,3(0,95)</w:t>
            </w:r>
          </w:p>
          <w:p w14:paraId="488E7FA7" w14:textId="0BC96B9E" w:rsidR="00AF0720" w:rsidRPr="00AF0720" w:rsidRDefault="00AF0720" w:rsidP="00AF0720">
            <w:pPr>
              <w:rPr>
                <w:rFonts w:cs="Arial"/>
              </w:rPr>
            </w:pPr>
            <w:r w:rsidRPr="00AF0720">
              <w:rPr>
                <w:rFonts w:cs="Arial"/>
              </w:rPr>
              <w:t>-5,34(1,02)</w:t>
            </w:r>
          </w:p>
        </w:tc>
        <w:tc>
          <w:tcPr>
            <w:tcW w:w="1104" w:type="dxa"/>
          </w:tcPr>
          <w:p w14:paraId="49323383" w14:textId="77777777" w:rsidR="00AF0720" w:rsidRPr="00AF0720" w:rsidRDefault="00AF0720" w:rsidP="00AF0720">
            <w:pPr>
              <w:rPr>
                <w:rFonts w:cs="Arial"/>
              </w:rPr>
            </w:pPr>
            <w:r w:rsidRPr="00AF0720">
              <w:rPr>
                <w:rFonts w:cs="Arial"/>
              </w:rPr>
              <w:t>29,1 (1,33)</w:t>
            </w:r>
          </w:p>
          <w:p w14:paraId="1DC416D7" w14:textId="25EEFB63" w:rsidR="00AF0720" w:rsidRPr="00AF0720" w:rsidRDefault="00AF0720" w:rsidP="00AF0720">
            <w:pPr>
              <w:rPr>
                <w:rFonts w:cs="Arial"/>
              </w:rPr>
            </w:pPr>
            <w:r w:rsidRPr="00AF0720">
              <w:rPr>
                <w:rFonts w:cs="Arial"/>
              </w:rPr>
              <w:t>-6,02 (1,18)</w:t>
            </w:r>
          </w:p>
        </w:tc>
      </w:tr>
      <w:tr w:rsidR="00AF0720" w14:paraId="00E5DB3C" w14:textId="77777777" w:rsidTr="00AF0720">
        <w:tc>
          <w:tcPr>
            <w:tcW w:w="3085" w:type="dxa"/>
          </w:tcPr>
          <w:p w14:paraId="3646FFBC" w14:textId="3BFB19CE" w:rsidR="00AF0720" w:rsidRPr="00AF0720" w:rsidRDefault="00AF0720" w:rsidP="00AF0720">
            <w:pPr>
              <w:rPr>
                <w:rFonts w:cs="Arial"/>
              </w:rPr>
            </w:pPr>
            <w:r w:rsidRPr="00AF0720">
              <w:rPr>
                <w:rFonts w:cs="Arial"/>
              </w:rPr>
              <w:t>СГ: стандартна грешка</w:t>
            </w:r>
          </w:p>
        </w:tc>
        <w:tc>
          <w:tcPr>
            <w:tcW w:w="1985" w:type="dxa"/>
          </w:tcPr>
          <w:p w14:paraId="5CCDB174" w14:textId="77777777" w:rsidR="00AF0720" w:rsidRPr="00AF0720" w:rsidRDefault="00AF0720" w:rsidP="00AF0720">
            <w:pPr>
              <w:rPr>
                <w:rFonts w:cs="Arial"/>
              </w:rPr>
            </w:pPr>
          </w:p>
        </w:tc>
        <w:tc>
          <w:tcPr>
            <w:tcW w:w="1984" w:type="dxa"/>
          </w:tcPr>
          <w:p w14:paraId="5A1D8708" w14:textId="77777777" w:rsidR="00AF0720" w:rsidRPr="00AF0720" w:rsidRDefault="00AF0720" w:rsidP="00AF0720">
            <w:pPr>
              <w:rPr>
                <w:rFonts w:cs="Arial"/>
              </w:rPr>
            </w:pPr>
          </w:p>
        </w:tc>
        <w:tc>
          <w:tcPr>
            <w:tcW w:w="1418" w:type="dxa"/>
          </w:tcPr>
          <w:p w14:paraId="39D21A38" w14:textId="77777777" w:rsidR="00AF0720" w:rsidRPr="00AF0720" w:rsidRDefault="00AF0720" w:rsidP="00AF0720">
            <w:pPr>
              <w:rPr>
                <w:rFonts w:cs="Arial"/>
              </w:rPr>
            </w:pPr>
          </w:p>
        </w:tc>
        <w:tc>
          <w:tcPr>
            <w:tcW w:w="1104" w:type="dxa"/>
          </w:tcPr>
          <w:p w14:paraId="4C44A7CA" w14:textId="77777777" w:rsidR="00AF0720" w:rsidRPr="00AF0720" w:rsidRDefault="00AF0720" w:rsidP="00AF0720">
            <w:pPr>
              <w:rPr>
                <w:rFonts w:cs="Arial"/>
              </w:rPr>
            </w:pPr>
          </w:p>
        </w:tc>
      </w:tr>
    </w:tbl>
    <w:p w14:paraId="05AE7BF4" w14:textId="4C3EF26D" w:rsidR="00AF0720" w:rsidRDefault="00AF0720" w:rsidP="00AF0720">
      <w:pPr>
        <w:rPr>
          <w:lang w:val="ru-RU"/>
        </w:rPr>
      </w:pPr>
      <w:r>
        <w:t xml:space="preserve">* Коригирана прогноза въз основа на модела за анализ на ковариация </w:t>
      </w:r>
      <w:r w:rsidRPr="00AF0720">
        <w:rPr>
          <w:lang w:val="ru-RU"/>
        </w:rPr>
        <w:t>(</w:t>
      </w:r>
      <w:r>
        <w:rPr>
          <w:lang w:val="en-US"/>
        </w:rPr>
        <w:t>ANCOVA</w:t>
      </w:r>
      <w:r w:rsidRPr="00AF0720">
        <w:rPr>
          <w:lang w:val="ru-RU"/>
        </w:rPr>
        <w:t>)</w:t>
      </w:r>
    </w:p>
    <w:p w14:paraId="25E71AA3" w14:textId="77777777" w:rsidR="00AF0720" w:rsidRPr="00AF0720" w:rsidRDefault="00AF0720" w:rsidP="00AF0720">
      <w:pPr>
        <w:rPr>
          <w:lang w:val="ru-RU"/>
        </w:rPr>
      </w:pPr>
    </w:p>
    <w:p w14:paraId="78DD93AA" w14:textId="22C9FAA9" w:rsidR="00B6672E" w:rsidRDefault="002C50EE" w:rsidP="00936AD0">
      <w:pPr>
        <w:pStyle w:val="Heading2"/>
      </w:pPr>
      <w:r>
        <w:t>5.2. Фармакокинетични свойства</w:t>
      </w:r>
    </w:p>
    <w:p w14:paraId="39A1E59C" w14:textId="12F25EB4" w:rsidR="00AF0720" w:rsidRDefault="00AF0720" w:rsidP="00AF0720"/>
    <w:p w14:paraId="74F6DF6A"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Латанопрост (молекулно тегло 432,58) е изопропилов естерен лекарствен прекурсор, който не е активен, но след хидролиза до киселина на латанопрост става биологично активен.</w:t>
      </w:r>
    </w:p>
    <w:p w14:paraId="3DE5EB68"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Лекарственият прекурсор се абсорбира добре през роговицата и цялото количество, което навлиза във вътреочната течност, се хидролизира при преминаването си през роговицата.</w:t>
      </w:r>
    </w:p>
    <w:p w14:paraId="453D5288" w14:textId="77777777" w:rsidR="00AF0720" w:rsidRPr="00AF0720" w:rsidRDefault="00AF0720" w:rsidP="00AF0720">
      <w:pPr>
        <w:spacing w:line="240" w:lineRule="auto"/>
        <w:rPr>
          <w:rFonts w:eastAsia="Times New Roman" w:cs="Arial"/>
          <w:color w:val="000000"/>
          <w:szCs w:val="20"/>
          <w:lang w:eastAsia="bg-BG"/>
        </w:rPr>
      </w:pPr>
    </w:p>
    <w:p w14:paraId="3884BF09" w14:textId="6D112174"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lastRenderedPageBreak/>
        <w:t>Изследванията при хора показват, че максимална концентрация във вътреочната течност се достига около два часа след локално приложение. След локално приложение при маймуни, латанопрост се разпределя основно в предния очен сегмент, конюнктивата и клепачите. Само</w:t>
      </w:r>
    </w:p>
    <w:p w14:paraId="7727C860" w14:textId="5C93FAC1" w:rsidR="00AF0720" w:rsidRPr="00AF0720" w:rsidRDefault="00AF0720" w:rsidP="00AF0720">
      <w:pPr>
        <w:rPr>
          <w:rFonts w:eastAsia="Times New Roman" w:cs="Arial"/>
          <w:color w:val="000000"/>
          <w:szCs w:val="20"/>
          <w:lang w:eastAsia="bg-BG"/>
        </w:rPr>
      </w:pPr>
      <w:r w:rsidRPr="00AF0720">
        <w:rPr>
          <w:rFonts w:eastAsia="Times New Roman" w:cs="Arial"/>
          <w:color w:val="000000"/>
          <w:szCs w:val="20"/>
          <w:lang w:eastAsia="bg-BG"/>
        </w:rPr>
        <w:t>минимални количества от лекарството достигат до задния очен сегмент.</w:t>
      </w:r>
    </w:p>
    <w:p w14:paraId="08E52688"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Практически киселината на латанопрост не се метаболизира в окото. Основният метаболизъм се осъществява в черния дроб. Плазменият полуживот при хората е 17 минути. Основните метаболити, 1,2-динор и 1,2,3,4-тетранор метаболити, нямат или имат съвсем слаба биологична активност при изпитвания върху животни и се екскретират основно чрез урината.</w:t>
      </w:r>
    </w:p>
    <w:p w14:paraId="328E61B4" w14:textId="77777777" w:rsidR="00AF0720" w:rsidRPr="00AF0720" w:rsidRDefault="00AF0720" w:rsidP="00AF0720">
      <w:pPr>
        <w:spacing w:line="240" w:lineRule="auto"/>
        <w:rPr>
          <w:rFonts w:eastAsia="Times New Roman" w:cs="Arial"/>
          <w:i/>
          <w:iCs/>
          <w:color w:val="000000"/>
          <w:szCs w:val="20"/>
          <w:lang w:eastAsia="bg-BG"/>
        </w:rPr>
      </w:pPr>
    </w:p>
    <w:p w14:paraId="5A03DFCF" w14:textId="68B994CD" w:rsidR="00AF0720" w:rsidRPr="00AF0720" w:rsidRDefault="00AF0720" w:rsidP="00AF0720">
      <w:pPr>
        <w:spacing w:line="240" w:lineRule="auto"/>
        <w:rPr>
          <w:rFonts w:eastAsia="Times New Roman" w:cs="Arial"/>
          <w:sz w:val="28"/>
          <w:szCs w:val="24"/>
        </w:rPr>
      </w:pPr>
      <w:r w:rsidRPr="00AF0720">
        <w:rPr>
          <w:rFonts w:eastAsia="Times New Roman" w:cs="Arial"/>
          <w:i/>
          <w:iCs/>
          <w:color w:val="000000"/>
          <w:szCs w:val="20"/>
          <w:lang w:eastAsia="bg-BG"/>
        </w:rPr>
        <w:t>Педиатрична популация</w:t>
      </w:r>
    </w:p>
    <w:p w14:paraId="61ADEF13"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Било е проведено отворено фармакокинетично проучване на плазмените концентрации на латанопрост киселина при 22 възрастни и 25 педиатрични пациенти (от раждането до &lt;18 години) с очна хипертензия и глаукома. Всички възрастови групи били лекувани с латанопрост 50 </w:t>
      </w:r>
      <w:r w:rsidRPr="00AF0720">
        <w:rPr>
          <w:rFonts w:eastAsia="Times New Roman" w:cs="Arial"/>
          <w:color w:val="000000"/>
          <w:szCs w:val="20"/>
          <w:lang w:val="en-US"/>
        </w:rPr>
        <w:t>mcg</w:t>
      </w:r>
      <w:r w:rsidRPr="00AF0720">
        <w:rPr>
          <w:rFonts w:eastAsia="Times New Roman" w:cs="Arial"/>
          <w:color w:val="000000"/>
          <w:szCs w:val="20"/>
          <w:lang w:val="ru-RU"/>
        </w:rPr>
        <w:t>/</w:t>
      </w:r>
      <w:r w:rsidRPr="00AF0720">
        <w:rPr>
          <w:rFonts w:eastAsia="Times New Roman" w:cs="Arial"/>
          <w:color w:val="000000"/>
          <w:szCs w:val="20"/>
          <w:lang w:val="en-US"/>
        </w:rPr>
        <w:t>ml</w:t>
      </w:r>
      <w:r w:rsidRPr="00AF0720">
        <w:rPr>
          <w:rFonts w:eastAsia="Times New Roman" w:cs="Arial"/>
          <w:color w:val="000000"/>
          <w:szCs w:val="20"/>
          <w:lang w:eastAsia="bg-BG"/>
        </w:rPr>
        <w:t xml:space="preserve">, една капка дневно във всяко око в продължение на най-малко 2 седмици. Системната експозиция на латанопрост киселина е била приблизително два пъти по-висока при 3 до &lt; 12 годишна възраст и 6 пъти по-висока при деца &lt;3 години в сравнение с възрастни, но се поддържа широка граница на безопасност на системни нежелани реакции (виж точка 4.9). Средното време за достигане на пикова плазмена концентрация е 5 минути след дозата във всички възрастови групи. Средният плазмен елиминационен полуживот е кратък (&lt;20 минути), подобен при педиатрични и възрастни пациенти, и не води до натрупване на латанопрост киселина в системното кръвообращение в </w:t>
      </w:r>
      <w:r w:rsidRPr="00AF0720">
        <w:rPr>
          <w:rFonts w:eastAsia="Times New Roman" w:cs="Arial"/>
          <w:i/>
          <w:iCs/>
          <w:color w:val="000000"/>
          <w:szCs w:val="20"/>
          <w:lang w:val="en-US"/>
        </w:rPr>
        <w:t>steady</w:t>
      </w:r>
      <w:r w:rsidRPr="00AF0720">
        <w:rPr>
          <w:rFonts w:eastAsia="Times New Roman" w:cs="Arial"/>
          <w:i/>
          <w:iCs/>
          <w:color w:val="000000"/>
          <w:szCs w:val="20"/>
          <w:lang w:val="ru-RU"/>
        </w:rPr>
        <w:t>-</w:t>
      </w:r>
      <w:r w:rsidRPr="00AF0720">
        <w:rPr>
          <w:rFonts w:eastAsia="Times New Roman" w:cs="Arial"/>
          <w:i/>
          <w:iCs/>
          <w:color w:val="000000"/>
          <w:szCs w:val="20"/>
          <w:lang w:val="en-US"/>
        </w:rPr>
        <w:t>state</w:t>
      </w:r>
      <w:r w:rsidRPr="00AF0720">
        <w:rPr>
          <w:rFonts w:eastAsia="Times New Roman" w:cs="Arial"/>
          <w:color w:val="000000"/>
          <w:szCs w:val="20"/>
          <w:lang w:val="ru-RU"/>
        </w:rPr>
        <w:t xml:space="preserve"> </w:t>
      </w:r>
      <w:r w:rsidRPr="00AF0720">
        <w:rPr>
          <w:rFonts w:eastAsia="Times New Roman" w:cs="Arial"/>
          <w:color w:val="000000"/>
          <w:szCs w:val="20"/>
          <w:lang w:eastAsia="bg-BG"/>
        </w:rPr>
        <w:t>състояние.</w:t>
      </w:r>
    </w:p>
    <w:p w14:paraId="3407A5AA" w14:textId="77777777" w:rsidR="00AF0720" w:rsidRPr="00AF0720" w:rsidRDefault="00AF0720" w:rsidP="00AF0720"/>
    <w:p w14:paraId="4FB791BE" w14:textId="299C56D9" w:rsidR="00B6672E" w:rsidRDefault="002C50EE" w:rsidP="00936AD0">
      <w:pPr>
        <w:pStyle w:val="Heading2"/>
      </w:pPr>
      <w:r>
        <w:t>5.3. Предклинични данни за безопасност</w:t>
      </w:r>
    </w:p>
    <w:p w14:paraId="6DBC8D88" w14:textId="758E9E47" w:rsidR="00AF0720" w:rsidRDefault="00AF0720" w:rsidP="00AF0720"/>
    <w:p w14:paraId="5AA30214"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Както очната така и системната токсичност на латанопрост е изследвана при няколко животински вида. Като цяло латанопрост се понася добре, с граница на безопасност с разлика най-малко 1000 пъти между клинично прилаганата в окото доза и системната тосксичност. Високи дози латанопрост, приблизително 100 пъти клиничната доза</w:t>
      </w:r>
      <w:r w:rsidRPr="00AF0720">
        <w:rPr>
          <w:rFonts w:eastAsia="Times New Roman" w:cs="Arial"/>
          <w:color w:val="000000"/>
          <w:szCs w:val="20"/>
          <w:lang w:val="ru-RU"/>
        </w:rPr>
        <w:t>/</w:t>
      </w:r>
      <w:r w:rsidRPr="00AF0720">
        <w:rPr>
          <w:rFonts w:eastAsia="Times New Roman" w:cs="Arial"/>
          <w:color w:val="000000"/>
          <w:szCs w:val="20"/>
          <w:lang w:val="en-US"/>
        </w:rPr>
        <w:t>kg</w:t>
      </w:r>
      <w:r w:rsidRPr="00AF0720">
        <w:rPr>
          <w:rFonts w:eastAsia="Times New Roman" w:cs="Arial"/>
          <w:color w:val="000000"/>
          <w:szCs w:val="20"/>
          <w:lang w:val="ru-RU"/>
        </w:rPr>
        <w:t xml:space="preserve"> </w:t>
      </w:r>
      <w:r w:rsidRPr="00AF0720">
        <w:rPr>
          <w:rFonts w:eastAsia="Times New Roman" w:cs="Arial"/>
          <w:color w:val="000000"/>
          <w:szCs w:val="20"/>
          <w:lang w:eastAsia="bg-BG"/>
        </w:rPr>
        <w:t>телесно тегло, прилагани интравенозно ма маймуни без анестезия са довели до учествяване на дишането, вероятно в резултат на краткотрайна бронхоконстрикция. При проучвания върху животни латанопрост не е показал сенсибилизиращи свойства.</w:t>
      </w:r>
    </w:p>
    <w:p w14:paraId="1430D959" w14:textId="77777777" w:rsidR="00AF0720" w:rsidRPr="00AF0720" w:rsidRDefault="00AF0720" w:rsidP="00AF0720">
      <w:pPr>
        <w:spacing w:line="240" w:lineRule="auto"/>
        <w:rPr>
          <w:rFonts w:eastAsia="Times New Roman" w:cs="Arial"/>
          <w:color w:val="000000"/>
          <w:szCs w:val="20"/>
          <w:lang w:eastAsia="bg-BG"/>
        </w:rPr>
      </w:pPr>
    </w:p>
    <w:p w14:paraId="3A9391D5" w14:textId="16E617EF"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При зайци или маймуни не са наблюдавани токсични ефекти в очите при дози до 100 μ</w:t>
      </w:r>
      <w:r w:rsidRPr="00AF0720">
        <w:rPr>
          <w:rFonts w:eastAsia="Times New Roman" w:cs="Arial"/>
          <w:color w:val="000000"/>
          <w:szCs w:val="20"/>
          <w:lang w:val="en-US"/>
        </w:rPr>
        <w:t>g</w:t>
      </w:r>
      <w:r w:rsidRPr="00AF0720">
        <w:rPr>
          <w:rFonts w:eastAsia="Times New Roman" w:cs="Arial"/>
          <w:color w:val="000000"/>
          <w:szCs w:val="20"/>
          <w:lang w:val="ru-RU"/>
        </w:rPr>
        <w:t xml:space="preserve"> </w:t>
      </w:r>
      <w:r w:rsidRPr="00AF0720">
        <w:rPr>
          <w:rFonts w:eastAsia="Times New Roman" w:cs="Arial"/>
          <w:color w:val="000000"/>
          <w:szCs w:val="20"/>
          <w:lang w:eastAsia="bg-BG"/>
        </w:rPr>
        <w:t>/око/ден (клиничната доза е приблизително 1,5 μ</w:t>
      </w:r>
      <w:r w:rsidRPr="00AF0720">
        <w:rPr>
          <w:rFonts w:eastAsia="Times New Roman" w:cs="Arial"/>
          <w:color w:val="000000"/>
          <w:szCs w:val="20"/>
          <w:lang w:val="en-US"/>
        </w:rPr>
        <w:t>g</w:t>
      </w:r>
      <w:r w:rsidRPr="00AF0720">
        <w:rPr>
          <w:rFonts w:eastAsia="Times New Roman" w:cs="Arial"/>
          <w:color w:val="000000"/>
          <w:szCs w:val="20"/>
          <w:lang w:eastAsia="bg-BG"/>
        </w:rPr>
        <w:t>/око/ден). При маймуни обаче, латанопрост индуцира увеличена пигментация на ириса.</w:t>
      </w:r>
    </w:p>
    <w:p w14:paraId="21A4D706" w14:textId="77777777" w:rsidR="00AF0720" w:rsidRPr="00AF0720" w:rsidRDefault="00AF0720" w:rsidP="00AF0720">
      <w:pPr>
        <w:spacing w:line="240" w:lineRule="auto"/>
        <w:rPr>
          <w:rFonts w:eastAsia="Times New Roman" w:cs="Arial"/>
          <w:color w:val="000000"/>
          <w:szCs w:val="20"/>
          <w:lang w:eastAsia="bg-BG"/>
        </w:rPr>
      </w:pPr>
    </w:p>
    <w:p w14:paraId="4A4E66AE" w14:textId="310ED8ED"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Механизмът на повишена пигментация изглежда се състои в стимулиране образуването на меланин в меланоцитите на ириса без да се наблюдават пролиферативни промени. Промяната в цвета на ириса може да бъде постоянна.</w:t>
      </w:r>
    </w:p>
    <w:p w14:paraId="7F3FB5B9" w14:textId="77777777" w:rsidR="00AF0720" w:rsidRPr="00AF0720" w:rsidRDefault="00AF0720" w:rsidP="00AF0720">
      <w:pPr>
        <w:spacing w:line="240" w:lineRule="auto"/>
        <w:rPr>
          <w:rFonts w:eastAsia="Times New Roman" w:cs="Arial"/>
          <w:color w:val="000000"/>
          <w:szCs w:val="20"/>
          <w:lang w:eastAsia="bg-BG"/>
        </w:rPr>
      </w:pPr>
    </w:p>
    <w:p w14:paraId="3CC5F3EF" w14:textId="4BD9D7FC"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Проучвания за хронична очна токсичност показват, че прилагането на латанопрост в доза 6 μ</w:t>
      </w:r>
      <w:r w:rsidRPr="00AF0720">
        <w:rPr>
          <w:rFonts w:eastAsia="Times New Roman" w:cs="Arial"/>
          <w:color w:val="000000"/>
          <w:szCs w:val="20"/>
          <w:lang w:val="en-US"/>
        </w:rPr>
        <w:t>g</w:t>
      </w:r>
      <w:r w:rsidRPr="00AF0720">
        <w:rPr>
          <w:rFonts w:eastAsia="Times New Roman" w:cs="Arial"/>
          <w:color w:val="000000"/>
          <w:szCs w:val="20"/>
          <w:lang w:val="ru-RU"/>
        </w:rPr>
        <w:t xml:space="preserve"> </w:t>
      </w:r>
      <w:r w:rsidRPr="00AF0720">
        <w:rPr>
          <w:rFonts w:eastAsia="Times New Roman" w:cs="Arial"/>
          <w:color w:val="000000"/>
          <w:szCs w:val="20"/>
          <w:lang w:eastAsia="bg-BG"/>
        </w:rPr>
        <w:t>/око/ден индуцира увеличаване на палпебралната фисура. Този ефект е обратим и се проявява при дози надвишаващи клиничната доза. Ефектът не е наблюдаван при хора.</w:t>
      </w:r>
    </w:p>
    <w:p w14:paraId="00154A8E" w14:textId="77777777" w:rsidR="00AF0720" w:rsidRPr="00AF0720" w:rsidRDefault="00AF0720" w:rsidP="00AF0720">
      <w:pPr>
        <w:spacing w:line="240" w:lineRule="auto"/>
        <w:rPr>
          <w:rFonts w:eastAsia="Times New Roman" w:cs="Arial"/>
          <w:color w:val="000000"/>
          <w:szCs w:val="20"/>
          <w:lang w:eastAsia="bg-BG"/>
        </w:rPr>
      </w:pPr>
    </w:p>
    <w:p w14:paraId="112BDFAF" w14:textId="4A2B7431"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Латанопрост е показал отрицателни резултати при тестове за обратима мутация при бактерии, генна мутация при миши лимфом и миши микронуклеарен тест. Хромозомни аберации са наблюдавани </w:t>
      </w:r>
      <w:r w:rsidRPr="00AF0720">
        <w:rPr>
          <w:rFonts w:eastAsia="Times New Roman" w:cs="Arial"/>
          <w:i/>
          <w:iCs/>
          <w:color w:val="000000"/>
          <w:szCs w:val="20"/>
          <w:lang w:val="en-US"/>
        </w:rPr>
        <w:t>in</w:t>
      </w:r>
      <w:r w:rsidRPr="00AF0720">
        <w:rPr>
          <w:rFonts w:eastAsia="Times New Roman" w:cs="Arial"/>
          <w:i/>
          <w:iCs/>
          <w:color w:val="000000"/>
          <w:szCs w:val="20"/>
          <w:lang w:val="ru-RU"/>
        </w:rPr>
        <w:t xml:space="preserve"> </w:t>
      </w:r>
      <w:r w:rsidRPr="00AF0720">
        <w:rPr>
          <w:rFonts w:eastAsia="Times New Roman" w:cs="Arial"/>
          <w:i/>
          <w:iCs/>
          <w:color w:val="000000"/>
          <w:szCs w:val="20"/>
          <w:lang w:val="en-US"/>
        </w:rPr>
        <w:t>vitro</w:t>
      </w:r>
      <w:r w:rsidRPr="00AF0720">
        <w:rPr>
          <w:rFonts w:eastAsia="Times New Roman" w:cs="Arial"/>
          <w:color w:val="000000"/>
          <w:szCs w:val="20"/>
          <w:lang w:val="ru-RU"/>
        </w:rPr>
        <w:t xml:space="preserve"> </w:t>
      </w:r>
      <w:r w:rsidRPr="00AF0720">
        <w:rPr>
          <w:rFonts w:eastAsia="Times New Roman" w:cs="Arial"/>
          <w:color w:val="000000"/>
          <w:szCs w:val="20"/>
          <w:lang w:eastAsia="bg-BG"/>
        </w:rPr>
        <w:t xml:space="preserve">в човешки лимфоцити. Подобни ефекти са </w:t>
      </w:r>
      <w:r w:rsidRPr="00AF0720">
        <w:rPr>
          <w:rFonts w:eastAsia="Times New Roman" w:cs="Arial"/>
          <w:color w:val="000000"/>
          <w:szCs w:val="20"/>
          <w:lang w:eastAsia="bg-BG"/>
        </w:rPr>
        <w:lastRenderedPageBreak/>
        <w:t xml:space="preserve">наблюдавани при простагландин </w:t>
      </w:r>
      <w:r w:rsidRPr="00AF0720">
        <w:rPr>
          <w:rFonts w:eastAsia="Times New Roman" w:cs="Arial"/>
          <w:color w:val="000000"/>
          <w:szCs w:val="20"/>
          <w:lang w:val="en-US"/>
        </w:rPr>
        <w:t>F</w:t>
      </w:r>
      <w:r w:rsidRPr="00AF0720">
        <w:rPr>
          <w:rFonts w:eastAsia="Times New Roman" w:cs="Arial"/>
          <w:color w:val="000000"/>
          <w:szCs w:val="20"/>
          <w:vertAlign w:val="subscript"/>
          <w:lang w:val="ru-RU"/>
        </w:rPr>
        <w:t>2</w:t>
      </w:r>
      <w:r w:rsidRPr="00AF0720">
        <w:rPr>
          <w:rFonts w:eastAsia="Times New Roman" w:cs="Arial"/>
          <w:color w:val="000000"/>
          <w:szCs w:val="20"/>
          <w:vertAlign w:val="subscript"/>
          <w:lang w:eastAsia="bg-BG"/>
        </w:rPr>
        <w:t>а</w:t>
      </w:r>
      <w:r w:rsidRPr="00AF0720">
        <w:rPr>
          <w:rFonts w:eastAsia="Times New Roman" w:cs="Arial"/>
          <w:color w:val="000000"/>
          <w:szCs w:val="20"/>
          <w:lang w:val="ru-RU"/>
        </w:rPr>
        <w:t xml:space="preserve">, </w:t>
      </w:r>
      <w:r w:rsidRPr="00AF0720">
        <w:rPr>
          <w:rFonts w:eastAsia="Times New Roman" w:cs="Arial"/>
          <w:color w:val="000000"/>
          <w:szCs w:val="20"/>
          <w:lang w:eastAsia="bg-BG"/>
        </w:rPr>
        <w:t>естествен простагландин, което показва, че това е ефект, характерен за този клас.</w:t>
      </w:r>
    </w:p>
    <w:p w14:paraId="7F75A6D2" w14:textId="77777777" w:rsidR="00AF0720" w:rsidRPr="00AF0720" w:rsidRDefault="00AF0720" w:rsidP="00AF0720">
      <w:pPr>
        <w:spacing w:line="240" w:lineRule="auto"/>
        <w:rPr>
          <w:rFonts w:eastAsia="Times New Roman" w:cs="Arial"/>
          <w:color w:val="000000"/>
          <w:szCs w:val="20"/>
          <w:lang w:eastAsia="bg-BG"/>
        </w:rPr>
      </w:pPr>
    </w:p>
    <w:p w14:paraId="5B30F777" w14:textId="4BD9D964"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 xml:space="preserve">Допълнителни изпитвания за мутагенност с непланиран синтез на ДНК </w:t>
      </w:r>
      <w:r w:rsidRPr="00AF0720">
        <w:rPr>
          <w:rFonts w:eastAsia="Times New Roman" w:cs="Arial"/>
          <w:i/>
          <w:iCs/>
          <w:color w:val="000000"/>
          <w:szCs w:val="20"/>
          <w:lang w:val="en-US"/>
        </w:rPr>
        <w:t>in</w:t>
      </w:r>
      <w:r w:rsidRPr="00AF0720">
        <w:rPr>
          <w:rFonts w:eastAsia="Times New Roman" w:cs="Arial"/>
          <w:i/>
          <w:iCs/>
          <w:color w:val="000000"/>
          <w:szCs w:val="20"/>
          <w:lang w:val="ru-RU"/>
        </w:rPr>
        <w:t xml:space="preserve"> </w:t>
      </w:r>
      <w:r w:rsidRPr="00AF0720">
        <w:rPr>
          <w:rFonts w:eastAsia="Times New Roman" w:cs="Arial"/>
          <w:i/>
          <w:iCs/>
          <w:color w:val="000000"/>
          <w:szCs w:val="20"/>
          <w:lang w:val="en-US"/>
        </w:rPr>
        <w:t>vitro</w:t>
      </w:r>
      <w:r w:rsidRPr="00AF0720">
        <w:rPr>
          <w:rFonts w:eastAsia="Times New Roman" w:cs="Arial"/>
          <w:i/>
          <w:iCs/>
          <w:color w:val="000000"/>
          <w:szCs w:val="20"/>
          <w:lang w:val="ru-RU"/>
        </w:rPr>
        <w:t>/</w:t>
      </w:r>
      <w:r w:rsidRPr="00AF0720">
        <w:rPr>
          <w:rFonts w:eastAsia="Times New Roman" w:cs="Arial"/>
          <w:i/>
          <w:iCs/>
          <w:color w:val="000000"/>
          <w:szCs w:val="20"/>
          <w:lang w:val="en-US"/>
        </w:rPr>
        <w:t>in</w:t>
      </w:r>
      <w:r w:rsidRPr="00AF0720">
        <w:rPr>
          <w:rFonts w:eastAsia="Times New Roman" w:cs="Arial"/>
          <w:i/>
          <w:iCs/>
          <w:color w:val="000000"/>
          <w:szCs w:val="20"/>
          <w:lang w:val="ru-RU"/>
        </w:rPr>
        <w:t xml:space="preserve"> </w:t>
      </w:r>
      <w:r w:rsidRPr="00AF0720">
        <w:rPr>
          <w:rFonts w:eastAsia="Times New Roman" w:cs="Arial"/>
          <w:i/>
          <w:iCs/>
          <w:color w:val="000000"/>
          <w:szCs w:val="20"/>
          <w:lang w:val="en-US"/>
        </w:rPr>
        <w:t>vivo</w:t>
      </w:r>
      <w:r w:rsidRPr="00AF0720">
        <w:rPr>
          <w:rFonts w:eastAsia="Times New Roman" w:cs="Arial"/>
          <w:color w:val="000000"/>
          <w:szCs w:val="20"/>
          <w:lang w:val="ru-RU"/>
        </w:rPr>
        <w:t xml:space="preserve"> </w:t>
      </w:r>
      <w:r w:rsidRPr="00AF0720">
        <w:rPr>
          <w:rFonts w:eastAsia="Times New Roman" w:cs="Arial"/>
          <w:color w:val="000000"/>
          <w:szCs w:val="20"/>
          <w:lang w:eastAsia="bg-BG"/>
        </w:rPr>
        <w:t>при плъхове са дали отрицателни резултати и показват, че латанопрост няма мутагенен потенциал.</w:t>
      </w:r>
    </w:p>
    <w:p w14:paraId="00928798"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Изпитванията за канцерогенност при мишки и плъхове са отрицателни.</w:t>
      </w:r>
    </w:p>
    <w:p w14:paraId="5AC2DB97" w14:textId="77777777" w:rsidR="00AF0720" w:rsidRPr="00AF0720" w:rsidRDefault="00AF0720" w:rsidP="00AF0720">
      <w:pPr>
        <w:rPr>
          <w:rFonts w:eastAsia="Times New Roman" w:cs="Arial"/>
          <w:color w:val="000000"/>
          <w:szCs w:val="20"/>
          <w:lang w:eastAsia="bg-BG"/>
        </w:rPr>
      </w:pPr>
    </w:p>
    <w:p w14:paraId="7B5AFE01" w14:textId="006F0787" w:rsidR="00AF0720" w:rsidRPr="00AF0720" w:rsidRDefault="00AF0720" w:rsidP="00AF0720">
      <w:pPr>
        <w:rPr>
          <w:rFonts w:eastAsia="Times New Roman" w:cs="Arial"/>
          <w:color w:val="000000"/>
          <w:szCs w:val="20"/>
          <w:lang w:eastAsia="bg-BG"/>
        </w:rPr>
      </w:pPr>
      <w:r w:rsidRPr="00AF0720">
        <w:rPr>
          <w:rFonts w:eastAsia="Times New Roman" w:cs="Arial"/>
          <w:color w:val="000000"/>
          <w:szCs w:val="20"/>
          <w:lang w:eastAsia="bg-BG"/>
        </w:rPr>
        <w:t>Не е установено латанопрост да има ефект върху мъжката или женската фертилност при изпитвания върху животни. При проучване на ембриотоксичност при плъхове, не е наблюдавана ембриотоксичност при интравенозни дози (5, 50 и 250 μ</w:t>
      </w:r>
      <w:r w:rsidRPr="00AF0720">
        <w:rPr>
          <w:rFonts w:eastAsia="Times New Roman" w:cs="Arial"/>
          <w:color w:val="000000"/>
          <w:szCs w:val="20"/>
          <w:lang w:val="en-US"/>
        </w:rPr>
        <w:t>g</w:t>
      </w:r>
      <w:r w:rsidRPr="00AF0720">
        <w:rPr>
          <w:rFonts w:eastAsia="Times New Roman" w:cs="Arial"/>
          <w:color w:val="000000"/>
          <w:szCs w:val="20"/>
          <w:lang w:val="ru-RU"/>
        </w:rPr>
        <w:t>/</w:t>
      </w:r>
      <w:r w:rsidRPr="00AF0720">
        <w:rPr>
          <w:rFonts w:eastAsia="Times New Roman" w:cs="Arial"/>
          <w:color w:val="000000"/>
          <w:szCs w:val="20"/>
          <w:lang w:val="en-US"/>
        </w:rPr>
        <w:t>kg</w:t>
      </w:r>
      <w:r w:rsidRPr="00AF0720">
        <w:rPr>
          <w:rFonts w:eastAsia="Times New Roman" w:cs="Arial"/>
          <w:color w:val="000000"/>
          <w:szCs w:val="20"/>
          <w:lang w:eastAsia="bg-BG"/>
        </w:rPr>
        <w:t>/ден) латанопрост. Все пак латанопрост индуцира ембриолетални ефекти при зайци при дози от 5 μ</w:t>
      </w:r>
      <w:r w:rsidRPr="00AF0720">
        <w:rPr>
          <w:rFonts w:eastAsia="Times New Roman" w:cs="Arial"/>
          <w:color w:val="000000"/>
          <w:szCs w:val="20"/>
          <w:lang w:val="en-US"/>
        </w:rPr>
        <w:t>g</w:t>
      </w:r>
      <w:r w:rsidRPr="00AF0720">
        <w:rPr>
          <w:rFonts w:eastAsia="Times New Roman" w:cs="Arial"/>
          <w:color w:val="000000"/>
          <w:szCs w:val="20"/>
          <w:lang w:val="ru-RU"/>
        </w:rPr>
        <w:t>/</w:t>
      </w:r>
      <w:r w:rsidRPr="00AF0720">
        <w:rPr>
          <w:rFonts w:eastAsia="Times New Roman" w:cs="Arial"/>
          <w:color w:val="000000"/>
          <w:szCs w:val="20"/>
          <w:lang w:val="en-US"/>
        </w:rPr>
        <w:t>kg</w:t>
      </w:r>
      <w:r w:rsidRPr="00AF0720">
        <w:rPr>
          <w:rFonts w:eastAsia="Times New Roman" w:cs="Arial"/>
          <w:color w:val="000000"/>
          <w:szCs w:val="20"/>
          <w:lang w:val="ru-RU"/>
        </w:rPr>
        <w:t>/</w:t>
      </w:r>
      <w:r w:rsidRPr="00AF0720">
        <w:rPr>
          <w:rFonts w:eastAsia="Times New Roman" w:cs="Arial"/>
          <w:color w:val="000000"/>
          <w:szCs w:val="20"/>
          <w:lang w:eastAsia="bg-BG"/>
        </w:rPr>
        <w:t>ден и по-високи.</w:t>
      </w:r>
    </w:p>
    <w:p w14:paraId="3E806716" w14:textId="5EFF94CD" w:rsidR="00AF0720" w:rsidRPr="00AF0720" w:rsidRDefault="00AF0720" w:rsidP="00AF0720">
      <w:pPr>
        <w:rPr>
          <w:rFonts w:eastAsia="Times New Roman" w:cs="Arial"/>
          <w:color w:val="000000"/>
          <w:szCs w:val="20"/>
          <w:lang w:eastAsia="bg-BG"/>
        </w:rPr>
      </w:pPr>
    </w:p>
    <w:p w14:paraId="3B067E7E" w14:textId="77777777"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Доза от 5 μ</w:t>
      </w:r>
      <w:r w:rsidRPr="00AF0720">
        <w:rPr>
          <w:rFonts w:eastAsia="Times New Roman" w:cs="Arial"/>
          <w:color w:val="000000"/>
          <w:szCs w:val="20"/>
          <w:lang w:val="en-US"/>
        </w:rPr>
        <w:t>g</w:t>
      </w:r>
      <w:r w:rsidRPr="00AF0720">
        <w:rPr>
          <w:rFonts w:eastAsia="Times New Roman" w:cs="Arial"/>
          <w:color w:val="000000"/>
          <w:szCs w:val="20"/>
          <w:lang w:val="ru-RU"/>
        </w:rPr>
        <w:t>/</w:t>
      </w:r>
      <w:r w:rsidRPr="00AF0720">
        <w:rPr>
          <w:rFonts w:eastAsia="Times New Roman" w:cs="Arial"/>
          <w:color w:val="000000"/>
          <w:szCs w:val="20"/>
          <w:lang w:val="en-US"/>
        </w:rPr>
        <w:t>kg</w:t>
      </w:r>
      <w:r w:rsidRPr="00AF0720">
        <w:rPr>
          <w:rFonts w:eastAsia="Times New Roman" w:cs="Arial"/>
          <w:color w:val="000000"/>
          <w:szCs w:val="20"/>
          <w:lang w:eastAsia="bg-BG"/>
        </w:rPr>
        <w:t>/ден (приблизително 100 пъти клиничната доза) води до значима ембриофетална токсичност, която се характеризира с повишена честота на късна резорбция и аборт, както и с намалено тегло на плода.</w:t>
      </w:r>
    </w:p>
    <w:p w14:paraId="7E8039CA" w14:textId="77777777" w:rsidR="00AF0720" w:rsidRPr="00AF0720" w:rsidRDefault="00AF0720" w:rsidP="00AF0720">
      <w:pPr>
        <w:spacing w:line="240" w:lineRule="auto"/>
        <w:rPr>
          <w:rFonts w:eastAsia="Times New Roman" w:cs="Arial"/>
          <w:color w:val="000000"/>
          <w:szCs w:val="20"/>
          <w:lang w:eastAsia="bg-BG"/>
        </w:rPr>
      </w:pPr>
    </w:p>
    <w:p w14:paraId="305892A3" w14:textId="49B34C3A" w:rsidR="00AF0720" w:rsidRPr="00AF0720" w:rsidRDefault="00AF0720" w:rsidP="00AF0720">
      <w:pPr>
        <w:spacing w:line="240" w:lineRule="auto"/>
        <w:rPr>
          <w:rFonts w:eastAsia="Times New Roman" w:cs="Arial"/>
          <w:sz w:val="28"/>
          <w:szCs w:val="24"/>
        </w:rPr>
      </w:pPr>
      <w:r w:rsidRPr="00AF0720">
        <w:rPr>
          <w:rFonts w:eastAsia="Times New Roman" w:cs="Arial"/>
          <w:color w:val="000000"/>
          <w:szCs w:val="20"/>
          <w:lang w:eastAsia="bg-BG"/>
        </w:rPr>
        <w:t>Не е установен тератогенен потенциал.</w:t>
      </w:r>
    </w:p>
    <w:p w14:paraId="1BA6531D" w14:textId="2A43B8FE" w:rsidR="00B6672E" w:rsidRDefault="002C50EE" w:rsidP="00936AD0">
      <w:pPr>
        <w:pStyle w:val="Heading1"/>
      </w:pPr>
      <w:r>
        <w:t>7. ПРИТЕЖАТЕЛ НА РАЗРЕШЕНИЕТО ЗА УПОТРЕБА</w:t>
      </w:r>
    </w:p>
    <w:p w14:paraId="031CA6B1" w14:textId="7D339389" w:rsidR="00AF0720" w:rsidRDefault="00AF0720" w:rsidP="00AF0720"/>
    <w:p w14:paraId="681C122B" w14:textId="77777777" w:rsidR="00AF0720" w:rsidRDefault="00AF0720" w:rsidP="00AF0720">
      <w:pPr>
        <w:rPr>
          <w:lang w:val="en-US"/>
        </w:rPr>
      </w:pPr>
      <w:r w:rsidRPr="00AF0720">
        <w:rPr>
          <w:lang w:val="en-US"/>
        </w:rPr>
        <w:t xml:space="preserve">Bausch Health Ireland Limited </w:t>
      </w:r>
    </w:p>
    <w:p w14:paraId="2106BA78" w14:textId="455BA6D5" w:rsidR="00AF0720" w:rsidRPr="00AF0720" w:rsidRDefault="00AF0720" w:rsidP="00AF0720">
      <w:pPr>
        <w:rPr>
          <w:sz w:val="24"/>
          <w:szCs w:val="24"/>
          <w:lang w:val="en-US"/>
        </w:rPr>
      </w:pPr>
      <w:r w:rsidRPr="00AF0720">
        <w:rPr>
          <w:lang w:val="en-US"/>
        </w:rPr>
        <w:t>3013 Lake Drive</w:t>
      </w:r>
    </w:p>
    <w:p w14:paraId="1A2C433F" w14:textId="77777777" w:rsidR="00AF0720" w:rsidRPr="00AF0720" w:rsidRDefault="00AF0720" w:rsidP="00AF0720">
      <w:pPr>
        <w:rPr>
          <w:sz w:val="24"/>
          <w:szCs w:val="24"/>
          <w:lang w:val="ru-RU"/>
        </w:rPr>
      </w:pPr>
      <w:proofErr w:type="spellStart"/>
      <w:r w:rsidRPr="00AF0720">
        <w:rPr>
          <w:lang w:val="en-US"/>
        </w:rPr>
        <w:t>Citywest</w:t>
      </w:r>
      <w:proofErr w:type="spellEnd"/>
      <w:r w:rsidRPr="00AF0720">
        <w:rPr>
          <w:lang w:val="ru-RU"/>
        </w:rPr>
        <w:t xml:space="preserve"> </w:t>
      </w:r>
      <w:r w:rsidRPr="00AF0720">
        <w:rPr>
          <w:lang w:val="en-US"/>
        </w:rPr>
        <w:t>Business</w:t>
      </w:r>
      <w:r w:rsidRPr="00AF0720">
        <w:rPr>
          <w:lang w:val="ru-RU"/>
        </w:rPr>
        <w:t xml:space="preserve"> </w:t>
      </w:r>
      <w:r w:rsidRPr="00AF0720">
        <w:rPr>
          <w:lang w:val="en-US"/>
        </w:rPr>
        <w:t>Campus</w:t>
      </w:r>
    </w:p>
    <w:p w14:paraId="2F1C7D76" w14:textId="77777777" w:rsidR="00AF0720" w:rsidRPr="00AF0720" w:rsidRDefault="00AF0720" w:rsidP="00AF0720">
      <w:pPr>
        <w:rPr>
          <w:sz w:val="24"/>
          <w:szCs w:val="24"/>
          <w:lang w:val="ru-RU"/>
        </w:rPr>
      </w:pPr>
      <w:r w:rsidRPr="00AF0720">
        <w:rPr>
          <w:lang w:val="en-US"/>
        </w:rPr>
        <w:t>Dublin</w:t>
      </w:r>
      <w:r w:rsidRPr="00AF0720">
        <w:rPr>
          <w:lang w:val="ru-RU"/>
        </w:rPr>
        <w:t xml:space="preserve"> 24, </w:t>
      </w:r>
      <w:r w:rsidRPr="00AF0720">
        <w:rPr>
          <w:lang w:val="en-US"/>
        </w:rPr>
        <w:t>D</w:t>
      </w:r>
      <w:r w:rsidRPr="00AF0720">
        <w:rPr>
          <w:lang w:val="ru-RU"/>
        </w:rPr>
        <w:t>24</w:t>
      </w:r>
      <w:r w:rsidRPr="00AF0720">
        <w:rPr>
          <w:lang w:val="en-US"/>
        </w:rPr>
        <w:t>PPT</w:t>
      </w:r>
      <w:r w:rsidRPr="00AF0720">
        <w:rPr>
          <w:lang w:val="ru-RU"/>
        </w:rPr>
        <w:t>3</w:t>
      </w:r>
    </w:p>
    <w:p w14:paraId="3EAFFAAA" w14:textId="7305ECD5" w:rsidR="00AF0720" w:rsidRPr="00AF0720" w:rsidRDefault="00AF0720" w:rsidP="00AF0720">
      <w:r w:rsidRPr="00AF0720">
        <w:rPr>
          <w:lang w:eastAsia="bg-BG"/>
        </w:rPr>
        <w:t>Ирландия</w:t>
      </w:r>
    </w:p>
    <w:p w14:paraId="508F3A54" w14:textId="17F1DED4" w:rsidR="00B6672E" w:rsidRDefault="00936AD0" w:rsidP="00936AD0">
      <w:pPr>
        <w:pStyle w:val="Heading1"/>
      </w:pPr>
      <w:r>
        <w:t>8.</w:t>
      </w:r>
      <w:r w:rsidR="002C50EE">
        <w:t>НОМЕР НА РАЗРЕШЕНИЕТО ЗА УПОТРЕБА</w:t>
      </w:r>
    </w:p>
    <w:p w14:paraId="34FE3160" w14:textId="16B8F8DC" w:rsidR="00AF0720" w:rsidRDefault="00AF0720" w:rsidP="00AF0720"/>
    <w:p w14:paraId="512FC040" w14:textId="688DCC41" w:rsidR="00AF0720" w:rsidRPr="00AF0720" w:rsidRDefault="00AF0720" w:rsidP="00AF0720">
      <w:r>
        <w:t>20100633</w:t>
      </w:r>
    </w:p>
    <w:p w14:paraId="2CCB5832" w14:textId="22E1D206" w:rsidR="007C605B" w:rsidRDefault="002C50EE" w:rsidP="007C605B">
      <w:pPr>
        <w:pStyle w:val="Heading1"/>
      </w:pPr>
      <w:r>
        <w:t>9. ДАТА НА ПЪРВО РАЗРЕШАВАНЕ/ПОДНОВЯВАНЕ НА РАЗРЕШЕНИЕТО ЗА УПОТРЕБА</w:t>
      </w:r>
    </w:p>
    <w:p w14:paraId="4C43060C" w14:textId="424BDA58" w:rsidR="00AF0720" w:rsidRDefault="00AF0720" w:rsidP="00AF0720"/>
    <w:p w14:paraId="4848EF11" w14:textId="77777777" w:rsidR="00AF0720" w:rsidRPr="00AF0720" w:rsidRDefault="00AF0720" w:rsidP="00AF0720">
      <w:pPr>
        <w:rPr>
          <w:sz w:val="24"/>
          <w:szCs w:val="24"/>
        </w:rPr>
      </w:pPr>
      <w:r w:rsidRPr="00AF0720">
        <w:rPr>
          <w:lang w:eastAsia="bg-BG"/>
        </w:rPr>
        <w:t>Дата на първо разрешаване: 05.10.2010 г.</w:t>
      </w:r>
    </w:p>
    <w:p w14:paraId="31084D9F" w14:textId="77777777" w:rsidR="00AF0720" w:rsidRPr="00AF0720" w:rsidRDefault="00AF0720" w:rsidP="00AF0720">
      <w:pPr>
        <w:rPr>
          <w:sz w:val="24"/>
          <w:szCs w:val="24"/>
        </w:rPr>
      </w:pPr>
      <w:r w:rsidRPr="00AF0720">
        <w:rPr>
          <w:lang w:eastAsia="bg-BG"/>
        </w:rPr>
        <w:t>Дата на последно подновяване: 10.07.2015 г.</w:t>
      </w:r>
    </w:p>
    <w:p w14:paraId="73042F97" w14:textId="77777777" w:rsidR="00AF0720" w:rsidRPr="00AF0720" w:rsidRDefault="00AF0720" w:rsidP="00AF0720"/>
    <w:p w14:paraId="0E9D0119" w14:textId="0245C6D7" w:rsidR="002C50EE" w:rsidRDefault="002C50EE" w:rsidP="002C50EE">
      <w:pPr>
        <w:pStyle w:val="Heading1"/>
      </w:pPr>
      <w:r>
        <w:t>10. ДАТА НА АКТУАЛИЗИРАНЕ НА ТЕКСТА</w:t>
      </w:r>
    </w:p>
    <w:bookmarkEnd w:id="0"/>
    <w:p w14:paraId="43FB38A2" w14:textId="231DAC5B" w:rsidR="007C605B" w:rsidRPr="003E3126" w:rsidRDefault="00AF0720" w:rsidP="00AF0720">
      <w:r>
        <w:t>03/2022</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E08B7"/>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AF0720"/>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3590</Words>
  <Characters>20466</Characters>
  <Application>Microsoft Office Word</Application>
  <DocSecurity>0</DocSecurity>
  <Lines>170</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2022-09-05T19:31:00Z</dcterms:created>
  <dcterms:modified xsi:type="dcterms:W3CDTF">2022-09-05T19:31:00Z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