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37A7B633" w14:textId="77777777"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 xml:space="preserve">Лесигон 20 </w:t>
      </w:r>
      <w:r w:rsidRPr="000A654C">
        <w:rPr>
          <w:rFonts w:eastAsia="Times New Roman" w:cs="Arial"/>
          <w:color w:val="000000"/>
          <w:szCs w:val="20"/>
          <w:lang w:val="en-US"/>
        </w:rPr>
        <w:t xml:space="preserve">mg/ml </w:t>
      </w:r>
      <w:r w:rsidRPr="000A654C">
        <w:rPr>
          <w:rFonts w:eastAsia="Times New Roman" w:cs="Arial"/>
          <w:color w:val="000000"/>
          <w:szCs w:val="20"/>
          <w:lang w:eastAsia="bg-BG"/>
        </w:rPr>
        <w:t xml:space="preserve">+ 5 </w:t>
      </w:r>
      <w:r w:rsidRPr="000A654C">
        <w:rPr>
          <w:rFonts w:eastAsia="Times New Roman" w:cs="Arial"/>
          <w:color w:val="000000"/>
          <w:szCs w:val="20"/>
          <w:lang w:val="en-US"/>
        </w:rPr>
        <w:t xml:space="preserve">mg/ml </w:t>
      </w:r>
      <w:r w:rsidRPr="000A654C">
        <w:rPr>
          <w:rFonts w:eastAsia="Times New Roman" w:cs="Arial"/>
          <w:color w:val="000000"/>
          <w:szCs w:val="20"/>
          <w:lang w:eastAsia="bg-BG"/>
        </w:rPr>
        <w:t xml:space="preserve">+ 20 </w:t>
      </w:r>
      <w:r w:rsidRPr="000A654C">
        <w:rPr>
          <w:rFonts w:eastAsia="Times New Roman" w:cs="Arial"/>
          <w:color w:val="000000"/>
          <w:szCs w:val="20"/>
          <w:lang w:val="en-US"/>
        </w:rPr>
        <w:t xml:space="preserve">mg/ml </w:t>
      </w:r>
      <w:r w:rsidRPr="000A654C">
        <w:rPr>
          <w:rFonts w:eastAsia="Times New Roman" w:cs="Arial"/>
          <w:color w:val="000000"/>
          <w:szCs w:val="20"/>
          <w:lang w:eastAsia="bg-BG"/>
        </w:rPr>
        <w:t>гел за прилагане в червата</w:t>
      </w:r>
    </w:p>
    <w:p w14:paraId="69AC8148" w14:textId="38059805" w:rsidR="00EC41ED" w:rsidRPr="000A654C" w:rsidRDefault="000A654C" w:rsidP="000A654C">
      <w:pPr>
        <w:rPr>
          <w:rFonts w:cs="Arial"/>
          <w:sz w:val="24"/>
        </w:rPr>
      </w:pPr>
      <w:proofErr w:type="spellStart"/>
      <w:r w:rsidRPr="000A654C">
        <w:rPr>
          <w:rFonts w:eastAsia="Times New Roman" w:cs="Arial"/>
          <w:color w:val="000000"/>
          <w:szCs w:val="20"/>
          <w:lang w:val="en-US"/>
        </w:rPr>
        <w:t>Lecigon</w:t>
      </w:r>
      <w:proofErr w:type="spellEnd"/>
      <w:r w:rsidRPr="000A654C">
        <w:rPr>
          <w:rFonts w:eastAsia="Times New Roman" w:cs="Arial"/>
          <w:color w:val="000000"/>
          <w:szCs w:val="20"/>
          <w:lang w:val="en-US"/>
        </w:rPr>
        <w:t xml:space="preserve"> </w:t>
      </w:r>
      <w:r w:rsidRPr="000A654C">
        <w:rPr>
          <w:rFonts w:eastAsia="Times New Roman" w:cs="Arial"/>
          <w:color w:val="000000"/>
          <w:szCs w:val="20"/>
          <w:lang w:eastAsia="bg-BG"/>
        </w:rPr>
        <w:t xml:space="preserve">20 </w:t>
      </w:r>
      <w:r w:rsidRPr="000A654C">
        <w:rPr>
          <w:rFonts w:eastAsia="Times New Roman" w:cs="Arial"/>
          <w:color w:val="000000"/>
          <w:szCs w:val="20"/>
          <w:lang w:val="en-US"/>
        </w:rPr>
        <w:t xml:space="preserve">mg/ml </w:t>
      </w:r>
      <w:r w:rsidRPr="000A654C">
        <w:rPr>
          <w:rFonts w:eastAsia="Times New Roman" w:cs="Arial"/>
          <w:color w:val="000000"/>
          <w:szCs w:val="20"/>
          <w:lang w:eastAsia="bg-BG"/>
        </w:rPr>
        <w:t xml:space="preserve">+ 5 </w:t>
      </w:r>
      <w:r w:rsidRPr="000A654C">
        <w:rPr>
          <w:rFonts w:eastAsia="Times New Roman" w:cs="Arial"/>
          <w:color w:val="000000"/>
          <w:szCs w:val="20"/>
          <w:lang w:val="en-US"/>
        </w:rPr>
        <w:t xml:space="preserve">mg/ml </w:t>
      </w:r>
      <w:r w:rsidRPr="000A654C">
        <w:rPr>
          <w:rFonts w:eastAsia="Times New Roman" w:cs="Arial"/>
          <w:color w:val="000000"/>
          <w:szCs w:val="20"/>
          <w:lang w:eastAsia="bg-BG"/>
        </w:rPr>
        <w:t xml:space="preserve">+ 20 </w:t>
      </w:r>
      <w:r w:rsidRPr="000A654C">
        <w:rPr>
          <w:rFonts w:eastAsia="Times New Roman" w:cs="Arial"/>
          <w:color w:val="000000"/>
          <w:szCs w:val="20"/>
          <w:lang w:val="en-US"/>
        </w:rPr>
        <w:t>mg/ml intestinal gel</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2021C3A7" w14:textId="77777777"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 xml:space="preserve">1 </w:t>
      </w:r>
      <w:r w:rsidRPr="000A654C">
        <w:rPr>
          <w:rFonts w:eastAsia="Times New Roman" w:cs="Arial"/>
          <w:color w:val="000000"/>
          <w:szCs w:val="20"/>
          <w:lang w:val="en-US"/>
        </w:rPr>
        <w:t xml:space="preserve">ml </w:t>
      </w:r>
      <w:r w:rsidRPr="000A654C">
        <w:rPr>
          <w:rFonts w:eastAsia="Times New Roman" w:cs="Arial"/>
          <w:color w:val="000000"/>
          <w:szCs w:val="20"/>
          <w:lang w:eastAsia="bg-BG"/>
        </w:rPr>
        <w:t xml:space="preserve">съдържа 20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леводопа, 5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карбидопа монохидрат (еквивалентен на 4,6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безводна карбидопа) и 20 </w:t>
      </w:r>
      <w:r w:rsidRPr="000A654C">
        <w:rPr>
          <w:rFonts w:eastAsia="Times New Roman" w:cs="Arial"/>
          <w:color w:val="000000"/>
          <w:szCs w:val="20"/>
          <w:lang w:val="en-US"/>
        </w:rPr>
        <w:t xml:space="preserve">mg </w:t>
      </w:r>
      <w:r w:rsidRPr="000A654C">
        <w:rPr>
          <w:rFonts w:eastAsia="Times New Roman" w:cs="Arial"/>
          <w:color w:val="000000"/>
          <w:szCs w:val="20"/>
          <w:lang w:eastAsia="bg-BG"/>
        </w:rPr>
        <w:t>ентакапон.</w:t>
      </w:r>
    </w:p>
    <w:p w14:paraId="4A5BA0E1" w14:textId="77777777"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 xml:space="preserve">47 </w:t>
      </w:r>
      <w:r w:rsidRPr="000A654C">
        <w:rPr>
          <w:rFonts w:eastAsia="Times New Roman" w:cs="Arial"/>
          <w:color w:val="000000"/>
          <w:szCs w:val="20"/>
          <w:lang w:val="en-US"/>
        </w:rPr>
        <w:t xml:space="preserve">ml </w:t>
      </w:r>
      <w:r w:rsidRPr="000A654C">
        <w:rPr>
          <w:rFonts w:eastAsia="Times New Roman" w:cs="Arial"/>
          <w:color w:val="000000"/>
          <w:szCs w:val="20"/>
          <w:lang w:eastAsia="bg-BG"/>
        </w:rPr>
        <w:t xml:space="preserve">(1 патрон) съдържа 940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леводопа, 235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карбидопа монохидрат и 940 </w:t>
      </w:r>
      <w:r w:rsidRPr="000A654C">
        <w:rPr>
          <w:rFonts w:eastAsia="Times New Roman" w:cs="Arial"/>
          <w:color w:val="000000"/>
          <w:szCs w:val="20"/>
          <w:lang w:val="en-US"/>
        </w:rPr>
        <w:t xml:space="preserve">mg </w:t>
      </w:r>
      <w:r w:rsidRPr="000A654C">
        <w:rPr>
          <w:rFonts w:eastAsia="Times New Roman" w:cs="Arial"/>
          <w:color w:val="000000"/>
          <w:szCs w:val="20"/>
          <w:lang w:eastAsia="bg-BG"/>
        </w:rPr>
        <w:t>ентакапон.</w:t>
      </w:r>
    </w:p>
    <w:p w14:paraId="47995A4B" w14:textId="77777777" w:rsidR="000A654C" w:rsidRPr="000A654C" w:rsidRDefault="000A654C" w:rsidP="000A654C">
      <w:pPr>
        <w:spacing w:line="240" w:lineRule="auto"/>
        <w:rPr>
          <w:rFonts w:eastAsia="Times New Roman" w:cs="Arial"/>
          <w:color w:val="000000"/>
          <w:szCs w:val="20"/>
          <w:lang w:eastAsia="bg-BG"/>
        </w:rPr>
      </w:pPr>
    </w:p>
    <w:p w14:paraId="3837AEF5" w14:textId="2FF0E54C"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Помощни вещества с известно действие:</w:t>
      </w:r>
    </w:p>
    <w:p w14:paraId="4B3FB0F7" w14:textId="77777777"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 xml:space="preserve">1 </w:t>
      </w:r>
      <w:r w:rsidRPr="000A654C">
        <w:rPr>
          <w:rFonts w:eastAsia="Times New Roman" w:cs="Arial"/>
          <w:color w:val="000000"/>
          <w:szCs w:val="20"/>
          <w:lang w:val="en-US"/>
        </w:rPr>
        <w:t xml:space="preserve">ml </w:t>
      </w:r>
      <w:r w:rsidRPr="000A654C">
        <w:rPr>
          <w:rFonts w:eastAsia="Times New Roman" w:cs="Arial"/>
          <w:color w:val="000000"/>
          <w:szCs w:val="20"/>
          <w:lang w:eastAsia="bg-BG"/>
        </w:rPr>
        <w:t xml:space="preserve">гел съдържа 3,5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натрий (1 патрон съдържа 166 </w:t>
      </w:r>
      <w:r w:rsidRPr="000A654C">
        <w:rPr>
          <w:rFonts w:eastAsia="Times New Roman" w:cs="Arial"/>
          <w:color w:val="000000"/>
          <w:szCs w:val="20"/>
          <w:lang w:val="en-US"/>
        </w:rPr>
        <w:t xml:space="preserve">mg </w:t>
      </w:r>
      <w:r w:rsidRPr="000A654C">
        <w:rPr>
          <w:rFonts w:eastAsia="Times New Roman" w:cs="Arial"/>
          <w:color w:val="000000"/>
          <w:szCs w:val="20"/>
          <w:lang w:eastAsia="bg-BG"/>
        </w:rPr>
        <w:t>натрий).</w:t>
      </w:r>
    </w:p>
    <w:p w14:paraId="62C1629C" w14:textId="77777777" w:rsidR="000A654C" w:rsidRPr="000A654C" w:rsidRDefault="000A654C" w:rsidP="000A654C">
      <w:pPr>
        <w:rPr>
          <w:rFonts w:eastAsia="Times New Roman" w:cs="Arial"/>
          <w:color w:val="000000"/>
          <w:szCs w:val="20"/>
          <w:lang w:eastAsia="bg-BG"/>
        </w:rPr>
      </w:pPr>
    </w:p>
    <w:p w14:paraId="54632B43" w14:textId="4B8C5C65" w:rsidR="00EC41ED" w:rsidRPr="000A654C" w:rsidRDefault="000A654C" w:rsidP="000A654C">
      <w:pPr>
        <w:rPr>
          <w:rFonts w:cs="Arial"/>
          <w:sz w:val="24"/>
        </w:rPr>
      </w:pPr>
      <w:r w:rsidRPr="000A654C">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A794EB0" w14:textId="77777777"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 xml:space="preserve">Гел за прилагане в червата. </w:t>
      </w:r>
      <w:proofErr w:type="gramStart"/>
      <w:r w:rsidRPr="000A654C">
        <w:rPr>
          <w:rFonts w:eastAsia="Times New Roman" w:cs="Arial"/>
          <w:color w:val="000000"/>
          <w:szCs w:val="20"/>
          <w:lang w:val="en-US"/>
        </w:rPr>
        <w:t>pH</w:t>
      </w:r>
      <w:proofErr w:type="gramEnd"/>
      <w:r w:rsidRPr="000A654C">
        <w:rPr>
          <w:rFonts w:eastAsia="Times New Roman" w:cs="Arial"/>
          <w:color w:val="000000"/>
          <w:szCs w:val="20"/>
          <w:lang w:val="en-US"/>
        </w:rPr>
        <w:t xml:space="preserve">: </w:t>
      </w:r>
      <w:r w:rsidRPr="000A654C">
        <w:rPr>
          <w:rFonts w:eastAsia="Times New Roman" w:cs="Arial"/>
          <w:color w:val="000000"/>
          <w:szCs w:val="20"/>
          <w:lang w:eastAsia="bg-BG"/>
        </w:rPr>
        <w:t>4,5-5,5</w:t>
      </w:r>
    </w:p>
    <w:p w14:paraId="495917FA" w14:textId="77777777" w:rsidR="000A654C" w:rsidRPr="000A654C" w:rsidRDefault="000A654C" w:rsidP="000A654C">
      <w:pPr>
        <w:rPr>
          <w:rFonts w:eastAsia="Times New Roman" w:cs="Arial"/>
          <w:color w:val="000000"/>
          <w:szCs w:val="20"/>
          <w:lang w:eastAsia="bg-BG"/>
        </w:rPr>
      </w:pPr>
    </w:p>
    <w:p w14:paraId="743244F0" w14:textId="39889F6E" w:rsidR="00EC41ED" w:rsidRPr="000A654C" w:rsidRDefault="000A654C" w:rsidP="000A654C">
      <w:pPr>
        <w:rPr>
          <w:rFonts w:cs="Arial"/>
          <w:sz w:val="24"/>
        </w:rPr>
      </w:pPr>
      <w:r w:rsidRPr="000A654C">
        <w:rPr>
          <w:rFonts w:eastAsia="Times New Roman" w:cs="Arial"/>
          <w:color w:val="000000"/>
          <w:szCs w:val="20"/>
          <w:lang w:eastAsia="bg-BG"/>
        </w:rPr>
        <w:t>Жълт или жълтеникаво-червен непрозрачен вискозен гел.</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DFA4B9D" w14:textId="07D299E3" w:rsidR="0091385D" w:rsidRPr="000A654C" w:rsidRDefault="000A654C" w:rsidP="0091385D">
      <w:pPr>
        <w:rPr>
          <w:rFonts w:cs="Arial"/>
          <w:sz w:val="24"/>
        </w:rPr>
      </w:pPr>
      <w:r w:rsidRPr="000A654C">
        <w:rPr>
          <w:rFonts w:cs="Arial"/>
          <w:szCs w:val="20"/>
        </w:rPr>
        <w:t>Лечение на напреднала леводопа-реагираща болест на Паркинсон с тежки моторни флуктуации и хиперкинезия или дискинезия, когато с наличните перорални комбинации от антипаркинсонови лекарствени продукти не са постигнати задоволителни резултати.</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598AC4BA" w14:textId="77777777" w:rsidR="000A654C" w:rsidRPr="00716A4A" w:rsidRDefault="000A654C" w:rsidP="00716A4A">
      <w:pPr>
        <w:pStyle w:val="Heading3"/>
        <w:rPr>
          <w:rFonts w:eastAsia="Times New Roman"/>
          <w:sz w:val="28"/>
          <w:u w:val="single"/>
          <w:lang w:eastAsia="bg-BG"/>
        </w:rPr>
      </w:pPr>
      <w:r w:rsidRPr="00716A4A">
        <w:rPr>
          <w:rFonts w:eastAsia="Times New Roman"/>
          <w:u w:val="single"/>
          <w:lang w:eastAsia="bg-BG"/>
        </w:rPr>
        <w:t>Дозировка</w:t>
      </w:r>
    </w:p>
    <w:p w14:paraId="4C986199" w14:textId="77777777" w:rsidR="000A654C" w:rsidRPr="000A654C" w:rsidRDefault="000A654C" w:rsidP="000A654C">
      <w:pPr>
        <w:spacing w:line="240" w:lineRule="auto"/>
        <w:rPr>
          <w:rFonts w:eastAsia="Times New Roman" w:cs="Arial"/>
          <w:color w:val="000000"/>
          <w:szCs w:val="20"/>
          <w:lang w:eastAsia="bg-BG"/>
        </w:rPr>
      </w:pPr>
    </w:p>
    <w:p w14:paraId="3BA9E71E" w14:textId="6BC05561"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 xml:space="preserve">Гел за прилагане в червата (вижте точка 6.6). Дозата трябва да се титрира за постигане на оптималния клиничен отговор при индивидуалния пациент, което включва максимализиране на функционалното време на ВКЛ. през деня чрез минимизиране на </w:t>
      </w:r>
      <w:r w:rsidRPr="000A654C">
        <w:rPr>
          <w:rFonts w:eastAsia="Times New Roman" w:cs="Arial"/>
          <w:color w:val="000000"/>
          <w:szCs w:val="20"/>
          <w:lang w:eastAsia="bg-BG"/>
        </w:rPr>
        <w:lastRenderedPageBreak/>
        <w:t>броя и времетраенето на епизодите ИЗКЛ. (брадикинезия) и минимизиране на времето ВКЛ. с инвалидизираща дискинезия.</w:t>
      </w:r>
    </w:p>
    <w:p w14:paraId="171DC2A1" w14:textId="77777777" w:rsidR="000A654C" w:rsidRPr="000A654C" w:rsidRDefault="000A654C" w:rsidP="000A654C">
      <w:pPr>
        <w:spacing w:line="240" w:lineRule="auto"/>
        <w:rPr>
          <w:rFonts w:eastAsia="Times New Roman" w:cs="Arial"/>
          <w:color w:val="000000"/>
          <w:szCs w:val="20"/>
          <w:lang w:eastAsia="bg-BG"/>
        </w:rPr>
      </w:pPr>
    </w:p>
    <w:p w14:paraId="001431AF" w14:textId="2AE10F89"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 xml:space="preserve">Общата доза/ден на Лесигон е съставена от три индивидуално коригирани дози: сутрешната болусна доза, постоянна поддържаща доза и екстра болусни дози. Лечението обикновено е ограничено до будния период на пациента. Ако е медицинско обосновано, Лесигон може да се прилага до 24 часа/ден. Максималната препоръчителна дневна доза е 100 </w:t>
      </w:r>
      <w:r w:rsidRPr="000A654C">
        <w:rPr>
          <w:rFonts w:eastAsia="Times New Roman" w:cs="Arial"/>
          <w:color w:val="000000"/>
          <w:szCs w:val="20"/>
          <w:lang w:val="en-US"/>
        </w:rPr>
        <w:t xml:space="preserve">ml </w:t>
      </w:r>
      <w:r w:rsidRPr="000A654C">
        <w:rPr>
          <w:rFonts w:eastAsia="Times New Roman" w:cs="Arial"/>
          <w:color w:val="000000"/>
          <w:szCs w:val="20"/>
          <w:lang w:eastAsia="bg-BG"/>
        </w:rPr>
        <w:t xml:space="preserve">(която съответства на 2000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леводопа, 500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карбидопа монохидрат и 2000 </w:t>
      </w:r>
      <w:r w:rsidRPr="000A654C">
        <w:rPr>
          <w:rFonts w:eastAsia="Times New Roman" w:cs="Arial"/>
          <w:color w:val="000000"/>
          <w:szCs w:val="20"/>
          <w:lang w:val="en-US"/>
        </w:rPr>
        <w:t xml:space="preserve">mg </w:t>
      </w:r>
      <w:r w:rsidRPr="000A654C">
        <w:rPr>
          <w:rFonts w:eastAsia="Times New Roman" w:cs="Arial"/>
          <w:color w:val="000000"/>
          <w:szCs w:val="20"/>
          <w:lang w:eastAsia="bg-BG"/>
        </w:rPr>
        <w:t>ентакапон - вижте също точка 4.4).</w:t>
      </w:r>
    </w:p>
    <w:p w14:paraId="416DC310" w14:textId="77777777" w:rsidR="000A654C" w:rsidRPr="000A654C" w:rsidRDefault="000A654C" w:rsidP="000A654C">
      <w:pPr>
        <w:rPr>
          <w:rFonts w:eastAsia="Times New Roman" w:cs="Arial"/>
          <w:color w:val="000000"/>
          <w:szCs w:val="20"/>
          <w:lang w:eastAsia="bg-BG"/>
        </w:rPr>
      </w:pPr>
    </w:p>
    <w:p w14:paraId="17E5894D" w14:textId="77777777" w:rsidR="000A654C" w:rsidRPr="000A654C" w:rsidRDefault="000A654C" w:rsidP="000A654C">
      <w:pPr>
        <w:rPr>
          <w:rFonts w:eastAsia="Times New Roman" w:cs="Arial"/>
          <w:sz w:val="28"/>
          <w:szCs w:val="24"/>
          <w:lang w:eastAsia="bg-BG"/>
        </w:rPr>
      </w:pPr>
      <w:r w:rsidRPr="000A654C">
        <w:rPr>
          <w:rFonts w:eastAsia="Times New Roman" w:cs="Arial"/>
          <w:color w:val="000000"/>
          <w:szCs w:val="20"/>
          <w:lang w:eastAsia="bg-BG"/>
        </w:rPr>
        <w:t>По време на поддържащата доза профилът за плазмена концентрация/време на леводопа има някак различен изглед, с постепенно повишаване концентрацията на леводопа в плазмата в хода на деня, отколкото преди това е наблюдавано от гел за прилагане в червата с леводопа/карбидопа самостоятелно. Пример за профил за плазмена концентрация време при използване на Лесигон може да се намери в точка 5.2. Ако съществуват индивидуални потребности, помпата може да бъде препрограмирана да осигурява до три поддържащи дози в течение на деня/24-часов период. В случая с дискинезия в последната част на деня може да са приложими намалявания от 10-20% в средата на деня. Всички поддържащи дози трябва да бъдат титрирани до достигане на желания клиничен ефект.</w:t>
      </w:r>
    </w:p>
    <w:p w14:paraId="395006A9" w14:textId="77777777" w:rsidR="000A654C" w:rsidRPr="000A654C" w:rsidRDefault="000A654C" w:rsidP="000A654C">
      <w:pPr>
        <w:spacing w:line="240" w:lineRule="auto"/>
        <w:rPr>
          <w:rFonts w:eastAsia="Times New Roman" w:cs="Arial"/>
          <w:color w:val="000000"/>
          <w:szCs w:val="20"/>
          <w:lang w:eastAsia="bg-BG"/>
        </w:rPr>
      </w:pPr>
    </w:p>
    <w:p w14:paraId="5BD0FE7A" w14:textId="6E75D3EC"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Функцията за многократна поддържаща доза може също да бъде полезна например при пациенти с постоянни дискинезии или скованост с рецидивираща нужда от допълнителни дози в последната част на деня, или за пациенти с 24-часово лечение, които се нуждаят от намаляване на поддържащата доза през нощта.</w:t>
      </w:r>
    </w:p>
    <w:p w14:paraId="04529048" w14:textId="77777777" w:rsidR="000A654C" w:rsidRPr="000A654C" w:rsidRDefault="000A654C" w:rsidP="000A654C">
      <w:pPr>
        <w:spacing w:line="240" w:lineRule="auto"/>
        <w:rPr>
          <w:rFonts w:eastAsia="Times New Roman" w:cs="Arial"/>
          <w:i/>
          <w:iCs/>
          <w:color w:val="000000"/>
          <w:szCs w:val="20"/>
          <w:lang w:eastAsia="bg-BG"/>
        </w:rPr>
      </w:pPr>
    </w:p>
    <w:p w14:paraId="7BBF6E4D" w14:textId="761AFC6B" w:rsidR="000A654C" w:rsidRPr="000A654C" w:rsidRDefault="000A654C" w:rsidP="000A654C">
      <w:pPr>
        <w:spacing w:line="240" w:lineRule="auto"/>
        <w:rPr>
          <w:rFonts w:eastAsia="Times New Roman" w:cs="Arial"/>
          <w:sz w:val="28"/>
          <w:szCs w:val="24"/>
          <w:lang w:eastAsia="bg-BG"/>
        </w:rPr>
      </w:pPr>
      <w:r w:rsidRPr="000A654C">
        <w:rPr>
          <w:rFonts w:eastAsia="Times New Roman" w:cs="Arial"/>
          <w:i/>
          <w:iCs/>
          <w:color w:val="000000"/>
          <w:szCs w:val="20"/>
          <w:lang w:eastAsia="bg-BG"/>
        </w:rPr>
        <w:t>Сутрешна доза</w:t>
      </w:r>
    </w:p>
    <w:p w14:paraId="79F773F5" w14:textId="77777777"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 xml:space="preserve">Сутрешната доза се прилага чрез помпата, за да се достигне бързо нивото на терапевтичната доза (до 30 минути). Дозата се коригира на стъпки от 0,1 </w:t>
      </w:r>
      <w:r w:rsidRPr="000A654C">
        <w:rPr>
          <w:rFonts w:eastAsia="Times New Roman" w:cs="Arial"/>
          <w:color w:val="000000"/>
          <w:szCs w:val="20"/>
          <w:lang w:val="en-US"/>
        </w:rPr>
        <w:t xml:space="preserve">ml </w:t>
      </w:r>
      <w:r w:rsidRPr="000A654C">
        <w:rPr>
          <w:rFonts w:eastAsia="Times New Roman" w:cs="Arial"/>
          <w:color w:val="000000"/>
          <w:szCs w:val="20"/>
          <w:lang w:eastAsia="bg-BG"/>
        </w:rPr>
        <w:t xml:space="preserve">(2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Общата сутрешна доза обикновено е 5-10 </w:t>
      </w:r>
      <w:r w:rsidRPr="000A654C">
        <w:rPr>
          <w:rFonts w:eastAsia="Times New Roman" w:cs="Arial"/>
          <w:color w:val="000000"/>
          <w:szCs w:val="20"/>
          <w:lang w:val="en-US"/>
        </w:rPr>
        <w:t xml:space="preserve">ml, </w:t>
      </w:r>
      <w:r w:rsidRPr="000A654C">
        <w:rPr>
          <w:rFonts w:eastAsia="Times New Roman" w:cs="Arial"/>
          <w:color w:val="000000"/>
          <w:szCs w:val="20"/>
          <w:lang w:eastAsia="bg-BG"/>
        </w:rPr>
        <w:t xml:space="preserve">съответстваща на 100-200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леводопа. Общата сутрешна доза не трябва да превишава 15 </w:t>
      </w:r>
      <w:r w:rsidRPr="000A654C">
        <w:rPr>
          <w:rFonts w:eastAsia="Times New Roman" w:cs="Arial"/>
          <w:color w:val="000000"/>
          <w:szCs w:val="20"/>
          <w:lang w:val="en-US"/>
        </w:rPr>
        <w:t xml:space="preserve">ml </w:t>
      </w:r>
      <w:r w:rsidRPr="000A654C">
        <w:rPr>
          <w:rFonts w:eastAsia="Times New Roman" w:cs="Arial"/>
          <w:color w:val="000000"/>
          <w:szCs w:val="20"/>
          <w:lang w:eastAsia="bg-BG"/>
        </w:rPr>
        <w:t xml:space="preserve">(300 </w:t>
      </w:r>
      <w:r w:rsidRPr="000A654C">
        <w:rPr>
          <w:rFonts w:eastAsia="Times New Roman" w:cs="Arial"/>
          <w:color w:val="000000"/>
          <w:szCs w:val="20"/>
          <w:lang w:val="en-US"/>
        </w:rPr>
        <w:t xml:space="preserve">mg </w:t>
      </w:r>
      <w:r w:rsidRPr="000A654C">
        <w:rPr>
          <w:rFonts w:eastAsia="Times New Roman" w:cs="Arial"/>
          <w:color w:val="000000"/>
          <w:szCs w:val="20"/>
          <w:lang w:eastAsia="bg-BG"/>
        </w:rPr>
        <w:t>леводопа).</w:t>
      </w:r>
    </w:p>
    <w:p w14:paraId="3AB6139B" w14:textId="77777777" w:rsidR="000A654C" w:rsidRPr="000A654C" w:rsidRDefault="000A654C" w:rsidP="000A654C">
      <w:pPr>
        <w:spacing w:line="240" w:lineRule="auto"/>
        <w:rPr>
          <w:rFonts w:eastAsia="Times New Roman" w:cs="Arial"/>
          <w:i/>
          <w:iCs/>
          <w:color w:val="000000"/>
          <w:szCs w:val="20"/>
          <w:lang w:eastAsia="bg-BG"/>
        </w:rPr>
      </w:pPr>
    </w:p>
    <w:p w14:paraId="2528851A" w14:textId="03BB1234" w:rsidR="000A654C" w:rsidRPr="000A654C" w:rsidRDefault="000A654C" w:rsidP="000A654C">
      <w:pPr>
        <w:spacing w:line="240" w:lineRule="auto"/>
        <w:rPr>
          <w:rFonts w:eastAsia="Times New Roman" w:cs="Arial"/>
          <w:sz w:val="28"/>
          <w:szCs w:val="24"/>
          <w:lang w:eastAsia="bg-BG"/>
        </w:rPr>
      </w:pPr>
      <w:r w:rsidRPr="000A654C">
        <w:rPr>
          <w:rFonts w:eastAsia="Times New Roman" w:cs="Arial"/>
          <w:i/>
          <w:iCs/>
          <w:color w:val="000000"/>
          <w:szCs w:val="20"/>
          <w:lang w:eastAsia="bg-BG"/>
        </w:rPr>
        <w:t>Продължителна поддържаща доза</w:t>
      </w:r>
    </w:p>
    <w:p w14:paraId="1E86FD1B" w14:textId="77777777"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 xml:space="preserve">Продължителната поддържаща доза се прилага чрез помпата, за да се под държа нивото на терапевтичната доза. Поддържащата доза се регулира на стъпки от 2 </w:t>
      </w:r>
      <w:r w:rsidRPr="000A654C">
        <w:rPr>
          <w:rFonts w:eastAsia="Times New Roman" w:cs="Arial"/>
          <w:color w:val="000000"/>
          <w:szCs w:val="20"/>
          <w:lang w:val="en-US"/>
        </w:rPr>
        <w:t>mg</w:t>
      </w:r>
      <w:r w:rsidRPr="000A654C">
        <w:rPr>
          <w:rFonts w:eastAsia="Times New Roman" w:cs="Arial"/>
          <w:color w:val="000000"/>
          <w:szCs w:val="20"/>
          <w:lang w:eastAsia="bg-BG"/>
        </w:rPr>
        <w:t xml:space="preserve">/час (0,1 </w:t>
      </w:r>
      <w:r w:rsidRPr="000A654C">
        <w:rPr>
          <w:rFonts w:eastAsia="Times New Roman" w:cs="Arial"/>
          <w:color w:val="000000"/>
          <w:szCs w:val="20"/>
          <w:lang w:val="en-US"/>
        </w:rPr>
        <w:t>ml</w:t>
      </w:r>
      <w:r w:rsidRPr="000A654C">
        <w:rPr>
          <w:rFonts w:eastAsia="Times New Roman" w:cs="Arial"/>
          <w:color w:val="000000"/>
          <w:szCs w:val="20"/>
          <w:lang w:eastAsia="bg-BG"/>
        </w:rPr>
        <w:t xml:space="preserve">/час). Поддържащата доза обикновено е 0,7-5,0 </w:t>
      </w:r>
      <w:r w:rsidRPr="000A654C">
        <w:rPr>
          <w:rFonts w:eastAsia="Times New Roman" w:cs="Arial"/>
          <w:color w:val="000000"/>
          <w:szCs w:val="20"/>
          <w:lang w:val="en-US"/>
        </w:rPr>
        <w:t>ml</w:t>
      </w:r>
      <w:r w:rsidRPr="000A654C">
        <w:rPr>
          <w:rFonts w:eastAsia="Times New Roman" w:cs="Arial"/>
          <w:color w:val="000000"/>
          <w:szCs w:val="20"/>
          <w:lang w:eastAsia="bg-BG"/>
        </w:rPr>
        <w:t xml:space="preserve">/час (15-100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леводопа/час). Максималната препоръчителна дневна доза е 100 </w:t>
      </w:r>
      <w:r w:rsidRPr="000A654C">
        <w:rPr>
          <w:rFonts w:eastAsia="Times New Roman" w:cs="Arial"/>
          <w:color w:val="000000"/>
          <w:szCs w:val="20"/>
          <w:lang w:val="en-US"/>
        </w:rPr>
        <w:t xml:space="preserve">ml </w:t>
      </w:r>
      <w:r w:rsidRPr="000A654C">
        <w:rPr>
          <w:rFonts w:eastAsia="Times New Roman" w:cs="Arial"/>
          <w:color w:val="000000"/>
          <w:szCs w:val="20"/>
          <w:lang w:eastAsia="bg-BG"/>
        </w:rPr>
        <w:t xml:space="preserve">(2000 </w:t>
      </w:r>
      <w:r w:rsidRPr="000A654C">
        <w:rPr>
          <w:rFonts w:eastAsia="Times New Roman" w:cs="Arial"/>
          <w:color w:val="000000"/>
          <w:szCs w:val="20"/>
          <w:lang w:val="en-US"/>
        </w:rPr>
        <w:t xml:space="preserve">mg </w:t>
      </w:r>
      <w:r w:rsidRPr="000A654C">
        <w:rPr>
          <w:rFonts w:eastAsia="Times New Roman" w:cs="Arial"/>
          <w:color w:val="000000"/>
          <w:szCs w:val="20"/>
          <w:lang w:eastAsia="bg-BG"/>
        </w:rPr>
        <w:t>леводопа).</w:t>
      </w:r>
    </w:p>
    <w:p w14:paraId="05AE1DD4" w14:textId="77777777" w:rsidR="000A654C" w:rsidRPr="000A654C" w:rsidRDefault="000A654C" w:rsidP="000A654C">
      <w:pPr>
        <w:spacing w:line="240" w:lineRule="auto"/>
        <w:rPr>
          <w:rFonts w:eastAsia="Times New Roman" w:cs="Arial"/>
          <w:i/>
          <w:iCs/>
          <w:color w:val="000000"/>
          <w:szCs w:val="20"/>
          <w:lang w:eastAsia="bg-BG"/>
        </w:rPr>
      </w:pPr>
    </w:p>
    <w:p w14:paraId="3BA8B34D" w14:textId="52E71219" w:rsidR="000A654C" w:rsidRPr="000A654C" w:rsidRDefault="000A654C" w:rsidP="000A654C">
      <w:pPr>
        <w:spacing w:line="240" w:lineRule="auto"/>
        <w:rPr>
          <w:rFonts w:eastAsia="Times New Roman" w:cs="Arial"/>
          <w:sz w:val="28"/>
          <w:szCs w:val="24"/>
          <w:lang w:eastAsia="bg-BG"/>
        </w:rPr>
      </w:pPr>
      <w:r w:rsidRPr="000A654C">
        <w:rPr>
          <w:rFonts w:eastAsia="Times New Roman" w:cs="Arial"/>
          <w:i/>
          <w:iCs/>
          <w:color w:val="000000"/>
          <w:szCs w:val="20"/>
          <w:lang w:eastAsia="bg-BG"/>
        </w:rPr>
        <w:t>Допълнителни болус дози</w:t>
      </w:r>
    </w:p>
    <w:p w14:paraId="51F3572E" w14:textId="77777777"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 xml:space="preserve">Допълнителните дози се прилагат, както се налага, ако пациентът стане хипокинетичен. Допълнителната доза обикновено е по-малко от 3 </w:t>
      </w:r>
      <w:r w:rsidRPr="000A654C">
        <w:rPr>
          <w:rFonts w:eastAsia="Times New Roman" w:cs="Arial"/>
          <w:color w:val="000000"/>
          <w:szCs w:val="20"/>
          <w:lang w:val="en-US"/>
        </w:rPr>
        <w:t xml:space="preserve">ml, </w:t>
      </w:r>
      <w:r w:rsidRPr="000A654C">
        <w:rPr>
          <w:rFonts w:eastAsia="Times New Roman" w:cs="Arial"/>
          <w:color w:val="000000"/>
          <w:szCs w:val="20"/>
          <w:lang w:eastAsia="bg-BG"/>
        </w:rPr>
        <w:t>но се регулира индивидуално. Трябва да се обмисли повишение на продължителната поддържаща доза, ако необходимостта от допълнителни болус дози надвиши 5 дози на ден.</w:t>
      </w:r>
    </w:p>
    <w:p w14:paraId="50226770" w14:textId="77777777" w:rsidR="000A654C" w:rsidRPr="000A654C" w:rsidRDefault="000A654C" w:rsidP="000A654C">
      <w:pPr>
        <w:spacing w:line="240" w:lineRule="auto"/>
        <w:rPr>
          <w:rFonts w:eastAsia="Times New Roman" w:cs="Arial"/>
          <w:i/>
          <w:iCs/>
          <w:color w:val="000000"/>
          <w:szCs w:val="20"/>
          <w:lang w:eastAsia="bg-BG"/>
        </w:rPr>
      </w:pPr>
    </w:p>
    <w:p w14:paraId="7F64611D" w14:textId="5130971F" w:rsidR="000A654C" w:rsidRPr="000A654C" w:rsidRDefault="000A654C" w:rsidP="000A654C">
      <w:pPr>
        <w:spacing w:line="240" w:lineRule="auto"/>
        <w:rPr>
          <w:rFonts w:eastAsia="Times New Roman" w:cs="Arial"/>
          <w:sz w:val="28"/>
          <w:szCs w:val="24"/>
          <w:lang w:eastAsia="bg-BG"/>
        </w:rPr>
      </w:pPr>
      <w:r w:rsidRPr="000A654C">
        <w:rPr>
          <w:rFonts w:eastAsia="Times New Roman" w:cs="Arial"/>
          <w:i/>
          <w:iCs/>
          <w:color w:val="000000"/>
          <w:szCs w:val="20"/>
          <w:lang w:eastAsia="bg-BG"/>
        </w:rPr>
        <w:t>Титриране по време на прехода от леводопа/карбидопа към Лесигон</w:t>
      </w:r>
    </w:p>
    <w:p w14:paraId="48EE9AD5" w14:textId="77777777"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 xml:space="preserve">Лесигон съдържа ентакапон, който усилва ефекта на леводопа. Затова може да е необходимо да се намали общият дневен прием на Лесигон със - средно - 20-35% в сравнение с предишната доза на леводопа и карбидопа на пациента без инхибитори на катехол-О-метил трансфераза (СОМТ). Тъй като ефектът на ентакапон върху леводопа </w:t>
      </w:r>
      <w:r w:rsidRPr="000A654C">
        <w:rPr>
          <w:rFonts w:eastAsia="Times New Roman" w:cs="Arial"/>
          <w:color w:val="000000"/>
          <w:szCs w:val="20"/>
          <w:lang w:eastAsia="bg-BG"/>
        </w:rPr>
        <w:lastRenderedPageBreak/>
        <w:t>зависи от дозата, при пациентите на висока доза се очаква по-голямо намаляване на дозата.</w:t>
      </w:r>
    </w:p>
    <w:p w14:paraId="4AE869D3" w14:textId="77777777" w:rsidR="000A654C" w:rsidRPr="000A654C" w:rsidRDefault="000A654C" w:rsidP="000A654C">
      <w:pPr>
        <w:spacing w:line="240" w:lineRule="auto"/>
        <w:rPr>
          <w:rFonts w:eastAsia="Times New Roman" w:cs="Arial"/>
          <w:color w:val="000000"/>
          <w:szCs w:val="20"/>
          <w:lang w:eastAsia="bg-BG"/>
        </w:rPr>
      </w:pPr>
    </w:p>
    <w:p w14:paraId="04B6BC9E" w14:textId="64D7EE93" w:rsidR="000A654C" w:rsidRPr="000A654C" w:rsidRDefault="000A654C" w:rsidP="000A654C">
      <w:pPr>
        <w:spacing w:line="240" w:lineRule="auto"/>
        <w:rPr>
          <w:rFonts w:eastAsia="Times New Roman" w:cs="Arial"/>
          <w:sz w:val="28"/>
          <w:szCs w:val="24"/>
          <w:lang w:eastAsia="bg-BG"/>
        </w:rPr>
      </w:pPr>
      <w:r w:rsidRPr="000A654C">
        <w:rPr>
          <w:rFonts w:eastAsia="Times New Roman" w:cs="Arial"/>
          <w:color w:val="000000"/>
          <w:szCs w:val="20"/>
          <w:lang w:eastAsia="bg-BG"/>
        </w:rPr>
        <w:t>Първоначалната настройка на дозата се базира на ежедневния прием на леводопа на пациента. Размерът на сутрешната доза трябва да бъде същият като предишния сутрешен прием на леводопа, за да достигне терапевтична плазмена концентрация възможно най-бързо, плюс обема, необходим за запълване на тръбичката. Продължителната поддържаща доза трябва да се базира на дневния прием на леводопа на пациента (с изключение на сутрешната доза) и първоначално намален до 65% от предишния дневен прием на леводопа. След това дозите се титрират постепенно, на базата на клиничните симптоми до достигане на желания ефект.</w:t>
      </w:r>
    </w:p>
    <w:p w14:paraId="30B6E08A" w14:textId="77777777" w:rsidR="000A654C" w:rsidRPr="000A654C" w:rsidRDefault="000A654C" w:rsidP="000A654C">
      <w:pPr>
        <w:spacing w:line="240" w:lineRule="auto"/>
        <w:rPr>
          <w:rFonts w:eastAsia="Times New Roman" w:cs="Arial"/>
          <w:i/>
          <w:iCs/>
          <w:color w:val="000000"/>
          <w:szCs w:val="20"/>
          <w:lang w:eastAsia="bg-BG"/>
        </w:rPr>
      </w:pPr>
    </w:p>
    <w:p w14:paraId="716EA7B4" w14:textId="4E1C5A09" w:rsidR="000A654C" w:rsidRPr="000A654C" w:rsidRDefault="000A654C" w:rsidP="000A654C">
      <w:pPr>
        <w:spacing w:line="240" w:lineRule="auto"/>
        <w:rPr>
          <w:rFonts w:eastAsia="Times New Roman" w:cs="Arial"/>
          <w:sz w:val="28"/>
          <w:szCs w:val="24"/>
          <w:lang w:eastAsia="bg-BG"/>
        </w:rPr>
      </w:pPr>
      <w:r w:rsidRPr="000A654C">
        <w:rPr>
          <w:rFonts w:eastAsia="Times New Roman" w:cs="Arial"/>
          <w:i/>
          <w:iCs/>
          <w:color w:val="000000"/>
          <w:szCs w:val="20"/>
          <w:lang w:eastAsia="bg-BG"/>
        </w:rPr>
        <w:t>Пример на първоначално задаване на дозата преди титриране:</w:t>
      </w:r>
    </w:p>
    <w:p w14:paraId="51B0E087" w14:textId="77777777" w:rsidR="000A654C" w:rsidRPr="000A654C" w:rsidRDefault="000A654C" w:rsidP="000A654C">
      <w:pPr>
        <w:spacing w:line="240" w:lineRule="auto"/>
        <w:rPr>
          <w:rFonts w:eastAsia="Times New Roman" w:cs="Arial"/>
          <w:color w:val="000000"/>
          <w:szCs w:val="20"/>
          <w:lang w:eastAsia="bg-BG"/>
        </w:rPr>
      </w:pPr>
    </w:p>
    <w:p w14:paraId="152DACF9" w14:textId="3E30F781" w:rsidR="000A654C" w:rsidRPr="000A654C" w:rsidRDefault="000A654C" w:rsidP="000A654C">
      <w:pPr>
        <w:pStyle w:val="ListParagraph"/>
        <w:spacing w:line="240" w:lineRule="auto"/>
        <w:rPr>
          <w:rFonts w:eastAsia="Times New Roman" w:cs="Arial"/>
          <w:sz w:val="28"/>
          <w:szCs w:val="24"/>
          <w:lang w:eastAsia="bg-BG"/>
        </w:rPr>
      </w:pPr>
      <w:r w:rsidRPr="000A654C">
        <w:rPr>
          <w:rFonts w:eastAsia="Times New Roman" w:cs="Arial"/>
          <w:color w:val="000000"/>
          <w:szCs w:val="20"/>
          <w:lang w:eastAsia="bg-BG"/>
        </w:rPr>
        <w:t xml:space="preserve">Предишна обща дневна доза леводопа: 1360 </w:t>
      </w:r>
      <w:r w:rsidRPr="000A654C">
        <w:rPr>
          <w:rFonts w:eastAsia="Times New Roman" w:cs="Arial"/>
          <w:color w:val="000000"/>
          <w:szCs w:val="20"/>
          <w:lang w:val="en-US"/>
        </w:rPr>
        <w:t>mg</w:t>
      </w:r>
    </w:p>
    <w:p w14:paraId="06DFFC3B" w14:textId="77777777" w:rsidR="000A654C" w:rsidRPr="000A654C" w:rsidRDefault="000A654C" w:rsidP="000A654C">
      <w:pPr>
        <w:pStyle w:val="ListParagraph"/>
        <w:spacing w:line="240" w:lineRule="auto"/>
        <w:rPr>
          <w:rFonts w:eastAsia="Times New Roman" w:cs="Arial"/>
          <w:sz w:val="28"/>
          <w:szCs w:val="24"/>
          <w:lang w:eastAsia="bg-BG"/>
        </w:rPr>
      </w:pPr>
      <w:r w:rsidRPr="000A654C">
        <w:rPr>
          <w:rFonts w:eastAsia="Times New Roman" w:cs="Arial"/>
          <w:color w:val="000000"/>
          <w:szCs w:val="20"/>
          <w:lang w:eastAsia="bg-BG"/>
        </w:rPr>
        <w:t xml:space="preserve">Предишна сутрешна доза леводопа: 100 </w:t>
      </w:r>
      <w:r w:rsidRPr="000A654C">
        <w:rPr>
          <w:rFonts w:eastAsia="Times New Roman" w:cs="Arial"/>
          <w:color w:val="000000"/>
          <w:szCs w:val="20"/>
          <w:lang w:val="en-US"/>
        </w:rPr>
        <w:t>mg</w:t>
      </w:r>
    </w:p>
    <w:p w14:paraId="1D76DDDB" w14:textId="4BA4A879" w:rsidR="000A654C" w:rsidRPr="000A654C" w:rsidRDefault="000A654C" w:rsidP="000A654C">
      <w:pPr>
        <w:pStyle w:val="ListParagraph"/>
        <w:spacing w:line="240" w:lineRule="auto"/>
        <w:rPr>
          <w:rFonts w:eastAsia="Times New Roman" w:cs="Arial"/>
          <w:sz w:val="28"/>
          <w:szCs w:val="24"/>
          <w:lang w:eastAsia="bg-BG"/>
        </w:rPr>
      </w:pPr>
      <w:r w:rsidRPr="000A654C">
        <w:rPr>
          <w:rFonts w:eastAsia="Times New Roman" w:cs="Arial"/>
          <w:color w:val="000000"/>
          <w:szCs w:val="20"/>
          <w:lang w:eastAsia="bg-BG"/>
        </w:rPr>
        <w:t xml:space="preserve">Предишен дневен прием на леводопа (с изключение на сутрешната доза): 1260 </w:t>
      </w:r>
      <w:r w:rsidRPr="000A654C">
        <w:rPr>
          <w:rFonts w:eastAsia="Times New Roman" w:cs="Arial"/>
          <w:color w:val="000000"/>
          <w:szCs w:val="20"/>
          <w:lang w:val="en-US"/>
        </w:rPr>
        <w:t>mg</w:t>
      </w:r>
      <w:r w:rsidRPr="000A654C">
        <w:rPr>
          <w:rFonts w:eastAsia="Times New Roman" w:cs="Arial"/>
          <w:color w:val="000000"/>
          <w:szCs w:val="20"/>
          <w:lang w:eastAsia="bg-BG"/>
        </w:rPr>
        <w:t>/ден</w:t>
      </w:r>
    </w:p>
    <w:p w14:paraId="39004D0D" w14:textId="77777777" w:rsidR="000A654C" w:rsidRPr="000A654C" w:rsidRDefault="000A654C" w:rsidP="000A654C">
      <w:pPr>
        <w:spacing w:line="240" w:lineRule="auto"/>
        <w:rPr>
          <w:rFonts w:eastAsia="Times New Roman" w:cs="Arial"/>
          <w:color w:val="000000"/>
          <w:szCs w:val="20"/>
          <w:lang w:eastAsia="bg-BG"/>
        </w:rPr>
      </w:pPr>
    </w:p>
    <w:p w14:paraId="384FFB35" w14:textId="7DADB043" w:rsidR="000A654C" w:rsidRPr="000A654C" w:rsidRDefault="000A654C" w:rsidP="000A654C">
      <w:pPr>
        <w:pStyle w:val="ListParagraph"/>
        <w:spacing w:line="240" w:lineRule="auto"/>
        <w:rPr>
          <w:rFonts w:eastAsia="Times New Roman" w:cs="Arial"/>
          <w:sz w:val="28"/>
          <w:szCs w:val="24"/>
          <w:lang w:eastAsia="bg-BG"/>
        </w:rPr>
      </w:pPr>
      <w:r w:rsidRPr="000A654C">
        <w:rPr>
          <w:rFonts w:eastAsia="Times New Roman" w:cs="Arial"/>
          <w:color w:val="000000"/>
          <w:szCs w:val="20"/>
          <w:lang w:eastAsia="bg-BG"/>
        </w:rPr>
        <w:t xml:space="preserve">Сутрешна доза: 100 </w:t>
      </w:r>
      <w:r w:rsidRPr="000A654C">
        <w:rPr>
          <w:rFonts w:eastAsia="Times New Roman" w:cs="Arial"/>
          <w:color w:val="000000"/>
          <w:szCs w:val="20"/>
          <w:lang w:val="en-US"/>
        </w:rPr>
        <w:t>mg</w:t>
      </w:r>
    </w:p>
    <w:p w14:paraId="19F6DC91" w14:textId="51EB50C7" w:rsidR="000A654C" w:rsidRPr="000A654C" w:rsidRDefault="000A654C" w:rsidP="000A654C">
      <w:pPr>
        <w:pStyle w:val="ListParagraph"/>
        <w:spacing w:line="240" w:lineRule="auto"/>
        <w:rPr>
          <w:rFonts w:eastAsia="Times New Roman" w:cs="Arial"/>
          <w:sz w:val="28"/>
          <w:szCs w:val="24"/>
          <w:lang w:eastAsia="bg-BG"/>
        </w:rPr>
      </w:pPr>
      <w:r w:rsidRPr="000A654C">
        <w:rPr>
          <w:rFonts w:eastAsia="Times New Roman" w:cs="Arial"/>
          <w:color w:val="000000"/>
          <w:szCs w:val="20"/>
          <w:lang w:eastAsia="bg-BG"/>
        </w:rPr>
        <w:t xml:space="preserve">Отговаря на обем от: 100 </w:t>
      </w:r>
      <w:r w:rsidRPr="000A654C">
        <w:rPr>
          <w:rFonts w:eastAsia="Times New Roman" w:cs="Arial"/>
          <w:color w:val="000000"/>
          <w:szCs w:val="20"/>
          <w:lang w:val="en-US"/>
        </w:rPr>
        <w:t xml:space="preserve">mg </w:t>
      </w:r>
      <w:r w:rsidRPr="000A654C">
        <w:rPr>
          <w:rFonts w:eastAsia="Times New Roman" w:cs="Arial"/>
          <w:color w:val="000000"/>
          <w:szCs w:val="20"/>
          <w:lang w:eastAsia="bg-BG"/>
        </w:rPr>
        <w:t xml:space="preserve">/ 20 </w:t>
      </w:r>
      <w:r w:rsidRPr="000A654C">
        <w:rPr>
          <w:rFonts w:eastAsia="Times New Roman" w:cs="Arial"/>
          <w:color w:val="000000"/>
          <w:szCs w:val="20"/>
          <w:lang w:val="en-US"/>
        </w:rPr>
        <w:t xml:space="preserve">mg/ml </w:t>
      </w:r>
      <w:r w:rsidRPr="000A654C">
        <w:rPr>
          <w:rFonts w:eastAsia="Times New Roman" w:cs="Arial"/>
          <w:color w:val="000000"/>
          <w:szCs w:val="20"/>
          <w:lang w:eastAsia="bg-BG"/>
        </w:rPr>
        <w:t xml:space="preserve">= 5 </w:t>
      </w:r>
      <w:r w:rsidRPr="000A654C">
        <w:rPr>
          <w:rFonts w:eastAsia="Times New Roman" w:cs="Arial"/>
          <w:color w:val="000000"/>
          <w:szCs w:val="20"/>
          <w:lang w:val="en-US"/>
        </w:rPr>
        <w:t>ml</w:t>
      </w:r>
    </w:p>
    <w:p w14:paraId="5680F6FB" w14:textId="7554E71A" w:rsidR="000A654C" w:rsidRPr="000A654C" w:rsidRDefault="000A654C" w:rsidP="000A654C">
      <w:pPr>
        <w:pStyle w:val="ListParagraph"/>
        <w:spacing w:line="240" w:lineRule="auto"/>
        <w:rPr>
          <w:rFonts w:eastAsia="Times New Roman" w:cs="Arial"/>
          <w:sz w:val="28"/>
          <w:szCs w:val="24"/>
          <w:lang w:eastAsia="bg-BG"/>
        </w:rPr>
      </w:pPr>
      <w:r w:rsidRPr="000A654C">
        <w:rPr>
          <w:rFonts w:eastAsia="Times New Roman" w:cs="Arial"/>
          <w:color w:val="000000"/>
          <w:szCs w:val="20"/>
          <w:lang w:eastAsia="bg-BG"/>
        </w:rPr>
        <w:t xml:space="preserve">Обща сутрешна доза: 5 </w:t>
      </w:r>
      <w:r w:rsidRPr="000A654C">
        <w:rPr>
          <w:rFonts w:eastAsia="Times New Roman" w:cs="Arial"/>
          <w:color w:val="000000"/>
          <w:szCs w:val="20"/>
          <w:lang w:val="en-US"/>
        </w:rPr>
        <w:t xml:space="preserve">ml </w:t>
      </w:r>
      <w:r w:rsidRPr="000A654C">
        <w:rPr>
          <w:rFonts w:eastAsia="Times New Roman" w:cs="Arial"/>
          <w:color w:val="000000"/>
          <w:szCs w:val="20"/>
          <w:lang w:eastAsia="bg-BG"/>
        </w:rPr>
        <w:t xml:space="preserve">+ 3 </w:t>
      </w:r>
      <w:r w:rsidRPr="000A654C">
        <w:rPr>
          <w:rFonts w:eastAsia="Times New Roman" w:cs="Arial"/>
          <w:color w:val="000000"/>
          <w:szCs w:val="20"/>
          <w:lang w:val="en-US"/>
        </w:rPr>
        <w:t xml:space="preserve">ml </w:t>
      </w:r>
      <w:r w:rsidRPr="000A654C">
        <w:rPr>
          <w:rFonts w:eastAsia="Times New Roman" w:cs="Arial"/>
          <w:color w:val="000000"/>
          <w:szCs w:val="20"/>
          <w:lang w:eastAsia="bg-BG"/>
        </w:rPr>
        <w:t>(обем за запълване на тръбичката) = 8</w:t>
      </w:r>
      <w:r w:rsidRPr="000A654C">
        <w:rPr>
          <w:rFonts w:eastAsia="Times New Roman" w:cs="Arial"/>
          <w:color w:val="000000"/>
          <w:szCs w:val="20"/>
          <w:lang w:val="en-US"/>
        </w:rPr>
        <w:t xml:space="preserve"> ml</w:t>
      </w:r>
    </w:p>
    <w:p w14:paraId="6D491A7F" w14:textId="77777777" w:rsidR="000A654C" w:rsidRPr="000A654C" w:rsidRDefault="000A654C" w:rsidP="000A654C">
      <w:pPr>
        <w:spacing w:line="240" w:lineRule="auto"/>
        <w:rPr>
          <w:rFonts w:eastAsia="Times New Roman" w:cs="Arial"/>
          <w:color w:val="000000"/>
          <w:szCs w:val="20"/>
          <w:lang w:eastAsia="bg-BG"/>
        </w:rPr>
      </w:pPr>
    </w:p>
    <w:p w14:paraId="432FC143" w14:textId="0CC6E0AF" w:rsidR="000A654C" w:rsidRPr="000A654C" w:rsidRDefault="000A654C" w:rsidP="000A654C">
      <w:pPr>
        <w:pStyle w:val="ListParagraph"/>
        <w:spacing w:line="240" w:lineRule="auto"/>
        <w:rPr>
          <w:rFonts w:eastAsia="Times New Roman" w:cs="Arial"/>
          <w:sz w:val="28"/>
          <w:szCs w:val="24"/>
          <w:lang w:eastAsia="bg-BG"/>
        </w:rPr>
      </w:pPr>
      <w:r w:rsidRPr="000A654C">
        <w:rPr>
          <w:rFonts w:eastAsia="Times New Roman" w:cs="Arial"/>
          <w:color w:val="000000"/>
          <w:szCs w:val="20"/>
          <w:lang w:eastAsia="bg-BG"/>
        </w:rPr>
        <w:t xml:space="preserve">Продължителна поддържаща доза: 1260 </w:t>
      </w:r>
      <w:r w:rsidRPr="000A654C">
        <w:rPr>
          <w:rFonts w:eastAsia="Times New Roman" w:cs="Arial"/>
          <w:color w:val="000000"/>
          <w:szCs w:val="20"/>
          <w:lang w:val="en-US"/>
        </w:rPr>
        <w:t>mg</w:t>
      </w:r>
      <w:r w:rsidRPr="000A654C">
        <w:rPr>
          <w:rFonts w:eastAsia="Times New Roman" w:cs="Arial"/>
          <w:color w:val="000000"/>
          <w:szCs w:val="20"/>
          <w:lang w:eastAsia="bg-BG"/>
        </w:rPr>
        <w:t>/ден</w:t>
      </w:r>
      <w:r w:rsidRPr="000A654C">
        <w:rPr>
          <w:rFonts w:eastAsia="Times New Roman" w:cs="Arial"/>
          <w:color w:val="000000"/>
          <w:szCs w:val="20"/>
          <w:lang w:val="en-US"/>
        </w:rPr>
        <w:t xml:space="preserve"> </w:t>
      </w:r>
    </w:p>
    <w:p w14:paraId="3FFCF843" w14:textId="23090FE8" w:rsidR="000A654C" w:rsidRPr="000A654C" w:rsidRDefault="000A654C" w:rsidP="000A654C">
      <w:pPr>
        <w:pStyle w:val="ListParagraph"/>
        <w:spacing w:line="240" w:lineRule="auto"/>
        <w:rPr>
          <w:rFonts w:eastAsia="Times New Roman" w:cs="Arial"/>
          <w:sz w:val="28"/>
          <w:szCs w:val="24"/>
          <w:lang w:eastAsia="bg-BG"/>
        </w:rPr>
      </w:pPr>
      <w:r w:rsidRPr="000A654C">
        <w:rPr>
          <w:rFonts w:eastAsia="Times New Roman" w:cs="Arial"/>
          <w:color w:val="000000"/>
          <w:szCs w:val="20"/>
          <w:lang w:eastAsia="bg-BG"/>
        </w:rPr>
        <w:t xml:space="preserve">Продължителната поддържаща доза, намалена до 65%: 1260 </w:t>
      </w:r>
      <w:r w:rsidRPr="000A654C">
        <w:rPr>
          <w:rFonts w:eastAsia="Times New Roman" w:cs="Arial"/>
          <w:color w:val="000000"/>
          <w:szCs w:val="20"/>
          <w:lang w:val="en-US"/>
        </w:rPr>
        <w:t>mg</w:t>
      </w:r>
      <w:r w:rsidRPr="000A654C">
        <w:rPr>
          <w:rFonts w:eastAsia="Times New Roman" w:cs="Arial"/>
          <w:color w:val="000000"/>
          <w:szCs w:val="20"/>
          <w:lang w:eastAsia="bg-BG"/>
        </w:rPr>
        <w:t>/ден</w:t>
      </w:r>
      <w:r w:rsidRPr="000A654C">
        <w:rPr>
          <w:rFonts w:eastAsia="Times New Roman" w:cs="Arial"/>
          <w:color w:val="000000"/>
          <w:szCs w:val="20"/>
          <w:lang w:val="en-US"/>
        </w:rPr>
        <w:t xml:space="preserve"> x 0,65 = 819 mg/</w:t>
      </w:r>
      <w:r w:rsidRPr="000A654C">
        <w:rPr>
          <w:rFonts w:eastAsia="Times New Roman" w:cs="Arial"/>
          <w:color w:val="000000"/>
          <w:szCs w:val="20"/>
          <w:lang w:eastAsia="bg-BG"/>
        </w:rPr>
        <w:t xml:space="preserve">ден </w:t>
      </w:r>
    </w:p>
    <w:p w14:paraId="7FBF1BCE" w14:textId="441A77D5" w:rsidR="00EC41ED" w:rsidRPr="00716A4A" w:rsidRDefault="000A654C" w:rsidP="000A654C">
      <w:pPr>
        <w:pStyle w:val="ListParagraph"/>
        <w:spacing w:line="240" w:lineRule="auto"/>
        <w:rPr>
          <w:rFonts w:eastAsia="Times New Roman" w:cs="Arial"/>
          <w:lang w:eastAsia="bg-BG"/>
        </w:rPr>
      </w:pPr>
      <w:r w:rsidRPr="00716A4A">
        <w:rPr>
          <w:rFonts w:eastAsia="Times New Roman" w:cs="Arial"/>
          <w:color w:val="000000"/>
          <w:lang w:eastAsia="bg-BG"/>
        </w:rPr>
        <w:t xml:space="preserve">Прием на час (изчислен на базата на 16 часа прилагане на ден): 819 </w:t>
      </w:r>
      <w:r w:rsidRPr="00716A4A">
        <w:rPr>
          <w:rFonts w:eastAsia="Times New Roman" w:cs="Arial"/>
          <w:color w:val="000000"/>
          <w:lang w:val="en-US"/>
        </w:rPr>
        <w:t xml:space="preserve">mg/16 </w:t>
      </w:r>
      <w:r w:rsidRPr="00716A4A">
        <w:rPr>
          <w:rFonts w:eastAsia="Times New Roman" w:cs="Arial"/>
          <w:color w:val="000000"/>
          <w:lang w:eastAsia="bg-BG"/>
        </w:rPr>
        <w:t>часа =</w:t>
      </w:r>
      <w:r w:rsidRPr="00716A4A">
        <w:rPr>
          <w:rFonts w:eastAsia="Times New Roman" w:cs="Arial"/>
          <w:color w:val="000000"/>
          <w:lang w:val="en-US"/>
        </w:rPr>
        <w:t xml:space="preserve"> 51</w:t>
      </w:r>
      <w:r w:rsidRPr="00716A4A">
        <w:rPr>
          <w:rFonts w:eastAsia="Times New Roman" w:cs="Arial"/>
          <w:color w:val="000000"/>
          <w:lang w:eastAsia="bg-BG"/>
        </w:rPr>
        <w:t xml:space="preserve"> </w:t>
      </w:r>
      <w:r w:rsidRPr="00716A4A">
        <w:rPr>
          <w:rFonts w:eastAsia="Times New Roman" w:cs="Arial"/>
          <w:color w:val="000000"/>
          <w:lang w:val="en-US"/>
        </w:rPr>
        <w:t>mg/</w:t>
      </w:r>
      <w:r w:rsidRPr="00716A4A">
        <w:rPr>
          <w:rFonts w:eastAsia="Times New Roman" w:cs="Arial"/>
          <w:color w:val="000000"/>
          <w:lang w:eastAsia="bg-BG"/>
        </w:rPr>
        <w:t>час</w:t>
      </w:r>
    </w:p>
    <w:p w14:paraId="65C34D8A" w14:textId="689B7FB3" w:rsidR="000A654C" w:rsidRPr="00716A4A" w:rsidRDefault="000A654C" w:rsidP="000A654C">
      <w:pPr>
        <w:pStyle w:val="ListParagraph"/>
        <w:spacing w:line="240" w:lineRule="auto"/>
        <w:rPr>
          <w:rFonts w:eastAsia="Times New Roman" w:cs="Arial"/>
          <w:lang w:eastAsia="bg-BG"/>
        </w:rPr>
      </w:pPr>
      <w:r w:rsidRPr="00716A4A">
        <w:rPr>
          <w:rFonts w:eastAsia="Times New Roman" w:cs="Arial"/>
          <w:color w:val="000000"/>
          <w:lang w:eastAsia="bg-BG"/>
        </w:rPr>
        <w:t xml:space="preserve">Съответства на почасов дебит от: 51 </w:t>
      </w:r>
      <w:r w:rsidRPr="00716A4A">
        <w:rPr>
          <w:rFonts w:eastAsia="Times New Roman" w:cs="Arial"/>
          <w:color w:val="000000"/>
          <w:lang w:val="en-US"/>
        </w:rPr>
        <w:t>mg</w:t>
      </w:r>
      <w:r w:rsidRPr="00716A4A">
        <w:rPr>
          <w:rFonts w:eastAsia="Times New Roman" w:cs="Arial"/>
          <w:color w:val="000000"/>
          <w:lang w:eastAsia="bg-BG"/>
        </w:rPr>
        <w:t xml:space="preserve">/час / 20 </w:t>
      </w:r>
      <w:r w:rsidRPr="00716A4A">
        <w:rPr>
          <w:rFonts w:eastAsia="Times New Roman" w:cs="Arial"/>
          <w:color w:val="000000"/>
          <w:lang w:val="en-US"/>
        </w:rPr>
        <w:t xml:space="preserve">mg/ml </w:t>
      </w:r>
      <w:r w:rsidRPr="00716A4A">
        <w:rPr>
          <w:rFonts w:eastAsia="Times New Roman" w:cs="Arial"/>
          <w:color w:val="000000"/>
          <w:lang w:eastAsia="bg-BG"/>
        </w:rPr>
        <w:t xml:space="preserve">= 2,5-2,6 </w:t>
      </w:r>
      <w:r w:rsidRPr="00716A4A">
        <w:rPr>
          <w:rFonts w:eastAsia="Times New Roman" w:cs="Arial"/>
          <w:color w:val="000000"/>
          <w:lang w:val="en-US"/>
        </w:rPr>
        <w:t>ml</w:t>
      </w:r>
      <w:r w:rsidRPr="00716A4A">
        <w:rPr>
          <w:rFonts w:eastAsia="Times New Roman" w:cs="Arial"/>
          <w:color w:val="000000"/>
          <w:lang w:eastAsia="bg-BG"/>
        </w:rPr>
        <w:t>/час</w:t>
      </w:r>
    </w:p>
    <w:p w14:paraId="025C9C85" w14:textId="77777777" w:rsidR="000A654C" w:rsidRPr="00716A4A" w:rsidRDefault="000A654C" w:rsidP="000A654C">
      <w:pPr>
        <w:spacing w:line="240" w:lineRule="auto"/>
        <w:rPr>
          <w:rFonts w:eastAsia="Times New Roman" w:cs="Arial"/>
          <w:i/>
          <w:iCs/>
          <w:color w:val="000000"/>
          <w:lang w:eastAsia="bg-BG"/>
        </w:rPr>
      </w:pPr>
    </w:p>
    <w:p w14:paraId="10828878" w14:textId="410BF256" w:rsidR="000A654C" w:rsidRPr="000A654C" w:rsidRDefault="000A654C" w:rsidP="000A654C">
      <w:pPr>
        <w:spacing w:line="240" w:lineRule="auto"/>
        <w:rPr>
          <w:rFonts w:eastAsia="Times New Roman" w:cs="Arial"/>
          <w:lang w:eastAsia="bg-BG"/>
        </w:rPr>
      </w:pPr>
      <w:r w:rsidRPr="000A654C">
        <w:rPr>
          <w:rFonts w:eastAsia="Times New Roman" w:cs="Arial"/>
          <w:i/>
          <w:iCs/>
          <w:color w:val="000000"/>
          <w:lang w:eastAsia="bg-BG"/>
        </w:rPr>
        <w:t>Титриране по време на прехода от леводопа/бенсеразид към Лесигон</w:t>
      </w:r>
    </w:p>
    <w:p w14:paraId="7ABA1531"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Ентакапон повишава биологичната наличност на леводопа от стандартните препарати на леводопа/бенсеразид с малко повече (5-10%) от стандартните препарати на леводопа/карбидопа. Преходът от леводопа/бенсеразид към Лесигон не е проучен.</w:t>
      </w:r>
    </w:p>
    <w:p w14:paraId="64A8F6AB" w14:textId="77777777" w:rsidR="000A654C" w:rsidRPr="00716A4A" w:rsidRDefault="000A654C" w:rsidP="000A654C">
      <w:pPr>
        <w:spacing w:line="240" w:lineRule="auto"/>
        <w:rPr>
          <w:rFonts w:eastAsia="Times New Roman" w:cs="Arial"/>
          <w:i/>
          <w:iCs/>
          <w:color w:val="000000"/>
          <w:lang w:eastAsia="bg-BG"/>
        </w:rPr>
      </w:pPr>
    </w:p>
    <w:p w14:paraId="4FCC0272" w14:textId="74EA897A" w:rsidR="000A654C" w:rsidRPr="000A654C" w:rsidRDefault="000A654C" w:rsidP="000A654C">
      <w:pPr>
        <w:spacing w:line="240" w:lineRule="auto"/>
        <w:rPr>
          <w:rFonts w:eastAsia="Times New Roman" w:cs="Arial"/>
          <w:lang w:eastAsia="bg-BG"/>
        </w:rPr>
      </w:pPr>
      <w:r w:rsidRPr="000A654C">
        <w:rPr>
          <w:rFonts w:eastAsia="Times New Roman" w:cs="Arial"/>
          <w:i/>
          <w:iCs/>
          <w:color w:val="000000"/>
          <w:lang w:eastAsia="bg-BG"/>
        </w:rPr>
        <w:t xml:space="preserve">Титриране по време на прехода от леводопа/карбидопа/ентакапон към Лесигон </w:t>
      </w:r>
      <w:r w:rsidRPr="000A654C">
        <w:rPr>
          <w:rFonts w:eastAsia="Times New Roman" w:cs="Arial"/>
          <w:color w:val="000000"/>
          <w:lang w:eastAsia="bg-BG"/>
        </w:rPr>
        <w:t>Първоначалната настройка на дозата се базира на ежедневния прием на леводопа на пациента. Първоначалният размер на сутрешната доза трябва да бъде същият като предишния сутрешен прием на леводопа, плюс обема, необходим за запълване на тръбичката. Продължителната поддържаща доза се преобразува 1:1 и се базира на дневния прием на леводопа на пациента (е изключение на сутрешната доза). След това дозите се титрират постепенно, на базата на клиничните симптоми до достигане на желания ефект.</w:t>
      </w:r>
    </w:p>
    <w:p w14:paraId="6CD0EAC7" w14:textId="77777777" w:rsidR="000A654C" w:rsidRPr="00716A4A" w:rsidRDefault="000A654C" w:rsidP="000A654C">
      <w:pPr>
        <w:spacing w:line="240" w:lineRule="auto"/>
        <w:rPr>
          <w:rFonts w:eastAsia="Times New Roman" w:cs="Arial"/>
          <w:color w:val="000000"/>
          <w:lang w:eastAsia="bg-BG"/>
        </w:rPr>
      </w:pPr>
    </w:p>
    <w:p w14:paraId="60869CD0" w14:textId="35ED5489"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Преходът от комбинирана терапия с леводопа</w:t>
      </w:r>
      <w:r w:rsidRPr="000A654C">
        <w:rPr>
          <w:rFonts w:eastAsia="Times New Roman" w:cs="Arial"/>
          <w:color w:val="000000"/>
          <w:lang w:val="en-US"/>
        </w:rPr>
        <w:t xml:space="preserve">/DDC </w:t>
      </w:r>
      <w:r w:rsidRPr="000A654C">
        <w:rPr>
          <w:rFonts w:eastAsia="Times New Roman" w:cs="Arial"/>
          <w:color w:val="000000"/>
          <w:lang w:eastAsia="bg-BG"/>
        </w:rPr>
        <w:t>инхибитор/толкапон към Лесигон не е проучен.</w:t>
      </w:r>
    </w:p>
    <w:p w14:paraId="00D134FD" w14:textId="77777777" w:rsidR="000A654C" w:rsidRPr="00716A4A" w:rsidRDefault="000A654C" w:rsidP="000A654C">
      <w:pPr>
        <w:spacing w:line="240" w:lineRule="auto"/>
        <w:rPr>
          <w:rFonts w:eastAsia="Times New Roman" w:cs="Arial"/>
          <w:i/>
          <w:iCs/>
          <w:color w:val="000000"/>
          <w:lang w:eastAsia="bg-BG"/>
        </w:rPr>
      </w:pPr>
    </w:p>
    <w:p w14:paraId="273AC9C1" w14:textId="50AC65FB" w:rsidR="000A654C" w:rsidRPr="000A654C" w:rsidRDefault="000A654C" w:rsidP="000A654C">
      <w:pPr>
        <w:spacing w:line="240" w:lineRule="auto"/>
        <w:rPr>
          <w:rFonts w:eastAsia="Times New Roman" w:cs="Arial"/>
          <w:lang w:eastAsia="bg-BG"/>
        </w:rPr>
      </w:pPr>
      <w:r w:rsidRPr="000A654C">
        <w:rPr>
          <w:rFonts w:eastAsia="Times New Roman" w:cs="Arial"/>
          <w:i/>
          <w:iCs/>
          <w:color w:val="000000"/>
          <w:lang w:eastAsia="bg-BG"/>
        </w:rPr>
        <w:t xml:space="preserve">Преход от едновременна терапия с леводопа/карбидопа и допаминов агонист към Лесигон </w:t>
      </w:r>
      <w:r w:rsidRPr="000A654C">
        <w:rPr>
          <w:rFonts w:eastAsia="Times New Roman" w:cs="Arial"/>
          <w:color w:val="000000"/>
          <w:lang w:eastAsia="bg-BG"/>
        </w:rPr>
        <w:t>При преход от терапия с допаминов агонист към монотерапия с Лесигон, рискът от развитие на симптоми на отнемане на допаминов агонист трябва да се вземат предвид и трябва да се избягва рязкото преустановяване на допаминовия агонист.</w:t>
      </w:r>
    </w:p>
    <w:p w14:paraId="218399B5" w14:textId="77777777" w:rsidR="000A654C" w:rsidRPr="00716A4A" w:rsidRDefault="000A654C" w:rsidP="000A654C">
      <w:pPr>
        <w:spacing w:line="240" w:lineRule="auto"/>
        <w:rPr>
          <w:rFonts w:eastAsia="Times New Roman" w:cs="Arial"/>
          <w:i/>
          <w:iCs/>
          <w:color w:val="000000"/>
          <w:lang w:eastAsia="bg-BG"/>
        </w:rPr>
      </w:pPr>
    </w:p>
    <w:p w14:paraId="155AC410" w14:textId="5575C140" w:rsidR="000A654C" w:rsidRPr="000A654C" w:rsidRDefault="000A654C" w:rsidP="000A654C">
      <w:pPr>
        <w:spacing w:line="240" w:lineRule="auto"/>
        <w:rPr>
          <w:rFonts w:eastAsia="Times New Roman" w:cs="Arial"/>
          <w:lang w:eastAsia="bg-BG"/>
        </w:rPr>
      </w:pPr>
      <w:r w:rsidRPr="000A654C">
        <w:rPr>
          <w:rFonts w:eastAsia="Times New Roman" w:cs="Arial"/>
          <w:i/>
          <w:iCs/>
          <w:color w:val="000000"/>
          <w:lang w:eastAsia="bg-BG"/>
        </w:rPr>
        <w:t>Наблюдение на лечението</w:t>
      </w:r>
    </w:p>
    <w:p w14:paraId="56205036"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След първоначалното титриране сутрешната доза и поддържащата доза се настройват фино в течение на няколко седмици.</w:t>
      </w:r>
    </w:p>
    <w:p w14:paraId="30B1FC83"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Лесигон първоначално се дава като монотерапия. Ако е необходимо, едновременно могат да се приемат други антипаркинсонови лекарствени продукти (за съпътстващо лечение на болест на Паркинсон, вижте също точки 4.3 и 4.5). Ако лечението с други антипаркинсонови лекарствени продукти е преустановено или променено, може да е необходимо да се коригират дозите на Лесигон.</w:t>
      </w:r>
    </w:p>
    <w:p w14:paraId="27B492F0" w14:textId="77777777" w:rsidR="000A654C" w:rsidRPr="00716A4A" w:rsidRDefault="000A654C" w:rsidP="000A654C">
      <w:pPr>
        <w:spacing w:line="240" w:lineRule="auto"/>
        <w:rPr>
          <w:rFonts w:eastAsia="Times New Roman" w:cs="Arial"/>
          <w:color w:val="000000"/>
          <w:lang w:eastAsia="bg-BG"/>
        </w:rPr>
      </w:pPr>
    </w:p>
    <w:p w14:paraId="3730FFB6" w14:textId="69C78E8C"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Внезапно влошаване на терапевтичния отговор с рецидивиращи моторни флуктуации трябва да предизвика подозрение за изместване на дуоденалната/йеюнална тръбичка към стомаха. Положението на тръбичката трябва да бъде установено с рентгенография. Ако позицията е неправилна, краят на тръбичката трябва да бъде позициониран наново в дуоденума/горния йеюнум.</w:t>
      </w:r>
    </w:p>
    <w:p w14:paraId="449A2D45" w14:textId="77777777" w:rsidR="000A654C" w:rsidRPr="00716A4A" w:rsidRDefault="000A654C" w:rsidP="000A654C">
      <w:pPr>
        <w:spacing w:line="240" w:lineRule="auto"/>
        <w:rPr>
          <w:rFonts w:eastAsia="Times New Roman" w:cs="Arial"/>
          <w:i/>
          <w:iCs/>
          <w:color w:val="000000"/>
          <w:lang w:eastAsia="bg-BG"/>
        </w:rPr>
      </w:pPr>
    </w:p>
    <w:p w14:paraId="6DCEC5F3" w14:textId="3FF8BDE7" w:rsidR="000A654C" w:rsidRPr="000A654C" w:rsidRDefault="000A654C" w:rsidP="000A654C">
      <w:pPr>
        <w:spacing w:line="240" w:lineRule="auto"/>
        <w:rPr>
          <w:rFonts w:eastAsia="Times New Roman" w:cs="Arial"/>
          <w:lang w:eastAsia="bg-BG"/>
        </w:rPr>
      </w:pPr>
      <w:r w:rsidRPr="000A654C">
        <w:rPr>
          <w:rFonts w:eastAsia="Times New Roman" w:cs="Arial"/>
          <w:i/>
          <w:iCs/>
          <w:color w:val="000000"/>
          <w:lang w:eastAsia="bg-BG"/>
        </w:rPr>
        <w:t>Лечение във връзка с деменция</w:t>
      </w:r>
    </w:p>
    <w:p w14:paraId="308CFD81"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При подозирана или диагностицирана деменция с понижен праг на объркване помпата трябва да се управлява само от медицински специалист или болногледач.</w:t>
      </w:r>
    </w:p>
    <w:p w14:paraId="04EAD4F7" w14:textId="77777777" w:rsidR="000A654C" w:rsidRPr="00716A4A" w:rsidRDefault="000A654C" w:rsidP="000A654C">
      <w:pPr>
        <w:spacing w:line="240" w:lineRule="auto"/>
        <w:rPr>
          <w:rFonts w:eastAsia="Times New Roman" w:cs="Arial"/>
          <w:i/>
          <w:iCs/>
          <w:color w:val="000000"/>
          <w:lang w:eastAsia="bg-BG"/>
        </w:rPr>
      </w:pPr>
    </w:p>
    <w:p w14:paraId="2BE60C04" w14:textId="213B8F07" w:rsidR="000A654C" w:rsidRPr="000A654C" w:rsidRDefault="000A654C" w:rsidP="000A654C">
      <w:pPr>
        <w:spacing w:line="240" w:lineRule="auto"/>
        <w:rPr>
          <w:rFonts w:eastAsia="Times New Roman" w:cs="Arial"/>
          <w:lang w:eastAsia="bg-BG"/>
        </w:rPr>
      </w:pPr>
      <w:r w:rsidRPr="000A654C">
        <w:rPr>
          <w:rFonts w:eastAsia="Times New Roman" w:cs="Arial"/>
          <w:i/>
          <w:iCs/>
          <w:color w:val="000000"/>
          <w:lang w:eastAsia="bg-BG"/>
        </w:rPr>
        <w:t>Злоупотреба с лекарствения продукт</w:t>
      </w:r>
    </w:p>
    <w:p w14:paraId="3367BA3D"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 xml:space="preserve">При съмнения за злоупотреба с лекарствения продукт има функция за заключване в помпата, използвана с Лесигон </w:t>
      </w:r>
      <w:r w:rsidRPr="000A654C">
        <w:rPr>
          <w:rFonts w:eastAsia="Times New Roman" w:cs="Arial"/>
          <w:color w:val="000000"/>
          <w:lang w:val="en-US"/>
        </w:rPr>
        <w:t>(</w:t>
      </w:r>
      <w:proofErr w:type="spellStart"/>
      <w:r w:rsidRPr="000A654C">
        <w:rPr>
          <w:rFonts w:eastAsia="Times New Roman" w:cs="Arial"/>
          <w:color w:val="000000"/>
          <w:lang w:val="en-US"/>
        </w:rPr>
        <w:t>Crono</w:t>
      </w:r>
      <w:proofErr w:type="spellEnd"/>
      <w:r w:rsidRPr="000A654C">
        <w:rPr>
          <w:rFonts w:eastAsia="Times New Roman" w:cs="Arial"/>
          <w:color w:val="000000"/>
          <w:lang w:val="en-US"/>
        </w:rPr>
        <w:t xml:space="preserve"> LECIG). </w:t>
      </w:r>
      <w:r w:rsidRPr="000A654C">
        <w:rPr>
          <w:rFonts w:eastAsia="Times New Roman" w:cs="Arial"/>
          <w:color w:val="000000"/>
          <w:lang w:eastAsia="bg-BG"/>
        </w:rPr>
        <w:t>Тази функция пречи на пациента да може да променя настройките на помпата.</w:t>
      </w:r>
    </w:p>
    <w:p w14:paraId="6A7EE59C" w14:textId="77777777" w:rsidR="000A654C" w:rsidRPr="00716A4A" w:rsidRDefault="000A654C" w:rsidP="000A654C">
      <w:pPr>
        <w:spacing w:line="240" w:lineRule="auto"/>
        <w:rPr>
          <w:rFonts w:eastAsia="Times New Roman" w:cs="Arial"/>
          <w:color w:val="000000"/>
          <w:u w:val="single"/>
          <w:lang w:eastAsia="bg-BG"/>
        </w:rPr>
      </w:pPr>
    </w:p>
    <w:p w14:paraId="2D608643" w14:textId="47F704C5" w:rsidR="000A654C" w:rsidRPr="000A654C" w:rsidRDefault="000A654C" w:rsidP="000A654C">
      <w:pPr>
        <w:spacing w:line="240" w:lineRule="auto"/>
        <w:rPr>
          <w:rFonts w:eastAsia="Times New Roman" w:cs="Arial"/>
          <w:lang w:eastAsia="bg-BG"/>
        </w:rPr>
      </w:pPr>
      <w:r w:rsidRPr="000A654C">
        <w:rPr>
          <w:rFonts w:eastAsia="Times New Roman" w:cs="Arial"/>
          <w:color w:val="000000"/>
          <w:u w:val="single"/>
          <w:lang w:eastAsia="bg-BG"/>
        </w:rPr>
        <w:t>Специални популации</w:t>
      </w:r>
    </w:p>
    <w:p w14:paraId="6203D45E" w14:textId="77777777" w:rsidR="000A654C" w:rsidRPr="00716A4A" w:rsidRDefault="000A654C" w:rsidP="000A654C">
      <w:pPr>
        <w:spacing w:line="240" w:lineRule="auto"/>
        <w:rPr>
          <w:rFonts w:eastAsia="Times New Roman" w:cs="Arial"/>
          <w:i/>
          <w:iCs/>
          <w:color w:val="000000"/>
          <w:lang w:eastAsia="bg-BG"/>
        </w:rPr>
      </w:pPr>
    </w:p>
    <w:p w14:paraId="6B0B727B" w14:textId="53D9B50F" w:rsidR="000A654C" w:rsidRPr="000A654C" w:rsidRDefault="000A654C" w:rsidP="000A654C">
      <w:pPr>
        <w:spacing w:line="240" w:lineRule="auto"/>
        <w:rPr>
          <w:rFonts w:eastAsia="Times New Roman" w:cs="Arial"/>
          <w:lang w:eastAsia="bg-BG"/>
        </w:rPr>
      </w:pPr>
      <w:r w:rsidRPr="000A654C">
        <w:rPr>
          <w:rFonts w:eastAsia="Times New Roman" w:cs="Arial"/>
          <w:i/>
          <w:iCs/>
          <w:color w:val="000000"/>
          <w:lang w:eastAsia="bg-BG"/>
        </w:rPr>
        <w:t>Педиатрична популация</w:t>
      </w:r>
    </w:p>
    <w:p w14:paraId="3133D717"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Не съществува релевантно приложение на Лесигон в педиатричната популация при индикацията напреднала болест на Паркинсон с тежки моторни флуктуации и хиперкинезия/дискинезия.</w:t>
      </w:r>
      <w:r w:rsidRPr="000A654C">
        <w:rPr>
          <w:rFonts w:eastAsia="Times New Roman" w:cs="Arial"/>
          <w:color w:val="000000"/>
          <w:lang w:eastAsia="bg-BG"/>
        </w:rPr>
        <w:tab/>
      </w:r>
    </w:p>
    <w:p w14:paraId="2CCF5151" w14:textId="77777777" w:rsidR="000A654C" w:rsidRPr="000A654C" w:rsidRDefault="000A654C" w:rsidP="000A654C">
      <w:pPr>
        <w:spacing w:line="240" w:lineRule="auto"/>
        <w:rPr>
          <w:rFonts w:eastAsia="Times New Roman" w:cs="Arial"/>
          <w:lang w:eastAsia="bg-BG"/>
        </w:rPr>
      </w:pPr>
    </w:p>
    <w:p w14:paraId="435F2709" w14:textId="0A260ACC" w:rsidR="000A654C" w:rsidRPr="00716A4A" w:rsidRDefault="000A654C" w:rsidP="000A654C">
      <w:pPr>
        <w:rPr>
          <w:rFonts w:eastAsia="Times New Roman" w:cs="Arial"/>
          <w:i/>
          <w:iCs/>
          <w:color w:val="000000"/>
          <w:lang w:eastAsia="bg-BG"/>
        </w:rPr>
      </w:pPr>
      <w:r w:rsidRPr="00716A4A">
        <w:rPr>
          <w:rFonts w:eastAsia="Times New Roman" w:cs="Arial"/>
          <w:i/>
          <w:iCs/>
          <w:color w:val="000000"/>
          <w:lang w:eastAsia="bg-BG"/>
        </w:rPr>
        <w:t>Популация в старческа възраст</w:t>
      </w:r>
    </w:p>
    <w:p w14:paraId="5982BA85"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Има значителен опит от употребата на леводопа/карбидопа/ентакапон при пациенти в старческа възраст. Дозите на всички пациенти, включително на тези от гериатричната популация, се регулират индивидуално чрез титриране.</w:t>
      </w:r>
    </w:p>
    <w:p w14:paraId="78458922" w14:textId="77777777" w:rsidR="000A654C" w:rsidRPr="00716A4A" w:rsidRDefault="000A654C" w:rsidP="000A654C">
      <w:pPr>
        <w:spacing w:line="240" w:lineRule="auto"/>
        <w:rPr>
          <w:rFonts w:eastAsia="Times New Roman" w:cs="Arial"/>
          <w:i/>
          <w:iCs/>
          <w:color w:val="000000"/>
          <w:lang w:eastAsia="bg-BG"/>
        </w:rPr>
      </w:pPr>
    </w:p>
    <w:p w14:paraId="073A694B" w14:textId="5DD2BA64" w:rsidR="000A654C" w:rsidRPr="000A654C" w:rsidRDefault="000A654C" w:rsidP="000A654C">
      <w:pPr>
        <w:spacing w:line="240" w:lineRule="auto"/>
        <w:rPr>
          <w:rFonts w:eastAsia="Times New Roman" w:cs="Arial"/>
          <w:lang w:eastAsia="bg-BG"/>
        </w:rPr>
      </w:pPr>
      <w:r w:rsidRPr="000A654C">
        <w:rPr>
          <w:rFonts w:eastAsia="Times New Roman" w:cs="Arial"/>
          <w:i/>
          <w:iCs/>
          <w:color w:val="000000"/>
          <w:lang w:eastAsia="bg-BG"/>
        </w:rPr>
        <w:t>Чернодробно увреждане</w:t>
      </w:r>
    </w:p>
    <w:p w14:paraId="66E62814"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Дозирането на Лесигон се коригира индивидуално чрез титриране до дозата, която осигурява оптимален ефект (която съответства на индивидуално оптимизирана експозиция на леводопа, карбидопа и ентакапон в плазмата). Поради това всички ефекти на чернодробно увреждане върху експозицията на леводопа, карбидопа и ентакапон се вземат предвид при титрирането на дозата. Няма фармакокинетични проучваниня на карбидопа и леводопа при пациенти с чернодробно увреждане. Елиминирането на ентакапон е редуцирано при пациенти с леко до умерено чернодробно увреждане. Затова се препоръчва титрирането на дозата да се проведе внимателно при пациенти с леко до умерено чернодробно увреждане. Може да се наложи намаляване на дозата (вижте точка 5.2). Лесигон не трябва да се използва при пациенти с тежко чернодробно увреждане - вижте точка 4.3.</w:t>
      </w:r>
    </w:p>
    <w:p w14:paraId="6FC46E92" w14:textId="77777777" w:rsidR="000A654C" w:rsidRPr="00716A4A" w:rsidRDefault="000A654C" w:rsidP="000A654C">
      <w:pPr>
        <w:spacing w:line="240" w:lineRule="auto"/>
        <w:rPr>
          <w:rFonts w:eastAsia="Times New Roman" w:cs="Arial"/>
          <w:i/>
          <w:iCs/>
          <w:color w:val="000000"/>
          <w:lang w:eastAsia="bg-BG"/>
        </w:rPr>
      </w:pPr>
    </w:p>
    <w:p w14:paraId="269C6C32" w14:textId="531BE246" w:rsidR="000A654C" w:rsidRPr="000A654C" w:rsidRDefault="000A654C" w:rsidP="000A654C">
      <w:pPr>
        <w:spacing w:line="240" w:lineRule="auto"/>
        <w:rPr>
          <w:rFonts w:eastAsia="Times New Roman" w:cs="Arial"/>
          <w:lang w:eastAsia="bg-BG"/>
        </w:rPr>
      </w:pPr>
      <w:r w:rsidRPr="000A654C">
        <w:rPr>
          <w:rFonts w:eastAsia="Times New Roman" w:cs="Arial"/>
          <w:i/>
          <w:iCs/>
          <w:color w:val="000000"/>
          <w:lang w:eastAsia="bg-BG"/>
        </w:rPr>
        <w:t>Бъбречно увреждане</w:t>
      </w:r>
    </w:p>
    <w:p w14:paraId="59EF8757"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lastRenderedPageBreak/>
        <w:t>Дозирането на Лесигон се коригира индивидуално чрез титриране до дозата, която осигурява оптимален ефект (която съответства на индивидуално оптимизирана експозиция на леводопа, карбидопа и ентакапон в плазмата). Поради това всички ефекти на бъбречно увреждане върху експозицията на леводопа, карбидопа и ентакапон се вземат предвид при титрирането на дозата. Бъбречното увреждане не засяга фармакокинетиката на ентакапон. Няма специфични фармакокинетични проучваниня на леводопа и карбидопа при пациенти с бъбречно увреждане. Затова се препоръчва титрирането на дозата да се проведе внимателно при пациенти с тежко бъбречно увреждане, включително тези, приемащи лечение с диализа (вижте точка 5.2).</w:t>
      </w:r>
    </w:p>
    <w:p w14:paraId="0E2F9961" w14:textId="77777777" w:rsidR="000A654C" w:rsidRPr="00716A4A" w:rsidRDefault="000A654C" w:rsidP="000A654C">
      <w:pPr>
        <w:spacing w:line="240" w:lineRule="auto"/>
        <w:rPr>
          <w:rFonts w:eastAsia="Times New Roman" w:cs="Arial"/>
          <w:color w:val="000000"/>
          <w:u w:val="single"/>
          <w:lang w:eastAsia="bg-BG"/>
        </w:rPr>
      </w:pPr>
    </w:p>
    <w:p w14:paraId="5527F1E4" w14:textId="4614272C" w:rsidR="000A654C" w:rsidRPr="000A654C" w:rsidRDefault="000A654C" w:rsidP="000A654C">
      <w:pPr>
        <w:spacing w:line="240" w:lineRule="auto"/>
        <w:rPr>
          <w:rFonts w:eastAsia="Times New Roman" w:cs="Arial"/>
          <w:lang w:eastAsia="bg-BG"/>
        </w:rPr>
      </w:pPr>
      <w:r w:rsidRPr="000A654C">
        <w:rPr>
          <w:rFonts w:eastAsia="Times New Roman" w:cs="Arial"/>
          <w:color w:val="000000"/>
          <w:u w:val="single"/>
          <w:lang w:eastAsia="bg-BG"/>
        </w:rPr>
        <w:t>Прекъсване на терапията</w:t>
      </w:r>
    </w:p>
    <w:p w14:paraId="29C6AE29" w14:textId="77777777" w:rsidR="000A654C" w:rsidRPr="00716A4A" w:rsidRDefault="000A654C" w:rsidP="000A654C">
      <w:pPr>
        <w:spacing w:line="240" w:lineRule="auto"/>
        <w:rPr>
          <w:rFonts w:eastAsia="Times New Roman" w:cs="Arial"/>
          <w:color w:val="000000"/>
          <w:lang w:eastAsia="bg-BG"/>
        </w:rPr>
      </w:pPr>
    </w:p>
    <w:p w14:paraId="78779722" w14:textId="52693943"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Лечението с Лесигон може да бъде прекъснато по всяко време чрез премахване на тръбичката и оставяне на раната да заздравее.</w:t>
      </w:r>
    </w:p>
    <w:p w14:paraId="1EEDF55B"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Пациентите трябва да бъдат наблюдавани внимателно, в случай че се наложи внезапно намаляване на дозата или възникне необходимост да се преустанови лечението с Лесигон, особено ако пациентът приема антипсихо гици, вижте точка 4.4.</w:t>
      </w:r>
    </w:p>
    <w:p w14:paraId="29EA5D3B"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Ако лечението е преустановено, пациентът трябва да получава алтернативно лечение.</w:t>
      </w:r>
    </w:p>
    <w:p w14:paraId="457CA238" w14:textId="77777777" w:rsidR="000A654C" w:rsidRPr="00716A4A" w:rsidRDefault="000A654C" w:rsidP="000A654C">
      <w:pPr>
        <w:spacing w:line="240" w:lineRule="auto"/>
        <w:rPr>
          <w:rFonts w:eastAsia="Times New Roman" w:cs="Arial"/>
          <w:color w:val="000000"/>
          <w:u w:val="single"/>
          <w:lang w:eastAsia="bg-BG"/>
        </w:rPr>
      </w:pPr>
    </w:p>
    <w:p w14:paraId="1F076A9D" w14:textId="1953F8CD" w:rsidR="000A654C" w:rsidRPr="00716A4A" w:rsidRDefault="000A654C" w:rsidP="00716A4A">
      <w:pPr>
        <w:pStyle w:val="Heading3"/>
        <w:rPr>
          <w:rFonts w:eastAsia="Times New Roman"/>
          <w:u w:val="single"/>
          <w:lang w:eastAsia="bg-BG"/>
        </w:rPr>
      </w:pPr>
      <w:r w:rsidRPr="00716A4A">
        <w:rPr>
          <w:rFonts w:eastAsia="Times New Roman"/>
          <w:u w:val="single"/>
          <w:lang w:eastAsia="bg-BG"/>
        </w:rPr>
        <w:t>Начин на приложение</w:t>
      </w:r>
    </w:p>
    <w:p w14:paraId="0A6EA980" w14:textId="77777777" w:rsidR="000A654C" w:rsidRPr="00716A4A" w:rsidRDefault="000A654C" w:rsidP="000A654C">
      <w:pPr>
        <w:spacing w:line="240" w:lineRule="auto"/>
        <w:rPr>
          <w:rFonts w:eastAsia="Times New Roman" w:cs="Arial"/>
          <w:color w:val="000000"/>
          <w:lang w:eastAsia="bg-BG"/>
        </w:rPr>
      </w:pPr>
    </w:p>
    <w:p w14:paraId="7A91DC21" w14:textId="59681EB3"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 xml:space="preserve">Лесигон представлява гел за продължително прилагане в червата (прилагане към дванадесетопръстника или горния йеюнум). За прилагането на Лесигон може да се използва само помпа </w:t>
      </w:r>
      <w:proofErr w:type="spellStart"/>
      <w:r w:rsidRPr="000A654C">
        <w:rPr>
          <w:rFonts w:eastAsia="Times New Roman" w:cs="Arial"/>
          <w:color w:val="000000"/>
          <w:lang w:val="en-US"/>
        </w:rPr>
        <w:t>Crono</w:t>
      </w:r>
      <w:proofErr w:type="spellEnd"/>
      <w:r w:rsidRPr="000A654C">
        <w:rPr>
          <w:rFonts w:eastAsia="Times New Roman" w:cs="Arial"/>
          <w:color w:val="000000"/>
          <w:lang w:val="en-US"/>
        </w:rPr>
        <w:t xml:space="preserve"> LECIG </w:t>
      </w:r>
      <w:r w:rsidRPr="000A654C">
        <w:rPr>
          <w:rFonts w:eastAsia="Times New Roman" w:cs="Arial"/>
          <w:color w:val="000000"/>
          <w:lang w:eastAsia="bg-BG"/>
        </w:rPr>
        <w:t xml:space="preserve">(СЕ 0476). </w:t>
      </w:r>
      <w:r w:rsidRPr="000A654C">
        <w:rPr>
          <w:rFonts w:eastAsia="Times New Roman" w:cs="Arial"/>
          <w:b/>
          <w:bCs/>
          <w:color w:val="000000"/>
          <w:lang w:eastAsia="bg-BG"/>
        </w:rPr>
        <w:t>Към помпата се доставя ръководство с инструкции за използване на преносимата помпа.</w:t>
      </w:r>
    </w:p>
    <w:p w14:paraId="21C6A4F2" w14:textId="77777777" w:rsidR="000A654C" w:rsidRPr="00716A4A" w:rsidRDefault="000A654C" w:rsidP="000A654C">
      <w:pPr>
        <w:spacing w:line="240" w:lineRule="auto"/>
        <w:rPr>
          <w:rFonts w:eastAsia="Times New Roman" w:cs="Arial"/>
          <w:color w:val="000000"/>
          <w:lang w:eastAsia="bg-BG"/>
        </w:rPr>
      </w:pPr>
    </w:p>
    <w:p w14:paraId="48B6C8B0" w14:textId="738A7565"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 xml:space="preserve">Трябва да се обмисли временна назодуоденална/назойеюнална тръбичка, за да се определи дали пациентът отговаря задоволително на този метод на лечение, преди да се постави постоянна перкутанна ендоскопска гастростомия с йеюнална тръбичка </w:t>
      </w:r>
      <w:r w:rsidRPr="000A654C">
        <w:rPr>
          <w:rFonts w:eastAsia="Times New Roman" w:cs="Arial"/>
          <w:color w:val="000000"/>
          <w:lang w:val="en-US"/>
        </w:rPr>
        <w:t xml:space="preserve">(PEG-J). </w:t>
      </w:r>
      <w:r w:rsidRPr="000A654C">
        <w:rPr>
          <w:rFonts w:eastAsia="Times New Roman" w:cs="Arial"/>
          <w:color w:val="000000"/>
          <w:lang w:eastAsia="bg-BG"/>
        </w:rPr>
        <w:t xml:space="preserve">В случаите, когато лекарят счита, че тази оценка не е необходима, пробната назойеюнална фаза може да се отмени и лечението да започне директно с поставянето на </w:t>
      </w:r>
      <w:r w:rsidRPr="000A654C">
        <w:rPr>
          <w:rFonts w:eastAsia="Times New Roman" w:cs="Arial"/>
          <w:color w:val="000000"/>
          <w:lang w:val="en-US"/>
        </w:rPr>
        <w:t>PEG-J.</w:t>
      </w:r>
    </w:p>
    <w:p w14:paraId="1A5615AE" w14:textId="77777777" w:rsidR="000A654C" w:rsidRPr="00716A4A" w:rsidRDefault="000A654C" w:rsidP="000A654C">
      <w:pPr>
        <w:spacing w:line="240" w:lineRule="auto"/>
        <w:rPr>
          <w:rFonts w:eastAsia="Times New Roman" w:cs="Arial"/>
          <w:color w:val="000000"/>
          <w:lang w:eastAsia="bg-BG"/>
        </w:rPr>
      </w:pPr>
    </w:p>
    <w:p w14:paraId="273DD497" w14:textId="1EAAD264"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При дългосрочно приложение гелът трябва да се прилага с преносима помпа директно в дуоденума или горния йеюнум чрез постоянна тръбичка посредством перкутанна ендоскопска гастростомия с външна трансабдоминална тръбичка и вътрешна интестинална тръбичка Алтернативно може да се обмисли рентгенологична гастройеюностомия, ако перкутанната  ендоскопска гастростомия не е подходяща поради някаква причина. Хирургическата операция и корекция на дозата трябва да се извършат в съчетание с неврологична клинична картина.</w:t>
      </w:r>
    </w:p>
    <w:p w14:paraId="0A1177BB" w14:textId="77777777" w:rsidR="000A654C" w:rsidRPr="000A654C" w:rsidRDefault="000A654C" w:rsidP="000A654C">
      <w:pPr>
        <w:spacing w:line="240" w:lineRule="auto"/>
        <w:rPr>
          <w:rFonts w:eastAsia="Times New Roman" w:cs="Arial"/>
          <w:lang w:eastAsia="bg-BG"/>
        </w:rPr>
      </w:pPr>
    </w:p>
    <w:p w14:paraId="7078E2A3" w14:textId="5CB29820" w:rsidR="000A654C" w:rsidRPr="00716A4A" w:rsidRDefault="000A654C" w:rsidP="000A654C">
      <w:pPr>
        <w:rPr>
          <w:rFonts w:eastAsia="Times New Roman" w:cs="Arial"/>
          <w:i/>
          <w:iCs/>
          <w:color w:val="000000"/>
          <w:lang w:eastAsia="bg-BG"/>
        </w:rPr>
      </w:pPr>
      <w:r w:rsidRPr="00716A4A">
        <w:rPr>
          <w:rFonts w:eastAsia="Times New Roman" w:cs="Arial"/>
          <w:i/>
          <w:iCs/>
          <w:color w:val="000000"/>
          <w:lang w:eastAsia="bg-BG"/>
        </w:rPr>
        <w:t>Подмяна на патрона</w:t>
      </w:r>
    </w:p>
    <w:p w14:paraId="5FC993DF"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За да използвате нов патрон, той трябва да бъде прикрепен към преносимата помпа и системата, свързана към тръбичката за прилагане, съгласно дадените инструкции.</w:t>
      </w:r>
    </w:p>
    <w:p w14:paraId="4C2BB1ED" w14:textId="77777777" w:rsidR="000A654C" w:rsidRPr="00716A4A" w:rsidRDefault="000A654C" w:rsidP="000A654C">
      <w:pPr>
        <w:spacing w:line="240" w:lineRule="auto"/>
        <w:rPr>
          <w:rFonts w:eastAsia="Times New Roman" w:cs="Arial"/>
          <w:color w:val="000000"/>
          <w:lang w:eastAsia="bg-BG"/>
        </w:rPr>
      </w:pPr>
    </w:p>
    <w:p w14:paraId="533AAC86" w14:textId="34A57FFC"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Патронът е само за еднократна употреба и не трябва да се използва за повече от 24 часа. Помпата за дозиране с поставен патрон може да се носи близо до тялото за до 16 часа. По време на лечение за през нощта помпата не трябва да се носи непосредствено до тялото, но може например да се остави на нощната масичка.</w:t>
      </w:r>
    </w:p>
    <w:p w14:paraId="0CF97AB5"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lastRenderedPageBreak/>
        <w:t>Веднъж отворен, патронът може да бъде използван на следващия ден, т.е. до 24 часа след първото му отваряне. Патронът се отстранява от помпата след 24 часа използване или когато е изчерпан, което от двете се случи първо.</w:t>
      </w:r>
    </w:p>
    <w:p w14:paraId="4246E3FF" w14:textId="77777777" w:rsidR="000A654C" w:rsidRPr="00716A4A" w:rsidRDefault="000A654C" w:rsidP="000A654C">
      <w:pPr>
        <w:rPr>
          <w:rFonts w:eastAsia="Times New Roman" w:cs="Arial"/>
          <w:color w:val="000000"/>
          <w:lang w:eastAsia="bg-BG"/>
        </w:rPr>
      </w:pPr>
    </w:p>
    <w:p w14:paraId="4A82F704" w14:textId="46F1B8AF" w:rsidR="000A654C" w:rsidRPr="00716A4A" w:rsidRDefault="000A654C" w:rsidP="000A654C">
      <w:pPr>
        <w:rPr>
          <w:rFonts w:cs="Arial"/>
        </w:rPr>
      </w:pPr>
      <w:r w:rsidRPr="00716A4A">
        <w:rPr>
          <w:rFonts w:eastAsia="Times New Roman" w:cs="Arial"/>
          <w:color w:val="000000"/>
          <w:lang w:eastAsia="bg-BG"/>
        </w:rPr>
        <w:t>Гелът може да стане леко жълт/червеникав в края на неговия срок на годност. Това не повлиява концентрацията на лекарството или ефекта на лечението.</w:t>
      </w:r>
    </w:p>
    <w:p w14:paraId="48F8CD98" w14:textId="77777777" w:rsidR="000A654C" w:rsidRPr="0091385D" w:rsidRDefault="000A654C"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32FD92C6" w14:textId="77777777" w:rsidR="000A654C" w:rsidRPr="00716A4A" w:rsidRDefault="000A654C" w:rsidP="000A654C">
      <w:pPr>
        <w:pStyle w:val="ListParagraph"/>
        <w:numPr>
          <w:ilvl w:val="0"/>
          <w:numId w:val="39"/>
        </w:numPr>
        <w:spacing w:line="240" w:lineRule="auto"/>
        <w:rPr>
          <w:rFonts w:eastAsia="Times New Roman" w:cs="Arial"/>
          <w:color w:val="000000"/>
          <w:lang w:eastAsia="bg-BG"/>
        </w:rPr>
      </w:pPr>
      <w:r w:rsidRPr="00716A4A">
        <w:rPr>
          <w:rFonts w:eastAsia="Times New Roman" w:cs="Arial"/>
          <w:color w:val="000000"/>
          <w:lang w:eastAsia="bg-BG"/>
        </w:rPr>
        <w:t>Свръхчувствителност към активните вещества или към някоя от помощните вещества, изброени в точка 6.1.</w:t>
      </w:r>
    </w:p>
    <w:p w14:paraId="7C6F4032" w14:textId="77777777" w:rsidR="000A654C" w:rsidRPr="00716A4A" w:rsidRDefault="000A654C" w:rsidP="000A654C">
      <w:pPr>
        <w:pStyle w:val="ListParagraph"/>
        <w:numPr>
          <w:ilvl w:val="0"/>
          <w:numId w:val="39"/>
        </w:numPr>
        <w:spacing w:line="240" w:lineRule="auto"/>
        <w:rPr>
          <w:rFonts w:eastAsia="Times New Roman" w:cs="Arial"/>
          <w:color w:val="000000"/>
          <w:lang w:eastAsia="bg-BG"/>
        </w:rPr>
      </w:pPr>
      <w:r w:rsidRPr="00716A4A">
        <w:rPr>
          <w:rFonts w:eastAsia="Times New Roman" w:cs="Arial"/>
          <w:color w:val="000000"/>
          <w:lang w:eastAsia="bg-BG"/>
        </w:rPr>
        <w:t>Тясноъгълна глаукома.</w:t>
      </w:r>
    </w:p>
    <w:p w14:paraId="4ED35E26" w14:textId="77777777" w:rsidR="000A654C" w:rsidRPr="00716A4A" w:rsidRDefault="000A654C" w:rsidP="000A654C">
      <w:pPr>
        <w:pStyle w:val="ListParagraph"/>
        <w:numPr>
          <w:ilvl w:val="0"/>
          <w:numId w:val="39"/>
        </w:numPr>
        <w:spacing w:line="240" w:lineRule="auto"/>
        <w:rPr>
          <w:rFonts w:eastAsia="Times New Roman" w:cs="Arial"/>
          <w:color w:val="000000"/>
          <w:lang w:eastAsia="bg-BG"/>
        </w:rPr>
      </w:pPr>
      <w:r w:rsidRPr="00716A4A">
        <w:rPr>
          <w:rFonts w:eastAsia="Times New Roman" w:cs="Arial"/>
          <w:color w:val="000000"/>
          <w:lang w:eastAsia="bg-BG"/>
        </w:rPr>
        <w:t>Тежка сърдечна недостатъчност.</w:t>
      </w:r>
    </w:p>
    <w:p w14:paraId="3851ED2E" w14:textId="77777777" w:rsidR="000A654C" w:rsidRPr="00716A4A" w:rsidRDefault="000A654C" w:rsidP="000A654C">
      <w:pPr>
        <w:pStyle w:val="ListParagraph"/>
        <w:numPr>
          <w:ilvl w:val="0"/>
          <w:numId w:val="39"/>
        </w:numPr>
        <w:spacing w:line="240" w:lineRule="auto"/>
        <w:rPr>
          <w:rFonts w:eastAsia="Times New Roman" w:cs="Arial"/>
          <w:color w:val="000000"/>
          <w:lang w:eastAsia="bg-BG"/>
        </w:rPr>
      </w:pPr>
      <w:r w:rsidRPr="00716A4A">
        <w:rPr>
          <w:rFonts w:eastAsia="Times New Roman" w:cs="Arial"/>
          <w:color w:val="000000"/>
          <w:lang w:eastAsia="bg-BG"/>
        </w:rPr>
        <w:t>Тежка сърдечна аритмия.</w:t>
      </w:r>
    </w:p>
    <w:p w14:paraId="537523AB" w14:textId="77777777" w:rsidR="000A654C" w:rsidRPr="00716A4A" w:rsidRDefault="000A654C" w:rsidP="000A654C">
      <w:pPr>
        <w:pStyle w:val="ListParagraph"/>
        <w:numPr>
          <w:ilvl w:val="0"/>
          <w:numId w:val="39"/>
        </w:numPr>
        <w:spacing w:line="240" w:lineRule="auto"/>
        <w:rPr>
          <w:rFonts w:eastAsia="Times New Roman" w:cs="Arial"/>
          <w:color w:val="000000"/>
          <w:lang w:eastAsia="bg-BG"/>
        </w:rPr>
      </w:pPr>
      <w:r w:rsidRPr="00716A4A">
        <w:rPr>
          <w:rFonts w:eastAsia="Times New Roman" w:cs="Arial"/>
          <w:color w:val="000000"/>
          <w:lang w:eastAsia="bg-BG"/>
        </w:rPr>
        <w:t>Остър инсулт.</w:t>
      </w:r>
    </w:p>
    <w:p w14:paraId="6C79FB03" w14:textId="77777777" w:rsidR="000A654C" w:rsidRPr="00716A4A" w:rsidRDefault="000A654C" w:rsidP="000A654C">
      <w:pPr>
        <w:pStyle w:val="ListParagraph"/>
        <w:numPr>
          <w:ilvl w:val="0"/>
          <w:numId w:val="39"/>
        </w:numPr>
        <w:spacing w:line="240" w:lineRule="auto"/>
        <w:rPr>
          <w:rFonts w:eastAsia="Times New Roman" w:cs="Arial"/>
          <w:color w:val="000000"/>
          <w:lang w:eastAsia="bg-BG"/>
        </w:rPr>
      </w:pPr>
      <w:r w:rsidRPr="00716A4A">
        <w:rPr>
          <w:rFonts w:eastAsia="Times New Roman" w:cs="Arial"/>
          <w:color w:val="000000"/>
          <w:lang w:eastAsia="bg-BG"/>
        </w:rPr>
        <w:t>Тежко чернодробно увреждане.</w:t>
      </w:r>
    </w:p>
    <w:p w14:paraId="119A5F3D" w14:textId="77777777" w:rsidR="000A654C" w:rsidRPr="00716A4A" w:rsidRDefault="000A654C" w:rsidP="000A654C">
      <w:pPr>
        <w:pStyle w:val="ListParagraph"/>
        <w:numPr>
          <w:ilvl w:val="0"/>
          <w:numId w:val="39"/>
        </w:numPr>
        <w:spacing w:line="240" w:lineRule="auto"/>
        <w:rPr>
          <w:rFonts w:eastAsia="Times New Roman" w:cs="Arial"/>
          <w:color w:val="000000"/>
          <w:lang w:eastAsia="bg-BG"/>
        </w:rPr>
      </w:pPr>
      <w:r w:rsidRPr="00716A4A">
        <w:rPr>
          <w:rFonts w:eastAsia="Times New Roman" w:cs="Arial"/>
          <w:color w:val="000000"/>
          <w:lang w:eastAsia="bg-BG"/>
        </w:rPr>
        <w:t>Прилагането на неселективни МАО инхибитори и селективни МАО инхибитори тип А са противопоказани за използване с Лесигон. Тези инхибитори трябва да бъдат преустановени най-малко две седмици преди започване на терапията с Лесигон. Лесигон може да се прилага едновременно с препоръчаната от производителя доза на МАО инхибитор със селективност за МАО тип Б (напр. селегилин хидрохлорид) (вижте точка 4.5).</w:t>
      </w:r>
    </w:p>
    <w:p w14:paraId="670A8D6A" w14:textId="77777777" w:rsidR="000A654C" w:rsidRPr="00716A4A" w:rsidRDefault="000A654C" w:rsidP="000A654C">
      <w:pPr>
        <w:pStyle w:val="ListParagraph"/>
        <w:numPr>
          <w:ilvl w:val="0"/>
          <w:numId w:val="39"/>
        </w:numPr>
        <w:spacing w:line="240" w:lineRule="auto"/>
        <w:rPr>
          <w:rFonts w:eastAsia="Times New Roman" w:cs="Arial"/>
          <w:color w:val="000000"/>
          <w:lang w:eastAsia="bg-BG"/>
        </w:rPr>
      </w:pPr>
      <w:r w:rsidRPr="00716A4A">
        <w:rPr>
          <w:rFonts w:eastAsia="Times New Roman" w:cs="Arial"/>
          <w:color w:val="000000"/>
          <w:lang w:eastAsia="bg-BG"/>
        </w:rPr>
        <w:t>Състояния, при които адренергичните лекарства са противопоказани, напр. феохромоцитома, хипертиреоидизъм и синдром на Къшинг.</w:t>
      </w:r>
    </w:p>
    <w:p w14:paraId="698EEB7F" w14:textId="77777777" w:rsidR="000A654C" w:rsidRPr="00716A4A" w:rsidRDefault="000A654C" w:rsidP="000A654C">
      <w:pPr>
        <w:pStyle w:val="ListParagraph"/>
        <w:numPr>
          <w:ilvl w:val="0"/>
          <w:numId w:val="39"/>
        </w:numPr>
        <w:spacing w:line="240" w:lineRule="auto"/>
        <w:rPr>
          <w:rFonts w:eastAsia="Times New Roman" w:cs="Arial"/>
          <w:color w:val="000000"/>
          <w:lang w:eastAsia="bg-BG"/>
        </w:rPr>
      </w:pPr>
      <w:r w:rsidRPr="00716A4A">
        <w:rPr>
          <w:rFonts w:eastAsia="Times New Roman" w:cs="Arial"/>
          <w:color w:val="000000"/>
          <w:lang w:eastAsia="bg-BG"/>
        </w:rPr>
        <w:t xml:space="preserve">Предишен невролептичен злокачествен синдром </w:t>
      </w:r>
      <w:r w:rsidRPr="00716A4A">
        <w:rPr>
          <w:rFonts w:eastAsia="Times New Roman" w:cs="Arial"/>
          <w:color w:val="000000"/>
          <w:lang w:val="en-US"/>
        </w:rPr>
        <w:t xml:space="preserve">(NMS) </w:t>
      </w:r>
      <w:r w:rsidRPr="00716A4A">
        <w:rPr>
          <w:rFonts w:eastAsia="Times New Roman" w:cs="Arial"/>
          <w:color w:val="000000"/>
          <w:lang w:eastAsia="bg-BG"/>
        </w:rPr>
        <w:t>и/или атравматична рабдомиолиза.</w:t>
      </w:r>
    </w:p>
    <w:p w14:paraId="030B6A4D" w14:textId="4663465B" w:rsidR="00EC41ED" w:rsidRPr="00716A4A" w:rsidRDefault="000A654C" w:rsidP="000A654C">
      <w:pPr>
        <w:pStyle w:val="ListParagraph"/>
        <w:numPr>
          <w:ilvl w:val="0"/>
          <w:numId w:val="39"/>
        </w:numPr>
        <w:spacing w:line="240" w:lineRule="auto"/>
        <w:rPr>
          <w:rFonts w:eastAsia="Times New Roman" w:cs="Arial"/>
          <w:color w:val="000000"/>
          <w:lang w:eastAsia="bg-BG"/>
        </w:rPr>
      </w:pPr>
      <w:r w:rsidRPr="00716A4A">
        <w:rPr>
          <w:rFonts w:eastAsia="Times New Roman" w:cs="Arial"/>
          <w:color w:val="000000"/>
          <w:lang w:eastAsia="bg-BG"/>
        </w:rPr>
        <w:t>Суспектни недиагностицирани кожни лезии или анамнеза за меланома (леводопа би могла да активира злокачествен меланом).</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2280147A"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Лесигон не се препоръчва за лечението на индуцирани от лекарствата екстрапирамидални реакции.</w:t>
      </w:r>
    </w:p>
    <w:p w14:paraId="1CA6703A" w14:textId="77777777" w:rsidR="000A654C" w:rsidRPr="00716A4A" w:rsidRDefault="000A654C" w:rsidP="000A654C">
      <w:pPr>
        <w:spacing w:line="240" w:lineRule="auto"/>
        <w:rPr>
          <w:rFonts w:eastAsia="Times New Roman" w:cs="Arial"/>
          <w:color w:val="000000"/>
          <w:lang w:eastAsia="bg-BG"/>
        </w:rPr>
      </w:pPr>
    </w:p>
    <w:p w14:paraId="269E571A" w14:textId="404E7334"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Лесигон трябва да се прилага внимателно при пациенти с исхемично заболяване на сърцето, тежко сърдечносъдово или белодробно заболяване, бронхиална астма, бъбречно, чернодробно или ендокринно заболяване или анамнеза за пептична язвена болест или за конвулсии.</w:t>
      </w:r>
    </w:p>
    <w:p w14:paraId="719A1CC4" w14:textId="77777777" w:rsidR="000A654C" w:rsidRPr="00716A4A" w:rsidRDefault="000A654C" w:rsidP="000A654C">
      <w:pPr>
        <w:spacing w:line="240" w:lineRule="auto"/>
        <w:rPr>
          <w:rFonts w:eastAsia="Times New Roman" w:cs="Arial"/>
          <w:color w:val="000000"/>
          <w:lang w:eastAsia="bg-BG"/>
        </w:rPr>
      </w:pPr>
    </w:p>
    <w:p w14:paraId="23803E90" w14:textId="60171C00"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При пациенти с анамнеза за инфаркт на миокарда, които имат остатъчни предсърдни нодални или камерни аритмии, сърдечната функция трябва да бъде наблюдавана с особено внимание през периода на първоначалните корекции на дозировката.</w:t>
      </w:r>
    </w:p>
    <w:p w14:paraId="641CF981" w14:textId="77777777" w:rsidR="000A654C" w:rsidRPr="00716A4A" w:rsidRDefault="000A654C" w:rsidP="000A654C">
      <w:pPr>
        <w:spacing w:line="240" w:lineRule="auto"/>
        <w:rPr>
          <w:rFonts w:eastAsia="Times New Roman" w:cs="Arial"/>
          <w:color w:val="000000"/>
          <w:lang w:eastAsia="bg-BG"/>
        </w:rPr>
      </w:pPr>
    </w:p>
    <w:p w14:paraId="09ECE40C" w14:textId="3E9B3A6B"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Всички пациенти, лекувани с Лесигон, трябва да бъдат наблюдавани внимателно за развиване на промени в психиката, депресия със суицидни тенденции и други сериозни психически промени. Пациенти с минала или настояща психоза трябва да бъдат лекувани внимателно.</w:t>
      </w:r>
    </w:p>
    <w:p w14:paraId="120E0324" w14:textId="77777777" w:rsidR="000A654C" w:rsidRPr="00716A4A" w:rsidRDefault="000A654C" w:rsidP="000A654C">
      <w:pPr>
        <w:rPr>
          <w:rFonts w:eastAsia="Times New Roman" w:cs="Arial"/>
          <w:color w:val="000000"/>
          <w:lang w:eastAsia="bg-BG"/>
        </w:rPr>
      </w:pPr>
    </w:p>
    <w:p w14:paraId="09BAC3FE" w14:textId="77777777" w:rsidR="000A654C" w:rsidRPr="00716A4A" w:rsidRDefault="000A654C" w:rsidP="000A654C">
      <w:pPr>
        <w:rPr>
          <w:rFonts w:eastAsia="Times New Roman" w:cs="Arial"/>
          <w:lang w:eastAsia="bg-BG"/>
        </w:rPr>
      </w:pPr>
      <w:r w:rsidRPr="00716A4A">
        <w:rPr>
          <w:rFonts w:eastAsia="Times New Roman" w:cs="Arial"/>
          <w:color w:val="000000"/>
          <w:lang w:eastAsia="bg-BG"/>
        </w:rPr>
        <w:lastRenderedPageBreak/>
        <w:t xml:space="preserve">Едновременното приложение е антипсихотици със свойства за блокиране на допаминовите рецептори, особено </w:t>
      </w:r>
      <w:r w:rsidRPr="00716A4A">
        <w:rPr>
          <w:rFonts w:eastAsia="Times New Roman" w:cs="Arial"/>
          <w:color w:val="000000"/>
          <w:lang w:val="en-US"/>
        </w:rPr>
        <w:t xml:space="preserve">D2 </w:t>
      </w:r>
      <w:r w:rsidRPr="00716A4A">
        <w:rPr>
          <w:rFonts w:eastAsia="Times New Roman" w:cs="Arial"/>
          <w:color w:val="000000"/>
          <w:lang w:eastAsia="bg-BG"/>
        </w:rPr>
        <w:t>рецепторни антагонисти, трябва да се извършва внимателно като пациентът трябва да се наблюдава внимателно за загуба на антипаркинсоновия ефект или влошаване на паркинсоновите симптоми, вижте точка 4.5.</w:t>
      </w:r>
    </w:p>
    <w:p w14:paraId="5FCEEAF9" w14:textId="77777777" w:rsidR="000A654C" w:rsidRPr="00716A4A" w:rsidRDefault="000A654C" w:rsidP="000A654C">
      <w:pPr>
        <w:spacing w:line="240" w:lineRule="auto"/>
        <w:rPr>
          <w:rFonts w:eastAsia="Times New Roman" w:cs="Arial"/>
          <w:color w:val="000000"/>
          <w:lang w:eastAsia="bg-BG"/>
        </w:rPr>
      </w:pPr>
    </w:p>
    <w:p w14:paraId="5CFDA011" w14:textId="54E59B1D" w:rsidR="000A654C" w:rsidRPr="000A654C" w:rsidRDefault="000A654C" w:rsidP="000A654C">
      <w:pPr>
        <w:spacing w:line="240" w:lineRule="auto"/>
        <w:rPr>
          <w:rFonts w:eastAsia="Times New Roman" w:cs="Arial"/>
          <w:color w:val="000000"/>
          <w:lang w:eastAsia="bg-BG"/>
        </w:rPr>
      </w:pPr>
      <w:r w:rsidRPr="000A654C">
        <w:rPr>
          <w:rFonts w:eastAsia="Times New Roman" w:cs="Arial"/>
          <w:color w:val="000000"/>
          <w:lang w:eastAsia="bg-BG"/>
        </w:rPr>
        <w:t>Пациентите с хронична широкоъгълна глаукома могат да бъдат лекувани с Лесигон с повишено внимание при добър контрол на вътреочното налягане, като пациентът се наблюдава внимателно за промени във вътреочното налягане.</w:t>
      </w:r>
    </w:p>
    <w:p w14:paraId="4E931083" w14:textId="77777777" w:rsidR="000A654C" w:rsidRPr="00716A4A" w:rsidRDefault="000A654C" w:rsidP="000A654C">
      <w:pPr>
        <w:spacing w:line="240" w:lineRule="auto"/>
        <w:rPr>
          <w:rFonts w:eastAsia="Times New Roman" w:cs="Arial"/>
          <w:color w:val="000000"/>
          <w:lang w:eastAsia="bg-BG"/>
        </w:rPr>
      </w:pPr>
    </w:p>
    <w:p w14:paraId="08F2A03E" w14:textId="077C81FA"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Лесигон може да индуцира ортостатична хипотония. Затова Лесигон трябва да се дава внимателно на пациенти, които приемат други лекарствени продукти, които могат да предизвикат ортостатична хипотония, вижте точка 4.5.</w:t>
      </w:r>
    </w:p>
    <w:p w14:paraId="7D314418" w14:textId="77777777" w:rsidR="000A654C" w:rsidRPr="00716A4A" w:rsidRDefault="000A654C" w:rsidP="000A654C">
      <w:pPr>
        <w:spacing w:line="240" w:lineRule="auto"/>
        <w:rPr>
          <w:rFonts w:eastAsia="Times New Roman" w:cs="Arial"/>
          <w:color w:val="000000"/>
          <w:lang w:eastAsia="bg-BG"/>
        </w:rPr>
      </w:pPr>
    </w:p>
    <w:p w14:paraId="5EFA2BDC" w14:textId="7AED505F"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Активните вещества в Лесигон са били свързани със сомнолентност и епизоди на внезапно заспиване при пациенти с болестта на Паркинсон. Затова трябва да се внимава при шофиране и използване на машини (вижте точки 4.7 и 4.8).</w:t>
      </w:r>
    </w:p>
    <w:p w14:paraId="4D145235" w14:textId="77777777" w:rsidR="000A654C" w:rsidRPr="00716A4A" w:rsidRDefault="000A654C" w:rsidP="000A654C">
      <w:pPr>
        <w:spacing w:line="240" w:lineRule="auto"/>
        <w:rPr>
          <w:rFonts w:eastAsia="Times New Roman" w:cs="Arial"/>
          <w:color w:val="000000"/>
          <w:lang w:eastAsia="bg-BG"/>
        </w:rPr>
      </w:pPr>
    </w:p>
    <w:p w14:paraId="3E717FBF" w14:textId="5F59BBB9" w:rsidR="000A654C" w:rsidRPr="000A654C" w:rsidRDefault="000A654C" w:rsidP="000A654C">
      <w:pPr>
        <w:spacing w:line="240" w:lineRule="auto"/>
        <w:rPr>
          <w:rFonts w:eastAsia="Times New Roman" w:cs="Arial"/>
          <w:color w:val="000000"/>
          <w:lang w:eastAsia="bg-BG"/>
        </w:rPr>
      </w:pPr>
      <w:r w:rsidRPr="000A654C">
        <w:rPr>
          <w:rFonts w:eastAsia="Times New Roman" w:cs="Arial"/>
          <w:color w:val="000000"/>
          <w:lang w:eastAsia="bg-BG"/>
        </w:rPr>
        <w:t>При рязко прекъсване на антипаркинсоновите лекарствени продукти е наблюдаван комплекс от симптоми, наподобяващ невролептичен злокачествен синдром (НЗС), включващ мускулна ригидност, повишена телесна температура, ментални промени (напр. ажитация, обърканост, кома) и повишени серумни нива на креатин фосфокиназа. Рабдомиолиза вследствие на невролептичен злокачествен синдром или тежки дискинезии е наблюдавана рядко при пациенти с болестта на Паркинсон. Откакто е въведен на пазара ентакапон, са докладвани изолирани случаи на НЗС, особено след рязко намаляване на дозата или преустановяване на ентакапон и други едновременно приемани допаминергични лекарствени продукти. Пациентите трябва да бъдат наблюдавани внимателно, когато дозата на Лесигон е намалена или лечението е преустановено рязко, особено ако пациентът получава също антипсихотици/невролептици.</w:t>
      </w:r>
    </w:p>
    <w:p w14:paraId="20BEF0EC" w14:textId="77777777" w:rsidR="000A654C" w:rsidRPr="00716A4A" w:rsidRDefault="000A654C" w:rsidP="000A654C">
      <w:pPr>
        <w:spacing w:line="240" w:lineRule="auto"/>
        <w:rPr>
          <w:rFonts w:eastAsia="Times New Roman" w:cs="Arial"/>
          <w:color w:val="000000"/>
          <w:lang w:eastAsia="bg-BG"/>
        </w:rPr>
      </w:pPr>
    </w:p>
    <w:p w14:paraId="233EA0A6" w14:textId="1083862C"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Пациентите трябва да се наблюдават редовно за развитие на нарушения на контрола на импулсите. Пациентите и грижещите се за тях лица трябва да са информирани, че поведенчески симптоми на нарушения на контрола на импулсите, включително патологично желание за залагане, повишено либидо, хиперсексуалност, компулсивно харчене или пазаруване, прекомерно и компулсивно хранене могат да се появят при пациенти, лекувани с допаминови агонистици и/или други допаминергични терапии, съдържащи леводопа, включително Лесигон. Лечението трябва да се преразгледа, ако се развият такива симптоми.</w:t>
      </w:r>
    </w:p>
    <w:p w14:paraId="5BA160FC" w14:textId="77777777" w:rsidR="000A654C" w:rsidRPr="00716A4A" w:rsidRDefault="000A654C" w:rsidP="000A654C">
      <w:pPr>
        <w:spacing w:line="240" w:lineRule="auto"/>
        <w:rPr>
          <w:rFonts w:eastAsia="Times New Roman" w:cs="Arial"/>
          <w:color w:val="000000"/>
          <w:lang w:eastAsia="bg-BG"/>
        </w:rPr>
      </w:pPr>
    </w:p>
    <w:p w14:paraId="34A5C71D" w14:textId="582D4448"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Епидемиологични проучвания са показали, че пациентите с болест на Паркинсон имат по-висок риск от развитие на меланом, в сравнение с общата популация. Не е ясно дали наблюдаваният повишен риск се дължи на болестта на Паркинсон или на други фактори, като приложението на лекарства за лечение на болестта на Паркинсон. Поради това пациенти и болногледачи се съветват да следят редовно за меланоми по време на приложението на Лесигон. Най-добре е да се провеждат периодични прегледи на кожата от подходящо квалифицирано лице (напр. дерматолог).</w:t>
      </w:r>
    </w:p>
    <w:p w14:paraId="38BC89F8" w14:textId="77777777" w:rsidR="000A654C" w:rsidRPr="00716A4A" w:rsidRDefault="000A654C" w:rsidP="000A654C">
      <w:pPr>
        <w:spacing w:line="240" w:lineRule="auto"/>
        <w:rPr>
          <w:rFonts w:eastAsia="Times New Roman" w:cs="Arial"/>
          <w:color w:val="000000"/>
          <w:lang w:eastAsia="bg-BG"/>
        </w:rPr>
      </w:pPr>
    </w:p>
    <w:p w14:paraId="56D46FF6" w14:textId="591293CA"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 xml:space="preserve">Ако се налага обща анестезия, лечението с Лесигон може да продължи толкова дълго, колкото е разрешено на пациента да приема течности и лекарствени продукти през </w:t>
      </w:r>
      <w:r w:rsidRPr="000A654C">
        <w:rPr>
          <w:rFonts w:eastAsia="Times New Roman" w:cs="Arial"/>
          <w:color w:val="000000"/>
          <w:lang w:eastAsia="bg-BG"/>
        </w:rPr>
        <w:lastRenderedPageBreak/>
        <w:t>устата. Ако лечението трябва временно да се прекрати, Лесигон може да се започне отново в същата доза веднага, след като се разреши приемане на течности през устата.</w:t>
      </w:r>
    </w:p>
    <w:p w14:paraId="5C39B329" w14:textId="77777777" w:rsidR="000A654C" w:rsidRPr="00716A4A" w:rsidRDefault="000A654C" w:rsidP="000A654C">
      <w:pPr>
        <w:spacing w:line="240" w:lineRule="auto"/>
        <w:rPr>
          <w:rFonts w:eastAsia="Times New Roman" w:cs="Arial"/>
          <w:color w:val="000000"/>
          <w:lang w:eastAsia="bg-BG"/>
        </w:rPr>
      </w:pPr>
    </w:p>
    <w:p w14:paraId="2ED814B3" w14:textId="3405C3EA"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Може да се наложи намаляване на дозата на Лесигон, за да се избегнят индуцираните от леводопа дискинезии.</w:t>
      </w:r>
    </w:p>
    <w:p w14:paraId="5348E2AF" w14:textId="77777777" w:rsidR="000A654C" w:rsidRPr="00716A4A" w:rsidRDefault="000A654C" w:rsidP="000A654C">
      <w:pPr>
        <w:spacing w:line="240" w:lineRule="auto"/>
        <w:rPr>
          <w:rFonts w:eastAsia="Times New Roman" w:cs="Arial"/>
          <w:color w:val="000000"/>
          <w:lang w:eastAsia="bg-BG"/>
        </w:rPr>
      </w:pPr>
    </w:p>
    <w:p w14:paraId="329ED2D2" w14:textId="2C9B0CDA"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При продължителна терапия с Лесигон е препоръчително периодично да се изследват чернодробната, хемопоетичната, сърдечно-съдовата и бъбречната функция.</w:t>
      </w:r>
    </w:p>
    <w:p w14:paraId="14F4FB8A" w14:textId="77777777" w:rsidR="000A654C" w:rsidRPr="00716A4A" w:rsidRDefault="000A654C" w:rsidP="000A654C">
      <w:pPr>
        <w:spacing w:line="240" w:lineRule="auto"/>
        <w:rPr>
          <w:rFonts w:eastAsia="Times New Roman" w:cs="Arial"/>
          <w:color w:val="000000"/>
          <w:lang w:eastAsia="bg-BG"/>
        </w:rPr>
      </w:pPr>
    </w:p>
    <w:p w14:paraId="23879319" w14:textId="5DF22BB6" w:rsidR="000A654C" w:rsidRPr="00716A4A" w:rsidRDefault="000A654C" w:rsidP="000A654C">
      <w:pPr>
        <w:rPr>
          <w:rFonts w:cs="Arial"/>
        </w:rPr>
      </w:pPr>
      <w:r w:rsidRPr="000A654C">
        <w:rPr>
          <w:rFonts w:eastAsia="Times New Roman" w:cs="Arial"/>
          <w:color w:val="000000"/>
          <w:lang w:eastAsia="bg-BG"/>
        </w:rPr>
        <w:t>Лесигон съдържа хидразин, продукт от разграждането на карбидопа, който може да бъде</w:t>
      </w:r>
      <w:r w:rsidRPr="00716A4A">
        <w:rPr>
          <w:rFonts w:eastAsia="Times New Roman" w:cs="Arial"/>
          <w:lang w:eastAsia="bg-BG"/>
        </w:rPr>
        <w:t xml:space="preserve"> </w:t>
      </w:r>
      <w:r w:rsidRPr="00716A4A">
        <w:rPr>
          <w:rFonts w:eastAsia="Times New Roman" w:cs="Arial"/>
          <w:color w:val="000000"/>
          <w:lang w:eastAsia="bg-BG"/>
        </w:rPr>
        <w:t xml:space="preserve">генотоксичен и вероятно канцерогенен. Средната препоръчителна дневна доза на Лесигон с 46 </w:t>
      </w:r>
      <w:r w:rsidRPr="00716A4A">
        <w:rPr>
          <w:rFonts w:cs="Arial"/>
          <w:lang w:val="en-US"/>
        </w:rPr>
        <w:t xml:space="preserve">ml </w:t>
      </w:r>
      <w:r w:rsidRPr="00716A4A">
        <w:rPr>
          <w:rFonts w:cs="Arial"/>
        </w:rPr>
        <w:t xml:space="preserve">(съответстваща на 1,6 </w:t>
      </w:r>
      <w:r w:rsidRPr="00716A4A">
        <w:rPr>
          <w:rFonts w:cs="Arial"/>
          <w:lang w:val="en-US"/>
        </w:rPr>
        <w:t xml:space="preserve">mg </w:t>
      </w:r>
      <w:r w:rsidRPr="00716A4A">
        <w:rPr>
          <w:rFonts w:cs="Arial"/>
        </w:rPr>
        <w:t xml:space="preserve">хидразин/ден), а максималната препоръчителна дневна доза на Лесигон е 100 </w:t>
      </w:r>
      <w:r w:rsidRPr="00716A4A">
        <w:rPr>
          <w:rFonts w:cs="Arial"/>
          <w:lang w:val="en-US"/>
        </w:rPr>
        <w:t xml:space="preserve">ml </w:t>
      </w:r>
      <w:r w:rsidRPr="00716A4A">
        <w:rPr>
          <w:rFonts w:cs="Arial"/>
        </w:rPr>
        <w:t xml:space="preserve">(съответстваща на максимум 3,5 </w:t>
      </w:r>
      <w:r w:rsidRPr="00716A4A">
        <w:rPr>
          <w:rFonts w:cs="Arial"/>
          <w:lang w:val="en-US"/>
        </w:rPr>
        <w:t xml:space="preserve">mg </w:t>
      </w:r>
      <w:r w:rsidRPr="00716A4A">
        <w:rPr>
          <w:rFonts w:cs="Arial"/>
        </w:rPr>
        <w:t>хидразин/ден). Не е известна клиничната значимост на тази експозиция на хидразин.</w:t>
      </w:r>
    </w:p>
    <w:p w14:paraId="4932AEE9" w14:textId="77777777" w:rsidR="000A654C" w:rsidRPr="00716A4A" w:rsidRDefault="000A654C" w:rsidP="000A654C">
      <w:pPr>
        <w:rPr>
          <w:rFonts w:cs="Arial"/>
        </w:rPr>
      </w:pPr>
    </w:p>
    <w:p w14:paraId="2322E759" w14:textId="3137EAAD" w:rsidR="000A654C" w:rsidRPr="00716A4A" w:rsidRDefault="000A654C" w:rsidP="000A654C">
      <w:pPr>
        <w:rPr>
          <w:rFonts w:cs="Arial"/>
        </w:rPr>
      </w:pPr>
      <w:r w:rsidRPr="00716A4A">
        <w:rPr>
          <w:rFonts w:cs="Arial"/>
        </w:rPr>
        <w:t>Предишна хирургична интервенция в горната част на коремната кухина може да доведе до трудности в извършването на гастростомията или йеюностомията.</w:t>
      </w:r>
    </w:p>
    <w:p w14:paraId="498FC4AC" w14:textId="77777777" w:rsidR="000A654C" w:rsidRPr="00716A4A" w:rsidRDefault="000A654C" w:rsidP="000A654C">
      <w:pPr>
        <w:rPr>
          <w:rFonts w:cs="Arial"/>
        </w:rPr>
      </w:pPr>
    </w:p>
    <w:p w14:paraId="0D11FCD4" w14:textId="386D0619" w:rsidR="000A654C" w:rsidRPr="00716A4A" w:rsidRDefault="000A654C" w:rsidP="000A654C">
      <w:pPr>
        <w:rPr>
          <w:rFonts w:cs="Arial"/>
        </w:rPr>
      </w:pPr>
      <w:r w:rsidRPr="00716A4A">
        <w:rPr>
          <w:rFonts w:cs="Arial"/>
        </w:rPr>
        <w:t>Получени са съобщения за отклонения за леводопа/карбидопа от клиничните проучвания и наблюдения след пускане на пазара, включващи абсцес, безоар, илеус, ерозии/язви на мястото на имплантиране, чревни хеморагии, чревна исхемия, чревна обструкция, чревна перфорация, инвагинация, панкреатит, перитонит, пневмония (включително аспирационна пневмония) пневмоперитонеум, постоперативни инфекции на раните и сепсис. Безоарите представляват задържани количества от несмилаем материал (като несмилаеми влакна от зеленчуци или плодове) в чревния тракт. Безоар около върха на йеюналната тръба може да изпълни функцията за начална точка на чревна непроходимост или инвагинация. Повечето от безоарите се намират в стомаха, но може да се срещнат навсякъде из чревния тракт. Коремната болка може да бъде симптом на изброените усложнения. Някои от тези събития могат да доведат до сериозни последствия, като хирургическа интервенция или смърт. Пациентите трябва да се съветват да съобщават на лекаря си, ако получат някои от симптомите, свързани с горните събития.</w:t>
      </w:r>
    </w:p>
    <w:p w14:paraId="57678F73" w14:textId="77777777" w:rsidR="000A654C" w:rsidRPr="00716A4A" w:rsidRDefault="000A654C" w:rsidP="000A654C">
      <w:pPr>
        <w:rPr>
          <w:rFonts w:cs="Arial"/>
        </w:rPr>
      </w:pPr>
    </w:p>
    <w:p w14:paraId="061D0D09" w14:textId="2B78E14A" w:rsidR="000A654C" w:rsidRPr="00716A4A" w:rsidRDefault="000A654C" w:rsidP="000A654C">
      <w:pPr>
        <w:rPr>
          <w:rFonts w:cs="Arial"/>
        </w:rPr>
      </w:pPr>
      <w:r w:rsidRPr="00716A4A">
        <w:rPr>
          <w:rFonts w:cs="Arial"/>
        </w:rPr>
        <w:t>Намалената способност за боравене със системата (помпа, тръбички) може да доведе до усложнения. В такива случаи болногледач (напр. медицинска сестра, помощна медицинска сестра или близки роднини) трябва да помага на пациента.</w:t>
      </w:r>
    </w:p>
    <w:p w14:paraId="7D25C350" w14:textId="3AF71821" w:rsidR="000A654C" w:rsidRPr="00716A4A" w:rsidRDefault="000A654C" w:rsidP="000A654C">
      <w:pPr>
        <w:rPr>
          <w:rFonts w:cs="Arial"/>
        </w:rPr>
      </w:pPr>
    </w:p>
    <w:p w14:paraId="2389D8B4" w14:textId="11A4DFAE" w:rsidR="000A654C" w:rsidRPr="00716A4A" w:rsidRDefault="000A654C" w:rsidP="000A654C">
      <w:pPr>
        <w:rPr>
          <w:rFonts w:cs="Arial"/>
        </w:rPr>
      </w:pPr>
      <w:r w:rsidRPr="00716A4A">
        <w:rPr>
          <w:rFonts w:cs="Arial"/>
        </w:rPr>
        <w:t>Внезапно или постепенно влошаване на брадикинезията може да показва запушване на системата от тръбички по някаква причина и трябва да бъде проучено.</w:t>
      </w:r>
    </w:p>
    <w:p w14:paraId="31F8964C" w14:textId="77777777" w:rsidR="000A654C" w:rsidRPr="00716A4A" w:rsidRDefault="000A654C" w:rsidP="000A654C">
      <w:pPr>
        <w:rPr>
          <w:rFonts w:cs="Arial"/>
        </w:rPr>
      </w:pPr>
    </w:p>
    <w:p w14:paraId="7A4B4156" w14:textId="34656C4D" w:rsidR="000A654C" w:rsidRPr="00716A4A" w:rsidRDefault="000A654C" w:rsidP="000A654C">
      <w:pPr>
        <w:rPr>
          <w:rFonts w:cs="Arial"/>
        </w:rPr>
      </w:pPr>
      <w:r w:rsidRPr="00716A4A">
        <w:rPr>
          <w:rFonts w:cs="Arial"/>
        </w:rPr>
        <w:t>Загуба на тегло е свързана с активните вещества, съдържащи се в Лесигон, и затова болногледачите трябва да са запознати със загубата на тегло. Препоръчва се наблюдение на теглото, за да се избегне сериозна загуба на тегло. Това важи в частност за пациенти с диария.</w:t>
      </w:r>
    </w:p>
    <w:p w14:paraId="4B55AF6E" w14:textId="77777777" w:rsidR="000A654C" w:rsidRPr="00716A4A" w:rsidRDefault="000A654C" w:rsidP="000A654C">
      <w:pPr>
        <w:rPr>
          <w:rFonts w:cs="Arial"/>
        </w:rPr>
      </w:pPr>
    </w:p>
    <w:p w14:paraId="3416792D" w14:textId="2CC2E19B" w:rsidR="000A654C" w:rsidRPr="00716A4A" w:rsidRDefault="000A654C" w:rsidP="000A654C">
      <w:pPr>
        <w:rPr>
          <w:rFonts w:cs="Arial"/>
        </w:rPr>
      </w:pPr>
      <w:r w:rsidRPr="00716A4A">
        <w:rPr>
          <w:rFonts w:cs="Arial"/>
        </w:rPr>
        <w:t xml:space="preserve">При пациенти, страдащи от диария, се препоръчва проследяване на теглото, за да се избегне потенциално прекомерно намаляване на теглото. Продължителната или персистираща диария, която се появява по време на използването на ентакапон, би </w:t>
      </w:r>
      <w:r w:rsidRPr="00716A4A">
        <w:rPr>
          <w:rFonts w:cs="Arial"/>
        </w:rPr>
        <w:lastRenderedPageBreak/>
        <w:t>могла да бъде признак за колит. В случай на продължителна или персистираща диария, лекарственият продукт трябва да се преустанови и да се обмисли подходяща терапия и изследвания.</w:t>
      </w:r>
    </w:p>
    <w:p w14:paraId="37480F13" w14:textId="734D6CDC" w:rsidR="000A654C" w:rsidRPr="00716A4A" w:rsidRDefault="000A654C" w:rsidP="000A654C">
      <w:pPr>
        <w:rPr>
          <w:rFonts w:cs="Arial"/>
        </w:rPr>
      </w:pPr>
    </w:p>
    <w:p w14:paraId="7C561F5E" w14:textId="77777777" w:rsidR="000A654C" w:rsidRPr="00716A4A" w:rsidRDefault="000A654C" w:rsidP="000A654C">
      <w:pPr>
        <w:rPr>
          <w:rFonts w:cs="Arial"/>
        </w:rPr>
      </w:pPr>
    </w:p>
    <w:p w14:paraId="5D3393C7" w14:textId="28AAB0A9" w:rsidR="000A654C" w:rsidRPr="00716A4A" w:rsidRDefault="000A654C" w:rsidP="000A654C">
      <w:pPr>
        <w:rPr>
          <w:rFonts w:cs="Arial"/>
        </w:rPr>
      </w:pPr>
      <w:r w:rsidRPr="00716A4A">
        <w:rPr>
          <w:rFonts w:cs="Arial"/>
        </w:rPr>
        <w:t xml:space="preserve">Когато се счита за необходимо, заместването на Лесигон с леводопа и </w:t>
      </w:r>
      <w:r w:rsidRPr="00716A4A">
        <w:rPr>
          <w:rFonts w:cs="Arial"/>
          <w:lang w:val="en-US"/>
        </w:rPr>
        <w:t xml:space="preserve">DDC </w:t>
      </w:r>
      <w:r w:rsidRPr="00716A4A">
        <w:rPr>
          <w:rFonts w:cs="Arial"/>
        </w:rPr>
        <w:t>инхибитор без ентакапон или друга допаминергична терапия трябва да се направи бавно. Може да е необходимо увеличаване на дозата на леводопа.</w:t>
      </w:r>
    </w:p>
    <w:p w14:paraId="0CD09FA7" w14:textId="77777777" w:rsidR="000A654C" w:rsidRPr="00716A4A" w:rsidRDefault="000A654C" w:rsidP="000A654C">
      <w:pPr>
        <w:rPr>
          <w:rFonts w:cs="Arial"/>
        </w:rPr>
      </w:pPr>
    </w:p>
    <w:p w14:paraId="1EB930BB" w14:textId="627710E9" w:rsidR="000A654C" w:rsidRPr="00716A4A" w:rsidRDefault="000A654C" w:rsidP="000A654C">
      <w:pPr>
        <w:rPr>
          <w:rFonts w:cs="Arial"/>
        </w:rPr>
      </w:pPr>
      <w:r w:rsidRPr="00716A4A">
        <w:rPr>
          <w:rFonts w:cs="Arial"/>
        </w:rPr>
        <w:t>При пациенти с прогресивна анорексия, астения и загуба на тегло в рамките на относително кратък период от време, трябва да се обмисли обща медицинска оценка, включително оценка на чернодробната функция.</w:t>
      </w:r>
    </w:p>
    <w:p w14:paraId="46B84FF1" w14:textId="77777777" w:rsidR="000A654C" w:rsidRPr="00716A4A" w:rsidRDefault="000A654C" w:rsidP="000A654C">
      <w:pPr>
        <w:rPr>
          <w:rFonts w:cs="Arial"/>
        </w:rPr>
      </w:pPr>
    </w:p>
    <w:p w14:paraId="418F3DF1" w14:textId="3A897773" w:rsidR="000A654C" w:rsidRPr="00716A4A" w:rsidRDefault="000A654C" w:rsidP="000A654C">
      <w:pPr>
        <w:rPr>
          <w:rFonts w:cs="Arial"/>
        </w:rPr>
      </w:pPr>
      <w:r w:rsidRPr="00716A4A">
        <w:rPr>
          <w:rFonts w:cs="Arial"/>
        </w:rPr>
        <w:t>Леводопа/карбидопа може да предизвика фалшиво положителни резултати, когато се използва тест-лента за изследване за кетони в урината, и тази реакция не се променя от кипване на уринната проба. Използването на методи с глюкозна оксидаза може да даде фалшиво отрицателни резултати за гликозурия.</w:t>
      </w:r>
    </w:p>
    <w:p w14:paraId="4B78C5EA" w14:textId="77777777" w:rsidR="000A654C" w:rsidRPr="00716A4A" w:rsidRDefault="000A654C" w:rsidP="000A654C">
      <w:pPr>
        <w:spacing w:line="240" w:lineRule="auto"/>
        <w:rPr>
          <w:rFonts w:cs="Arial"/>
        </w:rPr>
      </w:pPr>
    </w:p>
    <w:p w14:paraId="3623B699" w14:textId="77777777" w:rsidR="000A654C" w:rsidRPr="00716A4A" w:rsidRDefault="000A654C" w:rsidP="000A654C">
      <w:pPr>
        <w:rPr>
          <w:rFonts w:eastAsia="Times New Roman" w:cs="Arial"/>
          <w:lang w:eastAsia="bg-BG"/>
        </w:rPr>
      </w:pPr>
      <w:r w:rsidRPr="00716A4A">
        <w:rPr>
          <w:rFonts w:cs="Arial"/>
        </w:rPr>
        <w:t xml:space="preserve">Синдром на нарушената допаминова регулация </w:t>
      </w:r>
      <w:r w:rsidRPr="00716A4A">
        <w:rPr>
          <w:rFonts w:cs="Arial"/>
          <w:lang w:val="en-US"/>
        </w:rPr>
        <w:t>(Dopamine Dysregulation</w:t>
      </w:r>
      <w:r w:rsidRPr="00716A4A">
        <w:rPr>
          <w:rFonts w:cs="Arial"/>
        </w:rPr>
        <w:t xml:space="preserve"> </w:t>
      </w:r>
      <w:r w:rsidRPr="00716A4A">
        <w:rPr>
          <w:rFonts w:cs="Arial"/>
          <w:lang w:val="en-US"/>
        </w:rPr>
        <w:t xml:space="preserve">Syndrome DDS) </w:t>
      </w:r>
      <w:r w:rsidRPr="00716A4A">
        <w:rPr>
          <w:rFonts w:cs="Arial"/>
        </w:rPr>
        <w:t>с разстройство, свързано със зависимост, които води до прекомерно използване на продукта при някои пациенти, лекувани с леводопа/карбидопа. Преди започване на лечение, пациентите и</w:t>
      </w:r>
      <w:r w:rsidRPr="00716A4A">
        <w:rPr>
          <w:rFonts w:cs="Arial"/>
        </w:rPr>
        <w:t xml:space="preserve"> </w:t>
      </w:r>
      <w:r w:rsidRPr="00716A4A">
        <w:rPr>
          <w:rFonts w:eastAsia="Times New Roman" w:cs="Arial"/>
          <w:color w:val="000000"/>
          <w:lang w:eastAsia="bg-BG"/>
        </w:rPr>
        <w:t xml:space="preserve">полагащите грижи за тях трябва да бъдат предупредени за потенциалния риск от развитие на </w:t>
      </w:r>
      <w:r w:rsidRPr="00716A4A">
        <w:rPr>
          <w:rFonts w:eastAsia="Times New Roman" w:cs="Arial"/>
          <w:color w:val="000000"/>
          <w:lang w:val="en-US"/>
        </w:rPr>
        <w:t xml:space="preserve">DDS </w:t>
      </w:r>
      <w:r w:rsidRPr="00716A4A">
        <w:rPr>
          <w:rFonts w:eastAsia="Times New Roman" w:cs="Arial"/>
          <w:color w:val="000000"/>
          <w:lang w:eastAsia="bg-BG"/>
        </w:rPr>
        <w:t>(вижте също точка 4.8).</w:t>
      </w:r>
    </w:p>
    <w:p w14:paraId="0563C4DE" w14:textId="77777777" w:rsidR="000A654C" w:rsidRPr="00716A4A" w:rsidRDefault="000A654C" w:rsidP="000A654C">
      <w:pPr>
        <w:spacing w:line="240" w:lineRule="auto"/>
        <w:rPr>
          <w:rFonts w:eastAsia="Times New Roman" w:cs="Arial"/>
          <w:color w:val="000000"/>
          <w:lang w:eastAsia="bg-BG"/>
        </w:rPr>
      </w:pPr>
    </w:p>
    <w:p w14:paraId="1320EF3D" w14:textId="7D74D030"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 xml:space="preserve">При съмнения за злоупотреба с лекарствения продукт има функция за заключване в помпата, използвана с Лесигон (Сгопо </w:t>
      </w:r>
      <w:r w:rsidRPr="000A654C">
        <w:rPr>
          <w:rFonts w:eastAsia="Times New Roman" w:cs="Arial"/>
          <w:color w:val="000000"/>
          <w:lang w:val="en-US"/>
        </w:rPr>
        <w:t>LECIG).</w:t>
      </w:r>
    </w:p>
    <w:p w14:paraId="012B8408" w14:textId="77777777" w:rsidR="000A654C" w:rsidRPr="00716A4A" w:rsidRDefault="000A654C" w:rsidP="000A654C">
      <w:pPr>
        <w:spacing w:line="240" w:lineRule="auto"/>
        <w:rPr>
          <w:rFonts w:eastAsia="Times New Roman" w:cs="Arial"/>
          <w:color w:val="000000"/>
          <w:lang w:eastAsia="bg-BG"/>
        </w:rPr>
      </w:pPr>
    </w:p>
    <w:p w14:paraId="7186C0F6" w14:textId="2307E6BC"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Има съобщения за полиневропатия при пациенти лекувани с Дуодопа (леводопа/карбидопа гел за прилагане в червата), Преди започване на терапия с Лесигон оценявайте пациентите за анамнеза или признаци на полиневропатия и известни рискови фактори, както и периодично след това.</w:t>
      </w:r>
    </w:p>
    <w:p w14:paraId="624C4535" w14:textId="77777777" w:rsidR="000A654C" w:rsidRPr="00716A4A" w:rsidRDefault="000A654C" w:rsidP="000A654C">
      <w:pPr>
        <w:spacing w:line="240" w:lineRule="auto"/>
        <w:rPr>
          <w:rFonts w:eastAsia="Times New Roman" w:cs="Arial"/>
          <w:color w:val="000000"/>
          <w:lang w:eastAsia="bg-BG"/>
        </w:rPr>
      </w:pPr>
    </w:p>
    <w:p w14:paraId="0E28BBDE" w14:textId="411F2146" w:rsidR="007A2185" w:rsidRPr="00716A4A" w:rsidRDefault="000A654C" w:rsidP="000A654C">
      <w:pPr>
        <w:spacing w:line="240" w:lineRule="auto"/>
        <w:rPr>
          <w:rFonts w:eastAsia="Times New Roman" w:cs="Arial"/>
          <w:lang w:eastAsia="bg-BG"/>
        </w:rPr>
      </w:pPr>
      <w:r w:rsidRPr="00716A4A">
        <w:rPr>
          <w:rFonts w:eastAsia="Times New Roman" w:cs="Arial"/>
          <w:color w:val="000000"/>
          <w:lang w:eastAsia="bg-BG"/>
        </w:rPr>
        <w:t xml:space="preserve">Този лекарствен продукт съдържа 3.5 </w:t>
      </w:r>
      <w:r w:rsidRPr="00716A4A">
        <w:rPr>
          <w:rFonts w:eastAsia="Times New Roman" w:cs="Arial"/>
          <w:color w:val="000000"/>
          <w:lang w:val="en-US"/>
        </w:rPr>
        <w:t xml:space="preserve">mg </w:t>
      </w:r>
      <w:r w:rsidRPr="00716A4A">
        <w:rPr>
          <w:rFonts w:eastAsia="Times New Roman" w:cs="Arial"/>
          <w:color w:val="000000"/>
          <w:lang w:eastAsia="bg-BG"/>
        </w:rPr>
        <w:t xml:space="preserve">натрий на милилитър. Всеки патрон съдържа 166 </w:t>
      </w:r>
      <w:r w:rsidRPr="00716A4A">
        <w:rPr>
          <w:rFonts w:eastAsia="Times New Roman" w:cs="Arial"/>
          <w:color w:val="000000"/>
          <w:lang w:val="en-US"/>
        </w:rPr>
        <w:t xml:space="preserve">mg </w:t>
      </w:r>
      <w:r w:rsidRPr="00716A4A">
        <w:rPr>
          <w:rFonts w:eastAsia="Times New Roman" w:cs="Arial"/>
          <w:color w:val="000000"/>
          <w:lang w:eastAsia="bg-BG"/>
        </w:rPr>
        <w:t xml:space="preserve">натрий на патрон, което се равнява на 8,3% от препоръчания от СЗО максимален дневен прием от 2 </w:t>
      </w:r>
      <w:r w:rsidRPr="00716A4A">
        <w:rPr>
          <w:rFonts w:eastAsia="Times New Roman" w:cs="Arial"/>
          <w:color w:val="000000"/>
          <w:lang w:val="en-US"/>
        </w:rPr>
        <w:t xml:space="preserve">g </w:t>
      </w:r>
      <w:r w:rsidRPr="00716A4A">
        <w:rPr>
          <w:rFonts w:eastAsia="Times New Roman" w:cs="Arial"/>
          <w:color w:val="000000"/>
          <w:lang w:eastAsia="bg-BG"/>
        </w:rPr>
        <w:t>натрий за възрастен индивид.</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A90A3C3"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Не са провеждани проучвания на взаимодействията с Лесигон. Изброените по-долу взаимодействия са известни от комбинациите на леводопа/карбидопа и енгакапон/леводопа/карбидопа.</w:t>
      </w:r>
    </w:p>
    <w:p w14:paraId="75C41F3E" w14:textId="77777777" w:rsidR="000A654C" w:rsidRPr="00716A4A" w:rsidRDefault="000A654C" w:rsidP="000A654C">
      <w:pPr>
        <w:spacing w:line="240" w:lineRule="auto"/>
        <w:rPr>
          <w:rFonts w:eastAsia="Times New Roman" w:cs="Arial"/>
          <w:color w:val="000000"/>
          <w:lang w:eastAsia="bg-BG"/>
        </w:rPr>
      </w:pPr>
    </w:p>
    <w:p w14:paraId="19E76A46" w14:textId="1212C960"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Необходимо е да се внимава при едновременно приложение на Лесигон със следните лекарствени продукти:</w:t>
      </w:r>
    </w:p>
    <w:p w14:paraId="7E0B4995" w14:textId="77777777" w:rsidR="000A654C" w:rsidRPr="00716A4A" w:rsidRDefault="000A654C" w:rsidP="000A654C">
      <w:pPr>
        <w:spacing w:line="240" w:lineRule="auto"/>
        <w:rPr>
          <w:rFonts w:eastAsia="Times New Roman" w:cs="Arial"/>
          <w:color w:val="000000"/>
          <w:u w:val="single"/>
          <w:lang w:eastAsia="bg-BG"/>
        </w:rPr>
      </w:pPr>
    </w:p>
    <w:p w14:paraId="5DE4D1C6" w14:textId="3ECDF3B5" w:rsidR="000A654C" w:rsidRPr="000A654C" w:rsidRDefault="000A654C" w:rsidP="000A654C">
      <w:pPr>
        <w:spacing w:line="240" w:lineRule="auto"/>
        <w:rPr>
          <w:rFonts w:eastAsia="Times New Roman" w:cs="Arial"/>
          <w:lang w:eastAsia="bg-BG"/>
        </w:rPr>
      </w:pPr>
      <w:r w:rsidRPr="000A654C">
        <w:rPr>
          <w:rFonts w:eastAsia="Times New Roman" w:cs="Arial"/>
          <w:color w:val="000000"/>
          <w:u w:val="single"/>
          <w:lang w:eastAsia="bg-BG"/>
        </w:rPr>
        <w:t>Антихипертензивни средства</w:t>
      </w:r>
    </w:p>
    <w:p w14:paraId="2E508AAC"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lastRenderedPageBreak/>
        <w:t>Симптоматична ортостатична хипотония е наблюдавана при пациенти, вече получаващи антихипертензивни медикаменти, когато към терапията им се добави комбинации от леводопа и декарбоксилазен инхибитор. Може да се наложи корекция на дозата на антихипертензивното лекарство.</w:t>
      </w:r>
    </w:p>
    <w:p w14:paraId="729AFC4C" w14:textId="77777777" w:rsidR="000A654C" w:rsidRPr="00716A4A" w:rsidRDefault="000A654C" w:rsidP="000A654C">
      <w:pPr>
        <w:spacing w:line="240" w:lineRule="auto"/>
        <w:rPr>
          <w:rFonts w:eastAsia="Times New Roman" w:cs="Arial"/>
          <w:color w:val="000000"/>
          <w:u w:val="single"/>
          <w:lang w:eastAsia="bg-BG"/>
        </w:rPr>
      </w:pPr>
    </w:p>
    <w:p w14:paraId="62E4B7FB" w14:textId="27DD5F3A" w:rsidR="000A654C" w:rsidRPr="000A654C" w:rsidRDefault="000A654C" w:rsidP="000A654C">
      <w:pPr>
        <w:spacing w:line="240" w:lineRule="auto"/>
        <w:rPr>
          <w:rFonts w:eastAsia="Times New Roman" w:cs="Arial"/>
          <w:lang w:eastAsia="bg-BG"/>
        </w:rPr>
      </w:pPr>
      <w:r w:rsidRPr="000A654C">
        <w:rPr>
          <w:rFonts w:eastAsia="Times New Roman" w:cs="Arial"/>
          <w:color w:val="000000"/>
          <w:u w:val="single"/>
          <w:lang w:eastAsia="bg-BG"/>
        </w:rPr>
        <w:t>Антидепресанти</w:t>
      </w:r>
    </w:p>
    <w:p w14:paraId="7B730DAB"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Прилагането на неселективни МАО инхибитори и селективни МАО инхибитори тип А са противопоказани за използване с Лесигон. Лечението с тези инхибитори трябва да бъде преустановено най-малко две седмици преди започване на терапията с Лесигон (вижте точка 4.3).</w:t>
      </w:r>
    </w:p>
    <w:p w14:paraId="4D148920" w14:textId="77777777" w:rsidR="000A654C" w:rsidRPr="00716A4A" w:rsidRDefault="000A654C" w:rsidP="000A654C">
      <w:pPr>
        <w:spacing w:line="240" w:lineRule="auto"/>
        <w:rPr>
          <w:rFonts w:eastAsia="Times New Roman" w:cs="Arial"/>
          <w:color w:val="000000"/>
          <w:lang w:eastAsia="bg-BG"/>
        </w:rPr>
      </w:pPr>
    </w:p>
    <w:p w14:paraId="07E05222" w14:textId="78F43EA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Рядко се съобщават нежелани лекарствени реакции, включително хипертония и дискинезия, в резултат на едновременно приложение на трициклични антидепресанти и продукти, съдържащи карбидопа/леводопа.</w:t>
      </w:r>
    </w:p>
    <w:p w14:paraId="19D77019" w14:textId="77777777" w:rsidR="000A654C" w:rsidRPr="00716A4A" w:rsidRDefault="000A654C" w:rsidP="000A654C">
      <w:pPr>
        <w:spacing w:line="240" w:lineRule="auto"/>
        <w:rPr>
          <w:rFonts w:eastAsia="Times New Roman" w:cs="Arial"/>
          <w:color w:val="000000"/>
          <w:lang w:eastAsia="bg-BG"/>
        </w:rPr>
      </w:pPr>
    </w:p>
    <w:p w14:paraId="43BBA351" w14:textId="59046D06"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Значителен брой пациенти с болестта на Паркинсон са били лекувани с комбинацията от леводопа, карбидопа, ентакапон и трициклични антидепресанти и не са наблюдавани фармакодинамични взаимодействия. Въпреки това, трябва да се внимава при използването на антидепресанти едновременно с Лесигон.</w:t>
      </w:r>
    </w:p>
    <w:p w14:paraId="689FE440" w14:textId="77777777" w:rsidR="000A654C" w:rsidRPr="00716A4A" w:rsidRDefault="000A654C" w:rsidP="000A654C">
      <w:pPr>
        <w:spacing w:line="240" w:lineRule="auto"/>
        <w:rPr>
          <w:rFonts w:eastAsia="Times New Roman" w:cs="Arial"/>
          <w:color w:val="000000"/>
          <w:u w:val="single"/>
          <w:lang w:eastAsia="bg-BG"/>
        </w:rPr>
      </w:pPr>
    </w:p>
    <w:p w14:paraId="10752069" w14:textId="0E2CD2CE" w:rsidR="000A654C" w:rsidRPr="000A654C" w:rsidRDefault="000A654C" w:rsidP="000A654C">
      <w:pPr>
        <w:spacing w:line="240" w:lineRule="auto"/>
        <w:rPr>
          <w:rFonts w:eastAsia="Times New Roman" w:cs="Arial"/>
          <w:lang w:eastAsia="bg-BG"/>
        </w:rPr>
      </w:pPr>
      <w:r w:rsidRPr="000A654C">
        <w:rPr>
          <w:rFonts w:eastAsia="Times New Roman" w:cs="Arial"/>
          <w:color w:val="000000"/>
          <w:u w:val="single"/>
          <w:lang w:eastAsia="bg-BG"/>
        </w:rPr>
        <w:t>Антихолинергици</w:t>
      </w:r>
    </w:p>
    <w:p w14:paraId="786928A5" w14:textId="61F4FA22"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Антихолинергиците могат да действат синергично с леводопа за намаляване на тремора. Въпреки това, комбинираното приложение може да обостри абнормните неволеви движения. Антихолинергиците могат да намалят ефектите на леводопа чрез забавяне на абсорбцията. Може да е необходимо коригиране на дозата на Лесигон.</w:t>
      </w:r>
    </w:p>
    <w:p w14:paraId="049EE5A0" w14:textId="77777777" w:rsidR="000A654C" w:rsidRPr="00716A4A" w:rsidRDefault="000A654C" w:rsidP="000A654C">
      <w:pPr>
        <w:spacing w:line="240" w:lineRule="auto"/>
        <w:rPr>
          <w:rFonts w:eastAsia="Times New Roman" w:cs="Arial"/>
          <w:color w:val="000000"/>
          <w:u w:val="single"/>
          <w:lang w:eastAsia="bg-BG"/>
        </w:rPr>
      </w:pPr>
    </w:p>
    <w:p w14:paraId="75492D3C" w14:textId="660C6581" w:rsidR="000A654C" w:rsidRPr="000A654C" w:rsidRDefault="000A654C" w:rsidP="000A654C">
      <w:pPr>
        <w:spacing w:line="240" w:lineRule="auto"/>
        <w:rPr>
          <w:rFonts w:eastAsia="Times New Roman" w:cs="Arial"/>
          <w:lang w:eastAsia="bg-BG"/>
        </w:rPr>
      </w:pPr>
      <w:r w:rsidRPr="000A654C">
        <w:rPr>
          <w:rFonts w:eastAsia="Times New Roman" w:cs="Arial"/>
          <w:color w:val="000000"/>
          <w:u w:val="single"/>
          <w:lang w:eastAsia="bg-BG"/>
        </w:rPr>
        <w:t>Други антипаркинсонови медицински продукти</w:t>
      </w:r>
    </w:p>
    <w:p w14:paraId="167226D2" w14:textId="77777777" w:rsidR="000A654C" w:rsidRPr="00716A4A" w:rsidRDefault="000A654C" w:rsidP="000A654C">
      <w:pPr>
        <w:rPr>
          <w:rFonts w:eastAsia="Times New Roman" w:cs="Arial"/>
          <w:lang w:eastAsia="bg-BG"/>
        </w:rPr>
      </w:pPr>
      <w:r w:rsidRPr="00716A4A">
        <w:rPr>
          <w:rFonts w:eastAsia="Times New Roman" w:cs="Arial"/>
          <w:color w:val="000000"/>
          <w:lang w:eastAsia="bg-BG"/>
        </w:rPr>
        <w:t>Лесигон може да се приема едновременно с препоръчаната доза на МАО инхибитор със</w:t>
      </w:r>
      <w:r w:rsidRPr="00716A4A">
        <w:rPr>
          <w:rFonts w:eastAsia="Times New Roman" w:cs="Arial"/>
          <w:smallCaps/>
          <w:color w:val="000000"/>
          <w:lang w:eastAsia="bg-BG"/>
        </w:rPr>
        <w:t xml:space="preserve"> </w:t>
      </w:r>
      <w:r w:rsidRPr="00716A4A">
        <w:rPr>
          <w:rFonts w:eastAsia="Times New Roman" w:cs="Arial"/>
          <w:color w:val="000000"/>
          <w:lang w:eastAsia="bg-BG"/>
        </w:rPr>
        <w:t>селективностзаМАОтипБ,напр. селегилинхидрохлорид. Едновременното приложение на селегилин и леводопа/карбидопа е свързана със сериозна ортостатична хипотония. Затова може да се изисква намаляване на дозата на Лесигон, когато се добавя селективен МАО Б инхибитор Амантадин и допаминовите агонисти, като пирибедил, имат синергичен ефект с леводопа и могат да повишат свързаните с леводопа нежелани събития. Може да е необходимо коригиране на дозата на Лесигон.</w:t>
      </w:r>
    </w:p>
    <w:p w14:paraId="52CC9C61" w14:textId="77777777" w:rsidR="000A654C" w:rsidRPr="00716A4A" w:rsidRDefault="000A654C" w:rsidP="000A654C">
      <w:pPr>
        <w:spacing w:line="240" w:lineRule="auto"/>
        <w:rPr>
          <w:rFonts w:eastAsia="Times New Roman" w:cs="Arial"/>
          <w:color w:val="000000"/>
          <w:u w:val="single"/>
          <w:lang w:eastAsia="bg-BG"/>
        </w:rPr>
      </w:pPr>
    </w:p>
    <w:p w14:paraId="34480E4C" w14:textId="5ADC5C45" w:rsidR="000A654C" w:rsidRPr="000A654C" w:rsidRDefault="000A654C" w:rsidP="000A654C">
      <w:pPr>
        <w:spacing w:line="240" w:lineRule="auto"/>
        <w:rPr>
          <w:rFonts w:eastAsia="Times New Roman" w:cs="Arial"/>
          <w:lang w:eastAsia="bg-BG"/>
        </w:rPr>
      </w:pPr>
      <w:r w:rsidRPr="000A654C">
        <w:rPr>
          <w:rFonts w:eastAsia="Times New Roman" w:cs="Arial"/>
          <w:color w:val="000000"/>
          <w:u w:val="single"/>
          <w:lang w:eastAsia="bg-BG"/>
        </w:rPr>
        <w:t>Други лекарствени продукти</w:t>
      </w:r>
    </w:p>
    <w:p w14:paraId="4B594270"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Антагонистите на допаминовите рецептори (някои антипсихотици, напр. фенотиазини, бугирофенони и риспсридон, и антиеметици, напр. метоклопрамид), бензодиазепини, изониазид, фенитоин и папаверин могат да намалят терапевтичния ефект на леводопа. Пациентите, употребяващи тези лекарствени продукти заедно с Лесигон, трябва да се наблюдават внимателно за загуба на терапевтичен отговор.</w:t>
      </w:r>
    </w:p>
    <w:p w14:paraId="0494C87F" w14:textId="77777777" w:rsidR="000A654C" w:rsidRPr="00716A4A" w:rsidRDefault="000A654C" w:rsidP="000A654C">
      <w:pPr>
        <w:spacing w:line="240" w:lineRule="auto"/>
        <w:rPr>
          <w:rFonts w:eastAsia="Times New Roman" w:cs="Arial"/>
          <w:color w:val="000000"/>
          <w:lang w:eastAsia="bg-BG"/>
        </w:rPr>
      </w:pPr>
    </w:p>
    <w:p w14:paraId="3A56B1CF" w14:textId="40B1EB18"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Симпатикомиметиците могат да повишат сърдечносъдовите нежелани събития, свързани с леводопа.</w:t>
      </w:r>
    </w:p>
    <w:p w14:paraId="1E085502" w14:textId="77777777" w:rsidR="000A654C" w:rsidRPr="00716A4A" w:rsidRDefault="000A654C" w:rsidP="000A654C">
      <w:pPr>
        <w:spacing w:line="240" w:lineRule="auto"/>
        <w:rPr>
          <w:rFonts w:eastAsia="Times New Roman" w:cs="Arial"/>
          <w:color w:val="000000"/>
          <w:lang w:eastAsia="bg-BG"/>
        </w:rPr>
      </w:pPr>
    </w:p>
    <w:p w14:paraId="2AF013FD" w14:textId="6C65F22B"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Леводопа образува хелат с желязото в стомашно-чревния тракт, водещ до намалена абсорбция на леводопа. Затова Лесигон и пероралните препарати с желязо трябва да се приемат най-малко на 2-3 часа отстояние. Например, лекарствения препарат с желязо може да се приема преди времето за лягане, ако пациентът не използва помпата през нощта.</w:t>
      </w:r>
    </w:p>
    <w:p w14:paraId="2EED9B27" w14:textId="77777777" w:rsidR="000A654C" w:rsidRPr="00716A4A" w:rsidRDefault="000A654C" w:rsidP="000A654C">
      <w:pPr>
        <w:spacing w:line="240" w:lineRule="auto"/>
        <w:rPr>
          <w:rFonts w:eastAsia="Times New Roman" w:cs="Arial"/>
          <w:color w:val="000000"/>
          <w:lang w:eastAsia="bg-BG"/>
        </w:rPr>
      </w:pPr>
    </w:p>
    <w:p w14:paraId="573B96D1" w14:textId="7F6A5FE4"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 xml:space="preserve">Поради афинитета на ентакапон за Р450 2С9 ин витро (вижте точка 5.2), Лесигон може да повлияе лекарствените продукти, чийто метаболизъм зависи от този изоензим, като например </w:t>
      </w:r>
      <w:r w:rsidRPr="000A654C">
        <w:rPr>
          <w:rFonts w:eastAsia="Times New Roman" w:cs="Arial"/>
          <w:color w:val="000000"/>
          <w:lang w:val="en-US"/>
        </w:rPr>
        <w:t>S</w:t>
      </w:r>
      <w:r w:rsidRPr="000A654C">
        <w:rPr>
          <w:rFonts w:eastAsia="Times New Roman" w:cs="Arial"/>
          <w:color w:val="000000"/>
          <w:lang w:eastAsia="bg-BG"/>
        </w:rPr>
        <w:t xml:space="preserve">-варфарин. Въпреки това, при едно проучване на взаимодействието със здрави доброволци, ентакапон не промени плазмените нива на </w:t>
      </w:r>
      <w:r w:rsidRPr="000A654C">
        <w:rPr>
          <w:rFonts w:eastAsia="Times New Roman" w:cs="Arial"/>
          <w:color w:val="000000"/>
          <w:lang w:val="en-US"/>
        </w:rPr>
        <w:t>S</w:t>
      </w:r>
      <w:r w:rsidRPr="000A654C">
        <w:rPr>
          <w:rFonts w:eastAsia="Times New Roman" w:cs="Arial"/>
          <w:color w:val="000000"/>
          <w:lang w:eastAsia="bg-BG"/>
        </w:rPr>
        <w:t xml:space="preserve">-варфарин, докато зоната под кривата </w:t>
      </w:r>
      <w:r w:rsidRPr="000A654C">
        <w:rPr>
          <w:rFonts w:eastAsia="Times New Roman" w:cs="Arial"/>
          <w:color w:val="000000"/>
          <w:lang w:val="en-US"/>
        </w:rPr>
        <w:t xml:space="preserve">(AUC) </w:t>
      </w:r>
      <w:r w:rsidRPr="000A654C">
        <w:rPr>
          <w:rFonts w:eastAsia="Times New Roman" w:cs="Arial"/>
          <w:color w:val="000000"/>
          <w:lang w:eastAsia="bg-BG"/>
        </w:rPr>
        <w:t xml:space="preserve">за </w:t>
      </w:r>
      <w:r w:rsidRPr="000A654C">
        <w:rPr>
          <w:rFonts w:eastAsia="Times New Roman" w:cs="Arial"/>
          <w:color w:val="000000"/>
          <w:lang w:val="en-US"/>
        </w:rPr>
        <w:t xml:space="preserve">R- </w:t>
      </w:r>
      <w:r w:rsidRPr="000A654C">
        <w:rPr>
          <w:rFonts w:eastAsia="Times New Roman" w:cs="Arial"/>
          <w:color w:val="000000"/>
          <w:lang w:eastAsia="bg-BG"/>
        </w:rPr>
        <w:t xml:space="preserve">варфарин се повиши средно с 18% (90% интервал на поверителност: 11-26%). Стойностите на </w:t>
      </w:r>
      <w:r w:rsidRPr="000A654C">
        <w:rPr>
          <w:rFonts w:eastAsia="Times New Roman" w:cs="Arial"/>
          <w:color w:val="000000"/>
          <w:lang w:val="en-US"/>
        </w:rPr>
        <w:t xml:space="preserve">INR </w:t>
      </w:r>
      <w:r w:rsidRPr="000A654C">
        <w:rPr>
          <w:rFonts w:eastAsia="Times New Roman" w:cs="Arial"/>
          <w:color w:val="000000"/>
          <w:lang w:eastAsia="bg-BG"/>
        </w:rPr>
        <w:t xml:space="preserve">са повишени средно с 13% (90% интервал на доверителност: 6-19 %). Затова се препоръчва контрол на </w:t>
      </w:r>
      <w:r w:rsidRPr="000A654C">
        <w:rPr>
          <w:rFonts w:eastAsia="Times New Roman" w:cs="Arial"/>
          <w:color w:val="000000"/>
          <w:lang w:val="en-US"/>
        </w:rPr>
        <w:t xml:space="preserve">INR, </w:t>
      </w:r>
      <w:r w:rsidRPr="000A654C">
        <w:rPr>
          <w:rFonts w:eastAsia="Times New Roman" w:cs="Arial"/>
          <w:color w:val="000000"/>
          <w:lang w:eastAsia="bg-BG"/>
        </w:rPr>
        <w:t>когато се започва лечение с Лесигон за пациенти, приемащи варфарин.</w:t>
      </w:r>
    </w:p>
    <w:p w14:paraId="021BCBE9" w14:textId="77777777" w:rsidR="000A654C" w:rsidRPr="00716A4A" w:rsidRDefault="000A654C" w:rsidP="000A654C">
      <w:pPr>
        <w:spacing w:line="240" w:lineRule="auto"/>
        <w:rPr>
          <w:rFonts w:eastAsia="Times New Roman" w:cs="Arial"/>
          <w:color w:val="000000"/>
          <w:lang w:eastAsia="bg-BG"/>
        </w:rPr>
      </w:pPr>
    </w:p>
    <w:p w14:paraId="2415BBD3" w14:textId="5A22BF90"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Ефектът от приложението на антиациди и Лесигон, върху бионаличността на леводопа, не е изследван.</w:t>
      </w:r>
    </w:p>
    <w:p w14:paraId="05424376" w14:textId="77777777" w:rsidR="000A654C" w:rsidRPr="00716A4A" w:rsidRDefault="000A654C" w:rsidP="000A654C">
      <w:pPr>
        <w:spacing w:line="240" w:lineRule="auto"/>
        <w:rPr>
          <w:rFonts w:eastAsia="Times New Roman" w:cs="Arial"/>
          <w:color w:val="000000"/>
          <w:u w:val="single"/>
          <w:lang w:eastAsia="bg-BG"/>
        </w:rPr>
      </w:pPr>
    </w:p>
    <w:p w14:paraId="70D356B4" w14:textId="2E9E2D72" w:rsidR="000A654C" w:rsidRPr="000A654C" w:rsidRDefault="000A654C" w:rsidP="000A654C">
      <w:pPr>
        <w:spacing w:line="240" w:lineRule="auto"/>
        <w:rPr>
          <w:rFonts w:eastAsia="Times New Roman" w:cs="Arial"/>
          <w:lang w:eastAsia="bg-BG"/>
        </w:rPr>
      </w:pPr>
      <w:r w:rsidRPr="000A654C">
        <w:rPr>
          <w:rFonts w:eastAsia="Times New Roman" w:cs="Arial"/>
          <w:color w:val="000000"/>
          <w:u w:val="single"/>
          <w:lang w:eastAsia="bg-BG"/>
        </w:rPr>
        <w:t>Взаимодействия с храни</w:t>
      </w:r>
    </w:p>
    <w:p w14:paraId="5B2761C5" w14:textId="76B23B69" w:rsidR="0091385D" w:rsidRPr="00716A4A" w:rsidRDefault="000A654C" w:rsidP="000A654C">
      <w:pPr>
        <w:rPr>
          <w:rFonts w:cs="Arial"/>
        </w:rPr>
      </w:pPr>
      <w:r w:rsidRPr="00716A4A">
        <w:rPr>
          <w:rFonts w:eastAsia="Times New Roman" w:cs="Arial"/>
          <w:color w:val="000000"/>
          <w:lang w:eastAsia="bg-BG"/>
        </w:rPr>
        <w:t>Тъй като леводопа се конкурира с определени аминокиселини, абсорбцията на леводопа може да бъде нарушена при пациенти, които са на богата на белтъчини диета.</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39C2DFC4" w14:textId="77777777" w:rsidR="000A654C" w:rsidRPr="00716A4A" w:rsidRDefault="000A654C" w:rsidP="00716A4A">
      <w:pPr>
        <w:pStyle w:val="Heading3"/>
        <w:rPr>
          <w:rFonts w:eastAsia="Times New Roman"/>
          <w:u w:val="single"/>
          <w:lang w:eastAsia="bg-BG"/>
        </w:rPr>
      </w:pPr>
      <w:r w:rsidRPr="00716A4A">
        <w:rPr>
          <w:rFonts w:eastAsia="Times New Roman"/>
          <w:u w:val="single"/>
          <w:lang w:eastAsia="bg-BG"/>
        </w:rPr>
        <w:t>Бременност</w:t>
      </w:r>
    </w:p>
    <w:p w14:paraId="040F3FCB"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 xml:space="preserve">Няма или има само ограничени данни за приложението на леводопа/карбидопа/ентакапон </w:t>
      </w:r>
      <w:r w:rsidRPr="000A654C">
        <w:rPr>
          <w:rFonts w:eastAsia="Times New Roman" w:cs="Arial"/>
          <w:i/>
          <w:iCs/>
          <w:color w:val="000000"/>
          <w:lang w:eastAsia="bg-BG"/>
        </w:rPr>
        <w:t xml:space="preserve">при </w:t>
      </w:r>
      <w:r w:rsidRPr="000A654C">
        <w:rPr>
          <w:rFonts w:eastAsia="Times New Roman" w:cs="Arial"/>
          <w:color w:val="000000"/>
          <w:lang w:eastAsia="bg-BG"/>
        </w:rPr>
        <w:t>бременни жени. Проучвания при животни са показали репродуктивни токсикологични ефекти от индивидуалните вещества (вижте точка 5.3). Потенциалният риск за хората не е известен. Лесигон не се препоръчва по време на бременност или на жени с детероден потенциал, които не използват контрацепция, освен ако ползите за майката не надхвърлят възможните рискове за плода.</w:t>
      </w:r>
    </w:p>
    <w:p w14:paraId="42908F3A" w14:textId="77777777" w:rsidR="000A654C" w:rsidRPr="00716A4A" w:rsidRDefault="000A654C" w:rsidP="000A654C">
      <w:pPr>
        <w:spacing w:line="240" w:lineRule="auto"/>
        <w:rPr>
          <w:rFonts w:eastAsia="Times New Roman" w:cs="Arial"/>
          <w:color w:val="000000"/>
          <w:u w:val="single"/>
          <w:lang w:eastAsia="bg-BG"/>
        </w:rPr>
      </w:pPr>
    </w:p>
    <w:p w14:paraId="580EFD33" w14:textId="71E03CFC" w:rsidR="000A654C" w:rsidRPr="00716A4A" w:rsidRDefault="000A654C" w:rsidP="00716A4A">
      <w:pPr>
        <w:pStyle w:val="Heading3"/>
        <w:rPr>
          <w:rFonts w:eastAsia="Times New Roman"/>
          <w:u w:val="single"/>
          <w:lang w:eastAsia="bg-BG"/>
        </w:rPr>
      </w:pPr>
      <w:r w:rsidRPr="00716A4A">
        <w:rPr>
          <w:rFonts w:eastAsia="Times New Roman"/>
          <w:u w:val="single"/>
          <w:lang w:eastAsia="bg-BG"/>
        </w:rPr>
        <w:t>Кърмене</w:t>
      </w:r>
    </w:p>
    <w:p w14:paraId="52147F0B"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Леводопа и вероятно метаболитите на леводопа се екскретират в кърмата. Има доказателства, че лактацията се потиска по време на терапия с леводопа.</w:t>
      </w:r>
    </w:p>
    <w:p w14:paraId="4FC94563" w14:textId="77777777" w:rsidR="000A654C" w:rsidRPr="00716A4A" w:rsidRDefault="000A654C" w:rsidP="000A654C">
      <w:pPr>
        <w:spacing w:line="240" w:lineRule="auto"/>
        <w:rPr>
          <w:rFonts w:eastAsia="Times New Roman" w:cs="Arial"/>
          <w:color w:val="000000"/>
          <w:lang w:eastAsia="bg-BG"/>
        </w:rPr>
      </w:pPr>
    </w:p>
    <w:p w14:paraId="775AA9F3" w14:textId="3ED36B54"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Не е известно дали карбидопа и ентакапон или техните метаболити се екскретират в кърмата при човека. Проучванията при животни са показали екскреция на карбидопа и ентакапон в кърмата, но не е известно дали се екскретират в кърмата при човека.</w:t>
      </w:r>
    </w:p>
    <w:p w14:paraId="4BCA06DD" w14:textId="77777777" w:rsidR="000A654C" w:rsidRPr="00716A4A" w:rsidRDefault="000A654C" w:rsidP="000A654C">
      <w:pPr>
        <w:spacing w:line="240" w:lineRule="auto"/>
        <w:rPr>
          <w:rFonts w:eastAsia="Times New Roman" w:cs="Arial"/>
          <w:color w:val="000000"/>
          <w:lang w:eastAsia="bg-BG"/>
        </w:rPr>
      </w:pPr>
    </w:p>
    <w:p w14:paraId="6C36D120" w14:textId="7777D8ED"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t>Има недостатъчна информация за ефектите на леводопа/карбидопа/ентакапон или техните метаболити при новородените/кърмачетата. Затова кърменето трябва да се избягва по време на</w:t>
      </w:r>
    </w:p>
    <w:p w14:paraId="102F0D07" w14:textId="0E01B097" w:rsidR="007A2185" w:rsidRPr="00716A4A" w:rsidRDefault="000A654C" w:rsidP="000A654C">
      <w:pPr>
        <w:rPr>
          <w:rFonts w:cs="Arial"/>
        </w:rPr>
      </w:pPr>
      <w:r w:rsidRPr="00716A4A">
        <w:rPr>
          <w:rFonts w:eastAsia="Times New Roman" w:cs="Arial"/>
          <w:color w:val="000000"/>
          <w:lang w:eastAsia="bg-BG"/>
        </w:rPr>
        <w:t>лечение с Лесигон.</w:t>
      </w:r>
    </w:p>
    <w:p w14:paraId="3E8789C3" w14:textId="20763569" w:rsidR="0091385D" w:rsidRPr="00716A4A" w:rsidRDefault="0091385D" w:rsidP="0091385D">
      <w:pPr>
        <w:rPr>
          <w:rFonts w:cs="Arial"/>
        </w:rPr>
      </w:pPr>
    </w:p>
    <w:p w14:paraId="0521F289" w14:textId="77777777" w:rsidR="000A654C" w:rsidRPr="00716A4A" w:rsidRDefault="000A654C" w:rsidP="00716A4A">
      <w:pPr>
        <w:pStyle w:val="Heading3"/>
        <w:rPr>
          <w:rFonts w:eastAsia="Times New Roman"/>
          <w:u w:val="single"/>
          <w:lang w:eastAsia="bg-BG"/>
        </w:rPr>
      </w:pPr>
      <w:r w:rsidRPr="00716A4A">
        <w:rPr>
          <w:rFonts w:eastAsia="Times New Roman"/>
          <w:u w:val="single"/>
          <w:lang w:eastAsia="bg-BG"/>
        </w:rPr>
        <w:t>Фертилитет</w:t>
      </w:r>
    </w:p>
    <w:p w14:paraId="71EBD0E9" w14:textId="02622BEB" w:rsidR="000A654C" w:rsidRPr="00716A4A" w:rsidRDefault="000A654C" w:rsidP="000A654C">
      <w:pPr>
        <w:rPr>
          <w:rFonts w:cs="Arial"/>
        </w:rPr>
      </w:pPr>
      <w:r w:rsidRPr="00716A4A">
        <w:rPr>
          <w:rFonts w:eastAsia="Times New Roman" w:cs="Arial"/>
          <w:color w:val="000000"/>
          <w:lang w:eastAsia="bg-BG"/>
        </w:rPr>
        <w:t>Не са наблюдавани отрицателни ефекти върху фертилитета при прсдклинични проучвания с карбидопа, леводопа или ентакапон като отделни събстанции. Проучвания върху фертилитета при животни не са провеждани с комбинацията леводопа, карбидопа и ентакапон.</w:t>
      </w:r>
    </w:p>
    <w:p w14:paraId="5374E3AA" w14:textId="77777777" w:rsidR="000A654C" w:rsidRPr="0091385D" w:rsidRDefault="000A654C"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344A4D80" w14:textId="77777777" w:rsidR="000A654C" w:rsidRPr="000A654C" w:rsidRDefault="000A654C" w:rsidP="000A654C">
      <w:pPr>
        <w:spacing w:line="240" w:lineRule="auto"/>
        <w:rPr>
          <w:rFonts w:eastAsia="Times New Roman" w:cs="Arial"/>
          <w:lang w:eastAsia="bg-BG"/>
        </w:rPr>
      </w:pPr>
      <w:r w:rsidRPr="000A654C">
        <w:rPr>
          <w:rFonts w:eastAsia="Times New Roman" w:cs="Arial"/>
          <w:color w:val="000000"/>
          <w:lang w:eastAsia="bg-BG"/>
        </w:rPr>
        <w:lastRenderedPageBreak/>
        <w:t>Лесигон може да има голямо влияние върху способността за шофиране и работа с машини. Леводопа, карбидопа и ентакапон могат да предизвикат ортостатична хипотония и замайване. Ето защо е необходимо внимание при шофиране и работа с машини.</w:t>
      </w:r>
    </w:p>
    <w:p w14:paraId="3EADD65B" w14:textId="77777777" w:rsidR="000A654C" w:rsidRPr="00716A4A" w:rsidRDefault="000A654C" w:rsidP="000A654C">
      <w:pPr>
        <w:rPr>
          <w:rFonts w:eastAsia="Times New Roman" w:cs="Arial"/>
          <w:color w:val="000000"/>
          <w:lang w:eastAsia="bg-BG"/>
        </w:rPr>
      </w:pPr>
    </w:p>
    <w:p w14:paraId="1C9ABB96" w14:textId="12C8DC08" w:rsidR="007A2185" w:rsidRPr="00716A4A" w:rsidRDefault="000A654C" w:rsidP="000A654C">
      <w:pPr>
        <w:rPr>
          <w:rFonts w:cs="Arial"/>
        </w:rPr>
      </w:pPr>
      <w:r w:rsidRPr="00716A4A">
        <w:rPr>
          <w:rFonts w:eastAsia="Times New Roman" w:cs="Arial"/>
          <w:color w:val="000000"/>
          <w:lang w:eastAsia="bg-BG"/>
        </w:rPr>
        <w:t>Пациентите, които се лекуват с Лесигон и получават сомнолентност и/или епизоди на внезапно заспиване, трябва да се посъветват да се въздържат от шофиране или извършване на дейности, при които нарушеното внимание може да изложи тях или други хора на риск от сериозна травма или смърт (например при работа с машини), докато такива повтарящи се епизоди и сомнолентност не преминат, вижте също точки 4.4 и 4.8.</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76A40643" w14:textId="77777777" w:rsidR="000A654C" w:rsidRPr="000A654C" w:rsidRDefault="000A654C" w:rsidP="000A654C">
      <w:pPr>
        <w:spacing w:line="240" w:lineRule="auto"/>
        <w:rPr>
          <w:rFonts w:eastAsia="Times New Roman" w:cs="Arial"/>
          <w:szCs w:val="20"/>
          <w:lang w:eastAsia="bg-BG"/>
        </w:rPr>
      </w:pPr>
      <w:r w:rsidRPr="000A654C">
        <w:rPr>
          <w:rFonts w:eastAsia="Times New Roman" w:cs="Arial"/>
          <w:color w:val="000000"/>
          <w:szCs w:val="20"/>
          <w:u w:val="single"/>
          <w:lang w:eastAsia="bg-BG"/>
        </w:rPr>
        <w:t>Резюме на профила на безопасност</w:t>
      </w:r>
    </w:p>
    <w:p w14:paraId="0D9136BF" w14:textId="77777777" w:rsidR="000A654C" w:rsidRPr="000A654C" w:rsidRDefault="000A654C" w:rsidP="000A654C">
      <w:pPr>
        <w:spacing w:line="240" w:lineRule="auto"/>
        <w:rPr>
          <w:rFonts w:eastAsia="Times New Roman" w:cs="Arial"/>
          <w:szCs w:val="20"/>
          <w:lang w:eastAsia="bg-BG"/>
        </w:rPr>
      </w:pPr>
      <w:r w:rsidRPr="000A654C">
        <w:rPr>
          <w:rFonts w:eastAsia="Times New Roman" w:cs="Arial"/>
          <w:color w:val="000000"/>
          <w:szCs w:val="20"/>
          <w:lang w:eastAsia="bg-BG"/>
        </w:rPr>
        <w:t>Очакваният профил на безопасност за Лесигон се базира на наличните данни от клинични изпитвания и пост-маркетингов опит на гела за прилагане в червата леводопа/карбидопа и пероралния леводопа/карбидопа/ентакапон.</w:t>
      </w:r>
    </w:p>
    <w:p w14:paraId="54C2D4FC" w14:textId="77777777" w:rsidR="000A654C" w:rsidRPr="00716A4A" w:rsidRDefault="000A654C" w:rsidP="000A654C">
      <w:pPr>
        <w:spacing w:line="240" w:lineRule="auto"/>
        <w:rPr>
          <w:rFonts w:eastAsia="Times New Roman" w:cs="Arial"/>
          <w:color w:val="000000"/>
          <w:szCs w:val="20"/>
          <w:lang w:eastAsia="bg-BG"/>
        </w:rPr>
      </w:pPr>
    </w:p>
    <w:p w14:paraId="16EE0159" w14:textId="5E0A85FB" w:rsidR="000A654C" w:rsidRPr="000A654C" w:rsidRDefault="000A654C" w:rsidP="000A654C">
      <w:pPr>
        <w:spacing w:line="240" w:lineRule="auto"/>
        <w:rPr>
          <w:rFonts w:eastAsia="Times New Roman" w:cs="Arial"/>
          <w:szCs w:val="20"/>
          <w:lang w:eastAsia="bg-BG"/>
        </w:rPr>
      </w:pPr>
      <w:r w:rsidRPr="000A654C">
        <w:rPr>
          <w:rFonts w:eastAsia="Times New Roman" w:cs="Arial"/>
          <w:color w:val="000000"/>
          <w:szCs w:val="20"/>
          <w:lang w:eastAsia="bg-BG"/>
        </w:rPr>
        <w:t>Свързаните с лекарството нежелани лекарствени реакции, които възникват често при гела за прилагане в червата леводопа/карбидопа и следователно биха могли да възникнат при Лесигон, включват гадене и дискинезия. Нежеланите реакции, свързани с уреда и процедурата, които възникват често при гела за прилагане в червата леводопа/карбидопа и следователно биха могли да възникнат при Лесигон, включват коремна болка, усложнения при поставяне на тръбичката, тъкан с прекомерна гранулация, еритема на мястото на инцизията, постоперативна инфекция на раната, секретиране след процедурата, свързана с процедурата болка и реакция на мястото на инцизията. Повечето от тези нежелани реакции се съобщават рано в проучванията, те са следствие от процедурата по перкутанна ендоскопска гастростомия и настъпват през първите 28 дни.</w:t>
      </w:r>
    </w:p>
    <w:p w14:paraId="4E3839B4" w14:textId="77777777" w:rsidR="000A654C" w:rsidRPr="00716A4A" w:rsidRDefault="000A654C" w:rsidP="000A654C">
      <w:pPr>
        <w:spacing w:line="240" w:lineRule="auto"/>
        <w:rPr>
          <w:rFonts w:eastAsia="Times New Roman" w:cs="Arial"/>
          <w:color w:val="000000"/>
          <w:szCs w:val="20"/>
          <w:lang w:eastAsia="bg-BG"/>
        </w:rPr>
      </w:pPr>
    </w:p>
    <w:p w14:paraId="43B68381" w14:textId="2C72E141" w:rsidR="000A654C" w:rsidRPr="000A654C" w:rsidRDefault="000A654C" w:rsidP="000A654C">
      <w:pPr>
        <w:spacing w:line="240" w:lineRule="auto"/>
        <w:rPr>
          <w:rFonts w:eastAsia="Times New Roman" w:cs="Arial"/>
          <w:szCs w:val="20"/>
          <w:lang w:eastAsia="bg-BG"/>
        </w:rPr>
      </w:pPr>
      <w:r w:rsidRPr="000A654C">
        <w:rPr>
          <w:rFonts w:eastAsia="Times New Roman" w:cs="Arial"/>
          <w:color w:val="000000"/>
          <w:szCs w:val="20"/>
          <w:lang w:eastAsia="bg-BG"/>
        </w:rPr>
        <w:t>Най-често докладваните нежелани реакции с перорални леводопа/карбидопа/ентакапон са дискинезии (засягаща приблизително 19% от пациентите); стомашно-чревни симптоми, включващи гадене и диария (засягащи приблизително 15% и 12% от пациентите, респективно); нарушения на мускулите и съединителната тъкан (засягащи приблизително 12% от пациентите); и безвредно изолирано обезцветяване на урината (хроматурия) (засягащо приблизително 10% от пациентите). Сериозни нежелани реакции за стомашно-чревен кръвоизлив (нечест) и ангиоедем (рядък) са установени от клиничните изпитвания с перорални леводопа/карбидопа/ентакапон или ентакапон в комбинация с леводопа</w:t>
      </w:r>
      <w:r w:rsidRPr="000A654C">
        <w:rPr>
          <w:rFonts w:eastAsia="Times New Roman" w:cs="Arial"/>
          <w:color w:val="000000"/>
          <w:szCs w:val="20"/>
          <w:lang w:val="en-US"/>
        </w:rPr>
        <w:t xml:space="preserve">/DDC </w:t>
      </w:r>
      <w:r w:rsidRPr="000A654C">
        <w:rPr>
          <w:rFonts w:eastAsia="Times New Roman" w:cs="Arial"/>
          <w:color w:val="000000"/>
          <w:szCs w:val="20"/>
          <w:lang w:eastAsia="bg-BG"/>
        </w:rPr>
        <w:t>инхибитор. Сериозен хепатит с главно холестатични елементи, рабдомиолиза и невролептичен злокачествен синдром могат да възникнат при перорални леводопа/карбидопа/ентакапон, макар че няма установен случай от клиничните изпитвания.</w:t>
      </w:r>
    </w:p>
    <w:p w14:paraId="0C9432F0" w14:textId="77777777" w:rsidR="000A654C" w:rsidRPr="00716A4A" w:rsidRDefault="000A654C" w:rsidP="000A654C">
      <w:pPr>
        <w:spacing w:line="240" w:lineRule="auto"/>
        <w:rPr>
          <w:rFonts w:eastAsia="Times New Roman" w:cs="Arial"/>
          <w:color w:val="000000"/>
          <w:szCs w:val="20"/>
          <w:lang w:eastAsia="bg-BG"/>
        </w:rPr>
      </w:pPr>
    </w:p>
    <w:p w14:paraId="4BDFD357" w14:textId="7DC1BD9D" w:rsidR="000A654C" w:rsidRPr="000A654C" w:rsidRDefault="000A654C" w:rsidP="000A654C">
      <w:pPr>
        <w:spacing w:line="240" w:lineRule="auto"/>
        <w:rPr>
          <w:rFonts w:eastAsia="Times New Roman" w:cs="Arial"/>
          <w:szCs w:val="20"/>
          <w:lang w:eastAsia="bg-BG"/>
        </w:rPr>
      </w:pPr>
      <w:r w:rsidRPr="000A654C">
        <w:rPr>
          <w:rFonts w:eastAsia="Times New Roman" w:cs="Arial"/>
          <w:color w:val="000000"/>
          <w:szCs w:val="20"/>
          <w:lang w:eastAsia="bg-BG"/>
        </w:rPr>
        <w:t xml:space="preserve">Проведено е фармакокинетично проучване с Лесигон, което включва 11 пациенти с напреднала болест на Паркинсон. Нежеланите реакции, считани за свързани с Лесигон, са главоболие, гадене и замаяност. </w:t>
      </w:r>
      <w:r w:rsidRPr="000A654C">
        <w:rPr>
          <w:rFonts w:eastAsia="Times New Roman" w:cs="Arial"/>
          <w:i/>
          <w:iCs/>
          <w:color w:val="000000"/>
          <w:szCs w:val="20"/>
          <w:lang w:eastAsia="bg-BG"/>
        </w:rPr>
        <w:t>В това</w:t>
      </w:r>
      <w:r w:rsidRPr="000A654C">
        <w:rPr>
          <w:rFonts w:eastAsia="Times New Roman" w:cs="Arial"/>
          <w:color w:val="000000"/>
          <w:szCs w:val="20"/>
          <w:lang w:eastAsia="bg-BG"/>
        </w:rPr>
        <w:t xml:space="preserve"> 2-дневно проучване не са докладвани сериозни нежелани реакции. Не са налблюдавани нежелани реакции, които да се считат за свързани с помпата по време на прилагането на Лесигон.</w:t>
      </w:r>
    </w:p>
    <w:p w14:paraId="41693FCF" w14:textId="77777777" w:rsidR="000A654C" w:rsidRPr="00716A4A" w:rsidRDefault="000A654C" w:rsidP="000A654C">
      <w:pPr>
        <w:spacing w:line="240" w:lineRule="auto"/>
        <w:rPr>
          <w:rFonts w:eastAsia="Times New Roman" w:cs="Arial"/>
          <w:color w:val="000000"/>
          <w:szCs w:val="20"/>
          <w:u w:val="single"/>
          <w:lang w:eastAsia="bg-BG"/>
        </w:rPr>
      </w:pPr>
    </w:p>
    <w:p w14:paraId="64BB8486" w14:textId="5F9DBD05" w:rsidR="000A654C" w:rsidRPr="000A654C" w:rsidRDefault="000A654C" w:rsidP="000A654C">
      <w:pPr>
        <w:spacing w:line="240" w:lineRule="auto"/>
        <w:rPr>
          <w:rFonts w:eastAsia="Times New Roman" w:cs="Arial"/>
          <w:szCs w:val="20"/>
          <w:lang w:eastAsia="bg-BG"/>
        </w:rPr>
      </w:pPr>
      <w:r w:rsidRPr="000A654C">
        <w:rPr>
          <w:rFonts w:eastAsia="Times New Roman" w:cs="Arial"/>
          <w:color w:val="000000"/>
          <w:szCs w:val="20"/>
          <w:u w:val="single"/>
          <w:lang w:eastAsia="bg-BG"/>
        </w:rPr>
        <w:t>Таблица с нежеланите реакции</w:t>
      </w:r>
    </w:p>
    <w:p w14:paraId="336FF023" w14:textId="77777777" w:rsidR="000A654C" w:rsidRPr="00716A4A" w:rsidRDefault="000A654C" w:rsidP="000A654C">
      <w:pPr>
        <w:rPr>
          <w:rFonts w:eastAsia="Times New Roman" w:cs="Arial"/>
          <w:szCs w:val="20"/>
          <w:lang w:eastAsia="bg-BG"/>
        </w:rPr>
      </w:pPr>
      <w:r w:rsidRPr="00716A4A">
        <w:rPr>
          <w:rFonts w:eastAsia="Times New Roman" w:cs="Arial"/>
          <w:color w:val="000000"/>
          <w:szCs w:val="20"/>
          <w:lang w:eastAsia="bg-BG"/>
        </w:rPr>
        <w:lastRenderedPageBreak/>
        <w:t>Нежеланите реакции, свързани с лекарствения продукт, уреда и свързаните с процедурата нежелани реакции, наблюдавани в клинични изпитвания и по време на пост-маркетингово приложение на гела за прилагане в червата леводопа/карбидопа и перорални леводопа/карбидопа/ентакапон са обобщени в Таблица 1 по-долу по системо-органен клас и честота.</w:t>
      </w:r>
    </w:p>
    <w:p w14:paraId="3267520C" w14:textId="77777777" w:rsidR="000A654C" w:rsidRPr="00716A4A" w:rsidRDefault="000A654C" w:rsidP="000A654C">
      <w:pPr>
        <w:spacing w:line="240" w:lineRule="auto"/>
        <w:rPr>
          <w:rFonts w:eastAsia="Times New Roman" w:cs="Arial"/>
          <w:color w:val="000000"/>
          <w:szCs w:val="20"/>
          <w:lang w:eastAsia="bg-BG"/>
        </w:rPr>
      </w:pPr>
    </w:p>
    <w:p w14:paraId="685C2CC1" w14:textId="02848ECF" w:rsidR="000A654C" w:rsidRPr="000A654C" w:rsidRDefault="000A654C" w:rsidP="000A654C">
      <w:pPr>
        <w:spacing w:line="240" w:lineRule="auto"/>
        <w:rPr>
          <w:rFonts w:eastAsia="Times New Roman" w:cs="Arial"/>
          <w:szCs w:val="20"/>
          <w:lang w:eastAsia="bg-BG"/>
        </w:rPr>
      </w:pPr>
      <w:r w:rsidRPr="000A654C">
        <w:rPr>
          <w:rFonts w:eastAsia="Times New Roman" w:cs="Arial"/>
          <w:color w:val="000000"/>
          <w:szCs w:val="20"/>
          <w:lang w:eastAsia="bg-BG"/>
        </w:rPr>
        <w:t>При перорални леводопа/карбидопа/ентакапон нежеланите реакции, изброени в Таблица 1, са били събрани от двойно-слепи клинични изпитвания и данни, събрани по време на пост- маркетингово приложение на ентакапон за комбинирана терапия с леводопа</w:t>
      </w:r>
      <w:r w:rsidRPr="000A654C">
        <w:rPr>
          <w:rFonts w:eastAsia="Times New Roman" w:cs="Arial"/>
          <w:color w:val="000000"/>
          <w:szCs w:val="20"/>
          <w:lang w:val="en-US"/>
        </w:rPr>
        <w:t xml:space="preserve">/DDC </w:t>
      </w:r>
      <w:r w:rsidRPr="000A654C">
        <w:rPr>
          <w:rFonts w:eastAsia="Times New Roman" w:cs="Arial"/>
          <w:color w:val="000000"/>
          <w:szCs w:val="20"/>
          <w:lang w:eastAsia="bg-BG"/>
        </w:rPr>
        <w:t>инхибитор.</w:t>
      </w:r>
    </w:p>
    <w:p w14:paraId="247ABFCA" w14:textId="77777777" w:rsidR="000A654C" w:rsidRPr="00716A4A" w:rsidRDefault="000A654C" w:rsidP="000A654C">
      <w:pPr>
        <w:spacing w:line="240" w:lineRule="auto"/>
        <w:rPr>
          <w:rFonts w:eastAsia="Times New Roman" w:cs="Arial"/>
          <w:color w:val="000000"/>
          <w:szCs w:val="20"/>
          <w:lang w:eastAsia="bg-BG"/>
        </w:rPr>
      </w:pPr>
    </w:p>
    <w:p w14:paraId="637BC8AE" w14:textId="0B97E57D" w:rsidR="00716A4A" w:rsidRPr="00716A4A" w:rsidRDefault="00716A4A" w:rsidP="00716A4A">
      <w:pPr>
        <w:spacing w:line="240" w:lineRule="auto"/>
        <w:jc w:val="center"/>
        <w:rPr>
          <w:rFonts w:eastAsia="Times New Roman" w:cs="Arial"/>
          <w:szCs w:val="20"/>
          <w:lang w:eastAsia="bg-BG"/>
        </w:rPr>
      </w:pPr>
      <w:r w:rsidRPr="00716A4A">
        <w:rPr>
          <w:rFonts w:eastAsia="Times New Roman" w:cs="Arial"/>
          <w:color w:val="000000"/>
          <w:szCs w:val="20"/>
          <w:lang w:eastAsia="bg-BG"/>
        </w:rPr>
        <w:t xml:space="preserve">Таблица 1. </w:t>
      </w:r>
      <w:r w:rsidR="000A654C" w:rsidRPr="000A654C">
        <w:rPr>
          <w:rFonts w:eastAsia="Times New Roman" w:cs="Arial"/>
          <w:color w:val="000000"/>
          <w:szCs w:val="20"/>
          <w:lang w:eastAsia="bg-BG"/>
        </w:rPr>
        <w:t>Нежелани реакции от клиничните изпитвания и пост-маркетингов опит на</w:t>
      </w:r>
    </w:p>
    <w:p w14:paraId="4F61C25D" w14:textId="77777777" w:rsidR="00716A4A" w:rsidRPr="00716A4A" w:rsidRDefault="00716A4A" w:rsidP="00716A4A">
      <w:pPr>
        <w:spacing w:line="240" w:lineRule="auto"/>
        <w:jc w:val="center"/>
        <w:rPr>
          <w:rFonts w:eastAsia="Times New Roman" w:cs="Arial"/>
          <w:szCs w:val="20"/>
          <w:lang w:eastAsia="bg-BG"/>
        </w:rPr>
      </w:pPr>
      <w:r w:rsidRPr="00716A4A">
        <w:rPr>
          <w:rFonts w:eastAsia="Times New Roman" w:cs="Arial"/>
          <w:color w:val="000000"/>
          <w:szCs w:val="20"/>
          <w:lang w:eastAsia="bg-BG"/>
        </w:rPr>
        <w:t xml:space="preserve">    </w:t>
      </w:r>
      <w:r w:rsidR="000A654C" w:rsidRPr="000A654C">
        <w:rPr>
          <w:rFonts w:eastAsia="Times New Roman" w:cs="Arial"/>
          <w:color w:val="000000"/>
          <w:szCs w:val="20"/>
          <w:lang w:eastAsia="bg-BG"/>
        </w:rPr>
        <w:t>гела за прилагане в червата леводопа/карбидопа и/или перорални</w:t>
      </w:r>
    </w:p>
    <w:p w14:paraId="0254AACC" w14:textId="57085C88" w:rsidR="007A2185" w:rsidRPr="00716A4A" w:rsidRDefault="00716A4A" w:rsidP="00716A4A">
      <w:pPr>
        <w:spacing w:line="240" w:lineRule="auto"/>
        <w:rPr>
          <w:rFonts w:eastAsia="Times New Roman" w:cs="Arial"/>
          <w:szCs w:val="20"/>
          <w:lang w:eastAsia="bg-BG"/>
        </w:rPr>
      </w:pPr>
      <w:r w:rsidRPr="00716A4A">
        <w:rPr>
          <w:rFonts w:eastAsia="Times New Roman" w:cs="Arial"/>
          <w:szCs w:val="20"/>
          <w:lang w:eastAsia="bg-BG"/>
        </w:rPr>
        <w:t xml:space="preserve">                                 </w:t>
      </w:r>
      <w:r w:rsidR="000A654C" w:rsidRPr="00716A4A">
        <w:rPr>
          <w:rFonts w:eastAsia="Times New Roman" w:cs="Arial"/>
          <w:color w:val="000000"/>
          <w:szCs w:val="20"/>
          <w:u w:val="single"/>
          <w:lang w:eastAsia="bg-BG"/>
        </w:rPr>
        <w:t>леводопа/карбидопа/ентакапон</w:t>
      </w:r>
    </w:p>
    <w:p w14:paraId="443BC107" w14:textId="76D2B45B" w:rsidR="005B0F27" w:rsidRPr="00716A4A" w:rsidRDefault="005B0F27" w:rsidP="0091385D">
      <w:pPr>
        <w:rPr>
          <w:rFonts w:cs="Arial"/>
          <w:szCs w:val="20"/>
        </w:rPr>
      </w:pPr>
    </w:p>
    <w:tbl>
      <w:tblPr>
        <w:tblStyle w:val="TableGrid"/>
        <w:tblW w:w="0" w:type="auto"/>
        <w:tblLook w:val="04A0" w:firstRow="1" w:lastRow="0" w:firstColumn="1" w:lastColumn="0" w:noHBand="0" w:noVBand="1"/>
      </w:tblPr>
      <w:tblGrid>
        <w:gridCol w:w="1276"/>
        <w:gridCol w:w="1578"/>
        <w:gridCol w:w="1725"/>
        <w:gridCol w:w="1702"/>
        <w:gridCol w:w="1457"/>
        <w:gridCol w:w="1612"/>
      </w:tblGrid>
      <w:tr w:rsidR="00716A4A" w:rsidRPr="00716A4A" w14:paraId="171D75CE" w14:textId="77777777" w:rsidTr="00716A4A">
        <w:tc>
          <w:tcPr>
            <w:tcW w:w="1276" w:type="dxa"/>
          </w:tcPr>
          <w:p w14:paraId="48A96E8C" w14:textId="2FBADE66" w:rsidR="00716A4A" w:rsidRPr="00716A4A" w:rsidRDefault="00716A4A" w:rsidP="00716A4A">
            <w:pPr>
              <w:rPr>
                <w:rFonts w:cs="Arial"/>
                <w:szCs w:val="20"/>
              </w:rPr>
            </w:pPr>
            <w:r w:rsidRPr="00716A4A">
              <w:rPr>
                <w:rFonts w:cs="Arial"/>
                <w:b/>
                <w:bCs/>
                <w:szCs w:val="20"/>
              </w:rPr>
              <w:t xml:space="preserve">Системо- органен клас по </w:t>
            </w:r>
            <w:proofErr w:type="spellStart"/>
            <w:r w:rsidRPr="00716A4A">
              <w:rPr>
                <w:rFonts w:cs="Arial"/>
                <w:b/>
                <w:bCs/>
                <w:szCs w:val="20"/>
                <w:lang w:val="en-US"/>
              </w:rPr>
              <w:t>MedDRA</w:t>
            </w:r>
            <w:proofErr w:type="spellEnd"/>
          </w:p>
        </w:tc>
        <w:tc>
          <w:tcPr>
            <w:tcW w:w="1578" w:type="dxa"/>
          </w:tcPr>
          <w:p w14:paraId="2702DF75" w14:textId="2EF2BC75" w:rsidR="00716A4A" w:rsidRPr="00716A4A" w:rsidRDefault="00716A4A" w:rsidP="00716A4A">
            <w:pPr>
              <w:rPr>
                <w:rFonts w:cs="Arial"/>
                <w:szCs w:val="20"/>
              </w:rPr>
            </w:pPr>
            <w:r w:rsidRPr="00716A4A">
              <w:rPr>
                <w:rFonts w:cs="Arial"/>
                <w:b/>
                <w:bCs/>
                <w:szCs w:val="20"/>
              </w:rPr>
              <w:t>Много чести (≥ 1/10)</w:t>
            </w:r>
          </w:p>
        </w:tc>
        <w:tc>
          <w:tcPr>
            <w:tcW w:w="1725" w:type="dxa"/>
          </w:tcPr>
          <w:p w14:paraId="344342E1" w14:textId="3134A055" w:rsidR="00716A4A" w:rsidRPr="00716A4A" w:rsidRDefault="00716A4A" w:rsidP="00716A4A">
            <w:pPr>
              <w:rPr>
                <w:rFonts w:cs="Arial"/>
                <w:szCs w:val="20"/>
              </w:rPr>
            </w:pPr>
            <w:r w:rsidRPr="00716A4A">
              <w:rPr>
                <w:rFonts w:cs="Arial"/>
                <w:b/>
                <w:bCs/>
                <w:szCs w:val="20"/>
              </w:rPr>
              <w:t>Чести (≥1/100 до &lt; 1/10)</w:t>
            </w:r>
          </w:p>
        </w:tc>
        <w:tc>
          <w:tcPr>
            <w:tcW w:w="1702" w:type="dxa"/>
          </w:tcPr>
          <w:p w14:paraId="4AF7AFD3" w14:textId="77777777" w:rsidR="00716A4A" w:rsidRPr="00716A4A" w:rsidRDefault="00716A4A" w:rsidP="00716A4A">
            <w:pPr>
              <w:rPr>
                <w:rFonts w:cs="Arial"/>
                <w:szCs w:val="20"/>
              </w:rPr>
            </w:pPr>
            <w:r w:rsidRPr="00716A4A">
              <w:rPr>
                <w:rFonts w:cs="Arial"/>
                <w:b/>
                <w:bCs/>
                <w:szCs w:val="20"/>
              </w:rPr>
              <w:t>Нечести (≥1/1000 до &lt;</w:t>
            </w:r>
          </w:p>
          <w:p w14:paraId="13696E22" w14:textId="1B210E6B" w:rsidR="00716A4A" w:rsidRPr="00716A4A" w:rsidRDefault="00716A4A" w:rsidP="00716A4A">
            <w:pPr>
              <w:rPr>
                <w:rFonts w:cs="Arial"/>
                <w:szCs w:val="20"/>
              </w:rPr>
            </w:pPr>
            <w:r w:rsidRPr="00716A4A">
              <w:rPr>
                <w:rFonts w:cs="Arial"/>
                <w:b/>
                <w:bCs/>
                <w:szCs w:val="20"/>
              </w:rPr>
              <w:t>1/100)</w:t>
            </w:r>
          </w:p>
        </w:tc>
        <w:tc>
          <w:tcPr>
            <w:tcW w:w="1457" w:type="dxa"/>
          </w:tcPr>
          <w:p w14:paraId="5E32CD66" w14:textId="77777777" w:rsidR="00716A4A" w:rsidRPr="00716A4A" w:rsidRDefault="00716A4A" w:rsidP="00716A4A">
            <w:pPr>
              <w:rPr>
                <w:rFonts w:cs="Arial"/>
                <w:szCs w:val="20"/>
              </w:rPr>
            </w:pPr>
            <w:r w:rsidRPr="00716A4A">
              <w:rPr>
                <w:rFonts w:cs="Arial"/>
                <w:b/>
                <w:bCs/>
                <w:szCs w:val="20"/>
              </w:rPr>
              <w:t>Редки</w:t>
            </w:r>
          </w:p>
          <w:p w14:paraId="5DFEBA8A" w14:textId="77777777" w:rsidR="00716A4A" w:rsidRPr="00716A4A" w:rsidRDefault="00716A4A" w:rsidP="00716A4A">
            <w:pPr>
              <w:rPr>
                <w:rFonts w:cs="Arial"/>
                <w:szCs w:val="20"/>
              </w:rPr>
            </w:pPr>
            <w:r w:rsidRPr="00716A4A">
              <w:rPr>
                <w:rFonts w:cs="Arial"/>
                <w:b/>
                <w:bCs/>
                <w:szCs w:val="20"/>
              </w:rPr>
              <w:t>(≥ 1/10 000 до</w:t>
            </w:r>
          </w:p>
          <w:p w14:paraId="4EB2D143" w14:textId="10471CF9" w:rsidR="00716A4A" w:rsidRPr="00716A4A" w:rsidRDefault="00716A4A" w:rsidP="00716A4A">
            <w:pPr>
              <w:rPr>
                <w:rFonts w:cs="Arial"/>
                <w:szCs w:val="20"/>
              </w:rPr>
            </w:pPr>
            <w:r w:rsidRPr="00716A4A">
              <w:rPr>
                <w:rFonts w:cs="Arial"/>
                <w:b/>
                <w:bCs/>
                <w:szCs w:val="20"/>
              </w:rPr>
              <w:t>&lt; 1/1000)</w:t>
            </w:r>
          </w:p>
        </w:tc>
        <w:tc>
          <w:tcPr>
            <w:tcW w:w="1612" w:type="dxa"/>
          </w:tcPr>
          <w:p w14:paraId="3D12D90C" w14:textId="132F31F5" w:rsidR="00716A4A" w:rsidRPr="00716A4A" w:rsidRDefault="00716A4A" w:rsidP="00716A4A">
            <w:pPr>
              <w:rPr>
                <w:rFonts w:cs="Arial"/>
                <w:szCs w:val="20"/>
              </w:rPr>
            </w:pPr>
            <w:r w:rsidRPr="00716A4A">
              <w:rPr>
                <w:rFonts w:cs="Arial"/>
                <w:b/>
                <w:bCs/>
                <w:szCs w:val="20"/>
              </w:rPr>
              <w:t>С неизвестна честота (не може да се прецени от наличните данни)</w:t>
            </w:r>
          </w:p>
        </w:tc>
      </w:tr>
      <w:tr w:rsidR="00716A4A" w:rsidRPr="00716A4A" w14:paraId="00776321" w14:textId="77777777" w:rsidTr="006F5446">
        <w:tc>
          <w:tcPr>
            <w:tcW w:w="9350" w:type="dxa"/>
            <w:gridSpan w:val="6"/>
          </w:tcPr>
          <w:p w14:paraId="6976751A" w14:textId="5C494CAF" w:rsidR="00716A4A" w:rsidRPr="00716A4A" w:rsidRDefault="00716A4A" w:rsidP="00716A4A">
            <w:pPr>
              <w:jc w:val="center"/>
              <w:rPr>
                <w:rFonts w:cs="Arial"/>
                <w:szCs w:val="20"/>
              </w:rPr>
            </w:pPr>
            <w:r w:rsidRPr="00716A4A">
              <w:rPr>
                <w:rFonts w:cs="Arial"/>
                <w:b/>
                <w:bCs/>
                <w:szCs w:val="20"/>
                <w:u w:val="single"/>
              </w:rPr>
              <w:t>Свързани с лекарството нежелани реакции</w:t>
            </w:r>
          </w:p>
        </w:tc>
      </w:tr>
      <w:tr w:rsidR="00716A4A" w:rsidRPr="00716A4A" w14:paraId="5D95F2BD" w14:textId="77777777" w:rsidTr="00716A4A">
        <w:tc>
          <w:tcPr>
            <w:tcW w:w="1276" w:type="dxa"/>
          </w:tcPr>
          <w:p w14:paraId="7F22A60D" w14:textId="73416DA3" w:rsidR="00716A4A" w:rsidRPr="00716A4A" w:rsidRDefault="00716A4A" w:rsidP="00716A4A">
            <w:pPr>
              <w:rPr>
                <w:rFonts w:cs="Arial"/>
                <w:szCs w:val="20"/>
              </w:rPr>
            </w:pPr>
            <w:r w:rsidRPr="00716A4A">
              <w:rPr>
                <w:rFonts w:cs="Arial"/>
                <w:szCs w:val="20"/>
              </w:rPr>
              <w:t>Нарушения на кръвта и лимфната система</w:t>
            </w:r>
          </w:p>
        </w:tc>
        <w:tc>
          <w:tcPr>
            <w:tcW w:w="1578" w:type="dxa"/>
          </w:tcPr>
          <w:p w14:paraId="6F494259" w14:textId="77777777" w:rsidR="00716A4A" w:rsidRPr="00716A4A" w:rsidRDefault="00716A4A" w:rsidP="00716A4A">
            <w:pPr>
              <w:rPr>
                <w:rFonts w:cs="Arial"/>
                <w:szCs w:val="20"/>
              </w:rPr>
            </w:pPr>
          </w:p>
        </w:tc>
        <w:tc>
          <w:tcPr>
            <w:tcW w:w="1725" w:type="dxa"/>
          </w:tcPr>
          <w:p w14:paraId="68833ED9" w14:textId="3017F0D7" w:rsidR="00716A4A" w:rsidRPr="00716A4A" w:rsidRDefault="00716A4A" w:rsidP="00716A4A">
            <w:pPr>
              <w:rPr>
                <w:rFonts w:cs="Arial"/>
                <w:szCs w:val="20"/>
              </w:rPr>
            </w:pPr>
            <w:r w:rsidRPr="00716A4A">
              <w:rPr>
                <w:rFonts w:cs="Arial"/>
                <w:szCs w:val="20"/>
              </w:rPr>
              <w:t>Анемия</w:t>
            </w:r>
          </w:p>
        </w:tc>
        <w:tc>
          <w:tcPr>
            <w:tcW w:w="1702" w:type="dxa"/>
          </w:tcPr>
          <w:p w14:paraId="0E0F080A" w14:textId="217F2DDE" w:rsidR="00716A4A" w:rsidRPr="00716A4A" w:rsidRDefault="00716A4A" w:rsidP="00716A4A">
            <w:pPr>
              <w:rPr>
                <w:rFonts w:cs="Arial"/>
                <w:szCs w:val="20"/>
              </w:rPr>
            </w:pPr>
            <w:r w:rsidRPr="00716A4A">
              <w:rPr>
                <w:rFonts w:cs="Arial"/>
                <w:szCs w:val="20"/>
              </w:rPr>
              <w:t>Левкопения, Тромбоцитопе ния</w:t>
            </w:r>
          </w:p>
        </w:tc>
        <w:tc>
          <w:tcPr>
            <w:tcW w:w="1457" w:type="dxa"/>
          </w:tcPr>
          <w:p w14:paraId="71B42F1D" w14:textId="77777777" w:rsidR="00716A4A" w:rsidRPr="00716A4A" w:rsidRDefault="00716A4A" w:rsidP="00716A4A">
            <w:pPr>
              <w:rPr>
                <w:rFonts w:cs="Arial"/>
                <w:szCs w:val="20"/>
              </w:rPr>
            </w:pPr>
          </w:p>
        </w:tc>
        <w:tc>
          <w:tcPr>
            <w:tcW w:w="1612" w:type="dxa"/>
          </w:tcPr>
          <w:p w14:paraId="28805051" w14:textId="270F553F" w:rsidR="00716A4A" w:rsidRPr="00716A4A" w:rsidRDefault="00716A4A" w:rsidP="00716A4A">
            <w:pPr>
              <w:rPr>
                <w:rFonts w:cs="Arial"/>
                <w:szCs w:val="20"/>
              </w:rPr>
            </w:pPr>
            <w:r w:rsidRPr="00716A4A">
              <w:rPr>
                <w:rFonts w:cs="Arial"/>
                <w:szCs w:val="20"/>
              </w:rPr>
              <w:t>Агранулоцитоза</w:t>
            </w:r>
          </w:p>
        </w:tc>
      </w:tr>
      <w:tr w:rsidR="00716A4A" w:rsidRPr="00716A4A" w14:paraId="7DF08B18" w14:textId="77777777" w:rsidTr="00716A4A">
        <w:tc>
          <w:tcPr>
            <w:tcW w:w="1276" w:type="dxa"/>
          </w:tcPr>
          <w:p w14:paraId="5C8E2928" w14:textId="12462330" w:rsidR="00716A4A" w:rsidRPr="00716A4A" w:rsidRDefault="00716A4A" w:rsidP="00716A4A">
            <w:pPr>
              <w:rPr>
                <w:rFonts w:cs="Arial"/>
                <w:szCs w:val="20"/>
              </w:rPr>
            </w:pPr>
            <w:r w:rsidRPr="00716A4A">
              <w:rPr>
                <w:rFonts w:cs="Arial"/>
                <w:szCs w:val="20"/>
              </w:rPr>
              <w:t>Нарушения на имунната система</w:t>
            </w:r>
          </w:p>
        </w:tc>
        <w:tc>
          <w:tcPr>
            <w:tcW w:w="1578" w:type="dxa"/>
          </w:tcPr>
          <w:p w14:paraId="54CDBDF8" w14:textId="77777777" w:rsidR="00716A4A" w:rsidRPr="00716A4A" w:rsidRDefault="00716A4A" w:rsidP="00716A4A">
            <w:pPr>
              <w:rPr>
                <w:rFonts w:cs="Arial"/>
                <w:szCs w:val="20"/>
              </w:rPr>
            </w:pPr>
          </w:p>
        </w:tc>
        <w:tc>
          <w:tcPr>
            <w:tcW w:w="1725" w:type="dxa"/>
          </w:tcPr>
          <w:p w14:paraId="73FDB625" w14:textId="77777777" w:rsidR="00716A4A" w:rsidRPr="00716A4A" w:rsidRDefault="00716A4A" w:rsidP="00716A4A">
            <w:pPr>
              <w:rPr>
                <w:rFonts w:cs="Arial"/>
                <w:szCs w:val="20"/>
              </w:rPr>
            </w:pPr>
          </w:p>
        </w:tc>
        <w:tc>
          <w:tcPr>
            <w:tcW w:w="1702" w:type="dxa"/>
          </w:tcPr>
          <w:p w14:paraId="6741AE96" w14:textId="77777777" w:rsidR="00716A4A" w:rsidRPr="00716A4A" w:rsidRDefault="00716A4A" w:rsidP="00716A4A">
            <w:pPr>
              <w:rPr>
                <w:rFonts w:cs="Arial"/>
                <w:szCs w:val="20"/>
              </w:rPr>
            </w:pPr>
          </w:p>
        </w:tc>
        <w:tc>
          <w:tcPr>
            <w:tcW w:w="1457" w:type="dxa"/>
          </w:tcPr>
          <w:p w14:paraId="5DD3A827" w14:textId="77777777" w:rsidR="00716A4A" w:rsidRPr="00716A4A" w:rsidRDefault="00716A4A" w:rsidP="00716A4A">
            <w:pPr>
              <w:rPr>
                <w:rFonts w:cs="Arial"/>
                <w:szCs w:val="20"/>
              </w:rPr>
            </w:pPr>
          </w:p>
        </w:tc>
        <w:tc>
          <w:tcPr>
            <w:tcW w:w="1612" w:type="dxa"/>
          </w:tcPr>
          <w:p w14:paraId="1BE6BD15" w14:textId="27C09EFD" w:rsidR="00716A4A" w:rsidRPr="00716A4A" w:rsidRDefault="00716A4A" w:rsidP="00716A4A">
            <w:pPr>
              <w:rPr>
                <w:rFonts w:cs="Arial"/>
                <w:szCs w:val="20"/>
              </w:rPr>
            </w:pPr>
            <w:r w:rsidRPr="00716A4A">
              <w:rPr>
                <w:rFonts w:cs="Arial"/>
                <w:szCs w:val="20"/>
              </w:rPr>
              <w:t>Анафилактична реакция</w:t>
            </w:r>
          </w:p>
        </w:tc>
      </w:tr>
      <w:tr w:rsidR="00716A4A" w:rsidRPr="00716A4A" w14:paraId="0776C336" w14:textId="77777777" w:rsidTr="00716A4A">
        <w:tc>
          <w:tcPr>
            <w:tcW w:w="1276" w:type="dxa"/>
          </w:tcPr>
          <w:p w14:paraId="101507F7" w14:textId="23A00C61" w:rsidR="00716A4A" w:rsidRPr="00716A4A" w:rsidRDefault="00716A4A" w:rsidP="00716A4A">
            <w:pPr>
              <w:rPr>
                <w:rFonts w:cs="Arial"/>
                <w:szCs w:val="20"/>
              </w:rPr>
            </w:pPr>
            <w:r w:rsidRPr="00716A4A">
              <w:rPr>
                <w:rFonts w:cs="Arial"/>
                <w:szCs w:val="20"/>
              </w:rPr>
              <w:t>Нарушения на метаболизм а и храненето</w:t>
            </w:r>
          </w:p>
        </w:tc>
        <w:tc>
          <w:tcPr>
            <w:tcW w:w="1578" w:type="dxa"/>
          </w:tcPr>
          <w:p w14:paraId="11DF461B" w14:textId="4E07AF1E" w:rsidR="00716A4A" w:rsidRPr="00716A4A" w:rsidRDefault="00716A4A" w:rsidP="00716A4A">
            <w:pPr>
              <w:rPr>
                <w:rFonts w:cs="Arial"/>
                <w:szCs w:val="20"/>
              </w:rPr>
            </w:pPr>
            <w:r w:rsidRPr="00716A4A">
              <w:rPr>
                <w:rFonts w:cs="Arial"/>
                <w:szCs w:val="20"/>
              </w:rPr>
              <w:t>Намаление на теглото</w:t>
            </w:r>
          </w:p>
        </w:tc>
        <w:tc>
          <w:tcPr>
            <w:tcW w:w="1725" w:type="dxa"/>
          </w:tcPr>
          <w:p w14:paraId="3D913634" w14:textId="17D5EF7D" w:rsidR="00716A4A" w:rsidRPr="00716A4A" w:rsidRDefault="00716A4A" w:rsidP="00716A4A">
            <w:pPr>
              <w:rPr>
                <w:rFonts w:cs="Arial"/>
                <w:szCs w:val="20"/>
              </w:rPr>
            </w:pPr>
            <w:r w:rsidRPr="00716A4A">
              <w:rPr>
                <w:rFonts w:cs="Arial"/>
                <w:szCs w:val="20"/>
              </w:rPr>
              <w:t xml:space="preserve">Повишено ниво на аминокиселини (повишена метилмалонова киселина), Повишен хомоцистеин в кръвта, Намален апетит, Повишение на теглото, Дефицит на витамин В6, </w:t>
            </w:r>
            <w:r w:rsidRPr="00716A4A">
              <w:rPr>
                <w:rFonts w:cs="Arial"/>
                <w:szCs w:val="20"/>
              </w:rPr>
              <w:lastRenderedPageBreak/>
              <w:t>Дефицит на витамин В12</w:t>
            </w:r>
          </w:p>
        </w:tc>
        <w:tc>
          <w:tcPr>
            <w:tcW w:w="1702" w:type="dxa"/>
          </w:tcPr>
          <w:p w14:paraId="06D92BCE" w14:textId="77777777" w:rsidR="00716A4A" w:rsidRPr="00716A4A" w:rsidRDefault="00716A4A" w:rsidP="00716A4A">
            <w:pPr>
              <w:rPr>
                <w:rFonts w:cs="Arial"/>
                <w:szCs w:val="20"/>
              </w:rPr>
            </w:pPr>
          </w:p>
        </w:tc>
        <w:tc>
          <w:tcPr>
            <w:tcW w:w="1457" w:type="dxa"/>
          </w:tcPr>
          <w:p w14:paraId="5472392E" w14:textId="77777777" w:rsidR="00716A4A" w:rsidRPr="00716A4A" w:rsidRDefault="00716A4A" w:rsidP="00716A4A">
            <w:pPr>
              <w:rPr>
                <w:rFonts w:cs="Arial"/>
                <w:szCs w:val="20"/>
              </w:rPr>
            </w:pPr>
          </w:p>
        </w:tc>
        <w:tc>
          <w:tcPr>
            <w:tcW w:w="1612" w:type="dxa"/>
          </w:tcPr>
          <w:p w14:paraId="3D086E28" w14:textId="77777777" w:rsidR="00716A4A" w:rsidRPr="00716A4A" w:rsidRDefault="00716A4A" w:rsidP="00716A4A">
            <w:pPr>
              <w:rPr>
                <w:rFonts w:cs="Arial"/>
                <w:szCs w:val="20"/>
              </w:rPr>
            </w:pPr>
          </w:p>
        </w:tc>
      </w:tr>
      <w:tr w:rsidR="00716A4A" w:rsidRPr="00716A4A" w14:paraId="334B9A70" w14:textId="77777777" w:rsidTr="00716A4A">
        <w:tc>
          <w:tcPr>
            <w:tcW w:w="1276" w:type="dxa"/>
          </w:tcPr>
          <w:p w14:paraId="722B9773" w14:textId="05513CDF" w:rsidR="00716A4A" w:rsidRPr="00716A4A" w:rsidRDefault="00716A4A" w:rsidP="00716A4A">
            <w:pPr>
              <w:rPr>
                <w:rFonts w:cs="Arial"/>
                <w:szCs w:val="20"/>
              </w:rPr>
            </w:pPr>
            <w:r w:rsidRPr="00716A4A">
              <w:rPr>
                <w:rFonts w:cs="Arial"/>
                <w:szCs w:val="20"/>
              </w:rPr>
              <w:t>Психични нарушения</w:t>
            </w:r>
          </w:p>
        </w:tc>
        <w:tc>
          <w:tcPr>
            <w:tcW w:w="1578" w:type="dxa"/>
          </w:tcPr>
          <w:p w14:paraId="0D5E16C2" w14:textId="1898DBCE" w:rsidR="00716A4A" w:rsidRPr="00716A4A" w:rsidRDefault="00716A4A" w:rsidP="00716A4A">
            <w:pPr>
              <w:rPr>
                <w:rFonts w:cs="Arial"/>
                <w:szCs w:val="20"/>
              </w:rPr>
            </w:pPr>
            <w:r w:rsidRPr="00716A4A">
              <w:rPr>
                <w:rFonts w:cs="Arial"/>
                <w:szCs w:val="20"/>
              </w:rPr>
              <w:t>Тревожност, Депресия, Безсъние</w:t>
            </w:r>
          </w:p>
        </w:tc>
        <w:tc>
          <w:tcPr>
            <w:tcW w:w="1725" w:type="dxa"/>
          </w:tcPr>
          <w:p w14:paraId="6D9BCD3E" w14:textId="3B35286E" w:rsidR="00716A4A" w:rsidRPr="00716A4A" w:rsidRDefault="00716A4A" w:rsidP="00716A4A">
            <w:pPr>
              <w:rPr>
                <w:rFonts w:cs="Arial"/>
                <w:szCs w:val="20"/>
              </w:rPr>
            </w:pPr>
            <w:r w:rsidRPr="00716A4A">
              <w:rPr>
                <w:rFonts w:cs="Arial"/>
                <w:szCs w:val="20"/>
              </w:rPr>
              <w:t>Кошмари, Ажитация, Обърканост, Халюцинации, Нарушения на контрола на импулсите, Психотични разстройства, Пристъпи на заспиване, Нарушения на съня</w:t>
            </w:r>
          </w:p>
        </w:tc>
        <w:tc>
          <w:tcPr>
            <w:tcW w:w="1702" w:type="dxa"/>
          </w:tcPr>
          <w:p w14:paraId="0D1DA948" w14:textId="015CDF74" w:rsidR="00716A4A" w:rsidRPr="00716A4A" w:rsidRDefault="00716A4A" w:rsidP="00716A4A">
            <w:pPr>
              <w:rPr>
                <w:rFonts w:cs="Arial"/>
                <w:szCs w:val="20"/>
              </w:rPr>
            </w:pPr>
            <w:r w:rsidRPr="00716A4A">
              <w:rPr>
                <w:rFonts w:cs="Arial"/>
                <w:szCs w:val="20"/>
              </w:rPr>
              <w:t>Завършено самоубийство. Дезориентация, Еуфория, Страх, Увеличено либидо (вижте раздел 4.4) Суицидни опити/суицидн о поведение</w:t>
            </w:r>
          </w:p>
        </w:tc>
        <w:tc>
          <w:tcPr>
            <w:tcW w:w="1457" w:type="dxa"/>
          </w:tcPr>
          <w:p w14:paraId="45F3D60B" w14:textId="62F5104C" w:rsidR="00716A4A" w:rsidRPr="00716A4A" w:rsidRDefault="00716A4A" w:rsidP="00716A4A">
            <w:pPr>
              <w:rPr>
                <w:rFonts w:cs="Arial"/>
                <w:szCs w:val="20"/>
              </w:rPr>
            </w:pPr>
            <w:r w:rsidRPr="00716A4A">
              <w:rPr>
                <w:rFonts w:cs="Arial"/>
                <w:szCs w:val="20"/>
              </w:rPr>
              <w:t>Абнормно мислене</w:t>
            </w:r>
          </w:p>
        </w:tc>
        <w:tc>
          <w:tcPr>
            <w:tcW w:w="1612" w:type="dxa"/>
          </w:tcPr>
          <w:p w14:paraId="36674840" w14:textId="6E7F256D" w:rsidR="00716A4A" w:rsidRPr="00716A4A" w:rsidRDefault="00716A4A" w:rsidP="00716A4A">
            <w:pPr>
              <w:rPr>
                <w:rFonts w:cs="Arial"/>
                <w:szCs w:val="20"/>
              </w:rPr>
            </w:pPr>
            <w:r w:rsidRPr="00716A4A">
              <w:rPr>
                <w:rFonts w:cs="Arial"/>
                <w:szCs w:val="20"/>
              </w:rPr>
              <w:t>Синдром на нарушената допаминова регулация</w:t>
            </w:r>
            <w:r w:rsidRPr="00716A4A">
              <w:rPr>
                <w:rFonts w:cs="Arial"/>
                <w:szCs w:val="20"/>
                <w:vertAlign w:val="superscript"/>
              </w:rPr>
              <w:t>3</w:t>
            </w:r>
          </w:p>
        </w:tc>
      </w:tr>
      <w:tr w:rsidR="00716A4A" w:rsidRPr="00716A4A" w14:paraId="6B9CD546" w14:textId="77777777" w:rsidTr="00716A4A">
        <w:tc>
          <w:tcPr>
            <w:tcW w:w="1276" w:type="dxa"/>
          </w:tcPr>
          <w:p w14:paraId="767096B2" w14:textId="2D795A2B" w:rsidR="00716A4A" w:rsidRPr="00716A4A" w:rsidRDefault="00716A4A" w:rsidP="00716A4A">
            <w:pPr>
              <w:rPr>
                <w:rFonts w:cs="Arial"/>
                <w:szCs w:val="20"/>
              </w:rPr>
            </w:pPr>
            <w:r w:rsidRPr="00716A4A">
              <w:rPr>
                <w:rFonts w:cs="Arial"/>
                <w:szCs w:val="20"/>
              </w:rPr>
              <w:t>Нарушения на нервната система</w:t>
            </w:r>
          </w:p>
        </w:tc>
        <w:tc>
          <w:tcPr>
            <w:tcW w:w="1578" w:type="dxa"/>
          </w:tcPr>
          <w:p w14:paraId="58522CF7" w14:textId="2384F1A0" w:rsidR="00716A4A" w:rsidRPr="00716A4A" w:rsidRDefault="00716A4A" w:rsidP="00716A4A">
            <w:pPr>
              <w:rPr>
                <w:rFonts w:cs="Arial"/>
                <w:szCs w:val="20"/>
              </w:rPr>
            </w:pPr>
            <w:r w:rsidRPr="00716A4A">
              <w:rPr>
                <w:rFonts w:cs="Arial"/>
                <w:szCs w:val="20"/>
              </w:rPr>
              <w:t>Дискинезия, болест на Паркинсон/ обостряне на паркинсонизма (напр. брадикинезия)</w:t>
            </w:r>
          </w:p>
        </w:tc>
        <w:tc>
          <w:tcPr>
            <w:tcW w:w="1725" w:type="dxa"/>
            <w:vAlign w:val="bottom"/>
          </w:tcPr>
          <w:p w14:paraId="3E363DF9" w14:textId="77777777" w:rsidR="00716A4A" w:rsidRPr="00716A4A" w:rsidRDefault="00716A4A" w:rsidP="00716A4A">
            <w:pPr>
              <w:rPr>
                <w:rFonts w:cs="Arial"/>
                <w:szCs w:val="20"/>
              </w:rPr>
            </w:pPr>
            <w:r w:rsidRPr="00716A4A">
              <w:rPr>
                <w:rFonts w:cs="Arial"/>
                <w:szCs w:val="20"/>
              </w:rPr>
              <w:t xml:space="preserve">Замайване, Дистония, Главоболие, хипоестезия, Феномен </w:t>
            </w:r>
            <w:r w:rsidRPr="00716A4A">
              <w:rPr>
                <w:rFonts w:cs="Arial"/>
                <w:szCs w:val="20"/>
                <w:lang w:val="en-US"/>
              </w:rPr>
              <w:t xml:space="preserve">„On- off'', </w:t>
            </w:r>
            <w:r w:rsidRPr="00716A4A">
              <w:rPr>
                <w:rFonts w:cs="Arial"/>
                <w:szCs w:val="20"/>
              </w:rPr>
              <w:t>Парестезии, Полиневропатия,</w:t>
            </w:r>
          </w:p>
          <w:p w14:paraId="6393D4C6" w14:textId="41F451CC" w:rsidR="00716A4A" w:rsidRPr="00716A4A" w:rsidRDefault="00716A4A" w:rsidP="00716A4A">
            <w:pPr>
              <w:rPr>
                <w:rFonts w:cs="Arial"/>
                <w:szCs w:val="20"/>
              </w:rPr>
            </w:pPr>
            <w:r w:rsidRPr="00716A4A">
              <w:rPr>
                <w:rFonts w:cs="Arial"/>
                <w:szCs w:val="20"/>
              </w:rPr>
              <w:t>Сомнолентност, Синкоп, Тремор, Хиперкинезия</w:t>
            </w:r>
          </w:p>
        </w:tc>
        <w:tc>
          <w:tcPr>
            <w:tcW w:w="1702" w:type="dxa"/>
          </w:tcPr>
          <w:p w14:paraId="39568FFD" w14:textId="54F2DEDE" w:rsidR="00716A4A" w:rsidRPr="00716A4A" w:rsidRDefault="00716A4A" w:rsidP="00716A4A">
            <w:pPr>
              <w:rPr>
                <w:rFonts w:cs="Arial"/>
                <w:szCs w:val="20"/>
              </w:rPr>
            </w:pPr>
            <w:r w:rsidRPr="00716A4A">
              <w:rPr>
                <w:rFonts w:cs="Arial"/>
                <w:szCs w:val="20"/>
              </w:rPr>
              <w:t>Атаксия, Конвулсии</w:t>
            </w:r>
          </w:p>
        </w:tc>
        <w:tc>
          <w:tcPr>
            <w:tcW w:w="1457" w:type="dxa"/>
          </w:tcPr>
          <w:p w14:paraId="48DEB181" w14:textId="77777777" w:rsidR="00716A4A" w:rsidRPr="00716A4A" w:rsidRDefault="00716A4A" w:rsidP="00716A4A">
            <w:pPr>
              <w:rPr>
                <w:rFonts w:cs="Arial"/>
                <w:szCs w:val="20"/>
              </w:rPr>
            </w:pPr>
          </w:p>
        </w:tc>
        <w:tc>
          <w:tcPr>
            <w:tcW w:w="1612" w:type="dxa"/>
          </w:tcPr>
          <w:p w14:paraId="224C7E7A" w14:textId="045CC9BD" w:rsidR="00716A4A" w:rsidRPr="00716A4A" w:rsidRDefault="00716A4A" w:rsidP="00716A4A">
            <w:pPr>
              <w:rPr>
                <w:rFonts w:cs="Arial"/>
                <w:szCs w:val="20"/>
              </w:rPr>
            </w:pPr>
            <w:r w:rsidRPr="00716A4A">
              <w:rPr>
                <w:rFonts w:cs="Arial"/>
                <w:szCs w:val="20"/>
              </w:rPr>
              <w:t>Невролептичен злокачествен синдром, влошаване на паметта, деменция</w:t>
            </w:r>
          </w:p>
        </w:tc>
      </w:tr>
      <w:tr w:rsidR="00716A4A" w:rsidRPr="00716A4A" w14:paraId="72F30453" w14:textId="77777777" w:rsidTr="00716A4A">
        <w:tc>
          <w:tcPr>
            <w:tcW w:w="1276" w:type="dxa"/>
          </w:tcPr>
          <w:p w14:paraId="7AAEDF27" w14:textId="76B3F807" w:rsidR="00716A4A" w:rsidRPr="00716A4A" w:rsidRDefault="00716A4A" w:rsidP="00716A4A">
            <w:pPr>
              <w:rPr>
                <w:rFonts w:cs="Arial"/>
                <w:szCs w:val="20"/>
              </w:rPr>
            </w:pPr>
            <w:r w:rsidRPr="00716A4A">
              <w:rPr>
                <w:rFonts w:cs="Arial"/>
                <w:szCs w:val="20"/>
              </w:rPr>
              <w:t>Очни нарушения</w:t>
            </w:r>
          </w:p>
        </w:tc>
        <w:tc>
          <w:tcPr>
            <w:tcW w:w="1578" w:type="dxa"/>
          </w:tcPr>
          <w:p w14:paraId="21B3DDC5" w14:textId="77777777" w:rsidR="00716A4A" w:rsidRPr="00716A4A" w:rsidRDefault="00716A4A" w:rsidP="00716A4A">
            <w:pPr>
              <w:rPr>
                <w:rFonts w:cs="Arial"/>
                <w:szCs w:val="20"/>
              </w:rPr>
            </w:pPr>
          </w:p>
        </w:tc>
        <w:tc>
          <w:tcPr>
            <w:tcW w:w="1725" w:type="dxa"/>
          </w:tcPr>
          <w:p w14:paraId="0C4F9920" w14:textId="713F105D" w:rsidR="00716A4A" w:rsidRPr="00716A4A" w:rsidRDefault="00716A4A" w:rsidP="00716A4A">
            <w:pPr>
              <w:rPr>
                <w:rFonts w:cs="Arial"/>
                <w:szCs w:val="20"/>
              </w:rPr>
            </w:pPr>
            <w:r w:rsidRPr="00716A4A">
              <w:rPr>
                <w:rFonts w:cs="Arial"/>
                <w:szCs w:val="20"/>
              </w:rPr>
              <w:t>Замъглено зрение</w:t>
            </w:r>
          </w:p>
        </w:tc>
        <w:tc>
          <w:tcPr>
            <w:tcW w:w="1702" w:type="dxa"/>
            <w:vAlign w:val="bottom"/>
          </w:tcPr>
          <w:p w14:paraId="64B209D5" w14:textId="1B63A850" w:rsidR="00716A4A" w:rsidRPr="00716A4A" w:rsidRDefault="00716A4A" w:rsidP="00716A4A">
            <w:pPr>
              <w:rPr>
                <w:rFonts w:cs="Arial"/>
                <w:szCs w:val="20"/>
              </w:rPr>
            </w:pPr>
            <w:r w:rsidRPr="00716A4A">
              <w:rPr>
                <w:rFonts w:cs="Arial"/>
                <w:szCs w:val="20"/>
              </w:rPr>
              <w:t>Закритоъгълна глаукома, блефароспазъм Диплопия, Исхемична невропатия на очния нерв</w:t>
            </w:r>
          </w:p>
        </w:tc>
        <w:tc>
          <w:tcPr>
            <w:tcW w:w="1457" w:type="dxa"/>
          </w:tcPr>
          <w:p w14:paraId="1D302CD6" w14:textId="77777777" w:rsidR="00716A4A" w:rsidRPr="00716A4A" w:rsidRDefault="00716A4A" w:rsidP="00716A4A">
            <w:pPr>
              <w:rPr>
                <w:rFonts w:cs="Arial"/>
                <w:szCs w:val="20"/>
              </w:rPr>
            </w:pPr>
          </w:p>
        </w:tc>
        <w:tc>
          <w:tcPr>
            <w:tcW w:w="1612" w:type="dxa"/>
          </w:tcPr>
          <w:p w14:paraId="5C34DC44" w14:textId="77777777" w:rsidR="00716A4A" w:rsidRPr="00716A4A" w:rsidRDefault="00716A4A" w:rsidP="00716A4A">
            <w:pPr>
              <w:rPr>
                <w:rFonts w:cs="Arial"/>
                <w:szCs w:val="20"/>
              </w:rPr>
            </w:pPr>
          </w:p>
        </w:tc>
      </w:tr>
      <w:tr w:rsidR="00716A4A" w:rsidRPr="00716A4A" w14:paraId="31B4A67F" w14:textId="77777777" w:rsidTr="00716A4A">
        <w:tc>
          <w:tcPr>
            <w:tcW w:w="1276" w:type="dxa"/>
          </w:tcPr>
          <w:p w14:paraId="6FF9EC5F" w14:textId="593CC786" w:rsidR="00716A4A" w:rsidRPr="00716A4A" w:rsidRDefault="00716A4A" w:rsidP="00716A4A">
            <w:pPr>
              <w:rPr>
                <w:rFonts w:cs="Arial"/>
                <w:szCs w:val="20"/>
              </w:rPr>
            </w:pPr>
            <w:r w:rsidRPr="00716A4A">
              <w:rPr>
                <w:rFonts w:cs="Arial"/>
                <w:szCs w:val="20"/>
              </w:rPr>
              <w:t>Сърдечни нарушения</w:t>
            </w:r>
          </w:p>
        </w:tc>
        <w:tc>
          <w:tcPr>
            <w:tcW w:w="1578" w:type="dxa"/>
          </w:tcPr>
          <w:p w14:paraId="61EDDB0A" w14:textId="77777777" w:rsidR="00716A4A" w:rsidRPr="00716A4A" w:rsidRDefault="00716A4A" w:rsidP="00716A4A">
            <w:pPr>
              <w:rPr>
                <w:rFonts w:cs="Arial"/>
                <w:szCs w:val="20"/>
              </w:rPr>
            </w:pPr>
          </w:p>
        </w:tc>
        <w:tc>
          <w:tcPr>
            <w:tcW w:w="1725" w:type="dxa"/>
            <w:vAlign w:val="bottom"/>
          </w:tcPr>
          <w:p w14:paraId="7CF90970" w14:textId="0BBF3DF1" w:rsidR="00716A4A" w:rsidRPr="00716A4A" w:rsidRDefault="00716A4A" w:rsidP="00716A4A">
            <w:pPr>
              <w:rPr>
                <w:rFonts w:cs="Arial"/>
                <w:szCs w:val="20"/>
              </w:rPr>
            </w:pPr>
            <w:r w:rsidRPr="00716A4A">
              <w:rPr>
                <w:rFonts w:cs="Arial"/>
                <w:szCs w:val="20"/>
              </w:rPr>
              <w:t>Неравномерна сърдечна дейност, Исхемична болест на сърцето, различна от инфаркт на миокарда (напр. ангина пекторис)</w:t>
            </w:r>
          </w:p>
        </w:tc>
        <w:tc>
          <w:tcPr>
            <w:tcW w:w="1702" w:type="dxa"/>
          </w:tcPr>
          <w:p w14:paraId="78EC02B9" w14:textId="42B80D5C" w:rsidR="00716A4A" w:rsidRPr="00716A4A" w:rsidRDefault="00716A4A" w:rsidP="00716A4A">
            <w:pPr>
              <w:rPr>
                <w:rFonts w:cs="Arial"/>
                <w:szCs w:val="20"/>
              </w:rPr>
            </w:pPr>
            <w:r w:rsidRPr="00716A4A">
              <w:rPr>
                <w:rFonts w:cs="Arial"/>
                <w:szCs w:val="20"/>
              </w:rPr>
              <w:t>Сърцебиене, Инфаркт на миокарда</w:t>
            </w:r>
          </w:p>
        </w:tc>
        <w:tc>
          <w:tcPr>
            <w:tcW w:w="1457" w:type="dxa"/>
          </w:tcPr>
          <w:p w14:paraId="113168EC" w14:textId="77777777" w:rsidR="00716A4A" w:rsidRPr="00716A4A" w:rsidRDefault="00716A4A" w:rsidP="00716A4A">
            <w:pPr>
              <w:rPr>
                <w:rFonts w:cs="Arial"/>
                <w:szCs w:val="20"/>
              </w:rPr>
            </w:pPr>
          </w:p>
        </w:tc>
        <w:tc>
          <w:tcPr>
            <w:tcW w:w="1612" w:type="dxa"/>
          </w:tcPr>
          <w:p w14:paraId="2F92E700" w14:textId="77777777" w:rsidR="00716A4A" w:rsidRPr="00716A4A" w:rsidRDefault="00716A4A" w:rsidP="00716A4A">
            <w:pPr>
              <w:rPr>
                <w:rFonts w:cs="Arial"/>
                <w:szCs w:val="20"/>
              </w:rPr>
            </w:pPr>
          </w:p>
        </w:tc>
      </w:tr>
      <w:tr w:rsidR="00716A4A" w:rsidRPr="00716A4A" w14:paraId="54826A76" w14:textId="77777777" w:rsidTr="00716A4A">
        <w:tc>
          <w:tcPr>
            <w:tcW w:w="1276" w:type="dxa"/>
            <w:vAlign w:val="bottom"/>
          </w:tcPr>
          <w:p w14:paraId="7A641227" w14:textId="29E54EDA" w:rsidR="00716A4A" w:rsidRPr="00716A4A" w:rsidRDefault="00716A4A" w:rsidP="00716A4A">
            <w:pPr>
              <w:rPr>
                <w:rFonts w:cs="Arial"/>
                <w:szCs w:val="20"/>
              </w:rPr>
            </w:pPr>
            <w:r w:rsidRPr="00716A4A">
              <w:rPr>
                <w:rFonts w:cs="Arial"/>
                <w:szCs w:val="20"/>
              </w:rPr>
              <w:lastRenderedPageBreak/>
              <w:t>Съдови нарушения</w:t>
            </w:r>
          </w:p>
        </w:tc>
        <w:tc>
          <w:tcPr>
            <w:tcW w:w="1578" w:type="dxa"/>
            <w:vAlign w:val="bottom"/>
          </w:tcPr>
          <w:p w14:paraId="6C194EF6" w14:textId="5D0EBF29" w:rsidR="00716A4A" w:rsidRPr="00716A4A" w:rsidRDefault="00716A4A" w:rsidP="00716A4A">
            <w:pPr>
              <w:rPr>
                <w:rFonts w:cs="Arial"/>
                <w:szCs w:val="20"/>
              </w:rPr>
            </w:pPr>
            <w:r w:rsidRPr="00716A4A">
              <w:rPr>
                <w:rFonts w:cs="Arial"/>
                <w:szCs w:val="20"/>
              </w:rPr>
              <w:t>Ортостатична хипотония</w:t>
            </w:r>
          </w:p>
        </w:tc>
        <w:tc>
          <w:tcPr>
            <w:tcW w:w="1725" w:type="dxa"/>
            <w:vAlign w:val="bottom"/>
          </w:tcPr>
          <w:p w14:paraId="21F729AE" w14:textId="19C86A0E" w:rsidR="00716A4A" w:rsidRPr="00716A4A" w:rsidRDefault="00716A4A" w:rsidP="00716A4A">
            <w:pPr>
              <w:rPr>
                <w:rFonts w:cs="Arial"/>
                <w:szCs w:val="20"/>
              </w:rPr>
            </w:pPr>
            <w:r w:rsidRPr="00716A4A">
              <w:rPr>
                <w:rFonts w:cs="Arial"/>
                <w:szCs w:val="20"/>
              </w:rPr>
              <w:t>Хипертония, Хипотония</w:t>
            </w:r>
          </w:p>
        </w:tc>
        <w:tc>
          <w:tcPr>
            <w:tcW w:w="1702" w:type="dxa"/>
          </w:tcPr>
          <w:p w14:paraId="2206CADC" w14:textId="38994C9D" w:rsidR="00716A4A" w:rsidRPr="00716A4A" w:rsidRDefault="00716A4A" w:rsidP="00716A4A">
            <w:pPr>
              <w:rPr>
                <w:rFonts w:cs="Arial"/>
                <w:szCs w:val="20"/>
              </w:rPr>
            </w:pPr>
            <w:r w:rsidRPr="00716A4A">
              <w:rPr>
                <w:rFonts w:cs="Arial"/>
                <w:szCs w:val="20"/>
              </w:rPr>
              <w:t>Флебит</w:t>
            </w:r>
          </w:p>
        </w:tc>
        <w:tc>
          <w:tcPr>
            <w:tcW w:w="1457" w:type="dxa"/>
          </w:tcPr>
          <w:p w14:paraId="79A11ACE" w14:textId="77777777" w:rsidR="00716A4A" w:rsidRPr="00716A4A" w:rsidRDefault="00716A4A" w:rsidP="00716A4A">
            <w:pPr>
              <w:rPr>
                <w:rFonts w:cs="Arial"/>
                <w:szCs w:val="20"/>
              </w:rPr>
            </w:pPr>
          </w:p>
        </w:tc>
        <w:tc>
          <w:tcPr>
            <w:tcW w:w="1612" w:type="dxa"/>
          </w:tcPr>
          <w:p w14:paraId="348E5C94" w14:textId="77777777" w:rsidR="00716A4A" w:rsidRPr="00716A4A" w:rsidRDefault="00716A4A" w:rsidP="00716A4A">
            <w:pPr>
              <w:rPr>
                <w:rFonts w:cs="Arial"/>
                <w:szCs w:val="20"/>
              </w:rPr>
            </w:pPr>
          </w:p>
        </w:tc>
      </w:tr>
      <w:tr w:rsidR="00716A4A" w:rsidRPr="00716A4A" w14:paraId="65581580" w14:textId="77777777" w:rsidTr="00716A4A">
        <w:tc>
          <w:tcPr>
            <w:tcW w:w="1276" w:type="dxa"/>
            <w:vAlign w:val="bottom"/>
          </w:tcPr>
          <w:p w14:paraId="2A3B22C3" w14:textId="6C1CFF58" w:rsidR="00716A4A" w:rsidRPr="00716A4A" w:rsidRDefault="00716A4A" w:rsidP="00716A4A">
            <w:pPr>
              <w:rPr>
                <w:rFonts w:cs="Arial"/>
                <w:szCs w:val="20"/>
              </w:rPr>
            </w:pPr>
            <w:r w:rsidRPr="00716A4A">
              <w:rPr>
                <w:rFonts w:cs="Arial"/>
                <w:szCs w:val="20"/>
              </w:rPr>
              <w:t>Респиратор ни, гръдни и медиастина лни нарушения</w:t>
            </w:r>
          </w:p>
        </w:tc>
        <w:tc>
          <w:tcPr>
            <w:tcW w:w="1578" w:type="dxa"/>
          </w:tcPr>
          <w:p w14:paraId="39B149EA" w14:textId="77777777" w:rsidR="00716A4A" w:rsidRPr="00716A4A" w:rsidRDefault="00716A4A" w:rsidP="00716A4A">
            <w:pPr>
              <w:rPr>
                <w:rFonts w:cs="Arial"/>
                <w:szCs w:val="20"/>
              </w:rPr>
            </w:pPr>
          </w:p>
        </w:tc>
        <w:tc>
          <w:tcPr>
            <w:tcW w:w="1725" w:type="dxa"/>
          </w:tcPr>
          <w:p w14:paraId="616D5CE3" w14:textId="2F7CCAC8" w:rsidR="00716A4A" w:rsidRPr="00716A4A" w:rsidRDefault="00716A4A" w:rsidP="00716A4A">
            <w:pPr>
              <w:rPr>
                <w:rFonts w:cs="Arial"/>
                <w:szCs w:val="20"/>
              </w:rPr>
            </w:pPr>
            <w:r w:rsidRPr="00716A4A">
              <w:rPr>
                <w:rFonts w:cs="Arial"/>
                <w:szCs w:val="20"/>
              </w:rPr>
              <w:t>Диспнея, Орофарингеалн а болка, Аспирационна пневмония</w:t>
            </w:r>
          </w:p>
        </w:tc>
        <w:tc>
          <w:tcPr>
            <w:tcW w:w="1702" w:type="dxa"/>
          </w:tcPr>
          <w:p w14:paraId="3B916A39" w14:textId="617C1F37" w:rsidR="00716A4A" w:rsidRPr="00716A4A" w:rsidRDefault="00716A4A" w:rsidP="00716A4A">
            <w:pPr>
              <w:rPr>
                <w:rFonts w:cs="Arial"/>
                <w:szCs w:val="20"/>
              </w:rPr>
            </w:pPr>
            <w:r w:rsidRPr="00716A4A">
              <w:rPr>
                <w:rFonts w:cs="Arial"/>
                <w:szCs w:val="20"/>
              </w:rPr>
              <w:t>Дисфония</w:t>
            </w:r>
          </w:p>
        </w:tc>
        <w:tc>
          <w:tcPr>
            <w:tcW w:w="1457" w:type="dxa"/>
          </w:tcPr>
          <w:p w14:paraId="54A4ECEA" w14:textId="71C66289" w:rsidR="00716A4A" w:rsidRPr="00716A4A" w:rsidRDefault="00716A4A" w:rsidP="00716A4A">
            <w:pPr>
              <w:rPr>
                <w:rFonts w:cs="Arial"/>
                <w:szCs w:val="20"/>
              </w:rPr>
            </w:pPr>
            <w:r w:rsidRPr="00716A4A">
              <w:rPr>
                <w:rFonts w:cs="Arial"/>
                <w:szCs w:val="20"/>
              </w:rPr>
              <w:t>Абнормен модел на дишането</w:t>
            </w:r>
          </w:p>
        </w:tc>
        <w:tc>
          <w:tcPr>
            <w:tcW w:w="1612" w:type="dxa"/>
          </w:tcPr>
          <w:p w14:paraId="5621AF8A" w14:textId="77777777" w:rsidR="00716A4A" w:rsidRPr="00716A4A" w:rsidRDefault="00716A4A" w:rsidP="00716A4A">
            <w:pPr>
              <w:rPr>
                <w:rFonts w:cs="Arial"/>
                <w:szCs w:val="20"/>
              </w:rPr>
            </w:pPr>
          </w:p>
        </w:tc>
      </w:tr>
      <w:tr w:rsidR="00716A4A" w:rsidRPr="00716A4A" w14:paraId="53D13BA6" w14:textId="77777777" w:rsidTr="00716A4A">
        <w:tc>
          <w:tcPr>
            <w:tcW w:w="1276" w:type="dxa"/>
          </w:tcPr>
          <w:p w14:paraId="7F3DBD91" w14:textId="62BF0EA3" w:rsidR="00716A4A" w:rsidRPr="00716A4A" w:rsidRDefault="00716A4A" w:rsidP="00716A4A">
            <w:pPr>
              <w:rPr>
                <w:rFonts w:cs="Arial"/>
                <w:szCs w:val="20"/>
              </w:rPr>
            </w:pPr>
            <w:r w:rsidRPr="00716A4A">
              <w:rPr>
                <w:rFonts w:cs="Arial"/>
                <w:szCs w:val="20"/>
              </w:rPr>
              <w:t>Стомашно- чревни нарушения</w:t>
            </w:r>
          </w:p>
        </w:tc>
        <w:tc>
          <w:tcPr>
            <w:tcW w:w="1578" w:type="dxa"/>
          </w:tcPr>
          <w:p w14:paraId="7E9E5D5B" w14:textId="56A18092" w:rsidR="00716A4A" w:rsidRPr="00716A4A" w:rsidRDefault="00716A4A" w:rsidP="00716A4A">
            <w:pPr>
              <w:rPr>
                <w:rFonts w:cs="Arial"/>
                <w:szCs w:val="20"/>
              </w:rPr>
            </w:pPr>
            <w:r w:rsidRPr="00716A4A">
              <w:rPr>
                <w:rFonts w:cs="Arial"/>
                <w:szCs w:val="20"/>
              </w:rPr>
              <w:t>Гадене, Запек, Диария</w:t>
            </w:r>
          </w:p>
        </w:tc>
        <w:tc>
          <w:tcPr>
            <w:tcW w:w="1725" w:type="dxa"/>
            <w:vAlign w:val="bottom"/>
          </w:tcPr>
          <w:p w14:paraId="1C706BAA" w14:textId="0CCE3676" w:rsidR="00716A4A" w:rsidRPr="00716A4A" w:rsidRDefault="00716A4A" w:rsidP="00716A4A">
            <w:pPr>
              <w:rPr>
                <w:rFonts w:cs="Arial"/>
                <w:szCs w:val="20"/>
              </w:rPr>
            </w:pPr>
            <w:r w:rsidRPr="00716A4A">
              <w:rPr>
                <w:rFonts w:cs="Arial"/>
                <w:szCs w:val="20"/>
              </w:rPr>
              <w:t>Подуване на корема, Коремна болка, Коремен дискомфорт, Сухота в устата, Дисгеузия, Диспепсия, Дисфагия, Метеоризъм, Повръщане</w:t>
            </w:r>
          </w:p>
        </w:tc>
        <w:tc>
          <w:tcPr>
            <w:tcW w:w="1702" w:type="dxa"/>
          </w:tcPr>
          <w:p w14:paraId="5E0C030A" w14:textId="77777777" w:rsidR="00716A4A" w:rsidRPr="00716A4A" w:rsidRDefault="00716A4A" w:rsidP="00716A4A">
            <w:pPr>
              <w:rPr>
                <w:rFonts w:cs="Arial"/>
                <w:szCs w:val="20"/>
              </w:rPr>
            </w:pPr>
            <w:r w:rsidRPr="00716A4A">
              <w:rPr>
                <w:rFonts w:cs="Arial"/>
                <w:szCs w:val="20"/>
              </w:rPr>
              <w:t>Колит, Стомашно-</w:t>
            </w:r>
          </w:p>
          <w:p w14:paraId="1FDF1920" w14:textId="0DDD7CFD" w:rsidR="00716A4A" w:rsidRPr="00716A4A" w:rsidRDefault="00716A4A" w:rsidP="00716A4A">
            <w:pPr>
              <w:rPr>
                <w:rFonts w:cs="Arial"/>
                <w:szCs w:val="20"/>
              </w:rPr>
            </w:pPr>
            <w:r w:rsidRPr="00716A4A">
              <w:rPr>
                <w:rFonts w:cs="Arial"/>
                <w:szCs w:val="20"/>
              </w:rPr>
              <w:t>чревен кръвоизлив, хиперсекреция на слюнка</w:t>
            </w:r>
          </w:p>
        </w:tc>
        <w:tc>
          <w:tcPr>
            <w:tcW w:w="1457" w:type="dxa"/>
          </w:tcPr>
          <w:p w14:paraId="4CD39539" w14:textId="0510AE09" w:rsidR="00716A4A" w:rsidRPr="00716A4A" w:rsidRDefault="00716A4A" w:rsidP="00716A4A">
            <w:pPr>
              <w:rPr>
                <w:rFonts w:cs="Arial"/>
                <w:szCs w:val="20"/>
              </w:rPr>
            </w:pPr>
            <w:r w:rsidRPr="00716A4A">
              <w:rPr>
                <w:rFonts w:cs="Arial"/>
                <w:szCs w:val="20"/>
              </w:rPr>
              <w:t>Бруксизъм, Глосодиния, Хълцания, Обезцветяван е на слюнката</w:t>
            </w:r>
          </w:p>
        </w:tc>
        <w:tc>
          <w:tcPr>
            <w:tcW w:w="1612" w:type="dxa"/>
          </w:tcPr>
          <w:p w14:paraId="6C10992D" w14:textId="77777777" w:rsidR="00716A4A" w:rsidRPr="00716A4A" w:rsidRDefault="00716A4A" w:rsidP="00716A4A">
            <w:pPr>
              <w:rPr>
                <w:rFonts w:cs="Arial"/>
                <w:szCs w:val="20"/>
              </w:rPr>
            </w:pPr>
          </w:p>
        </w:tc>
      </w:tr>
      <w:tr w:rsidR="00716A4A" w:rsidRPr="00716A4A" w14:paraId="25DEF060" w14:textId="77777777" w:rsidTr="00716A4A">
        <w:tc>
          <w:tcPr>
            <w:tcW w:w="1276" w:type="dxa"/>
            <w:vAlign w:val="bottom"/>
          </w:tcPr>
          <w:p w14:paraId="1CEA2327" w14:textId="6BF1449E" w:rsidR="00716A4A" w:rsidRPr="00716A4A" w:rsidRDefault="00716A4A" w:rsidP="00716A4A">
            <w:pPr>
              <w:rPr>
                <w:rFonts w:cs="Arial"/>
                <w:szCs w:val="20"/>
              </w:rPr>
            </w:pPr>
            <w:r w:rsidRPr="00716A4A">
              <w:rPr>
                <w:rFonts w:cs="Arial"/>
                <w:szCs w:val="20"/>
              </w:rPr>
              <w:t>Жлъчно- чернодробн и нарушения</w:t>
            </w:r>
          </w:p>
        </w:tc>
        <w:tc>
          <w:tcPr>
            <w:tcW w:w="1578" w:type="dxa"/>
          </w:tcPr>
          <w:p w14:paraId="5D534C75" w14:textId="77777777" w:rsidR="00716A4A" w:rsidRPr="00716A4A" w:rsidRDefault="00716A4A" w:rsidP="00716A4A">
            <w:pPr>
              <w:rPr>
                <w:rFonts w:cs="Arial"/>
                <w:szCs w:val="20"/>
              </w:rPr>
            </w:pPr>
          </w:p>
        </w:tc>
        <w:tc>
          <w:tcPr>
            <w:tcW w:w="1725" w:type="dxa"/>
          </w:tcPr>
          <w:p w14:paraId="5FA914AC" w14:textId="77777777" w:rsidR="00716A4A" w:rsidRPr="00716A4A" w:rsidRDefault="00716A4A" w:rsidP="00716A4A">
            <w:pPr>
              <w:rPr>
                <w:rFonts w:cs="Arial"/>
                <w:szCs w:val="20"/>
              </w:rPr>
            </w:pPr>
          </w:p>
        </w:tc>
        <w:tc>
          <w:tcPr>
            <w:tcW w:w="1702" w:type="dxa"/>
            <w:vAlign w:val="bottom"/>
          </w:tcPr>
          <w:p w14:paraId="748AE119" w14:textId="21E247D4" w:rsidR="00716A4A" w:rsidRPr="00716A4A" w:rsidRDefault="00716A4A" w:rsidP="00716A4A">
            <w:pPr>
              <w:rPr>
                <w:rFonts w:cs="Arial"/>
                <w:szCs w:val="20"/>
              </w:rPr>
            </w:pPr>
            <w:r w:rsidRPr="00716A4A">
              <w:rPr>
                <w:rFonts w:cs="Arial"/>
                <w:szCs w:val="20"/>
              </w:rPr>
              <w:t>Абнормен тест на чернодробната функция</w:t>
            </w:r>
          </w:p>
        </w:tc>
        <w:tc>
          <w:tcPr>
            <w:tcW w:w="1457" w:type="dxa"/>
          </w:tcPr>
          <w:p w14:paraId="0EEA7B63" w14:textId="77777777" w:rsidR="00716A4A" w:rsidRPr="00716A4A" w:rsidRDefault="00716A4A" w:rsidP="00716A4A">
            <w:pPr>
              <w:rPr>
                <w:rFonts w:cs="Arial"/>
                <w:szCs w:val="20"/>
              </w:rPr>
            </w:pPr>
          </w:p>
        </w:tc>
        <w:tc>
          <w:tcPr>
            <w:tcW w:w="1612" w:type="dxa"/>
            <w:vAlign w:val="bottom"/>
          </w:tcPr>
          <w:p w14:paraId="548C4FD1" w14:textId="77777777" w:rsidR="00716A4A" w:rsidRPr="00716A4A" w:rsidRDefault="00716A4A" w:rsidP="00716A4A">
            <w:pPr>
              <w:rPr>
                <w:rFonts w:cs="Arial"/>
                <w:szCs w:val="20"/>
              </w:rPr>
            </w:pPr>
          </w:p>
        </w:tc>
      </w:tr>
      <w:tr w:rsidR="00716A4A" w:rsidRPr="00716A4A" w14:paraId="695AAC69" w14:textId="77777777" w:rsidTr="00716A4A">
        <w:tc>
          <w:tcPr>
            <w:tcW w:w="1276" w:type="dxa"/>
          </w:tcPr>
          <w:p w14:paraId="74B8587B" w14:textId="50A33A38" w:rsidR="00716A4A" w:rsidRPr="00716A4A" w:rsidRDefault="00716A4A" w:rsidP="00716A4A">
            <w:pPr>
              <w:rPr>
                <w:rFonts w:cs="Arial"/>
                <w:szCs w:val="20"/>
              </w:rPr>
            </w:pPr>
            <w:r w:rsidRPr="00716A4A">
              <w:rPr>
                <w:rFonts w:cs="Arial"/>
                <w:szCs w:val="20"/>
              </w:rPr>
              <w:t>Нарушения на кожата и подкожната тъкан</w:t>
            </w:r>
          </w:p>
        </w:tc>
        <w:tc>
          <w:tcPr>
            <w:tcW w:w="1578" w:type="dxa"/>
          </w:tcPr>
          <w:p w14:paraId="5F275D12" w14:textId="77777777" w:rsidR="00716A4A" w:rsidRPr="00716A4A" w:rsidRDefault="00716A4A" w:rsidP="00716A4A">
            <w:pPr>
              <w:rPr>
                <w:rFonts w:cs="Arial"/>
                <w:szCs w:val="20"/>
              </w:rPr>
            </w:pPr>
          </w:p>
        </w:tc>
        <w:tc>
          <w:tcPr>
            <w:tcW w:w="1725" w:type="dxa"/>
          </w:tcPr>
          <w:p w14:paraId="042A5515" w14:textId="20FD58CD" w:rsidR="00716A4A" w:rsidRPr="00716A4A" w:rsidRDefault="00716A4A" w:rsidP="00716A4A">
            <w:pPr>
              <w:rPr>
                <w:rFonts w:cs="Arial"/>
                <w:szCs w:val="20"/>
              </w:rPr>
            </w:pPr>
            <w:r w:rsidRPr="00716A4A">
              <w:rPr>
                <w:rFonts w:cs="Arial"/>
                <w:szCs w:val="20"/>
              </w:rPr>
              <w:t>Контактен дерматит, Хиперхидроза, Сърбеж, Кожен обрив</w:t>
            </w:r>
          </w:p>
        </w:tc>
        <w:tc>
          <w:tcPr>
            <w:tcW w:w="1702" w:type="dxa"/>
            <w:vAlign w:val="bottom"/>
          </w:tcPr>
          <w:p w14:paraId="670EBC6D" w14:textId="32447DE0" w:rsidR="00716A4A" w:rsidRPr="00716A4A" w:rsidRDefault="00716A4A" w:rsidP="00716A4A">
            <w:pPr>
              <w:rPr>
                <w:rFonts w:cs="Arial"/>
                <w:szCs w:val="20"/>
              </w:rPr>
            </w:pPr>
            <w:r w:rsidRPr="00716A4A">
              <w:rPr>
                <w:rFonts w:cs="Arial"/>
                <w:szCs w:val="20"/>
              </w:rPr>
              <w:t>Алопеция, Еритем, Уртикария, Обезцветяване на кожата, косата, ноктите и потта</w:t>
            </w:r>
          </w:p>
        </w:tc>
        <w:tc>
          <w:tcPr>
            <w:tcW w:w="1457" w:type="dxa"/>
          </w:tcPr>
          <w:p w14:paraId="3B5F8B79" w14:textId="089DC635" w:rsidR="00716A4A" w:rsidRPr="00716A4A" w:rsidRDefault="00716A4A" w:rsidP="00716A4A">
            <w:pPr>
              <w:rPr>
                <w:rFonts w:cs="Arial"/>
                <w:szCs w:val="20"/>
              </w:rPr>
            </w:pPr>
            <w:r w:rsidRPr="00716A4A">
              <w:rPr>
                <w:rFonts w:cs="Arial"/>
                <w:szCs w:val="20"/>
              </w:rPr>
              <w:t>Малигнен меланом (вижте точка 4.3) Ангиоедем</w:t>
            </w:r>
          </w:p>
        </w:tc>
        <w:tc>
          <w:tcPr>
            <w:tcW w:w="1612" w:type="dxa"/>
          </w:tcPr>
          <w:p w14:paraId="5B766DAF" w14:textId="77777777" w:rsidR="00716A4A" w:rsidRPr="00716A4A" w:rsidRDefault="00716A4A" w:rsidP="00716A4A">
            <w:pPr>
              <w:rPr>
                <w:rFonts w:cs="Arial"/>
                <w:szCs w:val="20"/>
              </w:rPr>
            </w:pPr>
          </w:p>
        </w:tc>
      </w:tr>
      <w:tr w:rsidR="00716A4A" w:rsidRPr="00716A4A" w14:paraId="2895081A" w14:textId="77777777" w:rsidTr="00716A4A">
        <w:tc>
          <w:tcPr>
            <w:tcW w:w="1276" w:type="dxa"/>
            <w:vAlign w:val="bottom"/>
          </w:tcPr>
          <w:p w14:paraId="5695302E" w14:textId="27C98BD7" w:rsidR="00716A4A" w:rsidRPr="00716A4A" w:rsidRDefault="00716A4A" w:rsidP="00716A4A">
            <w:pPr>
              <w:rPr>
                <w:rFonts w:cs="Arial"/>
                <w:szCs w:val="20"/>
              </w:rPr>
            </w:pPr>
            <w:r w:rsidRPr="00716A4A">
              <w:rPr>
                <w:rFonts w:cs="Arial"/>
                <w:szCs w:val="20"/>
              </w:rPr>
              <w:t>Нарушения на мускулно- скелетния апарат и съединител ната тъкан</w:t>
            </w:r>
          </w:p>
        </w:tc>
        <w:tc>
          <w:tcPr>
            <w:tcW w:w="1578" w:type="dxa"/>
          </w:tcPr>
          <w:p w14:paraId="34662E1A" w14:textId="7A066D80" w:rsidR="00716A4A" w:rsidRPr="00716A4A" w:rsidRDefault="00716A4A" w:rsidP="00716A4A">
            <w:pPr>
              <w:rPr>
                <w:rFonts w:cs="Arial"/>
                <w:szCs w:val="20"/>
              </w:rPr>
            </w:pPr>
            <w:r w:rsidRPr="00716A4A">
              <w:rPr>
                <w:rFonts w:cs="Arial"/>
                <w:szCs w:val="20"/>
              </w:rPr>
              <w:t>Болка в мускулите и тъканите и мускулно- скелетна болка</w:t>
            </w:r>
          </w:p>
        </w:tc>
        <w:tc>
          <w:tcPr>
            <w:tcW w:w="1725" w:type="dxa"/>
          </w:tcPr>
          <w:p w14:paraId="4F0369AB" w14:textId="63A3C2C1" w:rsidR="00716A4A" w:rsidRPr="00716A4A" w:rsidRDefault="00716A4A" w:rsidP="00716A4A">
            <w:pPr>
              <w:rPr>
                <w:rFonts w:cs="Arial"/>
                <w:szCs w:val="20"/>
              </w:rPr>
            </w:pPr>
            <w:r w:rsidRPr="00716A4A">
              <w:rPr>
                <w:rFonts w:cs="Arial"/>
                <w:szCs w:val="20"/>
              </w:rPr>
              <w:t>Артралгия, Мускулни спазми, болка във врата</w:t>
            </w:r>
          </w:p>
        </w:tc>
        <w:tc>
          <w:tcPr>
            <w:tcW w:w="1702" w:type="dxa"/>
          </w:tcPr>
          <w:p w14:paraId="50F9B73C" w14:textId="77777777" w:rsidR="00716A4A" w:rsidRPr="00716A4A" w:rsidRDefault="00716A4A" w:rsidP="00716A4A">
            <w:pPr>
              <w:rPr>
                <w:rFonts w:cs="Arial"/>
                <w:szCs w:val="20"/>
              </w:rPr>
            </w:pPr>
          </w:p>
        </w:tc>
        <w:tc>
          <w:tcPr>
            <w:tcW w:w="1457" w:type="dxa"/>
          </w:tcPr>
          <w:p w14:paraId="16F76B24" w14:textId="77777777" w:rsidR="00716A4A" w:rsidRPr="00716A4A" w:rsidRDefault="00716A4A" w:rsidP="00716A4A">
            <w:pPr>
              <w:rPr>
                <w:rFonts w:cs="Arial"/>
                <w:szCs w:val="20"/>
              </w:rPr>
            </w:pPr>
          </w:p>
        </w:tc>
        <w:tc>
          <w:tcPr>
            <w:tcW w:w="1612" w:type="dxa"/>
          </w:tcPr>
          <w:p w14:paraId="2CD5FE99" w14:textId="1C735EAD" w:rsidR="00716A4A" w:rsidRPr="00716A4A" w:rsidRDefault="00716A4A" w:rsidP="00716A4A">
            <w:pPr>
              <w:rPr>
                <w:rFonts w:cs="Arial"/>
                <w:szCs w:val="20"/>
              </w:rPr>
            </w:pPr>
            <w:r w:rsidRPr="00716A4A">
              <w:rPr>
                <w:rFonts w:cs="Arial"/>
                <w:szCs w:val="20"/>
              </w:rPr>
              <w:t>Рабдомиолиза</w:t>
            </w:r>
          </w:p>
        </w:tc>
      </w:tr>
      <w:tr w:rsidR="00716A4A" w:rsidRPr="00716A4A" w14:paraId="6B375476" w14:textId="77777777" w:rsidTr="00716A4A">
        <w:tc>
          <w:tcPr>
            <w:tcW w:w="1276" w:type="dxa"/>
          </w:tcPr>
          <w:p w14:paraId="7864A316" w14:textId="1103D04B" w:rsidR="00716A4A" w:rsidRPr="00716A4A" w:rsidRDefault="00716A4A" w:rsidP="00716A4A">
            <w:pPr>
              <w:rPr>
                <w:rFonts w:cs="Arial"/>
                <w:szCs w:val="20"/>
              </w:rPr>
            </w:pPr>
            <w:r w:rsidRPr="00716A4A">
              <w:rPr>
                <w:rFonts w:cs="Arial"/>
                <w:szCs w:val="20"/>
              </w:rPr>
              <w:t>Нарушения на бъбрецит</w:t>
            </w:r>
            <w:r w:rsidRPr="00716A4A">
              <w:rPr>
                <w:rFonts w:cs="Arial"/>
                <w:szCs w:val="20"/>
              </w:rPr>
              <w:lastRenderedPageBreak/>
              <w:t>е и пикочните пътища</w:t>
            </w:r>
          </w:p>
        </w:tc>
        <w:tc>
          <w:tcPr>
            <w:tcW w:w="1578" w:type="dxa"/>
          </w:tcPr>
          <w:p w14:paraId="47D1746F" w14:textId="5A5A7E9F" w:rsidR="00716A4A" w:rsidRPr="00716A4A" w:rsidRDefault="00716A4A" w:rsidP="00716A4A">
            <w:pPr>
              <w:rPr>
                <w:rFonts w:cs="Arial"/>
                <w:szCs w:val="20"/>
              </w:rPr>
            </w:pPr>
            <w:r w:rsidRPr="00716A4A">
              <w:rPr>
                <w:rFonts w:cs="Arial"/>
                <w:szCs w:val="20"/>
              </w:rPr>
              <w:lastRenderedPageBreak/>
              <w:t>Хроматурия</w:t>
            </w:r>
          </w:p>
        </w:tc>
        <w:tc>
          <w:tcPr>
            <w:tcW w:w="1725" w:type="dxa"/>
            <w:vAlign w:val="bottom"/>
          </w:tcPr>
          <w:p w14:paraId="496CA076" w14:textId="5CB88E80" w:rsidR="00716A4A" w:rsidRPr="00716A4A" w:rsidRDefault="00716A4A" w:rsidP="00716A4A">
            <w:pPr>
              <w:rPr>
                <w:rFonts w:cs="Arial"/>
                <w:szCs w:val="20"/>
              </w:rPr>
            </w:pPr>
            <w:r w:rsidRPr="00716A4A">
              <w:rPr>
                <w:rFonts w:cs="Arial"/>
                <w:szCs w:val="20"/>
              </w:rPr>
              <w:t xml:space="preserve">Инконтиненци я на урина, задръжка на </w:t>
            </w:r>
            <w:r w:rsidRPr="00716A4A">
              <w:rPr>
                <w:rFonts w:cs="Arial"/>
                <w:szCs w:val="20"/>
              </w:rPr>
              <w:lastRenderedPageBreak/>
              <w:t>урина, инфекция на пикочните пътища</w:t>
            </w:r>
          </w:p>
        </w:tc>
        <w:tc>
          <w:tcPr>
            <w:tcW w:w="1702" w:type="dxa"/>
          </w:tcPr>
          <w:p w14:paraId="6754BC69" w14:textId="77777777" w:rsidR="00716A4A" w:rsidRPr="00716A4A" w:rsidRDefault="00716A4A" w:rsidP="00716A4A">
            <w:pPr>
              <w:rPr>
                <w:rFonts w:cs="Arial"/>
                <w:szCs w:val="20"/>
              </w:rPr>
            </w:pPr>
          </w:p>
        </w:tc>
        <w:tc>
          <w:tcPr>
            <w:tcW w:w="1457" w:type="dxa"/>
          </w:tcPr>
          <w:p w14:paraId="38CCF76A" w14:textId="77777777" w:rsidR="00716A4A" w:rsidRPr="00716A4A" w:rsidRDefault="00716A4A" w:rsidP="00716A4A">
            <w:pPr>
              <w:rPr>
                <w:rFonts w:cs="Arial"/>
                <w:szCs w:val="20"/>
              </w:rPr>
            </w:pPr>
          </w:p>
        </w:tc>
        <w:tc>
          <w:tcPr>
            <w:tcW w:w="1612" w:type="dxa"/>
          </w:tcPr>
          <w:p w14:paraId="2A3C6D3C" w14:textId="77777777" w:rsidR="00716A4A" w:rsidRPr="00716A4A" w:rsidRDefault="00716A4A" w:rsidP="00716A4A">
            <w:pPr>
              <w:rPr>
                <w:rFonts w:cs="Arial"/>
                <w:szCs w:val="20"/>
              </w:rPr>
            </w:pPr>
          </w:p>
        </w:tc>
      </w:tr>
      <w:tr w:rsidR="00716A4A" w:rsidRPr="00716A4A" w14:paraId="7F854293" w14:textId="77777777" w:rsidTr="00716A4A">
        <w:tc>
          <w:tcPr>
            <w:tcW w:w="1276" w:type="dxa"/>
            <w:vAlign w:val="bottom"/>
          </w:tcPr>
          <w:p w14:paraId="44B01F83" w14:textId="2F3F9E31" w:rsidR="00716A4A" w:rsidRPr="00716A4A" w:rsidRDefault="00716A4A" w:rsidP="00716A4A">
            <w:pPr>
              <w:rPr>
                <w:rFonts w:cs="Arial"/>
                <w:szCs w:val="20"/>
              </w:rPr>
            </w:pPr>
            <w:r w:rsidRPr="00716A4A">
              <w:rPr>
                <w:rFonts w:cs="Arial"/>
                <w:szCs w:val="20"/>
              </w:rPr>
              <w:t>Нарушения на репродукти вната система и гърдите</w:t>
            </w:r>
          </w:p>
        </w:tc>
        <w:tc>
          <w:tcPr>
            <w:tcW w:w="1578" w:type="dxa"/>
          </w:tcPr>
          <w:p w14:paraId="33B5CD1E" w14:textId="77777777" w:rsidR="00716A4A" w:rsidRPr="00716A4A" w:rsidRDefault="00716A4A" w:rsidP="00716A4A">
            <w:pPr>
              <w:rPr>
                <w:rFonts w:cs="Arial"/>
                <w:szCs w:val="20"/>
              </w:rPr>
            </w:pPr>
          </w:p>
        </w:tc>
        <w:tc>
          <w:tcPr>
            <w:tcW w:w="1725" w:type="dxa"/>
          </w:tcPr>
          <w:p w14:paraId="608ABA49" w14:textId="77777777" w:rsidR="00716A4A" w:rsidRPr="00716A4A" w:rsidRDefault="00716A4A" w:rsidP="00716A4A">
            <w:pPr>
              <w:rPr>
                <w:rFonts w:cs="Arial"/>
                <w:szCs w:val="20"/>
              </w:rPr>
            </w:pPr>
          </w:p>
        </w:tc>
        <w:tc>
          <w:tcPr>
            <w:tcW w:w="1702" w:type="dxa"/>
          </w:tcPr>
          <w:p w14:paraId="451959D0" w14:textId="77777777" w:rsidR="00716A4A" w:rsidRPr="00716A4A" w:rsidRDefault="00716A4A" w:rsidP="00716A4A">
            <w:pPr>
              <w:rPr>
                <w:rFonts w:cs="Arial"/>
                <w:szCs w:val="20"/>
              </w:rPr>
            </w:pPr>
          </w:p>
        </w:tc>
        <w:tc>
          <w:tcPr>
            <w:tcW w:w="1457" w:type="dxa"/>
          </w:tcPr>
          <w:p w14:paraId="78974B7D" w14:textId="36A48189" w:rsidR="00716A4A" w:rsidRPr="00716A4A" w:rsidRDefault="00716A4A" w:rsidP="00716A4A">
            <w:pPr>
              <w:rPr>
                <w:rFonts w:cs="Arial"/>
                <w:szCs w:val="20"/>
              </w:rPr>
            </w:pPr>
            <w:r w:rsidRPr="00716A4A">
              <w:rPr>
                <w:rFonts w:cs="Arial"/>
                <w:szCs w:val="20"/>
              </w:rPr>
              <w:t>Приапизъм</w:t>
            </w:r>
          </w:p>
        </w:tc>
        <w:tc>
          <w:tcPr>
            <w:tcW w:w="1612" w:type="dxa"/>
          </w:tcPr>
          <w:p w14:paraId="5F37ECD3" w14:textId="77777777" w:rsidR="00716A4A" w:rsidRPr="00716A4A" w:rsidRDefault="00716A4A" w:rsidP="00716A4A">
            <w:pPr>
              <w:rPr>
                <w:rFonts w:cs="Arial"/>
                <w:szCs w:val="20"/>
              </w:rPr>
            </w:pPr>
          </w:p>
        </w:tc>
      </w:tr>
      <w:tr w:rsidR="00716A4A" w:rsidRPr="00716A4A" w14:paraId="76A64AFC" w14:textId="77777777" w:rsidTr="00716A4A">
        <w:tc>
          <w:tcPr>
            <w:tcW w:w="1276" w:type="dxa"/>
          </w:tcPr>
          <w:p w14:paraId="3657FF22" w14:textId="600A4666" w:rsidR="00716A4A" w:rsidRPr="00716A4A" w:rsidRDefault="00716A4A" w:rsidP="00716A4A">
            <w:pPr>
              <w:rPr>
                <w:rFonts w:cs="Arial"/>
                <w:szCs w:val="20"/>
              </w:rPr>
            </w:pPr>
            <w:r w:rsidRPr="00716A4A">
              <w:rPr>
                <w:rFonts w:cs="Arial"/>
                <w:szCs w:val="20"/>
              </w:rPr>
              <w:t>Обши нарушения и промени на мястото на приложение</w:t>
            </w:r>
          </w:p>
        </w:tc>
        <w:tc>
          <w:tcPr>
            <w:tcW w:w="1578" w:type="dxa"/>
          </w:tcPr>
          <w:p w14:paraId="68E38D65" w14:textId="77777777" w:rsidR="00716A4A" w:rsidRPr="00716A4A" w:rsidRDefault="00716A4A" w:rsidP="00716A4A">
            <w:pPr>
              <w:rPr>
                <w:rFonts w:cs="Arial"/>
                <w:szCs w:val="20"/>
              </w:rPr>
            </w:pPr>
          </w:p>
        </w:tc>
        <w:tc>
          <w:tcPr>
            <w:tcW w:w="1725" w:type="dxa"/>
            <w:vAlign w:val="bottom"/>
          </w:tcPr>
          <w:p w14:paraId="7CB457EB" w14:textId="053BAAE6" w:rsidR="00716A4A" w:rsidRPr="00716A4A" w:rsidRDefault="00716A4A" w:rsidP="00716A4A">
            <w:pPr>
              <w:rPr>
                <w:rFonts w:cs="Arial"/>
                <w:szCs w:val="20"/>
              </w:rPr>
            </w:pPr>
            <w:r w:rsidRPr="00716A4A">
              <w:rPr>
                <w:rFonts w:cs="Arial"/>
                <w:szCs w:val="20"/>
              </w:rPr>
              <w:t>Астения, Болка в гърдите, Умора, Нарушение на походката, Болка, периферен едем</w:t>
            </w:r>
          </w:p>
        </w:tc>
        <w:tc>
          <w:tcPr>
            <w:tcW w:w="1702" w:type="dxa"/>
          </w:tcPr>
          <w:p w14:paraId="2D9DD8B8" w14:textId="5D17E5FC" w:rsidR="00716A4A" w:rsidRPr="00716A4A" w:rsidRDefault="00716A4A" w:rsidP="00716A4A">
            <w:pPr>
              <w:rPr>
                <w:rFonts w:cs="Arial"/>
                <w:szCs w:val="20"/>
              </w:rPr>
            </w:pPr>
            <w:r w:rsidRPr="00716A4A">
              <w:rPr>
                <w:rFonts w:cs="Arial"/>
                <w:szCs w:val="20"/>
              </w:rPr>
              <w:t>Неразположение</w:t>
            </w:r>
          </w:p>
        </w:tc>
        <w:tc>
          <w:tcPr>
            <w:tcW w:w="1457" w:type="dxa"/>
          </w:tcPr>
          <w:p w14:paraId="1B8FD88C" w14:textId="77777777" w:rsidR="00716A4A" w:rsidRPr="00716A4A" w:rsidRDefault="00716A4A" w:rsidP="00716A4A">
            <w:pPr>
              <w:rPr>
                <w:rFonts w:cs="Arial"/>
                <w:szCs w:val="20"/>
              </w:rPr>
            </w:pPr>
          </w:p>
        </w:tc>
        <w:tc>
          <w:tcPr>
            <w:tcW w:w="1612" w:type="dxa"/>
          </w:tcPr>
          <w:p w14:paraId="78733432" w14:textId="77777777" w:rsidR="00716A4A" w:rsidRPr="00716A4A" w:rsidRDefault="00716A4A" w:rsidP="00716A4A">
            <w:pPr>
              <w:rPr>
                <w:rFonts w:cs="Arial"/>
                <w:szCs w:val="20"/>
              </w:rPr>
            </w:pPr>
          </w:p>
        </w:tc>
      </w:tr>
      <w:tr w:rsidR="00716A4A" w:rsidRPr="00716A4A" w14:paraId="7351843E" w14:textId="77777777" w:rsidTr="00716A4A">
        <w:tc>
          <w:tcPr>
            <w:tcW w:w="1276" w:type="dxa"/>
            <w:vAlign w:val="bottom"/>
          </w:tcPr>
          <w:p w14:paraId="6497AA3E" w14:textId="78DEE9BB" w:rsidR="00716A4A" w:rsidRPr="00716A4A" w:rsidRDefault="00716A4A" w:rsidP="00716A4A">
            <w:pPr>
              <w:rPr>
                <w:rFonts w:cs="Arial"/>
                <w:szCs w:val="20"/>
              </w:rPr>
            </w:pPr>
            <w:r w:rsidRPr="00716A4A">
              <w:rPr>
                <w:rFonts w:cs="Arial"/>
                <w:szCs w:val="20"/>
              </w:rPr>
              <w:t>Увреждане, отравяне и процедурни усложнения</w:t>
            </w:r>
          </w:p>
        </w:tc>
        <w:tc>
          <w:tcPr>
            <w:tcW w:w="1578" w:type="dxa"/>
          </w:tcPr>
          <w:p w14:paraId="296B00BD" w14:textId="1AB9AE6F" w:rsidR="00716A4A" w:rsidRPr="00716A4A" w:rsidRDefault="00716A4A" w:rsidP="00716A4A">
            <w:pPr>
              <w:rPr>
                <w:rFonts w:cs="Arial"/>
                <w:szCs w:val="20"/>
              </w:rPr>
            </w:pPr>
            <w:r w:rsidRPr="00716A4A">
              <w:rPr>
                <w:rFonts w:cs="Arial"/>
                <w:szCs w:val="20"/>
              </w:rPr>
              <w:t>Падане</w:t>
            </w:r>
          </w:p>
        </w:tc>
        <w:tc>
          <w:tcPr>
            <w:tcW w:w="1725" w:type="dxa"/>
          </w:tcPr>
          <w:p w14:paraId="090821F0" w14:textId="77777777" w:rsidR="00716A4A" w:rsidRPr="00716A4A" w:rsidRDefault="00716A4A" w:rsidP="00716A4A">
            <w:pPr>
              <w:rPr>
                <w:rFonts w:cs="Arial"/>
                <w:szCs w:val="20"/>
              </w:rPr>
            </w:pPr>
          </w:p>
        </w:tc>
        <w:tc>
          <w:tcPr>
            <w:tcW w:w="1702" w:type="dxa"/>
          </w:tcPr>
          <w:p w14:paraId="180AAE69" w14:textId="77777777" w:rsidR="00716A4A" w:rsidRPr="00716A4A" w:rsidRDefault="00716A4A" w:rsidP="00716A4A">
            <w:pPr>
              <w:rPr>
                <w:rFonts w:cs="Arial"/>
                <w:szCs w:val="20"/>
              </w:rPr>
            </w:pPr>
          </w:p>
        </w:tc>
        <w:tc>
          <w:tcPr>
            <w:tcW w:w="1457" w:type="dxa"/>
          </w:tcPr>
          <w:p w14:paraId="6CD1AACA" w14:textId="77777777" w:rsidR="00716A4A" w:rsidRPr="00716A4A" w:rsidRDefault="00716A4A" w:rsidP="00716A4A">
            <w:pPr>
              <w:rPr>
                <w:rFonts w:cs="Arial"/>
                <w:szCs w:val="20"/>
              </w:rPr>
            </w:pPr>
          </w:p>
        </w:tc>
        <w:tc>
          <w:tcPr>
            <w:tcW w:w="1612" w:type="dxa"/>
          </w:tcPr>
          <w:p w14:paraId="4291ED83" w14:textId="77777777" w:rsidR="00716A4A" w:rsidRPr="00716A4A" w:rsidRDefault="00716A4A" w:rsidP="00716A4A">
            <w:pPr>
              <w:rPr>
                <w:rFonts w:cs="Arial"/>
                <w:szCs w:val="20"/>
              </w:rPr>
            </w:pPr>
          </w:p>
        </w:tc>
      </w:tr>
      <w:tr w:rsidR="00716A4A" w:rsidRPr="00716A4A" w14:paraId="13A04B00" w14:textId="77777777" w:rsidTr="00416B5B">
        <w:tc>
          <w:tcPr>
            <w:tcW w:w="9350" w:type="dxa"/>
            <w:gridSpan w:val="6"/>
          </w:tcPr>
          <w:p w14:paraId="0CD6484C" w14:textId="778A3B0A" w:rsidR="00716A4A" w:rsidRPr="00716A4A" w:rsidRDefault="00716A4A" w:rsidP="00716A4A">
            <w:pPr>
              <w:jc w:val="center"/>
              <w:rPr>
                <w:rFonts w:cs="Arial"/>
                <w:szCs w:val="20"/>
              </w:rPr>
            </w:pPr>
            <w:r w:rsidRPr="00716A4A">
              <w:rPr>
                <w:rFonts w:cs="Arial"/>
                <w:b/>
                <w:bCs/>
                <w:szCs w:val="20"/>
                <w:u w:val="single"/>
              </w:rPr>
              <w:t>Нежелани реакции, свързани с уреда и процедурата</w:t>
            </w:r>
          </w:p>
        </w:tc>
      </w:tr>
      <w:tr w:rsidR="00716A4A" w:rsidRPr="00716A4A" w14:paraId="75D65EC3" w14:textId="77777777" w:rsidTr="00716A4A">
        <w:tc>
          <w:tcPr>
            <w:tcW w:w="1276" w:type="dxa"/>
          </w:tcPr>
          <w:p w14:paraId="076A0C1B" w14:textId="63CAC4C2" w:rsidR="00716A4A" w:rsidRPr="00716A4A" w:rsidRDefault="00716A4A" w:rsidP="00716A4A">
            <w:pPr>
              <w:rPr>
                <w:rFonts w:cs="Arial"/>
                <w:szCs w:val="20"/>
              </w:rPr>
            </w:pPr>
            <w:r w:rsidRPr="00716A4A">
              <w:rPr>
                <w:rFonts w:cs="Arial"/>
                <w:szCs w:val="20"/>
              </w:rPr>
              <w:t>Инфекции и инфестации</w:t>
            </w:r>
          </w:p>
        </w:tc>
        <w:tc>
          <w:tcPr>
            <w:tcW w:w="1578" w:type="dxa"/>
          </w:tcPr>
          <w:p w14:paraId="0A5F17C4" w14:textId="74EB203D" w:rsidR="00716A4A" w:rsidRPr="00716A4A" w:rsidRDefault="00716A4A" w:rsidP="00716A4A">
            <w:pPr>
              <w:rPr>
                <w:rFonts w:cs="Arial"/>
                <w:szCs w:val="20"/>
              </w:rPr>
            </w:pPr>
            <w:r w:rsidRPr="00716A4A">
              <w:rPr>
                <w:rFonts w:cs="Arial"/>
                <w:szCs w:val="20"/>
              </w:rPr>
              <w:t>Следоперативн а инфекция на раната</w:t>
            </w:r>
          </w:p>
        </w:tc>
        <w:tc>
          <w:tcPr>
            <w:tcW w:w="1725" w:type="dxa"/>
            <w:vAlign w:val="bottom"/>
          </w:tcPr>
          <w:p w14:paraId="7D1F7744" w14:textId="7B40B539" w:rsidR="00716A4A" w:rsidRPr="00716A4A" w:rsidRDefault="00716A4A" w:rsidP="00716A4A">
            <w:pPr>
              <w:rPr>
                <w:rFonts w:cs="Arial"/>
                <w:szCs w:val="20"/>
              </w:rPr>
            </w:pPr>
            <w:r w:rsidRPr="00716A4A">
              <w:rPr>
                <w:rFonts w:cs="Arial"/>
                <w:szCs w:val="20"/>
              </w:rPr>
              <w:t>Целулит на мястото на инцизията, Инфекция след процедурата</w:t>
            </w:r>
          </w:p>
        </w:tc>
        <w:tc>
          <w:tcPr>
            <w:tcW w:w="1702" w:type="dxa"/>
          </w:tcPr>
          <w:p w14:paraId="3B2F6D54" w14:textId="7C754FA7" w:rsidR="00716A4A" w:rsidRPr="00716A4A" w:rsidRDefault="00716A4A" w:rsidP="00716A4A">
            <w:pPr>
              <w:rPr>
                <w:rFonts w:cs="Arial"/>
                <w:szCs w:val="20"/>
              </w:rPr>
            </w:pPr>
            <w:r w:rsidRPr="00716A4A">
              <w:rPr>
                <w:rFonts w:cs="Arial"/>
                <w:szCs w:val="20"/>
              </w:rPr>
              <w:t>Следоперативе н абсцес</w:t>
            </w:r>
          </w:p>
        </w:tc>
        <w:tc>
          <w:tcPr>
            <w:tcW w:w="1457" w:type="dxa"/>
          </w:tcPr>
          <w:p w14:paraId="258212A6" w14:textId="77777777" w:rsidR="00716A4A" w:rsidRPr="00716A4A" w:rsidRDefault="00716A4A" w:rsidP="00716A4A">
            <w:pPr>
              <w:rPr>
                <w:rFonts w:cs="Arial"/>
                <w:szCs w:val="20"/>
              </w:rPr>
            </w:pPr>
          </w:p>
        </w:tc>
        <w:tc>
          <w:tcPr>
            <w:tcW w:w="1612" w:type="dxa"/>
          </w:tcPr>
          <w:p w14:paraId="0A1229B3" w14:textId="3B7DB4ED" w:rsidR="00716A4A" w:rsidRPr="00716A4A" w:rsidRDefault="00716A4A" w:rsidP="00716A4A">
            <w:pPr>
              <w:rPr>
                <w:rFonts w:cs="Arial"/>
                <w:szCs w:val="20"/>
              </w:rPr>
            </w:pPr>
            <w:r w:rsidRPr="00716A4A">
              <w:rPr>
                <w:rFonts w:cs="Arial"/>
                <w:szCs w:val="20"/>
              </w:rPr>
              <w:t>Сепсис</w:t>
            </w:r>
          </w:p>
        </w:tc>
      </w:tr>
      <w:tr w:rsidR="00716A4A" w:rsidRPr="00716A4A" w14:paraId="40CAF910" w14:textId="77777777" w:rsidTr="00716A4A">
        <w:tc>
          <w:tcPr>
            <w:tcW w:w="1276" w:type="dxa"/>
          </w:tcPr>
          <w:p w14:paraId="3BFE5B85" w14:textId="1150DE61" w:rsidR="00716A4A" w:rsidRPr="00716A4A" w:rsidRDefault="00716A4A" w:rsidP="00716A4A">
            <w:pPr>
              <w:rPr>
                <w:rFonts w:cs="Arial"/>
                <w:szCs w:val="20"/>
              </w:rPr>
            </w:pPr>
            <w:r w:rsidRPr="00716A4A">
              <w:rPr>
                <w:rFonts w:cs="Arial"/>
                <w:szCs w:val="20"/>
              </w:rPr>
              <w:t>Стомашно- чревни нарушения</w:t>
            </w:r>
          </w:p>
        </w:tc>
        <w:tc>
          <w:tcPr>
            <w:tcW w:w="1578" w:type="dxa"/>
          </w:tcPr>
          <w:p w14:paraId="2809E0BF" w14:textId="666FD6F3" w:rsidR="00716A4A" w:rsidRPr="00716A4A" w:rsidRDefault="00716A4A" w:rsidP="00716A4A">
            <w:pPr>
              <w:rPr>
                <w:rFonts w:cs="Arial"/>
                <w:szCs w:val="20"/>
              </w:rPr>
            </w:pPr>
            <w:r w:rsidRPr="00716A4A">
              <w:rPr>
                <w:rFonts w:cs="Arial"/>
                <w:szCs w:val="20"/>
              </w:rPr>
              <w:t>Коремна болка</w:t>
            </w:r>
          </w:p>
        </w:tc>
        <w:tc>
          <w:tcPr>
            <w:tcW w:w="1725" w:type="dxa"/>
          </w:tcPr>
          <w:p w14:paraId="1DFFDAA7" w14:textId="6B960C74" w:rsidR="00716A4A" w:rsidRPr="00716A4A" w:rsidRDefault="00716A4A" w:rsidP="00716A4A">
            <w:pPr>
              <w:rPr>
                <w:rFonts w:cs="Arial"/>
                <w:szCs w:val="20"/>
              </w:rPr>
            </w:pPr>
            <w:r w:rsidRPr="00716A4A">
              <w:rPr>
                <w:rFonts w:cs="Arial"/>
                <w:szCs w:val="20"/>
              </w:rPr>
              <w:t>Коремен дискомфорт, Болка в горните отдели на корема, Перитонит, Пневмоперито неум</w:t>
            </w:r>
          </w:p>
        </w:tc>
        <w:tc>
          <w:tcPr>
            <w:tcW w:w="1702" w:type="dxa"/>
          </w:tcPr>
          <w:p w14:paraId="7B73F548" w14:textId="7668B8B8" w:rsidR="00716A4A" w:rsidRPr="00716A4A" w:rsidRDefault="00716A4A" w:rsidP="00716A4A">
            <w:pPr>
              <w:rPr>
                <w:rFonts w:cs="Arial"/>
                <w:szCs w:val="20"/>
              </w:rPr>
            </w:pPr>
            <w:r w:rsidRPr="00716A4A">
              <w:rPr>
                <w:rFonts w:cs="Arial"/>
                <w:szCs w:val="20"/>
              </w:rPr>
              <w:t xml:space="preserve">Безоар, исхемичен колит, Стомашно- чревна исхемия, Стомашно- чревна обструкция, Панкреатит, Хеморагия на тънките черва, Язва </w:t>
            </w:r>
            <w:r w:rsidRPr="00716A4A">
              <w:rPr>
                <w:rFonts w:cs="Arial"/>
                <w:szCs w:val="20"/>
              </w:rPr>
              <w:lastRenderedPageBreak/>
              <w:t>на тънките черва, Перфорация на дебелото черво, инвагинация</w:t>
            </w:r>
          </w:p>
        </w:tc>
        <w:tc>
          <w:tcPr>
            <w:tcW w:w="1457" w:type="dxa"/>
          </w:tcPr>
          <w:p w14:paraId="2A95C956" w14:textId="77777777" w:rsidR="00716A4A" w:rsidRPr="00716A4A" w:rsidRDefault="00716A4A" w:rsidP="00716A4A">
            <w:pPr>
              <w:rPr>
                <w:rFonts w:cs="Arial"/>
                <w:szCs w:val="20"/>
              </w:rPr>
            </w:pPr>
          </w:p>
        </w:tc>
        <w:tc>
          <w:tcPr>
            <w:tcW w:w="1612" w:type="dxa"/>
          </w:tcPr>
          <w:p w14:paraId="4F59BD96" w14:textId="2A837157" w:rsidR="00716A4A" w:rsidRPr="00716A4A" w:rsidRDefault="00716A4A" w:rsidP="00716A4A">
            <w:pPr>
              <w:rPr>
                <w:rFonts w:cs="Arial"/>
                <w:szCs w:val="20"/>
              </w:rPr>
            </w:pPr>
            <w:r w:rsidRPr="00716A4A">
              <w:rPr>
                <w:rFonts w:cs="Arial"/>
                <w:szCs w:val="20"/>
              </w:rPr>
              <w:t>Стомашна перфорация, Стомашно- чревна перфорация, Исхемия на тънките черва, Перфорация на тънките черва</w:t>
            </w:r>
          </w:p>
        </w:tc>
      </w:tr>
      <w:tr w:rsidR="00716A4A" w:rsidRPr="00716A4A" w14:paraId="5FC6AFC3" w14:textId="77777777" w:rsidTr="00716A4A">
        <w:tc>
          <w:tcPr>
            <w:tcW w:w="1276" w:type="dxa"/>
          </w:tcPr>
          <w:p w14:paraId="45C19EEC" w14:textId="0F9FF23F" w:rsidR="00716A4A" w:rsidRPr="00716A4A" w:rsidRDefault="00716A4A" w:rsidP="00716A4A">
            <w:pPr>
              <w:rPr>
                <w:rFonts w:cs="Arial"/>
                <w:szCs w:val="20"/>
              </w:rPr>
            </w:pPr>
            <w:r w:rsidRPr="00716A4A">
              <w:rPr>
                <w:rFonts w:cs="Arial"/>
                <w:szCs w:val="20"/>
              </w:rPr>
              <w:t>Нарушения на кожата и подкожната тъкан</w:t>
            </w:r>
          </w:p>
        </w:tc>
        <w:tc>
          <w:tcPr>
            <w:tcW w:w="1578" w:type="dxa"/>
          </w:tcPr>
          <w:p w14:paraId="2FFAA1D8" w14:textId="061D13FC" w:rsidR="00716A4A" w:rsidRPr="00716A4A" w:rsidRDefault="00716A4A" w:rsidP="00716A4A">
            <w:pPr>
              <w:rPr>
                <w:rFonts w:cs="Arial"/>
                <w:szCs w:val="20"/>
              </w:rPr>
            </w:pPr>
            <w:r w:rsidRPr="00716A4A">
              <w:rPr>
                <w:rFonts w:cs="Arial"/>
                <w:szCs w:val="20"/>
              </w:rPr>
              <w:t>Прекомерно разрастване на гранулационна тъкан</w:t>
            </w:r>
          </w:p>
        </w:tc>
        <w:tc>
          <w:tcPr>
            <w:tcW w:w="1725" w:type="dxa"/>
          </w:tcPr>
          <w:p w14:paraId="3D1FBAB4" w14:textId="77777777" w:rsidR="00716A4A" w:rsidRPr="00716A4A" w:rsidRDefault="00716A4A" w:rsidP="00716A4A">
            <w:pPr>
              <w:rPr>
                <w:rFonts w:cs="Arial"/>
                <w:szCs w:val="20"/>
              </w:rPr>
            </w:pPr>
          </w:p>
        </w:tc>
        <w:tc>
          <w:tcPr>
            <w:tcW w:w="1702" w:type="dxa"/>
          </w:tcPr>
          <w:p w14:paraId="054A6010" w14:textId="77777777" w:rsidR="00716A4A" w:rsidRPr="00716A4A" w:rsidRDefault="00716A4A" w:rsidP="00716A4A">
            <w:pPr>
              <w:rPr>
                <w:rFonts w:cs="Arial"/>
                <w:szCs w:val="20"/>
              </w:rPr>
            </w:pPr>
          </w:p>
        </w:tc>
        <w:tc>
          <w:tcPr>
            <w:tcW w:w="1457" w:type="dxa"/>
          </w:tcPr>
          <w:p w14:paraId="11540308" w14:textId="77777777" w:rsidR="00716A4A" w:rsidRPr="00716A4A" w:rsidRDefault="00716A4A" w:rsidP="00716A4A">
            <w:pPr>
              <w:rPr>
                <w:rFonts w:cs="Arial"/>
                <w:szCs w:val="20"/>
              </w:rPr>
            </w:pPr>
          </w:p>
        </w:tc>
        <w:tc>
          <w:tcPr>
            <w:tcW w:w="1612" w:type="dxa"/>
          </w:tcPr>
          <w:p w14:paraId="5F050CBE" w14:textId="77777777" w:rsidR="00716A4A" w:rsidRPr="00716A4A" w:rsidRDefault="00716A4A" w:rsidP="00716A4A">
            <w:pPr>
              <w:rPr>
                <w:rFonts w:cs="Arial"/>
                <w:szCs w:val="20"/>
              </w:rPr>
            </w:pPr>
          </w:p>
        </w:tc>
      </w:tr>
      <w:tr w:rsidR="00716A4A" w:rsidRPr="00716A4A" w14:paraId="5D6ED39C" w14:textId="77777777" w:rsidTr="00716A4A">
        <w:tc>
          <w:tcPr>
            <w:tcW w:w="1276" w:type="dxa"/>
          </w:tcPr>
          <w:p w14:paraId="6451A467" w14:textId="24946DC2" w:rsidR="00716A4A" w:rsidRPr="00716A4A" w:rsidRDefault="00716A4A" w:rsidP="00716A4A">
            <w:pPr>
              <w:rPr>
                <w:rFonts w:cs="Arial"/>
                <w:szCs w:val="20"/>
              </w:rPr>
            </w:pPr>
            <w:r w:rsidRPr="00716A4A">
              <w:rPr>
                <w:rFonts w:cs="Arial"/>
                <w:szCs w:val="20"/>
              </w:rPr>
              <w:t>Общи нарушения и промени на мястото на приложение</w:t>
            </w:r>
          </w:p>
        </w:tc>
        <w:tc>
          <w:tcPr>
            <w:tcW w:w="1578" w:type="dxa"/>
          </w:tcPr>
          <w:p w14:paraId="2B1CF815" w14:textId="6D4382B1" w:rsidR="00716A4A" w:rsidRPr="00716A4A" w:rsidRDefault="00716A4A" w:rsidP="00716A4A">
            <w:pPr>
              <w:rPr>
                <w:rFonts w:cs="Arial"/>
                <w:szCs w:val="20"/>
              </w:rPr>
            </w:pPr>
            <w:r w:rsidRPr="00716A4A">
              <w:rPr>
                <w:rFonts w:cs="Arial"/>
                <w:szCs w:val="20"/>
              </w:rPr>
              <w:t>Усложнения от поставянето на уреда</w:t>
            </w:r>
            <w:r w:rsidRPr="00716A4A">
              <w:rPr>
                <w:rFonts w:cs="Arial"/>
                <w:szCs w:val="20"/>
                <w:vertAlign w:val="superscript"/>
              </w:rPr>
              <w:t>ь</w:t>
            </w:r>
          </w:p>
        </w:tc>
        <w:tc>
          <w:tcPr>
            <w:tcW w:w="1725" w:type="dxa"/>
          </w:tcPr>
          <w:p w14:paraId="1166105A" w14:textId="51F9AAA0" w:rsidR="00716A4A" w:rsidRPr="00716A4A" w:rsidRDefault="00716A4A" w:rsidP="00716A4A">
            <w:pPr>
              <w:rPr>
                <w:rFonts w:cs="Arial"/>
                <w:szCs w:val="20"/>
              </w:rPr>
            </w:pPr>
            <w:r w:rsidRPr="00716A4A">
              <w:rPr>
                <w:rFonts w:cs="Arial"/>
                <w:szCs w:val="20"/>
              </w:rPr>
              <w:t>Разместване на уреда, Запушване на уреда</w:t>
            </w:r>
          </w:p>
        </w:tc>
        <w:tc>
          <w:tcPr>
            <w:tcW w:w="1702" w:type="dxa"/>
          </w:tcPr>
          <w:p w14:paraId="138E148E" w14:textId="77777777" w:rsidR="00716A4A" w:rsidRPr="00716A4A" w:rsidRDefault="00716A4A" w:rsidP="00716A4A">
            <w:pPr>
              <w:rPr>
                <w:rFonts w:cs="Arial"/>
                <w:szCs w:val="20"/>
              </w:rPr>
            </w:pPr>
          </w:p>
        </w:tc>
        <w:tc>
          <w:tcPr>
            <w:tcW w:w="1457" w:type="dxa"/>
          </w:tcPr>
          <w:p w14:paraId="4CB7467B" w14:textId="77777777" w:rsidR="00716A4A" w:rsidRPr="00716A4A" w:rsidRDefault="00716A4A" w:rsidP="00716A4A">
            <w:pPr>
              <w:rPr>
                <w:rFonts w:cs="Arial"/>
                <w:szCs w:val="20"/>
              </w:rPr>
            </w:pPr>
          </w:p>
        </w:tc>
        <w:tc>
          <w:tcPr>
            <w:tcW w:w="1612" w:type="dxa"/>
          </w:tcPr>
          <w:p w14:paraId="2E17ADAF" w14:textId="77777777" w:rsidR="00716A4A" w:rsidRPr="00716A4A" w:rsidRDefault="00716A4A" w:rsidP="00716A4A">
            <w:pPr>
              <w:rPr>
                <w:rFonts w:cs="Arial"/>
                <w:szCs w:val="20"/>
              </w:rPr>
            </w:pPr>
          </w:p>
        </w:tc>
      </w:tr>
      <w:tr w:rsidR="00716A4A" w:rsidRPr="00716A4A" w14:paraId="7147B17E" w14:textId="77777777" w:rsidTr="00716A4A">
        <w:tc>
          <w:tcPr>
            <w:tcW w:w="1276" w:type="dxa"/>
          </w:tcPr>
          <w:p w14:paraId="7FB8FAFC" w14:textId="72138C5F" w:rsidR="00716A4A" w:rsidRPr="00716A4A" w:rsidRDefault="00716A4A" w:rsidP="00716A4A">
            <w:pPr>
              <w:rPr>
                <w:rFonts w:cs="Arial"/>
                <w:szCs w:val="20"/>
              </w:rPr>
            </w:pPr>
            <w:r w:rsidRPr="00716A4A">
              <w:rPr>
                <w:rFonts w:cs="Arial"/>
                <w:szCs w:val="20"/>
              </w:rPr>
              <w:t>Увреждане, отравяне и процедурни усложнения</w:t>
            </w:r>
          </w:p>
        </w:tc>
        <w:tc>
          <w:tcPr>
            <w:tcW w:w="1578" w:type="dxa"/>
          </w:tcPr>
          <w:p w14:paraId="7681844A" w14:textId="72FD06F4" w:rsidR="00716A4A" w:rsidRPr="00716A4A" w:rsidRDefault="00716A4A" w:rsidP="00716A4A">
            <w:pPr>
              <w:rPr>
                <w:rFonts w:cs="Arial"/>
                <w:szCs w:val="20"/>
              </w:rPr>
            </w:pPr>
            <w:r w:rsidRPr="00716A4A">
              <w:rPr>
                <w:rFonts w:cs="Arial"/>
                <w:szCs w:val="20"/>
              </w:rPr>
              <w:t>Еритем на мястото на инцизията, Отделяне на секрет след процедурата, Болка от процедурата, Реакция на мястото на процедурата</w:t>
            </w:r>
          </w:p>
        </w:tc>
        <w:tc>
          <w:tcPr>
            <w:tcW w:w="1725" w:type="dxa"/>
          </w:tcPr>
          <w:p w14:paraId="61BCF6B4" w14:textId="7000B4F3" w:rsidR="00716A4A" w:rsidRPr="00716A4A" w:rsidRDefault="00716A4A" w:rsidP="00716A4A">
            <w:pPr>
              <w:rPr>
                <w:rFonts w:cs="Arial"/>
                <w:szCs w:val="20"/>
              </w:rPr>
            </w:pPr>
            <w:r w:rsidRPr="00716A4A">
              <w:rPr>
                <w:rFonts w:cs="Arial"/>
                <w:szCs w:val="20"/>
              </w:rPr>
              <w:t>Усложнения от гастро- интестиналната стома, Болка на мястото на инцизията, Постоперативе н илеус, Следпроцедурн и усложнения, Следпроцедуре н дискомфорт, Следпроцедуре н кръвоизлив</w:t>
            </w:r>
          </w:p>
        </w:tc>
        <w:tc>
          <w:tcPr>
            <w:tcW w:w="1702" w:type="dxa"/>
          </w:tcPr>
          <w:p w14:paraId="29513FEB" w14:textId="77777777" w:rsidR="00716A4A" w:rsidRPr="00716A4A" w:rsidRDefault="00716A4A" w:rsidP="00716A4A">
            <w:pPr>
              <w:rPr>
                <w:rFonts w:cs="Arial"/>
                <w:szCs w:val="20"/>
              </w:rPr>
            </w:pPr>
          </w:p>
        </w:tc>
        <w:tc>
          <w:tcPr>
            <w:tcW w:w="1457" w:type="dxa"/>
          </w:tcPr>
          <w:p w14:paraId="2D0DDCC2" w14:textId="77777777" w:rsidR="00716A4A" w:rsidRPr="00716A4A" w:rsidRDefault="00716A4A" w:rsidP="00716A4A">
            <w:pPr>
              <w:rPr>
                <w:rFonts w:cs="Arial"/>
                <w:szCs w:val="20"/>
              </w:rPr>
            </w:pPr>
          </w:p>
        </w:tc>
        <w:tc>
          <w:tcPr>
            <w:tcW w:w="1612" w:type="dxa"/>
          </w:tcPr>
          <w:p w14:paraId="07DAD5C6" w14:textId="77777777" w:rsidR="00716A4A" w:rsidRPr="00716A4A" w:rsidRDefault="00716A4A" w:rsidP="00716A4A">
            <w:pPr>
              <w:rPr>
                <w:rFonts w:cs="Arial"/>
                <w:szCs w:val="20"/>
              </w:rPr>
            </w:pPr>
          </w:p>
        </w:tc>
      </w:tr>
    </w:tbl>
    <w:p w14:paraId="06A0910A" w14:textId="5EA3A17E" w:rsidR="00716A4A" w:rsidRPr="00716A4A" w:rsidRDefault="00716A4A" w:rsidP="00716A4A">
      <w:pPr>
        <w:spacing w:line="240" w:lineRule="auto"/>
        <w:rPr>
          <w:rFonts w:eastAsia="Times New Roman" w:cs="Arial"/>
          <w:szCs w:val="20"/>
          <w:lang w:eastAsia="bg-BG"/>
        </w:rPr>
      </w:pPr>
      <w:proofErr w:type="gramStart"/>
      <w:r w:rsidRPr="00716A4A">
        <w:rPr>
          <w:rFonts w:eastAsia="Times New Roman" w:cs="Arial"/>
          <w:color w:val="000000"/>
          <w:szCs w:val="20"/>
          <w:vertAlign w:val="superscript"/>
          <w:lang w:val="en-US"/>
        </w:rPr>
        <w:t>a</w:t>
      </w:r>
      <w:r w:rsidRPr="00716A4A">
        <w:rPr>
          <w:rFonts w:eastAsia="Times New Roman" w:cs="Arial"/>
          <w:color w:val="000000"/>
          <w:szCs w:val="20"/>
          <w:lang w:eastAsia="bg-BG"/>
        </w:rPr>
        <w:t>Синдром</w:t>
      </w:r>
      <w:proofErr w:type="gramEnd"/>
      <w:r w:rsidRPr="00716A4A">
        <w:rPr>
          <w:rFonts w:eastAsia="Times New Roman" w:cs="Arial"/>
          <w:color w:val="000000"/>
          <w:szCs w:val="20"/>
          <w:lang w:eastAsia="bg-BG"/>
        </w:rPr>
        <w:t xml:space="preserve"> на нарушената допаминова регулация </w:t>
      </w:r>
      <w:r w:rsidRPr="00716A4A">
        <w:rPr>
          <w:rFonts w:eastAsia="Times New Roman" w:cs="Arial"/>
          <w:color w:val="000000"/>
          <w:szCs w:val="20"/>
          <w:lang w:val="en-US"/>
        </w:rPr>
        <w:t xml:space="preserve">(Dopamine Dysregulation Syndrome, DDS) </w:t>
      </w:r>
      <w:r w:rsidRPr="00716A4A">
        <w:rPr>
          <w:rFonts w:eastAsia="Times New Roman" w:cs="Arial"/>
          <w:color w:val="000000"/>
          <w:szCs w:val="20"/>
          <w:lang w:eastAsia="bg-BG"/>
        </w:rPr>
        <w:t>е разстройство, свързано със зависимост, наблюдавано при някои пациенти, лекувани с леводопа/карбидопа. Засегнатите пациенти показват компулсивен модел на злоупотреба с допаминергични лекарства в дози над подходящите за овладяване на моторните симптоми, които в някои случаи могат да доведат до тежка дискинезия (вижте точка 4.4).</w:t>
      </w:r>
    </w:p>
    <w:p w14:paraId="58E8E20E" w14:textId="69393462" w:rsidR="00716A4A" w:rsidRPr="00716A4A" w:rsidRDefault="00716A4A" w:rsidP="00716A4A">
      <w:pPr>
        <w:spacing w:line="240" w:lineRule="auto"/>
        <w:rPr>
          <w:rFonts w:eastAsia="Times New Roman" w:cs="Arial"/>
          <w:szCs w:val="20"/>
          <w:lang w:eastAsia="bg-BG"/>
        </w:rPr>
      </w:pPr>
      <w:proofErr w:type="gramStart"/>
      <w:r w:rsidRPr="00716A4A">
        <w:rPr>
          <w:rFonts w:eastAsia="Times New Roman" w:cs="Arial"/>
          <w:color w:val="000000"/>
          <w:szCs w:val="20"/>
          <w:vertAlign w:val="superscript"/>
          <w:lang w:val="en-US"/>
        </w:rPr>
        <w:t>b</w:t>
      </w:r>
      <w:r w:rsidRPr="00716A4A">
        <w:rPr>
          <w:rFonts w:eastAsia="Times New Roman" w:cs="Arial"/>
          <w:color w:val="000000"/>
          <w:szCs w:val="20"/>
          <w:lang w:eastAsia="bg-BG"/>
        </w:rPr>
        <w:t>Усложнението</w:t>
      </w:r>
      <w:proofErr w:type="gramEnd"/>
      <w:r w:rsidRPr="00716A4A">
        <w:rPr>
          <w:rFonts w:eastAsia="Times New Roman" w:cs="Arial"/>
          <w:color w:val="000000"/>
          <w:szCs w:val="20"/>
          <w:lang w:eastAsia="bg-BG"/>
        </w:rPr>
        <w:t xml:space="preserve"> от поставяне на уреда е нежелана реакция, често съобщавана както за н</w:t>
      </w:r>
      <w:r w:rsidRPr="00716A4A">
        <w:rPr>
          <w:rFonts w:eastAsia="Times New Roman" w:cs="Arial"/>
          <w:color w:val="000000"/>
          <w:szCs w:val="20"/>
          <w:u w:val="single"/>
          <w:lang w:eastAsia="bg-BG"/>
        </w:rPr>
        <w:t xml:space="preserve">азо- </w:t>
      </w:r>
      <w:r w:rsidRPr="00716A4A">
        <w:rPr>
          <w:rFonts w:eastAsia="Times New Roman" w:cs="Arial"/>
          <w:color w:val="000000"/>
          <w:szCs w:val="20"/>
          <w:lang w:eastAsia="bg-BG"/>
        </w:rPr>
        <w:t xml:space="preserve">йеюналната сонда, така и за </w:t>
      </w:r>
      <w:r w:rsidRPr="00716A4A">
        <w:rPr>
          <w:rFonts w:eastAsia="Times New Roman" w:cs="Arial"/>
          <w:color w:val="000000"/>
          <w:szCs w:val="20"/>
          <w:lang w:val="en-US"/>
        </w:rPr>
        <w:t xml:space="preserve">PEG-J. </w:t>
      </w:r>
      <w:r w:rsidRPr="00716A4A">
        <w:rPr>
          <w:rFonts w:eastAsia="Times New Roman" w:cs="Arial"/>
          <w:color w:val="000000"/>
          <w:szCs w:val="20"/>
          <w:lang w:eastAsia="bg-BG"/>
        </w:rPr>
        <w:t xml:space="preserve">Тази нежелана реакция се съобщава заедно с </w:t>
      </w:r>
      <w:r w:rsidRPr="00716A4A">
        <w:rPr>
          <w:rFonts w:eastAsia="Times New Roman" w:cs="Arial"/>
          <w:color w:val="000000"/>
          <w:szCs w:val="20"/>
          <w:lang w:val="en-US"/>
        </w:rPr>
        <w:t>e</w:t>
      </w:r>
      <w:r w:rsidRPr="00716A4A">
        <w:rPr>
          <w:rFonts w:eastAsia="Times New Roman" w:cs="Arial"/>
          <w:color w:val="000000"/>
          <w:szCs w:val="20"/>
          <w:lang w:eastAsia="bg-BG"/>
        </w:rPr>
        <w:t xml:space="preserve">дна или  повече от следните нежелани реакции от страна на назо-йеюналната сонда: орофарингеална болка, подуване на корема, коремна болка; коремен дискомфорт, болка, </w:t>
      </w:r>
      <w:r w:rsidRPr="00716A4A">
        <w:rPr>
          <w:rFonts w:eastAsia="Times New Roman" w:cs="Arial"/>
          <w:color w:val="000000"/>
          <w:szCs w:val="20"/>
          <w:lang w:eastAsia="bg-BG"/>
        </w:rPr>
        <w:lastRenderedPageBreak/>
        <w:t>дразнене в гърлото. стомашно-чревно нараняване, езофагеален кръвоизлив, тревожност, дисфагия и повръщане.</w:t>
      </w:r>
    </w:p>
    <w:p w14:paraId="00D88F21" w14:textId="77777777" w:rsidR="00716A4A" w:rsidRPr="00716A4A" w:rsidRDefault="00716A4A" w:rsidP="00716A4A">
      <w:pPr>
        <w:rPr>
          <w:rFonts w:eastAsia="Times New Roman" w:cs="Arial"/>
          <w:szCs w:val="20"/>
          <w:lang w:eastAsia="bg-BG"/>
        </w:rPr>
      </w:pPr>
      <w:r w:rsidRPr="00716A4A">
        <w:rPr>
          <w:rFonts w:eastAsia="Times New Roman" w:cs="Arial"/>
          <w:color w:val="000000"/>
          <w:szCs w:val="20"/>
          <w:lang w:eastAsia="bg-BG"/>
        </w:rPr>
        <w:t xml:space="preserve">При </w:t>
      </w:r>
      <w:r w:rsidRPr="00716A4A">
        <w:rPr>
          <w:rFonts w:eastAsia="Times New Roman" w:cs="Arial"/>
          <w:color w:val="000000"/>
          <w:szCs w:val="20"/>
          <w:lang w:val="en-US"/>
        </w:rPr>
        <w:t xml:space="preserve">PEG-J </w:t>
      </w:r>
      <w:r w:rsidRPr="00716A4A">
        <w:rPr>
          <w:rFonts w:eastAsia="Times New Roman" w:cs="Arial"/>
          <w:color w:val="000000"/>
          <w:szCs w:val="20"/>
          <w:lang w:eastAsia="bg-BG"/>
        </w:rPr>
        <w:t>тази нежелана реакция се съобщава заедно с една или повече от следните нежелани реакции: коремна болка; коремен дискомфорт, подуване на корема, метеоризъм или пнсвмопсритонсум. Други нежелани реакции, които се съобщават съвместно с усложнения от поставянето на уреда, включват коремен дискомфорт, дуоденална язва, кръвоизлив, ерозивен дуоденит, ерозивен гастрит, кръвоизлив от стомашно-чревния тракт, перитонит, пневмоперитонеум и язва на тънките черва.</w:t>
      </w:r>
    </w:p>
    <w:p w14:paraId="0D76CC7D" w14:textId="77777777" w:rsidR="00716A4A" w:rsidRPr="00716A4A" w:rsidRDefault="00716A4A" w:rsidP="00716A4A">
      <w:pPr>
        <w:spacing w:line="240" w:lineRule="auto"/>
        <w:rPr>
          <w:rFonts w:eastAsia="Times New Roman" w:cs="Arial"/>
          <w:color w:val="000000"/>
          <w:szCs w:val="20"/>
          <w:lang w:eastAsia="bg-BG"/>
        </w:rPr>
      </w:pPr>
    </w:p>
    <w:p w14:paraId="0EF78B5B" w14:textId="599A3F2F"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lang w:eastAsia="bg-BG"/>
        </w:rPr>
        <w:t>Разместването на интестиналната тръба назад към стомаха или обструкция на уреда води до подновяване на моторните флуктуации.</w:t>
      </w:r>
    </w:p>
    <w:p w14:paraId="6200F3EA" w14:textId="77777777" w:rsidR="00716A4A" w:rsidRPr="00716A4A" w:rsidRDefault="00716A4A" w:rsidP="00716A4A">
      <w:pPr>
        <w:spacing w:line="240" w:lineRule="auto"/>
        <w:rPr>
          <w:rFonts w:eastAsia="Times New Roman" w:cs="Arial"/>
          <w:color w:val="000000"/>
          <w:szCs w:val="20"/>
          <w:lang w:eastAsia="bg-BG"/>
        </w:rPr>
      </w:pPr>
    </w:p>
    <w:p w14:paraId="49A9D589" w14:textId="7EAD862A"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lang w:eastAsia="bg-BG"/>
        </w:rPr>
        <w:t xml:space="preserve">Следните допълнителни нежелани реакции са наблюдавани при пероралните леводопа/карбидопа и са били класифицирани като редки (≥ 1/10 000 до &lt; 1/1000): хемолитична анемия, тризмус, синдром на </w:t>
      </w:r>
      <w:r w:rsidRPr="00716A4A">
        <w:rPr>
          <w:rFonts w:eastAsia="Times New Roman" w:cs="Arial"/>
          <w:color w:val="000000"/>
          <w:szCs w:val="20"/>
          <w:lang w:val="en-US"/>
        </w:rPr>
        <w:t xml:space="preserve">Homer, </w:t>
      </w:r>
      <w:r w:rsidRPr="00716A4A">
        <w:rPr>
          <w:rFonts w:eastAsia="Times New Roman" w:cs="Arial"/>
          <w:color w:val="000000"/>
          <w:szCs w:val="20"/>
          <w:lang w:eastAsia="bg-BG"/>
        </w:rPr>
        <w:t xml:space="preserve">мидриаза, окулогирни кризи и пурпура на </w:t>
      </w:r>
      <w:r w:rsidRPr="00716A4A">
        <w:rPr>
          <w:rFonts w:eastAsia="Times New Roman" w:cs="Arial"/>
          <w:color w:val="000000"/>
          <w:szCs w:val="20"/>
          <w:lang w:val="en-US"/>
        </w:rPr>
        <w:t xml:space="preserve">Henoch- </w:t>
      </w:r>
      <w:proofErr w:type="spellStart"/>
      <w:r w:rsidRPr="00716A4A">
        <w:rPr>
          <w:rFonts w:eastAsia="Times New Roman" w:cs="Arial"/>
          <w:color w:val="000000"/>
          <w:szCs w:val="20"/>
          <w:lang w:val="en-US"/>
        </w:rPr>
        <w:t>Schonlein</w:t>
      </w:r>
      <w:proofErr w:type="spellEnd"/>
      <w:r w:rsidRPr="00716A4A">
        <w:rPr>
          <w:rFonts w:eastAsia="Times New Roman" w:cs="Arial"/>
          <w:color w:val="000000"/>
          <w:szCs w:val="20"/>
          <w:lang w:val="en-US"/>
        </w:rPr>
        <w:t xml:space="preserve">. </w:t>
      </w:r>
      <w:r w:rsidRPr="00716A4A">
        <w:rPr>
          <w:rFonts w:eastAsia="Times New Roman" w:cs="Arial"/>
          <w:color w:val="000000"/>
          <w:szCs w:val="20"/>
          <w:lang w:eastAsia="bg-BG"/>
        </w:rPr>
        <w:t>Следната допълнителна нежелана реакция бе докладвана като много рядка (&lt;1/10 000): агранулоцитоза</w:t>
      </w:r>
    </w:p>
    <w:p w14:paraId="6AEF7021" w14:textId="77777777" w:rsidR="00716A4A" w:rsidRPr="00716A4A" w:rsidRDefault="00716A4A" w:rsidP="00716A4A">
      <w:pPr>
        <w:spacing w:line="240" w:lineRule="auto"/>
        <w:rPr>
          <w:rFonts w:eastAsia="Times New Roman" w:cs="Arial"/>
          <w:i/>
          <w:iCs/>
          <w:color w:val="000000"/>
          <w:szCs w:val="20"/>
          <w:lang w:eastAsia="bg-BG"/>
        </w:rPr>
      </w:pPr>
    </w:p>
    <w:p w14:paraId="1371C5F2" w14:textId="12192D66" w:rsidR="00716A4A" w:rsidRPr="00716A4A" w:rsidRDefault="00716A4A" w:rsidP="00716A4A">
      <w:pPr>
        <w:spacing w:line="240" w:lineRule="auto"/>
        <w:rPr>
          <w:rFonts w:eastAsia="Times New Roman" w:cs="Arial"/>
          <w:szCs w:val="20"/>
          <w:lang w:eastAsia="bg-BG"/>
        </w:rPr>
      </w:pPr>
      <w:r w:rsidRPr="00716A4A">
        <w:rPr>
          <w:rFonts w:eastAsia="Times New Roman" w:cs="Arial"/>
          <w:i/>
          <w:iCs/>
          <w:color w:val="000000"/>
          <w:szCs w:val="20"/>
          <w:lang w:eastAsia="bg-BG"/>
        </w:rPr>
        <w:t>Лабораторни стойности:</w:t>
      </w:r>
    </w:p>
    <w:p w14:paraId="0EC3968E" w14:textId="77777777"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lang w:eastAsia="bg-BG"/>
        </w:rPr>
        <w:t xml:space="preserve">При лечение с леводопа/карбидопа са наблюдавани следите отклонения в лабораторните показатели: повишени нива на уреен азот, алкална фосфатаза, </w:t>
      </w:r>
      <w:r w:rsidRPr="00716A4A">
        <w:rPr>
          <w:rFonts w:eastAsia="Times New Roman" w:cs="Arial"/>
          <w:color w:val="000000"/>
          <w:szCs w:val="20"/>
          <w:lang w:val="en-US"/>
        </w:rPr>
        <w:t xml:space="preserve">S-AST, S-ALT, LDH, </w:t>
      </w:r>
      <w:r w:rsidRPr="00716A4A">
        <w:rPr>
          <w:rFonts w:eastAsia="Times New Roman" w:cs="Arial"/>
          <w:color w:val="000000"/>
          <w:szCs w:val="20"/>
          <w:lang w:eastAsia="bg-BG"/>
        </w:rPr>
        <w:t xml:space="preserve">билирубин, кръвна захар, креатинин, пикочна киселина, положителен тест на </w:t>
      </w:r>
      <w:proofErr w:type="spellStart"/>
      <w:r w:rsidRPr="00716A4A">
        <w:rPr>
          <w:rFonts w:eastAsia="Times New Roman" w:cs="Arial"/>
          <w:color w:val="000000"/>
          <w:szCs w:val="20"/>
          <w:lang w:val="en-US"/>
        </w:rPr>
        <w:t>Coomb</w:t>
      </w:r>
      <w:proofErr w:type="spellEnd"/>
      <w:r w:rsidRPr="00716A4A">
        <w:rPr>
          <w:rFonts w:eastAsia="Times New Roman" w:cs="Arial"/>
          <w:color w:val="000000"/>
          <w:szCs w:val="20"/>
          <w:lang w:val="en-US"/>
        </w:rPr>
        <w:t xml:space="preserve"> </w:t>
      </w:r>
      <w:r w:rsidRPr="00716A4A">
        <w:rPr>
          <w:rFonts w:eastAsia="Times New Roman" w:cs="Arial"/>
          <w:color w:val="000000"/>
          <w:szCs w:val="20"/>
          <w:lang w:eastAsia="bg-BG"/>
        </w:rPr>
        <w:t>и понижени нива на хемоглобин и хематокрит. Съобщава се за левкоцити, бактерии и кръв в урината.</w:t>
      </w:r>
    </w:p>
    <w:p w14:paraId="48C03E0C" w14:textId="77777777" w:rsidR="00716A4A" w:rsidRPr="00716A4A" w:rsidRDefault="00716A4A" w:rsidP="00716A4A">
      <w:pPr>
        <w:spacing w:line="240" w:lineRule="auto"/>
        <w:rPr>
          <w:rFonts w:eastAsia="Times New Roman" w:cs="Arial"/>
          <w:color w:val="000000"/>
          <w:szCs w:val="20"/>
          <w:u w:val="single"/>
          <w:lang w:eastAsia="bg-BG"/>
        </w:rPr>
      </w:pPr>
    </w:p>
    <w:p w14:paraId="00737D90" w14:textId="07404C6A"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u w:val="single"/>
          <w:lang w:eastAsia="bg-BG"/>
        </w:rPr>
        <w:t>Описание на избрани нежелани реакции</w:t>
      </w:r>
    </w:p>
    <w:p w14:paraId="69A4A4B9" w14:textId="77777777"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lang w:eastAsia="bg-BG"/>
        </w:rPr>
        <w:t>Въвеждането на ентакапон към съществуващо лечение с леводопа</w:t>
      </w:r>
      <w:r w:rsidRPr="00716A4A">
        <w:rPr>
          <w:rFonts w:eastAsia="Times New Roman" w:cs="Arial"/>
          <w:color w:val="000000"/>
          <w:szCs w:val="20"/>
          <w:lang w:val="en-US"/>
        </w:rPr>
        <w:t xml:space="preserve">/DDC </w:t>
      </w:r>
      <w:r w:rsidRPr="00716A4A">
        <w:rPr>
          <w:rFonts w:eastAsia="Times New Roman" w:cs="Arial"/>
          <w:color w:val="000000"/>
          <w:szCs w:val="20"/>
          <w:lang w:eastAsia="bg-BG"/>
        </w:rPr>
        <w:t>инхибитор може да предизвика първоначално нарастване в допаминергичната активност (напр. дискинезия, гадене и повръщане). Намаляването на дозата на леводопа намалява тежестта и честотата на тези допаминергични реакции.</w:t>
      </w:r>
    </w:p>
    <w:p w14:paraId="15B2CBC7" w14:textId="77777777" w:rsidR="00716A4A" w:rsidRPr="00716A4A" w:rsidRDefault="00716A4A" w:rsidP="00716A4A">
      <w:pPr>
        <w:spacing w:line="240" w:lineRule="auto"/>
        <w:rPr>
          <w:rFonts w:eastAsia="Times New Roman" w:cs="Arial"/>
          <w:i/>
          <w:iCs/>
          <w:color w:val="000000"/>
          <w:szCs w:val="20"/>
          <w:lang w:eastAsia="bg-BG"/>
        </w:rPr>
      </w:pPr>
    </w:p>
    <w:p w14:paraId="6C503BE0" w14:textId="3E4C71B4" w:rsidR="00716A4A" w:rsidRPr="00716A4A" w:rsidRDefault="00716A4A" w:rsidP="00716A4A">
      <w:pPr>
        <w:spacing w:line="240" w:lineRule="auto"/>
        <w:rPr>
          <w:rFonts w:eastAsia="Times New Roman" w:cs="Arial"/>
          <w:szCs w:val="20"/>
          <w:lang w:eastAsia="bg-BG"/>
        </w:rPr>
      </w:pPr>
      <w:r w:rsidRPr="00716A4A">
        <w:rPr>
          <w:rFonts w:eastAsia="Times New Roman" w:cs="Arial"/>
          <w:i/>
          <w:iCs/>
          <w:color w:val="000000"/>
          <w:szCs w:val="20"/>
          <w:lang w:eastAsia="bg-BG"/>
        </w:rPr>
        <w:t>Нарушения на контрола на импулсите</w:t>
      </w:r>
    </w:p>
    <w:p w14:paraId="5D15F08B" w14:textId="77777777"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lang w:eastAsia="bg-BG"/>
        </w:rPr>
        <w:t>Компулсивно хазартно залагане, повишено либидо, хиперсексуалност, компулсивно харчене или пазаруване, прекомерно хранене и компулсивно хранене, могат да възникнат при пациенти, лекувани с допаминови агонисти и/или други допаминергични терапии, съдържащи леводопа, включително Лесигон (вижте точка 4.4).</w:t>
      </w:r>
    </w:p>
    <w:p w14:paraId="3B54C669" w14:textId="77777777" w:rsidR="00716A4A" w:rsidRPr="00716A4A" w:rsidRDefault="00716A4A" w:rsidP="00716A4A">
      <w:pPr>
        <w:spacing w:line="240" w:lineRule="auto"/>
        <w:rPr>
          <w:rFonts w:eastAsia="Times New Roman" w:cs="Arial"/>
          <w:i/>
          <w:iCs/>
          <w:color w:val="000000"/>
          <w:szCs w:val="20"/>
          <w:lang w:eastAsia="bg-BG"/>
        </w:rPr>
      </w:pPr>
    </w:p>
    <w:p w14:paraId="2DB9DB31" w14:textId="7E847A4D" w:rsidR="00716A4A" w:rsidRPr="00716A4A" w:rsidRDefault="00716A4A" w:rsidP="00716A4A">
      <w:pPr>
        <w:spacing w:line="240" w:lineRule="auto"/>
        <w:rPr>
          <w:rFonts w:eastAsia="Times New Roman" w:cs="Arial"/>
          <w:szCs w:val="20"/>
          <w:lang w:eastAsia="bg-BG"/>
        </w:rPr>
      </w:pPr>
      <w:r w:rsidRPr="00716A4A">
        <w:rPr>
          <w:rFonts w:eastAsia="Times New Roman" w:cs="Arial"/>
          <w:i/>
          <w:iCs/>
          <w:color w:val="000000"/>
          <w:szCs w:val="20"/>
          <w:lang w:eastAsia="bg-BG"/>
        </w:rPr>
        <w:t>Сомнолентност и епизоди на внезапно заспиване</w:t>
      </w:r>
    </w:p>
    <w:p w14:paraId="4E1AA058" w14:textId="77777777"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lang w:eastAsia="bg-BG"/>
        </w:rPr>
        <w:t>Ентакапон в комбинация с леводопа е бил свързан със сомнолентност и епизоди на внезапно заспиване при пациенти с болестта на Паркинсон. Затова трябва да се внимава при шофиране и използване на машини (вижте точки 4.4 и 4.7).</w:t>
      </w:r>
    </w:p>
    <w:p w14:paraId="10B8042A" w14:textId="77777777" w:rsidR="00716A4A" w:rsidRPr="00716A4A" w:rsidRDefault="00716A4A" w:rsidP="00716A4A">
      <w:pPr>
        <w:spacing w:line="240" w:lineRule="auto"/>
        <w:rPr>
          <w:rFonts w:eastAsia="Times New Roman" w:cs="Arial"/>
          <w:color w:val="000000"/>
          <w:szCs w:val="20"/>
          <w:u w:val="single"/>
          <w:lang w:eastAsia="bg-BG"/>
        </w:rPr>
      </w:pPr>
    </w:p>
    <w:p w14:paraId="6E863CFD" w14:textId="00D1EE85"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u w:val="single"/>
          <w:lang w:eastAsia="bg-BG"/>
        </w:rPr>
        <w:t>Докладване на подозирани нежелани реакпии</w:t>
      </w:r>
    </w:p>
    <w:p w14:paraId="2EDE9AC4" w14:textId="77777777"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lang w:eastAsia="bg-BG"/>
        </w:rPr>
        <w:t>Докладването на подозирани нежелани реакции след разрешаването на лекарствения продукт е важно. То позволява непрекъснато наблюдение на баланса полза/риск на лекарствения продукт. От медицинските специалисти се изисква да докладват всички подозирани нежелани реакции чрез:</w:t>
      </w:r>
    </w:p>
    <w:p w14:paraId="2CE41790" w14:textId="77777777"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lang w:eastAsia="bg-BG"/>
        </w:rPr>
        <w:t>Изпълнителна агенция по лекарствата</w:t>
      </w:r>
    </w:p>
    <w:p w14:paraId="4568B84B" w14:textId="77777777"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lang w:eastAsia="bg-BG"/>
        </w:rPr>
        <w:t>ул. „Дамян Груев“ № 8</w:t>
      </w:r>
    </w:p>
    <w:p w14:paraId="5D72EBF0" w14:textId="77777777"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lang w:eastAsia="bg-BG"/>
        </w:rPr>
        <w:t>1303 София</w:t>
      </w:r>
    </w:p>
    <w:p w14:paraId="1CD23619" w14:textId="77777777" w:rsidR="00716A4A" w:rsidRPr="00716A4A" w:rsidRDefault="00716A4A" w:rsidP="00716A4A">
      <w:pPr>
        <w:spacing w:line="240" w:lineRule="auto"/>
        <w:rPr>
          <w:rFonts w:eastAsia="Times New Roman" w:cs="Arial"/>
          <w:szCs w:val="20"/>
          <w:lang w:eastAsia="bg-BG"/>
        </w:rPr>
      </w:pPr>
      <w:r w:rsidRPr="00716A4A">
        <w:rPr>
          <w:rFonts w:eastAsia="Times New Roman" w:cs="Arial"/>
          <w:color w:val="000000"/>
          <w:szCs w:val="20"/>
          <w:lang w:eastAsia="bg-BG"/>
        </w:rPr>
        <w:lastRenderedPageBreak/>
        <w:t>тел.:+359 2 8903417</w:t>
      </w:r>
    </w:p>
    <w:p w14:paraId="0C5DF6EE" w14:textId="477223BD" w:rsidR="00716A4A" w:rsidRPr="00716A4A" w:rsidRDefault="00716A4A" w:rsidP="00716A4A">
      <w:pPr>
        <w:rPr>
          <w:rFonts w:cs="Arial"/>
          <w:szCs w:val="20"/>
        </w:rPr>
      </w:pPr>
      <w:r w:rsidRPr="00716A4A">
        <w:rPr>
          <w:rFonts w:eastAsia="Times New Roman" w:cs="Arial"/>
          <w:color w:val="000000"/>
          <w:szCs w:val="20"/>
          <w:lang w:eastAsia="bg-BG"/>
        </w:rPr>
        <w:t xml:space="preserve">уебсайт: </w:t>
      </w:r>
      <w:hyperlink r:id="rId5" w:history="1">
        <w:r w:rsidRPr="00716A4A">
          <w:rPr>
            <w:rFonts w:eastAsia="Times New Roman" w:cs="Arial"/>
            <w:color w:val="000000"/>
            <w:szCs w:val="20"/>
            <w:u w:val="single"/>
            <w:lang w:val="en-US"/>
          </w:rPr>
          <w:t>www.bda.bg</w:t>
        </w:r>
      </w:hyperlink>
    </w:p>
    <w:p w14:paraId="490E6B2F" w14:textId="77777777" w:rsidR="00716A4A" w:rsidRPr="0091385D" w:rsidRDefault="00716A4A"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1C43506D" w14:textId="77777777" w:rsidR="00716A4A" w:rsidRPr="00716A4A" w:rsidRDefault="00716A4A" w:rsidP="00716A4A">
      <w:pPr>
        <w:spacing w:line="240" w:lineRule="auto"/>
        <w:rPr>
          <w:rFonts w:eastAsia="Times New Roman" w:cs="Arial"/>
          <w:lang w:eastAsia="bg-BG"/>
        </w:rPr>
      </w:pPr>
      <w:r w:rsidRPr="00716A4A">
        <w:rPr>
          <w:rFonts w:eastAsia="Times New Roman" w:cs="Arial"/>
          <w:color w:val="000000"/>
          <w:lang w:eastAsia="bg-BG"/>
        </w:rPr>
        <w:t>Най-изявените клинични симптоми на предозиране с леводопа/карбидопа са</w:t>
      </w:r>
      <w:r w:rsidRPr="00716A4A">
        <w:rPr>
          <w:rFonts w:eastAsia="Times New Roman" w:cs="Arial"/>
          <w:color w:val="000000"/>
          <w:lang w:val="en-US"/>
        </w:rPr>
        <w:t xml:space="preserve"> </w:t>
      </w:r>
      <w:r w:rsidRPr="00716A4A">
        <w:rPr>
          <w:rFonts w:eastAsia="Times New Roman" w:cs="Arial"/>
          <w:color w:val="000000"/>
          <w:lang w:eastAsia="bg-BG"/>
        </w:rPr>
        <w:t>дистония и</w:t>
      </w:r>
    </w:p>
    <w:p w14:paraId="1D9F3DD5" w14:textId="3CC06C6B" w:rsidR="00716A4A" w:rsidRPr="000E7E21" w:rsidRDefault="00716A4A" w:rsidP="00716A4A">
      <w:pPr>
        <w:rPr>
          <w:rFonts w:eastAsia="Times New Roman" w:cs="Arial"/>
          <w:lang w:eastAsia="bg-BG"/>
        </w:rPr>
      </w:pPr>
      <w:r w:rsidRPr="000E7E21">
        <w:rPr>
          <w:rFonts w:eastAsia="Times New Roman" w:cs="Arial"/>
          <w:color w:val="000000"/>
          <w:lang w:eastAsia="bg-BG"/>
        </w:rPr>
        <w:t>дискинезия. Блефароспазмите могат да бъдат ранен признак на предозиран. Пиридоксин не противодейства на ефектите на</w:t>
      </w:r>
      <w:r w:rsidR="000E7E21">
        <w:rPr>
          <w:rFonts w:eastAsia="Times New Roman" w:cs="Arial"/>
          <w:color w:val="000000"/>
          <w:lang w:eastAsia="bg-BG"/>
        </w:rPr>
        <w:t xml:space="preserve"> Лесигон. Трябва да се използва </w:t>
      </w:r>
      <w:r w:rsidRPr="000E7E21">
        <w:rPr>
          <w:rFonts w:eastAsia="Times New Roman" w:cs="Arial"/>
          <w:color w:val="000000"/>
          <w:lang w:eastAsia="bg-BG"/>
        </w:rPr>
        <w:t>електрокардиографско</w:t>
      </w:r>
      <w:r w:rsidRPr="000E7E21">
        <w:rPr>
          <w:rFonts w:eastAsia="Times New Roman" w:cs="Arial"/>
          <w:i/>
          <w:iCs/>
          <w:color w:val="000000"/>
          <w:lang w:eastAsia="bg-BG"/>
        </w:rPr>
        <w:t xml:space="preserve"> </w:t>
      </w:r>
      <w:r w:rsidRPr="000E7E21">
        <w:rPr>
          <w:rFonts w:eastAsia="Times New Roman" w:cs="Arial"/>
          <w:color w:val="000000"/>
          <w:lang w:eastAsia="bg-BG"/>
        </w:rPr>
        <w:t>мониториране и пациентът да се наблюдава внимателно за развитие на сърдечни аритмии. При  необходимост трябва да се приложи подходяща антиаритмична терапия. Трябва да се отчете и възможността пациентът да е приел и други лекарствени продукти едновременно се Лесигон. Стойността на диализата при лечението на предозиране не е известна.</w:t>
      </w:r>
    </w:p>
    <w:p w14:paraId="6A43B8F3" w14:textId="0113E47B" w:rsidR="007A2185" w:rsidRPr="000E7E21" w:rsidRDefault="00716A4A" w:rsidP="00716A4A">
      <w:pPr>
        <w:rPr>
          <w:rFonts w:cs="Arial"/>
          <w:lang w:val="en-US"/>
        </w:rPr>
      </w:pPr>
      <w:r w:rsidRPr="000E7E21">
        <w:rPr>
          <w:rFonts w:eastAsia="Times New Roman" w:cs="Arial"/>
          <w:color w:val="000000"/>
          <w:lang w:eastAsia="bg-BG"/>
        </w:rPr>
        <w:t xml:space="preserve">Данните включват изолирани случаи на предозиране, където най-високота съобщена дневна доза на перорални леводопа и ентакапон са били най-малко 10 000 </w:t>
      </w:r>
      <w:r w:rsidRPr="000E7E21">
        <w:rPr>
          <w:rFonts w:eastAsia="Times New Roman" w:cs="Arial"/>
          <w:color w:val="000000"/>
          <w:lang w:val="en-US"/>
        </w:rPr>
        <w:t xml:space="preserve">mg </w:t>
      </w:r>
      <w:r w:rsidRPr="000E7E21">
        <w:rPr>
          <w:rFonts w:eastAsia="Times New Roman" w:cs="Arial"/>
          <w:color w:val="000000"/>
          <w:lang w:eastAsia="bg-BG"/>
        </w:rPr>
        <w:t xml:space="preserve">и 40 000 </w:t>
      </w:r>
      <w:r w:rsidRPr="000E7E21">
        <w:rPr>
          <w:rFonts w:eastAsia="Times New Roman" w:cs="Arial"/>
          <w:color w:val="000000"/>
          <w:lang w:val="en-US"/>
        </w:rPr>
        <w:t xml:space="preserve">mg, </w:t>
      </w:r>
      <w:r w:rsidRPr="000E7E21">
        <w:rPr>
          <w:rFonts w:eastAsia="Times New Roman" w:cs="Arial"/>
          <w:color w:val="000000"/>
          <w:lang w:eastAsia="bg-BG"/>
        </w:rPr>
        <w:t xml:space="preserve">респективно. Острите симптоми и признаци в тези случаи включват ажитация, обърканост, кома, брадикардия, камерна тахикардия, дишане по </w:t>
      </w:r>
      <w:proofErr w:type="spellStart"/>
      <w:r w:rsidRPr="000E7E21">
        <w:rPr>
          <w:rFonts w:eastAsia="Times New Roman" w:cs="Arial"/>
          <w:color w:val="000000"/>
          <w:lang w:val="en-US"/>
        </w:rPr>
        <w:t>Cheyne</w:t>
      </w:r>
      <w:proofErr w:type="spellEnd"/>
      <w:r w:rsidRPr="000E7E21">
        <w:rPr>
          <w:rFonts w:eastAsia="Times New Roman" w:cs="Arial"/>
          <w:color w:val="000000"/>
          <w:lang w:val="en-US"/>
        </w:rPr>
        <w:t xml:space="preserve">-Stokes, </w:t>
      </w:r>
      <w:r w:rsidRPr="000E7E21">
        <w:rPr>
          <w:rFonts w:eastAsia="Times New Roman" w:cs="Arial"/>
          <w:color w:val="000000"/>
          <w:lang w:eastAsia="bg-BG"/>
        </w:rPr>
        <w:t>обезцветяване на кожата, езика и конюнктивита и обезцветена урина.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2D86CF96" w14:textId="77777777"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 xml:space="preserve">Фармакотерапевтична група: Антипаркинсонови лекарства, допа и производни на допа, АТС код: </w:t>
      </w:r>
      <w:r w:rsidRPr="000E7E21">
        <w:rPr>
          <w:rFonts w:eastAsia="Times New Roman" w:cs="Arial"/>
          <w:color w:val="000000"/>
          <w:lang w:val="en-US"/>
        </w:rPr>
        <w:t>N04BA03</w:t>
      </w:r>
    </w:p>
    <w:p w14:paraId="2FB61B3F" w14:textId="77777777" w:rsidR="000E7E21" w:rsidRPr="000E7E21" w:rsidRDefault="000E7E21" w:rsidP="000E7E21">
      <w:pPr>
        <w:spacing w:line="240" w:lineRule="auto"/>
        <w:rPr>
          <w:rFonts w:eastAsia="Times New Roman" w:cs="Arial"/>
          <w:color w:val="000000"/>
          <w:u w:val="single"/>
          <w:lang w:eastAsia="bg-BG"/>
        </w:rPr>
      </w:pPr>
    </w:p>
    <w:p w14:paraId="27D673ED" w14:textId="28F08F4C" w:rsidR="000E7E21" w:rsidRPr="000E7E21" w:rsidRDefault="000E7E21" w:rsidP="000E7E21">
      <w:pPr>
        <w:spacing w:line="240" w:lineRule="auto"/>
        <w:rPr>
          <w:rFonts w:eastAsia="Times New Roman" w:cs="Arial"/>
          <w:lang w:eastAsia="bg-BG"/>
        </w:rPr>
      </w:pPr>
      <w:r w:rsidRPr="000E7E21">
        <w:rPr>
          <w:rFonts w:eastAsia="Times New Roman" w:cs="Arial"/>
          <w:color w:val="000000"/>
          <w:u w:val="single"/>
          <w:lang w:eastAsia="bg-BG"/>
        </w:rPr>
        <w:t>Механизъм на действие</w:t>
      </w:r>
    </w:p>
    <w:p w14:paraId="692A1B0B" w14:textId="77777777"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Лесигон е комбинация от леводопа, карбидопа монохидрат и ентакапон (съотношение 4:1:4) под формата на гел за постоянна интестинална инфузия при напреднала болест на Паркинсон с тежки моторни флуктуации и хиперкинезия/дискинезия.</w:t>
      </w:r>
    </w:p>
    <w:p w14:paraId="4A9B6F1C" w14:textId="77777777" w:rsidR="000E7E21" w:rsidRPr="000E7E21" w:rsidRDefault="000E7E21" w:rsidP="000E7E21">
      <w:pPr>
        <w:spacing w:line="240" w:lineRule="auto"/>
        <w:rPr>
          <w:rFonts w:eastAsia="Times New Roman" w:cs="Arial"/>
          <w:color w:val="000000"/>
          <w:lang w:eastAsia="bg-BG"/>
        </w:rPr>
      </w:pPr>
    </w:p>
    <w:p w14:paraId="0F5C6DEF" w14:textId="7840020C"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 xml:space="preserve">Според настоящите познания, симптомите на болестта на Паркинсон са свързани с липсата на допамин в </w:t>
      </w:r>
      <w:r w:rsidRPr="000E7E21">
        <w:rPr>
          <w:rFonts w:eastAsia="Times New Roman" w:cs="Arial"/>
          <w:color w:val="000000"/>
          <w:lang w:val="en-US"/>
        </w:rPr>
        <w:t xml:space="preserve">corpus striatum. </w:t>
      </w:r>
      <w:r w:rsidRPr="000E7E21">
        <w:rPr>
          <w:rFonts w:eastAsia="Times New Roman" w:cs="Arial"/>
          <w:color w:val="000000"/>
          <w:lang w:eastAsia="bg-BG"/>
        </w:rPr>
        <w:t>Допаминът не преминава кръвно-мозъчната бариера.</w:t>
      </w:r>
    </w:p>
    <w:p w14:paraId="1DA7CBE7" w14:textId="77777777" w:rsidR="000E7E21" w:rsidRPr="000E7E21" w:rsidRDefault="000E7E21" w:rsidP="000E7E21">
      <w:pPr>
        <w:spacing w:line="240" w:lineRule="auto"/>
        <w:rPr>
          <w:rFonts w:eastAsia="Times New Roman" w:cs="Arial"/>
          <w:color w:val="000000"/>
          <w:lang w:eastAsia="bg-BG"/>
        </w:rPr>
      </w:pPr>
    </w:p>
    <w:p w14:paraId="67F223BE" w14:textId="48025C9D"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Леводопа, метаболитен прекурсор на допамина, преминава кръвно-мозъчната бариера и облекчава симптомите на болестта. Тъй като леводопа се метаболизира изключително периферно в тъканите, само малка част от приложената доза достига централната нервна система, когато леводопа се прилага без инхибитори на метаболитните ензими.</w:t>
      </w:r>
    </w:p>
    <w:p w14:paraId="2262682C" w14:textId="77777777" w:rsidR="000E7E21" w:rsidRPr="000E7E21" w:rsidRDefault="000E7E21" w:rsidP="000E7E21">
      <w:pPr>
        <w:spacing w:line="240" w:lineRule="auto"/>
        <w:rPr>
          <w:rFonts w:eastAsia="Times New Roman" w:cs="Arial"/>
          <w:color w:val="000000"/>
          <w:lang w:eastAsia="bg-BG"/>
        </w:rPr>
      </w:pPr>
    </w:p>
    <w:p w14:paraId="4F521986" w14:textId="494620BA"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 xml:space="preserve">Карбидопа е периферен </w:t>
      </w:r>
      <w:r w:rsidRPr="000E7E21">
        <w:rPr>
          <w:rFonts w:eastAsia="Times New Roman" w:cs="Arial"/>
          <w:color w:val="000000"/>
          <w:lang w:val="en-US"/>
        </w:rPr>
        <w:t xml:space="preserve">DDC </w:t>
      </w:r>
      <w:r w:rsidRPr="000E7E21">
        <w:rPr>
          <w:rFonts w:eastAsia="Times New Roman" w:cs="Arial"/>
          <w:color w:val="000000"/>
          <w:lang w:eastAsia="bg-BG"/>
        </w:rPr>
        <w:t xml:space="preserve">инхибитор, който намалява периферния метаболизъм на леводопа в допамин, като с това по-голямо количество леводопа е налице за мозъка. Когато декарбоксилирането на леводопа е намалено чрез съвместно приложение на </w:t>
      </w:r>
      <w:r w:rsidRPr="000E7E21">
        <w:rPr>
          <w:rFonts w:eastAsia="Times New Roman" w:cs="Arial"/>
          <w:i/>
          <w:iCs/>
          <w:color w:val="000000"/>
          <w:lang w:val="en-US"/>
        </w:rPr>
        <w:t xml:space="preserve">DDC </w:t>
      </w:r>
      <w:r w:rsidRPr="000E7E21">
        <w:rPr>
          <w:rFonts w:eastAsia="Times New Roman" w:cs="Arial"/>
          <w:i/>
          <w:iCs/>
          <w:color w:val="000000"/>
          <w:lang w:eastAsia="bg-BG"/>
        </w:rPr>
        <w:t>инхибитор, може да</w:t>
      </w:r>
      <w:r w:rsidRPr="000E7E21">
        <w:rPr>
          <w:rFonts w:eastAsia="Times New Roman" w:cs="Arial"/>
          <w:color w:val="000000"/>
          <w:lang w:eastAsia="bg-BG"/>
        </w:rPr>
        <w:t xml:space="preserve"> се използва по-малка доза леводопа и честотата на проява на нежеланите събития като гадене може да се намали.</w:t>
      </w:r>
    </w:p>
    <w:p w14:paraId="0F95C1C7" w14:textId="77777777" w:rsidR="000E7E21" w:rsidRPr="000E7E21" w:rsidRDefault="000E7E21" w:rsidP="000E7E21">
      <w:pPr>
        <w:spacing w:line="240" w:lineRule="auto"/>
        <w:rPr>
          <w:rFonts w:eastAsia="Times New Roman" w:cs="Arial"/>
          <w:color w:val="000000"/>
          <w:lang w:eastAsia="bg-BG"/>
        </w:rPr>
      </w:pPr>
    </w:p>
    <w:p w14:paraId="1BA9F9EE" w14:textId="34432957"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lastRenderedPageBreak/>
        <w:t xml:space="preserve">Когато декарбоксилазата е инхибирана с </w:t>
      </w:r>
      <w:r w:rsidRPr="000E7E21">
        <w:rPr>
          <w:rFonts w:eastAsia="Times New Roman" w:cs="Arial"/>
          <w:color w:val="000000"/>
          <w:lang w:val="en-US"/>
        </w:rPr>
        <w:t xml:space="preserve">DDC </w:t>
      </w:r>
      <w:r w:rsidRPr="000E7E21">
        <w:rPr>
          <w:rFonts w:eastAsia="Times New Roman" w:cs="Arial"/>
          <w:color w:val="000000"/>
          <w:lang w:eastAsia="bg-BG"/>
        </w:rPr>
        <w:t xml:space="preserve">инхибитор, СОМТ става доминантния периферен метаболитен път. Ентакапон е реверсивен, специфичен и главно периферно действащ СОМТ инхибитор, проектиран за съвместно приложение с леводопа. Ентакапон намалява изчистването на леводопа от кръвта, водейки до повишена </w:t>
      </w:r>
      <w:r w:rsidRPr="000E7E21">
        <w:rPr>
          <w:rFonts w:eastAsia="Times New Roman" w:cs="Arial"/>
          <w:color w:val="000000"/>
          <w:lang w:val="en-US"/>
        </w:rPr>
        <w:t xml:space="preserve">AUC </w:t>
      </w:r>
      <w:r w:rsidRPr="000E7E21">
        <w:rPr>
          <w:rFonts w:eastAsia="Times New Roman" w:cs="Arial"/>
          <w:color w:val="000000"/>
          <w:lang w:eastAsia="bg-BG"/>
        </w:rPr>
        <w:t>във фармакокинетичния профил на леводопа. Впоследствие, клиничният отговор на леводопа се удължава.</w:t>
      </w:r>
    </w:p>
    <w:p w14:paraId="038F692B" w14:textId="62E5E78A" w:rsidR="007A2185" w:rsidRPr="000E7E21" w:rsidRDefault="000E7E21" w:rsidP="000E7E21">
      <w:pPr>
        <w:rPr>
          <w:rFonts w:cs="Arial"/>
        </w:rPr>
      </w:pPr>
      <w:r w:rsidRPr="000E7E21">
        <w:rPr>
          <w:rFonts w:eastAsia="Times New Roman" w:cs="Arial"/>
          <w:color w:val="000000"/>
          <w:lang w:eastAsia="bg-BG"/>
        </w:rPr>
        <w:t>Интестииалната инфузия на индивидуално тествани дози Лесигон поддържа плазмената концентрация на леводопа на равномерно ниво в рамките на индивидуален терапевтичен прозорец.</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28DE8A33" w14:textId="77777777" w:rsidR="000E7E21" w:rsidRPr="000E7E21" w:rsidRDefault="000E7E21" w:rsidP="000E7E21">
      <w:pPr>
        <w:pStyle w:val="Heading3"/>
        <w:rPr>
          <w:rFonts w:eastAsia="Times New Roman"/>
          <w:u w:val="single"/>
          <w:lang w:eastAsia="bg-BG"/>
        </w:rPr>
      </w:pPr>
      <w:r w:rsidRPr="000E7E21">
        <w:rPr>
          <w:rFonts w:eastAsia="Times New Roman"/>
          <w:u w:val="single"/>
          <w:lang w:eastAsia="bg-BG"/>
        </w:rPr>
        <w:t>Абс</w:t>
      </w:r>
      <w:bookmarkStart w:id="1" w:name="_GoBack"/>
      <w:bookmarkEnd w:id="1"/>
      <w:r w:rsidRPr="000E7E21">
        <w:rPr>
          <w:rFonts w:eastAsia="Times New Roman"/>
          <w:u w:val="single"/>
          <w:lang w:eastAsia="bg-BG"/>
        </w:rPr>
        <w:t>орбция</w:t>
      </w:r>
    </w:p>
    <w:p w14:paraId="6E3F1E76" w14:textId="6E30D835"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Лесигон се прилага чрез сонда, поставена директно в дуоденума или горния йеюнум. Има по- малка интер- и интраиндивидуални вариабилност в абсорбцията на леводопа, карбидопа и</w:t>
      </w:r>
      <w:r w:rsidRPr="000E7E21">
        <w:rPr>
          <w:rFonts w:eastAsia="Times New Roman" w:cs="Arial"/>
          <w:color w:val="000000"/>
          <w:u w:val="single"/>
          <w:lang w:eastAsia="bg-BG"/>
        </w:rPr>
        <w:t xml:space="preserve"> </w:t>
      </w:r>
      <w:r w:rsidRPr="000E7E21">
        <w:rPr>
          <w:rFonts w:eastAsia="Times New Roman" w:cs="Arial"/>
          <w:color w:val="000000"/>
          <w:lang w:eastAsia="bg-BG"/>
        </w:rPr>
        <w:t>ентакапон в сравнение с пероралното приложение поради заобикаляне на влиянието на интраиндивидуалната вариабилност в скоростта на изпразване на стомаха след перорално приложение.. Както леводопа, така и ентакапон се абсорбират и елиминират бързо. Карбидопа</w:t>
      </w:r>
      <w:r>
        <w:rPr>
          <w:rFonts w:eastAsia="Times New Roman" w:cs="Arial"/>
          <w:lang w:val="en-US" w:eastAsia="bg-BG"/>
        </w:rPr>
        <w:t xml:space="preserve"> </w:t>
      </w:r>
      <w:r w:rsidRPr="000E7E21">
        <w:rPr>
          <w:rFonts w:eastAsia="Times New Roman" w:cs="Arial"/>
          <w:color w:val="000000"/>
          <w:lang w:eastAsia="bg-BG"/>
        </w:rPr>
        <w:t>се абсорбира и елиминира малко по-бавно от леводопа. Храните, богати на големи неутрални</w:t>
      </w:r>
      <w:r w:rsidRPr="000E7E21">
        <w:rPr>
          <w:rFonts w:eastAsia="Times New Roman" w:cs="Arial"/>
          <w:color w:val="000000"/>
          <w:lang w:val="en-US" w:eastAsia="bg-BG"/>
        </w:rPr>
        <w:t xml:space="preserve"> </w:t>
      </w:r>
      <w:r w:rsidRPr="000E7E21">
        <w:rPr>
          <w:rFonts w:eastAsia="Times New Roman" w:cs="Arial"/>
          <w:color w:val="000000"/>
          <w:lang w:eastAsia="bg-BG"/>
        </w:rPr>
        <w:t>аминокиселини, могат да забавят и намалят абсорбцията на леводопа. Храната не повлиява значително абсорбцията на ентакапон.</w:t>
      </w:r>
    </w:p>
    <w:p w14:paraId="208BA06E" w14:textId="77777777" w:rsidR="000E7E21" w:rsidRPr="000E7E21" w:rsidRDefault="000E7E21" w:rsidP="000E7E21">
      <w:pPr>
        <w:spacing w:line="240" w:lineRule="auto"/>
        <w:rPr>
          <w:rFonts w:eastAsia="Times New Roman" w:cs="Arial"/>
          <w:color w:val="000000"/>
          <w:lang w:eastAsia="bg-BG"/>
        </w:rPr>
      </w:pPr>
    </w:p>
    <w:p w14:paraId="068089D6" w14:textId="5406B647"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 xml:space="preserve">В едно открито, рандомизирано клинично изпитване </w:t>
      </w:r>
      <w:r w:rsidRPr="000E7E21">
        <w:rPr>
          <w:rFonts w:eastAsia="Times New Roman" w:cs="Arial"/>
          <w:color w:val="000000"/>
          <w:lang w:val="en-US"/>
        </w:rPr>
        <w:t xml:space="preserve">(n=l </w:t>
      </w:r>
      <w:r w:rsidRPr="000E7E21">
        <w:rPr>
          <w:rFonts w:eastAsia="Times New Roman" w:cs="Arial"/>
          <w:color w:val="000000"/>
          <w:lang w:eastAsia="bg-BG"/>
        </w:rPr>
        <w:t xml:space="preserve">1) с кръстосан дизайн, включващо Дуодопа като компаратор, приложението на Лесигон в червата бързо води до терапевтични плазмени нива на леводопа. Сравними нива на леводопа се поддържат по време на инфузията както с Лесигон, така и с Дуодопа, но се наблюдава постепенно повишаваща се плазмена концентрация на леводопа през деня за Лесигон спрямо Дуодопа. Лесигон има статистически значима по-висока биологична наличност на леводопа в сравнение с Дуодопа, изчислена по време на инфузията, </w:t>
      </w:r>
      <w:r w:rsidRPr="000E7E21">
        <w:rPr>
          <w:rFonts w:eastAsia="Times New Roman" w:cs="Arial"/>
          <w:color w:val="000000"/>
          <w:lang w:val="en-US"/>
        </w:rPr>
        <w:t>AUC</w:t>
      </w:r>
      <w:r w:rsidRPr="000E7E21">
        <w:rPr>
          <w:rFonts w:eastAsia="Times New Roman" w:cs="Arial"/>
          <w:color w:val="000000"/>
          <w:vertAlign w:val="subscript"/>
          <w:lang w:val="en-US"/>
        </w:rPr>
        <w:t>014h</w:t>
      </w:r>
      <w:r w:rsidRPr="000E7E21">
        <w:rPr>
          <w:rFonts w:eastAsia="Times New Roman" w:cs="Arial"/>
          <w:color w:val="000000"/>
          <w:lang w:val="en-US"/>
        </w:rPr>
        <w:t xml:space="preserve"> </w:t>
      </w:r>
      <w:r w:rsidRPr="000E7E21">
        <w:rPr>
          <w:rFonts w:eastAsia="Times New Roman" w:cs="Arial"/>
          <w:color w:val="000000"/>
          <w:lang w:eastAsia="bg-BG"/>
        </w:rPr>
        <w:t xml:space="preserve">/доза (съотношение: 1,38; 95% интервал на доверителност </w:t>
      </w:r>
      <w:r w:rsidRPr="000E7E21">
        <w:rPr>
          <w:rFonts w:eastAsia="Times New Roman" w:cs="Arial"/>
          <w:color w:val="000000"/>
          <w:lang w:val="en-US"/>
        </w:rPr>
        <w:t>[CI]</w:t>
      </w:r>
      <w:r w:rsidRPr="000E7E21">
        <w:rPr>
          <w:rFonts w:eastAsia="Times New Roman" w:cs="Arial"/>
          <w:color w:val="000000"/>
          <w:lang w:eastAsia="bg-BG"/>
        </w:rPr>
        <w:t>: 1,26 - 1,51). След завършване на инфузията нивата на леводопа бързо се понижават. Вариабилността на плазмените концентрации на леводопа при индивида е малка (13,8%) в рамките на 3- до 14-часовия интервал след началото на инфузията с Лесигон.</w:t>
      </w:r>
    </w:p>
    <w:p w14:paraId="4ED0D212" w14:textId="77777777" w:rsidR="000E7E21" w:rsidRPr="000E7E21" w:rsidRDefault="000E7E21" w:rsidP="000E7E21">
      <w:pPr>
        <w:rPr>
          <w:rFonts w:eastAsia="Times New Roman" w:cs="Arial"/>
          <w:color w:val="000000"/>
          <w:lang w:eastAsia="bg-BG"/>
        </w:rPr>
      </w:pPr>
    </w:p>
    <w:p w14:paraId="45551830" w14:textId="3C17E2BE" w:rsidR="007A2185" w:rsidRPr="000E7E21" w:rsidRDefault="000E7E21" w:rsidP="000E7E21">
      <w:pPr>
        <w:rPr>
          <w:rFonts w:eastAsia="Times New Roman" w:cs="Arial"/>
          <w:color w:val="000000"/>
          <w:lang w:eastAsia="bg-BG"/>
        </w:rPr>
      </w:pPr>
      <w:r w:rsidRPr="000E7E21">
        <w:rPr>
          <w:rFonts w:eastAsia="Times New Roman" w:cs="Arial"/>
          <w:color w:val="000000"/>
          <w:lang w:eastAsia="bg-BG"/>
        </w:rPr>
        <w:t>На Фигура 1 е показан пример на очакван профил на плазмена концентрация/време с постоянна поддържаща доза. Ако е необходимо, има възможност за използване на многократни поддържащи дози на ден/24-часов период (описан в точка 4.2 Дозировка).</w:t>
      </w:r>
    </w:p>
    <w:p w14:paraId="7B626391" w14:textId="0892BBFF" w:rsidR="000E7E21" w:rsidRDefault="000E7E21" w:rsidP="000E7E21">
      <w:pPr>
        <w:rPr>
          <w:rFonts w:ascii="Times New Roman" w:eastAsia="Times New Roman" w:hAnsi="Times New Roman" w:cs="Times New Roman"/>
          <w:color w:val="000000"/>
          <w:sz w:val="20"/>
          <w:szCs w:val="20"/>
          <w:lang w:eastAsia="bg-BG"/>
        </w:rPr>
      </w:pPr>
    </w:p>
    <w:p w14:paraId="0042E51B" w14:textId="5E409C26" w:rsidR="000E7E21" w:rsidRPr="000E7E21" w:rsidRDefault="000E7E21" w:rsidP="000E7E21">
      <w:pPr>
        <w:rPr>
          <w:lang w:val="en-US"/>
        </w:rPr>
      </w:pPr>
      <w:r>
        <w:rPr>
          <w:noProof/>
          <w:lang w:eastAsia="bg-BG"/>
        </w:rPr>
        <w:drawing>
          <wp:inline distT="0" distB="0" distL="0" distR="0" wp14:anchorId="6FB34FFE" wp14:editId="5109EB98">
            <wp:extent cx="3858163" cy="18766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jghghhghghg.png"/>
                    <pic:cNvPicPr/>
                  </pic:nvPicPr>
                  <pic:blipFill>
                    <a:blip r:embed="rId6">
                      <a:extLst>
                        <a:ext uri="{28A0092B-C50C-407E-A947-70E740481C1C}">
                          <a14:useLocalDpi xmlns:a14="http://schemas.microsoft.com/office/drawing/2010/main" val="0"/>
                        </a:ext>
                      </a:extLst>
                    </a:blip>
                    <a:stretch>
                      <a:fillRect/>
                    </a:stretch>
                  </pic:blipFill>
                  <pic:spPr>
                    <a:xfrm>
                      <a:off x="0" y="0"/>
                      <a:ext cx="3858163" cy="1876687"/>
                    </a:xfrm>
                    <a:prstGeom prst="rect">
                      <a:avLst/>
                    </a:prstGeom>
                  </pic:spPr>
                </pic:pic>
              </a:graphicData>
            </a:graphic>
          </wp:inline>
        </w:drawing>
      </w:r>
    </w:p>
    <w:p w14:paraId="4EE1BB0B" w14:textId="049FF439" w:rsidR="0091385D" w:rsidRDefault="0091385D" w:rsidP="0091385D"/>
    <w:p w14:paraId="56232F8E" w14:textId="77777777" w:rsidR="000E7E21" w:rsidRPr="000E7E21" w:rsidRDefault="000E7E21" w:rsidP="000E7E21">
      <w:pPr>
        <w:spacing w:line="240" w:lineRule="auto"/>
        <w:rPr>
          <w:rFonts w:eastAsia="Times New Roman" w:cs="Arial"/>
          <w:lang w:eastAsia="bg-BG"/>
        </w:rPr>
      </w:pPr>
      <w:r w:rsidRPr="000E7E21">
        <w:rPr>
          <w:rFonts w:eastAsia="Times New Roman" w:cs="Arial"/>
          <w:b/>
          <w:bCs/>
          <w:color w:val="000000"/>
          <w:lang w:eastAsia="bg-BG"/>
        </w:rPr>
        <w:t xml:space="preserve">Фигура 1: </w:t>
      </w:r>
      <w:r w:rsidRPr="000E7E21">
        <w:rPr>
          <w:rFonts w:eastAsia="Times New Roman" w:cs="Arial"/>
          <w:color w:val="000000"/>
          <w:lang w:eastAsia="bg-BG"/>
        </w:rPr>
        <w:t xml:space="preserve">Пример на профила плазмена концентрация/време на леводопа за обща дневна доза от 800 </w:t>
      </w:r>
      <w:r w:rsidRPr="000E7E21">
        <w:rPr>
          <w:rFonts w:eastAsia="Times New Roman" w:cs="Arial"/>
          <w:color w:val="000000"/>
          <w:lang w:val="en-US"/>
        </w:rPr>
        <w:t xml:space="preserve">mg </w:t>
      </w:r>
      <w:r w:rsidRPr="000E7E21">
        <w:rPr>
          <w:rFonts w:eastAsia="Times New Roman" w:cs="Arial"/>
          <w:color w:val="000000"/>
          <w:lang w:eastAsia="bg-BG"/>
        </w:rPr>
        <w:t xml:space="preserve">леводопа със сутрешна доза (176 </w:t>
      </w:r>
      <w:r w:rsidRPr="000E7E21">
        <w:rPr>
          <w:rFonts w:eastAsia="Times New Roman" w:cs="Arial"/>
          <w:color w:val="000000"/>
          <w:lang w:val="en-US"/>
        </w:rPr>
        <w:t xml:space="preserve">mg) </w:t>
      </w:r>
      <w:r w:rsidRPr="000E7E21">
        <w:rPr>
          <w:rFonts w:eastAsia="Times New Roman" w:cs="Arial"/>
          <w:color w:val="000000"/>
          <w:lang w:eastAsia="bg-BG"/>
        </w:rPr>
        <w:t xml:space="preserve">и продължителна поддържаща доза (45 </w:t>
      </w:r>
      <w:r w:rsidRPr="000E7E21">
        <w:rPr>
          <w:rFonts w:eastAsia="Times New Roman" w:cs="Arial"/>
          <w:color w:val="000000"/>
          <w:lang w:val="en-US"/>
        </w:rPr>
        <w:t xml:space="preserve">mg/h) </w:t>
      </w:r>
      <w:r w:rsidRPr="000E7E21">
        <w:rPr>
          <w:rFonts w:eastAsia="Times New Roman" w:cs="Arial"/>
          <w:color w:val="000000"/>
          <w:lang w:eastAsia="bg-BG"/>
        </w:rPr>
        <w:t>през деня (Симулация от популационен ФК модел).</w:t>
      </w:r>
    </w:p>
    <w:p w14:paraId="0ED48503" w14:textId="77777777" w:rsidR="000E7E21" w:rsidRPr="000E7E21" w:rsidRDefault="000E7E21" w:rsidP="000E7E21">
      <w:pPr>
        <w:spacing w:line="240" w:lineRule="auto"/>
        <w:rPr>
          <w:rFonts w:eastAsia="Times New Roman" w:cs="Arial"/>
          <w:color w:val="000000"/>
          <w:u w:val="single"/>
          <w:lang w:eastAsia="bg-BG"/>
        </w:rPr>
      </w:pPr>
    </w:p>
    <w:p w14:paraId="1EE45000" w14:textId="1457FEBE" w:rsidR="000E7E21" w:rsidRPr="000E7E21" w:rsidRDefault="000E7E21" w:rsidP="000E7E21">
      <w:pPr>
        <w:pStyle w:val="Heading3"/>
        <w:rPr>
          <w:rFonts w:eastAsia="Times New Roman"/>
          <w:u w:val="single"/>
          <w:lang w:eastAsia="bg-BG"/>
        </w:rPr>
      </w:pPr>
      <w:r w:rsidRPr="000E7E21">
        <w:rPr>
          <w:rFonts w:eastAsia="Times New Roman"/>
          <w:u w:val="single"/>
          <w:lang w:eastAsia="bg-BG"/>
        </w:rPr>
        <w:t>Разпределение</w:t>
      </w:r>
    </w:p>
    <w:p w14:paraId="37DDDBAE" w14:textId="77777777"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 xml:space="preserve">Обемът на разпределение за леводопа (0,36 - 1,6 </w:t>
      </w:r>
      <w:r w:rsidRPr="000E7E21">
        <w:rPr>
          <w:rFonts w:eastAsia="Times New Roman" w:cs="Arial"/>
          <w:color w:val="000000"/>
          <w:lang w:val="en-US"/>
        </w:rPr>
        <w:t xml:space="preserve">l/kg) </w:t>
      </w:r>
      <w:r w:rsidRPr="000E7E21">
        <w:rPr>
          <w:rFonts w:eastAsia="Times New Roman" w:cs="Arial"/>
          <w:color w:val="000000"/>
          <w:lang w:eastAsia="bg-BG"/>
        </w:rPr>
        <w:t xml:space="preserve">и ентакапон (0,27 </w:t>
      </w:r>
      <w:r w:rsidRPr="000E7E21">
        <w:rPr>
          <w:rFonts w:eastAsia="Times New Roman" w:cs="Arial"/>
          <w:color w:val="000000"/>
          <w:lang w:val="en-US"/>
        </w:rPr>
        <w:t xml:space="preserve">l/kg) </w:t>
      </w:r>
      <w:r w:rsidRPr="000E7E21">
        <w:rPr>
          <w:rFonts w:eastAsia="Times New Roman" w:cs="Arial"/>
          <w:color w:val="000000"/>
          <w:lang w:eastAsia="bg-BG"/>
        </w:rPr>
        <w:t>в стабилно състояние е относително малък, докато данните за карбидопа не са налични.</w:t>
      </w:r>
    </w:p>
    <w:p w14:paraId="269B1E5F" w14:textId="77777777" w:rsidR="000E7E21" w:rsidRPr="000E7E21" w:rsidRDefault="000E7E21" w:rsidP="000E7E21">
      <w:pPr>
        <w:spacing w:line="240" w:lineRule="auto"/>
        <w:rPr>
          <w:rFonts w:eastAsia="Times New Roman" w:cs="Arial"/>
          <w:color w:val="000000"/>
          <w:lang w:eastAsia="bg-BG"/>
        </w:rPr>
      </w:pPr>
    </w:p>
    <w:p w14:paraId="55416738" w14:textId="09FF6A3B"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Леводопа се свързва с плазмените протеини в незначителна степен (приблизително 10-30%), а карбидопа се свързва с приблизително 36%, докато ентакапон е силно свързан (приблизително 98%) - главно със серумния албумин. При терапевтични концентрации ентакапон не интерферира с други активни вещества, с голямо свързване с протеините (напр. варфарин, салицилова киселина, фенилбутазон или диазепам), нито е съществено нарушен от някое от тези лекарства при терапевтични или по-високи концентрации.</w:t>
      </w:r>
    </w:p>
    <w:p w14:paraId="5A3DEA72" w14:textId="77777777" w:rsidR="000E7E21" w:rsidRPr="000E7E21" w:rsidRDefault="000E7E21" w:rsidP="000E7E21">
      <w:pPr>
        <w:spacing w:line="240" w:lineRule="auto"/>
        <w:rPr>
          <w:rFonts w:eastAsia="Times New Roman" w:cs="Arial"/>
          <w:color w:val="000000"/>
          <w:u w:val="single"/>
          <w:lang w:eastAsia="bg-BG"/>
        </w:rPr>
      </w:pPr>
    </w:p>
    <w:p w14:paraId="4921B459" w14:textId="60DEB11F" w:rsidR="000E7E21" w:rsidRPr="000E7E21" w:rsidRDefault="000E7E21" w:rsidP="000E7E21">
      <w:pPr>
        <w:pStyle w:val="Heading3"/>
        <w:rPr>
          <w:rFonts w:eastAsia="Times New Roman"/>
          <w:u w:val="single"/>
          <w:lang w:eastAsia="bg-BG"/>
        </w:rPr>
      </w:pPr>
      <w:r w:rsidRPr="000E7E21">
        <w:rPr>
          <w:rFonts w:eastAsia="Times New Roman"/>
          <w:u w:val="single"/>
          <w:lang w:eastAsia="bg-BG"/>
        </w:rPr>
        <w:t>Биотрансформация и елиминиране</w:t>
      </w:r>
    </w:p>
    <w:p w14:paraId="2D108E7A" w14:textId="77777777"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 xml:space="preserve">Леводопа се метаболизира напълно до различни метаболити: декарбоксилиране с допадекарбоксилаза </w:t>
      </w:r>
      <w:r w:rsidRPr="000E7E21">
        <w:rPr>
          <w:rFonts w:eastAsia="Times New Roman" w:cs="Arial"/>
          <w:color w:val="000000"/>
          <w:lang w:val="en-US"/>
        </w:rPr>
        <w:t xml:space="preserve">(DDC) </w:t>
      </w:r>
      <w:r w:rsidRPr="000E7E21">
        <w:rPr>
          <w:rFonts w:eastAsia="Times New Roman" w:cs="Arial"/>
          <w:color w:val="000000"/>
          <w:lang w:eastAsia="bg-BG"/>
        </w:rPr>
        <w:t xml:space="preserve">и О-метилиране с катехол-О-метил трансфераза </w:t>
      </w:r>
      <w:r w:rsidRPr="000E7E21">
        <w:rPr>
          <w:rFonts w:eastAsia="Times New Roman" w:cs="Arial"/>
          <w:color w:val="000000"/>
          <w:lang w:val="en-US"/>
        </w:rPr>
        <w:t xml:space="preserve"> </w:t>
      </w:r>
      <w:r w:rsidRPr="000E7E21">
        <w:rPr>
          <w:rFonts w:eastAsia="Times New Roman" w:cs="Arial"/>
          <w:color w:val="000000"/>
          <w:lang w:eastAsia="bg-BG"/>
        </w:rPr>
        <w:t>(СОМТ)</w:t>
      </w:r>
      <w:r w:rsidRPr="000E7E21">
        <w:rPr>
          <w:rFonts w:eastAsia="Times New Roman" w:cs="Arial"/>
          <w:color w:val="000000"/>
          <w:lang w:val="en-US"/>
        </w:rPr>
        <w:t xml:space="preserve"> </w:t>
      </w:r>
      <w:r w:rsidRPr="000E7E21">
        <w:rPr>
          <w:rFonts w:eastAsia="Times New Roman" w:cs="Arial"/>
          <w:color w:val="000000"/>
          <w:lang w:eastAsia="bg-BG"/>
        </w:rPr>
        <w:t>са</w:t>
      </w:r>
      <w:r w:rsidRPr="000E7E21">
        <w:rPr>
          <w:rFonts w:eastAsia="Times New Roman" w:cs="Arial"/>
          <w:color w:val="000000"/>
          <w:lang w:val="en-US"/>
        </w:rPr>
        <w:t xml:space="preserve"> </w:t>
      </w:r>
      <w:r w:rsidRPr="000E7E21">
        <w:rPr>
          <w:rFonts w:eastAsia="Times New Roman" w:cs="Arial"/>
          <w:color w:val="000000"/>
          <w:lang w:eastAsia="bg-BG"/>
        </w:rPr>
        <w:t>двата главни метаболитни пътя.</w:t>
      </w:r>
    </w:p>
    <w:p w14:paraId="2B071557" w14:textId="77777777" w:rsidR="000E7E21" w:rsidRPr="000E7E21" w:rsidRDefault="000E7E21" w:rsidP="000E7E21">
      <w:pPr>
        <w:spacing w:line="240" w:lineRule="auto"/>
        <w:rPr>
          <w:rFonts w:eastAsia="Times New Roman" w:cs="Arial"/>
          <w:color w:val="000000"/>
          <w:lang w:eastAsia="bg-BG"/>
        </w:rPr>
      </w:pPr>
    </w:p>
    <w:p w14:paraId="0768E58F" w14:textId="47D2018E"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Карбидопа се метаболизира до два главни метаболита, които основно се елиминират в урината като глюкурониди или неконюгирани съединения. Непроменената карбидопа е около 30%</w:t>
      </w:r>
      <w:r w:rsidRPr="000E7E21">
        <w:rPr>
          <w:rFonts w:eastAsia="Times New Roman" w:cs="Arial"/>
          <w:color w:val="000000"/>
          <w:lang w:val="en-US"/>
        </w:rPr>
        <w:t xml:space="preserve"> </w:t>
      </w:r>
      <w:r>
        <w:rPr>
          <w:rFonts w:eastAsia="Times New Roman" w:cs="Arial"/>
          <w:color w:val="000000"/>
          <w:lang w:eastAsia="bg-BG"/>
        </w:rPr>
        <w:t xml:space="preserve">от </w:t>
      </w:r>
      <w:r w:rsidRPr="000E7E21">
        <w:rPr>
          <w:rFonts w:eastAsia="Times New Roman" w:cs="Arial"/>
          <w:color w:val="000000"/>
          <w:lang w:eastAsia="bg-BG"/>
        </w:rPr>
        <w:t>общата уринна екскреция.</w:t>
      </w:r>
    </w:p>
    <w:p w14:paraId="249C73DC" w14:textId="4D922DC6" w:rsidR="000E7E21" w:rsidRPr="000E7E21" w:rsidRDefault="000E7E21" w:rsidP="0091385D">
      <w:pPr>
        <w:rPr>
          <w:rFonts w:cs="Arial"/>
        </w:rPr>
      </w:pPr>
    </w:p>
    <w:p w14:paraId="55DFAEA1" w14:textId="633B8E05" w:rsidR="000E7E21" w:rsidRPr="000E7E21" w:rsidRDefault="000E7E21" w:rsidP="000E7E21">
      <w:pPr>
        <w:spacing w:line="240" w:lineRule="auto"/>
        <w:rPr>
          <w:rFonts w:eastAsia="Times New Roman" w:cs="Arial"/>
          <w:color w:val="000000"/>
          <w:lang w:eastAsia="bg-BG"/>
        </w:rPr>
      </w:pPr>
      <w:r w:rsidRPr="000E7E21">
        <w:rPr>
          <w:rFonts w:eastAsia="Times New Roman" w:cs="Arial"/>
          <w:color w:val="000000"/>
          <w:lang w:eastAsia="bg-BG"/>
        </w:rPr>
        <w:t>Ентакапон почти напълно се метаболизира, а метаболитите се екскретират чрез урината (10- 20%) и жлъчката/изпражненията (80—90%). Основният метаболитен път е глюкуронидация на ентакапон и неговият активен метаболит, цис-изомер. Цис-изомерът формира приблизително 5% от общото количество в плазмата.</w:t>
      </w:r>
    </w:p>
    <w:p w14:paraId="47F1EB5E" w14:textId="77777777" w:rsidR="000E7E21" w:rsidRPr="000E7E21" w:rsidRDefault="000E7E21" w:rsidP="000E7E21">
      <w:pPr>
        <w:spacing w:line="240" w:lineRule="auto"/>
        <w:rPr>
          <w:rFonts w:eastAsia="Times New Roman" w:cs="Arial"/>
          <w:color w:val="000000"/>
          <w:lang w:eastAsia="bg-BG"/>
        </w:rPr>
      </w:pPr>
    </w:p>
    <w:p w14:paraId="013B4CF4" w14:textId="7EC43353"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 xml:space="preserve">Общият клирънс е в рамките на диапазона 0,55-1.38 </w:t>
      </w:r>
      <w:r w:rsidRPr="000E7E21">
        <w:rPr>
          <w:rFonts w:eastAsia="Times New Roman" w:cs="Arial"/>
          <w:color w:val="000000"/>
          <w:lang w:val="en-US"/>
        </w:rPr>
        <w:t>l/kg</w:t>
      </w:r>
      <w:r w:rsidRPr="000E7E21">
        <w:rPr>
          <w:rFonts w:eastAsia="Times New Roman" w:cs="Arial"/>
          <w:color w:val="000000"/>
          <w:lang w:eastAsia="bg-BG"/>
        </w:rPr>
        <w:t xml:space="preserve">/час за леводопа и приблизително 0,70 </w:t>
      </w:r>
      <w:r w:rsidRPr="000E7E21">
        <w:rPr>
          <w:rFonts w:eastAsia="Times New Roman" w:cs="Arial"/>
          <w:color w:val="000000"/>
          <w:lang w:val="en-US"/>
        </w:rPr>
        <w:t>l/kg</w:t>
      </w:r>
      <w:r w:rsidRPr="000E7E21">
        <w:rPr>
          <w:rFonts w:eastAsia="Times New Roman" w:cs="Arial"/>
          <w:color w:val="000000"/>
          <w:lang w:eastAsia="bg-BG"/>
        </w:rPr>
        <w:t>/час за ентакапон. Полуживотът е 0,6-1,3 часа за леводопа, 2-3 часа за карбидопа и 0,4-0,7 часа за ентакапон, когато се дават поотделно. Средният очакван полуживот за леводопа по време на лечението с Лесигон бе 2,0 часа.</w:t>
      </w:r>
    </w:p>
    <w:p w14:paraId="5E53A3B0" w14:textId="77777777" w:rsidR="000E7E21" w:rsidRPr="000E7E21" w:rsidRDefault="000E7E21" w:rsidP="000E7E21">
      <w:pPr>
        <w:spacing w:line="240" w:lineRule="auto"/>
        <w:rPr>
          <w:rFonts w:eastAsia="Times New Roman" w:cs="Arial"/>
          <w:color w:val="000000"/>
          <w:lang w:eastAsia="bg-BG"/>
        </w:rPr>
      </w:pPr>
    </w:p>
    <w:p w14:paraId="5B03E6C9" w14:textId="26DF4480"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 xml:space="preserve">Данните от </w:t>
      </w:r>
      <w:r w:rsidRPr="000E7E21">
        <w:rPr>
          <w:rFonts w:eastAsia="Times New Roman" w:cs="Arial"/>
          <w:color w:val="000000"/>
          <w:lang w:val="en-US"/>
        </w:rPr>
        <w:t xml:space="preserve">in vitro </w:t>
      </w:r>
      <w:r w:rsidRPr="000E7E21">
        <w:rPr>
          <w:rFonts w:eastAsia="Times New Roman" w:cs="Arial"/>
          <w:color w:val="000000"/>
          <w:lang w:eastAsia="bg-BG"/>
        </w:rPr>
        <w:t xml:space="preserve">проучвания с човешки чернодробни микрозомни препарати показват, че ентакапон инхибира цитохром Р450 2С9 </w:t>
      </w:r>
      <w:r w:rsidRPr="000E7E21">
        <w:rPr>
          <w:rFonts w:eastAsia="Times New Roman" w:cs="Arial"/>
          <w:color w:val="000000"/>
          <w:lang w:val="en-US"/>
        </w:rPr>
        <w:t xml:space="preserve">(IC50 </w:t>
      </w:r>
      <w:r w:rsidRPr="000E7E21">
        <w:rPr>
          <w:rFonts w:eastAsia="Times New Roman" w:cs="Arial"/>
          <w:color w:val="000000"/>
          <w:lang w:eastAsia="bg-BG"/>
        </w:rPr>
        <w:t xml:space="preserve">~ 4 μМ). Ентакапон показва малко или никакво инхибиране на другите типове изоензими Р450 </w:t>
      </w:r>
      <w:r w:rsidRPr="000E7E21">
        <w:rPr>
          <w:rFonts w:eastAsia="Times New Roman" w:cs="Arial"/>
          <w:color w:val="000000"/>
          <w:lang w:val="en-US"/>
        </w:rPr>
        <w:t>(CYP1</w:t>
      </w:r>
      <w:r w:rsidRPr="000E7E21">
        <w:rPr>
          <w:rFonts w:eastAsia="Times New Roman" w:cs="Arial"/>
          <w:color w:val="000000"/>
          <w:lang w:eastAsia="bg-BG"/>
        </w:rPr>
        <w:t xml:space="preserve">А2, </w:t>
      </w:r>
      <w:r w:rsidRPr="000E7E21">
        <w:rPr>
          <w:rFonts w:eastAsia="Times New Roman" w:cs="Arial"/>
          <w:color w:val="000000"/>
          <w:lang w:val="en-US"/>
        </w:rPr>
        <w:t xml:space="preserve">CYP2A6, CYP2D6, CYP2E1, CYP3A </w:t>
      </w:r>
      <w:r w:rsidRPr="000E7E21">
        <w:rPr>
          <w:rFonts w:eastAsia="Times New Roman" w:cs="Arial"/>
          <w:color w:val="000000"/>
          <w:lang w:eastAsia="bg-BG"/>
        </w:rPr>
        <w:t xml:space="preserve">и </w:t>
      </w:r>
      <w:r w:rsidRPr="000E7E21">
        <w:rPr>
          <w:rFonts w:eastAsia="Times New Roman" w:cs="Arial"/>
          <w:color w:val="000000"/>
          <w:lang w:val="en-US"/>
        </w:rPr>
        <w:t>CYP2C19).</w:t>
      </w:r>
    </w:p>
    <w:p w14:paraId="36B894CD" w14:textId="77777777" w:rsidR="000E7E21" w:rsidRPr="000E7E21" w:rsidRDefault="000E7E21" w:rsidP="000E7E21">
      <w:pPr>
        <w:spacing w:line="240" w:lineRule="auto"/>
        <w:rPr>
          <w:rFonts w:eastAsia="Times New Roman" w:cs="Arial"/>
          <w:color w:val="000000"/>
          <w:u w:val="single"/>
          <w:lang w:eastAsia="bg-BG"/>
        </w:rPr>
      </w:pPr>
    </w:p>
    <w:p w14:paraId="3FB98510" w14:textId="0F0E6801" w:rsidR="000E7E21" w:rsidRPr="000E7E21" w:rsidRDefault="000E7E21" w:rsidP="000E7E21">
      <w:pPr>
        <w:spacing w:line="240" w:lineRule="auto"/>
        <w:rPr>
          <w:rFonts w:eastAsia="Times New Roman" w:cs="Arial"/>
          <w:lang w:eastAsia="bg-BG"/>
        </w:rPr>
      </w:pPr>
      <w:r w:rsidRPr="000E7E21">
        <w:rPr>
          <w:rFonts w:eastAsia="Times New Roman" w:cs="Arial"/>
          <w:color w:val="000000"/>
          <w:u w:val="single"/>
          <w:lang w:eastAsia="bg-BG"/>
        </w:rPr>
        <w:t>Специални популации</w:t>
      </w:r>
    </w:p>
    <w:p w14:paraId="2C994590" w14:textId="77777777" w:rsidR="000E7E21" w:rsidRPr="000E7E21" w:rsidRDefault="000E7E21" w:rsidP="000E7E21">
      <w:pPr>
        <w:spacing w:line="240" w:lineRule="auto"/>
        <w:rPr>
          <w:rFonts w:eastAsia="Times New Roman" w:cs="Arial"/>
          <w:i/>
          <w:iCs/>
          <w:color w:val="000000"/>
          <w:lang w:eastAsia="bg-BG"/>
        </w:rPr>
      </w:pPr>
    </w:p>
    <w:p w14:paraId="4B328629" w14:textId="3436925A" w:rsidR="000E7E21" w:rsidRPr="000E7E21" w:rsidRDefault="000E7E21" w:rsidP="000E7E21">
      <w:pPr>
        <w:spacing w:line="240" w:lineRule="auto"/>
        <w:rPr>
          <w:rFonts w:eastAsia="Times New Roman" w:cs="Arial"/>
          <w:lang w:eastAsia="bg-BG"/>
        </w:rPr>
      </w:pPr>
      <w:r w:rsidRPr="000E7E21">
        <w:rPr>
          <w:rFonts w:eastAsia="Times New Roman" w:cs="Arial"/>
          <w:i/>
          <w:iCs/>
          <w:color w:val="000000"/>
          <w:lang w:eastAsia="bg-BG"/>
        </w:rPr>
        <w:t>Старческа възраст</w:t>
      </w:r>
    </w:p>
    <w:p w14:paraId="6C51BA71" w14:textId="77777777"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 xml:space="preserve">Когато леводопа се прилага без карбидопа и ентакапон, абсорбцията на леводопа е по-висока, а елиминирането по-бавно при хората в старческа възраст, отколкото при по-младите пациенти. Въпреки това, след прилагането на леводопа в комбинация с карбидопа, абсорбцията на леводопа е сходна между хората в старческа възраст и по-младите пациенти, но </w:t>
      </w:r>
      <w:r w:rsidRPr="000E7E21">
        <w:rPr>
          <w:rFonts w:eastAsia="Times New Roman" w:cs="Arial"/>
          <w:color w:val="000000"/>
          <w:lang w:val="en-US"/>
        </w:rPr>
        <w:t xml:space="preserve">AUC </w:t>
      </w:r>
      <w:r w:rsidRPr="000E7E21">
        <w:rPr>
          <w:rFonts w:eastAsia="Times New Roman" w:cs="Arial"/>
          <w:color w:val="000000"/>
          <w:lang w:eastAsia="bg-BG"/>
        </w:rPr>
        <w:t xml:space="preserve">все още е 1,5 пъти по-висока при хората в старческа възраст поради свързано с възрастта понижение в активността и клирънса на </w:t>
      </w:r>
      <w:r w:rsidRPr="000E7E21">
        <w:rPr>
          <w:rFonts w:eastAsia="Times New Roman" w:cs="Arial"/>
          <w:color w:val="000000"/>
          <w:lang w:val="en-US"/>
        </w:rPr>
        <w:t xml:space="preserve">DDC. </w:t>
      </w:r>
      <w:r w:rsidRPr="000E7E21">
        <w:rPr>
          <w:rFonts w:eastAsia="Times New Roman" w:cs="Arial"/>
          <w:color w:val="000000"/>
          <w:lang w:eastAsia="bg-BG"/>
        </w:rPr>
        <w:t xml:space="preserve">Няма </w:t>
      </w:r>
      <w:r w:rsidRPr="000E7E21">
        <w:rPr>
          <w:rFonts w:eastAsia="Times New Roman" w:cs="Arial"/>
          <w:color w:val="000000"/>
          <w:lang w:eastAsia="bg-BG"/>
        </w:rPr>
        <w:lastRenderedPageBreak/>
        <w:t xml:space="preserve">съществени разлики в </w:t>
      </w:r>
      <w:r w:rsidRPr="000E7E21">
        <w:rPr>
          <w:rFonts w:eastAsia="Times New Roman" w:cs="Arial"/>
          <w:color w:val="000000"/>
          <w:lang w:val="en-US"/>
        </w:rPr>
        <w:t xml:space="preserve">AUC </w:t>
      </w:r>
      <w:r w:rsidRPr="000E7E21">
        <w:rPr>
          <w:rFonts w:eastAsia="Times New Roman" w:cs="Arial"/>
          <w:color w:val="000000"/>
          <w:lang w:eastAsia="bg-BG"/>
        </w:rPr>
        <w:t>за карбидопа или ентакапон между по-младите (45-64 години) и по-възрастните (65-75 години) пациенти.</w:t>
      </w:r>
    </w:p>
    <w:p w14:paraId="7CE69031" w14:textId="77777777" w:rsidR="000E7E21" w:rsidRPr="000E7E21" w:rsidRDefault="000E7E21" w:rsidP="000E7E21">
      <w:pPr>
        <w:spacing w:line="240" w:lineRule="auto"/>
        <w:rPr>
          <w:rFonts w:eastAsia="Times New Roman" w:cs="Arial"/>
          <w:i/>
          <w:iCs/>
          <w:color w:val="000000"/>
          <w:lang w:eastAsia="bg-BG"/>
        </w:rPr>
      </w:pPr>
    </w:p>
    <w:p w14:paraId="166A824E" w14:textId="2545AC0F" w:rsidR="000E7E21" w:rsidRPr="000E7E21" w:rsidRDefault="000E7E21" w:rsidP="000E7E21">
      <w:pPr>
        <w:spacing w:line="240" w:lineRule="auto"/>
        <w:rPr>
          <w:rFonts w:eastAsia="Times New Roman" w:cs="Arial"/>
          <w:lang w:eastAsia="bg-BG"/>
        </w:rPr>
      </w:pPr>
      <w:r w:rsidRPr="000E7E21">
        <w:rPr>
          <w:rFonts w:eastAsia="Times New Roman" w:cs="Arial"/>
          <w:i/>
          <w:iCs/>
          <w:color w:val="000000"/>
          <w:lang w:eastAsia="bg-BG"/>
        </w:rPr>
        <w:t>Пол</w:t>
      </w:r>
    </w:p>
    <w:p w14:paraId="0F15AA8E" w14:textId="77777777"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Биологичната наличност на леводопа е значително по-висока при жените, отколкото при мъжете, дори при наличието на ентакапон. Тази разлика се дължи основно на разликата в телесното тегло. Няма разлика между половете по отношение на биологичната наличност на карбидопа или ентакапон.</w:t>
      </w:r>
    </w:p>
    <w:p w14:paraId="62CB1DDE" w14:textId="77777777" w:rsidR="000E7E21" w:rsidRPr="000E7E21" w:rsidRDefault="000E7E21" w:rsidP="000E7E21">
      <w:pPr>
        <w:spacing w:line="240" w:lineRule="auto"/>
        <w:rPr>
          <w:rFonts w:eastAsia="Times New Roman" w:cs="Arial"/>
          <w:i/>
          <w:iCs/>
          <w:color w:val="000000"/>
          <w:lang w:eastAsia="bg-BG"/>
        </w:rPr>
      </w:pPr>
    </w:p>
    <w:p w14:paraId="4D3CB040" w14:textId="52D22465" w:rsidR="000E7E21" w:rsidRPr="000E7E21" w:rsidRDefault="000E7E21" w:rsidP="000E7E21">
      <w:pPr>
        <w:spacing w:line="240" w:lineRule="auto"/>
        <w:rPr>
          <w:rFonts w:eastAsia="Times New Roman" w:cs="Arial"/>
          <w:lang w:eastAsia="bg-BG"/>
        </w:rPr>
      </w:pPr>
      <w:r w:rsidRPr="000E7E21">
        <w:rPr>
          <w:rFonts w:eastAsia="Times New Roman" w:cs="Arial"/>
          <w:i/>
          <w:iCs/>
          <w:color w:val="000000"/>
          <w:lang w:eastAsia="bg-BG"/>
        </w:rPr>
        <w:t>Чернодробно увреждане</w:t>
      </w:r>
    </w:p>
    <w:p w14:paraId="2C42569A" w14:textId="77777777"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 xml:space="preserve">Метаболизмът на ентакапон е забавен при пациенти с леко до умерено чернодробно увреждане (Клас А и Б по </w:t>
      </w:r>
      <w:r w:rsidRPr="000E7E21">
        <w:rPr>
          <w:rFonts w:eastAsia="Times New Roman" w:cs="Arial"/>
          <w:color w:val="000000"/>
          <w:lang w:val="en-US"/>
        </w:rPr>
        <w:t xml:space="preserve">Child-Pugh), </w:t>
      </w:r>
      <w:r w:rsidRPr="000E7E21">
        <w:rPr>
          <w:rFonts w:eastAsia="Times New Roman" w:cs="Arial"/>
          <w:color w:val="000000"/>
          <w:lang w:eastAsia="bg-BG"/>
        </w:rPr>
        <w:t>водейки до повишена плазмена концентрация на ентакапон при фазите на абсорбция и на елиминиране (вижте точки 4.2, 4.3 и 4.4). Няма специфични фармакокинетични проучваниня на леводопа и карбидопа при пациенти с чернодробно увреждане. Все пак се препоръчва Лесигон да се прилага внимателно при пациенти с леко до умерено чернодробно увреждане. Лесигон не трябва да се използва при пациенти с тежко чернодробно увреждане - вижте точка 4.3.</w:t>
      </w:r>
    </w:p>
    <w:p w14:paraId="2E000BD1" w14:textId="77777777" w:rsidR="000E7E21" w:rsidRPr="000E7E21" w:rsidRDefault="000E7E21" w:rsidP="000E7E21">
      <w:pPr>
        <w:spacing w:line="240" w:lineRule="auto"/>
        <w:rPr>
          <w:rFonts w:eastAsia="Times New Roman" w:cs="Arial"/>
          <w:i/>
          <w:iCs/>
          <w:color w:val="000000"/>
          <w:lang w:eastAsia="bg-BG"/>
        </w:rPr>
      </w:pPr>
    </w:p>
    <w:p w14:paraId="08011323" w14:textId="5B8C3CA9" w:rsidR="000E7E21" w:rsidRPr="000E7E21" w:rsidRDefault="000E7E21" w:rsidP="000E7E21">
      <w:pPr>
        <w:spacing w:line="240" w:lineRule="auto"/>
        <w:rPr>
          <w:rFonts w:eastAsia="Times New Roman" w:cs="Arial"/>
          <w:lang w:eastAsia="bg-BG"/>
        </w:rPr>
      </w:pPr>
      <w:r w:rsidRPr="000E7E21">
        <w:rPr>
          <w:rFonts w:eastAsia="Times New Roman" w:cs="Arial"/>
          <w:i/>
          <w:iCs/>
          <w:color w:val="000000"/>
          <w:lang w:eastAsia="bg-BG"/>
        </w:rPr>
        <w:t>Бъбречно увреждане</w:t>
      </w:r>
    </w:p>
    <w:p w14:paraId="7BF2D8FF" w14:textId="2C47DA3E" w:rsidR="000E7E21" w:rsidRPr="000E7E21" w:rsidRDefault="000E7E21" w:rsidP="000E7E21">
      <w:pPr>
        <w:rPr>
          <w:rFonts w:cs="Arial"/>
        </w:rPr>
      </w:pPr>
      <w:r w:rsidRPr="000E7E21">
        <w:rPr>
          <w:rFonts w:eastAsia="Times New Roman" w:cs="Arial"/>
          <w:color w:val="000000"/>
          <w:lang w:eastAsia="bg-BG"/>
        </w:rPr>
        <w:t>Бъбречното увреждане не засяга фармакокинетиката на ентакапон. Няма специфични фармакокинетични проучваниня на леводопа и карбидопа при пациенти с бъбречно увреждане. Затова се препоръчва титрирането на дозата да се направи внимателно при пациенти с тежко бъбречно увреждане, включително тези, приемащи лечение с диализа (вижте точка 4.2).</w:t>
      </w:r>
    </w:p>
    <w:p w14:paraId="58CA0D0B" w14:textId="77777777" w:rsidR="000E7E21" w:rsidRPr="0091385D" w:rsidRDefault="000E7E21"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2B2E7C57" w14:textId="77777777"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Конвенционалните проучвания на леводопа, карбидопа и ентакапон, изследвани самостоятелно или в комбинация, по отношение на фармакологията за безопасност, общата токсичност, генотоксичност и канцерогенност не показват особен риск за хората.</w:t>
      </w:r>
    </w:p>
    <w:p w14:paraId="4622A7CB" w14:textId="77777777" w:rsidR="000E7E21" w:rsidRPr="000E7E21" w:rsidRDefault="000E7E21" w:rsidP="000E7E21">
      <w:pPr>
        <w:spacing w:line="240" w:lineRule="auto"/>
        <w:rPr>
          <w:rFonts w:eastAsia="Times New Roman" w:cs="Arial"/>
          <w:color w:val="000000"/>
          <w:lang w:eastAsia="bg-BG"/>
        </w:rPr>
      </w:pPr>
    </w:p>
    <w:p w14:paraId="65B4AF45" w14:textId="77777777" w:rsidR="000E7E21" w:rsidRPr="000E7E21" w:rsidRDefault="000E7E21" w:rsidP="000E7E21">
      <w:pPr>
        <w:rPr>
          <w:rFonts w:eastAsia="Times New Roman" w:cs="Arial"/>
          <w:lang w:eastAsia="bg-BG"/>
        </w:rPr>
      </w:pPr>
      <w:r w:rsidRPr="000E7E21">
        <w:rPr>
          <w:rFonts w:eastAsia="Times New Roman" w:cs="Arial"/>
          <w:color w:val="000000"/>
          <w:lang w:eastAsia="bg-BG"/>
        </w:rPr>
        <w:t xml:space="preserve">При проучвания на общата токсичност с многократни дози ентакапон се счита, че анемията вероятно се дължи на способността на ентакапон да образува хелат с желязото. По отношение </w:t>
      </w:r>
      <w:r w:rsidRPr="000E7E21">
        <w:rPr>
          <w:rFonts w:eastAsia="Times New Roman" w:cs="Arial"/>
          <w:lang w:val="en-US" w:eastAsia="bg-BG"/>
        </w:rPr>
        <w:t xml:space="preserve"> </w:t>
      </w:r>
      <w:r w:rsidRPr="000E7E21">
        <w:rPr>
          <w:rFonts w:eastAsia="Times New Roman" w:cs="Arial"/>
          <w:color w:val="000000"/>
          <w:lang w:eastAsia="bg-BG"/>
        </w:rPr>
        <w:t>на репродуктивната токсичност на ентакапон, намалено фетално тегло и леко забавено</w:t>
      </w:r>
      <w:r w:rsidRPr="000E7E21">
        <w:rPr>
          <w:rFonts w:eastAsia="Times New Roman" w:cs="Arial"/>
          <w:color w:val="000000"/>
          <w:lang w:val="en-US" w:eastAsia="bg-BG"/>
        </w:rPr>
        <w:t xml:space="preserve"> </w:t>
      </w:r>
      <w:r w:rsidRPr="000E7E21">
        <w:rPr>
          <w:rFonts w:eastAsia="Times New Roman" w:cs="Arial"/>
          <w:color w:val="000000"/>
          <w:lang w:eastAsia="bg-BG"/>
        </w:rPr>
        <w:t>скелетно развитие са наблюдавани при зайци при системни нива на експозицията в рамките на терапевтичния диапазон.</w:t>
      </w:r>
    </w:p>
    <w:p w14:paraId="5C19D751" w14:textId="77777777" w:rsidR="000E7E21" w:rsidRPr="000E7E21" w:rsidRDefault="000E7E21" w:rsidP="000E7E21">
      <w:pPr>
        <w:spacing w:line="240" w:lineRule="auto"/>
        <w:rPr>
          <w:rFonts w:eastAsia="Times New Roman" w:cs="Arial"/>
          <w:color w:val="000000"/>
          <w:lang w:eastAsia="bg-BG"/>
        </w:rPr>
      </w:pPr>
    </w:p>
    <w:p w14:paraId="5FB4DE94" w14:textId="7B67E71A" w:rsidR="000E7E21" w:rsidRPr="000E7E21" w:rsidRDefault="000E7E21" w:rsidP="000E7E21">
      <w:pPr>
        <w:spacing w:line="240" w:lineRule="auto"/>
        <w:rPr>
          <w:rFonts w:eastAsia="Times New Roman" w:cs="Arial"/>
          <w:lang w:eastAsia="bg-BG"/>
        </w:rPr>
      </w:pPr>
      <w:r w:rsidRPr="000E7E21">
        <w:rPr>
          <w:rFonts w:eastAsia="Times New Roman" w:cs="Arial"/>
          <w:color w:val="000000"/>
          <w:lang w:eastAsia="bg-BG"/>
        </w:rPr>
        <w:t>Както леводопа, така и комбинациите на карбидопа и леводопа предизвикват висцерални и скелетни малформации при зайци.</w:t>
      </w:r>
    </w:p>
    <w:p w14:paraId="7578BD7A" w14:textId="77777777" w:rsidR="000E7E21" w:rsidRPr="000E7E21" w:rsidRDefault="000E7E21" w:rsidP="000E7E21">
      <w:pPr>
        <w:spacing w:line="240" w:lineRule="auto"/>
        <w:rPr>
          <w:rFonts w:eastAsia="Times New Roman" w:cs="Arial"/>
          <w:color w:val="000000"/>
          <w:lang w:eastAsia="bg-BG"/>
        </w:rPr>
      </w:pPr>
    </w:p>
    <w:p w14:paraId="13A7B62A" w14:textId="66661677" w:rsidR="007A2185" w:rsidRPr="000E7E21" w:rsidRDefault="000E7E21" w:rsidP="000E7E21">
      <w:pPr>
        <w:spacing w:line="240" w:lineRule="auto"/>
        <w:rPr>
          <w:rFonts w:eastAsia="Times New Roman" w:cs="Arial"/>
          <w:lang w:val="en-US" w:eastAsia="bg-BG"/>
        </w:rPr>
      </w:pPr>
      <w:r w:rsidRPr="000E7E21">
        <w:rPr>
          <w:rFonts w:eastAsia="Times New Roman" w:cs="Arial"/>
          <w:color w:val="000000"/>
          <w:lang w:eastAsia="bg-BG"/>
        </w:rPr>
        <w:t>Хидразин е продукт от разграждането на карбидопа. В изследвания при животни хидразин показва забележма системна токсичност, особено при инхалаторна експозиция. В тези проучвания се съобщава, че хидразин е хепатотоксичен, има токсичност за ЦНС (въпреки че не е описана след перорално приложение) и е генотоксичен, както и канцерогенен (вижте също точка 4.4).</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3000118F" w14:textId="77777777" w:rsidR="00716A4A" w:rsidRPr="00716A4A" w:rsidRDefault="00716A4A" w:rsidP="00716A4A">
      <w:pPr>
        <w:spacing w:line="240" w:lineRule="auto"/>
        <w:rPr>
          <w:rFonts w:eastAsia="Times New Roman" w:cs="Arial"/>
          <w:sz w:val="28"/>
          <w:szCs w:val="24"/>
          <w:lang w:val="en-US" w:eastAsia="bg-BG"/>
        </w:rPr>
      </w:pPr>
      <w:proofErr w:type="spellStart"/>
      <w:r w:rsidRPr="00716A4A">
        <w:rPr>
          <w:rFonts w:eastAsia="Times New Roman" w:cs="Arial"/>
          <w:color w:val="000000"/>
          <w:szCs w:val="20"/>
          <w:lang w:val="en-US"/>
        </w:rPr>
        <w:lastRenderedPageBreak/>
        <w:t>LobSor</w:t>
      </w:r>
      <w:proofErr w:type="spellEnd"/>
      <w:r w:rsidRPr="00716A4A">
        <w:rPr>
          <w:rFonts w:eastAsia="Times New Roman" w:cs="Arial"/>
          <w:color w:val="000000"/>
          <w:szCs w:val="20"/>
          <w:lang w:val="en-US"/>
        </w:rPr>
        <w:t xml:space="preserve"> Pharmaceuticals AB</w:t>
      </w:r>
    </w:p>
    <w:p w14:paraId="0DAE5ADE" w14:textId="77777777" w:rsidR="00716A4A" w:rsidRPr="00716A4A" w:rsidRDefault="00716A4A" w:rsidP="00716A4A">
      <w:pPr>
        <w:spacing w:line="240" w:lineRule="auto"/>
        <w:rPr>
          <w:rFonts w:eastAsia="Times New Roman" w:cs="Arial"/>
          <w:sz w:val="28"/>
          <w:szCs w:val="24"/>
          <w:lang w:val="en-US" w:eastAsia="bg-BG"/>
        </w:rPr>
      </w:pPr>
      <w:r w:rsidRPr="00716A4A">
        <w:rPr>
          <w:rFonts w:eastAsia="Times New Roman" w:cs="Arial"/>
          <w:color w:val="000000"/>
          <w:szCs w:val="20"/>
          <w:lang w:eastAsia="bg-BG"/>
        </w:rPr>
        <w:t>Kålsängsgränd</w:t>
      </w:r>
      <w:r w:rsidRPr="00716A4A">
        <w:rPr>
          <w:rFonts w:eastAsia="Times New Roman" w:cs="Arial"/>
          <w:color w:val="000000"/>
          <w:szCs w:val="20"/>
          <w:lang w:val="en-US"/>
        </w:rPr>
        <w:t xml:space="preserve"> 10 D</w:t>
      </w:r>
    </w:p>
    <w:p w14:paraId="4F02909F" w14:textId="74E0A7CC" w:rsidR="007A2185" w:rsidRPr="00716A4A" w:rsidRDefault="00716A4A" w:rsidP="00716A4A">
      <w:pPr>
        <w:rPr>
          <w:rFonts w:cs="Arial"/>
          <w:sz w:val="24"/>
        </w:rPr>
      </w:pPr>
      <w:r w:rsidRPr="00716A4A">
        <w:rPr>
          <w:rFonts w:eastAsia="Times New Roman" w:cs="Arial"/>
          <w:color w:val="000000"/>
          <w:szCs w:val="20"/>
          <w:lang w:val="en-US"/>
        </w:rPr>
        <w:t xml:space="preserve">SE-753 19 Uppsala, </w:t>
      </w:r>
      <w:r w:rsidRPr="00716A4A">
        <w:rPr>
          <w:rFonts w:eastAsia="Times New Roman" w:cs="Arial"/>
          <w:color w:val="000000"/>
          <w:szCs w:val="20"/>
          <w:lang w:eastAsia="bg-BG"/>
        </w:rPr>
        <w:t>Швеция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7D9457C3" w:rsidR="007A2185" w:rsidRPr="00716A4A" w:rsidRDefault="00716A4A" w:rsidP="0091385D">
      <w:pPr>
        <w:rPr>
          <w:rFonts w:cs="Arial"/>
          <w:sz w:val="24"/>
        </w:rPr>
      </w:pPr>
      <w:r w:rsidRPr="00716A4A">
        <w:rPr>
          <w:rFonts w:cs="Arial"/>
          <w:szCs w:val="20"/>
        </w:rPr>
        <w:t>Регистрационен номер: 20210234</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7D7ECEE2" w14:textId="77777777" w:rsidR="00716A4A" w:rsidRPr="00716A4A" w:rsidRDefault="00716A4A" w:rsidP="00716A4A">
      <w:pPr>
        <w:spacing w:line="240" w:lineRule="auto"/>
        <w:rPr>
          <w:rFonts w:eastAsia="Times New Roman" w:cs="Arial"/>
          <w:sz w:val="28"/>
          <w:szCs w:val="24"/>
          <w:lang w:eastAsia="bg-BG"/>
        </w:rPr>
      </w:pPr>
      <w:r w:rsidRPr="00716A4A">
        <w:rPr>
          <w:rFonts w:eastAsia="Times New Roman" w:cs="Arial"/>
          <w:color w:val="000000"/>
          <w:szCs w:val="20"/>
          <w:lang w:eastAsia="bg-BG"/>
        </w:rPr>
        <w:t>Дата на първо разрешаване: 06.08.2021</w:t>
      </w:r>
    </w:p>
    <w:p w14:paraId="6C57D8B6" w14:textId="04D3B428" w:rsidR="007A2185" w:rsidRPr="00716A4A" w:rsidRDefault="00716A4A" w:rsidP="00716A4A">
      <w:pPr>
        <w:rPr>
          <w:rFonts w:cs="Arial"/>
          <w:sz w:val="24"/>
        </w:rPr>
      </w:pPr>
      <w:r w:rsidRPr="00716A4A">
        <w:rPr>
          <w:rFonts w:eastAsia="Times New Roman" w:cs="Arial"/>
          <w:color w:val="000000"/>
          <w:szCs w:val="20"/>
          <w:lang w:eastAsia="bg-BG"/>
        </w:rPr>
        <w:t>Дата на последно подновяване:</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630B9E4B" w:rsidR="007A2185" w:rsidRPr="00716A4A" w:rsidRDefault="00716A4A" w:rsidP="0091385D">
      <w:pPr>
        <w:rPr>
          <w:rFonts w:cs="Arial"/>
          <w:sz w:val="24"/>
        </w:rPr>
      </w:pPr>
      <w:r w:rsidRPr="00716A4A">
        <w:rPr>
          <w:rFonts w:cs="Arial"/>
          <w:szCs w:val="20"/>
        </w:rPr>
        <w:t>12/2022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911C55"/>
    <w:multiLevelType w:val="hybridMultilevel"/>
    <w:tmpl w:val="04E2A034"/>
    <w:lvl w:ilvl="0" w:tplc="63A08724">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5C917CC"/>
    <w:multiLevelType w:val="hybridMultilevel"/>
    <w:tmpl w:val="2902BF42"/>
    <w:lvl w:ilvl="0" w:tplc="C2C23DD6">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3F2C2C71"/>
    <w:multiLevelType w:val="hybridMultilevel"/>
    <w:tmpl w:val="C61A763C"/>
    <w:lvl w:ilvl="0" w:tplc="C2C23DD6">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D023D"/>
    <w:multiLevelType w:val="hybridMultilevel"/>
    <w:tmpl w:val="125801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4"/>
  </w:num>
  <w:num w:numId="4">
    <w:abstractNumId w:val="3"/>
  </w:num>
  <w:num w:numId="5">
    <w:abstractNumId w:val="1"/>
  </w:num>
  <w:num w:numId="6">
    <w:abstractNumId w:val="19"/>
  </w:num>
  <w:num w:numId="7">
    <w:abstractNumId w:val="12"/>
  </w:num>
  <w:num w:numId="8">
    <w:abstractNumId w:val="17"/>
  </w:num>
  <w:num w:numId="9">
    <w:abstractNumId w:val="2"/>
  </w:num>
  <w:num w:numId="10">
    <w:abstractNumId w:val="5"/>
  </w:num>
  <w:num w:numId="11">
    <w:abstractNumId w:val="34"/>
  </w:num>
  <w:num w:numId="12">
    <w:abstractNumId w:val="16"/>
  </w:num>
  <w:num w:numId="13">
    <w:abstractNumId w:val="22"/>
  </w:num>
  <w:num w:numId="14">
    <w:abstractNumId w:val="13"/>
  </w:num>
  <w:num w:numId="15">
    <w:abstractNumId w:val="33"/>
  </w:num>
  <w:num w:numId="16">
    <w:abstractNumId w:val="11"/>
  </w:num>
  <w:num w:numId="17">
    <w:abstractNumId w:val="28"/>
  </w:num>
  <w:num w:numId="18">
    <w:abstractNumId w:val="9"/>
  </w:num>
  <w:num w:numId="19">
    <w:abstractNumId w:val="30"/>
  </w:num>
  <w:num w:numId="20">
    <w:abstractNumId w:val="26"/>
  </w:num>
  <w:num w:numId="21">
    <w:abstractNumId w:val="20"/>
  </w:num>
  <w:num w:numId="22">
    <w:abstractNumId w:val="29"/>
  </w:num>
  <w:num w:numId="23">
    <w:abstractNumId w:val="21"/>
  </w:num>
  <w:num w:numId="24">
    <w:abstractNumId w:val="10"/>
  </w:num>
  <w:num w:numId="25">
    <w:abstractNumId w:val="25"/>
  </w:num>
  <w:num w:numId="26">
    <w:abstractNumId w:val="24"/>
  </w:num>
  <w:num w:numId="27">
    <w:abstractNumId w:val="35"/>
  </w:num>
  <w:num w:numId="28">
    <w:abstractNumId w:val="8"/>
  </w:num>
  <w:num w:numId="29">
    <w:abstractNumId w:val="23"/>
  </w:num>
  <w:num w:numId="30">
    <w:abstractNumId w:val="38"/>
  </w:num>
  <w:num w:numId="31">
    <w:abstractNumId w:val="7"/>
  </w:num>
  <w:num w:numId="32">
    <w:abstractNumId w:val="37"/>
  </w:num>
  <w:num w:numId="33">
    <w:abstractNumId w:val="32"/>
  </w:num>
  <w:num w:numId="34">
    <w:abstractNumId w:val="36"/>
  </w:num>
  <w:num w:numId="35">
    <w:abstractNumId w:val="15"/>
  </w:num>
  <w:num w:numId="36">
    <w:abstractNumId w:val="4"/>
  </w:num>
  <w:num w:numId="37">
    <w:abstractNumId w:val="18"/>
  </w:num>
  <w:num w:numId="38">
    <w:abstractNumId w:val="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A654C"/>
    <w:rsid w:val="000E7E21"/>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16A4A"/>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7443</Words>
  <Characters>42431</Characters>
  <Application>Microsoft Office Word</Application>
  <DocSecurity>0</DocSecurity>
  <Lines>353</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2023-03-30T13:42:00Z</dcterms:created>
  <dcterms:modified xsi:type="dcterms:W3CDTF">2023-03-30T13:42:00Z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