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44072497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Легалон 140 </w:t>
      </w:r>
      <w:r w:rsidRPr="006127A4">
        <w:rPr>
          <w:rFonts w:eastAsia="Times New Roman" w:cs="Arial"/>
          <w:b/>
          <w:bCs/>
          <w:color w:val="000000"/>
          <w:szCs w:val="20"/>
          <w:lang w:val="en-US"/>
        </w:rPr>
        <w:t xml:space="preserve">mg </w:t>
      </w: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>твърди капсули</w:t>
      </w:r>
    </w:p>
    <w:p w14:paraId="69AC8148" w14:textId="61139151" w:rsidR="00EC41ED" w:rsidRPr="006127A4" w:rsidRDefault="006127A4" w:rsidP="006127A4">
      <w:pPr>
        <w:rPr>
          <w:rFonts w:cs="Arial"/>
          <w:sz w:val="24"/>
        </w:rPr>
      </w:pPr>
      <w:proofErr w:type="spellStart"/>
      <w:r w:rsidRPr="006127A4">
        <w:rPr>
          <w:rFonts w:eastAsia="Times New Roman" w:cs="Arial"/>
          <w:b/>
          <w:bCs/>
          <w:color w:val="000000"/>
          <w:szCs w:val="20"/>
          <w:lang w:val="en-US"/>
        </w:rPr>
        <w:t>Legalon</w:t>
      </w:r>
      <w:proofErr w:type="spellEnd"/>
      <w:r w:rsidRPr="006127A4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140 </w:t>
      </w:r>
      <w:r w:rsidRPr="006127A4">
        <w:rPr>
          <w:rFonts w:eastAsia="Times New Roman" w:cs="Arial"/>
          <w:b/>
          <w:bCs/>
          <w:color w:val="000000"/>
          <w:szCs w:val="20"/>
          <w:lang w:val="en-US"/>
        </w:rPr>
        <w:t>mg capsules hard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3D516660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Всяка 1 капсула съдържа:</w:t>
      </w:r>
    </w:p>
    <w:p w14:paraId="76D14458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 xml:space="preserve">173,0 - 186,7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сух рафиниран и стандартизиран екстракт от бял трън ( 36-44:1 </w:t>
      </w:r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(</w:t>
      </w:r>
      <w:proofErr w:type="spellStart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Silybvm</w:t>
      </w:r>
      <w:proofErr w:type="spellEnd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 xml:space="preserve"> </w:t>
      </w:r>
      <w:proofErr w:type="spellStart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marianum</w:t>
      </w:r>
      <w:proofErr w:type="spellEnd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 xml:space="preserve"> (L)</w:t>
      </w:r>
      <w:proofErr w:type="spellStart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Gaertner</w:t>
      </w:r>
      <w:proofErr w:type="spellEnd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 xml:space="preserve">, </w:t>
      </w:r>
      <w:proofErr w:type="spellStart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fructus</w:t>
      </w:r>
      <w:proofErr w:type="spellEnd"/>
      <w:r w:rsidRPr="006127A4">
        <w:rPr>
          <w:rFonts w:eastAsia="Times New Roman" w:cs="Arial"/>
          <w:i/>
          <w:iCs/>
          <w:color w:val="000000"/>
          <w:szCs w:val="20"/>
          <w:lang w:val="en-US"/>
        </w:rPr>
        <w:t>),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еквивалентен на 108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силимарин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(HPLC),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еквивалентен на 140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силимарин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(DNPH), </w:t>
      </w:r>
      <w:r w:rsidRPr="006127A4">
        <w:rPr>
          <w:rFonts w:eastAsia="Times New Roman" w:cs="Arial"/>
          <w:color w:val="000000"/>
          <w:szCs w:val="20"/>
          <w:lang w:eastAsia="bg-BG"/>
        </w:rPr>
        <w:t>изразен като силибинин. (Екстрагент- етилацетат )</w:t>
      </w:r>
    </w:p>
    <w:p w14:paraId="54632B43" w14:textId="5537CB25" w:rsidR="00EC41ED" w:rsidRPr="006127A4" w:rsidRDefault="006127A4" w:rsidP="006127A4">
      <w:pPr>
        <w:rPr>
          <w:rFonts w:cs="Arial"/>
          <w:sz w:val="24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За списъка на помощните вещества вж.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194EDE49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Твърда капсула.</w:t>
      </w:r>
    </w:p>
    <w:p w14:paraId="743244F0" w14:textId="01B25C95" w:rsidR="00EC41ED" w:rsidRDefault="006127A4" w:rsidP="006127A4">
      <w:r w:rsidRPr="006127A4">
        <w:rPr>
          <w:rFonts w:eastAsia="Times New Roman" w:cs="Arial"/>
          <w:color w:val="000000"/>
          <w:szCs w:val="20"/>
          <w:lang w:eastAsia="bg-BG"/>
        </w:rPr>
        <w:t>Твърди кафяви цилиндрични желатинови капсули с хомогенен кафеникаво-жълт прах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1559EC5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За поддържащо лечение на хронични възпалителни чернодробни заболявания или чернодробна цироза при чернодробно увреждане, причинено от екзогенни токсини или метаболитни нарушения.</w:t>
      </w:r>
    </w:p>
    <w:p w14:paraId="6DFA4B9D" w14:textId="4CB89FF1" w:rsidR="0091385D" w:rsidRPr="006127A4" w:rsidRDefault="006127A4" w:rsidP="006127A4">
      <w:pPr>
        <w:rPr>
          <w:rFonts w:cs="Arial"/>
          <w:sz w:val="24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Този лекарствен продукт не е подходящ за лечение на остри отравяния.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16B4DE2A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 xml:space="preserve">При възрастни и деца над 12 години: Освен ако не е предписано друго по 1 капсула 3 пъти дневно, отговаряща на 324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mg (HPLC) </w:t>
      </w:r>
      <w:r w:rsidRPr="006127A4">
        <w:rPr>
          <w:rFonts w:eastAsia="Times New Roman" w:cs="Arial"/>
          <w:color w:val="000000"/>
          <w:szCs w:val="20"/>
          <w:lang w:eastAsia="bg-BG"/>
        </w:rPr>
        <w:t xml:space="preserve">или 420 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mg (DNPH) </w:t>
      </w:r>
      <w:r w:rsidRPr="006127A4">
        <w:rPr>
          <w:rFonts w:eastAsia="Times New Roman" w:cs="Arial"/>
          <w:color w:val="000000"/>
          <w:szCs w:val="20"/>
          <w:lang w:eastAsia="bg-BG"/>
        </w:rPr>
        <w:t>силимарин дневно.</w:t>
      </w:r>
    </w:p>
    <w:p w14:paraId="46496D20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3BBABC7" w14:textId="58621841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Педиатрична популация:</w:t>
      </w:r>
    </w:p>
    <w:p w14:paraId="41B9C5D0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Безопасността и ефикасността на Легалон капсули не е установена при деца. Няма налични данни.</w:t>
      </w:r>
    </w:p>
    <w:p w14:paraId="45845FA8" w14:textId="77777777" w:rsidR="006127A4" w:rsidRPr="006127A4" w:rsidRDefault="006127A4" w:rsidP="006127A4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EE69235" w14:textId="09EC339A" w:rsidR="006127A4" w:rsidRPr="006127A4" w:rsidRDefault="006127A4" w:rsidP="006127A4">
      <w:pPr>
        <w:pStyle w:val="Heading3"/>
        <w:rPr>
          <w:rFonts w:eastAsia="Times New Roman"/>
          <w:sz w:val="28"/>
          <w:u w:val="single"/>
          <w:lang w:eastAsia="bg-BG"/>
        </w:rPr>
      </w:pPr>
      <w:r w:rsidRPr="006127A4">
        <w:rPr>
          <w:rFonts w:eastAsia="Times New Roman"/>
          <w:u w:val="single"/>
          <w:lang w:eastAsia="bg-BG"/>
        </w:rPr>
        <w:t>Начин на приемане</w:t>
      </w:r>
    </w:p>
    <w:p w14:paraId="3E83C655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Капсулите трябва да се гълтат цели, иесдъвкани, с достатъчно количество течност.</w:t>
      </w:r>
      <w:bookmarkStart w:id="1" w:name="_GoBack"/>
      <w:bookmarkEnd w:id="1"/>
    </w:p>
    <w:p w14:paraId="7FBF1BCE" w14:textId="605C84DE" w:rsidR="00EC41ED" w:rsidRPr="006127A4" w:rsidRDefault="006127A4" w:rsidP="006127A4">
      <w:pPr>
        <w:rPr>
          <w:rFonts w:cs="Arial"/>
          <w:sz w:val="24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Продължителността на лечение се решава от лекар.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1572A55B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В листовката пациентите се информират за следното:</w:t>
      </w:r>
    </w:p>
    <w:p w14:paraId="030B6A4D" w14:textId="6A3E60EF" w:rsidR="00EC41ED" w:rsidRPr="006127A4" w:rsidRDefault="006127A4" w:rsidP="006127A4">
      <w:pPr>
        <w:rPr>
          <w:rFonts w:cs="Arial"/>
          <w:sz w:val="24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Легалон 140 не трябва да се прилага в случай на свръхчувствителност към плодовете на белия трън, други растения от семейство Сложноцветни или към някое от помощните вещества. Вижте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4DBB8394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u w:val="single"/>
          <w:lang w:eastAsia="bg-BG"/>
        </w:rPr>
        <w:t>В листовката пациентите се информират за следното:</w:t>
      </w:r>
    </w:p>
    <w:p w14:paraId="2DB3B2B0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Лечението с този продукт не служи като заместител на въздържанието в случай на чернодробно увреждане (напр. от алкохол).</w:t>
      </w:r>
    </w:p>
    <w:p w14:paraId="61DACF52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При проявена жълтеница (светло- до тъмножълто оцветяване на кожата, пожълтяване на очите)</w:t>
      </w:r>
      <w:r w:rsidRPr="006127A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6127A4">
        <w:rPr>
          <w:rFonts w:eastAsia="Times New Roman" w:cs="Arial"/>
          <w:color w:val="000000"/>
          <w:szCs w:val="20"/>
          <w:lang w:eastAsia="bg-BG"/>
        </w:rPr>
        <w:t>трябва да се консултирате с лекар.</w:t>
      </w:r>
    </w:p>
    <w:p w14:paraId="0E28BBDE" w14:textId="003D62F9" w:rsidR="007A2185" w:rsidRPr="006127A4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За приложението при деца няма достатъчно данни. Поради това Легалон 140 не трябва да се прилага при деца под 12 години!</w:t>
      </w:r>
    </w:p>
    <w:p w14:paraId="4E0A9F22" w14:textId="0887A96F" w:rsidR="006127A4" w:rsidRPr="006127A4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</w:p>
    <w:p w14:paraId="577BAD29" w14:textId="62350FFF" w:rsidR="006127A4" w:rsidRPr="006127A4" w:rsidRDefault="006127A4" w:rsidP="006127A4">
      <w:pPr>
        <w:rPr>
          <w:rFonts w:cs="Arial"/>
          <w:sz w:val="24"/>
        </w:rPr>
      </w:pPr>
      <w:r w:rsidRPr="006127A4">
        <w:rPr>
          <w:rFonts w:cs="Arial"/>
          <w:szCs w:val="20"/>
        </w:rPr>
        <w:t xml:space="preserve">Това лекарство съдържа по-малко от 1 </w:t>
      </w:r>
      <w:proofErr w:type="spellStart"/>
      <w:r w:rsidRPr="006127A4">
        <w:rPr>
          <w:rFonts w:cs="Arial"/>
          <w:szCs w:val="20"/>
          <w:lang w:val="en-US"/>
        </w:rPr>
        <w:t>mmol</w:t>
      </w:r>
      <w:proofErr w:type="spellEnd"/>
      <w:r w:rsidRPr="006127A4">
        <w:rPr>
          <w:rFonts w:cs="Arial"/>
          <w:szCs w:val="20"/>
          <w:lang w:val="en-US"/>
        </w:rPr>
        <w:t xml:space="preserve"> </w:t>
      </w:r>
      <w:r w:rsidRPr="006127A4">
        <w:rPr>
          <w:rFonts w:cs="Arial"/>
          <w:szCs w:val="20"/>
        </w:rPr>
        <w:t xml:space="preserve">натрий (23 </w:t>
      </w:r>
      <w:r w:rsidRPr="006127A4">
        <w:rPr>
          <w:rFonts w:cs="Arial"/>
          <w:szCs w:val="20"/>
          <w:lang w:val="en-US"/>
        </w:rPr>
        <w:t xml:space="preserve">mg) </w:t>
      </w:r>
      <w:r w:rsidRPr="006127A4">
        <w:rPr>
          <w:rFonts w:cs="Arial"/>
          <w:szCs w:val="20"/>
        </w:rPr>
        <w:t>на три капсули, т.е. може да се каже, че практически не съдържа натрий.</w:t>
      </w:r>
    </w:p>
    <w:p w14:paraId="58C748BB" w14:textId="703E04B3" w:rsidR="006127A4" w:rsidRPr="0091385D" w:rsidRDefault="006127A4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4C3C7573" w:rsidR="0091385D" w:rsidRPr="006127A4" w:rsidRDefault="006127A4" w:rsidP="0091385D">
      <w:pPr>
        <w:rPr>
          <w:rFonts w:cs="Arial"/>
          <w:sz w:val="24"/>
        </w:rPr>
      </w:pPr>
      <w:r w:rsidRPr="006127A4">
        <w:rPr>
          <w:rFonts w:cs="Arial"/>
          <w:szCs w:val="20"/>
        </w:rPr>
        <w:t>Не са известни.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236B9A97" w:rsidR="007A2185" w:rsidRPr="006127A4" w:rsidRDefault="006127A4" w:rsidP="0091385D">
      <w:pPr>
        <w:rPr>
          <w:rFonts w:cs="Arial"/>
          <w:sz w:val="24"/>
        </w:rPr>
      </w:pPr>
      <w:r w:rsidRPr="006127A4">
        <w:rPr>
          <w:rFonts w:cs="Arial"/>
          <w:szCs w:val="20"/>
        </w:rPr>
        <w:t xml:space="preserve">Проучванията при животни не показват преки или косвени вредни ефекти по отношение на репродуктивната токсичност (вж. точка 5.3). Като предпазна мярка се предпочита да не се прилага Легалон 140 </w:t>
      </w:r>
      <w:r w:rsidRPr="006127A4">
        <w:rPr>
          <w:rFonts w:cs="Arial"/>
          <w:szCs w:val="20"/>
          <w:lang w:val="en-US"/>
        </w:rPr>
        <w:t xml:space="preserve">mg </w:t>
      </w:r>
      <w:r w:rsidRPr="006127A4">
        <w:rPr>
          <w:rFonts w:cs="Arial"/>
          <w:szCs w:val="20"/>
        </w:rPr>
        <w:t>при бременни и кърмачки поради това, че няма достатъчно данни.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39CC3E04" w:rsidR="007A2185" w:rsidRPr="006127A4" w:rsidRDefault="006127A4" w:rsidP="0091385D">
      <w:pPr>
        <w:rPr>
          <w:rFonts w:cs="Arial"/>
          <w:sz w:val="24"/>
        </w:rPr>
      </w:pPr>
      <w:r w:rsidRPr="006127A4">
        <w:rPr>
          <w:rFonts w:cs="Arial"/>
          <w:szCs w:val="20"/>
        </w:rPr>
        <w:t>Нямат практическо значение.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3BF75E6A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За оценка на нежеланите лекарствени реакции се използва следната информация за честота:</w:t>
      </w:r>
    </w:p>
    <w:p w14:paraId="1BEDD4B6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Много чести: </w:t>
      </w:r>
      <w:r w:rsidRPr="006127A4">
        <w:rPr>
          <w:rFonts w:eastAsia="Times New Roman" w:cs="Arial"/>
          <w:color w:val="000000"/>
          <w:szCs w:val="20"/>
          <w:lang w:eastAsia="bg-BG"/>
        </w:rPr>
        <w:t>≥1/10 пациенти</w:t>
      </w:r>
    </w:p>
    <w:p w14:paraId="0E06198B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Чести: </w:t>
      </w:r>
      <w:r w:rsidRPr="006127A4">
        <w:rPr>
          <w:rFonts w:eastAsia="Times New Roman" w:cs="Arial"/>
          <w:color w:val="000000"/>
          <w:szCs w:val="20"/>
          <w:lang w:eastAsia="bg-BG"/>
        </w:rPr>
        <w:t>≥1/100 - &lt; 1/10 пациенти</w:t>
      </w:r>
    </w:p>
    <w:p w14:paraId="1B0EB1A8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Не чести: </w:t>
      </w:r>
      <w:r w:rsidRPr="006127A4">
        <w:rPr>
          <w:rFonts w:eastAsia="Times New Roman" w:cs="Arial"/>
          <w:color w:val="000000"/>
          <w:szCs w:val="20"/>
          <w:lang w:eastAsia="bg-BG"/>
        </w:rPr>
        <w:t>≥1/1000 - &lt; 1/100 пациенти</w:t>
      </w:r>
    </w:p>
    <w:p w14:paraId="1DC22A70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Редки: </w:t>
      </w:r>
      <w:r w:rsidRPr="006127A4">
        <w:rPr>
          <w:rFonts w:eastAsia="Times New Roman" w:cs="Arial"/>
          <w:color w:val="000000"/>
          <w:szCs w:val="20"/>
          <w:lang w:eastAsia="bg-BG"/>
        </w:rPr>
        <w:t>≥1/10 000 - &lt; 1/1000 пациенти</w:t>
      </w:r>
    </w:p>
    <w:p w14:paraId="3CE2CB34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b/>
          <w:bCs/>
          <w:color w:val="000000"/>
          <w:szCs w:val="20"/>
          <w:lang w:eastAsia="bg-BG"/>
        </w:rPr>
        <w:t xml:space="preserve">Много редки: &lt; </w:t>
      </w:r>
      <w:r w:rsidRPr="006127A4">
        <w:rPr>
          <w:rFonts w:eastAsia="Times New Roman" w:cs="Arial"/>
          <w:color w:val="000000"/>
          <w:szCs w:val="20"/>
          <w:lang w:eastAsia="bg-BG"/>
        </w:rPr>
        <w:t>1/10 000 пациенти, в това число и единични случаи</w:t>
      </w:r>
    </w:p>
    <w:p w14:paraId="1DA845B4" w14:textId="77777777" w:rsidR="006127A4" w:rsidRPr="006127A4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</w:p>
    <w:p w14:paraId="0254AACC" w14:textId="44665539" w:rsidR="007A2185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В редки случаи са наблюдавани стомашно-чревни смущения, като напр. леко слабително действие. Много рядко могат да настъпят реакции на свръхчувствителност, като обрив или задух.</w:t>
      </w:r>
    </w:p>
    <w:p w14:paraId="24E04579" w14:textId="4AD5FDA9" w:rsidR="006127A4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998"/>
        <w:gridCol w:w="1032"/>
        <w:gridCol w:w="1151"/>
        <w:gridCol w:w="1421"/>
        <w:gridCol w:w="1556"/>
        <w:gridCol w:w="1378"/>
      </w:tblGrid>
      <w:tr w:rsidR="006127A4" w14:paraId="31CAB417" w14:textId="77777777" w:rsidTr="006127A4">
        <w:tc>
          <w:tcPr>
            <w:tcW w:w="1335" w:type="dxa"/>
          </w:tcPr>
          <w:p w14:paraId="09C3D45D" w14:textId="77777777" w:rsidR="006127A4" w:rsidRPr="006127A4" w:rsidRDefault="006127A4" w:rsidP="006127A4">
            <w:r w:rsidRPr="006127A4">
              <w:rPr>
                <w:szCs w:val="20"/>
              </w:rPr>
              <w:t>Системо-</w:t>
            </w:r>
          </w:p>
          <w:p w14:paraId="6349A825" w14:textId="38B6AE61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органен клас</w:t>
            </w:r>
          </w:p>
        </w:tc>
        <w:tc>
          <w:tcPr>
            <w:tcW w:w="1335" w:type="dxa"/>
          </w:tcPr>
          <w:p w14:paraId="534C9ABA" w14:textId="77777777" w:rsidR="006127A4" w:rsidRPr="006127A4" w:rsidRDefault="006127A4" w:rsidP="006127A4">
            <w:r w:rsidRPr="006127A4">
              <w:rPr>
                <w:szCs w:val="20"/>
              </w:rPr>
              <w:t>Много чести</w:t>
            </w:r>
          </w:p>
          <w:p w14:paraId="1BC46F02" w14:textId="3CD8A318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≥1/10</w:t>
            </w:r>
          </w:p>
        </w:tc>
        <w:tc>
          <w:tcPr>
            <w:tcW w:w="1336" w:type="dxa"/>
          </w:tcPr>
          <w:p w14:paraId="5DF59B2C" w14:textId="77777777" w:rsidR="006127A4" w:rsidRPr="006127A4" w:rsidRDefault="006127A4" w:rsidP="006127A4">
            <w:r w:rsidRPr="006127A4">
              <w:rPr>
                <w:szCs w:val="20"/>
              </w:rPr>
              <w:t>Чести от &gt;1/100 до</w:t>
            </w:r>
          </w:p>
          <w:p w14:paraId="59E351DA" w14:textId="324EBD74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≤1/10</w:t>
            </w:r>
          </w:p>
        </w:tc>
        <w:tc>
          <w:tcPr>
            <w:tcW w:w="1336" w:type="dxa"/>
          </w:tcPr>
          <w:p w14:paraId="00C805E5" w14:textId="11C6D626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Нечести от ≥1/1000 до ≤1/100</w:t>
            </w:r>
          </w:p>
        </w:tc>
        <w:tc>
          <w:tcPr>
            <w:tcW w:w="1336" w:type="dxa"/>
          </w:tcPr>
          <w:p w14:paraId="1496D2AC" w14:textId="14121C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Редки от ≥1/10 000 до ≤1/1000</w:t>
            </w:r>
          </w:p>
        </w:tc>
        <w:tc>
          <w:tcPr>
            <w:tcW w:w="1336" w:type="dxa"/>
          </w:tcPr>
          <w:p w14:paraId="15DABE9A" w14:textId="77777777" w:rsidR="006127A4" w:rsidRPr="006127A4" w:rsidRDefault="006127A4" w:rsidP="006127A4">
            <w:r w:rsidRPr="006127A4">
              <w:rPr>
                <w:szCs w:val="20"/>
              </w:rPr>
              <w:t>Много редки</w:t>
            </w:r>
          </w:p>
          <w:p w14:paraId="791CD7F7" w14:textId="03CEC45C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≤1/10 000</w:t>
            </w:r>
          </w:p>
        </w:tc>
        <w:tc>
          <w:tcPr>
            <w:tcW w:w="1336" w:type="dxa"/>
          </w:tcPr>
          <w:p w14:paraId="62960F02" w14:textId="2E4FA98E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С неизвестна честота*</w:t>
            </w:r>
          </w:p>
        </w:tc>
      </w:tr>
      <w:tr w:rsidR="006127A4" w14:paraId="52E6750C" w14:textId="77777777" w:rsidTr="006127A4">
        <w:tc>
          <w:tcPr>
            <w:tcW w:w="1335" w:type="dxa"/>
          </w:tcPr>
          <w:p w14:paraId="486BB391" w14:textId="412885E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Нарушения на имунната система</w:t>
            </w:r>
          </w:p>
        </w:tc>
        <w:tc>
          <w:tcPr>
            <w:tcW w:w="1335" w:type="dxa"/>
          </w:tcPr>
          <w:p w14:paraId="66D49A04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5256B37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78ED5B4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DA92120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2C688E16" w14:textId="4AA5B62D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Алергични реакции (свръхчувств ителност)</w:t>
            </w:r>
          </w:p>
        </w:tc>
        <w:tc>
          <w:tcPr>
            <w:tcW w:w="1336" w:type="dxa"/>
          </w:tcPr>
          <w:p w14:paraId="421FA414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</w:tr>
      <w:tr w:rsidR="006127A4" w14:paraId="7D8AFDC5" w14:textId="77777777" w:rsidTr="006127A4">
        <w:tc>
          <w:tcPr>
            <w:tcW w:w="1335" w:type="dxa"/>
          </w:tcPr>
          <w:p w14:paraId="6E2528C5" w14:textId="524AAC38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Респираторни, гръдни и медиастинални нарушения</w:t>
            </w:r>
          </w:p>
        </w:tc>
        <w:tc>
          <w:tcPr>
            <w:tcW w:w="1335" w:type="dxa"/>
          </w:tcPr>
          <w:p w14:paraId="2299FE7C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8C4AAB3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7BD54BB9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40C6E8F9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29E48089" w14:textId="15BDD250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Задух</w:t>
            </w:r>
          </w:p>
        </w:tc>
        <w:tc>
          <w:tcPr>
            <w:tcW w:w="1336" w:type="dxa"/>
          </w:tcPr>
          <w:p w14:paraId="3E23C6B6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</w:tr>
      <w:tr w:rsidR="006127A4" w14:paraId="2339DF7C" w14:textId="77777777" w:rsidTr="006127A4">
        <w:tc>
          <w:tcPr>
            <w:tcW w:w="1335" w:type="dxa"/>
          </w:tcPr>
          <w:p w14:paraId="58365D9C" w14:textId="2E3A051B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Стомашно- чревни нарушения</w:t>
            </w:r>
          </w:p>
        </w:tc>
        <w:tc>
          <w:tcPr>
            <w:tcW w:w="1335" w:type="dxa"/>
          </w:tcPr>
          <w:p w14:paraId="38B20B01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215CFD55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76F62CD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572DF96F" w14:textId="02E29F93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Леко слабително действие</w:t>
            </w:r>
          </w:p>
        </w:tc>
        <w:tc>
          <w:tcPr>
            <w:tcW w:w="1336" w:type="dxa"/>
          </w:tcPr>
          <w:p w14:paraId="19C7028D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2B98BEE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</w:tr>
      <w:tr w:rsidR="006127A4" w14:paraId="2E4EC8B9" w14:textId="77777777" w:rsidTr="006127A4">
        <w:tc>
          <w:tcPr>
            <w:tcW w:w="1335" w:type="dxa"/>
          </w:tcPr>
          <w:p w14:paraId="7E3F7076" w14:textId="4B1077CF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Нарушения на кожата и подкожната тъкан</w:t>
            </w:r>
          </w:p>
        </w:tc>
        <w:tc>
          <w:tcPr>
            <w:tcW w:w="1335" w:type="dxa"/>
          </w:tcPr>
          <w:p w14:paraId="62CA5C98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84F2BA2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6049955B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01F3A40C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  <w:tc>
          <w:tcPr>
            <w:tcW w:w="1336" w:type="dxa"/>
          </w:tcPr>
          <w:p w14:paraId="7AE9079E" w14:textId="51D11CE3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  <w:r w:rsidRPr="006127A4">
              <w:rPr>
                <w:szCs w:val="20"/>
              </w:rPr>
              <w:t>Обрив</w:t>
            </w:r>
          </w:p>
        </w:tc>
        <w:tc>
          <w:tcPr>
            <w:tcW w:w="1336" w:type="dxa"/>
          </w:tcPr>
          <w:p w14:paraId="58D63F7F" w14:textId="77777777" w:rsidR="006127A4" w:rsidRPr="006127A4" w:rsidRDefault="006127A4" w:rsidP="006127A4">
            <w:pPr>
              <w:rPr>
                <w:rFonts w:eastAsia="Times New Roman" w:cs="Arial"/>
                <w:color w:val="000000"/>
                <w:szCs w:val="20"/>
                <w:lang w:eastAsia="bg-BG"/>
              </w:rPr>
            </w:pPr>
          </w:p>
        </w:tc>
      </w:tr>
    </w:tbl>
    <w:p w14:paraId="084792A1" w14:textId="759D71EE" w:rsidR="006127A4" w:rsidRDefault="006127A4" w:rsidP="006127A4">
      <w:pPr>
        <w:rPr>
          <w:rFonts w:eastAsia="Times New Roman" w:cs="Arial"/>
          <w:color w:val="000000"/>
          <w:szCs w:val="20"/>
          <w:lang w:eastAsia="bg-BG"/>
        </w:rPr>
      </w:pPr>
    </w:p>
    <w:p w14:paraId="58E9134C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u w:val="single"/>
          <w:lang w:eastAsia="bg-BG"/>
        </w:rPr>
        <w:t>Съобщаване на подозирани нежелани реакции</w:t>
      </w:r>
    </w:p>
    <w:p w14:paraId="009623A1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1AE182E0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Изпълнителна агенция по лекарствата</w:t>
      </w:r>
    </w:p>
    <w:p w14:paraId="5866855F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ул.,Дамян Груев” № 8</w:t>
      </w:r>
    </w:p>
    <w:p w14:paraId="7017631D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1303 София</w:t>
      </w:r>
    </w:p>
    <w:p w14:paraId="4C4250B6" w14:textId="77777777" w:rsidR="006127A4" w:rsidRPr="006127A4" w:rsidRDefault="006127A4" w:rsidP="006127A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>тел.: +359 2 8903417</w:t>
      </w:r>
    </w:p>
    <w:p w14:paraId="34E2D2C4" w14:textId="271F35A7" w:rsidR="006127A4" w:rsidRPr="006127A4" w:rsidRDefault="006127A4" w:rsidP="006127A4">
      <w:pPr>
        <w:rPr>
          <w:rFonts w:cs="Arial"/>
          <w:sz w:val="28"/>
        </w:rPr>
      </w:pPr>
      <w:r w:rsidRPr="006127A4">
        <w:rPr>
          <w:rFonts w:eastAsia="Times New Roman" w:cs="Arial"/>
          <w:color w:val="000000"/>
          <w:szCs w:val="20"/>
          <w:lang w:eastAsia="bg-BG"/>
        </w:rPr>
        <w:t xml:space="preserve">уебсайт: </w:t>
      </w:r>
      <w:r w:rsidRPr="006127A4">
        <w:rPr>
          <w:rFonts w:eastAsia="Times New Roman" w:cs="Arial"/>
          <w:color w:val="000000"/>
          <w:szCs w:val="20"/>
          <w:u w:val="single"/>
          <w:lang w:val="en-US"/>
        </w:rPr>
        <w:t>www.bda.bg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35F4E5C7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Белези и симптоми на отравяне досега не са наблюдавани. Нежеланите реакции, описани по-горе могат да бъдат засилени.</w:t>
      </w:r>
    </w:p>
    <w:p w14:paraId="6A43B8F3" w14:textId="0F1FCBD4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>Няма специфичен антидот. Препоръчват се симптоматични мерки ако е необходимо.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lastRenderedPageBreak/>
        <w:t>5.1. Фармакодинамични свойства</w:t>
      </w:r>
    </w:p>
    <w:p w14:paraId="58DD7DEA" w14:textId="73F11A6B" w:rsidR="0091385D" w:rsidRDefault="0091385D" w:rsidP="0091385D"/>
    <w:p w14:paraId="79980AF2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Фармакотерапевтична група: Лекарствени продукти за лечение на черен дроб.</w:t>
      </w:r>
    </w:p>
    <w:p w14:paraId="58E8E0DF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АТСкодА05ВА</w:t>
      </w:r>
    </w:p>
    <w:p w14:paraId="4B500C7C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07A7B2" w14:textId="66399D2F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Антитоксичното действие на силимарина е демонстрирано при опити с животни при многобройни модели на чернодробно увреждане, напр. с алкалоиди на зелената мухоморка </w:t>
      </w:r>
      <w:r w:rsidRPr="006127A4">
        <w:rPr>
          <w:rFonts w:eastAsia="Times New Roman" w:cs="Arial"/>
          <w:color w:val="000000"/>
          <w:lang w:val="en-US"/>
        </w:rPr>
        <w:t xml:space="preserve">(Amanita </w:t>
      </w:r>
      <w:proofErr w:type="spellStart"/>
      <w:r w:rsidRPr="006127A4">
        <w:rPr>
          <w:rFonts w:eastAsia="Times New Roman" w:cs="Arial"/>
          <w:color w:val="000000"/>
          <w:lang w:val="en-US"/>
        </w:rPr>
        <w:t>bulbosa</w:t>
      </w:r>
      <w:proofErr w:type="spellEnd"/>
      <w:r w:rsidRPr="006127A4">
        <w:rPr>
          <w:rFonts w:eastAsia="Times New Roman" w:cs="Arial"/>
          <w:color w:val="000000"/>
          <w:lang w:val="en-US"/>
        </w:rPr>
        <w:t xml:space="preserve">) </w:t>
      </w:r>
      <w:r w:rsidRPr="006127A4">
        <w:rPr>
          <w:rFonts w:eastAsia="Times New Roman" w:cs="Arial"/>
          <w:color w:val="000000"/>
          <w:lang w:eastAsia="bg-BG"/>
        </w:rPr>
        <w:t xml:space="preserve">- фалоидин и аманитин, с лантаниди, въглероден тетрахлорид, галактозамин, тиоацетамин и хепатотоксичния жабешки вирус </w:t>
      </w:r>
      <w:r w:rsidRPr="006127A4">
        <w:rPr>
          <w:rFonts w:eastAsia="Times New Roman" w:cs="Arial"/>
          <w:color w:val="000000"/>
          <w:lang w:val="en-US"/>
        </w:rPr>
        <w:t>FV3.</w:t>
      </w:r>
    </w:p>
    <w:p w14:paraId="52857DD8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B94BF4" w14:textId="1EC3A45E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Терапевтичното действие на силимарина може да се обясни с факта, че има няколко </w:t>
      </w:r>
      <w:r w:rsidRPr="006127A4">
        <w:rPr>
          <w:rFonts w:eastAsia="Times New Roman" w:cs="Arial"/>
          <w:strike/>
          <w:color w:val="000000"/>
          <w:lang w:eastAsia="bg-BG"/>
        </w:rPr>
        <w:t>м</w:t>
      </w:r>
      <w:r w:rsidRPr="006127A4">
        <w:rPr>
          <w:rFonts w:eastAsia="Times New Roman" w:cs="Arial"/>
          <w:color w:val="000000"/>
          <w:lang w:eastAsia="bg-BG"/>
        </w:rPr>
        <w:t>е</w:t>
      </w:r>
      <w:r w:rsidRPr="006127A4">
        <w:rPr>
          <w:rFonts w:eastAsia="Times New Roman" w:cs="Arial"/>
          <w:strike/>
          <w:color w:val="000000"/>
          <w:lang w:eastAsia="bg-BG"/>
        </w:rPr>
        <w:t xml:space="preserve">ста или </w:t>
      </w:r>
      <w:r w:rsidRPr="006127A4">
        <w:rPr>
          <w:rFonts w:eastAsia="Times New Roman" w:cs="Arial"/>
          <w:color w:val="000000"/>
          <w:lang w:eastAsia="bg-BG"/>
        </w:rPr>
        <w:t>механизма на действие:</w:t>
      </w:r>
    </w:p>
    <w:p w14:paraId="20A3A5E3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Силимарин притежава антипероксидантна активност. Патофизиологичният процес на пероксидация на липидите, който е причина за разкъсване на клетъчните мембрани, се прекъсва или предотвратява. Нещо повече - в чернодробните клетки, които са били вече увредени, силимарин стимулира синтезата на протеин и нормализира фосфолипидния метаболизъм. Цялостният резултат е, че клетъчните мембрани се стабилизират и загубата на разтворените в клетката съставки (напр. трансаминазите) от чернодробните клетки се ограничава или предотвратява.</w:t>
      </w:r>
    </w:p>
    <w:p w14:paraId="55D9C767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1FAB90" w14:textId="2BD99945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Силимаринът ограничава достъпа до клетките на някои хепатотоксични субстанции (токсичните вещества на отровните гъби).</w:t>
      </w:r>
    </w:p>
    <w:p w14:paraId="038F692B" w14:textId="770592B1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>Увеличаването на протеиновата синтеза от силимарин се дължи на стимулиране на активността на РНК-полимераза I, ензим, който се намира в ядрото. Това води до повишено образуване на рибозомна РНК и поради това се синтезират в по-голямо количество структурни и функционални протеини. Резултатът е нарастване на възстановителната способност и регенеративните сили на черния дроб.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592F00E4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Главната съставка на силимарин е силибинин. Клиничните изследвания показват, че след абсорбцията му в храносмилателния тракт, той се екскретира главно чрез жлъчката (&gt;80% от абсорбираното количество).</w:t>
      </w:r>
    </w:p>
    <w:p w14:paraId="1F9B93D9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4200B1" w14:textId="4E9AB196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Като метаболити в жлъчката са били открити глюкороноиди и сулфати. Предполага се, че силибининът се реабсорбира след деконюгация и попада в ентерохепаталния кръг, както е било демонстрирано при експериментални животни. Както би могло да се очаква от преобладаващото елиминиране чрез жлъчката (място на действие - черния дроб), кръвните нива са ниски и излъчването чрез бъбреците е слабо. Времето на полуабсорбция е 2.2 часа, а на полуелиминиране - 6.3 часа.</w:t>
      </w:r>
    </w:p>
    <w:p w14:paraId="153C8A84" w14:textId="77777777" w:rsidR="006127A4" w:rsidRPr="006127A4" w:rsidRDefault="006127A4" w:rsidP="006127A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218CA6" w14:textId="1242517B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Когато Легалон 140 </w:t>
      </w:r>
      <w:r w:rsidRPr="006127A4">
        <w:rPr>
          <w:rFonts w:eastAsia="Times New Roman" w:cs="Arial"/>
          <w:color w:val="000000"/>
          <w:lang w:val="en-US"/>
        </w:rPr>
        <w:t xml:space="preserve">mg </w:t>
      </w:r>
      <w:r w:rsidRPr="006127A4">
        <w:rPr>
          <w:rFonts w:eastAsia="Times New Roman" w:cs="Arial"/>
          <w:color w:val="000000"/>
          <w:lang w:eastAsia="bg-BG"/>
        </w:rPr>
        <w:t xml:space="preserve">капсули се прилага в терапевтични дози (140 </w:t>
      </w:r>
      <w:r w:rsidRPr="006127A4">
        <w:rPr>
          <w:rFonts w:eastAsia="Times New Roman" w:cs="Arial"/>
          <w:color w:val="000000"/>
          <w:lang w:val="en-US"/>
        </w:rPr>
        <w:t xml:space="preserve">mg </w:t>
      </w:r>
      <w:r w:rsidRPr="006127A4">
        <w:rPr>
          <w:rFonts w:eastAsia="Times New Roman" w:cs="Arial"/>
          <w:color w:val="000000"/>
          <w:lang w:eastAsia="bg-BG"/>
        </w:rPr>
        <w:t>силимарин 3 пъти дневно), нивата на силибинин, открити в човешката жлъчка след многократен прием са същите, каквито са и след еднократна доза. Тези резултати показват, че силибинин не се натрупва в организма.</w:t>
      </w:r>
    </w:p>
    <w:p w14:paraId="52F4BEA3" w14:textId="77777777" w:rsidR="006127A4" w:rsidRPr="006127A4" w:rsidRDefault="006127A4" w:rsidP="006127A4">
      <w:pPr>
        <w:rPr>
          <w:rFonts w:eastAsia="Times New Roman" w:cs="Arial"/>
          <w:color w:val="000000"/>
          <w:lang w:eastAsia="bg-BG"/>
        </w:rPr>
      </w:pPr>
    </w:p>
    <w:p w14:paraId="45551830" w14:textId="00443011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 xml:space="preserve">След повторно прилагане на силимарин в дози 140 </w:t>
      </w:r>
      <w:r w:rsidRPr="006127A4">
        <w:rPr>
          <w:rFonts w:eastAsia="Times New Roman" w:cs="Arial"/>
          <w:color w:val="000000"/>
          <w:lang w:val="en-US"/>
        </w:rPr>
        <w:t xml:space="preserve">mg </w:t>
      </w:r>
      <w:r w:rsidRPr="006127A4">
        <w:rPr>
          <w:rFonts w:eastAsia="Times New Roman" w:cs="Arial"/>
          <w:color w:val="000000"/>
          <w:lang w:eastAsia="bg-BG"/>
        </w:rPr>
        <w:t>3 пъти дневно, елиминирането чрез жлъчката достига постоянна стойност.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lastRenderedPageBreak/>
        <w:t>5.3. Предклинични данни за безопасност</w:t>
      </w:r>
    </w:p>
    <w:p w14:paraId="20E967BE" w14:textId="751DCF54" w:rsidR="0091385D" w:rsidRDefault="0091385D" w:rsidP="0091385D"/>
    <w:p w14:paraId="4EDBB3F4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Силимаринът се характеризира с изключително ниската си токсичност и поради това е безопасно да се прилага в терапевтични дози дълго време.</w:t>
      </w:r>
    </w:p>
    <w:p w14:paraId="4001454E" w14:textId="77777777" w:rsidR="006127A4" w:rsidRPr="006127A4" w:rsidRDefault="006127A4" w:rsidP="006127A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5D937FB7" w14:textId="79A16735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b/>
          <w:bCs/>
          <w:color w:val="000000"/>
          <w:lang w:eastAsia="bg-BG"/>
        </w:rPr>
        <w:t>Остра токсичност</w:t>
      </w:r>
      <w:bookmarkEnd w:id="2"/>
    </w:p>
    <w:p w14:paraId="7E9774C8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Прилаган в еднократни дози перорално на плъхове и мишки, силимарин се е оказал практически нетоксичен и </w:t>
      </w:r>
      <w:r w:rsidRPr="006127A4">
        <w:rPr>
          <w:rFonts w:eastAsia="Times New Roman" w:cs="Arial"/>
          <w:color w:val="000000"/>
          <w:lang w:val="en-US"/>
        </w:rPr>
        <w:t>LD</w:t>
      </w:r>
      <w:r w:rsidRPr="006127A4">
        <w:rPr>
          <w:rFonts w:eastAsia="Times New Roman" w:cs="Arial"/>
          <w:color w:val="000000"/>
          <w:vertAlign w:val="subscript"/>
          <w:lang w:val="en-US"/>
        </w:rPr>
        <w:t>50</w:t>
      </w:r>
      <w:r w:rsidRPr="006127A4">
        <w:rPr>
          <w:rFonts w:eastAsia="Times New Roman" w:cs="Arial"/>
          <w:color w:val="000000"/>
          <w:lang w:val="en-US"/>
        </w:rPr>
        <w:t xml:space="preserve"> </w:t>
      </w:r>
      <w:r w:rsidRPr="006127A4">
        <w:rPr>
          <w:rFonts w:eastAsia="Times New Roman" w:cs="Arial"/>
          <w:color w:val="000000"/>
          <w:lang w:eastAsia="bg-BG"/>
        </w:rPr>
        <w:t xml:space="preserve">може да бъде определена на &gt; 2000 </w:t>
      </w:r>
      <w:r w:rsidRPr="006127A4">
        <w:rPr>
          <w:rFonts w:eastAsia="Times New Roman" w:cs="Arial"/>
          <w:color w:val="000000"/>
          <w:lang w:val="en-US"/>
        </w:rPr>
        <w:t>mg/kg.</w:t>
      </w:r>
    </w:p>
    <w:p w14:paraId="56F11437" w14:textId="77777777" w:rsidR="006127A4" w:rsidRPr="006127A4" w:rsidRDefault="006127A4" w:rsidP="006127A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2"/>
    </w:p>
    <w:p w14:paraId="13680CAD" w14:textId="7CC97096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b/>
          <w:bCs/>
          <w:color w:val="000000"/>
          <w:lang w:eastAsia="bg-BG"/>
        </w:rPr>
        <w:t>Хронична токсичност</w:t>
      </w:r>
      <w:bookmarkEnd w:id="3"/>
    </w:p>
    <w:p w14:paraId="19BB119B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При дълговременни опити, продължили до 12 месеца, на плъхове и кучета е даван силимарин перорално в максимални дози съответно 2500 и 1200 </w:t>
      </w:r>
      <w:r w:rsidRPr="006127A4">
        <w:rPr>
          <w:rFonts w:eastAsia="Times New Roman" w:cs="Arial"/>
          <w:color w:val="000000"/>
          <w:lang w:val="en-US"/>
        </w:rPr>
        <w:t xml:space="preserve">mg/kg. </w:t>
      </w:r>
      <w:r w:rsidRPr="006127A4">
        <w:rPr>
          <w:rFonts w:eastAsia="Times New Roman" w:cs="Arial"/>
          <w:color w:val="000000"/>
          <w:lang w:eastAsia="bg-BG"/>
        </w:rPr>
        <w:t>Нито лабораторните резултати, нито аутопсионните находки са показали каквито и да било доказателства за токсично действие.</w:t>
      </w:r>
    </w:p>
    <w:p w14:paraId="5A154373" w14:textId="77777777" w:rsidR="006127A4" w:rsidRPr="006127A4" w:rsidRDefault="006127A4" w:rsidP="006127A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4"/>
    </w:p>
    <w:p w14:paraId="389F2919" w14:textId="3CDF358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b/>
          <w:bCs/>
          <w:color w:val="000000"/>
          <w:lang w:eastAsia="bg-BG"/>
        </w:rPr>
        <w:t>Репродуктивна токсичност</w:t>
      </w:r>
      <w:bookmarkEnd w:id="4"/>
    </w:p>
    <w:p w14:paraId="4CF869FD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Изследвания върху плодовитостта при плъхове и зайци, а също и изследвания на предродовата, родовата и следродовата токсичност не са показали нежелани ефекти в нито един от стадиите на възпроизводството (максимална използвана доза - 2500 </w:t>
      </w:r>
      <w:r w:rsidRPr="006127A4">
        <w:rPr>
          <w:rFonts w:eastAsia="Times New Roman" w:cs="Arial"/>
          <w:color w:val="000000"/>
          <w:lang w:val="en-US"/>
        </w:rPr>
        <w:t xml:space="preserve">mg/kg). </w:t>
      </w:r>
      <w:r w:rsidRPr="006127A4">
        <w:rPr>
          <w:rFonts w:eastAsia="Times New Roman" w:cs="Arial"/>
          <w:color w:val="000000"/>
          <w:lang w:eastAsia="bg-BG"/>
        </w:rPr>
        <w:t>По-специално силимарин не е показал данни за какъвто и да било тератогенен потенциал.</w:t>
      </w:r>
    </w:p>
    <w:p w14:paraId="4BB6BF8C" w14:textId="77777777" w:rsidR="006127A4" w:rsidRPr="006127A4" w:rsidRDefault="006127A4" w:rsidP="006127A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6"/>
    </w:p>
    <w:p w14:paraId="7106FACE" w14:textId="4E1661E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b/>
          <w:bCs/>
          <w:color w:val="000000"/>
          <w:lang w:eastAsia="bg-BG"/>
        </w:rPr>
        <w:t>Мутагенност</w:t>
      </w:r>
      <w:bookmarkEnd w:id="5"/>
    </w:p>
    <w:p w14:paraId="33D0A041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 xml:space="preserve">Изследвания </w:t>
      </w:r>
      <w:r w:rsidRPr="006127A4">
        <w:rPr>
          <w:rFonts w:eastAsia="Times New Roman" w:cs="Arial"/>
          <w:i/>
          <w:iCs/>
          <w:color w:val="000000"/>
          <w:lang w:val="en-US"/>
        </w:rPr>
        <w:t>in vitro</w:t>
      </w:r>
      <w:r w:rsidRPr="006127A4">
        <w:rPr>
          <w:rFonts w:eastAsia="Times New Roman" w:cs="Arial"/>
          <w:color w:val="000000"/>
          <w:lang w:val="en-US"/>
        </w:rPr>
        <w:t xml:space="preserve"> </w:t>
      </w:r>
      <w:r w:rsidRPr="006127A4">
        <w:rPr>
          <w:rFonts w:eastAsia="Times New Roman" w:cs="Arial"/>
          <w:color w:val="000000"/>
          <w:lang w:eastAsia="bg-BG"/>
        </w:rPr>
        <w:t xml:space="preserve">и </w:t>
      </w:r>
      <w:r w:rsidRPr="006127A4">
        <w:rPr>
          <w:rFonts w:eastAsia="Times New Roman" w:cs="Arial"/>
          <w:i/>
          <w:iCs/>
          <w:color w:val="000000"/>
          <w:lang w:val="en-US"/>
        </w:rPr>
        <w:t>in vivo</w:t>
      </w:r>
      <w:r w:rsidRPr="006127A4">
        <w:rPr>
          <w:rFonts w:eastAsia="Times New Roman" w:cs="Arial"/>
          <w:color w:val="000000"/>
          <w:lang w:val="en-US"/>
        </w:rPr>
        <w:t xml:space="preserve"> </w:t>
      </w:r>
      <w:r w:rsidRPr="006127A4">
        <w:rPr>
          <w:rFonts w:eastAsia="Times New Roman" w:cs="Arial"/>
          <w:color w:val="000000"/>
          <w:lang w:eastAsia="bg-BG"/>
        </w:rPr>
        <w:t>със силимарин са дали отрицателен резултат.</w:t>
      </w:r>
    </w:p>
    <w:p w14:paraId="1918237E" w14:textId="77777777" w:rsidR="006127A4" w:rsidRPr="006127A4" w:rsidRDefault="006127A4" w:rsidP="006127A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8"/>
    </w:p>
    <w:p w14:paraId="65A0BB59" w14:textId="177C5D68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b/>
          <w:bCs/>
          <w:color w:val="000000"/>
          <w:lang w:eastAsia="bg-BG"/>
        </w:rPr>
        <w:t>Канцерогенност</w:t>
      </w:r>
      <w:bookmarkEnd w:id="6"/>
    </w:p>
    <w:p w14:paraId="13A7B62A" w14:textId="62402816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 xml:space="preserve">Още не са проведени съответни изследвания </w:t>
      </w:r>
      <w:r w:rsidRPr="006127A4">
        <w:rPr>
          <w:rFonts w:eastAsia="Times New Roman" w:cs="Arial"/>
          <w:i/>
          <w:iCs/>
          <w:color w:val="000000"/>
          <w:lang w:val="en-US"/>
        </w:rPr>
        <w:t>in vivo</w:t>
      </w:r>
      <w:r w:rsidRPr="006127A4">
        <w:rPr>
          <w:rFonts w:eastAsia="Times New Roman" w:cs="Arial"/>
          <w:color w:val="000000"/>
          <w:lang w:val="en-US"/>
        </w:rPr>
        <w:t xml:space="preserve"> </w:t>
      </w:r>
      <w:r w:rsidRPr="006127A4">
        <w:rPr>
          <w:rFonts w:eastAsia="Times New Roman" w:cs="Arial"/>
          <w:color w:val="000000"/>
          <w:lang w:eastAsia="bg-BG"/>
        </w:rPr>
        <w:t>при гризачи.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3B078D18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Майлан ЕООД</w:t>
      </w:r>
    </w:p>
    <w:p w14:paraId="2BBC9B4D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Офис сграда „Сердика офиси“</w:t>
      </w:r>
    </w:p>
    <w:p w14:paraId="7D9E9AAE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бул. Ситняково № 48, ет. 7</w:t>
      </w:r>
    </w:p>
    <w:p w14:paraId="48A110E1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1505 София</w:t>
      </w:r>
    </w:p>
    <w:p w14:paraId="4F02909F" w14:textId="66115164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>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05F4072D" w:rsidR="007A2185" w:rsidRPr="006127A4" w:rsidRDefault="006127A4" w:rsidP="0091385D">
      <w:pPr>
        <w:rPr>
          <w:rFonts w:cs="Arial"/>
        </w:rPr>
      </w:pPr>
      <w:proofErr w:type="spellStart"/>
      <w:r w:rsidRPr="006127A4">
        <w:rPr>
          <w:rFonts w:cs="Arial"/>
          <w:lang w:val="en-US"/>
        </w:rPr>
        <w:t>Pe</w:t>
      </w:r>
      <w:proofErr w:type="spellEnd"/>
      <w:r w:rsidRPr="006127A4">
        <w:rPr>
          <w:rFonts w:cs="Arial"/>
        </w:rPr>
        <w:t>г</w:t>
      </w:r>
      <w:r w:rsidRPr="006127A4">
        <w:rPr>
          <w:rFonts w:cs="Arial"/>
          <w:lang w:val="en-US"/>
        </w:rPr>
        <w:t xml:space="preserve">. </w:t>
      </w:r>
      <w:r w:rsidRPr="006127A4">
        <w:rPr>
          <w:rFonts w:cs="Arial"/>
        </w:rPr>
        <w:t>№ 9800056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21FB105F" w14:textId="77777777" w:rsidR="006127A4" w:rsidRPr="006127A4" w:rsidRDefault="006127A4" w:rsidP="006127A4">
      <w:pPr>
        <w:spacing w:line="240" w:lineRule="auto"/>
        <w:rPr>
          <w:rFonts w:eastAsia="Times New Roman" w:cs="Arial"/>
          <w:lang w:eastAsia="bg-BG"/>
        </w:rPr>
      </w:pPr>
      <w:r w:rsidRPr="006127A4">
        <w:rPr>
          <w:rFonts w:eastAsia="Times New Roman" w:cs="Arial"/>
          <w:color w:val="000000"/>
          <w:lang w:eastAsia="bg-BG"/>
        </w:rPr>
        <w:t>Дата на първо разрешаване: 23.02.1998 г.</w:t>
      </w:r>
    </w:p>
    <w:p w14:paraId="6C57D8B6" w14:textId="37AFC7DB" w:rsidR="007A2185" w:rsidRPr="006127A4" w:rsidRDefault="006127A4" w:rsidP="006127A4">
      <w:pPr>
        <w:rPr>
          <w:rFonts w:cs="Arial"/>
        </w:rPr>
      </w:pPr>
      <w:r w:rsidRPr="006127A4">
        <w:rPr>
          <w:rFonts w:eastAsia="Times New Roman" w:cs="Arial"/>
          <w:color w:val="000000"/>
          <w:lang w:eastAsia="bg-BG"/>
        </w:rPr>
        <w:t>Дата на последно подновяване: 13.08.2008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304EDE55" w:rsidR="007A2185" w:rsidRPr="006127A4" w:rsidRDefault="006127A4" w:rsidP="0091385D">
      <w:pPr>
        <w:rPr>
          <w:rFonts w:cs="Arial"/>
        </w:rPr>
      </w:pPr>
      <w:r w:rsidRPr="006127A4">
        <w:rPr>
          <w:rFonts w:cs="Arial"/>
        </w:rPr>
        <w:t>Януари 2022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4"/>
  </w:num>
  <w:num w:numId="31">
    <w:abstractNumId w:val="5"/>
  </w:num>
  <w:num w:numId="32">
    <w:abstractNumId w:val="33"/>
  </w:num>
  <w:num w:numId="33">
    <w:abstractNumId w:val="28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27A4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2023-02-28T12:28:00Z</dcterms:created>
  <dcterms:modified xsi:type="dcterms:W3CDTF">2023-02-28T12:28:00Z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