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5885A6ED" w:rsidR="002C50EE" w:rsidRDefault="002C50EE" w:rsidP="002C50EE">
      <w:pPr>
        <w:pStyle w:val="Heading1"/>
        <w:jc w:val="center"/>
      </w:pPr>
      <w:bookmarkStart w:id="0" w:name="_Hlk63124480"/>
      <w:r>
        <w:t>КРАТКА ХАРАКТЕРИСТИКА НА ПРОДУКТА</w:t>
      </w:r>
    </w:p>
    <w:p w14:paraId="1A61B7B4" w14:textId="31D1338E" w:rsidR="00B75CF6" w:rsidRDefault="00B75CF6" w:rsidP="00B75CF6"/>
    <w:tbl>
      <w:tblPr>
        <w:tblStyle w:val="TableGrid"/>
        <w:tblW w:w="0" w:type="auto"/>
        <w:tblLook w:val="04A0" w:firstRow="1" w:lastRow="0" w:firstColumn="1" w:lastColumn="0" w:noHBand="0" w:noVBand="1"/>
      </w:tblPr>
      <w:tblGrid>
        <w:gridCol w:w="9350"/>
      </w:tblGrid>
      <w:tr w:rsidR="00B75CF6" w14:paraId="7F9CAD95" w14:textId="77777777" w:rsidTr="00B75CF6">
        <w:tc>
          <w:tcPr>
            <w:tcW w:w="9576" w:type="dxa"/>
          </w:tcPr>
          <w:p w14:paraId="385E6B55" w14:textId="77777777"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Лепонекс може да причини агранулоцитоза. Употребата му трябва да бъде ограничена до пациенти:</w:t>
            </w:r>
          </w:p>
          <w:p w14:paraId="4AE1B962" w14:textId="77777777" w:rsidR="00B75CF6" w:rsidRPr="00B75CF6" w:rsidRDefault="00B75CF6" w:rsidP="00B75CF6">
            <w:pPr>
              <w:pStyle w:val="ListParagraph"/>
              <w:numPr>
                <w:ilvl w:val="0"/>
                <w:numId w:val="37"/>
              </w:numPr>
              <w:spacing w:line="240" w:lineRule="auto"/>
              <w:rPr>
                <w:rFonts w:eastAsia="Times New Roman" w:cs="Arial"/>
                <w:b/>
                <w:bCs/>
                <w:color w:val="000000"/>
                <w:szCs w:val="20"/>
                <w:lang w:eastAsia="bg-BG"/>
              </w:rPr>
            </w:pPr>
            <w:r w:rsidRPr="00B75CF6">
              <w:rPr>
                <w:rFonts w:eastAsia="Times New Roman" w:cs="Arial"/>
                <w:b/>
                <w:bCs/>
                <w:color w:val="000000"/>
                <w:szCs w:val="20"/>
                <w:lang w:eastAsia="bg-BG"/>
              </w:rPr>
              <w:t>с шизофрения, които не отговарят или не понасят лечението с антипсихотични лекарства или са с психоза при болест на Паркинсон, когато всички останали терапевтични стратегии са били неуспешни (вж. точка 4.1).</w:t>
            </w:r>
          </w:p>
          <w:p w14:paraId="6E1E9026" w14:textId="77777777" w:rsidR="00B75CF6" w:rsidRPr="00B75CF6" w:rsidRDefault="00B75CF6" w:rsidP="00B75CF6">
            <w:pPr>
              <w:pStyle w:val="ListParagraph"/>
              <w:numPr>
                <w:ilvl w:val="0"/>
                <w:numId w:val="37"/>
              </w:numPr>
              <w:spacing w:line="240" w:lineRule="auto"/>
              <w:rPr>
                <w:rFonts w:eastAsia="Times New Roman" w:cs="Arial"/>
                <w:b/>
                <w:bCs/>
                <w:color w:val="000000"/>
                <w:szCs w:val="20"/>
                <w:lang w:eastAsia="bg-BG"/>
              </w:rPr>
            </w:pPr>
            <w:r w:rsidRPr="00B75CF6">
              <w:rPr>
                <w:rFonts w:eastAsia="Times New Roman" w:cs="Arial"/>
                <w:b/>
                <w:bCs/>
                <w:color w:val="000000"/>
                <w:szCs w:val="20"/>
                <w:lang w:eastAsia="bg-BG"/>
              </w:rPr>
              <w:t>които първоначално имат нормален брой левкоцити (левкоцити ≥3</w:t>
            </w:r>
            <w:r w:rsidRPr="00B75CF6">
              <w:rPr>
                <w:rFonts w:eastAsia="Times New Roman" w:cs="Arial"/>
                <w:b/>
                <w:bCs/>
                <w:color w:val="000000"/>
                <w:szCs w:val="20"/>
                <w:lang w:val="ru-RU"/>
              </w:rPr>
              <w:t>500/</w:t>
            </w:r>
            <w:r w:rsidRPr="00B75CF6">
              <w:rPr>
                <w:rFonts w:eastAsia="Times New Roman" w:cs="Arial"/>
                <w:b/>
                <w:bCs/>
                <w:color w:val="000000"/>
                <w:szCs w:val="20"/>
                <w:lang w:val="en-US"/>
              </w:rPr>
              <w:t>mm</w:t>
            </w:r>
            <w:r w:rsidRPr="00B75CF6">
              <w:rPr>
                <w:rFonts w:eastAsia="Times New Roman" w:cs="Arial"/>
                <w:b/>
                <w:bCs/>
                <w:color w:val="000000"/>
                <w:szCs w:val="20"/>
                <w:vertAlign w:val="superscript"/>
                <w:lang w:val="ru-RU"/>
              </w:rPr>
              <w:t xml:space="preserve">3 </w:t>
            </w:r>
            <w:r w:rsidRPr="00B75CF6">
              <w:rPr>
                <w:rFonts w:eastAsia="Times New Roman" w:cs="Arial"/>
                <w:b/>
                <w:bCs/>
                <w:color w:val="000000"/>
                <w:szCs w:val="20"/>
                <w:lang w:eastAsia="bg-BG"/>
              </w:rPr>
              <w:t xml:space="preserve">(≥ </w:t>
            </w:r>
            <w:r w:rsidRPr="00B75CF6">
              <w:rPr>
                <w:rFonts w:eastAsia="Times New Roman" w:cs="Arial"/>
                <w:b/>
                <w:bCs/>
                <w:color w:val="000000"/>
                <w:szCs w:val="20"/>
                <w:lang w:val="ru-RU"/>
              </w:rPr>
              <w:t>3,5</w:t>
            </w:r>
            <w:r w:rsidRPr="00B75CF6">
              <w:rPr>
                <w:rFonts w:eastAsia="Times New Roman" w:cs="Arial"/>
                <w:b/>
                <w:bCs/>
                <w:color w:val="000000"/>
                <w:szCs w:val="20"/>
                <w:lang w:val="en-US"/>
              </w:rPr>
              <w:t>x</w:t>
            </w:r>
            <w:r w:rsidRPr="00B75CF6">
              <w:rPr>
                <w:rFonts w:eastAsia="Times New Roman" w:cs="Arial"/>
                <w:b/>
                <w:bCs/>
                <w:color w:val="000000"/>
                <w:szCs w:val="20"/>
                <w:lang w:val="ru-RU"/>
              </w:rPr>
              <w:t>1</w:t>
            </w:r>
            <w:r w:rsidRPr="00B75CF6">
              <w:rPr>
                <w:rFonts w:eastAsia="Times New Roman" w:cs="Arial"/>
                <w:b/>
                <w:bCs/>
                <w:color w:val="000000"/>
                <w:szCs w:val="20"/>
                <w:lang w:eastAsia="bg-BG"/>
              </w:rPr>
              <w:t>0</w:t>
            </w:r>
            <w:r w:rsidRPr="00B75CF6">
              <w:rPr>
                <w:rFonts w:eastAsia="Times New Roman" w:cs="Arial"/>
                <w:b/>
                <w:bCs/>
                <w:color w:val="000000"/>
                <w:szCs w:val="20"/>
                <w:vertAlign w:val="superscript"/>
                <w:lang w:eastAsia="bg-BG"/>
              </w:rPr>
              <w:t>9</w:t>
            </w:r>
            <w:r w:rsidRPr="00B75CF6">
              <w:rPr>
                <w:rFonts w:eastAsia="Times New Roman" w:cs="Arial"/>
                <w:b/>
                <w:bCs/>
                <w:color w:val="000000"/>
                <w:szCs w:val="20"/>
                <w:lang w:eastAsia="bg-BG"/>
              </w:rPr>
              <w:t xml:space="preserve">/1) и абсолютния брой неутрофили (АБН) ≥2 </w:t>
            </w:r>
            <w:r w:rsidRPr="00B75CF6">
              <w:rPr>
                <w:rFonts w:eastAsia="Times New Roman" w:cs="Arial"/>
                <w:b/>
                <w:bCs/>
                <w:color w:val="000000"/>
                <w:szCs w:val="20"/>
                <w:lang w:val="ru-RU"/>
              </w:rPr>
              <w:t>000/</w:t>
            </w:r>
            <w:r w:rsidRPr="00B75CF6">
              <w:rPr>
                <w:rFonts w:eastAsia="Times New Roman" w:cs="Arial"/>
                <w:b/>
                <w:bCs/>
                <w:color w:val="000000"/>
                <w:szCs w:val="20"/>
                <w:lang w:val="en-US"/>
              </w:rPr>
              <w:t>mm</w:t>
            </w:r>
            <w:r w:rsidRPr="00B75CF6">
              <w:rPr>
                <w:rFonts w:eastAsia="Times New Roman" w:cs="Arial"/>
                <w:b/>
                <w:bCs/>
                <w:color w:val="000000"/>
                <w:szCs w:val="20"/>
                <w:vertAlign w:val="superscript"/>
                <w:lang w:val="ru-RU"/>
              </w:rPr>
              <w:t>3</w:t>
            </w:r>
            <w:r w:rsidRPr="00B75CF6">
              <w:rPr>
                <w:rFonts w:eastAsia="Times New Roman" w:cs="Arial"/>
                <w:b/>
                <w:bCs/>
                <w:color w:val="000000"/>
                <w:szCs w:val="20"/>
                <w:lang w:val="ru-RU"/>
              </w:rPr>
              <w:t xml:space="preserve"> </w:t>
            </w:r>
            <w:r w:rsidRPr="00B75CF6">
              <w:rPr>
                <w:rFonts w:eastAsia="Times New Roman" w:cs="Arial"/>
                <w:b/>
                <w:bCs/>
                <w:color w:val="000000"/>
                <w:szCs w:val="20"/>
                <w:lang w:eastAsia="bg-BG"/>
              </w:rPr>
              <w:t>(≥2,0 х 10</w:t>
            </w:r>
            <w:r w:rsidRPr="00B75CF6">
              <w:rPr>
                <w:rFonts w:eastAsia="Times New Roman" w:cs="Arial"/>
                <w:b/>
                <w:bCs/>
                <w:color w:val="000000"/>
                <w:szCs w:val="20"/>
                <w:vertAlign w:val="superscript"/>
                <w:lang w:eastAsia="bg-BG"/>
              </w:rPr>
              <w:t>9</w:t>
            </w:r>
            <w:r w:rsidRPr="00B75CF6">
              <w:rPr>
                <w:rFonts w:eastAsia="Times New Roman" w:cs="Arial"/>
                <w:b/>
                <w:bCs/>
                <w:color w:val="000000"/>
                <w:szCs w:val="20"/>
                <w:lang w:eastAsia="bg-BG"/>
              </w:rPr>
              <w:t>/1)), и</w:t>
            </w:r>
          </w:p>
          <w:p w14:paraId="69E82F76" w14:textId="31C5035B" w:rsidR="00B75CF6" w:rsidRPr="00B75CF6" w:rsidRDefault="00B75CF6" w:rsidP="00B75CF6">
            <w:pPr>
              <w:pStyle w:val="ListParagraph"/>
              <w:numPr>
                <w:ilvl w:val="0"/>
                <w:numId w:val="37"/>
              </w:numPr>
              <w:spacing w:line="240" w:lineRule="auto"/>
              <w:rPr>
                <w:rFonts w:eastAsia="Times New Roman" w:cs="Arial"/>
                <w:b/>
                <w:bCs/>
                <w:color w:val="000000"/>
                <w:szCs w:val="20"/>
                <w:lang w:eastAsia="bg-BG"/>
              </w:rPr>
            </w:pPr>
            <w:r w:rsidRPr="00B75CF6">
              <w:rPr>
                <w:rFonts w:eastAsia="Times New Roman" w:cs="Arial"/>
                <w:b/>
                <w:bCs/>
                <w:color w:val="000000"/>
                <w:szCs w:val="20"/>
                <w:lang w:eastAsia="bg-BG"/>
              </w:rPr>
              <w:t>при които редовно може да се определят общия брой левкоцити и абсолютния брой неутрофили (АБН) както следва: всяка седмица през първите 18 седмици от терапията и поне веднъж на всеки 4 седмици след това, през цялото време на лечението. Мониторирането трябва да продължи по време на лечението и 4 седмици след пълното прекратяване приема на Лепонекс (вж. точка 4.4).</w:t>
            </w:r>
          </w:p>
          <w:p w14:paraId="2BE0CBEE" w14:textId="77777777" w:rsidR="00B75CF6" w:rsidRPr="00B75CF6" w:rsidRDefault="00B75CF6" w:rsidP="00B75CF6">
            <w:pPr>
              <w:spacing w:line="240" w:lineRule="auto"/>
              <w:rPr>
                <w:rFonts w:eastAsia="Times New Roman" w:cs="Arial"/>
                <w:b/>
                <w:bCs/>
                <w:color w:val="000000"/>
                <w:szCs w:val="20"/>
                <w:lang w:eastAsia="bg-BG"/>
              </w:rPr>
            </w:pPr>
          </w:p>
          <w:p w14:paraId="0B71AFDE" w14:textId="258CF6B2"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Лекарите, предписващи лекарството, трябва да следват напълно изискваните мерки за безопасност. При всяка консултация на пациента, получащ лекарството, трябва да се напомня да се свърже незабавно с лекуващия лекар, ако започне развитие на някакъв вид инфекция. Особено внимание трябва да се обръща на грипоподобните оплаквания като температура или възпалено гърло и други белези на инфекция, които може да са показателни за неутропения (вж. точка 4.4).</w:t>
            </w:r>
          </w:p>
          <w:p w14:paraId="09228706" w14:textId="77777777" w:rsidR="00B75CF6" w:rsidRPr="00B75CF6" w:rsidRDefault="00B75CF6" w:rsidP="00B75CF6">
            <w:pPr>
              <w:spacing w:line="240" w:lineRule="auto"/>
              <w:rPr>
                <w:rFonts w:eastAsia="Times New Roman" w:cs="Arial"/>
                <w:b/>
                <w:bCs/>
                <w:color w:val="000000"/>
                <w:szCs w:val="20"/>
                <w:lang w:eastAsia="bg-BG"/>
              </w:rPr>
            </w:pPr>
          </w:p>
          <w:p w14:paraId="23747DA4" w14:textId="69FC24F4"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Лепонекс трябва да се унищожава под строг медицински контрол, в съответствие с официалните препоръки (вж. точка 4.4).</w:t>
            </w:r>
          </w:p>
          <w:p w14:paraId="596AD1FB" w14:textId="77777777" w:rsidR="00B75CF6" w:rsidRPr="00B75CF6" w:rsidRDefault="00B75CF6" w:rsidP="00B75CF6">
            <w:pPr>
              <w:spacing w:line="240" w:lineRule="auto"/>
              <w:rPr>
                <w:rFonts w:eastAsia="Times New Roman" w:cs="Arial"/>
                <w:b/>
                <w:bCs/>
                <w:color w:val="000000"/>
                <w:szCs w:val="20"/>
                <w:u w:val="single"/>
                <w:lang w:eastAsia="bg-BG"/>
              </w:rPr>
            </w:pPr>
          </w:p>
          <w:p w14:paraId="4704B393" w14:textId="0CA2B79E"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u w:val="single"/>
                <w:lang w:eastAsia="bg-BG"/>
              </w:rPr>
              <w:t>Миокардит</w:t>
            </w:r>
          </w:p>
          <w:p w14:paraId="1A69F4AF" w14:textId="77777777"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Клозапин се свързава с повишен риск от миокардит, който в редки случаи може да бъде фатален. Повишеният риск от миокардит е по-голям през първите два месеца от началото на лечението. Съобщават се също рядко за фатални случаи на кардиомиопатия (вж. точка 4.4).</w:t>
            </w:r>
          </w:p>
          <w:p w14:paraId="7EE0F62E" w14:textId="77777777" w:rsidR="00B75CF6" w:rsidRPr="00B75CF6" w:rsidRDefault="00B75CF6" w:rsidP="00B75CF6">
            <w:pPr>
              <w:spacing w:line="240" w:lineRule="auto"/>
              <w:rPr>
                <w:rFonts w:eastAsia="Times New Roman" w:cs="Arial"/>
                <w:b/>
                <w:bCs/>
                <w:color w:val="000000"/>
                <w:szCs w:val="20"/>
                <w:lang w:eastAsia="bg-BG"/>
              </w:rPr>
            </w:pPr>
          </w:p>
          <w:p w14:paraId="6DDC8EBA" w14:textId="7206831D"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При пациентите, които получават персистираща тахикардия в покой, особено през първите два месеца от лечението и/или палпитации, аритмии, гръдна болка и други признаци и симптоми на сърдечна недостатъчност (напр. необяснима умора, диспнея, тахипнея) или симптоми, които наподобяват миокарден инфаркт, трябва да се подозират миокардит или кардиомиопатия (вж. точка 4.4).</w:t>
            </w:r>
          </w:p>
          <w:p w14:paraId="201CC3D0" w14:textId="77777777" w:rsidR="00B75CF6" w:rsidRPr="00B75CF6" w:rsidRDefault="00B75CF6" w:rsidP="00B75CF6">
            <w:pPr>
              <w:spacing w:line="240" w:lineRule="auto"/>
              <w:rPr>
                <w:rFonts w:eastAsia="Times New Roman" w:cs="Arial"/>
                <w:b/>
                <w:bCs/>
                <w:color w:val="000000"/>
                <w:szCs w:val="20"/>
                <w:lang w:eastAsia="bg-BG"/>
              </w:rPr>
            </w:pPr>
          </w:p>
          <w:p w14:paraId="415C5567" w14:textId="17512C4A"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Ако се подозират миокадит или кардиомиопатия, лечението с Лепонекс трябва бързо да се спре и пациентът незабавно да се насочи към кардиолог (вж. точка 4.4).</w:t>
            </w:r>
          </w:p>
          <w:p w14:paraId="702826D3" w14:textId="77777777" w:rsidR="00B75CF6" w:rsidRPr="00B75CF6" w:rsidRDefault="00B75CF6" w:rsidP="00B75CF6">
            <w:pPr>
              <w:rPr>
                <w:rFonts w:eastAsia="Times New Roman" w:cs="Arial"/>
                <w:b/>
                <w:bCs/>
                <w:color w:val="000000"/>
                <w:szCs w:val="20"/>
                <w:lang w:eastAsia="bg-BG"/>
              </w:rPr>
            </w:pPr>
          </w:p>
          <w:p w14:paraId="38A07B08" w14:textId="0A90CD7F" w:rsidR="00B75CF6" w:rsidRDefault="00B75CF6" w:rsidP="00B75CF6">
            <w:r w:rsidRPr="00B75CF6">
              <w:rPr>
                <w:rFonts w:eastAsia="Times New Roman" w:cs="Arial"/>
                <w:b/>
                <w:bCs/>
                <w:color w:val="000000"/>
                <w:szCs w:val="20"/>
                <w:lang w:eastAsia="bg-BG"/>
              </w:rPr>
              <w:t>Пациенти, получили клозапин-индуциран миокардит или кардиомиопатия не трябва повече да бъдат лекувани с клозапин (вж. точки 4.3 и 4.4).</w:t>
            </w:r>
          </w:p>
        </w:tc>
      </w:tr>
    </w:tbl>
    <w:p w14:paraId="41B3AD25" w14:textId="77777777" w:rsidR="00B75CF6" w:rsidRPr="00B75CF6" w:rsidRDefault="00B75CF6" w:rsidP="00B75CF6"/>
    <w:p w14:paraId="2BE34EF6" w14:textId="4AA40519" w:rsidR="007122AD" w:rsidRDefault="00DD466D" w:rsidP="00936AD0">
      <w:pPr>
        <w:pStyle w:val="Heading1"/>
      </w:pPr>
      <w:r>
        <w:lastRenderedPageBreak/>
        <w:t>1.ИМЕ НА ЛЕКАРСТВЕНИЯ ПРОДУКТ</w:t>
      </w:r>
    </w:p>
    <w:p w14:paraId="116475C3" w14:textId="56067FF9" w:rsidR="00B75CF6" w:rsidRDefault="00B75CF6" w:rsidP="00B75CF6"/>
    <w:p w14:paraId="5FAACBB3" w14:textId="77777777" w:rsidR="00B75CF6" w:rsidRPr="00B75CF6" w:rsidRDefault="00B75CF6" w:rsidP="00B75CF6">
      <w:pPr>
        <w:spacing w:line="240" w:lineRule="auto"/>
        <w:rPr>
          <w:rFonts w:eastAsia="Times New Roman" w:cs="Arial"/>
          <w:sz w:val="28"/>
          <w:szCs w:val="24"/>
          <w:lang w:val="ru-RU"/>
        </w:rPr>
      </w:pPr>
      <w:r w:rsidRPr="00B75CF6">
        <w:rPr>
          <w:rFonts w:eastAsia="Times New Roman" w:cs="Arial"/>
          <w:color w:val="000000"/>
          <w:szCs w:val="20"/>
          <w:lang w:eastAsia="bg-BG"/>
        </w:rPr>
        <w:t xml:space="preserve">Лепонекс 25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таблетки</w:t>
      </w:r>
    </w:p>
    <w:p w14:paraId="36556D11" w14:textId="77777777" w:rsidR="00B75CF6" w:rsidRPr="00B75CF6" w:rsidRDefault="00B75CF6" w:rsidP="00B75CF6">
      <w:pPr>
        <w:spacing w:line="240" w:lineRule="auto"/>
        <w:rPr>
          <w:rFonts w:eastAsia="Times New Roman" w:cs="Arial"/>
          <w:sz w:val="28"/>
          <w:szCs w:val="24"/>
          <w:lang w:val="ru-RU"/>
        </w:rPr>
      </w:pPr>
      <w:r w:rsidRPr="00B75CF6">
        <w:rPr>
          <w:rFonts w:eastAsia="Times New Roman" w:cs="Arial"/>
          <w:color w:val="000000"/>
          <w:szCs w:val="20"/>
          <w:lang w:eastAsia="bg-BG"/>
        </w:rPr>
        <w:t xml:space="preserve">Лепонекс 100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таблетки</w:t>
      </w:r>
    </w:p>
    <w:p w14:paraId="7F4526D7" w14:textId="77777777" w:rsidR="00B75CF6" w:rsidRPr="00B75CF6" w:rsidRDefault="00B75CF6" w:rsidP="00B75CF6">
      <w:pPr>
        <w:spacing w:line="240" w:lineRule="auto"/>
        <w:rPr>
          <w:rFonts w:eastAsia="Times New Roman" w:cs="Arial"/>
          <w:color w:val="000000"/>
          <w:szCs w:val="20"/>
          <w:lang w:val="en-US"/>
        </w:rPr>
      </w:pPr>
    </w:p>
    <w:p w14:paraId="0645F341" w14:textId="26DCCA2F" w:rsidR="00B75CF6" w:rsidRPr="00B75CF6" w:rsidRDefault="00B75CF6" w:rsidP="00B75CF6">
      <w:pPr>
        <w:spacing w:line="240" w:lineRule="auto"/>
        <w:rPr>
          <w:rFonts w:eastAsia="Times New Roman" w:cs="Arial"/>
          <w:sz w:val="28"/>
          <w:szCs w:val="24"/>
          <w:lang w:val="ru-RU"/>
        </w:rPr>
      </w:pPr>
      <w:proofErr w:type="spellStart"/>
      <w:r w:rsidRPr="00B75CF6">
        <w:rPr>
          <w:rFonts w:eastAsia="Times New Roman" w:cs="Arial"/>
          <w:color w:val="000000"/>
          <w:szCs w:val="20"/>
          <w:lang w:val="en-US"/>
        </w:rPr>
        <w:t>Leponex</w:t>
      </w:r>
      <w:proofErr w:type="spellEnd"/>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25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val="en-US"/>
        </w:rPr>
        <w:t>tablets</w:t>
      </w:r>
    </w:p>
    <w:p w14:paraId="52684DE5" w14:textId="4491C26E" w:rsidR="00B75CF6" w:rsidRPr="00B75CF6" w:rsidRDefault="00B75CF6" w:rsidP="00B75CF6">
      <w:proofErr w:type="spellStart"/>
      <w:r w:rsidRPr="00B75CF6">
        <w:rPr>
          <w:rFonts w:eastAsia="Times New Roman" w:cs="Arial"/>
          <w:color w:val="000000"/>
          <w:szCs w:val="20"/>
          <w:lang w:val="en-US"/>
        </w:rPr>
        <w:t>Leponex</w:t>
      </w:r>
      <w:proofErr w:type="spellEnd"/>
      <w:r w:rsidRPr="00B75CF6">
        <w:rPr>
          <w:rFonts w:eastAsia="Times New Roman" w:cs="Arial"/>
          <w:color w:val="000000"/>
          <w:szCs w:val="20"/>
          <w:lang w:val="ru-RU"/>
        </w:rPr>
        <w:t xml:space="preserve"> 100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val="en-US"/>
        </w:rPr>
        <w:t>tablets</w:t>
      </w:r>
    </w:p>
    <w:p w14:paraId="6920A680" w14:textId="593C1720" w:rsidR="00C40420" w:rsidRDefault="00DD466D" w:rsidP="004A448E">
      <w:pPr>
        <w:pStyle w:val="Heading1"/>
      </w:pPr>
      <w:r>
        <w:t>2. КАЧЕСТВЕН И КОЛИЧЕСТВЕН СЪСТАВ</w:t>
      </w:r>
    </w:p>
    <w:p w14:paraId="71501B96" w14:textId="293F3817" w:rsidR="00B75CF6" w:rsidRDefault="00B75CF6" w:rsidP="00B75CF6"/>
    <w:p w14:paraId="225CE821"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25 </w:t>
      </w:r>
      <w:r w:rsidRPr="00B75CF6">
        <w:rPr>
          <w:rFonts w:eastAsia="Times New Roman" w:cs="Arial"/>
          <w:color w:val="000000"/>
          <w:szCs w:val="20"/>
          <w:u w:val="single"/>
          <w:lang w:val="en-US"/>
        </w:rPr>
        <w:t>mg</w:t>
      </w:r>
      <w:r w:rsidRPr="00B75CF6">
        <w:rPr>
          <w:rFonts w:eastAsia="Times New Roman" w:cs="Arial"/>
          <w:color w:val="000000"/>
          <w:szCs w:val="20"/>
          <w:u w:val="single"/>
        </w:rPr>
        <w:t>:</w:t>
      </w:r>
      <w:r w:rsidRPr="00B75CF6">
        <w:rPr>
          <w:rFonts w:eastAsia="Times New Roman" w:cs="Arial"/>
          <w:color w:val="000000"/>
          <w:szCs w:val="20"/>
        </w:rPr>
        <w:t xml:space="preserve"> </w:t>
      </w:r>
      <w:r w:rsidRPr="00B75CF6">
        <w:rPr>
          <w:rFonts w:eastAsia="Times New Roman" w:cs="Arial"/>
          <w:color w:val="000000"/>
          <w:szCs w:val="20"/>
          <w:lang w:eastAsia="bg-BG"/>
        </w:rPr>
        <w:t xml:space="preserve">Всяка таблетка съдържа 25 </w:t>
      </w:r>
      <w:r w:rsidRPr="00B75CF6">
        <w:rPr>
          <w:rFonts w:eastAsia="Times New Roman" w:cs="Arial"/>
          <w:color w:val="000000"/>
          <w:szCs w:val="20"/>
          <w:lang w:val="en-US"/>
        </w:rPr>
        <w:t>mg</w:t>
      </w:r>
      <w:r w:rsidRPr="00B75CF6">
        <w:rPr>
          <w:rFonts w:eastAsia="Times New Roman" w:cs="Arial"/>
          <w:color w:val="000000"/>
          <w:szCs w:val="20"/>
        </w:rPr>
        <w:t xml:space="preserve"> </w:t>
      </w:r>
      <w:r w:rsidRPr="00B75CF6">
        <w:rPr>
          <w:rFonts w:eastAsia="Times New Roman" w:cs="Arial"/>
          <w:color w:val="000000"/>
          <w:szCs w:val="20"/>
          <w:lang w:eastAsia="bg-BG"/>
        </w:rPr>
        <w:t>клозапин (</w:t>
      </w:r>
      <w:r w:rsidRPr="00B75CF6">
        <w:rPr>
          <w:rFonts w:eastAsia="Times New Roman" w:cs="Arial"/>
          <w:i/>
          <w:iCs/>
          <w:color w:val="000000"/>
          <w:szCs w:val="20"/>
          <w:lang w:val="en-US"/>
        </w:rPr>
        <w:t>clozapine</w:t>
      </w:r>
      <w:r w:rsidRPr="00B75CF6">
        <w:rPr>
          <w:rFonts w:eastAsia="Times New Roman" w:cs="Arial"/>
          <w:i/>
          <w:iCs/>
          <w:color w:val="000000"/>
          <w:szCs w:val="20"/>
        </w:rPr>
        <w:t>).</w:t>
      </w:r>
    </w:p>
    <w:p w14:paraId="61420E9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100 </w:t>
      </w:r>
      <w:r w:rsidRPr="00B75CF6">
        <w:rPr>
          <w:rFonts w:eastAsia="Times New Roman" w:cs="Arial"/>
          <w:color w:val="000000"/>
          <w:szCs w:val="20"/>
          <w:u w:val="single"/>
          <w:lang w:val="en-US"/>
        </w:rPr>
        <w:t>mg</w:t>
      </w:r>
      <w:r w:rsidRPr="00B75CF6">
        <w:rPr>
          <w:rFonts w:eastAsia="Times New Roman" w:cs="Arial"/>
          <w:color w:val="000000"/>
          <w:szCs w:val="20"/>
          <w:u w:val="single"/>
        </w:rPr>
        <w:t>:</w:t>
      </w:r>
      <w:r w:rsidRPr="00B75CF6">
        <w:rPr>
          <w:rFonts w:eastAsia="Times New Roman" w:cs="Arial"/>
          <w:color w:val="000000"/>
          <w:szCs w:val="20"/>
        </w:rPr>
        <w:t xml:space="preserve"> </w:t>
      </w:r>
      <w:r w:rsidRPr="00B75CF6">
        <w:rPr>
          <w:rFonts w:eastAsia="Times New Roman" w:cs="Arial"/>
          <w:color w:val="000000"/>
          <w:szCs w:val="20"/>
          <w:lang w:eastAsia="bg-BG"/>
        </w:rPr>
        <w:t xml:space="preserve">Всяка таблетка съдържа 100 </w:t>
      </w:r>
      <w:r w:rsidRPr="00B75CF6">
        <w:rPr>
          <w:rFonts w:eastAsia="Times New Roman" w:cs="Arial"/>
          <w:color w:val="000000"/>
          <w:szCs w:val="20"/>
          <w:lang w:val="en-US"/>
        </w:rPr>
        <w:t>mg</w:t>
      </w:r>
      <w:r w:rsidRPr="00B75CF6">
        <w:rPr>
          <w:rFonts w:eastAsia="Times New Roman" w:cs="Arial"/>
          <w:color w:val="000000"/>
          <w:szCs w:val="20"/>
        </w:rPr>
        <w:t xml:space="preserve"> </w:t>
      </w:r>
      <w:r w:rsidRPr="00B75CF6">
        <w:rPr>
          <w:rFonts w:eastAsia="Times New Roman" w:cs="Arial"/>
          <w:color w:val="000000"/>
          <w:szCs w:val="20"/>
          <w:lang w:eastAsia="bg-BG"/>
        </w:rPr>
        <w:t>клозапин (</w:t>
      </w:r>
      <w:r w:rsidRPr="00B75CF6">
        <w:rPr>
          <w:rFonts w:eastAsia="Times New Roman" w:cs="Arial"/>
          <w:i/>
          <w:iCs/>
          <w:color w:val="000000"/>
          <w:szCs w:val="20"/>
          <w:lang w:val="en-US"/>
        </w:rPr>
        <w:t>clozapine</w:t>
      </w:r>
      <w:r w:rsidRPr="00B75CF6">
        <w:rPr>
          <w:rFonts w:eastAsia="Times New Roman" w:cs="Arial"/>
          <w:i/>
          <w:iCs/>
          <w:color w:val="000000"/>
          <w:szCs w:val="20"/>
        </w:rPr>
        <w:t>).</w:t>
      </w:r>
    </w:p>
    <w:p w14:paraId="3CD3508C" w14:textId="77777777" w:rsidR="00B75CF6" w:rsidRPr="00B75CF6" w:rsidRDefault="00B75CF6" w:rsidP="00B75CF6">
      <w:pPr>
        <w:spacing w:line="240" w:lineRule="auto"/>
        <w:rPr>
          <w:rFonts w:eastAsia="Times New Roman" w:cs="Arial"/>
          <w:color w:val="000000"/>
          <w:szCs w:val="20"/>
          <w:lang w:eastAsia="bg-BG"/>
        </w:rPr>
      </w:pPr>
    </w:p>
    <w:p w14:paraId="3E3646BE" w14:textId="4344ADFB"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Помощни вещества с известно действие: съдържат също лактоза монохидрат 48,0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и 192,0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във всяка таблетка от 25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и 100 </w:t>
      </w:r>
      <w:r w:rsidRPr="00B75CF6">
        <w:rPr>
          <w:rFonts w:eastAsia="Times New Roman" w:cs="Arial"/>
          <w:color w:val="000000"/>
          <w:szCs w:val="20"/>
          <w:lang w:val="en-US"/>
        </w:rPr>
        <w:t>mg</w:t>
      </w:r>
      <w:r w:rsidRPr="00B75CF6">
        <w:rPr>
          <w:rFonts w:eastAsia="Times New Roman" w:cs="Arial"/>
          <w:color w:val="000000"/>
          <w:szCs w:val="20"/>
          <w:lang w:val="ru-RU"/>
        </w:rPr>
        <w:t xml:space="preserve">, </w:t>
      </w:r>
      <w:r w:rsidRPr="00B75CF6">
        <w:rPr>
          <w:rFonts w:eastAsia="Times New Roman" w:cs="Arial"/>
          <w:color w:val="000000"/>
          <w:szCs w:val="20"/>
          <w:lang w:eastAsia="bg-BG"/>
        </w:rPr>
        <w:t>съответно.</w:t>
      </w:r>
    </w:p>
    <w:p w14:paraId="795781B9" w14:textId="77777777" w:rsidR="00B75CF6" w:rsidRPr="00B75CF6" w:rsidRDefault="00B75CF6" w:rsidP="00B75CF6"/>
    <w:p w14:paraId="614984C4" w14:textId="40A426DA" w:rsidR="008A6AF2" w:rsidRDefault="00DD466D" w:rsidP="002C50EE">
      <w:pPr>
        <w:pStyle w:val="Heading1"/>
      </w:pPr>
      <w:r>
        <w:t>3. ЛЕКАРСТВЕНА ФОРМА</w:t>
      </w:r>
    </w:p>
    <w:p w14:paraId="747343AC" w14:textId="04F80C75" w:rsidR="00B75CF6" w:rsidRDefault="00B75CF6" w:rsidP="00B75CF6"/>
    <w:p w14:paraId="118955C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Таблетки.</w:t>
      </w:r>
    </w:p>
    <w:p w14:paraId="6741B56D" w14:textId="77777777" w:rsidR="00B75CF6" w:rsidRPr="00B75CF6" w:rsidRDefault="00B75CF6" w:rsidP="00B75CF6">
      <w:pPr>
        <w:spacing w:line="240" w:lineRule="auto"/>
        <w:rPr>
          <w:rFonts w:eastAsia="Times New Roman" w:cs="Arial"/>
          <w:color w:val="000000"/>
          <w:szCs w:val="20"/>
          <w:u w:val="single"/>
          <w:lang w:eastAsia="bg-BG"/>
        </w:rPr>
      </w:pPr>
    </w:p>
    <w:p w14:paraId="5CAC194B" w14:textId="365147F1"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25 </w:t>
      </w:r>
      <w:r w:rsidRPr="00B75CF6">
        <w:rPr>
          <w:rFonts w:eastAsia="Times New Roman" w:cs="Arial"/>
          <w:color w:val="000000"/>
          <w:szCs w:val="20"/>
          <w:u w:val="single"/>
          <w:lang w:val="en-US"/>
        </w:rPr>
        <w:t>mg</w:t>
      </w:r>
    </w:p>
    <w:p w14:paraId="51532AF6"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Жълта, кръгла, плоска таблетка със скосен ръб с надпис </w:t>
      </w:r>
      <w:r w:rsidRPr="00B75CF6">
        <w:rPr>
          <w:rFonts w:eastAsia="Times New Roman" w:cs="Arial"/>
          <w:color w:val="000000"/>
          <w:szCs w:val="20"/>
          <w:lang w:val="ru-RU"/>
        </w:rPr>
        <w:t>“</w:t>
      </w:r>
      <w:r w:rsidRPr="00B75CF6">
        <w:rPr>
          <w:rFonts w:eastAsia="Times New Roman" w:cs="Arial"/>
          <w:color w:val="000000"/>
          <w:szCs w:val="20"/>
          <w:lang w:val="en-US"/>
        </w:rPr>
        <w:t>L</w:t>
      </w:r>
      <w:r w:rsidRPr="00B75CF6">
        <w:rPr>
          <w:rFonts w:eastAsia="Times New Roman" w:cs="Arial"/>
          <w:color w:val="000000"/>
          <w:szCs w:val="20"/>
          <w:lang w:val="ru-RU"/>
        </w:rPr>
        <w:t>/</w:t>
      </w:r>
      <w:r w:rsidRPr="00B75CF6">
        <w:rPr>
          <w:rFonts w:eastAsia="Times New Roman" w:cs="Arial"/>
          <w:color w:val="000000"/>
          <w:szCs w:val="20"/>
          <w:lang w:val="en-US"/>
        </w:rPr>
        <w:t>O</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с наклонена черта от едната страна и </w:t>
      </w:r>
      <w:r w:rsidRPr="00B75CF6">
        <w:rPr>
          <w:rFonts w:eastAsia="Times New Roman" w:cs="Arial"/>
          <w:color w:val="000000"/>
          <w:szCs w:val="20"/>
          <w:lang w:val="ru-RU"/>
        </w:rPr>
        <w:t>“</w:t>
      </w:r>
      <w:r w:rsidRPr="00B75CF6">
        <w:rPr>
          <w:rFonts w:eastAsia="Times New Roman" w:cs="Arial"/>
          <w:color w:val="000000"/>
          <w:szCs w:val="20"/>
          <w:lang w:val="en-US"/>
        </w:rPr>
        <w:t>CLOZ</w:t>
      </w:r>
      <w:r w:rsidRPr="00B75CF6">
        <w:rPr>
          <w:rFonts w:eastAsia="Times New Roman" w:cs="Arial"/>
          <w:color w:val="000000"/>
          <w:szCs w:val="20"/>
          <w:lang w:val="ru-RU"/>
        </w:rPr>
        <w:t>”</w:t>
      </w:r>
      <w:r w:rsidRPr="00B75CF6">
        <w:rPr>
          <w:rFonts w:eastAsia="Times New Roman" w:cs="Arial"/>
          <w:color w:val="000000"/>
          <w:szCs w:val="20"/>
          <w:lang w:val="en-US"/>
        </w:rPr>
        <w:t>or</w:t>
      </w:r>
      <w:r w:rsidRPr="00B75CF6">
        <w:rPr>
          <w:rFonts w:eastAsia="Times New Roman" w:cs="Arial"/>
          <w:color w:val="000000"/>
          <w:szCs w:val="20"/>
          <w:lang w:val="ru-RU"/>
        </w:rPr>
        <w:t xml:space="preserve"> </w:t>
      </w:r>
      <w:r w:rsidRPr="00B75CF6">
        <w:rPr>
          <w:rFonts w:eastAsia="Times New Roman" w:cs="Arial"/>
          <w:color w:val="000000"/>
          <w:szCs w:val="20"/>
          <w:lang w:eastAsia="bg-BG"/>
        </w:rPr>
        <w:t>другата.</w:t>
      </w:r>
    </w:p>
    <w:p w14:paraId="4608B394" w14:textId="77777777" w:rsidR="00B75CF6" w:rsidRPr="00B75CF6" w:rsidRDefault="00B75CF6" w:rsidP="00B75CF6">
      <w:pPr>
        <w:spacing w:line="240" w:lineRule="auto"/>
        <w:rPr>
          <w:rFonts w:eastAsia="Times New Roman" w:cs="Arial"/>
          <w:color w:val="000000"/>
          <w:szCs w:val="20"/>
          <w:u w:val="single"/>
          <w:lang w:eastAsia="bg-BG"/>
        </w:rPr>
      </w:pPr>
    </w:p>
    <w:p w14:paraId="7EA3FB9A" w14:textId="682DF479"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 xml:space="preserve">Таблетка от 100 </w:t>
      </w:r>
      <w:r w:rsidRPr="00B75CF6">
        <w:rPr>
          <w:rFonts w:eastAsia="Times New Roman" w:cs="Arial"/>
          <w:color w:val="000000"/>
          <w:szCs w:val="20"/>
          <w:u w:val="single"/>
          <w:lang w:val="en-US"/>
        </w:rPr>
        <w:t>mg</w:t>
      </w:r>
    </w:p>
    <w:p w14:paraId="73F833C9"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Жълта, кръгла, плоска таблетка със скосен ръб с надпис </w:t>
      </w:r>
      <w:r w:rsidRPr="00B75CF6">
        <w:rPr>
          <w:rFonts w:eastAsia="Times New Roman" w:cs="Arial"/>
          <w:color w:val="000000"/>
          <w:szCs w:val="20"/>
          <w:lang w:val="ru-RU"/>
        </w:rPr>
        <w:t>“</w:t>
      </w:r>
      <w:r w:rsidRPr="00B75CF6">
        <w:rPr>
          <w:rFonts w:eastAsia="Times New Roman" w:cs="Arial"/>
          <w:color w:val="000000"/>
          <w:szCs w:val="20"/>
          <w:lang w:val="en-US"/>
        </w:rPr>
        <w:t>Z</w:t>
      </w:r>
      <w:r w:rsidRPr="00B75CF6">
        <w:rPr>
          <w:rFonts w:eastAsia="Times New Roman" w:cs="Arial"/>
          <w:color w:val="000000"/>
          <w:szCs w:val="20"/>
          <w:lang w:val="ru-RU"/>
        </w:rPr>
        <w:t>/</w:t>
      </w:r>
      <w:r w:rsidRPr="00B75CF6">
        <w:rPr>
          <w:rFonts w:eastAsia="Times New Roman" w:cs="Arial"/>
          <w:color w:val="000000"/>
          <w:szCs w:val="20"/>
          <w:lang w:val="en-US"/>
        </w:rPr>
        <w:t>A</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с наклонена черта от едната страна и </w:t>
      </w:r>
      <w:r w:rsidRPr="00B75CF6">
        <w:rPr>
          <w:rFonts w:eastAsia="Times New Roman" w:cs="Arial"/>
          <w:smallCaps/>
          <w:color w:val="000000"/>
          <w:szCs w:val="20"/>
          <w:lang w:val="ru-RU"/>
        </w:rPr>
        <w:t>“</w:t>
      </w:r>
      <w:r w:rsidRPr="00B75CF6">
        <w:rPr>
          <w:rFonts w:eastAsia="Times New Roman" w:cs="Arial"/>
          <w:smallCaps/>
          <w:color w:val="000000"/>
          <w:szCs w:val="20"/>
          <w:lang w:val="en-US"/>
        </w:rPr>
        <w:t>CLOZ</w:t>
      </w:r>
      <w:r w:rsidRPr="00B75CF6">
        <w:rPr>
          <w:rFonts w:eastAsia="Times New Roman" w:cs="Arial"/>
          <w:smallCaps/>
          <w:color w:val="000000"/>
          <w:szCs w:val="20"/>
          <w:lang w:val="ru-RU"/>
        </w:rPr>
        <w:t>”</w:t>
      </w:r>
      <w:r w:rsidRPr="00B75CF6">
        <w:rPr>
          <w:rFonts w:eastAsia="Times New Roman" w:cs="Arial"/>
          <w:smallCaps/>
          <w:color w:val="000000"/>
          <w:szCs w:val="20"/>
          <w:lang w:eastAsia="bg-BG"/>
        </w:rPr>
        <w:t xml:space="preserve"> от</w:t>
      </w:r>
      <w:r w:rsidRPr="00B75CF6">
        <w:rPr>
          <w:rFonts w:eastAsia="Times New Roman" w:cs="Arial"/>
          <w:color w:val="000000"/>
          <w:szCs w:val="20"/>
          <w:lang w:val="ru-RU"/>
        </w:rPr>
        <w:t xml:space="preserve"> </w:t>
      </w:r>
      <w:r w:rsidRPr="00B75CF6">
        <w:rPr>
          <w:rFonts w:eastAsia="Times New Roman" w:cs="Arial"/>
          <w:color w:val="000000"/>
          <w:szCs w:val="20"/>
          <w:lang w:eastAsia="bg-BG"/>
        </w:rPr>
        <w:t>другата.</w:t>
      </w:r>
    </w:p>
    <w:p w14:paraId="6C00724D" w14:textId="77777777" w:rsidR="00B75CF6" w:rsidRPr="00B75CF6" w:rsidRDefault="00B75CF6" w:rsidP="00B75CF6">
      <w:pPr>
        <w:rPr>
          <w:rFonts w:eastAsia="Times New Roman" w:cs="Arial"/>
          <w:color w:val="000000"/>
          <w:szCs w:val="20"/>
          <w:lang w:eastAsia="bg-BG"/>
        </w:rPr>
      </w:pPr>
    </w:p>
    <w:p w14:paraId="3B02986E" w14:textId="5ED9FE5F" w:rsidR="00B75CF6" w:rsidRPr="00B75CF6" w:rsidRDefault="00B75CF6" w:rsidP="00B75CF6">
      <w:pPr>
        <w:rPr>
          <w:rFonts w:cs="Arial"/>
          <w:sz w:val="24"/>
        </w:rPr>
      </w:pPr>
      <w:r w:rsidRPr="00B75CF6">
        <w:rPr>
          <w:rFonts w:eastAsia="Times New Roman" w:cs="Arial"/>
          <w:color w:val="000000"/>
          <w:szCs w:val="20"/>
          <w:lang w:eastAsia="bg-BG"/>
        </w:rPr>
        <w:t>Таблетката може да се дели на равни половинки.</w:t>
      </w:r>
    </w:p>
    <w:p w14:paraId="06E28BF3" w14:textId="22045E5A" w:rsidR="00B75CF6" w:rsidRPr="00B75CF6" w:rsidRDefault="002C50EE" w:rsidP="00B75CF6">
      <w:pPr>
        <w:pStyle w:val="Heading1"/>
      </w:pPr>
      <w:r>
        <w:t>4. КЛИНИЧНИ ДАННИ</w:t>
      </w:r>
    </w:p>
    <w:p w14:paraId="74330405" w14:textId="1CA458CC" w:rsidR="007122AD" w:rsidRDefault="002C50EE" w:rsidP="00936AD0">
      <w:pPr>
        <w:pStyle w:val="Heading2"/>
      </w:pPr>
      <w:r>
        <w:t>4.1. Терапевтични показания</w:t>
      </w:r>
    </w:p>
    <w:p w14:paraId="67EF4321" w14:textId="60EF2B98" w:rsidR="00B75CF6" w:rsidRDefault="00B75CF6" w:rsidP="00B75CF6"/>
    <w:p w14:paraId="46E12C5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Лечение на терапевтично резистентна шизофрения</w:t>
      </w:r>
    </w:p>
    <w:p w14:paraId="476E9A10"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Лепонекс е показан при пациенти с терапевтично резистентна шизофрения, които имат тежки, неповлияващи се от лечението неврологични нежелани реакции от други антипсихотични лекарства, включително атипични антипсихотици.</w:t>
      </w:r>
    </w:p>
    <w:p w14:paraId="48F4F038" w14:textId="77777777" w:rsidR="00B75CF6" w:rsidRPr="00B75CF6" w:rsidRDefault="00B75CF6" w:rsidP="00B75CF6">
      <w:pPr>
        <w:spacing w:line="240" w:lineRule="auto"/>
        <w:rPr>
          <w:rFonts w:eastAsia="Times New Roman" w:cs="Arial"/>
          <w:color w:val="000000"/>
          <w:szCs w:val="20"/>
          <w:lang w:eastAsia="bg-BG"/>
        </w:rPr>
      </w:pPr>
    </w:p>
    <w:p w14:paraId="791921D7" w14:textId="6B3770F2"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Резистентност към лечението се дефинира като липса на задоволително клинично подобрение, независимо от приложението на достатъчни дози от поне две различни антипсихотични лекарства, включително атипичен антипсихотик, предписван за достатъчно продължителен период от време.</w:t>
      </w:r>
    </w:p>
    <w:p w14:paraId="4879BBFC" w14:textId="77777777" w:rsidR="00B75CF6" w:rsidRPr="00B75CF6" w:rsidRDefault="00B75CF6" w:rsidP="00B75CF6">
      <w:pPr>
        <w:spacing w:line="240" w:lineRule="auto"/>
        <w:rPr>
          <w:rFonts w:eastAsia="Times New Roman" w:cs="Arial"/>
          <w:color w:val="000000"/>
          <w:szCs w:val="20"/>
          <w:u w:val="single"/>
          <w:lang w:eastAsia="bg-BG"/>
        </w:rPr>
      </w:pPr>
    </w:p>
    <w:p w14:paraId="543420A0" w14:textId="77B07B5E"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Психоза при болест на Паркинсон</w:t>
      </w:r>
    </w:p>
    <w:p w14:paraId="5268418E" w14:textId="5AA41279" w:rsidR="00B75CF6" w:rsidRDefault="00B75CF6" w:rsidP="00B75CF6">
      <w:pPr>
        <w:rPr>
          <w:rFonts w:eastAsia="Times New Roman" w:cs="Arial"/>
          <w:color w:val="000000"/>
          <w:szCs w:val="20"/>
          <w:lang w:eastAsia="bg-BG"/>
        </w:rPr>
      </w:pPr>
      <w:r w:rsidRPr="00B75CF6">
        <w:rPr>
          <w:rFonts w:eastAsia="Times New Roman" w:cs="Arial"/>
          <w:color w:val="000000"/>
          <w:szCs w:val="20"/>
          <w:lang w:eastAsia="bg-BG"/>
        </w:rPr>
        <w:t>Лепонекс е показан също при психотични нарушения, възникващи в хода на болестта на Паркинсон в случаите, когато стандартното лечение е неефикасно.</w:t>
      </w:r>
    </w:p>
    <w:p w14:paraId="6365A590" w14:textId="77777777" w:rsidR="00B75CF6" w:rsidRPr="00B75CF6" w:rsidRDefault="00B75CF6" w:rsidP="00B75CF6">
      <w:pPr>
        <w:rPr>
          <w:rFonts w:cs="Arial"/>
          <w:sz w:val="24"/>
        </w:rPr>
      </w:pPr>
    </w:p>
    <w:p w14:paraId="53F5B866" w14:textId="153C90F9" w:rsidR="007122AD" w:rsidRDefault="002C50EE" w:rsidP="00936AD0">
      <w:pPr>
        <w:pStyle w:val="Heading2"/>
      </w:pPr>
      <w:r>
        <w:t>4.2. Дозировка и начин на приложение</w:t>
      </w:r>
    </w:p>
    <w:p w14:paraId="4F9269D0" w14:textId="4D8D7DF2" w:rsidR="00B75CF6" w:rsidRDefault="00B75CF6" w:rsidP="00B75CF6"/>
    <w:p w14:paraId="1EFFE91B" w14:textId="77777777" w:rsidR="00B75CF6" w:rsidRPr="00B75CF6" w:rsidRDefault="00B75CF6" w:rsidP="00B75CF6">
      <w:pPr>
        <w:pStyle w:val="Heading3"/>
        <w:rPr>
          <w:rFonts w:eastAsia="Times New Roman"/>
          <w:u w:val="single"/>
        </w:rPr>
      </w:pPr>
      <w:r w:rsidRPr="00B75CF6">
        <w:rPr>
          <w:rFonts w:eastAsia="Times New Roman"/>
          <w:u w:val="single"/>
          <w:lang w:eastAsia="bg-BG"/>
        </w:rPr>
        <w:t>Дозировка</w:t>
      </w:r>
    </w:p>
    <w:p w14:paraId="4D003D21" w14:textId="77777777" w:rsidR="00B75CF6" w:rsidRPr="00B75CF6" w:rsidRDefault="00B75CF6" w:rsidP="00B75CF6">
      <w:pPr>
        <w:rPr>
          <w:rFonts w:eastAsia="Times New Roman" w:cs="Arial"/>
          <w:color w:val="000000"/>
          <w:lang w:eastAsia="bg-BG"/>
        </w:rPr>
      </w:pPr>
    </w:p>
    <w:p w14:paraId="482597B0" w14:textId="1D360BAF" w:rsidR="00B75CF6" w:rsidRPr="00B75CF6" w:rsidRDefault="00B75CF6" w:rsidP="00B75CF6">
      <w:pPr>
        <w:rPr>
          <w:rFonts w:eastAsia="Times New Roman" w:cs="Arial"/>
          <w:color w:val="000000"/>
          <w:lang w:eastAsia="bg-BG"/>
        </w:rPr>
      </w:pPr>
      <w:r w:rsidRPr="00B75CF6">
        <w:rPr>
          <w:rFonts w:eastAsia="Times New Roman" w:cs="Arial"/>
          <w:color w:val="000000"/>
          <w:lang w:eastAsia="bg-BG"/>
        </w:rPr>
        <w:t>Дозировката трябва да бъде определяна индивидуално. При всеки пациенти трябва да се прилага най-ниската ефективна доза. Внимателно титриране и схема на отделни дози са необходими за минимизиране на рисковете от хипотония, гърчове и седация.</w:t>
      </w:r>
    </w:p>
    <w:p w14:paraId="3D6AF33E" w14:textId="4B0273FB" w:rsidR="00B75CF6" w:rsidRPr="00B75CF6" w:rsidRDefault="00B75CF6" w:rsidP="00B75CF6">
      <w:pPr>
        <w:rPr>
          <w:rFonts w:eastAsia="Times New Roman" w:cs="Arial"/>
          <w:color w:val="000000"/>
          <w:lang w:eastAsia="bg-BG"/>
        </w:rPr>
      </w:pPr>
    </w:p>
    <w:p w14:paraId="18F366C2"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Започването на лечението с Лепонекс трябва да бъде ограничено до пациентите с левкоцитен брой</w:t>
      </w:r>
    </w:p>
    <w:p w14:paraId="4CB9E6FC"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3 500/пмп</w:t>
      </w:r>
      <w:r w:rsidRPr="00B75CF6">
        <w:rPr>
          <w:rFonts w:eastAsia="Times New Roman" w:cs="Arial"/>
          <w:color w:val="000000"/>
          <w:vertAlign w:val="superscript"/>
          <w:lang w:eastAsia="bg-BG"/>
        </w:rPr>
        <w:t>3</w:t>
      </w:r>
      <w:r w:rsidRPr="00B75CF6">
        <w:rPr>
          <w:rFonts w:eastAsia="Times New Roman" w:cs="Arial"/>
          <w:color w:val="000000"/>
          <w:lang w:eastAsia="bg-BG"/>
        </w:rPr>
        <w:t xml:space="preserve"> </w:t>
      </w:r>
      <w:r w:rsidRPr="00B75CF6">
        <w:rPr>
          <w:rFonts w:eastAsia="Times New Roman" w:cs="Arial"/>
          <w:color w:val="000000"/>
          <w:lang w:val="ru-RU"/>
        </w:rPr>
        <w:t>(3,5</w:t>
      </w:r>
      <w:r w:rsidRPr="00B75CF6">
        <w:rPr>
          <w:rFonts w:eastAsia="Times New Roman" w:cs="Arial"/>
          <w:color w:val="000000"/>
          <w:lang w:val="en-US"/>
        </w:rPr>
        <w:t>x</w:t>
      </w:r>
      <w:r w:rsidRPr="00B75CF6">
        <w:rPr>
          <w:rFonts w:eastAsia="Times New Roman" w:cs="Arial"/>
          <w:color w:val="000000"/>
          <w:lang w:val="ru-RU"/>
        </w:rPr>
        <w:t>1</w:t>
      </w:r>
      <w:r w:rsidRPr="00B75CF6">
        <w:rPr>
          <w:rFonts w:eastAsia="Times New Roman" w:cs="Arial"/>
          <w:color w:val="000000"/>
          <w:lang w:eastAsia="bg-BG"/>
        </w:rPr>
        <w:t>0</w:t>
      </w:r>
      <w:r w:rsidRPr="00B75CF6">
        <w:rPr>
          <w:rFonts w:eastAsia="Times New Roman" w:cs="Arial"/>
          <w:color w:val="000000"/>
          <w:vertAlign w:val="superscript"/>
          <w:lang w:eastAsia="bg-BG"/>
        </w:rPr>
        <w:t>9</w:t>
      </w:r>
      <w:r w:rsidRPr="00B75CF6">
        <w:rPr>
          <w:rFonts w:eastAsia="Times New Roman" w:cs="Arial"/>
          <w:color w:val="000000"/>
          <w:lang w:eastAsia="bg-BG"/>
        </w:rPr>
        <w:t xml:space="preserve">/1) и АБН ≥ 2 </w:t>
      </w:r>
      <w:r w:rsidRPr="00B75CF6">
        <w:rPr>
          <w:rFonts w:eastAsia="Times New Roman" w:cs="Arial"/>
          <w:color w:val="000000"/>
          <w:lang w:val="ru-RU"/>
        </w:rPr>
        <w:t>000/</w:t>
      </w:r>
      <w:r w:rsidRPr="00B75CF6">
        <w:rPr>
          <w:rFonts w:eastAsia="Times New Roman" w:cs="Arial"/>
          <w:color w:val="000000"/>
          <w:lang w:val="en-US"/>
        </w:rPr>
        <w:t>mm</w:t>
      </w:r>
      <w:r w:rsidRPr="00B75CF6">
        <w:rPr>
          <w:rFonts w:eastAsia="Times New Roman" w:cs="Arial"/>
          <w:color w:val="000000"/>
          <w:vertAlign w:val="superscript"/>
          <w:lang w:val="ru-RU"/>
        </w:rPr>
        <w:t>3</w:t>
      </w:r>
      <w:r w:rsidRPr="00B75CF6">
        <w:rPr>
          <w:rFonts w:eastAsia="Times New Roman" w:cs="Arial"/>
          <w:color w:val="000000"/>
          <w:lang w:val="ru-RU"/>
        </w:rPr>
        <w:t xml:space="preserve"> (2,0</w:t>
      </w:r>
      <w:r w:rsidRPr="00B75CF6">
        <w:rPr>
          <w:rFonts w:eastAsia="Times New Roman" w:cs="Arial"/>
          <w:color w:val="000000"/>
          <w:lang w:val="en-US"/>
        </w:rPr>
        <w:t>x</w:t>
      </w:r>
      <w:r w:rsidRPr="00B75CF6">
        <w:rPr>
          <w:rFonts w:eastAsia="Times New Roman" w:cs="Arial"/>
          <w:color w:val="000000"/>
          <w:lang w:val="ru-RU"/>
        </w:rPr>
        <w:t>1</w:t>
      </w:r>
      <w:r w:rsidRPr="00B75CF6">
        <w:rPr>
          <w:rFonts w:eastAsia="Times New Roman" w:cs="Arial"/>
          <w:color w:val="000000"/>
          <w:lang w:eastAsia="bg-BG"/>
        </w:rPr>
        <w:t>0</w:t>
      </w:r>
      <w:r w:rsidRPr="00B75CF6">
        <w:rPr>
          <w:rFonts w:eastAsia="Times New Roman" w:cs="Arial"/>
          <w:color w:val="000000"/>
          <w:vertAlign w:val="superscript"/>
          <w:lang w:eastAsia="bg-BG"/>
        </w:rPr>
        <w:t>9</w:t>
      </w:r>
      <w:r w:rsidRPr="00B75CF6">
        <w:rPr>
          <w:rFonts w:eastAsia="Times New Roman" w:cs="Arial"/>
          <w:color w:val="000000"/>
          <w:lang w:eastAsia="bg-BG"/>
        </w:rPr>
        <w:t>/1) в рамките на референтните стойности.</w:t>
      </w:r>
    </w:p>
    <w:p w14:paraId="08E7862D" w14:textId="77777777" w:rsidR="00B75CF6" w:rsidRPr="00B75CF6" w:rsidRDefault="00B75CF6" w:rsidP="00B75CF6">
      <w:pPr>
        <w:spacing w:line="240" w:lineRule="auto"/>
        <w:rPr>
          <w:rFonts w:eastAsia="Times New Roman" w:cs="Arial"/>
          <w:color w:val="000000"/>
          <w:lang w:eastAsia="bg-BG"/>
        </w:rPr>
      </w:pPr>
    </w:p>
    <w:p w14:paraId="12DF2877" w14:textId="79F6B76B" w:rsidR="00B75CF6" w:rsidRPr="00B75CF6" w:rsidRDefault="00B75CF6" w:rsidP="00B75CF6">
      <w:pPr>
        <w:spacing w:line="240" w:lineRule="auto"/>
        <w:rPr>
          <w:rFonts w:eastAsia="Times New Roman" w:cs="Arial"/>
        </w:rPr>
      </w:pPr>
      <w:r w:rsidRPr="00B75CF6">
        <w:rPr>
          <w:rFonts w:eastAsia="Times New Roman" w:cs="Arial"/>
          <w:color w:val="000000"/>
          <w:lang w:eastAsia="bg-BG"/>
        </w:rPr>
        <w:t>Промени в дозировката са показани при пациенти, които получават едновременно и лекарствени продукти, които показват фармакодинамични и фармакокинетични взаимодействия с Лепонекс, като бензодиазепини и селективни инхибитори на обратното захващане на серотонина (вж. точка 4.5).</w:t>
      </w:r>
    </w:p>
    <w:p w14:paraId="3900BB9A" w14:textId="77777777" w:rsidR="00B75CF6" w:rsidRPr="00B75CF6" w:rsidRDefault="00B75CF6" w:rsidP="00B75CF6">
      <w:pPr>
        <w:spacing w:line="240" w:lineRule="auto"/>
        <w:rPr>
          <w:rFonts w:eastAsia="Times New Roman" w:cs="Arial"/>
          <w:i/>
          <w:iCs/>
          <w:color w:val="000000"/>
          <w:u w:val="single"/>
          <w:lang w:eastAsia="bg-BG"/>
        </w:rPr>
      </w:pPr>
    </w:p>
    <w:p w14:paraId="16202BAF" w14:textId="35131B07"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Преминаване от предхождаща антипсихотична терапия, на лечение с Лепонекс</w:t>
      </w:r>
    </w:p>
    <w:p w14:paraId="6B3892D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Обиковено се препоръчва Лепонекс да не се използва в комбинация с други антипсихотични лекарства. Когато ще се започва терапия с Лепонекс при пациент на перорално лечение с антипсихотични лекарства, се препоръчва първо да се спре приложението на останалите антипсихотици чрез постепенно понижаване на дозата,</w:t>
      </w:r>
    </w:p>
    <w:p w14:paraId="1C3EA5BF" w14:textId="77777777" w:rsidR="00B75CF6" w:rsidRPr="00B75CF6" w:rsidRDefault="00B75CF6" w:rsidP="00B75CF6">
      <w:pPr>
        <w:spacing w:line="240" w:lineRule="auto"/>
        <w:rPr>
          <w:rFonts w:eastAsia="Times New Roman" w:cs="Arial"/>
          <w:color w:val="000000"/>
          <w:lang w:eastAsia="bg-BG"/>
        </w:rPr>
      </w:pPr>
    </w:p>
    <w:p w14:paraId="7467349F" w14:textId="6C29D789" w:rsidR="00B75CF6" w:rsidRPr="00B75CF6" w:rsidRDefault="00B75CF6" w:rsidP="00B75CF6">
      <w:pPr>
        <w:spacing w:line="240" w:lineRule="auto"/>
        <w:rPr>
          <w:rFonts w:eastAsia="Times New Roman" w:cs="Arial"/>
        </w:rPr>
      </w:pPr>
      <w:r w:rsidRPr="00B75CF6">
        <w:rPr>
          <w:rFonts w:eastAsia="Times New Roman" w:cs="Arial"/>
          <w:color w:val="000000"/>
          <w:lang w:eastAsia="bg-BG"/>
        </w:rPr>
        <w:t>Препоръчват се следните дози:</w:t>
      </w:r>
    </w:p>
    <w:p w14:paraId="2648A556" w14:textId="77777777" w:rsidR="00B75CF6" w:rsidRPr="00B75CF6" w:rsidRDefault="00B75CF6" w:rsidP="00B75CF6">
      <w:pPr>
        <w:spacing w:line="240" w:lineRule="auto"/>
        <w:rPr>
          <w:rFonts w:eastAsia="Times New Roman" w:cs="Arial"/>
          <w:i/>
          <w:iCs/>
          <w:color w:val="000000"/>
          <w:u w:val="single"/>
          <w:lang w:eastAsia="bg-BG"/>
        </w:rPr>
      </w:pPr>
    </w:p>
    <w:p w14:paraId="365AC035" w14:textId="2A695758"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Пациенти с терапевтично резистентна шизофрения</w:t>
      </w:r>
    </w:p>
    <w:p w14:paraId="0BE8ABA4" w14:textId="77777777" w:rsidR="00B75CF6" w:rsidRPr="00B75CF6" w:rsidRDefault="00B75CF6" w:rsidP="00B75CF6">
      <w:pPr>
        <w:spacing w:line="240" w:lineRule="auto"/>
        <w:rPr>
          <w:rFonts w:eastAsia="Times New Roman" w:cs="Arial"/>
          <w:i/>
          <w:iCs/>
          <w:color w:val="000000"/>
          <w:lang w:eastAsia="bg-BG"/>
        </w:rPr>
      </w:pPr>
    </w:p>
    <w:p w14:paraId="528C8240" w14:textId="4BFB89F7"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Начална терапия</w:t>
      </w:r>
    </w:p>
    <w:p w14:paraId="736DB8A6"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Препоръчваната начална доза е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веднъж или два пъти на ден през първия ден, последвана от 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веднъж или два пъти на ден на втория ден. При добра поносимост дневната доза след това може да се повиши бавно на стъпки от 25 до 50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за да се постигне дозово ниво до 300 </w:t>
      </w:r>
      <w:r w:rsidRPr="00B75CF6">
        <w:rPr>
          <w:rFonts w:eastAsia="Times New Roman" w:cs="Arial"/>
          <w:color w:val="000000"/>
          <w:lang w:val="en-US"/>
        </w:rPr>
        <w:t>mg</w:t>
      </w:r>
      <w:r w:rsidRPr="00B75CF6">
        <w:rPr>
          <w:rFonts w:eastAsia="Times New Roman" w:cs="Arial"/>
          <w:color w:val="000000"/>
          <w:lang w:eastAsia="bg-BG"/>
        </w:rPr>
        <w:t xml:space="preserve">/ден в рамките на 2 до 3 седмици. След това, ако се налага, дневната доза може допълнително да се повиши постепенно с 50 до 100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през интервали от половин или за предпочитане, една седмица.</w:t>
      </w:r>
    </w:p>
    <w:p w14:paraId="33B80847" w14:textId="77777777" w:rsidR="00B75CF6" w:rsidRPr="00B75CF6" w:rsidRDefault="00B75CF6" w:rsidP="00B75CF6">
      <w:pPr>
        <w:spacing w:line="240" w:lineRule="auto"/>
        <w:rPr>
          <w:rFonts w:eastAsia="Times New Roman" w:cs="Arial"/>
          <w:i/>
          <w:iCs/>
          <w:color w:val="000000"/>
          <w:lang w:eastAsia="bg-BG"/>
        </w:rPr>
      </w:pPr>
    </w:p>
    <w:p w14:paraId="5351AB9E" w14:textId="780D5D0F"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Терапевтичен обхват на дозата</w:t>
      </w:r>
    </w:p>
    <w:p w14:paraId="7F31BB37"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При повечето пациенти може да се очаква антипсихотична ефикасност с дози от 200 до 450 </w:t>
      </w:r>
      <w:r w:rsidRPr="00B75CF6">
        <w:rPr>
          <w:rFonts w:eastAsia="Times New Roman" w:cs="Arial"/>
          <w:color w:val="000000"/>
          <w:lang w:val="en-US"/>
        </w:rPr>
        <w:t>mg</w:t>
      </w:r>
      <w:r w:rsidRPr="00B75CF6">
        <w:rPr>
          <w:rFonts w:eastAsia="Times New Roman" w:cs="Arial"/>
          <w:color w:val="000000"/>
          <w:lang w:eastAsia="bg-BG"/>
        </w:rPr>
        <w:t>/ден, давани в отделни дози. Общата дневна доза може да не бъде разделена поравно, като по- голямата част се дава преди лягане.</w:t>
      </w:r>
    </w:p>
    <w:p w14:paraId="5FF55148" w14:textId="77777777" w:rsidR="00B75CF6" w:rsidRPr="00B75CF6" w:rsidRDefault="00B75CF6" w:rsidP="00B75CF6">
      <w:pPr>
        <w:spacing w:line="240" w:lineRule="auto"/>
        <w:rPr>
          <w:rFonts w:eastAsia="Times New Roman" w:cs="Arial"/>
          <w:i/>
          <w:iCs/>
          <w:color w:val="000000"/>
          <w:lang w:eastAsia="bg-BG"/>
        </w:rPr>
      </w:pPr>
    </w:p>
    <w:p w14:paraId="31E81F9F" w14:textId="36226123"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Максимална доза</w:t>
      </w:r>
    </w:p>
    <w:p w14:paraId="3111ED4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За да се постигне максимален терапевтичен ефект, малък брой пациенти могат да изискват по- големи дози, като в този случай е допустимо разумно повишаване на дозата (с не повече от 100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на една стъпка) до 900 </w:t>
      </w:r>
      <w:r w:rsidRPr="00B75CF6">
        <w:rPr>
          <w:rFonts w:eastAsia="Times New Roman" w:cs="Arial"/>
          <w:color w:val="000000"/>
          <w:lang w:val="en-US"/>
        </w:rPr>
        <w:t>mg</w:t>
      </w:r>
      <w:r w:rsidRPr="00B75CF6">
        <w:rPr>
          <w:rFonts w:eastAsia="Times New Roman" w:cs="Arial"/>
          <w:color w:val="000000"/>
          <w:lang w:eastAsia="bg-BG"/>
        </w:rPr>
        <w:t xml:space="preserve">/ден. Трябва да се има пред вид вероятността за повишена честота на нежеланите реакции (особено гърчове), възникващи при дози над 450 </w:t>
      </w:r>
      <w:r w:rsidRPr="00B75CF6">
        <w:rPr>
          <w:rFonts w:eastAsia="Times New Roman" w:cs="Arial"/>
          <w:color w:val="000000"/>
          <w:lang w:val="en-US"/>
        </w:rPr>
        <w:t>mg</w:t>
      </w:r>
      <w:r w:rsidRPr="00B75CF6">
        <w:rPr>
          <w:rFonts w:eastAsia="Times New Roman" w:cs="Arial"/>
          <w:color w:val="000000"/>
          <w:lang w:eastAsia="bg-BG"/>
        </w:rPr>
        <w:t>/ден.</w:t>
      </w:r>
    </w:p>
    <w:p w14:paraId="5AE2FB99" w14:textId="77777777" w:rsidR="00B75CF6" w:rsidRPr="00B75CF6" w:rsidRDefault="00B75CF6" w:rsidP="00B75CF6">
      <w:pPr>
        <w:spacing w:line="240" w:lineRule="auto"/>
        <w:rPr>
          <w:rFonts w:eastAsia="Times New Roman" w:cs="Arial"/>
          <w:i/>
          <w:iCs/>
          <w:color w:val="000000"/>
          <w:lang w:eastAsia="bg-BG"/>
        </w:rPr>
      </w:pPr>
    </w:p>
    <w:p w14:paraId="17C99B4F" w14:textId="613C21A1"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lastRenderedPageBreak/>
        <w:t>Поддържаща доза</w:t>
      </w:r>
    </w:p>
    <w:p w14:paraId="2C57F49A"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След постигане на максималната терапевтична полза много пациенти могат да останат на ефективна поддържаща терапия с по-ниски дози. Затова се препоръчва внимателно титриране с цел понижаване на дозата. Лечението трябва да продължи поне 6 месеца. Ако дневната доза не превишава 200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може да е подходящо еднократно дневното приложение вечер.</w:t>
      </w:r>
    </w:p>
    <w:p w14:paraId="7BFB5597" w14:textId="77777777" w:rsidR="00B75CF6" w:rsidRPr="00B75CF6" w:rsidRDefault="00B75CF6" w:rsidP="00B75CF6">
      <w:pPr>
        <w:spacing w:line="240" w:lineRule="auto"/>
        <w:rPr>
          <w:rFonts w:eastAsia="Times New Roman" w:cs="Arial"/>
          <w:i/>
          <w:iCs/>
          <w:color w:val="000000"/>
          <w:lang w:eastAsia="bg-BG"/>
        </w:rPr>
      </w:pPr>
    </w:p>
    <w:p w14:paraId="454F75B0" w14:textId="50DAFBD1"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Спиране на терапията</w:t>
      </w:r>
    </w:p>
    <w:p w14:paraId="1462AE31"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В случай на планирано спиране на терапията с Лепонекс, се препоръчва постепенно понижение на дозата за период от 1 до 2 седмици. Ако се налага внезапно спиране на лекарството, пациентът трябва да се наблюдава внимателно за възникване на симптоми на отнемането (вж. точка 4.4).</w:t>
      </w:r>
    </w:p>
    <w:p w14:paraId="1372FA63" w14:textId="77777777" w:rsidR="00B75CF6" w:rsidRPr="00B75CF6" w:rsidRDefault="00B75CF6" w:rsidP="00B75CF6">
      <w:pPr>
        <w:spacing w:line="240" w:lineRule="auto"/>
        <w:rPr>
          <w:rFonts w:eastAsia="Times New Roman" w:cs="Arial"/>
          <w:i/>
          <w:iCs/>
          <w:color w:val="000000"/>
          <w:lang w:eastAsia="bg-BG"/>
        </w:rPr>
      </w:pPr>
    </w:p>
    <w:p w14:paraId="28C14BB1" w14:textId="740F8BCC"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Повторно започване на терапия</w:t>
      </w:r>
    </w:p>
    <w:p w14:paraId="1A81A07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При пациентите, при които интервалът от последната доза Лепонекс е повече от 2 дни лечението трябва да се възобнови с доза от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дадена еднократно или двукратно през първия ден. Ако дозата е с добра поносимост, е възможно титриране на дозата до терапевтичното ниво по-бързо, отколкото се препоръчва при първоначалното лечение. Въпреки това, ако пациентът е получил спиране на дишането или сърдечната дейност при първоначалното титриране (вж. точка 4.4), но след това дозата е била титрирана успешно до терапевтичната, повторното титриране трябва да се извърши изключително внимателно.</w:t>
      </w:r>
    </w:p>
    <w:p w14:paraId="38283196" w14:textId="77777777" w:rsidR="00B75CF6" w:rsidRPr="00B75CF6" w:rsidRDefault="00B75CF6" w:rsidP="00B75CF6">
      <w:pPr>
        <w:rPr>
          <w:rFonts w:cs="Arial"/>
        </w:rPr>
      </w:pPr>
    </w:p>
    <w:p w14:paraId="317E5E18" w14:textId="77777777"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Психотични разстройства, възникващи в хода на болестта на Паркинсон, в случаите, когато стандартното лечение е било неуспешно</w:t>
      </w:r>
    </w:p>
    <w:p w14:paraId="2D9E3143" w14:textId="77777777" w:rsidR="00B75CF6" w:rsidRPr="00B75CF6" w:rsidRDefault="00B75CF6" w:rsidP="00B75CF6">
      <w:pPr>
        <w:spacing w:line="240" w:lineRule="auto"/>
        <w:rPr>
          <w:rFonts w:eastAsia="Times New Roman" w:cs="Arial"/>
          <w:i/>
          <w:iCs/>
          <w:color w:val="000000"/>
          <w:lang w:eastAsia="bg-BG"/>
        </w:rPr>
      </w:pPr>
    </w:p>
    <w:p w14:paraId="57EC8A9F" w14:textId="1D003FD9"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Начална терапия</w:t>
      </w:r>
    </w:p>
    <w:p w14:paraId="288ECFAD"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Началната доза не трябва да превишава 12,5 </w:t>
      </w:r>
      <w:r w:rsidRPr="00B75CF6">
        <w:rPr>
          <w:rFonts w:eastAsia="Times New Roman" w:cs="Arial"/>
          <w:color w:val="000000"/>
          <w:lang w:val="en-US"/>
        </w:rPr>
        <w:t>mg</w:t>
      </w:r>
      <w:r w:rsidRPr="00B75CF6">
        <w:rPr>
          <w:rFonts w:eastAsia="Times New Roman" w:cs="Arial"/>
          <w:color w:val="000000"/>
          <w:lang w:eastAsia="bg-BG"/>
        </w:rPr>
        <w:t xml:space="preserve">/ден, приемана вечер. Последващите повишения на дозата трябва да бъдат с по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с максимално две повишения седмично до максимална доза от 50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която не може да бъде достиганата до края на втората седмица. За предпочитане е цялото количество за деня да се дава като единична доза вечер.</w:t>
      </w:r>
    </w:p>
    <w:p w14:paraId="02A982DF" w14:textId="77777777" w:rsidR="00B75CF6" w:rsidRPr="00B75CF6" w:rsidRDefault="00B75CF6" w:rsidP="00B75CF6">
      <w:pPr>
        <w:spacing w:line="240" w:lineRule="auto"/>
        <w:rPr>
          <w:rFonts w:eastAsia="Times New Roman" w:cs="Arial"/>
          <w:i/>
          <w:iCs/>
          <w:color w:val="000000"/>
          <w:lang w:eastAsia="bg-BG"/>
        </w:rPr>
      </w:pPr>
    </w:p>
    <w:p w14:paraId="09C1F87E" w14:textId="28D4B17B"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Терапевтичен обхват на дозата</w:t>
      </w:r>
    </w:p>
    <w:p w14:paraId="7166A8AD"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Средната ефективна доза обикновено е между 25 и 37,5 </w:t>
      </w:r>
      <w:r w:rsidRPr="00B75CF6">
        <w:rPr>
          <w:rFonts w:eastAsia="Times New Roman" w:cs="Arial"/>
          <w:color w:val="000000"/>
          <w:lang w:val="en-US"/>
        </w:rPr>
        <w:t>mg</w:t>
      </w:r>
      <w:r w:rsidRPr="00B75CF6">
        <w:rPr>
          <w:rFonts w:eastAsia="Times New Roman" w:cs="Arial"/>
          <w:color w:val="000000"/>
          <w:lang w:eastAsia="bg-BG"/>
        </w:rPr>
        <w:t xml:space="preserve">/ден. В случай, че лечението за поне една седмица с доза от 50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не даде задоволителен терапевтичен отговор, дозировката може да се повиши вниматено със стъпка от 12,5 </w:t>
      </w:r>
      <w:r w:rsidRPr="00B75CF6">
        <w:rPr>
          <w:rFonts w:eastAsia="Times New Roman" w:cs="Arial"/>
          <w:color w:val="000000"/>
          <w:lang w:val="en-US"/>
        </w:rPr>
        <w:t>mg</w:t>
      </w:r>
      <w:r w:rsidRPr="00B75CF6">
        <w:rPr>
          <w:rFonts w:eastAsia="Times New Roman" w:cs="Arial"/>
          <w:color w:val="000000"/>
          <w:lang w:eastAsia="bg-BG"/>
        </w:rPr>
        <w:t>/седмица.</w:t>
      </w:r>
    </w:p>
    <w:p w14:paraId="0ADBE251" w14:textId="77777777" w:rsidR="00B75CF6" w:rsidRPr="00B75CF6" w:rsidRDefault="00B75CF6" w:rsidP="00B75CF6">
      <w:pPr>
        <w:spacing w:line="240" w:lineRule="auto"/>
        <w:rPr>
          <w:rFonts w:eastAsia="Times New Roman" w:cs="Arial"/>
          <w:i/>
          <w:iCs/>
          <w:color w:val="000000"/>
          <w:lang w:eastAsia="bg-BG"/>
        </w:rPr>
      </w:pPr>
    </w:p>
    <w:p w14:paraId="0A61E9D0" w14:textId="3C0E478E"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Максимална доза</w:t>
      </w:r>
    </w:p>
    <w:p w14:paraId="695398DE"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Дозата от 50 </w:t>
      </w:r>
      <w:r w:rsidRPr="00B75CF6">
        <w:rPr>
          <w:rFonts w:eastAsia="Times New Roman" w:cs="Arial"/>
          <w:color w:val="000000"/>
          <w:lang w:val="en-US"/>
        </w:rPr>
        <w:t>mg</w:t>
      </w:r>
      <w:r w:rsidRPr="00B75CF6">
        <w:rPr>
          <w:rFonts w:eastAsia="Times New Roman" w:cs="Arial"/>
          <w:color w:val="000000"/>
          <w:lang w:eastAsia="bg-BG"/>
        </w:rPr>
        <w:t xml:space="preserve">/ден трябва да бъде превишавана само в изключителни случаи и никога не трябва да се превишава максималната доза от 100 </w:t>
      </w:r>
      <w:r w:rsidRPr="00B75CF6">
        <w:rPr>
          <w:rFonts w:eastAsia="Times New Roman" w:cs="Arial"/>
          <w:color w:val="000000"/>
          <w:lang w:val="en-US"/>
        </w:rPr>
        <w:t>mg</w:t>
      </w:r>
      <w:r w:rsidRPr="00B75CF6">
        <w:rPr>
          <w:rFonts w:eastAsia="Times New Roman" w:cs="Arial"/>
          <w:color w:val="000000"/>
          <w:lang w:eastAsia="bg-BG"/>
        </w:rPr>
        <w:t>/ден.</w:t>
      </w:r>
    </w:p>
    <w:p w14:paraId="1CB14884" w14:textId="77777777" w:rsidR="00B75CF6" w:rsidRPr="00B75CF6" w:rsidRDefault="00B75CF6" w:rsidP="00B75CF6">
      <w:pPr>
        <w:spacing w:line="240" w:lineRule="auto"/>
        <w:rPr>
          <w:rFonts w:eastAsia="Times New Roman" w:cs="Arial"/>
          <w:color w:val="000000"/>
          <w:lang w:eastAsia="bg-BG"/>
        </w:rPr>
      </w:pPr>
    </w:p>
    <w:p w14:paraId="471C615A" w14:textId="3085EBBC" w:rsidR="00B75CF6" w:rsidRPr="00B75CF6" w:rsidRDefault="00B75CF6" w:rsidP="00B75CF6">
      <w:pPr>
        <w:spacing w:line="240" w:lineRule="auto"/>
        <w:rPr>
          <w:rFonts w:eastAsia="Times New Roman" w:cs="Arial"/>
        </w:rPr>
      </w:pPr>
      <w:r w:rsidRPr="00B75CF6">
        <w:rPr>
          <w:rFonts w:eastAsia="Times New Roman" w:cs="Arial"/>
          <w:color w:val="000000"/>
          <w:lang w:eastAsia="bg-BG"/>
        </w:rPr>
        <w:t>Повишенията на дозата трябва да бъдат ограничени или отложени, ако се появят ортостатична хипотония, прекомерно седиране или обърканост. През първите седмици от лечението трябва да се следи артериалното налягане .</w:t>
      </w:r>
    </w:p>
    <w:p w14:paraId="6BD2CA1E" w14:textId="77777777" w:rsidR="00B75CF6" w:rsidRPr="00B75CF6" w:rsidRDefault="00B75CF6" w:rsidP="00B75CF6">
      <w:pPr>
        <w:spacing w:line="240" w:lineRule="auto"/>
        <w:rPr>
          <w:rFonts w:eastAsia="Times New Roman" w:cs="Arial"/>
          <w:i/>
          <w:iCs/>
          <w:color w:val="000000"/>
          <w:lang w:eastAsia="bg-BG"/>
        </w:rPr>
      </w:pPr>
    </w:p>
    <w:p w14:paraId="26CF9855" w14:textId="5837B2CA"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Поддържаща доза</w:t>
      </w:r>
    </w:p>
    <w:p w14:paraId="0513B82B"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Ако е имало пълна ремисия на психотичните симпоми за поне 2 седмици, е възможно повишаване на дозите на антипаркинсоновите лекарства, ако това е показано въз основа на моторния статус. Ако този подход доведе до повторна поява на психотичните </w:t>
      </w:r>
      <w:r w:rsidRPr="00B75CF6">
        <w:rPr>
          <w:rFonts w:eastAsia="Times New Roman" w:cs="Arial"/>
          <w:color w:val="000000"/>
          <w:lang w:eastAsia="bg-BG"/>
        </w:rPr>
        <w:lastRenderedPageBreak/>
        <w:t xml:space="preserve">симптоми, дозата на Лепонекс може да се повиши с по 12,5 </w:t>
      </w:r>
      <w:r w:rsidRPr="00B75CF6">
        <w:rPr>
          <w:rFonts w:eastAsia="Times New Roman" w:cs="Arial"/>
          <w:color w:val="000000"/>
          <w:lang w:val="en-US"/>
        </w:rPr>
        <w:t>mg</w:t>
      </w:r>
      <w:r w:rsidRPr="00B75CF6">
        <w:rPr>
          <w:rFonts w:eastAsia="Times New Roman" w:cs="Arial"/>
          <w:color w:val="000000"/>
          <w:lang w:eastAsia="bg-BG"/>
        </w:rPr>
        <w:t xml:space="preserve">/седмица до максимум 100 </w:t>
      </w:r>
      <w:r w:rsidRPr="00B75CF6">
        <w:rPr>
          <w:rFonts w:eastAsia="Times New Roman" w:cs="Arial"/>
          <w:color w:val="000000"/>
          <w:lang w:val="en-US"/>
        </w:rPr>
        <w:t>mg</w:t>
      </w:r>
      <w:r w:rsidRPr="00B75CF6">
        <w:rPr>
          <w:rFonts w:eastAsia="Times New Roman" w:cs="Arial"/>
          <w:color w:val="000000"/>
          <w:lang w:eastAsia="bg-BG"/>
        </w:rPr>
        <w:t>/ден, приемани в една или две отделни дози (вж. по-горе).</w:t>
      </w:r>
    </w:p>
    <w:p w14:paraId="06B79678" w14:textId="77777777" w:rsidR="00B75CF6" w:rsidRPr="00B75CF6" w:rsidRDefault="00B75CF6" w:rsidP="00B75CF6">
      <w:pPr>
        <w:spacing w:line="240" w:lineRule="auto"/>
        <w:rPr>
          <w:rFonts w:eastAsia="Times New Roman" w:cs="Arial"/>
          <w:i/>
          <w:iCs/>
          <w:color w:val="000000"/>
          <w:lang w:eastAsia="bg-BG"/>
        </w:rPr>
      </w:pPr>
    </w:p>
    <w:p w14:paraId="608D0171" w14:textId="10A0DFD5"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Спиране на терапията</w:t>
      </w:r>
    </w:p>
    <w:p w14:paraId="1C7D3241"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Препоръчва се постепенно намаляване на дозата със стъпки от по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за период от поне една седмица (за предпочитане две).</w:t>
      </w:r>
    </w:p>
    <w:p w14:paraId="3E177171" w14:textId="77777777" w:rsidR="00B75CF6" w:rsidRPr="00B75CF6" w:rsidRDefault="00B75CF6" w:rsidP="00B75CF6">
      <w:pPr>
        <w:spacing w:line="240" w:lineRule="auto"/>
        <w:rPr>
          <w:rFonts w:eastAsia="Times New Roman" w:cs="Arial"/>
          <w:color w:val="000000"/>
          <w:lang w:eastAsia="bg-BG"/>
        </w:rPr>
      </w:pPr>
    </w:p>
    <w:p w14:paraId="09FDB82A" w14:textId="4C1433E3" w:rsidR="00B75CF6" w:rsidRPr="00B75CF6" w:rsidRDefault="00B75CF6" w:rsidP="00B75CF6">
      <w:pPr>
        <w:spacing w:line="240" w:lineRule="auto"/>
        <w:rPr>
          <w:rFonts w:eastAsia="Times New Roman" w:cs="Arial"/>
        </w:rPr>
      </w:pPr>
      <w:r w:rsidRPr="00B75CF6">
        <w:rPr>
          <w:rFonts w:eastAsia="Times New Roman" w:cs="Arial"/>
          <w:color w:val="000000"/>
          <w:lang w:eastAsia="bg-BG"/>
        </w:rPr>
        <w:t>Лечението трябва да се прекрати незабавно в случай на неутропения или агранулоцитоза (вж. точка 4.4). В този случай от основно значение е внимателното проследяване на психиатричния статус на пациента, тъй като симптомите могат бързо да се появят отново.</w:t>
      </w:r>
    </w:p>
    <w:p w14:paraId="3FBEAF67" w14:textId="77777777" w:rsidR="00B75CF6" w:rsidRPr="00B75CF6" w:rsidRDefault="00B75CF6" w:rsidP="00B75CF6">
      <w:pPr>
        <w:spacing w:line="240" w:lineRule="auto"/>
        <w:rPr>
          <w:rFonts w:eastAsia="Times New Roman" w:cs="Arial"/>
          <w:i/>
          <w:iCs/>
          <w:color w:val="000000"/>
          <w:u w:val="single"/>
          <w:lang w:eastAsia="bg-BG"/>
        </w:rPr>
      </w:pPr>
    </w:p>
    <w:p w14:paraId="658EE0D9" w14:textId="2467DE0F" w:rsidR="00B75CF6" w:rsidRPr="00B75CF6" w:rsidRDefault="00B75CF6" w:rsidP="00B75CF6">
      <w:pPr>
        <w:spacing w:line="240" w:lineRule="auto"/>
        <w:rPr>
          <w:rFonts w:eastAsia="Times New Roman" w:cs="Arial"/>
        </w:rPr>
      </w:pPr>
      <w:r w:rsidRPr="00B75CF6">
        <w:rPr>
          <w:rFonts w:eastAsia="Times New Roman" w:cs="Arial"/>
          <w:i/>
          <w:iCs/>
          <w:color w:val="000000"/>
          <w:u w:val="single"/>
          <w:lang w:eastAsia="bg-BG"/>
        </w:rPr>
        <w:t>Специални групи пациенти</w:t>
      </w:r>
    </w:p>
    <w:p w14:paraId="0DB8AF28" w14:textId="77777777" w:rsidR="00B75CF6" w:rsidRPr="00B75CF6" w:rsidRDefault="00B75CF6" w:rsidP="00B75CF6">
      <w:pPr>
        <w:spacing w:line="240" w:lineRule="auto"/>
        <w:rPr>
          <w:rFonts w:eastAsia="Times New Roman" w:cs="Arial"/>
          <w:i/>
          <w:iCs/>
          <w:color w:val="000000"/>
          <w:lang w:eastAsia="bg-BG"/>
        </w:rPr>
      </w:pPr>
    </w:p>
    <w:p w14:paraId="3554CA83" w14:textId="115BE6FA"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Пациенти с чернодробно увреждане</w:t>
      </w:r>
    </w:p>
    <w:p w14:paraId="10E9C9BA"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При пациенти с чернодробно увреждане Лепонекс трябва да се прилага с повишено внимание, заедно с извършване на редовно проследяване на чернодробните функционални тестове (вж. точка 4.4).</w:t>
      </w:r>
    </w:p>
    <w:p w14:paraId="6B12E5E2" w14:textId="77777777" w:rsidR="00B75CF6" w:rsidRPr="00B75CF6" w:rsidRDefault="00B75CF6" w:rsidP="00B75CF6">
      <w:pPr>
        <w:spacing w:line="240" w:lineRule="auto"/>
        <w:rPr>
          <w:rFonts w:eastAsia="Times New Roman" w:cs="Arial"/>
          <w:i/>
          <w:iCs/>
          <w:color w:val="000000"/>
          <w:lang w:eastAsia="bg-BG"/>
        </w:rPr>
      </w:pPr>
    </w:p>
    <w:p w14:paraId="73EC98A5" w14:textId="01245D10"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Педиатрична популация</w:t>
      </w:r>
    </w:p>
    <w:p w14:paraId="56A8D4FF"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Педиатрични изследвания не са провеждани. Безопасността и ефикасността на Лепонекс при деца и юноши на възраст под 16 години все още не е установена. Не трябва да се прилага при тази група докато не са налични други данни.</w:t>
      </w:r>
    </w:p>
    <w:p w14:paraId="4D22C144" w14:textId="77777777" w:rsidR="00B75CF6" w:rsidRPr="00B75CF6" w:rsidRDefault="00B75CF6" w:rsidP="00B75CF6">
      <w:pPr>
        <w:spacing w:line="240" w:lineRule="auto"/>
        <w:rPr>
          <w:rFonts w:eastAsia="Times New Roman" w:cs="Arial"/>
          <w:i/>
          <w:iCs/>
          <w:color w:val="000000"/>
          <w:lang w:eastAsia="bg-BG"/>
        </w:rPr>
      </w:pPr>
    </w:p>
    <w:p w14:paraId="26001993" w14:textId="4F09FC59" w:rsidR="00B75CF6" w:rsidRPr="00B75CF6" w:rsidRDefault="00B75CF6" w:rsidP="00B75CF6">
      <w:pPr>
        <w:spacing w:line="240" w:lineRule="auto"/>
        <w:rPr>
          <w:rFonts w:eastAsia="Times New Roman" w:cs="Arial"/>
        </w:rPr>
      </w:pPr>
      <w:r w:rsidRPr="00B75CF6">
        <w:rPr>
          <w:rFonts w:eastAsia="Times New Roman" w:cs="Arial"/>
          <w:i/>
          <w:iCs/>
          <w:color w:val="000000"/>
          <w:lang w:eastAsia="bg-BG"/>
        </w:rPr>
        <w:t>Пациенти на възраст на и над 60 години</w:t>
      </w:r>
    </w:p>
    <w:p w14:paraId="6CE1D532" w14:textId="77777777" w:rsidR="00B75CF6" w:rsidRPr="00B75CF6" w:rsidRDefault="00B75CF6" w:rsidP="00B75CF6">
      <w:pPr>
        <w:spacing w:line="240" w:lineRule="auto"/>
        <w:rPr>
          <w:rFonts w:eastAsia="Times New Roman" w:cs="Arial"/>
        </w:rPr>
      </w:pPr>
      <w:r w:rsidRPr="00B75CF6">
        <w:rPr>
          <w:rFonts w:eastAsia="Times New Roman" w:cs="Arial"/>
          <w:color w:val="000000"/>
          <w:lang w:eastAsia="bg-BG"/>
        </w:rPr>
        <w:t xml:space="preserve">Препоръчва се започване на лечението в особено ниска доза (12,5 </w:t>
      </w:r>
      <w:r w:rsidRPr="00B75CF6">
        <w:rPr>
          <w:rFonts w:eastAsia="Times New Roman" w:cs="Arial"/>
          <w:color w:val="000000"/>
          <w:lang w:val="en-US"/>
        </w:rPr>
        <w:t>mg</w:t>
      </w:r>
      <w:r w:rsidRPr="00B75CF6">
        <w:rPr>
          <w:rFonts w:eastAsia="Times New Roman" w:cs="Arial"/>
          <w:color w:val="000000"/>
          <w:lang w:val="ru-RU"/>
        </w:rPr>
        <w:t xml:space="preserve"> </w:t>
      </w:r>
      <w:r w:rsidRPr="00B75CF6">
        <w:rPr>
          <w:rFonts w:eastAsia="Times New Roman" w:cs="Arial"/>
          <w:color w:val="000000"/>
          <w:lang w:eastAsia="bg-BG"/>
        </w:rPr>
        <w:t xml:space="preserve">еднократно на първия ден) с последващи повишения на дозата, ограничена до 25 </w:t>
      </w:r>
      <w:r w:rsidRPr="00B75CF6">
        <w:rPr>
          <w:rFonts w:eastAsia="Times New Roman" w:cs="Arial"/>
          <w:color w:val="000000"/>
          <w:lang w:val="en-US"/>
        </w:rPr>
        <w:t>mg</w:t>
      </w:r>
      <w:r w:rsidRPr="00B75CF6">
        <w:rPr>
          <w:rFonts w:eastAsia="Times New Roman" w:cs="Arial"/>
          <w:color w:val="000000"/>
          <w:lang w:eastAsia="bg-BG"/>
        </w:rPr>
        <w:t>/ден.</w:t>
      </w:r>
    </w:p>
    <w:p w14:paraId="168EE7FD" w14:textId="77777777" w:rsidR="00B75CF6" w:rsidRPr="00B75CF6" w:rsidRDefault="00B75CF6" w:rsidP="00B75CF6">
      <w:pPr>
        <w:rPr>
          <w:rFonts w:eastAsia="Times New Roman" w:cs="Arial"/>
          <w:color w:val="000000"/>
          <w:u w:val="single"/>
          <w:lang w:eastAsia="bg-BG"/>
        </w:rPr>
      </w:pPr>
    </w:p>
    <w:p w14:paraId="6A51AE99" w14:textId="03669640" w:rsidR="00B75CF6" w:rsidRPr="00B75CF6" w:rsidRDefault="00B75CF6" w:rsidP="00B75CF6">
      <w:pPr>
        <w:pStyle w:val="Heading3"/>
        <w:rPr>
          <w:rFonts w:eastAsia="Times New Roman"/>
          <w:u w:val="single"/>
          <w:lang w:eastAsia="bg-BG"/>
        </w:rPr>
      </w:pPr>
      <w:r w:rsidRPr="00B75CF6">
        <w:rPr>
          <w:rFonts w:eastAsia="Times New Roman"/>
          <w:u w:val="single"/>
          <w:lang w:eastAsia="bg-BG"/>
        </w:rPr>
        <w:t>Начин на приложение</w:t>
      </w:r>
    </w:p>
    <w:p w14:paraId="119ED7B7" w14:textId="15A53940" w:rsidR="00B75CF6" w:rsidRDefault="00B75CF6" w:rsidP="00B75CF6">
      <w:pPr>
        <w:rPr>
          <w:rFonts w:cs="Arial"/>
        </w:rPr>
      </w:pPr>
      <w:r w:rsidRPr="00B75CF6">
        <w:rPr>
          <w:rFonts w:cs="Arial"/>
        </w:rPr>
        <w:t>Лепонекс таблетки са за перорално приложение.</w:t>
      </w:r>
    </w:p>
    <w:p w14:paraId="7E920FFB" w14:textId="77777777" w:rsidR="00B75CF6" w:rsidRPr="00B75CF6" w:rsidRDefault="00B75CF6" w:rsidP="00B75CF6">
      <w:pPr>
        <w:rPr>
          <w:rFonts w:cs="Arial"/>
        </w:rPr>
      </w:pPr>
    </w:p>
    <w:p w14:paraId="0F253247" w14:textId="3C22CB8B" w:rsidR="007122AD" w:rsidRDefault="002C50EE" w:rsidP="00936AD0">
      <w:pPr>
        <w:pStyle w:val="Heading2"/>
      </w:pPr>
      <w:r>
        <w:t>4.3. Противопоказания</w:t>
      </w:r>
    </w:p>
    <w:p w14:paraId="1DE7774E" w14:textId="53D89CB6" w:rsidR="00B75CF6" w:rsidRDefault="00B75CF6" w:rsidP="00B75CF6"/>
    <w:p w14:paraId="5A0621BE" w14:textId="77777777" w:rsidR="00B75CF6" w:rsidRPr="00B75CF6" w:rsidRDefault="00B75CF6" w:rsidP="00B75CF6">
      <w:pPr>
        <w:pStyle w:val="ListParagraph"/>
        <w:numPr>
          <w:ilvl w:val="0"/>
          <w:numId w:val="38"/>
        </w:numPr>
        <w:rPr>
          <w:lang w:eastAsia="bg-BG"/>
        </w:rPr>
      </w:pPr>
      <w:r w:rsidRPr="00B75CF6">
        <w:rPr>
          <w:lang w:eastAsia="bg-BG"/>
        </w:rPr>
        <w:t>Свръхчувствителност към активното вещество или към някое от помощните вещества, изброени в точка 6.1.</w:t>
      </w:r>
    </w:p>
    <w:p w14:paraId="384964D8" w14:textId="77777777" w:rsidR="00B75CF6" w:rsidRPr="00B75CF6" w:rsidRDefault="00B75CF6" w:rsidP="00B75CF6">
      <w:pPr>
        <w:pStyle w:val="ListParagraph"/>
        <w:numPr>
          <w:ilvl w:val="0"/>
          <w:numId w:val="38"/>
        </w:numPr>
        <w:rPr>
          <w:lang w:eastAsia="bg-BG"/>
        </w:rPr>
      </w:pPr>
      <w:r w:rsidRPr="00B75CF6">
        <w:rPr>
          <w:lang w:eastAsia="bg-BG"/>
        </w:rPr>
        <w:t>Пациенти, които не могат да бъдат подлагани на редовни кръвни изследвания.</w:t>
      </w:r>
    </w:p>
    <w:p w14:paraId="72AE7EBE" w14:textId="77777777" w:rsidR="00B75CF6" w:rsidRPr="00B75CF6" w:rsidRDefault="00B75CF6" w:rsidP="00B75CF6">
      <w:pPr>
        <w:pStyle w:val="ListParagraph"/>
        <w:numPr>
          <w:ilvl w:val="0"/>
          <w:numId w:val="38"/>
        </w:numPr>
        <w:rPr>
          <w:lang w:eastAsia="bg-BG"/>
        </w:rPr>
      </w:pPr>
      <w:r w:rsidRPr="00B75CF6">
        <w:rPr>
          <w:lang w:eastAsia="bg-BG"/>
        </w:rPr>
        <w:t>Анамнеза за токсична или идиосинкразна гранулоцитопения/агранулоцитоза (с изключение на гранулоцитопения/агранулоцитоза при предхождаща химиотерапия).</w:t>
      </w:r>
    </w:p>
    <w:p w14:paraId="2B413BC8" w14:textId="77777777" w:rsidR="00B75CF6" w:rsidRPr="00B75CF6" w:rsidRDefault="00B75CF6" w:rsidP="00B75CF6">
      <w:pPr>
        <w:pStyle w:val="ListParagraph"/>
        <w:numPr>
          <w:ilvl w:val="0"/>
          <w:numId w:val="38"/>
        </w:numPr>
        <w:rPr>
          <w:lang w:eastAsia="bg-BG"/>
        </w:rPr>
      </w:pPr>
      <w:r w:rsidRPr="00B75CF6">
        <w:rPr>
          <w:lang w:eastAsia="bg-BG"/>
        </w:rPr>
        <w:t>Анамнеза за агранулоцитоза, предизвикана от Лепонекс.</w:t>
      </w:r>
    </w:p>
    <w:p w14:paraId="009F2BC5" w14:textId="77777777" w:rsidR="00B75CF6" w:rsidRPr="00B75CF6" w:rsidRDefault="00B75CF6" w:rsidP="00B75CF6">
      <w:pPr>
        <w:pStyle w:val="ListParagraph"/>
        <w:numPr>
          <w:ilvl w:val="0"/>
          <w:numId w:val="38"/>
        </w:numPr>
        <w:rPr>
          <w:lang w:eastAsia="bg-BG"/>
        </w:rPr>
      </w:pPr>
      <w:r w:rsidRPr="00B75CF6">
        <w:rPr>
          <w:lang w:eastAsia="bg-BG"/>
        </w:rPr>
        <w:t>Лечението с Лепонекс не трябва да бъде започвано едновременно с лекарства, които имат известен значителен потенциал да предизвикат агранулоцитоза; не се препоръчва едновремената употребата на депо антипсихотици.</w:t>
      </w:r>
    </w:p>
    <w:p w14:paraId="755EDC4F" w14:textId="77777777" w:rsidR="00B75CF6" w:rsidRPr="00B75CF6" w:rsidRDefault="00B75CF6" w:rsidP="00B75CF6">
      <w:pPr>
        <w:pStyle w:val="ListParagraph"/>
        <w:numPr>
          <w:ilvl w:val="0"/>
          <w:numId w:val="38"/>
        </w:numPr>
        <w:rPr>
          <w:lang w:eastAsia="bg-BG"/>
        </w:rPr>
      </w:pPr>
      <w:r w:rsidRPr="00B75CF6">
        <w:rPr>
          <w:lang w:eastAsia="bg-BG"/>
        </w:rPr>
        <w:t>Нарушена функция на костния мозък.</w:t>
      </w:r>
    </w:p>
    <w:p w14:paraId="5336C84C" w14:textId="77777777" w:rsidR="00B75CF6" w:rsidRPr="00B75CF6" w:rsidRDefault="00B75CF6" w:rsidP="00B75CF6">
      <w:pPr>
        <w:pStyle w:val="ListParagraph"/>
        <w:numPr>
          <w:ilvl w:val="0"/>
          <w:numId w:val="38"/>
        </w:numPr>
        <w:rPr>
          <w:lang w:eastAsia="bg-BG"/>
        </w:rPr>
      </w:pPr>
      <w:r w:rsidRPr="00B75CF6">
        <w:rPr>
          <w:lang w:eastAsia="bg-BG"/>
        </w:rPr>
        <w:t>Неконтролирана епилепсия.</w:t>
      </w:r>
    </w:p>
    <w:p w14:paraId="77AEEBE4" w14:textId="77777777" w:rsidR="00B75CF6" w:rsidRPr="00B75CF6" w:rsidRDefault="00B75CF6" w:rsidP="00B75CF6">
      <w:pPr>
        <w:pStyle w:val="ListParagraph"/>
        <w:numPr>
          <w:ilvl w:val="0"/>
          <w:numId w:val="38"/>
        </w:numPr>
        <w:rPr>
          <w:lang w:eastAsia="bg-BG"/>
        </w:rPr>
      </w:pPr>
      <w:r w:rsidRPr="00B75CF6">
        <w:rPr>
          <w:lang w:eastAsia="bg-BG"/>
        </w:rPr>
        <w:t>Алкохолна или други видове токсични психози, лекарствени интоксикации, коматозни състояния.</w:t>
      </w:r>
    </w:p>
    <w:p w14:paraId="0C9C7355" w14:textId="77777777" w:rsidR="00B75CF6" w:rsidRPr="00B75CF6" w:rsidRDefault="00B75CF6" w:rsidP="00B75CF6">
      <w:pPr>
        <w:pStyle w:val="ListParagraph"/>
        <w:numPr>
          <w:ilvl w:val="0"/>
          <w:numId w:val="38"/>
        </w:numPr>
        <w:rPr>
          <w:lang w:eastAsia="bg-BG"/>
        </w:rPr>
      </w:pPr>
      <w:r w:rsidRPr="00B75CF6">
        <w:rPr>
          <w:lang w:eastAsia="bg-BG"/>
        </w:rPr>
        <w:t>Циркулаторен колапс и/или потискане на ЦНС от всякакви причини.</w:t>
      </w:r>
    </w:p>
    <w:p w14:paraId="69012DC3" w14:textId="77777777" w:rsidR="00B75CF6" w:rsidRPr="00B75CF6" w:rsidRDefault="00B75CF6" w:rsidP="00B75CF6">
      <w:pPr>
        <w:pStyle w:val="ListParagraph"/>
        <w:numPr>
          <w:ilvl w:val="0"/>
          <w:numId w:val="38"/>
        </w:numPr>
        <w:rPr>
          <w:lang w:eastAsia="bg-BG"/>
        </w:rPr>
      </w:pPr>
      <w:r w:rsidRPr="00B75CF6">
        <w:rPr>
          <w:lang w:eastAsia="bg-BG"/>
        </w:rPr>
        <w:t>Тежки бъбречни или сърдечни заболявания (напр. миокардит).</w:t>
      </w:r>
    </w:p>
    <w:p w14:paraId="6D458048" w14:textId="77777777" w:rsidR="00B75CF6" w:rsidRPr="00B75CF6" w:rsidRDefault="00B75CF6" w:rsidP="00B75CF6">
      <w:pPr>
        <w:pStyle w:val="ListParagraph"/>
        <w:numPr>
          <w:ilvl w:val="0"/>
          <w:numId w:val="38"/>
        </w:numPr>
        <w:rPr>
          <w:lang w:eastAsia="bg-BG"/>
        </w:rPr>
      </w:pPr>
      <w:r w:rsidRPr="00B75CF6">
        <w:rPr>
          <w:lang w:eastAsia="bg-BG"/>
        </w:rPr>
        <w:lastRenderedPageBreak/>
        <w:t>Активно чернодробно заболяване, свързано с гадене, липса на апетит или жълтеница; прогресивно чернодробно заболяване, чернодробна недостатъчност.</w:t>
      </w:r>
    </w:p>
    <w:p w14:paraId="1E574052" w14:textId="77777777" w:rsidR="00B75CF6" w:rsidRPr="00B75CF6" w:rsidRDefault="00B75CF6" w:rsidP="00B75CF6">
      <w:pPr>
        <w:pStyle w:val="ListParagraph"/>
        <w:numPr>
          <w:ilvl w:val="0"/>
          <w:numId w:val="38"/>
        </w:numPr>
        <w:rPr>
          <w:lang w:eastAsia="bg-BG"/>
        </w:rPr>
      </w:pPr>
      <w:r w:rsidRPr="00B75CF6">
        <w:rPr>
          <w:lang w:eastAsia="bg-BG"/>
        </w:rPr>
        <w:t>Паралитичен илеус.</w:t>
      </w:r>
    </w:p>
    <w:p w14:paraId="3800E6DB" w14:textId="77777777" w:rsidR="00B75CF6" w:rsidRPr="00B75CF6" w:rsidRDefault="00B75CF6" w:rsidP="00B75CF6"/>
    <w:p w14:paraId="0E0BDCC7" w14:textId="0D4F4633" w:rsidR="007122AD" w:rsidRDefault="002C50EE" w:rsidP="00936AD0">
      <w:pPr>
        <w:pStyle w:val="Heading2"/>
      </w:pPr>
      <w:r>
        <w:t>4.4. Специални предупреждения и предпазни мерки при употреба</w:t>
      </w:r>
    </w:p>
    <w:p w14:paraId="3544DC08" w14:textId="2DBA0004" w:rsidR="00B75CF6" w:rsidRDefault="00B75CF6" w:rsidP="00B75CF6"/>
    <w:p w14:paraId="0E9F458D"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Агранулоцитоза</w:t>
      </w:r>
    </w:p>
    <w:p w14:paraId="0F3BE002"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Лепонекс може да причини агранулоцитоза. Честотата на агранулоцитозата и честотата на случаите с фатален изход при тези пациенти, които развиват агранулоцитоза, е намален значително след въвеждане проследяването на броя левкоцити и абсолютния брой неутрофили (АБН), Следните предпазни мерки са задължителни и трябва да се извършват съгласно официалните препоръки.</w:t>
      </w:r>
    </w:p>
    <w:p w14:paraId="1FC62C98" w14:textId="77777777" w:rsidR="00B75CF6" w:rsidRPr="00B75CF6" w:rsidRDefault="00B75CF6" w:rsidP="00B75CF6">
      <w:pPr>
        <w:spacing w:line="240" w:lineRule="auto"/>
        <w:rPr>
          <w:rFonts w:eastAsia="Times New Roman" w:cs="Arial"/>
          <w:color w:val="000000"/>
          <w:szCs w:val="20"/>
          <w:lang w:eastAsia="bg-BG"/>
        </w:rPr>
      </w:pPr>
    </w:p>
    <w:p w14:paraId="070D5F88" w14:textId="316C38A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Поради рисковете, свързани с употребата на Лепонекс, приложението му се ограничава до пациентите, при които е показана терапията, както е посочено в точка 4.1 и:</w:t>
      </w:r>
    </w:p>
    <w:p w14:paraId="01761FB7" w14:textId="77777777" w:rsidR="00B75CF6" w:rsidRPr="00B75CF6" w:rsidRDefault="00B75CF6" w:rsidP="00B75CF6">
      <w:pPr>
        <w:pStyle w:val="ListParagraph"/>
        <w:numPr>
          <w:ilvl w:val="0"/>
          <w:numId w:val="39"/>
        </w:numPr>
        <w:spacing w:line="240" w:lineRule="auto"/>
        <w:rPr>
          <w:rFonts w:eastAsia="Times New Roman" w:cs="Arial"/>
          <w:sz w:val="28"/>
          <w:szCs w:val="24"/>
        </w:rPr>
      </w:pPr>
      <w:r w:rsidRPr="00B75CF6">
        <w:rPr>
          <w:rFonts w:eastAsia="Times New Roman" w:cs="Arial"/>
          <w:color w:val="000000"/>
          <w:szCs w:val="20"/>
          <w:lang w:eastAsia="bg-BG"/>
        </w:rPr>
        <w:t xml:space="preserve">които първоначално имат нормален брой левкоцити (левкоцити ≥3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АБН ≥2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w:t>
      </w:r>
      <w:r w:rsidRPr="00B75CF6">
        <w:rPr>
          <w:rFonts w:eastAsia="Times New Roman" w:cs="Arial"/>
          <w:color w:val="000000"/>
          <w:szCs w:val="20"/>
          <w:lang w:val="ru-RU"/>
        </w:rPr>
        <w:t>2,0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и</w:t>
      </w:r>
    </w:p>
    <w:p w14:paraId="29ADC0B0" w14:textId="49B35FFC" w:rsidR="00B75CF6" w:rsidRPr="00B75CF6" w:rsidRDefault="00B75CF6" w:rsidP="00B75CF6">
      <w:pPr>
        <w:pStyle w:val="ListParagraph"/>
        <w:numPr>
          <w:ilvl w:val="0"/>
          <w:numId w:val="39"/>
        </w:numPr>
        <w:spacing w:line="240" w:lineRule="auto"/>
        <w:rPr>
          <w:rFonts w:eastAsia="Times New Roman" w:cs="Arial"/>
          <w:sz w:val="28"/>
          <w:szCs w:val="24"/>
        </w:rPr>
      </w:pPr>
      <w:r w:rsidRPr="00B75CF6">
        <w:rPr>
          <w:rFonts w:eastAsia="Times New Roman" w:cs="Arial"/>
          <w:color w:val="000000"/>
          <w:szCs w:val="20"/>
          <w:lang w:eastAsia="bg-BG"/>
        </w:rPr>
        <w:t>при които редовно могат да се определят общия брой левкоцити и АБН, всяка седмица през първите 18 седмици и поне на всеки 4 седмици след това. Мониторирането трябва да продължи по време на лечението и за 4 седмици след пълното прекратяване приема на Лепонекс.</w:t>
      </w:r>
    </w:p>
    <w:p w14:paraId="69E05896" w14:textId="77777777" w:rsidR="00B75CF6" w:rsidRPr="00B75CF6" w:rsidRDefault="00B75CF6" w:rsidP="00B75CF6">
      <w:pPr>
        <w:spacing w:line="240" w:lineRule="auto"/>
        <w:rPr>
          <w:rFonts w:eastAsia="Times New Roman" w:cs="Arial"/>
          <w:color w:val="000000"/>
          <w:szCs w:val="20"/>
          <w:lang w:eastAsia="bg-BG"/>
        </w:rPr>
      </w:pPr>
    </w:p>
    <w:p w14:paraId="09C5EACB" w14:textId="2BAB68CD"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Лепонекс трябва да се прилага под строг медицински контрол в съответствие с официалните препоръки.</w:t>
      </w:r>
    </w:p>
    <w:p w14:paraId="24BE3E64" w14:textId="77777777" w:rsidR="00B75CF6" w:rsidRPr="00B75CF6" w:rsidRDefault="00B75CF6" w:rsidP="00B75CF6">
      <w:pPr>
        <w:spacing w:line="240" w:lineRule="auto"/>
        <w:rPr>
          <w:rFonts w:eastAsia="Times New Roman" w:cs="Arial"/>
          <w:color w:val="000000"/>
          <w:szCs w:val="20"/>
          <w:lang w:eastAsia="bg-BG"/>
        </w:rPr>
      </w:pPr>
    </w:p>
    <w:p w14:paraId="08CD32D5" w14:textId="5EB36F35"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Преди започване на лечението с клозапин трябва да се вземе кръвна проба (вж. “агранулоцитоза”), да се снеме анамнеза и да се извърши физикален преглед. Пациентите с анамнеза за сърдечно заболяване или абнормни сърдечни резултати трябва да бъдат насочени към специалист за допълнителни изследвания, които могат да включват ЕКГ, и пациентите трябва да бъдат лекувани единствено, ако очакваните ползи явно превишават рисковете (вж. точка 4.3). Лекуващия лекар трябва да обмисли извършването на ЕКГ преди лечението.</w:t>
      </w:r>
    </w:p>
    <w:p w14:paraId="539F5C83" w14:textId="10A99977" w:rsidR="00B75CF6" w:rsidRPr="00B75CF6" w:rsidRDefault="00B75CF6" w:rsidP="00B75CF6">
      <w:pPr>
        <w:rPr>
          <w:rFonts w:cs="Arial"/>
          <w:sz w:val="24"/>
        </w:rPr>
      </w:pPr>
    </w:p>
    <w:tbl>
      <w:tblPr>
        <w:tblStyle w:val="TableGrid"/>
        <w:tblW w:w="0" w:type="auto"/>
        <w:tblLook w:val="04A0" w:firstRow="1" w:lastRow="0" w:firstColumn="1" w:lastColumn="0" w:noHBand="0" w:noVBand="1"/>
      </w:tblPr>
      <w:tblGrid>
        <w:gridCol w:w="9350"/>
      </w:tblGrid>
      <w:tr w:rsidR="00B75CF6" w:rsidRPr="00B75CF6" w14:paraId="279E6BD2" w14:textId="77777777" w:rsidTr="00B75CF6">
        <w:tc>
          <w:tcPr>
            <w:tcW w:w="9576" w:type="dxa"/>
          </w:tcPr>
          <w:p w14:paraId="77F6509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Лекуващите лекари трябва да спазват изцяло необходимите мерки за безопасност.</w:t>
            </w:r>
          </w:p>
          <w:p w14:paraId="22157A0A" w14:textId="77777777" w:rsidR="00B75CF6" w:rsidRPr="00B75CF6" w:rsidRDefault="00B75CF6" w:rsidP="00B75CF6">
            <w:pPr>
              <w:spacing w:line="240" w:lineRule="auto"/>
              <w:rPr>
                <w:rFonts w:eastAsia="Times New Roman" w:cs="Arial"/>
                <w:color w:val="000000"/>
                <w:szCs w:val="20"/>
                <w:lang w:eastAsia="bg-BG"/>
              </w:rPr>
            </w:pPr>
          </w:p>
          <w:p w14:paraId="2E7B17B1" w14:textId="77777777" w:rsidR="00B75CF6" w:rsidRPr="00B75CF6" w:rsidRDefault="00B75CF6" w:rsidP="00B75CF6">
            <w:pPr>
              <w:spacing w:line="240" w:lineRule="auto"/>
              <w:rPr>
                <w:rFonts w:eastAsia="Times New Roman" w:cs="Arial"/>
                <w:color w:val="000000"/>
                <w:szCs w:val="20"/>
                <w:lang w:eastAsia="bg-BG"/>
              </w:rPr>
            </w:pPr>
            <w:r w:rsidRPr="00B75CF6">
              <w:rPr>
                <w:rFonts w:eastAsia="Times New Roman" w:cs="Arial"/>
                <w:color w:val="000000"/>
                <w:szCs w:val="20"/>
                <w:lang w:eastAsia="bg-BG"/>
              </w:rPr>
              <w:t xml:space="preserve">Преди започване на лечението лекарите трябва да се уверят, доколкото това им е известно, че пациентът не е имал преди нежелана хематологична реакция към клозапин, която е наложила спиране на лечението. </w:t>
            </w:r>
          </w:p>
          <w:p w14:paraId="3F7E4B75" w14:textId="2CA3BC71"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Лекарството не трябва да се предписва за периоди по-дълги от интервала между две определяния на броя на кръвните клетки.</w:t>
            </w:r>
          </w:p>
          <w:p w14:paraId="0FE94496" w14:textId="77777777" w:rsidR="00B75CF6" w:rsidRPr="00B75CF6" w:rsidRDefault="00B75CF6" w:rsidP="00B75CF6">
            <w:pPr>
              <w:spacing w:line="240" w:lineRule="auto"/>
              <w:rPr>
                <w:rFonts w:eastAsia="Times New Roman" w:cs="Arial"/>
                <w:color w:val="000000"/>
                <w:szCs w:val="20"/>
                <w:lang w:eastAsia="bg-BG"/>
              </w:rPr>
            </w:pPr>
          </w:p>
          <w:p w14:paraId="6B218D8F" w14:textId="2080FFFD"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Незабавното спиране на Лепонекс е задължително или ако брой левкоцити е под 3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 xml:space="preserve">3 </w:t>
            </w:r>
            <w:r w:rsidRPr="00B75CF6">
              <w:rPr>
                <w:rFonts w:eastAsia="Times New Roman" w:cs="Arial"/>
                <w:color w:val="000000"/>
                <w:szCs w:val="20"/>
                <w:lang w:val="ru-RU"/>
              </w:rPr>
              <w:t>(3,0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или АБН е под 1 500/тп? (1,5х 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в който и да е момент от лечението с Лепонекс. Пациентите, при които Лепонекс е спрян в резултат или на понижен брой левкоцити, или на понижен АБН не трябва да получават повторно Лепонекс.</w:t>
            </w:r>
          </w:p>
          <w:p w14:paraId="20C55B7C" w14:textId="77777777" w:rsidR="00B75CF6" w:rsidRPr="00B75CF6" w:rsidRDefault="00B75CF6" w:rsidP="00B75CF6">
            <w:pPr>
              <w:spacing w:line="240" w:lineRule="auto"/>
              <w:rPr>
                <w:rFonts w:eastAsia="Times New Roman" w:cs="Arial"/>
                <w:color w:val="000000"/>
                <w:szCs w:val="20"/>
                <w:lang w:eastAsia="bg-BG"/>
              </w:rPr>
            </w:pPr>
          </w:p>
          <w:p w14:paraId="0140A0C9" w14:textId="02F8E066"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При всяка консултация, на пациент, който получаващ Лепонекс, трябва му се напомня да се свърже незабавно с лекуващия лекар, ако започе развитието на някакъв вид </w:t>
            </w:r>
            <w:r w:rsidRPr="00B75CF6">
              <w:rPr>
                <w:rFonts w:eastAsia="Times New Roman" w:cs="Arial"/>
                <w:color w:val="000000"/>
                <w:szCs w:val="20"/>
                <w:lang w:eastAsia="bg-BG"/>
              </w:rPr>
              <w:lastRenderedPageBreak/>
              <w:t>инфекция. Особено внимание трябва да се обръща на грипоподобните оплаквания като повишена температура или възпалено гърло и други белези на инфекция, които може да са показателни за неутропения. Пациентите и грижещите се за тях трябва да бъдат информирани, че в случай на поява на някой от тези симптоми, незабавно трябва да бъде определен броя на левкоцитите им. Препоръчително е лекарите, предписващи лекарството, да съхраняват списък с резултатите от всички кръвни проби на пациентите и да предприемат всички необходими стъпки, за да предпазят тези пациенти от случайно получаване на лекарството отново в бъдеще.</w:t>
            </w:r>
          </w:p>
          <w:p w14:paraId="6FB8E830" w14:textId="77777777" w:rsidR="00B75CF6" w:rsidRPr="00B75CF6" w:rsidRDefault="00B75CF6" w:rsidP="00B75CF6">
            <w:pPr>
              <w:spacing w:line="240" w:lineRule="auto"/>
              <w:rPr>
                <w:rFonts w:eastAsia="Times New Roman" w:cs="Arial"/>
                <w:color w:val="000000"/>
                <w:szCs w:val="20"/>
                <w:lang w:eastAsia="bg-BG"/>
              </w:rPr>
            </w:pPr>
          </w:p>
          <w:p w14:paraId="2764FFFC" w14:textId="4E5360E4"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Пациентите с анамнеза за първични нарушения на костния мозък могат да бъдат лекувани единствено, ако ползата превишава риска. Те трябва да бъдат прегледани внимателно от хематолог преди започване на лечението с Лепонекс.</w:t>
            </w:r>
          </w:p>
          <w:p w14:paraId="4054C712" w14:textId="77777777" w:rsidR="00B75CF6" w:rsidRPr="00B75CF6" w:rsidRDefault="00B75CF6" w:rsidP="00B75CF6">
            <w:pPr>
              <w:spacing w:line="240" w:lineRule="auto"/>
              <w:rPr>
                <w:rFonts w:eastAsia="Times New Roman" w:cs="Arial"/>
                <w:color w:val="000000"/>
                <w:szCs w:val="20"/>
                <w:lang w:eastAsia="bg-BG"/>
              </w:rPr>
            </w:pPr>
          </w:p>
          <w:p w14:paraId="17FEDE2F" w14:textId="23B05FB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Пациентите, които имат нисък брой левкоцити поради доброкачествена етнически обусловена неутропения, трябва да бъдат специално обсъдени и могат да започнат лечение с Лепонекс само със съгласието на хематолог.</w:t>
            </w:r>
          </w:p>
        </w:tc>
      </w:tr>
    </w:tbl>
    <w:p w14:paraId="55712054" w14:textId="0F65E458" w:rsidR="00B75CF6" w:rsidRPr="00B75CF6" w:rsidRDefault="00B75CF6" w:rsidP="00B75CF6">
      <w:pPr>
        <w:rPr>
          <w:rFonts w:cs="Arial"/>
          <w:sz w:val="24"/>
        </w:rPr>
      </w:pPr>
    </w:p>
    <w:p w14:paraId="52A56753"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Мониториране на броя левкоцити и АБН</w:t>
      </w:r>
    </w:p>
    <w:p w14:paraId="2E79C69A"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Броят левкоцити и диференциалната кръвна картина трябва да се определят в рамките на 10 дни преди започване на лечение с Лепонекс, за да е сигурно, че само пациенти с нормален брой левкоцити и АБН (брой левкоцити ≥ 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и АБН ≥2 000/</w:t>
      </w:r>
      <w:r w:rsidRPr="00B75CF6">
        <w:rPr>
          <w:rFonts w:eastAsia="Times New Roman" w:cs="Arial"/>
          <w:color w:val="000000"/>
          <w:szCs w:val="20"/>
          <w:lang w:val="en-US"/>
        </w:rPr>
        <w:t>mm</w:t>
      </w:r>
      <w:r w:rsidRPr="00B75CF6">
        <w:rPr>
          <w:rFonts w:eastAsia="Times New Roman" w:cs="Arial"/>
          <w:color w:val="000000"/>
          <w:szCs w:val="20"/>
          <w:vertAlign w:val="superscript"/>
          <w:lang w:eastAsia="bg-BG"/>
        </w:rPr>
        <w:t>3</w:t>
      </w:r>
      <w:r w:rsidRPr="00B75CF6">
        <w:rPr>
          <w:rFonts w:eastAsia="Times New Roman" w:cs="Arial"/>
          <w:color w:val="000000"/>
          <w:szCs w:val="20"/>
          <w:lang w:eastAsia="bg-BG"/>
        </w:rPr>
        <w:t xml:space="preserve"> (2,0х10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ще получават лекарството. След започване на лечението с Лепонекс броят на левкоцитите и АБН трябва да се мониторират редовно всяка седмица през първите 18 седмици и поне на всеки четири седмици след това.</w:t>
      </w:r>
    </w:p>
    <w:p w14:paraId="091ADB5A" w14:textId="77777777" w:rsidR="00B75CF6" w:rsidRPr="00B75CF6" w:rsidRDefault="00B75CF6" w:rsidP="00B75CF6">
      <w:pPr>
        <w:spacing w:line="240" w:lineRule="auto"/>
        <w:rPr>
          <w:rFonts w:eastAsia="Times New Roman" w:cs="Arial"/>
          <w:color w:val="000000"/>
          <w:szCs w:val="20"/>
          <w:lang w:eastAsia="bg-BG"/>
        </w:rPr>
      </w:pPr>
    </w:p>
    <w:p w14:paraId="10C4C78F" w14:textId="2E72E729"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Мониторирането трябва да продължи по време на лечението и за 4 седмици след пълното спиране на Лепонекс или до настъпване на възстановяване на хематологичните показатели (вижте „Нисък брой левкоцити/АБН“ по-долу).</w:t>
      </w:r>
    </w:p>
    <w:p w14:paraId="04CC3918" w14:textId="77777777" w:rsidR="00B75CF6" w:rsidRPr="00B75CF6" w:rsidRDefault="00B75CF6" w:rsidP="00B75CF6">
      <w:pPr>
        <w:spacing w:line="240" w:lineRule="auto"/>
        <w:rPr>
          <w:rFonts w:eastAsia="Times New Roman" w:cs="Arial"/>
          <w:color w:val="000000"/>
          <w:szCs w:val="20"/>
          <w:u w:val="single"/>
          <w:lang w:eastAsia="bg-BG"/>
        </w:rPr>
      </w:pPr>
    </w:p>
    <w:p w14:paraId="6828629B" w14:textId="3D767751"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u w:val="single"/>
          <w:lang w:eastAsia="bg-BG"/>
        </w:rPr>
        <w:t>Нисък брой левкоцити/АБН</w:t>
      </w:r>
    </w:p>
    <w:p w14:paraId="705BD435" w14:textId="77777777"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 xml:space="preserve">Ако по време иа лечението с Лепонекс броят левкоцити спадне между 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3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(3,0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или АБН между 2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(2.0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1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(1,5х 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хематологични изследвания трябва да се извършват поне два пъти седмично, докато броя левкоцити и АБН на пациента се стабилизират в границите 3 000-3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(3,0-3,5х10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 1 500-2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 xml:space="preserve">(1,5- </w:t>
      </w:r>
      <w:r w:rsidRPr="00B75CF6">
        <w:rPr>
          <w:rFonts w:eastAsia="Times New Roman" w:cs="Arial"/>
          <w:color w:val="000000"/>
          <w:szCs w:val="20"/>
          <w:lang w:val="ru-RU"/>
        </w:rPr>
        <w:t>2,0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съответно, или над тях.</w:t>
      </w:r>
    </w:p>
    <w:p w14:paraId="6B797B0F" w14:textId="77777777" w:rsidR="00B75CF6" w:rsidRPr="00B75CF6" w:rsidRDefault="00B75CF6" w:rsidP="00B75CF6">
      <w:pPr>
        <w:rPr>
          <w:rFonts w:eastAsia="Times New Roman" w:cs="Arial"/>
          <w:color w:val="000000"/>
          <w:szCs w:val="20"/>
          <w:lang w:eastAsia="bg-BG"/>
        </w:rPr>
      </w:pPr>
    </w:p>
    <w:p w14:paraId="4DCA935C" w14:textId="77777777" w:rsidR="00B75CF6" w:rsidRPr="00B75CF6" w:rsidRDefault="00B75CF6" w:rsidP="00B75CF6">
      <w:pPr>
        <w:rPr>
          <w:rFonts w:eastAsia="Times New Roman" w:cs="Arial"/>
          <w:sz w:val="28"/>
          <w:szCs w:val="24"/>
        </w:rPr>
      </w:pPr>
      <w:r w:rsidRPr="00B75CF6">
        <w:rPr>
          <w:rFonts w:eastAsia="Times New Roman" w:cs="Arial"/>
          <w:color w:val="000000"/>
          <w:szCs w:val="20"/>
          <w:lang w:eastAsia="bg-BG"/>
        </w:rPr>
        <w:t xml:space="preserve">Незабавното спиране на лечението с Лепонекс е задължително, ако броят левкоцити е или под 3 </w:t>
      </w:r>
      <w:r w:rsidRPr="00B75CF6">
        <w:rPr>
          <w:rFonts w:eastAsia="Times New Roman" w:cs="Arial"/>
          <w:color w:val="000000"/>
          <w:szCs w:val="20"/>
          <w:lang w:val="ru-RU"/>
        </w:rPr>
        <w:t>000/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(3,0</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 xml:space="preserve">/1) или АБН е под 1 </w:t>
      </w:r>
      <w:r w:rsidRPr="00B75CF6">
        <w:rPr>
          <w:rFonts w:eastAsia="Times New Roman" w:cs="Arial"/>
          <w:color w:val="000000"/>
          <w:szCs w:val="20"/>
          <w:lang w:val="ru-RU"/>
        </w:rPr>
        <w:t>500/</w:t>
      </w:r>
      <w:r w:rsidRPr="00B75CF6">
        <w:rPr>
          <w:rFonts w:eastAsia="Times New Roman" w:cs="Arial"/>
          <w:color w:val="000000"/>
          <w:szCs w:val="20"/>
          <w:lang w:val="en-US"/>
        </w:rPr>
        <w:t>mm</w:t>
      </w:r>
      <w:r w:rsidRPr="00B75CF6">
        <w:rPr>
          <w:rFonts w:eastAsia="Times New Roman" w:cs="Arial"/>
          <w:color w:val="000000"/>
          <w:szCs w:val="20"/>
          <w:vertAlign w:val="superscript"/>
          <w:lang w:val="ru-RU"/>
        </w:rPr>
        <w:t>3</w:t>
      </w:r>
      <w:r w:rsidRPr="00B75CF6">
        <w:rPr>
          <w:rFonts w:eastAsia="Times New Roman" w:cs="Arial"/>
          <w:color w:val="000000"/>
          <w:szCs w:val="20"/>
          <w:lang w:val="ru-RU"/>
        </w:rPr>
        <w:t xml:space="preserve"> </w:t>
      </w:r>
      <w:r w:rsidRPr="00B75CF6">
        <w:rPr>
          <w:rFonts w:eastAsia="Times New Roman" w:cs="Arial"/>
          <w:color w:val="000000"/>
          <w:szCs w:val="20"/>
          <w:lang w:eastAsia="bg-BG"/>
        </w:rPr>
        <w:t>(1</w:t>
      </w:r>
      <w:r w:rsidRPr="00B75CF6">
        <w:rPr>
          <w:rFonts w:eastAsia="Times New Roman" w:cs="Arial"/>
          <w:color w:val="000000"/>
          <w:szCs w:val="20"/>
          <w:lang w:val="ru-RU"/>
        </w:rPr>
        <w:t>,5</w:t>
      </w:r>
      <w:r w:rsidRPr="00B75CF6">
        <w:rPr>
          <w:rFonts w:eastAsia="Times New Roman" w:cs="Arial"/>
          <w:color w:val="000000"/>
          <w:szCs w:val="20"/>
          <w:lang w:val="en-US"/>
        </w:rPr>
        <w:t>x</w:t>
      </w:r>
      <w:r w:rsidRPr="00B75CF6">
        <w:rPr>
          <w:rFonts w:eastAsia="Times New Roman" w:cs="Arial"/>
          <w:color w:val="000000"/>
          <w:szCs w:val="20"/>
          <w:lang w:val="ru-RU"/>
        </w:rPr>
        <w:t>1</w:t>
      </w:r>
      <w:r w:rsidRPr="00B75CF6">
        <w:rPr>
          <w:rFonts w:eastAsia="Times New Roman" w:cs="Arial"/>
          <w:color w:val="000000"/>
          <w:szCs w:val="20"/>
          <w:lang w:eastAsia="bg-BG"/>
        </w:rPr>
        <w:t>0</w:t>
      </w:r>
      <w:r w:rsidRPr="00B75CF6">
        <w:rPr>
          <w:rFonts w:eastAsia="Times New Roman" w:cs="Arial"/>
          <w:color w:val="000000"/>
          <w:szCs w:val="20"/>
          <w:vertAlign w:val="superscript"/>
          <w:lang w:eastAsia="bg-BG"/>
        </w:rPr>
        <w:t>9</w:t>
      </w:r>
      <w:r w:rsidRPr="00B75CF6">
        <w:rPr>
          <w:rFonts w:eastAsia="Times New Roman" w:cs="Arial"/>
          <w:color w:val="000000"/>
          <w:szCs w:val="20"/>
          <w:lang w:eastAsia="bg-BG"/>
        </w:rPr>
        <w:t>/1) по време на лечението с Лепонекс. Броят левкоцити и диференциалната кръвна картина след това трябва да се определят ежедневно и пациентите трябва внимателно да се следят за появата на грипоподобни симптоми или на други симптоми, предполагащи инфекция. Препоръчва се потвърждаване на стойностите на хематологичните показатели чрез две изследвания на броя на кръвните клетки в два последователни дни. Въпреки това Лепонекс трябва да се спре след първото изследване на броя кръвни клетки.</w:t>
      </w:r>
    </w:p>
    <w:p w14:paraId="0AA8803B" w14:textId="77777777" w:rsidR="00B75CF6" w:rsidRPr="00B75CF6" w:rsidRDefault="00B75CF6" w:rsidP="00B75CF6">
      <w:pPr>
        <w:spacing w:line="240" w:lineRule="auto"/>
        <w:rPr>
          <w:rFonts w:eastAsia="Times New Roman" w:cs="Arial"/>
          <w:color w:val="000000"/>
          <w:szCs w:val="20"/>
          <w:lang w:eastAsia="bg-BG"/>
        </w:rPr>
      </w:pPr>
    </w:p>
    <w:p w14:paraId="6F840C82" w14:textId="43FAE178" w:rsidR="00B75CF6" w:rsidRPr="00B75CF6" w:rsidRDefault="00B75CF6" w:rsidP="00B75CF6">
      <w:pPr>
        <w:spacing w:line="240" w:lineRule="auto"/>
        <w:rPr>
          <w:rFonts w:eastAsia="Times New Roman" w:cs="Arial"/>
          <w:sz w:val="28"/>
          <w:szCs w:val="24"/>
        </w:rPr>
      </w:pPr>
      <w:r w:rsidRPr="00B75CF6">
        <w:rPr>
          <w:rFonts w:eastAsia="Times New Roman" w:cs="Arial"/>
          <w:color w:val="000000"/>
          <w:szCs w:val="20"/>
          <w:lang w:eastAsia="bg-BG"/>
        </w:rPr>
        <w:t>След спиране на лечението с Лепонекс се налага хематологична оценка до настъпване на възстановяване на хематологичните показатели.</w:t>
      </w:r>
    </w:p>
    <w:p w14:paraId="27F02CFE" w14:textId="77777777" w:rsidR="00B75CF6" w:rsidRPr="00B75CF6" w:rsidRDefault="00B75CF6" w:rsidP="00B75CF6">
      <w:pPr>
        <w:spacing w:line="240" w:lineRule="auto"/>
        <w:rPr>
          <w:rFonts w:eastAsia="Times New Roman" w:cs="Arial"/>
          <w:b/>
          <w:bCs/>
          <w:color w:val="000000"/>
          <w:szCs w:val="20"/>
          <w:lang w:eastAsia="bg-BG"/>
        </w:rPr>
      </w:pPr>
    </w:p>
    <w:p w14:paraId="37E0BA22" w14:textId="43517B33" w:rsidR="00B75CF6" w:rsidRPr="00B75CF6" w:rsidRDefault="00B75CF6" w:rsidP="00B75CF6">
      <w:pPr>
        <w:spacing w:line="240" w:lineRule="auto"/>
        <w:rPr>
          <w:rFonts w:eastAsia="Times New Roman" w:cs="Arial"/>
          <w:sz w:val="28"/>
          <w:szCs w:val="24"/>
        </w:rPr>
      </w:pPr>
      <w:r w:rsidRPr="00B75CF6">
        <w:rPr>
          <w:rFonts w:eastAsia="Times New Roman" w:cs="Arial"/>
          <w:b/>
          <w:bCs/>
          <w:color w:val="000000"/>
          <w:szCs w:val="20"/>
          <w:lang w:eastAsia="bg-BG"/>
        </w:rPr>
        <w:t>Таблица 1</w:t>
      </w:r>
    </w:p>
    <w:tbl>
      <w:tblPr>
        <w:tblStyle w:val="TableGrid"/>
        <w:tblW w:w="0" w:type="auto"/>
        <w:tblLook w:val="04A0" w:firstRow="1" w:lastRow="0" w:firstColumn="1" w:lastColumn="0" w:noHBand="0" w:noVBand="1"/>
      </w:tblPr>
      <w:tblGrid>
        <w:gridCol w:w="3123"/>
        <w:gridCol w:w="2250"/>
        <w:gridCol w:w="3977"/>
      </w:tblGrid>
      <w:tr w:rsidR="001C266B" w14:paraId="70ADA354" w14:textId="77777777" w:rsidTr="001C266B">
        <w:tc>
          <w:tcPr>
            <w:tcW w:w="5495" w:type="dxa"/>
            <w:gridSpan w:val="2"/>
          </w:tcPr>
          <w:p w14:paraId="03245C08" w14:textId="36473C45" w:rsidR="001C266B" w:rsidRDefault="001C266B" w:rsidP="001C266B">
            <w:r w:rsidRPr="00B75CF6">
              <w:rPr>
                <w:lang w:eastAsia="bg-BG"/>
              </w:rPr>
              <w:t>Брой кръвни клетки</w:t>
            </w:r>
          </w:p>
        </w:tc>
        <w:tc>
          <w:tcPr>
            <w:tcW w:w="4081" w:type="dxa"/>
            <w:vMerge w:val="restart"/>
          </w:tcPr>
          <w:p w14:paraId="24EB4473" w14:textId="2D1F8150" w:rsidR="001C266B" w:rsidRPr="00B75CF6" w:rsidRDefault="001C266B" w:rsidP="00B75CF6">
            <w:r w:rsidRPr="00B75CF6">
              <w:rPr>
                <w:szCs w:val="20"/>
              </w:rPr>
              <w:t>Необходими действия</w:t>
            </w:r>
          </w:p>
        </w:tc>
      </w:tr>
      <w:tr w:rsidR="00B75CF6" w14:paraId="73179729" w14:textId="77777777" w:rsidTr="00B75CF6">
        <w:tc>
          <w:tcPr>
            <w:tcW w:w="3192" w:type="dxa"/>
          </w:tcPr>
          <w:p w14:paraId="505FBD28" w14:textId="72116DCC" w:rsidR="00B75CF6" w:rsidRPr="00B75CF6" w:rsidRDefault="00B75CF6" w:rsidP="00B75CF6">
            <w:r w:rsidRPr="00B75CF6">
              <w:rPr>
                <w:szCs w:val="20"/>
              </w:rPr>
              <w:lastRenderedPageBreak/>
              <w:t>Левкоцити</w:t>
            </w:r>
            <w:r w:rsidRPr="00B75CF6">
              <w:rPr>
                <w:szCs w:val="20"/>
                <w:lang w:val="en-US"/>
              </w:rPr>
              <w:t>/mm</w:t>
            </w:r>
            <w:r w:rsidRPr="00B75CF6">
              <w:rPr>
                <w:szCs w:val="20"/>
                <w:vertAlign w:val="superscript"/>
                <w:lang w:val="en-US"/>
              </w:rPr>
              <w:t>3</w:t>
            </w:r>
            <w:r w:rsidRPr="00B75CF6">
              <w:rPr>
                <w:szCs w:val="20"/>
                <w:lang w:val="en-US"/>
              </w:rPr>
              <w:t xml:space="preserve"> </w:t>
            </w:r>
            <w:r w:rsidRPr="00B75CF6">
              <w:rPr>
                <w:szCs w:val="20"/>
              </w:rPr>
              <w:t>(/</w:t>
            </w:r>
            <w:r w:rsidRPr="00B75CF6">
              <w:rPr>
                <w:szCs w:val="20"/>
                <w:lang w:val="en-US"/>
              </w:rPr>
              <w:t>l</w:t>
            </w:r>
            <w:r w:rsidRPr="00B75CF6">
              <w:rPr>
                <w:szCs w:val="20"/>
              </w:rPr>
              <w:t>)</w:t>
            </w:r>
          </w:p>
        </w:tc>
        <w:tc>
          <w:tcPr>
            <w:tcW w:w="2303" w:type="dxa"/>
          </w:tcPr>
          <w:p w14:paraId="03E89A40" w14:textId="21AE240C" w:rsidR="00B75CF6" w:rsidRPr="00B75CF6" w:rsidRDefault="00B75CF6" w:rsidP="00B75CF6">
            <w:r w:rsidRPr="00B75CF6">
              <w:rPr>
                <w:szCs w:val="20"/>
              </w:rPr>
              <w:t>АБН</w:t>
            </w:r>
            <w:r w:rsidRPr="00B75CF6">
              <w:rPr>
                <w:szCs w:val="20"/>
                <w:lang w:val="en-US"/>
              </w:rPr>
              <w:t>/mm</w:t>
            </w:r>
            <w:r w:rsidRPr="00B75CF6">
              <w:rPr>
                <w:szCs w:val="20"/>
                <w:vertAlign w:val="superscript"/>
                <w:lang w:val="en-US"/>
              </w:rPr>
              <w:t>3</w:t>
            </w:r>
            <w:r w:rsidRPr="00B75CF6">
              <w:rPr>
                <w:szCs w:val="20"/>
                <w:lang w:val="en-US"/>
              </w:rPr>
              <w:t xml:space="preserve"> </w:t>
            </w:r>
            <w:r w:rsidRPr="00B75CF6">
              <w:rPr>
                <w:szCs w:val="20"/>
              </w:rPr>
              <w:t>(/</w:t>
            </w:r>
            <w:r w:rsidRPr="00B75CF6">
              <w:rPr>
                <w:szCs w:val="20"/>
                <w:lang w:val="en-US"/>
              </w:rPr>
              <w:t>l</w:t>
            </w:r>
            <w:r w:rsidRPr="00B75CF6">
              <w:rPr>
                <w:szCs w:val="20"/>
              </w:rPr>
              <w:t>)</w:t>
            </w:r>
          </w:p>
        </w:tc>
        <w:tc>
          <w:tcPr>
            <w:tcW w:w="4081" w:type="dxa"/>
            <w:vMerge/>
          </w:tcPr>
          <w:p w14:paraId="0D724040" w14:textId="77777777" w:rsidR="00B75CF6" w:rsidRPr="00B75CF6" w:rsidRDefault="00B75CF6" w:rsidP="00B75CF6"/>
        </w:tc>
      </w:tr>
      <w:tr w:rsidR="00B75CF6" w14:paraId="7FEBEDAB" w14:textId="77777777" w:rsidTr="00B75CF6">
        <w:tc>
          <w:tcPr>
            <w:tcW w:w="3192" w:type="dxa"/>
          </w:tcPr>
          <w:p w14:paraId="6B0EFDC6" w14:textId="30A99A6E" w:rsidR="00B75CF6" w:rsidRPr="00B75CF6" w:rsidRDefault="00B75CF6" w:rsidP="00B75CF6">
            <w:r w:rsidRPr="00B75CF6">
              <w:rPr>
                <w:szCs w:val="20"/>
              </w:rPr>
              <w:t>≥ 3 500 (≥ 3,5х10</w:t>
            </w:r>
            <w:r w:rsidRPr="00B75CF6">
              <w:rPr>
                <w:szCs w:val="20"/>
                <w:vertAlign w:val="superscript"/>
              </w:rPr>
              <w:t>9</w:t>
            </w:r>
            <w:r w:rsidRPr="00B75CF6">
              <w:rPr>
                <w:szCs w:val="20"/>
              </w:rPr>
              <w:t>)</w:t>
            </w:r>
          </w:p>
        </w:tc>
        <w:tc>
          <w:tcPr>
            <w:tcW w:w="2303" w:type="dxa"/>
          </w:tcPr>
          <w:p w14:paraId="392A74C4" w14:textId="75963F08" w:rsidR="00B75CF6" w:rsidRPr="00B75CF6" w:rsidRDefault="00B75CF6" w:rsidP="00B75CF6">
            <w:r w:rsidRPr="00B75CF6">
              <w:rPr>
                <w:szCs w:val="20"/>
              </w:rPr>
              <w:t xml:space="preserve">≥2 000 (≥ </w:t>
            </w:r>
            <w:r w:rsidRPr="00B75CF6">
              <w:rPr>
                <w:szCs w:val="20"/>
                <w:lang w:val="en-US"/>
              </w:rPr>
              <w:t>2,0x1</w:t>
            </w:r>
            <w:r w:rsidRPr="00B75CF6">
              <w:rPr>
                <w:szCs w:val="20"/>
              </w:rPr>
              <w:t>0</w:t>
            </w:r>
            <w:r w:rsidRPr="00B75CF6">
              <w:rPr>
                <w:szCs w:val="20"/>
                <w:vertAlign w:val="superscript"/>
              </w:rPr>
              <w:t>9</w:t>
            </w:r>
            <w:r w:rsidRPr="00B75CF6">
              <w:rPr>
                <w:szCs w:val="20"/>
              </w:rPr>
              <w:t>)</w:t>
            </w:r>
          </w:p>
        </w:tc>
        <w:tc>
          <w:tcPr>
            <w:tcW w:w="4081" w:type="dxa"/>
          </w:tcPr>
          <w:p w14:paraId="2CCE42F8" w14:textId="2CB0B40E" w:rsidR="00B75CF6" w:rsidRPr="00B75CF6" w:rsidRDefault="00B75CF6" w:rsidP="00B75CF6">
            <w:r w:rsidRPr="00B75CF6">
              <w:rPr>
                <w:szCs w:val="20"/>
              </w:rPr>
              <w:t>Да се продължи лечението с Лепонекс</w:t>
            </w:r>
          </w:p>
        </w:tc>
      </w:tr>
      <w:tr w:rsidR="00B75CF6" w14:paraId="7079A2A3" w14:textId="77777777" w:rsidTr="00B75CF6">
        <w:tc>
          <w:tcPr>
            <w:tcW w:w="3192" w:type="dxa"/>
          </w:tcPr>
          <w:p w14:paraId="1909C790" w14:textId="1FFD0447" w:rsidR="00B75CF6" w:rsidRPr="00B75CF6" w:rsidRDefault="00B75CF6" w:rsidP="00B75CF6">
            <w:r w:rsidRPr="00B75CF6">
              <w:rPr>
                <w:szCs w:val="20"/>
              </w:rPr>
              <w:t>Между ≥ 3 000 и &lt;3 500 (≥3,0х10</w:t>
            </w:r>
            <w:r w:rsidRPr="00B75CF6">
              <w:rPr>
                <w:szCs w:val="20"/>
                <w:vertAlign w:val="superscript"/>
              </w:rPr>
              <w:t xml:space="preserve">9 </w:t>
            </w:r>
            <w:r w:rsidRPr="00B75CF6">
              <w:rPr>
                <w:szCs w:val="20"/>
              </w:rPr>
              <w:t xml:space="preserve">и </w:t>
            </w:r>
            <w:r w:rsidRPr="00B75CF6">
              <w:rPr>
                <w:smallCaps/>
                <w:szCs w:val="20"/>
              </w:rPr>
              <w:t xml:space="preserve">&lt; </w:t>
            </w:r>
            <w:r w:rsidRPr="00B75CF6">
              <w:rPr>
                <w:smallCaps/>
                <w:szCs w:val="20"/>
                <w:lang w:val="en-US"/>
              </w:rPr>
              <w:t>3,5x10</w:t>
            </w:r>
            <w:r w:rsidRPr="00B75CF6">
              <w:rPr>
                <w:smallCaps/>
                <w:szCs w:val="20"/>
                <w:vertAlign w:val="superscript"/>
                <w:lang w:val="en-US"/>
              </w:rPr>
              <w:t>9</w:t>
            </w:r>
            <w:r w:rsidRPr="00B75CF6">
              <w:rPr>
                <w:smallCaps/>
                <w:szCs w:val="20"/>
                <w:lang w:val="en-US"/>
              </w:rPr>
              <w:t>)</w:t>
            </w:r>
          </w:p>
        </w:tc>
        <w:tc>
          <w:tcPr>
            <w:tcW w:w="2303" w:type="dxa"/>
          </w:tcPr>
          <w:p w14:paraId="27399E54" w14:textId="4899E0B3" w:rsidR="00B75CF6" w:rsidRPr="00B75CF6" w:rsidRDefault="00B75CF6" w:rsidP="00B75CF6">
            <w:r w:rsidRPr="00B75CF6">
              <w:rPr>
                <w:szCs w:val="20"/>
              </w:rPr>
              <w:t>Между ≥ 1 500 и &lt; 2 000 (≥ 1,5х10</w:t>
            </w:r>
            <w:r w:rsidRPr="00B75CF6">
              <w:rPr>
                <w:szCs w:val="20"/>
                <w:vertAlign w:val="superscript"/>
              </w:rPr>
              <w:t xml:space="preserve">9 </w:t>
            </w:r>
            <w:r w:rsidRPr="00B75CF6">
              <w:rPr>
                <w:szCs w:val="20"/>
                <w:lang w:val="en-US"/>
              </w:rPr>
              <w:t>I</w:t>
            </w:r>
            <w:r w:rsidRPr="00B75CF6">
              <w:rPr>
                <w:szCs w:val="20"/>
              </w:rPr>
              <w:t xml:space="preserve"> &lt; 2,0х10</w:t>
            </w:r>
            <w:r w:rsidRPr="00B75CF6">
              <w:rPr>
                <w:szCs w:val="20"/>
                <w:vertAlign w:val="superscript"/>
              </w:rPr>
              <w:t>9</w:t>
            </w:r>
            <w:r w:rsidRPr="00B75CF6">
              <w:rPr>
                <w:szCs w:val="20"/>
              </w:rPr>
              <w:t>)</w:t>
            </w:r>
          </w:p>
        </w:tc>
        <w:tc>
          <w:tcPr>
            <w:tcW w:w="4081" w:type="dxa"/>
          </w:tcPr>
          <w:p w14:paraId="687BCD23" w14:textId="11F83656" w:rsidR="00B75CF6" w:rsidRPr="00B75CF6" w:rsidRDefault="00B75CF6" w:rsidP="00B75CF6">
            <w:r w:rsidRPr="00B75CF6">
              <w:rPr>
                <w:szCs w:val="20"/>
              </w:rPr>
              <w:t>Да се продължи лечението с Лепонекс, да се вземат кръвни проби два пъти седмично до стабилизиране на броя на кръвните клетки или повишаването му</w:t>
            </w:r>
          </w:p>
        </w:tc>
      </w:tr>
      <w:tr w:rsidR="00B75CF6" w14:paraId="69B0E9B0" w14:textId="77777777" w:rsidTr="00B75CF6">
        <w:tc>
          <w:tcPr>
            <w:tcW w:w="3192" w:type="dxa"/>
          </w:tcPr>
          <w:p w14:paraId="056128C7" w14:textId="524E02C0" w:rsidR="00B75CF6" w:rsidRPr="00B75CF6" w:rsidRDefault="00B75CF6" w:rsidP="00B75CF6">
            <w:r w:rsidRPr="00B75CF6">
              <w:rPr>
                <w:szCs w:val="20"/>
              </w:rPr>
              <w:t xml:space="preserve">&lt;3 000 </w:t>
            </w:r>
            <w:r w:rsidRPr="00B75CF6">
              <w:rPr>
                <w:szCs w:val="20"/>
                <w:lang w:val="en-US"/>
              </w:rPr>
              <w:t xml:space="preserve">(&lt;3,0xl </w:t>
            </w:r>
            <w:r w:rsidRPr="00B75CF6">
              <w:rPr>
                <w:szCs w:val="20"/>
              </w:rPr>
              <w:t>0</w:t>
            </w:r>
            <w:r w:rsidRPr="00B75CF6">
              <w:rPr>
                <w:szCs w:val="20"/>
                <w:vertAlign w:val="superscript"/>
              </w:rPr>
              <w:t>9</w:t>
            </w:r>
            <w:r w:rsidRPr="00B75CF6">
              <w:rPr>
                <w:szCs w:val="20"/>
              </w:rPr>
              <w:t>)</w:t>
            </w:r>
          </w:p>
        </w:tc>
        <w:tc>
          <w:tcPr>
            <w:tcW w:w="2303" w:type="dxa"/>
          </w:tcPr>
          <w:p w14:paraId="7B65FA95" w14:textId="15CC63C8" w:rsidR="00B75CF6" w:rsidRPr="00B75CF6" w:rsidRDefault="00B75CF6" w:rsidP="00B75CF6">
            <w:r w:rsidRPr="00B75CF6">
              <w:rPr>
                <w:szCs w:val="20"/>
              </w:rPr>
              <w:t>&lt;1 500 (&lt;1,5х10</w:t>
            </w:r>
            <w:r w:rsidRPr="00B75CF6">
              <w:rPr>
                <w:szCs w:val="20"/>
                <w:vertAlign w:val="superscript"/>
              </w:rPr>
              <w:t>9</w:t>
            </w:r>
            <w:r w:rsidRPr="00B75CF6">
              <w:rPr>
                <w:szCs w:val="20"/>
              </w:rPr>
              <w:t>)</w:t>
            </w:r>
          </w:p>
        </w:tc>
        <w:tc>
          <w:tcPr>
            <w:tcW w:w="4081" w:type="dxa"/>
          </w:tcPr>
          <w:p w14:paraId="124B3159" w14:textId="7A492C06" w:rsidR="00B75CF6" w:rsidRPr="00B75CF6" w:rsidRDefault="00B75CF6" w:rsidP="00B75CF6">
            <w:r w:rsidRPr="00B75CF6">
              <w:rPr>
                <w:szCs w:val="20"/>
              </w:rPr>
              <w:t>Незабавно да се прекрати лечението с Лепонекс, да се вземат кръвни проби ежедневно до изчезване на хематологичното нарушение, да се следи за инфекции. Да не се дава повторно лекарството на пациента.</w:t>
            </w:r>
          </w:p>
        </w:tc>
      </w:tr>
    </w:tbl>
    <w:p w14:paraId="52F5BF89" w14:textId="65DFFA48" w:rsidR="00B75CF6" w:rsidRDefault="00B75CF6" w:rsidP="00B75CF6"/>
    <w:p w14:paraId="50489C9C" w14:textId="77777777" w:rsidR="001C266B" w:rsidRPr="001C266B" w:rsidRDefault="001C266B" w:rsidP="001C266B">
      <w:pPr>
        <w:spacing w:line="240" w:lineRule="auto"/>
        <w:rPr>
          <w:rFonts w:eastAsia="Times New Roman" w:cs="Arial"/>
        </w:rPr>
      </w:pPr>
      <w:r w:rsidRPr="001C266B">
        <w:rPr>
          <w:rFonts w:eastAsia="Times New Roman" w:cs="Arial"/>
          <w:b/>
          <w:bCs/>
          <w:color w:val="000000"/>
          <w:lang w:eastAsia="bg-BG"/>
        </w:rPr>
        <w:t xml:space="preserve">Ако Лепонекс е бил спрян и се появи или ново намаление на броя левкоцити под 2 </w:t>
      </w:r>
      <w:r w:rsidRPr="001C266B">
        <w:rPr>
          <w:rFonts w:eastAsia="Times New Roman" w:cs="Arial"/>
          <w:b/>
          <w:bCs/>
          <w:color w:val="000000"/>
          <w:lang w:val="ru-RU"/>
        </w:rPr>
        <w:t>000/</w:t>
      </w:r>
      <w:r w:rsidRPr="001C266B">
        <w:rPr>
          <w:rFonts w:eastAsia="Times New Roman" w:cs="Arial"/>
          <w:b/>
          <w:bCs/>
          <w:color w:val="000000"/>
          <w:lang w:val="en-US"/>
        </w:rPr>
        <w:t>mm</w:t>
      </w:r>
      <w:r w:rsidRPr="001C266B">
        <w:rPr>
          <w:rFonts w:eastAsia="Times New Roman" w:cs="Arial"/>
          <w:b/>
          <w:bCs/>
          <w:color w:val="000000"/>
          <w:vertAlign w:val="superscript"/>
          <w:lang w:val="ru-RU"/>
        </w:rPr>
        <w:t xml:space="preserve">3 </w:t>
      </w:r>
      <w:r w:rsidRPr="001C266B">
        <w:rPr>
          <w:rFonts w:eastAsia="Times New Roman" w:cs="Arial"/>
          <w:b/>
          <w:bCs/>
          <w:color w:val="000000"/>
          <w:lang w:val="ru-RU"/>
        </w:rPr>
        <w:t>(2,0</w:t>
      </w:r>
      <w:r w:rsidRPr="001C266B">
        <w:rPr>
          <w:rFonts w:eastAsia="Times New Roman" w:cs="Arial"/>
          <w:b/>
          <w:bCs/>
          <w:color w:val="000000"/>
          <w:lang w:val="en-US"/>
        </w:rPr>
        <w:t>x</w:t>
      </w:r>
      <w:r w:rsidRPr="001C266B">
        <w:rPr>
          <w:rFonts w:eastAsia="Times New Roman" w:cs="Arial"/>
          <w:b/>
          <w:bCs/>
          <w:color w:val="000000"/>
          <w:lang w:val="ru-RU"/>
        </w:rPr>
        <w:t>1</w:t>
      </w:r>
      <w:r w:rsidRPr="001C266B">
        <w:rPr>
          <w:rFonts w:eastAsia="Times New Roman" w:cs="Arial"/>
          <w:b/>
          <w:bCs/>
          <w:color w:val="000000"/>
          <w:lang w:eastAsia="bg-BG"/>
        </w:rPr>
        <w:t>0</w:t>
      </w:r>
      <w:r w:rsidRPr="001C266B">
        <w:rPr>
          <w:rFonts w:eastAsia="Times New Roman" w:cs="Arial"/>
          <w:b/>
          <w:bCs/>
          <w:color w:val="000000"/>
          <w:vertAlign w:val="superscript"/>
          <w:lang w:eastAsia="bg-BG"/>
        </w:rPr>
        <w:t>9</w:t>
      </w:r>
      <w:r w:rsidRPr="001C266B">
        <w:rPr>
          <w:rFonts w:eastAsia="Times New Roman" w:cs="Arial"/>
          <w:b/>
          <w:bCs/>
          <w:color w:val="000000"/>
          <w:lang w:eastAsia="bg-BG"/>
        </w:rPr>
        <w:t xml:space="preserve">/1) или АБН спадне под 1 </w:t>
      </w:r>
      <w:r w:rsidRPr="001C266B">
        <w:rPr>
          <w:rFonts w:eastAsia="Times New Roman" w:cs="Arial"/>
          <w:b/>
          <w:bCs/>
          <w:color w:val="000000"/>
          <w:lang w:val="ru-RU"/>
        </w:rPr>
        <w:t>000/</w:t>
      </w:r>
      <w:r w:rsidRPr="001C266B">
        <w:rPr>
          <w:rFonts w:eastAsia="Times New Roman" w:cs="Arial"/>
          <w:b/>
          <w:bCs/>
          <w:color w:val="000000"/>
          <w:lang w:val="en-US"/>
        </w:rPr>
        <w:t>mm</w:t>
      </w:r>
      <w:r w:rsidRPr="001C266B">
        <w:rPr>
          <w:rFonts w:eastAsia="Times New Roman" w:cs="Arial"/>
          <w:b/>
          <w:bCs/>
          <w:color w:val="000000"/>
          <w:vertAlign w:val="superscript"/>
          <w:lang w:val="ru-RU"/>
        </w:rPr>
        <w:t>3</w:t>
      </w:r>
      <w:r w:rsidRPr="001C266B">
        <w:rPr>
          <w:rFonts w:eastAsia="Times New Roman" w:cs="Arial"/>
          <w:b/>
          <w:bCs/>
          <w:color w:val="000000"/>
          <w:lang w:val="ru-RU"/>
        </w:rPr>
        <w:t xml:space="preserve"> </w:t>
      </w:r>
      <w:r w:rsidRPr="001C266B">
        <w:rPr>
          <w:rFonts w:eastAsia="Times New Roman" w:cs="Arial"/>
          <w:b/>
          <w:bCs/>
          <w:color w:val="000000"/>
          <w:lang w:eastAsia="bg-BG"/>
        </w:rPr>
        <w:t>(1,0х10</w:t>
      </w:r>
      <w:r w:rsidRPr="001C266B">
        <w:rPr>
          <w:rFonts w:eastAsia="Times New Roman" w:cs="Arial"/>
          <w:b/>
          <w:bCs/>
          <w:color w:val="000000"/>
          <w:vertAlign w:val="superscript"/>
          <w:lang w:eastAsia="bg-BG"/>
        </w:rPr>
        <w:t>9</w:t>
      </w:r>
      <w:r w:rsidRPr="001C266B">
        <w:rPr>
          <w:rFonts w:eastAsia="Times New Roman" w:cs="Arial"/>
          <w:b/>
          <w:bCs/>
          <w:color w:val="000000"/>
          <w:lang w:eastAsia="bg-BG"/>
        </w:rPr>
        <w:t>/1), поведението при това състояние трябва да се ръководи от опитен хематолог.</w:t>
      </w:r>
    </w:p>
    <w:p w14:paraId="6A20939F" w14:textId="77777777" w:rsidR="001C266B" w:rsidRPr="001C266B" w:rsidRDefault="001C266B" w:rsidP="001C266B">
      <w:pPr>
        <w:spacing w:line="240" w:lineRule="auto"/>
        <w:rPr>
          <w:rFonts w:eastAsia="Times New Roman" w:cs="Arial"/>
          <w:color w:val="000000"/>
          <w:u w:val="single"/>
          <w:lang w:eastAsia="bg-BG"/>
        </w:rPr>
      </w:pPr>
    </w:p>
    <w:p w14:paraId="0CACF26E" w14:textId="39BEDC92"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Спиране на лечението поради хематологични причини</w:t>
      </w:r>
    </w:p>
    <w:p w14:paraId="61DD0CB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при които лечението с Лепонекс е било спряно в резултат на понижен брой левкоцити или АБН (вижте по-горе), не трябва да получават отново Лепонекс.</w:t>
      </w:r>
    </w:p>
    <w:p w14:paraId="76DA62A1" w14:textId="77777777" w:rsidR="001C266B" w:rsidRPr="001C266B" w:rsidRDefault="001C266B" w:rsidP="001C266B">
      <w:pPr>
        <w:spacing w:line="240" w:lineRule="auto"/>
        <w:rPr>
          <w:rFonts w:eastAsia="Times New Roman" w:cs="Arial"/>
          <w:color w:val="000000"/>
          <w:lang w:eastAsia="bg-BG"/>
        </w:rPr>
      </w:pPr>
    </w:p>
    <w:p w14:paraId="783D0557" w14:textId="7ECC18A5"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Препоръчително е лекарите, предписващи лекарството, да съхраняват списък с резултатите от всички кръвни проби на пациентите и да предприемат всички необходими стъпки, за да предпазят тези пациенти от случайно получаване на лекарството в бъдеще.</w:t>
      </w:r>
    </w:p>
    <w:p w14:paraId="2548DDA2" w14:textId="77777777" w:rsidR="001C266B" w:rsidRPr="001C266B" w:rsidRDefault="001C266B" w:rsidP="001C266B">
      <w:pPr>
        <w:spacing w:line="240" w:lineRule="auto"/>
        <w:rPr>
          <w:rFonts w:eastAsia="Times New Roman" w:cs="Arial"/>
          <w:color w:val="000000"/>
          <w:u w:val="single"/>
          <w:lang w:eastAsia="bg-BG"/>
        </w:rPr>
      </w:pPr>
    </w:p>
    <w:p w14:paraId="5802E466" w14:textId="3306C1E3"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Спиране на лечението поради други причини</w:t>
      </w:r>
    </w:p>
    <w:p w14:paraId="0200F86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Броят левкоцити и АБН на пациентите, които са получавали Лепонекс в продължение на повече от 18 седмици и лечението им е било прекъснато за повече от 3 дни, но за по-малко от 4 седмици, трябва да бъде контролиран ежеседмично за още 6 седмици. Ако не се развие хематологично нарушение, трябва да се възстанови мониторирането на интервали не по-дълги от 4 седмици. Ако лечението с Лепонекс е било спряно за 4 или повече седмици, се налага ежеседмично мониториране за следващите 18 седмици от лечението и дозата трябва да се титрира отново (вж. точка 4.2).</w:t>
      </w:r>
    </w:p>
    <w:p w14:paraId="6DF0A669" w14:textId="77777777" w:rsidR="001C266B" w:rsidRPr="001C266B" w:rsidRDefault="001C266B" w:rsidP="001C266B">
      <w:pPr>
        <w:spacing w:line="240" w:lineRule="auto"/>
        <w:rPr>
          <w:rFonts w:eastAsia="Times New Roman" w:cs="Arial"/>
          <w:color w:val="000000"/>
          <w:u w:val="single"/>
          <w:lang w:eastAsia="bg-BG"/>
        </w:rPr>
      </w:pPr>
    </w:p>
    <w:p w14:paraId="7A45FE46" w14:textId="776B643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Други специални предпазни мерки</w:t>
      </w:r>
    </w:p>
    <w:p w14:paraId="0DFB9534" w14:textId="77777777" w:rsidR="001C266B" w:rsidRPr="001C266B" w:rsidRDefault="001C266B" w:rsidP="001C266B">
      <w:pPr>
        <w:spacing w:line="240" w:lineRule="auto"/>
        <w:rPr>
          <w:rFonts w:eastAsia="Times New Roman" w:cs="Arial"/>
          <w:color w:val="000000"/>
          <w:lang w:eastAsia="bg-BG"/>
        </w:rPr>
      </w:pPr>
    </w:p>
    <w:p w14:paraId="6A38BD7D" w14:textId="442D03E7" w:rsidR="001C266B" w:rsidRPr="001C266B" w:rsidRDefault="001C266B" w:rsidP="001C266B">
      <w:pPr>
        <w:spacing w:line="240" w:lineRule="auto"/>
        <w:rPr>
          <w:rFonts w:eastAsia="Times New Roman" w:cs="Arial"/>
        </w:rPr>
      </w:pPr>
      <w:r w:rsidRPr="001C266B">
        <w:rPr>
          <w:rFonts w:eastAsia="Times New Roman" w:cs="Arial"/>
          <w:color w:val="000000"/>
          <w:lang w:eastAsia="bg-BG"/>
        </w:rPr>
        <w:t>Това лекарство съдържа лактоза монохидрат.</w:t>
      </w:r>
    </w:p>
    <w:p w14:paraId="1DCA512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Пациентите с редки наследствени заболявания като непоносимост към галактоза, лактазен дефицит на </w:t>
      </w:r>
      <w:r w:rsidRPr="001C266B">
        <w:rPr>
          <w:rFonts w:eastAsia="Times New Roman" w:cs="Arial"/>
          <w:color w:val="000000"/>
          <w:lang w:val="en-US"/>
        </w:rPr>
        <w:t>Lapp</w:t>
      </w:r>
      <w:r w:rsidRPr="001C266B">
        <w:rPr>
          <w:rFonts w:eastAsia="Times New Roman" w:cs="Arial"/>
          <w:color w:val="000000"/>
          <w:lang w:val="ru-RU"/>
        </w:rPr>
        <w:t xml:space="preserve"> </w:t>
      </w:r>
      <w:r w:rsidRPr="001C266B">
        <w:rPr>
          <w:rFonts w:eastAsia="Times New Roman" w:cs="Arial"/>
          <w:color w:val="000000"/>
          <w:lang w:eastAsia="bg-BG"/>
        </w:rPr>
        <w:t>или малабсорбция на глюкоза-галактоза не трябва да приемат това лекарство.</w:t>
      </w:r>
    </w:p>
    <w:p w14:paraId="61226FCA" w14:textId="77777777" w:rsidR="001C266B" w:rsidRPr="001C266B" w:rsidRDefault="001C266B" w:rsidP="001C266B">
      <w:pPr>
        <w:spacing w:line="240" w:lineRule="auto"/>
        <w:rPr>
          <w:rFonts w:eastAsia="Times New Roman" w:cs="Arial"/>
          <w:color w:val="000000"/>
          <w:u w:val="single"/>
          <w:lang w:eastAsia="bg-BG"/>
        </w:rPr>
      </w:pPr>
    </w:p>
    <w:p w14:paraId="75974E54" w14:textId="0797AF0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Еозинофилия</w:t>
      </w:r>
    </w:p>
    <w:p w14:paraId="48A4E99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 случай на </w:t>
      </w:r>
      <w:r w:rsidRPr="001C266B">
        <w:rPr>
          <w:rFonts w:eastAsia="Times New Roman" w:cs="Arial"/>
          <w:b/>
          <w:bCs/>
          <w:color w:val="000000"/>
          <w:lang w:eastAsia="bg-BG"/>
        </w:rPr>
        <w:t xml:space="preserve">еозинофилия </w:t>
      </w:r>
      <w:r w:rsidRPr="001C266B">
        <w:rPr>
          <w:rFonts w:eastAsia="Times New Roman" w:cs="Arial"/>
          <w:color w:val="000000"/>
          <w:lang w:eastAsia="bg-BG"/>
        </w:rPr>
        <w:t xml:space="preserve">се препоръчва спиране на лечението с Лепонекс, ако броят на еозинофилите се повиши над 3 </w:t>
      </w:r>
      <w:r w:rsidRPr="001C266B">
        <w:rPr>
          <w:rFonts w:eastAsia="Times New Roman" w:cs="Arial"/>
          <w:color w:val="000000"/>
          <w:lang w:val="ru-RU"/>
        </w:rPr>
        <w:t>000/</w:t>
      </w:r>
      <w:r w:rsidRPr="001C266B">
        <w:rPr>
          <w:rFonts w:eastAsia="Times New Roman" w:cs="Arial"/>
          <w:color w:val="000000"/>
          <w:lang w:val="en-US"/>
        </w:rPr>
        <w:t>mm</w:t>
      </w:r>
      <w:r w:rsidRPr="001C266B">
        <w:rPr>
          <w:rFonts w:eastAsia="Times New Roman" w:cs="Arial"/>
          <w:color w:val="000000"/>
          <w:vertAlign w:val="superscript"/>
          <w:lang w:val="ru-RU"/>
        </w:rPr>
        <w:t>3</w:t>
      </w:r>
      <w:r w:rsidRPr="001C266B">
        <w:rPr>
          <w:rFonts w:eastAsia="Times New Roman" w:cs="Arial"/>
          <w:color w:val="000000"/>
          <w:lang w:val="ru-RU"/>
        </w:rPr>
        <w:t xml:space="preserve"> (3,0</w:t>
      </w:r>
      <w:r w:rsidRPr="001C266B">
        <w:rPr>
          <w:rFonts w:eastAsia="Times New Roman" w:cs="Arial"/>
          <w:color w:val="000000"/>
          <w:lang w:val="en-US"/>
        </w:rPr>
        <w:t>x</w:t>
      </w:r>
      <w:r w:rsidRPr="001C266B">
        <w:rPr>
          <w:rFonts w:eastAsia="Times New Roman" w:cs="Arial"/>
          <w:color w:val="000000"/>
          <w:lang w:val="ru-RU"/>
        </w:rPr>
        <w:t>1</w:t>
      </w:r>
      <w:r w:rsidRPr="001C266B">
        <w:rPr>
          <w:rFonts w:eastAsia="Times New Roman" w:cs="Arial"/>
          <w:color w:val="000000"/>
          <w:lang w:eastAsia="bg-BG"/>
        </w:rPr>
        <w:t>0</w:t>
      </w:r>
      <w:r w:rsidRPr="001C266B">
        <w:rPr>
          <w:rFonts w:eastAsia="Times New Roman" w:cs="Arial"/>
          <w:color w:val="000000"/>
          <w:vertAlign w:val="superscript"/>
          <w:lang w:eastAsia="bg-BG"/>
        </w:rPr>
        <w:t>9</w:t>
      </w:r>
      <w:r w:rsidRPr="001C266B">
        <w:rPr>
          <w:rFonts w:eastAsia="Times New Roman" w:cs="Arial"/>
          <w:color w:val="000000"/>
          <w:lang w:eastAsia="bg-BG"/>
        </w:rPr>
        <w:t xml:space="preserve">/1). Терапията трябва да се възобнови единствено след като броят на еозинофилите спадне под 1 </w:t>
      </w:r>
      <w:r w:rsidRPr="001C266B">
        <w:rPr>
          <w:rFonts w:eastAsia="Times New Roman" w:cs="Arial"/>
          <w:color w:val="000000"/>
          <w:lang w:val="ru-RU"/>
        </w:rPr>
        <w:t>000/</w:t>
      </w:r>
      <w:r w:rsidRPr="001C266B">
        <w:rPr>
          <w:rFonts w:eastAsia="Times New Roman" w:cs="Arial"/>
          <w:color w:val="000000"/>
          <w:lang w:val="en-US"/>
        </w:rPr>
        <w:t>mm</w:t>
      </w:r>
      <w:r w:rsidRPr="001C266B">
        <w:rPr>
          <w:rFonts w:eastAsia="Times New Roman" w:cs="Arial"/>
          <w:color w:val="000000"/>
          <w:vertAlign w:val="superscript"/>
          <w:lang w:val="ru-RU"/>
        </w:rPr>
        <w:t>3</w:t>
      </w:r>
      <w:r w:rsidRPr="001C266B">
        <w:rPr>
          <w:rFonts w:eastAsia="Times New Roman" w:cs="Arial"/>
          <w:color w:val="000000"/>
          <w:lang w:val="ru-RU"/>
        </w:rPr>
        <w:t xml:space="preserve"> </w:t>
      </w:r>
      <w:r w:rsidRPr="001C266B">
        <w:rPr>
          <w:rFonts w:eastAsia="Times New Roman" w:cs="Arial"/>
          <w:color w:val="000000"/>
          <w:lang w:eastAsia="bg-BG"/>
        </w:rPr>
        <w:t>(1</w:t>
      </w:r>
      <w:r w:rsidRPr="001C266B">
        <w:rPr>
          <w:rFonts w:eastAsia="Times New Roman" w:cs="Arial"/>
          <w:color w:val="000000"/>
          <w:lang w:val="ru-RU"/>
        </w:rPr>
        <w:t>,0</w:t>
      </w:r>
      <w:r w:rsidRPr="001C266B">
        <w:rPr>
          <w:rFonts w:eastAsia="Times New Roman" w:cs="Arial"/>
          <w:color w:val="000000"/>
          <w:lang w:val="en-US"/>
        </w:rPr>
        <w:t>x</w:t>
      </w:r>
      <w:r w:rsidRPr="001C266B">
        <w:rPr>
          <w:rFonts w:eastAsia="Times New Roman" w:cs="Arial"/>
          <w:color w:val="000000"/>
          <w:lang w:val="ru-RU"/>
        </w:rPr>
        <w:t>1</w:t>
      </w:r>
      <w:r w:rsidRPr="001C266B">
        <w:rPr>
          <w:rFonts w:eastAsia="Times New Roman" w:cs="Arial"/>
          <w:color w:val="000000"/>
          <w:lang w:eastAsia="bg-BG"/>
        </w:rPr>
        <w:t>0</w:t>
      </w:r>
      <w:r w:rsidRPr="001C266B">
        <w:rPr>
          <w:rFonts w:eastAsia="Times New Roman" w:cs="Arial"/>
          <w:color w:val="000000"/>
          <w:vertAlign w:val="superscript"/>
          <w:lang w:eastAsia="bg-BG"/>
        </w:rPr>
        <w:t>9</w:t>
      </w:r>
      <w:r w:rsidRPr="001C266B">
        <w:rPr>
          <w:rFonts w:eastAsia="Times New Roman" w:cs="Arial"/>
          <w:color w:val="000000"/>
          <w:lang w:eastAsia="bg-BG"/>
        </w:rPr>
        <w:t>/1).</w:t>
      </w:r>
    </w:p>
    <w:p w14:paraId="646C42D0" w14:textId="77777777" w:rsidR="001C266B" w:rsidRPr="001C266B" w:rsidRDefault="001C266B" w:rsidP="001C266B">
      <w:pPr>
        <w:spacing w:line="240" w:lineRule="auto"/>
        <w:rPr>
          <w:rFonts w:eastAsia="Times New Roman" w:cs="Arial"/>
          <w:color w:val="000000"/>
          <w:u w:val="single"/>
          <w:lang w:eastAsia="bg-BG"/>
        </w:rPr>
      </w:pPr>
    </w:p>
    <w:p w14:paraId="79A16605" w14:textId="012786D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lastRenderedPageBreak/>
        <w:t>Тромбоцитопения</w:t>
      </w:r>
    </w:p>
    <w:p w14:paraId="0C9F2A93"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 случай на </w:t>
      </w:r>
      <w:r w:rsidRPr="001C266B">
        <w:rPr>
          <w:rFonts w:eastAsia="Times New Roman" w:cs="Arial"/>
          <w:b/>
          <w:bCs/>
          <w:color w:val="000000"/>
          <w:lang w:eastAsia="bg-BG"/>
        </w:rPr>
        <w:t xml:space="preserve">тромбоцитопения </w:t>
      </w:r>
      <w:r w:rsidRPr="001C266B">
        <w:rPr>
          <w:rFonts w:eastAsia="Times New Roman" w:cs="Arial"/>
          <w:color w:val="000000"/>
          <w:lang w:eastAsia="bg-BG"/>
        </w:rPr>
        <w:t xml:space="preserve">се препоръчва спиране на лечението с Лепонекс, ако броят на тромбоцитите спадне под 50 </w:t>
      </w:r>
      <w:r w:rsidRPr="001C266B">
        <w:rPr>
          <w:rFonts w:eastAsia="Times New Roman" w:cs="Arial"/>
          <w:color w:val="000000"/>
          <w:lang w:val="ru-RU"/>
        </w:rPr>
        <w:t>000/</w:t>
      </w:r>
      <w:r w:rsidRPr="001C266B">
        <w:rPr>
          <w:rFonts w:eastAsia="Times New Roman" w:cs="Arial"/>
          <w:color w:val="000000"/>
          <w:lang w:val="en-US"/>
        </w:rPr>
        <w:t>mm</w:t>
      </w:r>
      <w:r w:rsidRPr="001C266B">
        <w:rPr>
          <w:rFonts w:eastAsia="Times New Roman" w:cs="Arial"/>
          <w:color w:val="000000"/>
          <w:vertAlign w:val="superscript"/>
          <w:lang w:val="ru-RU"/>
        </w:rPr>
        <w:t>3</w:t>
      </w:r>
      <w:r w:rsidRPr="001C266B">
        <w:rPr>
          <w:rFonts w:eastAsia="Times New Roman" w:cs="Arial"/>
          <w:color w:val="000000"/>
          <w:lang w:val="ru-RU"/>
        </w:rPr>
        <w:t xml:space="preserve"> (50</w:t>
      </w:r>
      <w:r w:rsidRPr="001C266B">
        <w:rPr>
          <w:rFonts w:eastAsia="Times New Roman" w:cs="Arial"/>
          <w:color w:val="000000"/>
          <w:lang w:val="en-US"/>
        </w:rPr>
        <w:t>x</w:t>
      </w:r>
      <w:r w:rsidRPr="001C266B">
        <w:rPr>
          <w:rFonts w:eastAsia="Times New Roman" w:cs="Arial"/>
          <w:color w:val="000000"/>
          <w:lang w:val="ru-RU"/>
        </w:rPr>
        <w:t>1</w:t>
      </w:r>
      <w:r w:rsidRPr="001C266B">
        <w:rPr>
          <w:rFonts w:eastAsia="Times New Roman" w:cs="Arial"/>
          <w:color w:val="000000"/>
          <w:lang w:eastAsia="bg-BG"/>
        </w:rPr>
        <w:t>0</w:t>
      </w:r>
      <w:r w:rsidRPr="001C266B">
        <w:rPr>
          <w:rFonts w:eastAsia="Times New Roman" w:cs="Arial"/>
          <w:color w:val="000000"/>
          <w:vertAlign w:val="superscript"/>
          <w:lang w:eastAsia="bg-BG"/>
        </w:rPr>
        <w:t>9</w:t>
      </w:r>
      <w:r w:rsidRPr="001C266B">
        <w:rPr>
          <w:rFonts w:eastAsia="Times New Roman" w:cs="Arial"/>
          <w:color w:val="000000"/>
          <w:lang w:eastAsia="bg-BG"/>
        </w:rPr>
        <w:t>/1).</w:t>
      </w:r>
    </w:p>
    <w:p w14:paraId="3CE47159" w14:textId="77777777" w:rsidR="001C266B" w:rsidRPr="001C266B" w:rsidRDefault="001C266B" w:rsidP="001C266B">
      <w:pPr>
        <w:spacing w:line="240" w:lineRule="auto"/>
        <w:rPr>
          <w:rFonts w:eastAsia="Times New Roman" w:cs="Arial"/>
          <w:color w:val="000000"/>
          <w:u w:val="single"/>
          <w:lang w:eastAsia="bg-BG"/>
        </w:rPr>
      </w:pPr>
    </w:p>
    <w:p w14:paraId="51311322" w14:textId="496B854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Сърдечно-съдови нарушения</w:t>
      </w:r>
    </w:p>
    <w:p w14:paraId="62B7CF00"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По време на лечението с Лепонекс може да възникне </w:t>
      </w:r>
      <w:r w:rsidRPr="001C266B">
        <w:rPr>
          <w:rFonts w:eastAsia="Times New Roman" w:cs="Arial"/>
          <w:b/>
          <w:bCs/>
          <w:color w:val="000000"/>
          <w:lang w:eastAsia="bg-BG"/>
        </w:rPr>
        <w:t xml:space="preserve">ортостатична хипотония, </w:t>
      </w:r>
      <w:r w:rsidRPr="001C266B">
        <w:rPr>
          <w:rFonts w:eastAsia="Times New Roman" w:cs="Arial"/>
          <w:color w:val="000000"/>
          <w:lang w:eastAsia="bg-BG"/>
        </w:rPr>
        <w:t>със или без синкоп. В редки случаи колапсът може да е тежък и може да се съпровожда от спиране на сърдечната дейност и/или дишането. Такива реакции е по-вероятно да възникнат при едновременно приложение на бензодиазепини или което и да е друго психотропно лекарство (вж. точка 4.5) и по време на първоначалното титриране във връзка с бързо увеличаване на дозата; в много редки случаи те могат да възникнат след първата доза. Затова пациентите, които започват лечение с Лепонекс, изискват внимателно медицинско проследяване. Необходимо е мониториране на артериалното налягане в изправено или легнало положение през първите няколко седмици от лечението при пациенти с болест на Паркинсон.</w:t>
      </w:r>
    </w:p>
    <w:p w14:paraId="1A756A32" w14:textId="77777777" w:rsidR="001C266B" w:rsidRPr="001C266B" w:rsidRDefault="001C266B" w:rsidP="001C266B">
      <w:pPr>
        <w:spacing w:line="240" w:lineRule="auto"/>
        <w:rPr>
          <w:rFonts w:eastAsia="Times New Roman" w:cs="Arial"/>
          <w:color w:val="000000"/>
          <w:lang w:eastAsia="bg-BG"/>
        </w:rPr>
      </w:pPr>
    </w:p>
    <w:p w14:paraId="408D1010" w14:textId="22DD2F89"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Анализ на базата данни за безопасност предполага, че употребата на Лепонекс е свързана с повишен риск от </w:t>
      </w:r>
      <w:r w:rsidRPr="001C266B">
        <w:rPr>
          <w:rFonts w:eastAsia="Times New Roman" w:cs="Arial"/>
          <w:b/>
          <w:bCs/>
          <w:color w:val="000000"/>
          <w:lang w:eastAsia="bg-BG"/>
        </w:rPr>
        <w:t xml:space="preserve">миокардит, </w:t>
      </w:r>
      <w:r w:rsidRPr="001C266B">
        <w:rPr>
          <w:rFonts w:eastAsia="Times New Roman" w:cs="Arial"/>
          <w:color w:val="000000"/>
          <w:lang w:eastAsia="bg-BG"/>
        </w:rPr>
        <w:t xml:space="preserve">предимно през, но </w:t>
      </w:r>
      <w:r w:rsidRPr="001C266B">
        <w:rPr>
          <w:rFonts w:eastAsia="Times New Roman" w:cs="Arial"/>
          <w:b/>
          <w:bCs/>
          <w:color w:val="000000"/>
          <w:lang w:eastAsia="bg-BG"/>
        </w:rPr>
        <w:t xml:space="preserve">не </w:t>
      </w:r>
      <w:r w:rsidRPr="001C266B">
        <w:rPr>
          <w:rFonts w:eastAsia="Times New Roman" w:cs="Arial"/>
          <w:color w:val="000000"/>
          <w:lang w:eastAsia="bg-BG"/>
        </w:rPr>
        <w:t xml:space="preserve">ограничено до първите два месеца от началото на лечението. Някои от случаите на миокардит са били фатални. Съобщават се също случаи на </w:t>
      </w:r>
      <w:r w:rsidRPr="001C266B">
        <w:rPr>
          <w:rFonts w:eastAsia="Times New Roman" w:cs="Arial"/>
          <w:b/>
          <w:bCs/>
          <w:color w:val="000000"/>
          <w:lang w:eastAsia="bg-BG"/>
        </w:rPr>
        <w:t xml:space="preserve">перикардит/перикарден излив </w:t>
      </w:r>
      <w:r w:rsidRPr="001C266B">
        <w:rPr>
          <w:rFonts w:eastAsia="Times New Roman" w:cs="Arial"/>
          <w:color w:val="000000"/>
          <w:lang w:eastAsia="bg-BG"/>
        </w:rPr>
        <w:t xml:space="preserve">или </w:t>
      </w:r>
      <w:r w:rsidRPr="001C266B">
        <w:rPr>
          <w:rFonts w:eastAsia="Times New Roman" w:cs="Arial"/>
          <w:b/>
          <w:bCs/>
          <w:color w:val="000000"/>
          <w:lang w:eastAsia="bg-BG"/>
        </w:rPr>
        <w:t xml:space="preserve">кардиомиопатия </w:t>
      </w:r>
      <w:r w:rsidRPr="001C266B">
        <w:rPr>
          <w:rFonts w:eastAsia="Times New Roman" w:cs="Arial"/>
          <w:color w:val="000000"/>
          <w:lang w:eastAsia="bg-BG"/>
        </w:rPr>
        <w:t>във връзка с употребата на Лепонекс; тези съобщения включват също и случаи с фатален изход. Миокардит или кардиомиопатия трябва да се подозират при пациентите, които получават персистираща тахикардия в покой, особено през първите два месеца от лечението и/или палпитации, аритмии, гръдна болка и други признаци и симптоми на сърдечна недостатъчност (напр. необяснима умора, диспнея, тахипнея) или симптоми, които наподобяват миокарден инфаркт. Други възможни симптоми, освен горепосочените, които могат да се проявят включват грипоподобните симптоми. Ако се подозират миокардит или кардиомиопатия, лечението с Лепонекс трябва бързо да се спре и пациентът незабавно да се насочи към кардиолог.</w:t>
      </w:r>
    </w:p>
    <w:p w14:paraId="7F4CC88D" w14:textId="77777777" w:rsidR="001C266B" w:rsidRPr="001C266B" w:rsidRDefault="001C266B" w:rsidP="001C266B">
      <w:pPr>
        <w:spacing w:line="240" w:lineRule="auto"/>
        <w:rPr>
          <w:rFonts w:eastAsia="Times New Roman" w:cs="Arial"/>
          <w:color w:val="000000"/>
          <w:lang w:eastAsia="bg-BG"/>
        </w:rPr>
      </w:pPr>
    </w:p>
    <w:p w14:paraId="7EAE0036" w14:textId="2577C852"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При пациенти, при които е диагностицирана кардиомиопатия по време на лечението с Лепонекс, има вероятност да се развие инсуфициенция на митралната клапа. Митрална клапна инсуфициенция е докладвана в случаи на кардиомиопатия, свързани с лечението с Лепонекс. Тези случаи на митрална клапна инсуфициенция са отчетени като лека или умерена митрална регургитация при провеждане на двумерна ехокардиография </w:t>
      </w:r>
      <w:r w:rsidRPr="001C266B">
        <w:rPr>
          <w:rFonts w:eastAsia="Times New Roman" w:cs="Arial"/>
          <w:color w:val="000000"/>
          <w:lang w:val="ru-RU"/>
        </w:rPr>
        <w:t>(2</w:t>
      </w:r>
      <w:proofErr w:type="spellStart"/>
      <w:r w:rsidRPr="001C266B">
        <w:rPr>
          <w:rFonts w:eastAsia="Times New Roman" w:cs="Arial"/>
          <w:color w:val="000000"/>
          <w:lang w:val="en-US"/>
        </w:rPr>
        <w:t>DEcho</w:t>
      </w:r>
      <w:proofErr w:type="spellEnd"/>
      <w:r w:rsidRPr="001C266B">
        <w:rPr>
          <w:rFonts w:eastAsia="Times New Roman" w:cs="Arial"/>
          <w:color w:val="000000"/>
          <w:lang w:val="ru-RU"/>
        </w:rPr>
        <w:t xml:space="preserve">) </w:t>
      </w:r>
      <w:r w:rsidRPr="001C266B">
        <w:rPr>
          <w:rFonts w:eastAsia="Times New Roman" w:cs="Arial"/>
          <w:color w:val="000000"/>
          <w:lang w:eastAsia="bg-BG"/>
        </w:rPr>
        <w:t>(вж. точка 4.8).</w:t>
      </w:r>
    </w:p>
    <w:p w14:paraId="644E55D7" w14:textId="77777777" w:rsidR="001C266B" w:rsidRPr="001C266B" w:rsidRDefault="001C266B" w:rsidP="001C266B">
      <w:pPr>
        <w:spacing w:line="240" w:lineRule="auto"/>
        <w:rPr>
          <w:rFonts w:eastAsia="Times New Roman" w:cs="Arial"/>
          <w:color w:val="000000"/>
          <w:lang w:eastAsia="bg-BG"/>
        </w:rPr>
      </w:pPr>
    </w:p>
    <w:p w14:paraId="744B25FA" w14:textId="3FB6D676"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с индуцирани от клозапин миокардит или кардиомиопатия не трябва да получават повторно Лепонекс.</w:t>
      </w:r>
    </w:p>
    <w:p w14:paraId="2F183FE7" w14:textId="77777777" w:rsidR="001C266B" w:rsidRPr="001C266B" w:rsidRDefault="001C266B" w:rsidP="001C266B">
      <w:pPr>
        <w:spacing w:line="240" w:lineRule="auto"/>
        <w:rPr>
          <w:rFonts w:eastAsia="Times New Roman" w:cs="Arial"/>
          <w:color w:val="000000"/>
          <w:u w:val="single"/>
          <w:lang w:eastAsia="bg-BG"/>
        </w:rPr>
      </w:pPr>
    </w:p>
    <w:p w14:paraId="01FCEC86" w14:textId="2C40054E"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Инфаркт на миокарда</w:t>
      </w:r>
    </w:p>
    <w:p w14:paraId="5F0A782A"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Има докладвани постмаркетингови съобщения за </w:t>
      </w:r>
      <w:r w:rsidRPr="001C266B">
        <w:rPr>
          <w:rFonts w:eastAsia="Times New Roman" w:cs="Arial"/>
          <w:b/>
          <w:bCs/>
          <w:color w:val="000000"/>
          <w:lang w:eastAsia="bg-BG"/>
        </w:rPr>
        <w:t xml:space="preserve">инфаркт на миокарда, </w:t>
      </w:r>
      <w:r w:rsidRPr="001C266B">
        <w:rPr>
          <w:rFonts w:eastAsia="Times New Roman" w:cs="Arial"/>
          <w:color w:val="000000"/>
          <w:lang w:eastAsia="bg-BG"/>
        </w:rPr>
        <w:t>включително фатални случаи. Поради предшестващо сериозно сърдечно заболяване и вероятни алтернативни причини, в по-голямата част от тези случаи оценката на причинно-следствената връзка е била трудна.</w:t>
      </w:r>
    </w:p>
    <w:p w14:paraId="66B8CC01" w14:textId="77777777" w:rsidR="001C266B" w:rsidRPr="001C266B" w:rsidRDefault="001C266B" w:rsidP="001C266B">
      <w:pPr>
        <w:spacing w:line="240" w:lineRule="auto"/>
        <w:rPr>
          <w:rFonts w:eastAsia="Times New Roman" w:cs="Arial"/>
          <w:color w:val="000000"/>
          <w:u w:val="single"/>
          <w:lang w:eastAsia="bg-BG"/>
        </w:rPr>
      </w:pPr>
    </w:p>
    <w:p w14:paraId="2FB0D8E6" w14:textId="50584E1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Удължаване на ОТ интервала</w:t>
      </w:r>
    </w:p>
    <w:p w14:paraId="2E7DC0C7"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Както и при други антипсихотици, препоръчва се повишено внимание при пациенти с известно сърдечно-съдово заболяване или с фамилна анамнеза за </w:t>
      </w:r>
      <w:r w:rsidRPr="001C266B">
        <w:rPr>
          <w:rFonts w:eastAsia="Times New Roman" w:cs="Arial"/>
          <w:b/>
          <w:bCs/>
          <w:color w:val="000000"/>
          <w:lang w:eastAsia="bg-BG"/>
        </w:rPr>
        <w:t xml:space="preserve">удължаване на </w:t>
      </w:r>
      <w:r w:rsidRPr="001C266B">
        <w:rPr>
          <w:rFonts w:eastAsia="Times New Roman" w:cs="Arial"/>
          <w:b/>
          <w:bCs/>
          <w:color w:val="000000"/>
          <w:lang w:val="en-US"/>
        </w:rPr>
        <w:t>QT</w:t>
      </w:r>
      <w:r w:rsidRPr="001C266B">
        <w:rPr>
          <w:rFonts w:eastAsia="Times New Roman" w:cs="Arial"/>
          <w:b/>
          <w:bCs/>
          <w:color w:val="000000"/>
          <w:lang w:val="ru-RU"/>
        </w:rPr>
        <w:t xml:space="preserve"> </w:t>
      </w:r>
      <w:r w:rsidRPr="001C266B">
        <w:rPr>
          <w:rFonts w:eastAsia="Times New Roman" w:cs="Arial"/>
          <w:b/>
          <w:bCs/>
          <w:color w:val="000000"/>
          <w:lang w:eastAsia="bg-BG"/>
        </w:rPr>
        <w:t>интервала.</w:t>
      </w:r>
    </w:p>
    <w:p w14:paraId="27539F20" w14:textId="77777777" w:rsidR="001C266B" w:rsidRPr="001C266B" w:rsidRDefault="001C266B" w:rsidP="001C266B">
      <w:pPr>
        <w:spacing w:line="240" w:lineRule="auto"/>
        <w:rPr>
          <w:rFonts w:eastAsia="Times New Roman" w:cs="Arial"/>
          <w:color w:val="000000"/>
          <w:lang w:eastAsia="bg-BG"/>
        </w:rPr>
      </w:pPr>
    </w:p>
    <w:p w14:paraId="2959683D" w14:textId="5A7721AC" w:rsidR="001C266B" w:rsidRPr="001C266B" w:rsidRDefault="001C266B" w:rsidP="001C266B">
      <w:pPr>
        <w:spacing w:line="240" w:lineRule="auto"/>
        <w:rPr>
          <w:rFonts w:eastAsia="Times New Roman" w:cs="Arial"/>
        </w:rPr>
      </w:pPr>
      <w:r w:rsidRPr="001C266B">
        <w:rPr>
          <w:rFonts w:eastAsia="Times New Roman" w:cs="Arial"/>
          <w:color w:val="000000"/>
          <w:lang w:eastAsia="bg-BG"/>
        </w:rPr>
        <w:lastRenderedPageBreak/>
        <w:t xml:space="preserve">Както при други антипсихотици, препоръчва се повишено внимание при едновременно приложение на Лепонекс с лекарства, за които е известно, че водят до удължаване на </w:t>
      </w:r>
      <w:proofErr w:type="spellStart"/>
      <w:r w:rsidRPr="001C266B">
        <w:rPr>
          <w:rFonts w:eastAsia="Times New Roman" w:cs="Arial"/>
          <w:color w:val="000000"/>
          <w:lang w:val="en-US"/>
        </w:rPr>
        <w:t>QTc</w:t>
      </w:r>
      <w:proofErr w:type="spellEnd"/>
      <w:r w:rsidRPr="001C266B">
        <w:rPr>
          <w:rFonts w:eastAsia="Times New Roman" w:cs="Arial"/>
          <w:color w:val="000000"/>
          <w:lang w:val="ru-RU"/>
        </w:rPr>
        <w:t xml:space="preserve"> </w:t>
      </w:r>
      <w:r w:rsidRPr="001C266B">
        <w:rPr>
          <w:rFonts w:eastAsia="Times New Roman" w:cs="Arial"/>
          <w:color w:val="000000"/>
          <w:lang w:eastAsia="bg-BG"/>
        </w:rPr>
        <w:t>интервала.</w:t>
      </w:r>
    </w:p>
    <w:p w14:paraId="4828476B" w14:textId="77777777" w:rsidR="001C266B" w:rsidRPr="001C266B" w:rsidRDefault="001C266B" w:rsidP="001C266B">
      <w:pPr>
        <w:spacing w:line="240" w:lineRule="auto"/>
        <w:rPr>
          <w:rFonts w:eastAsia="Times New Roman" w:cs="Arial"/>
          <w:color w:val="000000"/>
          <w:u w:val="single"/>
          <w:lang w:eastAsia="bg-BG"/>
        </w:rPr>
      </w:pPr>
    </w:p>
    <w:p w14:paraId="6600ACBF" w14:textId="4E0C47B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Мозъчно-съдови нежелани събития</w:t>
      </w:r>
    </w:p>
    <w:p w14:paraId="42F00B41"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 рандомизирани, плацебо контролирани клинични изпитвания е наблюдавано приблизително 3- кратно повишение на риск за </w:t>
      </w:r>
      <w:r w:rsidRPr="001C266B">
        <w:rPr>
          <w:rFonts w:eastAsia="Times New Roman" w:cs="Arial"/>
          <w:b/>
          <w:bCs/>
          <w:color w:val="000000"/>
          <w:lang w:eastAsia="bg-BG"/>
        </w:rPr>
        <w:t xml:space="preserve">мозъчно-съдови нежелани събития </w:t>
      </w:r>
      <w:r w:rsidRPr="001C266B">
        <w:rPr>
          <w:rFonts w:eastAsia="Times New Roman" w:cs="Arial"/>
          <w:color w:val="000000"/>
          <w:lang w:eastAsia="bg-BG"/>
        </w:rPr>
        <w:t>при пациенти с деменция</w:t>
      </w:r>
    </w:p>
    <w:p w14:paraId="4CC2B415" w14:textId="77777777" w:rsidR="001C266B" w:rsidRPr="001C266B" w:rsidRDefault="001C266B" w:rsidP="001C266B">
      <w:pPr>
        <w:rPr>
          <w:rFonts w:eastAsia="Times New Roman" w:cs="Arial"/>
        </w:rPr>
      </w:pPr>
      <w:r w:rsidRPr="001C266B">
        <w:rPr>
          <w:rFonts w:eastAsia="Times New Roman" w:cs="Arial"/>
          <w:color w:val="000000"/>
          <w:lang w:eastAsia="bg-BG"/>
        </w:rPr>
        <w:t>лекувани с някои атипични антипсихотици. Не е известен механизмът на този повишен риск Повишен риск не може да бъде изключен и при приложение на други антипсихотици или други групи пациенти. Лепонекс трябва да се прилага с внимание при пациенти с рискови фактори за инсулт.</w:t>
      </w:r>
    </w:p>
    <w:p w14:paraId="6E2E7A22" w14:textId="77777777" w:rsidR="001C266B" w:rsidRPr="001C266B" w:rsidRDefault="001C266B" w:rsidP="001C266B">
      <w:pPr>
        <w:spacing w:line="240" w:lineRule="auto"/>
        <w:rPr>
          <w:rFonts w:eastAsia="Times New Roman" w:cs="Arial"/>
          <w:color w:val="000000"/>
          <w:lang w:eastAsia="bg-BG"/>
        </w:rPr>
      </w:pPr>
    </w:p>
    <w:p w14:paraId="64836BB5" w14:textId="55C47E4F" w:rsidR="001C266B" w:rsidRPr="001C266B" w:rsidRDefault="001C266B" w:rsidP="001C266B">
      <w:pPr>
        <w:spacing w:line="240" w:lineRule="auto"/>
        <w:rPr>
          <w:rFonts w:eastAsia="Times New Roman" w:cs="Arial"/>
        </w:rPr>
      </w:pPr>
      <w:r w:rsidRPr="001C266B">
        <w:rPr>
          <w:rFonts w:eastAsia="Times New Roman" w:cs="Arial"/>
          <w:color w:val="000000"/>
          <w:lang w:eastAsia="bg-BG"/>
        </w:rPr>
        <w:t>Риск от тромбоемболизъм</w:t>
      </w:r>
    </w:p>
    <w:p w14:paraId="20C7F60B"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Тъй като Лепонекс може да доведе до тромбоемболизъм, трябва да се избягва обездвижването на пациентите. Докладвани са случаи на венозен тромбемболизъм (ВТЕ) при прием на антипсихотични лекарства. Тъй като пациентите, които се лекуват с антипсихотици, често имат придобити рискови фактори за ВТЕ, всички възможни рискови фактори за ВТЕ трябва да бъдат установени преди и по време на лечението с Лепонекс, като се вземат и превантивни мерки.</w:t>
      </w:r>
    </w:p>
    <w:p w14:paraId="75FD5C20" w14:textId="77777777" w:rsidR="001C266B" w:rsidRPr="001C266B" w:rsidRDefault="001C266B" w:rsidP="001C266B">
      <w:pPr>
        <w:spacing w:line="240" w:lineRule="auto"/>
        <w:rPr>
          <w:rFonts w:eastAsia="Times New Roman" w:cs="Arial"/>
          <w:color w:val="000000"/>
          <w:u w:val="single"/>
          <w:lang w:eastAsia="bg-BG"/>
        </w:rPr>
      </w:pPr>
    </w:p>
    <w:p w14:paraId="3236BE11" w14:textId="0810579A"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Гърчове</w:t>
      </w:r>
    </w:p>
    <w:p w14:paraId="7926633F"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с анамнеза за епилепсия трябва внимателно да се проследяват по време на лечението с Лепонекс, тъй като има съобщения за дозозависими гърчове. В такива случаи дозата трябва да се понижи (вж. точка 4.2) и ако се налага, трябва да се започне антиконвулсивна терапия.</w:t>
      </w:r>
    </w:p>
    <w:p w14:paraId="66E9D101" w14:textId="77777777" w:rsidR="001C266B" w:rsidRPr="001C266B" w:rsidRDefault="001C266B" w:rsidP="001C266B">
      <w:pPr>
        <w:spacing w:line="240" w:lineRule="auto"/>
        <w:rPr>
          <w:rFonts w:eastAsia="Times New Roman" w:cs="Arial"/>
          <w:color w:val="000000"/>
          <w:u w:val="single"/>
          <w:lang w:eastAsia="bg-BG"/>
        </w:rPr>
      </w:pPr>
    </w:p>
    <w:p w14:paraId="50BA5641" w14:textId="13C425C6"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Антихолинергични ефекти</w:t>
      </w:r>
    </w:p>
    <w:p w14:paraId="178BEAE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Лепонекс оказва антихолинергично действие, което може да доведе до нежелани реакция в организма. Препоръчва се внимателното проследяване за наличие на </w:t>
      </w:r>
      <w:r w:rsidRPr="001C266B">
        <w:rPr>
          <w:rFonts w:eastAsia="Times New Roman" w:cs="Arial"/>
          <w:b/>
          <w:bCs/>
          <w:color w:val="000000"/>
          <w:lang w:eastAsia="bg-BG"/>
        </w:rPr>
        <w:t xml:space="preserve">уголемяване на простата </w:t>
      </w:r>
      <w:r w:rsidRPr="001C266B">
        <w:rPr>
          <w:rFonts w:eastAsia="Times New Roman" w:cs="Arial"/>
          <w:color w:val="000000"/>
          <w:lang w:eastAsia="bg-BG"/>
        </w:rPr>
        <w:t xml:space="preserve">и </w:t>
      </w:r>
      <w:r w:rsidRPr="001C266B">
        <w:rPr>
          <w:rFonts w:eastAsia="Times New Roman" w:cs="Arial"/>
          <w:b/>
          <w:bCs/>
          <w:color w:val="000000"/>
          <w:lang w:eastAsia="bg-BG"/>
        </w:rPr>
        <w:t xml:space="preserve">тесноъгьлна глаукома. </w:t>
      </w:r>
      <w:r w:rsidRPr="001C266B">
        <w:rPr>
          <w:rFonts w:eastAsia="Times New Roman" w:cs="Arial"/>
          <w:color w:val="000000"/>
          <w:lang w:eastAsia="bg-BG"/>
        </w:rPr>
        <w:t xml:space="preserve">Вероятно поради антихолинергичните му свойства, Лепонекс е сързан с различни по степен </w:t>
      </w:r>
      <w:r w:rsidRPr="001C266B">
        <w:rPr>
          <w:rFonts w:eastAsia="Times New Roman" w:cs="Arial"/>
          <w:b/>
          <w:bCs/>
          <w:color w:val="000000"/>
          <w:lang w:eastAsia="bg-BG"/>
        </w:rPr>
        <w:t xml:space="preserve">нарушения на тьнкочревната перисталтика, </w:t>
      </w:r>
      <w:r w:rsidRPr="001C266B">
        <w:rPr>
          <w:rFonts w:eastAsia="Times New Roman" w:cs="Arial"/>
          <w:color w:val="000000"/>
          <w:lang w:eastAsia="bg-BG"/>
        </w:rPr>
        <w:t xml:space="preserve">от </w:t>
      </w:r>
      <w:r w:rsidRPr="001C266B">
        <w:rPr>
          <w:rFonts w:eastAsia="Times New Roman" w:cs="Arial"/>
          <w:b/>
          <w:bCs/>
          <w:color w:val="000000"/>
          <w:lang w:eastAsia="bg-BG"/>
        </w:rPr>
        <w:t xml:space="preserve">констипацня </w:t>
      </w:r>
      <w:r w:rsidRPr="001C266B">
        <w:rPr>
          <w:rFonts w:eastAsia="Times New Roman" w:cs="Arial"/>
          <w:color w:val="000000"/>
          <w:lang w:eastAsia="bg-BG"/>
        </w:rPr>
        <w:t xml:space="preserve">до </w:t>
      </w:r>
      <w:r w:rsidRPr="001C266B">
        <w:rPr>
          <w:rFonts w:eastAsia="Times New Roman" w:cs="Arial"/>
          <w:b/>
          <w:bCs/>
          <w:color w:val="000000"/>
          <w:lang w:eastAsia="bg-BG"/>
        </w:rPr>
        <w:t xml:space="preserve">чревна обструкцня, заклещване на червата, паралитичен илеус, мегаколон и чревен инфаркт/исхемия </w:t>
      </w:r>
      <w:r w:rsidRPr="001C266B">
        <w:rPr>
          <w:rFonts w:eastAsia="Times New Roman" w:cs="Arial"/>
          <w:color w:val="000000"/>
          <w:lang w:eastAsia="bg-BG"/>
        </w:rPr>
        <w:t>(вж. точка 4.8). Рядко тези случаи са били фатални. Необходими са особени грижи при пациентите, които получават съпътстващи лекарства, за които е известно, че причиняват констипация (особено тези с антихолинергични свойства като някои антипсихотици, антидепресанти и антипаркинсонови лекарства), имат анамнеза за заболяване на дебелото черво или хирургични намеси в долната част на корема, тъй като при тези условия те могат да екзацербират. Жизненоважно е констипацията да бъде разпозната и активно лекувана.</w:t>
      </w:r>
    </w:p>
    <w:p w14:paraId="3A1145A8" w14:textId="77777777" w:rsidR="001C266B" w:rsidRPr="001C266B" w:rsidRDefault="001C266B" w:rsidP="001C266B">
      <w:pPr>
        <w:spacing w:line="240" w:lineRule="auto"/>
        <w:rPr>
          <w:rFonts w:eastAsia="Times New Roman" w:cs="Arial"/>
          <w:color w:val="000000"/>
          <w:u w:val="single"/>
          <w:lang w:eastAsia="bg-BG"/>
        </w:rPr>
      </w:pPr>
    </w:p>
    <w:p w14:paraId="6DBEAFD3" w14:textId="3303F66B"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Повишена температура</w:t>
      </w:r>
    </w:p>
    <w:p w14:paraId="476C15A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По време на лечението с Лепонекс, пациентите могат да получат преходни </w:t>
      </w:r>
      <w:r w:rsidRPr="001C266B">
        <w:rPr>
          <w:rFonts w:eastAsia="Times New Roman" w:cs="Arial"/>
          <w:b/>
          <w:bCs/>
          <w:color w:val="000000"/>
          <w:lang w:eastAsia="bg-BG"/>
        </w:rPr>
        <w:t xml:space="preserve">повишения на температурата </w:t>
      </w:r>
      <w:r w:rsidRPr="001C266B">
        <w:rPr>
          <w:rFonts w:eastAsia="Times New Roman" w:cs="Arial"/>
          <w:color w:val="000000"/>
          <w:lang w:eastAsia="bg-BG"/>
        </w:rPr>
        <w:t xml:space="preserve">над 38°С, с най-голяма честота през първите 3 седмици от лечението. Този фебрилитет обикновено е бенигнен. В някои случаи той може да е свързан с повишение или понижение на броя левкоцити, Пациените с фебрилитет трябва да се оценяват внимателно, за да се изключи възможността за подлежаща инфекция или развитие на агранулоцитоза. При наличие на висока температура трябва да се има предвид възможостга за развитие на </w:t>
      </w:r>
      <w:r w:rsidRPr="001C266B">
        <w:rPr>
          <w:rFonts w:eastAsia="Times New Roman" w:cs="Arial"/>
          <w:b/>
          <w:bCs/>
          <w:color w:val="000000"/>
          <w:lang w:eastAsia="bg-BG"/>
        </w:rPr>
        <w:t xml:space="preserve">малигнен невролептнчен синдром </w:t>
      </w:r>
      <w:r w:rsidRPr="001C266B">
        <w:rPr>
          <w:rFonts w:eastAsia="Times New Roman" w:cs="Arial"/>
          <w:color w:val="000000"/>
          <w:lang w:eastAsia="bg-BG"/>
        </w:rPr>
        <w:t xml:space="preserve">(МИС). Ако </w:t>
      </w:r>
      <w:r w:rsidRPr="001C266B">
        <w:rPr>
          <w:rFonts w:eastAsia="Times New Roman" w:cs="Arial"/>
          <w:color w:val="000000"/>
          <w:lang w:eastAsia="bg-BG"/>
        </w:rPr>
        <w:lastRenderedPageBreak/>
        <w:t>диагнозата за МНС бъде потвърдена, приема иа Лепонекс трябва да се преустанови незабавно и да се предприемат необходимите мерки за лечение.</w:t>
      </w:r>
    </w:p>
    <w:p w14:paraId="6E18068E" w14:textId="77777777" w:rsidR="001C266B" w:rsidRPr="001C266B" w:rsidRDefault="001C266B" w:rsidP="001C266B">
      <w:pPr>
        <w:spacing w:line="240" w:lineRule="auto"/>
        <w:rPr>
          <w:rFonts w:eastAsia="Times New Roman" w:cs="Arial"/>
          <w:color w:val="000000"/>
          <w:u w:val="single"/>
          <w:lang w:eastAsia="bg-BG"/>
        </w:rPr>
      </w:pPr>
    </w:p>
    <w:p w14:paraId="1888A0EF" w14:textId="43AA0F41"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Падания</w:t>
      </w:r>
    </w:p>
    <w:p w14:paraId="4C92B9C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Лепонекс може да причини пристъпи, сънливост, постурална хипотония, двигателна и сензорна нестабилност, което може да доведе до падане и вследствие на това, до фрактури или други наранявания. При пациенти страдащи от заболявания, състояния или приемащи лекарства, които биха могли да изострят тези ефекти, трябва да се направи оценка на риска от падане при започване на антипсихотично лечение и периодично при пациенти на дългосрочна антипсихотична терапия.</w:t>
      </w:r>
    </w:p>
    <w:p w14:paraId="30AAE3CA" w14:textId="77777777" w:rsidR="001C266B" w:rsidRPr="001C266B" w:rsidRDefault="001C266B" w:rsidP="001C266B">
      <w:pPr>
        <w:spacing w:line="240" w:lineRule="auto"/>
        <w:rPr>
          <w:rFonts w:eastAsia="Times New Roman" w:cs="Arial"/>
          <w:color w:val="000000"/>
          <w:u w:val="single"/>
          <w:lang w:eastAsia="bg-BG"/>
        </w:rPr>
      </w:pPr>
    </w:p>
    <w:p w14:paraId="33EEEA87" w14:textId="2AC05C8A"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Метаболитни промени</w:t>
      </w:r>
    </w:p>
    <w:p w14:paraId="6FA81CF3"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Атипичните антипсихотични лекарства, включително и Лепонекс, са свързани с метаболитни промени, които могат да повишат сърдечно-съдовия/мозъчно-съдовия риск. Тези метаболитни промени могат да включват хипергликемия, дислипидемия и увеличаване на телесното тегло. Атипичните антипсихотични лекарства могат да доведат до някои метаболитни променило всяко лекарство в този клас има свой собствен специфичен профил.</w:t>
      </w:r>
    </w:p>
    <w:p w14:paraId="1A8A97FF" w14:textId="77777777" w:rsidR="001C266B" w:rsidRPr="001C266B" w:rsidRDefault="001C266B" w:rsidP="001C266B">
      <w:pPr>
        <w:spacing w:line="240" w:lineRule="auto"/>
        <w:rPr>
          <w:rFonts w:eastAsia="Times New Roman" w:cs="Arial"/>
          <w:i/>
          <w:iCs/>
          <w:color w:val="000000"/>
          <w:lang w:eastAsia="bg-BG"/>
        </w:rPr>
      </w:pPr>
    </w:p>
    <w:p w14:paraId="1F6B834D" w14:textId="26F18511"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Хипергликемия</w:t>
      </w:r>
    </w:p>
    <w:p w14:paraId="5B0F5B35" w14:textId="77777777" w:rsidR="001C266B" w:rsidRPr="001C266B" w:rsidRDefault="001C266B" w:rsidP="001C266B">
      <w:pPr>
        <w:rPr>
          <w:rFonts w:eastAsia="Times New Roman" w:cs="Arial"/>
        </w:rPr>
      </w:pPr>
      <w:r w:rsidRPr="001C266B">
        <w:rPr>
          <w:rFonts w:eastAsia="Times New Roman" w:cs="Arial"/>
          <w:color w:val="000000"/>
          <w:lang w:eastAsia="bg-BG"/>
        </w:rPr>
        <w:t>Влошен глюкозен толеранс и/или развитието или екзацербацията на захарен диабет се съобщават рядко по време на лечение с клозапин. Все още не е установен механизмът за тази вероятна връзка Много рядко се съобщават случаи на тежка хипергликемия с кетоацидоза или хиперосмоларна кома при пациентите без предхождаща анамнеза за хипергликемия, някои от които са били фатални. Наличните данните за проследяването показват, че спирането на клозапин най-често води до възстановяване на нарушения глюкозен толеранс, а повторното лечение с клозапин причинява появата му отново. Пациенти с поставена диагноза захарен диабет, които са започнали лечение с атипични антипсихотици, трябва да се проследяват редовно за влошаване на глюкозния контрол. На пациенти с рискови фактори за захарен диабет (напр. затлъстяване, фамилна анамнеза за диабет), които започват лечение с атипични антипсихотици, трябва да бъде изследвана кръвната захар на гладно в началото на лечението и периодично по време на лечението. На пациентите, които развиват симптоми на хипергликемия по време на лечение с атипични антипсихотици, трябва да бъде изследвана кръвната захар на гладно. В някои случаи, хипергликемията отшумява след спиране на лечението с атипичния антипсихотик; все пак, при някои пациенти се налага продължаване на антидиабетно лечение, въпреки спиране на съответното лекарството. При пациентите, при които активното лекарствено лечение на хипергликемията е било неуспешно, трябва да се има предвид спиране на лечението с клозапин.</w:t>
      </w:r>
    </w:p>
    <w:p w14:paraId="2002D9D8" w14:textId="77777777" w:rsidR="001C266B" w:rsidRPr="001C266B" w:rsidRDefault="001C266B" w:rsidP="001C266B">
      <w:pPr>
        <w:spacing w:line="240" w:lineRule="auto"/>
        <w:rPr>
          <w:rFonts w:eastAsia="Times New Roman" w:cs="Arial"/>
          <w:i/>
          <w:iCs/>
          <w:color w:val="000000"/>
          <w:lang w:eastAsia="bg-BG"/>
        </w:rPr>
      </w:pPr>
    </w:p>
    <w:p w14:paraId="772AD73E" w14:textId="74349346"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Дислипидемия</w:t>
      </w:r>
    </w:p>
    <w:p w14:paraId="4190614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Наблюдавани са нежелани промени в липидите при пациенти, лекувани с атипични антипсихотици, включително Лепонекс. Препоръчва се клинично наблюдение, включително изходни и последващи периодични оценки на липидните показатели при пациенти, които приемат клозапин.</w:t>
      </w:r>
    </w:p>
    <w:p w14:paraId="4AC15006" w14:textId="77777777" w:rsidR="001C266B" w:rsidRPr="001C266B" w:rsidRDefault="001C266B" w:rsidP="001C266B">
      <w:pPr>
        <w:spacing w:line="240" w:lineRule="auto"/>
        <w:rPr>
          <w:rFonts w:eastAsia="Times New Roman" w:cs="Arial"/>
          <w:i/>
          <w:iCs/>
          <w:color w:val="000000"/>
          <w:lang w:eastAsia="bg-BG"/>
        </w:rPr>
      </w:pPr>
    </w:p>
    <w:p w14:paraId="5AF1C9DF" w14:textId="55B98F75"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Увеличаване на теглото</w:t>
      </w:r>
    </w:p>
    <w:p w14:paraId="08DA565E"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Повишаване на теглото е наблюдавано при употребата на атипични антипсихотични лекарства, включително Лепонекс. Препоръчва се клинично наблюдение на теглото.</w:t>
      </w:r>
    </w:p>
    <w:p w14:paraId="522AF9AF" w14:textId="77777777" w:rsidR="001C266B" w:rsidRPr="001C266B" w:rsidRDefault="001C266B" w:rsidP="001C266B">
      <w:pPr>
        <w:spacing w:line="240" w:lineRule="auto"/>
        <w:rPr>
          <w:rFonts w:eastAsia="Times New Roman" w:cs="Arial"/>
          <w:i/>
          <w:iCs/>
          <w:color w:val="000000"/>
          <w:lang w:eastAsia="bg-BG"/>
        </w:rPr>
      </w:pPr>
    </w:p>
    <w:p w14:paraId="3B300C45" w14:textId="286BFF39"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Рибаунд, ефекти на отнемане</w:t>
      </w:r>
    </w:p>
    <w:p w14:paraId="3D538EC7"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Съобщавани са остри реакции на отнемане след внезапно спиране на лечението с клозапин, поради което се препоръчва спирането на лечението да бъде постепенно. Ако се налага внезапно спиране (напр. поради левкопения), пациентът трябва да бъде наблюдаван внимателно за повторна поява на психотични симптоми и симптоми, които са свързани с холинергичен рибаунд, като обилно потене, главоболие, гадене, повръщане и диария.</w:t>
      </w:r>
    </w:p>
    <w:p w14:paraId="12C328BC" w14:textId="77777777" w:rsidR="001C266B" w:rsidRPr="001C266B" w:rsidRDefault="001C266B" w:rsidP="001C266B">
      <w:pPr>
        <w:spacing w:line="240" w:lineRule="auto"/>
        <w:rPr>
          <w:rFonts w:eastAsia="Times New Roman" w:cs="Arial"/>
          <w:color w:val="000000"/>
          <w:u w:val="single"/>
          <w:lang w:eastAsia="bg-BG"/>
        </w:rPr>
      </w:pPr>
    </w:p>
    <w:p w14:paraId="49994EB8" w14:textId="7527CBD2"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Специални популации</w:t>
      </w:r>
    </w:p>
    <w:p w14:paraId="31EB6816" w14:textId="77777777" w:rsidR="001C266B" w:rsidRPr="001C266B" w:rsidRDefault="001C266B" w:rsidP="001C266B">
      <w:pPr>
        <w:spacing w:line="240" w:lineRule="auto"/>
        <w:rPr>
          <w:rFonts w:eastAsia="Times New Roman" w:cs="Arial"/>
          <w:i/>
          <w:iCs/>
          <w:color w:val="000000"/>
          <w:lang w:eastAsia="bg-BG"/>
        </w:rPr>
      </w:pPr>
    </w:p>
    <w:p w14:paraId="196DCE4D" w14:textId="63FE6812"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Чернодробно нарушение</w:t>
      </w:r>
    </w:p>
    <w:p w14:paraId="24901134"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Пациентите със стабилни предхождащи чернодробни нарушения могат да получават лечение с Лепонекс, но изискват редовни изследвания на чернодробната функция, Изследванията на чернодробна функция трябва да се извършват при пациентите, при които по време на лечението с Лепонекс се развиват симптоми на възможно </w:t>
      </w:r>
      <w:r w:rsidRPr="001C266B">
        <w:rPr>
          <w:rFonts w:eastAsia="Times New Roman" w:cs="Arial"/>
          <w:b/>
          <w:bCs/>
          <w:color w:val="000000"/>
          <w:lang w:eastAsia="bg-BG"/>
        </w:rPr>
        <w:t xml:space="preserve">нарушение на чернодробната функция, </w:t>
      </w:r>
      <w:r w:rsidRPr="001C266B">
        <w:rPr>
          <w:rFonts w:eastAsia="Times New Roman" w:cs="Arial"/>
          <w:color w:val="000000"/>
          <w:lang w:eastAsia="bg-BG"/>
        </w:rPr>
        <w:t>като гадене, повръщане и/или безапетитие. Ако повишението на стойностите е клинично значимо (повече от 3 пъти над горната граница на норма) или се появят симптоми на жълтеница, лечението с Лепонекс трябва да се спре. Лечението може да бъде започнато отново (вж. “Повторно започване на терапия” в точка 4.2) единствено само, ако резултатите от тестовете за черодробната функция са нормални. В такива случаи чернодробната функция трябва да бъде проследявана внимателно след повторното включване на Лепонекс.</w:t>
      </w:r>
    </w:p>
    <w:p w14:paraId="689B3347" w14:textId="77777777" w:rsidR="001C266B" w:rsidRPr="001C266B" w:rsidRDefault="001C266B" w:rsidP="001C266B">
      <w:pPr>
        <w:spacing w:line="240" w:lineRule="auto"/>
        <w:rPr>
          <w:rFonts w:eastAsia="Times New Roman" w:cs="Arial"/>
          <w:i/>
          <w:iCs/>
          <w:color w:val="000000"/>
          <w:lang w:eastAsia="bg-BG"/>
        </w:rPr>
      </w:pPr>
    </w:p>
    <w:p w14:paraId="45F0B854" w14:textId="2F04DCE6"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Пациенти възраст на и над 60 години</w:t>
      </w:r>
    </w:p>
    <w:p w14:paraId="3EDC5073"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При пациенти на възраст 60 години и по-възрастни се препоръчва започване на лечението с по- ниска доза (вж. точка 4.2).</w:t>
      </w:r>
    </w:p>
    <w:p w14:paraId="34447AF0" w14:textId="77777777" w:rsidR="001C266B" w:rsidRPr="001C266B" w:rsidRDefault="001C266B" w:rsidP="001C266B">
      <w:pPr>
        <w:spacing w:line="240" w:lineRule="auto"/>
        <w:rPr>
          <w:rFonts w:eastAsia="Times New Roman" w:cs="Arial"/>
          <w:color w:val="000000"/>
          <w:lang w:eastAsia="bg-BG"/>
        </w:rPr>
      </w:pPr>
    </w:p>
    <w:p w14:paraId="25070EC4" w14:textId="250B0ED3"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При лечение с Лепонекс може да се развие ортостатична хипотония и има съобщения за тахикардия, която може да е продължителна. Пациенти на възраст на и над 60 години особено тези с нарушена сърдечно-съдова функция, могат да са по-податливи на тези ефекти</w:t>
      </w:r>
    </w:p>
    <w:p w14:paraId="55137E57" w14:textId="77777777" w:rsidR="001C266B" w:rsidRPr="001C266B" w:rsidRDefault="001C266B" w:rsidP="001C266B">
      <w:pPr>
        <w:spacing w:line="240" w:lineRule="auto"/>
        <w:rPr>
          <w:rFonts w:eastAsia="Times New Roman" w:cs="Arial"/>
          <w:color w:val="000000"/>
          <w:lang w:eastAsia="bg-BG"/>
        </w:rPr>
      </w:pPr>
    </w:p>
    <w:p w14:paraId="0DEC9DB9" w14:textId="422D0B33" w:rsidR="001C266B" w:rsidRPr="001C266B" w:rsidRDefault="001C266B" w:rsidP="001C266B">
      <w:pPr>
        <w:spacing w:line="240" w:lineRule="auto"/>
        <w:rPr>
          <w:rFonts w:eastAsia="Times New Roman" w:cs="Arial"/>
        </w:rPr>
      </w:pPr>
      <w:r w:rsidRPr="001C266B">
        <w:rPr>
          <w:rFonts w:eastAsia="Times New Roman" w:cs="Arial"/>
          <w:color w:val="000000"/>
          <w:lang w:eastAsia="bg-BG"/>
        </w:rPr>
        <w:t>Пациентите на възраст на и над 60 години биха могли да бъдат също особено податливи на антихолинергичните ефекти на Лепонекс, като задръжка на урина и констипация.</w:t>
      </w:r>
    </w:p>
    <w:p w14:paraId="3FD3C1CE" w14:textId="67E2AF23" w:rsidR="001C266B" w:rsidRPr="001C266B" w:rsidRDefault="001C266B" w:rsidP="001C266B">
      <w:pPr>
        <w:spacing w:line="240" w:lineRule="auto"/>
        <w:rPr>
          <w:rFonts w:eastAsia="Times New Roman" w:cs="Arial"/>
        </w:rPr>
      </w:pPr>
    </w:p>
    <w:p w14:paraId="63AA76F6"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Повишена смъртност при пациенти в старческа възраст с деменция</w:t>
      </w:r>
    </w:p>
    <w:p w14:paraId="1DA2AAB7"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Дани от две големи обзорните проучвания показват, че при пациенти в старческа възраст с деменция, които са лекувани с антипсихотици, има малко повишение на риска от смърт в сравнение с тези, които не са лекувани. Данните са недостатъчни, за да може да се направи пълна оценка на точния размер на този риск. Причината за повишения риск е неизвестна.</w:t>
      </w:r>
    </w:p>
    <w:p w14:paraId="047BDED0"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Лепонекс няма одобрени терапевтични показания за лечение на поведенчески нарушения, които са свързани с деменция.</w:t>
      </w:r>
    </w:p>
    <w:p w14:paraId="3264A2AF" w14:textId="0089E400" w:rsidR="001C266B" w:rsidRPr="00B75CF6" w:rsidRDefault="001C266B" w:rsidP="00B75CF6"/>
    <w:p w14:paraId="0734264C" w14:textId="6389E4DE"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C1E0538" w14:textId="44FC9556" w:rsidR="001C266B" w:rsidRDefault="001C266B" w:rsidP="001C266B"/>
    <w:p w14:paraId="15F51EE6"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Противопоказания за едновременно приложение</w:t>
      </w:r>
    </w:p>
    <w:p w14:paraId="77AF22C9"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lastRenderedPageBreak/>
        <w:t>Лекарствата, за които е известно, че притежават значителен потенциал да подтиснат функцията на костния мозък, не трябва да се използават заедно с Лепонекс (вж. точка 4.4).</w:t>
      </w:r>
    </w:p>
    <w:p w14:paraId="2AE47EA7" w14:textId="77777777" w:rsidR="001C266B" w:rsidRPr="001C266B" w:rsidRDefault="001C266B" w:rsidP="001C266B">
      <w:pPr>
        <w:spacing w:line="240" w:lineRule="auto"/>
        <w:rPr>
          <w:rFonts w:eastAsia="Times New Roman" w:cs="Arial"/>
          <w:color w:val="000000"/>
          <w:szCs w:val="20"/>
          <w:lang w:eastAsia="bg-BG"/>
        </w:rPr>
      </w:pPr>
    </w:p>
    <w:p w14:paraId="14D672EE" w14:textId="4A7CA576"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Антипсихотичните лекарствени продукти с удължено освобождаване (които имат миелосупресивен потенциал) не трябва да се използват заедно с Лепонекс, тъй като не могат да се изчистят бързо от организма, в ситуации, при които това може да се наложи, напр. неутропения (вж. точка 4.4).</w:t>
      </w:r>
    </w:p>
    <w:p w14:paraId="764509C5" w14:textId="77777777" w:rsidR="001C266B" w:rsidRPr="001C266B" w:rsidRDefault="001C266B" w:rsidP="001C266B">
      <w:pPr>
        <w:spacing w:line="240" w:lineRule="auto"/>
        <w:rPr>
          <w:rFonts w:eastAsia="Times New Roman" w:cs="Arial"/>
          <w:color w:val="000000"/>
          <w:szCs w:val="20"/>
          <w:lang w:eastAsia="bg-BG"/>
        </w:rPr>
      </w:pPr>
    </w:p>
    <w:p w14:paraId="0203DC52" w14:textId="1ADB9DE5"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Не трябва да се употребява алкохол заедно с Лепонекс поради възможен потенциал за седиране.</w:t>
      </w:r>
    </w:p>
    <w:p w14:paraId="506B04F8" w14:textId="77777777" w:rsidR="001C266B" w:rsidRPr="001C266B" w:rsidRDefault="001C266B" w:rsidP="001C266B">
      <w:pPr>
        <w:spacing w:line="240" w:lineRule="auto"/>
        <w:rPr>
          <w:rFonts w:eastAsia="Times New Roman" w:cs="Arial"/>
          <w:color w:val="000000"/>
          <w:szCs w:val="20"/>
          <w:u w:val="single"/>
          <w:lang w:eastAsia="bg-BG"/>
        </w:rPr>
      </w:pPr>
    </w:p>
    <w:p w14:paraId="6927F0AE" w14:textId="5194B184"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Предпазни мерки, включително промени в дозата</w:t>
      </w:r>
    </w:p>
    <w:p w14:paraId="3C493A93"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Лепонекс може да засили централните ефекти на лекарствата, потискащи ЦНС, като наркотици, антихистамини и бензодиазепини. Препоръчва се особено внимание, когато се започва лечение с Лепонекс при пациенти, получаващи бензодиазепин или друго психотропно лекарство. Тези пациенти може да имат повишен риск за циркулаторен колапс, който в редки случаи може да е тежък и да доведе до спиране на сърдечната дейност и/или дишането. Не е ясно дали може да се предотврати сърдечния или респираторен колапс чрез промяна на дозата.</w:t>
      </w:r>
    </w:p>
    <w:p w14:paraId="0DF558E6" w14:textId="77777777" w:rsidR="001C266B" w:rsidRPr="001C266B" w:rsidRDefault="001C266B" w:rsidP="001C266B">
      <w:pPr>
        <w:spacing w:line="240" w:lineRule="auto"/>
        <w:rPr>
          <w:rFonts w:eastAsia="Times New Roman" w:cs="Arial"/>
          <w:color w:val="000000"/>
          <w:szCs w:val="20"/>
          <w:lang w:eastAsia="bg-BG"/>
        </w:rPr>
      </w:pPr>
    </w:p>
    <w:p w14:paraId="6058F171" w14:textId="34AA8D23"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Поради въможността за кумулиране на ефектите, особено важно е вниманието при едновременното приложение на лекарства, притежаващи антихолинергично, хипотензивно или потискащо дишането действие.</w:t>
      </w:r>
    </w:p>
    <w:p w14:paraId="3E8DF4A7" w14:textId="77777777" w:rsidR="001C266B" w:rsidRPr="001C266B" w:rsidRDefault="001C266B" w:rsidP="001C266B">
      <w:pPr>
        <w:spacing w:line="240" w:lineRule="auto"/>
        <w:rPr>
          <w:rFonts w:eastAsia="Times New Roman" w:cs="Arial"/>
          <w:color w:val="000000"/>
          <w:szCs w:val="20"/>
          <w:lang w:eastAsia="bg-BG"/>
        </w:rPr>
      </w:pPr>
    </w:p>
    <w:p w14:paraId="4F33664C" w14:textId="18603996"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Благодарение на анти-а-адренергичните си свойства Лепонекс може да отслаби повишаващия артериалното налягане ефект на норепинефрин или на други лекарства с предимно а- адренергично действие и да антагонизира напълно пресорния ефект на епинефрин.</w:t>
      </w:r>
    </w:p>
    <w:p w14:paraId="0BBE77CB" w14:textId="77777777" w:rsidR="001C266B" w:rsidRPr="001C266B" w:rsidRDefault="001C266B" w:rsidP="001C266B">
      <w:pPr>
        <w:spacing w:line="240" w:lineRule="auto"/>
        <w:rPr>
          <w:rFonts w:eastAsia="Times New Roman" w:cs="Arial"/>
          <w:color w:val="000000"/>
          <w:szCs w:val="20"/>
          <w:lang w:eastAsia="bg-BG"/>
        </w:rPr>
      </w:pPr>
    </w:p>
    <w:p w14:paraId="01E8612F" w14:textId="66EF773E"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Съпътстващото приложение на лекарства, за които е известно, че инхибират активността на цитохром Р450 изоензимите, може да повиши нивата на клозапин и да се наложи намаляване на дозата на клозапин, за да се предотвратят нежеланите реакции. Това е по-важно за инхибиторите на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1А2 като кофеин (вж. по-долу), перазин и селективния инхибитор на обратното захващане на серотонина флувоксамин. Някои от останалите инхибитори на обратното захващане на серотонина като флуоксетин, пароксетин и в по-малка степен сертралин са инхибитори на </w:t>
      </w:r>
      <w:r w:rsidRPr="001C266B">
        <w:rPr>
          <w:rFonts w:eastAsia="Times New Roman" w:cs="Arial"/>
          <w:color w:val="000000"/>
          <w:szCs w:val="20"/>
          <w:lang w:val="en-US"/>
        </w:rPr>
        <w:t>CYP</w:t>
      </w:r>
      <w:r w:rsidRPr="001C266B">
        <w:rPr>
          <w:rFonts w:eastAsia="Times New Roman" w:cs="Arial"/>
          <w:color w:val="000000"/>
          <w:szCs w:val="20"/>
          <w:lang w:val="ru-RU"/>
        </w:rPr>
        <w:t xml:space="preserve"> 2</w:t>
      </w:r>
      <w:r w:rsidRPr="001C266B">
        <w:rPr>
          <w:rFonts w:eastAsia="Times New Roman" w:cs="Arial"/>
          <w:color w:val="000000"/>
          <w:szCs w:val="20"/>
          <w:lang w:val="en-US"/>
        </w:rPr>
        <w:t>D</w:t>
      </w:r>
      <w:r w:rsidRPr="001C266B">
        <w:rPr>
          <w:rFonts w:eastAsia="Times New Roman" w:cs="Arial"/>
          <w:color w:val="000000"/>
          <w:szCs w:val="20"/>
          <w:lang w:val="ru-RU"/>
        </w:rPr>
        <w:t xml:space="preserve">6 </w:t>
      </w:r>
      <w:r w:rsidRPr="001C266B">
        <w:rPr>
          <w:rFonts w:eastAsia="Times New Roman" w:cs="Arial"/>
          <w:color w:val="000000"/>
          <w:szCs w:val="20"/>
          <w:lang w:eastAsia="bg-BG"/>
        </w:rPr>
        <w:t xml:space="preserve">и в резултат на това, са по-малко вероятни съществени фармакокинетични взаимодействия с клозапин. Подобно на това са малко вероятни фармакокинетични взаимодействия с инхибитори на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ЗА4 като азолови антимикотици, циметидин, еритромицин и протеазни инхибитори, въпреки че такива се съобщават. Хормоналните контрацептиви (вкл. комбинации на естроген и прогестерон или само прогестерон) са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1А2,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ЗА4 и </w:t>
      </w:r>
      <w:r w:rsidRPr="001C266B">
        <w:rPr>
          <w:rFonts w:eastAsia="Times New Roman" w:cs="Arial"/>
          <w:color w:val="000000"/>
          <w:szCs w:val="20"/>
          <w:lang w:val="en-US"/>
        </w:rPr>
        <w:t>CYP</w:t>
      </w:r>
      <w:r w:rsidRPr="001C266B">
        <w:rPr>
          <w:rFonts w:eastAsia="Times New Roman" w:cs="Arial"/>
          <w:color w:val="000000"/>
          <w:szCs w:val="20"/>
          <w:lang w:val="ru-RU"/>
        </w:rPr>
        <w:t xml:space="preserve"> </w:t>
      </w:r>
      <w:r w:rsidRPr="001C266B">
        <w:rPr>
          <w:rFonts w:eastAsia="Times New Roman" w:cs="Arial"/>
          <w:color w:val="000000"/>
          <w:szCs w:val="20"/>
          <w:lang w:eastAsia="bg-BG"/>
        </w:rPr>
        <w:t>2С19 инхибитори. Поради това, започването или спирането на лечение с хормонални контрацептиви, може да изиск</w:t>
      </w:r>
      <w:r w:rsidRPr="001C266B">
        <w:rPr>
          <w:rFonts w:eastAsia="Times New Roman" w:cs="Arial"/>
          <w:color w:val="000000"/>
          <w:szCs w:val="20"/>
          <w:u w:val="single"/>
          <w:lang w:eastAsia="bg-BG"/>
        </w:rPr>
        <w:t>ва ада</w:t>
      </w:r>
      <w:r w:rsidRPr="001C266B">
        <w:rPr>
          <w:rFonts w:eastAsia="Times New Roman" w:cs="Arial"/>
          <w:color w:val="000000"/>
          <w:szCs w:val="20"/>
          <w:lang w:eastAsia="bg-BG"/>
        </w:rPr>
        <w:t>птиране на дозата според индивидуалните медицински нужди. Тъй като плазмената концентрация на</w:t>
      </w:r>
    </w:p>
    <w:p w14:paraId="28F9ED12" w14:textId="25065A4C" w:rsidR="001C266B" w:rsidRPr="001C266B" w:rsidRDefault="001C266B" w:rsidP="001C266B">
      <w:pPr>
        <w:rPr>
          <w:rFonts w:eastAsia="Times New Roman" w:cs="Arial"/>
          <w:color w:val="000000"/>
          <w:szCs w:val="20"/>
          <w:lang w:eastAsia="bg-BG"/>
        </w:rPr>
      </w:pPr>
      <w:r w:rsidRPr="001C266B">
        <w:rPr>
          <w:rFonts w:eastAsia="Times New Roman" w:cs="Arial"/>
          <w:color w:val="000000"/>
          <w:szCs w:val="20"/>
          <w:lang w:eastAsia="bg-BG"/>
        </w:rPr>
        <w:t>клозапин се повишава от приема на кофеин и се понижава с почти 50% след 5-дневен безкофеинов период, могат да се наложат промени в дозата на клозапин при промяна в навиците за прием на кофеинсъдържащи течности. В случаи на внезапно спиране на тютюнопушенето плазмената концентрация на клозапин може да се повиши и така да доведе до зачестяване на нежелани реакции.</w:t>
      </w:r>
    </w:p>
    <w:p w14:paraId="7FC2EE3F" w14:textId="743AE284" w:rsidR="001C266B" w:rsidRPr="001C266B" w:rsidRDefault="001C266B" w:rsidP="001C266B">
      <w:pPr>
        <w:rPr>
          <w:rFonts w:eastAsia="Times New Roman" w:cs="Arial"/>
          <w:color w:val="000000"/>
          <w:szCs w:val="20"/>
          <w:lang w:eastAsia="bg-BG"/>
        </w:rPr>
      </w:pPr>
    </w:p>
    <w:p w14:paraId="3A556E61"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Съобщават се случаи на взаимодействие между циталопрам и клозапин, което може да повиши риска от нежелани реакции, свързани с клозапин. Естеството на това взаимодействие не е напълно изяснено.</w:t>
      </w:r>
    </w:p>
    <w:p w14:paraId="78C0DECB" w14:textId="77777777" w:rsidR="001C266B" w:rsidRPr="001C266B" w:rsidRDefault="001C266B" w:rsidP="001C266B">
      <w:pPr>
        <w:spacing w:line="240" w:lineRule="auto"/>
        <w:rPr>
          <w:rFonts w:eastAsia="Times New Roman" w:cs="Arial"/>
          <w:color w:val="000000"/>
          <w:szCs w:val="20"/>
          <w:lang w:eastAsia="bg-BG"/>
        </w:rPr>
      </w:pPr>
    </w:p>
    <w:p w14:paraId="7A78509B" w14:textId="65513DE8"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Съвместното приложение с лекарства, за които е известно, че индуцират цитохром Р450 изоензимите, може да понижи плазмените нива на клозапин и така да доведе до намалена ефикасност. Лекарствата, за които е известно, че индуцират активността на цитохром Р450 изоензимите и за които има съобщения, че взаимодействат с клозапин, включват например карбамазепин (да не се използва заедно с клозапин, поради миелосупресивен потенциал), фенитоин и рифампицин. Известните индуктори на </w:t>
      </w:r>
      <w:r w:rsidRPr="001C266B">
        <w:rPr>
          <w:rFonts w:eastAsia="Times New Roman" w:cs="Arial"/>
          <w:color w:val="000000"/>
          <w:szCs w:val="20"/>
          <w:lang w:val="en-US"/>
        </w:rPr>
        <w:t>CYP</w:t>
      </w:r>
      <w:r w:rsidRPr="001C266B">
        <w:rPr>
          <w:rFonts w:eastAsia="Times New Roman" w:cs="Arial"/>
          <w:color w:val="000000"/>
          <w:szCs w:val="20"/>
          <w:lang w:val="ru-RU"/>
        </w:rPr>
        <w:t>1</w:t>
      </w:r>
      <w:r w:rsidRPr="001C266B">
        <w:rPr>
          <w:rFonts w:eastAsia="Times New Roman" w:cs="Arial"/>
          <w:color w:val="000000"/>
          <w:szCs w:val="20"/>
          <w:lang w:eastAsia="bg-BG"/>
        </w:rPr>
        <w:t>А2 като омепразол могат да доведат до понижени нива на клозапин. Възможността за понижена ефикасност на клозапин тряба да се има предвид, когато се използва в комбинация с тези лекарства.</w:t>
      </w:r>
    </w:p>
    <w:p w14:paraId="423E7CD0" w14:textId="77777777" w:rsidR="001C266B" w:rsidRPr="001C266B" w:rsidRDefault="001C266B" w:rsidP="001C266B">
      <w:pPr>
        <w:spacing w:line="240" w:lineRule="auto"/>
        <w:rPr>
          <w:rFonts w:eastAsia="Times New Roman" w:cs="Arial"/>
          <w:color w:val="000000"/>
          <w:szCs w:val="20"/>
          <w:u w:val="single"/>
          <w:lang w:eastAsia="bg-BG"/>
        </w:rPr>
      </w:pPr>
    </w:p>
    <w:p w14:paraId="74B9548C" w14:textId="1A301912"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Други</w:t>
      </w:r>
    </w:p>
    <w:p w14:paraId="04ED8403"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Съвместната употреба на литий или други ЦНС-активни лекарства може да повиши риска от развитие на малигнен невролептичен синдром (МНС).</w:t>
      </w:r>
    </w:p>
    <w:p w14:paraId="2C4B0464" w14:textId="77777777" w:rsidR="001C266B" w:rsidRPr="001C266B" w:rsidRDefault="001C266B" w:rsidP="001C266B">
      <w:pPr>
        <w:spacing w:line="240" w:lineRule="auto"/>
        <w:rPr>
          <w:rFonts w:eastAsia="Times New Roman" w:cs="Arial"/>
          <w:color w:val="000000"/>
          <w:szCs w:val="20"/>
          <w:lang w:eastAsia="bg-BG"/>
        </w:rPr>
      </w:pPr>
    </w:p>
    <w:p w14:paraId="26EE1207" w14:textId="72471705"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Съобщават се случаи на редки, но тежки гърчове, включително начало на гърчове при пациенти без епилепсия, и отделни случаи на делир, когато Лепонекс е прилаган заедно с валпроева киселина. Тези ефекти вероятно са поради фармакодинамично взаимодействие, чийто механизъм не е изяснен.</w:t>
      </w:r>
    </w:p>
    <w:p w14:paraId="3A6C69B1" w14:textId="77777777" w:rsidR="001C266B" w:rsidRPr="001C266B" w:rsidRDefault="001C266B" w:rsidP="001C266B">
      <w:pPr>
        <w:spacing w:line="240" w:lineRule="auto"/>
        <w:rPr>
          <w:rFonts w:eastAsia="Times New Roman" w:cs="Arial"/>
          <w:color w:val="000000"/>
          <w:szCs w:val="20"/>
          <w:lang w:eastAsia="bg-BG"/>
        </w:rPr>
      </w:pPr>
    </w:p>
    <w:p w14:paraId="16364D18" w14:textId="54F4479E"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Необходимо е внимание при пациенти, които получават съпътстващо лечение с други лекарства, които са инхибитори или индуктори на цитохром Р450 изоензимте. Не са наблюдавани до този момент клинично значими взаимодействия с трициклични антидепресанти, фенотиазини и тип 1с антиаритмици, за които се знае, че се свързват с цитохром Р450 </w:t>
      </w:r>
      <w:r w:rsidRPr="001C266B">
        <w:rPr>
          <w:rFonts w:eastAsia="Times New Roman" w:cs="Arial"/>
          <w:color w:val="000000"/>
          <w:szCs w:val="20"/>
          <w:lang w:val="ru-RU"/>
        </w:rPr>
        <w:t>2</w:t>
      </w:r>
      <w:r w:rsidRPr="001C266B">
        <w:rPr>
          <w:rFonts w:eastAsia="Times New Roman" w:cs="Arial"/>
          <w:color w:val="000000"/>
          <w:szCs w:val="20"/>
          <w:lang w:val="en-US"/>
        </w:rPr>
        <w:t>D</w:t>
      </w:r>
      <w:r w:rsidRPr="001C266B">
        <w:rPr>
          <w:rFonts w:eastAsia="Times New Roman" w:cs="Arial"/>
          <w:color w:val="000000"/>
          <w:szCs w:val="20"/>
          <w:lang w:val="ru-RU"/>
        </w:rPr>
        <w:t>6.</w:t>
      </w:r>
    </w:p>
    <w:p w14:paraId="20A70FBD" w14:textId="77777777" w:rsidR="001C266B" w:rsidRPr="001C266B" w:rsidRDefault="001C266B" w:rsidP="001C266B">
      <w:pPr>
        <w:spacing w:line="240" w:lineRule="auto"/>
        <w:rPr>
          <w:rFonts w:eastAsia="Times New Roman" w:cs="Arial"/>
          <w:color w:val="000000"/>
          <w:szCs w:val="20"/>
          <w:lang w:eastAsia="bg-BG"/>
        </w:rPr>
      </w:pPr>
    </w:p>
    <w:p w14:paraId="0E329F8D" w14:textId="471F8E68" w:rsidR="001C266B" w:rsidRPr="001C266B" w:rsidRDefault="001C266B" w:rsidP="001C266B">
      <w:pPr>
        <w:spacing w:line="240" w:lineRule="auto"/>
        <w:rPr>
          <w:rFonts w:eastAsia="Times New Roman" w:cs="Arial"/>
          <w:color w:val="000000"/>
          <w:szCs w:val="20"/>
          <w:lang w:eastAsia="bg-BG"/>
        </w:rPr>
      </w:pPr>
      <w:r w:rsidRPr="001C266B">
        <w:rPr>
          <w:rFonts w:eastAsia="Times New Roman" w:cs="Arial"/>
          <w:color w:val="000000"/>
          <w:szCs w:val="20"/>
          <w:lang w:eastAsia="bg-BG"/>
        </w:rPr>
        <w:t xml:space="preserve">Както при други антипсихотици, трябва да се внимава, когато Лепонекс се предписва заедно с лекарства, за </w:t>
      </w:r>
    </w:p>
    <w:p w14:paraId="3C384E30" w14:textId="491FDB14"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които е известно, че удължават </w:t>
      </w:r>
      <w:proofErr w:type="spellStart"/>
      <w:r w:rsidRPr="001C266B">
        <w:rPr>
          <w:rFonts w:eastAsia="Times New Roman" w:cs="Arial"/>
          <w:color w:val="000000"/>
          <w:szCs w:val="20"/>
          <w:lang w:val="en-US"/>
        </w:rPr>
        <w:t>QTc</w:t>
      </w:r>
      <w:proofErr w:type="spellEnd"/>
      <w:r w:rsidRPr="001C266B">
        <w:rPr>
          <w:rFonts w:eastAsia="Times New Roman" w:cs="Arial"/>
          <w:color w:val="000000"/>
          <w:szCs w:val="20"/>
          <w:lang w:val="ru-RU"/>
        </w:rPr>
        <w:t xml:space="preserve"> </w:t>
      </w:r>
      <w:r w:rsidRPr="001C266B">
        <w:rPr>
          <w:rFonts w:eastAsia="Times New Roman" w:cs="Arial"/>
          <w:color w:val="000000"/>
          <w:szCs w:val="20"/>
          <w:lang w:eastAsia="bg-BG"/>
        </w:rPr>
        <w:t>интервала или причиняват нарушаване на електролитния баланс.</w:t>
      </w:r>
    </w:p>
    <w:p w14:paraId="1F1C3593" w14:textId="77777777" w:rsidR="001C266B" w:rsidRPr="001C266B" w:rsidRDefault="001C266B" w:rsidP="001C266B">
      <w:pPr>
        <w:spacing w:line="240" w:lineRule="auto"/>
        <w:rPr>
          <w:rFonts w:eastAsia="Times New Roman" w:cs="Arial"/>
          <w:color w:val="000000"/>
          <w:szCs w:val="20"/>
          <w:lang w:eastAsia="bg-BG"/>
        </w:rPr>
      </w:pPr>
    </w:p>
    <w:p w14:paraId="571C5151" w14:textId="66247152"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На Таблица 1. по-долу са предтавени схематично считаните за най-важни лекарствени взаимодействия с Лепонекс (това не е подробен списък).</w:t>
      </w:r>
    </w:p>
    <w:p w14:paraId="6E23E511" w14:textId="77777777" w:rsidR="001C266B" w:rsidRPr="001C266B" w:rsidRDefault="001C266B" w:rsidP="001C266B">
      <w:pPr>
        <w:spacing w:line="240" w:lineRule="auto"/>
        <w:rPr>
          <w:rFonts w:eastAsia="Times New Roman" w:cs="Arial"/>
          <w:b/>
          <w:bCs/>
          <w:color w:val="000000"/>
          <w:szCs w:val="20"/>
          <w:lang w:eastAsia="bg-BG"/>
        </w:rPr>
      </w:pPr>
    </w:p>
    <w:p w14:paraId="74686E02" w14:textId="184019A1" w:rsidR="001C266B" w:rsidRPr="001C266B" w:rsidRDefault="001C266B" w:rsidP="001C266B">
      <w:pPr>
        <w:spacing w:line="240" w:lineRule="auto"/>
        <w:rPr>
          <w:rFonts w:eastAsia="Times New Roman" w:cs="Arial"/>
          <w:sz w:val="28"/>
          <w:szCs w:val="24"/>
        </w:rPr>
      </w:pPr>
      <w:r w:rsidRPr="001C266B">
        <w:rPr>
          <w:rFonts w:eastAsia="Times New Roman" w:cs="Arial"/>
          <w:b/>
          <w:bCs/>
          <w:color w:val="000000"/>
          <w:szCs w:val="20"/>
          <w:lang w:eastAsia="bg-BG"/>
        </w:rPr>
        <w:t xml:space="preserve">Таблица </w:t>
      </w:r>
      <w:r w:rsidRPr="001C266B">
        <w:rPr>
          <w:rFonts w:eastAsia="Times New Roman" w:cs="Arial"/>
          <w:color w:val="000000"/>
          <w:szCs w:val="20"/>
          <w:lang w:eastAsia="bg-BG"/>
        </w:rPr>
        <w:t>2. Справка за най-честите лекарствени взаимодействия с Лепонекс</w:t>
      </w:r>
    </w:p>
    <w:p w14:paraId="1210D712" w14:textId="76FC35B2" w:rsidR="001C266B" w:rsidRDefault="001C266B" w:rsidP="001C266B"/>
    <w:tbl>
      <w:tblPr>
        <w:tblStyle w:val="TableGrid"/>
        <w:tblW w:w="0" w:type="auto"/>
        <w:tblLook w:val="04A0" w:firstRow="1" w:lastRow="0" w:firstColumn="1" w:lastColumn="0" w:noHBand="0" w:noVBand="1"/>
      </w:tblPr>
      <w:tblGrid>
        <w:gridCol w:w="3105"/>
        <w:gridCol w:w="3142"/>
        <w:gridCol w:w="3103"/>
      </w:tblGrid>
      <w:tr w:rsidR="001C266B" w14:paraId="5ABC23B0" w14:textId="77777777" w:rsidTr="001C266B">
        <w:tc>
          <w:tcPr>
            <w:tcW w:w="3192" w:type="dxa"/>
          </w:tcPr>
          <w:p w14:paraId="182556D6" w14:textId="32DBEC1C" w:rsidR="001C266B" w:rsidRPr="001C266B" w:rsidRDefault="001C266B" w:rsidP="001C266B">
            <w:r w:rsidRPr="001C266B">
              <w:rPr>
                <w:b/>
                <w:bCs/>
                <w:szCs w:val="20"/>
              </w:rPr>
              <w:t>Лекарство</w:t>
            </w:r>
          </w:p>
        </w:tc>
        <w:tc>
          <w:tcPr>
            <w:tcW w:w="3192" w:type="dxa"/>
          </w:tcPr>
          <w:p w14:paraId="6B810610" w14:textId="39FDCFE1" w:rsidR="001C266B" w:rsidRPr="001C266B" w:rsidRDefault="001C266B" w:rsidP="001C266B">
            <w:r w:rsidRPr="001C266B">
              <w:rPr>
                <w:b/>
                <w:bCs/>
                <w:szCs w:val="20"/>
              </w:rPr>
              <w:t>Взаимодействия</w:t>
            </w:r>
          </w:p>
        </w:tc>
        <w:tc>
          <w:tcPr>
            <w:tcW w:w="3192" w:type="dxa"/>
          </w:tcPr>
          <w:p w14:paraId="4FD2881A" w14:textId="591CBF2E" w:rsidR="001C266B" w:rsidRPr="001C266B" w:rsidRDefault="001C266B" w:rsidP="001C266B">
            <w:r w:rsidRPr="001C266B">
              <w:rPr>
                <w:b/>
                <w:bCs/>
                <w:szCs w:val="20"/>
              </w:rPr>
              <w:t>Коментари</w:t>
            </w:r>
          </w:p>
        </w:tc>
      </w:tr>
      <w:tr w:rsidR="001C266B" w14:paraId="0F393E75" w14:textId="77777777" w:rsidTr="001C266B">
        <w:tc>
          <w:tcPr>
            <w:tcW w:w="3192" w:type="dxa"/>
          </w:tcPr>
          <w:p w14:paraId="7EB1F365" w14:textId="3EDF3CC0" w:rsidR="001C266B" w:rsidRPr="001C266B" w:rsidRDefault="001C266B" w:rsidP="001C266B">
            <w:r w:rsidRPr="001C266B">
              <w:rPr>
                <w:szCs w:val="20"/>
              </w:rPr>
              <w:t xml:space="preserve">Потискащи костния мозък лекарства (напр. карбамазепин, хлорамфеникол), сулфонамиди (напр. ко- тримоксазол), пиразолонови аналгетици (напр. фенилбутазон), пенициламин, цитотоксични </w:t>
            </w:r>
            <w:r w:rsidRPr="001C266B">
              <w:rPr>
                <w:szCs w:val="20"/>
              </w:rPr>
              <w:lastRenderedPageBreak/>
              <w:t>лекарства и дългодействащи инжекционни антипсихотици</w:t>
            </w:r>
          </w:p>
        </w:tc>
        <w:tc>
          <w:tcPr>
            <w:tcW w:w="3192" w:type="dxa"/>
          </w:tcPr>
          <w:p w14:paraId="0BD36F71" w14:textId="152A60F4" w:rsidR="001C266B" w:rsidRPr="001C266B" w:rsidRDefault="001C266B" w:rsidP="001C266B">
            <w:r w:rsidRPr="001C266B">
              <w:rPr>
                <w:szCs w:val="20"/>
              </w:rPr>
              <w:lastRenderedPageBreak/>
              <w:t>Взаимодействат с повишаване на риска и/или тежестта на потискането на костния мозък.</w:t>
            </w:r>
          </w:p>
        </w:tc>
        <w:tc>
          <w:tcPr>
            <w:tcW w:w="3192" w:type="dxa"/>
          </w:tcPr>
          <w:p w14:paraId="4966FE5E" w14:textId="15D623E5" w:rsidR="001C266B" w:rsidRPr="001C266B" w:rsidRDefault="001C266B" w:rsidP="001C266B">
            <w:r w:rsidRPr="001C266B">
              <w:rPr>
                <w:szCs w:val="20"/>
              </w:rPr>
              <w:t xml:space="preserve">Лепонекс </w:t>
            </w:r>
            <w:r w:rsidRPr="001C266B">
              <w:rPr>
                <w:b/>
                <w:bCs/>
                <w:szCs w:val="20"/>
                <w:u w:val="single"/>
              </w:rPr>
              <w:t>не трябва да се използва</w:t>
            </w:r>
            <w:r w:rsidRPr="001C266B">
              <w:rPr>
                <w:b/>
                <w:bCs/>
                <w:szCs w:val="20"/>
              </w:rPr>
              <w:t xml:space="preserve"> </w:t>
            </w:r>
            <w:r w:rsidRPr="001C266B">
              <w:rPr>
                <w:szCs w:val="20"/>
              </w:rPr>
              <w:t>заедно с други лекарства с известен потенциал да потискат функцията на костния мозък (вж. точка 4.3).</w:t>
            </w:r>
          </w:p>
        </w:tc>
      </w:tr>
      <w:tr w:rsidR="001C266B" w14:paraId="75E13E04" w14:textId="77777777" w:rsidTr="001C266B">
        <w:tc>
          <w:tcPr>
            <w:tcW w:w="3192" w:type="dxa"/>
          </w:tcPr>
          <w:p w14:paraId="221DCDF8" w14:textId="532BC4F5" w:rsidR="001C266B" w:rsidRPr="001C266B" w:rsidRDefault="001C266B" w:rsidP="001C266B">
            <w:r w:rsidRPr="001C266B">
              <w:rPr>
                <w:szCs w:val="20"/>
              </w:rPr>
              <w:t>Бензодиазепини</w:t>
            </w:r>
          </w:p>
        </w:tc>
        <w:tc>
          <w:tcPr>
            <w:tcW w:w="3192" w:type="dxa"/>
          </w:tcPr>
          <w:p w14:paraId="6C737729" w14:textId="512FD0C1" w:rsidR="001C266B" w:rsidRPr="001C266B" w:rsidRDefault="001C266B" w:rsidP="001C266B">
            <w:r w:rsidRPr="001C266B">
              <w:rPr>
                <w:szCs w:val="20"/>
              </w:rPr>
              <w:t>Съвместната употреба може да повиши риска от циркулаторен колапс, което може да доведе до спиране на сърдечната дейност и/или дишането.</w:t>
            </w:r>
          </w:p>
        </w:tc>
        <w:tc>
          <w:tcPr>
            <w:tcW w:w="3192" w:type="dxa"/>
          </w:tcPr>
          <w:p w14:paraId="24AF5875" w14:textId="7966BFFE" w:rsidR="001C266B" w:rsidRPr="001C266B" w:rsidRDefault="001C266B" w:rsidP="001C266B">
            <w:pPr>
              <w:rPr>
                <w:rFonts w:ascii="Times New Roman" w:eastAsia="Times New Roman" w:hAnsi="Times New Roman" w:cs="Times New Roman"/>
                <w:sz w:val="24"/>
                <w:szCs w:val="24"/>
              </w:rPr>
            </w:pPr>
            <w:r w:rsidRPr="001C266B">
              <w:rPr>
                <w:szCs w:val="20"/>
              </w:rPr>
              <w:t>Въпреки че чес</w:t>
            </w:r>
            <w:r w:rsidRPr="001C266B">
              <w:rPr>
                <w:szCs w:val="20"/>
                <w:u w:val="single"/>
              </w:rPr>
              <w:t>тотата</w:t>
            </w:r>
            <w:r w:rsidRPr="001C266B">
              <w:rPr>
                <w:szCs w:val="20"/>
              </w:rPr>
              <w:t xml:space="preserve"> е рядка, препоръчва се повишено внимание при употреба на тази лекарства заедно. Съобщения подсказват, че е по-вероятно</w:t>
            </w:r>
            <w:r>
              <w:rPr>
                <w:szCs w:val="20"/>
              </w:rPr>
              <w:t xml:space="preserve"> </w:t>
            </w:r>
            <w:r w:rsidRPr="001C266B">
              <w:rPr>
                <w:lang w:eastAsia="bg-BG"/>
              </w:rPr>
              <w:t>потискането на дишането и колапса да възникнат в началото на приложението на тази комбинация или когато Лепонекс се включи към установена схема с бензодиазепин.</w:t>
            </w:r>
          </w:p>
        </w:tc>
      </w:tr>
      <w:tr w:rsidR="001C266B" w14:paraId="762A770F" w14:textId="77777777" w:rsidTr="001C266B">
        <w:tc>
          <w:tcPr>
            <w:tcW w:w="3192" w:type="dxa"/>
          </w:tcPr>
          <w:p w14:paraId="5D152486" w14:textId="219FB764" w:rsidR="001C266B" w:rsidRPr="001C266B" w:rsidRDefault="001C266B" w:rsidP="001C266B">
            <w:r w:rsidRPr="001C266B">
              <w:rPr>
                <w:szCs w:val="20"/>
              </w:rPr>
              <w:t>Антихолинергични лекарства</w:t>
            </w:r>
          </w:p>
        </w:tc>
        <w:tc>
          <w:tcPr>
            <w:tcW w:w="3192" w:type="dxa"/>
          </w:tcPr>
          <w:p w14:paraId="0F27194D" w14:textId="074B4735" w:rsidR="001C266B" w:rsidRPr="001C266B" w:rsidRDefault="001C266B" w:rsidP="001C266B">
            <w:r w:rsidRPr="001C266B">
              <w:rPr>
                <w:szCs w:val="20"/>
              </w:rPr>
              <w:t>Лепонекс потенцира действието на тези лекарства чрез адитивна антихолинергична активност.</w:t>
            </w:r>
          </w:p>
        </w:tc>
        <w:tc>
          <w:tcPr>
            <w:tcW w:w="3192" w:type="dxa"/>
            <w:vAlign w:val="bottom"/>
          </w:tcPr>
          <w:p w14:paraId="6A0252AC" w14:textId="6DF7617E" w:rsidR="001C266B" w:rsidRPr="001C266B" w:rsidRDefault="001C266B" w:rsidP="001C266B">
            <w:r w:rsidRPr="001C266B">
              <w:rPr>
                <w:szCs w:val="20"/>
              </w:rPr>
              <w:t>Да се наблюдават пациентите за антихолинергични нежелани реакции, напр. констипация, особено при употреба с цел контрол на хиперсаливацията.</w:t>
            </w:r>
          </w:p>
        </w:tc>
      </w:tr>
      <w:tr w:rsidR="001C266B" w14:paraId="4C6B8630" w14:textId="77777777" w:rsidTr="001C266B">
        <w:tc>
          <w:tcPr>
            <w:tcW w:w="3192" w:type="dxa"/>
          </w:tcPr>
          <w:p w14:paraId="56266DD6" w14:textId="4664032D" w:rsidR="001C266B" w:rsidRPr="001C266B" w:rsidRDefault="001C266B" w:rsidP="001C266B">
            <w:r w:rsidRPr="001C266B">
              <w:rPr>
                <w:szCs w:val="20"/>
              </w:rPr>
              <w:t>Антихипертензивни лекарства</w:t>
            </w:r>
          </w:p>
        </w:tc>
        <w:tc>
          <w:tcPr>
            <w:tcW w:w="3192" w:type="dxa"/>
          </w:tcPr>
          <w:p w14:paraId="1B50A075" w14:textId="05DABE7A" w:rsidR="001C266B" w:rsidRPr="001C266B" w:rsidRDefault="001C266B" w:rsidP="001C266B">
            <w:r w:rsidRPr="001C266B">
              <w:rPr>
                <w:szCs w:val="20"/>
              </w:rPr>
              <w:t>Лепонекс може да потенцира хипотензивните ефекти на тези лекарства поради симпатикомиметичните му антагонистични ефекти</w:t>
            </w:r>
          </w:p>
        </w:tc>
        <w:tc>
          <w:tcPr>
            <w:tcW w:w="3192" w:type="dxa"/>
            <w:vAlign w:val="bottom"/>
          </w:tcPr>
          <w:p w14:paraId="7F2869B0" w14:textId="33C9FBBA" w:rsidR="001C266B" w:rsidRPr="001C266B" w:rsidRDefault="001C266B" w:rsidP="001C266B">
            <w:r w:rsidRPr="001C266B">
              <w:rPr>
                <w:szCs w:val="20"/>
              </w:rPr>
              <w:t>Препоръчва се повишено внимание, когато Лепонекс се използва съвместно с антихипертензивни лекарства. Пациентите трябва да бъдат предупредени за риска от хипотония, особено по време на периода на начално титриране на дозата</w:t>
            </w:r>
          </w:p>
        </w:tc>
      </w:tr>
      <w:tr w:rsidR="001C266B" w14:paraId="3D459475" w14:textId="77777777" w:rsidTr="001C266B">
        <w:tc>
          <w:tcPr>
            <w:tcW w:w="3192" w:type="dxa"/>
          </w:tcPr>
          <w:p w14:paraId="5407C603" w14:textId="66CAEB41" w:rsidR="001C266B" w:rsidRPr="001C266B" w:rsidRDefault="001C266B" w:rsidP="001C266B">
            <w:r w:rsidRPr="001C266B">
              <w:rPr>
                <w:szCs w:val="20"/>
              </w:rPr>
              <w:t>Алкохол, МАО-инхибитори, потискащи ЦНС лекарства, включително наркотични лекарства и бензодиазепини</w:t>
            </w:r>
          </w:p>
        </w:tc>
        <w:tc>
          <w:tcPr>
            <w:tcW w:w="3192" w:type="dxa"/>
          </w:tcPr>
          <w:p w14:paraId="4944547B" w14:textId="11B010E8" w:rsidR="001C266B" w:rsidRPr="001C266B" w:rsidRDefault="001C266B" w:rsidP="001C266B">
            <w:r w:rsidRPr="001C266B">
              <w:rPr>
                <w:szCs w:val="20"/>
              </w:rPr>
              <w:t>Засилени централни ефекти. Адитивно потискане на ЦНС и интерференция с когнитивната и моторната функция, когато се използва в комбинация с тези лекарства</w:t>
            </w:r>
          </w:p>
        </w:tc>
        <w:tc>
          <w:tcPr>
            <w:tcW w:w="3192" w:type="dxa"/>
          </w:tcPr>
          <w:p w14:paraId="5D69C208" w14:textId="2A854429" w:rsidR="001C266B" w:rsidRPr="001C266B" w:rsidRDefault="001C266B" w:rsidP="001C266B">
            <w:r w:rsidRPr="001C266B">
              <w:rPr>
                <w:szCs w:val="20"/>
              </w:rPr>
              <w:t xml:space="preserve">Препоръчва се повишено внимание, когато Лепонекс се използва съвместно с други ЦНС активни лекарства. Пациентите трябва да бъдат предупредени за възможните адитивни седативни ефекти и да бъдат посъветвани да не </w:t>
            </w:r>
            <w:r w:rsidRPr="001C266B">
              <w:rPr>
                <w:szCs w:val="20"/>
              </w:rPr>
              <w:lastRenderedPageBreak/>
              <w:t>шофират или работят с машини</w:t>
            </w:r>
          </w:p>
        </w:tc>
      </w:tr>
      <w:tr w:rsidR="001C266B" w14:paraId="7BA81E28" w14:textId="77777777" w:rsidTr="001C266B">
        <w:tc>
          <w:tcPr>
            <w:tcW w:w="3192" w:type="dxa"/>
          </w:tcPr>
          <w:p w14:paraId="315D2765" w14:textId="5594B55B" w:rsidR="001C266B" w:rsidRPr="001C266B" w:rsidRDefault="001C266B" w:rsidP="001C266B">
            <w:r w:rsidRPr="001C266B">
              <w:rPr>
                <w:szCs w:val="20"/>
              </w:rPr>
              <w:lastRenderedPageBreak/>
              <w:t>Лекарства, свързващи се в голяма степен с белтъците (напр. варфарин и дигоксин)</w:t>
            </w:r>
          </w:p>
        </w:tc>
        <w:tc>
          <w:tcPr>
            <w:tcW w:w="3192" w:type="dxa"/>
          </w:tcPr>
          <w:p w14:paraId="5DBD0DD4" w14:textId="44FE4371" w:rsidR="001C266B" w:rsidRPr="001C266B" w:rsidRDefault="001C266B" w:rsidP="001C266B">
            <w:r w:rsidRPr="001C266B">
              <w:rPr>
                <w:szCs w:val="20"/>
              </w:rPr>
              <w:t>Лепонекс може да причини повишение на плазмените концентрации на тези лекарства поради изместването им от плазмените белтъци</w:t>
            </w:r>
          </w:p>
        </w:tc>
        <w:tc>
          <w:tcPr>
            <w:tcW w:w="3192" w:type="dxa"/>
            <w:vAlign w:val="bottom"/>
          </w:tcPr>
          <w:p w14:paraId="38C86A70" w14:textId="696E28A7" w:rsidR="001C266B" w:rsidRPr="001C266B" w:rsidRDefault="001C266B" w:rsidP="001C266B">
            <w:r w:rsidRPr="001C266B">
              <w:rPr>
                <w:szCs w:val="20"/>
              </w:rPr>
              <w:t>Пациентите трябва да бъдат наблюдавани за възникване на нежелани реакции, свързани с тези лекарства, и дозите на свързващото се с белтъците лекарство да се променят, ако е необходимо</w:t>
            </w:r>
          </w:p>
        </w:tc>
      </w:tr>
      <w:tr w:rsidR="001C266B" w14:paraId="728E394E" w14:textId="77777777" w:rsidTr="001C266B">
        <w:tc>
          <w:tcPr>
            <w:tcW w:w="3192" w:type="dxa"/>
          </w:tcPr>
          <w:p w14:paraId="7B99CBB4" w14:textId="421A905E" w:rsidR="001C266B" w:rsidRPr="001C266B" w:rsidRDefault="001C266B" w:rsidP="001C266B">
            <w:r w:rsidRPr="001C266B">
              <w:rPr>
                <w:szCs w:val="20"/>
              </w:rPr>
              <w:t>Фенитоин</w:t>
            </w:r>
          </w:p>
        </w:tc>
        <w:tc>
          <w:tcPr>
            <w:tcW w:w="3192" w:type="dxa"/>
          </w:tcPr>
          <w:p w14:paraId="5628BD3D" w14:textId="1021501A" w:rsidR="001C266B" w:rsidRPr="001C266B" w:rsidRDefault="001C266B" w:rsidP="001C266B">
            <w:r w:rsidRPr="001C266B">
              <w:rPr>
                <w:szCs w:val="20"/>
              </w:rPr>
              <w:t>Включването на фенитоин към терапевтичната схема с Лепонекс може да причини понижение на плазмените концентрации на клозапин</w:t>
            </w:r>
          </w:p>
        </w:tc>
        <w:tc>
          <w:tcPr>
            <w:tcW w:w="3192" w:type="dxa"/>
            <w:vAlign w:val="bottom"/>
          </w:tcPr>
          <w:p w14:paraId="73F0A8F2" w14:textId="690AA2C6" w:rsidR="001C266B" w:rsidRPr="001C266B" w:rsidRDefault="001C266B" w:rsidP="001C266B">
            <w:r w:rsidRPr="001C266B">
              <w:rPr>
                <w:szCs w:val="20"/>
              </w:rPr>
              <w:t>Ако трябва да се използва фенитоин, пациентът трябва да бъде внимателно проследяван за влошаване или възобновяване на психотичните симптоми</w:t>
            </w:r>
          </w:p>
        </w:tc>
      </w:tr>
      <w:tr w:rsidR="001C266B" w14:paraId="3873C577" w14:textId="77777777" w:rsidTr="001C266B">
        <w:tc>
          <w:tcPr>
            <w:tcW w:w="3192" w:type="dxa"/>
          </w:tcPr>
          <w:p w14:paraId="55396D08" w14:textId="58138203" w:rsidR="001C266B" w:rsidRPr="001C266B" w:rsidRDefault="001C266B" w:rsidP="001C266B">
            <w:r w:rsidRPr="001C266B">
              <w:rPr>
                <w:szCs w:val="20"/>
              </w:rPr>
              <w:t>Литий</w:t>
            </w:r>
          </w:p>
        </w:tc>
        <w:tc>
          <w:tcPr>
            <w:tcW w:w="3192" w:type="dxa"/>
            <w:vAlign w:val="bottom"/>
          </w:tcPr>
          <w:p w14:paraId="1718A3F3" w14:textId="7F6F7F22" w:rsidR="001C266B" w:rsidRPr="001C266B" w:rsidRDefault="001C266B" w:rsidP="001C266B">
            <w:r w:rsidRPr="001C266B">
              <w:rPr>
                <w:szCs w:val="20"/>
              </w:rPr>
              <w:t>Съвместната употреба може да повиши риска от развитие на малигнен невролептичен синдром (МНС)</w:t>
            </w:r>
          </w:p>
        </w:tc>
        <w:tc>
          <w:tcPr>
            <w:tcW w:w="3192" w:type="dxa"/>
          </w:tcPr>
          <w:p w14:paraId="2756652A" w14:textId="736D3794" w:rsidR="001C266B" w:rsidRPr="001C266B" w:rsidRDefault="001C266B" w:rsidP="001C266B">
            <w:r w:rsidRPr="001C266B">
              <w:rPr>
                <w:szCs w:val="20"/>
              </w:rPr>
              <w:t>Да се наблюдава за признаци и симптоми на МНС</w:t>
            </w:r>
          </w:p>
        </w:tc>
      </w:tr>
      <w:tr w:rsidR="001C266B" w14:paraId="3A2F6431" w14:textId="77777777" w:rsidTr="001C266B">
        <w:tc>
          <w:tcPr>
            <w:tcW w:w="3192" w:type="dxa"/>
          </w:tcPr>
          <w:p w14:paraId="4C6B2B77" w14:textId="3FFA2F43" w:rsidR="001C266B" w:rsidRPr="001C266B" w:rsidRDefault="001C266B" w:rsidP="001C266B">
            <w:r w:rsidRPr="001C266B">
              <w:rPr>
                <w:szCs w:val="20"/>
                <w:lang w:val="en-US"/>
              </w:rPr>
              <w:t>CYP</w:t>
            </w:r>
            <w:r w:rsidRPr="001C266B">
              <w:rPr>
                <w:szCs w:val="20"/>
                <w:lang w:val="ru-RU"/>
              </w:rPr>
              <w:t>1</w:t>
            </w:r>
            <w:r w:rsidRPr="001C266B">
              <w:rPr>
                <w:szCs w:val="20"/>
                <w:lang w:val="en-US"/>
              </w:rPr>
              <w:t>A</w:t>
            </w:r>
            <w:r w:rsidRPr="001C266B">
              <w:rPr>
                <w:szCs w:val="20"/>
                <w:lang w:val="ru-RU"/>
              </w:rPr>
              <w:t xml:space="preserve">2 </w:t>
            </w:r>
            <w:r w:rsidRPr="001C266B">
              <w:rPr>
                <w:szCs w:val="20"/>
              </w:rPr>
              <w:t>индуциращи лекарства (напр. омепразол)</w:t>
            </w:r>
          </w:p>
        </w:tc>
        <w:tc>
          <w:tcPr>
            <w:tcW w:w="3192" w:type="dxa"/>
          </w:tcPr>
          <w:p w14:paraId="466F47C7" w14:textId="7BF3F8F9" w:rsidR="001C266B" w:rsidRPr="001C266B" w:rsidRDefault="001C266B" w:rsidP="001C266B">
            <w:r w:rsidRPr="001C266B">
              <w:rPr>
                <w:szCs w:val="20"/>
              </w:rPr>
              <w:t>Едновременното приложение може да намали нивата на клозапин</w:t>
            </w:r>
          </w:p>
        </w:tc>
        <w:tc>
          <w:tcPr>
            <w:tcW w:w="3192" w:type="dxa"/>
          </w:tcPr>
          <w:p w14:paraId="36216513" w14:textId="59A36E47" w:rsidR="001C266B" w:rsidRPr="001C266B" w:rsidRDefault="001C266B" w:rsidP="001C266B">
            <w:r w:rsidRPr="001C266B">
              <w:rPr>
                <w:szCs w:val="20"/>
              </w:rPr>
              <w:t>Да се има предвид възможно намаляване ефикасността на клозапин</w:t>
            </w:r>
          </w:p>
        </w:tc>
      </w:tr>
      <w:tr w:rsidR="001C266B" w14:paraId="00AB3B08" w14:textId="77777777" w:rsidTr="001C266B">
        <w:tc>
          <w:tcPr>
            <w:tcW w:w="3192" w:type="dxa"/>
          </w:tcPr>
          <w:p w14:paraId="472380EB" w14:textId="0543F818" w:rsidR="001C266B" w:rsidRPr="001C266B" w:rsidRDefault="001C266B" w:rsidP="001C266B">
            <w:r w:rsidRPr="001C266B">
              <w:rPr>
                <w:szCs w:val="20"/>
                <w:lang w:val="en-US"/>
              </w:rPr>
              <w:t>CYP</w:t>
            </w:r>
            <w:r w:rsidRPr="001C266B">
              <w:rPr>
                <w:szCs w:val="20"/>
              </w:rPr>
              <w:t>1</w:t>
            </w:r>
            <w:r w:rsidRPr="001C266B">
              <w:rPr>
                <w:szCs w:val="20"/>
                <w:lang w:val="en-US"/>
              </w:rPr>
              <w:t>A</w:t>
            </w:r>
            <w:r w:rsidRPr="001C266B">
              <w:rPr>
                <w:szCs w:val="20"/>
              </w:rPr>
              <w:t>2 инхибиращи лекарства, напр. флувоксамин, кафеин, ципрофлоксацин, перазин или хормонални контрацептиви (</w:t>
            </w:r>
            <w:r w:rsidRPr="001C266B">
              <w:rPr>
                <w:szCs w:val="20"/>
                <w:lang w:val="en-US"/>
              </w:rPr>
              <w:t>CYP</w:t>
            </w:r>
            <w:r w:rsidRPr="001C266B">
              <w:rPr>
                <w:szCs w:val="20"/>
              </w:rPr>
              <w:t>1</w:t>
            </w:r>
            <w:r w:rsidRPr="001C266B">
              <w:rPr>
                <w:szCs w:val="20"/>
                <w:lang w:val="en-US"/>
              </w:rPr>
              <w:t>A</w:t>
            </w:r>
            <w:r w:rsidRPr="001C266B">
              <w:rPr>
                <w:szCs w:val="20"/>
              </w:rPr>
              <w:t xml:space="preserve">2, </w:t>
            </w:r>
            <w:r w:rsidRPr="001C266B">
              <w:rPr>
                <w:szCs w:val="20"/>
                <w:lang w:val="en-US"/>
              </w:rPr>
              <w:t>CYP</w:t>
            </w:r>
            <w:r w:rsidRPr="001C266B">
              <w:rPr>
                <w:szCs w:val="20"/>
              </w:rPr>
              <w:t>3</w:t>
            </w:r>
            <w:r w:rsidRPr="001C266B">
              <w:rPr>
                <w:szCs w:val="20"/>
                <w:lang w:val="en-US"/>
              </w:rPr>
              <w:t>A</w:t>
            </w:r>
            <w:r w:rsidRPr="001C266B">
              <w:rPr>
                <w:szCs w:val="20"/>
              </w:rPr>
              <w:t xml:space="preserve">4, </w:t>
            </w:r>
            <w:r w:rsidRPr="001C266B">
              <w:rPr>
                <w:szCs w:val="20"/>
                <w:lang w:val="en-US"/>
              </w:rPr>
              <w:t>CYP</w:t>
            </w:r>
            <w:r w:rsidRPr="001C266B">
              <w:rPr>
                <w:szCs w:val="20"/>
              </w:rPr>
              <w:t>2</w:t>
            </w:r>
            <w:r w:rsidRPr="001C266B">
              <w:rPr>
                <w:szCs w:val="20"/>
                <w:lang w:val="en-US"/>
              </w:rPr>
              <w:t>C</w:t>
            </w:r>
            <w:r w:rsidRPr="001C266B">
              <w:rPr>
                <w:szCs w:val="20"/>
              </w:rPr>
              <w:t>19)</w:t>
            </w:r>
          </w:p>
        </w:tc>
        <w:tc>
          <w:tcPr>
            <w:tcW w:w="3192" w:type="dxa"/>
          </w:tcPr>
          <w:p w14:paraId="38159E66" w14:textId="1B916492" w:rsidR="001C266B" w:rsidRPr="001C266B" w:rsidRDefault="001C266B" w:rsidP="001C266B">
            <w:r w:rsidRPr="001C266B">
              <w:rPr>
                <w:szCs w:val="20"/>
              </w:rPr>
              <w:t>Едновременното приложение може да повиши нивата на клозапин</w:t>
            </w:r>
          </w:p>
        </w:tc>
        <w:tc>
          <w:tcPr>
            <w:tcW w:w="3192" w:type="dxa"/>
          </w:tcPr>
          <w:p w14:paraId="306A7F87" w14:textId="33CC0331" w:rsidR="001C266B" w:rsidRPr="001C266B" w:rsidRDefault="001C266B" w:rsidP="001C266B">
            <w:r w:rsidRPr="001C266B">
              <w:rPr>
                <w:szCs w:val="20"/>
              </w:rPr>
              <w:t xml:space="preserve">Възможно е увеличаване на нежеланите реакции. Препоръчва се също внимание при прекратяване на едновременното прилагане на </w:t>
            </w:r>
            <w:r w:rsidRPr="001C266B">
              <w:rPr>
                <w:szCs w:val="20"/>
                <w:lang w:val="en-US"/>
              </w:rPr>
              <w:t>CYP</w:t>
            </w:r>
            <w:r w:rsidRPr="001C266B">
              <w:rPr>
                <w:szCs w:val="20"/>
                <w:lang w:val="ru-RU"/>
              </w:rPr>
              <w:t>1</w:t>
            </w:r>
            <w:r w:rsidRPr="001C266B">
              <w:rPr>
                <w:szCs w:val="20"/>
                <w:lang w:val="en-US"/>
              </w:rPr>
              <w:t>A</w:t>
            </w:r>
            <w:r w:rsidRPr="001C266B">
              <w:rPr>
                <w:szCs w:val="20"/>
                <w:lang w:val="ru-RU"/>
              </w:rPr>
              <w:t xml:space="preserve">2 </w:t>
            </w:r>
            <w:r w:rsidRPr="001C266B">
              <w:rPr>
                <w:szCs w:val="20"/>
              </w:rPr>
              <w:t xml:space="preserve">или </w:t>
            </w:r>
            <w:r w:rsidRPr="001C266B">
              <w:rPr>
                <w:szCs w:val="20"/>
                <w:lang w:val="en-US"/>
              </w:rPr>
              <w:t>CYP</w:t>
            </w:r>
            <w:r w:rsidRPr="001C266B">
              <w:rPr>
                <w:szCs w:val="20"/>
                <w:lang w:val="ru-RU"/>
              </w:rPr>
              <w:t>3</w:t>
            </w:r>
            <w:r w:rsidRPr="001C266B">
              <w:rPr>
                <w:szCs w:val="20"/>
                <w:lang w:val="en-US"/>
              </w:rPr>
              <w:t>A</w:t>
            </w:r>
            <w:r w:rsidRPr="001C266B">
              <w:rPr>
                <w:szCs w:val="20"/>
                <w:lang w:val="ru-RU"/>
              </w:rPr>
              <w:t xml:space="preserve">4 </w:t>
            </w:r>
            <w:r w:rsidRPr="001C266B">
              <w:rPr>
                <w:szCs w:val="20"/>
              </w:rPr>
              <w:t xml:space="preserve">инхибиращи лекарствени продукти, поради възможно понижение на нивата на клозапин. Ефектът на </w:t>
            </w:r>
            <w:r w:rsidRPr="001C266B">
              <w:rPr>
                <w:szCs w:val="20"/>
                <w:lang w:val="en-US"/>
              </w:rPr>
              <w:t>CYP2C</w:t>
            </w:r>
            <w:r w:rsidRPr="001C266B">
              <w:rPr>
                <w:szCs w:val="20"/>
              </w:rPr>
              <w:t>19 инхибицията може да бъде минимален.</w:t>
            </w:r>
          </w:p>
        </w:tc>
      </w:tr>
    </w:tbl>
    <w:p w14:paraId="73FED196" w14:textId="170F57FD" w:rsidR="001C266B" w:rsidRPr="001C266B" w:rsidRDefault="001C266B" w:rsidP="001C266B"/>
    <w:p w14:paraId="5D9F40EA" w14:textId="53BE963E" w:rsidR="007122AD" w:rsidRDefault="002C50EE" w:rsidP="00936AD0">
      <w:pPr>
        <w:pStyle w:val="Heading2"/>
      </w:pPr>
      <w:r>
        <w:t>4.6. Фертилитет, бременност и кърмене</w:t>
      </w:r>
    </w:p>
    <w:p w14:paraId="6BAA4A75" w14:textId="588E6E91" w:rsidR="001C266B" w:rsidRDefault="001C266B" w:rsidP="001C266B"/>
    <w:p w14:paraId="5899084C" w14:textId="77777777" w:rsidR="001C266B" w:rsidRPr="001C266B" w:rsidRDefault="001C266B" w:rsidP="001C266B">
      <w:pPr>
        <w:pStyle w:val="Heading3"/>
        <w:rPr>
          <w:rFonts w:eastAsia="Times New Roman"/>
          <w:sz w:val="28"/>
          <w:u w:val="single"/>
        </w:rPr>
      </w:pPr>
      <w:r w:rsidRPr="001C266B">
        <w:rPr>
          <w:rFonts w:eastAsia="Times New Roman"/>
          <w:u w:val="single"/>
          <w:lang w:eastAsia="bg-BG"/>
        </w:rPr>
        <w:t>Бременност</w:t>
      </w:r>
    </w:p>
    <w:p w14:paraId="01E0393C"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Налице са ограничени клинични данни за приложение на Лепонекс при бременни. Проучвания при животни не показват преки или непреки вредни ефекти по отношение на бременността, ембрионалното/феталното развитие, раждането или постнаталното развитие (вж. точка 5.3). Изисква се повишено внимание, когато се предписва на бременни жени.</w:t>
      </w:r>
    </w:p>
    <w:p w14:paraId="12005C4F" w14:textId="77777777" w:rsidR="001C266B" w:rsidRPr="001C266B" w:rsidRDefault="001C266B" w:rsidP="001C266B">
      <w:pPr>
        <w:spacing w:line="240" w:lineRule="auto"/>
        <w:rPr>
          <w:rFonts w:eastAsia="Times New Roman" w:cs="Arial"/>
          <w:color w:val="000000"/>
          <w:szCs w:val="20"/>
          <w:lang w:eastAsia="bg-BG"/>
        </w:rPr>
      </w:pPr>
    </w:p>
    <w:p w14:paraId="32E20E4E"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При новородени, които са били изложени на действието на антипсихотични лекарства (вкл. Лепонекс) по време на третия триместьр от бременността, съществува риск от нежелани лекарствени реакции, включващи екстрадирам идни симптоми и/или симптоми на отнемане, които могат да варират по тежест и продължителност след раждането. Има съобщения за възбуда, хипертония, хипотония, тремор, сънливост, дихателен дистрес или нарушение на храненето. Следователно, новородените трябва да бъдат наблюдавани внимателно.</w:t>
      </w:r>
    </w:p>
    <w:p w14:paraId="254B9B62" w14:textId="77777777" w:rsidR="001C266B" w:rsidRPr="001C266B" w:rsidRDefault="001C266B" w:rsidP="001C266B">
      <w:pPr>
        <w:spacing w:line="240" w:lineRule="auto"/>
        <w:rPr>
          <w:rFonts w:eastAsia="Times New Roman" w:cs="Arial"/>
          <w:color w:val="000000"/>
          <w:szCs w:val="20"/>
          <w:u w:val="single"/>
          <w:lang w:eastAsia="bg-BG"/>
        </w:rPr>
      </w:pPr>
    </w:p>
    <w:p w14:paraId="6094B84B" w14:textId="77777777" w:rsidR="001C266B" w:rsidRPr="001C266B" w:rsidRDefault="001C266B" w:rsidP="001C266B">
      <w:pPr>
        <w:pStyle w:val="Heading3"/>
        <w:rPr>
          <w:rFonts w:eastAsia="Times New Roman"/>
          <w:sz w:val="28"/>
          <w:u w:val="single"/>
        </w:rPr>
      </w:pPr>
      <w:r w:rsidRPr="001C266B">
        <w:rPr>
          <w:rFonts w:eastAsia="Times New Roman"/>
          <w:u w:val="single"/>
          <w:lang w:eastAsia="bg-BG"/>
        </w:rPr>
        <w:t>Кърмене</w:t>
      </w:r>
    </w:p>
    <w:p w14:paraId="446F1034"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Проучвания при животни предполагат, че клозапин се екскретира в кърмата </w:t>
      </w:r>
      <w:r w:rsidRPr="001C266B">
        <w:rPr>
          <w:rFonts w:eastAsia="Times New Roman" w:cs="Arial"/>
          <w:i/>
          <w:iCs/>
          <w:color w:val="000000"/>
          <w:szCs w:val="20"/>
          <w:lang w:eastAsia="bg-BG"/>
        </w:rPr>
        <w:t>и</w:t>
      </w:r>
      <w:r w:rsidRPr="001C266B">
        <w:rPr>
          <w:rFonts w:eastAsia="Times New Roman" w:cs="Arial"/>
          <w:color w:val="000000"/>
          <w:szCs w:val="20"/>
          <w:lang w:eastAsia="bg-BG"/>
        </w:rPr>
        <w:t xml:space="preserve"> оказва влияние върху кърмачето. Затова майките, получаващи Лепонекс, не трябва да кърмят.</w:t>
      </w:r>
    </w:p>
    <w:p w14:paraId="73CD7780" w14:textId="77777777" w:rsidR="001C266B" w:rsidRPr="001C266B" w:rsidRDefault="001C266B" w:rsidP="001C266B">
      <w:pPr>
        <w:spacing w:line="240" w:lineRule="auto"/>
        <w:rPr>
          <w:rFonts w:eastAsia="Times New Roman" w:cs="Arial"/>
          <w:color w:val="000000"/>
          <w:szCs w:val="20"/>
          <w:u w:val="single"/>
          <w:lang w:eastAsia="bg-BG"/>
        </w:rPr>
      </w:pPr>
    </w:p>
    <w:p w14:paraId="2C6E56D2" w14:textId="77777777" w:rsidR="001C266B" w:rsidRPr="001C266B" w:rsidRDefault="001C266B" w:rsidP="001C266B">
      <w:pPr>
        <w:pStyle w:val="Heading3"/>
        <w:rPr>
          <w:rFonts w:eastAsia="Times New Roman"/>
          <w:sz w:val="28"/>
          <w:u w:val="single"/>
        </w:rPr>
      </w:pPr>
      <w:r w:rsidRPr="001C266B">
        <w:rPr>
          <w:rFonts w:eastAsia="Times New Roman"/>
          <w:u w:val="single"/>
          <w:lang w:eastAsia="bg-BG"/>
        </w:rPr>
        <w:t>Фертилитет</w:t>
      </w:r>
    </w:p>
    <w:p w14:paraId="200590BB"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 xml:space="preserve">Наличните ограничени данни относно влиянието на клозапин върху фертилитета при хора са неубедителни. При мъжки и женски плъхове клозапин не повлиява фертилитета, когато се прилага до 40 </w:t>
      </w:r>
      <w:r w:rsidRPr="001C266B">
        <w:rPr>
          <w:rFonts w:eastAsia="Times New Roman" w:cs="Arial"/>
          <w:color w:val="000000"/>
          <w:szCs w:val="20"/>
          <w:lang w:val="en-US"/>
        </w:rPr>
        <w:t>mg</w:t>
      </w:r>
      <w:r w:rsidRPr="001C266B">
        <w:rPr>
          <w:rFonts w:eastAsia="Times New Roman" w:cs="Arial"/>
          <w:color w:val="000000"/>
          <w:szCs w:val="20"/>
          <w:lang w:val="ru-RU"/>
        </w:rPr>
        <w:t>/</w:t>
      </w:r>
      <w:r w:rsidRPr="001C266B">
        <w:rPr>
          <w:rFonts w:eastAsia="Times New Roman" w:cs="Arial"/>
          <w:color w:val="000000"/>
          <w:szCs w:val="20"/>
          <w:lang w:val="en-US"/>
        </w:rPr>
        <w:t>kg</w:t>
      </w:r>
      <w:r w:rsidRPr="001C266B">
        <w:rPr>
          <w:rFonts w:eastAsia="Times New Roman" w:cs="Arial"/>
          <w:color w:val="000000"/>
          <w:szCs w:val="20"/>
          <w:lang w:val="ru-RU"/>
        </w:rPr>
        <w:t xml:space="preserve">, </w:t>
      </w:r>
      <w:r w:rsidRPr="001C266B">
        <w:rPr>
          <w:rFonts w:eastAsia="Times New Roman" w:cs="Arial"/>
          <w:color w:val="000000"/>
          <w:szCs w:val="20"/>
          <w:lang w:eastAsia="bg-BG"/>
        </w:rPr>
        <w:t xml:space="preserve">което съответства на еквивалентна доза при хора от 6,4 </w:t>
      </w:r>
      <w:r w:rsidRPr="001C266B">
        <w:rPr>
          <w:rFonts w:eastAsia="Times New Roman" w:cs="Arial"/>
          <w:color w:val="000000"/>
          <w:szCs w:val="20"/>
          <w:lang w:val="en-US"/>
        </w:rPr>
        <w:t>mg</w:t>
      </w:r>
      <w:r w:rsidRPr="001C266B">
        <w:rPr>
          <w:rFonts w:eastAsia="Times New Roman" w:cs="Arial"/>
          <w:color w:val="000000"/>
          <w:szCs w:val="20"/>
          <w:lang w:val="ru-RU"/>
        </w:rPr>
        <w:t>/</w:t>
      </w:r>
      <w:r w:rsidRPr="001C266B">
        <w:rPr>
          <w:rFonts w:eastAsia="Times New Roman" w:cs="Arial"/>
          <w:color w:val="000000"/>
          <w:szCs w:val="20"/>
          <w:lang w:val="en-US"/>
        </w:rPr>
        <w:t>kg</w:t>
      </w:r>
      <w:r w:rsidRPr="001C266B">
        <w:rPr>
          <w:rFonts w:eastAsia="Times New Roman" w:cs="Arial"/>
          <w:color w:val="000000"/>
          <w:szCs w:val="20"/>
          <w:lang w:val="ru-RU"/>
        </w:rPr>
        <w:t xml:space="preserve"> </w:t>
      </w:r>
      <w:r w:rsidRPr="001C266B">
        <w:rPr>
          <w:rFonts w:eastAsia="Times New Roman" w:cs="Arial"/>
          <w:color w:val="000000"/>
          <w:szCs w:val="20"/>
          <w:lang w:eastAsia="bg-BG"/>
        </w:rPr>
        <w:t>или приблизително една трета от максимално допустимата доза при възрастни хора.</w:t>
      </w:r>
    </w:p>
    <w:p w14:paraId="108E12A1" w14:textId="77777777" w:rsidR="001C266B" w:rsidRPr="001C266B" w:rsidRDefault="001C266B" w:rsidP="001C266B">
      <w:pPr>
        <w:spacing w:line="240" w:lineRule="auto"/>
        <w:rPr>
          <w:rFonts w:eastAsia="Times New Roman" w:cs="Arial"/>
          <w:color w:val="000000"/>
          <w:szCs w:val="20"/>
          <w:u w:val="single"/>
          <w:lang w:eastAsia="bg-BG"/>
        </w:rPr>
      </w:pPr>
    </w:p>
    <w:p w14:paraId="356D62E9"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u w:val="single"/>
          <w:lang w:eastAsia="bg-BG"/>
        </w:rPr>
        <w:t>Жени в детеродна възраст</w:t>
      </w:r>
    </w:p>
    <w:p w14:paraId="407855DE" w14:textId="77777777" w:rsidR="001C266B" w:rsidRPr="001C266B" w:rsidRDefault="001C266B" w:rsidP="001C266B">
      <w:pPr>
        <w:spacing w:line="240" w:lineRule="auto"/>
        <w:rPr>
          <w:rFonts w:eastAsia="Times New Roman" w:cs="Arial"/>
          <w:sz w:val="28"/>
          <w:szCs w:val="24"/>
        </w:rPr>
      </w:pPr>
      <w:r w:rsidRPr="001C266B">
        <w:rPr>
          <w:rFonts w:eastAsia="Times New Roman" w:cs="Arial"/>
          <w:color w:val="000000"/>
          <w:szCs w:val="20"/>
          <w:lang w:eastAsia="bg-BG"/>
        </w:rPr>
        <w:t>Възможно е възвръщане на редовната менструация в резултат на преминаване от лечение с други антипсихотици към Лепонекс. Затова трябва да се осигурят адекватни мерки за контрацепция при жени в детеродна възраст.</w:t>
      </w:r>
    </w:p>
    <w:p w14:paraId="6B34832B" w14:textId="77777777" w:rsidR="001C266B" w:rsidRPr="001C266B" w:rsidRDefault="001C266B" w:rsidP="001C266B"/>
    <w:p w14:paraId="5DD7A76D" w14:textId="6382FB97" w:rsidR="007122AD" w:rsidRDefault="002C50EE" w:rsidP="00936AD0">
      <w:pPr>
        <w:pStyle w:val="Heading2"/>
      </w:pPr>
      <w:r>
        <w:t>4.7. Ефекти върху способността за шофиране и работа с машини</w:t>
      </w:r>
    </w:p>
    <w:p w14:paraId="32FAB6CF" w14:textId="5743ECB4" w:rsidR="001C266B" w:rsidRDefault="001C266B" w:rsidP="001C266B"/>
    <w:p w14:paraId="595DC2CD" w14:textId="0D988B29" w:rsidR="001C266B" w:rsidRPr="001C266B" w:rsidRDefault="001C266B" w:rsidP="001C266B">
      <w:pPr>
        <w:rPr>
          <w:sz w:val="24"/>
          <w:szCs w:val="24"/>
        </w:rPr>
      </w:pPr>
      <w:r w:rsidRPr="001C266B">
        <w:rPr>
          <w:lang w:eastAsia="bg-BG"/>
        </w:rPr>
        <w:t>Поради способността на Лепонекс да предизвиква седиране и да понижава гърчовия праг, трябва да се избягват дейности като шофиране и работа с машини, особено в</w:t>
      </w:r>
      <w:r>
        <w:rPr>
          <w:lang w:eastAsia="bg-BG"/>
        </w:rPr>
        <w:t xml:space="preserve"> началните седмици от лечението.</w:t>
      </w:r>
    </w:p>
    <w:p w14:paraId="63DC967F" w14:textId="77777777" w:rsidR="001C266B" w:rsidRPr="001C266B" w:rsidRDefault="001C266B" w:rsidP="001C266B"/>
    <w:p w14:paraId="44CE30A3" w14:textId="301F68FB" w:rsidR="007122AD" w:rsidRDefault="002C50EE" w:rsidP="00936AD0">
      <w:pPr>
        <w:pStyle w:val="Heading2"/>
      </w:pPr>
      <w:r>
        <w:t>4.8. Нежелани лекарствени реакции</w:t>
      </w:r>
    </w:p>
    <w:p w14:paraId="400B2ACB" w14:textId="07757DC6" w:rsidR="001C266B" w:rsidRDefault="001C266B" w:rsidP="001C266B"/>
    <w:p w14:paraId="54021756"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Обобщение на профила на безопасност</w:t>
      </w:r>
    </w:p>
    <w:p w14:paraId="7CCC1E00" w14:textId="77777777" w:rsidR="001C266B" w:rsidRPr="001C266B" w:rsidRDefault="001C266B" w:rsidP="001C266B">
      <w:pPr>
        <w:rPr>
          <w:rFonts w:eastAsia="Times New Roman" w:cs="Arial"/>
        </w:rPr>
      </w:pPr>
      <w:r w:rsidRPr="001C266B">
        <w:rPr>
          <w:rFonts w:eastAsia="Times New Roman" w:cs="Arial"/>
          <w:color w:val="000000"/>
          <w:lang w:eastAsia="bg-BG"/>
        </w:rPr>
        <w:t>В по-голямата си част, профилът на нежеланите събития на клозапин е предсказуем като се изхожда от фармакологичните му свойства. Важно изключение е тенденцията да предизвиква агранулоцитоза (вж, точка 4.4). Поради този риск употребата му е ограничена до резистентна към лечението шизофрения и психоза, възникващи по време на болестта на Паркинсон, в случаите, когато стандартното лечение е неуспешно. Докато мониторирането на кръвта е съществена част от грижите за пациентите, лекувани с клозапин, лекарят трябва да е запознат с други редки, но сериозни нежелани реакции, които могат да бъдат диагностицирани в ранните стадии само чрез внимателно наблюдение и разпитване на пациента, за да се предотврати заболеваемостта и смъртност.</w:t>
      </w:r>
    </w:p>
    <w:p w14:paraId="23C11E45" w14:textId="77777777" w:rsidR="001C266B" w:rsidRPr="001C266B" w:rsidRDefault="001C266B" w:rsidP="001C266B">
      <w:pPr>
        <w:spacing w:line="240" w:lineRule="auto"/>
        <w:rPr>
          <w:rFonts w:eastAsia="Times New Roman" w:cs="Arial"/>
          <w:color w:val="000000"/>
          <w:lang w:eastAsia="bg-BG"/>
        </w:rPr>
      </w:pPr>
    </w:p>
    <w:p w14:paraId="3DA7E0BC" w14:textId="2ED7B17F" w:rsidR="001C266B" w:rsidRPr="001C266B" w:rsidRDefault="001C266B" w:rsidP="001C266B">
      <w:pPr>
        <w:spacing w:line="240" w:lineRule="auto"/>
        <w:rPr>
          <w:rFonts w:eastAsia="Times New Roman" w:cs="Arial"/>
        </w:rPr>
      </w:pPr>
      <w:r w:rsidRPr="001C266B">
        <w:rPr>
          <w:rFonts w:eastAsia="Times New Roman" w:cs="Arial"/>
          <w:color w:val="000000"/>
          <w:lang w:eastAsia="bg-BG"/>
        </w:rPr>
        <w:t>Най-сериозните нежелани реакции при клозапин са агранулоцитоза, гърчове, сърдечно-съдови ефекти и повишена температура (вж. точка 4.4). Най-честите странични ефекти са сънливост/седация, замаяност, тахикардия, констипация и хиперсаливация.</w:t>
      </w:r>
    </w:p>
    <w:p w14:paraId="6760C38B" w14:textId="77777777" w:rsidR="001C266B" w:rsidRPr="001C266B" w:rsidRDefault="001C266B" w:rsidP="001C266B">
      <w:pPr>
        <w:spacing w:line="240" w:lineRule="auto"/>
        <w:rPr>
          <w:rFonts w:eastAsia="Times New Roman" w:cs="Arial"/>
          <w:color w:val="000000"/>
          <w:lang w:eastAsia="bg-BG"/>
        </w:rPr>
      </w:pPr>
    </w:p>
    <w:p w14:paraId="6C655427" w14:textId="42B2FB55" w:rsidR="001C266B" w:rsidRPr="001C266B" w:rsidRDefault="001C266B" w:rsidP="001C266B">
      <w:pPr>
        <w:spacing w:line="240" w:lineRule="auto"/>
        <w:rPr>
          <w:rFonts w:eastAsia="Times New Roman" w:cs="Arial"/>
        </w:rPr>
      </w:pPr>
      <w:r w:rsidRPr="001C266B">
        <w:rPr>
          <w:rFonts w:eastAsia="Times New Roman" w:cs="Arial"/>
          <w:color w:val="000000"/>
          <w:lang w:eastAsia="bg-BG"/>
        </w:rPr>
        <w:t>Данните от клинични изпитвания показват, че променлива част от пациентите лекувани с клозапин (от 7,1 до 15,6 %), са прекъснали участието си в клиничните изпитвания поради нежелано събитие, като са включени само тези, които логично могат да се свържат с клозапин. По-честите събития смятани за причина за прекъсване участието в изпитванията са били левкопения, сънливост, замаяност (изключвайки вертиго) и психотично разстройство.</w:t>
      </w:r>
    </w:p>
    <w:p w14:paraId="1116A384" w14:textId="77777777" w:rsidR="001C266B" w:rsidRPr="001C266B" w:rsidRDefault="001C266B" w:rsidP="001C266B">
      <w:pPr>
        <w:spacing w:line="240" w:lineRule="auto"/>
        <w:rPr>
          <w:rFonts w:eastAsia="Times New Roman" w:cs="Arial"/>
          <w:color w:val="000000"/>
          <w:u w:val="single"/>
          <w:lang w:eastAsia="bg-BG"/>
        </w:rPr>
      </w:pPr>
    </w:p>
    <w:p w14:paraId="065A3D6E" w14:textId="063A994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Кръв и лимфна система</w:t>
      </w:r>
    </w:p>
    <w:p w14:paraId="4EF34FBF"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Развитието на гранулоцитопения и агранулоцитоза е риск, свързан с лечението с Лепонекс. Въпреки че като цяло са обратими при преустановяване на лечението, агранулоцитозата може да доведе до сепсис и това да се окаже фатално. Тъй като е необходимо незабавно прекратяване на лечението, за да се предотврати развитието на животозастрашаваща агранулоцитоза, мониторирането на броя на левкоцитите е задължително (вж. точка 4.4). Таблица 3 по-долу обобщава прогнозираната честота на агранулоцитоза за всеки период на лечение с Лепонекс.</w:t>
      </w:r>
    </w:p>
    <w:p w14:paraId="08AA5C38" w14:textId="77777777" w:rsidR="001C266B" w:rsidRPr="001C266B" w:rsidRDefault="001C266B" w:rsidP="001C266B">
      <w:pPr>
        <w:spacing w:line="240" w:lineRule="auto"/>
        <w:rPr>
          <w:rFonts w:eastAsia="Times New Roman" w:cs="Arial"/>
          <w:b/>
          <w:bCs/>
          <w:color w:val="000000"/>
          <w:lang w:eastAsia="bg-BG"/>
        </w:rPr>
      </w:pPr>
    </w:p>
    <w:p w14:paraId="6747215C" w14:textId="2C8BC251" w:rsidR="001C266B" w:rsidRPr="001C266B" w:rsidRDefault="001C266B" w:rsidP="001C266B">
      <w:pPr>
        <w:spacing w:line="240" w:lineRule="auto"/>
        <w:rPr>
          <w:rFonts w:ascii="Times New Roman" w:eastAsia="Times New Roman" w:hAnsi="Times New Roman" w:cs="Times New Roman"/>
          <w:sz w:val="24"/>
          <w:szCs w:val="24"/>
        </w:rPr>
      </w:pPr>
      <w:r w:rsidRPr="001C266B">
        <w:rPr>
          <w:rFonts w:eastAsia="Times New Roman" w:cs="Arial"/>
          <w:b/>
          <w:bCs/>
          <w:color w:val="000000"/>
          <w:lang w:eastAsia="bg-BG"/>
        </w:rPr>
        <w:t xml:space="preserve">Таблица </w:t>
      </w:r>
      <w:r w:rsidRPr="001C266B">
        <w:rPr>
          <w:rFonts w:eastAsia="Times New Roman" w:cs="Arial"/>
          <w:color w:val="000000"/>
          <w:lang w:eastAsia="bg-BG"/>
        </w:rPr>
        <w:t>3: Прогнозирана честота на агранулоцитоза</w:t>
      </w:r>
      <w:r w:rsidRPr="001C266B">
        <w:rPr>
          <w:rFonts w:eastAsia="Times New Roman" w:cs="Arial"/>
          <w:color w:val="000000"/>
          <w:vertAlign w:val="superscript"/>
          <w:lang w:eastAsia="bg-BG"/>
        </w:rPr>
        <w:t>1</w:t>
      </w:r>
    </w:p>
    <w:tbl>
      <w:tblPr>
        <w:tblStyle w:val="TableGrid"/>
        <w:tblW w:w="0" w:type="auto"/>
        <w:tblLook w:val="04A0" w:firstRow="1" w:lastRow="0" w:firstColumn="1" w:lastColumn="0" w:noHBand="0" w:noVBand="1"/>
      </w:tblPr>
      <w:tblGrid>
        <w:gridCol w:w="4661"/>
        <w:gridCol w:w="4689"/>
      </w:tblGrid>
      <w:tr w:rsidR="001C266B" w14:paraId="323B4788" w14:textId="77777777" w:rsidTr="001C266B">
        <w:tc>
          <w:tcPr>
            <w:tcW w:w="4788" w:type="dxa"/>
          </w:tcPr>
          <w:p w14:paraId="1186B575" w14:textId="47A082DC" w:rsidR="001C266B" w:rsidRPr="001C266B" w:rsidRDefault="001C266B" w:rsidP="001C266B">
            <w:r w:rsidRPr="001C266B">
              <w:rPr>
                <w:b/>
                <w:bCs/>
                <w:szCs w:val="20"/>
              </w:rPr>
              <w:t>Период на лечение</w:t>
            </w:r>
          </w:p>
        </w:tc>
        <w:tc>
          <w:tcPr>
            <w:tcW w:w="4788" w:type="dxa"/>
          </w:tcPr>
          <w:p w14:paraId="77EBF5A2" w14:textId="73C91C3E" w:rsidR="001C266B" w:rsidRPr="001C266B" w:rsidRDefault="001C266B" w:rsidP="001C266B">
            <w:r w:rsidRPr="001C266B">
              <w:rPr>
                <w:b/>
                <w:bCs/>
                <w:szCs w:val="20"/>
              </w:rPr>
              <w:t>Честота на агранулоцитоза за 100 000 човеко-седмици на наблюдение</w:t>
            </w:r>
            <w:r w:rsidRPr="001C266B">
              <w:rPr>
                <w:b/>
                <w:bCs/>
                <w:szCs w:val="20"/>
                <w:vertAlign w:val="superscript"/>
              </w:rPr>
              <w:t>2</w:t>
            </w:r>
          </w:p>
        </w:tc>
      </w:tr>
      <w:tr w:rsidR="001C266B" w14:paraId="16146275" w14:textId="77777777" w:rsidTr="001C266B">
        <w:tc>
          <w:tcPr>
            <w:tcW w:w="4788" w:type="dxa"/>
          </w:tcPr>
          <w:p w14:paraId="2733F3AA" w14:textId="054D6D10" w:rsidR="001C266B" w:rsidRPr="001C266B" w:rsidRDefault="001C266B" w:rsidP="001C266B">
            <w:r w:rsidRPr="001C266B">
              <w:rPr>
                <w:szCs w:val="20"/>
              </w:rPr>
              <w:t>Седмици 0-18</w:t>
            </w:r>
          </w:p>
        </w:tc>
        <w:tc>
          <w:tcPr>
            <w:tcW w:w="4788" w:type="dxa"/>
          </w:tcPr>
          <w:p w14:paraId="0F1790A2" w14:textId="065DC014" w:rsidR="001C266B" w:rsidRPr="001C266B" w:rsidRDefault="001C266B" w:rsidP="001C266B">
            <w:r w:rsidRPr="001C266B">
              <w:rPr>
                <w:szCs w:val="20"/>
              </w:rPr>
              <w:t>32,0</w:t>
            </w:r>
          </w:p>
        </w:tc>
      </w:tr>
      <w:tr w:rsidR="001C266B" w14:paraId="77DD3087" w14:textId="77777777" w:rsidTr="001C266B">
        <w:tc>
          <w:tcPr>
            <w:tcW w:w="4788" w:type="dxa"/>
          </w:tcPr>
          <w:p w14:paraId="2711E08C" w14:textId="559E7AC2" w:rsidR="001C266B" w:rsidRPr="001C266B" w:rsidRDefault="001C266B" w:rsidP="001C266B">
            <w:r w:rsidRPr="001C266B">
              <w:rPr>
                <w:szCs w:val="20"/>
              </w:rPr>
              <w:t>Седмици 19-52</w:t>
            </w:r>
          </w:p>
        </w:tc>
        <w:tc>
          <w:tcPr>
            <w:tcW w:w="4788" w:type="dxa"/>
          </w:tcPr>
          <w:p w14:paraId="73E01D9E" w14:textId="3BD846DC" w:rsidR="001C266B" w:rsidRPr="001C266B" w:rsidRDefault="001C266B" w:rsidP="001C266B">
            <w:r w:rsidRPr="001C266B">
              <w:rPr>
                <w:szCs w:val="20"/>
              </w:rPr>
              <w:t>2,3</w:t>
            </w:r>
          </w:p>
        </w:tc>
      </w:tr>
      <w:tr w:rsidR="001C266B" w14:paraId="0A7FEFEA" w14:textId="77777777" w:rsidTr="001C266B">
        <w:tc>
          <w:tcPr>
            <w:tcW w:w="4788" w:type="dxa"/>
          </w:tcPr>
          <w:p w14:paraId="7B9BAE3D" w14:textId="73232C5A" w:rsidR="001C266B" w:rsidRPr="001C266B" w:rsidRDefault="001C266B" w:rsidP="001C266B">
            <w:r w:rsidRPr="001C266B">
              <w:rPr>
                <w:szCs w:val="20"/>
              </w:rPr>
              <w:t>Седмица 53 или повече</w:t>
            </w:r>
          </w:p>
        </w:tc>
        <w:tc>
          <w:tcPr>
            <w:tcW w:w="4788" w:type="dxa"/>
          </w:tcPr>
          <w:p w14:paraId="1E785C76" w14:textId="27696F02" w:rsidR="001C266B" w:rsidRPr="001C266B" w:rsidRDefault="001C266B" w:rsidP="001C266B">
            <w:r w:rsidRPr="001C266B">
              <w:rPr>
                <w:szCs w:val="20"/>
              </w:rPr>
              <w:t>1,8</w:t>
            </w:r>
          </w:p>
        </w:tc>
      </w:tr>
    </w:tbl>
    <w:p w14:paraId="7B4E3E93" w14:textId="4277DAEE" w:rsidR="001C266B" w:rsidRPr="001C266B" w:rsidRDefault="001C266B" w:rsidP="001C266B">
      <w:pPr>
        <w:spacing w:line="240" w:lineRule="auto"/>
        <w:rPr>
          <w:rFonts w:eastAsia="Times New Roman" w:cs="Arial"/>
        </w:rPr>
      </w:pPr>
      <w:r w:rsidRPr="001C266B">
        <w:rPr>
          <w:rFonts w:eastAsia="Times New Roman" w:cs="Arial"/>
          <w:color w:val="000000"/>
          <w:vertAlign w:val="superscript"/>
          <w:lang w:eastAsia="bg-BG"/>
        </w:rPr>
        <w:t>1</w:t>
      </w:r>
      <w:r w:rsidRPr="001C266B">
        <w:rPr>
          <w:rFonts w:eastAsia="Times New Roman" w:cs="Arial"/>
          <w:color w:val="000000"/>
          <w:lang w:eastAsia="bg-BG"/>
        </w:rPr>
        <w:t xml:space="preserve"> От Регистъра за доживотен опит на службата за мониторинг на пациентите на Клозарил в Обединеното кралство, за периода 1989 - 2001.</w:t>
      </w:r>
    </w:p>
    <w:p w14:paraId="03C3916E" w14:textId="77777777" w:rsidR="001C266B" w:rsidRPr="001C266B" w:rsidRDefault="001C266B" w:rsidP="001C266B">
      <w:pPr>
        <w:spacing w:line="240" w:lineRule="auto"/>
        <w:rPr>
          <w:rFonts w:eastAsia="Times New Roman" w:cs="Arial"/>
        </w:rPr>
      </w:pPr>
      <w:r w:rsidRPr="001C266B">
        <w:rPr>
          <w:rFonts w:eastAsia="Times New Roman" w:cs="Arial"/>
          <w:color w:val="000000"/>
          <w:vertAlign w:val="superscript"/>
          <w:lang w:eastAsia="bg-BG"/>
        </w:rPr>
        <w:t>2</w:t>
      </w:r>
      <w:r w:rsidRPr="001C266B">
        <w:rPr>
          <w:rFonts w:eastAsia="Times New Roman" w:cs="Arial"/>
          <w:color w:val="000000"/>
          <w:lang w:eastAsia="bg-BG"/>
        </w:rPr>
        <w:t xml:space="preserve"> Човеко-времето е сумата от отделни единици от времето, през които пациентите включени в регистъра са били на лечение с Лепонекс, преди да са имали агранулоцитоза. Например, 100 000 човеко-седмици могат да бъдат наблюдавани при 1 000 пациенти, които са били в регистъра за 100 седмици (100 * 1 000 = 100 000), или при 200 пациенти, които са били в регистъра в продължение на 500 седмици (200 * 500 = 100 000) преди да са имали агранулоцитоза.</w:t>
      </w:r>
    </w:p>
    <w:p w14:paraId="0084E359" w14:textId="77777777" w:rsidR="001C266B" w:rsidRPr="001C266B" w:rsidRDefault="001C266B" w:rsidP="001C266B">
      <w:pPr>
        <w:spacing w:line="240" w:lineRule="auto"/>
        <w:rPr>
          <w:rFonts w:eastAsia="Times New Roman" w:cs="Arial"/>
          <w:color w:val="000000"/>
          <w:lang w:eastAsia="bg-BG"/>
        </w:rPr>
      </w:pPr>
    </w:p>
    <w:p w14:paraId="00AEDE8A" w14:textId="0B16B0AF" w:rsidR="001C266B" w:rsidRPr="001C266B" w:rsidRDefault="001C266B" w:rsidP="001C266B">
      <w:pPr>
        <w:spacing w:line="240" w:lineRule="auto"/>
        <w:rPr>
          <w:rFonts w:eastAsia="Times New Roman" w:cs="Arial"/>
        </w:rPr>
      </w:pPr>
      <w:r w:rsidRPr="001C266B">
        <w:rPr>
          <w:rFonts w:eastAsia="Times New Roman" w:cs="Arial"/>
          <w:color w:val="000000"/>
          <w:lang w:eastAsia="bg-BG"/>
        </w:rPr>
        <w:t>Кумулативната честота на агранулоцитоза в Регистъра за доживотен опит на службата за мониторинг на пациентите на Клозарил в Обединеното кралство (0 - 11,6 години между 1989 и 2001 г.) е 0,78%. По-голямата част от случаите (приблизително 70%) се появяват през първите 18 седмици от лечението.</w:t>
      </w:r>
    </w:p>
    <w:p w14:paraId="322673E6" w14:textId="77777777" w:rsidR="001C266B" w:rsidRPr="001C266B" w:rsidRDefault="001C266B" w:rsidP="001C266B">
      <w:pPr>
        <w:spacing w:line="240" w:lineRule="auto"/>
        <w:rPr>
          <w:rFonts w:eastAsia="Times New Roman" w:cs="Arial"/>
          <w:color w:val="000000"/>
          <w:u w:val="single"/>
          <w:lang w:eastAsia="bg-BG"/>
        </w:rPr>
      </w:pPr>
    </w:p>
    <w:p w14:paraId="4F9C02BD" w14:textId="05128289"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Нарушения на метаболизма и храненето</w:t>
      </w:r>
    </w:p>
    <w:p w14:paraId="7B348DC2" w14:textId="08391163" w:rsidR="001C266B" w:rsidRPr="001C266B" w:rsidRDefault="001C266B" w:rsidP="001C266B">
      <w:pPr>
        <w:rPr>
          <w:rFonts w:eastAsia="Times New Roman" w:cs="Arial"/>
          <w:color w:val="000000"/>
          <w:lang w:eastAsia="bg-BG"/>
        </w:rPr>
      </w:pPr>
      <w:r w:rsidRPr="001C266B">
        <w:rPr>
          <w:rFonts w:eastAsia="Times New Roman" w:cs="Arial"/>
          <w:color w:val="000000"/>
          <w:lang w:eastAsia="bg-BG"/>
        </w:rPr>
        <w:t xml:space="preserve">Нарушен глюкозен толеранс и/или развитие или обостряне на захарен диабет са докладвани рядко по време на лечението с клозапин. В много редки случаи се съобщава за тежка хипергликемия, понякога водеща до кетоацидоза/хиперосмоларна кома, при пациенти лекувани е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 xml:space="preserve">без анамнеза за хипергликемия. Нивата на глюкоза се нормализират при повечето пациенти след прекъсване на лечението с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и в някои случаи се появява отново хипергликемия при повторно започване на лечението. Въпреки че повечето пациенти са имали рискови фактори за неинсулинозависим захарен диабет, хипергликемията е документирана и про пациенти без известни рискови фактори (вж. точка 4.4).</w:t>
      </w:r>
    </w:p>
    <w:p w14:paraId="105CBA74" w14:textId="5069A7CE" w:rsidR="001C266B" w:rsidRPr="001C266B" w:rsidRDefault="001C266B" w:rsidP="001C266B">
      <w:pPr>
        <w:rPr>
          <w:rFonts w:eastAsia="Times New Roman" w:cs="Arial"/>
          <w:color w:val="000000"/>
          <w:lang w:eastAsia="bg-BG"/>
        </w:rPr>
      </w:pPr>
    </w:p>
    <w:p w14:paraId="42E6709F"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Нарушения на нервната система</w:t>
      </w:r>
    </w:p>
    <w:p w14:paraId="1D7B6D90"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lastRenderedPageBreak/>
        <w:t>Наблюдаваните много чести нежелани реакции включват сънливост/седиране и замайване,</w:t>
      </w:r>
    </w:p>
    <w:p w14:paraId="0CD53020" w14:textId="77777777" w:rsidR="001C266B" w:rsidRPr="001C266B" w:rsidRDefault="001C266B" w:rsidP="001C266B">
      <w:pPr>
        <w:spacing w:line="240" w:lineRule="auto"/>
        <w:rPr>
          <w:rFonts w:eastAsia="Times New Roman" w:cs="Arial"/>
          <w:color w:val="000000"/>
          <w:lang w:val="en-US"/>
        </w:rPr>
      </w:pPr>
    </w:p>
    <w:p w14:paraId="606A067A" w14:textId="5E876FB4" w:rsidR="001C266B" w:rsidRPr="001C266B" w:rsidRDefault="001C266B" w:rsidP="001C266B">
      <w:pPr>
        <w:spacing w:line="240" w:lineRule="auto"/>
        <w:rPr>
          <w:rFonts w:eastAsia="Times New Roman" w:cs="Arial"/>
          <w:color w:val="000000"/>
          <w:lang w:eastAsia="bg-BG"/>
        </w:rPr>
      </w:pP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 xml:space="preserve">може да причини промени в ЕЕГ, включително появата на комплекси от пикове и вълни. Той </w:t>
      </w:r>
    </w:p>
    <w:p w14:paraId="2326F313" w14:textId="32CC3DC2"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понижава прага на припадъците по дозо-зависим начин и може да предизвика миоклонични гърчове или генерализирани гърчове. Тези симптоми са по-вероятни при по-бързо увеличаване на дозата и при пациенти с предшестваща епилепсия. В такива случаи дозата трябва да се намали и, ако е необходимо, да започне антиконвулсивно лечение. Карбамазепин трябва да се избягва поради възможността му да потиска функцията на костния мозък, а при други антиконвулсанти трябва да се има предвид възможността за фармакокинетично взаимодействие. В редки случаи пациентите, лекувани с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могат да получат делириум.</w:t>
      </w:r>
    </w:p>
    <w:p w14:paraId="4FBCB9C4" w14:textId="77777777" w:rsidR="001C266B" w:rsidRPr="001C266B" w:rsidRDefault="001C266B" w:rsidP="001C266B">
      <w:pPr>
        <w:spacing w:line="240" w:lineRule="auto"/>
        <w:rPr>
          <w:rFonts w:eastAsia="Times New Roman" w:cs="Arial"/>
          <w:i/>
          <w:iCs/>
          <w:color w:val="000000"/>
          <w:lang w:eastAsia="bg-BG"/>
        </w:rPr>
      </w:pPr>
    </w:p>
    <w:p w14:paraId="2847D780" w14:textId="69A3E608" w:rsidR="001C266B" w:rsidRPr="001C266B" w:rsidRDefault="001C266B" w:rsidP="001C266B">
      <w:pPr>
        <w:spacing w:line="240" w:lineRule="auto"/>
        <w:rPr>
          <w:rFonts w:eastAsia="Times New Roman" w:cs="Arial"/>
        </w:rPr>
      </w:pPr>
      <w:r w:rsidRPr="001C266B">
        <w:rPr>
          <w:rFonts w:eastAsia="Times New Roman" w:cs="Arial"/>
          <w:i/>
          <w:iCs/>
          <w:color w:val="000000"/>
          <w:lang w:eastAsia="bg-BG"/>
        </w:rPr>
        <w:t>Много</w:t>
      </w:r>
      <w:r w:rsidRPr="001C266B">
        <w:rPr>
          <w:rFonts w:eastAsia="Times New Roman" w:cs="Arial"/>
          <w:color w:val="000000"/>
          <w:lang w:eastAsia="bg-BG"/>
        </w:rPr>
        <w:t xml:space="preserve"> рядко се съобщава за тардивна дискинезия при пациенти на Лепонекс, които са лекувани с други антипсихотични лекарства. Пациентите, при които се е развивала тардивна дискинезия с други антипсихотици, са се подобрили при лечение с Лепонекс.</w:t>
      </w:r>
    </w:p>
    <w:p w14:paraId="34894E93" w14:textId="77777777" w:rsidR="001C266B" w:rsidRPr="001C266B" w:rsidRDefault="001C266B" w:rsidP="001C266B">
      <w:pPr>
        <w:spacing w:line="240" w:lineRule="auto"/>
        <w:rPr>
          <w:rFonts w:eastAsia="Times New Roman" w:cs="Arial"/>
          <w:color w:val="000000"/>
          <w:u w:val="single"/>
          <w:lang w:eastAsia="bg-BG"/>
        </w:rPr>
      </w:pPr>
    </w:p>
    <w:p w14:paraId="67231ACC" w14:textId="162F6D8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Сърдечни нарушения</w:t>
      </w:r>
    </w:p>
    <w:p w14:paraId="48C7E10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Може да възникне тахикардия и ортостатична хипотония със или без синкоп, особено в първите седмици на лечението. Честотата и тежестта на хипотонията се повлияват от степента и големината на титриране на дозата. При лечението с Лепонекс се съобщава за циркулаторен колапс в резултат на силно изразена хипотония, най-вече свързана с агресивно титриране, с възможни сериозни последствия от сърдечен или белодробен арест.</w:t>
      </w:r>
    </w:p>
    <w:p w14:paraId="730DC865" w14:textId="77777777" w:rsidR="001C266B" w:rsidRPr="001C266B" w:rsidRDefault="001C266B" w:rsidP="001C266B">
      <w:pPr>
        <w:spacing w:line="240" w:lineRule="auto"/>
        <w:rPr>
          <w:rFonts w:eastAsia="Times New Roman" w:cs="Arial"/>
          <w:color w:val="000000"/>
          <w:lang w:eastAsia="bg-BG"/>
        </w:rPr>
      </w:pPr>
    </w:p>
    <w:p w14:paraId="37105FA6" w14:textId="12982D4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При малък брой пациенти лекувани с Лепонекс се проявяват ЕКГ промени, подобни на наблюдаваните при други антипсихотици, включително депресия на </w:t>
      </w:r>
      <w:r w:rsidRPr="001C266B">
        <w:rPr>
          <w:rFonts w:eastAsia="Times New Roman" w:cs="Arial"/>
          <w:color w:val="000000"/>
          <w:lang w:val="en-US"/>
        </w:rPr>
        <w:t>S</w:t>
      </w:r>
      <w:r w:rsidRPr="001C266B">
        <w:rPr>
          <w:rFonts w:eastAsia="Times New Roman" w:cs="Arial"/>
          <w:color w:val="000000"/>
          <w:lang w:val="ru-RU"/>
        </w:rPr>
        <w:t>-</w:t>
      </w:r>
      <w:r w:rsidRPr="001C266B">
        <w:rPr>
          <w:rFonts w:eastAsia="Times New Roman" w:cs="Arial"/>
          <w:color w:val="000000"/>
          <w:lang w:val="en-US"/>
        </w:rPr>
        <w:t>T</w:t>
      </w:r>
      <w:r w:rsidRPr="001C266B">
        <w:rPr>
          <w:rFonts w:eastAsia="Times New Roman" w:cs="Arial"/>
          <w:color w:val="000000"/>
          <w:lang w:val="ru-RU"/>
        </w:rPr>
        <w:t xml:space="preserve"> </w:t>
      </w:r>
      <w:r w:rsidRPr="001C266B">
        <w:rPr>
          <w:rFonts w:eastAsia="Times New Roman" w:cs="Arial"/>
          <w:color w:val="000000"/>
          <w:lang w:eastAsia="bg-BG"/>
        </w:rPr>
        <w:t>сегмента и намаляване или обръщане на Т вълни, които се нормализират след преустановяване на лечението с Лепонекс. Клиничното значение на тези промени е неясно. Тези аномалии обаче са наблюдавани при пациенти с миокардит, поради което трябва да се има предвид.</w:t>
      </w:r>
    </w:p>
    <w:p w14:paraId="57C314D8" w14:textId="77777777" w:rsidR="001C266B" w:rsidRPr="001C266B" w:rsidRDefault="001C266B" w:rsidP="001C266B">
      <w:pPr>
        <w:spacing w:line="240" w:lineRule="auto"/>
        <w:rPr>
          <w:rFonts w:eastAsia="Times New Roman" w:cs="Arial"/>
          <w:color w:val="000000"/>
          <w:lang w:eastAsia="bg-BG"/>
        </w:rPr>
      </w:pPr>
    </w:p>
    <w:p w14:paraId="0A322D30" w14:textId="72CDAF18" w:rsidR="001C266B" w:rsidRPr="001C266B" w:rsidRDefault="001C266B" w:rsidP="001C266B">
      <w:pPr>
        <w:spacing w:line="240" w:lineRule="auto"/>
        <w:rPr>
          <w:rFonts w:eastAsia="Times New Roman" w:cs="Arial"/>
        </w:rPr>
      </w:pPr>
      <w:r w:rsidRPr="001C266B">
        <w:rPr>
          <w:rFonts w:eastAsia="Times New Roman" w:cs="Arial"/>
          <w:color w:val="000000"/>
          <w:lang w:eastAsia="bg-BG"/>
        </w:rPr>
        <w:t>Съобщени са изолирани случаи на сърдечни аритмии, перикардит/перикарден излив и миокардит, някои от които са били фатални. Повечето от случаите на миокардит са настъпили през първите 2 месеца от началото на лечението с Лепонекс. Кардиомиопатия обикновено се проявява по-късно в хода на лечението.</w:t>
      </w:r>
    </w:p>
    <w:p w14:paraId="09DEBEB9" w14:textId="77777777" w:rsidR="001C266B" w:rsidRPr="001C266B" w:rsidRDefault="001C266B" w:rsidP="001C266B">
      <w:pPr>
        <w:spacing w:line="240" w:lineRule="auto"/>
        <w:rPr>
          <w:rFonts w:eastAsia="Times New Roman" w:cs="Arial"/>
          <w:color w:val="000000"/>
          <w:lang w:eastAsia="bg-BG"/>
        </w:rPr>
      </w:pPr>
    </w:p>
    <w:p w14:paraId="41FC41A9" w14:textId="72037650" w:rsidR="001C266B" w:rsidRPr="001C266B" w:rsidRDefault="001C266B" w:rsidP="001C266B">
      <w:pPr>
        <w:spacing w:line="240" w:lineRule="auto"/>
        <w:rPr>
          <w:rFonts w:eastAsia="Times New Roman" w:cs="Arial"/>
        </w:rPr>
      </w:pPr>
      <w:r w:rsidRPr="001C266B">
        <w:rPr>
          <w:rFonts w:eastAsia="Times New Roman" w:cs="Arial"/>
          <w:color w:val="000000"/>
          <w:lang w:eastAsia="bg-BG"/>
        </w:rPr>
        <w:t>Еозинофилия е докладвана съвместно с някои случаи на миокардит (приблизително 14%) и перикардит/перикарден излив; не е известно обаче, дали еозинофилията е надежден предсказващ фактор на кардит.</w:t>
      </w:r>
    </w:p>
    <w:p w14:paraId="6AA610A9" w14:textId="77777777" w:rsidR="001C266B" w:rsidRPr="001C266B" w:rsidRDefault="001C266B" w:rsidP="001C266B">
      <w:pPr>
        <w:spacing w:line="240" w:lineRule="auto"/>
        <w:rPr>
          <w:rFonts w:eastAsia="Times New Roman" w:cs="Arial"/>
          <w:color w:val="000000"/>
          <w:lang w:eastAsia="bg-BG"/>
        </w:rPr>
      </w:pPr>
    </w:p>
    <w:p w14:paraId="056FC538" w14:textId="414762CC"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Признаците и симптомите на миокардит или кардиомиопатия включват персистираща тахикардия в покой, палпитации, аритмии, гръдна болка и други признаци и симптоми на сърдечна недостатъчност (напр. необяснима умора, диспнея, тахипнея) или симптоми, които имитират миокарден инфаркт. Другите симптоми, които могат да са налични в допълнение към горното, включват грипоподобни симптоми.</w:t>
      </w:r>
    </w:p>
    <w:p w14:paraId="6D35C607" w14:textId="77777777" w:rsidR="001C266B" w:rsidRPr="001C266B" w:rsidRDefault="001C266B" w:rsidP="001C266B">
      <w:pPr>
        <w:spacing w:line="240" w:lineRule="auto"/>
        <w:rPr>
          <w:rFonts w:eastAsia="Times New Roman" w:cs="Arial"/>
          <w:color w:val="000000"/>
          <w:lang w:eastAsia="bg-BG"/>
        </w:rPr>
      </w:pPr>
    </w:p>
    <w:p w14:paraId="2BED9A23" w14:textId="7FDA1A74"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Внезапни, необясними смъртни случаи са наблюдавани при психиатрични пациенти, които получават конвенционални антипсихотични лекарства, но също така и при </w:t>
      </w:r>
      <w:r w:rsidRPr="001C266B">
        <w:rPr>
          <w:rFonts w:eastAsia="Times New Roman" w:cs="Arial"/>
          <w:color w:val="000000"/>
          <w:lang w:eastAsia="bg-BG"/>
        </w:rPr>
        <w:lastRenderedPageBreak/>
        <w:t>нелекувани психиатрични пациенти. Такива смъртни случаи са докладвани много рядко при пациенти, получаващи Лепонекс.</w:t>
      </w:r>
    </w:p>
    <w:p w14:paraId="31FC3CED" w14:textId="77777777" w:rsidR="001C266B" w:rsidRPr="001C266B" w:rsidRDefault="001C266B" w:rsidP="001C266B">
      <w:pPr>
        <w:spacing w:line="240" w:lineRule="auto"/>
        <w:rPr>
          <w:rFonts w:eastAsia="Times New Roman" w:cs="Arial"/>
          <w:color w:val="000000"/>
          <w:u w:val="single"/>
          <w:lang w:eastAsia="bg-BG"/>
        </w:rPr>
      </w:pPr>
    </w:p>
    <w:p w14:paraId="553EEB4F" w14:textId="42FAFE58"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Съдови нарушения</w:t>
      </w:r>
    </w:p>
    <w:p w14:paraId="69D6112F"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Съобщавани са редки случаи на тромбоемболизъм.</w:t>
      </w:r>
    </w:p>
    <w:p w14:paraId="64FBCCF4" w14:textId="77777777" w:rsidR="001C266B" w:rsidRPr="001C266B" w:rsidRDefault="001C266B" w:rsidP="001C266B">
      <w:pPr>
        <w:spacing w:line="240" w:lineRule="auto"/>
        <w:rPr>
          <w:rFonts w:eastAsia="Times New Roman" w:cs="Arial"/>
          <w:color w:val="000000"/>
          <w:u w:val="single"/>
          <w:lang w:eastAsia="bg-BG"/>
        </w:rPr>
      </w:pPr>
    </w:p>
    <w:p w14:paraId="545E2FF5" w14:textId="34BA2A76"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Дихателната система</w:t>
      </w:r>
    </w:p>
    <w:p w14:paraId="005759C0" w14:textId="2AF28F8C" w:rsidR="001C266B" w:rsidRPr="001C266B" w:rsidRDefault="001C266B" w:rsidP="001C266B">
      <w:pPr>
        <w:rPr>
          <w:rFonts w:eastAsia="Times New Roman" w:cs="Arial"/>
          <w:color w:val="000000"/>
          <w:lang w:eastAsia="bg-BG"/>
        </w:rPr>
      </w:pPr>
      <w:r w:rsidRPr="001C266B">
        <w:rPr>
          <w:rFonts w:eastAsia="Times New Roman" w:cs="Arial"/>
          <w:color w:val="000000"/>
          <w:lang w:eastAsia="bg-BG"/>
        </w:rPr>
        <w:t>Потискане на дишането или спиране настъпва много рядко, със или без циркулаторен колапс (вж. точки 4.4 и 4.5).</w:t>
      </w:r>
    </w:p>
    <w:p w14:paraId="3679BEB5" w14:textId="7795FF37" w:rsidR="001C266B" w:rsidRPr="001C266B" w:rsidRDefault="001C266B" w:rsidP="001C266B">
      <w:pPr>
        <w:rPr>
          <w:rFonts w:eastAsia="Times New Roman" w:cs="Arial"/>
          <w:color w:val="000000"/>
          <w:lang w:eastAsia="bg-BG"/>
        </w:rPr>
      </w:pPr>
    </w:p>
    <w:p w14:paraId="4E64FAC8" w14:textId="77777777"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Стомашно-чревна система</w:t>
      </w:r>
    </w:p>
    <w:p w14:paraId="12F5A86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Запек и хиперсаливация са наблюдавани много често, а гадене и повръщане - често. Много рядко може да се появи илеус (вж. точка 4.4). Рядко лечението с Лепонекс може да бъде свързано с дисфагия. Аспирация на погълната храна може да настъпи при пациенти с дисфагия или вследствие на остро предозиране.</w:t>
      </w:r>
    </w:p>
    <w:p w14:paraId="6D67BFDE" w14:textId="77777777" w:rsidR="001C266B" w:rsidRPr="001C266B" w:rsidRDefault="001C266B" w:rsidP="001C266B">
      <w:pPr>
        <w:spacing w:line="240" w:lineRule="auto"/>
        <w:rPr>
          <w:rFonts w:eastAsia="Times New Roman" w:cs="Arial"/>
          <w:color w:val="000000"/>
          <w:u w:val="single"/>
          <w:lang w:eastAsia="bg-BG"/>
        </w:rPr>
      </w:pPr>
    </w:p>
    <w:p w14:paraId="7549E715" w14:textId="64AA1EAD"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Хепатобилиарни нарушения</w:t>
      </w:r>
    </w:p>
    <w:p w14:paraId="2F32F9E8"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Преходно, безсимптомно повишаване на чернодробните ензими и рядко хепатит и холестатична жълтеница може да се появят. Много рядко се съобщава за фулминантна чернодробна некроза. Ако се развие жълтеница, лечението с Лепонекс трябва да се преустанови (вж, точка 4.4). В редки случаи е докладван остър панкреатит.</w:t>
      </w:r>
    </w:p>
    <w:p w14:paraId="5472F738" w14:textId="77777777" w:rsidR="001C266B" w:rsidRPr="001C266B" w:rsidRDefault="001C266B" w:rsidP="001C266B">
      <w:pPr>
        <w:spacing w:line="240" w:lineRule="auto"/>
        <w:rPr>
          <w:rFonts w:eastAsia="Times New Roman" w:cs="Arial"/>
          <w:color w:val="000000"/>
          <w:u w:val="single"/>
          <w:lang w:eastAsia="bg-BG"/>
        </w:rPr>
      </w:pPr>
    </w:p>
    <w:p w14:paraId="51A9F4B3" w14:textId="40388C81"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Нарушения на бъбреците</w:t>
      </w:r>
    </w:p>
    <w:p w14:paraId="001D5272"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Има съобщения за изолирани случаи на остър интерстициален нефрит във връзка с лечението с Лепонекс.</w:t>
      </w:r>
    </w:p>
    <w:p w14:paraId="13D74CA2" w14:textId="77777777" w:rsidR="001C266B" w:rsidRPr="001C266B" w:rsidRDefault="001C266B" w:rsidP="001C266B">
      <w:pPr>
        <w:spacing w:line="240" w:lineRule="auto"/>
        <w:rPr>
          <w:rFonts w:eastAsia="Times New Roman" w:cs="Arial"/>
          <w:color w:val="000000"/>
          <w:u w:val="single"/>
          <w:lang w:eastAsia="bg-BG"/>
        </w:rPr>
      </w:pPr>
    </w:p>
    <w:p w14:paraId="62322BAA" w14:textId="77777777" w:rsidR="001C266B" w:rsidRPr="001C266B" w:rsidRDefault="001C266B" w:rsidP="001C266B">
      <w:pPr>
        <w:spacing w:line="240" w:lineRule="auto"/>
        <w:rPr>
          <w:rFonts w:eastAsia="Times New Roman" w:cs="Arial"/>
          <w:color w:val="000000"/>
          <w:u w:val="single"/>
          <w:lang w:eastAsia="bg-BG"/>
        </w:rPr>
      </w:pPr>
      <w:r w:rsidRPr="001C266B">
        <w:rPr>
          <w:rFonts w:eastAsia="Times New Roman" w:cs="Arial"/>
          <w:color w:val="000000"/>
          <w:u w:val="single"/>
          <w:lang w:eastAsia="bg-BG"/>
        </w:rPr>
        <w:t xml:space="preserve">Нарушения на възпроизводителната система и гърдата </w:t>
      </w:r>
    </w:p>
    <w:p w14:paraId="7FF0839A" w14:textId="7A3519F8" w:rsidR="001C266B" w:rsidRPr="001C266B" w:rsidRDefault="001C266B" w:rsidP="001C266B">
      <w:pPr>
        <w:spacing w:line="240" w:lineRule="auto"/>
        <w:rPr>
          <w:rFonts w:eastAsia="Times New Roman" w:cs="Arial"/>
        </w:rPr>
      </w:pPr>
      <w:r w:rsidRPr="001C266B">
        <w:rPr>
          <w:rFonts w:eastAsia="Times New Roman" w:cs="Arial"/>
          <w:color w:val="000000"/>
          <w:lang w:eastAsia="bg-BG"/>
        </w:rPr>
        <w:t>Много редки съобщения за приапизъм са получавани.</w:t>
      </w:r>
    </w:p>
    <w:p w14:paraId="30B3BBB7" w14:textId="77777777" w:rsidR="001C266B" w:rsidRPr="001C266B" w:rsidRDefault="001C266B" w:rsidP="001C266B">
      <w:pPr>
        <w:spacing w:line="240" w:lineRule="auto"/>
        <w:rPr>
          <w:rFonts w:eastAsia="Times New Roman" w:cs="Arial"/>
          <w:color w:val="000000"/>
          <w:u w:val="single"/>
          <w:lang w:eastAsia="bg-BG"/>
        </w:rPr>
      </w:pPr>
    </w:p>
    <w:p w14:paraId="48F5A0E2" w14:textId="45A39C65"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Общи нарушения</w:t>
      </w:r>
    </w:p>
    <w:p w14:paraId="1229E295" w14:textId="77777777" w:rsidR="001C266B" w:rsidRPr="001C266B" w:rsidRDefault="001C266B" w:rsidP="001C266B">
      <w:pPr>
        <w:spacing w:line="240" w:lineRule="auto"/>
        <w:rPr>
          <w:rFonts w:eastAsia="Times New Roman" w:cs="Arial"/>
        </w:rPr>
      </w:pPr>
      <w:r w:rsidRPr="001C266B">
        <w:rPr>
          <w:rFonts w:eastAsia="Times New Roman" w:cs="Arial"/>
          <w:color w:val="000000"/>
          <w:lang w:eastAsia="bg-BG"/>
        </w:rPr>
        <w:t xml:space="preserve">Съобщавани са случаи на невролептичен малигнен синдром (НМС) при пациенти, лекувани с </w:t>
      </w:r>
      <w:proofErr w:type="spellStart"/>
      <w:r w:rsidRPr="001C266B">
        <w:rPr>
          <w:rFonts w:eastAsia="Times New Roman" w:cs="Arial"/>
          <w:color w:val="000000"/>
          <w:lang w:val="en-US"/>
        </w:rPr>
        <w:t>Leponex</w:t>
      </w:r>
      <w:proofErr w:type="spellEnd"/>
      <w:r w:rsidRPr="001C266B">
        <w:rPr>
          <w:rFonts w:eastAsia="Times New Roman" w:cs="Arial"/>
          <w:color w:val="000000"/>
          <w:lang w:val="ru-RU"/>
        </w:rPr>
        <w:t xml:space="preserve"> </w:t>
      </w:r>
      <w:r w:rsidRPr="001C266B">
        <w:rPr>
          <w:rFonts w:eastAsia="Times New Roman" w:cs="Arial"/>
          <w:color w:val="000000"/>
          <w:lang w:eastAsia="bg-BG"/>
        </w:rPr>
        <w:t>самостоятелно или в комбинация с литий или други ЦНС-активни лекарствени продукти.</w:t>
      </w:r>
    </w:p>
    <w:p w14:paraId="4DB04172" w14:textId="77777777" w:rsidR="001C266B" w:rsidRPr="001C266B" w:rsidRDefault="001C266B" w:rsidP="001C266B">
      <w:pPr>
        <w:spacing w:line="240" w:lineRule="auto"/>
        <w:rPr>
          <w:rFonts w:eastAsia="Times New Roman" w:cs="Arial"/>
          <w:color w:val="000000"/>
          <w:lang w:eastAsia="bg-BG"/>
        </w:rPr>
      </w:pPr>
    </w:p>
    <w:p w14:paraId="6BE637DB" w14:textId="6A7CB81E" w:rsidR="001C266B" w:rsidRPr="001C266B" w:rsidRDefault="001C266B" w:rsidP="001C266B">
      <w:pPr>
        <w:spacing w:line="240" w:lineRule="auto"/>
        <w:rPr>
          <w:rFonts w:eastAsia="Times New Roman" w:cs="Arial"/>
        </w:rPr>
      </w:pPr>
      <w:r w:rsidRPr="001C266B">
        <w:rPr>
          <w:rFonts w:eastAsia="Times New Roman" w:cs="Arial"/>
          <w:color w:val="000000"/>
          <w:lang w:eastAsia="bg-BG"/>
        </w:rPr>
        <w:t>Докладвани са остри реакции на отнемане (вж. точка 4.4).</w:t>
      </w:r>
    </w:p>
    <w:p w14:paraId="61A9DC10" w14:textId="77777777" w:rsidR="001C266B" w:rsidRPr="001C266B" w:rsidRDefault="001C266B" w:rsidP="001C266B">
      <w:pPr>
        <w:spacing w:line="240" w:lineRule="auto"/>
        <w:rPr>
          <w:rFonts w:eastAsia="Times New Roman" w:cs="Arial"/>
          <w:color w:val="000000"/>
          <w:u w:val="single"/>
          <w:lang w:eastAsia="bg-BG"/>
        </w:rPr>
      </w:pPr>
    </w:p>
    <w:p w14:paraId="79F9C291" w14:textId="39C1FA3D" w:rsidR="001C266B" w:rsidRPr="001C266B" w:rsidRDefault="001C266B" w:rsidP="001C266B">
      <w:pPr>
        <w:spacing w:line="240" w:lineRule="auto"/>
        <w:rPr>
          <w:rFonts w:eastAsia="Times New Roman" w:cs="Arial"/>
        </w:rPr>
      </w:pPr>
      <w:r w:rsidRPr="001C266B">
        <w:rPr>
          <w:rFonts w:eastAsia="Times New Roman" w:cs="Arial"/>
          <w:color w:val="000000"/>
          <w:u w:val="single"/>
          <w:lang w:eastAsia="bg-BG"/>
        </w:rPr>
        <w:t>Табличен списък на нежеланите реакции:</w:t>
      </w:r>
    </w:p>
    <w:p w14:paraId="59CE912E" w14:textId="77777777" w:rsidR="001C266B" w:rsidRPr="001C266B" w:rsidRDefault="001C266B" w:rsidP="001C266B">
      <w:pPr>
        <w:spacing w:line="240" w:lineRule="auto"/>
        <w:rPr>
          <w:rFonts w:eastAsia="Times New Roman" w:cs="Arial"/>
          <w:color w:val="000000"/>
          <w:lang w:eastAsia="bg-BG"/>
        </w:rPr>
      </w:pPr>
    </w:p>
    <w:p w14:paraId="7DAA382C" w14:textId="6BFCBC3E" w:rsidR="001C266B" w:rsidRPr="001C266B" w:rsidRDefault="001C266B" w:rsidP="001C266B">
      <w:pPr>
        <w:spacing w:line="240" w:lineRule="auto"/>
        <w:rPr>
          <w:rFonts w:eastAsia="Times New Roman" w:cs="Arial"/>
        </w:rPr>
      </w:pPr>
      <w:r w:rsidRPr="001C266B">
        <w:rPr>
          <w:rFonts w:eastAsia="Times New Roman" w:cs="Arial"/>
          <w:color w:val="000000"/>
          <w:lang w:eastAsia="bg-BG"/>
        </w:rPr>
        <w:t>Таблицата по-долу (Таблица 4) обобщава нежеланите реакции, натрупани от докладите, направени спонтанно и по време на клинични проучвания.</w:t>
      </w:r>
    </w:p>
    <w:p w14:paraId="6D017545" w14:textId="77777777" w:rsidR="001C266B" w:rsidRPr="001C266B" w:rsidRDefault="001C266B" w:rsidP="001C266B">
      <w:pPr>
        <w:spacing w:line="240" w:lineRule="auto"/>
        <w:rPr>
          <w:rFonts w:eastAsia="Times New Roman" w:cs="Arial"/>
          <w:b/>
          <w:bCs/>
          <w:color w:val="000000"/>
          <w:lang w:eastAsia="bg-BG"/>
        </w:rPr>
      </w:pPr>
    </w:p>
    <w:p w14:paraId="0639E7CC" w14:textId="4C6C2CDA" w:rsidR="001C266B" w:rsidRPr="001C266B" w:rsidRDefault="001C266B" w:rsidP="001C266B">
      <w:pPr>
        <w:spacing w:line="240" w:lineRule="auto"/>
        <w:rPr>
          <w:rFonts w:eastAsia="Times New Roman" w:cs="Arial"/>
        </w:rPr>
      </w:pPr>
      <w:r w:rsidRPr="001C266B">
        <w:rPr>
          <w:rFonts w:eastAsia="Times New Roman" w:cs="Arial"/>
          <w:b/>
          <w:bCs/>
          <w:color w:val="000000"/>
          <w:lang w:eastAsia="bg-BG"/>
        </w:rPr>
        <w:t xml:space="preserve">Таблица </w:t>
      </w:r>
      <w:r w:rsidRPr="001C266B">
        <w:rPr>
          <w:rFonts w:eastAsia="Times New Roman" w:cs="Arial"/>
          <w:color w:val="000000"/>
          <w:lang w:eastAsia="bg-BG"/>
        </w:rPr>
        <w:t>4: Честотата на възникване на нежелана лекарствена реакция, оценена от спонтанни съобщения и клинични изпитвания</w:t>
      </w:r>
    </w:p>
    <w:p w14:paraId="14BE7AE1" w14:textId="77777777" w:rsidR="001C266B" w:rsidRPr="001C266B" w:rsidRDefault="001C266B" w:rsidP="001C266B">
      <w:pPr>
        <w:spacing w:line="240" w:lineRule="auto"/>
        <w:rPr>
          <w:rFonts w:eastAsia="Times New Roman" w:cs="Arial"/>
          <w:color w:val="000000"/>
          <w:lang w:eastAsia="bg-BG"/>
        </w:rPr>
      </w:pPr>
    </w:p>
    <w:p w14:paraId="767E41AA" w14:textId="64A478E3" w:rsidR="001C266B" w:rsidRPr="001C266B" w:rsidRDefault="001C266B" w:rsidP="001C266B">
      <w:pPr>
        <w:spacing w:line="240" w:lineRule="auto"/>
        <w:rPr>
          <w:rFonts w:ascii="Times New Roman" w:eastAsia="Times New Roman" w:hAnsi="Times New Roman" w:cs="Times New Roman"/>
          <w:sz w:val="24"/>
          <w:szCs w:val="24"/>
        </w:rPr>
      </w:pPr>
      <w:r w:rsidRPr="001C266B">
        <w:rPr>
          <w:rFonts w:eastAsia="Times New Roman" w:cs="Arial"/>
          <w:color w:val="000000"/>
          <w:lang w:eastAsia="bg-BG"/>
        </w:rPr>
        <w:t>Нежеланите лекарствени реакции са подредени според честотата, като е използвана следната класификация: Много чести (≥1/10), чести (≥1/100, &lt;1/10), не чести (≥1/1 000, &lt;1/100), редки (≥1/10 000, &lt;1/1 000), много редки (&lt;1/10 000), с неизвестна честота (от наличните данни не може да бъде направена оценка). При всяко групиране в зависимост от честотата, нежеланите реакции са изброени в низходящ ред по отношение на тяхната сериозност.</w:t>
      </w:r>
    </w:p>
    <w:p w14:paraId="506CDC89" w14:textId="7DCB977D" w:rsidR="001C266B" w:rsidRDefault="001C266B" w:rsidP="001C266B"/>
    <w:tbl>
      <w:tblPr>
        <w:tblStyle w:val="TableGrid"/>
        <w:tblW w:w="0" w:type="auto"/>
        <w:tblLook w:val="04A0" w:firstRow="1" w:lastRow="0" w:firstColumn="1" w:lastColumn="0" w:noHBand="0" w:noVBand="1"/>
      </w:tblPr>
      <w:tblGrid>
        <w:gridCol w:w="4614"/>
        <w:gridCol w:w="4736"/>
      </w:tblGrid>
      <w:tr w:rsidR="001C266B" w:rsidRPr="00663BD6" w14:paraId="1E9621C4" w14:textId="77777777" w:rsidTr="001C266B">
        <w:tc>
          <w:tcPr>
            <w:tcW w:w="9576" w:type="dxa"/>
            <w:gridSpan w:val="2"/>
          </w:tcPr>
          <w:p w14:paraId="0EE5BD26" w14:textId="5AF9D436" w:rsidR="001C266B" w:rsidRPr="00663BD6" w:rsidRDefault="001C266B" w:rsidP="001C266B">
            <w:pPr>
              <w:rPr>
                <w:rFonts w:cs="Arial"/>
              </w:rPr>
            </w:pPr>
            <w:r w:rsidRPr="00663BD6">
              <w:rPr>
                <w:rFonts w:cs="Arial"/>
                <w:b/>
                <w:bCs/>
              </w:rPr>
              <w:lastRenderedPageBreak/>
              <w:t>Инфекции и инфестации</w:t>
            </w:r>
          </w:p>
        </w:tc>
      </w:tr>
      <w:tr w:rsidR="001C266B" w:rsidRPr="00663BD6" w14:paraId="291D37BB" w14:textId="77777777" w:rsidTr="001C266B">
        <w:tc>
          <w:tcPr>
            <w:tcW w:w="4788" w:type="dxa"/>
            <w:vAlign w:val="bottom"/>
          </w:tcPr>
          <w:p w14:paraId="009A1035" w14:textId="10FA5D3C" w:rsidR="001C266B" w:rsidRDefault="001C266B" w:rsidP="001C266B">
            <w:r>
              <w:rPr>
                <w:sz w:val="20"/>
                <w:szCs w:val="20"/>
              </w:rPr>
              <w:t>С неизвестна честота</w:t>
            </w:r>
          </w:p>
        </w:tc>
        <w:tc>
          <w:tcPr>
            <w:tcW w:w="4788" w:type="dxa"/>
            <w:vAlign w:val="bottom"/>
          </w:tcPr>
          <w:p w14:paraId="316C76FB" w14:textId="6FD77D58" w:rsidR="001C266B" w:rsidRPr="00663BD6" w:rsidRDefault="001C266B" w:rsidP="001C266B">
            <w:pPr>
              <w:rPr>
                <w:rFonts w:cs="Arial"/>
              </w:rPr>
            </w:pPr>
            <w:r w:rsidRPr="00663BD6">
              <w:rPr>
                <w:rFonts w:cs="Arial"/>
              </w:rPr>
              <w:t>Сепсис*</w:t>
            </w:r>
          </w:p>
        </w:tc>
      </w:tr>
      <w:tr w:rsidR="001C266B" w:rsidRPr="00663BD6" w14:paraId="7FC8939D" w14:textId="77777777" w:rsidTr="001C266B">
        <w:tc>
          <w:tcPr>
            <w:tcW w:w="9576" w:type="dxa"/>
            <w:gridSpan w:val="2"/>
          </w:tcPr>
          <w:p w14:paraId="67493D7B" w14:textId="59261439" w:rsidR="001C266B" w:rsidRPr="00663BD6" w:rsidRDefault="001C266B" w:rsidP="001C266B">
            <w:pPr>
              <w:rPr>
                <w:rFonts w:cs="Arial"/>
              </w:rPr>
            </w:pPr>
            <w:r w:rsidRPr="00663BD6">
              <w:rPr>
                <w:rFonts w:cs="Arial"/>
                <w:b/>
                <w:bCs/>
              </w:rPr>
              <w:t>Нарушения на кръвта и лимфната система</w:t>
            </w:r>
          </w:p>
        </w:tc>
      </w:tr>
      <w:tr w:rsidR="001C266B" w:rsidRPr="00663BD6" w14:paraId="23DF8F59" w14:textId="77777777" w:rsidTr="001C266B">
        <w:trPr>
          <w:trHeight w:val="1502"/>
        </w:trPr>
        <w:tc>
          <w:tcPr>
            <w:tcW w:w="4788" w:type="dxa"/>
          </w:tcPr>
          <w:p w14:paraId="290C829B" w14:textId="77777777" w:rsidR="001C266B" w:rsidRDefault="001C266B" w:rsidP="001C266B">
            <w:r>
              <w:rPr>
                <w:sz w:val="20"/>
                <w:szCs w:val="20"/>
              </w:rPr>
              <w:t>Чести</w:t>
            </w:r>
          </w:p>
          <w:p w14:paraId="0C8B90EA" w14:textId="77777777" w:rsidR="001C266B" w:rsidRDefault="001C266B" w:rsidP="001C266B">
            <w:pPr>
              <w:rPr>
                <w:sz w:val="20"/>
                <w:szCs w:val="20"/>
              </w:rPr>
            </w:pPr>
          </w:p>
          <w:p w14:paraId="5FFB45C1" w14:textId="1BC91732" w:rsidR="001C266B" w:rsidRDefault="001C266B" w:rsidP="001C266B">
            <w:r>
              <w:rPr>
                <w:sz w:val="20"/>
                <w:szCs w:val="20"/>
              </w:rPr>
              <w:t>Нечести</w:t>
            </w:r>
          </w:p>
          <w:p w14:paraId="6644A168" w14:textId="77777777" w:rsidR="001C266B" w:rsidRDefault="001C266B" w:rsidP="001C266B">
            <w:pPr>
              <w:rPr>
                <w:sz w:val="20"/>
                <w:szCs w:val="20"/>
              </w:rPr>
            </w:pPr>
          </w:p>
          <w:p w14:paraId="45AFE7F6" w14:textId="614319E0" w:rsidR="001C266B" w:rsidRDefault="001C266B" w:rsidP="001C266B">
            <w:r>
              <w:rPr>
                <w:sz w:val="20"/>
                <w:szCs w:val="20"/>
              </w:rPr>
              <w:t>Редки</w:t>
            </w:r>
          </w:p>
          <w:p w14:paraId="4CD3D882" w14:textId="0862A2F6" w:rsidR="001C266B" w:rsidRDefault="001C266B" w:rsidP="001C266B">
            <w:r>
              <w:rPr>
                <w:sz w:val="20"/>
                <w:szCs w:val="20"/>
              </w:rPr>
              <w:t>Много редки</w:t>
            </w:r>
          </w:p>
        </w:tc>
        <w:tc>
          <w:tcPr>
            <w:tcW w:w="4788" w:type="dxa"/>
            <w:vAlign w:val="bottom"/>
          </w:tcPr>
          <w:p w14:paraId="6597705F" w14:textId="77777777" w:rsidR="001C266B" w:rsidRPr="00663BD6" w:rsidRDefault="001C266B" w:rsidP="001C266B">
            <w:pPr>
              <w:rPr>
                <w:rFonts w:cs="Arial"/>
              </w:rPr>
            </w:pPr>
            <w:r w:rsidRPr="00663BD6">
              <w:rPr>
                <w:rFonts w:cs="Arial"/>
              </w:rPr>
              <w:t>Левкопения/понижен брой левкоцити/неутропения, еозинофилия, левкоцитоза</w:t>
            </w:r>
          </w:p>
          <w:p w14:paraId="7DBECF7D" w14:textId="77777777" w:rsidR="001C266B" w:rsidRPr="00663BD6" w:rsidRDefault="001C266B" w:rsidP="001C266B">
            <w:pPr>
              <w:rPr>
                <w:rFonts w:cs="Arial"/>
              </w:rPr>
            </w:pPr>
            <w:r w:rsidRPr="00663BD6">
              <w:rPr>
                <w:rFonts w:cs="Arial"/>
              </w:rPr>
              <w:t>Агранулоцитоза</w:t>
            </w:r>
          </w:p>
          <w:p w14:paraId="1C2AEC98" w14:textId="77777777" w:rsidR="001C266B" w:rsidRPr="00663BD6" w:rsidRDefault="001C266B" w:rsidP="001C266B">
            <w:pPr>
              <w:rPr>
                <w:rFonts w:cs="Arial"/>
              </w:rPr>
            </w:pPr>
            <w:r w:rsidRPr="00663BD6">
              <w:rPr>
                <w:rFonts w:cs="Arial"/>
              </w:rPr>
              <w:t>Анемия</w:t>
            </w:r>
          </w:p>
          <w:p w14:paraId="7625D169" w14:textId="35C33233" w:rsidR="001C266B" w:rsidRPr="00663BD6" w:rsidRDefault="001C266B" w:rsidP="001C266B">
            <w:pPr>
              <w:rPr>
                <w:rFonts w:cs="Arial"/>
              </w:rPr>
            </w:pPr>
            <w:r w:rsidRPr="00663BD6">
              <w:rPr>
                <w:rFonts w:cs="Arial"/>
              </w:rPr>
              <w:t>Тромбоцитопения, тромбоцитемия</w:t>
            </w:r>
          </w:p>
        </w:tc>
      </w:tr>
      <w:tr w:rsidR="001C266B" w:rsidRPr="00663BD6" w14:paraId="1A3330F1" w14:textId="77777777" w:rsidTr="001C266B">
        <w:tc>
          <w:tcPr>
            <w:tcW w:w="9576" w:type="dxa"/>
            <w:gridSpan w:val="2"/>
          </w:tcPr>
          <w:p w14:paraId="14EB1938" w14:textId="50A9EB9F" w:rsidR="001C266B" w:rsidRPr="00663BD6" w:rsidRDefault="001C266B" w:rsidP="001C266B">
            <w:pPr>
              <w:rPr>
                <w:rFonts w:cs="Arial"/>
              </w:rPr>
            </w:pPr>
            <w:r w:rsidRPr="00663BD6">
              <w:rPr>
                <w:rFonts w:cs="Arial"/>
                <w:b/>
                <w:bCs/>
              </w:rPr>
              <w:t>Нарушения на имунната система</w:t>
            </w:r>
          </w:p>
        </w:tc>
      </w:tr>
      <w:tr w:rsidR="001C266B" w:rsidRPr="00663BD6" w14:paraId="52AC66DA" w14:textId="77777777" w:rsidTr="001C266B">
        <w:tc>
          <w:tcPr>
            <w:tcW w:w="4788" w:type="dxa"/>
          </w:tcPr>
          <w:p w14:paraId="38E95ED9" w14:textId="3A45326E" w:rsidR="001C266B" w:rsidRDefault="001C266B" w:rsidP="001C266B">
            <w:r>
              <w:t>С неизвестна честота:</w:t>
            </w:r>
          </w:p>
        </w:tc>
        <w:tc>
          <w:tcPr>
            <w:tcW w:w="4788" w:type="dxa"/>
            <w:vAlign w:val="bottom"/>
          </w:tcPr>
          <w:p w14:paraId="6BE887BE" w14:textId="0BAC8A12" w:rsidR="001C266B" w:rsidRPr="00663BD6" w:rsidRDefault="001C266B" w:rsidP="001C266B">
            <w:pPr>
              <w:rPr>
                <w:rFonts w:cs="Arial"/>
              </w:rPr>
            </w:pPr>
            <w:r w:rsidRPr="00663BD6">
              <w:rPr>
                <w:rFonts w:cs="Arial"/>
              </w:rPr>
              <w:t>Ангиоедема*, левкоцитокластичен васкулит*, Лекарствена реакция с еозинофилия и системни симптоми (</w:t>
            </w:r>
            <w:r w:rsidRPr="00663BD6">
              <w:rPr>
                <w:rFonts w:cs="Arial"/>
                <w:lang w:val="en-US"/>
              </w:rPr>
              <w:t>DRESS</w:t>
            </w:r>
            <w:r w:rsidRPr="00663BD6">
              <w:rPr>
                <w:rFonts w:cs="Arial"/>
                <w:lang w:val="ru-RU"/>
              </w:rPr>
              <w:t>)*</w:t>
            </w:r>
          </w:p>
        </w:tc>
      </w:tr>
      <w:tr w:rsidR="001C266B" w:rsidRPr="00663BD6" w14:paraId="5012BB23" w14:textId="77777777" w:rsidTr="001C266B">
        <w:tc>
          <w:tcPr>
            <w:tcW w:w="9576" w:type="dxa"/>
            <w:gridSpan w:val="2"/>
          </w:tcPr>
          <w:p w14:paraId="0A5DEB26" w14:textId="32F7B233" w:rsidR="001C266B" w:rsidRPr="00663BD6" w:rsidRDefault="001C266B" w:rsidP="001C266B">
            <w:pPr>
              <w:rPr>
                <w:rFonts w:cs="Arial"/>
              </w:rPr>
            </w:pPr>
            <w:r w:rsidRPr="00663BD6">
              <w:rPr>
                <w:rFonts w:cs="Arial"/>
                <w:b/>
                <w:bCs/>
              </w:rPr>
              <w:t>Нарушения на ендокринната система</w:t>
            </w:r>
          </w:p>
        </w:tc>
      </w:tr>
      <w:tr w:rsidR="001C266B" w:rsidRPr="00663BD6" w14:paraId="24DD1859" w14:textId="77777777" w:rsidTr="001C266B">
        <w:tc>
          <w:tcPr>
            <w:tcW w:w="4788" w:type="dxa"/>
          </w:tcPr>
          <w:p w14:paraId="79A21F9A" w14:textId="184B723C" w:rsidR="001C266B" w:rsidRDefault="001C266B" w:rsidP="001C266B">
            <w:r>
              <w:rPr>
                <w:sz w:val="20"/>
                <w:szCs w:val="20"/>
              </w:rPr>
              <w:t>С неизвестна честота:</w:t>
            </w:r>
          </w:p>
        </w:tc>
        <w:tc>
          <w:tcPr>
            <w:tcW w:w="4788" w:type="dxa"/>
          </w:tcPr>
          <w:p w14:paraId="5BA35ABE" w14:textId="216A337A" w:rsidR="001C266B" w:rsidRPr="00663BD6" w:rsidRDefault="001C266B" w:rsidP="001C266B">
            <w:pPr>
              <w:rPr>
                <w:rFonts w:cs="Arial"/>
              </w:rPr>
            </w:pPr>
            <w:r w:rsidRPr="00663BD6">
              <w:rPr>
                <w:rFonts w:cs="Arial"/>
              </w:rPr>
              <w:t>Псевдофеохромоцитом*</w:t>
            </w:r>
          </w:p>
        </w:tc>
      </w:tr>
      <w:tr w:rsidR="001C266B" w:rsidRPr="00663BD6" w14:paraId="71F370A2" w14:textId="77777777" w:rsidTr="001C266B">
        <w:tc>
          <w:tcPr>
            <w:tcW w:w="9576" w:type="dxa"/>
            <w:gridSpan w:val="2"/>
          </w:tcPr>
          <w:p w14:paraId="655B12F7" w14:textId="79BA6A2D" w:rsidR="001C266B" w:rsidRPr="00663BD6" w:rsidRDefault="001C266B" w:rsidP="001C266B">
            <w:pPr>
              <w:rPr>
                <w:rFonts w:cs="Arial"/>
                <w:b/>
              </w:rPr>
            </w:pPr>
            <w:r w:rsidRPr="00663BD6">
              <w:rPr>
                <w:rFonts w:cs="Arial"/>
                <w:b/>
                <w:lang w:eastAsia="bg-BG"/>
              </w:rPr>
              <w:t>Нарушения на метаболизма и храненето</w:t>
            </w:r>
          </w:p>
        </w:tc>
      </w:tr>
      <w:tr w:rsidR="001C266B" w:rsidRPr="00663BD6" w14:paraId="7D4319DB" w14:textId="77777777" w:rsidTr="001C266B">
        <w:tc>
          <w:tcPr>
            <w:tcW w:w="4788" w:type="dxa"/>
          </w:tcPr>
          <w:p w14:paraId="0C832478" w14:textId="77777777" w:rsidR="001C266B" w:rsidRDefault="001C266B" w:rsidP="001C266B">
            <w:r>
              <w:rPr>
                <w:sz w:val="20"/>
                <w:szCs w:val="20"/>
              </w:rPr>
              <w:t>Чести:</w:t>
            </w:r>
          </w:p>
          <w:p w14:paraId="1E1AD25B" w14:textId="5ABFC180" w:rsidR="001C266B" w:rsidRDefault="001C266B" w:rsidP="001C266B">
            <w:r>
              <w:rPr>
                <w:sz w:val="20"/>
                <w:szCs w:val="20"/>
              </w:rPr>
              <w:t>Редки:</w:t>
            </w:r>
          </w:p>
          <w:p w14:paraId="0A62507A" w14:textId="77777777" w:rsidR="001C266B" w:rsidRDefault="001C266B" w:rsidP="001C266B">
            <w:pPr>
              <w:rPr>
                <w:sz w:val="20"/>
                <w:szCs w:val="20"/>
              </w:rPr>
            </w:pPr>
          </w:p>
          <w:p w14:paraId="2334EE11" w14:textId="096F3574" w:rsidR="001C266B" w:rsidRDefault="001C266B" w:rsidP="001C266B">
            <w:r>
              <w:rPr>
                <w:sz w:val="20"/>
                <w:szCs w:val="20"/>
              </w:rPr>
              <w:t>Много редки:</w:t>
            </w:r>
          </w:p>
        </w:tc>
        <w:tc>
          <w:tcPr>
            <w:tcW w:w="4788" w:type="dxa"/>
            <w:vAlign w:val="bottom"/>
          </w:tcPr>
          <w:p w14:paraId="7F6661B3" w14:textId="77777777" w:rsidR="001C266B" w:rsidRPr="00663BD6" w:rsidRDefault="001C266B" w:rsidP="001C266B">
            <w:pPr>
              <w:rPr>
                <w:rFonts w:cs="Arial"/>
              </w:rPr>
            </w:pPr>
            <w:r w:rsidRPr="00663BD6">
              <w:rPr>
                <w:rFonts w:cs="Arial"/>
              </w:rPr>
              <w:t>Наддаване на тегло</w:t>
            </w:r>
          </w:p>
          <w:p w14:paraId="3D1D1595" w14:textId="77777777" w:rsidR="001C266B" w:rsidRPr="00663BD6" w:rsidRDefault="001C266B" w:rsidP="001C266B">
            <w:pPr>
              <w:rPr>
                <w:rFonts w:cs="Arial"/>
              </w:rPr>
            </w:pPr>
            <w:r w:rsidRPr="00663BD6">
              <w:rPr>
                <w:rFonts w:cs="Arial"/>
              </w:rPr>
              <w:t xml:space="preserve">Захарен диабет, нарушен глюкозен толеранс, затлъстяване* </w:t>
            </w:r>
          </w:p>
          <w:p w14:paraId="409DB55A" w14:textId="5C156DAB" w:rsidR="001C266B" w:rsidRPr="00663BD6" w:rsidRDefault="001C266B" w:rsidP="001C266B">
            <w:pPr>
              <w:rPr>
                <w:rFonts w:cs="Arial"/>
              </w:rPr>
            </w:pPr>
            <w:r w:rsidRPr="00663BD6">
              <w:rPr>
                <w:rFonts w:cs="Arial"/>
              </w:rPr>
              <w:t>Хиперосмоларна кома, кетоацидоза, тежка хипергликемия, хипертриглицеридемия, хиперхолестеролемия</w:t>
            </w:r>
          </w:p>
        </w:tc>
      </w:tr>
      <w:tr w:rsidR="001C266B" w:rsidRPr="00663BD6" w14:paraId="6B0B4F6E" w14:textId="77777777" w:rsidTr="001C266B">
        <w:tc>
          <w:tcPr>
            <w:tcW w:w="9576" w:type="dxa"/>
            <w:gridSpan w:val="2"/>
          </w:tcPr>
          <w:p w14:paraId="4E9FFF20" w14:textId="4BD2FD8C" w:rsidR="001C266B" w:rsidRPr="00663BD6" w:rsidRDefault="001C266B" w:rsidP="001C266B">
            <w:pPr>
              <w:rPr>
                <w:rFonts w:cs="Arial"/>
                <w:b/>
              </w:rPr>
            </w:pPr>
            <w:r w:rsidRPr="00663BD6">
              <w:rPr>
                <w:rFonts w:cs="Arial"/>
                <w:b/>
                <w:lang w:eastAsia="bg-BG"/>
              </w:rPr>
              <w:t>Психични нарушения</w:t>
            </w:r>
          </w:p>
        </w:tc>
      </w:tr>
      <w:tr w:rsidR="001C266B" w:rsidRPr="00663BD6" w14:paraId="3ED3A0A7" w14:textId="77777777" w:rsidTr="001C266B">
        <w:tc>
          <w:tcPr>
            <w:tcW w:w="4788" w:type="dxa"/>
            <w:vAlign w:val="bottom"/>
          </w:tcPr>
          <w:p w14:paraId="6535D932" w14:textId="77777777" w:rsidR="001C266B" w:rsidRDefault="001C266B" w:rsidP="001C266B">
            <w:r>
              <w:rPr>
                <w:sz w:val="20"/>
                <w:szCs w:val="20"/>
              </w:rPr>
              <w:t>Чести:</w:t>
            </w:r>
          </w:p>
          <w:p w14:paraId="5DDA4A86" w14:textId="77777777" w:rsidR="001C266B" w:rsidRDefault="001C266B" w:rsidP="001C266B">
            <w:r>
              <w:rPr>
                <w:sz w:val="20"/>
                <w:szCs w:val="20"/>
              </w:rPr>
              <w:t>Нечести:</w:t>
            </w:r>
          </w:p>
          <w:p w14:paraId="2BF322E0" w14:textId="1A69DE15" w:rsidR="001C266B" w:rsidRDefault="001C266B" w:rsidP="001C266B">
            <w:r>
              <w:rPr>
                <w:sz w:val="20"/>
                <w:szCs w:val="20"/>
              </w:rPr>
              <w:t>Редки:</w:t>
            </w:r>
          </w:p>
        </w:tc>
        <w:tc>
          <w:tcPr>
            <w:tcW w:w="4788" w:type="dxa"/>
            <w:vAlign w:val="bottom"/>
          </w:tcPr>
          <w:p w14:paraId="6A799894" w14:textId="77777777" w:rsidR="001C266B" w:rsidRPr="00663BD6" w:rsidRDefault="001C266B" w:rsidP="001C266B">
            <w:pPr>
              <w:rPr>
                <w:rFonts w:cs="Arial"/>
              </w:rPr>
            </w:pPr>
            <w:r w:rsidRPr="00663BD6">
              <w:rPr>
                <w:rFonts w:cs="Arial"/>
              </w:rPr>
              <w:t>Дизартрия</w:t>
            </w:r>
          </w:p>
          <w:p w14:paraId="55DF5482" w14:textId="77777777" w:rsidR="001C266B" w:rsidRPr="00663BD6" w:rsidRDefault="001C266B" w:rsidP="001C266B">
            <w:pPr>
              <w:rPr>
                <w:rFonts w:cs="Arial"/>
              </w:rPr>
            </w:pPr>
            <w:r w:rsidRPr="00663BD6">
              <w:rPr>
                <w:rFonts w:cs="Arial"/>
              </w:rPr>
              <w:t>Дисфемия</w:t>
            </w:r>
          </w:p>
          <w:p w14:paraId="298DC537" w14:textId="73B9EAE5" w:rsidR="001C266B" w:rsidRPr="00663BD6" w:rsidRDefault="001C266B" w:rsidP="001C266B">
            <w:pPr>
              <w:rPr>
                <w:rFonts w:cs="Arial"/>
              </w:rPr>
            </w:pPr>
            <w:r w:rsidRPr="00663BD6">
              <w:rPr>
                <w:rFonts w:cs="Arial"/>
              </w:rPr>
              <w:t>Състояние на възбуда, неспокойство</w:t>
            </w:r>
          </w:p>
        </w:tc>
      </w:tr>
      <w:tr w:rsidR="001C266B" w:rsidRPr="00663BD6" w14:paraId="01CB719B" w14:textId="77777777" w:rsidTr="001C266B">
        <w:tc>
          <w:tcPr>
            <w:tcW w:w="9576" w:type="dxa"/>
            <w:gridSpan w:val="2"/>
          </w:tcPr>
          <w:p w14:paraId="085A0DAE" w14:textId="40EB7B77" w:rsidR="001C266B" w:rsidRPr="00663BD6" w:rsidRDefault="001C266B" w:rsidP="001C266B">
            <w:pPr>
              <w:rPr>
                <w:rFonts w:cs="Arial"/>
              </w:rPr>
            </w:pPr>
            <w:r w:rsidRPr="00663BD6">
              <w:rPr>
                <w:rFonts w:cs="Arial"/>
                <w:b/>
                <w:bCs/>
              </w:rPr>
              <w:t>Нарушения на нервната система</w:t>
            </w:r>
          </w:p>
        </w:tc>
      </w:tr>
      <w:tr w:rsidR="001C266B" w:rsidRPr="00663BD6" w14:paraId="6CED6AEB" w14:textId="77777777" w:rsidTr="001C266B">
        <w:tc>
          <w:tcPr>
            <w:tcW w:w="4788" w:type="dxa"/>
          </w:tcPr>
          <w:p w14:paraId="145AC435" w14:textId="77777777" w:rsidR="001C266B" w:rsidRDefault="001C266B" w:rsidP="001C266B">
            <w:r>
              <w:rPr>
                <w:sz w:val="20"/>
                <w:szCs w:val="20"/>
              </w:rPr>
              <w:t>Много чести:</w:t>
            </w:r>
          </w:p>
          <w:p w14:paraId="43534E0E" w14:textId="77777777" w:rsidR="001C266B" w:rsidRDefault="001C266B" w:rsidP="001C266B">
            <w:pPr>
              <w:rPr>
                <w:sz w:val="20"/>
                <w:szCs w:val="20"/>
              </w:rPr>
            </w:pPr>
          </w:p>
          <w:p w14:paraId="7925CFE3" w14:textId="744983D4" w:rsidR="001C266B" w:rsidRDefault="001C266B" w:rsidP="001C266B">
            <w:r>
              <w:rPr>
                <w:sz w:val="20"/>
                <w:szCs w:val="20"/>
              </w:rPr>
              <w:t>Чести:</w:t>
            </w:r>
          </w:p>
          <w:p w14:paraId="1D153B84" w14:textId="77777777" w:rsidR="001C266B" w:rsidRDefault="001C266B" w:rsidP="001C266B">
            <w:pPr>
              <w:rPr>
                <w:sz w:val="20"/>
                <w:szCs w:val="20"/>
              </w:rPr>
            </w:pPr>
          </w:p>
          <w:p w14:paraId="0FBE1E49" w14:textId="77777777" w:rsidR="00663BD6" w:rsidRDefault="00663BD6" w:rsidP="001C266B">
            <w:pPr>
              <w:rPr>
                <w:sz w:val="20"/>
                <w:szCs w:val="20"/>
              </w:rPr>
            </w:pPr>
          </w:p>
          <w:p w14:paraId="0DD45F6B" w14:textId="77777777" w:rsidR="00663BD6" w:rsidRDefault="00663BD6" w:rsidP="001C266B">
            <w:pPr>
              <w:rPr>
                <w:sz w:val="20"/>
                <w:szCs w:val="20"/>
              </w:rPr>
            </w:pPr>
          </w:p>
          <w:p w14:paraId="3AA51EDE" w14:textId="0B9C7F82" w:rsidR="001C266B" w:rsidRDefault="001C266B" w:rsidP="001C266B">
            <w:r>
              <w:rPr>
                <w:sz w:val="20"/>
                <w:szCs w:val="20"/>
              </w:rPr>
              <w:t>Нечести:</w:t>
            </w:r>
          </w:p>
          <w:p w14:paraId="284921CB" w14:textId="77777777" w:rsidR="001C266B" w:rsidRDefault="001C266B" w:rsidP="001C266B">
            <w:pPr>
              <w:rPr>
                <w:sz w:val="20"/>
                <w:szCs w:val="20"/>
              </w:rPr>
            </w:pPr>
          </w:p>
          <w:p w14:paraId="6B9DF799" w14:textId="3B759104" w:rsidR="001C266B" w:rsidRDefault="001C266B" w:rsidP="001C266B">
            <w:r>
              <w:rPr>
                <w:sz w:val="20"/>
                <w:szCs w:val="20"/>
              </w:rPr>
              <w:t>Редки:</w:t>
            </w:r>
          </w:p>
          <w:p w14:paraId="208B8C93" w14:textId="77777777" w:rsidR="001C266B" w:rsidRDefault="001C266B" w:rsidP="001C266B">
            <w:pPr>
              <w:rPr>
                <w:sz w:val="20"/>
                <w:szCs w:val="20"/>
              </w:rPr>
            </w:pPr>
          </w:p>
          <w:p w14:paraId="26309754" w14:textId="18A22C56" w:rsidR="001C266B" w:rsidRDefault="001C266B" w:rsidP="001C266B">
            <w:r>
              <w:rPr>
                <w:sz w:val="20"/>
                <w:szCs w:val="20"/>
              </w:rPr>
              <w:t>Много редки:</w:t>
            </w:r>
          </w:p>
          <w:p w14:paraId="2B76AC4F" w14:textId="77777777" w:rsidR="001C266B" w:rsidRDefault="001C266B" w:rsidP="001C266B">
            <w:pPr>
              <w:rPr>
                <w:sz w:val="20"/>
                <w:szCs w:val="20"/>
              </w:rPr>
            </w:pPr>
          </w:p>
          <w:p w14:paraId="3F7C4932" w14:textId="77777777" w:rsidR="00663BD6" w:rsidRDefault="00663BD6" w:rsidP="001C266B">
            <w:pPr>
              <w:rPr>
                <w:sz w:val="20"/>
                <w:szCs w:val="20"/>
              </w:rPr>
            </w:pPr>
          </w:p>
          <w:p w14:paraId="74D1ECEB" w14:textId="145D9C87" w:rsidR="001C266B" w:rsidRDefault="001C266B" w:rsidP="001C266B">
            <w:r>
              <w:rPr>
                <w:sz w:val="20"/>
                <w:szCs w:val="20"/>
              </w:rPr>
              <w:t>С неизвестна честота:</w:t>
            </w:r>
          </w:p>
        </w:tc>
        <w:tc>
          <w:tcPr>
            <w:tcW w:w="4788" w:type="dxa"/>
            <w:vAlign w:val="bottom"/>
          </w:tcPr>
          <w:p w14:paraId="3B8BD6E8" w14:textId="77777777" w:rsidR="001C266B" w:rsidRPr="00663BD6" w:rsidRDefault="001C266B" w:rsidP="001C266B">
            <w:pPr>
              <w:rPr>
                <w:rFonts w:cs="Arial"/>
              </w:rPr>
            </w:pPr>
            <w:r w:rsidRPr="00663BD6">
              <w:rPr>
                <w:rFonts w:cs="Arial"/>
              </w:rPr>
              <w:t>Сънливост/седиране, замаяност</w:t>
            </w:r>
          </w:p>
          <w:p w14:paraId="3C0FD2BE" w14:textId="77777777" w:rsidR="001C266B" w:rsidRPr="00663BD6" w:rsidRDefault="001C266B" w:rsidP="001C266B">
            <w:pPr>
              <w:rPr>
                <w:rFonts w:cs="Arial"/>
              </w:rPr>
            </w:pPr>
          </w:p>
          <w:p w14:paraId="7EC0640F" w14:textId="45A0920D" w:rsidR="001C266B" w:rsidRPr="00663BD6" w:rsidRDefault="001C266B" w:rsidP="001C266B">
            <w:pPr>
              <w:rPr>
                <w:rFonts w:cs="Arial"/>
              </w:rPr>
            </w:pPr>
            <w:r w:rsidRPr="00663BD6">
              <w:rPr>
                <w:rFonts w:cs="Arial"/>
              </w:rPr>
              <w:t>Припадъци/гърчове/миоклонуси, екстрапирамидни симптоми, акатизия, тремор, ригидност, главоболие</w:t>
            </w:r>
          </w:p>
          <w:p w14:paraId="508B8271" w14:textId="77777777" w:rsidR="001C266B" w:rsidRPr="00663BD6" w:rsidRDefault="001C266B" w:rsidP="001C266B">
            <w:pPr>
              <w:rPr>
                <w:rFonts w:cs="Arial"/>
              </w:rPr>
            </w:pPr>
          </w:p>
          <w:p w14:paraId="35CB953A" w14:textId="5298F212" w:rsidR="001C266B" w:rsidRPr="00663BD6" w:rsidRDefault="001C266B" w:rsidP="001C266B">
            <w:pPr>
              <w:rPr>
                <w:rFonts w:cs="Arial"/>
              </w:rPr>
            </w:pPr>
            <w:r w:rsidRPr="00663BD6">
              <w:rPr>
                <w:rFonts w:cs="Arial"/>
              </w:rPr>
              <w:t>Малигнен невролептичен синдром</w:t>
            </w:r>
          </w:p>
          <w:p w14:paraId="1B61B46F" w14:textId="77777777" w:rsidR="001C266B" w:rsidRPr="00663BD6" w:rsidRDefault="001C266B" w:rsidP="001C266B">
            <w:pPr>
              <w:rPr>
                <w:rFonts w:cs="Arial"/>
              </w:rPr>
            </w:pPr>
          </w:p>
          <w:p w14:paraId="5E289C9F" w14:textId="13180417" w:rsidR="001C266B" w:rsidRPr="00663BD6" w:rsidRDefault="001C266B" w:rsidP="001C266B">
            <w:pPr>
              <w:rPr>
                <w:rFonts w:cs="Arial"/>
              </w:rPr>
            </w:pPr>
            <w:r w:rsidRPr="00663BD6">
              <w:rPr>
                <w:rFonts w:cs="Arial"/>
              </w:rPr>
              <w:t>Обърканост, делир</w:t>
            </w:r>
          </w:p>
          <w:p w14:paraId="15B645D6" w14:textId="77777777" w:rsidR="001C266B" w:rsidRPr="00663BD6" w:rsidRDefault="001C266B" w:rsidP="001C266B">
            <w:pPr>
              <w:rPr>
                <w:rFonts w:cs="Arial"/>
              </w:rPr>
            </w:pPr>
          </w:p>
          <w:p w14:paraId="570D75B3" w14:textId="32342683" w:rsidR="001C266B" w:rsidRPr="00663BD6" w:rsidRDefault="001C266B" w:rsidP="001C266B">
            <w:pPr>
              <w:rPr>
                <w:rFonts w:cs="Arial"/>
              </w:rPr>
            </w:pPr>
            <w:r w:rsidRPr="00663BD6">
              <w:rPr>
                <w:rFonts w:cs="Arial"/>
              </w:rPr>
              <w:t>Тардивна дискинезия, обсесивно-компулсивни симптоми</w:t>
            </w:r>
          </w:p>
          <w:p w14:paraId="38088F7D" w14:textId="77777777" w:rsidR="001C266B" w:rsidRPr="00663BD6" w:rsidRDefault="001C266B" w:rsidP="001C266B">
            <w:pPr>
              <w:rPr>
                <w:rFonts w:cs="Arial"/>
              </w:rPr>
            </w:pPr>
          </w:p>
          <w:p w14:paraId="347AFA9F" w14:textId="0CA1D8D8" w:rsidR="001C266B" w:rsidRPr="00663BD6" w:rsidRDefault="001C266B" w:rsidP="001C266B">
            <w:pPr>
              <w:rPr>
                <w:rFonts w:cs="Arial"/>
              </w:rPr>
            </w:pPr>
            <w:r w:rsidRPr="00663BD6">
              <w:rPr>
                <w:rFonts w:cs="Arial"/>
              </w:rPr>
              <w:t>Холинергичен синдром (след внезапно прекъсване на терапията)*, ЕЕГ промени*, плеврототонус*, синдром на неспокойните крака*</w:t>
            </w:r>
          </w:p>
        </w:tc>
      </w:tr>
      <w:tr w:rsidR="00663BD6" w:rsidRPr="00663BD6" w14:paraId="582E5176" w14:textId="77777777" w:rsidTr="00642EEA">
        <w:tc>
          <w:tcPr>
            <w:tcW w:w="9576" w:type="dxa"/>
            <w:gridSpan w:val="2"/>
          </w:tcPr>
          <w:p w14:paraId="057E451E" w14:textId="77E533AE" w:rsidR="00663BD6" w:rsidRPr="00663BD6" w:rsidRDefault="00663BD6" w:rsidP="00663BD6">
            <w:pPr>
              <w:rPr>
                <w:rFonts w:cs="Arial"/>
                <w:b/>
              </w:rPr>
            </w:pPr>
            <w:r w:rsidRPr="00663BD6">
              <w:rPr>
                <w:rFonts w:cs="Arial"/>
                <w:b/>
              </w:rPr>
              <w:t>Нарушения на очите</w:t>
            </w:r>
          </w:p>
        </w:tc>
      </w:tr>
      <w:tr w:rsidR="00663BD6" w:rsidRPr="00663BD6" w14:paraId="27E27299" w14:textId="77777777" w:rsidTr="001C266B">
        <w:tc>
          <w:tcPr>
            <w:tcW w:w="4788" w:type="dxa"/>
          </w:tcPr>
          <w:p w14:paraId="03F7F33D" w14:textId="385D7AE9" w:rsidR="00663BD6" w:rsidRDefault="00663BD6" w:rsidP="00663BD6">
            <w:r>
              <w:t>Чести:</w:t>
            </w:r>
          </w:p>
        </w:tc>
        <w:tc>
          <w:tcPr>
            <w:tcW w:w="4788" w:type="dxa"/>
          </w:tcPr>
          <w:p w14:paraId="5A3B16B1" w14:textId="7541052C" w:rsidR="00663BD6" w:rsidRPr="00663BD6" w:rsidRDefault="00663BD6" w:rsidP="00663BD6">
            <w:pPr>
              <w:rPr>
                <w:rFonts w:cs="Arial"/>
              </w:rPr>
            </w:pPr>
            <w:r w:rsidRPr="00663BD6">
              <w:rPr>
                <w:rFonts w:cs="Arial"/>
              </w:rPr>
              <w:t>Замъглено виждане</w:t>
            </w:r>
          </w:p>
        </w:tc>
      </w:tr>
      <w:tr w:rsidR="00663BD6" w:rsidRPr="00663BD6" w14:paraId="4332B9A9" w14:textId="77777777" w:rsidTr="00347835">
        <w:tc>
          <w:tcPr>
            <w:tcW w:w="9576" w:type="dxa"/>
            <w:gridSpan w:val="2"/>
          </w:tcPr>
          <w:p w14:paraId="5003F74A" w14:textId="61B69FB1" w:rsidR="00663BD6" w:rsidRPr="00663BD6" w:rsidRDefault="00663BD6" w:rsidP="00663BD6">
            <w:pPr>
              <w:rPr>
                <w:rFonts w:cs="Arial"/>
                <w:b/>
              </w:rPr>
            </w:pPr>
            <w:r w:rsidRPr="00663BD6">
              <w:rPr>
                <w:rFonts w:cs="Arial"/>
                <w:b/>
              </w:rPr>
              <w:lastRenderedPageBreak/>
              <w:t>Сърдечни нарушения</w:t>
            </w:r>
          </w:p>
        </w:tc>
      </w:tr>
      <w:tr w:rsidR="00663BD6" w:rsidRPr="00663BD6" w14:paraId="574063ED" w14:textId="77777777" w:rsidTr="005970DF">
        <w:tc>
          <w:tcPr>
            <w:tcW w:w="4788" w:type="dxa"/>
          </w:tcPr>
          <w:p w14:paraId="6871D71F" w14:textId="77777777" w:rsidR="00663BD6" w:rsidRDefault="00663BD6" w:rsidP="00663BD6">
            <w:r>
              <w:rPr>
                <w:sz w:val="20"/>
                <w:szCs w:val="20"/>
              </w:rPr>
              <w:t>Много чести:</w:t>
            </w:r>
          </w:p>
          <w:p w14:paraId="6C4E9B78" w14:textId="77777777" w:rsidR="00663BD6" w:rsidRDefault="00663BD6" w:rsidP="00663BD6">
            <w:pPr>
              <w:rPr>
                <w:sz w:val="20"/>
                <w:szCs w:val="20"/>
              </w:rPr>
            </w:pPr>
          </w:p>
          <w:p w14:paraId="7256A064" w14:textId="7FBC0D13" w:rsidR="00663BD6" w:rsidRDefault="00663BD6" w:rsidP="00663BD6">
            <w:r>
              <w:rPr>
                <w:sz w:val="20"/>
                <w:szCs w:val="20"/>
              </w:rPr>
              <w:t>Чести:</w:t>
            </w:r>
          </w:p>
          <w:p w14:paraId="5596CAE6" w14:textId="77777777" w:rsidR="00663BD6" w:rsidRDefault="00663BD6" w:rsidP="00663BD6">
            <w:pPr>
              <w:rPr>
                <w:sz w:val="20"/>
                <w:szCs w:val="20"/>
              </w:rPr>
            </w:pPr>
          </w:p>
          <w:p w14:paraId="00541E42" w14:textId="3E502C89" w:rsidR="00663BD6" w:rsidRDefault="00663BD6" w:rsidP="00663BD6">
            <w:r>
              <w:rPr>
                <w:sz w:val="20"/>
                <w:szCs w:val="20"/>
              </w:rPr>
              <w:t>Редки:</w:t>
            </w:r>
          </w:p>
          <w:p w14:paraId="5B3305B0" w14:textId="77777777" w:rsidR="00663BD6" w:rsidRDefault="00663BD6" w:rsidP="00663BD6">
            <w:pPr>
              <w:rPr>
                <w:sz w:val="20"/>
                <w:szCs w:val="20"/>
              </w:rPr>
            </w:pPr>
          </w:p>
          <w:p w14:paraId="4EF8DF6D" w14:textId="77777777" w:rsidR="00663BD6" w:rsidRDefault="00663BD6" w:rsidP="00663BD6">
            <w:pPr>
              <w:rPr>
                <w:sz w:val="20"/>
                <w:szCs w:val="20"/>
              </w:rPr>
            </w:pPr>
          </w:p>
          <w:p w14:paraId="36197C41" w14:textId="4F6E211B" w:rsidR="00663BD6" w:rsidRDefault="00663BD6" w:rsidP="00663BD6">
            <w:r>
              <w:rPr>
                <w:sz w:val="20"/>
                <w:szCs w:val="20"/>
              </w:rPr>
              <w:t>Много редки:</w:t>
            </w:r>
          </w:p>
          <w:p w14:paraId="689945E9" w14:textId="77777777" w:rsidR="00663BD6" w:rsidRDefault="00663BD6" w:rsidP="00663BD6">
            <w:pPr>
              <w:rPr>
                <w:sz w:val="20"/>
                <w:szCs w:val="20"/>
              </w:rPr>
            </w:pPr>
          </w:p>
          <w:p w14:paraId="0C0951D4" w14:textId="49DE73B5" w:rsidR="00663BD6" w:rsidRDefault="00663BD6" w:rsidP="00663BD6">
            <w:r>
              <w:rPr>
                <w:sz w:val="20"/>
                <w:szCs w:val="20"/>
              </w:rPr>
              <w:t>С неизвестна честота:</w:t>
            </w:r>
          </w:p>
        </w:tc>
        <w:tc>
          <w:tcPr>
            <w:tcW w:w="4788" w:type="dxa"/>
            <w:vAlign w:val="bottom"/>
          </w:tcPr>
          <w:p w14:paraId="1A9C2117" w14:textId="77777777" w:rsidR="00663BD6" w:rsidRPr="00663BD6" w:rsidRDefault="00663BD6" w:rsidP="00663BD6">
            <w:pPr>
              <w:rPr>
                <w:rFonts w:cs="Arial"/>
              </w:rPr>
            </w:pPr>
            <w:r w:rsidRPr="00663BD6">
              <w:rPr>
                <w:rFonts w:cs="Arial"/>
              </w:rPr>
              <w:t>Тахикардия</w:t>
            </w:r>
          </w:p>
          <w:p w14:paraId="42E9E77B" w14:textId="77777777" w:rsidR="00663BD6" w:rsidRPr="00663BD6" w:rsidRDefault="00663BD6" w:rsidP="00663BD6">
            <w:pPr>
              <w:rPr>
                <w:rFonts w:cs="Arial"/>
              </w:rPr>
            </w:pPr>
          </w:p>
          <w:p w14:paraId="72AE32CA" w14:textId="1EAF3751" w:rsidR="00663BD6" w:rsidRPr="00663BD6" w:rsidRDefault="00663BD6" w:rsidP="00663BD6">
            <w:pPr>
              <w:rPr>
                <w:rFonts w:cs="Arial"/>
              </w:rPr>
            </w:pPr>
            <w:r w:rsidRPr="00663BD6">
              <w:rPr>
                <w:rFonts w:cs="Arial"/>
              </w:rPr>
              <w:t>ЕКГ промени</w:t>
            </w:r>
          </w:p>
          <w:p w14:paraId="2CF206C2" w14:textId="77777777" w:rsidR="00663BD6" w:rsidRPr="00663BD6" w:rsidRDefault="00663BD6" w:rsidP="00663BD6">
            <w:pPr>
              <w:rPr>
                <w:rFonts w:cs="Arial"/>
              </w:rPr>
            </w:pPr>
          </w:p>
          <w:p w14:paraId="1FDF5B82" w14:textId="22623759" w:rsidR="00663BD6" w:rsidRPr="00663BD6" w:rsidRDefault="00663BD6" w:rsidP="00663BD6">
            <w:pPr>
              <w:rPr>
                <w:rFonts w:cs="Arial"/>
              </w:rPr>
            </w:pPr>
            <w:r w:rsidRPr="00663BD6">
              <w:rPr>
                <w:rFonts w:cs="Arial"/>
              </w:rPr>
              <w:t>Циркулаторен колапс, аритмии, миокардит, перикардит/перикарден излив</w:t>
            </w:r>
          </w:p>
          <w:p w14:paraId="2704347A" w14:textId="77777777" w:rsidR="00663BD6" w:rsidRPr="00663BD6" w:rsidRDefault="00663BD6" w:rsidP="00663BD6">
            <w:pPr>
              <w:rPr>
                <w:rFonts w:cs="Arial"/>
              </w:rPr>
            </w:pPr>
          </w:p>
          <w:p w14:paraId="56C641E6" w14:textId="63073835" w:rsidR="00663BD6" w:rsidRPr="00663BD6" w:rsidRDefault="00663BD6" w:rsidP="00663BD6">
            <w:pPr>
              <w:rPr>
                <w:rFonts w:cs="Arial"/>
              </w:rPr>
            </w:pPr>
            <w:r w:rsidRPr="00663BD6">
              <w:rPr>
                <w:rFonts w:cs="Arial"/>
              </w:rPr>
              <w:t>Кардиомиопатия, сърдечен арест</w:t>
            </w:r>
          </w:p>
          <w:p w14:paraId="1CB4C95B" w14:textId="77777777" w:rsidR="00663BD6" w:rsidRPr="00663BD6" w:rsidRDefault="00663BD6" w:rsidP="00663BD6">
            <w:pPr>
              <w:rPr>
                <w:rFonts w:cs="Arial"/>
              </w:rPr>
            </w:pPr>
          </w:p>
          <w:p w14:paraId="5C94E5CA" w14:textId="675E0363" w:rsidR="00663BD6" w:rsidRPr="00663BD6" w:rsidRDefault="00663BD6" w:rsidP="00663BD6">
            <w:pPr>
              <w:rPr>
                <w:rFonts w:cs="Arial"/>
              </w:rPr>
            </w:pPr>
            <w:r w:rsidRPr="00663BD6">
              <w:rPr>
                <w:rFonts w:cs="Arial"/>
              </w:rPr>
              <w:t>Миокарден инфаркт***, миокардит***, гръдна болка/ангина пекторис*, предсърдно мъждене*, палпитации*, недостатъчност на митрална клапа асоциирана с кардиомиопатия, която е свързана с клозарин*</w:t>
            </w:r>
          </w:p>
        </w:tc>
      </w:tr>
      <w:tr w:rsidR="00663BD6" w:rsidRPr="00663BD6" w14:paraId="777CBA0A" w14:textId="77777777" w:rsidTr="009F4020">
        <w:tc>
          <w:tcPr>
            <w:tcW w:w="9576" w:type="dxa"/>
            <w:gridSpan w:val="2"/>
          </w:tcPr>
          <w:p w14:paraId="146B67E0" w14:textId="51B1BB99" w:rsidR="00663BD6" w:rsidRPr="00663BD6" w:rsidRDefault="00663BD6" w:rsidP="00663BD6">
            <w:pPr>
              <w:rPr>
                <w:rFonts w:cs="Arial"/>
                <w:b/>
              </w:rPr>
            </w:pPr>
            <w:r w:rsidRPr="00663BD6">
              <w:rPr>
                <w:rFonts w:cs="Arial"/>
                <w:b/>
              </w:rPr>
              <w:t>Съдови нарушения</w:t>
            </w:r>
          </w:p>
        </w:tc>
      </w:tr>
      <w:tr w:rsidR="00663BD6" w:rsidRPr="00663BD6" w14:paraId="7E3D562C" w14:textId="77777777" w:rsidTr="0062667D">
        <w:tc>
          <w:tcPr>
            <w:tcW w:w="4788" w:type="dxa"/>
            <w:vAlign w:val="bottom"/>
          </w:tcPr>
          <w:p w14:paraId="047E1BA4" w14:textId="77777777" w:rsidR="00663BD6" w:rsidRDefault="00663BD6" w:rsidP="00663BD6">
            <w:r>
              <w:rPr>
                <w:sz w:val="20"/>
                <w:szCs w:val="20"/>
              </w:rPr>
              <w:t>Чести:</w:t>
            </w:r>
          </w:p>
          <w:p w14:paraId="74F723D6" w14:textId="77777777" w:rsidR="00663BD6" w:rsidRDefault="00663BD6" w:rsidP="00663BD6">
            <w:r>
              <w:rPr>
                <w:sz w:val="20"/>
                <w:szCs w:val="20"/>
              </w:rPr>
              <w:t>Редки:</w:t>
            </w:r>
          </w:p>
          <w:p w14:paraId="06F9FE48" w14:textId="4826D0F6" w:rsidR="00663BD6" w:rsidRDefault="00663BD6" w:rsidP="00663BD6">
            <w:r>
              <w:rPr>
                <w:sz w:val="20"/>
                <w:szCs w:val="20"/>
              </w:rPr>
              <w:t>С неизвестна честота:</w:t>
            </w:r>
          </w:p>
        </w:tc>
        <w:tc>
          <w:tcPr>
            <w:tcW w:w="4788" w:type="dxa"/>
            <w:vAlign w:val="bottom"/>
          </w:tcPr>
          <w:p w14:paraId="142B4FE7" w14:textId="77777777" w:rsidR="00663BD6" w:rsidRPr="00663BD6" w:rsidRDefault="00663BD6" w:rsidP="00663BD6">
            <w:pPr>
              <w:rPr>
                <w:rFonts w:cs="Arial"/>
              </w:rPr>
            </w:pPr>
            <w:r w:rsidRPr="00663BD6">
              <w:rPr>
                <w:rFonts w:cs="Arial"/>
              </w:rPr>
              <w:t>Синкоп, постурална хипотония, хипертония</w:t>
            </w:r>
          </w:p>
          <w:p w14:paraId="5CA4FEEC" w14:textId="77777777" w:rsidR="00663BD6" w:rsidRPr="00663BD6" w:rsidRDefault="00663BD6" w:rsidP="00663BD6">
            <w:pPr>
              <w:rPr>
                <w:rFonts w:cs="Arial"/>
              </w:rPr>
            </w:pPr>
            <w:r w:rsidRPr="00663BD6">
              <w:rPr>
                <w:rFonts w:cs="Arial"/>
              </w:rPr>
              <w:t>Тромбоемболизъм</w:t>
            </w:r>
          </w:p>
          <w:p w14:paraId="3F9CD251" w14:textId="40D491CE" w:rsidR="00663BD6" w:rsidRPr="00663BD6" w:rsidRDefault="00663BD6" w:rsidP="00663BD6">
            <w:pPr>
              <w:rPr>
                <w:rFonts w:cs="Arial"/>
              </w:rPr>
            </w:pPr>
            <w:r w:rsidRPr="00663BD6">
              <w:rPr>
                <w:rFonts w:cs="Arial"/>
              </w:rPr>
              <w:t>Хипотония*, венозен тромбемболизъм</w:t>
            </w:r>
          </w:p>
        </w:tc>
      </w:tr>
      <w:tr w:rsidR="00663BD6" w:rsidRPr="00663BD6" w14:paraId="2A6DF827" w14:textId="77777777" w:rsidTr="003E6DDA">
        <w:tc>
          <w:tcPr>
            <w:tcW w:w="9576" w:type="dxa"/>
            <w:gridSpan w:val="2"/>
          </w:tcPr>
          <w:p w14:paraId="6A070594" w14:textId="1554D65E" w:rsidR="00663BD6" w:rsidRPr="00663BD6" w:rsidRDefault="00663BD6" w:rsidP="001C266B">
            <w:pPr>
              <w:rPr>
                <w:rFonts w:cs="Arial"/>
              </w:rPr>
            </w:pPr>
            <w:r w:rsidRPr="00663BD6">
              <w:rPr>
                <w:rFonts w:cs="Arial"/>
                <w:b/>
                <w:bCs/>
              </w:rPr>
              <w:t>Респираторни, гръдни и медиастинални нарушения</w:t>
            </w:r>
          </w:p>
        </w:tc>
      </w:tr>
      <w:tr w:rsidR="00663BD6" w:rsidRPr="00663BD6" w14:paraId="33CC73FE" w14:textId="77777777" w:rsidTr="001C266B">
        <w:tc>
          <w:tcPr>
            <w:tcW w:w="4788" w:type="dxa"/>
          </w:tcPr>
          <w:p w14:paraId="7AAC7687" w14:textId="77777777" w:rsidR="00663BD6" w:rsidRDefault="00663BD6" w:rsidP="00663BD6">
            <w:r>
              <w:rPr>
                <w:sz w:val="20"/>
                <w:szCs w:val="20"/>
              </w:rPr>
              <w:t>Редки:</w:t>
            </w:r>
          </w:p>
          <w:p w14:paraId="7DE7702B" w14:textId="77777777" w:rsidR="00663BD6" w:rsidRDefault="00663BD6" w:rsidP="00663BD6">
            <w:pPr>
              <w:rPr>
                <w:sz w:val="20"/>
                <w:szCs w:val="20"/>
              </w:rPr>
            </w:pPr>
          </w:p>
          <w:p w14:paraId="25D515BC" w14:textId="77777777" w:rsidR="00663BD6" w:rsidRDefault="00663BD6" w:rsidP="00663BD6">
            <w:pPr>
              <w:rPr>
                <w:sz w:val="20"/>
                <w:szCs w:val="20"/>
              </w:rPr>
            </w:pPr>
          </w:p>
          <w:p w14:paraId="3BCC0801" w14:textId="77777777" w:rsidR="00663BD6" w:rsidRDefault="00663BD6" w:rsidP="00663BD6">
            <w:pPr>
              <w:rPr>
                <w:sz w:val="20"/>
                <w:szCs w:val="20"/>
              </w:rPr>
            </w:pPr>
          </w:p>
          <w:p w14:paraId="6BB2E8B6" w14:textId="77777777" w:rsidR="00663BD6" w:rsidRDefault="00663BD6" w:rsidP="00663BD6">
            <w:pPr>
              <w:rPr>
                <w:sz w:val="20"/>
                <w:szCs w:val="20"/>
              </w:rPr>
            </w:pPr>
          </w:p>
          <w:p w14:paraId="454C199F" w14:textId="3F9FACBF" w:rsidR="00663BD6" w:rsidRPr="00663BD6" w:rsidRDefault="00663BD6" w:rsidP="00663BD6">
            <w:pPr>
              <w:rPr>
                <w:sz w:val="20"/>
                <w:szCs w:val="20"/>
              </w:rPr>
            </w:pPr>
            <w:r>
              <w:rPr>
                <w:sz w:val="20"/>
                <w:szCs w:val="20"/>
              </w:rPr>
              <w:t>Много редки:</w:t>
            </w:r>
          </w:p>
          <w:p w14:paraId="19F109DA" w14:textId="77777777" w:rsidR="00663BD6" w:rsidRDefault="00663BD6" w:rsidP="00663BD6">
            <w:pPr>
              <w:rPr>
                <w:sz w:val="20"/>
                <w:szCs w:val="20"/>
              </w:rPr>
            </w:pPr>
          </w:p>
          <w:p w14:paraId="57D5AD88" w14:textId="32C71157" w:rsidR="00663BD6" w:rsidRDefault="00663BD6" w:rsidP="00663BD6">
            <w:r>
              <w:rPr>
                <w:sz w:val="20"/>
                <w:szCs w:val="20"/>
              </w:rPr>
              <w:t>С неизвестна честота:</w:t>
            </w:r>
          </w:p>
        </w:tc>
        <w:tc>
          <w:tcPr>
            <w:tcW w:w="4788" w:type="dxa"/>
          </w:tcPr>
          <w:p w14:paraId="2598F3CB" w14:textId="77777777" w:rsidR="00663BD6" w:rsidRPr="00663BD6" w:rsidRDefault="00663BD6" w:rsidP="00663BD6">
            <w:pPr>
              <w:rPr>
                <w:rFonts w:cs="Arial"/>
              </w:rPr>
            </w:pPr>
            <w:r w:rsidRPr="00663BD6">
              <w:rPr>
                <w:rFonts w:cs="Arial"/>
              </w:rPr>
              <w:t>Аспирация на приетата храна, пневмония и инфекция на долните дихателни пътища, които могат да бъдат фатални, синдром на сънна апнея*</w:t>
            </w:r>
          </w:p>
          <w:p w14:paraId="5EFD89E3" w14:textId="77777777" w:rsidR="00663BD6" w:rsidRPr="00663BD6" w:rsidRDefault="00663BD6" w:rsidP="00663BD6">
            <w:pPr>
              <w:rPr>
                <w:rFonts w:cs="Arial"/>
              </w:rPr>
            </w:pPr>
          </w:p>
          <w:p w14:paraId="77CD82D7" w14:textId="335F02DC" w:rsidR="00663BD6" w:rsidRPr="00663BD6" w:rsidRDefault="00663BD6" w:rsidP="00663BD6">
            <w:pPr>
              <w:rPr>
                <w:rFonts w:cs="Arial"/>
              </w:rPr>
            </w:pPr>
            <w:r w:rsidRPr="00663BD6">
              <w:rPr>
                <w:rFonts w:cs="Arial"/>
              </w:rPr>
              <w:t>Потискане/спиране на дишането</w:t>
            </w:r>
          </w:p>
          <w:p w14:paraId="6A32A133" w14:textId="77777777" w:rsidR="00663BD6" w:rsidRPr="00663BD6" w:rsidRDefault="00663BD6" w:rsidP="00663BD6">
            <w:pPr>
              <w:rPr>
                <w:rFonts w:cs="Arial"/>
              </w:rPr>
            </w:pPr>
          </w:p>
          <w:p w14:paraId="3B6F318B" w14:textId="1D5BEA27" w:rsidR="00663BD6" w:rsidRPr="00663BD6" w:rsidRDefault="00663BD6" w:rsidP="00663BD6">
            <w:pPr>
              <w:rPr>
                <w:rFonts w:cs="Arial"/>
              </w:rPr>
            </w:pPr>
            <w:r w:rsidRPr="00663BD6">
              <w:rPr>
                <w:rFonts w:cs="Arial"/>
              </w:rPr>
              <w:t>Плеврален излив*, назална конгестия*</w:t>
            </w:r>
          </w:p>
        </w:tc>
      </w:tr>
      <w:tr w:rsidR="00663BD6" w:rsidRPr="00663BD6" w14:paraId="0632206A" w14:textId="77777777" w:rsidTr="00276CFE">
        <w:tc>
          <w:tcPr>
            <w:tcW w:w="9576" w:type="dxa"/>
            <w:gridSpan w:val="2"/>
          </w:tcPr>
          <w:p w14:paraId="74A5581C" w14:textId="234F9A90" w:rsidR="00663BD6" w:rsidRPr="00663BD6" w:rsidRDefault="00663BD6" w:rsidP="00663BD6">
            <w:pPr>
              <w:rPr>
                <w:rFonts w:cs="Arial"/>
                <w:b/>
              </w:rPr>
            </w:pPr>
            <w:r w:rsidRPr="00663BD6">
              <w:rPr>
                <w:rFonts w:cs="Arial"/>
                <w:b/>
              </w:rPr>
              <w:t>Стомашно-чревни нарушения</w:t>
            </w:r>
          </w:p>
        </w:tc>
      </w:tr>
      <w:tr w:rsidR="00663BD6" w:rsidRPr="00663BD6" w14:paraId="394A384A" w14:textId="77777777" w:rsidTr="005F3AE7">
        <w:tc>
          <w:tcPr>
            <w:tcW w:w="4788" w:type="dxa"/>
          </w:tcPr>
          <w:p w14:paraId="0275D17D" w14:textId="77777777" w:rsidR="00663BD6" w:rsidRDefault="00663BD6" w:rsidP="00663BD6">
            <w:r>
              <w:rPr>
                <w:sz w:val="20"/>
                <w:szCs w:val="20"/>
              </w:rPr>
              <w:t>Много чести:</w:t>
            </w:r>
          </w:p>
          <w:p w14:paraId="5779104D" w14:textId="77777777" w:rsidR="00663BD6" w:rsidRDefault="00663BD6" w:rsidP="00663BD6">
            <w:pPr>
              <w:rPr>
                <w:sz w:val="20"/>
                <w:szCs w:val="20"/>
              </w:rPr>
            </w:pPr>
          </w:p>
          <w:p w14:paraId="7CF24FE5" w14:textId="33E446B3" w:rsidR="00663BD6" w:rsidRDefault="00663BD6" w:rsidP="00663BD6">
            <w:r>
              <w:rPr>
                <w:sz w:val="20"/>
                <w:szCs w:val="20"/>
              </w:rPr>
              <w:t>Чести:</w:t>
            </w:r>
          </w:p>
          <w:p w14:paraId="382BF0EA" w14:textId="77777777" w:rsidR="00663BD6" w:rsidRDefault="00663BD6" w:rsidP="00663BD6">
            <w:pPr>
              <w:rPr>
                <w:sz w:val="20"/>
                <w:szCs w:val="20"/>
              </w:rPr>
            </w:pPr>
          </w:p>
          <w:p w14:paraId="76EFF9D4" w14:textId="647A0558" w:rsidR="00663BD6" w:rsidRDefault="00663BD6" w:rsidP="00663BD6">
            <w:r>
              <w:rPr>
                <w:sz w:val="20"/>
                <w:szCs w:val="20"/>
              </w:rPr>
              <w:t>Редки:</w:t>
            </w:r>
          </w:p>
          <w:p w14:paraId="5B42FCAC" w14:textId="77777777" w:rsidR="00663BD6" w:rsidRDefault="00663BD6" w:rsidP="00663BD6">
            <w:pPr>
              <w:rPr>
                <w:sz w:val="20"/>
                <w:szCs w:val="20"/>
              </w:rPr>
            </w:pPr>
          </w:p>
          <w:p w14:paraId="0BA22593" w14:textId="77777777" w:rsidR="00663BD6" w:rsidRDefault="00663BD6" w:rsidP="00663BD6">
            <w:pPr>
              <w:rPr>
                <w:sz w:val="20"/>
                <w:szCs w:val="20"/>
              </w:rPr>
            </w:pPr>
            <w:r>
              <w:rPr>
                <w:sz w:val="20"/>
                <w:szCs w:val="20"/>
              </w:rPr>
              <w:t>Много редки:</w:t>
            </w:r>
          </w:p>
          <w:p w14:paraId="142D0434" w14:textId="77777777" w:rsidR="00663BD6" w:rsidRDefault="00663BD6" w:rsidP="00663BD6">
            <w:pPr>
              <w:rPr>
                <w:sz w:val="20"/>
                <w:szCs w:val="20"/>
              </w:rPr>
            </w:pPr>
          </w:p>
          <w:p w14:paraId="0B060404" w14:textId="77777777" w:rsidR="00663BD6" w:rsidRDefault="00663BD6" w:rsidP="00663BD6">
            <w:pPr>
              <w:rPr>
                <w:sz w:val="20"/>
                <w:szCs w:val="20"/>
              </w:rPr>
            </w:pPr>
          </w:p>
          <w:p w14:paraId="4C1227E6" w14:textId="6E95FC89" w:rsidR="00663BD6" w:rsidRDefault="00663BD6" w:rsidP="00663BD6">
            <w:r>
              <w:rPr>
                <w:sz w:val="20"/>
                <w:szCs w:val="20"/>
              </w:rPr>
              <w:t>С неизвестна честота:</w:t>
            </w:r>
          </w:p>
        </w:tc>
        <w:tc>
          <w:tcPr>
            <w:tcW w:w="4788" w:type="dxa"/>
            <w:vAlign w:val="bottom"/>
          </w:tcPr>
          <w:p w14:paraId="728E96D5" w14:textId="77777777" w:rsidR="00663BD6" w:rsidRPr="00663BD6" w:rsidRDefault="00663BD6" w:rsidP="00663BD6">
            <w:pPr>
              <w:rPr>
                <w:rFonts w:cs="Arial"/>
              </w:rPr>
            </w:pPr>
            <w:r w:rsidRPr="00663BD6">
              <w:rPr>
                <w:rFonts w:cs="Arial"/>
              </w:rPr>
              <w:t>Запек, хиперсаливация</w:t>
            </w:r>
          </w:p>
          <w:p w14:paraId="119A3899" w14:textId="77777777" w:rsidR="00663BD6" w:rsidRPr="00663BD6" w:rsidRDefault="00663BD6" w:rsidP="00663BD6">
            <w:pPr>
              <w:rPr>
                <w:rFonts w:cs="Arial"/>
              </w:rPr>
            </w:pPr>
          </w:p>
          <w:p w14:paraId="633D5340" w14:textId="5A733A8E" w:rsidR="00663BD6" w:rsidRPr="00663BD6" w:rsidRDefault="00663BD6" w:rsidP="00663BD6">
            <w:pPr>
              <w:rPr>
                <w:rFonts w:cs="Arial"/>
              </w:rPr>
            </w:pPr>
            <w:r w:rsidRPr="00663BD6">
              <w:rPr>
                <w:rFonts w:cs="Arial"/>
              </w:rPr>
              <w:t>Гадене, повръщане, сухота в устата</w:t>
            </w:r>
          </w:p>
          <w:p w14:paraId="42AFB16A" w14:textId="77777777" w:rsidR="00663BD6" w:rsidRPr="00663BD6" w:rsidRDefault="00663BD6" w:rsidP="00663BD6">
            <w:pPr>
              <w:rPr>
                <w:rFonts w:cs="Arial"/>
              </w:rPr>
            </w:pPr>
          </w:p>
          <w:p w14:paraId="69361050" w14:textId="77777777" w:rsidR="00663BD6" w:rsidRPr="00663BD6" w:rsidRDefault="00663BD6" w:rsidP="00663BD6">
            <w:pPr>
              <w:rPr>
                <w:rFonts w:cs="Arial"/>
              </w:rPr>
            </w:pPr>
            <w:r w:rsidRPr="00663BD6">
              <w:rPr>
                <w:rFonts w:cs="Arial"/>
              </w:rPr>
              <w:t>Дисфагия</w:t>
            </w:r>
          </w:p>
          <w:p w14:paraId="482EA40B" w14:textId="77777777" w:rsidR="00663BD6" w:rsidRPr="00663BD6" w:rsidRDefault="00663BD6" w:rsidP="00663BD6">
            <w:pPr>
              <w:rPr>
                <w:rFonts w:cs="Arial"/>
              </w:rPr>
            </w:pPr>
          </w:p>
          <w:p w14:paraId="24281A18" w14:textId="77777777" w:rsidR="00663BD6" w:rsidRPr="00663BD6" w:rsidRDefault="00663BD6" w:rsidP="00663BD6">
            <w:pPr>
              <w:rPr>
                <w:rFonts w:cs="Arial"/>
              </w:rPr>
            </w:pPr>
            <w:r w:rsidRPr="00663BD6">
              <w:rPr>
                <w:rFonts w:cs="Arial"/>
              </w:rPr>
              <w:t>Чревна обструкция/паралитичен илеус/фекална обструкция уголемяване на паротидната жлеза</w:t>
            </w:r>
          </w:p>
          <w:p w14:paraId="40FBEA11" w14:textId="77777777" w:rsidR="00663BD6" w:rsidRPr="00663BD6" w:rsidRDefault="00663BD6" w:rsidP="00663BD6">
            <w:pPr>
              <w:rPr>
                <w:rFonts w:cs="Arial"/>
              </w:rPr>
            </w:pPr>
          </w:p>
          <w:p w14:paraId="6F916E88" w14:textId="33F7073B" w:rsidR="00663BD6" w:rsidRPr="00663BD6" w:rsidRDefault="00663BD6" w:rsidP="00663BD6">
            <w:pPr>
              <w:rPr>
                <w:rFonts w:cs="Arial"/>
              </w:rPr>
            </w:pPr>
            <w:r w:rsidRPr="00663BD6">
              <w:rPr>
                <w:rFonts w:cs="Arial"/>
              </w:rPr>
              <w:t>Мегаколон*'**, чревен инфаркт/исхемия*’**, чревна некроза***, чревна улцерация*** и чревна перфорация***, диария*, коремен дискомфорт/киселини/диспепсия*, колит*</w:t>
            </w:r>
          </w:p>
        </w:tc>
      </w:tr>
      <w:tr w:rsidR="00663BD6" w:rsidRPr="00663BD6" w14:paraId="1A5246C9" w14:textId="77777777" w:rsidTr="002076EC">
        <w:trPr>
          <w:trHeight w:val="64"/>
        </w:trPr>
        <w:tc>
          <w:tcPr>
            <w:tcW w:w="9576" w:type="dxa"/>
            <w:gridSpan w:val="2"/>
          </w:tcPr>
          <w:p w14:paraId="0E4F7BEF" w14:textId="09001E5E" w:rsidR="00663BD6" w:rsidRPr="00663BD6" w:rsidRDefault="00663BD6" w:rsidP="00663BD6">
            <w:pPr>
              <w:rPr>
                <w:rFonts w:cs="Arial"/>
                <w:b/>
              </w:rPr>
            </w:pPr>
            <w:r w:rsidRPr="00663BD6">
              <w:rPr>
                <w:rFonts w:cs="Arial"/>
                <w:b/>
              </w:rPr>
              <w:t>Хепатобилиарни нарушения</w:t>
            </w:r>
          </w:p>
        </w:tc>
      </w:tr>
      <w:tr w:rsidR="00663BD6" w:rsidRPr="00663BD6" w14:paraId="4FD4D8D3" w14:textId="77777777" w:rsidTr="00263E92">
        <w:tc>
          <w:tcPr>
            <w:tcW w:w="4788" w:type="dxa"/>
          </w:tcPr>
          <w:p w14:paraId="34BEB960" w14:textId="77777777" w:rsidR="00663BD6" w:rsidRDefault="00663BD6" w:rsidP="00663BD6">
            <w:r>
              <w:rPr>
                <w:sz w:val="20"/>
                <w:szCs w:val="20"/>
              </w:rPr>
              <w:t>Чести:</w:t>
            </w:r>
          </w:p>
          <w:p w14:paraId="241B0AAF" w14:textId="77777777" w:rsidR="00663BD6" w:rsidRDefault="00663BD6" w:rsidP="00663BD6">
            <w:pPr>
              <w:rPr>
                <w:sz w:val="20"/>
                <w:szCs w:val="20"/>
              </w:rPr>
            </w:pPr>
          </w:p>
          <w:p w14:paraId="13DA61C2" w14:textId="67EA5711" w:rsidR="00663BD6" w:rsidRDefault="00663BD6" w:rsidP="00663BD6">
            <w:r>
              <w:rPr>
                <w:sz w:val="20"/>
                <w:szCs w:val="20"/>
              </w:rPr>
              <w:lastRenderedPageBreak/>
              <w:t>Редки:</w:t>
            </w:r>
          </w:p>
          <w:p w14:paraId="063FA8EA" w14:textId="77777777" w:rsidR="00663BD6" w:rsidRDefault="00663BD6" w:rsidP="00663BD6">
            <w:pPr>
              <w:rPr>
                <w:sz w:val="20"/>
                <w:szCs w:val="20"/>
              </w:rPr>
            </w:pPr>
          </w:p>
          <w:p w14:paraId="3BE506B3" w14:textId="3C759771" w:rsidR="00663BD6" w:rsidRDefault="00663BD6" w:rsidP="00663BD6">
            <w:r>
              <w:rPr>
                <w:sz w:val="20"/>
                <w:szCs w:val="20"/>
              </w:rPr>
              <w:t>Много редки:</w:t>
            </w:r>
          </w:p>
          <w:p w14:paraId="51554590" w14:textId="77777777" w:rsidR="00663BD6" w:rsidRDefault="00663BD6" w:rsidP="00663BD6">
            <w:pPr>
              <w:rPr>
                <w:sz w:val="20"/>
                <w:szCs w:val="20"/>
              </w:rPr>
            </w:pPr>
          </w:p>
          <w:p w14:paraId="61724105" w14:textId="533FCAD6" w:rsidR="00663BD6" w:rsidRDefault="00663BD6" w:rsidP="00663BD6">
            <w:r>
              <w:rPr>
                <w:sz w:val="20"/>
                <w:szCs w:val="20"/>
              </w:rPr>
              <w:t>С неизвестна честота:</w:t>
            </w:r>
          </w:p>
        </w:tc>
        <w:tc>
          <w:tcPr>
            <w:tcW w:w="4788" w:type="dxa"/>
            <w:vAlign w:val="bottom"/>
          </w:tcPr>
          <w:p w14:paraId="719EB0FB" w14:textId="77777777" w:rsidR="00663BD6" w:rsidRPr="00663BD6" w:rsidRDefault="00663BD6" w:rsidP="00663BD6">
            <w:pPr>
              <w:rPr>
                <w:rFonts w:cs="Arial"/>
              </w:rPr>
            </w:pPr>
            <w:r w:rsidRPr="00663BD6">
              <w:rPr>
                <w:rFonts w:cs="Arial"/>
              </w:rPr>
              <w:lastRenderedPageBreak/>
              <w:t>Повишени чернодробни ензими</w:t>
            </w:r>
          </w:p>
          <w:p w14:paraId="1B9187E0" w14:textId="77777777" w:rsidR="00663BD6" w:rsidRPr="00663BD6" w:rsidRDefault="00663BD6" w:rsidP="00663BD6">
            <w:pPr>
              <w:rPr>
                <w:rFonts w:cs="Arial"/>
              </w:rPr>
            </w:pPr>
          </w:p>
          <w:p w14:paraId="6FF89480" w14:textId="76F7CD72" w:rsidR="00663BD6" w:rsidRPr="00663BD6" w:rsidRDefault="00663BD6" w:rsidP="00663BD6">
            <w:pPr>
              <w:rPr>
                <w:rFonts w:cs="Arial"/>
              </w:rPr>
            </w:pPr>
            <w:r w:rsidRPr="00663BD6">
              <w:rPr>
                <w:rFonts w:cs="Arial"/>
              </w:rPr>
              <w:lastRenderedPageBreak/>
              <w:t>Панкреатит, хепатит, холестатична жълтеница</w:t>
            </w:r>
          </w:p>
          <w:p w14:paraId="2A8BD2A4" w14:textId="77777777" w:rsidR="00663BD6" w:rsidRPr="00663BD6" w:rsidRDefault="00663BD6" w:rsidP="00663BD6">
            <w:pPr>
              <w:rPr>
                <w:rFonts w:cs="Arial"/>
              </w:rPr>
            </w:pPr>
          </w:p>
          <w:p w14:paraId="2E65F481" w14:textId="391660C9" w:rsidR="00663BD6" w:rsidRPr="00663BD6" w:rsidRDefault="00663BD6" w:rsidP="00663BD6">
            <w:pPr>
              <w:rPr>
                <w:rFonts w:cs="Arial"/>
              </w:rPr>
            </w:pPr>
            <w:r w:rsidRPr="00663BD6">
              <w:rPr>
                <w:rFonts w:cs="Arial"/>
              </w:rPr>
              <w:t>Фулминантна чернодробна некроза</w:t>
            </w:r>
          </w:p>
          <w:p w14:paraId="540BE8AF" w14:textId="77777777" w:rsidR="00663BD6" w:rsidRPr="00663BD6" w:rsidRDefault="00663BD6" w:rsidP="00663BD6">
            <w:pPr>
              <w:rPr>
                <w:rFonts w:cs="Arial"/>
              </w:rPr>
            </w:pPr>
          </w:p>
          <w:p w14:paraId="773538E6" w14:textId="511CAC54" w:rsidR="00663BD6" w:rsidRPr="00663BD6" w:rsidRDefault="00663BD6" w:rsidP="00663BD6">
            <w:pPr>
              <w:rPr>
                <w:rFonts w:cs="Arial"/>
              </w:rPr>
            </w:pPr>
            <w:r w:rsidRPr="00663BD6">
              <w:rPr>
                <w:rFonts w:cs="Arial"/>
              </w:rPr>
              <w:t>Чернодробна стеатоза*, чернодробна некроза*, хепатотоксичност*, чернодробна фиброза*, чернодробна цироза, чернодробни нарушения, включително такива чернодробни събития, които водят до животозастрашаващи последствия като чернодробно увреждане (чернодробно, холестатично и смесено), чернодробна недостатъчност, която може да бъде фатална и чернодробна трансплантация*</w:t>
            </w:r>
          </w:p>
        </w:tc>
      </w:tr>
      <w:tr w:rsidR="00663BD6" w:rsidRPr="00663BD6" w14:paraId="0B9CC2ED" w14:textId="77777777" w:rsidTr="00867837">
        <w:tc>
          <w:tcPr>
            <w:tcW w:w="9576" w:type="dxa"/>
            <w:gridSpan w:val="2"/>
          </w:tcPr>
          <w:p w14:paraId="0C53F2F8" w14:textId="39E36E1E" w:rsidR="00663BD6" w:rsidRPr="00663BD6" w:rsidRDefault="00663BD6" w:rsidP="00663BD6">
            <w:pPr>
              <w:rPr>
                <w:rFonts w:cs="Arial"/>
                <w:b/>
              </w:rPr>
            </w:pPr>
            <w:r w:rsidRPr="00663BD6">
              <w:rPr>
                <w:rFonts w:cs="Arial"/>
                <w:b/>
                <w:lang w:eastAsia="bg-BG"/>
              </w:rPr>
              <w:lastRenderedPageBreak/>
              <w:t>Нарушения на кожата и подкожната тъкан</w:t>
            </w:r>
          </w:p>
        </w:tc>
      </w:tr>
      <w:tr w:rsidR="001C266B" w:rsidRPr="00663BD6" w14:paraId="1501C4E2" w14:textId="77777777" w:rsidTr="001C266B">
        <w:tc>
          <w:tcPr>
            <w:tcW w:w="4788" w:type="dxa"/>
          </w:tcPr>
          <w:p w14:paraId="17EEC5BB" w14:textId="7D161A61" w:rsidR="001C266B" w:rsidRDefault="00663BD6" w:rsidP="001C266B">
            <w:r>
              <w:rPr>
                <w:sz w:val="20"/>
                <w:szCs w:val="20"/>
              </w:rPr>
              <w:t>Много редки:</w:t>
            </w:r>
          </w:p>
        </w:tc>
        <w:tc>
          <w:tcPr>
            <w:tcW w:w="4788" w:type="dxa"/>
          </w:tcPr>
          <w:p w14:paraId="3E246349" w14:textId="36AE27EC" w:rsidR="001C266B" w:rsidRPr="00663BD6" w:rsidRDefault="00663BD6" w:rsidP="001C266B">
            <w:pPr>
              <w:rPr>
                <w:rFonts w:cs="Arial"/>
              </w:rPr>
            </w:pPr>
            <w:r w:rsidRPr="00663BD6">
              <w:rPr>
                <w:rFonts w:cs="Arial"/>
              </w:rPr>
              <w:t>Кожни реакции</w:t>
            </w:r>
          </w:p>
        </w:tc>
      </w:tr>
      <w:tr w:rsidR="00663BD6" w:rsidRPr="00663BD6" w14:paraId="681C9BED" w14:textId="77777777" w:rsidTr="00BB4367">
        <w:tc>
          <w:tcPr>
            <w:tcW w:w="9576" w:type="dxa"/>
            <w:gridSpan w:val="2"/>
          </w:tcPr>
          <w:p w14:paraId="6E87BAF8" w14:textId="0260AC4B" w:rsidR="00663BD6" w:rsidRPr="00663BD6" w:rsidRDefault="00663BD6" w:rsidP="001C266B">
            <w:pPr>
              <w:rPr>
                <w:rFonts w:cs="Arial"/>
              </w:rPr>
            </w:pPr>
            <w:r w:rsidRPr="00663BD6">
              <w:rPr>
                <w:rFonts w:cs="Arial"/>
                <w:b/>
                <w:bCs/>
              </w:rPr>
              <w:t>Нарушения на мускулно-скелетната система и съединителната тъкан</w:t>
            </w:r>
          </w:p>
        </w:tc>
      </w:tr>
      <w:tr w:rsidR="00663BD6" w:rsidRPr="00663BD6" w14:paraId="71FB5B61" w14:textId="77777777" w:rsidTr="00D00FBD">
        <w:tc>
          <w:tcPr>
            <w:tcW w:w="4788" w:type="dxa"/>
          </w:tcPr>
          <w:p w14:paraId="2C96B93A" w14:textId="0755623E" w:rsidR="00663BD6" w:rsidRDefault="00663BD6" w:rsidP="00663BD6">
            <w:r>
              <w:rPr>
                <w:sz w:val="20"/>
                <w:szCs w:val="20"/>
              </w:rPr>
              <w:t>С неизвестна честота:</w:t>
            </w:r>
          </w:p>
        </w:tc>
        <w:tc>
          <w:tcPr>
            <w:tcW w:w="4788" w:type="dxa"/>
            <w:vAlign w:val="bottom"/>
          </w:tcPr>
          <w:p w14:paraId="2D4CAFA7" w14:textId="71A688F0" w:rsidR="00663BD6" w:rsidRPr="00663BD6" w:rsidRDefault="00663BD6" w:rsidP="00663BD6">
            <w:pPr>
              <w:rPr>
                <w:rFonts w:cs="Arial"/>
              </w:rPr>
            </w:pPr>
            <w:r w:rsidRPr="00663BD6">
              <w:rPr>
                <w:rFonts w:cs="Arial"/>
              </w:rPr>
              <w:t>Рабдомиолиза*, мускулна слабост*, мускулни спазми*, мускулна болка*, системен лупус еритематозус*</w:t>
            </w:r>
          </w:p>
        </w:tc>
      </w:tr>
      <w:tr w:rsidR="00663BD6" w:rsidRPr="00663BD6" w14:paraId="287D2BDA" w14:textId="77777777" w:rsidTr="00EF47FB">
        <w:tc>
          <w:tcPr>
            <w:tcW w:w="9576" w:type="dxa"/>
            <w:gridSpan w:val="2"/>
          </w:tcPr>
          <w:p w14:paraId="7BF60726" w14:textId="2196593E" w:rsidR="00663BD6" w:rsidRPr="00663BD6" w:rsidRDefault="00663BD6" w:rsidP="001C266B">
            <w:pPr>
              <w:rPr>
                <w:rFonts w:cs="Arial"/>
              </w:rPr>
            </w:pPr>
            <w:r w:rsidRPr="00663BD6">
              <w:rPr>
                <w:rFonts w:cs="Arial"/>
                <w:b/>
                <w:bCs/>
              </w:rPr>
              <w:t>Нарушения на бъбреците и пикочните пътища</w:t>
            </w:r>
          </w:p>
        </w:tc>
      </w:tr>
      <w:tr w:rsidR="00663BD6" w:rsidRPr="00663BD6" w14:paraId="423811FD" w14:textId="77777777" w:rsidTr="001C266B">
        <w:tc>
          <w:tcPr>
            <w:tcW w:w="4788" w:type="dxa"/>
          </w:tcPr>
          <w:p w14:paraId="7023D80B" w14:textId="77777777" w:rsidR="00663BD6" w:rsidRDefault="00663BD6" w:rsidP="00663BD6">
            <w:r>
              <w:rPr>
                <w:sz w:val="20"/>
                <w:szCs w:val="20"/>
              </w:rPr>
              <w:t>Чести:</w:t>
            </w:r>
          </w:p>
          <w:p w14:paraId="2A24247E" w14:textId="77777777" w:rsidR="00663BD6" w:rsidRDefault="00663BD6" w:rsidP="00663BD6">
            <w:r>
              <w:rPr>
                <w:sz w:val="20"/>
                <w:szCs w:val="20"/>
              </w:rPr>
              <w:t>Много редки:</w:t>
            </w:r>
          </w:p>
          <w:p w14:paraId="65080529" w14:textId="4798D169" w:rsidR="00663BD6" w:rsidRDefault="00663BD6" w:rsidP="00663BD6">
            <w:r>
              <w:rPr>
                <w:i/>
                <w:iCs/>
                <w:sz w:val="20"/>
                <w:szCs w:val="20"/>
              </w:rPr>
              <w:t>С</w:t>
            </w:r>
            <w:r>
              <w:rPr>
                <w:sz w:val="20"/>
                <w:szCs w:val="20"/>
              </w:rPr>
              <w:t xml:space="preserve"> неизвестна честота:</w:t>
            </w:r>
          </w:p>
        </w:tc>
        <w:tc>
          <w:tcPr>
            <w:tcW w:w="4788" w:type="dxa"/>
          </w:tcPr>
          <w:p w14:paraId="4CA6889A" w14:textId="77777777" w:rsidR="00663BD6" w:rsidRPr="00663BD6" w:rsidRDefault="00663BD6" w:rsidP="00663BD6">
            <w:pPr>
              <w:rPr>
                <w:rFonts w:cs="Arial"/>
              </w:rPr>
            </w:pPr>
            <w:r w:rsidRPr="00663BD6">
              <w:rPr>
                <w:rFonts w:cs="Arial"/>
              </w:rPr>
              <w:t>Ретенция на урина, инконтиненция на урина</w:t>
            </w:r>
          </w:p>
          <w:p w14:paraId="2BD36585" w14:textId="77777777" w:rsidR="00663BD6" w:rsidRPr="00663BD6" w:rsidRDefault="00663BD6" w:rsidP="00663BD6">
            <w:pPr>
              <w:rPr>
                <w:rFonts w:cs="Arial"/>
              </w:rPr>
            </w:pPr>
            <w:r w:rsidRPr="00663BD6">
              <w:rPr>
                <w:rFonts w:cs="Arial"/>
              </w:rPr>
              <w:t>Тубулоинтерстициален нефрит</w:t>
            </w:r>
          </w:p>
          <w:p w14:paraId="7FBAF438" w14:textId="67EA7688" w:rsidR="00663BD6" w:rsidRPr="00663BD6" w:rsidRDefault="00663BD6" w:rsidP="00663BD6">
            <w:pPr>
              <w:rPr>
                <w:rFonts w:cs="Arial"/>
              </w:rPr>
            </w:pPr>
            <w:r w:rsidRPr="00663BD6">
              <w:rPr>
                <w:rFonts w:cs="Arial"/>
              </w:rPr>
              <w:t>Бъбречна недостатъчност*, нощно напикаване*</w:t>
            </w:r>
          </w:p>
        </w:tc>
      </w:tr>
      <w:tr w:rsidR="00663BD6" w:rsidRPr="00663BD6" w14:paraId="112CA9C7" w14:textId="77777777" w:rsidTr="0028490A">
        <w:tc>
          <w:tcPr>
            <w:tcW w:w="9576" w:type="dxa"/>
            <w:gridSpan w:val="2"/>
          </w:tcPr>
          <w:p w14:paraId="15419CE5" w14:textId="470C1129" w:rsidR="00663BD6" w:rsidRPr="00663BD6" w:rsidRDefault="00663BD6" w:rsidP="001C266B">
            <w:pPr>
              <w:rPr>
                <w:rFonts w:cs="Arial"/>
              </w:rPr>
            </w:pPr>
            <w:r w:rsidRPr="00663BD6">
              <w:rPr>
                <w:rFonts w:cs="Arial"/>
                <w:b/>
                <w:bCs/>
              </w:rPr>
              <w:t>Състояния, свързани с бременността, родовия и послеродовия период</w:t>
            </w:r>
          </w:p>
        </w:tc>
      </w:tr>
      <w:tr w:rsidR="00663BD6" w:rsidRPr="00663BD6" w14:paraId="0796745D" w14:textId="77777777" w:rsidTr="001C266B">
        <w:tc>
          <w:tcPr>
            <w:tcW w:w="4788" w:type="dxa"/>
          </w:tcPr>
          <w:p w14:paraId="7979EDB0" w14:textId="682568FA" w:rsidR="00663BD6" w:rsidRDefault="00663BD6" w:rsidP="00663BD6">
            <w:r>
              <w:rPr>
                <w:sz w:val="20"/>
                <w:szCs w:val="20"/>
              </w:rPr>
              <w:t>С неизвестна честота:</w:t>
            </w:r>
          </w:p>
        </w:tc>
        <w:tc>
          <w:tcPr>
            <w:tcW w:w="4788" w:type="dxa"/>
          </w:tcPr>
          <w:p w14:paraId="55A07432" w14:textId="7E392B6D" w:rsidR="00663BD6" w:rsidRPr="00663BD6" w:rsidRDefault="00663BD6" w:rsidP="00663BD6">
            <w:pPr>
              <w:rPr>
                <w:rFonts w:cs="Arial"/>
              </w:rPr>
            </w:pPr>
            <w:r w:rsidRPr="00663BD6">
              <w:rPr>
                <w:rFonts w:cs="Arial"/>
              </w:rPr>
              <w:t>Синдром на отнемане на лекарството при новородени (вж. точка 4.6)</w:t>
            </w:r>
          </w:p>
        </w:tc>
      </w:tr>
      <w:tr w:rsidR="00663BD6" w:rsidRPr="00663BD6" w14:paraId="7D697AEF" w14:textId="77777777" w:rsidTr="00005F28">
        <w:tc>
          <w:tcPr>
            <w:tcW w:w="9576" w:type="dxa"/>
            <w:gridSpan w:val="2"/>
          </w:tcPr>
          <w:p w14:paraId="7E3975CF" w14:textId="5954E196" w:rsidR="00663BD6" w:rsidRPr="00663BD6" w:rsidRDefault="00663BD6" w:rsidP="001C266B">
            <w:pPr>
              <w:rPr>
                <w:rFonts w:cs="Arial"/>
              </w:rPr>
            </w:pPr>
            <w:r w:rsidRPr="00663BD6">
              <w:rPr>
                <w:rFonts w:cs="Arial"/>
                <w:b/>
                <w:bCs/>
              </w:rPr>
              <w:t>Нарушения на възпроизводителната система и гърдата</w:t>
            </w:r>
          </w:p>
        </w:tc>
      </w:tr>
      <w:tr w:rsidR="00663BD6" w:rsidRPr="00663BD6" w14:paraId="3916183E" w14:textId="77777777" w:rsidTr="00457AFF">
        <w:tc>
          <w:tcPr>
            <w:tcW w:w="4788" w:type="dxa"/>
            <w:vAlign w:val="bottom"/>
          </w:tcPr>
          <w:p w14:paraId="6EBD6279" w14:textId="77777777" w:rsidR="00663BD6" w:rsidRDefault="00663BD6" w:rsidP="00663BD6">
            <w:r>
              <w:rPr>
                <w:sz w:val="20"/>
                <w:szCs w:val="20"/>
              </w:rPr>
              <w:t>Много редки:</w:t>
            </w:r>
          </w:p>
          <w:p w14:paraId="529E2307" w14:textId="7277A6BA" w:rsidR="00663BD6" w:rsidRDefault="00663BD6" w:rsidP="00663BD6">
            <w:r>
              <w:rPr>
                <w:sz w:val="20"/>
                <w:szCs w:val="20"/>
              </w:rPr>
              <w:t>С неизвестна честота:</w:t>
            </w:r>
          </w:p>
        </w:tc>
        <w:tc>
          <w:tcPr>
            <w:tcW w:w="4788" w:type="dxa"/>
            <w:vAlign w:val="bottom"/>
          </w:tcPr>
          <w:p w14:paraId="734427A0" w14:textId="77777777" w:rsidR="00663BD6" w:rsidRPr="00663BD6" w:rsidRDefault="00663BD6" w:rsidP="00663BD6">
            <w:pPr>
              <w:rPr>
                <w:rFonts w:cs="Arial"/>
              </w:rPr>
            </w:pPr>
            <w:r w:rsidRPr="00663BD6">
              <w:rPr>
                <w:rFonts w:cs="Arial"/>
              </w:rPr>
              <w:t>Приапизъм</w:t>
            </w:r>
          </w:p>
          <w:p w14:paraId="17B2954B" w14:textId="18B12149" w:rsidR="00663BD6" w:rsidRPr="00663BD6" w:rsidRDefault="00663BD6" w:rsidP="00663BD6">
            <w:pPr>
              <w:rPr>
                <w:rFonts w:cs="Arial"/>
              </w:rPr>
            </w:pPr>
            <w:r w:rsidRPr="00663BD6">
              <w:rPr>
                <w:rFonts w:cs="Arial"/>
              </w:rPr>
              <w:t>Ретроградна еякулация*</w:t>
            </w:r>
          </w:p>
        </w:tc>
      </w:tr>
      <w:tr w:rsidR="00663BD6" w:rsidRPr="00663BD6" w14:paraId="17DE5DDB" w14:textId="77777777" w:rsidTr="00587E7C">
        <w:tc>
          <w:tcPr>
            <w:tcW w:w="9576" w:type="dxa"/>
            <w:gridSpan w:val="2"/>
          </w:tcPr>
          <w:p w14:paraId="4333089E" w14:textId="362D18C6" w:rsidR="00663BD6" w:rsidRPr="00663BD6" w:rsidRDefault="00663BD6" w:rsidP="001C266B">
            <w:pPr>
              <w:rPr>
                <w:rFonts w:cs="Arial"/>
              </w:rPr>
            </w:pPr>
            <w:r w:rsidRPr="00663BD6">
              <w:rPr>
                <w:rFonts w:cs="Arial"/>
                <w:b/>
                <w:bCs/>
              </w:rPr>
              <w:t xml:space="preserve">Общи нарушения </w:t>
            </w:r>
            <w:r w:rsidRPr="00663BD6">
              <w:rPr>
                <w:rFonts w:cs="Arial"/>
                <w:b/>
                <w:bCs/>
                <w:i/>
                <w:iCs/>
              </w:rPr>
              <w:t>и ефекти на мястото</w:t>
            </w:r>
            <w:r w:rsidRPr="00663BD6">
              <w:rPr>
                <w:rFonts w:cs="Arial"/>
                <w:b/>
                <w:bCs/>
              </w:rPr>
              <w:t xml:space="preserve"> на приложение</w:t>
            </w:r>
          </w:p>
        </w:tc>
      </w:tr>
      <w:tr w:rsidR="00663BD6" w:rsidRPr="00663BD6" w14:paraId="228B60C0" w14:textId="77777777" w:rsidTr="00E10EB1">
        <w:trPr>
          <w:trHeight w:val="1237"/>
        </w:trPr>
        <w:tc>
          <w:tcPr>
            <w:tcW w:w="4788" w:type="dxa"/>
            <w:vAlign w:val="bottom"/>
          </w:tcPr>
          <w:p w14:paraId="4063E3D1" w14:textId="77777777" w:rsidR="00663BD6" w:rsidRDefault="00663BD6" w:rsidP="00663BD6">
            <w:r>
              <w:rPr>
                <w:sz w:val="20"/>
                <w:szCs w:val="20"/>
              </w:rPr>
              <w:t>Чести</w:t>
            </w:r>
          </w:p>
          <w:p w14:paraId="76CBB2F4" w14:textId="77777777" w:rsidR="00663BD6" w:rsidRDefault="00663BD6" w:rsidP="00663BD6">
            <w:pPr>
              <w:rPr>
                <w:sz w:val="20"/>
                <w:szCs w:val="20"/>
              </w:rPr>
            </w:pPr>
          </w:p>
          <w:p w14:paraId="4A272D69" w14:textId="77777777" w:rsidR="00663BD6" w:rsidRDefault="00663BD6" w:rsidP="00663BD6">
            <w:pPr>
              <w:rPr>
                <w:sz w:val="20"/>
                <w:szCs w:val="20"/>
              </w:rPr>
            </w:pPr>
          </w:p>
          <w:p w14:paraId="6AF8C7DB" w14:textId="77777777" w:rsidR="00663BD6" w:rsidRDefault="00663BD6" w:rsidP="00663BD6">
            <w:pPr>
              <w:rPr>
                <w:sz w:val="20"/>
                <w:szCs w:val="20"/>
              </w:rPr>
            </w:pPr>
          </w:p>
          <w:p w14:paraId="532796DA" w14:textId="5C05F0EE" w:rsidR="00663BD6" w:rsidRDefault="00663BD6" w:rsidP="00663BD6">
            <w:r>
              <w:rPr>
                <w:sz w:val="20"/>
                <w:szCs w:val="20"/>
              </w:rPr>
              <w:t>Много редки</w:t>
            </w:r>
          </w:p>
          <w:p w14:paraId="60280A1B" w14:textId="77777777" w:rsidR="00663BD6" w:rsidRDefault="00663BD6" w:rsidP="00663BD6">
            <w:pPr>
              <w:rPr>
                <w:sz w:val="20"/>
                <w:szCs w:val="20"/>
              </w:rPr>
            </w:pPr>
          </w:p>
          <w:p w14:paraId="48C366D6" w14:textId="2ADC4AA3" w:rsidR="00663BD6" w:rsidRDefault="00663BD6" w:rsidP="00663BD6">
            <w:r>
              <w:rPr>
                <w:sz w:val="20"/>
                <w:szCs w:val="20"/>
              </w:rPr>
              <w:t>С неизвестна честота:</w:t>
            </w:r>
          </w:p>
        </w:tc>
        <w:tc>
          <w:tcPr>
            <w:tcW w:w="4788" w:type="dxa"/>
            <w:vAlign w:val="bottom"/>
          </w:tcPr>
          <w:p w14:paraId="1B8D9B82" w14:textId="77777777" w:rsidR="00663BD6" w:rsidRPr="00663BD6" w:rsidRDefault="00663BD6" w:rsidP="00663BD6">
            <w:pPr>
              <w:rPr>
                <w:rFonts w:cs="Arial"/>
              </w:rPr>
            </w:pPr>
            <w:r w:rsidRPr="00663BD6">
              <w:rPr>
                <w:rFonts w:cs="Arial"/>
              </w:rPr>
              <w:t xml:space="preserve">Доброкачествена хипертермия, нарушено потоотделяне/регулация на температурата, повишена температура, умора, </w:t>
            </w:r>
          </w:p>
          <w:p w14:paraId="0F727241" w14:textId="77777777" w:rsidR="00663BD6" w:rsidRPr="00663BD6" w:rsidRDefault="00663BD6" w:rsidP="00663BD6">
            <w:pPr>
              <w:rPr>
                <w:rFonts w:cs="Arial"/>
              </w:rPr>
            </w:pPr>
          </w:p>
          <w:p w14:paraId="0581A8A0" w14:textId="22937EC1" w:rsidR="00663BD6" w:rsidRPr="00663BD6" w:rsidRDefault="00663BD6" w:rsidP="00663BD6">
            <w:pPr>
              <w:rPr>
                <w:rFonts w:cs="Arial"/>
              </w:rPr>
            </w:pPr>
            <w:r w:rsidRPr="00663BD6">
              <w:rPr>
                <w:rFonts w:cs="Arial"/>
              </w:rPr>
              <w:t>Внезапна необяснима смърт</w:t>
            </w:r>
          </w:p>
          <w:p w14:paraId="005CA07A" w14:textId="77777777" w:rsidR="00663BD6" w:rsidRPr="00663BD6" w:rsidRDefault="00663BD6" w:rsidP="00663BD6">
            <w:pPr>
              <w:rPr>
                <w:rFonts w:cs="Arial"/>
              </w:rPr>
            </w:pPr>
          </w:p>
          <w:p w14:paraId="0B4CF623" w14:textId="7D63FFE3" w:rsidR="00663BD6" w:rsidRPr="00663BD6" w:rsidRDefault="00663BD6" w:rsidP="00663BD6">
            <w:pPr>
              <w:rPr>
                <w:rFonts w:cs="Arial"/>
              </w:rPr>
            </w:pPr>
            <w:r w:rsidRPr="00663BD6">
              <w:rPr>
                <w:rFonts w:cs="Arial"/>
              </w:rPr>
              <w:t>Полисерозит*</w:t>
            </w:r>
          </w:p>
        </w:tc>
      </w:tr>
      <w:tr w:rsidR="00663BD6" w:rsidRPr="00663BD6" w14:paraId="32F48F2B" w14:textId="77777777" w:rsidTr="00E73F19">
        <w:tc>
          <w:tcPr>
            <w:tcW w:w="9576" w:type="dxa"/>
            <w:gridSpan w:val="2"/>
          </w:tcPr>
          <w:p w14:paraId="19CEF0B2" w14:textId="5096AF68" w:rsidR="00663BD6" w:rsidRPr="00663BD6" w:rsidRDefault="00663BD6" w:rsidP="00663BD6">
            <w:pPr>
              <w:rPr>
                <w:rFonts w:cs="Arial"/>
                <w:b/>
              </w:rPr>
            </w:pPr>
            <w:r w:rsidRPr="00663BD6">
              <w:rPr>
                <w:rFonts w:cs="Arial"/>
                <w:b/>
              </w:rPr>
              <w:t>Изследвания</w:t>
            </w:r>
          </w:p>
        </w:tc>
      </w:tr>
      <w:tr w:rsidR="00663BD6" w:rsidRPr="00663BD6" w14:paraId="385C19AB" w14:textId="77777777" w:rsidTr="001C266B">
        <w:tc>
          <w:tcPr>
            <w:tcW w:w="4788" w:type="dxa"/>
          </w:tcPr>
          <w:p w14:paraId="6B25286E" w14:textId="731AB7B3" w:rsidR="00663BD6" w:rsidRDefault="00663BD6" w:rsidP="00663BD6">
            <w:r>
              <w:t>Редки</w:t>
            </w:r>
          </w:p>
        </w:tc>
        <w:tc>
          <w:tcPr>
            <w:tcW w:w="4788" w:type="dxa"/>
          </w:tcPr>
          <w:p w14:paraId="0B8CEC90" w14:textId="630632F4" w:rsidR="00663BD6" w:rsidRPr="00663BD6" w:rsidRDefault="00663BD6" w:rsidP="00663BD6">
            <w:pPr>
              <w:rPr>
                <w:rFonts w:cs="Arial"/>
              </w:rPr>
            </w:pPr>
            <w:r w:rsidRPr="00663BD6">
              <w:rPr>
                <w:rFonts w:cs="Arial"/>
              </w:rPr>
              <w:t>Повишена СРК</w:t>
            </w:r>
          </w:p>
        </w:tc>
      </w:tr>
      <w:tr w:rsidR="00663BD6" w:rsidRPr="00663BD6" w14:paraId="2D7899C1" w14:textId="77777777" w:rsidTr="00062E61">
        <w:tc>
          <w:tcPr>
            <w:tcW w:w="9576" w:type="dxa"/>
            <w:gridSpan w:val="2"/>
          </w:tcPr>
          <w:p w14:paraId="12E6708D" w14:textId="6D653E5E" w:rsidR="00663BD6" w:rsidRPr="00663BD6" w:rsidRDefault="00663BD6" w:rsidP="001C266B">
            <w:pPr>
              <w:rPr>
                <w:rFonts w:cs="Arial"/>
              </w:rPr>
            </w:pPr>
            <w:r w:rsidRPr="00663BD6">
              <w:rPr>
                <w:rFonts w:cs="Arial"/>
                <w:b/>
                <w:bCs/>
              </w:rPr>
              <w:t>Наранявания, отравяния и усложнения, възникнали в резултат на интервенции</w:t>
            </w:r>
          </w:p>
        </w:tc>
      </w:tr>
      <w:tr w:rsidR="00663BD6" w:rsidRPr="00663BD6" w14:paraId="44891EB4" w14:textId="77777777" w:rsidTr="00DD57E0">
        <w:tc>
          <w:tcPr>
            <w:tcW w:w="4788" w:type="dxa"/>
          </w:tcPr>
          <w:p w14:paraId="2ED03AFD" w14:textId="7308DC24" w:rsidR="00663BD6" w:rsidRDefault="00663BD6" w:rsidP="00663BD6">
            <w:r>
              <w:rPr>
                <w:sz w:val="20"/>
                <w:szCs w:val="20"/>
              </w:rPr>
              <w:t>Нечести:</w:t>
            </w:r>
          </w:p>
        </w:tc>
        <w:tc>
          <w:tcPr>
            <w:tcW w:w="4788" w:type="dxa"/>
            <w:vAlign w:val="bottom"/>
          </w:tcPr>
          <w:p w14:paraId="0573BF93" w14:textId="35F237CE" w:rsidR="00663BD6" w:rsidRPr="00663BD6" w:rsidRDefault="00663BD6" w:rsidP="00663BD6">
            <w:pPr>
              <w:rPr>
                <w:rFonts w:cs="Arial"/>
              </w:rPr>
            </w:pPr>
            <w:r w:rsidRPr="00663BD6">
              <w:rPr>
                <w:rFonts w:cs="Arial"/>
              </w:rPr>
              <w:t xml:space="preserve">Падания (свързани с предизвикани от клозапин пристъпи, сънливост, постурална </w:t>
            </w:r>
            <w:r w:rsidRPr="00663BD6">
              <w:rPr>
                <w:rFonts w:cs="Arial"/>
              </w:rPr>
              <w:lastRenderedPageBreak/>
              <w:t>хипотония, двигателна и сензорна нестабилност)*</w:t>
            </w:r>
          </w:p>
        </w:tc>
      </w:tr>
    </w:tbl>
    <w:p w14:paraId="317E4297" w14:textId="7B9872D4" w:rsidR="00663BD6" w:rsidRPr="00663BD6" w:rsidRDefault="00663BD6" w:rsidP="00663BD6">
      <w:pPr>
        <w:spacing w:line="240" w:lineRule="auto"/>
        <w:rPr>
          <w:rFonts w:eastAsia="Times New Roman" w:cs="Arial"/>
          <w:color w:val="000000"/>
          <w:szCs w:val="20"/>
          <w:lang w:eastAsia="bg-BG"/>
        </w:rPr>
      </w:pPr>
      <w:r w:rsidRPr="00663BD6">
        <w:rPr>
          <w:rFonts w:eastAsia="Times New Roman" w:cs="Arial"/>
          <w:color w:val="000000"/>
          <w:szCs w:val="20"/>
          <w:lang w:eastAsia="bg-BG"/>
        </w:rPr>
        <w:lastRenderedPageBreak/>
        <w:t>*Нежеланите лекарствени реакции, получени от постмаркетинговия опит чрез спонтанни съобщения на случаи и литературни случаи.</w:t>
      </w:r>
    </w:p>
    <w:p w14:paraId="53CD70CC" w14:textId="57914888" w:rsidR="00663BD6" w:rsidRPr="00663BD6" w:rsidRDefault="00663BD6" w:rsidP="00663BD6">
      <w:pPr>
        <w:spacing w:line="240" w:lineRule="auto"/>
        <w:rPr>
          <w:rFonts w:eastAsia="Times New Roman" w:cs="Arial"/>
          <w:color w:val="000000"/>
          <w:szCs w:val="20"/>
          <w:lang w:eastAsia="bg-BG"/>
        </w:rPr>
      </w:pPr>
      <w:r w:rsidRPr="00663BD6">
        <w:rPr>
          <w:rFonts w:eastAsia="Times New Roman" w:cs="Arial"/>
          <w:color w:val="000000"/>
          <w:szCs w:val="20"/>
          <w:lang w:eastAsia="bg-BG"/>
        </w:rPr>
        <w:t>** Тези нежелани лекарствени реакции понякога са били фатални.</w:t>
      </w:r>
    </w:p>
    <w:p w14:paraId="41F705BF" w14:textId="77777777" w:rsidR="00663BD6" w:rsidRPr="00663BD6" w:rsidRDefault="00663BD6" w:rsidP="00663BD6">
      <w:pPr>
        <w:rPr>
          <w:rFonts w:eastAsia="Times New Roman" w:cs="Arial"/>
          <w:color w:val="000000"/>
          <w:szCs w:val="20"/>
          <w:lang w:eastAsia="bg-BG"/>
        </w:rPr>
      </w:pPr>
    </w:p>
    <w:p w14:paraId="3DC686BE" w14:textId="3CA44DBF" w:rsidR="00663BD6" w:rsidRPr="00663BD6" w:rsidRDefault="00663BD6" w:rsidP="00663BD6">
      <w:pPr>
        <w:rPr>
          <w:rFonts w:eastAsia="Times New Roman" w:cs="Arial"/>
          <w:color w:val="000000"/>
          <w:szCs w:val="20"/>
          <w:lang w:eastAsia="bg-BG"/>
        </w:rPr>
      </w:pPr>
      <w:r w:rsidRPr="00663BD6">
        <w:rPr>
          <w:rFonts w:eastAsia="Times New Roman" w:cs="Arial"/>
          <w:color w:val="000000"/>
          <w:szCs w:val="20"/>
          <w:lang w:eastAsia="bg-BG"/>
        </w:rPr>
        <w:t xml:space="preserve">Наблюдавани са много редки случаи на вентрикуларна тахикардия и удължаване на </w:t>
      </w:r>
      <w:r w:rsidRPr="00663BD6">
        <w:rPr>
          <w:rFonts w:eastAsia="Times New Roman" w:cs="Arial"/>
          <w:color w:val="000000"/>
          <w:szCs w:val="20"/>
          <w:lang w:val="en-US"/>
        </w:rPr>
        <w:t>QT</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интервала, които може да бъдат свързани с </w:t>
      </w:r>
      <w:proofErr w:type="spellStart"/>
      <w:r w:rsidRPr="00663BD6">
        <w:rPr>
          <w:rFonts w:eastAsia="Times New Roman" w:cs="Arial"/>
          <w:i/>
          <w:iCs/>
          <w:color w:val="000000"/>
          <w:szCs w:val="20"/>
          <w:lang w:val="en-US"/>
        </w:rPr>
        <w:t>Torsades</w:t>
      </w:r>
      <w:proofErr w:type="spellEnd"/>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De</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Pointes</w:t>
      </w:r>
      <w:r w:rsidRPr="00663BD6">
        <w:rPr>
          <w:rFonts w:eastAsia="Times New Roman" w:cs="Arial"/>
          <w:i/>
          <w:iCs/>
          <w:color w:val="000000"/>
          <w:szCs w:val="20"/>
          <w:lang w:val="ru-RU"/>
        </w:rPr>
        <w:t>,</w:t>
      </w:r>
      <w:r w:rsidRPr="00663BD6">
        <w:rPr>
          <w:rFonts w:eastAsia="Times New Roman" w:cs="Arial"/>
          <w:color w:val="000000"/>
          <w:szCs w:val="20"/>
          <w:lang w:val="ru-RU"/>
        </w:rPr>
        <w:t xml:space="preserve"> </w:t>
      </w:r>
      <w:r w:rsidRPr="00663BD6">
        <w:rPr>
          <w:rFonts w:eastAsia="Times New Roman" w:cs="Arial"/>
          <w:color w:val="000000"/>
          <w:szCs w:val="20"/>
          <w:lang w:eastAsia="bg-BG"/>
        </w:rPr>
        <w:t>въпреки че липсват убедителни данни за причинно-следствена връзка с употребата на този лекарствен продукт.</w:t>
      </w:r>
    </w:p>
    <w:p w14:paraId="06477EAB" w14:textId="7FD31745" w:rsidR="00663BD6" w:rsidRPr="00663BD6" w:rsidRDefault="00663BD6" w:rsidP="00663BD6">
      <w:pPr>
        <w:rPr>
          <w:rFonts w:eastAsia="Times New Roman" w:cs="Arial"/>
          <w:color w:val="000000"/>
          <w:szCs w:val="20"/>
          <w:lang w:eastAsia="bg-BG"/>
        </w:rPr>
      </w:pPr>
    </w:p>
    <w:p w14:paraId="66D1F634"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Съобщаване на подозирани нежелани реакции</w:t>
      </w:r>
    </w:p>
    <w:p w14:paraId="6030B843" w14:textId="7B003066" w:rsidR="00663BD6" w:rsidRDefault="00663BD6" w:rsidP="00663BD6">
      <w:pPr>
        <w:rPr>
          <w:rFonts w:ascii="Times New Roman" w:eastAsia="Times New Roman" w:hAnsi="Times New Roman" w:cs="Times New Roman"/>
          <w:sz w:val="24"/>
          <w:szCs w:val="24"/>
        </w:rPr>
      </w:pPr>
      <w:r w:rsidRPr="00663BD6">
        <w:rPr>
          <w:rFonts w:eastAsia="Times New Roman" w:cs="Arial"/>
          <w:color w:val="000000"/>
          <w:szCs w:val="2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 1303 София; Тел.: 4-359 2 8903417; уебсайт: </w:t>
      </w:r>
      <w:r w:rsidRPr="00663BD6">
        <w:rPr>
          <w:rFonts w:eastAsia="Times New Roman" w:cs="Arial"/>
          <w:color w:val="000000"/>
          <w:szCs w:val="20"/>
          <w:u w:val="single"/>
          <w:lang w:val="en-US"/>
        </w:rPr>
        <w:t>www.bda.bg</w:t>
      </w:r>
    </w:p>
    <w:p w14:paraId="1463643E" w14:textId="44095B5E" w:rsidR="00663BD6" w:rsidRPr="001C266B" w:rsidRDefault="00663BD6" w:rsidP="00663BD6"/>
    <w:p w14:paraId="5A87DBA3" w14:textId="3602EB82" w:rsidR="007122AD" w:rsidRDefault="002C50EE" w:rsidP="00936AD0">
      <w:pPr>
        <w:pStyle w:val="Heading2"/>
      </w:pPr>
      <w:r>
        <w:t>4.9. Предозиране</w:t>
      </w:r>
    </w:p>
    <w:p w14:paraId="2911A335" w14:textId="24AEFEF3" w:rsidR="00663BD6" w:rsidRDefault="00663BD6" w:rsidP="00663BD6"/>
    <w:p w14:paraId="76314574"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В случаите на остро преднамерено или случайно предозиране на Лепонекс, за които има информация за изхода, смъртността към момента е около 12%. Повечето от фаталните случаи са свързани със сърдечна недостатъчност или пневмония поради аспирация и се развиват при дози над 2 000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Има съобщения за пациенти, които се възстановяват от предозиране с над 10 000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При малък брой възрастни индивиди обаче, особено тези, които преди това не са получавали Лепонекс, приемът на дози от 400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води до животозастрашаващи коматозни състояния и в един случай, до смърт. При малки деца приемът на 50 до 200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води до дълбоко седиране или кома, която не е летална.</w:t>
      </w:r>
    </w:p>
    <w:p w14:paraId="29346177" w14:textId="77777777" w:rsidR="00663BD6" w:rsidRPr="00663BD6" w:rsidRDefault="00663BD6" w:rsidP="00663BD6">
      <w:pPr>
        <w:spacing w:line="240" w:lineRule="auto"/>
        <w:rPr>
          <w:rFonts w:eastAsia="Times New Roman" w:cs="Arial"/>
          <w:color w:val="000000"/>
          <w:szCs w:val="20"/>
          <w:u w:val="single"/>
          <w:lang w:eastAsia="bg-BG"/>
        </w:rPr>
      </w:pPr>
    </w:p>
    <w:p w14:paraId="5B425D63" w14:textId="51CC6465"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Признаци и симптоми</w:t>
      </w:r>
    </w:p>
    <w:p w14:paraId="1C058EAF"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Сънливост, летаргия, арефлексия, кома, обърканост, халюцинации, ажитираност, делир, екстрапирамидни симптоми, хиперрефлексия, гърчове; хиперсаливация, мидриаза, замъглено виждане, термолабилност; хипотония, колапс, тахикардия, сърдечни аритмии; аспирационна пневмония, диспнея, потискане на дишането или дихателна недостатъчност</w:t>
      </w:r>
    </w:p>
    <w:p w14:paraId="66FDAAF1" w14:textId="77777777" w:rsidR="00663BD6" w:rsidRPr="00663BD6" w:rsidRDefault="00663BD6" w:rsidP="00663BD6">
      <w:pPr>
        <w:spacing w:line="240" w:lineRule="auto"/>
        <w:rPr>
          <w:rFonts w:eastAsia="Times New Roman" w:cs="Arial"/>
          <w:color w:val="000000"/>
          <w:szCs w:val="20"/>
          <w:u w:val="single"/>
          <w:lang w:eastAsia="bg-BG"/>
        </w:rPr>
      </w:pPr>
    </w:p>
    <w:p w14:paraId="1C3FA2BF" w14:textId="598BE5D9"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Лечение</w:t>
      </w:r>
    </w:p>
    <w:p w14:paraId="505344B0"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Няма специфични антидоти за Лепонекс.</w:t>
      </w:r>
    </w:p>
    <w:p w14:paraId="3F6EE71F" w14:textId="77777777" w:rsidR="00663BD6" w:rsidRPr="00663BD6" w:rsidRDefault="00663BD6" w:rsidP="00663BD6">
      <w:pPr>
        <w:spacing w:line="240" w:lineRule="auto"/>
        <w:rPr>
          <w:rFonts w:eastAsia="Times New Roman" w:cs="Arial"/>
          <w:color w:val="000000"/>
          <w:szCs w:val="20"/>
          <w:lang w:eastAsia="bg-BG"/>
        </w:rPr>
      </w:pPr>
    </w:p>
    <w:p w14:paraId="257F02D5" w14:textId="2C93DC15"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Стомашна промивка и/или приложение на активен въглен в първите 6 часа след поглъщането на лекарството. Малко е вероятно перитонеална диализа и хемодиализа да се окажат ефективни. Симптоматично лечение под непрекъснат сърдечен мониторинг, следене на дишането, контрол на електролитите и киселинно-алкалното равновесие. Трябва да се избягва употребата на адреналин при лечението на хипотонията поради възможността за “обратен адреналинов” ефект.</w:t>
      </w:r>
    </w:p>
    <w:p w14:paraId="12570870" w14:textId="77777777" w:rsidR="00663BD6" w:rsidRPr="00663BD6" w:rsidRDefault="00663BD6" w:rsidP="00663BD6">
      <w:pPr>
        <w:spacing w:line="240" w:lineRule="auto"/>
        <w:rPr>
          <w:rFonts w:eastAsia="Times New Roman" w:cs="Arial"/>
          <w:color w:val="000000"/>
          <w:szCs w:val="20"/>
          <w:lang w:eastAsia="bg-BG"/>
        </w:rPr>
      </w:pPr>
    </w:p>
    <w:p w14:paraId="149C78A1" w14:textId="1CA573C5"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Необходимо е непрекъснато медицинско наблюдение в продължение на поне 5 дни поради възможността за забавени реакции.</w:t>
      </w:r>
    </w:p>
    <w:p w14:paraId="687769D2" w14:textId="77777777" w:rsidR="00663BD6" w:rsidRPr="00663BD6" w:rsidRDefault="00663BD6" w:rsidP="00663BD6"/>
    <w:p w14:paraId="02081B24" w14:textId="1F46E296" w:rsidR="00395555" w:rsidRPr="00395555" w:rsidRDefault="002C50EE" w:rsidP="008A6AF2">
      <w:pPr>
        <w:pStyle w:val="Heading1"/>
      </w:pPr>
      <w:r>
        <w:t>5. ФАРМАКОЛОГИЧНИ СВОЙСТВА</w:t>
      </w:r>
    </w:p>
    <w:p w14:paraId="7DE36AC8" w14:textId="285CEA87" w:rsidR="00B6672E" w:rsidRDefault="002C50EE" w:rsidP="00936AD0">
      <w:pPr>
        <w:pStyle w:val="Heading2"/>
      </w:pPr>
      <w:r>
        <w:t>5.1. Фармакодинамични свойства</w:t>
      </w:r>
    </w:p>
    <w:p w14:paraId="0F9DFE02" w14:textId="3B2658B6" w:rsidR="00663BD6" w:rsidRDefault="00663BD6" w:rsidP="00663BD6"/>
    <w:p w14:paraId="6E67D97D"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Фармакотерапевтична група: Антипсихотици; Диазепини, оксазепини и тиазепини, АТС код: </w:t>
      </w:r>
      <w:r w:rsidRPr="00663BD6">
        <w:rPr>
          <w:rFonts w:eastAsia="Times New Roman" w:cs="Arial"/>
          <w:color w:val="000000"/>
          <w:szCs w:val="20"/>
          <w:lang w:val="en-US"/>
        </w:rPr>
        <w:t>N</w:t>
      </w:r>
      <w:r w:rsidRPr="00663BD6">
        <w:rPr>
          <w:rFonts w:eastAsia="Times New Roman" w:cs="Arial"/>
          <w:color w:val="000000"/>
          <w:szCs w:val="20"/>
          <w:lang w:val="ru-RU"/>
        </w:rPr>
        <w:t>05</w:t>
      </w:r>
      <w:r w:rsidRPr="00663BD6">
        <w:rPr>
          <w:rFonts w:eastAsia="Times New Roman" w:cs="Arial"/>
          <w:color w:val="000000"/>
          <w:szCs w:val="20"/>
          <w:lang w:val="en-US"/>
        </w:rPr>
        <w:t>AH</w:t>
      </w:r>
      <w:r w:rsidRPr="00663BD6">
        <w:rPr>
          <w:rFonts w:eastAsia="Times New Roman" w:cs="Arial"/>
          <w:color w:val="000000"/>
          <w:szCs w:val="20"/>
          <w:lang w:val="ru-RU"/>
        </w:rPr>
        <w:t>02.</w:t>
      </w:r>
    </w:p>
    <w:p w14:paraId="420DB928" w14:textId="77777777" w:rsidR="00663BD6" w:rsidRPr="00663BD6" w:rsidRDefault="00663BD6" w:rsidP="00663BD6">
      <w:pPr>
        <w:spacing w:line="240" w:lineRule="auto"/>
        <w:rPr>
          <w:rFonts w:eastAsia="Times New Roman" w:cs="Arial"/>
          <w:color w:val="000000"/>
          <w:szCs w:val="20"/>
          <w:u w:val="single"/>
          <w:lang w:eastAsia="bg-BG"/>
        </w:rPr>
      </w:pPr>
    </w:p>
    <w:p w14:paraId="210F8D65" w14:textId="5E5A1CBF"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Механизъм на действие</w:t>
      </w:r>
    </w:p>
    <w:p w14:paraId="6CB00E44"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За Лепонекс като антипсихотично средство е доказано, че се различава от класическите антипсихотици. При фармакологични експерименти веществото не предизвиква каталепсия или инхибиране на индуцирането от апоморфин или амфетамин стереотипно поведение. То има само слабо блокиращо действие на допаминовите рецептори </w:t>
      </w:r>
      <w:r w:rsidRPr="00663BD6">
        <w:rPr>
          <w:rFonts w:eastAsia="Times New Roman" w:cs="Arial"/>
          <w:color w:val="000000"/>
          <w:szCs w:val="20"/>
          <w:lang w:val="en-US"/>
        </w:rPr>
        <w:t>D</w:t>
      </w:r>
      <w:r w:rsidRPr="00663BD6">
        <w:rPr>
          <w:rFonts w:eastAsia="Times New Roman" w:cs="Arial"/>
          <w:color w:val="000000"/>
          <w:szCs w:val="20"/>
          <w:vertAlign w:val="subscript"/>
          <w:lang w:val="ru-RU"/>
        </w:rPr>
        <w:t>1</w:t>
      </w:r>
      <w:r w:rsidRPr="00663BD6">
        <w:rPr>
          <w:rFonts w:eastAsia="Times New Roman" w:cs="Arial"/>
          <w:color w:val="000000"/>
          <w:szCs w:val="20"/>
          <w:lang w:val="ru-RU"/>
        </w:rPr>
        <w:t xml:space="preserve">, </w:t>
      </w:r>
      <w:r w:rsidRPr="00663BD6">
        <w:rPr>
          <w:rFonts w:eastAsia="Times New Roman" w:cs="Arial"/>
          <w:color w:val="000000"/>
          <w:szCs w:val="20"/>
          <w:lang w:val="en-US"/>
        </w:rPr>
        <w:t>D</w:t>
      </w:r>
      <w:r w:rsidRPr="00663BD6">
        <w:rPr>
          <w:rFonts w:eastAsia="Times New Roman" w:cs="Arial"/>
          <w:color w:val="000000"/>
          <w:szCs w:val="20"/>
          <w:vertAlign w:val="subscript"/>
          <w:lang w:val="ru-RU"/>
        </w:rPr>
        <w:t>2</w:t>
      </w:r>
      <w:r w:rsidRPr="00663BD6">
        <w:rPr>
          <w:rFonts w:eastAsia="Times New Roman" w:cs="Arial"/>
          <w:color w:val="000000"/>
          <w:szCs w:val="20"/>
          <w:lang w:val="ru-RU"/>
        </w:rPr>
        <w:t xml:space="preserve">, </w:t>
      </w:r>
      <w:r w:rsidRPr="00663BD6">
        <w:rPr>
          <w:rFonts w:eastAsia="Times New Roman" w:cs="Arial"/>
          <w:color w:val="000000"/>
          <w:szCs w:val="20"/>
          <w:lang w:val="en-US"/>
        </w:rPr>
        <w:t>D</w:t>
      </w:r>
      <w:r w:rsidRPr="00663BD6">
        <w:rPr>
          <w:rFonts w:eastAsia="Times New Roman" w:cs="Arial"/>
          <w:color w:val="000000"/>
          <w:szCs w:val="20"/>
          <w:vertAlign w:val="subscript"/>
          <w:lang w:val="ru-RU"/>
        </w:rPr>
        <w:t>3</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 </w:t>
      </w:r>
      <w:r w:rsidRPr="00663BD6">
        <w:rPr>
          <w:rFonts w:eastAsia="Times New Roman" w:cs="Arial"/>
          <w:color w:val="000000"/>
          <w:szCs w:val="20"/>
          <w:lang w:val="en-US"/>
        </w:rPr>
        <w:t>D</w:t>
      </w:r>
      <w:r w:rsidRPr="00663BD6">
        <w:rPr>
          <w:rFonts w:eastAsia="Times New Roman" w:cs="Arial"/>
          <w:color w:val="000000"/>
          <w:szCs w:val="20"/>
          <w:vertAlign w:val="subscript"/>
          <w:lang w:val="ru-RU"/>
        </w:rPr>
        <w:t>5</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но показва висок афинитет към </w:t>
      </w:r>
      <w:r w:rsidRPr="00663BD6">
        <w:rPr>
          <w:rFonts w:eastAsia="Times New Roman" w:cs="Arial"/>
          <w:color w:val="000000"/>
          <w:szCs w:val="20"/>
          <w:lang w:val="en-US"/>
        </w:rPr>
        <w:t>D</w:t>
      </w:r>
      <w:r w:rsidRPr="00663BD6">
        <w:rPr>
          <w:rFonts w:eastAsia="Times New Roman" w:cs="Arial"/>
          <w:color w:val="000000"/>
          <w:szCs w:val="20"/>
          <w:vertAlign w:val="subscript"/>
          <w:lang w:val="ru-RU"/>
        </w:rPr>
        <w:t>4</w:t>
      </w:r>
      <w:r w:rsidRPr="00663BD6">
        <w:rPr>
          <w:rFonts w:eastAsia="Times New Roman" w:cs="Arial"/>
          <w:color w:val="000000"/>
          <w:szCs w:val="20"/>
          <w:lang w:val="ru-RU"/>
        </w:rPr>
        <w:t xml:space="preserve"> </w:t>
      </w:r>
      <w:r w:rsidRPr="00663BD6">
        <w:rPr>
          <w:rFonts w:eastAsia="Times New Roman" w:cs="Arial"/>
          <w:color w:val="000000"/>
          <w:szCs w:val="20"/>
          <w:lang w:eastAsia="bg-BG"/>
        </w:rPr>
        <w:t>рецептора.</w:t>
      </w:r>
    </w:p>
    <w:p w14:paraId="42F72054" w14:textId="77777777" w:rsidR="00663BD6" w:rsidRPr="00663BD6" w:rsidRDefault="00663BD6" w:rsidP="00663BD6">
      <w:pPr>
        <w:spacing w:line="240" w:lineRule="auto"/>
        <w:rPr>
          <w:rFonts w:eastAsia="Times New Roman" w:cs="Arial"/>
          <w:color w:val="000000"/>
          <w:szCs w:val="20"/>
          <w:u w:val="single"/>
          <w:lang w:eastAsia="bg-BG"/>
        </w:rPr>
      </w:pPr>
    </w:p>
    <w:p w14:paraId="392037D8" w14:textId="23851158"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Фармакодинамични ефекти</w:t>
      </w:r>
    </w:p>
    <w:p w14:paraId="49260A9E" w14:textId="1DA01BAC" w:rsidR="00663BD6" w:rsidRPr="00663BD6" w:rsidRDefault="00663BD6" w:rsidP="00663BD6">
      <w:pPr>
        <w:rPr>
          <w:rFonts w:eastAsia="Times New Roman" w:cs="Arial"/>
          <w:color w:val="000000"/>
          <w:szCs w:val="20"/>
          <w:lang w:eastAsia="bg-BG"/>
        </w:rPr>
      </w:pPr>
      <w:r w:rsidRPr="00663BD6">
        <w:rPr>
          <w:rFonts w:eastAsia="Times New Roman" w:cs="Arial"/>
          <w:color w:val="000000"/>
          <w:szCs w:val="20"/>
          <w:lang w:eastAsia="bg-BG"/>
        </w:rPr>
        <w:t>Лепонекс има мощни анти-алфа-адренергични, антихолинергични, антихистаминови и инхибиращи възбудната реакция ефекти. Доказано е, че той притежава и антисеротонинергични свойства.</w:t>
      </w:r>
    </w:p>
    <w:p w14:paraId="22525134" w14:textId="4B0208D0" w:rsidR="00663BD6" w:rsidRPr="00663BD6" w:rsidRDefault="00663BD6" w:rsidP="00663BD6">
      <w:pPr>
        <w:rPr>
          <w:rFonts w:eastAsia="Times New Roman" w:cs="Arial"/>
          <w:color w:val="000000"/>
          <w:szCs w:val="20"/>
          <w:lang w:eastAsia="bg-BG"/>
        </w:rPr>
      </w:pPr>
    </w:p>
    <w:p w14:paraId="3AD7B6B6"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Клинична</w:t>
      </w:r>
      <w:r w:rsidRPr="00663BD6">
        <w:rPr>
          <w:rFonts w:eastAsia="Times New Roman" w:cs="Arial"/>
          <w:color w:val="000000"/>
          <w:szCs w:val="20"/>
          <w:u w:val="single"/>
          <w:lang w:eastAsia="bg-BG"/>
        </w:rPr>
        <w:t xml:space="preserve"> </w:t>
      </w:r>
      <w:r w:rsidRPr="00663BD6">
        <w:rPr>
          <w:rFonts w:eastAsia="Times New Roman" w:cs="Arial"/>
          <w:color w:val="000000"/>
          <w:szCs w:val="20"/>
          <w:lang w:eastAsia="bg-BG"/>
        </w:rPr>
        <w:t>ефикасност</w:t>
      </w:r>
      <w:r w:rsidRPr="00663BD6">
        <w:rPr>
          <w:rFonts w:eastAsia="Times New Roman" w:cs="Arial"/>
          <w:color w:val="000000"/>
          <w:szCs w:val="20"/>
          <w:u w:val="single"/>
          <w:lang w:eastAsia="bg-BG"/>
        </w:rPr>
        <w:t xml:space="preserve"> </w:t>
      </w:r>
      <w:r w:rsidRPr="00663BD6">
        <w:rPr>
          <w:rFonts w:eastAsia="Times New Roman" w:cs="Arial"/>
          <w:i/>
          <w:iCs/>
          <w:color w:val="000000"/>
          <w:szCs w:val="20"/>
          <w:lang w:eastAsia="bg-BG"/>
        </w:rPr>
        <w:t>и</w:t>
      </w:r>
      <w:r w:rsidRPr="00663BD6">
        <w:rPr>
          <w:rFonts w:eastAsia="Times New Roman" w:cs="Arial"/>
          <w:color w:val="000000"/>
          <w:szCs w:val="20"/>
          <w:u w:val="single"/>
          <w:lang w:eastAsia="bg-BG"/>
        </w:rPr>
        <w:t xml:space="preserve"> </w:t>
      </w:r>
      <w:r w:rsidRPr="00663BD6">
        <w:rPr>
          <w:rFonts w:eastAsia="Times New Roman" w:cs="Arial"/>
          <w:color w:val="000000"/>
          <w:szCs w:val="20"/>
          <w:lang w:eastAsia="bg-BG"/>
        </w:rPr>
        <w:t>безопасност</w:t>
      </w:r>
    </w:p>
    <w:p w14:paraId="28F753D1"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В клинични условия Лепонекс предизвиква бързо и значимо седиране и оказва антипсихотични ефекти при шизофренно болни с резистентност към друго лекарствено лечение. В такива случаи е доказано, че Лепонекс е ефективен при облекчаване както на позитивните, така и на негативните шизофрении симптоми, основно в краткосрочни изпитвания. В отворено клинично изпитване, проведено при 319 резистентни пациенти, лекувани в продължение на 12 месеца, е наблюдавано клинично значимо подобрение при 37% от пациентите в рамките на първата седмица от лечението и при допълнителни 44% до края на 12 месеца. Подобрението се определя като около 20% понижение спрямо изходното ниво в </w:t>
      </w:r>
      <w:r w:rsidRPr="00663BD6">
        <w:rPr>
          <w:rFonts w:eastAsia="Times New Roman" w:cs="Arial"/>
          <w:i/>
          <w:iCs/>
          <w:color w:val="000000"/>
          <w:szCs w:val="20"/>
          <w:lang w:val="en-US"/>
        </w:rPr>
        <w:t>Brief</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Psychiatric</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Rating</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Scale</w:t>
      </w:r>
      <w:r w:rsidRPr="00663BD6">
        <w:rPr>
          <w:rFonts w:eastAsia="Times New Roman" w:cs="Arial"/>
          <w:i/>
          <w:iCs/>
          <w:color w:val="000000"/>
          <w:szCs w:val="20"/>
          <w:lang w:val="ru-RU"/>
        </w:rPr>
        <w:t xml:space="preserve"> </w:t>
      </w:r>
      <w:r w:rsidRPr="00663BD6">
        <w:rPr>
          <w:rFonts w:eastAsia="Times New Roman" w:cs="Arial"/>
          <w:i/>
          <w:iCs/>
          <w:color w:val="000000"/>
          <w:szCs w:val="20"/>
          <w:lang w:val="en-US"/>
        </w:rPr>
        <w:t>Score</w:t>
      </w:r>
      <w:r w:rsidRPr="00663BD6">
        <w:rPr>
          <w:rFonts w:eastAsia="Times New Roman" w:cs="Arial"/>
          <w:i/>
          <w:iCs/>
          <w:color w:val="000000"/>
          <w:szCs w:val="20"/>
          <w:lang w:val="ru-RU"/>
        </w:rPr>
        <w:t>.</w:t>
      </w:r>
      <w:r w:rsidRPr="00663BD6">
        <w:rPr>
          <w:rFonts w:eastAsia="Times New Roman" w:cs="Arial"/>
          <w:color w:val="000000"/>
          <w:szCs w:val="20"/>
          <w:lang w:val="ru-RU"/>
        </w:rPr>
        <w:t xml:space="preserve"> </w:t>
      </w:r>
      <w:r w:rsidRPr="00663BD6">
        <w:rPr>
          <w:rFonts w:eastAsia="Times New Roman" w:cs="Arial"/>
          <w:color w:val="000000"/>
          <w:szCs w:val="20"/>
          <w:lang w:eastAsia="bg-BG"/>
        </w:rPr>
        <w:t>В допълнение, е описано подобрение в някои аспекти на когнитивната дисфункция.</w:t>
      </w:r>
    </w:p>
    <w:p w14:paraId="1DC0BD60" w14:textId="77777777" w:rsidR="00663BD6" w:rsidRPr="00663BD6" w:rsidRDefault="00663BD6" w:rsidP="00663BD6">
      <w:pPr>
        <w:spacing w:line="240" w:lineRule="auto"/>
        <w:rPr>
          <w:rFonts w:eastAsia="Times New Roman" w:cs="Arial"/>
          <w:color w:val="000000"/>
          <w:szCs w:val="20"/>
          <w:lang w:eastAsia="bg-BG"/>
        </w:rPr>
      </w:pPr>
    </w:p>
    <w:p w14:paraId="335730C0" w14:textId="20DB7268"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В сравнение с класическите антипсихотици, Лепонекс предизвиква по-малко големи екстрапирамидни реакции като остра дистонии, наподобяващи на паркинсон странични ефекти и акатизия. За разлика от класическите антипсихотици, Лепонекс води до леко или не води до повишение на пролактина, като по този начин се избягват нежелани реакции като гинекомастия, аменорея, галакторея и импотентност.</w:t>
      </w:r>
    </w:p>
    <w:p w14:paraId="25D8DCF0" w14:textId="77777777" w:rsidR="00663BD6" w:rsidRPr="00663BD6" w:rsidRDefault="00663BD6" w:rsidP="00663BD6">
      <w:pPr>
        <w:spacing w:line="240" w:lineRule="auto"/>
        <w:rPr>
          <w:rFonts w:eastAsia="Times New Roman" w:cs="Arial"/>
          <w:color w:val="000000"/>
          <w:szCs w:val="20"/>
          <w:lang w:eastAsia="bg-BG"/>
        </w:rPr>
      </w:pPr>
    </w:p>
    <w:p w14:paraId="32F5F597" w14:textId="062DCB31"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Потенциално сериозни нежелани реакции, причинени от лечението с Лепонекс, са гранулоцитопенията и агранулоцитозата, които се проявяват очаквана честота 3% и 0,7%, съответно. Предвид този риск, употребата на Лепонекс трябва да се ограничи до пациенти, които са резистентни на лечение или пациенти с психоза при болестта на Паркинсон, когато други стратегии на лечение не са успели (вж. точка 4.1) и при които могат да се извършват редовни хематологични изследвания (вж. точки 4,4 и 4.8).</w:t>
      </w:r>
    </w:p>
    <w:p w14:paraId="2818F3FF" w14:textId="77777777" w:rsidR="00663BD6" w:rsidRPr="00663BD6" w:rsidRDefault="00663BD6" w:rsidP="00663BD6"/>
    <w:p w14:paraId="78DD93AA" w14:textId="0A547071" w:rsidR="00B6672E" w:rsidRDefault="002C50EE" w:rsidP="00936AD0">
      <w:pPr>
        <w:pStyle w:val="Heading2"/>
      </w:pPr>
      <w:r>
        <w:t>5.2. Фармакокинетични свойства</w:t>
      </w:r>
    </w:p>
    <w:p w14:paraId="646A5FA3" w14:textId="5FE3E015" w:rsidR="00663BD6" w:rsidRDefault="00663BD6" w:rsidP="00663BD6"/>
    <w:p w14:paraId="37A60DE9" w14:textId="77777777" w:rsidR="00663BD6" w:rsidRPr="00663BD6" w:rsidRDefault="00663BD6" w:rsidP="00663BD6">
      <w:pPr>
        <w:pStyle w:val="Heading3"/>
        <w:rPr>
          <w:rFonts w:eastAsia="Times New Roman"/>
          <w:sz w:val="28"/>
          <w:u w:val="single"/>
        </w:rPr>
      </w:pPr>
      <w:r w:rsidRPr="00663BD6">
        <w:rPr>
          <w:rFonts w:eastAsia="Times New Roman"/>
          <w:u w:val="single"/>
          <w:lang w:eastAsia="bg-BG"/>
        </w:rPr>
        <w:lastRenderedPageBreak/>
        <w:t>Абсорбция</w:t>
      </w:r>
    </w:p>
    <w:p w14:paraId="78707517"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Абсорбцията на перорално приложения Лепонекс е 90 до 95%; нито скоростта, нито степента на абсорбцията се влияе от храната.</w:t>
      </w:r>
    </w:p>
    <w:p w14:paraId="0373A130" w14:textId="77777777" w:rsidR="00663BD6" w:rsidRPr="00663BD6" w:rsidRDefault="00663BD6" w:rsidP="00663BD6">
      <w:pPr>
        <w:spacing w:line="240" w:lineRule="auto"/>
        <w:rPr>
          <w:rFonts w:eastAsia="Times New Roman" w:cs="Arial"/>
          <w:color w:val="000000"/>
          <w:szCs w:val="20"/>
          <w:lang w:eastAsia="bg-BG"/>
        </w:rPr>
      </w:pPr>
    </w:p>
    <w:p w14:paraId="0D48DE35" w14:textId="050A9E9D"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Лепонекс е подложен на умерено метаболизъм при първо преминаване, което води до абсолютна бионаличност от 50 до 60%.</w:t>
      </w:r>
    </w:p>
    <w:p w14:paraId="1A5503BF" w14:textId="77777777" w:rsidR="00663BD6" w:rsidRPr="00663BD6" w:rsidRDefault="00663BD6" w:rsidP="00663BD6">
      <w:pPr>
        <w:spacing w:line="240" w:lineRule="auto"/>
        <w:rPr>
          <w:rFonts w:eastAsia="Times New Roman" w:cs="Arial"/>
          <w:color w:val="000000"/>
          <w:szCs w:val="20"/>
          <w:u w:val="single"/>
          <w:lang w:eastAsia="bg-BG"/>
        </w:rPr>
      </w:pPr>
    </w:p>
    <w:p w14:paraId="3F814BA1" w14:textId="05FB721A" w:rsidR="00663BD6" w:rsidRPr="00663BD6" w:rsidRDefault="00663BD6" w:rsidP="00663BD6">
      <w:pPr>
        <w:pStyle w:val="Heading3"/>
        <w:rPr>
          <w:rFonts w:eastAsia="Times New Roman"/>
          <w:sz w:val="28"/>
          <w:u w:val="single"/>
        </w:rPr>
      </w:pPr>
      <w:r w:rsidRPr="00663BD6">
        <w:rPr>
          <w:rFonts w:eastAsia="Times New Roman"/>
          <w:u w:val="single"/>
          <w:lang w:eastAsia="bg-BG"/>
        </w:rPr>
        <w:t>Разпределение</w:t>
      </w:r>
    </w:p>
    <w:p w14:paraId="5E3F380D"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При равновесни условия, ако се дава два пъти на ден, пиковите нива в кръвта се откриват средно след 2,1 часа (обхват: 0,4 до 4,2 часа), а обемът на разпределение е 1,6 </w:t>
      </w:r>
      <w:r w:rsidRPr="00663BD6">
        <w:rPr>
          <w:rFonts w:eastAsia="Times New Roman" w:cs="Arial"/>
          <w:color w:val="000000"/>
          <w:szCs w:val="20"/>
          <w:lang w:val="en-US"/>
        </w:rPr>
        <w:t>l</w:t>
      </w:r>
      <w:r w:rsidRPr="00663BD6">
        <w:rPr>
          <w:rFonts w:eastAsia="Times New Roman" w:cs="Arial"/>
          <w:color w:val="000000"/>
          <w:szCs w:val="20"/>
          <w:lang w:val="ru-RU"/>
        </w:rPr>
        <w:t>/</w:t>
      </w:r>
      <w:r w:rsidRPr="00663BD6">
        <w:rPr>
          <w:rFonts w:eastAsia="Times New Roman" w:cs="Arial"/>
          <w:color w:val="000000"/>
          <w:szCs w:val="20"/>
          <w:lang w:val="en-US"/>
        </w:rPr>
        <w:t>kg</w:t>
      </w:r>
      <w:r w:rsidRPr="00663BD6">
        <w:rPr>
          <w:rFonts w:eastAsia="Times New Roman" w:cs="Arial"/>
          <w:color w:val="000000"/>
          <w:szCs w:val="20"/>
          <w:lang w:val="ru-RU"/>
        </w:rPr>
        <w:t xml:space="preserve">. </w:t>
      </w:r>
      <w:r w:rsidRPr="00663BD6">
        <w:rPr>
          <w:rFonts w:eastAsia="Times New Roman" w:cs="Arial"/>
          <w:color w:val="000000"/>
          <w:szCs w:val="20"/>
          <w:lang w:eastAsia="bg-BG"/>
        </w:rPr>
        <w:t>Лепонекс се свързва в приблизително 95% с плазмените белтъци.</w:t>
      </w:r>
    </w:p>
    <w:p w14:paraId="4CD6A0F8" w14:textId="77777777" w:rsidR="00663BD6" w:rsidRPr="00663BD6" w:rsidRDefault="00663BD6" w:rsidP="00663BD6">
      <w:pPr>
        <w:spacing w:line="240" w:lineRule="auto"/>
        <w:rPr>
          <w:rFonts w:eastAsia="Times New Roman" w:cs="Arial"/>
          <w:color w:val="000000"/>
          <w:szCs w:val="20"/>
          <w:u w:val="single"/>
          <w:lang w:eastAsia="bg-BG"/>
        </w:rPr>
      </w:pPr>
    </w:p>
    <w:p w14:paraId="3A563F63" w14:textId="4A7D87FC" w:rsidR="00663BD6" w:rsidRPr="00663BD6" w:rsidRDefault="00663BD6" w:rsidP="00663BD6">
      <w:pPr>
        <w:pStyle w:val="Heading3"/>
        <w:rPr>
          <w:rFonts w:eastAsia="Times New Roman"/>
          <w:sz w:val="28"/>
          <w:u w:val="single"/>
        </w:rPr>
      </w:pPr>
      <w:r w:rsidRPr="00663BD6">
        <w:rPr>
          <w:rFonts w:eastAsia="Times New Roman"/>
          <w:u w:val="single"/>
          <w:lang w:eastAsia="bg-BG"/>
        </w:rPr>
        <w:t>Биотрансформация/метаболизъм</w:t>
      </w:r>
    </w:p>
    <w:p w14:paraId="19CA8BB0"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Лепонекс се метаболизира почти напълно преди да се екскретира от </w:t>
      </w:r>
      <w:r w:rsidRPr="00663BD6">
        <w:rPr>
          <w:rFonts w:eastAsia="Times New Roman" w:cs="Arial"/>
          <w:color w:val="000000"/>
          <w:szCs w:val="20"/>
          <w:lang w:val="en-US"/>
        </w:rPr>
        <w:t>CYP</w:t>
      </w:r>
      <w:r w:rsidRPr="00663BD6">
        <w:rPr>
          <w:rFonts w:eastAsia="Times New Roman" w:cs="Arial"/>
          <w:color w:val="000000"/>
          <w:szCs w:val="20"/>
          <w:lang w:val="ru-RU"/>
        </w:rPr>
        <w:t>1</w:t>
      </w:r>
      <w:r w:rsidRPr="00663BD6">
        <w:rPr>
          <w:rFonts w:eastAsia="Times New Roman" w:cs="Arial"/>
          <w:color w:val="000000"/>
          <w:szCs w:val="20"/>
          <w:lang w:val="en-US"/>
        </w:rPr>
        <w:t>A</w:t>
      </w:r>
      <w:r w:rsidRPr="00663BD6">
        <w:rPr>
          <w:rFonts w:eastAsia="Times New Roman" w:cs="Arial"/>
          <w:color w:val="000000"/>
          <w:szCs w:val="20"/>
          <w:lang w:val="ru-RU"/>
        </w:rPr>
        <w:t xml:space="preserve">2 </w:t>
      </w:r>
      <w:r w:rsidRPr="00663BD6">
        <w:rPr>
          <w:rFonts w:eastAsia="Times New Roman" w:cs="Arial"/>
          <w:color w:val="000000"/>
          <w:szCs w:val="20"/>
          <w:lang w:eastAsia="bg-BG"/>
        </w:rPr>
        <w:t xml:space="preserve">и </w:t>
      </w:r>
      <w:r w:rsidRPr="00663BD6">
        <w:rPr>
          <w:rFonts w:eastAsia="Times New Roman" w:cs="Arial"/>
          <w:color w:val="000000"/>
          <w:szCs w:val="20"/>
          <w:lang w:val="en-US"/>
        </w:rPr>
        <w:t>CYP</w:t>
      </w:r>
      <w:r w:rsidRPr="00663BD6">
        <w:rPr>
          <w:rFonts w:eastAsia="Times New Roman" w:cs="Arial"/>
          <w:color w:val="000000"/>
          <w:szCs w:val="20"/>
          <w:lang w:val="ru-RU"/>
        </w:rPr>
        <w:t>3</w:t>
      </w:r>
      <w:r w:rsidRPr="00663BD6">
        <w:rPr>
          <w:rFonts w:eastAsia="Times New Roman" w:cs="Arial"/>
          <w:color w:val="000000"/>
          <w:szCs w:val="20"/>
          <w:lang w:val="en-US"/>
        </w:rPr>
        <w:t>A</w:t>
      </w:r>
      <w:r w:rsidRPr="00663BD6">
        <w:rPr>
          <w:rFonts w:eastAsia="Times New Roman" w:cs="Arial"/>
          <w:color w:val="000000"/>
          <w:szCs w:val="20"/>
          <w:lang w:val="ru-RU"/>
        </w:rPr>
        <w:t xml:space="preserve">4, </w:t>
      </w:r>
      <w:r w:rsidRPr="00663BD6">
        <w:rPr>
          <w:rFonts w:eastAsia="Times New Roman" w:cs="Arial"/>
          <w:color w:val="000000"/>
          <w:szCs w:val="20"/>
          <w:lang w:eastAsia="bg-BG"/>
        </w:rPr>
        <w:t xml:space="preserve">и до известна степен от </w:t>
      </w:r>
      <w:r w:rsidRPr="00663BD6">
        <w:rPr>
          <w:rFonts w:eastAsia="Times New Roman" w:cs="Arial"/>
          <w:color w:val="000000"/>
          <w:szCs w:val="20"/>
          <w:lang w:val="en-US"/>
        </w:rPr>
        <w:t>CYP</w:t>
      </w:r>
      <w:r w:rsidRPr="00663BD6">
        <w:rPr>
          <w:rFonts w:eastAsia="Times New Roman" w:cs="Arial"/>
          <w:color w:val="000000"/>
          <w:szCs w:val="20"/>
          <w:lang w:val="ru-RU"/>
        </w:rPr>
        <w:t>2</w:t>
      </w:r>
      <w:r w:rsidRPr="00663BD6">
        <w:rPr>
          <w:rFonts w:eastAsia="Times New Roman" w:cs="Arial"/>
          <w:color w:val="000000"/>
          <w:szCs w:val="20"/>
          <w:lang w:val="en-US"/>
        </w:rPr>
        <w:t>C</w:t>
      </w:r>
      <w:r w:rsidRPr="00663BD6">
        <w:rPr>
          <w:rFonts w:eastAsia="Times New Roman" w:cs="Arial"/>
          <w:color w:val="000000"/>
          <w:szCs w:val="20"/>
          <w:lang w:val="ru-RU"/>
        </w:rPr>
        <w:t xml:space="preserve">19 </w:t>
      </w:r>
      <w:r w:rsidRPr="00663BD6">
        <w:rPr>
          <w:rFonts w:eastAsia="Times New Roman" w:cs="Arial"/>
          <w:color w:val="000000"/>
          <w:szCs w:val="20"/>
          <w:lang w:eastAsia="bg-BG"/>
        </w:rPr>
        <w:t xml:space="preserve">и </w:t>
      </w:r>
      <w:r w:rsidRPr="00663BD6">
        <w:rPr>
          <w:rFonts w:eastAsia="Times New Roman" w:cs="Arial"/>
          <w:color w:val="000000"/>
          <w:szCs w:val="20"/>
          <w:lang w:val="en-US"/>
        </w:rPr>
        <w:t>CYP</w:t>
      </w:r>
      <w:r w:rsidRPr="00663BD6">
        <w:rPr>
          <w:rFonts w:eastAsia="Times New Roman" w:cs="Arial"/>
          <w:color w:val="000000"/>
          <w:szCs w:val="20"/>
          <w:lang w:val="ru-RU"/>
        </w:rPr>
        <w:t>2</w:t>
      </w:r>
      <w:r w:rsidRPr="00663BD6">
        <w:rPr>
          <w:rFonts w:eastAsia="Times New Roman" w:cs="Arial"/>
          <w:color w:val="000000"/>
          <w:szCs w:val="20"/>
          <w:lang w:val="en-US"/>
        </w:rPr>
        <w:t>D</w:t>
      </w:r>
      <w:r w:rsidRPr="00663BD6">
        <w:rPr>
          <w:rFonts w:eastAsia="Times New Roman" w:cs="Arial"/>
          <w:color w:val="000000"/>
          <w:szCs w:val="20"/>
          <w:lang w:val="ru-RU"/>
        </w:rPr>
        <w:t xml:space="preserve">6. </w:t>
      </w:r>
      <w:r w:rsidRPr="00663BD6">
        <w:rPr>
          <w:rFonts w:eastAsia="Times New Roman" w:cs="Arial"/>
          <w:color w:val="000000"/>
          <w:szCs w:val="20"/>
          <w:lang w:eastAsia="bg-BG"/>
        </w:rPr>
        <w:t>От главните метаболити единствено за диметиловото производно е доказано, че е активно. Фармакологичните му действия наподобяват тези на клозапин, но са значително по-слаби и кратки по продължителност.</w:t>
      </w:r>
    </w:p>
    <w:p w14:paraId="1051E66F" w14:textId="77777777" w:rsidR="00663BD6" w:rsidRPr="00663BD6" w:rsidRDefault="00663BD6" w:rsidP="00663BD6">
      <w:pPr>
        <w:spacing w:line="240" w:lineRule="auto"/>
        <w:rPr>
          <w:rFonts w:eastAsia="Times New Roman" w:cs="Arial"/>
          <w:color w:val="000000"/>
          <w:szCs w:val="20"/>
          <w:u w:val="single"/>
          <w:lang w:eastAsia="bg-BG"/>
        </w:rPr>
      </w:pPr>
    </w:p>
    <w:p w14:paraId="0A5DA6CC" w14:textId="60EA1C70" w:rsidR="00663BD6" w:rsidRPr="00663BD6" w:rsidRDefault="00663BD6" w:rsidP="00663BD6">
      <w:pPr>
        <w:pStyle w:val="Heading3"/>
        <w:rPr>
          <w:rFonts w:eastAsia="Times New Roman"/>
          <w:sz w:val="28"/>
          <w:u w:val="single"/>
        </w:rPr>
      </w:pPr>
      <w:r w:rsidRPr="00663BD6">
        <w:rPr>
          <w:rFonts w:eastAsia="Times New Roman"/>
          <w:u w:val="single"/>
          <w:lang w:eastAsia="bg-BG"/>
        </w:rPr>
        <w:t>Елиминиране</w:t>
      </w:r>
    </w:p>
    <w:p w14:paraId="45D49B01"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 xml:space="preserve">Елиминирането му е двуфазово, със среден терминален полуживот от 12 часа (обхват: 6 до 26 часа). След единични дози от 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средният терминален полуживот е 7,9 часа; той се повишава до 14,2 часа, когато се достигат условия на равновесно състояние чрез прилагане на дневни дози от 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в продължение на най-малко 7 дни.</w:t>
      </w:r>
    </w:p>
    <w:p w14:paraId="084B465D" w14:textId="77777777"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lang w:eastAsia="bg-BG"/>
        </w:rPr>
        <w:t>Откриват се само следи от непромененото лекарство в урината и фецеса, като приблизително 50% от приложената доза се екскретира под формата на метаболити в урината и 30%</w:t>
      </w:r>
      <w:r w:rsidRPr="00663BD6">
        <w:rPr>
          <w:rFonts w:eastAsia="Times New Roman" w:cs="Arial"/>
          <w:color w:val="000000"/>
          <w:szCs w:val="20"/>
          <w:lang w:val="ru-RU"/>
        </w:rPr>
        <w:t xml:space="preserve"> </w:t>
      </w:r>
      <w:r w:rsidRPr="00663BD6">
        <w:rPr>
          <w:rFonts w:eastAsia="Times New Roman" w:cs="Arial"/>
          <w:color w:val="000000"/>
          <w:szCs w:val="20"/>
          <w:lang w:eastAsia="bg-BG"/>
        </w:rPr>
        <w:t>във фецеса.</w:t>
      </w:r>
    </w:p>
    <w:p w14:paraId="3A7CACEC" w14:textId="77777777" w:rsidR="00663BD6" w:rsidRPr="00663BD6" w:rsidRDefault="00663BD6" w:rsidP="00663BD6">
      <w:pPr>
        <w:spacing w:line="240" w:lineRule="auto"/>
        <w:rPr>
          <w:rFonts w:eastAsia="Times New Roman" w:cs="Arial"/>
          <w:sz w:val="28"/>
          <w:szCs w:val="24"/>
        </w:rPr>
      </w:pPr>
    </w:p>
    <w:p w14:paraId="39C6519B" w14:textId="2F0052FE" w:rsidR="00663BD6" w:rsidRPr="00663BD6" w:rsidRDefault="00663BD6" w:rsidP="00663BD6">
      <w:pPr>
        <w:spacing w:line="240" w:lineRule="auto"/>
        <w:rPr>
          <w:rFonts w:eastAsia="Times New Roman" w:cs="Arial"/>
          <w:sz w:val="28"/>
          <w:szCs w:val="24"/>
        </w:rPr>
      </w:pPr>
      <w:r w:rsidRPr="00663BD6">
        <w:rPr>
          <w:rFonts w:eastAsia="Times New Roman" w:cs="Arial"/>
          <w:color w:val="000000"/>
          <w:szCs w:val="20"/>
          <w:u w:val="single"/>
          <w:lang w:eastAsia="bg-BG"/>
        </w:rPr>
        <w:t>Линеиност/нелинеиност</w:t>
      </w:r>
    </w:p>
    <w:p w14:paraId="5AFC107A" w14:textId="77777777" w:rsidR="00663BD6" w:rsidRPr="00663BD6" w:rsidRDefault="00663BD6" w:rsidP="00663BD6">
      <w:pPr>
        <w:rPr>
          <w:rFonts w:ascii="Times New Roman" w:eastAsia="Times New Roman" w:hAnsi="Times New Roman" w:cs="Times New Roman"/>
          <w:sz w:val="24"/>
          <w:szCs w:val="24"/>
        </w:rPr>
      </w:pPr>
      <w:r w:rsidRPr="00663BD6">
        <w:rPr>
          <w:rFonts w:eastAsia="Times New Roman" w:cs="Arial"/>
          <w:color w:val="000000"/>
          <w:szCs w:val="20"/>
          <w:lang w:eastAsia="bg-BG"/>
        </w:rPr>
        <w:t xml:space="preserve">Повишаването на дозировките от 37,5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до 75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 xml:space="preserve">и 150 </w:t>
      </w:r>
      <w:r w:rsidRPr="00663BD6">
        <w:rPr>
          <w:rFonts w:eastAsia="Times New Roman" w:cs="Arial"/>
          <w:color w:val="000000"/>
          <w:szCs w:val="20"/>
          <w:lang w:val="en-US"/>
        </w:rPr>
        <w:t>mg</w:t>
      </w:r>
      <w:r w:rsidRPr="00663BD6">
        <w:rPr>
          <w:rFonts w:eastAsia="Times New Roman" w:cs="Arial"/>
          <w:color w:val="000000"/>
          <w:szCs w:val="20"/>
          <w:lang w:val="ru-RU"/>
        </w:rPr>
        <w:t xml:space="preserve">, </w:t>
      </w:r>
      <w:r w:rsidRPr="00663BD6">
        <w:rPr>
          <w:rFonts w:eastAsia="Times New Roman" w:cs="Arial"/>
          <w:color w:val="000000"/>
          <w:szCs w:val="20"/>
          <w:lang w:eastAsia="bg-BG"/>
        </w:rPr>
        <w:t>давани два пъти дневно, при равновесно състояние е установено, че водят до линейни, пропорционални на дозата повишения</w:t>
      </w:r>
      <w:r w:rsidRPr="00663BD6">
        <w:rPr>
          <w:rFonts w:eastAsia="Times New Roman" w:cs="Arial"/>
          <w:color w:val="000000"/>
          <w:szCs w:val="20"/>
          <w:lang w:val="ru-RU" w:eastAsia="bg-BG"/>
        </w:rPr>
        <w:t xml:space="preserve"> </w:t>
      </w:r>
      <w:r w:rsidRPr="00663BD6">
        <w:rPr>
          <w:rFonts w:eastAsia="Times New Roman" w:cs="Arial"/>
          <w:color w:val="000000"/>
          <w:szCs w:val="20"/>
          <w:lang w:eastAsia="bg-BG"/>
        </w:rPr>
        <w:t xml:space="preserve">на площта под кривата на плазмените концентрации във времето </w:t>
      </w:r>
      <w:r w:rsidRPr="00663BD6">
        <w:rPr>
          <w:rFonts w:eastAsia="Times New Roman" w:cs="Arial"/>
          <w:color w:val="000000"/>
          <w:szCs w:val="20"/>
          <w:lang w:val="ru-RU"/>
        </w:rPr>
        <w:t>(</w:t>
      </w:r>
      <w:r w:rsidRPr="00663BD6">
        <w:rPr>
          <w:rFonts w:eastAsia="Times New Roman" w:cs="Arial"/>
          <w:color w:val="000000"/>
          <w:szCs w:val="20"/>
          <w:lang w:val="en-US"/>
        </w:rPr>
        <w:t>AUC</w:t>
      </w:r>
      <w:r w:rsidRPr="00663BD6">
        <w:rPr>
          <w:rFonts w:eastAsia="Times New Roman" w:cs="Arial"/>
          <w:color w:val="000000"/>
          <w:szCs w:val="20"/>
          <w:lang w:val="ru-RU"/>
        </w:rPr>
        <w:t xml:space="preserve">) </w:t>
      </w:r>
      <w:r w:rsidRPr="00663BD6">
        <w:rPr>
          <w:rFonts w:eastAsia="Times New Roman" w:cs="Arial"/>
          <w:color w:val="000000"/>
          <w:szCs w:val="20"/>
          <w:lang w:eastAsia="bg-BG"/>
        </w:rPr>
        <w:t>и на пиковите и минималните плазмени концентрации.</w:t>
      </w:r>
    </w:p>
    <w:p w14:paraId="441866BC" w14:textId="5C029A9F" w:rsidR="00663BD6" w:rsidRPr="00663BD6" w:rsidRDefault="00663BD6" w:rsidP="00663BD6"/>
    <w:p w14:paraId="4FB791BE" w14:textId="438A33F9" w:rsidR="00B6672E" w:rsidRDefault="002C50EE" w:rsidP="00936AD0">
      <w:pPr>
        <w:pStyle w:val="Heading2"/>
      </w:pPr>
      <w:r>
        <w:t>5.3. Предклинични данни за безопасност</w:t>
      </w:r>
    </w:p>
    <w:p w14:paraId="27F8AF6D" w14:textId="0A6EA585" w:rsidR="00663BD6" w:rsidRDefault="00663BD6" w:rsidP="00663BD6"/>
    <w:p w14:paraId="51D08647" w14:textId="2FCBF9EB" w:rsidR="00663BD6" w:rsidRPr="00663BD6" w:rsidRDefault="00663BD6" w:rsidP="00663BD6">
      <w:r>
        <w:t>Пред клиничните данни не показват особен риск за хората на база на конвенционални фармакологични проучвания за безопасност, токсичност при многократно приложение, генотоксичност, карциногенен потенциал, (относно репродуктивната токсичност, вж. точка 4.6 Фертилитет, бременност и кърмене).</w:t>
      </w:r>
    </w:p>
    <w:p w14:paraId="1BA6531D" w14:textId="3F3F74AD" w:rsidR="00B6672E" w:rsidRDefault="002C50EE" w:rsidP="00936AD0">
      <w:pPr>
        <w:pStyle w:val="Heading1"/>
      </w:pPr>
      <w:r>
        <w:t>7. ПРИТЕЖАТЕЛ НА РАЗРЕШЕНИЕТО ЗА УПОТРЕБА</w:t>
      </w:r>
    </w:p>
    <w:p w14:paraId="006BF58E" w14:textId="48B800DB" w:rsidR="00663BD6" w:rsidRDefault="00663BD6" w:rsidP="00663BD6"/>
    <w:p w14:paraId="18B130CE" w14:textId="77777777" w:rsidR="00663BD6" w:rsidRPr="00663BD6" w:rsidRDefault="00663BD6" w:rsidP="00663BD6">
      <w:pPr>
        <w:rPr>
          <w:sz w:val="24"/>
          <w:szCs w:val="24"/>
        </w:rPr>
      </w:pPr>
      <w:r w:rsidRPr="00663BD6">
        <w:rPr>
          <w:lang w:eastAsia="bg-BG"/>
        </w:rPr>
        <w:t>Майлан ЕООД</w:t>
      </w:r>
    </w:p>
    <w:p w14:paraId="60AA0921" w14:textId="77777777" w:rsidR="00663BD6" w:rsidRPr="00663BD6" w:rsidRDefault="00663BD6" w:rsidP="00663BD6">
      <w:pPr>
        <w:rPr>
          <w:sz w:val="24"/>
          <w:szCs w:val="24"/>
        </w:rPr>
      </w:pPr>
      <w:r w:rsidRPr="00663BD6">
        <w:rPr>
          <w:lang w:eastAsia="bg-BG"/>
        </w:rPr>
        <w:t>Офис сграда „Сердика Офиси“</w:t>
      </w:r>
    </w:p>
    <w:p w14:paraId="762D1CF6" w14:textId="77777777" w:rsidR="00663BD6" w:rsidRPr="00663BD6" w:rsidRDefault="00663BD6" w:rsidP="00663BD6">
      <w:pPr>
        <w:rPr>
          <w:sz w:val="24"/>
          <w:szCs w:val="24"/>
        </w:rPr>
      </w:pPr>
      <w:r w:rsidRPr="00663BD6">
        <w:rPr>
          <w:lang w:eastAsia="bg-BG"/>
        </w:rPr>
        <w:t>Бул. Ситняково № 48, ет. 7</w:t>
      </w:r>
    </w:p>
    <w:p w14:paraId="3BBD11BD" w14:textId="77777777" w:rsidR="00663BD6" w:rsidRPr="00663BD6" w:rsidRDefault="00663BD6" w:rsidP="00663BD6">
      <w:pPr>
        <w:rPr>
          <w:sz w:val="24"/>
          <w:szCs w:val="24"/>
        </w:rPr>
      </w:pPr>
      <w:r w:rsidRPr="00663BD6">
        <w:rPr>
          <w:lang w:eastAsia="bg-BG"/>
        </w:rPr>
        <w:t>1505 София</w:t>
      </w:r>
    </w:p>
    <w:p w14:paraId="5605BB35" w14:textId="5F5E499D" w:rsidR="00663BD6" w:rsidRPr="00663BD6" w:rsidRDefault="00663BD6" w:rsidP="00663BD6">
      <w:r w:rsidRPr="00663BD6">
        <w:rPr>
          <w:lang w:eastAsia="bg-BG"/>
        </w:rPr>
        <w:t>България</w:t>
      </w:r>
    </w:p>
    <w:p w14:paraId="508F3A54" w14:textId="3F3AF097" w:rsidR="00B6672E" w:rsidRDefault="00936AD0" w:rsidP="00936AD0">
      <w:pPr>
        <w:pStyle w:val="Heading1"/>
      </w:pPr>
      <w:r>
        <w:lastRenderedPageBreak/>
        <w:t>8.</w:t>
      </w:r>
      <w:r w:rsidR="002C50EE">
        <w:t>НОМЕР НА РАЗРЕШЕНИЕТО ЗА УПОТРЕБА</w:t>
      </w:r>
    </w:p>
    <w:p w14:paraId="532CA18D" w14:textId="723E901C" w:rsidR="00663BD6" w:rsidRDefault="00663BD6" w:rsidP="00663BD6"/>
    <w:p w14:paraId="2AE34A9F" w14:textId="77777777" w:rsidR="00663BD6" w:rsidRPr="00663BD6" w:rsidRDefault="00663BD6" w:rsidP="00663BD6">
      <w:pPr>
        <w:rPr>
          <w:sz w:val="24"/>
          <w:szCs w:val="24"/>
        </w:rPr>
      </w:pPr>
      <w:r w:rsidRPr="00663BD6">
        <w:rPr>
          <w:lang w:eastAsia="bg-BG"/>
        </w:rPr>
        <w:t xml:space="preserve">Лепонекс 25 </w:t>
      </w:r>
      <w:r w:rsidRPr="00663BD6">
        <w:rPr>
          <w:lang w:val="en-US"/>
        </w:rPr>
        <w:t>mg</w:t>
      </w:r>
      <w:r w:rsidRPr="00663BD6">
        <w:rPr>
          <w:lang w:val="ru-RU"/>
        </w:rPr>
        <w:t xml:space="preserve"> </w:t>
      </w:r>
      <w:r w:rsidRPr="00663BD6">
        <w:rPr>
          <w:lang w:eastAsia="bg-BG"/>
        </w:rPr>
        <w:t>таблетки: 20010676</w:t>
      </w:r>
    </w:p>
    <w:p w14:paraId="6CB28123" w14:textId="77777777" w:rsidR="00663BD6" w:rsidRPr="00663BD6" w:rsidRDefault="00663BD6" w:rsidP="00663BD6">
      <w:pPr>
        <w:rPr>
          <w:sz w:val="24"/>
          <w:szCs w:val="24"/>
        </w:rPr>
      </w:pPr>
      <w:r w:rsidRPr="00663BD6">
        <w:rPr>
          <w:lang w:eastAsia="bg-BG"/>
        </w:rPr>
        <w:t xml:space="preserve">Лепонекс 100 </w:t>
      </w:r>
      <w:r w:rsidRPr="00663BD6">
        <w:rPr>
          <w:lang w:val="en-US"/>
        </w:rPr>
        <w:t>mg</w:t>
      </w:r>
      <w:r w:rsidRPr="00663BD6">
        <w:rPr>
          <w:lang w:val="ru-RU"/>
        </w:rPr>
        <w:t xml:space="preserve"> </w:t>
      </w:r>
      <w:r w:rsidRPr="00663BD6">
        <w:rPr>
          <w:lang w:eastAsia="bg-BG"/>
        </w:rPr>
        <w:t>таблетки: 20010677</w:t>
      </w:r>
    </w:p>
    <w:p w14:paraId="652B85F8" w14:textId="77777777" w:rsidR="00663BD6" w:rsidRPr="00663BD6" w:rsidRDefault="00663BD6" w:rsidP="00663BD6"/>
    <w:p w14:paraId="2CCB5832" w14:textId="17111194" w:rsidR="007C605B" w:rsidRDefault="002C50EE" w:rsidP="007C605B">
      <w:pPr>
        <w:pStyle w:val="Heading1"/>
      </w:pPr>
      <w:r>
        <w:t>9. ДАТА НА ПЪРВО РАЗРЕШАВАНЕ/ПОДНОВЯВАНЕ НА РАЗРЕШЕНИЕТО ЗА УПОТРЕБА</w:t>
      </w:r>
    </w:p>
    <w:p w14:paraId="04DC29F8" w14:textId="0D42C259" w:rsidR="00663BD6" w:rsidRDefault="00663BD6" w:rsidP="00663BD6"/>
    <w:p w14:paraId="00A40387" w14:textId="77777777" w:rsidR="00663BD6" w:rsidRPr="00663BD6" w:rsidRDefault="00663BD6" w:rsidP="00663BD6">
      <w:pPr>
        <w:rPr>
          <w:sz w:val="24"/>
          <w:szCs w:val="24"/>
        </w:rPr>
      </w:pPr>
      <w:r w:rsidRPr="00663BD6">
        <w:rPr>
          <w:lang w:eastAsia="bg-BG"/>
        </w:rPr>
        <w:t>Дата на първо разрешаване: 21 март 1975 г.</w:t>
      </w:r>
    </w:p>
    <w:p w14:paraId="55268D19" w14:textId="2F27F017" w:rsidR="00663BD6" w:rsidRPr="00663BD6" w:rsidRDefault="00663BD6" w:rsidP="00663BD6">
      <w:r w:rsidRPr="00663BD6">
        <w:rPr>
          <w:lang w:eastAsia="bg-BG"/>
        </w:rPr>
        <w:t>Дата на последно подновяване: 11 август 2016 г.</w:t>
      </w:r>
    </w:p>
    <w:p w14:paraId="0E9D0119" w14:textId="0245C6D7" w:rsidR="002C50EE" w:rsidRDefault="002C50EE" w:rsidP="002C50EE">
      <w:pPr>
        <w:pStyle w:val="Heading1"/>
      </w:pPr>
      <w:r>
        <w:t>10. ДАТА НА АКТУАЛИЗИРАНЕ НА ТЕКСТА</w:t>
      </w:r>
    </w:p>
    <w:bookmarkEnd w:id="0"/>
    <w:p w14:paraId="43FB38A2" w14:textId="09500BAB" w:rsidR="007C605B" w:rsidRPr="003E3126" w:rsidRDefault="00663BD6" w:rsidP="00663BD6">
      <w:r>
        <w:t>август 2019</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6F2B46"/>
    <w:multiLevelType w:val="hybridMultilevel"/>
    <w:tmpl w:val="BB04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20B1C"/>
    <w:multiLevelType w:val="hybridMultilevel"/>
    <w:tmpl w:val="DB76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1291E"/>
    <w:multiLevelType w:val="hybridMultilevel"/>
    <w:tmpl w:val="2CD2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5"/>
  </w:num>
  <w:num w:numId="28">
    <w:abstractNumId w:val="7"/>
  </w:num>
  <w:num w:numId="29">
    <w:abstractNumId w:val="22"/>
  </w:num>
  <w:num w:numId="30">
    <w:abstractNumId w:val="38"/>
  </w:num>
  <w:num w:numId="31">
    <w:abstractNumId w:val="6"/>
  </w:num>
  <w:num w:numId="32">
    <w:abstractNumId w:val="37"/>
  </w:num>
  <w:num w:numId="33">
    <w:abstractNumId w:val="31"/>
  </w:num>
  <w:num w:numId="34">
    <w:abstractNumId w:val="36"/>
  </w:num>
  <w:num w:numId="35">
    <w:abstractNumId w:val="8"/>
  </w:num>
  <w:num w:numId="36">
    <w:abstractNumId w:val="11"/>
  </w:num>
  <w:num w:numId="37">
    <w:abstractNumId w:val="29"/>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C266B"/>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63BD6"/>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75CF6"/>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9261</Words>
  <Characters>52788</Characters>
  <Application>Microsoft Office Word</Application>
  <DocSecurity>0</DocSecurity>
  <Lines>439</Lines>
  <Paragraphs>123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2022-09-06T10:19:00Z</dcterms:created>
  <dcterms:modified xsi:type="dcterms:W3CDTF">2022-09-06T10:19:00Z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