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5885A6ED" w:rsidR="002C50EE" w:rsidRDefault="002C50EE" w:rsidP="002C50EE">
      <w:pPr>
        <w:pStyle w:val="Heading1"/>
        <w:jc w:val="center"/>
      </w:pPr>
      <w:bookmarkStart w:id="0" w:name="_Hlk63124480"/>
      <w:r>
        <w:t>КРАТКА ХАРАКТЕРИСТИКА НА ПРОДУКТА</w:t>
      </w:r>
    </w:p>
    <w:p w14:paraId="1A61B7B4" w14:textId="31D1338E" w:rsidR="00B75CF6" w:rsidRDefault="00B75CF6" w:rsidP="00B75CF6"/>
    <w:tbl>
      <w:tblPr>
        <w:tblStyle w:val="TableGrid"/>
        <w:tblW w:w="0" w:type="auto"/>
        <w:tblLook w:val="04A0" w:firstRow="1" w:lastRow="0" w:firstColumn="1" w:lastColumn="0" w:noHBand="0" w:noVBand="1"/>
      </w:tblPr>
      <w:tblGrid>
        <w:gridCol w:w="9350"/>
      </w:tblGrid>
      <w:tr w:rsidR="00B75CF6" w14:paraId="7F9CAD95" w14:textId="77777777" w:rsidTr="00B75CF6">
        <w:tc>
          <w:tcPr>
            <w:tcW w:w="9576" w:type="dxa"/>
          </w:tcPr>
          <w:p w14:paraId="385E6B55" w14:textId="77777777" w:rsidR="00B75CF6" w:rsidRPr="00B75CF6" w:rsidRDefault="00B75CF6" w:rsidP="00B75CF6">
            <w:pPr>
              <w:spacing w:line="240" w:lineRule="auto"/>
              <w:rPr>
                <w:rFonts w:eastAsia="Times New Roman" w:cs="Arial"/>
                <w:sz w:val="28"/>
                <w:szCs w:val="24"/>
              </w:rPr>
            </w:pPr>
            <w:r w:rsidRPr="00B75CF6">
              <w:rPr>
                <w:rFonts w:eastAsia="Times New Roman" w:cs="Arial"/>
                <w:b/>
                <w:bCs/>
                <w:color w:val="000000"/>
                <w:szCs w:val="20"/>
                <w:lang w:eastAsia="bg-BG"/>
              </w:rPr>
              <w:t>Лепонекс може да причини агранулоцитоза. Употребата му трябва да бъде ограничена до пациенти:</w:t>
            </w:r>
          </w:p>
          <w:p w14:paraId="4AE1B962" w14:textId="77777777" w:rsidR="00B75CF6" w:rsidRPr="00B75CF6" w:rsidRDefault="00B75CF6" w:rsidP="00B75CF6">
            <w:pPr>
              <w:pStyle w:val="ListParagraph"/>
              <w:numPr>
                <w:ilvl w:val="0"/>
                <w:numId w:val="37"/>
              </w:numPr>
              <w:spacing w:line="240" w:lineRule="auto"/>
              <w:rPr>
                <w:rFonts w:eastAsia="Times New Roman" w:cs="Arial"/>
                <w:b/>
                <w:bCs/>
                <w:color w:val="000000"/>
                <w:szCs w:val="20"/>
                <w:lang w:eastAsia="bg-BG"/>
              </w:rPr>
            </w:pPr>
            <w:r w:rsidRPr="00B75CF6">
              <w:rPr>
                <w:rFonts w:eastAsia="Times New Roman" w:cs="Arial"/>
                <w:b/>
                <w:bCs/>
                <w:color w:val="000000"/>
                <w:szCs w:val="20"/>
                <w:lang w:eastAsia="bg-BG"/>
              </w:rPr>
              <w:t>с шизофрения, които не отговарят или не понасят лечението с антипсихотични лекарства или са с психоза при болест на Паркинсон, когато всички останали терапевтични стратегии са били неуспешни (вж. точка 4.1).</w:t>
            </w:r>
          </w:p>
          <w:p w14:paraId="6E1E9026" w14:textId="77777777" w:rsidR="00B75CF6" w:rsidRPr="00B75CF6" w:rsidRDefault="00B75CF6" w:rsidP="00B75CF6">
            <w:pPr>
              <w:pStyle w:val="ListParagraph"/>
              <w:numPr>
                <w:ilvl w:val="0"/>
                <w:numId w:val="37"/>
              </w:numPr>
              <w:spacing w:line="240" w:lineRule="auto"/>
              <w:rPr>
                <w:rFonts w:eastAsia="Times New Roman" w:cs="Arial"/>
                <w:b/>
                <w:bCs/>
                <w:color w:val="000000"/>
                <w:szCs w:val="20"/>
                <w:lang w:eastAsia="bg-BG"/>
              </w:rPr>
            </w:pPr>
            <w:r w:rsidRPr="00B75CF6">
              <w:rPr>
                <w:rFonts w:eastAsia="Times New Roman" w:cs="Arial"/>
                <w:b/>
                <w:bCs/>
                <w:color w:val="000000"/>
                <w:szCs w:val="20"/>
                <w:lang w:eastAsia="bg-BG"/>
              </w:rPr>
              <w:t>които първоначално имат нормален брой левкоцити (левкоцити ≥3</w:t>
            </w:r>
            <w:r w:rsidRPr="00B75CF6">
              <w:rPr>
                <w:rFonts w:eastAsia="Times New Roman" w:cs="Arial"/>
                <w:b/>
                <w:bCs/>
                <w:color w:val="000000"/>
                <w:szCs w:val="20"/>
                <w:lang w:val="ru-RU"/>
              </w:rPr>
              <w:t>500/</w:t>
            </w:r>
            <w:r w:rsidRPr="00B75CF6">
              <w:rPr>
                <w:rFonts w:eastAsia="Times New Roman" w:cs="Arial"/>
                <w:b/>
                <w:bCs/>
                <w:color w:val="000000"/>
                <w:szCs w:val="20"/>
                <w:lang w:val="en-US"/>
              </w:rPr>
              <w:t>mm</w:t>
            </w:r>
            <w:r w:rsidRPr="00B75CF6">
              <w:rPr>
                <w:rFonts w:eastAsia="Times New Roman" w:cs="Arial"/>
                <w:b/>
                <w:bCs/>
                <w:color w:val="000000"/>
                <w:szCs w:val="20"/>
                <w:vertAlign w:val="superscript"/>
                <w:lang w:val="ru-RU"/>
              </w:rPr>
              <w:t xml:space="preserve">3 </w:t>
            </w:r>
            <w:r w:rsidRPr="00B75CF6">
              <w:rPr>
                <w:rFonts w:eastAsia="Times New Roman" w:cs="Arial"/>
                <w:b/>
                <w:bCs/>
                <w:color w:val="000000"/>
                <w:szCs w:val="20"/>
                <w:lang w:eastAsia="bg-BG"/>
              </w:rPr>
              <w:t xml:space="preserve">(≥ </w:t>
            </w:r>
            <w:r w:rsidRPr="00B75CF6">
              <w:rPr>
                <w:rFonts w:eastAsia="Times New Roman" w:cs="Arial"/>
                <w:b/>
                <w:bCs/>
                <w:color w:val="000000"/>
                <w:szCs w:val="20"/>
                <w:lang w:val="ru-RU"/>
              </w:rPr>
              <w:t>3,5</w:t>
            </w:r>
            <w:r w:rsidRPr="00B75CF6">
              <w:rPr>
                <w:rFonts w:eastAsia="Times New Roman" w:cs="Arial"/>
                <w:b/>
                <w:bCs/>
                <w:color w:val="000000"/>
                <w:szCs w:val="20"/>
                <w:lang w:val="en-US"/>
              </w:rPr>
              <w:t>x</w:t>
            </w:r>
            <w:r w:rsidRPr="00B75CF6">
              <w:rPr>
                <w:rFonts w:eastAsia="Times New Roman" w:cs="Arial"/>
                <w:b/>
                <w:bCs/>
                <w:color w:val="000000"/>
                <w:szCs w:val="20"/>
                <w:lang w:val="ru-RU"/>
              </w:rPr>
              <w:t>1</w:t>
            </w:r>
            <w:r w:rsidRPr="00B75CF6">
              <w:rPr>
                <w:rFonts w:eastAsia="Times New Roman" w:cs="Arial"/>
                <w:b/>
                <w:bCs/>
                <w:color w:val="000000"/>
                <w:szCs w:val="20"/>
                <w:lang w:eastAsia="bg-BG"/>
              </w:rPr>
              <w:t>0</w:t>
            </w:r>
            <w:r w:rsidRPr="00B75CF6">
              <w:rPr>
                <w:rFonts w:eastAsia="Times New Roman" w:cs="Arial"/>
                <w:b/>
                <w:bCs/>
                <w:color w:val="000000"/>
                <w:szCs w:val="20"/>
                <w:vertAlign w:val="superscript"/>
                <w:lang w:eastAsia="bg-BG"/>
              </w:rPr>
              <w:t>9</w:t>
            </w:r>
            <w:r w:rsidRPr="00B75CF6">
              <w:rPr>
                <w:rFonts w:eastAsia="Times New Roman" w:cs="Arial"/>
                <w:b/>
                <w:bCs/>
                <w:color w:val="000000"/>
                <w:szCs w:val="20"/>
                <w:lang w:eastAsia="bg-BG"/>
              </w:rPr>
              <w:t xml:space="preserve">/1) и абсолютния брой неутрофили (АБН) ≥2 </w:t>
            </w:r>
            <w:r w:rsidRPr="00B75CF6">
              <w:rPr>
                <w:rFonts w:eastAsia="Times New Roman" w:cs="Arial"/>
                <w:b/>
                <w:bCs/>
                <w:color w:val="000000"/>
                <w:szCs w:val="20"/>
                <w:lang w:val="ru-RU"/>
              </w:rPr>
              <w:t>000/</w:t>
            </w:r>
            <w:r w:rsidRPr="00B75CF6">
              <w:rPr>
                <w:rFonts w:eastAsia="Times New Roman" w:cs="Arial"/>
                <w:b/>
                <w:bCs/>
                <w:color w:val="000000"/>
                <w:szCs w:val="20"/>
                <w:lang w:val="en-US"/>
              </w:rPr>
              <w:t>mm</w:t>
            </w:r>
            <w:r w:rsidRPr="00B75CF6">
              <w:rPr>
                <w:rFonts w:eastAsia="Times New Roman" w:cs="Arial"/>
                <w:b/>
                <w:bCs/>
                <w:color w:val="000000"/>
                <w:szCs w:val="20"/>
                <w:vertAlign w:val="superscript"/>
                <w:lang w:val="ru-RU"/>
              </w:rPr>
              <w:t>3</w:t>
            </w:r>
            <w:r w:rsidRPr="00B75CF6">
              <w:rPr>
                <w:rFonts w:eastAsia="Times New Roman" w:cs="Arial"/>
                <w:b/>
                <w:bCs/>
                <w:color w:val="000000"/>
                <w:szCs w:val="20"/>
                <w:lang w:val="ru-RU"/>
              </w:rPr>
              <w:t xml:space="preserve"> </w:t>
            </w:r>
            <w:r w:rsidRPr="00B75CF6">
              <w:rPr>
                <w:rFonts w:eastAsia="Times New Roman" w:cs="Arial"/>
                <w:b/>
                <w:bCs/>
                <w:color w:val="000000"/>
                <w:szCs w:val="20"/>
                <w:lang w:eastAsia="bg-BG"/>
              </w:rPr>
              <w:t>(≥2,0 х 10</w:t>
            </w:r>
            <w:r w:rsidRPr="00B75CF6">
              <w:rPr>
                <w:rFonts w:eastAsia="Times New Roman" w:cs="Arial"/>
                <w:b/>
                <w:bCs/>
                <w:color w:val="000000"/>
                <w:szCs w:val="20"/>
                <w:vertAlign w:val="superscript"/>
                <w:lang w:eastAsia="bg-BG"/>
              </w:rPr>
              <w:t>9</w:t>
            </w:r>
            <w:r w:rsidRPr="00B75CF6">
              <w:rPr>
                <w:rFonts w:eastAsia="Times New Roman" w:cs="Arial"/>
                <w:b/>
                <w:bCs/>
                <w:color w:val="000000"/>
                <w:szCs w:val="20"/>
                <w:lang w:eastAsia="bg-BG"/>
              </w:rPr>
              <w:t>/1)), и</w:t>
            </w:r>
          </w:p>
          <w:p w14:paraId="69E82F76" w14:textId="31C5035B" w:rsidR="00B75CF6" w:rsidRPr="00B75CF6" w:rsidRDefault="00B75CF6" w:rsidP="00B75CF6">
            <w:pPr>
              <w:pStyle w:val="ListParagraph"/>
              <w:numPr>
                <w:ilvl w:val="0"/>
                <w:numId w:val="37"/>
              </w:numPr>
              <w:spacing w:line="240" w:lineRule="auto"/>
              <w:rPr>
                <w:rFonts w:eastAsia="Times New Roman" w:cs="Arial"/>
                <w:b/>
                <w:bCs/>
                <w:color w:val="000000"/>
                <w:szCs w:val="20"/>
                <w:lang w:eastAsia="bg-BG"/>
              </w:rPr>
            </w:pPr>
            <w:r w:rsidRPr="00B75CF6">
              <w:rPr>
                <w:rFonts w:eastAsia="Times New Roman" w:cs="Arial"/>
                <w:b/>
                <w:bCs/>
                <w:color w:val="000000"/>
                <w:szCs w:val="20"/>
                <w:lang w:eastAsia="bg-BG"/>
              </w:rPr>
              <w:t>при които редовно може да се определят общия брой левкоцити и абсолютния брой неутрофили (АБН) както следва: всяка седмица през първите 18 седмици от терапията и поне веднъж на всеки 4 седмици след това, през цялото време на лечението. Мониторирането трябва да продължи по време на лечението и 4 седмици след пълното прекратяване приема на Лепонекс (вж. точка 4.4).</w:t>
            </w:r>
          </w:p>
          <w:p w14:paraId="2BE0CBEE" w14:textId="77777777" w:rsidR="00B75CF6" w:rsidRPr="00B75CF6" w:rsidRDefault="00B75CF6" w:rsidP="00B75CF6">
            <w:pPr>
              <w:spacing w:line="240" w:lineRule="auto"/>
              <w:rPr>
                <w:rFonts w:eastAsia="Times New Roman" w:cs="Arial"/>
                <w:b/>
                <w:bCs/>
                <w:color w:val="000000"/>
                <w:szCs w:val="20"/>
                <w:lang w:eastAsia="bg-BG"/>
              </w:rPr>
            </w:pPr>
          </w:p>
          <w:p w14:paraId="0B71AFDE" w14:textId="258CF6B2" w:rsidR="00B75CF6" w:rsidRPr="00B75CF6" w:rsidRDefault="00B75CF6" w:rsidP="00B75CF6">
            <w:pPr>
              <w:spacing w:line="240" w:lineRule="auto"/>
              <w:rPr>
                <w:rFonts w:eastAsia="Times New Roman" w:cs="Arial"/>
                <w:sz w:val="28"/>
                <w:szCs w:val="24"/>
              </w:rPr>
            </w:pPr>
            <w:r w:rsidRPr="00B75CF6">
              <w:rPr>
                <w:rFonts w:eastAsia="Times New Roman" w:cs="Arial"/>
                <w:b/>
                <w:bCs/>
                <w:color w:val="000000"/>
                <w:szCs w:val="20"/>
                <w:lang w:eastAsia="bg-BG"/>
              </w:rPr>
              <w:t>Лекарите, предписващи лекарството, трябва да следват напълно изискваните мерки за безопасност. При всяка консултация на пациента, получащ лекарството, трябва да се напомня да се свърже незабавно с лекуващия лекар, ако започне развитие на някакъв вид инфекция. Особено внимание трябва да се обръща на грипоподобните оплаквания като температура или възпалено гърло и други белези на инфекция, които може да са показателни за неутропения (вж. точка 4.4).</w:t>
            </w:r>
          </w:p>
          <w:p w14:paraId="09228706" w14:textId="77777777" w:rsidR="00B75CF6" w:rsidRPr="00B75CF6" w:rsidRDefault="00B75CF6" w:rsidP="00B75CF6">
            <w:pPr>
              <w:spacing w:line="240" w:lineRule="auto"/>
              <w:rPr>
                <w:rFonts w:eastAsia="Times New Roman" w:cs="Arial"/>
                <w:b/>
                <w:bCs/>
                <w:color w:val="000000"/>
                <w:szCs w:val="20"/>
                <w:lang w:eastAsia="bg-BG"/>
              </w:rPr>
            </w:pPr>
          </w:p>
          <w:p w14:paraId="23747DA4" w14:textId="69FC24F4" w:rsidR="00B75CF6" w:rsidRPr="00B75CF6" w:rsidRDefault="00B75CF6" w:rsidP="00B75CF6">
            <w:pPr>
              <w:spacing w:line="240" w:lineRule="auto"/>
              <w:rPr>
                <w:rFonts w:eastAsia="Times New Roman" w:cs="Arial"/>
                <w:sz w:val="28"/>
                <w:szCs w:val="24"/>
              </w:rPr>
            </w:pPr>
            <w:r w:rsidRPr="00B75CF6">
              <w:rPr>
                <w:rFonts w:eastAsia="Times New Roman" w:cs="Arial"/>
                <w:b/>
                <w:bCs/>
                <w:color w:val="000000"/>
                <w:szCs w:val="20"/>
                <w:lang w:eastAsia="bg-BG"/>
              </w:rPr>
              <w:t>Лепонекс трябва да се унищожава под строг медицински контрол, в съответствие с официалните препоръки (вж. точка 4.4).</w:t>
            </w:r>
          </w:p>
          <w:p w14:paraId="596AD1FB" w14:textId="77777777" w:rsidR="00B75CF6" w:rsidRPr="00B75CF6" w:rsidRDefault="00B75CF6" w:rsidP="00B75CF6">
            <w:pPr>
              <w:spacing w:line="240" w:lineRule="auto"/>
              <w:rPr>
                <w:rFonts w:eastAsia="Times New Roman" w:cs="Arial"/>
                <w:b/>
                <w:bCs/>
                <w:color w:val="000000"/>
                <w:szCs w:val="20"/>
                <w:u w:val="single"/>
                <w:lang w:eastAsia="bg-BG"/>
              </w:rPr>
            </w:pPr>
          </w:p>
          <w:p w14:paraId="4704B393" w14:textId="0CA2B79E" w:rsidR="00B75CF6" w:rsidRPr="00B75CF6" w:rsidRDefault="00B75CF6" w:rsidP="00B75CF6">
            <w:pPr>
              <w:spacing w:line="240" w:lineRule="auto"/>
              <w:rPr>
                <w:rFonts w:eastAsia="Times New Roman" w:cs="Arial"/>
                <w:sz w:val="28"/>
                <w:szCs w:val="24"/>
              </w:rPr>
            </w:pPr>
            <w:r w:rsidRPr="00B75CF6">
              <w:rPr>
                <w:rFonts w:eastAsia="Times New Roman" w:cs="Arial"/>
                <w:b/>
                <w:bCs/>
                <w:color w:val="000000"/>
                <w:szCs w:val="20"/>
                <w:u w:val="single"/>
                <w:lang w:eastAsia="bg-BG"/>
              </w:rPr>
              <w:t>Миокардит</w:t>
            </w:r>
          </w:p>
          <w:p w14:paraId="1A69F4AF" w14:textId="77777777" w:rsidR="00B75CF6" w:rsidRPr="00B75CF6" w:rsidRDefault="00B75CF6" w:rsidP="00B75CF6">
            <w:pPr>
              <w:spacing w:line="240" w:lineRule="auto"/>
              <w:rPr>
                <w:rFonts w:eastAsia="Times New Roman" w:cs="Arial"/>
                <w:sz w:val="28"/>
                <w:szCs w:val="24"/>
              </w:rPr>
            </w:pPr>
            <w:r w:rsidRPr="00B75CF6">
              <w:rPr>
                <w:rFonts w:eastAsia="Times New Roman" w:cs="Arial"/>
                <w:b/>
                <w:bCs/>
                <w:color w:val="000000"/>
                <w:szCs w:val="20"/>
                <w:lang w:eastAsia="bg-BG"/>
              </w:rPr>
              <w:t>Клозапин се свързава с повишен риск от миокардит, който в редки случаи може да бъде фатален. Повишеният риск от миокардит е по-голям през първите два месеца от началото на лечението. Съобщават се също рядко за фатални случаи на кардиомиопатия (вж. точка 4.4).</w:t>
            </w:r>
          </w:p>
          <w:p w14:paraId="7EE0F62E" w14:textId="77777777" w:rsidR="00B75CF6" w:rsidRPr="00B75CF6" w:rsidRDefault="00B75CF6" w:rsidP="00B75CF6">
            <w:pPr>
              <w:spacing w:line="240" w:lineRule="auto"/>
              <w:rPr>
                <w:rFonts w:eastAsia="Times New Roman" w:cs="Arial"/>
                <w:b/>
                <w:bCs/>
                <w:color w:val="000000"/>
                <w:szCs w:val="20"/>
                <w:lang w:eastAsia="bg-BG"/>
              </w:rPr>
            </w:pPr>
          </w:p>
          <w:p w14:paraId="6DDC8EBA" w14:textId="7206831D" w:rsidR="00B75CF6" w:rsidRPr="00B75CF6" w:rsidRDefault="00B75CF6" w:rsidP="00B75CF6">
            <w:pPr>
              <w:spacing w:line="240" w:lineRule="auto"/>
              <w:rPr>
                <w:rFonts w:eastAsia="Times New Roman" w:cs="Arial"/>
                <w:sz w:val="28"/>
                <w:szCs w:val="24"/>
              </w:rPr>
            </w:pPr>
            <w:r w:rsidRPr="00B75CF6">
              <w:rPr>
                <w:rFonts w:eastAsia="Times New Roman" w:cs="Arial"/>
                <w:b/>
                <w:bCs/>
                <w:color w:val="000000"/>
                <w:szCs w:val="20"/>
                <w:lang w:eastAsia="bg-BG"/>
              </w:rPr>
              <w:t>При пациентите, които получават персистираща тахикардия в покой, особено през първите два месеца от лечението и/или палпитации, аритмии, гръдна болка и други признаци и симптоми на сърдечна недостатъчност (напр. необяснима умора, диспнея, тахипнея) или симптоми, които наподобяват миокарден инфаркт, трябва да се подозират миокардит или кардиомиопатия (вж. точка 4.4).</w:t>
            </w:r>
          </w:p>
          <w:p w14:paraId="201CC3D0" w14:textId="77777777" w:rsidR="00B75CF6" w:rsidRPr="00B75CF6" w:rsidRDefault="00B75CF6" w:rsidP="00B75CF6">
            <w:pPr>
              <w:spacing w:line="240" w:lineRule="auto"/>
              <w:rPr>
                <w:rFonts w:eastAsia="Times New Roman" w:cs="Arial"/>
                <w:b/>
                <w:bCs/>
                <w:color w:val="000000"/>
                <w:szCs w:val="20"/>
                <w:lang w:eastAsia="bg-BG"/>
              </w:rPr>
            </w:pPr>
          </w:p>
          <w:p w14:paraId="415C5567" w14:textId="17512C4A" w:rsidR="00B75CF6" w:rsidRPr="00B75CF6" w:rsidRDefault="00B75CF6" w:rsidP="00B75CF6">
            <w:pPr>
              <w:spacing w:line="240" w:lineRule="auto"/>
              <w:rPr>
                <w:rFonts w:eastAsia="Times New Roman" w:cs="Arial"/>
                <w:sz w:val="28"/>
                <w:szCs w:val="24"/>
              </w:rPr>
            </w:pPr>
            <w:r w:rsidRPr="00B75CF6">
              <w:rPr>
                <w:rFonts w:eastAsia="Times New Roman" w:cs="Arial"/>
                <w:b/>
                <w:bCs/>
                <w:color w:val="000000"/>
                <w:szCs w:val="20"/>
                <w:lang w:eastAsia="bg-BG"/>
              </w:rPr>
              <w:t>Ако се подозират миокадит или кардиомиопатия, лечението с Лепонекс трябва бързо да се спре и пациентът незабавно да се насочи към кардиолог (вж. точка 4.4).</w:t>
            </w:r>
          </w:p>
          <w:p w14:paraId="702826D3" w14:textId="77777777" w:rsidR="00B75CF6" w:rsidRPr="00B75CF6" w:rsidRDefault="00B75CF6" w:rsidP="00B75CF6">
            <w:pPr>
              <w:rPr>
                <w:rFonts w:eastAsia="Times New Roman" w:cs="Arial"/>
                <w:b/>
                <w:bCs/>
                <w:color w:val="000000"/>
                <w:szCs w:val="20"/>
                <w:lang w:eastAsia="bg-BG"/>
              </w:rPr>
            </w:pPr>
          </w:p>
          <w:p w14:paraId="38A07B08" w14:textId="0A90CD7F" w:rsidR="00B75CF6" w:rsidRDefault="00B75CF6" w:rsidP="00B75CF6">
            <w:r w:rsidRPr="00B75CF6">
              <w:rPr>
                <w:rFonts w:eastAsia="Times New Roman" w:cs="Arial"/>
                <w:b/>
                <w:bCs/>
                <w:color w:val="000000"/>
                <w:szCs w:val="20"/>
                <w:lang w:eastAsia="bg-BG"/>
              </w:rPr>
              <w:t>Пациенти, получили клозапин-индуциран миокардит или кардиомиопатия не трябва повече да бъдат лекувани с клозапин (вж. точки 4.3 и 4.4).</w:t>
            </w:r>
          </w:p>
        </w:tc>
      </w:tr>
    </w:tbl>
    <w:p w14:paraId="41B3AD25" w14:textId="77777777" w:rsidR="00B75CF6" w:rsidRPr="00B75CF6" w:rsidRDefault="00B75CF6" w:rsidP="00B75CF6"/>
    <w:p w14:paraId="2BE34EF6" w14:textId="4AA40519" w:rsidR="007122AD" w:rsidRDefault="00DD466D" w:rsidP="00936AD0">
      <w:pPr>
        <w:pStyle w:val="Heading1"/>
      </w:pPr>
      <w:r>
        <w:lastRenderedPageBreak/>
        <w:t>1.ИМЕ НА ЛЕКАРСТВЕНИЯ ПРОДУКТ</w:t>
      </w:r>
    </w:p>
    <w:p w14:paraId="116475C3" w14:textId="56067FF9" w:rsidR="00B75CF6" w:rsidRDefault="00B75CF6" w:rsidP="00B75CF6"/>
    <w:p w14:paraId="5FAACBB3" w14:textId="77777777" w:rsidR="00B75CF6" w:rsidRPr="00B75CF6" w:rsidRDefault="00B75CF6" w:rsidP="00B75CF6">
      <w:pPr>
        <w:spacing w:line="240" w:lineRule="auto"/>
        <w:rPr>
          <w:rFonts w:eastAsia="Times New Roman" w:cs="Arial"/>
          <w:sz w:val="28"/>
          <w:szCs w:val="24"/>
          <w:lang w:val="ru-RU"/>
        </w:rPr>
      </w:pPr>
      <w:r w:rsidRPr="00B75CF6">
        <w:rPr>
          <w:rFonts w:eastAsia="Times New Roman" w:cs="Arial"/>
          <w:color w:val="000000"/>
          <w:szCs w:val="20"/>
          <w:lang w:eastAsia="bg-BG"/>
        </w:rPr>
        <w:t xml:space="preserve">Лепонекс 25 </w:t>
      </w:r>
      <w:r w:rsidRPr="00B75CF6">
        <w:rPr>
          <w:rFonts w:eastAsia="Times New Roman" w:cs="Arial"/>
          <w:color w:val="000000"/>
          <w:szCs w:val="20"/>
          <w:lang w:val="en-US"/>
        </w:rPr>
        <w:t>mg</w:t>
      </w:r>
      <w:r w:rsidRPr="00B75CF6">
        <w:rPr>
          <w:rFonts w:eastAsia="Times New Roman" w:cs="Arial"/>
          <w:color w:val="000000"/>
          <w:szCs w:val="20"/>
          <w:lang w:val="ru-RU"/>
        </w:rPr>
        <w:t xml:space="preserve"> </w:t>
      </w:r>
      <w:r w:rsidRPr="00B75CF6">
        <w:rPr>
          <w:rFonts w:eastAsia="Times New Roman" w:cs="Arial"/>
          <w:color w:val="000000"/>
          <w:szCs w:val="20"/>
          <w:lang w:eastAsia="bg-BG"/>
        </w:rPr>
        <w:t>таблетки</w:t>
      </w:r>
    </w:p>
    <w:p w14:paraId="36556D11" w14:textId="77777777" w:rsidR="00B75CF6" w:rsidRPr="00B75CF6" w:rsidRDefault="00B75CF6" w:rsidP="00B75CF6">
      <w:pPr>
        <w:spacing w:line="240" w:lineRule="auto"/>
        <w:rPr>
          <w:rFonts w:eastAsia="Times New Roman" w:cs="Arial"/>
          <w:sz w:val="28"/>
          <w:szCs w:val="24"/>
          <w:lang w:val="ru-RU"/>
        </w:rPr>
      </w:pPr>
      <w:r w:rsidRPr="00B75CF6">
        <w:rPr>
          <w:rFonts w:eastAsia="Times New Roman" w:cs="Arial"/>
          <w:color w:val="000000"/>
          <w:szCs w:val="20"/>
          <w:lang w:eastAsia="bg-BG"/>
        </w:rPr>
        <w:t xml:space="preserve">Лепонекс 100 </w:t>
      </w:r>
      <w:r w:rsidRPr="00B75CF6">
        <w:rPr>
          <w:rFonts w:eastAsia="Times New Roman" w:cs="Arial"/>
          <w:color w:val="000000"/>
          <w:szCs w:val="20"/>
          <w:lang w:val="en-US"/>
        </w:rPr>
        <w:t>mg</w:t>
      </w:r>
      <w:r w:rsidRPr="00B75CF6">
        <w:rPr>
          <w:rFonts w:eastAsia="Times New Roman" w:cs="Arial"/>
          <w:color w:val="000000"/>
          <w:szCs w:val="20"/>
          <w:lang w:val="ru-RU"/>
        </w:rPr>
        <w:t xml:space="preserve"> </w:t>
      </w:r>
      <w:r w:rsidRPr="00B75CF6">
        <w:rPr>
          <w:rFonts w:eastAsia="Times New Roman" w:cs="Arial"/>
          <w:color w:val="000000"/>
          <w:szCs w:val="20"/>
          <w:lang w:eastAsia="bg-BG"/>
        </w:rPr>
        <w:t>таблетки</w:t>
      </w:r>
    </w:p>
    <w:p w14:paraId="7F4526D7" w14:textId="77777777" w:rsidR="00B75CF6" w:rsidRPr="00B75CF6" w:rsidRDefault="00B75CF6" w:rsidP="00B75CF6">
      <w:pPr>
        <w:spacing w:line="240" w:lineRule="auto"/>
        <w:rPr>
          <w:rFonts w:eastAsia="Times New Roman" w:cs="Arial"/>
          <w:color w:val="000000"/>
          <w:szCs w:val="20"/>
          <w:lang w:val="en-US"/>
        </w:rPr>
      </w:pPr>
    </w:p>
    <w:p w14:paraId="0645F341" w14:textId="26DCCA2F" w:rsidR="00B75CF6" w:rsidRPr="00B75CF6" w:rsidRDefault="00B75CF6" w:rsidP="00B75CF6">
      <w:pPr>
        <w:spacing w:line="240" w:lineRule="auto"/>
        <w:rPr>
          <w:rFonts w:eastAsia="Times New Roman" w:cs="Arial"/>
          <w:sz w:val="28"/>
          <w:szCs w:val="24"/>
          <w:lang w:val="ru-RU"/>
        </w:rPr>
      </w:pPr>
      <w:proofErr w:type="spellStart"/>
      <w:r w:rsidRPr="00B75CF6">
        <w:rPr>
          <w:rFonts w:eastAsia="Times New Roman" w:cs="Arial"/>
          <w:color w:val="000000"/>
          <w:szCs w:val="20"/>
          <w:lang w:val="en-US"/>
        </w:rPr>
        <w:t>Leponex</w:t>
      </w:r>
      <w:proofErr w:type="spellEnd"/>
      <w:r w:rsidRPr="00B75CF6">
        <w:rPr>
          <w:rFonts w:eastAsia="Times New Roman" w:cs="Arial"/>
          <w:color w:val="000000"/>
          <w:szCs w:val="20"/>
          <w:lang w:val="ru-RU"/>
        </w:rPr>
        <w:t xml:space="preserve"> </w:t>
      </w:r>
      <w:r w:rsidRPr="00B75CF6">
        <w:rPr>
          <w:rFonts w:eastAsia="Times New Roman" w:cs="Arial"/>
          <w:color w:val="000000"/>
          <w:szCs w:val="20"/>
          <w:lang w:eastAsia="bg-BG"/>
        </w:rPr>
        <w:t xml:space="preserve">25 </w:t>
      </w:r>
      <w:r w:rsidRPr="00B75CF6">
        <w:rPr>
          <w:rFonts w:eastAsia="Times New Roman" w:cs="Arial"/>
          <w:color w:val="000000"/>
          <w:szCs w:val="20"/>
          <w:lang w:val="en-US"/>
        </w:rPr>
        <w:t>mg</w:t>
      </w:r>
      <w:r w:rsidRPr="00B75CF6">
        <w:rPr>
          <w:rFonts w:eastAsia="Times New Roman" w:cs="Arial"/>
          <w:color w:val="000000"/>
          <w:szCs w:val="20"/>
          <w:lang w:val="ru-RU"/>
        </w:rPr>
        <w:t xml:space="preserve"> </w:t>
      </w:r>
      <w:r w:rsidRPr="00B75CF6">
        <w:rPr>
          <w:rFonts w:eastAsia="Times New Roman" w:cs="Arial"/>
          <w:color w:val="000000"/>
          <w:szCs w:val="20"/>
          <w:lang w:val="en-US"/>
        </w:rPr>
        <w:t>tablets</w:t>
      </w:r>
    </w:p>
    <w:p w14:paraId="52684DE5" w14:textId="4491C26E" w:rsidR="00B75CF6" w:rsidRPr="00B75CF6" w:rsidRDefault="00B75CF6" w:rsidP="00B75CF6">
      <w:proofErr w:type="spellStart"/>
      <w:r w:rsidRPr="00B75CF6">
        <w:rPr>
          <w:rFonts w:eastAsia="Times New Roman" w:cs="Arial"/>
          <w:color w:val="000000"/>
          <w:szCs w:val="20"/>
          <w:lang w:val="en-US"/>
        </w:rPr>
        <w:t>Leponex</w:t>
      </w:r>
      <w:proofErr w:type="spellEnd"/>
      <w:r w:rsidRPr="00B75CF6">
        <w:rPr>
          <w:rFonts w:eastAsia="Times New Roman" w:cs="Arial"/>
          <w:color w:val="000000"/>
          <w:szCs w:val="20"/>
          <w:lang w:val="ru-RU"/>
        </w:rPr>
        <w:t xml:space="preserve"> 100 </w:t>
      </w:r>
      <w:r w:rsidRPr="00B75CF6">
        <w:rPr>
          <w:rFonts w:eastAsia="Times New Roman" w:cs="Arial"/>
          <w:color w:val="000000"/>
          <w:szCs w:val="20"/>
          <w:lang w:val="en-US"/>
        </w:rPr>
        <w:t>mg</w:t>
      </w:r>
      <w:r w:rsidRPr="00B75CF6">
        <w:rPr>
          <w:rFonts w:eastAsia="Times New Roman" w:cs="Arial"/>
          <w:color w:val="000000"/>
          <w:szCs w:val="20"/>
          <w:lang w:val="ru-RU"/>
        </w:rPr>
        <w:t xml:space="preserve"> </w:t>
      </w:r>
      <w:r w:rsidRPr="00B75CF6">
        <w:rPr>
          <w:rFonts w:eastAsia="Times New Roman" w:cs="Arial"/>
          <w:color w:val="000000"/>
          <w:szCs w:val="20"/>
          <w:lang w:val="en-US"/>
        </w:rPr>
        <w:t>tablets</w:t>
      </w:r>
    </w:p>
    <w:p w14:paraId="6920A680" w14:textId="593C1720" w:rsidR="00C40420" w:rsidRDefault="00DD466D" w:rsidP="004A448E">
      <w:pPr>
        <w:pStyle w:val="Heading1"/>
      </w:pPr>
      <w:r>
        <w:t>2. КАЧЕСТВЕН И КОЛИЧЕСТВЕН СЪСТАВ</w:t>
      </w:r>
    </w:p>
    <w:p w14:paraId="71501B96" w14:textId="293F3817" w:rsidR="00B75CF6" w:rsidRDefault="00B75CF6" w:rsidP="00B75CF6"/>
    <w:p w14:paraId="225CE821" w14:textId="77777777"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u w:val="single"/>
          <w:lang w:eastAsia="bg-BG"/>
        </w:rPr>
        <w:t xml:space="preserve">Таблетка от 25 </w:t>
      </w:r>
      <w:r w:rsidRPr="00B75CF6">
        <w:rPr>
          <w:rFonts w:eastAsia="Times New Roman" w:cs="Arial"/>
          <w:color w:val="000000"/>
          <w:szCs w:val="20"/>
          <w:u w:val="single"/>
          <w:lang w:val="en-US"/>
        </w:rPr>
        <w:t>mg</w:t>
      </w:r>
      <w:r w:rsidRPr="00B75CF6">
        <w:rPr>
          <w:rFonts w:eastAsia="Times New Roman" w:cs="Arial"/>
          <w:color w:val="000000"/>
          <w:szCs w:val="20"/>
          <w:u w:val="single"/>
        </w:rPr>
        <w:t>:</w:t>
      </w:r>
      <w:r w:rsidRPr="00B75CF6">
        <w:rPr>
          <w:rFonts w:eastAsia="Times New Roman" w:cs="Arial"/>
          <w:color w:val="000000"/>
          <w:szCs w:val="20"/>
        </w:rPr>
        <w:t xml:space="preserve"> </w:t>
      </w:r>
      <w:r w:rsidRPr="00B75CF6">
        <w:rPr>
          <w:rFonts w:eastAsia="Times New Roman" w:cs="Arial"/>
          <w:color w:val="000000"/>
          <w:szCs w:val="20"/>
          <w:lang w:eastAsia="bg-BG"/>
        </w:rPr>
        <w:t xml:space="preserve">Всяка таблетка съдържа 25 </w:t>
      </w:r>
      <w:r w:rsidRPr="00B75CF6">
        <w:rPr>
          <w:rFonts w:eastAsia="Times New Roman" w:cs="Arial"/>
          <w:color w:val="000000"/>
          <w:szCs w:val="20"/>
          <w:lang w:val="en-US"/>
        </w:rPr>
        <w:t>mg</w:t>
      </w:r>
      <w:r w:rsidRPr="00B75CF6">
        <w:rPr>
          <w:rFonts w:eastAsia="Times New Roman" w:cs="Arial"/>
          <w:color w:val="000000"/>
          <w:szCs w:val="20"/>
        </w:rPr>
        <w:t xml:space="preserve"> </w:t>
      </w:r>
      <w:r w:rsidRPr="00B75CF6">
        <w:rPr>
          <w:rFonts w:eastAsia="Times New Roman" w:cs="Arial"/>
          <w:color w:val="000000"/>
          <w:szCs w:val="20"/>
          <w:lang w:eastAsia="bg-BG"/>
        </w:rPr>
        <w:t>клозапин (</w:t>
      </w:r>
      <w:r w:rsidRPr="00B75CF6">
        <w:rPr>
          <w:rFonts w:eastAsia="Times New Roman" w:cs="Arial"/>
          <w:i/>
          <w:iCs/>
          <w:color w:val="000000"/>
          <w:szCs w:val="20"/>
          <w:lang w:val="en-US"/>
        </w:rPr>
        <w:t>clozapine</w:t>
      </w:r>
      <w:r w:rsidRPr="00B75CF6">
        <w:rPr>
          <w:rFonts w:eastAsia="Times New Roman" w:cs="Arial"/>
          <w:i/>
          <w:iCs/>
          <w:color w:val="000000"/>
          <w:szCs w:val="20"/>
        </w:rPr>
        <w:t>).</w:t>
      </w:r>
    </w:p>
    <w:p w14:paraId="61420E95" w14:textId="77777777"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u w:val="single"/>
          <w:lang w:eastAsia="bg-BG"/>
        </w:rPr>
        <w:t xml:space="preserve">Таблетка от 100 </w:t>
      </w:r>
      <w:r w:rsidRPr="00B75CF6">
        <w:rPr>
          <w:rFonts w:eastAsia="Times New Roman" w:cs="Arial"/>
          <w:color w:val="000000"/>
          <w:szCs w:val="20"/>
          <w:u w:val="single"/>
          <w:lang w:val="en-US"/>
        </w:rPr>
        <w:t>mg</w:t>
      </w:r>
      <w:r w:rsidRPr="00B75CF6">
        <w:rPr>
          <w:rFonts w:eastAsia="Times New Roman" w:cs="Arial"/>
          <w:color w:val="000000"/>
          <w:szCs w:val="20"/>
          <w:u w:val="single"/>
        </w:rPr>
        <w:t>:</w:t>
      </w:r>
      <w:r w:rsidRPr="00B75CF6">
        <w:rPr>
          <w:rFonts w:eastAsia="Times New Roman" w:cs="Arial"/>
          <w:color w:val="000000"/>
          <w:szCs w:val="20"/>
        </w:rPr>
        <w:t xml:space="preserve"> </w:t>
      </w:r>
      <w:r w:rsidRPr="00B75CF6">
        <w:rPr>
          <w:rFonts w:eastAsia="Times New Roman" w:cs="Arial"/>
          <w:color w:val="000000"/>
          <w:szCs w:val="20"/>
          <w:lang w:eastAsia="bg-BG"/>
        </w:rPr>
        <w:t xml:space="preserve">Всяка таблетка съдържа 100 </w:t>
      </w:r>
      <w:r w:rsidRPr="00B75CF6">
        <w:rPr>
          <w:rFonts w:eastAsia="Times New Roman" w:cs="Arial"/>
          <w:color w:val="000000"/>
          <w:szCs w:val="20"/>
          <w:lang w:val="en-US"/>
        </w:rPr>
        <w:t>mg</w:t>
      </w:r>
      <w:r w:rsidRPr="00B75CF6">
        <w:rPr>
          <w:rFonts w:eastAsia="Times New Roman" w:cs="Arial"/>
          <w:color w:val="000000"/>
          <w:szCs w:val="20"/>
        </w:rPr>
        <w:t xml:space="preserve"> </w:t>
      </w:r>
      <w:r w:rsidRPr="00B75CF6">
        <w:rPr>
          <w:rFonts w:eastAsia="Times New Roman" w:cs="Arial"/>
          <w:color w:val="000000"/>
          <w:szCs w:val="20"/>
          <w:lang w:eastAsia="bg-BG"/>
        </w:rPr>
        <w:t>клозапин (</w:t>
      </w:r>
      <w:r w:rsidRPr="00B75CF6">
        <w:rPr>
          <w:rFonts w:eastAsia="Times New Roman" w:cs="Arial"/>
          <w:i/>
          <w:iCs/>
          <w:color w:val="000000"/>
          <w:szCs w:val="20"/>
          <w:lang w:val="en-US"/>
        </w:rPr>
        <w:t>clozapine</w:t>
      </w:r>
      <w:r w:rsidRPr="00B75CF6">
        <w:rPr>
          <w:rFonts w:eastAsia="Times New Roman" w:cs="Arial"/>
          <w:i/>
          <w:iCs/>
          <w:color w:val="000000"/>
          <w:szCs w:val="20"/>
        </w:rPr>
        <w:t>).</w:t>
      </w:r>
    </w:p>
    <w:p w14:paraId="3CD3508C" w14:textId="77777777" w:rsidR="00B75CF6" w:rsidRPr="00B75CF6" w:rsidRDefault="00B75CF6" w:rsidP="00B75CF6">
      <w:pPr>
        <w:spacing w:line="240" w:lineRule="auto"/>
        <w:rPr>
          <w:rFonts w:eastAsia="Times New Roman" w:cs="Arial"/>
          <w:color w:val="000000"/>
          <w:szCs w:val="20"/>
          <w:lang w:eastAsia="bg-BG"/>
        </w:rPr>
      </w:pPr>
    </w:p>
    <w:p w14:paraId="3E3646BE" w14:textId="4344ADFB"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lang w:eastAsia="bg-BG"/>
        </w:rPr>
        <w:t xml:space="preserve">Помощни вещества с известно действие: съдържат също лактоза монохидрат 48,0 </w:t>
      </w:r>
      <w:r w:rsidRPr="00B75CF6">
        <w:rPr>
          <w:rFonts w:eastAsia="Times New Roman" w:cs="Arial"/>
          <w:color w:val="000000"/>
          <w:szCs w:val="20"/>
          <w:lang w:val="en-US"/>
        </w:rPr>
        <w:t>mg</w:t>
      </w:r>
      <w:r w:rsidRPr="00B75CF6">
        <w:rPr>
          <w:rFonts w:eastAsia="Times New Roman" w:cs="Arial"/>
          <w:color w:val="000000"/>
          <w:szCs w:val="20"/>
          <w:lang w:val="ru-RU"/>
        </w:rPr>
        <w:t xml:space="preserve"> </w:t>
      </w:r>
      <w:r w:rsidRPr="00B75CF6">
        <w:rPr>
          <w:rFonts w:eastAsia="Times New Roman" w:cs="Arial"/>
          <w:color w:val="000000"/>
          <w:szCs w:val="20"/>
          <w:lang w:eastAsia="bg-BG"/>
        </w:rPr>
        <w:t xml:space="preserve">и 192,0 </w:t>
      </w:r>
      <w:r w:rsidRPr="00B75CF6">
        <w:rPr>
          <w:rFonts w:eastAsia="Times New Roman" w:cs="Arial"/>
          <w:color w:val="000000"/>
          <w:szCs w:val="20"/>
          <w:lang w:val="en-US"/>
        </w:rPr>
        <w:t>mg</w:t>
      </w:r>
      <w:r w:rsidRPr="00B75CF6">
        <w:rPr>
          <w:rFonts w:eastAsia="Times New Roman" w:cs="Arial"/>
          <w:color w:val="000000"/>
          <w:szCs w:val="20"/>
          <w:lang w:val="ru-RU"/>
        </w:rPr>
        <w:t xml:space="preserve"> </w:t>
      </w:r>
      <w:r w:rsidRPr="00B75CF6">
        <w:rPr>
          <w:rFonts w:eastAsia="Times New Roman" w:cs="Arial"/>
          <w:color w:val="000000"/>
          <w:szCs w:val="20"/>
          <w:lang w:eastAsia="bg-BG"/>
        </w:rPr>
        <w:t xml:space="preserve">във всяка таблетка от 25 </w:t>
      </w:r>
      <w:r w:rsidRPr="00B75CF6">
        <w:rPr>
          <w:rFonts w:eastAsia="Times New Roman" w:cs="Arial"/>
          <w:color w:val="000000"/>
          <w:szCs w:val="20"/>
          <w:lang w:val="en-US"/>
        </w:rPr>
        <w:t>mg</w:t>
      </w:r>
      <w:r w:rsidRPr="00B75CF6">
        <w:rPr>
          <w:rFonts w:eastAsia="Times New Roman" w:cs="Arial"/>
          <w:color w:val="000000"/>
          <w:szCs w:val="20"/>
          <w:lang w:val="ru-RU"/>
        </w:rPr>
        <w:t xml:space="preserve"> </w:t>
      </w:r>
      <w:r w:rsidRPr="00B75CF6">
        <w:rPr>
          <w:rFonts w:eastAsia="Times New Roman" w:cs="Arial"/>
          <w:color w:val="000000"/>
          <w:szCs w:val="20"/>
          <w:lang w:eastAsia="bg-BG"/>
        </w:rPr>
        <w:t xml:space="preserve">и 100 </w:t>
      </w:r>
      <w:r w:rsidRPr="00B75CF6">
        <w:rPr>
          <w:rFonts w:eastAsia="Times New Roman" w:cs="Arial"/>
          <w:color w:val="000000"/>
          <w:szCs w:val="20"/>
          <w:lang w:val="en-US"/>
        </w:rPr>
        <w:t>mg</w:t>
      </w:r>
      <w:r w:rsidRPr="00B75CF6">
        <w:rPr>
          <w:rFonts w:eastAsia="Times New Roman" w:cs="Arial"/>
          <w:color w:val="000000"/>
          <w:szCs w:val="20"/>
          <w:lang w:val="ru-RU"/>
        </w:rPr>
        <w:t xml:space="preserve">, </w:t>
      </w:r>
      <w:r w:rsidRPr="00B75CF6">
        <w:rPr>
          <w:rFonts w:eastAsia="Times New Roman" w:cs="Arial"/>
          <w:color w:val="000000"/>
          <w:szCs w:val="20"/>
          <w:lang w:eastAsia="bg-BG"/>
        </w:rPr>
        <w:t>съответно.</w:t>
      </w:r>
    </w:p>
    <w:p w14:paraId="795781B9" w14:textId="77777777" w:rsidR="00B75CF6" w:rsidRPr="00B75CF6" w:rsidRDefault="00B75CF6" w:rsidP="00B75CF6"/>
    <w:p w14:paraId="614984C4" w14:textId="40A426DA" w:rsidR="008A6AF2" w:rsidRDefault="00DD466D" w:rsidP="002C50EE">
      <w:pPr>
        <w:pStyle w:val="Heading1"/>
      </w:pPr>
      <w:r>
        <w:t>3. ЛЕКАРСТВЕНА ФОРМА</w:t>
      </w:r>
    </w:p>
    <w:p w14:paraId="747343AC" w14:textId="04F80C75" w:rsidR="00B75CF6" w:rsidRDefault="00B75CF6" w:rsidP="00B75CF6"/>
    <w:p w14:paraId="118955C5" w14:textId="77777777"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lang w:eastAsia="bg-BG"/>
        </w:rPr>
        <w:t>Таблетки.</w:t>
      </w:r>
    </w:p>
    <w:p w14:paraId="6741B56D" w14:textId="77777777" w:rsidR="00B75CF6" w:rsidRPr="00B75CF6" w:rsidRDefault="00B75CF6" w:rsidP="00B75CF6">
      <w:pPr>
        <w:spacing w:line="240" w:lineRule="auto"/>
        <w:rPr>
          <w:rFonts w:eastAsia="Times New Roman" w:cs="Arial"/>
          <w:color w:val="000000"/>
          <w:szCs w:val="20"/>
          <w:u w:val="single"/>
          <w:lang w:eastAsia="bg-BG"/>
        </w:rPr>
      </w:pPr>
    </w:p>
    <w:p w14:paraId="5CAC194B" w14:textId="365147F1"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u w:val="single"/>
          <w:lang w:eastAsia="bg-BG"/>
        </w:rPr>
        <w:t xml:space="preserve">Таблетка от 25 </w:t>
      </w:r>
      <w:r w:rsidRPr="00B75CF6">
        <w:rPr>
          <w:rFonts w:eastAsia="Times New Roman" w:cs="Arial"/>
          <w:color w:val="000000"/>
          <w:szCs w:val="20"/>
          <w:u w:val="single"/>
          <w:lang w:val="en-US"/>
        </w:rPr>
        <w:t>mg</w:t>
      </w:r>
    </w:p>
    <w:p w14:paraId="51532AF6" w14:textId="77777777"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lang w:eastAsia="bg-BG"/>
        </w:rPr>
        <w:t xml:space="preserve">Жълта, кръгла, плоска таблетка със скосен ръб с надпис </w:t>
      </w:r>
      <w:r w:rsidRPr="00B75CF6">
        <w:rPr>
          <w:rFonts w:eastAsia="Times New Roman" w:cs="Arial"/>
          <w:color w:val="000000"/>
          <w:szCs w:val="20"/>
          <w:lang w:val="ru-RU"/>
        </w:rPr>
        <w:t>“</w:t>
      </w:r>
      <w:r w:rsidRPr="00B75CF6">
        <w:rPr>
          <w:rFonts w:eastAsia="Times New Roman" w:cs="Arial"/>
          <w:color w:val="000000"/>
          <w:szCs w:val="20"/>
          <w:lang w:val="en-US"/>
        </w:rPr>
        <w:t>L</w:t>
      </w:r>
      <w:r w:rsidRPr="00B75CF6">
        <w:rPr>
          <w:rFonts w:eastAsia="Times New Roman" w:cs="Arial"/>
          <w:color w:val="000000"/>
          <w:szCs w:val="20"/>
          <w:lang w:val="ru-RU"/>
        </w:rPr>
        <w:t>/</w:t>
      </w:r>
      <w:r w:rsidRPr="00B75CF6">
        <w:rPr>
          <w:rFonts w:eastAsia="Times New Roman" w:cs="Arial"/>
          <w:color w:val="000000"/>
          <w:szCs w:val="20"/>
          <w:lang w:val="en-US"/>
        </w:rPr>
        <w:t>O</w:t>
      </w:r>
      <w:r w:rsidRPr="00B75CF6">
        <w:rPr>
          <w:rFonts w:eastAsia="Times New Roman" w:cs="Arial"/>
          <w:color w:val="000000"/>
          <w:szCs w:val="20"/>
          <w:lang w:val="ru-RU"/>
        </w:rPr>
        <w:t xml:space="preserve">” </w:t>
      </w:r>
      <w:r w:rsidRPr="00B75CF6">
        <w:rPr>
          <w:rFonts w:eastAsia="Times New Roman" w:cs="Arial"/>
          <w:color w:val="000000"/>
          <w:szCs w:val="20"/>
          <w:lang w:eastAsia="bg-BG"/>
        </w:rPr>
        <w:t xml:space="preserve">с наклонена черта от едната страна и </w:t>
      </w:r>
      <w:r w:rsidRPr="00B75CF6">
        <w:rPr>
          <w:rFonts w:eastAsia="Times New Roman" w:cs="Arial"/>
          <w:color w:val="000000"/>
          <w:szCs w:val="20"/>
          <w:lang w:val="ru-RU"/>
        </w:rPr>
        <w:t>“</w:t>
      </w:r>
      <w:r w:rsidRPr="00B75CF6">
        <w:rPr>
          <w:rFonts w:eastAsia="Times New Roman" w:cs="Arial"/>
          <w:color w:val="000000"/>
          <w:szCs w:val="20"/>
          <w:lang w:val="en-US"/>
        </w:rPr>
        <w:t>CLOZ</w:t>
      </w:r>
      <w:r w:rsidRPr="00B75CF6">
        <w:rPr>
          <w:rFonts w:eastAsia="Times New Roman" w:cs="Arial"/>
          <w:color w:val="000000"/>
          <w:szCs w:val="20"/>
          <w:lang w:val="ru-RU"/>
        </w:rPr>
        <w:t>”</w:t>
      </w:r>
      <w:r w:rsidRPr="00B75CF6">
        <w:rPr>
          <w:rFonts w:eastAsia="Times New Roman" w:cs="Arial"/>
          <w:color w:val="000000"/>
          <w:szCs w:val="20"/>
          <w:lang w:val="en-US"/>
        </w:rPr>
        <w:t>or</w:t>
      </w:r>
      <w:r w:rsidRPr="00B75CF6">
        <w:rPr>
          <w:rFonts w:eastAsia="Times New Roman" w:cs="Arial"/>
          <w:color w:val="000000"/>
          <w:szCs w:val="20"/>
          <w:lang w:val="ru-RU"/>
        </w:rPr>
        <w:t xml:space="preserve"> </w:t>
      </w:r>
      <w:r w:rsidRPr="00B75CF6">
        <w:rPr>
          <w:rFonts w:eastAsia="Times New Roman" w:cs="Arial"/>
          <w:color w:val="000000"/>
          <w:szCs w:val="20"/>
          <w:lang w:eastAsia="bg-BG"/>
        </w:rPr>
        <w:t>другата.</w:t>
      </w:r>
    </w:p>
    <w:p w14:paraId="4608B394" w14:textId="77777777" w:rsidR="00B75CF6" w:rsidRPr="00B75CF6" w:rsidRDefault="00B75CF6" w:rsidP="00B75CF6">
      <w:pPr>
        <w:spacing w:line="240" w:lineRule="auto"/>
        <w:rPr>
          <w:rFonts w:eastAsia="Times New Roman" w:cs="Arial"/>
          <w:color w:val="000000"/>
          <w:szCs w:val="20"/>
          <w:u w:val="single"/>
          <w:lang w:eastAsia="bg-BG"/>
        </w:rPr>
      </w:pPr>
    </w:p>
    <w:p w14:paraId="7EA3FB9A" w14:textId="682DF479"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u w:val="single"/>
          <w:lang w:eastAsia="bg-BG"/>
        </w:rPr>
        <w:t xml:space="preserve">Таблетка от 100 </w:t>
      </w:r>
      <w:r w:rsidRPr="00B75CF6">
        <w:rPr>
          <w:rFonts w:eastAsia="Times New Roman" w:cs="Arial"/>
          <w:color w:val="000000"/>
          <w:szCs w:val="20"/>
          <w:u w:val="single"/>
          <w:lang w:val="en-US"/>
        </w:rPr>
        <w:t>mg</w:t>
      </w:r>
    </w:p>
    <w:p w14:paraId="73F833C9" w14:textId="77777777"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lang w:eastAsia="bg-BG"/>
        </w:rPr>
        <w:t xml:space="preserve">Жълта, кръгла, плоска таблетка със скосен ръб с надпис </w:t>
      </w:r>
      <w:r w:rsidRPr="00B75CF6">
        <w:rPr>
          <w:rFonts w:eastAsia="Times New Roman" w:cs="Arial"/>
          <w:color w:val="000000"/>
          <w:szCs w:val="20"/>
          <w:lang w:val="ru-RU"/>
        </w:rPr>
        <w:t>“</w:t>
      </w:r>
      <w:r w:rsidRPr="00B75CF6">
        <w:rPr>
          <w:rFonts w:eastAsia="Times New Roman" w:cs="Arial"/>
          <w:color w:val="000000"/>
          <w:szCs w:val="20"/>
          <w:lang w:val="en-US"/>
        </w:rPr>
        <w:t>Z</w:t>
      </w:r>
      <w:r w:rsidRPr="00B75CF6">
        <w:rPr>
          <w:rFonts w:eastAsia="Times New Roman" w:cs="Arial"/>
          <w:color w:val="000000"/>
          <w:szCs w:val="20"/>
          <w:lang w:val="ru-RU"/>
        </w:rPr>
        <w:t>/</w:t>
      </w:r>
      <w:r w:rsidRPr="00B75CF6">
        <w:rPr>
          <w:rFonts w:eastAsia="Times New Roman" w:cs="Arial"/>
          <w:color w:val="000000"/>
          <w:szCs w:val="20"/>
          <w:lang w:val="en-US"/>
        </w:rPr>
        <w:t>A</w:t>
      </w:r>
      <w:r w:rsidRPr="00B75CF6">
        <w:rPr>
          <w:rFonts w:eastAsia="Times New Roman" w:cs="Arial"/>
          <w:color w:val="000000"/>
          <w:szCs w:val="20"/>
          <w:lang w:val="ru-RU"/>
        </w:rPr>
        <w:t xml:space="preserve">” </w:t>
      </w:r>
      <w:r w:rsidRPr="00B75CF6">
        <w:rPr>
          <w:rFonts w:eastAsia="Times New Roman" w:cs="Arial"/>
          <w:color w:val="000000"/>
          <w:szCs w:val="20"/>
          <w:lang w:eastAsia="bg-BG"/>
        </w:rPr>
        <w:t xml:space="preserve">с наклонена черта от едната страна и </w:t>
      </w:r>
      <w:r w:rsidRPr="00B75CF6">
        <w:rPr>
          <w:rFonts w:eastAsia="Times New Roman" w:cs="Arial"/>
          <w:smallCaps/>
          <w:color w:val="000000"/>
          <w:szCs w:val="20"/>
          <w:lang w:val="ru-RU"/>
        </w:rPr>
        <w:t>“</w:t>
      </w:r>
      <w:r w:rsidRPr="00B75CF6">
        <w:rPr>
          <w:rFonts w:eastAsia="Times New Roman" w:cs="Arial"/>
          <w:smallCaps/>
          <w:color w:val="000000"/>
          <w:szCs w:val="20"/>
          <w:lang w:val="en-US"/>
        </w:rPr>
        <w:t>CLOZ</w:t>
      </w:r>
      <w:r w:rsidRPr="00B75CF6">
        <w:rPr>
          <w:rFonts w:eastAsia="Times New Roman" w:cs="Arial"/>
          <w:smallCaps/>
          <w:color w:val="000000"/>
          <w:szCs w:val="20"/>
          <w:lang w:val="ru-RU"/>
        </w:rPr>
        <w:t>”</w:t>
      </w:r>
      <w:r w:rsidRPr="00B75CF6">
        <w:rPr>
          <w:rFonts w:eastAsia="Times New Roman" w:cs="Arial"/>
          <w:smallCaps/>
          <w:color w:val="000000"/>
          <w:szCs w:val="20"/>
          <w:lang w:eastAsia="bg-BG"/>
        </w:rPr>
        <w:t xml:space="preserve"> от</w:t>
      </w:r>
      <w:r w:rsidRPr="00B75CF6">
        <w:rPr>
          <w:rFonts w:eastAsia="Times New Roman" w:cs="Arial"/>
          <w:color w:val="000000"/>
          <w:szCs w:val="20"/>
          <w:lang w:val="ru-RU"/>
        </w:rPr>
        <w:t xml:space="preserve"> </w:t>
      </w:r>
      <w:r w:rsidRPr="00B75CF6">
        <w:rPr>
          <w:rFonts w:eastAsia="Times New Roman" w:cs="Arial"/>
          <w:color w:val="000000"/>
          <w:szCs w:val="20"/>
          <w:lang w:eastAsia="bg-BG"/>
        </w:rPr>
        <w:t>другата.</w:t>
      </w:r>
    </w:p>
    <w:p w14:paraId="6C00724D" w14:textId="77777777" w:rsidR="00B75CF6" w:rsidRPr="00B75CF6" w:rsidRDefault="00B75CF6" w:rsidP="00B75CF6">
      <w:pPr>
        <w:rPr>
          <w:rFonts w:eastAsia="Times New Roman" w:cs="Arial"/>
          <w:color w:val="000000"/>
          <w:szCs w:val="20"/>
          <w:lang w:eastAsia="bg-BG"/>
        </w:rPr>
      </w:pPr>
    </w:p>
    <w:p w14:paraId="3B02986E" w14:textId="5ED9FE5F" w:rsidR="00B75CF6" w:rsidRPr="00B75CF6" w:rsidRDefault="00B75CF6" w:rsidP="00B75CF6">
      <w:pPr>
        <w:rPr>
          <w:rFonts w:cs="Arial"/>
          <w:sz w:val="24"/>
        </w:rPr>
      </w:pPr>
      <w:r w:rsidRPr="00B75CF6">
        <w:rPr>
          <w:rFonts w:eastAsia="Times New Roman" w:cs="Arial"/>
          <w:color w:val="000000"/>
          <w:szCs w:val="20"/>
          <w:lang w:eastAsia="bg-BG"/>
        </w:rPr>
        <w:t>Таблетката може да се дели на равни половинки.</w:t>
      </w:r>
    </w:p>
    <w:p w14:paraId="06E28BF3" w14:textId="22045E5A" w:rsidR="00B75CF6" w:rsidRPr="00B75CF6" w:rsidRDefault="002C50EE" w:rsidP="00B75CF6">
      <w:pPr>
        <w:pStyle w:val="Heading1"/>
      </w:pPr>
      <w:r>
        <w:t>4. КЛИНИЧНИ ДАННИ</w:t>
      </w:r>
    </w:p>
    <w:p w14:paraId="74330405" w14:textId="1CA458CC" w:rsidR="007122AD" w:rsidRDefault="002C50EE" w:rsidP="00936AD0">
      <w:pPr>
        <w:pStyle w:val="Heading2"/>
      </w:pPr>
      <w:r>
        <w:t>4.1. Терапевтични показания</w:t>
      </w:r>
    </w:p>
    <w:p w14:paraId="67EF4321" w14:textId="60EF2B98" w:rsidR="00B75CF6" w:rsidRDefault="00B75CF6" w:rsidP="00B75CF6"/>
    <w:p w14:paraId="46E12C55" w14:textId="77777777"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u w:val="single"/>
          <w:lang w:eastAsia="bg-BG"/>
        </w:rPr>
        <w:t>Лечение на терапевтично резистентна шизофрения</w:t>
      </w:r>
    </w:p>
    <w:p w14:paraId="476E9A10" w14:textId="77777777"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lang w:eastAsia="bg-BG"/>
        </w:rPr>
        <w:t>Лепонекс е показан при пациенти с терапевтично резистентна шизофрения, които имат тежки, неповлияващи се от лечението неврологични нежелани реакции от други антипсихотични лекарства, включително атипични антипсихотици.</w:t>
      </w:r>
    </w:p>
    <w:p w14:paraId="48F4F038" w14:textId="77777777" w:rsidR="00B75CF6" w:rsidRPr="00B75CF6" w:rsidRDefault="00B75CF6" w:rsidP="00B75CF6">
      <w:pPr>
        <w:spacing w:line="240" w:lineRule="auto"/>
        <w:rPr>
          <w:rFonts w:eastAsia="Times New Roman" w:cs="Arial"/>
          <w:color w:val="000000"/>
          <w:szCs w:val="20"/>
          <w:lang w:eastAsia="bg-BG"/>
        </w:rPr>
      </w:pPr>
    </w:p>
    <w:p w14:paraId="791921D7" w14:textId="6B3770F2"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lang w:eastAsia="bg-BG"/>
        </w:rPr>
        <w:t>Резистентност към лечението се дефинира като липса на задоволително клинично подобрение, независимо от приложението на достатъчни дози от поне две различни антипсихотични лекарства, включително атипичен антипсихотик, предписван за достатъчно продължителен период от време.</w:t>
      </w:r>
    </w:p>
    <w:p w14:paraId="4879BBFC" w14:textId="77777777" w:rsidR="00B75CF6" w:rsidRPr="00B75CF6" w:rsidRDefault="00B75CF6" w:rsidP="00B75CF6">
      <w:pPr>
        <w:spacing w:line="240" w:lineRule="auto"/>
        <w:rPr>
          <w:rFonts w:eastAsia="Times New Roman" w:cs="Arial"/>
          <w:color w:val="000000"/>
          <w:szCs w:val="20"/>
          <w:u w:val="single"/>
          <w:lang w:eastAsia="bg-BG"/>
        </w:rPr>
      </w:pPr>
    </w:p>
    <w:p w14:paraId="543420A0" w14:textId="77B07B5E"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u w:val="single"/>
          <w:lang w:eastAsia="bg-BG"/>
        </w:rPr>
        <w:t>Психоза при болест на Паркинсон</w:t>
      </w:r>
    </w:p>
    <w:p w14:paraId="5268418E" w14:textId="5AA41279" w:rsidR="00B75CF6" w:rsidRDefault="00B75CF6" w:rsidP="00B75CF6">
      <w:pPr>
        <w:rPr>
          <w:rFonts w:eastAsia="Times New Roman" w:cs="Arial"/>
          <w:color w:val="000000"/>
          <w:szCs w:val="20"/>
          <w:lang w:eastAsia="bg-BG"/>
        </w:rPr>
      </w:pPr>
      <w:r w:rsidRPr="00B75CF6">
        <w:rPr>
          <w:rFonts w:eastAsia="Times New Roman" w:cs="Arial"/>
          <w:color w:val="000000"/>
          <w:szCs w:val="20"/>
          <w:lang w:eastAsia="bg-BG"/>
        </w:rPr>
        <w:t>Лепонекс е показан също при психотични нарушения, възникващи в хода на болестта на Паркинсон в случаите, когато стандартното лечение е неефикасно.</w:t>
      </w:r>
    </w:p>
    <w:p w14:paraId="6365A590" w14:textId="77777777" w:rsidR="00B75CF6" w:rsidRPr="00B75CF6" w:rsidRDefault="00B75CF6" w:rsidP="00B75CF6">
      <w:pPr>
        <w:rPr>
          <w:rFonts w:cs="Arial"/>
          <w:sz w:val="24"/>
        </w:rPr>
      </w:pPr>
    </w:p>
    <w:p w14:paraId="53F5B866" w14:textId="153C90F9" w:rsidR="007122AD" w:rsidRDefault="002C50EE" w:rsidP="00936AD0">
      <w:pPr>
        <w:pStyle w:val="Heading2"/>
      </w:pPr>
      <w:r>
        <w:t>4.2. Дозировка и начин на приложение</w:t>
      </w:r>
    </w:p>
    <w:p w14:paraId="4F9269D0" w14:textId="4D8D7DF2" w:rsidR="00B75CF6" w:rsidRDefault="00B75CF6" w:rsidP="00B75CF6"/>
    <w:p w14:paraId="1EFFE91B" w14:textId="77777777" w:rsidR="00B75CF6" w:rsidRPr="00B75CF6" w:rsidRDefault="00B75CF6" w:rsidP="00B75CF6">
      <w:pPr>
        <w:pStyle w:val="Heading3"/>
        <w:rPr>
          <w:rFonts w:eastAsia="Times New Roman"/>
          <w:u w:val="single"/>
        </w:rPr>
      </w:pPr>
      <w:r w:rsidRPr="00B75CF6">
        <w:rPr>
          <w:rFonts w:eastAsia="Times New Roman"/>
          <w:u w:val="single"/>
          <w:lang w:eastAsia="bg-BG"/>
        </w:rPr>
        <w:t>Дозировка</w:t>
      </w:r>
    </w:p>
    <w:p w14:paraId="4D003D21" w14:textId="77777777" w:rsidR="00B75CF6" w:rsidRPr="00B75CF6" w:rsidRDefault="00B75CF6" w:rsidP="00B75CF6">
      <w:pPr>
        <w:rPr>
          <w:rFonts w:eastAsia="Times New Roman" w:cs="Arial"/>
          <w:color w:val="000000"/>
          <w:lang w:eastAsia="bg-BG"/>
        </w:rPr>
      </w:pPr>
    </w:p>
    <w:p w14:paraId="482597B0" w14:textId="1D360BAF" w:rsidR="00B75CF6" w:rsidRPr="00B75CF6" w:rsidRDefault="00B75CF6" w:rsidP="00B75CF6">
      <w:pPr>
        <w:rPr>
          <w:rFonts w:eastAsia="Times New Roman" w:cs="Arial"/>
          <w:color w:val="000000"/>
          <w:lang w:eastAsia="bg-BG"/>
        </w:rPr>
      </w:pPr>
      <w:r w:rsidRPr="00B75CF6">
        <w:rPr>
          <w:rFonts w:eastAsia="Times New Roman" w:cs="Arial"/>
          <w:color w:val="000000"/>
          <w:lang w:eastAsia="bg-BG"/>
        </w:rPr>
        <w:t>Дозировката трябва да бъде определяна индивидуално. При всеки пациенти трябва да се прилага най-ниската ефективна доза. Внимателно титриране и схема на отделни дози са необходими за минимизиране на рисковете от хипотония, гърчове и седация.</w:t>
      </w:r>
    </w:p>
    <w:p w14:paraId="3D6AF33E" w14:textId="4B0273FB" w:rsidR="00B75CF6" w:rsidRPr="00B75CF6" w:rsidRDefault="00B75CF6" w:rsidP="00B75CF6">
      <w:pPr>
        <w:rPr>
          <w:rFonts w:eastAsia="Times New Roman" w:cs="Arial"/>
          <w:color w:val="000000"/>
          <w:lang w:eastAsia="bg-BG"/>
        </w:rPr>
      </w:pPr>
    </w:p>
    <w:p w14:paraId="18F366C2" w14:textId="77777777" w:rsidR="00B75CF6" w:rsidRPr="00B75CF6" w:rsidRDefault="00B75CF6" w:rsidP="00B75CF6">
      <w:pPr>
        <w:spacing w:line="240" w:lineRule="auto"/>
        <w:rPr>
          <w:rFonts w:eastAsia="Times New Roman" w:cs="Arial"/>
        </w:rPr>
      </w:pPr>
      <w:r w:rsidRPr="00B75CF6">
        <w:rPr>
          <w:rFonts w:eastAsia="Times New Roman" w:cs="Arial"/>
          <w:color w:val="000000"/>
          <w:lang w:eastAsia="bg-BG"/>
        </w:rPr>
        <w:t>Започването на лечението с Лепонекс трябва да бъде ограничено до пациентите с левкоцитен брой</w:t>
      </w:r>
    </w:p>
    <w:p w14:paraId="4CB9E6FC" w14:textId="77777777" w:rsidR="00B75CF6" w:rsidRPr="00B75CF6" w:rsidRDefault="00B75CF6" w:rsidP="00B75CF6">
      <w:pPr>
        <w:spacing w:line="240" w:lineRule="auto"/>
        <w:rPr>
          <w:rFonts w:eastAsia="Times New Roman" w:cs="Arial"/>
        </w:rPr>
      </w:pPr>
      <w:r w:rsidRPr="00B75CF6">
        <w:rPr>
          <w:rFonts w:eastAsia="Times New Roman" w:cs="Arial"/>
          <w:color w:val="000000"/>
          <w:lang w:eastAsia="bg-BG"/>
        </w:rPr>
        <w:t>≥ 3 500/пмп</w:t>
      </w:r>
      <w:r w:rsidRPr="00B75CF6">
        <w:rPr>
          <w:rFonts w:eastAsia="Times New Roman" w:cs="Arial"/>
          <w:color w:val="000000"/>
          <w:vertAlign w:val="superscript"/>
          <w:lang w:eastAsia="bg-BG"/>
        </w:rPr>
        <w:t>3</w:t>
      </w:r>
      <w:r w:rsidRPr="00B75CF6">
        <w:rPr>
          <w:rFonts w:eastAsia="Times New Roman" w:cs="Arial"/>
          <w:color w:val="000000"/>
          <w:lang w:eastAsia="bg-BG"/>
        </w:rPr>
        <w:t xml:space="preserve"> </w:t>
      </w:r>
      <w:r w:rsidRPr="00B75CF6">
        <w:rPr>
          <w:rFonts w:eastAsia="Times New Roman" w:cs="Arial"/>
          <w:color w:val="000000"/>
          <w:lang w:val="ru-RU"/>
        </w:rPr>
        <w:t>(3,5</w:t>
      </w:r>
      <w:r w:rsidRPr="00B75CF6">
        <w:rPr>
          <w:rFonts w:eastAsia="Times New Roman" w:cs="Arial"/>
          <w:color w:val="000000"/>
          <w:lang w:val="en-US"/>
        </w:rPr>
        <w:t>x</w:t>
      </w:r>
      <w:r w:rsidRPr="00B75CF6">
        <w:rPr>
          <w:rFonts w:eastAsia="Times New Roman" w:cs="Arial"/>
          <w:color w:val="000000"/>
          <w:lang w:val="ru-RU"/>
        </w:rPr>
        <w:t>1</w:t>
      </w:r>
      <w:r w:rsidRPr="00B75CF6">
        <w:rPr>
          <w:rFonts w:eastAsia="Times New Roman" w:cs="Arial"/>
          <w:color w:val="000000"/>
          <w:lang w:eastAsia="bg-BG"/>
        </w:rPr>
        <w:t>0</w:t>
      </w:r>
      <w:r w:rsidRPr="00B75CF6">
        <w:rPr>
          <w:rFonts w:eastAsia="Times New Roman" w:cs="Arial"/>
          <w:color w:val="000000"/>
          <w:vertAlign w:val="superscript"/>
          <w:lang w:eastAsia="bg-BG"/>
        </w:rPr>
        <w:t>9</w:t>
      </w:r>
      <w:r w:rsidRPr="00B75CF6">
        <w:rPr>
          <w:rFonts w:eastAsia="Times New Roman" w:cs="Arial"/>
          <w:color w:val="000000"/>
          <w:lang w:eastAsia="bg-BG"/>
        </w:rPr>
        <w:t xml:space="preserve">/1) и АБН ≥ 2 </w:t>
      </w:r>
      <w:r w:rsidRPr="00B75CF6">
        <w:rPr>
          <w:rFonts w:eastAsia="Times New Roman" w:cs="Arial"/>
          <w:color w:val="000000"/>
          <w:lang w:val="ru-RU"/>
        </w:rPr>
        <w:t>000/</w:t>
      </w:r>
      <w:r w:rsidRPr="00B75CF6">
        <w:rPr>
          <w:rFonts w:eastAsia="Times New Roman" w:cs="Arial"/>
          <w:color w:val="000000"/>
          <w:lang w:val="en-US"/>
        </w:rPr>
        <w:t>mm</w:t>
      </w:r>
      <w:r w:rsidRPr="00B75CF6">
        <w:rPr>
          <w:rFonts w:eastAsia="Times New Roman" w:cs="Arial"/>
          <w:color w:val="000000"/>
          <w:vertAlign w:val="superscript"/>
          <w:lang w:val="ru-RU"/>
        </w:rPr>
        <w:t>3</w:t>
      </w:r>
      <w:r w:rsidRPr="00B75CF6">
        <w:rPr>
          <w:rFonts w:eastAsia="Times New Roman" w:cs="Arial"/>
          <w:color w:val="000000"/>
          <w:lang w:val="ru-RU"/>
        </w:rPr>
        <w:t xml:space="preserve"> (2,0</w:t>
      </w:r>
      <w:r w:rsidRPr="00B75CF6">
        <w:rPr>
          <w:rFonts w:eastAsia="Times New Roman" w:cs="Arial"/>
          <w:color w:val="000000"/>
          <w:lang w:val="en-US"/>
        </w:rPr>
        <w:t>x</w:t>
      </w:r>
      <w:r w:rsidRPr="00B75CF6">
        <w:rPr>
          <w:rFonts w:eastAsia="Times New Roman" w:cs="Arial"/>
          <w:color w:val="000000"/>
          <w:lang w:val="ru-RU"/>
        </w:rPr>
        <w:t>1</w:t>
      </w:r>
      <w:r w:rsidRPr="00B75CF6">
        <w:rPr>
          <w:rFonts w:eastAsia="Times New Roman" w:cs="Arial"/>
          <w:color w:val="000000"/>
          <w:lang w:eastAsia="bg-BG"/>
        </w:rPr>
        <w:t>0</w:t>
      </w:r>
      <w:r w:rsidRPr="00B75CF6">
        <w:rPr>
          <w:rFonts w:eastAsia="Times New Roman" w:cs="Arial"/>
          <w:color w:val="000000"/>
          <w:vertAlign w:val="superscript"/>
          <w:lang w:eastAsia="bg-BG"/>
        </w:rPr>
        <w:t>9</w:t>
      </w:r>
      <w:r w:rsidRPr="00B75CF6">
        <w:rPr>
          <w:rFonts w:eastAsia="Times New Roman" w:cs="Arial"/>
          <w:color w:val="000000"/>
          <w:lang w:eastAsia="bg-BG"/>
        </w:rPr>
        <w:t>/1) в рамките на референтните стойности.</w:t>
      </w:r>
    </w:p>
    <w:p w14:paraId="08E7862D" w14:textId="77777777" w:rsidR="00B75CF6" w:rsidRPr="00B75CF6" w:rsidRDefault="00B75CF6" w:rsidP="00B75CF6">
      <w:pPr>
        <w:spacing w:line="240" w:lineRule="auto"/>
        <w:rPr>
          <w:rFonts w:eastAsia="Times New Roman" w:cs="Arial"/>
          <w:color w:val="000000"/>
          <w:lang w:eastAsia="bg-BG"/>
        </w:rPr>
      </w:pPr>
    </w:p>
    <w:p w14:paraId="12DF2877" w14:textId="79F6B76B" w:rsidR="00B75CF6" w:rsidRPr="00B75CF6" w:rsidRDefault="00B75CF6" w:rsidP="00B75CF6">
      <w:pPr>
        <w:spacing w:line="240" w:lineRule="auto"/>
        <w:rPr>
          <w:rFonts w:eastAsia="Times New Roman" w:cs="Arial"/>
        </w:rPr>
      </w:pPr>
      <w:r w:rsidRPr="00B75CF6">
        <w:rPr>
          <w:rFonts w:eastAsia="Times New Roman" w:cs="Arial"/>
          <w:color w:val="000000"/>
          <w:lang w:eastAsia="bg-BG"/>
        </w:rPr>
        <w:t>Промени в дозировката са показани при пациенти, които получават едновременно и лекарствени продукти, които показват фармакодинамични и фармакокинетични взаимодействия с Лепонекс, като бензодиазепини и селективни инхибитори на обратното захващане на серотонина (вж. точка 4.5).</w:t>
      </w:r>
    </w:p>
    <w:p w14:paraId="3900BB9A" w14:textId="77777777" w:rsidR="00B75CF6" w:rsidRPr="00B75CF6" w:rsidRDefault="00B75CF6" w:rsidP="00B75CF6">
      <w:pPr>
        <w:spacing w:line="240" w:lineRule="auto"/>
        <w:rPr>
          <w:rFonts w:eastAsia="Times New Roman" w:cs="Arial"/>
          <w:i/>
          <w:iCs/>
          <w:color w:val="000000"/>
          <w:u w:val="single"/>
          <w:lang w:eastAsia="bg-BG"/>
        </w:rPr>
      </w:pPr>
    </w:p>
    <w:p w14:paraId="16202BAF" w14:textId="35131B07" w:rsidR="00B75CF6" w:rsidRPr="00B75CF6" w:rsidRDefault="00B75CF6" w:rsidP="00B75CF6">
      <w:pPr>
        <w:spacing w:line="240" w:lineRule="auto"/>
        <w:rPr>
          <w:rFonts w:eastAsia="Times New Roman" w:cs="Arial"/>
        </w:rPr>
      </w:pPr>
      <w:r w:rsidRPr="00B75CF6">
        <w:rPr>
          <w:rFonts w:eastAsia="Times New Roman" w:cs="Arial"/>
          <w:i/>
          <w:iCs/>
          <w:color w:val="000000"/>
          <w:u w:val="single"/>
          <w:lang w:eastAsia="bg-BG"/>
        </w:rPr>
        <w:t>Преминаване от предхождаща антипсихотична терапия, на лечение с Лепонекс</w:t>
      </w:r>
    </w:p>
    <w:p w14:paraId="6B3892DE" w14:textId="77777777" w:rsidR="00B75CF6" w:rsidRPr="00B75CF6" w:rsidRDefault="00B75CF6" w:rsidP="00B75CF6">
      <w:pPr>
        <w:spacing w:line="240" w:lineRule="auto"/>
        <w:rPr>
          <w:rFonts w:eastAsia="Times New Roman" w:cs="Arial"/>
        </w:rPr>
      </w:pPr>
      <w:r w:rsidRPr="00B75CF6">
        <w:rPr>
          <w:rFonts w:eastAsia="Times New Roman" w:cs="Arial"/>
          <w:color w:val="000000"/>
          <w:lang w:eastAsia="bg-BG"/>
        </w:rPr>
        <w:t>Обиковено се препоръчва Лепонекс да не се използва в комбинация с други антипсихотични лекарства. Когато ще се започва терапия с Лепонекс при пациент на перорално лечение с антипсихотични лекарства, се препоръчва първо да се спре приложението на останалите антипсихотици чрез постепенно понижаване на дозата,</w:t>
      </w:r>
    </w:p>
    <w:p w14:paraId="1C3EA5BF" w14:textId="77777777" w:rsidR="00B75CF6" w:rsidRPr="00B75CF6" w:rsidRDefault="00B75CF6" w:rsidP="00B75CF6">
      <w:pPr>
        <w:spacing w:line="240" w:lineRule="auto"/>
        <w:rPr>
          <w:rFonts w:eastAsia="Times New Roman" w:cs="Arial"/>
          <w:color w:val="000000"/>
          <w:lang w:eastAsia="bg-BG"/>
        </w:rPr>
      </w:pPr>
    </w:p>
    <w:p w14:paraId="7467349F" w14:textId="6C29D789" w:rsidR="00B75CF6" w:rsidRPr="00B75CF6" w:rsidRDefault="00B75CF6" w:rsidP="00B75CF6">
      <w:pPr>
        <w:spacing w:line="240" w:lineRule="auto"/>
        <w:rPr>
          <w:rFonts w:eastAsia="Times New Roman" w:cs="Arial"/>
        </w:rPr>
      </w:pPr>
      <w:r w:rsidRPr="00B75CF6">
        <w:rPr>
          <w:rFonts w:eastAsia="Times New Roman" w:cs="Arial"/>
          <w:color w:val="000000"/>
          <w:lang w:eastAsia="bg-BG"/>
        </w:rPr>
        <w:t>Препоръчват се следните дози:</w:t>
      </w:r>
    </w:p>
    <w:p w14:paraId="2648A556" w14:textId="77777777" w:rsidR="00B75CF6" w:rsidRPr="00B75CF6" w:rsidRDefault="00B75CF6" w:rsidP="00B75CF6">
      <w:pPr>
        <w:spacing w:line="240" w:lineRule="auto"/>
        <w:rPr>
          <w:rFonts w:eastAsia="Times New Roman" w:cs="Arial"/>
          <w:i/>
          <w:iCs/>
          <w:color w:val="000000"/>
          <w:u w:val="single"/>
          <w:lang w:eastAsia="bg-BG"/>
        </w:rPr>
      </w:pPr>
    </w:p>
    <w:p w14:paraId="365AC035" w14:textId="2A695758" w:rsidR="00B75CF6" w:rsidRPr="00B75CF6" w:rsidRDefault="00B75CF6" w:rsidP="00B75CF6">
      <w:pPr>
        <w:spacing w:line="240" w:lineRule="auto"/>
        <w:rPr>
          <w:rFonts w:eastAsia="Times New Roman" w:cs="Arial"/>
        </w:rPr>
      </w:pPr>
      <w:r w:rsidRPr="00B75CF6">
        <w:rPr>
          <w:rFonts w:eastAsia="Times New Roman" w:cs="Arial"/>
          <w:i/>
          <w:iCs/>
          <w:color w:val="000000"/>
          <w:u w:val="single"/>
          <w:lang w:eastAsia="bg-BG"/>
        </w:rPr>
        <w:t>Пациенти с терапевтично резистентна шизофрения</w:t>
      </w:r>
    </w:p>
    <w:p w14:paraId="0BE8ABA4" w14:textId="77777777" w:rsidR="00B75CF6" w:rsidRPr="00B75CF6" w:rsidRDefault="00B75CF6" w:rsidP="00B75CF6">
      <w:pPr>
        <w:spacing w:line="240" w:lineRule="auto"/>
        <w:rPr>
          <w:rFonts w:eastAsia="Times New Roman" w:cs="Arial"/>
          <w:i/>
          <w:iCs/>
          <w:color w:val="000000"/>
          <w:lang w:eastAsia="bg-BG"/>
        </w:rPr>
      </w:pPr>
    </w:p>
    <w:p w14:paraId="528C8240" w14:textId="4BFB89F7" w:rsidR="00B75CF6" w:rsidRPr="00B75CF6" w:rsidRDefault="00B75CF6" w:rsidP="00B75CF6">
      <w:pPr>
        <w:spacing w:line="240" w:lineRule="auto"/>
        <w:rPr>
          <w:rFonts w:eastAsia="Times New Roman" w:cs="Arial"/>
        </w:rPr>
      </w:pPr>
      <w:r w:rsidRPr="00B75CF6">
        <w:rPr>
          <w:rFonts w:eastAsia="Times New Roman" w:cs="Arial"/>
          <w:i/>
          <w:iCs/>
          <w:color w:val="000000"/>
          <w:lang w:eastAsia="bg-BG"/>
        </w:rPr>
        <w:t>Начална терапия</w:t>
      </w:r>
    </w:p>
    <w:p w14:paraId="736DB8A6" w14:textId="77777777" w:rsidR="00B75CF6" w:rsidRPr="00B75CF6" w:rsidRDefault="00B75CF6" w:rsidP="00B75CF6">
      <w:pPr>
        <w:spacing w:line="240" w:lineRule="auto"/>
        <w:rPr>
          <w:rFonts w:eastAsia="Times New Roman" w:cs="Arial"/>
        </w:rPr>
      </w:pPr>
      <w:r w:rsidRPr="00B75CF6">
        <w:rPr>
          <w:rFonts w:eastAsia="Times New Roman" w:cs="Arial"/>
          <w:color w:val="000000"/>
          <w:lang w:eastAsia="bg-BG"/>
        </w:rPr>
        <w:t xml:space="preserve">Препоръчваната начална доза е 12,5 </w:t>
      </w:r>
      <w:r w:rsidRPr="00B75CF6">
        <w:rPr>
          <w:rFonts w:eastAsia="Times New Roman" w:cs="Arial"/>
          <w:color w:val="000000"/>
          <w:lang w:val="en-US"/>
        </w:rPr>
        <w:t>mg</w:t>
      </w:r>
      <w:r w:rsidRPr="00B75CF6">
        <w:rPr>
          <w:rFonts w:eastAsia="Times New Roman" w:cs="Arial"/>
          <w:color w:val="000000"/>
          <w:lang w:val="ru-RU"/>
        </w:rPr>
        <w:t xml:space="preserve"> </w:t>
      </w:r>
      <w:r w:rsidRPr="00B75CF6">
        <w:rPr>
          <w:rFonts w:eastAsia="Times New Roman" w:cs="Arial"/>
          <w:color w:val="000000"/>
          <w:lang w:eastAsia="bg-BG"/>
        </w:rPr>
        <w:t xml:space="preserve">веднъж или два пъти на ден през първия ден, последвана от 25 </w:t>
      </w:r>
      <w:r w:rsidRPr="00B75CF6">
        <w:rPr>
          <w:rFonts w:eastAsia="Times New Roman" w:cs="Arial"/>
          <w:color w:val="000000"/>
          <w:lang w:val="en-US"/>
        </w:rPr>
        <w:t>mg</w:t>
      </w:r>
      <w:r w:rsidRPr="00B75CF6">
        <w:rPr>
          <w:rFonts w:eastAsia="Times New Roman" w:cs="Arial"/>
          <w:color w:val="000000"/>
          <w:lang w:val="ru-RU"/>
        </w:rPr>
        <w:t xml:space="preserve"> </w:t>
      </w:r>
      <w:r w:rsidRPr="00B75CF6">
        <w:rPr>
          <w:rFonts w:eastAsia="Times New Roman" w:cs="Arial"/>
          <w:color w:val="000000"/>
          <w:lang w:eastAsia="bg-BG"/>
        </w:rPr>
        <w:t xml:space="preserve">веднъж или два пъти на ден на втория ден. При добра поносимост дневната доза след това може да се повиши бавно на стъпки от 25 до 50 </w:t>
      </w:r>
      <w:r w:rsidRPr="00B75CF6">
        <w:rPr>
          <w:rFonts w:eastAsia="Times New Roman" w:cs="Arial"/>
          <w:color w:val="000000"/>
          <w:lang w:val="en-US"/>
        </w:rPr>
        <w:t>mg</w:t>
      </w:r>
      <w:r w:rsidRPr="00B75CF6">
        <w:rPr>
          <w:rFonts w:eastAsia="Times New Roman" w:cs="Arial"/>
          <w:color w:val="000000"/>
          <w:lang w:val="ru-RU"/>
        </w:rPr>
        <w:t xml:space="preserve">, </w:t>
      </w:r>
      <w:r w:rsidRPr="00B75CF6">
        <w:rPr>
          <w:rFonts w:eastAsia="Times New Roman" w:cs="Arial"/>
          <w:color w:val="000000"/>
          <w:lang w:eastAsia="bg-BG"/>
        </w:rPr>
        <w:t xml:space="preserve">за да се постигне дозово ниво до 300 </w:t>
      </w:r>
      <w:r w:rsidRPr="00B75CF6">
        <w:rPr>
          <w:rFonts w:eastAsia="Times New Roman" w:cs="Arial"/>
          <w:color w:val="000000"/>
          <w:lang w:val="en-US"/>
        </w:rPr>
        <w:t>mg</w:t>
      </w:r>
      <w:r w:rsidRPr="00B75CF6">
        <w:rPr>
          <w:rFonts w:eastAsia="Times New Roman" w:cs="Arial"/>
          <w:color w:val="000000"/>
          <w:lang w:eastAsia="bg-BG"/>
        </w:rPr>
        <w:t xml:space="preserve">/ден в рамките на 2 до 3 седмици. След това, ако се налага, дневната доза може допълнително да се повиши постепенно с 50 до 100 </w:t>
      </w:r>
      <w:r w:rsidRPr="00B75CF6">
        <w:rPr>
          <w:rFonts w:eastAsia="Times New Roman" w:cs="Arial"/>
          <w:color w:val="000000"/>
          <w:lang w:val="en-US"/>
        </w:rPr>
        <w:t>mg</w:t>
      </w:r>
      <w:r w:rsidRPr="00B75CF6">
        <w:rPr>
          <w:rFonts w:eastAsia="Times New Roman" w:cs="Arial"/>
          <w:color w:val="000000"/>
          <w:lang w:val="ru-RU"/>
        </w:rPr>
        <w:t xml:space="preserve"> </w:t>
      </w:r>
      <w:r w:rsidRPr="00B75CF6">
        <w:rPr>
          <w:rFonts w:eastAsia="Times New Roman" w:cs="Arial"/>
          <w:color w:val="000000"/>
          <w:lang w:eastAsia="bg-BG"/>
        </w:rPr>
        <w:t>през интервали от половин или за предпочитане, една седмица.</w:t>
      </w:r>
    </w:p>
    <w:p w14:paraId="33B80847" w14:textId="77777777" w:rsidR="00B75CF6" w:rsidRPr="00B75CF6" w:rsidRDefault="00B75CF6" w:rsidP="00B75CF6">
      <w:pPr>
        <w:spacing w:line="240" w:lineRule="auto"/>
        <w:rPr>
          <w:rFonts w:eastAsia="Times New Roman" w:cs="Arial"/>
          <w:i/>
          <w:iCs/>
          <w:color w:val="000000"/>
          <w:lang w:eastAsia="bg-BG"/>
        </w:rPr>
      </w:pPr>
    </w:p>
    <w:p w14:paraId="5351AB9E" w14:textId="780D5D0F" w:rsidR="00B75CF6" w:rsidRPr="00B75CF6" w:rsidRDefault="00B75CF6" w:rsidP="00B75CF6">
      <w:pPr>
        <w:spacing w:line="240" w:lineRule="auto"/>
        <w:rPr>
          <w:rFonts w:eastAsia="Times New Roman" w:cs="Arial"/>
        </w:rPr>
      </w:pPr>
      <w:r w:rsidRPr="00B75CF6">
        <w:rPr>
          <w:rFonts w:eastAsia="Times New Roman" w:cs="Arial"/>
          <w:i/>
          <w:iCs/>
          <w:color w:val="000000"/>
          <w:lang w:eastAsia="bg-BG"/>
        </w:rPr>
        <w:t>Терапевтичен обхват на дозата</w:t>
      </w:r>
    </w:p>
    <w:p w14:paraId="7F31BB37" w14:textId="77777777" w:rsidR="00B75CF6" w:rsidRPr="00B75CF6" w:rsidRDefault="00B75CF6" w:rsidP="00B75CF6">
      <w:pPr>
        <w:spacing w:line="240" w:lineRule="auto"/>
        <w:rPr>
          <w:rFonts w:eastAsia="Times New Roman" w:cs="Arial"/>
        </w:rPr>
      </w:pPr>
      <w:r w:rsidRPr="00B75CF6">
        <w:rPr>
          <w:rFonts w:eastAsia="Times New Roman" w:cs="Arial"/>
          <w:color w:val="000000"/>
          <w:lang w:eastAsia="bg-BG"/>
        </w:rPr>
        <w:t xml:space="preserve">При повечето пациенти може да се очаква антипсихотична ефикасност с дози от 200 до 450 </w:t>
      </w:r>
      <w:r w:rsidRPr="00B75CF6">
        <w:rPr>
          <w:rFonts w:eastAsia="Times New Roman" w:cs="Arial"/>
          <w:color w:val="000000"/>
          <w:lang w:val="en-US"/>
        </w:rPr>
        <w:t>mg</w:t>
      </w:r>
      <w:r w:rsidRPr="00B75CF6">
        <w:rPr>
          <w:rFonts w:eastAsia="Times New Roman" w:cs="Arial"/>
          <w:color w:val="000000"/>
          <w:lang w:eastAsia="bg-BG"/>
        </w:rPr>
        <w:t>/ден, давани в отделни дози. Общата дневна доза може да не бъде разделена поравно, като по- голямата част се дава преди лягане.</w:t>
      </w:r>
    </w:p>
    <w:p w14:paraId="5FF55148" w14:textId="77777777" w:rsidR="00B75CF6" w:rsidRPr="00B75CF6" w:rsidRDefault="00B75CF6" w:rsidP="00B75CF6">
      <w:pPr>
        <w:spacing w:line="240" w:lineRule="auto"/>
        <w:rPr>
          <w:rFonts w:eastAsia="Times New Roman" w:cs="Arial"/>
          <w:i/>
          <w:iCs/>
          <w:color w:val="000000"/>
          <w:lang w:eastAsia="bg-BG"/>
        </w:rPr>
      </w:pPr>
    </w:p>
    <w:p w14:paraId="31E81F9F" w14:textId="36226123" w:rsidR="00B75CF6" w:rsidRPr="00B75CF6" w:rsidRDefault="00B75CF6" w:rsidP="00B75CF6">
      <w:pPr>
        <w:spacing w:line="240" w:lineRule="auto"/>
        <w:rPr>
          <w:rFonts w:eastAsia="Times New Roman" w:cs="Arial"/>
        </w:rPr>
      </w:pPr>
      <w:r w:rsidRPr="00B75CF6">
        <w:rPr>
          <w:rFonts w:eastAsia="Times New Roman" w:cs="Arial"/>
          <w:i/>
          <w:iCs/>
          <w:color w:val="000000"/>
          <w:lang w:eastAsia="bg-BG"/>
        </w:rPr>
        <w:t>Максимална доза</w:t>
      </w:r>
    </w:p>
    <w:p w14:paraId="3111ED4E" w14:textId="77777777" w:rsidR="00B75CF6" w:rsidRPr="00B75CF6" w:rsidRDefault="00B75CF6" w:rsidP="00B75CF6">
      <w:pPr>
        <w:spacing w:line="240" w:lineRule="auto"/>
        <w:rPr>
          <w:rFonts w:eastAsia="Times New Roman" w:cs="Arial"/>
        </w:rPr>
      </w:pPr>
      <w:r w:rsidRPr="00B75CF6">
        <w:rPr>
          <w:rFonts w:eastAsia="Times New Roman" w:cs="Arial"/>
          <w:color w:val="000000"/>
          <w:lang w:eastAsia="bg-BG"/>
        </w:rPr>
        <w:t xml:space="preserve">За да се постигне максимален терапевтичен ефект, малък брой пациенти могат да изискват по- големи дози, като в този случай е допустимо разумно повишаване на дозата (с не повече от 100 </w:t>
      </w:r>
      <w:r w:rsidRPr="00B75CF6">
        <w:rPr>
          <w:rFonts w:eastAsia="Times New Roman" w:cs="Arial"/>
          <w:color w:val="000000"/>
          <w:lang w:val="en-US"/>
        </w:rPr>
        <w:t>mg</w:t>
      </w:r>
      <w:r w:rsidRPr="00B75CF6">
        <w:rPr>
          <w:rFonts w:eastAsia="Times New Roman" w:cs="Arial"/>
          <w:color w:val="000000"/>
          <w:lang w:val="ru-RU"/>
        </w:rPr>
        <w:t xml:space="preserve"> </w:t>
      </w:r>
      <w:r w:rsidRPr="00B75CF6">
        <w:rPr>
          <w:rFonts w:eastAsia="Times New Roman" w:cs="Arial"/>
          <w:color w:val="000000"/>
          <w:lang w:eastAsia="bg-BG"/>
        </w:rPr>
        <w:t xml:space="preserve">на една стъпка) до 900 </w:t>
      </w:r>
      <w:r w:rsidRPr="00B75CF6">
        <w:rPr>
          <w:rFonts w:eastAsia="Times New Roman" w:cs="Arial"/>
          <w:color w:val="000000"/>
          <w:lang w:val="en-US"/>
        </w:rPr>
        <w:t>mg</w:t>
      </w:r>
      <w:r w:rsidRPr="00B75CF6">
        <w:rPr>
          <w:rFonts w:eastAsia="Times New Roman" w:cs="Arial"/>
          <w:color w:val="000000"/>
          <w:lang w:eastAsia="bg-BG"/>
        </w:rPr>
        <w:t xml:space="preserve">/ден. Трябва да се има пред вид вероятността за повишена честота на нежеланите реакции (особено гърчове), възникващи при дози над 450 </w:t>
      </w:r>
      <w:r w:rsidRPr="00B75CF6">
        <w:rPr>
          <w:rFonts w:eastAsia="Times New Roman" w:cs="Arial"/>
          <w:color w:val="000000"/>
          <w:lang w:val="en-US"/>
        </w:rPr>
        <w:t>mg</w:t>
      </w:r>
      <w:r w:rsidRPr="00B75CF6">
        <w:rPr>
          <w:rFonts w:eastAsia="Times New Roman" w:cs="Arial"/>
          <w:color w:val="000000"/>
          <w:lang w:eastAsia="bg-BG"/>
        </w:rPr>
        <w:t>/ден.</w:t>
      </w:r>
    </w:p>
    <w:p w14:paraId="5AE2FB99" w14:textId="77777777" w:rsidR="00B75CF6" w:rsidRPr="00B75CF6" w:rsidRDefault="00B75CF6" w:rsidP="00B75CF6">
      <w:pPr>
        <w:spacing w:line="240" w:lineRule="auto"/>
        <w:rPr>
          <w:rFonts w:eastAsia="Times New Roman" w:cs="Arial"/>
          <w:i/>
          <w:iCs/>
          <w:color w:val="000000"/>
          <w:lang w:eastAsia="bg-BG"/>
        </w:rPr>
      </w:pPr>
    </w:p>
    <w:p w14:paraId="17C99B4F" w14:textId="613C21A1" w:rsidR="00B75CF6" w:rsidRPr="00B75CF6" w:rsidRDefault="00B75CF6" w:rsidP="00B75CF6">
      <w:pPr>
        <w:spacing w:line="240" w:lineRule="auto"/>
        <w:rPr>
          <w:rFonts w:eastAsia="Times New Roman" w:cs="Arial"/>
        </w:rPr>
      </w:pPr>
      <w:r w:rsidRPr="00B75CF6">
        <w:rPr>
          <w:rFonts w:eastAsia="Times New Roman" w:cs="Arial"/>
          <w:i/>
          <w:iCs/>
          <w:color w:val="000000"/>
          <w:lang w:eastAsia="bg-BG"/>
        </w:rPr>
        <w:lastRenderedPageBreak/>
        <w:t>Поддържаща доза</w:t>
      </w:r>
    </w:p>
    <w:p w14:paraId="2C57F49A" w14:textId="77777777" w:rsidR="00B75CF6" w:rsidRPr="00B75CF6" w:rsidRDefault="00B75CF6" w:rsidP="00B75CF6">
      <w:pPr>
        <w:spacing w:line="240" w:lineRule="auto"/>
        <w:rPr>
          <w:rFonts w:eastAsia="Times New Roman" w:cs="Arial"/>
        </w:rPr>
      </w:pPr>
      <w:r w:rsidRPr="00B75CF6">
        <w:rPr>
          <w:rFonts w:eastAsia="Times New Roman" w:cs="Arial"/>
          <w:color w:val="000000"/>
          <w:lang w:eastAsia="bg-BG"/>
        </w:rPr>
        <w:t xml:space="preserve">След постигане на максималната терапевтична полза много пациенти могат да останат на ефективна поддържаща терапия с по-ниски дози. Затова се препоръчва внимателно титриране с цел понижаване на дозата. Лечението трябва да продължи поне 6 месеца. Ако дневната доза не превишава 200 </w:t>
      </w:r>
      <w:r w:rsidRPr="00B75CF6">
        <w:rPr>
          <w:rFonts w:eastAsia="Times New Roman" w:cs="Arial"/>
          <w:color w:val="000000"/>
          <w:lang w:val="en-US"/>
        </w:rPr>
        <w:t>mg</w:t>
      </w:r>
      <w:r w:rsidRPr="00B75CF6">
        <w:rPr>
          <w:rFonts w:eastAsia="Times New Roman" w:cs="Arial"/>
          <w:color w:val="000000"/>
          <w:lang w:val="ru-RU"/>
        </w:rPr>
        <w:t xml:space="preserve">, </w:t>
      </w:r>
      <w:r w:rsidRPr="00B75CF6">
        <w:rPr>
          <w:rFonts w:eastAsia="Times New Roman" w:cs="Arial"/>
          <w:color w:val="000000"/>
          <w:lang w:eastAsia="bg-BG"/>
        </w:rPr>
        <w:t>може да е подходящо еднократно дневното приложение вечер.</w:t>
      </w:r>
    </w:p>
    <w:p w14:paraId="7BFB5597" w14:textId="77777777" w:rsidR="00B75CF6" w:rsidRPr="00B75CF6" w:rsidRDefault="00B75CF6" w:rsidP="00B75CF6">
      <w:pPr>
        <w:spacing w:line="240" w:lineRule="auto"/>
        <w:rPr>
          <w:rFonts w:eastAsia="Times New Roman" w:cs="Arial"/>
          <w:i/>
          <w:iCs/>
          <w:color w:val="000000"/>
          <w:lang w:eastAsia="bg-BG"/>
        </w:rPr>
      </w:pPr>
    </w:p>
    <w:p w14:paraId="454F75B0" w14:textId="50DAFBD1" w:rsidR="00B75CF6" w:rsidRPr="00B75CF6" w:rsidRDefault="00B75CF6" w:rsidP="00B75CF6">
      <w:pPr>
        <w:spacing w:line="240" w:lineRule="auto"/>
        <w:rPr>
          <w:rFonts w:eastAsia="Times New Roman" w:cs="Arial"/>
        </w:rPr>
      </w:pPr>
      <w:r w:rsidRPr="00B75CF6">
        <w:rPr>
          <w:rFonts w:eastAsia="Times New Roman" w:cs="Arial"/>
          <w:i/>
          <w:iCs/>
          <w:color w:val="000000"/>
          <w:lang w:eastAsia="bg-BG"/>
        </w:rPr>
        <w:t>Спиране на терапията</w:t>
      </w:r>
    </w:p>
    <w:p w14:paraId="1462AE31" w14:textId="77777777" w:rsidR="00B75CF6" w:rsidRPr="00B75CF6" w:rsidRDefault="00B75CF6" w:rsidP="00B75CF6">
      <w:pPr>
        <w:spacing w:line="240" w:lineRule="auto"/>
        <w:rPr>
          <w:rFonts w:eastAsia="Times New Roman" w:cs="Arial"/>
        </w:rPr>
      </w:pPr>
      <w:r w:rsidRPr="00B75CF6">
        <w:rPr>
          <w:rFonts w:eastAsia="Times New Roman" w:cs="Arial"/>
          <w:color w:val="000000"/>
          <w:lang w:eastAsia="bg-BG"/>
        </w:rPr>
        <w:t>В случай на планирано спиране на терапията с Лепонекс, се препоръчва постепенно понижение на дозата за период от 1 до 2 седмици. Ако се налага внезапно спиране на лекарството, пациентът трябва да се наблюдава внимателно за възникване на симптоми на отнемането (вж. точка 4.4).</w:t>
      </w:r>
    </w:p>
    <w:p w14:paraId="1372FA63" w14:textId="77777777" w:rsidR="00B75CF6" w:rsidRPr="00B75CF6" w:rsidRDefault="00B75CF6" w:rsidP="00B75CF6">
      <w:pPr>
        <w:spacing w:line="240" w:lineRule="auto"/>
        <w:rPr>
          <w:rFonts w:eastAsia="Times New Roman" w:cs="Arial"/>
          <w:i/>
          <w:iCs/>
          <w:color w:val="000000"/>
          <w:lang w:eastAsia="bg-BG"/>
        </w:rPr>
      </w:pPr>
    </w:p>
    <w:p w14:paraId="28C14BB1" w14:textId="740F8BCC" w:rsidR="00B75CF6" w:rsidRPr="00B75CF6" w:rsidRDefault="00B75CF6" w:rsidP="00B75CF6">
      <w:pPr>
        <w:spacing w:line="240" w:lineRule="auto"/>
        <w:rPr>
          <w:rFonts w:eastAsia="Times New Roman" w:cs="Arial"/>
        </w:rPr>
      </w:pPr>
      <w:r w:rsidRPr="00B75CF6">
        <w:rPr>
          <w:rFonts w:eastAsia="Times New Roman" w:cs="Arial"/>
          <w:i/>
          <w:iCs/>
          <w:color w:val="000000"/>
          <w:lang w:eastAsia="bg-BG"/>
        </w:rPr>
        <w:t>Повторно започване на терапия</w:t>
      </w:r>
    </w:p>
    <w:p w14:paraId="1A81A07E" w14:textId="77777777" w:rsidR="00B75CF6" w:rsidRPr="00B75CF6" w:rsidRDefault="00B75CF6" w:rsidP="00B75CF6">
      <w:pPr>
        <w:spacing w:line="240" w:lineRule="auto"/>
        <w:rPr>
          <w:rFonts w:eastAsia="Times New Roman" w:cs="Arial"/>
        </w:rPr>
      </w:pPr>
      <w:r w:rsidRPr="00B75CF6">
        <w:rPr>
          <w:rFonts w:eastAsia="Times New Roman" w:cs="Arial"/>
          <w:color w:val="000000"/>
          <w:lang w:eastAsia="bg-BG"/>
        </w:rPr>
        <w:t xml:space="preserve">При пациентите, при които интервалът от последната доза Лепонекс е повече от 2 дни лечението трябва да се възобнови с доза от 12,5 </w:t>
      </w:r>
      <w:r w:rsidRPr="00B75CF6">
        <w:rPr>
          <w:rFonts w:eastAsia="Times New Roman" w:cs="Arial"/>
          <w:color w:val="000000"/>
          <w:lang w:val="en-US"/>
        </w:rPr>
        <w:t>mg</w:t>
      </w:r>
      <w:r w:rsidRPr="00B75CF6">
        <w:rPr>
          <w:rFonts w:eastAsia="Times New Roman" w:cs="Arial"/>
          <w:color w:val="000000"/>
          <w:lang w:val="ru-RU"/>
        </w:rPr>
        <w:t xml:space="preserve">, </w:t>
      </w:r>
      <w:r w:rsidRPr="00B75CF6">
        <w:rPr>
          <w:rFonts w:eastAsia="Times New Roman" w:cs="Arial"/>
          <w:color w:val="000000"/>
          <w:lang w:eastAsia="bg-BG"/>
        </w:rPr>
        <w:t>дадена еднократно или двукратно през първия ден. Ако дозата е с добра поносимост, е възможно титриране на дозата до терапевтичното ниво по-бързо, отколкото се препоръчва при първоначалното лечение. Въпреки това, ако пациентът е получил спиране на дишането или сърдечната дейност при първоначалното титриране (вж. точка 4.4), но след това дозата е била титрирана успешно до терапевтичната, повторното титриране трябва да се извърши изключително внимателно.</w:t>
      </w:r>
    </w:p>
    <w:p w14:paraId="38283196" w14:textId="77777777" w:rsidR="00B75CF6" w:rsidRPr="00B75CF6" w:rsidRDefault="00B75CF6" w:rsidP="00B75CF6">
      <w:pPr>
        <w:rPr>
          <w:rFonts w:cs="Arial"/>
        </w:rPr>
      </w:pPr>
    </w:p>
    <w:p w14:paraId="317E5E18" w14:textId="77777777" w:rsidR="00B75CF6" w:rsidRPr="00B75CF6" w:rsidRDefault="00B75CF6" w:rsidP="00B75CF6">
      <w:pPr>
        <w:spacing w:line="240" w:lineRule="auto"/>
        <w:rPr>
          <w:rFonts w:eastAsia="Times New Roman" w:cs="Arial"/>
        </w:rPr>
      </w:pPr>
      <w:r w:rsidRPr="00B75CF6">
        <w:rPr>
          <w:rFonts w:eastAsia="Times New Roman" w:cs="Arial"/>
          <w:i/>
          <w:iCs/>
          <w:color w:val="000000"/>
          <w:u w:val="single"/>
          <w:lang w:eastAsia="bg-BG"/>
        </w:rPr>
        <w:t>Психотични разстройства, възникващи в хода на болестта на Паркинсон, в случаите, когато стандартното лечение е било неуспешно</w:t>
      </w:r>
    </w:p>
    <w:p w14:paraId="2D9E3143" w14:textId="77777777" w:rsidR="00B75CF6" w:rsidRPr="00B75CF6" w:rsidRDefault="00B75CF6" w:rsidP="00B75CF6">
      <w:pPr>
        <w:spacing w:line="240" w:lineRule="auto"/>
        <w:rPr>
          <w:rFonts w:eastAsia="Times New Roman" w:cs="Arial"/>
          <w:i/>
          <w:iCs/>
          <w:color w:val="000000"/>
          <w:lang w:eastAsia="bg-BG"/>
        </w:rPr>
      </w:pPr>
    </w:p>
    <w:p w14:paraId="57EC8A9F" w14:textId="1D003FD9" w:rsidR="00B75CF6" w:rsidRPr="00B75CF6" w:rsidRDefault="00B75CF6" w:rsidP="00B75CF6">
      <w:pPr>
        <w:spacing w:line="240" w:lineRule="auto"/>
        <w:rPr>
          <w:rFonts w:eastAsia="Times New Roman" w:cs="Arial"/>
        </w:rPr>
      </w:pPr>
      <w:r w:rsidRPr="00B75CF6">
        <w:rPr>
          <w:rFonts w:eastAsia="Times New Roman" w:cs="Arial"/>
          <w:i/>
          <w:iCs/>
          <w:color w:val="000000"/>
          <w:lang w:eastAsia="bg-BG"/>
        </w:rPr>
        <w:t>Начална терапия</w:t>
      </w:r>
    </w:p>
    <w:p w14:paraId="288ECFAD" w14:textId="77777777" w:rsidR="00B75CF6" w:rsidRPr="00B75CF6" w:rsidRDefault="00B75CF6" w:rsidP="00B75CF6">
      <w:pPr>
        <w:spacing w:line="240" w:lineRule="auto"/>
        <w:rPr>
          <w:rFonts w:eastAsia="Times New Roman" w:cs="Arial"/>
        </w:rPr>
      </w:pPr>
      <w:r w:rsidRPr="00B75CF6">
        <w:rPr>
          <w:rFonts w:eastAsia="Times New Roman" w:cs="Arial"/>
          <w:color w:val="000000"/>
          <w:lang w:eastAsia="bg-BG"/>
        </w:rPr>
        <w:t xml:space="preserve">Началната доза не трябва да превишава 12,5 </w:t>
      </w:r>
      <w:r w:rsidRPr="00B75CF6">
        <w:rPr>
          <w:rFonts w:eastAsia="Times New Roman" w:cs="Arial"/>
          <w:color w:val="000000"/>
          <w:lang w:val="en-US"/>
        </w:rPr>
        <w:t>mg</w:t>
      </w:r>
      <w:r w:rsidRPr="00B75CF6">
        <w:rPr>
          <w:rFonts w:eastAsia="Times New Roman" w:cs="Arial"/>
          <w:color w:val="000000"/>
          <w:lang w:eastAsia="bg-BG"/>
        </w:rPr>
        <w:t xml:space="preserve">/ден, приемана вечер. Последващите повишения на дозата трябва да бъдат с по 12,5 </w:t>
      </w:r>
      <w:r w:rsidRPr="00B75CF6">
        <w:rPr>
          <w:rFonts w:eastAsia="Times New Roman" w:cs="Arial"/>
          <w:color w:val="000000"/>
          <w:lang w:val="en-US"/>
        </w:rPr>
        <w:t>mg</w:t>
      </w:r>
      <w:r w:rsidRPr="00B75CF6">
        <w:rPr>
          <w:rFonts w:eastAsia="Times New Roman" w:cs="Arial"/>
          <w:color w:val="000000"/>
          <w:lang w:val="ru-RU"/>
        </w:rPr>
        <w:t xml:space="preserve">, </w:t>
      </w:r>
      <w:r w:rsidRPr="00B75CF6">
        <w:rPr>
          <w:rFonts w:eastAsia="Times New Roman" w:cs="Arial"/>
          <w:color w:val="000000"/>
          <w:lang w:eastAsia="bg-BG"/>
        </w:rPr>
        <w:t xml:space="preserve">с максимално две повишения седмично до максимална доза от 50 </w:t>
      </w:r>
      <w:r w:rsidRPr="00B75CF6">
        <w:rPr>
          <w:rFonts w:eastAsia="Times New Roman" w:cs="Arial"/>
          <w:color w:val="000000"/>
          <w:lang w:val="en-US"/>
        </w:rPr>
        <w:t>mg</w:t>
      </w:r>
      <w:r w:rsidRPr="00B75CF6">
        <w:rPr>
          <w:rFonts w:eastAsia="Times New Roman" w:cs="Arial"/>
          <w:color w:val="000000"/>
          <w:lang w:val="ru-RU"/>
        </w:rPr>
        <w:t xml:space="preserve">, </w:t>
      </w:r>
      <w:r w:rsidRPr="00B75CF6">
        <w:rPr>
          <w:rFonts w:eastAsia="Times New Roman" w:cs="Arial"/>
          <w:color w:val="000000"/>
          <w:lang w:eastAsia="bg-BG"/>
        </w:rPr>
        <w:t>която не може да бъде достиганата до края на втората седмица. За предпочитане е цялото количество за деня да се дава като единична доза вечер.</w:t>
      </w:r>
    </w:p>
    <w:p w14:paraId="02A982DF" w14:textId="77777777" w:rsidR="00B75CF6" w:rsidRPr="00B75CF6" w:rsidRDefault="00B75CF6" w:rsidP="00B75CF6">
      <w:pPr>
        <w:spacing w:line="240" w:lineRule="auto"/>
        <w:rPr>
          <w:rFonts w:eastAsia="Times New Roman" w:cs="Arial"/>
          <w:i/>
          <w:iCs/>
          <w:color w:val="000000"/>
          <w:lang w:eastAsia="bg-BG"/>
        </w:rPr>
      </w:pPr>
    </w:p>
    <w:p w14:paraId="09C1F87E" w14:textId="28D4B17B" w:rsidR="00B75CF6" w:rsidRPr="00B75CF6" w:rsidRDefault="00B75CF6" w:rsidP="00B75CF6">
      <w:pPr>
        <w:spacing w:line="240" w:lineRule="auto"/>
        <w:rPr>
          <w:rFonts w:eastAsia="Times New Roman" w:cs="Arial"/>
        </w:rPr>
      </w:pPr>
      <w:r w:rsidRPr="00B75CF6">
        <w:rPr>
          <w:rFonts w:eastAsia="Times New Roman" w:cs="Arial"/>
          <w:i/>
          <w:iCs/>
          <w:color w:val="000000"/>
          <w:lang w:eastAsia="bg-BG"/>
        </w:rPr>
        <w:t>Терапевтичен обхват на дозата</w:t>
      </w:r>
    </w:p>
    <w:p w14:paraId="7166A8AD" w14:textId="77777777" w:rsidR="00B75CF6" w:rsidRPr="00B75CF6" w:rsidRDefault="00B75CF6" w:rsidP="00B75CF6">
      <w:pPr>
        <w:spacing w:line="240" w:lineRule="auto"/>
        <w:rPr>
          <w:rFonts w:eastAsia="Times New Roman" w:cs="Arial"/>
        </w:rPr>
      </w:pPr>
      <w:r w:rsidRPr="00B75CF6">
        <w:rPr>
          <w:rFonts w:eastAsia="Times New Roman" w:cs="Arial"/>
          <w:color w:val="000000"/>
          <w:lang w:eastAsia="bg-BG"/>
        </w:rPr>
        <w:t xml:space="preserve">Средната ефективна доза обикновено е между 25 и 37,5 </w:t>
      </w:r>
      <w:r w:rsidRPr="00B75CF6">
        <w:rPr>
          <w:rFonts w:eastAsia="Times New Roman" w:cs="Arial"/>
          <w:color w:val="000000"/>
          <w:lang w:val="en-US"/>
        </w:rPr>
        <w:t>mg</w:t>
      </w:r>
      <w:r w:rsidRPr="00B75CF6">
        <w:rPr>
          <w:rFonts w:eastAsia="Times New Roman" w:cs="Arial"/>
          <w:color w:val="000000"/>
          <w:lang w:eastAsia="bg-BG"/>
        </w:rPr>
        <w:t xml:space="preserve">/ден. В случай, че лечението за поне една седмица с доза от 50 </w:t>
      </w:r>
      <w:r w:rsidRPr="00B75CF6">
        <w:rPr>
          <w:rFonts w:eastAsia="Times New Roman" w:cs="Arial"/>
          <w:color w:val="000000"/>
          <w:lang w:val="en-US"/>
        </w:rPr>
        <w:t>mg</w:t>
      </w:r>
      <w:r w:rsidRPr="00B75CF6">
        <w:rPr>
          <w:rFonts w:eastAsia="Times New Roman" w:cs="Arial"/>
          <w:color w:val="000000"/>
          <w:lang w:val="ru-RU"/>
        </w:rPr>
        <w:t xml:space="preserve"> </w:t>
      </w:r>
      <w:r w:rsidRPr="00B75CF6">
        <w:rPr>
          <w:rFonts w:eastAsia="Times New Roman" w:cs="Arial"/>
          <w:color w:val="000000"/>
          <w:lang w:eastAsia="bg-BG"/>
        </w:rPr>
        <w:t xml:space="preserve">не даде задоволителен терапевтичен отговор, дозировката може да се повиши вниматено със стъпка от 12,5 </w:t>
      </w:r>
      <w:r w:rsidRPr="00B75CF6">
        <w:rPr>
          <w:rFonts w:eastAsia="Times New Roman" w:cs="Arial"/>
          <w:color w:val="000000"/>
          <w:lang w:val="en-US"/>
        </w:rPr>
        <w:t>mg</w:t>
      </w:r>
      <w:r w:rsidRPr="00B75CF6">
        <w:rPr>
          <w:rFonts w:eastAsia="Times New Roman" w:cs="Arial"/>
          <w:color w:val="000000"/>
          <w:lang w:eastAsia="bg-BG"/>
        </w:rPr>
        <w:t>/седмица.</w:t>
      </w:r>
    </w:p>
    <w:p w14:paraId="0ADBE251" w14:textId="77777777" w:rsidR="00B75CF6" w:rsidRPr="00B75CF6" w:rsidRDefault="00B75CF6" w:rsidP="00B75CF6">
      <w:pPr>
        <w:spacing w:line="240" w:lineRule="auto"/>
        <w:rPr>
          <w:rFonts w:eastAsia="Times New Roman" w:cs="Arial"/>
          <w:i/>
          <w:iCs/>
          <w:color w:val="000000"/>
          <w:lang w:eastAsia="bg-BG"/>
        </w:rPr>
      </w:pPr>
    </w:p>
    <w:p w14:paraId="0A61E9D0" w14:textId="3C0E478E" w:rsidR="00B75CF6" w:rsidRPr="00B75CF6" w:rsidRDefault="00B75CF6" w:rsidP="00B75CF6">
      <w:pPr>
        <w:spacing w:line="240" w:lineRule="auto"/>
        <w:rPr>
          <w:rFonts w:eastAsia="Times New Roman" w:cs="Arial"/>
        </w:rPr>
      </w:pPr>
      <w:r w:rsidRPr="00B75CF6">
        <w:rPr>
          <w:rFonts w:eastAsia="Times New Roman" w:cs="Arial"/>
          <w:i/>
          <w:iCs/>
          <w:color w:val="000000"/>
          <w:lang w:eastAsia="bg-BG"/>
        </w:rPr>
        <w:t>Максимална доза</w:t>
      </w:r>
    </w:p>
    <w:p w14:paraId="695398DE" w14:textId="77777777" w:rsidR="00B75CF6" w:rsidRPr="00B75CF6" w:rsidRDefault="00B75CF6" w:rsidP="00B75CF6">
      <w:pPr>
        <w:spacing w:line="240" w:lineRule="auto"/>
        <w:rPr>
          <w:rFonts w:eastAsia="Times New Roman" w:cs="Arial"/>
        </w:rPr>
      </w:pPr>
      <w:r w:rsidRPr="00B75CF6">
        <w:rPr>
          <w:rFonts w:eastAsia="Times New Roman" w:cs="Arial"/>
          <w:color w:val="000000"/>
          <w:lang w:eastAsia="bg-BG"/>
        </w:rPr>
        <w:t xml:space="preserve">Дозата от 50 </w:t>
      </w:r>
      <w:r w:rsidRPr="00B75CF6">
        <w:rPr>
          <w:rFonts w:eastAsia="Times New Roman" w:cs="Arial"/>
          <w:color w:val="000000"/>
          <w:lang w:val="en-US"/>
        </w:rPr>
        <w:t>mg</w:t>
      </w:r>
      <w:r w:rsidRPr="00B75CF6">
        <w:rPr>
          <w:rFonts w:eastAsia="Times New Roman" w:cs="Arial"/>
          <w:color w:val="000000"/>
          <w:lang w:eastAsia="bg-BG"/>
        </w:rPr>
        <w:t xml:space="preserve">/ден трябва да бъде превишавана само в изключителни случаи и никога не трябва да се превишава максималната доза от 100 </w:t>
      </w:r>
      <w:r w:rsidRPr="00B75CF6">
        <w:rPr>
          <w:rFonts w:eastAsia="Times New Roman" w:cs="Arial"/>
          <w:color w:val="000000"/>
          <w:lang w:val="en-US"/>
        </w:rPr>
        <w:t>mg</w:t>
      </w:r>
      <w:r w:rsidRPr="00B75CF6">
        <w:rPr>
          <w:rFonts w:eastAsia="Times New Roman" w:cs="Arial"/>
          <w:color w:val="000000"/>
          <w:lang w:eastAsia="bg-BG"/>
        </w:rPr>
        <w:t>/ден.</w:t>
      </w:r>
    </w:p>
    <w:p w14:paraId="1CB14884" w14:textId="77777777" w:rsidR="00B75CF6" w:rsidRPr="00B75CF6" w:rsidRDefault="00B75CF6" w:rsidP="00B75CF6">
      <w:pPr>
        <w:spacing w:line="240" w:lineRule="auto"/>
        <w:rPr>
          <w:rFonts w:eastAsia="Times New Roman" w:cs="Arial"/>
          <w:color w:val="000000"/>
          <w:lang w:eastAsia="bg-BG"/>
        </w:rPr>
      </w:pPr>
    </w:p>
    <w:p w14:paraId="471C615A" w14:textId="3085EBBC" w:rsidR="00B75CF6" w:rsidRPr="00B75CF6" w:rsidRDefault="00B75CF6" w:rsidP="00B75CF6">
      <w:pPr>
        <w:spacing w:line="240" w:lineRule="auto"/>
        <w:rPr>
          <w:rFonts w:eastAsia="Times New Roman" w:cs="Arial"/>
        </w:rPr>
      </w:pPr>
      <w:r w:rsidRPr="00B75CF6">
        <w:rPr>
          <w:rFonts w:eastAsia="Times New Roman" w:cs="Arial"/>
          <w:color w:val="000000"/>
          <w:lang w:eastAsia="bg-BG"/>
        </w:rPr>
        <w:t>Повишенията на дозата трябва да бъдат ограничени или отложени, ако се появят ортостатична хипотония, прекомерно седиране или обърканост. През първите седмици от лечението трябва да се следи артериалното налягане .</w:t>
      </w:r>
    </w:p>
    <w:p w14:paraId="6BD2CA1E" w14:textId="77777777" w:rsidR="00B75CF6" w:rsidRPr="00B75CF6" w:rsidRDefault="00B75CF6" w:rsidP="00B75CF6">
      <w:pPr>
        <w:spacing w:line="240" w:lineRule="auto"/>
        <w:rPr>
          <w:rFonts w:eastAsia="Times New Roman" w:cs="Arial"/>
          <w:i/>
          <w:iCs/>
          <w:color w:val="000000"/>
          <w:lang w:eastAsia="bg-BG"/>
        </w:rPr>
      </w:pPr>
    </w:p>
    <w:p w14:paraId="26CF9855" w14:textId="5837B2CA" w:rsidR="00B75CF6" w:rsidRPr="00B75CF6" w:rsidRDefault="00B75CF6" w:rsidP="00B75CF6">
      <w:pPr>
        <w:spacing w:line="240" w:lineRule="auto"/>
        <w:rPr>
          <w:rFonts w:eastAsia="Times New Roman" w:cs="Arial"/>
        </w:rPr>
      </w:pPr>
      <w:r w:rsidRPr="00B75CF6">
        <w:rPr>
          <w:rFonts w:eastAsia="Times New Roman" w:cs="Arial"/>
          <w:i/>
          <w:iCs/>
          <w:color w:val="000000"/>
          <w:lang w:eastAsia="bg-BG"/>
        </w:rPr>
        <w:t>Поддържаща доза</w:t>
      </w:r>
    </w:p>
    <w:p w14:paraId="0513B82B" w14:textId="77777777" w:rsidR="00B75CF6" w:rsidRPr="00B75CF6" w:rsidRDefault="00B75CF6" w:rsidP="00B75CF6">
      <w:pPr>
        <w:spacing w:line="240" w:lineRule="auto"/>
        <w:rPr>
          <w:rFonts w:eastAsia="Times New Roman" w:cs="Arial"/>
        </w:rPr>
      </w:pPr>
      <w:r w:rsidRPr="00B75CF6">
        <w:rPr>
          <w:rFonts w:eastAsia="Times New Roman" w:cs="Arial"/>
          <w:color w:val="000000"/>
          <w:lang w:eastAsia="bg-BG"/>
        </w:rPr>
        <w:t xml:space="preserve">Ако е имало пълна ремисия на психотичните симпоми за поне 2 седмици, е възможно повишаване на дозите на антипаркинсоновите лекарства, ако това е показано въз основа на моторния статус. Ако този подход доведе до повторна поява на психотичните </w:t>
      </w:r>
      <w:r w:rsidRPr="00B75CF6">
        <w:rPr>
          <w:rFonts w:eastAsia="Times New Roman" w:cs="Arial"/>
          <w:color w:val="000000"/>
          <w:lang w:eastAsia="bg-BG"/>
        </w:rPr>
        <w:lastRenderedPageBreak/>
        <w:t xml:space="preserve">симптоми, дозата на Лепонекс може да се повиши с по 12,5 </w:t>
      </w:r>
      <w:r w:rsidRPr="00B75CF6">
        <w:rPr>
          <w:rFonts w:eastAsia="Times New Roman" w:cs="Arial"/>
          <w:color w:val="000000"/>
          <w:lang w:val="en-US"/>
        </w:rPr>
        <w:t>mg</w:t>
      </w:r>
      <w:r w:rsidRPr="00B75CF6">
        <w:rPr>
          <w:rFonts w:eastAsia="Times New Roman" w:cs="Arial"/>
          <w:color w:val="000000"/>
          <w:lang w:eastAsia="bg-BG"/>
        </w:rPr>
        <w:t xml:space="preserve">/седмица до максимум 100 </w:t>
      </w:r>
      <w:r w:rsidRPr="00B75CF6">
        <w:rPr>
          <w:rFonts w:eastAsia="Times New Roman" w:cs="Arial"/>
          <w:color w:val="000000"/>
          <w:lang w:val="en-US"/>
        </w:rPr>
        <w:t>mg</w:t>
      </w:r>
      <w:r w:rsidRPr="00B75CF6">
        <w:rPr>
          <w:rFonts w:eastAsia="Times New Roman" w:cs="Arial"/>
          <w:color w:val="000000"/>
          <w:lang w:eastAsia="bg-BG"/>
        </w:rPr>
        <w:t>/ден, приемани в една или две отделни дози (вж. по-горе).</w:t>
      </w:r>
    </w:p>
    <w:p w14:paraId="06B79678" w14:textId="77777777" w:rsidR="00B75CF6" w:rsidRPr="00B75CF6" w:rsidRDefault="00B75CF6" w:rsidP="00B75CF6">
      <w:pPr>
        <w:spacing w:line="240" w:lineRule="auto"/>
        <w:rPr>
          <w:rFonts w:eastAsia="Times New Roman" w:cs="Arial"/>
          <w:i/>
          <w:iCs/>
          <w:color w:val="000000"/>
          <w:lang w:eastAsia="bg-BG"/>
        </w:rPr>
      </w:pPr>
    </w:p>
    <w:p w14:paraId="608D0171" w14:textId="10A0DFD5" w:rsidR="00B75CF6" w:rsidRPr="00B75CF6" w:rsidRDefault="00B75CF6" w:rsidP="00B75CF6">
      <w:pPr>
        <w:spacing w:line="240" w:lineRule="auto"/>
        <w:rPr>
          <w:rFonts w:eastAsia="Times New Roman" w:cs="Arial"/>
        </w:rPr>
      </w:pPr>
      <w:r w:rsidRPr="00B75CF6">
        <w:rPr>
          <w:rFonts w:eastAsia="Times New Roman" w:cs="Arial"/>
          <w:i/>
          <w:iCs/>
          <w:color w:val="000000"/>
          <w:lang w:eastAsia="bg-BG"/>
        </w:rPr>
        <w:t>Спиране на терапията</w:t>
      </w:r>
    </w:p>
    <w:p w14:paraId="1C7D3241" w14:textId="77777777" w:rsidR="00B75CF6" w:rsidRPr="00B75CF6" w:rsidRDefault="00B75CF6" w:rsidP="00B75CF6">
      <w:pPr>
        <w:spacing w:line="240" w:lineRule="auto"/>
        <w:rPr>
          <w:rFonts w:eastAsia="Times New Roman" w:cs="Arial"/>
        </w:rPr>
      </w:pPr>
      <w:r w:rsidRPr="00B75CF6">
        <w:rPr>
          <w:rFonts w:eastAsia="Times New Roman" w:cs="Arial"/>
          <w:color w:val="000000"/>
          <w:lang w:eastAsia="bg-BG"/>
        </w:rPr>
        <w:t xml:space="preserve">Препоръчва се постепенно намаляване на дозата със стъпки от по 12,5 </w:t>
      </w:r>
      <w:r w:rsidRPr="00B75CF6">
        <w:rPr>
          <w:rFonts w:eastAsia="Times New Roman" w:cs="Arial"/>
          <w:color w:val="000000"/>
          <w:lang w:val="en-US"/>
        </w:rPr>
        <w:t>mg</w:t>
      </w:r>
      <w:r w:rsidRPr="00B75CF6">
        <w:rPr>
          <w:rFonts w:eastAsia="Times New Roman" w:cs="Arial"/>
          <w:color w:val="000000"/>
          <w:lang w:val="ru-RU"/>
        </w:rPr>
        <w:t xml:space="preserve"> </w:t>
      </w:r>
      <w:r w:rsidRPr="00B75CF6">
        <w:rPr>
          <w:rFonts w:eastAsia="Times New Roman" w:cs="Arial"/>
          <w:color w:val="000000"/>
          <w:lang w:eastAsia="bg-BG"/>
        </w:rPr>
        <w:t>за период от поне една седмица (за предпочитане две).</w:t>
      </w:r>
    </w:p>
    <w:p w14:paraId="3E177171" w14:textId="77777777" w:rsidR="00B75CF6" w:rsidRPr="00B75CF6" w:rsidRDefault="00B75CF6" w:rsidP="00B75CF6">
      <w:pPr>
        <w:spacing w:line="240" w:lineRule="auto"/>
        <w:rPr>
          <w:rFonts w:eastAsia="Times New Roman" w:cs="Arial"/>
          <w:color w:val="000000"/>
          <w:lang w:eastAsia="bg-BG"/>
        </w:rPr>
      </w:pPr>
    </w:p>
    <w:p w14:paraId="09FDB82A" w14:textId="4C1433E3" w:rsidR="00B75CF6" w:rsidRPr="00B75CF6" w:rsidRDefault="00B75CF6" w:rsidP="00B75CF6">
      <w:pPr>
        <w:spacing w:line="240" w:lineRule="auto"/>
        <w:rPr>
          <w:rFonts w:eastAsia="Times New Roman" w:cs="Arial"/>
        </w:rPr>
      </w:pPr>
      <w:r w:rsidRPr="00B75CF6">
        <w:rPr>
          <w:rFonts w:eastAsia="Times New Roman" w:cs="Arial"/>
          <w:color w:val="000000"/>
          <w:lang w:eastAsia="bg-BG"/>
        </w:rPr>
        <w:t>Лечението трябва да се прекрати незабавно в случай на неутропения или агранулоцитоза (вж. точка 4.4). В този случай от основно значение е внимателното проследяване на психиатричния статус на пациента, тъй като симптомите могат бързо да се появят отново.</w:t>
      </w:r>
    </w:p>
    <w:p w14:paraId="3FBEAF67" w14:textId="77777777" w:rsidR="00B75CF6" w:rsidRPr="00B75CF6" w:rsidRDefault="00B75CF6" w:rsidP="00B75CF6">
      <w:pPr>
        <w:spacing w:line="240" w:lineRule="auto"/>
        <w:rPr>
          <w:rFonts w:eastAsia="Times New Roman" w:cs="Arial"/>
          <w:i/>
          <w:iCs/>
          <w:color w:val="000000"/>
          <w:u w:val="single"/>
          <w:lang w:eastAsia="bg-BG"/>
        </w:rPr>
      </w:pPr>
    </w:p>
    <w:p w14:paraId="658EE0D9" w14:textId="2467DE0F" w:rsidR="00B75CF6" w:rsidRPr="00B75CF6" w:rsidRDefault="00B75CF6" w:rsidP="00B75CF6">
      <w:pPr>
        <w:spacing w:line="240" w:lineRule="auto"/>
        <w:rPr>
          <w:rFonts w:eastAsia="Times New Roman" w:cs="Arial"/>
        </w:rPr>
      </w:pPr>
      <w:r w:rsidRPr="00B75CF6">
        <w:rPr>
          <w:rFonts w:eastAsia="Times New Roman" w:cs="Arial"/>
          <w:i/>
          <w:iCs/>
          <w:color w:val="000000"/>
          <w:u w:val="single"/>
          <w:lang w:eastAsia="bg-BG"/>
        </w:rPr>
        <w:t>Специални групи пациенти</w:t>
      </w:r>
    </w:p>
    <w:p w14:paraId="0DB8AF28" w14:textId="77777777" w:rsidR="00B75CF6" w:rsidRPr="00B75CF6" w:rsidRDefault="00B75CF6" w:rsidP="00B75CF6">
      <w:pPr>
        <w:spacing w:line="240" w:lineRule="auto"/>
        <w:rPr>
          <w:rFonts w:eastAsia="Times New Roman" w:cs="Arial"/>
          <w:i/>
          <w:iCs/>
          <w:color w:val="000000"/>
          <w:lang w:eastAsia="bg-BG"/>
        </w:rPr>
      </w:pPr>
    </w:p>
    <w:p w14:paraId="3554CA83" w14:textId="115BE6FA" w:rsidR="00B75CF6" w:rsidRPr="00B75CF6" w:rsidRDefault="00B75CF6" w:rsidP="00B75CF6">
      <w:pPr>
        <w:spacing w:line="240" w:lineRule="auto"/>
        <w:rPr>
          <w:rFonts w:eastAsia="Times New Roman" w:cs="Arial"/>
        </w:rPr>
      </w:pPr>
      <w:r w:rsidRPr="00B75CF6">
        <w:rPr>
          <w:rFonts w:eastAsia="Times New Roman" w:cs="Arial"/>
          <w:i/>
          <w:iCs/>
          <w:color w:val="000000"/>
          <w:lang w:eastAsia="bg-BG"/>
        </w:rPr>
        <w:t>Пациенти с чернодробно увреждане</w:t>
      </w:r>
    </w:p>
    <w:p w14:paraId="10E9C9BA" w14:textId="77777777" w:rsidR="00B75CF6" w:rsidRPr="00B75CF6" w:rsidRDefault="00B75CF6" w:rsidP="00B75CF6">
      <w:pPr>
        <w:spacing w:line="240" w:lineRule="auto"/>
        <w:rPr>
          <w:rFonts w:eastAsia="Times New Roman" w:cs="Arial"/>
        </w:rPr>
      </w:pPr>
      <w:r w:rsidRPr="00B75CF6">
        <w:rPr>
          <w:rFonts w:eastAsia="Times New Roman" w:cs="Arial"/>
          <w:color w:val="000000"/>
          <w:lang w:eastAsia="bg-BG"/>
        </w:rPr>
        <w:t>При пациенти с чернодробно увреждане Лепонекс трябва да се прилага с повишено внимание, заедно с извършване на редовно проследяване на чернодробните функционални тестове (вж. точка 4.4).</w:t>
      </w:r>
    </w:p>
    <w:p w14:paraId="6B12E5E2" w14:textId="77777777" w:rsidR="00B75CF6" w:rsidRPr="00B75CF6" w:rsidRDefault="00B75CF6" w:rsidP="00B75CF6">
      <w:pPr>
        <w:spacing w:line="240" w:lineRule="auto"/>
        <w:rPr>
          <w:rFonts w:eastAsia="Times New Roman" w:cs="Arial"/>
          <w:i/>
          <w:iCs/>
          <w:color w:val="000000"/>
          <w:lang w:eastAsia="bg-BG"/>
        </w:rPr>
      </w:pPr>
    </w:p>
    <w:p w14:paraId="73EC98A5" w14:textId="01245D10" w:rsidR="00B75CF6" w:rsidRPr="00B75CF6" w:rsidRDefault="00B75CF6" w:rsidP="00B75CF6">
      <w:pPr>
        <w:spacing w:line="240" w:lineRule="auto"/>
        <w:rPr>
          <w:rFonts w:eastAsia="Times New Roman" w:cs="Arial"/>
        </w:rPr>
      </w:pPr>
      <w:r w:rsidRPr="00B75CF6">
        <w:rPr>
          <w:rFonts w:eastAsia="Times New Roman" w:cs="Arial"/>
          <w:i/>
          <w:iCs/>
          <w:color w:val="000000"/>
          <w:lang w:eastAsia="bg-BG"/>
        </w:rPr>
        <w:t>Педиатрична популация</w:t>
      </w:r>
    </w:p>
    <w:p w14:paraId="56A8D4FF" w14:textId="77777777" w:rsidR="00B75CF6" w:rsidRPr="00B75CF6" w:rsidRDefault="00B75CF6" w:rsidP="00B75CF6">
      <w:pPr>
        <w:spacing w:line="240" w:lineRule="auto"/>
        <w:rPr>
          <w:rFonts w:eastAsia="Times New Roman" w:cs="Arial"/>
        </w:rPr>
      </w:pPr>
      <w:r w:rsidRPr="00B75CF6">
        <w:rPr>
          <w:rFonts w:eastAsia="Times New Roman" w:cs="Arial"/>
          <w:color w:val="000000"/>
          <w:lang w:eastAsia="bg-BG"/>
        </w:rPr>
        <w:t>Педиатрични изследвания не са провеждани. Безопасността и ефикасността на Лепонекс при деца и юноши на възраст под 16 години все още не е установена. Не трябва да се прилага при тази група докато не са налични други данни.</w:t>
      </w:r>
    </w:p>
    <w:p w14:paraId="4D22C144" w14:textId="77777777" w:rsidR="00B75CF6" w:rsidRPr="00B75CF6" w:rsidRDefault="00B75CF6" w:rsidP="00B75CF6">
      <w:pPr>
        <w:spacing w:line="240" w:lineRule="auto"/>
        <w:rPr>
          <w:rFonts w:eastAsia="Times New Roman" w:cs="Arial"/>
          <w:i/>
          <w:iCs/>
          <w:color w:val="000000"/>
          <w:lang w:eastAsia="bg-BG"/>
        </w:rPr>
      </w:pPr>
    </w:p>
    <w:p w14:paraId="26001993" w14:textId="4F09FC59" w:rsidR="00B75CF6" w:rsidRPr="00B75CF6" w:rsidRDefault="00B75CF6" w:rsidP="00B75CF6">
      <w:pPr>
        <w:spacing w:line="240" w:lineRule="auto"/>
        <w:rPr>
          <w:rFonts w:eastAsia="Times New Roman" w:cs="Arial"/>
        </w:rPr>
      </w:pPr>
      <w:r w:rsidRPr="00B75CF6">
        <w:rPr>
          <w:rFonts w:eastAsia="Times New Roman" w:cs="Arial"/>
          <w:i/>
          <w:iCs/>
          <w:color w:val="000000"/>
          <w:lang w:eastAsia="bg-BG"/>
        </w:rPr>
        <w:t>Пациенти на възраст на и над 60 години</w:t>
      </w:r>
    </w:p>
    <w:p w14:paraId="6CE1D532" w14:textId="77777777" w:rsidR="00B75CF6" w:rsidRPr="00B75CF6" w:rsidRDefault="00B75CF6" w:rsidP="00B75CF6">
      <w:pPr>
        <w:spacing w:line="240" w:lineRule="auto"/>
        <w:rPr>
          <w:rFonts w:eastAsia="Times New Roman" w:cs="Arial"/>
        </w:rPr>
      </w:pPr>
      <w:r w:rsidRPr="00B75CF6">
        <w:rPr>
          <w:rFonts w:eastAsia="Times New Roman" w:cs="Arial"/>
          <w:color w:val="000000"/>
          <w:lang w:eastAsia="bg-BG"/>
        </w:rPr>
        <w:t xml:space="preserve">Препоръчва се започване на лечението в особено ниска доза (12,5 </w:t>
      </w:r>
      <w:r w:rsidRPr="00B75CF6">
        <w:rPr>
          <w:rFonts w:eastAsia="Times New Roman" w:cs="Arial"/>
          <w:color w:val="000000"/>
          <w:lang w:val="en-US"/>
        </w:rPr>
        <w:t>mg</w:t>
      </w:r>
      <w:r w:rsidRPr="00B75CF6">
        <w:rPr>
          <w:rFonts w:eastAsia="Times New Roman" w:cs="Arial"/>
          <w:color w:val="000000"/>
          <w:lang w:val="ru-RU"/>
        </w:rPr>
        <w:t xml:space="preserve"> </w:t>
      </w:r>
      <w:r w:rsidRPr="00B75CF6">
        <w:rPr>
          <w:rFonts w:eastAsia="Times New Roman" w:cs="Arial"/>
          <w:color w:val="000000"/>
          <w:lang w:eastAsia="bg-BG"/>
        </w:rPr>
        <w:t xml:space="preserve">еднократно на първия ден) с последващи повишения на дозата, ограничена до 25 </w:t>
      </w:r>
      <w:r w:rsidRPr="00B75CF6">
        <w:rPr>
          <w:rFonts w:eastAsia="Times New Roman" w:cs="Arial"/>
          <w:color w:val="000000"/>
          <w:lang w:val="en-US"/>
        </w:rPr>
        <w:t>mg</w:t>
      </w:r>
      <w:r w:rsidRPr="00B75CF6">
        <w:rPr>
          <w:rFonts w:eastAsia="Times New Roman" w:cs="Arial"/>
          <w:color w:val="000000"/>
          <w:lang w:eastAsia="bg-BG"/>
        </w:rPr>
        <w:t>/ден.</w:t>
      </w:r>
    </w:p>
    <w:p w14:paraId="168EE7FD" w14:textId="77777777" w:rsidR="00B75CF6" w:rsidRPr="00B75CF6" w:rsidRDefault="00B75CF6" w:rsidP="00B75CF6">
      <w:pPr>
        <w:rPr>
          <w:rFonts w:eastAsia="Times New Roman" w:cs="Arial"/>
          <w:color w:val="000000"/>
          <w:u w:val="single"/>
          <w:lang w:eastAsia="bg-BG"/>
        </w:rPr>
      </w:pPr>
    </w:p>
    <w:p w14:paraId="6A51AE99" w14:textId="03669640" w:rsidR="00B75CF6" w:rsidRPr="00B75CF6" w:rsidRDefault="00B75CF6" w:rsidP="00B75CF6">
      <w:pPr>
        <w:pStyle w:val="Heading3"/>
        <w:rPr>
          <w:rFonts w:eastAsia="Times New Roman"/>
          <w:u w:val="single"/>
          <w:lang w:eastAsia="bg-BG"/>
        </w:rPr>
      </w:pPr>
      <w:r w:rsidRPr="00B75CF6">
        <w:rPr>
          <w:rFonts w:eastAsia="Times New Roman"/>
          <w:u w:val="single"/>
          <w:lang w:eastAsia="bg-BG"/>
        </w:rPr>
        <w:t>Начин на приложение</w:t>
      </w:r>
    </w:p>
    <w:p w14:paraId="119ED7B7" w14:textId="15A53940" w:rsidR="00B75CF6" w:rsidRDefault="00B75CF6" w:rsidP="00B75CF6">
      <w:pPr>
        <w:rPr>
          <w:rFonts w:cs="Arial"/>
        </w:rPr>
      </w:pPr>
      <w:r w:rsidRPr="00B75CF6">
        <w:rPr>
          <w:rFonts w:cs="Arial"/>
        </w:rPr>
        <w:t>Лепонекс таблетки са за перорално приложение.</w:t>
      </w:r>
    </w:p>
    <w:p w14:paraId="7E920FFB" w14:textId="77777777" w:rsidR="00B75CF6" w:rsidRPr="00B75CF6" w:rsidRDefault="00B75CF6" w:rsidP="00B75CF6">
      <w:pPr>
        <w:rPr>
          <w:rFonts w:cs="Arial"/>
        </w:rPr>
      </w:pPr>
    </w:p>
    <w:p w14:paraId="0F253247" w14:textId="3C22CB8B" w:rsidR="007122AD" w:rsidRDefault="002C50EE" w:rsidP="00936AD0">
      <w:pPr>
        <w:pStyle w:val="Heading2"/>
      </w:pPr>
      <w:r>
        <w:t>4.3. Противопоказания</w:t>
      </w:r>
    </w:p>
    <w:p w14:paraId="1DE7774E" w14:textId="53D89CB6" w:rsidR="00B75CF6" w:rsidRDefault="00B75CF6" w:rsidP="00B75CF6"/>
    <w:p w14:paraId="5A0621BE" w14:textId="77777777" w:rsidR="00B75CF6" w:rsidRPr="00B75CF6" w:rsidRDefault="00B75CF6" w:rsidP="00B75CF6">
      <w:pPr>
        <w:pStyle w:val="ListParagraph"/>
        <w:numPr>
          <w:ilvl w:val="0"/>
          <w:numId w:val="38"/>
        </w:numPr>
        <w:rPr>
          <w:lang w:eastAsia="bg-BG"/>
        </w:rPr>
      </w:pPr>
      <w:r w:rsidRPr="00B75CF6">
        <w:rPr>
          <w:lang w:eastAsia="bg-BG"/>
        </w:rPr>
        <w:t>Свръхчувствителност към активното вещество или към някое от помощните вещества, изброени в точка 6.1.</w:t>
      </w:r>
    </w:p>
    <w:p w14:paraId="384964D8" w14:textId="77777777" w:rsidR="00B75CF6" w:rsidRPr="00B75CF6" w:rsidRDefault="00B75CF6" w:rsidP="00B75CF6">
      <w:pPr>
        <w:pStyle w:val="ListParagraph"/>
        <w:numPr>
          <w:ilvl w:val="0"/>
          <w:numId w:val="38"/>
        </w:numPr>
        <w:rPr>
          <w:lang w:eastAsia="bg-BG"/>
        </w:rPr>
      </w:pPr>
      <w:r w:rsidRPr="00B75CF6">
        <w:rPr>
          <w:lang w:eastAsia="bg-BG"/>
        </w:rPr>
        <w:t>Пациенти, които не могат да бъдат подлагани на редовни кръвни изследвания.</w:t>
      </w:r>
    </w:p>
    <w:p w14:paraId="72AE7EBE" w14:textId="77777777" w:rsidR="00B75CF6" w:rsidRPr="00B75CF6" w:rsidRDefault="00B75CF6" w:rsidP="00B75CF6">
      <w:pPr>
        <w:pStyle w:val="ListParagraph"/>
        <w:numPr>
          <w:ilvl w:val="0"/>
          <w:numId w:val="38"/>
        </w:numPr>
        <w:rPr>
          <w:lang w:eastAsia="bg-BG"/>
        </w:rPr>
      </w:pPr>
      <w:r w:rsidRPr="00B75CF6">
        <w:rPr>
          <w:lang w:eastAsia="bg-BG"/>
        </w:rPr>
        <w:t>Анамнеза за токсична или идиосинкразна гранулоцитопения/агранулоцитоза (с изключение на гранулоцитопения/агранулоцитоза при предхождаща химиотерапия).</w:t>
      </w:r>
    </w:p>
    <w:p w14:paraId="2B413BC8" w14:textId="77777777" w:rsidR="00B75CF6" w:rsidRPr="00B75CF6" w:rsidRDefault="00B75CF6" w:rsidP="00B75CF6">
      <w:pPr>
        <w:pStyle w:val="ListParagraph"/>
        <w:numPr>
          <w:ilvl w:val="0"/>
          <w:numId w:val="38"/>
        </w:numPr>
        <w:rPr>
          <w:lang w:eastAsia="bg-BG"/>
        </w:rPr>
      </w:pPr>
      <w:r w:rsidRPr="00B75CF6">
        <w:rPr>
          <w:lang w:eastAsia="bg-BG"/>
        </w:rPr>
        <w:t>Анамнеза за агранулоцитоза, предизвикана от Лепонекс.</w:t>
      </w:r>
    </w:p>
    <w:p w14:paraId="009F2BC5" w14:textId="77777777" w:rsidR="00B75CF6" w:rsidRPr="00B75CF6" w:rsidRDefault="00B75CF6" w:rsidP="00B75CF6">
      <w:pPr>
        <w:pStyle w:val="ListParagraph"/>
        <w:numPr>
          <w:ilvl w:val="0"/>
          <w:numId w:val="38"/>
        </w:numPr>
        <w:rPr>
          <w:lang w:eastAsia="bg-BG"/>
        </w:rPr>
      </w:pPr>
      <w:r w:rsidRPr="00B75CF6">
        <w:rPr>
          <w:lang w:eastAsia="bg-BG"/>
        </w:rPr>
        <w:t>Лечението с Лепонекс не трябва да бъде започвано едновременно с лекарства, които имат известен значителен потенциал да предизвикат агранулоцитоза; не се препоръчва едновремената употребата на депо антипсихотици.</w:t>
      </w:r>
    </w:p>
    <w:p w14:paraId="755EDC4F" w14:textId="77777777" w:rsidR="00B75CF6" w:rsidRPr="00B75CF6" w:rsidRDefault="00B75CF6" w:rsidP="00B75CF6">
      <w:pPr>
        <w:pStyle w:val="ListParagraph"/>
        <w:numPr>
          <w:ilvl w:val="0"/>
          <w:numId w:val="38"/>
        </w:numPr>
        <w:rPr>
          <w:lang w:eastAsia="bg-BG"/>
        </w:rPr>
      </w:pPr>
      <w:r w:rsidRPr="00B75CF6">
        <w:rPr>
          <w:lang w:eastAsia="bg-BG"/>
        </w:rPr>
        <w:t>Нарушена функция на костния мозък.</w:t>
      </w:r>
    </w:p>
    <w:p w14:paraId="5336C84C" w14:textId="77777777" w:rsidR="00B75CF6" w:rsidRPr="00B75CF6" w:rsidRDefault="00B75CF6" w:rsidP="00B75CF6">
      <w:pPr>
        <w:pStyle w:val="ListParagraph"/>
        <w:numPr>
          <w:ilvl w:val="0"/>
          <w:numId w:val="38"/>
        </w:numPr>
        <w:rPr>
          <w:lang w:eastAsia="bg-BG"/>
        </w:rPr>
      </w:pPr>
      <w:r w:rsidRPr="00B75CF6">
        <w:rPr>
          <w:lang w:eastAsia="bg-BG"/>
        </w:rPr>
        <w:t>Неконтролирана епилепсия.</w:t>
      </w:r>
    </w:p>
    <w:p w14:paraId="77AEEBE4" w14:textId="77777777" w:rsidR="00B75CF6" w:rsidRPr="00B75CF6" w:rsidRDefault="00B75CF6" w:rsidP="00B75CF6">
      <w:pPr>
        <w:pStyle w:val="ListParagraph"/>
        <w:numPr>
          <w:ilvl w:val="0"/>
          <w:numId w:val="38"/>
        </w:numPr>
        <w:rPr>
          <w:lang w:eastAsia="bg-BG"/>
        </w:rPr>
      </w:pPr>
      <w:r w:rsidRPr="00B75CF6">
        <w:rPr>
          <w:lang w:eastAsia="bg-BG"/>
        </w:rPr>
        <w:t>Алкохолна или други видове токсични психози, лекарствени интоксикации, коматозни състояния.</w:t>
      </w:r>
    </w:p>
    <w:p w14:paraId="0C9C7355" w14:textId="77777777" w:rsidR="00B75CF6" w:rsidRPr="00B75CF6" w:rsidRDefault="00B75CF6" w:rsidP="00B75CF6">
      <w:pPr>
        <w:pStyle w:val="ListParagraph"/>
        <w:numPr>
          <w:ilvl w:val="0"/>
          <w:numId w:val="38"/>
        </w:numPr>
        <w:rPr>
          <w:lang w:eastAsia="bg-BG"/>
        </w:rPr>
      </w:pPr>
      <w:r w:rsidRPr="00B75CF6">
        <w:rPr>
          <w:lang w:eastAsia="bg-BG"/>
        </w:rPr>
        <w:t>Циркулаторен колапс и/или потискане на ЦНС от всякакви причини.</w:t>
      </w:r>
    </w:p>
    <w:p w14:paraId="69012DC3" w14:textId="77777777" w:rsidR="00B75CF6" w:rsidRPr="00B75CF6" w:rsidRDefault="00B75CF6" w:rsidP="00B75CF6">
      <w:pPr>
        <w:pStyle w:val="ListParagraph"/>
        <w:numPr>
          <w:ilvl w:val="0"/>
          <w:numId w:val="38"/>
        </w:numPr>
        <w:rPr>
          <w:lang w:eastAsia="bg-BG"/>
        </w:rPr>
      </w:pPr>
      <w:r w:rsidRPr="00B75CF6">
        <w:rPr>
          <w:lang w:eastAsia="bg-BG"/>
        </w:rPr>
        <w:t>Тежки бъбречни или сърдечни заболявания (напр. миокардит).</w:t>
      </w:r>
    </w:p>
    <w:p w14:paraId="6D458048" w14:textId="77777777" w:rsidR="00B75CF6" w:rsidRPr="00B75CF6" w:rsidRDefault="00B75CF6" w:rsidP="00B75CF6">
      <w:pPr>
        <w:pStyle w:val="ListParagraph"/>
        <w:numPr>
          <w:ilvl w:val="0"/>
          <w:numId w:val="38"/>
        </w:numPr>
        <w:rPr>
          <w:lang w:eastAsia="bg-BG"/>
        </w:rPr>
      </w:pPr>
      <w:r w:rsidRPr="00B75CF6">
        <w:rPr>
          <w:lang w:eastAsia="bg-BG"/>
        </w:rPr>
        <w:lastRenderedPageBreak/>
        <w:t>Активно чернодробно заболяване, свързано с гадене, липса на апетит или жълтеница; прогресивно чернодробно заболяване, чернодробна недостатъчност.</w:t>
      </w:r>
    </w:p>
    <w:p w14:paraId="1E574052" w14:textId="77777777" w:rsidR="00B75CF6" w:rsidRPr="00B75CF6" w:rsidRDefault="00B75CF6" w:rsidP="00B75CF6">
      <w:pPr>
        <w:pStyle w:val="ListParagraph"/>
        <w:numPr>
          <w:ilvl w:val="0"/>
          <w:numId w:val="38"/>
        </w:numPr>
        <w:rPr>
          <w:lang w:eastAsia="bg-BG"/>
        </w:rPr>
      </w:pPr>
      <w:r w:rsidRPr="00B75CF6">
        <w:rPr>
          <w:lang w:eastAsia="bg-BG"/>
        </w:rPr>
        <w:t>Паралитичен илеус.</w:t>
      </w:r>
    </w:p>
    <w:p w14:paraId="3800E6DB" w14:textId="77777777" w:rsidR="00B75CF6" w:rsidRPr="00B75CF6" w:rsidRDefault="00B75CF6" w:rsidP="00B75CF6"/>
    <w:p w14:paraId="0E0BDCC7" w14:textId="0D4F4633" w:rsidR="007122AD" w:rsidRDefault="002C50EE" w:rsidP="00936AD0">
      <w:pPr>
        <w:pStyle w:val="Heading2"/>
      </w:pPr>
      <w:r>
        <w:t>4.4. Специални предупреждения и предпазни мерки при употреба</w:t>
      </w:r>
    </w:p>
    <w:p w14:paraId="3544DC08" w14:textId="2DBA0004" w:rsidR="00B75CF6" w:rsidRDefault="00B75CF6" w:rsidP="00B75CF6"/>
    <w:p w14:paraId="0E9F458D" w14:textId="77777777"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u w:val="single"/>
          <w:lang w:eastAsia="bg-BG"/>
        </w:rPr>
        <w:t>Агранулоцитоза</w:t>
      </w:r>
    </w:p>
    <w:p w14:paraId="0F3BE002" w14:textId="77777777"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lang w:eastAsia="bg-BG"/>
        </w:rPr>
        <w:t>Лепонекс може да причини агранулоцитоза. Честотата на агранулоцитозата и честотата на случаите с фатален изход при тези пациенти, които развиват агранулоцитоза, е намален значително след въвеждане проследяването на броя левкоцити и абсолютния брой неутрофили (АБН), Следните предпазни мерки са задължителни и трябва да се извършват съгласно официалните препоръки.</w:t>
      </w:r>
    </w:p>
    <w:p w14:paraId="1FC62C98" w14:textId="77777777" w:rsidR="00B75CF6" w:rsidRPr="00B75CF6" w:rsidRDefault="00B75CF6" w:rsidP="00B75CF6">
      <w:pPr>
        <w:spacing w:line="240" w:lineRule="auto"/>
        <w:rPr>
          <w:rFonts w:eastAsia="Times New Roman" w:cs="Arial"/>
          <w:color w:val="000000"/>
          <w:szCs w:val="20"/>
          <w:lang w:eastAsia="bg-BG"/>
        </w:rPr>
      </w:pPr>
    </w:p>
    <w:p w14:paraId="070D5F88" w14:textId="316C38A7"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lang w:eastAsia="bg-BG"/>
        </w:rPr>
        <w:t>Поради рисковете, свързани с употребата на Лепонекс, приложението му се ограничава до пациентите, при които е показана терапията, както е посочено в точка 4.1 и:</w:t>
      </w:r>
    </w:p>
    <w:p w14:paraId="01761FB7" w14:textId="77777777" w:rsidR="00B75CF6" w:rsidRPr="00B75CF6" w:rsidRDefault="00B75CF6" w:rsidP="00B75CF6">
      <w:pPr>
        <w:pStyle w:val="ListParagraph"/>
        <w:numPr>
          <w:ilvl w:val="0"/>
          <w:numId w:val="39"/>
        </w:numPr>
        <w:spacing w:line="240" w:lineRule="auto"/>
        <w:rPr>
          <w:rFonts w:eastAsia="Times New Roman" w:cs="Arial"/>
          <w:sz w:val="28"/>
          <w:szCs w:val="24"/>
        </w:rPr>
      </w:pPr>
      <w:r w:rsidRPr="00B75CF6">
        <w:rPr>
          <w:rFonts w:eastAsia="Times New Roman" w:cs="Arial"/>
          <w:color w:val="000000"/>
          <w:szCs w:val="20"/>
          <w:lang w:eastAsia="bg-BG"/>
        </w:rPr>
        <w:t xml:space="preserve">които първоначално имат нормален брой левкоцити (левкоцити ≥3 </w:t>
      </w:r>
      <w:r w:rsidRPr="00B75CF6">
        <w:rPr>
          <w:rFonts w:eastAsia="Times New Roman" w:cs="Arial"/>
          <w:color w:val="000000"/>
          <w:szCs w:val="20"/>
          <w:lang w:val="ru-RU"/>
        </w:rPr>
        <w:t>500/</w:t>
      </w:r>
      <w:r w:rsidRPr="00B75CF6">
        <w:rPr>
          <w:rFonts w:eastAsia="Times New Roman" w:cs="Arial"/>
          <w:color w:val="000000"/>
          <w:szCs w:val="20"/>
          <w:lang w:val="en-US"/>
        </w:rPr>
        <w:t>mm</w:t>
      </w:r>
      <w:r w:rsidRPr="00B75CF6">
        <w:rPr>
          <w:rFonts w:eastAsia="Times New Roman" w:cs="Arial"/>
          <w:color w:val="000000"/>
          <w:szCs w:val="20"/>
          <w:vertAlign w:val="superscript"/>
          <w:lang w:val="ru-RU"/>
        </w:rPr>
        <w:t>3</w:t>
      </w:r>
      <w:r w:rsidRPr="00B75CF6">
        <w:rPr>
          <w:rFonts w:eastAsia="Times New Roman" w:cs="Arial"/>
          <w:color w:val="000000"/>
          <w:szCs w:val="20"/>
          <w:lang w:val="ru-RU"/>
        </w:rPr>
        <w:t xml:space="preserve"> </w:t>
      </w:r>
      <w:r w:rsidRPr="00B75CF6">
        <w:rPr>
          <w:rFonts w:eastAsia="Times New Roman" w:cs="Arial"/>
          <w:color w:val="000000"/>
          <w:szCs w:val="20"/>
          <w:lang w:eastAsia="bg-BG"/>
        </w:rPr>
        <w:t>(≥3,5х10</w:t>
      </w:r>
      <w:r w:rsidRPr="00B75CF6">
        <w:rPr>
          <w:rFonts w:eastAsia="Times New Roman" w:cs="Arial"/>
          <w:color w:val="000000"/>
          <w:szCs w:val="20"/>
          <w:vertAlign w:val="superscript"/>
          <w:lang w:eastAsia="bg-BG"/>
        </w:rPr>
        <w:t>9</w:t>
      </w:r>
      <w:r w:rsidRPr="00B75CF6">
        <w:rPr>
          <w:rFonts w:eastAsia="Times New Roman" w:cs="Arial"/>
          <w:color w:val="000000"/>
          <w:szCs w:val="20"/>
          <w:lang w:eastAsia="bg-BG"/>
        </w:rPr>
        <w:t xml:space="preserve">/1) и АБН ≥2 </w:t>
      </w:r>
      <w:r w:rsidRPr="00B75CF6">
        <w:rPr>
          <w:rFonts w:eastAsia="Times New Roman" w:cs="Arial"/>
          <w:color w:val="000000"/>
          <w:szCs w:val="20"/>
          <w:lang w:val="ru-RU"/>
        </w:rPr>
        <w:t>000/</w:t>
      </w:r>
      <w:r w:rsidRPr="00B75CF6">
        <w:rPr>
          <w:rFonts w:eastAsia="Times New Roman" w:cs="Arial"/>
          <w:color w:val="000000"/>
          <w:szCs w:val="20"/>
          <w:lang w:val="en-US"/>
        </w:rPr>
        <w:t>mm</w:t>
      </w:r>
      <w:r w:rsidRPr="00B75CF6">
        <w:rPr>
          <w:rFonts w:eastAsia="Times New Roman" w:cs="Arial"/>
          <w:color w:val="000000"/>
          <w:szCs w:val="20"/>
          <w:vertAlign w:val="superscript"/>
          <w:lang w:val="ru-RU"/>
        </w:rPr>
        <w:t>3</w:t>
      </w:r>
      <w:r w:rsidRPr="00B75CF6">
        <w:rPr>
          <w:rFonts w:eastAsia="Times New Roman" w:cs="Arial"/>
          <w:color w:val="000000"/>
          <w:szCs w:val="20"/>
          <w:lang w:val="ru-RU"/>
        </w:rPr>
        <w:t xml:space="preserve"> </w:t>
      </w:r>
      <w:r w:rsidRPr="00B75CF6">
        <w:rPr>
          <w:rFonts w:eastAsia="Times New Roman" w:cs="Arial"/>
          <w:color w:val="000000"/>
          <w:szCs w:val="20"/>
          <w:lang w:eastAsia="bg-BG"/>
        </w:rPr>
        <w:t>(≥</w:t>
      </w:r>
      <w:r w:rsidRPr="00B75CF6">
        <w:rPr>
          <w:rFonts w:eastAsia="Times New Roman" w:cs="Arial"/>
          <w:color w:val="000000"/>
          <w:szCs w:val="20"/>
          <w:lang w:val="ru-RU"/>
        </w:rPr>
        <w:t>2,0</w:t>
      </w:r>
      <w:r w:rsidRPr="00B75CF6">
        <w:rPr>
          <w:rFonts w:eastAsia="Times New Roman" w:cs="Arial"/>
          <w:color w:val="000000"/>
          <w:szCs w:val="20"/>
          <w:lang w:val="en-US"/>
        </w:rPr>
        <w:t>x</w:t>
      </w:r>
      <w:r w:rsidRPr="00B75CF6">
        <w:rPr>
          <w:rFonts w:eastAsia="Times New Roman" w:cs="Arial"/>
          <w:color w:val="000000"/>
          <w:szCs w:val="20"/>
          <w:lang w:val="ru-RU"/>
        </w:rPr>
        <w:t>1</w:t>
      </w:r>
      <w:r w:rsidRPr="00B75CF6">
        <w:rPr>
          <w:rFonts w:eastAsia="Times New Roman" w:cs="Arial"/>
          <w:color w:val="000000"/>
          <w:szCs w:val="20"/>
          <w:lang w:eastAsia="bg-BG"/>
        </w:rPr>
        <w:t>0</w:t>
      </w:r>
      <w:r w:rsidRPr="00B75CF6">
        <w:rPr>
          <w:rFonts w:eastAsia="Times New Roman" w:cs="Arial"/>
          <w:color w:val="000000"/>
          <w:szCs w:val="20"/>
          <w:vertAlign w:val="superscript"/>
          <w:lang w:eastAsia="bg-BG"/>
        </w:rPr>
        <w:t>9</w:t>
      </w:r>
      <w:r w:rsidRPr="00B75CF6">
        <w:rPr>
          <w:rFonts w:eastAsia="Times New Roman" w:cs="Arial"/>
          <w:color w:val="000000"/>
          <w:szCs w:val="20"/>
          <w:lang w:eastAsia="bg-BG"/>
        </w:rPr>
        <w:t>/1)), и</w:t>
      </w:r>
    </w:p>
    <w:p w14:paraId="29ADC0B0" w14:textId="49B35FFC" w:rsidR="00B75CF6" w:rsidRPr="00B75CF6" w:rsidRDefault="00B75CF6" w:rsidP="00B75CF6">
      <w:pPr>
        <w:pStyle w:val="ListParagraph"/>
        <w:numPr>
          <w:ilvl w:val="0"/>
          <w:numId w:val="39"/>
        </w:numPr>
        <w:spacing w:line="240" w:lineRule="auto"/>
        <w:rPr>
          <w:rFonts w:eastAsia="Times New Roman" w:cs="Arial"/>
          <w:sz w:val="28"/>
          <w:szCs w:val="24"/>
        </w:rPr>
      </w:pPr>
      <w:r w:rsidRPr="00B75CF6">
        <w:rPr>
          <w:rFonts w:eastAsia="Times New Roman" w:cs="Arial"/>
          <w:color w:val="000000"/>
          <w:szCs w:val="20"/>
          <w:lang w:eastAsia="bg-BG"/>
        </w:rPr>
        <w:t>при които редовно могат да се определят общия брой левкоцити и АБН, всяка седмица през първите 18 седмици и поне на всеки 4 седмици след това. Мониторирането трябва да продължи по време на лечението и за 4 седмици след пълното прекратяване приема на Лепонекс.</w:t>
      </w:r>
    </w:p>
    <w:p w14:paraId="69E05896" w14:textId="77777777" w:rsidR="00B75CF6" w:rsidRPr="00B75CF6" w:rsidRDefault="00B75CF6" w:rsidP="00B75CF6">
      <w:pPr>
        <w:spacing w:line="240" w:lineRule="auto"/>
        <w:rPr>
          <w:rFonts w:eastAsia="Times New Roman" w:cs="Arial"/>
          <w:color w:val="000000"/>
          <w:szCs w:val="20"/>
          <w:lang w:eastAsia="bg-BG"/>
        </w:rPr>
      </w:pPr>
    </w:p>
    <w:p w14:paraId="09C5EACB" w14:textId="2BAB68CD"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lang w:eastAsia="bg-BG"/>
        </w:rPr>
        <w:t>Лепонекс трябва да се прилага под строг медицински контрол в съответствие с официалните препоръки.</w:t>
      </w:r>
    </w:p>
    <w:p w14:paraId="24BE3E64" w14:textId="77777777" w:rsidR="00B75CF6" w:rsidRPr="00B75CF6" w:rsidRDefault="00B75CF6" w:rsidP="00B75CF6">
      <w:pPr>
        <w:spacing w:line="240" w:lineRule="auto"/>
        <w:rPr>
          <w:rFonts w:eastAsia="Times New Roman" w:cs="Arial"/>
          <w:color w:val="000000"/>
          <w:szCs w:val="20"/>
          <w:lang w:eastAsia="bg-BG"/>
        </w:rPr>
      </w:pPr>
    </w:p>
    <w:p w14:paraId="08CD32D5" w14:textId="5EB36F35"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lang w:eastAsia="bg-BG"/>
        </w:rPr>
        <w:t>Преди започване на лечението с клозапин трябва да се вземе кръвна проба (вж. “агранулоцитоза”), да се снеме анамнеза и да се извърши физикален преглед. Пациентите с анамнеза за сърдечно заболяване или абнормни сърдечни резултати трябва да бъдат насочени към специалист за допълнителни изследвания, които могат да включват ЕКГ, и пациентите трябва да бъдат лекувани единствено, ако очакваните ползи явно превишават рисковете (вж. точка 4.3). Лекуващия лекар трябва да обмисли извършването на ЕКГ преди лечението.</w:t>
      </w:r>
    </w:p>
    <w:p w14:paraId="539F5C83" w14:textId="10A99977" w:rsidR="00B75CF6" w:rsidRPr="00B75CF6" w:rsidRDefault="00B75CF6" w:rsidP="00B75CF6">
      <w:pPr>
        <w:rPr>
          <w:rFonts w:cs="Arial"/>
          <w:sz w:val="24"/>
        </w:rPr>
      </w:pPr>
    </w:p>
    <w:tbl>
      <w:tblPr>
        <w:tblStyle w:val="TableGrid"/>
        <w:tblW w:w="0" w:type="auto"/>
        <w:tblLook w:val="04A0" w:firstRow="1" w:lastRow="0" w:firstColumn="1" w:lastColumn="0" w:noHBand="0" w:noVBand="1"/>
      </w:tblPr>
      <w:tblGrid>
        <w:gridCol w:w="9350"/>
      </w:tblGrid>
      <w:tr w:rsidR="00B75CF6" w:rsidRPr="00B75CF6" w14:paraId="279E6BD2" w14:textId="77777777" w:rsidTr="00B75CF6">
        <w:tc>
          <w:tcPr>
            <w:tcW w:w="9576" w:type="dxa"/>
          </w:tcPr>
          <w:p w14:paraId="77F65095" w14:textId="77777777"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lang w:eastAsia="bg-BG"/>
              </w:rPr>
              <w:t>Лекуващите лекари трябва да спазват изцяло необходимите мерки за безопасност.</w:t>
            </w:r>
          </w:p>
          <w:p w14:paraId="22157A0A" w14:textId="77777777" w:rsidR="00B75CF6" w:rsidRPr="00B75CF6" w:rsidRDefault="00B75CF6" w:rsidP="00B75CF6">
            <w:pPr>
              <w:spacing w:line="240" w:lineRule="auto"/>
              <w:rPr>
                <w:rFonts w:eastAsia="Times New Roman" w:cs="Arial"/>
                <w:color w:val="000000"/>
                <w:szCs w:val="20"/>
                <w:lang w:eastAsia="bg-BG"/>
              </w:rPr>
            </w:pPr>
          </w:p>
          <w:p w14:paraId="2E7B17B1" w14:textId="77777777" w:rsidR="00B75CF6" w:rsidRPr="00B75CF6" w:rsidRDefault="00B75CF6" w:rsidP="00B75CF6">
            <w:pPr>
              <w:spacing w:line="240" w:lineRule="auto"/>
              <w:rPr>
                <w:rFonts w:eastAsia="Times New Roman" w:cs="Arial"/>
                <w:color w:val="000000"/>
                <w:szCs w:val="20"/>
                <w:lang w:eastAsia="bg-BG"/>
              </w:rPr>
            </w:pPr>
            <w:r w:rsidRPr="00B75CF6">
              <w:rPr>
                <w:rFonts w:eastAsia="Times New Roman" w:cs="Arial"/>
                <w:color w:val="000000"/>
                <w:szCs w:val="20"/>
                <w:lang w:eastAsia="bg-BG"/>
              </w:rPr>
              <w:t xml:space="preserve">Преди започване на лечението лекарите трябва да се уверят, доколкото това им е известно, че пациентът не е имал преди нежелана хематологична реакция към клозапин, която е наложила спиране на лечението. </w:t>
            </w:r>
          </w:p>
          <w:p w14:paraId="3F7E4B75" w14:textId="2CA3BC71"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lang w:eastAsia="bg-BG"/>
              </w:rPr>
              <w:t>Лекарството не трябва да се предписва за периоди по-дълги от интервала между две определяния на броя на кръвните клетки.</w:t>
            </w:r>
          </w:p>
          <w:p w14:paraId="0FE94496" w14:textId="77777777" w:rsidR="00B75CF6" w:rsidRPr="00B75CF6" w:rsidRDefault="00B75CF6" w:rsidP="00B75CF6">
            <w:pPr>
              <w:spacing w:line="240" w:lineRule="auto"/>
              <w:rPr>
                <w:rFonts w:eastAsia="Times New Roman" w:cs="Arial"/>
                <w:color w:val="000000"/>
                <w:szCs w:val="20"/>
                <w:lang w:eastAsia="bg-BG"/>
              </w:rPr>
            </w:pPr>
          </w:p>
          <w:p w14:paraId="6B218D8F" w14:textId="2080FFFD"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lang w:eastAsia="bg-BG"/>
              </w:rPr>
              <w:t xml:space="preserve">Незабавното спиране на Лепонекс е задължително или ако брой левкоцити е под 3 </w:t>
            </w:r>
            <w:r w:rsidRPr="00B75CF6">
              <w:rPr>
                <w:rFonts w:eastAsia="Times New Roman" w:cs="Arial"/>
                <w:color w:val="000000"/>
                <w:szCs w:val="20"/>
                <w:lang w:val="ru-RU"/>
              </w:rPr>
              <w:t>000/</w:t>
            </w:r>
            <w:r w:rsidRPr="00B75CF6">
              <w:rPr>
                <w:rFonts w:eastAsia="Times New Roman" w:cs="Arial"/>
                <w:color w:val="000000"/>
                <w:szCs w:val="20"/>
                <w:lang w:val="en-US"/>
              </w:rPr>
              <w:t>mm</w:t>
            </w:r>
            <w:r w:rsidRPr="00B75CF6">
              <w:rPr>
                <w:rFonts w:eastAsia="Times New Roman" w:cs="Arial"/>
                <w:color w:val="000000"/>
                <w:szCs w:val="20"/>
                <w:vertAlign w:val="superscript"/>
                <w:lang w:val="ru-RU"/>
              </w:rPr>
              <w:t xml:space="preserve">3 </w:t>
            </w:r>
            <w:r w:rsidRPr="00B75CF6">
              <w:rPr>
                <w:rFonts w:eastAsia="Times New Roman" w:cs="Arial"/>
                <w:color w:val="000000"/>
                <w:szCs w:val="20"/>
                <w:lang w:val="ru-RU"/>
              </w:rPr>
              <w:t>(3,0</w:t>
            </w:r>
            <w:r w:rsidRPr="00B75CF6">
              <w:rPr>
                <w:rFonts w:eastAsia="Times New Roman" w:cs="Arial"/>
                <w:color w:val="000000"/>
                <w:szCs w:val="20"/>
                <w:lang w:val="en-US"/>
              </w:rPr>
              <w:t>x</w:t>
            </w:r>
            <w:r w:rsidRPr="00B75CF6">
              <w:rPr>
                <w:rFonts w:eastAsia="Times New Roman" w:cs="Arial"/>
                <w:color w:val="000000"/>
                <w:szCs w:val="20"/>
                <w:lang w:val="ru-RU"/>
              </w:rPr>
              <w:t>1</w:t>
            </w:r>
            <w:r w:rsidRPr="00B75CF6">
              <w:rPr>
                <w:rFonts w:eastAsia="Times New Roman" w:cs="Arial"/>
                <w:color w:val="000000"/>
                <w:szCs w:val="20"/>
                <w:lang w:eastAsia="bg-BG"/>
              </w:rPr>
              <w:t>0</w:t>
            </w:r>
            <w:r w:rsidRPr="00B75CF6">
              <w:rPr>
                <w:rFonts w:eastAsia="Times New Roman" w:cs="Arial"/>
                <w:color w:val="000000"/>
                <w:szCs w:val="20"/>
                <w:vertAlign w:val="superscript"/>
                <w:lang w:eastAsia="bg-BG"/>
              </w:rPr>
              <w:t>9</w:t>
            </w:r>
            <w:r w:rsidRPr="00B75CF6">
              <w:rPr>
                <w:rFonts w:eastAsia="Times New Roman" w:cs="Arial"/>
                <w:color w:val="000000"/>
                <w:szCs w:val="20"/>
                <w:lang w:eastAsia="bg-BG"/>
              </w:rPr>
              <w:t>/1), или АБН е под 1 500/тп? (1,5х 10</w:t>
            </w:r>
            <w:r w:rsidRPr="00B75CF6">
              <w:rPr>
                <w:rFonts w:eastAsia="Times New Roman" w:cs="Arial"/>
                <w:color w:val="000000"/>
                <w:szCs w:val="20"/>
                <w:vertAlign w:val="superscript"/>
                <w:lang w:eastAsia="bg-BG"/>
              </w:rPr>
              <w:t>9</w:t>
            </w:r>
            <w:r w:rsidRPr="00B75CF6">
              <w:rPr>
                <w:rFonts w:eastAsia="Times New Roman" w:cs="Arial"/>
                <w:color w:val="000000"/>
                <w:szCs w:val="20"/>
                <w:lang w:eastAsia="bg-BG"/>
              </w:rPr>
              <w:t>/1), в който и да е момент от лечението с Лепонекс. Пациентите, при които Лепонекс е спрян в резултат или на понижен брой левкоцити, или на понижен АБН не трябва да получават повторно Лепонекс.</w:t>
            </w:r>
          </w:p>
          <w:p w14:paraId="20C55B7C" w14:textId="77777777" w:rsidR="00B75CF6" w:rsidRPr="00B75CF6" w:rsidRDefault="00B75CF6" w:rsidP="00B75CF6">
            <w:pPr>
              <w:spacing w:line="240" w:lineRule="auto"/>
              <w:rPr>
                <w:rFonts w:eastAsia="Times New Roman" w:cs="Arial"/>
                <w:color w:val="000000"/>
                <w:szCs w:val="20"/>
                <w:lang w:eastAsia="bg-BG"/>
              </w:rPr>
            </w:pPr>
          </w:p>
          <w:p w14:paraId="0140A0C9" w14:textId="02F8E066"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lang w:eastAsia="bg-BG"/>
              </w:rPr>
              <w:t xml:space="preserve">При всяка консултация, на пациент, който получаващ Лепонекс, трябва му се напомня да се свърже незабавно с лекуващия лекар, ако започе развитието на някакъв вид </w:t>
            </w:r>
            <w:r w:rsidRPr="00B75CF6">
              <w:rPr>
                <w:rFonts w:eastAsia="Times New Roman" w:cs="Arial"/>
                <w:color w:val="000000"/>
                <w:szCs w:val="20"/>
                <w:lang w:eastAsia="bg-BG"/>
              </w:rPr>
              <w:lastRenderedPageBreak/>
              <w:t>инфекция. Особено внимание трябва да се обръща на грипоподобните оплаквания като повишена температура или възпалено гърло и други белези на инфекция, които може да са показателни за неутропения. Пациентите и грижещите се за тях трябва да бъдат информирани, че в случай на поява на някой от тези симптоми, незабавно трябва да бъде определен броя на левкоцитите им. Препоръчително е лекарите, предписващи лекарството, да съхраняват списък с резултатите от всички кръвни проби на пациентите и да предприемат всички необходими стъпки, за да предпазят тези пациенти от случайно получаване на лекарството отново в бъдеще.</w:t>
            </w:r>
          </w:p>
          <w:p w14:paraId="6FB8E830" w14:textId="77777777" w:rsidR="00B75CF6" w:rsidRPr="00B75CF6" w:rsidRDefault="00B75CF6" w:rsidP="00B75CF6">
            <w:pPr>
              <w:spacing w:line="240" w:lineRule="auto"/>
              <w:rPr>
                <w:rFonts w:eastAsia="Times New Roman" w:cs="Arial"/>
                <w:color w:val="000000"/>
                <w:szCs w:val="20"/>
                <w:lang w:eastAsia="bg-BG"/>
              </w:rPr>
            </w:pPr>
          </w:p>
          <w:p w14:paraId="2764FFFC" w14:textId="4E5360E4"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lang w:eastAsia="bg-BG"/>
              </w:rPr>
              <w:t>Пациентите с анамнеза за първични нарушения на костния мозък могат да бъдат лекувани единствено, ако ползата превишава риска. Те трябва да бъдат прегледани внимателно от хематолог преди започване на лечението с Лепонекс.</w:t>
            </w:r>
          </w:p>
          <w:p w14:paraId="4054C712" w14:textId="77777777" w:rsidR="00B75CF6" w:rsidRPr="00B75CF6" w:rsidRDefault="00B75CF6" w:rsidP="00B75CF6">
            <w:pPr>
              <w:spacing w:line="240" w:lineRule="auto"/>
              <w:rPr>
                <w:rFonts w:eastAsia="Times New Roman" w:cs="Arial"/>
                <w:color w:val="000000"/>
                <w:szCs w:val="20"/>
                <w:lang w:eastAsia="bg-BG"/>
              </w:rPr>
            </w:pPr>
          </w:p>
          <w:p w14:paraId="17FEDE2F" w14:textId="23B05FB7"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lang w:eastAsia="bg-BG"/>
              </w:rPr>
              <w:t>Пациентите, които имат нисък брой левкоцити поради доброкачествена етнически обусловена неутропения, трябва да бъдат специално обсъдени и могат да започнат лечение с Лепонекс само със съгласието на хематолог.</w:t>
            </w:r>
          </w:p>
        </w:tc>
      </w:tr>
    </w:tbl>
    <w:p w14:paraId="55712054" w14:textId="0F65E458" w:rsidR="00B75CF6" w:rsidRPr="00B75CF6" w:rsidRDefault="00B75CF6" w:rsidP="00B75CF6">
      <w:pPr>
        <w:rPr>
          <w:rFonts w:cs="Arial"/>
          <w:sz w:val="24"/>
        </w:rPr>
      </w:pPr>
    </w:p>
    <w:p w14:paraId="52A56753" w14:textId="77777777"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u w:val="single"/>
          <w:lang w:eastAsia="bg-BG"/>
        </w:rPr>
        <w:t>Мониториране на броя левкоцити и АБН</w:t>
      </w:r>
    </w:p>
    <w:p w14:paraId="2E79C69A" w14:textId="77777777"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lang w:eastAsia="bg-BG"/>
        </w:rPr>
        <w:t xml:space="preserve">Броят левкоцити и диференциалната кръвна картина трябва да се определят в рамките на 10 дни преди започване на лечение с Лепонекс, за да е сигурно, че само пациенти с нормален брой левкоцити и АБН (брой левкоцити ≥ 3 </w:t>
      </w:r>
      <w:r w:rsidRPr="00B75CF6">
        <w:rPr>
          <w:rFonts w:eastAsia="Times New Roman" w:cs="Arial"/>
          <w:color w:val="000000"/>
          <w:szCs w:val="20"/>
          <w:lang w:val="ru-RU"/>
        </w:rPr>
        <w:t>500/</w:t>
      </w:r>
      <w:r w:rsidRPr="00B75CF6">
        <w:rPr>
          <w:rFonts w:eastAsia="Times New Roman" w:cs="Arial"/>
          <w:color w:val="000000"/>
          <w:szCs w:val="20"/>
          <w:lang w:val="en-US"/>
        </w:rPr>
        <w:t>mm</w:t>
      </w:r>
      <w:r w:rsidRPr="00B75CF6">
        <w:rPr>
          <w:rFonts w:eastAsia="Times New Roman" w:cs="Arial"/>
          <w:color w:val="000000"/>
          <w:szCs w:val="20"/>
          <w:vertAlign w:val="superscript"/>
          <w:lang w:val="ru-RU"/>
        </w:rPr>
        <w:t>3</w:t>
      </w:r>
      <w:r w:rsidRPr="00B75CF6">
        <w:rPr>
          <w:rFonts w:eastAsia="Times New Roman" w:cs="Arial"/>
          <w:color w:val="000000"/>
          <w:szCs w:val="20"/>
          <w:lang w:val="ru-RU"/>
        </w:rPr>
        <w:t xml:space="preserve"> </w:t>
      </w:r>
      <w:r w:rsidRPr="00B75CF6">
        <w:rPr>
          <w:rFonts w:eastAsia="Times New Roman" w:cs="Arial"/>
          <w:color w:val="000000"/>
          <w:szCs w:val="20"/>
          <w:lang w:eastAsia="bg-BG"/>
        </w:rPr>
        <w:t>(3,5х10</w:t>
      </w:r>
      <w:r w:rsidRPr="00B75CF6">
        <w:rPr>
          <w:rFonts w:eastAsia="Times New Roman" w:cs="Arial"/>
          <w:color w:val="000000"/>
          <w:szCs w:val="20"/>
          <w:vertAlign w:val="superscript"/>
          <w:lang w:eastAsia="bg-BG"/>
        </w:rPr>
        <w:t>9</w:t>
      </w:r>
      <w:r w:rsidRPr="00B75CF6">
        <w:rPr>
          <w:rFonts w:eastAsia="Times New Roman" w:cs="Arial"/>
          <w:color w:val="000000"/>
          <w:szCs w:val="20"/>
          <w:lang w:eastAsia="bg-BG"/>
        </w:rPr>
        <w:t>/1) и АБН ≥2 000/</w:t>
      </w:r>
      <w:r w:rsidRPr="00B75CF6">
        <w:rPr>
          <w:rFonts w:eastAsia="Times New Roman" w:cs="Arial"/>
          <w:color w:val="000000"/>
          <w:szCs w:val="20"/>
          <w:lang w:val="en-US"/>
        </w:rPr>
        <w:t>mm</w:t>
      </w:r>
      <w:r w:rsidRPr="00B75CF6">
        <w:rPr>
          <w:rFonts w:eastAsia="Times New Roman" w:cs="Arial"/>
          <w:color w:val="000000"/>
          <w:szCs w:val="20"/>
          <w:vertAlign w:val="superscript"/>
          <w:lang w:eastAsia="bg-BG"/>
        </w:rPr>
        <w:t>3</w:t>
      </w:r>
      <w:r w:rsidRPr="00B75CF6">
        <w:rPr>
          <w:rFonts w:eastAsia="Times New Roman" w:cs="Arial"/>
          <w:color w:val="000000"/>
          <w:szCs w:val="20"/>
          <w:lang w:eastAsia="bg-BG"/>
        </w:rPr>
        <w:t xml:space="preserve"> (2,0х10</w:t>
      </w:r>
      <w:r w:rsidRPr="00B75CF6">
        <w:rPr>
          <w:rFonts w:eastAsia="Times New Roman" w:cs="Arial"/>
          <w:color w:val="000000"/>
          <w:szCs w:val="20"/>
          <w:vertAlign w:val="superscript"/>
          <w:lang w:eastAsia="bg-BG"/>
        </w:rPr>
        <w:t>9</w:t>
      </w:r>
      <w:r w:rsidRPr="00B75CF6">
        <w:rPr>
          <w:rFonts w:eastAsia="Times New Roman" w:cs="Arial"/>
          <w:color w:val="000000"/>
          <w:szCs w:val="20"/>
          <w:lang w:eastAsia="bg-BG"/>
        </w:rPr>
        <w:t>/1)) ще получават лекарството. След започване на лечението с Лепонекс броят на левкоцитите и АБН трябва да се мониторират редовно всяка седмица през първите 18 седмици и поне на всеки четири седмици след това.</w:t>
      </w:r>
    </w:p>
    <w:p w14:paraId="091ADB5A" w14:textId="77777777" w:rsidR="00B75CF6" w:rsidRPr="00B75CF6" w:rsidRDefault="00B75CF6" w:rsidP="00B75CF6">
      <w:pPr>
        <w:spacing w:line="240" w:lineRule="auto"/>
        <w:rPr>
          <w:rFonts w:eastAsia="Times New Roman" w:cs="Arial"/>
          <w:color w:val="000000"/>
          <w:szCs w:val="20"/>
          <w:lang w:eastAsia="bg-BG"/>
        </w:rPr>
      </w:pPr>
    </w:p>
    <w:p w14:paraId="10C4C78F" w14:textId="2E72E729"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lang w:eastAsia="bg-BG"/>
        </w:rPr>
        <w:t>Мониторирането трябва да продължи по време на лечението и за 4 седмици след пълното спиране на Лепонекс или до настъпване на възстановяване на хематологичните показатели (вижте „Нисък брой левкоцити/АБН“ по-долу).</w:t>
      </w:r>
    </w:p>
    <w:p w14:paraId="04CC3918" w14:textId="77777777" w:rsidR="00B75CF6" w:rsidRPr="00B75CF6" w:rsidRDefault="00B75CF6" w:rsidP="00B75CF6">
      <w:pPr>
        <w:spacing w:line="240" w:lineRule="auto"/>
        <w:rPr>
          <w:rFonts w:eastAsia="Times New Roman" w:cs="Arial"/>
          <w:color w:val="000000"/>
          <w:szCs w:val="20"/>
          <w:u w:val="single"/>
          <w:lang w:eastAsia="bg-BG"/>
        </w:rPr>
      </w:pPr>
    </w:p>
    <w:p w14:paraId="6828629B" w14:textId="3D767751"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u w:val="single"/>
          <w:lang w:eastAsia="bg-BG"/>
        </w:rPr>
        <w:t>Нисък брой левкоцити/АБН</w:t>
      </w:r>
    </w:p>
    <w:p w14:paraId="705BD435" w14:textId="77777777"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lang w:eastAsia="bg-BG"/>
        </w:rPr>
        <w:t xml:space="preserve">Ако по време иа лечението с Лепонекс броят левкоцити спадне между 3 </w:t>
      </w:r>
      <w:r w:rsidRPr="00B75CF6">
        <w:rPr>
          <w:rFonts w:eastAsia="Times New Roman" w:cs="Arial"/>
          <w:color w:val="000000"/>
          <w:szCs w:val="20"/>
          <w:lang w:val="ru-RU"/>
        </w:rPr>
        <w:t>500/</w:t>
      </w:r>
      <w:r w:rsidRPr="00B75CF6">
        <w:rPr>
          <w:rFonts w:eastAsia="Times New Roman" w:cs="Arial"/>
          <w:color w:val="000000"/>
          <w:szCs w:val="20"/>
          <w:lang w:val="en-US"/>
        </w:rPr>
        <w:t>mm</w:t>
      </w:r>
      <w:r w:rsidRPr="00B75CF6">
        <w:rPr>
          <w:rFonts w:eastAsia="Times New Roman" w:cs="Arial"/>
          <w:color w:val="000000"/>
          <w:szCs w:val="20"/>
          <w:vertAlign w:val="superscript"/>
          <w:lang w:val="ru-RU"/>
        </w:rPr>
        <w:t>3</w:t>
      </w:r>
      <w:r w:rsidRPr="00B75CF6">
        <w:rPr>
          <w:rFonts w:eastAsia="Times New Roman" w:cs="Arial"/>
          <w:color w:val="000000"/>
          <w:szCs w:val="20"/>
          <w:lang w:val="ru-RU"/>
        </w:rPr>
        <w:t xml:space="preserve"> </w:t>
      </w:r>
      <w:r w:rsidRPr="00B75CF6">
        <w:rPr>
          <w:rFonts w:eastAsia="Times New Roman" w:cs="Arial"/>
          <w:color w:val="000000"/>
          <w:szCs w:val="20"/>
          <w:lang w:eastAsia="bg-BG"/>
        </w:rPr>
        <w:t>(3,5х10</w:t>
      </w:r>
      <w:r w:rsidRPr="00B75CF6">
        <w:rPr>
          <w:rFonts w:eastAsia="Times New Roman" w:cs="Arial"/>
          <w:color w:val="000000"/>
          <w:szCs w:val="20"/>
          <w:vertAlign w:val="superscript"/>
          <w:lang w:eastAsia="bg-BG"/>
        </w:rPr>
        <w:t>9</w:t>
      </w:r>
      <w:r w:rsidRPr="00B75CF6">
        <w:rPr>
          <w:rFonts w:eastAsia="Times New Roman" w:cs="Arial"/>
          <w:color w:val="000000"/>
          <w:szCs w:val="20"/>
          <w:lang w:eastAsia="bg-BG"/>
        </w:rPr>
        <w:t xml:space="preserve">/1) и 3 </w:t>
      </w:r>
      <w:r w:rsidRPr="00B75CF6">
        <w:rPr>
          <w:rFonts w:eastAsia="Times New Roman" w:cs="Arial"/>
          <w:color w:val="000000"/>
          <w:szCs w:val="20"/>
          <w:lang w:val="ru-RU"/>
        </w:rPr>
        <w:t>000/</w:t>
      </w:r>
      <w:r w:rsidRPr="00B75CF6">
        <w:rPr>
          <w:rFonts w:eastAsia="Times New Roman" w:cs="Arial"/>
          <w:color w:val="000000"/>
          <w:szCs w:val="20"/>
          <w:lang w:val="en-US"/>
        </w:rPr>
        <w:t>mm</w:t>
      </w:r>
      <w:r w:rsidRPr="00B75CF6">
        <w:rPr>
          <w:rFonts w:eastAsia="Times New Roman" w:cs="Arial"/>
          <w:color w:val="000000"/>
          <w:szCs w:val="20"/>
          <w:vertAlign w:val="superscript"/>
          <w:lang w:val="ru-RU"/>
        </w:rPr>
        <w:t>3</w:t>
      </w:r>
      <w:r w:rsidRPr="00B75CF6">
        <w:rPr>
          <w:rFonts w:eastAsia="Times New Roman" w:cs="Arial"/>
          <w:color w:val="000000"/>
          <w:szCs w:val="20"/>
          <w:lang w:val="ru-RU"/>
        </w:rPr>
        <w:t xml:space="preserve"> (3,0</w:t>
      </w:r>
      <w:r w:rsidRPr="00B75CF6">
        <w:rPr>
          <w:rFonts w:eastAsia="Times New Roman" w:cs="Arial"/>
          <w:color w:val="000000"/>
          <w:szCs w:val="20"/>
          <w:lang w:val="en-US"/>
        </w:rPr>
        <w:t>x</w:t>
      </w:r>
      <w:r w:rsidRPr="00B75CF6">
        <w:rPr>
          <w:rFonts w:eastAsia="Times New Roman" w:cs="Arial"/>
          <w:color w:val="000000"/>
          <w:szCs w:val="20"/>
          <w:lang w:val="ru-RU"/>
        </w:rPr>
        <w:t>1</w:t>
      </w:r>
      <w:r w:rsidRPr="00B75CF6">
        <w:rPr>
          <w:rFonts w:eastAsia="Times New Roman" w:cs="Arial"/>
          <w:color w:val="000000"/>
          <w:szCs w:val="20"/>
          <w:lang w:eastAsia="bg-BG"/>
        </w:rPr>
        <w:t>0</w:t>
      </w:r>
      <w:r w:rsidRPr="00B75CF6">
        <w:rPr>
          <w:rFonts w:eastAsia="Times New Roman" w:cs="Arial"/>
          <w:color w:val="000000"/>
          <w:szCs w:val="20"/>
          <w:vertAlign w:val="superscript"/>
          <w:lang w:eastAsia="bg-BG"/>
        </w:rPr>
        <w:t>9</w:t>
      </w:r>
      <w:r w:rsidRPr="00B75CF6">
        <w:rPr>
          <w:rFonts w:eastAsia="Times New Roman" w:cs="Arial"/>
          <w:color w:val="000000"/>
          <w:szCs w:val="20"/>
          <w:lang w:eastAsia="bg-BG"/>
        </w:rPr>
        <w:t xml:space="preserve">/1) или АБН между 2 </w:t>
      </w:r>
      <w:r w:rsidRPr="00B75CF6">
        <w:rPr>
          <w:rFonts w:eastAsia="Times New Roman" w:cs="Arial"/>
          <w:color w:val="000000"/>
          <w:szCs w:val="20"/>
          <w:lang w:val="ru-RU"/>
        </w:rPr>
        <w:t>000/</w:t>
      </w:r>
      <w:r w:rsidRPr="00B75CF6">
        <w:rPr>
          <w:rFonts w:eastAsia="Times New Roman" w:cs="Arial"/>
          <w:color w:val="000000"/>
          <w:szCs w:val="20"/>
          <w:lang w:val="en-US"/>
        </w:rPr>
        <w:t>mm</w:t>
      </w:r>
      <w:r w:rsidRPr="00B75CF6">
        <w:rPr>
          <w:rFonts w:eastAsia="Times New Roman" w:cs="Arial"/>
          <w:color w:val="000000"/>
          <w:szCs w:val="20"/>
          <w:vertAlign w:val="superscript"/>
          <w:lang w:val="ru-RU"/>
        </w:rPr>
        <w:t>3</w:t>
      </w:r>
      <w:r w:rsidRPr="00B75CF6">
        <w:rPr>
          <w:rFonts w:eastAsia="Times New Roman" w:cs="Arial"/>
          <w:color w:val="000000"/>
          <w:szCs w:val="20"/>
          <w:lang w:val="ru-RU"/>
        </w:rPr>
        <w:t xml:space="preserve"> (2.0</w:t>
      </w:r>
      <w:r w:rsidRPr="00B75CF6">
        <w:rPr>
          <w:rFonts w:eastAsia="Times New Roman" w:cs="Arial"/>
          <w:color w:val="000000"/>
          <w:szCs w:val="20"/>
          <w:lang w:val="en-US"/>
        </w:rPr>
        <w:t>x</w:t>
      </w:r>
      <w:r w:rsidRPr="00B75CF6">
        <w:rPr>
          <w:rFonts w:eastAsia="Times New Roman" w:cs="Arial"/>
          <w:color w:val="000000"/>
          <w:szCs w:val="20"/>
          <w:lang w:val="ru-RU"/>
        </w:rPr>
        <w:t>1</w:t>
      </w:r>
      <w:r w:rsidRPr="00B75CF6">
        <w:rPr>
          <w:rFonts w:eastAsia="Times New Roman" w:cs="Arial"/>
          <w:color w:val="000000"/>
          <w:szCs w:val="20"/>
          <w:lang w:eastAsia="bg-BG"/>
        </w:rPr>
        <w:t>0</w:t>
      </w:r>
      <w:r w:rsidRPr="00B75CF6">
        <w:rPr>
          <w:rFonts w:eastAsia="Times New Roman" w:cs="Arial"/>
          <w:color w:val="000000"/>
          <w:szCs w:val="20"/>
          <w:vertAlign w:val="superscript"/>
          <w:lang w:eastAsia="bg-BG"/>
        </w:rPr>
        <w:t>9</w:t>
      </w:r>
      <w:r w:rsidRPr="00B75CF6">
        <w:rPr>
          <w:rFonts w:eastAsia="Times New Roman" w:cs="Arial"/>
          <w:color w:val="000000"/>
          <w:szCs w:val="20"/>
          <w:lang w:eastAsia="bg-BG"/>
        </w:rPr>
        <w:t xml:space="preserve">/1) и 1 </w:t>
      </w:r>
      <w:r w:rsidRPr="00B75CF6">
        <w:rPr>
          <w:rFonts w:eastAsia="Times New Roman" w:cs="Arial"/>
          <w:color w:val="000000"/>
          <w:szCs w:val="20"/>
          <w:lang w:val="ru-RU"/>
        </w:rPr>
        <w:t>500/</w:t>
      </w:r>
      <w:r w:rsidRPr="00B75CF6">
        <w:rPr>
          <w:rFonts w:eastAsia="Times New Roman" w:cs="Arial"/>
          <w:color w:val="000000"/>
          <w:szCs w:val="20"/>
          <w:lang w:val="en-US"/>
        </w:rPr>
        <w:t>mm</w:t>
      </w:r>
      <w:r w:rsidRPr="00B75CF6">
        <w:rPr>
          <w:rFonts w:eastAsia="Times New Roman" w:cs="Arial"/>
          <w:color w:val="000000"/>
          <w:szCs w:val="20"/>
          <w:vertAlign w:val="superscript"/>
          <w:lang w:val="ru-RU"/>
        </w:rPr>
        <w:t>3</w:t>
      </w:r>
      <w:r w:rsidRPr="00B75CF6">
        <w:rPr>
          <w:rFonts w:eastAsia="Times New Roman" w:cs="Arial"/>
          <w:color w:val="000000"/>
          <w:szCs w:val="20"/>
          <w:lang w:val="ru-RU"/>
        </w:rPr>
        <w:t xml:space="preserve"> </w:t>
      </w:r>
      <w:r w:rsidRPr="00B75CF6">
        <w:rPr>
          <w:rFonts w:eastAsia="Times New Roman" w:cs="Arial"/>
          <w:color w:val="000000"/>
          <w:szCs w:val="20"/>
          <w:lang w:eastAsia="bg-BG"/>
        </w:rPr>
        <w:t>(1,5х 10</w:t>
      </w:r>
      <w:r w:rsidRPr="00B75CF6">
        <w:rPr>
          <w:rFonts w:eastAsia="Times New Roman" w:cs="Arial"/>
          <w:color w:val="000000"/>
          <w:szCs w:val="20"/>
          <w:vertAlign w:val="superscript"/>
          <w:lang w:eastAsia="bg-BG"/>
        </w:rPr>
        <w:t>9</w:t>
      </w:r>
      <w:r w:rsidRPr="00B75CF6">
        <w:rPr>
          <w:rFonts w:eastAsia="Times New Roman" w:cs="Arial"/>
          <w:color w:val="000000"/>
          <w:szCs w:val="20"/>
          <w:lang w:eastAsia="bg-BG"/>
        </w:rPr>
        <w:t xml:space="preserve">/1), хематологични изследвания трябва да се извършват поне два пъти седмично, докато броя левкоцити и АБН на пациента се стабилизират в границите 3 000-3 </w:t>
      </w:r>
      <w:r w:rsidRPr="00B75CF6">
        <w:rPr>
          <w:rFonts w:eastAsia="Times New Roman" w:cs="Arial"/>
          <w:color w:val="000000"/>
          <w:szCs w:val="20"/>
          <w:lang w:val="ru-RU"/>
        </w:rPr>
        <w:t>500/</w:t>
      </w:r>
      <w:r w:rsidRPr="00B75CF6">
        <w:rPr>
          <w:rFonts w:eastAsia="Times New Roman" w:cs="Arial"/>
          <w:color w:val="000000"/>
          <w:szCs w:val="20"/>
          <w:lang w:val="en-US"/>
        </w:rPr>
        <w:t>mm</w:t>
      </w:r>
      <w:r w:rsidRPr="00B75CF6">
        <w:rPr>
          <w:rFonts w:eastAsia="Times New Roman" w:cs="Arial"/>
          <w:color w:val="000000"/>
          <w:szCs w:val="20"/>
          <w:vertAlign w:val="superscript"/>
          <w:lang w:val="ru-RU"/>
        </w:rPr>
        <w:t>3</w:t>
      </w:r>
      <w:r w:rsidRPr="00B75CF6">
        <w:rPr>
          <w:rFonts w:eastAsia="Times New Roman" w:cs="Arial"/>
          <w:color w:val="000000"/>
          <w:szCs w:val="20"/>
          <w:lang w:val="ru-RU"/>
        </w:rPr>
        <w:t xml:space="preserve"> </w:t>
      </w:r>
      <w:r w:rsidRPr="00B75CF6">
        <w:rPr>
          <w:rFonts w:eastAsia="Times New Roman" w:cs="Arial"/>
          <w:color w:val="000000"/>
          <w:szCs w:val="20"/>
          <w:lang w:eastAsia="bg-BG"/>
        </w:rPr>
        <w:t>(3,0-3,5х10</w:t>
      </w:r>
      <w:r w:rsidRPr="00B75CF6">
        <w:rPr>
          <w:rFonts w:eastAsia="Times New Roman" w:cs="Arial"/>
          <w:color w:val="000000"/>
          <w:szCs w:val="20"/>
          <w:vertAlign w:val="superscript"/>
          <w:lang w:eastAsia="bg-BG"/>
        </w:rPr>
        <w:t>9</w:t>
      </w:r>
      <w:r w:rsidRPr="00B75CF6">
        <w:rPr>
          <w:rFonts w:eastAsia="Times New Roman" w:cs="Arial"/>
          <w:color w:val="000000"/>
          <w:szCs w:val="20"/>
          <w:lang w:eastAsia="bg-BG"/>
        </w:rPr>
        <w:t xml:space="preserve">/1) и 1 500-2 </w:t>
      </w:r>
      <w:r w:rsidRPr="00B75CF6">
        <w:rPr>
          <w:rFonts w:eastAsia="Times New Roman" w:cs="Arial"/>
          <w:color w:val="000000"/>
          <w:szCs w:val="20"/>
          <w:lang w:val="ru-RU"/>
        </w:rPr>
        <w:t>000/</w:t>
      </w:r>
      <w:r w:rsidRPr="00B75CF6">
        <w:rPr>
          <w:rFonts w:eastAsia="Times New Roman" w:cs="Arial"/>
          <w:color w:val="000000"/>
          <w:szCs w:val="20"/>
          <w:lang w:val="en-US"/>
        </w:rPr>
        <w:t>mm</w:t>
      </w:r>
      <w:r w:rsidRPr="00B75CF6">
        <w:rPr>
          <w:rFonts w:eastAsia="Times New Roman" w:cs="Arial"/>
          <w:color w:val="000000"/>
          <w:szCs w:val="20"/>
          <w:vertAlign w:val="superscript"/>
          <w:lang w:val="ru-RU"/>
        </w:rPr>
        <w:t>3</w:t>
      </w:r>
      <w:r w:rsidRPr="00B75CF6">
        <w:rPr>
          <w:rFonts w:eastAsia="Times New Roman" w:cs="Arial"/>
          <w:color w:val="000000"/>
          <w:szCs w:val="20"/>
          <w:lang w:val="ru-RU"/>
        </w:rPr>
        <w:t xml:space="preserve"> </w:t>
      </w:r>
      <w:r w:rsidRPr="00B75CF6">
        <w:rPr>
          <w:rFonts w:eastAsia="Times New Roman" w:cs="Arial"/>
          <w:color w:val="000000"/>
          <w:szCs w:val="20"/>
          <w:lang w:eastAsia="bg-BG"/>
        </w:rPr>
        <w:t xml:space="preserve">(1,5- </w:t>
      </w:r>
      <w:r w:rsidRPr="00B75CF6">
        <w:rPr>
          <w:rFonts w:eastAsia="Times New Roman" w:cs="Arial"/>
          <w:color w:val="000000"/>
          <w:szCs w:val="20"/>
          <w:lang w:val="ru-RU"/>
        </w:rPr>
        <w:t>2,0</w:t>
      </w:r>
      <w:r w:rsidRPr="00B75CF6">
        <w:rPr>
          <w:rFonts w:eastAsia="Times New Roman" w:cs="Arial"/>
          <w:color w:val="000000"/>
          <w:szCs w:val="20"/>
          <w:lang w:val="en-US"/>
        </w:rPr>
        <w:t>x</w:t>
      </w:r>
      <w:r w:rsidRPr="00B75CF6">
        <w:rPr>
          <w:rFonts w:eastAsia="Times New Roman" w:cs="Arial"/>
          <w:color w:val="000000"/>
          <w:szCs w:val="20"/>
          <w:lang w:val="ru-RU"/>
        </w:rPr>
        <w:t>1</w:t>
      </w:r>
      <w:r w:rsidRPr="00B75CF6">
        <w:rPr>
          <w:rFonts w:eastAsia="Times New Roman" w:cs="Arial"/>
          <w:color w:val="000000"/>
          <w:szCs w:val="20"/>
          <w:lang w:eastAsia="bg-BG"/>
        </w:rPr>
        <w:t>0</w:t>
      </w:r>
      <w:r w:rsidRPr="00B75CF6">
        <w:rPr>
          <w:rFonts w:eastAsia="Times New Roman" w:cs="Arial"/>
          <w:color w:val="000000"/>
          <w:szCs w:val="20"/>
          <w:vertAlign w:val="superscript"/>
          <w:lang w:eastAsia="bg-BG"/>
        </w:rPr>
        <w:t>9</w:t>
      </w:r>
      <w:r w:rsidRPr="00B75CF6">
        <w:rPr>
          <w:rFonts w:eastAsia="Times New Roman" w:cs="Arial"/>
          <w:color w:val="000000"/>
          <w:szCs w:val="20"/>
          <w:lang w:eastAsia="bg-BG"/>
        </w:rPr>
        <w:t>/1), съответно, или над тях.</w:t>
      </w:r>
    </w:p>
    <w:p w14:paraId="6B797B0F" w14:textId="77777777" w:rsidR="00B75CF6" w:rsidRPr="00B75CF6" w:rsidRDefault="00B75CF6" w:rsidP="00B75CF6">
      <w:pPr>
        <w:rPr>
          <w:rFonts w:eastAsia="Times New Roman" w:cs="Arial"/>
          <w:color w:val="000000"/>
          <w:szCs w:val="20"/>
          <w:lang w:eastAsia="bg-BG"/>
        </w:rPr>
      </w:pPr>
    </w:p>
    <w:p w14:paraId="4DCA935C" w14:textId="77777777" w:rsidR="00B75CF6" w:rsidRPr="00B75CF6" w:rsidRDefault="00B75CF6" w:rsidP="00B75CF6">
      <w:pPr>
        <w:rPr>
          <w:rFonts w:eastAsia="Times New Roman" w:cs="Arial"/>
          <w:sz w:val="28"/>
          <w:szCs w:val="24"/>
        </w:rPr>
      </w:pPr>
      <w:r w:rsidRPr="00B75CF6">
        <w:rPr>
          <w:rFonts w:eastAsia="Times New Roman" w:cs="Arial"/>
          <w:color w:val="000000"/>
          <w:szCs w:val="20"/>
          <w:lang w:eastAsia="bg-BG"/>
        </w:rPr>
        <w:t xml:space="preserve">Незабавното спиране на лечението с Лепонекс е задължително, ако броят левкоцити е или под 3 </w:t>
      </w:r>
      <w:r w:rsidRPr="00B75CF6">
        <w:rPr>
          <w:rFonts w:eastAsia="Times New Roman" w:cs="Arial"/>
          <w:color w:val="000000"/>
          <w:szCs w:val="20"/>
          <w:lang w:val="ru-RU"/>
        </w:rPr>
        <w:t>000/</w:t>
      </w:r>
      <w:r w:rsidRPr="00B75CF6">
        <w:rPr>
          <w:rFonts w:eastAsia="Times New Roman" w:cs="Arial"/>
          <w:color w:val="000000"/>
          <w:szCs w:val="20"/>
          <w:lang w:val="en-US"/>
        </w:rPr>
        <w:t>mm</w:t>
      </w:r>
      <w:r w:rsidRPr="00B75CF6">
        <w:rPr>
          <w:rFonts w:eastAsia="Times New Roman" w:cs="Arial"/>
          <w:color w:val="000000"/>
          <w:szCs w:val="20"/>
          <w:vertAlign w:val="superscript"/>
          <w:lang w:val="ru-RU"/>
        </w:rPr>
        <w:t>3</w:t>
      </w:r>
      <w:r w:rsidRPr="00B75CF6">
        <w:rPr>
          <w:rFonts w:eastAsia="Times New Roman" w:cs="Arial"/>
          <w:color w:val="000000"/>
          <w:szCs w:val="20"/>
          <w:lang w:val="ru-RU"/>
        </w:rPr>
        <w:t xml:space="preserve"> (3,0</w:t>
      </w:r>
      <w:r w:rsidRPr="00B75CF6">
        <w:rPr>
          <w:rFonts w:eastAsia="Times New Roman" w:cs="Arial"/>
          <w:color w:val="000000"/>
          <w:szCs w:val="20"/>
          <w:lang w:val="en-US"/>
        </w:rPr>
        <w:t>x</w:t>
      </w:r>
      <w:r w:rsidRPr="00B75CF6">
        <w:rPr>
          <w:rFonts w:eastAsia="Times New Roman" w:cs="Arial"/>
          <w:color w:val="000000"/>
          <w:szCs w:val="20"/>
          <w:lang w:val="ru-RU"/>
        </w:rPr>
        <w:t>1</w:t>
      </w:r>
      <w:r w:rsidRPr="00B75CF6">
        <w:rPr>
          <w:rFonts w:eastAsia="Times New Roman" w:cs="Arial"/>
          <w:color w:val="000000"/>
          <w:szCs w:val="20"/>
          <w:lang w:eastAsia="bg-BG"/>
        </w:rPr>
        <w:t>0</w:t>
      </w:r>
      <w:r w:rsidRPr="00B75CF6">
        <w:rPr>
          <w:rFonts w:eastAsia="Times New Roman" w:cs="Arial"/>
          <w:color w:val="000000"/>
          <w:szCs w:val="20"/>
          <w:vertAlign w:val="superscript"/>
          <w:lang w:eastAsia="bg-BG"/>
        </w:rPr>
        <w:t>9</w:t>
      </w:r>
      <w:r w:rsidRPr="00B75CF6">
        <w:rPr>
          <w:rFonts w:eastAsia="Times New Roman" w:cs="Arial"/>
          <w:color w:val="000000"/>
          <w:szCs w:val="20"/>
          <w:lang w:eastAsia="bg-BG"/>
        </w:rPr>
        <w:t xml:space="preserve">/1) или АБН е под 1 </w:t>
      </w:r>
      <w:r w:rsidRPr="00B75CF6">
        <w:rPr>
          <w:rFonts w:eastAsia="Times New Roman" w:cs="Arial"/>
          <w:color w:val="000000"/>
          <w:szCs w:val="20"/>
          <w:lang w:val="ru-RU"/>
        </w:rPr>
        <w:t>500/</w:t>
      </w:r>
      <w:r w:rsidRPr="00B75CF6">
        <w:rPr>
          <w:rFonts w:eastAsia="Times New Roman" w:cs="Arial"/>
          <w:color w:val="000000"/>
          <w:szCs w:val="20"/>
          <w:lang w:val="en-US"/>
        </w:rPr>
        <w:t>mm</w:t>
      </w:r>
      <w:r w:rsidRPr="00B75CF6">
        <w:rPr>
          <w:rFonts w:eastAsia="Times New Roman" w:cs="Arial"/>
          <w:color w:val="000000"/>
          <w:szCs w:val="20"/>
          <w:vertAlign w:val="superscript"/>
          <w:lang w:val="ru-RU"/>
        </w:rPr>
        <w:t>3</w:t>
      </w:r>
      <w:r w:rsidRPr="00B75CF6">
        <w:rPr>
          <w:rFonts w:eastAsia="Times New Roman" w:cs="Arial"/>
          <w:color w:val="000000"/>
          <w:szCs w:val="20"/>
          <w:lang w:val="ru-RU"/>
        </w:rPr>
        <w:t xml:space="preserve"> </w:t>
      </w:r>
      <w:r w:rsidRPr="00B75CF6">
        <w:rPr>
          <w:rFonts w:eastAsia="Times New Roman" w:cs="Arial"/>
          <w:color w:val="000000"/>
          <w:szCs w:val="20"/>
          <w:lang w:eastAsia="bg-BG"/>
        </w:rPr>
        <w:t>(1</w:t>
      </w:r>
      <w:r w:rsidRPr="00B75CF6">
        <w:rPr>
          <w:rFonts w:eastAsia="Times New Roman" w:cs="Arial"/>
          <w:color w:val="000000"/>
          <w:szCs w:val="20"/>
          <w:lang w:val="ru-RU"/>
        </w:rPr>
        <w:t>,5</w:t>
      </w:r>
      <w:r w:rsidRPr="00B75CF6">
        <w:rPr>
          <w:rFonts w:eastAsia="Times New Roman" w:cs="Arial"/>
          <w:color w:val="000000"/>
          <w:szCs w:val="20"/>
          <w:lang w:val="en-US"/>
        </w:rPr>
        <w:t>x</w:t>
      </w:r>
      <w:r w:rsidRPr="00B75CF6">
        <w:rPr>
          <w:rFonts w:eastAsia="Times New Roman" w:cs="Arial"/>
          <w:color w:val="000000"/>
          <w:szCs w:val="20"/>
          <w:lang w:val="ru-RU"/>
        </w:rPr>
        <w:t>1</w:t>
      </w:r>
      <w:r w:rsidRPr="00B75CF6">
        <w:rPr>
          <w:rFonts w:eastAsia="Times New Roman" w:cs="Arial"/>
          <w:color w:val="000000"/>
          <w:szCs w:val="20"/>
          <w:lang w:eastAsia="bg-BG"/>
        </w:rPr>
        <w:t>0</w:t>
      </w:r>
      <w:r w:rsidRPr="00B75CF6">
        <w:rPr>
          <w:rFonts w:eastAsia="Times New Roman" w:cs="Arial"/>
          <w:color w:val="000000"/>
          <w:szCs w:val="20"/>
          <w:vertAlign w:val="superscript"/>
          <w:lang w:eastAsia="bg-BG"/>
        </w:rPr>
        <w:t>9</w:t>
      </w:r>
      <w:r w:rsidRPr="00B75CF6">
        <w:rPr>
          <w:rFonts w:eastAsia="Times New Roman" w:cs="Arial"/>
          <w:color w:val="000000"/>
          <w:szCs w:val="20"/>
          <w:lang w:eastAsia="bg-BG"/>
        </w:rPr>
        <w:t>/1) по време на лечението с Лепонекс. Броят левкоцити и диференциалната кръвна картина след това трябва да се определят ежедневно и пациентите трябва внимателно да се следят за появата на грипоподобни симптоми или на други симптоми, предполагащи инфекция. Препоръчва се потвърждаване на стойностите на хематологичните показатели чрез две изследвания на броя на кръвните клетки в два последователни дни. Въпреки това Лепонекс трябва да се спре след първото изследване на броя кръвни клетки.</w:t>
      </w:r>
    </w:p>
    <w:p w14:paraId="0AA8803B" w14:textId="77777777" w:rsidR="00B75CF6" w:rsidRPr="00B75CF6" w:rsidRDefault="00B75CF6" w:rsidP="00B75CF6">
      <w:pPr>
        <w:spacing w:line="240" w:lineRule="auto"/>
        <w:rPr>
          <w:rFonts w:eastAsia="Times New Roman" w:cs="Arial"/>
          <w:color w:val="000000"/>
          <w:szCs w:val="20"/>
          <w:lang w:eastAsia="bg-BG"/>
        </w:rPr>
      </w:pPr>
    </w:p>
    <w:p w14:paraId="6F840C82" w14:textId="43FAE178"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lang w:eastAsia="bg-BG"/>
        </w:rPr>
        <w:t>След спиране на лечението с Лепонекс се налага хематологична оценка до настъпване на възстановяване на хематологичните показатели.</w:t>
      </w:r>
    </w:p>
    <w:p w14:paraId="27F02CFE" w14:textId="77777777" w:rsidR="00B75CF6" w:rsidRPr="00B75CF6" w:rsidRDefault="00B75CF6" w:rsidP="00B75CF6">
      <w:pPr>
        <w:spacing w:line="240" w:lineRule="auto"/>
        <w:rPr>
          <w:rFonts w:eastAsia="Times New Roman" w:cs="Arial"/>
          <w:b/>
          <w:bCs/>
          <w:color w:val="000000"/>
          <w:szCs w:val="20"/>
          <w:lang w:eastAsia="bg-BG"/>
        </w:rPr>
      </w:pPr>
    </w:p>
    <w:p w14:paraId="37E0BA22" w14:textId="43517B33" w:rsidR="00B75CF6" w:rsidRPr="00B75CF6" w:rsidRDefault="00B75CF6" w:rsidP="00B75CF6">
      <w:pPr>
        <w:spacing w:line="240" w:lineRule="auto"/>
        <w:rPr>
          <w:rFonts w:eastAsia="Times New Roman" w:cs="Arial"/>
          <w:sz w:val="28"/>
          <w:szCs w:val="24"/>
        </w:rPr>
      </w:pPr>
      <w:r w:rsidRPr="00B75CF6">
        <w:rPr>
          <w:rFonts w:eastAsia="Times New Roman" w:cs="Arial"/>
          <w:b/>
          <w:bCs/>
          <w:color w:val="000000"/>
          <w:szCs w:val="20"/>
          <w:lang w:eastAsia="bg-BG"/>
        </w:rPr>
        <w:t>Таблица 1</w:t>
      </w:r>
    </w:p>
    <w:tbl>
      <w:tblPr>
        <w:tblStyle w:val="TableGrid"/>
        <w:tblW w:w="0" w:type="auto"/>
        <w:tblLook w:val="04A0" w:firstRow="1" w:lastRow="0" w:firstColumn="1" w:lastColumn="0" w:noHBand="0" w:noVBand="1"/>
      </w:tblPr>
      <w:tblGrid>
        <w:gridCol w:w="3123"/>
        <w:gridCol w:w="2250"/>
        <w:gridCol w:w="3977"/>
      </w:tblGrid>
      <w:tr w:rsidR="001C266B" w14:paraId="70ADA354" w14:textId="77777777" w:rsidTr="001C266B">
        <w:tc>
          <w:tcPr>
            <w:tcW w:w="5495" w:type="dxa"/>
            <w:gridSpan w:val="2"/>
          </w:tcPr>
          <w:p w14:paraId="03245C08" w14:textId="36473C45" w:rsidR="001C266B" w:rsidRDefault="001C266B" w:rsidP="001C266B">
            <w:r w:rsidRPr="00B75CF6">
              <w:rPr>
                <w:lang w:eastAsia="bg-BG"/>
              </w:rPr>
              <w:t>Брой кръвни клетки</w:t>
            </w:r>
          </w:p>
        </w:tc>
        <w:tc>
          <w:tcPr>
            <w:tcW w:w="4081" w:type="dxa"/>
            <w:vMerge w:val="restart"/>
          </w:tcPr>
          <w:p w14:paraId="24EB4473" w14:textId="2D1F8150" w:rsidR="001C266B" w:rsidRPr="00B75CF6" w:rsidRDefault="001C266B" w:rsidP="00B75CF6">
            <w:r w:rsidRPr="00B75CF6">
              <w:rPr>
                <w:szCs w:val="20"/>
              </w:rPr>
              <w:t>Необходими действия</w:t>
            </w:r>
          </w:p>
        </w:tc>
      </w:tr>
      <w:tr w:rsidR="00B75CF6" w14:paraId="73179729" w14:textId="77777777" w:rsidTr="00B75CF6">
        <w:tc>
          <w:tcPr>
            <w:tcW w:w="3192" w:type="dxa"/>
          </w:tcPr>
          <w:p w14:paraId="505FBD28" w14:textId="72116DCC" w:rsidR="00B75CF6" w:rsidRPr="00B75CF6" w:rsidRDefault="00B75CF6" w:rsidP="00B75CF6">
            <w:r w:rsidRPr="00B75CF6">
              <w:rPr>
                <w:szCs w:val="20"/>
              </w:rPr>
              <w:lastRenderedPageBreak/>
              <w:t>Левкоцити</w:t>
            </w:r>
            <w:r w:rsidRPr="00B75CF6">
              <w:rPr>
                <w:szCs w:val="20"/>
                <w:lang w:val="en-US"/>
              </w:rPr>
              <w:t>/mm</w:t>
            </w:r>
            <w:r w:rsidRPr="00B75CF6">
              <w:rPr>
                <w:szCs w:val="20"/>
                <w:vertAlign w:val="superscript"/>
                <w:lang w:val="en-US"/>
              </w:rPr>
              <w:t>3</w:t>
            </w:r>
            <w:r w:rsidRPr="00B75CF6">
              <w:rPr>
                <w:szCs w:val="20"/>
                <w:lang w:val="en-US"/>
              </w:rPr>
              <w:t xml:space="preserve"> </w:t>
            </w:r>
            <w:r w:rsidRPr="00B75CF6">
              <w:rPr>
                <w:szCs w:val="20"/>
              </w:rPr>
              <w:t>(/</w:t>
            </w:r>
            <w:r w:rsidRPr="00B75CF6">
              <w:rPr>
                <w:szCs w:val="20"/>
                <w:lang w:val="en-US"/>
              </w:rPr>
              <w:t>l</w:t>
            </w:r>
            <w:r w:rsidRPr="00B75CF6">
              <w:rPr>
                <w:szCs w:val="20"/>
              </w:rPr>
              <w:t>)</w:t>
            </w:r>
          </w:p>
        </w:tc>
        <w:tc>
          <w:tcPr>
            <w:tcW w:w="2303" w:type="dxa"/>
          </w:tcPr>
          <w:p w14:paraId="03E89A40" w14:textId="21AE240C" w:rsidR="00B75CF6" w:rsidRPr="00B75CF6" w:rsidRDefault="00B75CF6" w:rsidP="00B75CF6">
            <w:r w:rsidRPr="00B75CF6">
              <w:rPr>
                <w:szCs w:val="20"/>
              </w:rPr>
              <w:t>АБН</w:t>
            </w:r>
            <w:r w:rsidRPr="00B75CF6">
              <w:rPr>
                <w:szCs w:val="20"/>
                <w:lang w:val="en-US"/>
              </w:rPr>
              <w:t>/mm</w:t>
            </w:r>
            <w:r w:rsidRPr="00B75CF6">
              <w:rPr>
                <w:szCs w:val="20"/>
                <w:vertAlign w:val="superscript"/>
                <w:lang w:val="en-US"/>
              </w:rPr>
              <w:t>3</w:t>
            </w:r>
            <w:r w:rsidRPr="00B75CF6">
              <w:rPr>
                <w:szCs w:val="20"/>
                <w:lang w:val="en-US"/>
              </w:rPr>
              <w:t xml:space="preserve"> </w:t>
            </w:r>
            <w:r w:rsidRPr="00B75CF6">
              <w:rPr>
                <w:szCs w:val="20"/>
              </w:rPr>
              <w:t>(/</w:t>
            </w:r>
            <w:r w:rsidRPr="00B75CF6">
              <w:rPr>
                <w:szCs w:val="20"/>
                <w:lang w:val="en-US"/>
              </w:rPr>
              <w:t>l</w:t>
            </w:r>
            <w:r w:rsidRPr="00B75CF6">
              <w:rPr>
                <w:szCs w:val="20"/>
              </w:rPr>
              <w:t>)</w:t>
            </w:r>
          </w:p>
        </w:tc>
        <w:tc>
          <w:tcPr>
            <w:tcW w:w="4081" w:type="dxa"/>
            <w:vMerge/>
          </w:tcPr>
          <w:p w14:paraId="0D724040" w14:textId="77777777" w:rsidR="00B75CF6" w:rsidRPr="00B75CF6" w:rsidRDefault="00B75CF6" w:rsidP="00B75CF6"/>
        </w:tc>
      </w:tr>
      <w:tr w:rsidR="00B75CF6" w14:paraId="7FEBEDAB" w14:textId="77777777" w:rsidTr="00B75CF6">
        <w:tc>
          <w:tcPr>
            <w:tcW w:w="3192" w:type="dxa"/>
          </w:tcPr>
          <w:p w14:paraId="6B0EFDC6" w14:textId="30A99A6E" w:rsidR="00B75CF6" w:rsidRPr="00B75CF6" w:rsidRDefault="00B75CF6" w:rsidP="00B75CF6">
            <w:r w:rsidRPr="00B75CF6">
              <w:rPr>
                <w:szCs w:val="20"/>
              </w:rPr>
              <w:t>≥ 3 500 (≥ 3,5х10</w:t>
            </w:r>
            <w:r w:rsidRPr="00B75CF6">
              <w:rPr>
                <w:szCs w:val="20"/>
                <w:vertAlign w:val="superscript"/>
              </w:rPr>
              <w:t>9</w:t>
            </w:r>
            <w:r w:rsidRPr="00B75CF6">
              <w:rPr>
                <w:szCs w:val="20"/>
              </w:rPr>
              <w:t>)</w:t>
            </w:r>
          </w:p>
        </w:tc>
        <w:tc>
          <w:tcPr>
            <w:tcW w:w="2303" w:type="dxa"/>
          </w:tcPr>
          <w:p w14:paraId="392A74C4" w14:textId="75963F08" w:rsidR="00B75CF6" w:rsidRPr="00B75CF6" w:rsidRDefault="00B75CF6" w:rsidP="00B75CF6">
            <w:r w:rsidRPr="00B75CF6">
              <w:rPr>
                <w:szCs w:val="20"/>
              </w:rPr>
              <w:t xml:space="preserve">≥2 000 (≥ </w:t>
            </w:r>
            <w:r w:rsidRPr="00B75CF6">
              <w:rPr>
                <w:szCs w:val="20"/>
                <w:lang w:val="en-US"/>
              </w:rPr>
              <w:t>2,0x1</w:t>
            </w:r>
            <w:r w:rsidRPr="00B75CF6">
              <w:rPr>
                <w:szCs w:val="20"/>
              </w:rPr>
              <w:t>0</w:t>
            </w:r>
            <w:r w:rsidRPr="00B75CF6">
              <w:rPr>
                <w:szCs w:val="20"/>
                <w:vertAlign w:val="superscript"/>
              </w:rPr>
              <w:t>9</w:t>
            </w:r>
            <w:r w:rsidRPr="00B75CF6">
              <w:rPr>
                <w:szCs w:val="20"/>
              </w:rPr>
              <w:t>)</w:t>
            </w:r>
          </w:p>
        </w:tc>
        <w:tc>
          <w:tcPr>
            <w:tcW w:w="4081" w:type="dxa"/>
          </w:tcPr>
          <w:p w14:paraId="2CCE42F8" w14:textId="2CB0B40E" w:rsidR="00B75CF6" w:rsidRPr="00B75CF6" w:rsidRDefault="00B75CF6" w:rsidP="00B75CF6">
            <w:r w:rsidRPr="00B75CF6">
              <w:rPr>
                <w:szCs w:val="20"/>
              </w:rPr>
              <w:t>Да се продължи лечението с Лепонекс</w:t>
            </w:r>
          </w:p>
        </w:tc>
      </w:tr>
      <w:tr w:rsidR="00B75CF6" w14:paraId="7079A2A3" w14:textId="77777777" w:rsidTr="00B75CF6">
        <w:tc>
          <w:tcPr>
            <w:tcW w:w="3192" w:type="dxa"/>
          </w:tcPr>
          <w:p w14:paraId="1909C790" w14:textId="1FFD0447" w:rsidR="00B75CF6" w:rsidRPr="00B75CF6" w:rsidRDefault="00B75CF6" w:rsidP="00B75CF6">
            <w:r w:rsidRPr="00B75CF6">
              <w:rPr>
                <w:szCs w:val="20"/>
              </w:rPr>
              <w:t>Между ≥ 3 000 и &lt;3 500 (≥3,0х10</w:t>
            </w:r>
            <w:r w:rsidRPr="00B75CF6">
              <w:rPr>
                <w:szCs w:val="20"/>
                <w:vertAlign w:val="superscript"/>
              </w:rPr>
              <w:t xml:space="preserve">9 </w:t>
            </w:r>
            <w:r w:rsidRPr="00B75CF6">
              <w:rPr>
                <w:szCs w:val="20"/>
              </w:rPr>
              <w:t xml:space="preserve">и </w:t>
            </w:r>
            <w:r w:rsidRPr="00B75CF6">
              <w:rPr>
                <w:smallCaps/>
                <w:szCs w:val="20"/>
              </w:rPr>
              <w:t xml:space="preserve">&lt; </w:t>
            </w:r>
            <w:r w:rsidRPr="00B75CF6">
              <w:rPr>
                <w:smallCaps/>
                <w:szCs w:val="20"/>
                <w:lang w:val="en-US"/>
              </w:rPr>
              <w:t>3,5x10</w:t>
            </w:r>
            <w:r w:rsidRPr="00B75CF6">
              <w:rPr>
                <w:smallCaps/>
                <w:szCs w:val="20"/>
                <w:vertAlign w:val="superscript"/>
                <w:lang w:val="en-US"/>
              </w:rPr>
              <w:t>9</w:t>
            </w:r>
            <w:r w:rsidRPr="00B75CF6">
              <w:rPr>
                <w:smallCaps/>
                <w:szCs w:val="20"/>
                <w:lang w:val="en-US"/>
              </w:rPr>
              <w:t>)</w:t>
            </w:r>
          </w:p>
        </w:tc>
        <w:tc>
          <w:tcPr>
            <w:tcW w:w="2303" w:type="dxa"/>
          </w:tcPr>
          <w:p w14:paraId="27399E54" w14:textId="4899E0B3" w:rsidR="00B75CF6" w:rsidRPr="00B75CF6" w:rsidRDefault="00B75CF6" w:rsidP="00B75CF6">
            <w:r w:rsidRPr="00B75CF6">
              <w:rPr>
                <w:szCs w:val="20"/>
              </w:rPr>
              <w:t>Между ≥ 1 500 и &lt; 2 000 (≥ 1,5х10</w:t>
            </w:r>
            <w:r w:rsidRPr="00B75CF6">
              <w:rPr>
                <w:szCs w:val="20"/>
                <w:vertAlign w:val="superscript"/>
              </w:rPr>
              <w:t xml:space="preserve">9 </w:t>
            </w:r>
            <w:r w:rsidRPr="00B75CF6">
              <w:rPr>
                <w:szCs w:val="20"/>
                <w:lang w:val="en-US"/>
              </w:rPr>
              <w:t>I</w:t>
            </w:r>
            <w:r w:rsidRPr="00B75CF6">
              <w:rPr>
                <w:szCs w:val="20"/>
              </w:rPr>
              <w:t xml:space="preserve"> &lt; 2,0х10</w:t>
            </w:r>
            <w:r w:rsidRPr="00B75CF6">
              <w:rPr>
                <w:szCs w:val="20"/>
                <w:vertAlign w:val="superscript"/>
              </w:rPr>
              <w:t>9</w:t>
            </w:r>
            <w:r w:rsidRPr="00B75CF6">
              <w:rPr>
                <w:szCs w:val="20"/>
              </w:rPr>
              <w:t>)</w:t>
            </w:r>
          </w:p>
        </w:tc>
        <w:tc>
          <w:tcPr>
            <w:tcW w:w="4081" w:type="dxa"/>
          </w:tcPr>
          <w:p w14:paraId="687BCD23" w14:textId="11F83656" w:rsidR="00B75CF6" w:rsidRPr="00B75CF6" w:rsidRDefault="00B75CF6" w:rsidP="00B75CF6">
            <w:r w:rsidRPr="00B75CF6">
              <w:rPr>
                <w:szCs w:val="20"/>
              </w:rPr>
              <w:t>Да се продължи лечението с Лепонекс, да се вземат кръвни проби два пъти седмично до стабилизиране на броя на кръвните клетки или повишаването му</w:t>
            </w:r>
          </w:p>
        </w:tc>
      </w:tr>
      <w:tr w:rsidR="00B75CF6" w14:paraId="69B0E9B0" w14:textId="77777777" w:rsidTr="00B75CF6">
        <w:tc>
          <w:tcPr>
            <w:tcW w:w="3192" w:type="dxa"/>
          </w:tcPr>
          <w:p w14:paraId="056128C7" w14:textId="524E02C0" w:rsidR="00B75CF6" w:rsidRPr="00B75CF6" w:rsidRDefault="00B75CF6" w:rsidP="00B75CF6">
            <w:r w:rsidRPr="00B75CF6">
              <w:rPr>
                <w:szCs w:val="20"/>
              </w:rPr>
              <w:t xml:space="preserve">&lt;3 000 </w:t>
            </w:r>
            <w:r w:rsidRPr="00B75CF6">
              <w:rPr>
                <w:szCs w:val="20"/>
                <w:lang w:val="en-US"/>
              </w:rPr>
              <w:t xml:space="preserve">(&lt;3,0xl </w:t>
            </w:r>
            <w:r w:rsidRPr="00B75CF6">
              <w:rPr>
                <w:szCs w:val="20"/>
              </w:rPr>
              <w:t>0</w:t>
            </w:r>
            <w:r w:rsidRPr="00B75CF6">
              <w:rPr>
                <w:szCs w:val="20"/>
                <w:vertAlign w:val="superscript"/>
              </w:rPr>
              <w:t>9</w:t>
            </w:r>
            <w:r w:rsidRPr="00B75CF6">
              <w:rPr>
                <w:szCs w:val="20"/>
              </w:rPr>
              <w:t>)</w:t>
            </w:r>
          </w:p>
        </w:tc>
        <w:tc>
          <w:tcPr>
            <w:tcW w:w="2303" w:type="dxa"/>
          </w:tcPr>
          <w:p w14:paraId="7B65FA95" w14:textId="15CC63C8" w:rsidR="00B75CF6" w:rsidRPr="00B75CF6" w:rsidRDefault="00B75CF6" w:rsidP="00B75CF6">
            <w:r w:rsidRPr="00B75CF6">
              <w:rPr>
                <w:szCs w:val="20"/>
              </w:rPr>
              <w:t>&lt;1 500 (&lt;1,5х10</w:t>
            </w:r>
            <w:r w:rsidRPr="00B75CF6">
              <w:rPr>
                <w:szCs w:val="20"/>
                <w:vertAlign w:val="superscript"/>
              </w:rPr>
              <w:t>9</w:t>
            </w:r>
            <w:r w:rsidRPr="00B75CF6">
              <w:rPr>
                <w:szCs w:val="20"/>
              </w:rPr>
              <w:t>)</w:t>
            </w:r>
          </w:p>
        </w:tc>
        <w:tc>
          <w:tcPr>
            <w:tcW w:w="4081" w:type="dxa"/>
          </w:tcPr>
          <w:p w14:paraId="124B3159" w14:textId="7A492C06" w:rsidR="00B75CF6" w:rsidRPr="00B75CF6" w:rsidRDefault="00B75CF6" w:rsidP="00B75CF6">
            <w:r w:rsidRPr="00B75CF6">
              <w:rPr>
                <w:szCs w:val="20"/>
              </w:rPr>
              <w:t>Незабавно да се прекрати лечението с Лепонекс, да се вземат кръвни проби ежедневно до изчезване на хематологичното нарушение, да се следи за инфекции. Да не се дава повторно лекарството на пациента.</w:t>
            </w:r>
          </w:p>
        </w:tc>
      </w:tr>
    </w:tbl>
    <w:p w14:paraId="52F5BF89" w14:textId="65DFFA48" w:rsidR="00B75CF6" w:rsidRDefault="00B75CF6" w:rsidP="00B75CF6"/>
    <w:p w14:paraId="50489C9C" w14:textId="77777777" w:rsidR="001C266B" w:rsidRPr="001C266B" w:rsidRDefault="001C266B" w:rsidP="001C266B">
      <w:pPr>
        <w:spacing w:line="240" w:lineRule="auto"/>
        <w:rPr>
          <w:rFonts w:eastAsia="Times New Roman" w:cs="Arial"/>
        </w:rPr>
      </w:pPr>
      <w:r w:rsidRPr="001C266B">
        <w:rPr>
          <w:rFonts w:eastAsia="Times New Roman" w:cs="Arial"/>
          <w:b/>
          <w:bCs/>
          <w:color w:val="000000"/>
          <w:lang w:eastAsia="bg-BG"/>
        </w:rPr>
        <w:t xml:space="preserve">Ако Лепонекс е бил спрян и се появи или ново намаление на броя левкоцити под 2 </w:t>
      </w:r>
      <w:r w:rsidRPr="001C266B">
        <w:rPr>
          <w:rFonts w:eastAsia="Times New Roman" w:cs="Arial"/>
          <w:b/>
          <w:bCs/>
          <w:color w:val="000000"/>
          <w:lang w:val="ru-RU"/>
        </w:rPr>
        <w:t>000/</w:t>
      </w:r>
      <w:r w:rsidRPr="001C266B">
        <w:rPr>
          <w:rFonts w:eastAsia="Times New Roman" w:cs="Arial"/>
          <w:b/>
          <w:bCs/>
          <w:color w:val="000000"/>
          <w:lang w:val="en-US"/>
        </w:rPr>
        <w:t>mm</w:t>
      </w:r>
      <w:r w:rsidRPr="001C266B">
        <w:rPr>
          <w:rFonts w:eastAsia="Times New Roman" w:cs="Arial"/>
          <w:b/>
          <w:bCs/>
          <w:color w:val="000000"/>
          <w:vertAlign w:val="superscript"/>
          <w:lang w:val="ru-RU"/>
        </w:rPr>
        <w:t xml:space="preserve">3 </w:t>
      </w:r>
      <w:r w:rsidRPr="001C266B">
        <w:rPr>
          <w:rFonts w:eastAsia="Times New Roman" w:cs="Arial"/>
          <w:b/>
          <w:bCs/>
          <w:color w:val="000000"/>
          <w:lang w:val="ru-RU"/>
        </w:rPr>
        <w:t>(2,0</w:t>
      </w:r>
      <w:r w:rsidRPr="001C266B">
        <w:rPr>
          <w:rFonts w:eastAsia="Times New Roman" w:cs="Arial"/>
          <w:b/>
          <w:bCs/>
          <w:color w:val="000000"/>
          <w:lang w:val="en-US"/>
        </w:rPr>
        <w:t>x</w:t>
      </w:r>
      <w:r w:rsidRPr="001C266B">
        <w:rPr>
          <w:rFonts w:eastAsia="Times New Roman" w:cs="Arial"/>
          <w:b/>
          <w:bCs/>
          <w:color w:val="000000"/>
          <w:lang w:val="ru-RU"/>
        </w:rPr>
        <w:t>1</w:t>
      </w:r>
      <w:r w:rsidRPr="001C266B">
        <w:rPr>
          <w:rFonts w:eastAsia="Times New Roman" w:cs="Arial"/>
          <w:b/>
          <w:bCs/>
          <w:color w:val="000000"/>
          <w:lang w:eastAsia="bg-BG"/>
        </w:rPr>
        <w:t>0</w:t>
      </w:r>
      <w:r w:rsidRPr="001C266B">
        <w:rPr>
          <w:rFonts w:eastAsia="Times New Roman" w:cs="Arial"/>
          <w:b/>
          <w:bCs/>
          <w:color w:val="000000"/>
          <w:vertAlign w:val="superscript"/>
          <w:lang w:eastAsia="bg-BG"/>
        </w:rPr>
        <w:t>9</w:t>
      </w:r>
      <w:r w:rsidRPr="001C266B">
        <w:rPr>
          <w:rFonts w:eastAsia="Times New Roman" w:cs="Arial"/>
          <w:b/>
          <w:bCs/>
          <w:color w:val="000000"/>
          <w:lang w:eastAsia="bg-BG"/>
        </w:rPr>
        <w:t xml:space="preserve">/1) или АБН спадне под 1 </w:t>
      </w:r>
      <w:r w:rsidRPr="001C266B">
        <w:rPr>
          <w:rFonts w:eastAsia="Times New Roman" w:cs="Arial"/>
          <w:b/>
          <w:bCs/>
          <w:color w:val="000000"/>
          <w:lang w:val="ru-RU"/>
        </w:rPr>
        <w:t>000/</w:t>
      </w:r>
      <w:r w:rsidRPr="001C266B">
        <w:rPr>
          <w:rFonts w:eastAsia="Times New Roman" w:cs="Arial"/>
          <w:b/>
          <w:bCs/>
          <w:color w:val="000000"/>
          <w:lang w:val="en-US"/>
        </w:rPr>
        <w:t>mm</w:t>
      </w:r>
      <w:r w:rsidRPr="001C266B">
        <w:rPr>
          <w:rFonts w:eastAsia="Times New Roman" w:cs="Arial"/>
          <w:b/>
          <w:bCs/>
          <w:color w:val="000000"/>
          <w:vertAlign w:val="superscript"/>
          <w:lang w:val="ru-RU"/>
        </w:rPr>
        <w:t>3</w:t>
      </w:r>
      <w:r w:rsidRPr="001C266B">
        <w:rPr>
          <w:rFonts w:eastAsia="Times New Roman" w:cs="Arial"/>
          <w:b/>
          <w:bCs/>
          <w:color w:val="000000"/>
          <w:lang w:val="ru-RU"/>
        </w:rPr>
        <w:t xml:space="preserve"> </w:t>
      </w:r>
      <w:r w:rsidRPr="001C266B">
        <w:rPr>
          <w:rFonts w:eastAsia="Times New Roman" w:cs="Arial"/>
          <w:b/>
          <w:bCs/>
          <w:color w:val="000000"/>
          <w:lang w:eastAsia="bg-BG"/>
        </w:rPr>
        <w:t>(1,0х10</w:t>
      </w:r>
      <w:r w:rsidRPr="001C266B">
        <w:rPr>
          <w:rFonts w:eastAsia="Times New Roman" w:cs="Arial"/>
          <w:b/>
          <w:bCs/>
          <w:color w:val="000000"/>
          <w:vertAlign w:val="superscript"/>
          <w:lang w:eastAsia="bg-BG"/>
        </w:rPr>
        <w:t>9</w:t>
      </w:r>
      <w:r w:rsidRPr="001C266B">
        <w:rPr>
          <w:rFonts w:eastAsia="Times New Roman" w:cs="Arial"/>
          <w:b/>
          <w:bCs/>
          <w:color w:val="000000"/>
          <w:lang w:eastAsia="bg-BG"/>
        </w:rPr>
        <w:t>/1), поведението при това състояние трябва да се ръководи от опитен хематолог.</w:t>
      </w:r>
    </w:p>
    <w:p w14:paraId="6A20939F" w14:textId="77777777" w:rsidR="001C266B" w:rsidRPr="001C266B" w:rsidRDefault="001C266B" w:rsidP="001C266B">
      <w:pPr>
        <w:spacing w:line="240" w:lineRule="auto"/>
        <w:rPr>
          <w:rFonts w:eastAsia="Times New Roman" w:cs="Arial"/>
          <w:color w:val="000000"/>
          <w:u w:val="single"/>
          <w:lang w:eastAsia="bg-BG"/>
        </w:rPr>
      </w:pPr>
    </w:p>
    <w:p w14:paraId="0CACF26E" w14:textId="39BEDC92"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Спиране на лечението поради хематологични причини</w:t>
      </w:r>
    </w:p>
    <w:p w14:paraId="61DD0CB2"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Пациентите, при които лечението с Лепонекс е било спряно в резултат на понижен брой левкоцити или АБН (вижте по-горе), не трябва да получават отново Лепонекс.</w:t>
      </w:r>
    </w:p>
    <w:p w14:paraId="76DA62A1" w14:textId="77777777" w:rsidR="001C266B" w:rsidRPr="001C266B" w:rsidRDefault="001C266B" w:rsidP="001C266B">
      <w:pPr>
        <w:spacing w:line="240" w:lineRule="auto"/>
        <w:rPr>
          <w:rFonts w:eastAsia="Times New Roman" w:cs="Arial"/>
          <w:color w:val="000000"/>
          <w:lang w:eastAsia="bg-BG"/>
        </w:rPr>
      </w:pPr>
    </w:p>
    <w:p w14:paraId="783D0557" w14:textId="7ECC18A5" w:rsidR="001C266B" w:rsidRPr="001C266B" w:rsidRDefault="001C266B" w:rsidP="001C266B">
      <w:pPr>
        <w:spacing w:line="240" w:lineRule="auto"/>
        <w:rPr>
          <w:rFonts w:eastAsia="Times New Roman" w:cs="Arial"/>
        </w:rPr>
      </w:pPr>
      <w:r w:rsidRPr="001C266B">
        <w:rPr>
          <w:rFonts w:eastAsia="Times New Roman" w:cs="Arial"/>
          <w:color w:val="000000"/>
          <w:lang w:eastAsia="bg-BG"/>
        </w:rPr>
        <w:t>Препоръчително е лекарите, предписващи лекарството, да съхраняват списък с резултатите от всички кръвни проби на пациентите и да предприемат всички необходими стъпки, за да предпазят тези пациенти от случайно получаване на лекарството в бъдеще.</w:t>
      </w:r>
    </w:p>
    <w:p w14:paraId="2548DDA2" w14:textId="77777777" w:rsidR="001C266B" w:rsidRPr="001C266B" w:rsidRDefault="001C266B" w:rsidP="001C266B">
      <w:pPr>
        <w:spacing w:line="240" w:lineRule="auto"/>
        <w:rPr>
          <w:rFonts w:eastAsia="Times New Roman" w:cs="Arial"/>
          <w:color w:val="000000"/>
          <w:u w:val="single"/>
          <w:lang w:eastAsia="bg-BG"/>
        </w:rPr>
      </w:pPr>
    </w:p>
    <w:p w14:paraId="5802E466" w14:textId="3306C1E3"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Спиране на лечението поради други причини</w:t>
      </w:r>
    </w:p>
    <w:p w14:paraId="0200F865"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Броят левкоцити и АБН на пациентите, които са получавали Лепонекс в продължение на повече от 18 седмици и лечението им е било прекъснато за повече от 3 дни, но за по-малко от 4 седмици, трябва да бъде контролиран ежеседмично за още 6 седмици. Ако не се развие хематологично нарушение, трябва да се възстанови мониторирането на интервали не по-дълги от 4 седмици. Ако лечението с Лепонекс е било спряно за 4 или повече седмици, се налага ежеседмично мониториране за следващите 18 седмици от лечението и дозата трябва да се титрира отново (вж. точка 4.2).</w:t>
      </w:r>
    </w:p>
    <w:p w14:paraId="6DF0A669" w14:textId="77777777" w:rsidR="001C266B" w:rsidRPr="001C266B" w:rsidRDefault="001C266B" w:rsidP="001C266B">
      <w:pPr>
        <w:spacing w:line="240" w:lineRule="auto"/>
        <w:rPr>
          <w:rFonts w:eastAsia="Times New Roman" w:cs="Arial"/>
          <w:color w:val="000000"/>
          <w:u w:val="single"/>
          <w:lang w:eastAsia="bg-BG"/>
        </w:rPr>
      </w:pPr>
    </w:p>
    <w:p w14:paraId="7A45FE46" w14:textId="776B6438"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Други специални предпазни мерки</w:t>
      </w:r>
    </w:p>
    <w:p w14:paraId="0DFB9534" w14:textId="77777777" w:rsidR="001C266B" w:rsidRPr="001C266B" w:rsidRDefault="001C266B" w:rsidP="001C266B">
      <w:pPr>
        <w:spacing w:line="240" w:lineRule="auto"/>
        <w:rPr>
          <w:rFonts w:eastAsia="Times New Roman" w:cs="Arial"/>
          <w:color w:val="000000"/>
          <w:lang w:eastAsia="bg-BG"/>
        </w:rPr>
      </w:pPr>
    </w:p>
    <w:p w14:paraId="6A38BD7D" w14:textId="442D03E7" w:rsidR="001C266B" w:rsidRPr="001C266B" w:rsidRDefault="001C266B" w:rsidP="001C266B">
      <w:pPr>
        <w:spacing w:line="240" w:lineRule="auto"/>
        <w:rPr>
          <w:rFonts w:eastAsia="Times New Roman" w:cs="Arial"/>
        </w:rPr>
      </w:pPr>
      <w:r w:rsidRPr="001C266B">
        <w:rPr>
          <w:rFonts w:eastAsia="Times New Roman" w:cs="Arial"/>
          <w:color w:val="000000"/>
          <w:lang w:eastAsia="bg-BG"/>
        </w:rPr>
        <w:t>Това лекарство съдържа лактоза монохидрат.</w:t>
      </w:r>
    </w:p>
    <w:p w14:paraId="1DCA5122"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 xml:space="preserve">Пациентите с редки наследствени заболявания като непоносимост към галактоза, лактазен дефицит на </w:t>
      </w:r>
      <w:r w:rsidRPr="001C266B">
        <w:rPr>
          <w:rFonts w:eastAsia="Times New Roman" w:cs="Arial"/>
          <w:color w:val="000000"/>
          <w:lang w:val="en-US"/>
        </w:rPr>
        <w:t>Lapp</w:t>
      </w:r>
      <w:r w:rsidRPr="001C266B">
        <w:rPr>
          <w:rFonts w:eastAsia="Times New Roman" w:cs="Arial"/>
          <w:color w:val="000000"/>
          <w:lang w:val="ru-RU"/>
        </w:rPr>
        <w:t xml:space="preserve"> </w:t>
      </w:r>
      <w:r w:rsidRPr="001C266B">
        <w:rPr>
          <w:rFonts w:eastAsia="Times New Roman" w:cs="Arial"/>
          <w:color w:val="000000"/>
          <w:lang w:eastAsia="bg-BG"/>
        </w:rPr>
        <w:t>или малабсорбция на глюкоза-галактоза не трябва да приемат това лекарство.</w:t>
      </w:r>
    </w:p>
    <w:p w14:paraId="61226FCA" w14:textId="77777777" w:rsidR="001C266B" w:rsidRPr="001C266B" w:rsidRDefault="001C266B" w:rsidP="001C266B">
      <w:pPr>
        <w:spacing w:line="240" w:lineRule="auto"/>
        <w:rPr>
          <w:rFonts w:eastAsia="Times New Roman" w:cs="Arial"/>
          <w:color w:val="000000"/>
          <w:u w:val="single"/>
          <w:lang w:eastAsia="bg-BG"/>
        </w:rPr>
      </w:pPr>
    </w:p>
    <w:p w14:paraId="75974E54" w14:textId="0797AF08"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Еозинофилия</w:t>
      </w:r>
    </w:p>
    <w:p w14:paraId="48A4E992"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 xml:space="preserve">В случай на </w:t>
      </w:r>
      <w:r w:rsidRPr="001C266B">
        <w:rPr>
          <w:rFonts w:eastAsia="Times New Roman" w:cs="Arial"/>
          <w:b/>
          <w:bCs/>
          <w:color w:val="000000"/>
          <w:lang w:eastAsia="bg-BG"/>
        </w:rPr>
        <w:t xml:space="preserve">еозинофилия </w:t>
      </w:r>
      <w:r w:rsidRPr="001C266B">
        <w:rPr>
          <w:rFonts w:eastAsia="Times New Roman" w:cs="Arial"/>
          <w:color w:val="000000"/>
          <w:lang w:eastAsia="bg-BG"/>
        </w:rPr>
        <w:t xml:space="preserve">се препоръчва спиране на лечението с Лепонекс, ако броят на еозинофилите се повиши над 3 </w:t>
      </w:r>
      <w:r w:rsidRPr="001C266B">
        <w:rPr>
          <w:rFonts w:eastAsia="Times New Roman" w:cs="Arial"/>
          <w:color w:val="000000"/>
          <w:lang w:val="ru-RU"/>
        </w:rPr>
        <w:t>000/</w:t>
      </w:r>
      <w:r w:rsidRPr="001C266B">
        <w:rPr>
          <w:rFonts w:eastAsia="Times New Roman" w:cs="Arial"/>
          <w:color w:val="000000"/>
          <w:lang w:val="en-US"/>
        </w:rPr>
        <w:t>mm</w:t>
      </w:r>
      <w:r w:rsidRPr="001C266B">
        <w:rPr>
          <w:rFonts w:eastAsia="Times New Roman" w:cs="Arial"/>
          <w:color w:val="000000"/>
          <w:vertAlign w:val="superscript"/>
          <w:lang w:val="ru-RU"/>
        </w:rPr>
        <w:t>3</w:t>
      </w:r>
      <w:r w:rsidRPr="001C266B">
        <w:rPr>
          <w:rFonts w:eastAsia="Times New Roman" w:cs="Arial"/>
          <w:color w:val="000000"/>
          <w:lang w:val="ru-RU"/>
        </w:rPr>
        <w:t xml:space="preserve"> (3,0</w:t>
      </w:r>
      <w:r w:rsidRPr="001C266B">
        <w:rPr>
          <w:rFonts w:eastAsia="Times New Roman" w:cs="Arial"/>
          <w:color w:val="000000"/>
          <w:lang w:val="en-US"/>
        </w:rPr>
        <w:t>x</w:t>
      </w:r>
      <w:r w:rsidRPr="001C266B">
        <w:rPr>
          <w:rFonts w:eastAsia="Times New Roman" w:cs="Arial"/>
          <w:color w:val="000000"/>
          <w:lang w:val="ru-RU"/>
        </w:rPr>
        <w:t>1</w:t>
      </w:r>
      <w:r w:rsidRPr="001C266B">
        <w:rPr>
          <w:rFonts w:eastAsia="Times New Roman" w:cs="Arial"/>
          <w:color w:val="000000"/>
          <w:lang w:eastAsia="bg-BG"/>
        </w:rPr>
        <w:t>0</w:t>
      </w:r>
      <w:r w:rsidRPr="001C266B">
        <w:rPr>
          <w:rFonts w:eastAsia="Times New Roman" w:cs="Arial"/>
          <w:color w:val="000000"/>
          <w:vertAlign w:val="superscript"/>
          <w:lang w:eastAsia="bg-BG"/>
        </w:rPr>
        <w:t>9</w:t>
      </w:r>
      <w:r w:rsidRPr="001C266B">
        <w:rPr>
          <w:rFonts w:eastAsia="Times New Roman" w:cs="Arial"/>
          <w:color w:val="000000"/>
          <w:lang w:eastAsia="bg-BG"/>
        </w:rPr>
        <w:t xml:space="preserve">/1). Терапията трябва да се възобнови единствено след като броят на еозинофилите спадне под 1 </w:t>
      </w:r>
      <w:r w:rsidRPr="001C266B">
        <w:rPr>
          <w:rFonts w:eastAsia="Times New Roman" w:cs="Arial"/>
          <w:color w:val="000000"/>
          <w:lang w:val="ru-RU"/>
        </w:rPr>
        <w:t>000/</w:t>
      </w:r>
      <w:r w:rsidRPr="001C266B">
        <w:rPr>
          <w:rFonts w:eastAsia="Times New Roman" w:cs="Arial"/>
          <w:color w:val="000000"/>
          <w:lang w:val="en-US"/>
        </w:rPr>
        <w:t>mm</w:t>
      </w:r>
      <w:r w:rsidRPr="001C266B">
        <w:rPr>
          <w:rFonts w:eastAsia="Times New Roman" w:cs="Arial"/>
          <w:color w:val="000000"/>
          <w:vertAlign w:val="superscript"/>
          <w:lang w:val="ru-RU"/>
        </w:rPr>
        <w:t>3</w:t>
      </w:r>
      <w:r w:rsidRPr="001C266B">
        <w:rPr>
          <w:rFonts w:eastAsia="Times New Roman" w:cs="Arial"/>
          <w:color w:val="000000"/>
          <w:lang w:val="ru-RU"/>
        </w:rPr>
        <w:t xml:space="preserve"> </w:t>
      </w:r>
      <w:r w:rsidRPr="001C266B">
        <w:rPr>
          <w:rFonts w:eastAsia="Times New Roman" w:cs="Arial"/>
          <w:color w:val="000000"/>
          <w:lang w:eastAsia="bg-BG"/>
        </w:rPr>
        <w:t>(1</w:t>
      </w:r>
      <w:r w:rsidRPr="001C266B">
        <w:rPr>
          <w:rFonts w:eastAsia="Times New Roman" w:cs="Arial"/>
          <w:color w:val="000000"/>
          <w:lang w:val="ru-RU"/>
        </w:rPr>
        <w:t>,0</w:t>
      </w:r>
      <w:r w:rsidRPr="001C266B">
        <w:rPr>
          <w:rFonts w:eastAsia="Times New Roman" w:cs="Arial"/>
          <w:color w:val="000000"/>
          <w:lang w:val="en-US"/>
        </w:rPr>
        <w:t>x</w:t>
      </w:r>
      <w:r w:rsidRPr="001C266B">
        <w:rPr>
          <w:rFonts w:eastAsia="Times New Roman" w:cs="Arial"/>
          <w:color w:val="000000"/>
          <w:lang w:val="ru-RU"/>
        </w:rPr>
        <w:t>1</w:t>
      </w:r>
      <w:r w:rsidRPr="001C266B">
        <w:rPr>
          <w:rFonts w:eastAsia="Times New Roman" w:cs="Arial"/>
          <w:color w:val="000000"/>
          <w:lang w:eastAsia="bg-BG"/>
        </w:rPr>
        <w:t>0</w:t>
      </w:r>
      <w:r w:rsidRPr="001C266B">
        <w:rPr>
          <w:rFonts w:eastAsia="Times New Roman" w:cs="Arial"/>
          <w:color w:val="000000"/>
          <w:vertAlign w:val="superscript"/>
          <w:lang w:eastAsia="bg-BG"/>
        </w:rPr>
        <w:t>9</w:t>
      </w:r>
      <w:r w:rsidRPr="001C266B">
        <w:rPr>
          <w:rFonts w:eastAsia="Times New Roman" w:cs="Arial"/>
          <w:color w:val="000000"/>
          <w:lang w:eastAsia="bg-BG"/>
        </w:rPr>
        <w:t>/1).</w:t>
      </w:r>
    </w:p>
    <w:p w14:paraId="646C42D0" w14:textId="77777777" w:rsidR="001C266B" w:rsidRPr="001C266B" w:rsidRDefault="001C266B" w:rsidP="001C266B">
      <w:pPr>
        <w:spacing w:line="240" w:lineRule="auto"/>
        <w:rPr>
          <w:rFonts w:eastAsia="Times New Roman" w:cs="Arial"/>
          <w:color w:val="000000"/>
          <w:u w:val="single"/>
          <w:lang w:eastAsia="bg-BG"/>
        </w:rPr>
      </w:pPr>
    </w:p>
    <w:p w14:paraId="79A16605" w14:textId="012786D5"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lastRenderedPageBreak/>
        <w:t>Тромбоцитопения</w:t>
      </w:r>
    </w:p>
    <w:p w14:paraId="0C9F2A93"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 xml:space="preserve">В случай на </w:t>
      </w:r>
      <w:r w:rsidRPr="001C266B">
        <w:rPr>
          <w:rFonts w:eastAsia="Times New Roman" w:cs="Arial"/>
          <w:b/>
          <w:bCs/>
          <w:color w:val="000000"/>
          <w:lang w:eastAsia="bg-BG"/>
        </w:rPr>
        <w:t xml:space="preserve">тромбоцитопения </w:t>
      </w:r>
      <w:r w:rsidRPr="001C266B">
        <w:rPr>
          <w:rFonts w:eastAsia="Times New Roman" w:cs="Arial"/>
          <w:color w:val="000000"/>
          <w:lang w:eastAsia="bg-BG"/>
        </w:rPr>
        <w:t xml:space="preserve">се препоръчва спиране на лечението с Лепонекс, ако броят на тромбоцитите спадне под 50 </w:t>
      </w:r>
      <w:r w:rsidRPr="001C266B">
        <w:rPr>
          <w:rFonts w:eastAsia="Times New Roman" w:cs="Arial"/>
          <w:color w:val="000000"/>
          <w:lang w:val="ru-RU"/>
        </w:rPr>
        <w:t>000/</w:t>
      </w:r>
      <w:r w:rsidRPr="001C266B">
        <w:rPr>
          <w:rFonts w:eastAsia="Times New Roman" w:cs="Arial"/>
          <w:color w:val="000000"/>
          <w:lang w:val="en-US"/>
        </w:rPr>
        <w:t>mm</w:t>
      </w:r>
      <w:r w:rsidRPr="001C266B">
        <w:rPr>
          <w:rFonts w:eastAsia="Times New Roman" w:cs="Arial"/>
          <w:color w:val="000000"/>
          <w:vertAlign w:val="superscript"/>
          <w:lang w:val="ru-RU"/>
        </w:rPr>
        <w:t>3</w:t>
      </w:r>
      <w:r w:rsidRPr="001C266B">
        <w:rPr>
          <w:rFonts w:eastAsia="Times New Roman" w:cs="Arial"/>
          <w:color w:val="000000"/>
          <w:lang w:val="ru-RU"/>
        </w:rPr>
        <w:t xml:space="preserve"> (50</w:t>
      </w:r>
      <w:r w:rsidRPr="001C266B">
        <w:rPr>
          <w:rFonts w:eastAsia="Times New Roman" w:cs="Arial"/>
          <w:color w:val="000000"/>
          <w:lang w:val="en-US"/>
        </w:rPr>
        <w:t>x</w:t>
      </w:r>
      <w:r w:rsidRPr="001C266B">
        <w:rPr>
          <w:rFonts w:eastAsia="Times New Roman" w:cs="Arial"/>
          <w:color w:val="000000"/>
          <w:lang w:val="ru-RU"/>
        </w:rPr>
        <w:t>1</w:t>
      </w:r>
      <w:r w:rsidRPr="001C266B">
        <w:rPr>
          <w:rFonts w:eastAsia="Times New Roman" w:cs="Arial"/>
          <w:color w:val="000000"/>
          <w:lang w:eastAsia="bg-BG"/>
        </w:rPr>
        <w:t>0</w:t>
      </w:r>
      <w:r w:rsidRPr="001C266B">
        <w:rPr>
          <w:rFonts w:eastAsia="Times New Roman" w:cs="Arial"/>
          <w:color w:val="000000"/>
          <w:vertAlign w:val="superscript"/>
          <w:lang w:eastAsia="bg-BG"/>
        </w:rPr>
        <w:t>9</w:t>
      </w:r>
      <w:r w:rsidRPr="001C266B">
        <w:rPr>
          <w:rFonts w:eastAsia="Times New Roman" w:cs="Arial"/>
          <w:color w:val="000000"/>
          <w:lang w:eastAsia="bg-BG"/>
        </w:rPr>
        <w:t>/1).</w:t>
      </w:r>
    </w:p>
    <w:p w14:paraId="3CE47159" w14:textId="77777777" w:rsidR="001C266B" w:rsidRPr="001C266B" w:rsidRDefault="001C266B" w:rsidP="001C266B">
      <w:pPr>
        <w:spacing w:line="240" w:lineRule="auto"/>
        <w:rPr>
          <w:rFonts w:eastAsia="Times New Roman" w:cs="Arial"/>
          <w:color w:val="000000"/>
          <w:u w:val="single"/>
          <w:lang w:eastAsia="bg-BG"/>
        </w:rPr>
      </w:pPr>
    </w:p>
    <w:p w14:paraId="51311322" w14:textId="496B8545"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Сърдечно-съдови нарушения</w:t>
      </w:r>
    </w:p>
    <w:p w14:paraId="62B7CF00"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 xml:space="preserve">По време на лечението с Лепонекс може да възникне </w:t>
      </w:r>
      <w:r w:rsidRPr="001C266B">
        <w:rPr>
          <w:rFonts w:eastAsia="Times New Roman" w:cs="Arial"/>
          <w:b/>
          <w:bCs/>
          <w:color w:val="000000"/>
          <w:lang w:eastAsia="bg-BG"/>
        </w:rPr>
        <w:t xml:space="preserve">ортостатична хипотония, </w:t>
      </w:r>
      <w:r w:rsidRPr="001C266B">
        <w:rPr>
          <w:rFonts w:eastAsia="Times New Roman" w:cs="Arial"/>
          <w:color w:val="000000"/>
          <w:lang w:eastAsia="bg-BG"/>
        </w:rPr>
        <w:t>със или без синкоп. В редки случаи колапсът може да е тежък и може да се съпровожда от спиране на сърдечната дейност и/или дишането. Такива реакции е по-вероятно да възникнат при едновременно приложение на бензодиазепини или което и да е друго психотропно лекарство (вж. точка 4.5) и по време на първоначалното титриране във връзка с бързо увеличаване на дозата; в много редки случаи те могат да възникнат след първата доза. Затова пациентите, които започват лечение с Лепонекс, изискват внимателно медицинско проследяване. Необходимо е мониториране на артериалното налягане в изправено или легнало положение през първите няколко седмици от лечението при пациенти с болест на Паркинсон.</w:t>
      </w:r>
    </w:p>
    <w:p w14:paraId="1A756A32" w14:textId="77777777" w:rsidR="001C266B" w:rsidRPr="001C266B" w:rsidRDefault="001C266B" w:rsidP="001C266B">
      <w:pPr>
        <w:spacing w:line="240" w:lineRule="auto"/>
        <w:rPr>
          <w:rFonts w:eastAsia="Times New Roman" w:cs="Arial"/>
          <w:color w:val="000000"/>
          <w:lang w:eastAsia="bg-BG"/>
        </w:rPr>
      </w:pPr>
    </w:p>
    <w:p w14:paraId="408D1010" w14:textId="22DD2F89" w:rsidR="001C266B" w:rsidRPr="001C266B" w:rsidRDefault="001C266B" w:rsidP="001C266B">
      <w:pPr>
        <w:spacing w:line="240" w:lineRule="auto"/>
        <w:rPr>
          <w:rFonts w:eastAsia="Times New Roman" w:cs="Arial"/>
        </w:rPr>
      </w:pPr>
      <w:r w:rsidRPr="001C266B">
        <w:rPr>
          <w:rFonts w:eastAsia="Times New Roman" w:cs="Arial"/>
          <w:color w:val="000000"/>
          <w:lang w:eastAsia="bg-BG"/>
        </w:rPr>
        <w:t xml:space="preserve">Анализ на базата данни за безопасност предполага, че употребата на Лепонекс е свързана с повишен риск от </w:t>
      </w:r>
      <w:r w:rsidRPr="001C266B">
        <w:rPr>
          <w:rFonts w:eastAsia="Times New Roman" w:cs="Arial"/>
          <w:b/>
          <w:bCs/>
          <w:color w:val="000000"/>
          <w:lang w:eastAsia="bg-BG"/>
        </w:rPr>
        <w:t xml:space="preserve">миокардит, </w:t>
      </w:r>
      <w:r w:rsidRPr="001C266B">
        <w:rPr>
          <w:rFonts w:eastAsia="Times New Roman" w:cs="Arial"/>
          <w:color w:val="000000"/>
          <w:lang w:eastAsia="bg-BG"/>
        </w:rPr>
        <w:t xml:space="preserve">предимно през, но </w:t>
      </w:r>
      <w:r w:rsidRPr="001C266B">
        <w:rPr>
          <w:rFonts w:eastAsia="Times New Roman" w:cs="Arial"/>
          <w:b/>
          <w:bCs/>
          <w:color w:val="000000"/>
          <w:lang w:eastAsia="bg-BG"/>
        </w:rPr>
        <w:t xml:space="preserve">не </w:t>
      </w:r>
      <w:r w:rsidRPr="001C266B">
        <w:rPr>
          <w:rFonts w:eastAsia="Times New Roman" w:cs="Arial"/>
          <w:color w:val="000000"/>
          <w:lang w:eastAsia="bg-BG"/>
        </w:rPr>
        <w:t xml:space="preserve">ограничено до първите два месеца от началото на лечението. Някои от случаите на миокардит са били фатални. Съобщават се също случаи на </w:t>
      </w:r>
      <w:r w:rsidRPr="001C266B">
        <w:rPr>
          <w:rFonts w:eastAsia="Times New Roman" w:cs="Arial"/>
          <w:b/>
          <w:bCs/>
          <w:color w:val="000000"/>
          <w:lang w:eastAsia="bg-BG"/>
        </w:rPr>
        <w:t xml:space="preserve">перикардит/перикарден излив </w:t>
      </w:r>
      <w:r w:rsidRPr="001C266B">
        <w:rPr>
          <w:rFonts w:eastAsia="Times New Roman" w:cs="Arial"/>
          <w:color w:val="000000"/>
          <w:lang w:eastAsia="bg-BG"/>
        </w:rPr>
        <w:t xml:space="preserve">или </w:t>
      </w:r>
      <w:r w:rsidRPr="001C266B">
        <w:rPr>
          <w:rFonts w:eastAsia="Times New Roman" w:cs="Arial"/>
          <w:b/>
          <w:bCs/>
          <w:color w:val="000000"/>
          <w:lang w:eastAsia="bg-BG"/>
        </w:rPr>
        <w:t xml:space="preserve">кардиомиопатия </w:t>
      </w:r>
      <w:r w:rsidRPr="001C266B">
        <w:rPr>
          <w:rFonts w:eastAsia="Times New Roman" w:cs="Arial"/>
          <w:color w:val="000000"/>
          <w:lang w:eastAsia="bg-BG"/>
        </w:rPr>
        <w:t>във връзка с употребата на Лепонекс; тези съобщения включват също и случаи с фатален изход. Миокардит или кардиомиопатия трябва да се подозират при пациентите, които получават персистираща тахикардия в покой, особено през първите два месеца от лечението и/или палпитации, аритмии, гръдна болка и други признаци и симптоми на сърдечна недостатъчност (напр. необяснима умора, диспнея, тахипнея) или симптоми, които наподобяват миокарден инфаркт. Други възможни симптоми, освен горепосочените, които могат да се проявят включват грипоподобните симптоми. Ако се подозират миокардит или кардиомиопатия, лечението с Лепонекс трябва бързо да се спре и пациентът незабавно да се насочи към кардиолог.</w:t>
      </w:r>
    </w:p>
    <w:p w14:paraId="7F4CC88D" w14:textId="77777777" w:rsidR="001C266B" w:rsidRPr="001C266B" w:rsidRDefault="001C266B" w:rsidP="001C266B">
      <w:pPr>
        <w:spacing w:line="240" w:lineRule="auto"/>
        <w:rPr>
          <w:rFonts w:eastAsia="Times New Roman" w:cs="Arial"/>
          <w:color w:val="000000"/>
          <w:lang w:eastAsia="bg-BG"/>
        </w:rPr>
      </w:pPr>
    </w:p>
    <w:p w14:paraId="7EAE0036" w14:textId="2577C852" w:rsidR="001C266B" w:rsidRPr="001C266B" w:rsidRDefault="001C266B" w:rsidP="001C266B">
      <w:pPr>
        <w:spacing w:line="240" w:lineRule="auto"/>
        <w:rPr>
          <w:rFonts w:eastAsia="Times New Roman" w:cs="Arial"/>
        </w:rPr>
      </w:pPr>
      <w:r w:rsidRPr="001C266B">
        <w:rPr>
          <w:rFonts w:eastAsia="Times New Roman" w:cs="Arial"/>
          <w:color w:val="000000"/>
          <w:lang w:eastAsia="bg-BG"/>
        </w:rPr>
        <w:t xml:space="preserve">При пациенти, при които е диагностицирана кардиомиопатия по време на лечението с Лепонекс, има вероятност да се развие инсуфициенция на митралната клапа. Митрална клапна инсуфициенция е докладвана в случаи на кардиомиопатия, свързани с лечението с Лепонекс. Тези случаи на митрална клапна инсуфициенция са отчетени като лека или умерена митрална регургитация при провеждане на двумерна ехокардиография </w:t>
      </w:r>
      <w:r w:rsidRPr="001C266B">
        <w:rPr>
          <w:rFonts w:eastAsia="Times New Roman" w:cs="Arial"/>
          <w:color w:val="000000"/>
          <w:lang w:val="ru-RU"/>
        </w:rPr>
        <w:t>(2</w:t>
      </w:r>
      <w:proofErr w:type="spellStart"/>
      <w:r w:rsidRPr="001C266B">
        <w:rPr>
          <w:rFonts w:eastAsia="Times New Roman" w:cs="Arial"/>
          <w:color w:val="000000"/>
          <w:lang w:val="en-US"/>
        </w:rPr>
        <w:t>DEcho</w:t>
      </w:r>
      <w:proofErr w:type="spellEnd"/>
      <w:r w:rsidRPr="001C266B">
        <w:rPr>
          <w:rFonts w:eastAsia="Times New Roman" w:cs="Arial"/>
          <w:color w:val="000000"/>
          <w:lang w:val="ru-RU"/>
        </w:rPr>
        <w:t xml:space="preserve">) </w:t>
      </w:r>
      <w:r w:rsidRPr="001C266B">
        <w:rPr>
          <w:rFonts w:eastAsia="Times New Roman" w:cs="Arial"/>
          <w:color w:val="000000"/>
          <w:lang w:eastAsia="bg-BG"/>
        </w:rPr>
        <w:t>(вж. точка 4.8).</w:t>
      </w:r>
    </w:p>
    <w:p w14:paraId="644E55D7" w14:textId="77777777" w:rsidR="001C266B" w:rsidRPr="001C266B" w:rsidRDefault="001C266B" w:rsidP="001C266B">
      <w:pPr>
        <w:spacing w:line="240" w:lineRule="auto"/>
        <w:rPr>
          <w:rFonts w:eastAsia="Times New Roman" w:cs="Arial"/>
          <w:color w:val="000000"/>
          <w:lang w:eastAsia="bg-BG"/>
        </w:rPr>
      </w:pPr>
    </w:p>
    <w:p w14:paraId="744B25FA" w14:textId="3FB6D676" w:rsidR="001C266B" w:rsidRPr="001C266B" w:rsidRDefault="001C266B" w:rsidP="001C266B">
      <w:pPr>
        <w:spacing w:line="240" w:lineRule="auto"/>
        <w:rPr>
          <w:rFonts w:eastAsia="Times New Roman" w:cs="Arial"/>
        </w:rPr>
      </w:pPr>
      <w:r w:rsidRPr="001C266B">
        <w:rPr>
          <w:rFonts w:eastAsia="Times New Roman" w:cs="Arial"/>
          <w:color w:val="000000"/>
          <w:lang w:eastAsia="bg-BG"/>
        </w:rPr>
        <w:t>Пациентите с индуцирани от клозапин миокардит или кардиомиопатия не трябва да получават повторно Лепонекс.</w:t>
      </w:r>
    </w:p>
    <w:p w14:paraId="2F183FE7" w14:textId="77777777" w:rsidR="001C266B" w:rsidRPr="001C266B" w:rsidRDefault="001C266B" w:rsidP="001C266B">
      <w:pPr>
        <w:spacing w:line="240" w:lineRule="auto"/>
        <w:rPr>
          <w:rFonts w:eastAsia="Times New Roman" w:cs="Arial"/>
          <w:color w:val="000000"/>
          <w:u w:val="single"/>
          <w:lang w:eastAsia="bg-BG"/>
        </w:rPr>
      </w:pPr>
    </w:p>
    <w:p w14:paraId="01FCEC86" w14:textId="2C40054E"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Инфаркт на миокарда</w:t>
      </w:r>
    </w:p>
    <w:p w14:paraId="5F0A782A"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 xml:space="preserve">Има докладвани постмаркетингови съобщения за </w:t>
      </w:r>
      <w:r w:rsidRPr="001C266B">
        <w:rPr>
          <w:rFonts w:eastAsia="Times New Roman" w:cs="Arial"/>
          <w:b/>
          <w:bCs/>
          <w:color w:val="000000"/>
          <w:lang w:eastAsia="bg-BG"/>
        </w:rPr>
        <w:t xml:space="preserve">инфаркт на миокарда, </w:t>
      </w:r>
      <w:r w:rsidRPr="001C266B">
        <w:rPr>
          <w:rFonts w:eastAsia="Times New Roman" w:cs="Arial"/>
          <w:color w:val="000000"/>
          <w:lang w:eastAsia="bg-BG"/>
        </w:rPr>
        <w:t>включително фатални случаи. Поради предшестващо сериозно сърдечно заболяване и вероятни алтернативни причини, в по-голямата част от тези случаи оценката на причинно-следствената връзка е била трудна.</w:t>
      </w:r>
    </w:p>
    <w:p w14:paraId="66B8CC01" w14:textId="77777777" w:rsidR="001C266B" w:rsidRPr="001C266B" w:rsidRDefault="001C266B" w:rsidP="001C266B">
      <w:pPr>
        <w:spacing w:line="240" w:lineRule="auto"/>
        <w:rPr>
          <w:rFonts w:eastAsia="Times New Roman" w:cs="Arial"/>
          <w:color w:val="000000"/>
          <w:u w:val="single"/>
          <w:lang w:eastAsia="bg-BG"/>
        </w:rPr>
      </w:pPr>
    </w:p>
    <w:p w14:paraId="2FB0D8E6" w14:textId="50584E18"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Удължаване на ОТ интервала</w:t>
      </w:r>
    </w:p>
    <w:p w14:paraId="2E7DC0C7"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 xml:space="preserve">Както и при други антипсихотици, препоръчва се повишено внимание при пациенти с известно сърдечно-съдово заболяване или с фамилна анамнеза за </w:t>
      </w:r>
      <w:r w:rsidRPr="001C266B">
        <w:rPr>
          <w:rFonts w:eastAsia="Times New Roman" w:cs="Arial"/>
          <w:b/>
          <w:bCs/>
          <w:color w:val="000000"/>
          <w:lang w:eastAsia="bg-BG"/>
        </w:rPr>
        <w:t xml:space="preserve">удължаване на </w:t>
      </w:r>
      <w:r w:rsidRPr="001C266B">
        <w:rPr>
          <w:rFonts w:eastAsia="Times New Roman" w:cs="Arial"/>
          <w:b/>
          <w:bCs/>
          <w:color w:val="000000"/>
          <w:lang w:val="en-US"/>
        </w:rPr>
        <w:t>QT</w:t>
      </w:r>
      <w:r w:rsidRPr="001C266B">
        <w:rPr>
          <w:rFonts w:eastAsia="Times New Roman" w:cs="Arial"/>
          <w:b/>
          <w:bCs/>
          <w:color w:val="000000"/>
          <w:lang w:val="ru-RU"/>
        </w:rPr>
        <w:t xml:space="preserve"> </w:t>
      </w:r>
      <w:r w:rsidRPr="001C266B">
        <w:rPr>
          <w:rFonts w:eastAsia="Times New Roman" w:cs="Arial"/>
          <w:b/>
          <w:bCs/>
          <w:color w:val="000000"/>
          <w:lang w:eastAsia="bg-BG"/>
        </w:rPr>
        <w:t>интервала.</w:t>
      </w:r>
    </w:p>
    <w:p w14:paraId="27539F20" w14:textId="77777777" w:rsidR="001C266B" w:rsidRPr="001C266B" w:rsidRDefault="001C266B" w:rsidP="001C266B">
      <w:pPr>
        <w:spacing w:line="240" w:lineRule="auto"/>
        <w:rPr>
          <w:rFonts w:eastAsia="Times New Roman" w:cs="Arial"/>
          <w:color w:val="000000"/>
          <w:lang w:eastAsia="bg-BG"/>
        </w:rPr>
      </w:pPr>
    </w:p>
    <w:p w14:paraId="2959683D" w14:textId="5A7721AC" w:rsidR="001C266B" w:rsidRPr="001C266B" w:rsidRDefault="001C266B" w:rsidP="001C266B">
      <w:pPr>
        <w:spacing w:line="240" w:lineRule="auto"/>
        <w:rPr>
          <w:rFonts w:eastAsia="Times New Roman" w:cs="Arial"/>
        </w:rPr>
      </w:pPr>
      <w:r w:rsidRPr="001C266B">
        <w:rPr>
          <w:rFonts w:eastAsia="Times New Roman" w:cs="Arial"/>
          <w:color w:val="000000"/>
          <w:lang w:eastAsia="bg-BG"/>
        </w:rPr>
        <w:lastRenderedPageBreak/>
        <w:t xml:space="preserve">Както при други антипсихотици, препоръчва се повишено внимание при едновременно приложение на Лепонекс с лекарства, за които е известно, че водят до удължаване на </w:t>
      </w:r>
      <w:proofErr w:type="spellStart"/>
      <w:r w:rsidRPr="001C266B">
        <w:rPr>
          <w:rFonts w:eastAsia="Times New Roman" w:cs="Arial"/>
          <w:color w:val="000000"/>
          <w:lang w:val="en-US"/>
        </w:rPr>
        <w:t>QTc</w:t>
      </w:r>
      <w:proofErr w:type="spellEnd"/>
      <w:r w:rsidRPr="001C266B">
        <w:rPr>
          <w:rFonts w:eastAsia="Times New Roman" w:cs="Arial"/>
          <w:color w:val="000000"/>
          <w:lang w:val="ru-RU"/>
        </w:rPr>
        <w:t xml:space="preserve"> </w:t>
      </w:r>
      <w:r w:rsidRPr="001C266B">
        <w:rPr>
          <w:rFonts w:eastAsia="Times New Roman" w:cs="Arial"/>
          <w:color w:val="000000"/>
          <w:lang w:eastAsia="bg-BG"/>
        </w:rPr>
        <w:t>интервала.</w:t>
      </w:r>
    </w:p>
    <w:p w14:paraId="4828476B" w14:textId="77777777" w:rsidR="001C266B" w:rsidRPr="001C266B" w:rsidRDefault="001C266B" w:rsidP="001C266B">
      <w:pPr>
        <w:spacing w:line="240" w:lineRule="auto"/>
        <w:rPr>
          <w:rFonts w:eastAsia="Times New Roman" w:cs="Arial"/>
          <w:color w:val="000000"/>
          <w:u w:val="single"/>
          <w:lang w:eastAsia="bg-BG"/>
        </w:rPr>
      </w:pPr>
    </w:p>
    <w:p w14:paraId="6600ACBF" w14:textId="4E0C47B8"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Мозъчно-съдови нежелани събития</w:t>
      </w:r>
    </w:p>
    <w:p w14:paraId="42F00B41"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 xml:space="preserve">В рандомизирани, плацебо контролирани клинични изпитвания е наблюдавано приблизително 3- кратно повишение на риск за </w:t>
      </w:r>
      <w:r w:rsidRPr="001C266B">
        <w:rPr>
          <w:rFonts w:eastAsia="Times New Roman" w:cs="Arial"/>
          <w:b/>
          <w:bCs/>
          <w:color w:val="000000"/>
          <w:lang w:eastAsia="bg-BG"/>
        </w:rPr>
        <w:t xml:space="preserve">мозъчно-съдови нежелани събития </w:t>
      </w:r>
      <w:r w:rsidRPr="001C266B">
        <w:rPr>
          <w:rFonts w:eastAsia="Times New Roman" w:cs="Arial"/>
          <w:color w:val="000000"/>
          <w:lang w:eastAsia="bg-BG"/>
        </w:rPr>
        <w:t>при пациенти с деменция</w:t>
      </w:r>
    </w:p>
    <w:p w14:paraId="4CC2B415" w14:textId="77777777" w:rsidR="001C266B" w:rsidRPr="001C266B" w:rsidRDefault="001C266B" w:rsidP="001C266B">
      <w:pPr>
        <w:rPr>
          <w:rFonts w:eastAsia="Times New Roman" w:cs="Arial"/>
        </w:rPr>
      </w:pPr>
      <w:r w:rsidRPr="001C266B">
        <w:rPr>
          <w:rFonts w:eastAsia="Times New Roman" w:cs="Arial"/>
          <w:color w:val="000000"/>
          <w:lang w:eastAsia="bg-BG"/>
        </w:rPr>
        <w:t>лекувани с някои атипични антипсихотици. Не е известен механизмът на този повишен риск Повишен риск не може да бъде изключен и при приложение на други антипсихотици или други групи пациенти. Лепонекс трябва да се прилага с внимание при пациенти с рискови фактори за инсулт.</w:t>
      </w:r>
    </w:p>
    <w:p w14:paraId="6E2E7A22" w14:textId="77777777" w:rsidR="001C266B" w:rsidRPr="001C266B" w:rsidRDefault="001C266B" w:rsidP="001C266B">
      <w:pPr>
        <w:spacing w:line="240" w:lineRule="auto"/>
        <w:rPr>
          <w:rFonts w:eastAsia="Times New Roman" w:cs="Arial"/>
          <w:color w:val="000000"/>
          <w:lang w:eastAsia="bg-BG"/>
        </w:rPr>
      </w:pPr>
    </w:p>
    <w:p w14:paraId="64836BB5" w14:textId="55C47E4F" w:rsidR="001C266B" w:rsidRPr="001C266B" w:rsidRDefault="001C266B" w:rsidP="001C266B">
      <w:pPr>
        <w:spacing w:line="240" w:lineRule="auto"/>
        <w:rPr>
          <w:rFonts w:eastAsia="Times New Roman" w:cs="Arial"/>
        </w:rPr>
      </w:pPr>
      <w:r w:rsidRPr="001C266B">
        <w:rPr>
          <w:rFonts w:eastAsia="Times New Roman" w:cs="Arial"/>
          <w:color w:val="000000"/>
          <w:lang w:eastAsia="bg-BG"/>
        </w:rPr>
        <w:t>Риск от тромбоемболизъм</w:t>
      </w:r>
    </w:p>
    <w:p w14:paraId="20C7F60B"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Тъй като Лепонекс може да доведе до тромбоемболизъм, трябва да се избягва обездвижването на пациентите. Докладвани са случаи на венозен тромбемболизъм (ВТЕ) при прием на антипсихотични лекарства. Тъй като пациентите, които се лекуват с антипсихотици, често имат придобити рискови фактори за ВТЕ, всички възможни рискови фактори за ВТЕ трябва да бъдат установени преди и по време на лечението с Лепонекс, като се вземат и превантивни мерки.</w:t>
      </w:r>
    </w:p>
    <w:p w14:paraId="75FD5C20" w14:textId="77777777" w:rsidR="001C266B" w:rsidRPr="001C266B" w:rsidRDefault="001C266B" w:rsidP="001C266B">
      <w:pPr>
        <w:spacing w:line="240" w:lineRule="auto"/>
        <w:rPr>
          <w:rFonts w:eastAsia="Times New Roman" w:cs="Arial"/>
          <w:color w:val="000000"/>
          <w:u w:val="single"/>
          <w:lang w:eastAsia="bg-BG"/>
        </w:rPr>
      </w:pPr>
    </w:p>
    <w:p w14:paraId="3236BE11" w14:textId="0810579A"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Гърчове</w:t>
      </w:r>
    </w:p>
    <w:p w14:paraId="7926633F"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Пациентите с анамнеза за епилепсия трябва внимателно да се проследяват по време на лечението с Лепонекс, тъй като има съобщения за дозозависими гърчове. В такива случаи дозата трябва да се понижи (вж. точка 4.2) и ако се налага, трябва да се започне антиконвулсивна терапия.</w:t>
      </w:r>
    </w:p>
    <w:p w14:paraId="66E9D101" w14:textId="77777777" w:rsidR="001C266B" w:rsidRPr="001C266B" w:rsidRDefault="001C266B" w:rsidP="001C266B">
      <w:pPr>
        <w:spacing w:line="240" w:lineRule="auto"/>
        <w:rPr>
          <w:rFonts w:eastAsia="Times New Roman" w:cs="Arial"/>
          <w:color w:val="000000"/>
          <w:u w:val="single"/>
          <w:lang w:eastAsia="bg-BG"/>
        </w:rPr>
      </w:pPr>
    </w:p>
    <w:p w14:paraId="50BA5641" w14:textId="13C425C6"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Антихолинергични ефекти</w:t>
      </w:r>
    </w:p>
    <w:p w14:paraId="178BEAE2"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 xml:space="preserve">Лепонекс оказва антихолинергично действие, което може да доведе до нежелани реакция в организма. Препоръчва се внимателното проследяване за наличие на </w:t>
      </w:r>
      <w:r w:rsidRPr="001C266B">
        <w:rPr>
          <w:rFonts w:eastAsia="Times New Roman" w:cs="Arial"/>
          <w:b/>
          <w:bCs/>
          <w:color w:val="000000"/>
          <w:lang w:eastAsia="bg-BG"/>
        </w:rPr>
        <w:t xml:space="preserve">уголемяване на простата </w:t>
      </w:r>
      <w:r w:rsidRPr="001C266B">
        <w:rPr>
          <w:rFonts w:eastAsia="Times New Roman" w:cs="Arial"/>
          <w:color w:val="000000"/>
          <w:lang w:eastAsia="bg-BG"/>
        </w:rPr>
        <w:t xml:space="preserve">и </w:t>
      </w:r>
      <w:r w:rsidRPr="001C266B">
        <w:rPr>
          <w:rFonts w:eastAsia="Times New Roman" w:cs="Arial"/>
          <w:b/>
          <w:bCs/>
          <w:color w:val="000000"/>
          <w:lang w:eastAsia="bg-BG"/>
        </w:rPr>
        <w:t xml:space="preserve">тесноъгьлна глаукома. </w:t>
      </w:r>
      <w:r w:rsidRPr="001C266B">
        <w:rPr>
          <w:rFonts w:eastAsia="Times New Roman" w:cs="Arial"/>
          <w:color w:val="000000"/>
          <w:lang w:eastAsia="bg-BG"/>
        </w:rPr>
        <w:t xml:space="preserve">Вероятно поради антихолинергичните му свойства, Лепонекс е сързан с различни по степен </w:t>
      </w:r>
      <w:r w:rsidRPr="001C266B">
        <w:rPr>
          <w:rFonts w:eastAsia="Times New Roman" w:cs="Arial"/>
          <w:b/>
          <w:bCs/>
          <w:color w:val="000000"/>
          <w:lang w:eastAsia="bg-BG"/>
        </w:rPr>
        <w:t xml:space="preserve">нарушения на тьнкочревната перисталтика, </w:t>
      </w:r>
      <w:r w:rsidRPr="001C266B">
        <w:rPr>
          <w:rFonts w:eastAsia="Times New Roman" w:cs="Arial"/>
          <w:color w:val="000000"/>
          <w:lang w:eastAsia="bg-BG"/>
        </w:rPr>
        <w:t xml:space="preserve">от </w:t>
      </w:r>
      <w:r w:rsidRPr="001C266B">
        <w:rPr>
          <w:rFonts w:eastAsia="Times New Roman" w:cs="Arial"/>
          <w:b/>
          <w:bCs/>
          <w:color w:val="000000"/>
          <w:lang w:eastAsia="bg-BG"/>
        </w:rPr>
        <w:t xml:space="preserve">констипацня </w:t>
      </w:r>
      <w:r w:rsidRPr="001C266B">
        <w:rPr>
          <w:rFonts w:eastAsia="Times New Roman" w:cs="Arial"/>
          <w:color w:val="000000"/>
          <w:lang w:eastAsia="bg-BG"/>
        </w:rPr>
        <w:t xml:space="preserve">до </w:t>
      </w:r>
      <w:r w:rsidRPr="001C266B">
        <w:rPr>
          <w:rFonts w:eastAsia="Times New Roman" w:cs="Arial"/>
          <w:b/>
          <w:bCs/>
          <w:color w:val="000000"/>
          <w:lang w:eastAsia="bg-BG"/>
        </w:rPr>
        <w:t xml:space="preserve">чревна обструкцня, заклещване на червата, паралитичен илеус, мегаколон и чревен инфаркт/исхемия </w:t>
      </w:r>
      <w:r w:rsidRPr="001C266B">
        <w:rPr>
          <w:rFonts w:eastAsia="Times New Roman" w:cs="Arial"/>
          <w:color w:val="000000"/>
          <w:lang w:eastAsia="bg-BG"/>
        </w:rPr>
        <w:t>(вж. точка 4.8). Рядко тези случаи са били фатални. Необходими са особени грижи при пациентите, които получават съпътстващи лекарства, за които е известно, че причиняват констипация (особено тези с антихолинергични свойства като някои антипсихотици, антидепресанти и антипаркинсонови лекарства), имат анамнеза за заболяване на дебелото черво или хирургични намеси в долната част на корема, тъй като при тези условия те могат да екзацербират. Жизненоважно е констипацията да бъде разпозната и активно лекувана.</w:t>
      </w:r>
    </w:p>
    <w:p w14:paraId="3A1145A8" w14:textId="77777777" w:rsidR="001C266B" w:rsidRPr="001C266B" w:rsidRDefault="001C266B" w:rsidP="001C266B">
      <w:pPr>
        <w:spacing w:line="240" w:lineRule="auto"/>
        <w:rPr>
          <w:rFonts w:eastAsia="Times New Roman" w:cs="Arial"/>
          <w:color w:val="000000"/>
          <w:u w:val="single"/>
          <w:lang w:eastAsia="bg-BG"/>
        </w:rPr>
      </w:pPr>
    </w:p>
    <w:p w14:paraId="6DBEAFD3" w14:textId="3303F66B"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Повишена температура</w:t>
      </w:r>
    </w:p>
    <w:p w14:paraId="476C15AE"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 xml:space="preserve">По време на лечението с Лепонекс, пациентите могат да получат преходни </w:t>
      </w:r>
      <w:r w:rsidRPr="001C266B">
        <w:rPr>
          <w:rFonts w:eastAsia="Times New Roman" w:cs="Arial"/>
          <w:b/>
          <w:bCs/>
          <w:color w:val="000000"/>
          <w:lang w:eastAsia="bg-BG"/>
        </w:rPr>
        <w:t xml:space="preserve">повишения на температурата </w:t>
      </w:r>
      <w:r w:rsidRPr="001C266B">
        <w:rPr>
          <w:rFonts w:eastAsia="Times New Roman" w:cs="Arial"/>
          <w:color w:val="000000"/>
          <w:lang w:eastAsia="bg-BG"/>
        </w:rPr>
        <w:t xml:space="preserve">над 38°С, с най-голяма честота през първите 3 седмици от лечението. Този фебрилитет обикновено е бенигнен. В някои случаи той може да е свързан с повишение или понижение на броя левкоцити, Пациените с фебрилитет трябва да се оценяват внимателно, за да се изключи възможността за подлежаща инфекция или развитие на агранулоцитоза. При наличие на висока температура трябва да се има предвид възможостга за развитие на </w:t>
      </w:r>
      <w:r w:rsidRPr="001C266B">
        <w:rPr>
          <w:rFonts w:eastAsia="Times New Roman" w:cs="Arial"/>
          <w:b/>
          <w:bCs/>
          <w:color w:val="000000"/>
          <w:lang w:eastAsia="bg-BG"/>
        </w:rPr>
        <w:t xml:space="preserve">малигнен невролептнчен синдром </w:t>
      </w:r>
      <w:r w:rsidRPr="001C266B">
        <w:rPr>
          <w:rFonts w:eastAsia="Times New Roman" w:cs="Arial"/>
          <w:color w:val="000000"/>
          <w:lang w:eastAsia="bg-BG"/>
        </w:rPr>
        <w:t xml:space="preserve">(МИС). Ако </w:t>
      </w:r>
      <w:r w:rsidRPr="001C266B">
        <w:rPr>
          <w:rFonts w:eastAsia="Times New Roman" w:cs="Arial"/>
          <w:color w:val="000000"/>
          <w:lang w:eastAsia="bg-BG"/>
        </w:rPr>
        <w:lastRenderedPageBreak/>
        <w:t>диагнозата за МНС бъде потвърдена, приема иа Лепонекс трябва да се преустанови незабавно и да се предприемат необходимите мерки за лечение.</w:t>
      </w:r>
    </w:p>
    <w:p w14:paraId="6E18068E" w14:textId="77777777" w:rsidR="001C266B" w:rsidRPr="001C266B" w:rsidRDefault="001C266B" w:rsidP="001C266B">
      <w:pPr>
        <w:spacing w:line="240" w:lineRule="auto"/>
        <w:rPr>
          <w:rFonts w:eastAsia="Times New Roman" w:cs="Arial"/>
          <w:color w:val="000000"/>
          <w:u w:val="single"/>
          <w:lang w:eastAsia="bg-BG"/>
        </w:rPr>
      </w:pPr>
    </w:p>
    <w:p w14:paraId="1888A0EF" w14:textId="43AA0F41"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Падания</w:t>
      </w:r>
    </w:p>
    <w:p w14:paraId="4C92B9CE"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Лепонекс може да причини пристъпи, сънливост, постурална хипотония, двигателна и сензорна нестабилност, което може да доведе до падане и вследствие на това, до фрактури или други наранявания. При пациенти страдащи от заболявания, състояния или приемащи лекарства, които биха могли да изострят тези ефекти, трябва да се направи оценка на риска от падане при започване на антипсихотично лечение и периодично при пациенти на дългосрочна антипсихотична терапия.</w:t>
      </w:r>
    </w:p>
    <w:p w14:paraId="30AAE3CA" w14:textId="77777777" w:rsidR="001C266B" w:rsidRPr="001C266B" w:rsidRDefault="001C266B" w:rsidP="001C266B">
      <w:pPr>
        <w:spacing w:line="240" w:lineRule="auto"/>
        <w:rPr>
          <w:rFonts w:eastAsia="Times New Roman" w:cs="Arial"/>
          <w:color w:val="000000"/>
          <w:u w:val="single"/>
          <w:lang w:eastAsia="bg-BG"/>
        </w:rPr>
      </w:pPr>
    </w:p>
    <w:p w14:paraId="33EEEA87" w14:textId="2AC05C8A"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Метаболитни промени</w:t>
      </w:r>
    </w:p>
    <w:p w14:paraId="6FA81CF3"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Атипичните антипсихотични лекарства, включително и Лепонекс, са свързани с метаболитни промени, които могат да повишат сърдечно-съдовия/мозъчно-съдовия риск. Тези метаболитни промени могат да включват хипергликемия, дислипидемия и увеличаване на телесното тегло. Атипичните антипсихотични лекарства могат да доведат до някои метаболитни променило всяко лекарство в този клас има свой собствен специфичен профил.</w:t>
      </w:r>
    </w:p>
    <w:p w14:paraId="1A8A97FF" w14:textId="77777777" w:rsidR="001C266B" w:rsidRPr="001C266B" w:rsidRDefault="001C266B" w:rsidP="001C266B">
      <w:pPr>
        <w:spacing w:line="240" w:lineRule="auto"/>
        <w:rPr>
          <w:rFonts w:eastAsia="Times New Roman" w:cs="Arial"/>
          <w:i/>
          <w:iCs/>
          <w:color w:val="000000"/>
          <w:lang w:eastAsia="bg-BG"/>
        </w:rPr>
      </w:pPr>
    </w:p>
    <w:p w14:paraId="1F6B834D" w14:textId="26F18511" w:rsidR="001C266B" w:rsidRPr="001C266B" w:rsidRDefault="001C266B" w:rsidP="001C266B">
      <w:pPr>
        <w:spacing w:line="240" w:lineRule="auto"/>
        <w:rPr>
          <w:rFonts w:eastAsia="Times New Roman" w:cs="Arial"/>
        </w:rPr>
      </w:pPr>
      <w:r w:rsidRPr="001C266B">
        <w:rPr>
          <w:rFonts w:eastAsia="Times New Roman" w:cs="Arial"/>
          <w:i/>
          <w:iCs/>
          <w:color w:val="000000"/>
          <w:lang w:eastAsia="bg-BG"/>
        </w:rPr>
        <w:t>Хипергликемия</w:t>
      </w:r>
    </w:p>
    <w:p w14:paraId="5B0F5B35" w14:textId="77777777" w:rsidR="001C266B" w:rsidRPr="001C266B" w:rsidRDefault="001C266B" w:rsidP="001C266B">
      <w:pPr>
        <w:rPr>
          <w:rFonts w:eastAsia="Times New Roman" w:cs="Arial"/>
        </w:rPr>
      </w:pPr>
      <w:r w:rsidRPr="001C266B">
        <w:rPr>
          <w:rFonts w:eastAsia="Times New Roman" w:cs="Arial"/>
          <w:color w:val="000000"/>
          <w:lang w:eastAsia="bg-BG"/>
        </w:rPr>
        <w:t>Влошен глюкозен толеранс и/или развитието или екзацербацията на захарен диабет се съобщават рядко по време на лечение с клозапин. Все още не е установен механизмът за тази вероятна връзка Много рядко се съобщават случаи на тежка хипергликемия с кетоацидоза или хиперосмоларна кома при пациентите без предхождаща анамнеза за хипергликемия, някои от които са били фатални. Наличните данните за проследяването показват, че спирането на клозапин най-често води до възстановяване на нарушения глюкозен толеранс, а повторното лечение с клозапин причинява появата му отново. Пациенти с поставена диагноза захарен диабет, които са започнали лечение с атипични антипсихотици, трябва да се проследяват редовно за влошаване на глюкозния контрол. На пациенти с рискови фактори за захарен диабет (напр. затлъстяване, фамилна анамнеза за диабет), които започват лечение с атипични антипсихотици, трябва да бъде изследвана кръвната захар на гладно в началото на лечението и периодично по време на лечението. На пациентите, които развиват симптоми на хипергликемия по време на лечение с атипични антипсихотици, трябва да бъде изследвана кръвната захар на гладно. В някои случаи, хипергликемията отшумява след спиране на лечението с атипичния антипсихотик; все пак, при някои пациенти се налага продължаване на антидиабетно лечение, въпреки спиране на съответното лекарството. При пациентите, при които активното лекарствено лечение на хипергликемията е било неуспешно, трябва да се има предвид спиране на лечението с клозапин.</w:t>
      </w:r>
    </w:p>
    <w:p w14:paraId="2002D9D8" w14:textId="77777777" w:rsidR="001C266B" w:rsidRPr="001C266B" w:rsidRDefault="001C266B" w:rsidP="001C266B">
      <w:pPr>
        <w:spacing w:line="240" w:lineRule="auto"/>
        <w:rPr>
          <w:rFonts w:eastAsia="Times New Roman" w:cs="Arial"/>
          <w:i/>
          <w:iCs/>
          <w:color w:val="000000"/>
          <w:lang w:eastAsia="bg-BG"/>
        </w:rPr>
      </w:pPr>
    </w:p>
    <w:p w14:paraId="772AD73E" w14:textId="74349346" w:rsidR="001C266B" w:rsidRPr="001C266B" w:rsidRDefault="001C266B" w:rsidP="001C266B">
      <w:pPr>
        <w:spacing w:line="240" w:lineRule="auto"/>
        <w:rPr>
          <w:rFonts w:eastAsia="Times New Roman" w:cs="Arial"/>
        </w:rPr>
      </w:pPr>
      <w:r w:rsidRPr="001C266B">
        <w:rPr>
          <w:rFonts w:eastAsia="Times New Roman" w:cs="Arial"/>
          <w:i/>
          <w:iCs/>
          <w:color w:val="000000"/>
          <w:lang w:eastAsia="bg-BG"/>
        </w:rPr>
        <w:t>Дислипидемия</w:t>
      </w:r>
    </w:p>
    <w:p w14:paraId="4190614E"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Наблюдавани са нежелани промени в липидите при пациенти, лекувани с атипични антипсихотици, включително Лепонекс. Препоръчва се клинично наблюдение, включително изходни и последващи периодични оценки на липидните показатели при пациенти, които приемат клозапин.</w:t>
      </w:r>
    </w:p>
    <w:p w14:paraId="4AC15006" w14:textId="77777777" w:rsidR="001C266B" w:rsidRPr="001C266B" w:rsidRDefault="001C266B" w:rsidP="001C266B">
      <w:pPr>
        <w:spacing w:line="240" w:lineRule="auto"/>
        <w:rPr>
          <w:rFonts w:eastAsia="Times New Roman" w:cs="Arial"/>
          <w:i/>
          <w:iCs/>
          <w:color w:val="000000"/>
          <w:lang w:eastAsia="bg-BG"/>
        </w:rPr>
      </w:pPr>
    </w:p>
    <w:p w14:paraId="5AF1C9DF" w14:textId="55B98F75" w:rsidR="001C266B" w:rsidRPr="001C266B" w:rsidRDefault="001C266B" w:rsidP="001C266B">
      <w:pPr>
        <w:spacing w:line="240" w:lineRule="auto"/>
        <w:rPr>
          <w:rFonts w:eastAsia="Times New Roman" w:cs="Arial"/>
        </w:rPr>
      </w:pPr>
      <w:r w:rsidRPr="001C266B">
        <w:rPr>
          <w:rFonts w:eastAsia="Times New Roman" w:cs="Arial"/>
          <w:i/>
          <w:iCs/>
          <w:color w:val="000000"/>
          <w:lang w:eastAsia="bg-BG"/>
        </w:rPr>
        <w:t>Увеличаване на теглото</w:t>
      </w:r>
    </w:p>
    <w:p w14:paraId="08DA565E"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Повишаване на теглото е наблюдавано при употребата на атипични антипсихотични лекарства, включително Лепонекс. Препоръчва се клинично наблюдение на теглото.</w:t>
      </w:r>
    </w:p>
    <w:p w14:paraId="522AF9AF" w14:textId="77777777" w:rsidR="001C266B" w:rsidRPr="001C266B" w:rsidRDefault="001C266B" w:rsidP="001C266B">
      <w:pPr>
        <w:spacing w:line="240" w:lineRule="auto"/>
        <w:rPr>
          <w:rFonts w:eastAsia="Times New Roman" w:cs="Arial"/>
          <w:i/>
          <w:iCs/>
          <w:color w:val="000000"/>
          <w:lang w:eastAsia="bg-BG"/>
        </w:rPr>
      </w:pPr>
    </w:p>
    <w:p w14:paraId="3B300C45" w14:textId="286BFF39" w:rsidR="001C266B" w:rsidRPr="001C266B" w:rsidRDefault="001C266B" w:rsidP="001C266B">
      <w:pPr>
        <w:spacing w:line="240" w:lineRule="auto"/>
        <w:rPr>
          <w:rFonts w:eastAsia="Times New Roman" w:cs="Arial"/>
        </w:rPr>
      </w:pPr>
      <w:r w:rsidRPr="001C266B">
        <w:rPr>
          <w:rFonts w:eastAsia="Times New Roman" w:cs="Arial"/>
          <w:i/>
          <w:iCs/>
          <w:color w:val="000000"/>
          <w:lang w:eastAsia="bg-BG"/>
        </w:rPr>
        <w:t>Рибаунд, ефекти на отнемане</w:t>
      </w:r>
    </w:p>
    <w:p w14:paraId="3D538EC7"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Съобщавани са остри реакции на отнемане след внезапно спиране на лечението с клозапин, поради което се препоръчва спирането на лечението да бъде постепенно. Ако се налага внезапно спиране (напр. поради левкопения), пациентът трябва да бъде наблюдаван внимателно за повторна поява на психотични симптоми и симптоми, които са свързани с холинергичен рибаунд, като обилно потене, главоболие, гадене, повръщане и диария.</w:t>
      </w:r>
    </w:p>
    <w:p w14:paraId="12C328BC" w14:textId="77777777" w:rsidR="001C266B" w:rsidRPr="001C266B" w:rsidRDefault="001C266B" w:rsidP="001C266B">
      <w:pPr>
        <w:spacing w:line="240" w:lineRule="auto"/>
        <w:rPr>
          <w:rFonts w:eastAsia="Times New Roman" w:cs="Arial"/>
          <w:color w:val="000000"/>
          <w:u w:val="single"/>
          <w:lang w:eastAsia="bg-BG"/>
        </w:rPr>
      </w:pPr>
    </w:p>
    <w:p w14:paraId="49994EB8" w14:textId="7527CBD2"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Специални популации</w:t>
      </w:r>
    </w:p>
    <w:p w14:paraId="31EB6816" w14:textId="77777777" w:rsidR="001C266B" w:rsidRPr="001C266B" w:rsidRDefault="001C266B" w:rsidP="001C266B">
      <w:pPr>
        <w:spacing w:line="240" w:lineRule="auto"/>
        <w:rPr>
          <w:rFonts w:eastAsia="Times New Roman" w:cs="Arial"/>
          <w:i/>
          <w:iCs/>
          <w:color w:val="000000"/>
          <w:lang w:eastAsia="bg-BG"/>
        </w:rPr>
      </w:pPr>
    </w:p>
    <w:p w14:paraId="196DCE4D" w14:textId="63FE6812" w:rsidR="001C266B" w:rsidRPr="001C266B" w:rsidRDefault="001C266B" w:rsidP="001C266B">
      <w:pPr>
        <w:spacing w:line="240" w:lineRule="auto"/>
        <w:rPr>
          <w:rFonts w:eastAsia="Times New Roman" w:cs="Arial"/>
        </w:rPr>
      </w:pPr>
      <w:r w:rsidRPr="001C266B">
        <w:rPr>
          <w:rFonts w:eastAsia="Times New Roman" w:cs="Arial"/>
          <w:i/>
          <w:iCs/>
          <w:color w:val="000000"/>
          <w:lang w:eastAsia="bg-BG"/>
        </w:rPr>
        <w:t>Чернодробно нарушение</w:t>
      </w:r>
    </w:p>
    <w:p w14:paraId="24901134"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 xml:space="preserve">Пациентите със стабилни предхождащи чернодробни нарушения могат да получават лечение с Лепонекс, но изискват редовни изследвания на чернодробната функция, Изследванията на чернодробна функция трябва да се извършват при пациентите, при които по време на лечението с Лепонекс се развиват симптоми на възможно </w:t>
      </w:r>
      <w:r w:rsidRPr="001C266B">
        <w:rPr>
          <w:rFonts w:eastAsia="Times New Roman" w:cs="Arial"/>
          <w:b/>
          <w:bCs/>
          <w:color w:val="000000"/>
          <w:lang w:eastAsia="bg-BG"/>
        </w:rPr>
        <w:t xml:space="preserve">нарушение на чернодробната функция, </w:t>
      </w:r>
      <w:r w:rsidRPr="001C266B">
        <w:rPr>
          <w:rFonts w:eastAsia="Times New Roman" w:cs="Arial"/>
          <w:color w:val="000000"/>
          <w:lang w:eastAsia="bg-BG"/>
        </w:rPr>
        <w:t>като гадене, повръщане и/или безапетитие. Ако повишението на стойностите е клинично значимо (повече от 3 пъти над горната граница на норма) или се появят симптоми на жълтеница, лечението с Лепонекс трябва да се спре. Лечението може да бъде започнато отново (вж. “Повторно започване на терапия” в точка 4.2) единствено само, ако резултатите от тестовете за черодробната функция са нормални. В такива случаи чернодробната функция трябва да бъде проследявана внимателно след повторното включване на Лепонекс.</w:t>
      </w:r>
    </w:p>
    <w:p w14:paraId="689B3347" w14:textId="77777777" w:rsidR="001C266B" w:rsidRPr="001C266B" w:rsidRDefault="001C266B" w:rsidP="001C266B">
      <w:pPr>
        <w:spacing w:line="240" w:lineRule="auto"/>
        <w:rPr>
          <w:rFonts w:eastAsia="Times New Roman" w:cs="Arial"/>
          <w:i/>
          <w:iCs/>
          <w:color w:val="000000"/>
          <w:lang w:eastAsia="bg-BG"/>
        </w:rPr>
      </w:pPr>
    </w:p>
    <w:p w14:paraId="45F0B854" w14:textId="2F04DCE6" w:rsidR="001C266B" w:rsidRPr="001C266B" w:rsidRDefault="001C266B" w:rsidP="001C266B">
      <w:pPr>
        <w:spacing w:line="240" w:lineRule="auto"/>
        <w:rPr>
          <w:rFonts w:eastAsia="Times New Roman" w:cs="Arial"/>
        </w:rPr>
      </w:pPr>
      <w:r w:rsidRPr="001C266B">
        <w:rPr>
          <w:rFonts w:eastAsia="Times New Roman" w:cs="Arial"/>
          <w:i/>
          <w:iCs/>
          <w:color w:val="000000"/>
          <w:lang w:eastAsia="bg-BG"/>
        </w:rPr>
        <w:t>Пациенти възраст на и над 60 години</w:t>
      </w:r>
    </w:p>
    <w:p w14:paraId="3EDC5073"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При пациенти на възраст 60 години и по-възрастни се препоръчва започване на лечението с по- ниска доза (вж. точка 4.2).</w:t>
      </w:r>
    </w:p>
    <w:p w14:paraId="34447AF0" w14:textId="77777777" w:rsidR="001C266B" w:rsidRPr="001C266B" w:rsidRDefault="001C266B" w:rsidP="001C266B">
      <w:pPr>
        <w:spacing w:line="240" w:lineRule="auto"/>
        <w:rPr>
          <w:rFonts w:eastAsia="Times New Roman" w:cs="Arial"/>
          <w:color w:val="000000"/>
          <w:lang w:eastAsia="bg-BG"/>
        </w:rPr>
      </w:pPr>
    </w:p>
    <w:p w14:paraId="25070EC4" w14:textId="250B0ED3" w:rsidR="001C266B" w:rsidRPr="001C266B" w:rsidRDefault="001C266B" w:rsidP="001C266B">
      <w:pPr>
        <w:spacing w:line="240" w:lineRule="auto"/>
        <w:rPr>
          <w:rFonts w:eastAsia="Times New Roman" w:cs="Arial"/>
        </w:rPr>
      </w:pPr>
      <w:r w:rsidRPr="001C266B">
        <w:rPr>
          <w:rFonts w:eastAsia="Times New Roman" w:cs="Arial"/>
          <w:color w:val="000000"/>
          <w:lang w:eastAsia="bg-BG"/>
        </w:rPr>
        <w:t>При лечение с Лепонекс може да се развие ортостатична хипотония и има съобщения за тахикардия, която може да е продължителна. Пациенти на възраст на и над 60 години особено тези с нарушена сърдечно-съдова функция, могат да са по-податливи на тези ефекти</w:t>
      </w:r>
    </w:p>
    <w:p w14:paraId="55137E57" w14:textId="77777777" w:rsidR="001C266B" w:rsidRPr="001C266B" w:rsidRDefault="001C266B" w:rsidP="001C266B">
      <w:pPr>
        <w:spacing w:line="240" w:lineRule="auto"/>
        <w:rPr>
          <w:rFonts w:eastAsia="Times New Roman" w:cs="Arial"/>
          <w:color w:val="000000"/>
          <w:lang w:eastAsia="bg-BG"/>
        </w:rPr>
      </w:pPr>
    </w:p>
    <w:p w14:paraId="0DEC9DB9" w14:textId="422D0B33" w:rsidR="001C266B" w:rsidRPr="001C266B" w:rsidRDefault="001C266B" w:rsidP="001C266B">
      <w:pPr>
        <w:spacing w:line="240" w:lineRule="auto"/>
        <w:rPr>
          <w:rFonts w:eastAsia="Times New Roman" w:cs="Arial"/>
        </w:rPr>
      </w:pPr>
      <w:r w:rsidRPr="001C266B">
        <w:rPr>
          <w:rFonts w:eastAsia="Times New Roman" w:cs="Arial"/>
          <w:color w:val="000000"/>
          <w:lang w:eastAsia="bg-BG"/>
        </w:rPr>
        <w:t>Пациентите на възраст на и над 60 години биха могли да бъдат също особено податливи на антихолинергичните ефекти на Лепонекс, като задръжка на урина и констипация.</w:t>
      </w:r>
    </w:p>
    <w:p w14:paraId="3FD3C1CE" w14:textId="67E2AF23" w:rsidR="001C266B" w:rsidRPr="001C266B" w:rsidRDefault="001C266B" w:rsidP="001C266B">
      <w:pPr>
        <w:spacing w:line="240" w:lineRule="auto"/>
        <w:rPr>
          <w:rFonts w:eastAsia="Times New Roman" w:cs="Arial"/>
        </w:rPr>
      </w:pPr>
    </w:p>
    <w:p w14:paraId="63AA76F6" w14:textId="77777777"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Повишена смъртност при пациенти в старческа възраст с деменция</w:t>
      </w:r>
    </w:p>
    <w:p w14:paraId="1DA2AAB7"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Дани от две големи обзорните проучвания показват, че при пациенти в старческа възраст с деменция, които са лекувани с антипсихотици, има малко повишение на риска от смърт в сравнение с тези, които не са лекувани. Данните са недостатъчни, за да може да се направи пълна оценка на точния размер на този риск. Причината за повишения риск е неизвестна.</w:t>
      </w:r>
    </w:p>
    <w:p w14:paraId="047BDED0"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Лепонекс няма одобрени терапевтични показания за лечение на поведенчески нарушения, които са свързани с деменция.</w:t>
      </w:r>
    </w:p>
    <w:p w14:paraId="3264A2AF" w14:textId="0089E400" w:rsidR="001C266B" w:rsidRPr="00B75CF6" w:rsidRDefault="001C266B" w:rsidP="00B75CF6"/>
    <w:p w14:paraId="0734264C" w14:textId="6389E4DE"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C1E0538" w14:textId="44FC9556" w:rsidR="001C266B" w:rsidRDefault="001C266B" w:rsidP="001C266B"/>
    <w:p w14:paraId="15F51EE6" w14:textId="77777777" w:rsidR="001C266B" w:rsidRPr="001C266B" w:rsidRDefault="001C266B" w:rsidP="001C266B">
      <w:pPr>
        <w:spacing w:line="240" w:lineRule="auto"/>
        <w:rPr>
          <w:rFonts w:eastAsia="Times New Roman" w:cs="Arial"/>
          <w:sz w:val="28"/>
          <w:szCs w:val="24"/>
        </w:rPr>
      </w:pPr>
      <w:r w:rsidRPr="001C266B">
        <w:rPr>
          <w:rFonts w:eastAsia="Times New Roman" w:cs="Arial"/>
          <w:color w:val="000000"/>
          <w:szCs w:val="20"/>
          <w:u w:val="single"/>
          <w:lang w:eastAsia="bg-BG"/>
        </w:rPr>
        <w:t>Противопоказания за едновременно приложение</w:t>
      </w:r>
    </w:p>
    <w:p w14:paraId="77AF22C9" w14:textId="77777777" w:rsidR="001C266B" w:rsidRPr="001C266B" w:rsidRDefault="001C266B" w:rsidP="001C266B">
      <w:pPr>
        <w:spacing w:line="240" w:lineRule="auto"/>
        <w:rPr>
          <w:rFonts w:eastAsia="Times New Roman" w:cs="Arial"/>
          <w:sz w:val="28"/>
          <w:szCs w:val="24"/>
        </w:rPr>
      </w:pPr>
      <w:r w:rsidRPr="001C266B">
        <w:rPr>
          <w:rFonts w:eastAsia="Times New Roman" w:cs="Arial"/>
          <w:color w:val="000000"/>
          <w:szCs w:val="20"/>
          <w:lang w:eastAsia="bg-BG"/>
        </w:rPr>
        <w:lastRenderedPageBreak/>
        <w:t>Лекарствата, за които е известно, че притежават значителен потенциал да подтиснат функцията на костния мозък, не трябва да се използават заедно с Лепонекс (вж. точка 4.4).</w:t>
      </w:r>
    </w:p>
    <w:p w14:paraId="2AE47EA7" w14:textId="77777777" w:rsidR="001C266B" w:rsidRPr="001C266B" w:rsidRDefault="001C266B" w:rsidP="001C266B">
      <w:pPr>
        <w:spacing w:line="240" w:lineRule="auto"/>
        <w:rPr>
          <w:rFonts w:eastAsia="Times New Roman" w:cs="Arial"/>
          <w:color w:val="000000"/>
          <w:szCs w:val="20"/>
          <w:lang w:eastAsia="bg-BG"/>
        </w:rPr>
      </w:pPr>
    </w:p>
    <w:p w14:paraId="14D672EE" w14:textId="4A7CA576" w:rsidR="001C266B" w:rsidRPr="001C266B" w:rsidRDefault="001C266B" w:rsidP="001C266B">
      <w:pPr>
        <w:spacing w:line="240" w:lineRule="auto"/>
        <w:rPr>
          <w:rFonts w:eastAsia="Times New Roman" w:cs="Arial"/>
          <w:sz w:val="28"/>
          <w:szCs w:val="24"/>
        </w:rPr>
      </w:pPr>
      <w:r w:rsidRPr="001C266B">
        <w:rPr>
          <w:rFonts w:eastAsia="Times New Roman" w:cs="Arial"/>
          <w:color w:val="000000"/>
          <w:szCs w:val="20"/>
          <w:lang w:eastAsia="bg-BG"/>
        </w:rPr>
        <w:t>Антипсихотичните лекарствени продукти с удължено освобождаване (които имат миелосупресивен потенциал) не трябва да се използват заедно с Лепонекс, тъй като не могат да се изчистят бързо от организма, в ситуации, при които това може да се наложи, напр. неутропения (вж. точка 4.4).</w:t>
      </w:r>
    </w:p>
    <w:p w14:paraId="764509C5" w14:textId="77777777" w:rsidR="001C266B" w:rsidRPr="001C266B" w:rsidRDefault="001C266B" w:rsidP="001C266B">
      <w:pPr>
        <w:spacing w:line="240" w:lineRule="auto"/>
        <w:rPr>
          <w:rFonts w:eastAsia="Times New Roman" w:cs="Arial"/>
          <w:color w:val="000000"/>
          <w:szCs w:val="20"/>
          <w:lang w:eastAsia="bg-BG"/>
        </w:rPr>
      </w:pPr>
    </w:p>
    <w:p w14:paraId="0203DC52" w14:textId="1ADB9DE5" w:rsidR="001C266B" w:rsidRPr="001C266B" w:rsidRDefault="001C266B" w:rsidP="001C266B">
      <w:pPr>
        <w:spacing w:line="240" w:lineRule="auto"/>
        <w:rPr>
          <w:rFonts w:eastAsia="Times New Roman" w:cs="Arial"/>
          <w:sz w:val="28"/>
          <w:szCs w:val="24"/>
        </w:rPr>
      </w:pPr>
      <w:r w:rsidRPr="001C266B">
        <w:rPr>
          <w:rFonts w:eastAsia="Times New Roman" w:cs="Arial"/>
          <w:color w:val="000000"/>
          <w:szCs w:val="20"/>
          <w:lang w:eastAsia="bg-BG"/>
        </w:rPr>
        <w:t>Не трябва да се употребява алкохол заедно с Лепонекс поради възможен потенциал за седиране.</w:t>
      </w:r>
    </w:p>
    <w:p w14:paraId="506B04F8" w14:textId="77777777" w:rsidR="001C266B" w:rsidRPr="001C266B" w:rsidRDefault="001C266B" w:rsidP="001C266B">
      <w:pPr>
        <w:spacing w:line="240" w:lineRule="auto"/>
        <w:rPr>
          <w:rFonts w:eastAsia="Times New Roman" w:cs="Arial"/>
          <w:color w:val="000000"/>
          <w:szCs w:val="20"/>
          <w:u w:val="single"/>
          <w:lang w:eastAsia="bg-BG"/>
        </w:rPr>
      </w:pPr>
    </w:p>
    <w:p w14:paraId="6927F0AE" w14:textId="5194B184" w:rsidR="001C266B" w:rsidRPr="001C266B" w:rsidRDefault="001C266B" w:rsidP="001C266B">
      <w:pPr>
        <w:spacing w:line="240" w:lineRule="auto"/>
        <w:rPr>
          <w:rFonts w:eastAsia="Times New Roman" w:cs="Arial"/>
          <w:sz w:val="28"/>
          <w:szCs w:val="24"/>
        </w:rPr>
      </w:pPr>
      <w:r w:rsidRPr="001C266B">
        <w:rPr>
          <w:rFonts w:eastAsia="Times New Roman" w:cs="Arial"/>
          <w:color w:val="000000"/>
          <w:szCs w:val="20"/>
          <w:u w:val="single"/>
          <w:lang w:eastAsia="bg-BG"/>
        </w:rPr>
        <w:t>Предпазни мерки, включително промени в дозата</w:t>
      </w:r>
    </w:p>
    <w:p w14:paraId="3C493A93" w14:textId="77777777" w:rsidR="001C266B" w:rsidRPr="001C266B" w:rsidRDefault="001C266B" w:rsidP="001C266B">
      <w:pPr>
        <w:spacing w:line="240" w:lineRule="auto"/>
        <w:rPr>
          <w:rFonts w:eastAsia="Times New Roman" w:cs="Arial"/>
          <w:sz w:val="28"/>
          <w:szCs w:val="24"/>
        </w:rPr>
      </w:pPr>
      <w:r w:rsidRPr="001C266B">
        <w:rPr>
          <w:rFonts w:eastAsia="Times New Roman" w:cs="Arial"/>
          <w:color w:val="000000"/>
          <w:szCs w:val="20"/>
          <w:lang w:eastAsia="bg-BG"/>
        </w:rPr>
        <w:t>Лепонекс може да засили централните ефекти на лекарствата, потискащи ЦНС, като наркотици, антихистамини и бензодиазепини. Препоръчва се особено внимание, когато се започва лечение с Лепонекс при пациенти, получаващи бензодиазепин или друго психотропно лекарство. Тези пациенти може да имат повишен риск за циркулаторен колапс, който в редки случаи може да е тежък и да доведе до спиране на сърдечната дейност и/или дишането. Не е ясно дали може да се предотврати сърдечния или респираторен колапс чрез промяна на дозата.</w:t>
      </w:r>
    </w:p>
    <w:p w14:paraId="0DF558E6" w14:textId="77777777" w:rsidR="001C266B" w:rsidRPr="001C266B" w:rsidRDefault="001C266B" w:rsidP="001C266B">
      <w:pPr>
        <w:spacing w:line="240" w:lineRule="auto"/>
        <w:rPr>
          <w:rFonts w:eastAsia="Times New Roman" w:cs="Arial"/>
          <w:color w:val="000000"/>
          <w:szCs w:val="20"/>
          <w:lang w:eastAsia="bg-BG"/>
        </w:rPr>
      </w:pPr>
    </w:p>
    <w:p w14:paraId="6058F171" w14:textId="34AA8D23" w:rsidR="001C266B" w:rsidRPr="001C266B" w:rsidRDefault="001C266B" w:rsidP="001C266B">
      <w:pPr>
        <w:spacing w:line="240" w:lineRule="auto"/>
        <w:rPr>
          <w:rFonts w:eastAsia="Times New Roman" w:cs="Arial"/>
          <w:sz w:val="28"/>
          <w:szCs w:val="24"/>
        </w:rPr>
      </w:pPr>
      <w:r w:rsidRPr="001C266B">
        <w:rPr>
          <w:rFonts w:eastAsia="Times New Roman" w:cs="Arial"/>
          <w:color w:val="000000"/>
          <w:szCs w:val="20"/>
          <w:lang w:eastAsia="bg-BG"/>
        </w:rPr>
        <w:t>Поради въможността за кумулиране на ефектите, особено важно е вниманието при едновременното приложение на лекарства, притежаващи антихолинергично, хипотензивно или потискащо дишането действие.</w:t>
      </w:r>
    </w:p>
    <w:p w14:paraId="3E8DF4A7" w14:textId="77777777" w:rsidR="001C266B" w:rsidRPr="001C266B" w:rsidRDefault="001C266B" w:rsidP="001C266B">
      <w:pPr>
        <w:spacing w:line="240" w:lineRule="auto"/>
        <w:rPr>
          <w:rFonts w:eastAsia="Times New Roman" w:cs="Arial"/>
          <w:color w:val="000000"/>
          <w:szCs w:val="20"/>
          <w:lang w:eastAsia="bg-BG"/>
        </w:rPr>
      </w:pPr>
    </w:p>
    <w:p w14:paraId="4F33664C" w14:textId="18603996" w:rsidR="001C266B" w:rsidRPr="001C266B" w:rsidRDefault="001C266B" w:rsidP="001C266B">
      <w:pPr>
        <w:spacing w:line="240" w:lineRule="auto"/>
        <w:rPr>
          <w:rFonts w:eastAsia="Times New Roman" w:cs="Arial"/>
          <w:sz w:val="28"/>
          <w:szCs w:val="24"/>
        </w:rPr>
      </w:pPr>
      <w:r w:rsidRPr="001C266B">
        <w:rPr>
          <w:rFonts w:eastAsia="Times New Roman" w:cs="Arial"/>
          <w:color w:val="000000"/>
          <w:szCs w:val="20"/>
          <w:lang w:eastAsia="bg-BG"/>
        </w:rPr>
        <w:t>Благодарение на анти-а-адренергичните си свойства Лепонекс може да отслаби повишаващия артериалното налягане ефект на норепинефрин или на други лекарства с предимно а- адренергично действие и да антагонизира напълно пресорния ефект на епинефрин.</w:t>
      </w:r>
    </w:p>
    <w:p w14:paraId="0BBE77CB" w14:textId="77777777" w:rsidR="001C266B" w:rsidRPr="001C266B" w:rsidRDefault="001C266B" w:rsidP="001C266B">
      <w:pPr>
        <w:spacing w:line="240" w:lineRule="auto"/>
        <w:rPr>
          <w:rFonts w:eastAsia="Times New Roman" w:cs="Arial"/>
          <w:color w:val="000000"/>
          <w:szCs w:val="20"/>
          <w:lang w:eastAsia="bg-BG"/>
        </w:rPr>
      </w:pPr>
    </w:p>
    <w:p w14:paraId="01E8612F" w14:textId="66EF773E" w:rsidR="001C266B" w:rsidRPr="001C266B" w:rsidRDefault="001C266B" w:rsidP="001C266B">
      <w:pPr>
        <w:spacing w:line="240" w:lineRule="auto"/>
        <w:rPr>
          <w:rFonts w:eastAsia="Times New Roman" w:cs="Arial"/>
          <w:sz w:val="28"/>
          <w:szCs w:val="24"/>
        </w:rPr>
      </w:pPr>
      <w:r w:rsidRPr="001C266B">
        <w:rPr>
          <w:rFonts w:eastAsia="Times New Roman" w:cs="Arial"/>
          <w:color w:val="000000"/>
          <w:szCs w:val="20"/>
          <w:lang w:eastAsia="bg-BG"/>
        </w:rPr>
        <w:t xml:space="preserve">Съпътстващото приложение на лекарства, за които е известно, че инхибират активността на цитохром Р450 изоензимите, може да повиши нивата на клозапин и да се наложи намаляване на дозата на клозапин, за да се предотвратят нежеланите реакции. Това е по-важно за инхибиторите на </w:t>
      </w:r>
      <w:r w:rsidRPr="001C266B">
        <w:rPr>
          <w:rFonts w:eastAsia="Times New Roman" w:cs="Arial"/>
          <w:color w:val="000000"/>
          <w:szCs w:val="20"/>
          <w:lang w:val="en-US"/>
        </w:rPr>
        <w:t>CYP</w:t>
      </w:r>
      <w:r w:rsidRPr="001C266B">
        <w:rPr>
          <w:rFonts w:eastAsia="Times New Roman" w:cs="Arial"/>
          <w:color w:val="000000"/>
          <w:szCs w:val="20"/>
          <w:lang w:val="ru-RU"/>
        </w:rPr>
        <w:t xml:space="preserve"> </w:t>
      </w:r>
      <w:r w:rsidRPr="001C266B">
        <w:rPr>
          <w:rFonts w:eastAsia="Times New Roman" w:cs="Arial"/>
          <w:color w:val="000000"/>
          <w:szCs w:val="20"/>
          <w:lang w:eastAsia="bg-BG"/>
        </w:rPr>
        <w:t xml:space="preserve">1А2 като кофеин (вж. по-долу), перазин и селективния инхибитор на обратното захващане на серотонина флувоксамин. Някои от останалите инхибитори на обратното захващане на серотонина като флуоксетин, пароксетин и в по-малка степен сертралин са инхибитори на </w:t>
      </w:r>
      <w:r w:rsidRPr="001C266B">
        <w:rPr>
          <w:rFonts w:eastAsia="Times New Roman" w:cs="Arial"/>
          <w:color w:val="000000"/>
          <w:szCs w:val="20"/>
          <w:lang w:val="en-US"/>
        </w:rPr>
        <w:t>CYP</w:t>
      </w:r>
      <w:r w:rsidRPr="001C266B">
        <w:rPr>
          <w:rFonts w:eastAsia="Times New Roman" w:cs="Arial"/>
          <w:color w:val="000000"/>
          <w:szCs w:val="20"/>
          <w:lang w:val="ru-RU"/>
        </w:rPr>
        <w:t xml:space="preserve"> 2</w:t>
      </w:r>
      <w:r w:rsidRPr="001C266B">
        <w:rPr>
          <w:rFonts w:eastAsia="Times New Roman" w:cs="Arial"/>
          <w:color w:val="000000"/>
          <w:szCs w:val="20"/>
          <w:lang w:val="en-US"/>
        </w:rPr>
        <w:t>D</w:t>
      </w:r>
      <w:r w:rsidRPr="001C266B">
        <w:rPr>
          <w:rFonts w:eastAsia="Times New Roman" w:cs="Arial"/>
          <w:color w:val="000000"/>
          <w:szCs w:val="20"/>
          <w:lang w:val="ru-RU"/>
        </w:rPr>
        <w:t xml:space="preserve">6 </w:t>
      </w:r>
      <w:r w:rsidRPr="001C266B">
        <w:rPr>
          <w:rFonts w:eastAsia="Times New Roman" w:cs="Arial"/>
          <w:color w:val="000000"/>
          <w:szCs w:val="20"/>
          <w:lang w:eastAsia="bg-BG"/>
        </w:rPr>
        <w:t xml:space="preserve">и в резултат на това, са по-малко вероятни съществени фармакокинетични взаимодействия с клозапин. Подобно на това са малко вероятни фармакокинетични взаимодействия с инхибитори на </w:t>
      </w:r>
      <w:r w:rsidRPr="001C266B">
        <w:rPr>
          <w:rFonts w:eastAsia="Times New Roman" w:cs="Arial"/>
          <w:color w:val="000000"/>
          <w:szCs w:val="20"/>
          <w:lang w:val="en-US"/>
        </w:rPr>
        <w:t>CYP</w:t>
      </w:r>
      <w:r w:rsidRPr="001C266B">
        <w:rPr>
          <w:rFonts w:eastAsia="Times New Roman" w:cs="Arial"/>
          <w:color w:val="000000"/>
          <w:szCs w:val="20"/>
          <w:lang w:val="ru-RU"/>
        </w:rPr>
        <w:t xml:space="preserve"> </w:t>
      </w:r>
      <w:r w:rsidRPr="001C266B">
        <w:rPr>
          <w:rFonts w:eastAsia="Times New Roman" w:cs="Arial"/>
          <w:color w:val="000000"/>
          <w:szCs w:val="20"/>
          <w:lang w:eastAsia="bg-BG"/>
        </w:rPr>
        <w:t xml:space="preserve">ЗА4 като азолови антимикотици, циметидин, еритромицин и протеазни инхибитори, въпреки че такива се съобщават. Хормоналните контрацептиви (вкл. комбинации на естроген и прогестерон или само прогестерон) са </w:t>
      </w:r>
      <w:r w:rsidRPr="001C266B">
        <w:rPr>
          <w:rFonts w:eastAsia="Times New Roman" w:cs="Arial"/>
          <w:color w:val="000000"/>
          <w:szCs w:val="20"/>
          <w:lang w:val="en-US"/>
        </w:rPr>
        <w:t>CYP</w:t>
      </w:r>
      <w:r w:rsidRPr="001C266B">
        <w:rPr>
          <w:rFonts w:eastAsia="Times New Roman" w:cs="Arial"/>
          <w:color w:val="000000"/>
          <w:szCs w:val="20"/>
          <w:lang w:val="ru-RU"/>
        </w:rPr>
        <w:t xml:space="preserve"> </w:t>
      </w:r>
      <w:r w:rsidRPr="001C266B">
        <w:rPr>
          <w:rFonts w:eastAsia="Times New Roman" w:cs="Arial"/>
          <w:color w:val="000000"/>
          <w:szCs w:val="20"/>
          <w:lang w:eastAsia="bg-BG"/>
        </w:rPr>
        <w:t xml:space="preserve">1А2, </w:t>
      </w:r>
      <w:r w:rsidRPr="001C266B">
        <w:rPr>
          <w:rFonts w:eastAsia="Times New Roman" w:cs="Arial"/>
          <w:color w:val="000000"/>
          <w:szCs w:val="20"/>
          <w:lang w:val="en-US"/>
        </w:rPr>
        <w:t>CYP</w:t>
      </w:r>
      <w:r w:rsidRPr="001C266B">
        <w:rPr>
          <w:rFonts w:eastAsia="Times New Roman" w:cs="Arial"/>
          <w:color w:val="000000"/>
          <w:szCs w:val="20"/>
          <w:lang w:val="ru-RU"/>
        </w:rPr>
        <w:t xml:space="preserve"> </w:t>
      </w:r>
      <w:r w:rsidRPr="001C266B">
        <w:rPr>
          <w:rFonts w:eastAsia="Times New Roman" w:cs="Arial"/>
          <w:color w:val="000000"/>
          <w:szCs w:val="20"/>
          <w:lang w:eastAsia="bg-BG"/>
        </w:rPr>
        <w:t xml:space="preserve">ЗА4 и </w:t>
      </w:r>
      <w:r w:rsidRPr="001C266B">
        <w:rPr>
          <w:rFonts w:eastAsia="Times New Roman" w:cs="Arial"/>
          <w:color w:val="000000"/>
          <w:szCs w:val="20"/>
          <w:lang w:val="en-US"/>
        </w:rPr>
        <w:t>CYP</w:t>
      </w:r>
      <w:r w:rsidRPr="001C266B">
        <w:rPr>
          <w:rFonts w:eastAsia="Times New Roman" w:cs="Arial"/>
          <w:color w:val="000000"/>
          <w:szCs w:val="20"/>
          <w:lang w:val="ru-RU"/>
        </w:rPr>
        <w:t xml:space="preserve"> </w:t>
      </w:r>
      <w:r w:rsidRPr="001C266B">
        <w:rPr>
          <w:rFonts w:eastAsia="Times New Roman" w:cs="Arial"/>
          <w:color w:val="000000"/>
          <w:szCs w:val="20"/>
          <w:lang w:eastAsia="bg-BG"/>
        </w:rPr>
        <w:t>2С19 инхибитори. Поради това, започването или спирането на лечение с хормонални контрацептиви, може да изиск</w:t>
      </w:r>
      <w:r w:rsidRPr="001C266B">
        <w:rPr>
          <w:rFonts w:eastAsia="Times New Roman" w:cs="Arial"/>
          <w:color w:val="000000"/>
          <w:szCs w:val="20"/>
          <w:u w:val="single"/>
          <w:lang w:eastAsia="bg-BG"/>
        </w:rPr>
        <w:t>ва ада</w:t>
      </w:r>
      <w:r w:rsidRPr="001C266B">
        <w:rPr>
          <w:rFonts w:eastAsia="Times New Roman" w:cs="Arial"/>
          <w:color w:val="000000"/>
          <w:szCs w:val="20"/>
          <w:lang w:eastAsia="bg-BG"/>
        </w:rPr>
        <w:t>птиране на дозата според индивидуалните медицински нужди. Тъй като плазмената концентрация на</w:t>
      </w:r>
    </w:p>
    <w:p w14:paraId="28F9ED12" w14:textId="25065A4C" w:rsidR="001C266B" w:rsidRPr="001C266B" w:rsidRDefault="001C266B" w:rsidP="001C266B">
      <w:pPr>
        <w:rPr>
          <w:rFonts w:eastAsia="Times New Roman" w:cs="Arial"/>
          <w:color w:val="000000"/>
          <w:szCs w:val="20"/>
          <w:lang w:eastAsia="bg-BG"/>
        </w:rPr>
      </w:pPr>
      <w:r w:rsidRPr="001C266B">
        <w:rPr>
          <w:rFonts w:eastAsia="Times New Roman" w:cs="Arial"/>
          <w:color w:val="000000"/>
          <w:szCs w:val="20"/>
          <w:lang w:eastAsia="bg-BG"/>
        </w:rPr>
        <w:t>клозапин се повишава от приема на кофеин и се понижава с почти 50% след 5-дневен безкофеинов период, могат да се наложат промени в дозата на клозапин при промяна в навиците за прием на кофеинсъдържащи течности. В случаи на внезапно спиране на тютюнопушенето плазмената концентрация на клозапин може да се повиши и така да доведе до зачестяване на нежелани реакции.</w:t>
      </w:r>
    </w:p>
    <w:p w14:paraId="7FC2EE3F" w14:textId="743AE284" w:rsidR="001C266B" w:rsidRPr="001C266B" w:rsidRDefault="001C266B" w:rsidP="001C266B">
      <w:pPr>
        <w:rPr>
          <w:rFonts w:eastAsia="Times New Roman" w:cs="Arial"/>
          <w:color w:val="000000"/>
          <w:szCs w:val="20"/>
          <w:lang w:eastAsia="bg-BG"/>
        </w:rPr>
      </w:pPr>
    </w:p>
    <w:p w14:paraId="3A556E61" w14:textId="77777777" w:rsidR="001C266B" w:rsidRPr="001C266B" w:rsidRDefault="001C266B" w:rsidP="001C266B">
      <w:pPr>
        <w:spacing w:line="240" w:lineRule="auto"/>
        <w:rPr>
          <w:rFonts w:eastAsia="Times New Roman" w:cs="Arial"/>
          <w:sz w:val="28"/>
          <w:szCs w:val="24"/>
        </w:rPr>
      </w:pPr>
      <w:r w:rsidRPr="001C266B">
        <w:rPr>
          <w:rFonts w:eastAsia="Times New Roman" w:cs="Arial"/>
          <w:color w:val="000000"/>
          <w:szCs w:val="20"/>
          <w:lang w:eastAsia="bg-BG"/>
        </w:rPr>
        <w:t>Съобщават се случаи на взаимодействие между циталопрам и клозапин, което може да повиши риска от нежелани реакции, свързани с клозапин. Естеството на това взаимодействие не е напълно изяснено.</w:t>
      </w:r>
    </w:p>
    <w:p w14:paraId="78C0DECB" w14:textId="77777777" w:rsidR="001C266B" w:rsidRPr="001C266B" w:rsidRDefault="001C266B" w:rsidP="001C266B">
      <w:pPr>
        <w:spacing w:line="240" w:lineRule="auto"/>
        <w:rPr>
          <w:rFonts w:eastAsia="Times New Roman" w:cs="Arial"/>
          <w:color w:val="000000"/>
          <w:szCs w:val="20"/>
          <w:lang w:eastAsia="bg-BG"/>
        </w:rPr>
      </w:pPr>
    </w:p>
    <w:p w14:paraId="7A78509B" w14:textId="65513DE8" w:rsidR="001C266B" w:rsidRPr="001C266B" w:rsidRDefault="001C266B" w:rsidP="001C266B">
      <w:pPr>
        <w:spacing w:line="240" w:lineRule="auto"/>
        <w:rPr>
          <w:rFonts w:eastAsia="Times New Roman" w:cs="Arial"/>
          <w:sz w:val="28"/>
          <w:szCs w:val="24"/>
        </w:rPr>
      </w:pPr>
      <w:r w:rsidRPr="001C266B">
        <w:rPr>
          <w:rFonts w:eastAsia="Times New Roman" w:cs="Arial"/>
          <w:color w:val="000000"/>
          <w:szCs w:val="20"/>
          <w:lang w:eastAsia="bg-BG"/>
        </w:rPr>
        <w:t xml:space="preserve">Съвместното приложение с лекарства, за които е известно, че индуцират цитохром Р450 изоензимите, може да понижи плазмените нива на клозапин и така да доведе до намалена ефикасност. Лекарствата, за които е известно, че индуцират активността на цитохром Р450 изоензимите и за които има съобщения, че взаимодействат с клозапин, включват например карбамазепин (да не се използва заедно с клозапин, поради миелосупресивен потенциал), фенитоин и рифампицин. Известните индуктори на </w:t>
      </w:r>
      <w:r w:rsidRPr="001C266B">
        <w:rPr>
          <w:rFonts w:eastAsia="Times New Roman" w:cs="Arial"/>
          <w:color w:val="000000"/>
          <w:szCs w:val="20"/>
          <w:lang w:val="en-US"/>
        </w:rPr>
        <w:t>CYP</w:t>
      </w:r>
      <w:r w:rsidRPr="001C266B">
        <w:rPr>
          <w:rFonts w:eastAsia="Times New Roman" w:cs="Arial"/>
          <w:color w:val="000000"/>
          <w:szCs w:val="20"/>
          <w:lang w:val="ru-RU"/>
        </w:rPr>
        <w:t>1</w:t>
      </w:r>
      <w:r w:rsidRPr="001C266B">
        <w:rPr>
          <w:rFonts w:eastAsia="Times New Roman" w:cs="Arial"/>
          <w:color w:val="000000"/>
          <w:szCs w:val="20"/>
          <w:lang w:eastAsia="bg-BG"/>
        </w:rPr>
        <w:t>А2 като омепразол могат да доведат до понижени нива на клозапин. Възможността за понижена ефикасност на клозапин тряба да се има предвид, когато се използва в комбинация с тези лекарства.</w:t>
      </w:r>
    </w:p>
    <w:p w14:paraId="423E7CD0" w14:textId="77777777" w:rsidR="001C266B" w:rsidRPr="001C266B" w:rsidRDefault="001C266B" w:rsidP="001C266B">
      <w:pPr>
        <w:spacing w:line="240" w:lineRule="auto"/>
        <w:rPr>
          <w:rFonts w:eastAsia="Times New Roman" w:cs="Arial"/>
          <w:color w:val="000000"/>
          <w:szCs w:val="20"/>
          <w:u w:val="single"/>
          <w:lang w:eastAsia="bg-BG"/>
        </w:rPr>
      </w:pPr>
    </w:p>
    <w:p w14:paraId="74B9548C" w14:textId="1A301912" w:rsidR="001C266B" w:rsidRPr="001C266B" w:rsidRDefault="001C266B" w:rsidP="001C266B">
      <w:pPr>
        <w:spacing w:line="240" w:lineRule="auto"/>
        <w:rPr>
          <w:rFonts w:eastAsia="Times New Roman" w:cs="Arial"/>
          <w:sz w:val="28"/>
          <w:szCs w:val="24"/>
        </w:rPr>
      </w:pPr>
      <w:r w:rsidRPr="001C266B">
        <w:rPr>
          <w:rFonts w:eastAsia="Times New Roman" w:cs="Arial"/>
          <w:color w:val="000000"/>
          <w:szCs w:val="20"/>
          <w:u w:val="single"/>
          <w:lang w:eastAsia="bg-BG"/>
        </w:rPr>
        <w:t>Други</w:t>
      </w:r>
    </w:p>
    <w:p w14:paraId="04ED8403" w14:textId="77777777" w:rsidR="001C266B" w:rsidRPr="001C266B" w:rsidRDefault="001C266B" w:rsidP="001C266B">
      <w:pPr>
        <w:spacing w:line="240" w:lineRule="auto"/>
        <w:rPr>
          <w:rFonts w:eastAsia="Times New Roman" w:cs="Arial"/>
          <w:sz w:val="28"/>
          <w:szCs w:val="24"/>
        </w:rPr>
      </w:pPr>
      <w:r w:rsidRPr="001C266B">
        <w:rPr>
          <w:rFonts w:eastAsia="Times New Roman" w:cs="Arial"/>
          <w:color w:val="000000"/>
          <w:szCs w:val="20"/>
          <w:lang w:eastAsia="bg-BG"/>
        </w:rPr>
        <w:t>Съвместната употреба на литий или други ЦНС-активни лекарства може да повиши риска от развитие на малигнен невролептичен синдром (МНС).</w:t>
      </w:r>
    </w:p>
    <w:p w14:paraId="2C4B0464" w14:textId="77777777" w:rsidR="001C266B" w:rsidRPr="001C266B" w:rsidRDefault="001C266B" w:rsidP="001C266B">
      <w:pPr>
        <w:spacing w:line="240" w:lineRule="auto"/>
        <w:rPr>
          <w:rFonts w:eastAsia="Times New Roman" w:cs="Arial"/>
          <w:color w:val="000000"/>
          <w:szCs w:val="20"/>
          <w:lang w:eastAsia="bg-BG"/>
        </w:rPr>
      </w:pPr>
    </w:p>
    <w:p w14:paraId="26EE1207" w14:textId="72471705" w:rsidR="001C266B" w:rsidRPr="001C266B" w:rsidRDefault="001C266B" w:rsidP="001C266B">
      <w:pPr>
        <w:spacing w:line="240" w:lineRule="auto"/>
        <w:rPr>
          <w:rFonts w:eastAsia="Times New Roman" w:cs="Arial"/>
          <w:sz w:val="28"/>
          <w:szCs w:val="24"/>
        </w:rPr>
      </w:pPr>
      <w:r w:rsidRPr="001C266B">
        <w:rPr>
          <w:rFonts w:eastAsia="Times New Roman" w:cs="Arial"/>
          <w:color w:val="000000"/>
          <w:szCs w:val="20"/>
          <w:lang w:eastAsia="bg-BG"/>
        </w:rPr>
        <w:t>Съобщават се случаи на редки, но тежки гърчове, включително начало на гърчове при пациенти без епилепсия, и отделни случаи на делир, когато Лепонекс е прилаган заедно с валпроева киселина. Тези ефекти вероятно са поради фармакодинамично взаимодействие, чийто механизъм не е изяснен.</w:t>
      </w:r>
    </w:p>
    <w:p w14:paraId="3A6C69B1" w14:textId="77777777" w:rsidR="001C266B" w:rsidRPr="001C266B" w:rsidRDefault="001C266B" w:rsidP="001C266B">
      <w:pPr>
        <w:spacing w:line="240" w:lineRule="auto"/>
        <w:rPr>
          <w:rFonts w:eastAsia="Times New Roman" w:cs="Arial"/>
          <w:color w:val="000000"/>
          <w:szCs w:val="20"/>
          <w:lang w:eastAsia="bg-BG"/>
        </w:rPr>
      </w:pPr>
    </w:p>
    <w:p w14:paraId="16364D18" w14:textId="54F4479E" w:rsidR="001C266B" w:rsidRPr="001C266B" w:rsidRDefault="001C266B" w:rsidP="001C266B">
      <w:pPr>
        <w:spacing w:line="240" w:lineRule="auto"/>
        <w:rPr>
          <w:rFonts w:eastAsia="Times New Roman" w:cs="Arial"/>
          <w:sz w:val="28"/>
          <w:szCs w:val="24"/>
        </w:rPr>
      </w:pPr>
      <w:r w:rsidRPr="001C266B">
        <w:rPr>
          <w:rFonts w:eastAsia="Times New Roman" w:cs="Arial"/>
          <w:color w:val="000000"/>
          <w:szCs w:val="20"/>
          <w:lang w:eastAsia="bg-BG"/>
        </w:rPr>
        <w:t xml:space="preserve">Необходимо е внимание при пациенти, които получават съпътстващо лечение с други лекарства, които са инхибитори или индуктори на цитохром Р450 изоензимте. Не са наблюдавани до този момент клинично значими взаимодействия с трициклични антидепресанти, фенотиазини и тип 1с антиаритмици, за които се знае, че се свързват с цитохром Р450 </w:t>
      </w:r>
      <w:r w:rsidRPr="001C266B">
        <w:rPr>
          <w:rFonts w:eastAsia="Times New Roman" w:cs="Arial"/>
          <w:color w:val="000000"/>
          <w:szCs w:val="20"/>
          <w:lang w:val="ru-RU"/>
        </w:rPr>
        <w:t>2</w:t>
      </w:r>
      <w:r w:rsidRPr="001C266B">
        <w:rPr>
          <w:rFonts w:eastAsia="Times New Roman" w:cs="Arial"/>
          <w:color w:val="000000"/>
          <w:szCs w:val="20"/>
          <w:lang w:val="en-US"/>
        </w:rPr>
        <w:t>D</w:t>
      </w:r>
      <w:r w:rsidRPr="001C266B">
        <w:rPr>
          <w:rFonts w:eastAsia="Times New Roman" w:cs="Arial"/>
          <w:color w:val="000000"/>
          <w:szCs w:val="20"/>
          <w:lang w:val="ru-RU"/>
        </w:rPr>
        <w:t>6.</w:t>
      </w:r>
    </w:p>
    <w:p w14:paraId="20A70FBD" w14:textId="77777777" w:rsidR="001C266B" w:rsidRPr="001C266B" w:rsidRDefault="001C266B" w:rsidP="001C266B">
      <w:pPr>
        <w:spacing w:line="240" w:lineRule="auto"/>
        <w:rPr>
          <w:rFonts w:eastAsia="Times New Roman" w:cs="Arial"/>
          <w:color w:val="000000"/>
          <w:szCs w:val="20"/>
          <w:lang w:eastAsia="bg-BG"/>
        </w:rPr>
      </w:pPr>
    </w:p>
    <w:p w14:paraId="0E329F8D" w14:textId="471F8E68" w:rsidR="001C266B" w:rsidRPr="001C266B" w:rsidRDefault="001C266B" w:rsidP="001C266B">
      <w:pPr>
        <w:spacing w:line="240" w:lineRule="auto"/>
        <w:rPr>
          <w:rFonts w:eastAsia="Times New Roman" w:cs="Arial"/>
          <w:color w:val="000000"/>
          <w:szCs w:val="20"/>
          <w:lang w:eastAsia="bg-BG"/>
        </w:rPr>
      </w:pPr>
      <w:r w:rsidRPr="001C266B">
        <w:rPr>
          <w:rFonts w:eastAsia="Times New Roman" w:cs="Arial"/>
          <w:color w:val="000000"/>
          <w:szCs w:val="20"/>
          <w:lang w:eastAsia="bg-BG"/>
        </w:rPr>
        <w:t xml:space="preserve">Както при други антипсихотици, трябва да се внимава, когато Лепонекс се предписва заедно с лекарства, за </w:t>
      </w:r>
    </w:p>
    <w:p w14:paraId="3C384E30" w14:textId="491FDB14" w:rsidR="001C266B" w:rsidRPr="001C266B" w:rsidRDefault="001C266B" w:rsidP="001C266B">
      <w:pPr>
        <w:spacing w:line="240" w:lineRule="auto"/>
        <w:rPr>
          <w:rFonts w:eastAsia="Times New Roman" w:cs="Arial"/>
          <w:sz w:val="28"/>
          <w:szCs w:val="24"/>
        </w:rPr>
      </w:pPr>
      <w:r w:rsidRPr="001C266B">
        <w:rPr>
          <w:rFonts w:eastAsia="Times New Roman" w:cs="Arial"/>
          <w:color w:val="000000"/>
          <w:szCs w:val="20"/>
          <w:lang w:eastAsia="bg-BG"/>
        </w:rPr>
        <w:t xml:space="preserve">които е известно, че удължават </w:t>
      </w:r>
      <w:proofErr w:type="spellStart"/>
      <w:r w:rsidRPr="001C266B">
        <w:rPr>
          <w:rFonts w:eastAsia="Times New Roman" w:cs="Arial"/>
          <w:color w:val="000000"/>
          <w:szCs w:val="20"/>
          <w:lang w:val="en-US"/>
        </w:rPr>
        <w:t>QTc</w:t>
      </w:r>
      <w:proofErr w:type="spellEnd"/>
      <w:r w:rsidRPr="001C266B">
        <w:rPr>
          <w:rFonts w:eastAsia="Times New Roman" w:cs="Arial"/>
          <w:color w:val="000000"/>
          <w:szCs w:val="20"/>
          <w:lang w:val="ru-RU"/>
        </w:rPr>
        <w:t xml:space="preserve"> </w:t>
      </w:r>
      <w:r w:rsidRPr="001C266B">
        <w:rPr>
          <w:rFonts w:eastAsia="Times New Roman" w:cs="Arial"/>
          <w:color w:val="000000"/>
          <w:szCs w:val="20"/>
          <w:lang w:eastAsia="bg-BG"/>
        </w:rPr>
        <w:t>интервала или причиняват нарушаване на електролитния баланс.</w:t>
      </w:r>
    </w:p>
    <w:p w14:paraId="1F1C3593" w14:textId="77777777" w:rsidR="001C266B" w:rsidRPr="001C266B" w:rsidRDefault="001C266B" w:rsidP="001C266B">
      <w:pPr>
        <w:spacing w:line="240" w:lineRule="auto"/>
        <w:rPr>
          <w:rFonts w:eastAsia="Times New Roman" w:cs="Arial"/>
          <w:color w:val="000000"/>
          <w:szCs w:val="20"/>
          <w:lang w:eastAsia="bg-BG"/>
        </w:rPr>
      </w:pPr>
    </w:p>
    <w:p w14:paraId="571C5151" w14:textId="66247152" w:rsidR="001C266B" w:rsidRPr="001C266B" w:rsidRDefault="001C266B" w:rsidP="001C266B">
      <w:pPr>
        <w:spacing w:line="240" w:lineRule="auto"/>
        <w:rPr>
          <w:rFonts w:eastAsia="Times New Roman" w:cs="Arial"/>
          <w:sz w:val="28"/>
          <w:szCs w:val="24"/>
        </w:rPr>
      </w:pPr>
      <w:r w:rsidRPr="001C266B">
        <w:rPr>
          <w:rFonts w:eastAsia="Times New Roman" w:cs="Arial"/>
          <w:color w:val="000000"/>
          <w:szCs w:val="20"/>
          <w:lang w:eastAsia="bg-BG"/>
        </w:rPr>
        <w:t>На Таблица 1. по-долу са предтавени схематично считаните за най-важни лекарствени взаимодействия с Лепонекс (това не е подробен списък).</w:t>
      </w:r>
    </w:p>
    <w:p w14:paraId="6E23E511" w14:textId="77777777" w:rsidR="001C266B" w:rsidRPr="001C266B" w:rsidRDefault="001C266B" w:rsidP="001C266B">
      <w:pPr>
        <w:spacing w:line="240" w:lineRule="auto"/>
        <w:rPr>
          <w:rFonts w:eastAsia="Times New Roman" w:cs="Arial"/>
          <w:b/>
          <w:bCs/>
          <w:color w:val="000000"/>
          <w:szCs w:val="20"/>
          <w:lang w:eastAsia="bg-BG"/>
        </w:rPr>
      </w:pPr>
    </w:p>
    <w:p w14:paraId="74686E02" w14:textId="184019A1" w:rsidR="001C266B" w:rsidRPr="001C266B" w:rsidRDefault="001C266B" w:rsidP="001C266B">
      <w:pPr>
        <w:spacing w:line="240" w:lineRule="auto"/>
        <w:rPr>
          <w:rFonts w:eastAsia="Times New Roman" w:cs="Arial"/>
          <w:sz w:val="28"/>
          <w:szCs w:val="24"/>
        </w:rPr>
      </w:pPr>
      <w:r w:rsidRPr="001C266B">
        <w:rPr>
          <w:rFonts w:eastAsia="Times New Roman" w:cs="Arial"/>
          <w:b/>
          <w:bCs/>
          <w:color w:val="000000"/>
          <w:szCs w:val="20"/>
          <w:lang w:eastAsia="bg-BG"/>
        </w:rPr>
        <w:t xml:space="preserve">Таблица </w:t>
      </w:r>
      <w:r w:rsidRPr="001C266B">
        <w:rPr>
          <w:rFonts w:eastAsia="Times New Roman" w:cs="Arial"/>
          <w:color w:val="000000"/>
          <w:szCs w:val="20"/>
          <w:lang w:eastAsia="bg-BG"/>
        </w:rPr>
        <w:t>2. Справка за най-честите лекарствени взаимодействия с Лепонекс</w:t>
      </w:r>
    </w:p>
    <w:p w14:paraId="1210D712" w14:textId="76FC35B2" w:rsidR="001C266B" w:rsidRDefault="001C266B" w:rsidP="001C266B"/>
    <w:tbl>
      <w:tblPr>
        <w:tblStyle w:val="TableGrid"/>
        <w:tblW w:w="0" w:type="auto"/>
        <w:tblLook w:val="04A0" w:firstRow="1" w:lastRow="0" w:firstColumn="1" w:lastColumn="0" w:noHBand="0" w:noVBand="1"/>
      </w:tblPr>
      <w:tblGrid>
        <w:gridCol w:w="3105"/>
        <w:gridCol w:w="3142"/>
        <w:gridCol w:w="3103"/>
      </w:tblGrid>
      <w:tr w:rsidR="001C266B" w14:paraId="5ABC23B0" w14:textId="77777777" w:rsidTr="001C266B">
        <w:tc>
          <w:tcPr>
            <w:tcW w:w="3192" w:type="dxa"/>
          </w:tcPr>
          <w:p w14:paraId="182556D6" w14:textId="32DBEC1C" w:rsidR="001C266B" w:rsidRPr="001C266B" w:rsidRDefault="001C266B" w:rsidP="001C266B">
            <w:r w:rsidRPr="001C266B">
              <w:rPr>
                <w:b/>
                <w:bCs/>
                <w:szCs w:val="20"/>
              </w:rPr>
              <w:t>Лекарство</w:t>
            </w:r>
          </w:p>
        </w:tc>
        <w:tc>
          <w:tcPr>
            <w:tcW w:w="3192" w:type="dxa"/>
          </w:tcPr>
          <w:p w14:paraId="6B810610" w14:textId="39FDCFE1" w:rsidR="001C266B" w:rsidRPr="001C266B" w:rsidRDefault="001C266B" w:rsidP="001C266B">
            <w:r w:rsidRPr="001C266B">
              <w:rPr>
                <w:b/>
                <w:bCs/>
                <w:szCs w:val="20"/>
              </w:rPr>
              <w:t>Взаимодействия</w:t>
            </w:r>
          </w:p>
        </w:tc>
        <w:tc>
          <w:tcPr>
            <w:tcW w:w="3192" w:type="dxa"/>
          </w:tcPr>
          <w:p w14:paraId="4FD2881A" w14:textId="591CBF2E" w:rsidR="001C266B" w:rsidRPr="001C266B" w:rsidRDefault="001C266B" w:rsidP="001C266B">
            <w:r w:rsidRPr="001C266B">
              <w:rPr>
                <w:b/>
                <w:bCs/>
                <w:szCs w:val="20"/>
              </w:rPr>
              <w:t>Коментари</w:t>
            </w:r>
          </w:p>
        </w:tc>
      </w:tr>
      <w:tr w:rsidR="001C266B" w14:paraId="0F393E75" w14:textId="77777777" w:rsidTr="001C266B">
        <w:tc>
          <w:tcPr>
            <w:tcW w:w="3192" w:type="dxa"/>
          </w:tcPr>
          <w:p w14:paraId="7EB1F365" w14:textId="3EDF3CC0" w:rsidR="001C266B" w:rsidRPr="001C266B" w:rsidRDefault="001C266B" w:rsidP="001C266B">
            <w:r w:rsidRPr="001C266B">
              <w:rPr>
                <w:szCs w:val="20"/>
              </w:rPr>
              <w:t xml:space="preserve">Потискащи костния мозък лекарства (напр. карбамазепин, хлорамфеникол), сулфонамиди (напр. ко- тримоксазол), пиразолонови аналгетици (напр. фенилбутазон), пенициламин, цитотоксични </w:t>
            </w:r>
            <w:r w:rsidRPr="001C266B">
              <w:rPr>
                <w:szCs w:val="20"/>
              </w:rPr>
              <w:lastRenderedPageBreak/>
              <w:t>лекарства и дългодействащи инжекционни антипсихотици</w:t>
            </w:r>
          </w:p>
        </w:tc>
        <w:tc>
          <w:tcPr>
            <w:tcW w:w="3192" w:type="dxa"/>
          </w:tcPr>
          <w:p w14:paraId="0BD36F71" w14:textId="152A60F4" w:rsidR="001C266B" w:rsidRPr="001C266B" w:rsidRDefault="001C266B" w:rsidP="001C266B">
            <w:r w:rsidRPr="001C266B">
              <w:rPr>
                <w:szCs w:val="20"/>
              </w:rPr>
              <w:lastRenderedPageBreak/>
              <w:t>Взаимодействат с повишаване на риска и/или тежестта на потискането на костния мозък.</w:t>
            </w:r>
          </w:p>
        </w:tc>
        <w:tc>
          <w:tcPr>
            <w:tcW w:w="3192" w:type="dxa"/>
          </w:tcPr>
          <w:p w14:paraId="4966FE5E" w14:textId="15D623E5" w:rsidR="001C266B" w:rsidRPr="001C266B" w:rsidRDefault="001C266B" w:rsidP="001C266B">
            <w:r w:rsidRPr="001C266B">
              <w:rPr>
                <w:szCs w:val="20"/>
              </w:rPr>
              <w:t xml:space="preserve">Лепонекс </w:t>
            </w:r>
            <w:r w:rsidRPr="001C266B">
              <w:rPr>
                <w:b/>
                <w:bCs/>
                <w:szCs w:val="20"/>
                <w:u w:val="single"/>
              </w:rPr>
              <w:t>не трябва да се използва</w:t>
            </w:r>
            <w:r w:rsidRPr="001C266B">
              <w:rPr>
                <w:b/>
                <w:bCs/>
                <w:szCs w:val="20"/>
              </w:rPr>
              <w:t xml:space="preserve"> </w:t>
            </w:r>
            <w:r w:rsidRPr="001C266B">
              <w:rPr>
                <w:szCs w:val="20"/>
              </w:rPr>
              <w:t>заедно с други лекарства с известен потенциал да потискат функцията на костния мозък (вж. точка 4.3).</w:t>
            </w:r>
          </w:p>
        </w:tc>
      </w:tr>
      <w:tr w:rsidR="001C266B" w14:paraId="75E13E04" w14:textId="77777777" w:rsidTr="001C266B">
        <w:tc>
          <w:tcPr>
            <w:tcW w:w="3192" w:type="dxa"/>
          </w:tcPr>
          <w:p w14:paraId="221DCDF8" w14:textId="532BC4F5" w:rsidR="001C266B" w:rsidRPr="001C266B" w:rsidRDefault="001C266B" w:rsidP="001C266B">
            <w:r w:rsidRPr="001C266B">
              <w:rPr>
                <w:szCs w:val="20"/>
              </w:rPr>
              <w:t>Бензодиазепини</w:t>
            </w:r>
          </w:p>
        </w:tc>
        <w:tc>
          <w:tcPr>
            <w:tcW w:w="3192" w:type="dxa"/>
          </w:tcPr>
          <w:p w14:paraId="6C737729" w14:textId="512FD0C1" w:rsidR="001C266B" w:rsidRPr="001C266B" w:rsidRDefault="001C266B" w:rsidP="001C266B">
            <w:r w:rsidRPr="001C266B">
              <w:rPr>
                <w:szCs w:val="20"/>
              </w:rPr>
              <w:t>Съвместната употреба може да повиши риска от циркулаторен колапс, което може да доведе до спиране на сърдечната дейност и/или дишането.</w:t>
            </w:r>
          </w:p>
        </w:tc>
        <w:tc>
          <w:tcPr>
            <w:tcW w:w="3192" w:type="dxa"/>
          </w:tcPr>
          <w:p w14:paraId="24AF5875" w14:textId="7966BFFE" w:rsidR="001C266B" w:rsidRPr="001C266B" w:rsidRDefault="001C266B" w:rsidP="001C266B">
            <w:pPr>
              <w:rPr>
                <w:rFonts w:ascii="Times New Roman" w:eastAsia="Times New Roman" w:hAnsi="Times New Roman" w:cs="Times New Roman"/>
                <w:sz w:val="24"/>
                <w:szCs w:val="24"/>
              </w:rPr>
            </w:pPr>
            <w:r w:rsidRPr="001C266B">
              <w:rPr>
                <w:szCs w:val="20"/>
              </w:rPr>
              <w:t>Въпреки че чес</w:t>
            </w:r>
            <w:r w:rsidRPr="001C266B">
              <w:rPr>
                <w:szCs w:val="20"/>
                <w:u w:val="single"/>
              </w:rPr>
              <w:t>тотата</w:t>
            </w:r>
            <w:r w:rsidRPr="001C266B">
              <w:rPr>
                <w:szCs w:val="20"/>
              </w:rPr>
              <w:t xml:space="preserve"> е рядка, препоръчва се повишено внимание при употреба на тази лекарства заедно. Съобщения подсказват, че е по-вероятно</w:t>
            </w:r>
            <w:r>
              <w:rPr>
                <w:szCs w:val="20"/>
              </w:rPr>
              <w:t xml:space="preserve"> </w:t>
            </w:r>
            <w:r w:rsidRPr="001C266B">
              <w:rPr>
                <w:lang w:eastAsia="bg-BG"/>
              </w:rPr>
              <w:t>потискането на дишането и колапса да възникнат в началото на приложението на тази комбинация или когато Лепонекс се включи към установена схема с бензодиазепин.</w:t>
            </w:r>
          </w:p>
        </w:tc>
      </w:tr>
      <w:tr w:rsidR="001C266B" w14:paraId="762A770F" w14:textId="77777777" w:rsidTr="001C266B">
        <w:tc>
          <w:tcPr>
            <w:tcW w:w="3192" w:type="dxa"/>
          </w:tcPr>
          <w:p w14:paraId="5D152486" w14:textId="219FB764" w:rsidR="001C266B" w:rsidRPr="001C266B" w:rsidRDefault="001C266B" w:rsidP="001C266B">
            <w:r w:rsidRPr="001C266B">
              <w:rPr>
                <w:szCs w:val="20"/>
              </w:rPr>
              <w:t>Антихолинергични лекарства</w:t>
            </w:r>
          </w:p>
        </w:tc>
        <w:tc>
          <w:tcPr>
            <w:tcW w:w="3192" w:type="dxa"/>
          </w:tcPr>
          <w:p w14:paraId="0F27194D" w14:textId="074B4735" w:rsidR="001C266B" w:rsidRPr="001C266B" w:rsidRDefault="001C266B" w:rsidP="001C266B">
            <w:r w:rsidRPr="001C266B">
              <w:rPr>
                <w:szCs w:val="20"/>
              </w:rPr>
              <w:t>Лепонекс потенцира действието на тези лекарства чрез адитивна антихолинергична активност.</w:t>
            </w:r>
          </w:p>
        </w:tc>
        <w:tc>
          <w:tcPr>
            <w:tcW w:w="3192" w:type="dxa"/>
            <w:vAlign w:val="bottom"/>
          </w:tcPr>
          <w:p w14:paraId="6A0252AC" w14:textId="6DF7617E" w:rsidR="001C266B" w:rsidRPr="001C266B" w:rsidRDefault="001C266B" w:rsidP="001C266B">
            <w:r w:rsidRPr="001C266B">
              <w:rPr>
                <w:szCs w:val="20"/>
              </w:rPr>
              <w:t>Да се наблюдават пациентите за антихолинергични нежелани реакции, напр. констипация, особено при употреба с цел контрол на хиперсаливацията.</w:t>
            </w:r>
          </w:p>
        </w:tc>
      </w:tr>
      <w:tr w:rsidR="001C266B" w14:paraId="4C6B8630" w14:textId="77777777" w:rsidTr="001C266B">
        <w:tc>
          <w:tcPr>
            <w:tcW w:w="3192" w:type="dxa"/>
          </w:tcPr>
          <w:p w14:paraId="56266DD6" w14:textId="4664032D" w:rsidR="001C266B" w:rsidRPr="001C266B" w:rsidRDefault="001C266B" w:rsidP="001C266B">
            <w:r w:rsidRPr="001C266B">
              <w:rPr>
                <w:szCs w:val="20"/>
              </w:rPr>
              <w:t>Антихипертензивни лекарства</w:t>
            </w:r>
          </w:p>
        </w:tc>
        <w:tc>
          <w:tcPr>
            <w:tcW w:w="3192" w:type="dxa"/>
          </w:tcPr>
          <w:p w14:paraId="1B50A075" w14:textId="05DABE7A" w:rsidR="001C266B" w:rsidRPr="001C266B" w:rsidRDefault="001C266B" w:rsidP="001C266B">
            <w:r w:rsidRPr="001C266B">
              <w:rPr>
                <w:szCs w:val="20"/>
              </w:rPr>
              <w:t>Лепонекс може да потенцира хипотензивните ефекти на тези лекарства поради симпатикомиметичните му антагонистични ефекти</w:t>
            </w:r>
          </w:p>
        </w:tc>
        <w:tc>
          <w:tcPr>
            <w:tcW w:w="3192" w:type="dxa"/>
            <w:vAlign w:val="bottom"/>
          </w:tcPr>
          <w:p w14:paraId="7F2869B0" w14:textId="33C9FBBA" w:rsidR="001C266B" w:rsidRPr="001C266B" w:rsidRDefault="001C266B" w:rsidP="001C266B">
            <w:r w:rsidRPr="001C266B">
              <w:rPr>
                <w:szCs w:val="20"/>
              </w:rPr>
              <w:t>Препоръчва се повишено внимание, когато Лепонекс се използва съвместно с антихипертензивни лекарства. Пациентите трябва да бъдат предупредени за риска от хипотония, особено по време на периода на начално титриране на дозата</w:t>
            </w:r>
          </w:p>
        </w:tc>
      </w:tr>
      <w:tr w:rsidR="001C266B" w14:paraId="3D459475" w14:textId="77777777" w:rsidTr="001C266B">
        <w:tc>
          <w:tcPr>
            <w:tcW w:w="3192" w:type="dxa"/>
          </w:tcPr>
          <w:p w14:paraId="5407C603" w14:textId="66CAEB41" w:rsidR="001C266B" w:rsidRPr="001C266B" w:rsidRDefault="001C266B" w:rsidP="001C266B">
            <w:r w:rsidRPr="001C266B">
              <w:rPr>
                <w:szCs w:val="20"/>
              </w:rPr>
              <w:t>Алкохол, МАО-инхибитори, потискащи ЦНС лекарства, включително наркотични лекарства и бензодиазепини</w:t>
            </w:r>
          </w:p>
        </w:tc>
        <w:tc>
          <w:tcPr>
            <w:tcW w:w="3192" w:type="dxa"/>
          </w:tcPr>
          <w:p w14:paraId="4944547B" w14:textId="11B010E8" w:rsidR="001C266B" w:rsidRPr="001C266B" w:rsidRDefault="001C266B" w:rsidP="001C266B">
            <w:r w:rsidRPr="001C266B">
              <w:rPr>
                <w:szCs w:val="20"/>
              </w:rPr>
              <w:t>Засилени централни ефекти. Адитивно потискане на ЦНС и интерференция с когнитивната и моторната функция, когато се използва в комбинация с тези лекарства</w:t>
            </w:r>
          </w:p>
        </w:tc>
        <w:tc>
          <w:tcPr>
            <w:tcW w:w="3192" w:type="dxa"/>
          </w:tcPr>
          <w:p w14:paraId="5D69C208" w14:textId="2A854429" w:rsidR="001C266B" w:rsidRPr="001C266B" w:rsidRDefault="001C266B" w:rsidP="001C266B">
            <w:r w:rsidRPr="001C266B">
              <w:rPr>
                <w:szCs w:val="20"/>
              </w:rPr>
              <w:t xml:space="preserve">Препоръчва се повишено внимание, когато Лепонекс се използва съвместно с други ЦНС активни лекарства. Пациентите трябва да бъдат предупредени за възможните адитивни седативни ефекти и да бъдат посъветвани да не </w:t>
            </w:r>
            <w:r w:rsidRPr="001C266B">
              <w:rPr>
                <w:szCs w:val="20"/>
              </w:rPr>
              <w:lastRenderedPageBreak/>
              <w:t>шофират или работят с машини</w:t>
            </w:r>
          </w:p>
        </w:tc>
      </w:tr>
      <w:tr w:rsidR="001C266B" w14:paraId="7BA81E28" w14:textId="77777777" w:rsidTr="001C266B">
        <w:tc>
          <w:tcPr>
            <w:tcW w:w="3192" w:type="dxa"/>
          </w:tcPr>
          <w:p w14:paraId="315D2765" w14:textId="5594B55B" w:rsidR="001C266B" w:rsidRPr="001C266B" w:rsidRDefault="001C266B" w:rsidP="001C266B">
            <w:r w:rsidRPr="001C266B">
              <w:rPr>
                <w:szCs w:val="20"/>
              </w:rPr>
              <w:lastRenderedPageBreak/>
              <w:t>Лекарства, свързващи се в голяма степен с белтъците (напр. варфарин и дигоксин)</w:t>
            </w:r>
          </w:p>
        </w:tc>
        <w:tc>
          <w:tcPr>
            <w:tcW w:w="3192" w:type="dxa"/>
          </w:tcPr>
          <w:p w14:paraId="5DBD0DD4" w14:textId="44FE4371" w:rsidR="001C266B" w:rsidRPr="001C266B" w:rsidRDefault="001C266B" w:rsidP="001C266B">
            <w:r w:rsidRPr="001C266B">
              <w:rPr>
                <w:szCs w:val="20"/>
              </w:rPr>
              <w:t>Лепонекс може да причини повишение на плазмените концентрации на тези лекарства поради изместването им от плазмените белтъци</w:t>
            </w:r>
          </w:p>
        </w:tc>
        <w:tc>
          <w:tcPr>
            <w:tcW w:w="3192" w:type="dxa"/>
            <w:vAlign w:val="bottom"/>
          </w:tcPr>
          <w:p w14:paraId="38C86A70" w14:textId="696E28A7" w:rsidR="001C266B" w:rsidRPr="001C266B" w:rsidRDefault="001C266B" w:rsidP="001C266B">
            <w:r w:rsidRPr="001C266B">
              <w:rPr>
                <w:szCs w:val="20"/>
              </w:rPr>
              <w:t>Пациентите трябва да бъдат наблюдавани за възникване на нежелани реакции, свързани с тези лекарства, и дозите на свързващото се с белтъците лекарство да се променят, ако е необходимо</w:t>
            </w:r>
          </w:p>
        </w:tc>
      </w:tr>
      <w:tr w:rsidR="001C266B" w14:paraId="728E394E" w14:textId="77777777" w:rsidTr="001C266B">
        <w:tc>
          <w:tcPr>
            <w:tcW w:w="3192" w:type="dxa"/>
          </w:tcPr>
          <w:p w14:paraId="7B99CBB4" w14:textId="421A905E" w:rsidR="001C266B" w:rsidRPr="001C266B" w:rsidRDefault="001C266B" w:rsidP="001C266B">
            <w:r w:rsidRPr="001C266B">
              <w:rPr>
                <w:szCs w:val="20"/>
              </w:rPr>
              <w:t>Фенитоин</w:t>
            </w:r>
          </w:p>
        </w:tc>
        <w:tc>
          <w:tcPr>
            <w:tcW w:w="3192" w:type="dxa"/>
          </w:tcPr>
          <w:p w14:paraId="5628BD3D" w14:textId="1021501A" w:rsidR="001C266B" w:rsidRPr="001C266B" w:rsidRDefault="001C266B" w:rsidP="001C266B">
            <w:r w:rsidRPr="001C266B">
              <w:rPr>
                <w:szCs w:val="20"/>
              </w:rPr>
              <w:t>Включването на фенитоин към терапевтичната схема с Лепонекс може да причини понижение на плазмените концентрации на клозапин</w:t>
            </w:r>
          </w:p>
        </w:tc>
        <w:tc>
          <w:tcPr>
            <w:tcW w:w="3192" w:type="dxa"/>
            <w:vAlign w:val="bottom"/>
          </w:tcPr>
          <w:p w14:paraId="73F0A8F2" w14:textId="690AA2C6" w:rsidR="001C266B" w:rsidRPr="001C266B" w:rsidRDefault="001C266B" w:rsidP="001C266B">
            <w:r w:rsidRPr="001C266B">
              <w:rPr>
                <w:szCs w:val="20"/>
              </w:rPr>
              <w:t>Ако трябва да се използва фенитоин, пациентът трябва да бъде внимателно проследяван за влошаване или възобновяване на психотичните симптоми</w:t>
            </w:r>
          </w:p>
        </w:tc>
      </w:tr>
      <w:tr w:rsidR="001C266B" w14:paraId="3873C577" w14:textId="77777777" w:rsidTr="001C266B">
        <w:tc>
          <w:tcPr>
            <w:tcW w:w="3192" w:type="dxa"/>
          </w:tcPr>
          <w:p w14:paraId="55396D08" w14:textId="58138203" w:rsidR="001C266B" w:rsidRPr="001C266B" w:rsidRDefault="001C266B" w:rsidP="001C266B">
            <w:r w:rsidRPr="001C266B">
              <w:rPr>
                <w:szCs w:val="20"/>
              </w:rPr>
              <w:t>Литий</w:t>
            </w:r>
          </w:p>
        </w:tc>
        <w:tc>
          <w:tcPr>
            <w:tcW w:w="3192" w:type="dxa"/>
            <w:vAlign w:val="bottom"/>
          </w:tcPr>
          <w:p w14:paraId="1718A3F3" w14:textId="7F6F7F22" w:rsidR="001C266B" w:rsidRPr="001C266B" w:rsidRDefault="001C266B" w:rsidP="001C266B">
            <w:r w:rsidRPr="001C266B">
              <w:rPr>
                <w:szCs w:val="20"/>
              </w:rPr>
              <w:t>Съвместната употреба може да повиши риска от развитие на малигнен невролептичен синдром (МНС)</w:t>
            </w:r>
          </w:p>
        </w:tc>
        <w:tc>
          <w:tcPr>
            <w:tcW w:w="3192" w:type="dxa"/>
          </w:tcPr>
          <w:p w14:paraId="2756652A" w14:textId="736D3794" w:rsidR="001C266B" w:rsidRPr="001C266B" w:rsidRDefault="001C266B" w:rsidP="001C266B">
            <w:r w:rsidRPr="001C266B">
              <w:rPr>
                <w:szCs w:val="20"/>
              </w:rPr>
              <w:t>Да се наблюдава за признаци и симптоми на МНС</w:t>
            </w:r>
          </w:p>
        </w:tc>
      </w:tr>
      <w:tr w:rsidR="001C266B" w14:paraId="3A2F6431" w14:textId="77777777" w:rsidTr="001C266B">
        <w:tc>
          <w:tcPr>
            <w:tcW w:w="3192" w:type="dxa"/>
          </w:tcPr>
          <w:p w14:paraId="4C6B2B77" w14:textId="3FFA2F43" w:rsidR="001C266B" w:rsidRPr="001C266B" w:rsidRDefault="001C266B" w:rsidP="001C266B">
            <w:r w:rsidRPr="001C266B">
              <w:rPr>
                <w:szCs w:val="20"/>
                <w:lang w:val="en-US"/>
              </w:rPr>
              <w:t>CYP</w:t>
            </w:r>
            <w:r w:rsidRPr="001C266B">
              <w:rPr>
                <w:szCs w:val="20"/>
                <w:lang w:val="ru-RU"/>
              </w:rPr>
              <w:t>1</w:t>
            </w:r>
            <w:r w:rsidRPr="001C266B">
              <w:rPr>
                <w:szCs w:val="20"/>
                <w:lang w:val="en-US"/>
              </w:rPr>
              <w:t>A</w:t>
            </w:r>
            <w:r w:rsidRPr="001C266B">
              <w:rPr>
                <w:szCs w:val="20"/>
                <w:lang w:val="ru-RU"/>
              </w:rPr>
              <w:t xml:space="preserve">2 </w:t>
            </w:r>
            <w:r w:rsidRPr="001C266B">
              <w:rPr>
                <w:szCs w:val="20"/>
              </w:rPr>
              <w:t>индуциращи лекарства (напр. омепразол)</w:t>
            </w:r>
          </w:p>
        </w:tc>
        <w:tc>
          <w:tcPr>
            <w:tcW w:w="3192" w:type="dxa"/>
          </w:tcPr>
          <w:p w14:paraId="466F47C7" w14:textId="7BF3F8F9" w:rsidR="001C266B" w:rsidRPr="001C266B" w:rsidRDefault="001C266B" w:rsidP="001C266B">
            <w:r w:rsidRPr="001C266B">
              <w:rPr>
                <w:szCs w:val="20"/>
              </w:rPr>
              <w:t>Едновременното приложение може да намали нивата на клозапин</w:t>
            </w:r>
          </w:p>
        </w:tc>
        <w:tc>
          <w:tcPr>
            <w:tcW w:w="3192" w:type="dxa"/>
          </w:tcPr>
          <w:p w14:paraId="36216513" w14:textId="59A36E47" w:rsidR="001C266B" w:rsidRPr="001C266B" w:rsidRDefault="001C266B" w:rsidP="001C266B">
            <w:r w:rsidRPr="001C266B">
              <w:rPr>
                <w:szCs w:val="20"/>
              </w:rPr>
              <w:t>Да се има предвид възможно намаляване ефикасността на клозапин</w:t>
            </w:r>
          </w:p>
        </w:tc>
      </w:tr>
      <w:tr w:rsidR="001C266B" w14:paraId="00AB3B08" w14:textId="77777777" w:rsidTr="001C266B">
        <w:tc>
          <w:tcPr>
            <w:tcW w:w="3192" w:type="dxa"/>
          </w:tcPr>
          <w:p w14:paraId="472380EB" w14:textId="0543F818" w:rsidR="001C266B" w:rsidRPr="001C266B" w:rsidRDefault="001C266B" w:rsidP="001C266B">
            <w:r w:rsidRPr="001C266B">
              <w:rPr>
                <w:szCs w:val="20"/>
                <w:lang w:val="en-US"/>
              </w:rPr>
              <w:t>CYP</w:t>
            </w:r>
            <w:r w:rsidRPr="001C266B">
              <w:rPr>
                <w:szCs w:val="20"/>
              </w:rPr>
              <w:t>1</w:t>
            </w:r>
            <w:r w:rsidRPr="001C266B">
              <w:rPr>
                <w:szCs w:val="20"/>
                <w:lang w:val="en-US"/>
              </w:rPr>
              <w:t>A</w:t>
            </w:r>
            <w:r w:rsidRPr="001C266B">
              <w:rPr>
                <w:szCs w:val="20"/>
              </w:rPr>
              <w:t>2 инхибиращи лекарства, напр. флувоксамин, кафеин, ципрофлоксацин, перазин или хормонални контрацептиви (</w:t>
            </w:r>
            <w:r w:rsidRPr="001C266B">
              <w:rPr>
                <w:szCs w:val="20"/>
                <w:lang w:val="en-US"/>
              </w:rPr>
              <w:t>CYP</w:t>
            </w:r>
            <w:r w:rsidRPr="001C266B">
              <w:rPr>
                <w:szCs w:val="20"/>
              </w:rPr>
              <w:t>1</w:t>
            </w:r>
            <w:r w:rsidRPr="001C266B">
              <w:rPr>
                <w:szCs w:val="20"/>
                <w:lang w:val="en-US"/>
              </w:rPr>
              <w:t>A</w:t>
            </w:r>
            <w:r w:rsidRPr="001C266B">
              <w:rPr>
                <w:szCs w:val="20"/>
              </w:rPr>
              <w:t xml:space="preserve">2, </w:t>
            </w:r>
            <w:r w:rsidRPr="001C266B">
              <w:rPr>
                <w:szCs w:val="20"/>
                <w:lang w:val="en-US"/>
              </w:rPr>
              <w:t>CYP</w:t>
            </w:r>
            <w:r w:rsidRPr="001C266B">
              <w:rPr>
                <w:szCs w:val="20"/>
              </w:rPr>
              <w:t>3</w:t>
            </w:r>
            <w:r w:rsidRPr="001C266B">
              <w:rPr>
                <w:szCs w:val="20"/>
                <w:lang w:val="en-US"/>
              </w:rPr>
              <w:t>A</w:t>
            </w:r>
            <w:r w:rsidRPr="001C266B">
              <w:rPr>
                <w:szCs w:val="20"/>
              </w:rPr>
              <w:t xml:space="preserve">4, </w:t>
            </w:r>
            <w:r w:rsidRPr="001C266B">
              <w:rPr>
                <w:szCs w:val="20"/>
                <w:lang w:val="en-US"/>
              </w:rPr>
              <w:t>CYP</w:t>
            </w:r>
            <w:r w:rsidRPr="001C266B">
              <w:rPr>
                <w:szCs w:val="20"/>
              </w:rPr>
              <w:t>2</w:t>
            </w:r>
            <w:r w:rsidRPr="001C266B">
              <w:rPr>
                <w:szCs w:val="20"/>
                <w:lang w:val="en-US"/>
              </w:rPr>
              <w:t>C</w:t>
            </w:r>
            <w:r w:rsidRPr="001C266B">
              <w:rPr>
                <w:szCs w:val="20"/>
              </w:rPr>
              <w:t>19)</w:t>
            </w:r>
          </w:p>
        </w:tc>
        <w:tc>
          <w:tcPr>
            <w:tcW w:w="3192" w:type="dxa"/>
          </w:tcPr>
          <w:p w14:paraId="38159E66" w14:textId="1B916492" w:rsidR="001C266B" w:rsidRPr="001C266B" w:rsidRDefault="001C266B" w:rsidP="001C266B">
            <w:r w:rsidRPr="001C266B">
              <w:rPr>
                <w:szCs w:val="20"/>
              </w:rPr>
              <w:t>Едновременното приложение може да повиши нивата на клозапин</w:t>
            </w:r>
          </w:p>
        </w:tc>
        <w:tc>
          <w:tcPr>
            <w:tcW w:w="3192" w:type="dxa"/>
          </w:tcPr>
          <w:p w14:paraId="306A7F87" w14:textId="33CC0331" w:rsidR="001C266B" w:rsidRPr="001C266B" w:rsidRDefault="001C266B" w:rsidP="001C266B">
            <w:r w:rsidRPr="001C266B">
              <w:rPr>
                <w:szCs w:val="20"/>
              </w:rPr>
              <w:t xml:space="preserve">Възможно е увеличаване на нежеланите реакции. Препоръчва се също внимание при прекратяване на едновременното прилагане на </w:t>
            </w:r>
            <w:r w:rsidRPr="001C266B">
              <w:rPr>
                <w:szCs w:val="20"/>
                <w:lang w:val="en-US"/>
              </w:rPr>
              <w:t>CYP</w:t>
            </w:r>
            <w:r w:rsidRPr="001C266B">
              <w:rPr>
                <w:szCs w:val="20"/>
                <w:lang w:val="ru-RU"/>
              </w:rPr>
              <w:t>1</w:t>
            </w:r>
            <w:r w:rsidRPr="001C266B">
              <w:rPr>
                <w:szCs w:val="20"/>
                <w:lang w:val="en-US"/>
              </w:rPr>
              <w:t>A</w:t>
            </w:r>
            <w:r w:rsidRPr="001C266B">
              <w:rPr>
                <w:szCs w:val="20"/>
                <w:lang w:val="ru-RU"/>
              </w:rPr>
              <w:t xml:space="preserve">2 </w:t>
            </w:r>
            <w:r w:rsidRPr="001C266B">
              <w:rPr>
                <w:szCs w:val="20"/>
              </w:rPr>
              <w:t xml:space="preserve">или </w:t>
            </w:r>
            <w:r w:rsidRPr="001C266B">
              <w:rPr>
                <w:szCs w:val="20"/>
                <w:lang w:val="en-US"/>
              </w:rPr>
              <w:t>CYP</w:t>
            </w:r>
            <w:r w:rsidRPr="001C266B">
              <w:rPr>
                <w:szCs w:val="20"/>
                <w:lang w:val="ru-RU"/>
              </w:rPr>
              <w:t>3</w:t>
            </w:r>
            <w:r w:rsidRPr="001C266B">
              <w:rPr>
                <w:szCs w:val="20"/>
                <w:lang w:val="en-US"/>
              </w:rPr>
              <w:t>A</w:t>
            </w:r>
            <w:r w:rsidRPr="001C266B">
              <w:rPr>
                <w:szCs w:val="20"/>
                <w:lang w:val="ru-RU"/>
              </w:rPr>
              <w:t xml:space="preserve">4 </w:t>
            </w:r>
            <w:r w:rsidRPr="001C266B">
              <w:rPr>
                <w:szCs w:val="20"/>
              </w:rPr>
              <w:t xml:space="preserve">инхибиращи лекарствени продукти, поради възможно понижение на нивата на клозапин. Ефектът на </w:t>
            </w:r>
            <w:r w:rsidRPr="001C266B">
              <w:rPr>
                <w:szCs w:val="20"/>
                <w:lang w:val="en-US"/>
              </w:rPr>
              <w:t>CYP2C</w:t>
            </w:r>
            <w:r w:rsidRPr="001C266B">
              <w:rPr>
                <w:szCs w:val="20"/>
              </w:rPr>
              <w:t>19 инхибицията може да бъде минимален.</w:t>
            </w:r>
          </w:p>
        </w:tc>
      </w:tr>
    </w:tbl>
    <w:p w14:paraId="73FED196" w14:textId="170F57FD" w:rsidR="001C266B" w:rsidRPr="001C266B" w:rsidRDefault="001C266B" w:rsidP="001C266B"/>
    <w:p w14:paraId="5D9F40EA" w14:textId="53BE963E" w:rsidR="007122AD" w:rsidRDefault="002C50EE" w:rsidP="00936AD0">
      <w:pPr>
        <w:pStyle w:val="Heading2"/>
      </w:pPr>
      <w:r>
        <w:t>4.6. Фертилитет, бременност и кърмене</w:t>
      </w:r>
    </w:p>
    <w:p w14:paraId="6BAA4A75" w14:textId="588E6E91" w:rsidR="001C266B" w:rsidRDefault="001C266B" w:rsidP="001C266B"/>
    <w:p w14:paraId="5899084C" w14:textId="77777777" w:rsidR="001C266B" w:rsidRPr="001C266B" w:rsidRDefault="001C266B" w:rsidP="001C266B">
      <w:pPr>
        <w:pStyle w:val="Heading3"/>
        <w:rPr>
          <w:rFonts w:eastAsia="Times New Roman"/>
          <w:sz w:val="28"/>
          <w:u w:val="single"/>
        </w:rPr>
      </w:pPr>
      <w:r w:rsidRPr="001C266B">
        <w:rPr>
          <w:rFonts w:eastAsia="Times New Roman"/>
          <w:u w:val="single"/>
          <w:lang w:eastAsia="bg-BG"/>
        </w:rPr>
        <w:t>Бременност</w:t>
      </w:r>
    </w:p>
    <w:p w14:paraId="01E0393C" w14:textId="77777777" w:rsidR="001C266B" w:rsidRPr="001C266B" w:rsidRDefault="001C266B" w:rsidP="001C266B">
      <w:pPr>
        <w:spacing w:line="240" w:lineRule="auto"/>
        <w:rPr>
          <w:rFonts w:eastAsia="Times New Roman" w:cs="Arial"/>
          <w:sz w:val="28"/>
          <w:szCs w:val="24"/>
        </w:rPr>
      </w:pPr>
      <w:r w:rsidRPr="001C266B">
        <w:rPr>
          <w:rFonts w:eastAsia="Times New Roman" w:cs="Arial"/>
          <w:color w:val="000000"/>
          <w:szCs w:val="20"/>
          <w:lang w:eastAsia="bg-BG"/>
        </w:rPr>
        <w:t>Налице са ограничени клинични данни за приложение на Лепонекс при бременни. Проучвания при животни не показват преки или непреки вредни ефекти по отношение на бременността, ембрионалното/феталното развитие, раждането или постнаталното развитие (вж. точка 5.3). Изисква се повишено внимание, когато се предписва на бременни жени.</w:t>
      </w:r>
    </w:p>
    <w:p w14:paraId="12005C4F" w14:textId="77777777" w:rsidR="001C266B" w:rsidRPr="001C266B" w:rsidRDefault="001C266B" w:rsidP="001C266B">
      <w:pPr>
        <w:spacing w:line="240" w:lineRule="auto"/>
        <w:rPr>
          <w:rFonts w:eastAsia="Times New Roman" w:cs="Arial"/>
          <w:color w:val="000000"/>
          <w:szCs w:val="20"/>
          <w:lang w:eastAsia="bg-BG"/>
        </w:rPr>
      </w:pPr>
    </w:p>
    <w:p w14:paraId="32E20E4E" w14:textId="77777777" w:rsidR="001C266B" w:rsidRPr="001C266B" w:rsidRDefault="001C266B" w:rsidP="001C266B">
      <w:pPr>
        <w:spacing w:line="240" w:lineRule="auto"/>
        <w:rPr>
          <w:rFonts w:eastAsia="Times New Roman" w:cs="Arial"/>
          <w:sz w:val="28"/>
          <w:szCs w:val="24"/>
        </w:rPr>
      </w:pPr>
      <w:r w:rsidRPr="001C266B">
        <w:rPr>
          <w:rFonts w:eastAsia="Times New Roman" w:cs="Arial"/>
          <w:color w:val="000000"/>
          <w:szCs w:val="20"/>
          <w:lang w:eastAsia="bg-BG"/>
        </w:rPr>
        <w:t>При новородени, които са били изложени на действието на антипсихотични лекарства (вкл. Лепонекс) по време на третия триместьр от бременността, съществува риск от нежелани лекарствени реакции, включващи екстрадирам идни симптоми и/или симптоми на отнемане, които могат да варират по тежест и продължителност след раждането. Има съобщения за възбуда, хипертония, хипотония, тремор, сънливост, дихателен дистрес или нарушение на храненето. Следователно, новородените трябва да бъдат наблюдавани внимателно.</w:t>
      </w:r>
    </w:p>
    <w:p w14:paraId="254B9B62" w14:textId="77777777" w:rsidR="001C266B" w:rsidRPr="001C266B" w:rsidRDefault="001C266B" w:rsidP="001C266B">
      <w:pPr>
        <w:spacing w:line="240" w:lineRule="auto"/>
        <w:rPr>
          <w:rFonts w:eastAsia="Times New Roman" w:cs="Arial"/>
          <w:color w:val="000000"/>
          <w:szCs w:val="20"/>
          <w:u w:val="single"/>
          <w:lang w:eastAsia="bg-BG"/>
        </w:rPr>
      </w:pPr>
    </w:p>
    <w:p w14:paraId="6094B84B" w14:textId="77777777" w:rsidR="001C266B" w:rsidRPr="001C266B" w:rsidRDefault="001C266B" w:rsidP="001C266B">
      <w:pPr>
        <w:pStyle w:val="Heading3"/>
        <w:rPr>
          <w:rFonts w:eastAsia="Times New Roman"/>
          <w:sz w:val="28"/>
          <w:u w:val="single"/>
        </w:rPr>
      </w:pPr>
      <w:r w:rsidRPr="001C266B">
        <w:rPr>
          <w:rFonts w:eastAsia="Times New Roman"/>
          <w:u w:val="single"/>
          <w:lang w:eastAsia="bg-BG"/>
        </w:rPr>
        <w:t>Кърмене</w:t>
      </w:r>
    </w:p>
    <w:p w14:paraId="446F1034" w14:textId="77777777" w:rsidR="001C266B" w:rsidRPr="001C266B" w:rsidRDefault="001C266B" w:rsidP="001C266B">
      <w:pPr>
        <w:spacing w:line="240" w:lineRule="auto"/>
        <w:rPr>
          <w:rFonts w:eastAsia="Times New Roman" w:cs="Arial"/>
          <w:sz w:val="28"/>
          <w:szCs w:val="24"/>
        </w:rPr>
      </w:pPr>
      <w:r w:rsidRPr="001C266B">
        <w:rPr>
          <w:rFonts w:eastAsia="Times New Roman" w:cs="Arial"/>
          <w:color w:val="000000"/>
          <w:szCs w:val="20"/>
          <w:lang w:eastAsia="bg-BG"/>
        </w:rPr>
        <w:t xml:space="preserve">Проучвания при животни предполагат, че клозапин се екскретира в кърмата </w:t>
      </w:r>
      <w:r w:rsidRPr="001C266B">
        <w:rPr>
          <w:rFonts w:eastAsia="Times New Roman" w:cs="Arial"/>
          <w:i/>
          <w:iCs/>
          <w:color w:val="000000"/>
          <w:szCs w:val="20"/>
          <w:lang w:eastAsia="bg-BG"/>
        </w:rPr>
        <w:t>и</w:t>
      </w:r>
      <w:r w:rsidRPr="001C266B">
        <w:rPr>
          <w:rFonts w:eastAsia="Times New Roman" w:cs="Arial"/>
          <w:color w:val="000000"/>
          <w:szCs w:val="20"/>
          <w:lang w:eastAsia="bg-BG"/>
        </w:rPr>
        <w:t xml:space="preserve"> оказва влияние върху кърмачето. Затова майките, получаващи Лепонекс, не трябва да кърмят.</w:t>
      </w:r>
    </w:p>
    <w:p w14:paraId="73CD7780" w14:textId="77777777" w:rsidR="001C266B" w:rsidRPr="001C266B" w:rsidRDefault="001C266B" w:rsidP="001C266B">
      <w:pPr>
        <w:spacing w:line="240" w:lineRule="auto"/>
        <w:rPr>
          <w:rFonts w:eastAsia="Times New Roman" w:cs="Arial"/>
          <w:color w:val="000000"/>
          <w:szCs w:val="20"/>
          <w:u w:val="single"/>
          <w:lang w:eastAsia="bg-BG"/>
        </w:rPr>
      </w:pPr>
    </w:p>
    <w:p w14:paraId="2C6E56D2" w14:textId="77777777" w:rsidR="001C266B" w:rsidRPr="001C266B" w:rsidRDefault="001C266B" w:rsidP="001C266B">
      <w:pPr>
        <w:pStyle w:val="Heading3"/>
        <w:rPr>
          <w:rFonts w:eastAsia="Times New Roman"/>
          <w:sz w:val="28"/>
          <w:u w:val="single"/>
        </w:rPr>
      </w:pPr>
      <w:r w:rsidRPr="001C266B">
        <w:rPr>
          <w:rFonts w:eastAsia="Times New Roman"/>
          <w:u w:val="single"/>
          <w:lang w:eastAsia="bg-BG"/>
        </w:rPr>
        <w:t>Фертилитет</w:t>
      </w:r>
    </w:p>
    <w:p w14:paraId="200590BB" w14:textId="77777777" w:rsidR="001C266B" w:rsidRPr="001C266B" w:rsidRDefault="001C266B" w:rsidP="001C266B">
      <w:pPr>
        <w:spacing w:line="240" w:lineRule="auto"/>
        <w:rPr>
          <w:rFonts w:eastAsia="Times New Roman" w:cs="Arial"/>
          <w:sz w:val="28"/>
          <w:szCs w:val="24"/>
        </w:rPr>
      </w:pPr>
      <w:r w:rsidRPr="001C266B">
        <w:rPr>
          <w:rFonts w:eastAsia="Times New Roman" w:cs="Arial"/>
          <w:color w:val="000000"/>
          <w:szCs w:val="20"/>
          <w:lang w:eastAsia="bg-BG"/>
        </w:rPr>
        <w:t xml:space="preserve">Наличните ограничени данни относно влиянието на клозапин върху фертилитета при хора са неубедителни. При мъжки и женски плъхове клозапин не повлиява фертилитета, когато се прилага до 40 </w:t>
      </w:r>
      <w:r w:rsidRPr="001C266B">
        <w:rPr>
          <w:rFonts w:eastAsia="Times New Roman" w:cs="Arial"/>
          <w:color w:val="000000"/>
          <w:szCs w:val="20"/>
          <w:lang w:val="en-US"/>
        </w:rPr>
        <w:t>mg</w:t>
      </w:r>
      <w:r w:rsidRPr="001C266B">
        <w:rPr>
          <w:rFonts w:eastAsia="Times New Roman" w:cs="Arial"/>
          <w:color w:val="000000"/>
          <w:szCs w:val="20"/>
          <w:lang w:val="ru-RU"/>
        </w:rPr>
        <w:t>/</w:t>
      </w:r>
      <w:r w:rsidRPr="001C266B">
        <w:rPr>
          <w:rFonts w:eastAsia="Times New Roman" w:cs="Arial"/>
          <w:color w:val="000000"/>
          <w:szCs w:val="20"/>
          <w:lang w:val="en-US"/>
        </w:rPr>
        <w:t>kg</w:t>
      </w:r>
      <w:r w:rsidRPr="001C266B">
        <w:rPr>
          <w:rFonts w:eastAsia="Times New Roman" w:cs="Arial"/>
          <w:color w:val="000000"/>
          <w:szCs w:val="20"/>
          <w:lang w:val="ru-RU"/>
        </w:rPr>
        <w:t xml:space="preserve">, </w:t>
      </w:r>
      <w:r w:rsidRPr="001C266B">
        <w:rPr>
          <w:rFonts w:eastAsia="Times New Roman" w:cs="Arial"/>
          <w:color w:val="000000"/>
          <w:szCs w:val="20"/>
          <w:lang w:eastAsia="bg-BG"/>
        </w:rPr>
        <w:t xml:space="preserve">което съответства на еквивалентна доза при хора от 6,4 </w:t>
      </w:r>
      <w:r w:rsidRPr="001C266B">
        <w:rPr>
          <w:rFonts w:eastAsia="Times New Roman" w:cs="Arial"/>
          <w:color w:val="000000"/>
          <w:szCs w:val="20"/>
          <w:lang w:val="en-US"/>
        </w:rPr>
        <w:t>mg</w:t>
      </w:r>
      <w:r w:rsidRPr="001C266B">
        <w:rPr>
          <w:rFonts w:eastAsia="Times New Roman" w:cs="Arial"/>
          <w:color w:val="000000"/>
          <w:szCs w:val="20"/>
          <w:lang w:val="ru-RU"/>
        </w:rPr>
        <w:t>/</w:t>
      </w:r>
      <w:r w:rsidRPr="001C266B">
        <w:rPr>
          <w:rFonts w:eastAsia="Times New Roman" w:cs="Arial"/>
          <w:color w:val="000000"/>
          <w:szCs w:val="20"/>
          <w:lang w:val="en-US"/>
        </w:rPr>
        <w:t>kg</w:t>
      </w:r>
      <w:r w:rsidRPr="001C266B">
        <w:rPr>
          <w:rFonts w:eastAsia="Times New Roman" w:cs="Arial"/>
          <w:color w:val="000000"/>
          <w:szCs w:val="20"/>
          <w:lang w:val="ru-RU"/>
        </w:rPr>
        <w:t xml:space="preserve"> </w:t>
      </w:r>
      <w:r w:rsidRPr="001C266B">
        <w:rPr>
          <w:rFonts w:eastAsia="Times New Roman" w:cs="Arial"/>
          <w:color w:val="000000"/>
          <w:szCs w:val="20"/>
          <w:lang w:eastAsia="bg-BG"/>
        </w:rPr>
        <w:t>или приблизително една трета от максимално допустимата доза при възрастни хора.</w:t>
      </w:r>
    </w:p>
    <w:p w14:paraId="108E12A1" w14:textId="77777777" w:rsidR="001C266B" w:rsidRPr="001C266B" w:rsidRDefault="001C266B" w:rsidP="001C266B">
      <w:pPr>
        <w:spacing w:line="240" w:lineRule="auto"/>
        <w:rPr>
          <w:rFonts w:eastAsia="Times New Roman" w:cs="Arial"/>
          <w:color w:val="000000"/>
          <w:szCs w:val="20"/>
          <w:u w:val="single"/>
          <w:lang w:eastAsia="bg-BG"/>
        </w:rPr>
      </w:pPr>
    </w:p>
    <w:p w14:paraId="356D62E9" w14:textId="77777777" w:rsidR="001C266B" w:rsidRPr="001C266B" w:rsidRDefault="001C266B" w:rsidP="001C266B">
      <w:pPr>
        <w:spacing w:line="240" w:lineRule="auto"/>
        <w:rPr>
          <w:rFonts w:eastAsia="Times New Roman" w:cs="Arial"/>
          <w:sz w:val="28"/>
          <w:szCs w:val="24"/>
        </w:rPr>
      </w:pPr>
      <w:r w:rsidRPr="001C266B">
        <w:rPr>
          <w:rFonts w:eastAsia="Times New Roman" w:cs="Arial"/>
          <w:color w:val="000000"/>
          <w:szCs w:val="20"/>
          <w:u w:val="single"/>
          <w:lang w:eastAsia="bg-BG"/>
        </w:rPr>
        <w:t>Жени в детеродна възраст</w:t>
      </w:r>
    </w:p>
    <w:p w14:paraId="407855DE" w14:textId="77777777" w:rsidR="001C266B" w:rsidRPr="001C266B" w:rsidRDefault="001C266B" w:rsidP="001C266B">
      <w:pPr>
        <w:spacing w:line="240" w:lineRule="auto"/>
        <w:rPr>
          <w:rFonts w:eastAsia="Times New Roman" w:cs="Arial"/>
          <w:sz w:val="28"/>
          <w:szCs w:val="24"/>
        </w:rPr>
      </w:pPr>
      <w:r w:rsidRPr="001C266B">
        <w:rPr>
          <w:rFonts w:eastAsia="Times New Roman" w:cs="Arial"/>
          <w:color w:val="000000"/>
          <w:szCs w:val="20"/>
          <w:lang w:eastAsia="bg-BG"/>
        </w:rPr>
        <w:t>Възможно е възвръщане на редовната менструация в резултат на преминаване от лечение с други антипсихотици към Лепонекс. Затова трябва да се осигурят адекватни мерки за контрацепция при жени в детеродна възраст.</w:t>
      </w:r>
    </w:p>
    <w:p w14:paraId="6B34832B" w14:textId="77777777" w:rsidR="001C266B" w:rsidRPr="001C266B" w:rsidRDefault="001C266B" w:rsidP="001C266B"/>
    <w:p w14:paraId="5DD7A76D" w14:textId="6382FB97" w:rsidR="007122AD" w:rsidRDefault="002C50EE" w:rsidP="00936AD0">
      <w:pPr>
        <w:pStyle w:val="Heading2"/>
      </w:pPr>
      <w:r>
        <w:t>4.7. Ефекти върху способността за шофиране и работа с машини</w:t>
      </w:r>
    </w:p>
    <w:p w14:paraId="32FAB6CF" w14:textId="5743ECB4" w:rsidR="001C266B" w:rsidRDefault="001C266B" w:rsidP="001C266B"/>
    <w:p w14:paraId="595DC2CD" w14:textId="0D988B29" w:rsidR="001C266B" w:rsidRPr="001C266B" w:rsidRDefault="001C266B" w:rsidP="001C266B">
      <w:pPr>
        <w:rPr>
          <w:sz w:val="24"/>
          <w:szCs w:val="24"/>
        </w:rPr>
      </w:pPr>
      <w:r w:rsidRPr="001C266B">
        <w:rPr>
          <w:lang w:eastAsia="bg-BG"/>
        </w:rPr>
        <w:t>Поради способността на Лепонекс да предизвиква седиране и да понижава гърчовия праг, трябва да се избягват дейности като шофиране и работа с машини, особено в</w:t>
      </w:r>
      <w:r>
        <w:rPr>
          <w:lang w:eastAsia="bg-BG"/>
        </w:rPr>
        <w:t xml:space="preserve"> началните седмици от лечението.</w:t>
      </w:r>
    </w:p>
    <w:p w14:paraId="63DC967F" w14:textId="77777777" w:rsidR="001C266B" w:rsidRPr="001C266B" w:rsidRDefault="001C266B" w:rsidP="001C266B"/>
    <w:p w14:paraId="44CE30A3" w14:textId="301F68FB" w:rsidR="007122AD" w:rsidRDefault="002C50EE" w:rsidP="00936AD0">
      <w:pPr>
        <w:pStyle w:val="Heading2"/>
      </w:pPr>
      <w:r>
        <w:t>4.8. Нежелани лекарствени реакции</w:t>
      </w:r>
    </w:p>
    <w:p w14:paraId="400B2ACB" w14:textId="07757DC6" w:rsidR="001C266B" w:rsidRDefault="001C266B" w:rsidP="001C266B"/>
    <w:p w14:paraId="54021756" w14:textId="77777777"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Обобщение на профила на безопасност</w:t>
      </w:r>
    </w:p>
    <w:p w14:paraId="7CCC1E00" w14:textId="77777777" w:rsidR="001C266B" w:rsidRPr="001C266B" w:rsidRDefault="001C266B" w:rsidP="001C266B">
      <w:pPr>
        <w:rPr>
          <w:rFonts w:eastAsia="Times New Roman" w:cs="Arial"/>
        </w:rPr>
      </w:pPr>
      <w:r w:rsidRPr="001C266B">
        <w:rPr>
          <w:rFonts w:eastAsia="Times New Roman" w:cs="Arial"/>
          <w:color w:val="000000"/>
          <w:lang w:eastAsia="bg-BG"/>
        </w:rPr>
        <w:t>В по-голямата си част, профилът на нежеланите събития на клозапин е предсказуем като се изхожда от фармакологичните му свойства. Важно изключение е тенденцията да предизвиква агранулоцитоза (вж, точка 4.4). Поради този риск употребата му е ограничена до резистентна към лечението шизофрения и психоза, възникващи по време на болестта на Паркинсон, в случаите, когато стандартното лечение е неуспешно. Докато мониторирането на кръвта е съществена част от грижите за пациентите, лекувани с клозапин, лекарят трябва да е запознат с други редки, но сериозни нежелани реакции, които могат да бъдат диагностицирани в ранните стадии само чрез внимателно наблюдение и разпитване на пациента, за да се предотврати заболеваемостта и смъртност.</w:t>
      </w:r>
    </w:p>
    <w:p w14:paraId="23C11E45" w14:textId="77777777" w:rsidR="001C266B" w:rsidRPr="001C266B" w:rsidRDefault="001C266B" w:rsidP="001C266B">
      <w:pPr>
        <w:spacing w:line="240" w:lineRule="auto"/>
        <w:rPr>
          <w:rFonts w:eastAsia="Times New Roman" w:cs="Arial"/>
          <w:color w:val="000000"/>
          <w:lang w:eastAsia="bg-BG"/>
        </w:rPr>
      </w:pPr>
    </w:p>
    <w:p w14:paraId="3DA7E0BC" w14:textId="2ED7B17F" w:rsidR="001C266B" w:rsidRPr="001C266B" w:rsidRDefault="001C266B" w:rsidP="001C266B">
      <w:pPr>
        <w:spacing w:line="240" w:lineRule="auto"/>
        <w:rPr>
          <w:rFonts w:eastAsia="Times New Roman" w:cs="Arial"/>
        </w:rPr>
      </w:pPr>
      <w:r w:rsidRPr="001C266B">
        <w:rPr>
          <w:rFonts w:eastAsia="Times New Roman" w:cs="Arial"/>
          <w:color w:val="000000"/>
          <w:lang w:eastAsia="bg-BG"/>
        </w:rPr>
        <w:t>Най-сериозните нежелани реакции при клозапин са агранулоцитоза, гърчове, сърдечно-съдови ефекти и повишена температура (вж. точка 4.4). Най-честите странични ефекти са сънливост/седация, замаяност, тахикардия, констипация и хиперсаливация.</w:t>
      </w:r>
    </w:p>
    <w:p w14:paraId="6760C38B" w14:textId="77777777" w:rsidR="001C266B" w:rsidRPr="001C266B" w:rsidRDefault="001C266B" w:rsidP="001C266B">
      <w:pPr>
        <w:spacing w:line="240" w:lineRule="auto"/>
        <w:rPr>
          <w:rFonts w:eastAsia="Times New Roman" w:cs="Arial"/>
          <w:color w:val="000000"/>
          <w:lang w:eastAsia="bg-BG"/>
        </w:rPr>
      </w:pPr>
    </w:p>
    <w:p w14:paraId="6C655427" w14:textId="42B2FB55" w:rsidR="001C266B" w:rsidRPr="001C266B" w:rsidRDefault="001C266B" w:rsidP="001C266B">
      <w:pPr>
        <w:spacing w:line="240" w:lineRule="auto"/>
        <w:rPr>
          <w:rFonts w:eastAsia="Times New Roman" w:cs="Arial"/>
        </w:rPr>
      </w:pPr>
      <w:r w:rsidRPr="001C266B">
        <w:rPr>
          <w:rFonts w:eastAsia="Times New Roman" w:cs="Arial"/>
          <w:color w:val="000000"/>
          <w:lang w:eastAsia="bg-BG"/>
        </w:rPr>
        <w:t>Данните от клинични изпитвания показват, че променлива част от пациентите лекувани с клозапин (от 7,1 до 15,6 %), са прекъснали участието си в клиничните изпитвания поради нежелано събитие, като са включени само тези, които логично могат да се свържат с клозапин. По-честите събития смятани за причина за прекъсване участието в изпитванията са били левкопения, сънливост, замаяност (изключвайки вертиго) и психотично разстройство.</w:t>
      </w:r>
    </w:p>
    <w:p w14:paraId="1116A384" w14:textId="77777777" w:rsidR="001C266B" w:rsidRPr="001C266B" w:rsidRDefault="001C266B" w:rsidP="001C266B">
      <w:pPr>
        <w:spacing w:line="240" w:lineRule="auto"/>
        <w:rPr>
          <w:rFonts w:eastAsia="Times New Roman" w:cs="Arial"/>
          <w:color w:val="000000"/>
          <w:u w:val="single"/>
          <w:lang w:eastAsia="bg-BG"/>
        </w:rPr>
      </w:pPr>
    </w:p>
    <w:p w14:paraId="065A3D6E" w14:textId="063A9945"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Кръв и лимфна система</w:t>
      </w:r>
    </w:p>
    <w:p w14:paraId="4EF34FBF"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Развитието на гранулоцитопения и агранулоцитоза е риск, свързан с лечението с Лепонекс. Въпреки че като цяло са обратими при преустановяване на лечението, агранулоцитозата може да доведе до сепсис и това да се окаже фатално. Тъй като е необходимо незабавно прекратяване на лечението, за да се предотврати развитието на животозастрашаваща агранулоцитоза, мониторирането на броя на левкоцитите е задължително (вж. точка 4.4). Таблица 3 по-долу обобщава прогнозираната честота на агранулоцитоза за всеки период на лечение с Лепонекс.</w:t>
      </w:r>
    </w:p>
    <w:p w14:paraId="08AA5C38" w14:textId="77777777" w:rsidR="001C266B" w:rsidRPr="001C266B" w:rsidRDefault="001C266B" w:rsidP="001C266B">
      <w:pPr>
        <w:spacing w:line="240" w:lineRule="auto"/>
        <w:rPr>
          <w:rFonts w:eastAsia="Times New Roman" w:cs="Arial"/>
          <w:b/>
          <w:bCs/>
          <w:color w:val="000000"/>
          <w:lang w:eastAsia="bg-BG"/>
        </w:rPr>
      </w:pPr>
    </w:p>
    <w:p w14:paraId="6747215C" w14:textId="2C8BC251" w:rsidR="001C266B" w:rsidRPr="001C266B" w:rsidRDefault="001C266B" w:rsidP="001C266B">
      <w:pPr>
        <w:spacing w:line="240" w:lineRule="auto"/>
        <w:rPr>
          <w:rFonts w:ascii="Times New Roman" w:eastAsia="Times New Roman" w:hAnsi="Times New Roman" w:cs="Times New Roman"/>
          <w:sz w:val="24"/>
          <w:szCs w:val="24"/>
        </w:rPr>
      </w:pPr>
      <w:r w:rsidRPr="001C266B">
        <w:rPr>
          <w:rFonts w:eastAsia="Times New Roman" w:cs="Arial"/>
          <w:b/>
          <w:bCs/>
          <w:color w:val="000000"/>
          <w:lang w:eastAsia="bg-BG"/>
        </w:rPr>
        <w:t xml:space="preserve">Таблица </w:t>
      </w:r>
      <w:r w:rsidRPr="001C266B">
        <w:rPr>
          <w:rFonts w:eastAsia="Times New Roman" w:cs="Arial"/>
          <w:color w:val="000000"/>
          <w:lang w:eastAsia="bg-BG"/>
        </w:rPr>
        <w:t>3: Прогнозирана честота на агранулоцитоза</w:t>
      </w:r>
      <w:r w:rsidRPr="001C266B">
        <w:rPr>
          <w:rFonts w:eastAsia="Times New Roman" w:cs="Arial"/>
          <w:color w:val="000000"/>
          <w:vertAlign w:val="superscript"/>
          <w:lang w:eastAsia="bg-BG"/>
        </w:rPr>
        <w:t>1</w:t>
      </w:r>
    </w:p>
    <w:tbl>
      <w:tblPr>
        <w:tblStyle w:val="TableGrid"/>
        <w:tblW w:w="0" w:type="auto"/>
        <w:tblLook w:val="04A0" w:firstRow="1" w:lastRow="0" w:firstColumn="1" w:lastColumn="0" w:noHBand="0" w:noVBand="1"/>
      </w:tblPr>
      <w:tblGrid>
        <w:gridCol w:w="4661"/>
        <w:gridCol w:w="4689"/>
      </w:tblGrid>
      <w:tr w:rsidR="001C266B" w14:paraId="323B4788" w14:textId="77777777" w:rsidTr="001C266B">
        <w:tc>
          <w:tcPr>
            <w:tcW w:w="4788" w:type="dxa"/>
          </w:tcPr>
          <w:p w14:paraId="1186B575" w14:textId="47A082DC" w:rsidR="001C266B" w:rsidRPr="001C266B" w:rsidRDefault="001C266B" w:rsidP="001C266B">
            <w:r w:rsidRPr="001C266B">
              <w:rPr>
                <w:b/>
                <w:bCs/>
                <w:szCs w:val="20"/>
              </w:rPr>
              <w:t>Период на лечение</w:t>
            </w:r>
          </w:p>
        </w:tc>
        <w:tc>
          <w:tcPr>
            <w:tcW w:w="4788" w:type="dxa"/>
          </w:tcPr>
          <w:p w14:paraId="77EBF5A2" w14:textId="73C91C3E" w:rsidR="001C266B" w:rsidRPr="001C266B" w:rsidRDefault="001C266B" w:rsidP="001C266B">
            <w:r w:rsidRPr="001C266B">
              <w:rPr>
                <w:b/>
                <w:bCs/>
                <w:szCs w:val="20"/>
              </w:rPr>
              <w:t>Честота на агранулоцитоза за 100 000 човеко-седмици на наблюдение</w:t>
            </w:r>
            <w:r w:rsidRPr="001C266B">
              <w:rPr>
                <w:b/>
                <w:bCs/>
                <w:szCs w:val="20"/>
                <w:vertAlign w:val="superscript"/>
              </w:rPr>
              <w:t>2</w:t>
            </w:r>
          </w:p>
        </w:tc>
      </w:tr>
      <w:tr w:rsidR="001C266B" w14:paraId="16146275" w14:textId="77777777" w:rsidTr="001C266B">
        <w:tc>
          <w:tcPr>
            <w:tcW w:w="4788" w:type="dxa"/>
          </w:tcPr>
          <w:p w14:paraId="2733F3AA" w14:textId="054D6D10" w:rsidR="001C266B" w:rsidRPr="001C266B" w:rsidRDefault="001C266B" w:rsidP="001C266B">
            <w:r w:rsidRPr="001C266B">
              <w:rPr>
                <w:szCs w:val="20"/>
              </w:rPr>
              <w:t>Седмици 0-18</w:t>
            </w:r>
          </w:p>
        </w:tc>
        <w:tc>
          <w:tcPr>
            <w:tcW w:w="4788" w:type="dxa"/>
          </w:tcPr>
          <w:p w14:paraId="0F1790A2" w14:textId="065DC014" w:rsidR="001C266B" w:rsidRPr="001C266B" w:rsidRDefault="001C266B" w:rsidP="001C266B">
            <w:r w:rsidRPr="001C266B">
              <w:rPr>
                <w:szCs w:val="20"/>
              </w:rPr>
              <w:t>32,0</w:t>
            </w:r>
          </w:p>
        </w:tc>
      </w:tr>
      <w:tr w:rsidR="001C266B" w14:paraId="77DD3087" w14:textId="77777777" w:rsidTr="001C266B">
        <w:tc>
          <w:tcPr>
            <w:tcW w:w="4788" w:type="dxa"/>
          </w:tcPr>
          <w:p w14:paraId="2711E08C" w14:textId="559E7AC2" w:rsidR="001C266B" w:rsidRPr="001C266B" w:rsidRDefault="001C266B" w:rsidP="001C266B">
            <w:r w:rsidRPr="001C266B">
              <w:rPr>
                <w:szCs w:val="20"/>
              </w:rPr>
              <w:t>Седмици 19-52</w:t>
            </w:r>
          </w:p>
        </w:tc>
        <w:tc>
          <w:tcPr>
            <w:tcW w:w="4788" w:type="dxa"/>
          </w:tcPr>
          <w:p w14:paraId="73E01D9E" w14:textId="3BD846DC" w:rsidR="001C266B" w:rsidRPr="001C266B" w:rsidRDefault="001C266B" w:rsidP="001C266B">
            <w:r w:rsidRPr="001C266B">
              <w:rPr>
                <w:szCs w:val="20"/>
              </w:rPr>
              <w:t>2,3</w:t>
            </w:r>
          </w:p>
        </w:tc>
      </w:tr>
      <w:tr w:rsidR="001C266B" w14:paraId="0A7FEFEA" w14:textId="77777777" w:rsidTr="001C266B">
        <w:tc>
          <w:tcPr>
            <w:tcW w:w="4788" w:type="dxa"/>
          </w:tcPr>
          <w:p w14:paraId="7B9BAE3D" w14:textId="73232C5A" w:rsidR="001C266B" w:rsidRPr="001C266B" w:rsidRDefault="001C266B" w:rsidP="001C266B">
            <w:r w:rsidRPr="001C266B">
              <w:rPr>
                <w:szCs w:val="20"/>
              </w:rPr>
              <w:t>Седмица 53 или повече</w:t>
            </w:r>
          </w:p>
        </w:tc>
        <w:tc>
          <w:tcPr>
            <w:tcW w:w="4788" w:type="dxa"/>
          </w:tcPr>
          <w:p w14:paraId="1E785C76" w14:textId="27696F02" w:rsidR="001C266B" w:rsidRPr="001C266B" w:rsidRDefault="001C266B" w:rsidP="001C266B">
            <w:r w:rsidRPr="001C266B">
              <w:rPr>
                <w:szCs w:val="20"/>
              </w:rPr>
              <w:t>1,8</w:t>
            </w:r>
          </w:p>
        </w:tc>
      </w:tr>
    </w:tbl>
    <w:p w14:paraId="7B4E3E93" w14:textId="4277DAEE" w:rsidR="001C266B" w:rsidRPr="001C266B" w:rsidRDefault="001C266B" w:rsidP="001C266B">
      <w:pPr>
        <w:spacing w:line="240" w:lineRule="auto"/>
        <w:rPr>
          <w:rFonts w:eastAsia="Times New Roman" w:cs="Arial"/>
        </w:rPr>
      </w:pPr>
      <w:r w:rsidRPr="001C266B">
        <w:rPr>
          <w:rFonts w:eastAsia="Times New Roman" w:cs="Arial"/>
          <w:color w:val="000000"/>
          <w:vertAlign w:val="superscript"/>
          <w:lang w:eastAsia="bg-BG"/>
        </w:rPr>
        <w:t>1</w:t>
      </w:r>
      <w:r w:rsidRPr="001C266B">
        <w:rPr>
          <w:rFonts w:eastAsia="Times New Roman" w:cs="Arial"/>
          <w:color w:val="000000"/>
          <w:lang w:eastAsia="bg-BG"/>
        </w:rPr>
        <w:t xml:space="preserve"> От Регистъра за доживотен опит на службата за мониторинг на пациентите на Клозарил в Обединеното кралство, за периода 1989 - 2001.</w:t>
      </w:r>
    </w:p>
    <w:p w14:paraId="03C3916E" w14:textId="77777777" w:rsidR="001C266B" w:rsidRPr="001C266B" w:rsidRDefault="001C266B" w:rsidP="001C266B">
      <w:pPr>
        <w:spacing w:line="240" w:lineRule="auto"/>
        <w:rPr>
          <w:rFonts w:eastAsia="Times New Roman" w:cs="Arial"/>
        </w:rPr>
      </w:pPr>
      <w:r w:rsidRPr="001C266B">
        <w:rPr>
          <w:rFonts w:eastAsia="Times New Roman" w:cs="Arial"/>
          <w:color w:val="000000"/>
          <w:vertAlign w:val="superscript"/>
          <w:lang w:eastAsia="bg-BG"/>
        </w:rPr>
        <w:t>2</w:t>
      </w:r>
      <w:r w:rsidRPr="001C266B">
        <w:rPr>
          <w:rFonts w:eastAsia="Times New Roman" w:cs="Arial"/>
          <w:color w:val="000000"/>
          <w:lang w:eastAsia="bg-BG"/>
        </w:rPr>
        <w:t xml:space="preserve"> Човеко-времето е сумата от отделни единици от времето, през които пациентите включени в регистъра са били на лечение с Лепонекс, преди да са имали агранулоцитоза. Например, 100 000 човеко-седмици могат да бъдат наблюдавани при 1 000 пациенти, които са били в регистъра за 100 седмици (100 * 1 000 = 100 000), или при 200 пациенти, които са били в регистъра в продължение на 500 седмици (200 * 500 = 100 000) преди да са имали агранулоцитоза.</w:t>
      </w:r>
    </w:p>
    <w:p w14:paraId="0084E359" w14:textId="77777777" w:rsidR="001C266B" w:rsidRPr="001C266B" w:rsidRDefault="001C266B" w:rsidP="001C266B">
      <w:pPr>
        <w:spacing w:line="240" w:lineRule="auto"/>
        <w:rPr>
          <w:rFonts w:eastAsia="Times New Roman" w:cs="Arial"/>
          <w:color w:val="000000"/>
          <w:lang w:eastAsia="bg-BG"/>
        </w:rPr>
      </w:pPr>
    </w:p>
    <w:p w14:paraId="00AEDE8A" w14:textId="0B16B0AF" w:rsidR="001C266B" w:rsidRPr="001C266B" w:rsidRDefault="001C266B" w:rsidP="001C266B">
      <w:pPr>
        <w:spacing w:line="240" w:lineRule="auto"/>
        <w:rPr>
          <w:rFonts w:eastAsia="Times New Roman" w:cs="Arial"/>
        </w:rPr>
      </w:pPr>
      <w:r w:rsidRPr="001C266B">
        <w:rPr>
          <w:rFonts w:eastAsia="Times New Roman" w:cs="Arial"/>
          <w:color w:val="000000"/>
          <w:lang w:eastAsia="bg-BG"/>
        </w:rPr>
        <w:t>Кумулативната честота на агранулоцитоза в Регистъра за доживотен опит на службата за мониторинг на пациентите на Клозарил в Обединеното кралство (0 - 11,6 години между 1989 и 2001 г.) е 0,78%. По-голямата част от случаите (приблизително 70%) се появяват през първите 18 седмици от лечението.</w:t>
      </w:r>
    </w:p>
    <w:p w14:paraId="322673E6" w14:textId="77777777" w:rsidR="001C266B" w:rsidRPr="001C266B" w:rsidRDefault="001C266B" w:rsidP="001C266B">
      <w:pPr>
        <w:spacing w:line="240" w:lineRule="auto"/>
        <w:rPr>
          <w:rFonts w:eastAsia="Times New Roman" w:cs="Arial"/>
          <w:color w:val="000000"/>
          <w:u w:val="single"/>
          <w:lang w:eastAsia="bg-BG"/>
        </w:rPr>
      </w:pPr>
    </w:p>
    <w:p w14:paraId="4F9C02BD" w14:textId="05128289"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Нарушения на метаболизма и храненето</w:t>
      </w:r>
    </w:p>
    <w:p w14:paraId="7B348DC2" w14:textId="08391163" w:rsidR="001C266B" w:rsidRPr="001C266B" w:rsidRDefault="001C266B" w:rsidP="001C266B">
      <w:pPr>
        <w:rPr>
          <w:rFonts w:eastAsia="Times New Roman" w:cs="Arial"/>
          <w:color w:val="000000"/>
          <w:lang w:eastAsia="bg-BG"/>
        </w:rPr>
      </w:pPr>
      <w:r w:rsidRPr="001C266B">
        <w:rPr>
          <w:rFonts w:eastAsia="Times New Roman" w:cs="Arial"/>
          <w:color w:val="000000"/>
          <w:lang w:eastAsia="bg-BG"/>
        </w:rPr>
        <w:t xml:space="preserve">Нарушен глюкозен толеранс и/или развитие или обостряне на захарен диабет са докладвани рядко по време на лечението с клозапин. В много редки случаи се съобщава за тежка хипергликемия, понякога водеща до кетоацидоза/хиперосмоларна кома, при пациенти лекувани е </w:t>
      </w:r>
      <w:proofErr w:type="spellStart"/>
      <w:r w:rsidRPr="001C266B">
        <w:rPr>
          <w:rFonts w:eastAsia="Times New Roman" w:cs="Arial"/>
          <w:color w:val="000000"/>
          <w:lang w:val="en-US"/>
        </w:rPr>
        <w:t>Leponex</w:t>
      </w:r>
      <w:proofErr w:type="spellEnd"/>
      <w:r w:rsidRPr="001C266B">
        <w:rPr>
          <w:rFonts w:eastAsia="Times New Roman" w:cs="Arial"/>
          <w:color w:val="000000"/>
          <w:lang w:val="ru-RU"/>
        </w:rPr>
        <w:t xml:space="preserve"> </w:t>
      </w:r>
      <w:r w:rsidRPr="001C266B">
        <w:rPr>
          <w:rFonts w:eastAsia="Times New Roman" w:cs="Arial"/>
          <w:color w:val="000000"/>
          <w:lang w:eastAsia="bg-BG"/>
        </w:rPr>
        <w:t xml:space="preserve">без анамнеза за хипергликемия. Нивата на глюкоза се нормализират при повечето пациенти след прекъсване на лечението с </w:t>
      </w:r>
      <w:proofErr w:type="spellStart"/>
      <w:r w:rsidRPr="001C266B">
        <w:rPr>
          <w:rFonts w:eastAsia="Times New Roman" w:cs="Arial"/>
          <w:color w:val="000000"/>
          <w:lang w:val="en-US"/>
        </w:rPr>
        <w:t>Leponex</w:t>
      </w:r>
      <w:proofErr w:type="spellEnd"/>
      <w:r w:rsidRPr="001C266B">
        <w:rPr>
          <w:rFonts w:eastAsia="Times New Roman" w:cs="Arial"/>
          <w:color w:val="000000"/>
          <w:lang w:val="ru-RU"/>
        </w:rPr>
        <w:t xml:space="preserve"> </w:t>
      </w:r>
      <w:r w:rsidRPr="001C266B">
        <w:rPr>
          <w:rFonts w:eastAsia="Times New Roman" w:cs="Arial"/>
          <w:color w:val="000000"/>
          <w:lang w:eastAsia="bg-BG"/>
        </w:rPr>
        <w:t>и в някои случаи се появява отново хипергликемия при повторно започване на лечението. Въпреки че повечето пациенти са имали рискови фактори за неинсулинозависим захарен диабет, хипергликемията е документирана и про пациенти без известни рискови фактори (вж. точка 4.4).</w:t>
      </w:r>
    </w:p>
    <w:p w14:paraId="105CBA74" w14:textId="5069A7CE" w:rsidR="001C266B" w:rsidRPr="001C266B" w:rsidRDefault="001C266B" w:rsidP="001C266B">
      <w:pPr>
        <w:rPr>
          <w:rFonts w:eastAsia="Times New Roman" w:cs="Arial"/>
          <w:color w:val="000000"/>
          <w:lang w:eastAsia="bg-BG"/>
        </w:rPr>
      </w:pPr>
    </w:p>
    <w:p w14:paraId="42E6709F" w14:textId="77777777"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Нарушения на нервната система</w:t>
      </w:r>
    </w:p>
    <w:p w14:paraId="1D7B6D90"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lastRenderedPageBreak/>
        <w:t>Наблюдаваните много чести нежелани реакции включват сънливост/седиране и замайване,</w:t>
      </w:r>
    </w:p>
    <w:p w14:paraId="0CD53020" w14:textId="77777777" w:rsidR="001C266B" w:rsidRPr="001C266B" w:rsidRDefault="001C266B" w:rsidP="001C266B">
      <w:pPr>
        <w:spacing w:line="240" w:lineRule="auto"/>
        <w:rPr>
          <w:rFonts w:eastAsia="Times New Roman" w:cs="Arial"/>
          <w:color w:val="000000"/>
          <w:lang w:val="en-US"/>
        </w:rPr>
      </w:pPr>
    </w:p>
    <w:p w14:paraId="606A067A" w14:textId="5E876FB4" w:rsidR="001C266B" w:rsidRPr="001C266B" w:rsidRDefault="001C266B" w:rsidP="001C266B">
      <w:pPr>
        <w:spacing w:line="240" w:lineRule="auto"/>
        <w:rPr>
          <w:rFonts w:eastAsia="Times New Roman" w:cs="Arial"/>
          <w:color w:val="000000"/>
          <w:lang w:eastAsia="bg-BG"/>
        </w:rPr>
      </w:pPr>
      <w:proofErr w:type="spellStart"/>
      <w:r w:rsidRPr="001C266B">
        <w:rPr>
          <w:rFonts w:eastAsia="Times New Roman" w:cs="Arial"/>
          <w:color w:val="000000"/>
          <w:lang w:val="en-US"/>
        </w:rPr>
        <w:t>Leponex</w:t>
      </w:r>
      <w:proofErr w:type="spellEnd"/>
      <w:r w:rsidRPr="001C266B">
        <w:rPr>
          <w:rFonts w:eastAsia="Times New Roman" w:cs="Arial"/>
          <w:color w:val="000000"/>
          <w:lang w:val="ru-RU"/>
        </w:rPr>
        <w:t xml:space="preserve"> </w:t>
      </w:r>
      <w:r w:rsidRPr="001C266B">
        <w:rPr>
          <w:rFonts w:eastAsia="Times New Roman" w:cs="Arial"/>
          <w:color w:val="000000"/>
          <w:lang w:eastAsia="bg-BG"/>
        </w:rPr>
        <w:t xml:space="preserve">може да причини промени в ЕЕГ, включително появата на комплекси от пикове и вълни. Той </w:t>
      </w:r>
    </w:p>
    <w:p w14:paraId="2326F313" w14:textId="32CC3DC2" w:rsidR="001C266B" w:rsidRPr="001C266B" w:rsidRDefault="001C266B" w:rsidP="001C266B">
      <w:pPr>
        <w:spacing w:line="240" w:lineRule="auto"/>
        <w:rPr>
          <w:rFonts w:eastAsia="Times New Roman" w:cs="Arial"/>
        </w:rPr>
      </w:pPr>
      <w:r w:rsidRPr="001C266B">
        <w:rPr>
          <w:rFonts w:eastAsia="Times New Roman" w:cs="Arial"/>
          <w:color w:val="000000"/>
          <w:lang w:eastAsia="bg-BG"/>
        </w:rPr>
        <w:t xml:space="preserve">понижава прага на припадъците по дозо-зависим начин и може да предизвика миоклонични гърчове или генерализирани гърчове. Тези симптоми са по-вероятни при по-бързо увеличаване на дозата и при пациенти с предшестваща епилепсия. В такива случаи дозата трябва да се намали и, ако е необходимо, да започне антиконвулсивно лечение. Карбамазепин трябва да се избягва поради възможността му да потиска функцията на костния мозък, а при други антиконвулсанти трябва да се има предвид възможността за фармакокинетично взаимодействие. В редки случаи пациентите, лекувани с </w:t>
      </w:r>
      <w:proofErr w:type="spellStart"/>
      <w:r w:rsidRPr="001C266B">
        <w:rPr>
          <w:rFonts w:eastAsia="Times New Roman" w:cs="Arial"/>
          <w:color w:val="000000"/>
          <w:lang w:val="en-US"/>
        </w:rPr>
        <w:t>Leponex</w:t>
      </w:r>
      <w:proofErr w:type="spellEnd"/>
      <w:r w:rsidRPr="001C266B">
        <w:rPr>
          <w:rFonts w:eastAsia="Times New Roman" w:cs="Arial"/>
          <w:color w:val="000000"/>
          <w:lang w:val="ru-RU"/>
        </w:rPr>
        <w:t xml:space="preserve">, </w:t>
      </w:r>
      <w:r w:rsidRPr="001C266B">
        <w:rPr>
          <w:rFonts w:eastAsia="Times New Roman" w:cs="Arial"/>
          <w:color w:val="000000"/>
          <w:lang w:eastAsia="bg-BG"/>
        </w:rPr>
        <w:t>могат да получат делириум.</w:t>
      </w:r>
    </w:p>
    <w:p w14:paraId="4FBCB9C4" w14:textId="77777777" w:rsidR="001C266B" w:rsidRPr="001C266B" w:rsidRDefault="001C266B" w:rsidP="001C266B">
      <w:pPr>
        <w:spacing w:line="240" w:lineRule="auto"/>
        <w:rPr>
          <w:rFonts w:eastAsia="Times New Roman" w:cs="Arial"/>
          <w:i/>
          <w:iCs/>
          <w:color w:val="000000"/>
          <w:lang w:eastAsia="bg-BG"/>
        </w:rPr>
      </w:pPr>
    </w:p>
    <w:p w14:paraId="2847D780" w14:textId="69A3E608" w:rsidR="001C266B" w:rsidRPr="001C266B" w:rsidRDefault="001C266B" w:rsidP="001C266B">
      <w:pPr>
        <w:spacing w:line="240" w:lineRule="auto"/>
        <w:rPr>
          <w:rFonts w:eastAsia="Times New Roman" w:cs="Arial"/>
        </w:rPr>
      </w:pPr>
      <w:r w:rsidRPr="001C266B">
        <w:rPr>
          <w:rFonts w:eastAsia="Times New Roman" w:cs="Arial"/>
          <w:i/>
          <w:iCs/>
          <w:color w:val="000000"/>
          <w:lang w:eastAsia="bg-BG"/>
        </w:rPr>
        <w:t>Много</w:t>
      </w:r>
      <w:r w:rsidRPr="001C266B">
        <w:rPr>
          <w:rFonts w:eastAsia="Times New Roman" w:cs="Arial"/>
          <w:color w:val="000000"/>
          <w:lang w:eastAsia="bg-BG"/>
        </w:rPr>
        <w:t xml:space="preserve"> рядко се съобщава за тардивна дискинезия при пациенти на Лепонекс, които са лекувани с други антипсихотични лекарства. Пациентите, при които се е развивала тардивна дискинезия с други антипсихотици, са се подобрили при лечение с Лепонекс.</w:t>
      </w:r>
    </w:p>
    <w:p w14:paraId="34894E93" w14:textId="77777777" w:rsidR="001C266B" w:rsidRPr="001C266B" w:rsidRDefault="001C266B" w:rsidP="001C266B">
      <w:pPr>
        <w:spacing w:line="240" w:lineRule="auto"/>
        <w:rPr>
          <w:rFonts w:eastAsia="Times New Roman" w:cs="Arial"/>
          <w:color w:val="000000"/>
          <w:u w:val="single"/>
          <w:lang w:eastAsia="bg-BG"/>
        </w:rPr>
      </w:pPr>
    </w:p>
    <w:p w14:paraId="67231ACC" w14:textId="162F6D85"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Сърдечни нарушения</w:t>
      </w:r>
    </w:p>
    <w:p w14:paraId="48C7E105"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Може да възникне тахикардия и ортостатична хипотония със или без синкоп, особено в първите седмици на лечението. Честотата и тежестта на хипотонията се повлияват от степента и големината на титриране на дозата. При лечението с Лепонекс се съобщава за циркулаторен колапс в резултат на силно изразена хипотония, най-вече свързана с агресивно титриране, с възможни сериозни последствия от сърдечен или белодробен арест.</w:t>
      </w:r>
    </w:p>
    <w:p w14:paraId="730DC865" w14:textId="77777777" w:rsidR="001C266B" w:rsidRPr="001C266B" w:rsidRDefault="001C266B" w:rsidP="001C266B">
      <w:pPr>
        <w:spacing w:line="240" w:lineRule="auto"/>
        <w:rPr>
          <w:rFonts w:eastAsia="Times New Roman" w:cs="Arial"/>
          <w:color w:val="000000"/>
          <w:lang w:eastAsia="bg-BG"/>
        </w:rPr>
      </w:pPr>
    </w:p>
    <w:p w14:paraId="37105FA6" w14:textId="12982D47" w:rsidR="001C266B" w:rsidRPr="001C266B" w:rsidRDefault="001C266B" w:rsidP="001C266B">
      <w:pPr>
        <w:spacing w:line="240" w:lineRule="auto"/>
        <w:rPr>
          <w:rFonts w:eastAsia="Times New Roman" w:cs="Arial"/>
        </w:rPr>
      </w:pPr>
      <w:r w:rsidRPr="001C266B">
        <w:rPr>
          <w:rFonts w:eastAsia="Times New Roman" w:cs="Arial"/>
          <w:color w:val="000000"/>
          <w:lang w:eastAsia="bg-BG"/>
        </w:rPr>
        <w:t xml:space="preserve">При малък брой пациенти лекувани с Лепонекс се проявяват ЕКГ промени, подобни на наблюдаваните при други антипсихотици, включително депресия на </w:t>
      </w:r>
      <w:r w:rsidRPr="001C266B">
        <w:rPr>
          <w:rFonts w:eastAsia="Times New Roman" w:cs="Arial"/>
          <w:color w:val="000000"/>
          <w:lang w:val="en-US"/>
        </w:rPr>
        <w:t>S</w:t>
      </w:r>
      <w:r w:rsidRPr="001C266B">
        <w:rPr>
          <w:rFonts w:eastAsia="Times New Roman" w:cs="Arial"/>
          <w:color w:val="000000"/>
          <w:lang w:val="ru-RU"/>
        </w:rPr>
        <w:t>-</w:t>
      </w:r>
      <w:r w:rsidRPr="001C266B">
        <w:rPr>
          <w:rFonts w:eastAsia="Times New Roman" w:cs="Arial"/>
          <w:color w:val="000000"/>
          <w:lang w:val="en-US"/>
        </w:rPr>
        <w:t>T</w:t>
      </w:r>
      <w:r w:rsidRPr="001C266B">
        <w:rPr>
          <w:rFonts w:eastAsia="Times New Roman" w:cs="Arial"/>
          <w:color w:val="000000"/>
          <w:lang w:val="ru-RU"/>
        </w:rPr>
        <w:t xml:space="preserve"> </w:t>
      </w:r>
      <w:r w:rsidRPr="001C266B">
        <w:rPr>
          <w:rFonts w:eastAsia="Times New Roman" w:cs="Arial"/>
          <w:color w:val="000000"/>
          <w:lang w:eastAsia="bg-BG"/>
        </w:rPr>
        <w:t>сегмента и намаляване или обръщане на Т вълни, които се нормализират след преустановяване на лечението с Лепонекс. Клиничното значение на тези промени е неясно. Тези аномалии обаче са наблюдавани при пациенти с миокардит, поради което трябва да се има предвид.</w:t>
      </w:r>
    </w:p>
    <w:p w14:paraId="57C314D8" w14:textId="77777777" w:rsidR="001C266B" w:rsidRPr="001C266B" w:rsidRDefault="001C266B" w:rsidP="001C266B">
      <w:pPr>
        <w:spacing w:line="240" w:lineRule="auto"/>
        <w:rPr>
          <w:rFonts w:eastAsia="Times New Roman" w:cs="Arial"/>
          <w:color w:val="000000"/>
          <w:lang w:eastAsia="bg-BG"/>
        </w:rPr>
      </w:pPr>
    </w:p>
    <w:p w14:paraId="0A322D30" w14:textId="72CDAF18" w:rsidR="001C266B" w:rsidRPr="001C266B" w:rsidRDefault="001C266B" w:rsidP="001C266B">
      <w:pPr>
        <w:spacing w:line="240" w:lineRule="auto"/>
        <w:rPr>
          <w:rFonts w:eastAsia="Times New Roman" w:cs="Arial"/>
        </w:rPr>
      </w:pPr>
      <w:r w:rsidRPr="001C266B">
        <w:rPr>
          <w:rFonts w:eastAsia="Times New Roman" w:cs="Arial"/>
          <w:color w:val="000000"/>
          <w:lang w:eastAsia="bg-BG"/>
        </w:rPr>
        <w:t>Съобщени са изолирани случаи на сърдечни аритмии, перикардит/перикарден излив и миокардит, някои от които са били фатални. Повечето от случаите на миокардит са настъпили през първите 2 месеца от началото на лечението с Лепонекс. Кардиомиопатия обикновено се проявява по-късно в хода на лечението.</w:t>
      </w:r>
    </w:p>
    <w:p w14:paraId="09DEBEB9" w14:textId="77777777" w:rsidR="001C266B" w:rsidRPr="001C266B" w:rsidRDefault="001C266B" w:rsidP="001C266B">
      <w:pPr>
        <w:spacing w:line="240" w:lineRule="auto"/>
        <w:rPr>
          <w:rFonts w:eastAsia="Times New Roman" w:cs="Arial"/>
          <w:color w:val="000000"/>
          <w:lang w:eastAsia="bg-BG"/>
        </w:rPr>
      </w:pPr>
    </w:p>
    <w:p w14:paraId="41FC41A9" w14:textId="72037650" w:rsidR="001C266B" w:rsidRPr="001C266B" w:rsidRDefault="001C266B" w:rsidP="001C266B">
      <w:pPr>
        <w:spacing w:line="240" w:lineRule="auto"/>
        <w:rPr>
          <w:rFonts w:eastAsia="Times New Roman" w:cs="Arial"/>
        </w:rPr>
      </w:pPr>
      <w:r w:rsidRPr="001C266B">
        <w:rPr>
          <w:rFonts w:eastAsia="Times New Roman" w:cs="Arial"/>
          <w:color w:val="000000"/>
          <w:lang w:eastAsia="bg-BG"/>
        </w:rPr>
        <w:t>Еозинофилия е докладвана съвместно с някои случаи на миокардит (приблизително 14%) и перикардит/перикарден излив; не е известно обаче, дали еозинофилията е надежден предсказващ фактор на кардит.</w:t>
      </w:r>
    </w:p>
    <w:p w14:paraId="6AA610A9" w14:textId="77777777" w:rsidR="001C266B" w:rsidRPr="001C266B" w:rsidRDefault="001C266B" w:rsidP="001C266B">
      <w:pPr>
        <w:spacing w:line="240" w:lineRule="auto"/>
        <w:rPr>
          <w:rFonts w:eastAsia="Times New Roman" w:cs="Arial"/>
          <w:color w:val="000000"/>
          <w:lang w:eastAsia="bg-BG"/>
        </w:rPr>
      </w:pPr>
    </w:p>
    <w:p w14:paraId="056FC538" w14:textId="414762CC" w:rsidR="001C266B" w:rsidRPr="001C266B" w:rsidRDefault="001C266B" w:rsidP="001C266B">
      <w:pPr>
        <w:spacing w:line="240" w:lineRule="auto"/>
        <w:rPr>
          <w:rFonts w:eastAsia="Times New Roman" w:cs="Arial"/>
        </w:rPr>
      </w:pPr>
      <w:r w:rsidRPr="001C266B">
        <w:rPr>
          <w:rFonts w:eastAsia="Times New Roman" w:cs="Arial"/>
          <w:color w:val="000000"/>
          <w:lang w:eastAsia="bg-BG"/>
        </w:rPr>
        <w:t>Признаците и симптомите на миокардит или кардиомиопатия включват персистираща тахикардия в покой, палпитации, аритмии, гръдна болка и други признаци и симптоми на сърдечна недостатъчност (напр. необяснима умора, диспнея, тахипнея) или симптоми, които имитират миокарден инфаркт. Другите симптоми, които могат да са налични в допълнение към горното, включват грипоподобни симптоми.</w:t>
      </w:r>
    </w:p>
    <w:p w14:paraId="6D35C607" w14:textId="77777777" w:rsidR="001C266B" w:rsidRPr="001C266B" w:rsidRDefault="001C266B" w:rsidP="001C266B">
      <w:pPr>
        <w:spacing w:line="240" w:lineRule="auto"/>
        <w:rPr>
          <w:rFonts w:eastAsia="Times New Roman" w:cs="Arial"/>
          <w:color w:val="000000"/>
          <w:lang w:eastAsia="bg-BG"/>
        </w:rPr>
      </w:pPr>
    </w:p>
    <w:p w14:paraId="2BED9A23" w14:textId="7FDA1A74" w:rsidR="001C266B" w:rsidRPr="001C266B" w:rsidRDefault="001C266B" w:rsidP="001C266B">
      <w:pPr>
        <w:spacing w:line="240" w:lineRule="auto"/>
        <w:rPr>
          <w:rFonts w:eastAsia="Times New Roman" w:cs="Arial"/>
        </w:rPr>
      </w:pPr>
      <w:r w:rsidRPr="001C266B">
        <w:rPr>
          <w:rFonts w:eastAsia="Times New Roman" w:cs="Arial"/>
          <w:color w:val="000000"/>
          <w:lang w:eastAsia="bg-BG"/>
        </w:rPr>
        <w:t xml:space="preserve">Внезапни, необясними смъртни случаи са наблюдавани при психиатрични пациенти, които получават конвенционални антипсихотични лекарства, но също така и при </w:t>
      </w:r>
      <w:r w:rsidRPr="001C266B">
        <w:rPr>
          <w:rFonts w:eastAsia="Times New Roman" w:cs="Arial"/>
          <w:color w:val="000000"/>
          <w:lang w:eastAsia="bg-BG"/>
        </w:rPr>
        <w:lastRenderedPageBreak/>
        <w:t>нелекувани психиатрични пациенти. Такива смъртни случаи са докладвани много рядко при пациенти, получаващи Лепонекс.</w:t>
      </w:r>
    </w:p>
    <w:p w14:paraId="31FC3CED" w14:textId="77777777" w:rsidR="001C266B" w:rsidRPr="001C266B" w:rsidRDefault="001C266B" w:rsidP="001C266B">
      <w:pPr>
        <w:spacing w:line="240" w:lineRule="auto"/>
        <w:rPr>
          <w:rFonts w:eastAsia="Times New Roman" w:cs="Arial"/>
          <w:color w:val="000000"/>
          <w:u w:val="single"/>
          <w:lang w:eastAsia="bg-BG"/>
        </w:rPr>
      </w:pPr>
    </w:p>
    <w:p w14:paraId="553EEB4F" w14:textId="42FAFE58"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Съдови нарушения</w:t>
      </w:r>
    </w:p>
    <w:p w14:paraId="69D6112F"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Съобщавани са редки случаи на тромбоемболизъм.</w:t>
      </w:r>
    </w:p>
    <w:p w14:paraId="64FBCCF4" w14:textId="77777777" w:rsidR="001C266B" w:rsidRPr="001C266B" w:rsidRDefault="001C266B" w:rsidP="001C266B">
      <w:pPr>
        <w:spacing w:line="240" w:lineRule="auto"/>
        <w:rPr>
          <w:rFonts w:eastAsia="Times New Roman" w:cs="Arial"/>
          <w:color w:val="000000"/>
          <w:u w:val="single"/>
          <w:lang w:eastAsia="bg-BG"/>
        </w:rPr>
      </w:pPr>
    </w:p>
    <w:p w14:paraId="545E2FF5" w14:textId="34BA2A76"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Дихателната система</w:t>
      </w:r>
    </w:p>
    <w:p w14:paraId="005759C0" w14:textId="2AF28F8C" w:rsidR="001C266B" w:rsidRPr="001C266B" w:rsidRDefault="001C266B" w:rsidP="001C266B">
      <w:pPr>
        <w:rPr>
          <w:rFonts w:eastAsia="Times New Roman" w:cs="Arial"/>
          <w:color w:val="000000"/>
          <w:lang w:eastAsia="bg-BG"/>
        </w:rPr>
      </w:pPr>
      <w:r w:rsidRPr="001C266B">
        <w:rPr>
          <w:rFonts w:eastAsia="Times New Roman" w:cs="Arial"/>
          <w:color w:val="000000"/>
          <w:lang w:eastAsia="bg-BG"/>
        </w:rPr>
        <w:t>Потискане на дишането или спиране настъпва много рядко, със или без циркулаторен колапс (вж. точки 4.4 и 4.5).</w:t>
      </w:r>
    </w:p>
    <w:p w14:paraId="3679BEB5" w14:textId="7795FF37" w:rsidR="001C266B" w:rsidRPr="001C266B" w:rsidRDefault="001C266B" w:rsidP="001C266B">
      <w:pPr>
        <w:rPr>
          <w:rFonts w:eastAsia="Times New Roman" w:cs="Arial"/>
          <w:color w:val="000000"/>
          <w:lang w:eastAsia="bg-BG"/>
        </w:rPr>
      </w:pPr>
    </w:p>
    <w:p w14:paraId="4E64FAC8" w14:textId="77777777"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Стомашно-чревна система</w:t>
      </w:r>
    </w:p>
    <w:p w14:paraId="12F5A865"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Запек и хиперсаливация са наблюдавани много често, а гадене и повръщане - често. Много рядко може да се появи илеус (вж. точка 4.4). Рядко лечението с Лепонекс може да бъде свързано с дисфагия. Аспирация на погълната храна може да настъпи при пациенти с дисфагия или вследствие на остро предозиране.</w:t>
      </w:r>
    </w:p>
    <w:p w14:paraId="6D67BFDE" w14:textId="77777777" w:rsidR="001C266B" w:rsidRPr="001C266B" w:rsidRDefault="001C266B" w:rsidP="001C266B">
      <w:pPr>
        <w:spacing w:line="240" w:lineRule="auto"/>
        <w:rPr>
          <w:rFonts w:eastAsia="Times New Roman" w:cs="Arial"/>
          <w:color w:val="000000"/>
          <w:u w:val="single"/>
          <w:lang w:eastAsia="bg-BG"/>
        </w:rPr>
      </w:pPr>
    </w:p>
    <w:p w14:paraId="7549E715" w14:textId="64AA1EAD"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Хепатобилиарни нарушения</w:t>
      </w:r>
    </w:p>
    <w:p w14:paraId="2F32F9E8"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Преходно, безсимптомно повишаване на чернодробните ензими и рядко хепатит и холестатична жълтеница може да се появят. Много рядко се съобщава за фулминантна чернодробна некроза. Ако се развие жълтеница, лечението с Лепонекс трябва да се преустанови (вж, точка 4.4). В редки случаи е докладван остър панкреатит.</w:t>
      </w:r>
    </w:p>
    <w:p w14:paraId="5472F738" w14:textId="77777777" w:rsidR="001C266B" w:rsidRPr="001C266B" w:rsidRDefault="001C266B" w:rsidP="001C266B">
      <w:pPr>
        <w:spacing w:line="240" w:lineRule="auto"/>
        <w:rPr>
          <w:rFonts w:eastAsia="Times New Roman" w:cs="Arial"/>
          <w:color w:val="000000"/>
          <w:u w:val="single"/>
          <w:lang w:eastAsia="bg-BG"/>
        </w:rPr>
      </w:pPr>
    </w:p>
    <w:p w14:paraId="51A9F4B3" w14:textId="40388C81"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Нарушения на бъбреците</w:t>
      </w:r>
    </w:p>
    <w:p w14:paraId="001D5272"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Има съобщения за изолирани случаи на остър интерстициален нефрит във връзка с лечението с Лепонекс.</w:t>
      </w:r>
    </w:p>
    <w:p w14:paraId="13D74CA2" w14:textId="77777777" w:rsidR="001C266B" w:rsidRPr="001C266B" w:rsidRDefault="001C266B" w:rsidP="001C266B">
      <w:pPr>
        <w:spacing w:line="240" w:lineRule="auto"/>
        <w:rPr>
          <w:rFonts w:eastAsia="Times New Roman" w:cs="Arial"/>
          <w:color w:val="000000"/>
          <w:u w:val="single"/>
          <w:lang w:eastAsia="bg-BG"/>
        </w:rPr>
      </w:pPr>
    </w:p>
    <w:p w14:paraId="62322BAA" w14:textId="77777777" w:rsidR="001C266B" w:rsidRPr="001C266B" w:rsidRDefault="001C266B" w:rsidP="001C266B">
      <w:pPr>
        <w:spacing w:line="240" w:lineRule="auto"/>
        <w:rPr>
          <w:rFonts w:eastAsia="Times New Roman" w:cs="Arial"/>
          <w:color w:val="000000"/>
          <w:u w:val="single"/>
          <w:lang w:eastAsia="bg-BG"/>
        </w:rPr>
      </w:pPr>
      <w:r w:rsidRPr="001C266B">
        <w:rPr>
          <w:rFonts w:eastAsia="Times New Roman" w:cs="Arial"/>
          <w:color w:val="000000"/>
          <w:u w:val="single"/>
          <w:lang w:eastAsia="bg-BG"/>
        </w:rPr>
        <w:t xml:space="preserve">Нарушения на възпроизводителната система и гърдата </w:t>
      </w:r>
    </w:p>
    <w:p w14:paraId="7FF0839A" w14:textId="7A3519F8" w:rsidR="001C266B" w:rsidRPr="001C266B" w:rsidRDefault="001C266B" w:rsidP="001C266B">
      <w:pPr>
        <w:spacing w:line="240" w:lineRule="auto"/>
        <w:rPr>
          <w:rFonts w:eastAsia="Times New Roman" w:cs="Arial"/>
        </w:rPr>
      </w:pPr>
      <w:r w:rsidRPr="001C266B">
        <w:rPr>
          <w:rFonts w:eastAsia="Times New Roman" w:cs="Arial"/>
          <w:color w:val="000000"/>
          <w:lang w:eastAsia="bg-BG"/>
        </w:rPr>
        <w:t>Много редки съобщения за приапизъм са получавани.</w:t>
      </w:r>
    </w:p>
    <w:p w14:paraId="30B3BBB7" w14:textId="77777777" w:rsidR="001C266B" w:rsidRPr="001C266B" w:rsidRDefault="001C266B" w:rsidP="001C266B">
      <w:pPr>
        <w:spacing w:line="240" w:lineRule="auto"/>
        <w:rPr>
          <w:rFonts w:eastAsia="Times New Roman" w:cs="Arial"/>
          <w:color w:val="000000"/>
          <w:u w:val="single"/>
          <w:lang w:eastAsia="bg-BG"/>
        </w:rPr>
      </w:pPr>
    </w:p>
    <w:p w14:paraId="48F5A0E2" w14:textId="45A39C65"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Общи нарушения</w:t>
      </w:r>
    </w:p>
    <w:p w14:paraId="1229E295"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 xml:space="preserve">Съобщавани са случаи на невролептичен малигнен синдром (НМС) при пациенти, лекувани с </w:t>
      </w:r>
      <w:proofErr w:type="spellStart"/>
      <w:r w:rsidRPr="001C266B">
        <w:rPr>
          <w:rFonts w:eastAsia="Times New Roman" w:cs="Arial"/>
          <w:color w:val="000000"/>
          <w:lang w:val="en-US"/>
        </w:rPr>
        <w:t>Leponex</w:t>
      </w:r>
      <w:proofErr w:type="spellEnd"/>
      <w:r w:rsidRPr="001C266B">
        <w:rPr>
          <w:rFonts w:eastAsia="Times New Roman" w:cs="Arial"/>
          <w:color w:val="000000"/>
          <w:lang w:val="ru-RU"/>
        </w:rPr>
        <w:t xml:space="preserve"> </w:t>
      </w:r>
      <w:r w:rsidRPr="001C266B">
        <w:rPr>
          <w:rFonts w:eastAsia="Times New Roman" w:cs="Arial"/>
          <w:color w:val="000000"/>
          <w:lang w:eastAsia="bg-BG"/>
        </w:rPr>
        <w:t>самостоятелно или в комбинация с литий или други ЦНС-активни лекарствени продукти.</w:t>
      </w:r>
    </w:p>
    <w:p w14:paraId="4DB04172" w14:textId="77777777" w:rsidR="001C266B" w:rsidRPr="001C266B" w:rsidRDefault="001C266B" w:rsidP="001C266B">
      <w:pPr>
        <w:spacing w:line="240" w:lineRule="auto"/>
        <w:rPr>
          <w:rFonts w:eastAsia="Times New Roman" w:cs="Arial"/>
          <w:color w:val="000000"/>
          <w:lang w:eastAsia="bg-BG"/>
        </w:rPr>
      </w:pPr>
    </w:p>
    <w:p w14:paraId="6BE637DB" w14:textId="6A7CB81E" w:rsidR="001C266B" w:rsidRPr="001C266B" w:rsidRDefault="001C266B" w:rsidP="001C266B">
      <w:pPr>
        <w:spacing w:line="240" w:lineRule="auto"/>
        <w:rPr>
          <w:rFonts w:eastAsia="Times New Roman" w:cs="Arial"/>
        </w:rPr>
      </w:pPr>
      <w:r w:rsidRPr="001C266B">
        <w:rPr>
          <w:rFonts w:eastAsia="Times New Roman" w:cs="Arial"/>
          <w:color w:val="000000"/>
          <w:lang w:eastAsia="bg-BG"/>
        </w:rPr>
        <w:t>Докладвани са остри реакции на отнемане (вж. точка 4.4).</w:t>
      </w:r>
    </w:p>
    <w:p w14:paraId="61A9DC10" w14:textId="77777777" w:rsidR="001C266B" w:rsidRPr="001C266B" w:rsidRDefault="001C266B" w:rsidP="001C266B">
      <w:pPr>
        <w:spacing w:line="240" w:lineRule="auto"/>
        <w:rPr>
          <w:rFonts w:eastAsia="Times New Roman" w:cs="Arial"/>
          <w:color w:val="000000"/>
          <w:u w:val="single"/>
          <w:lang w:eastAsia="bg-BG"/>
        </w:rPr>
      </w:pPr>
    </w:p>
    <w:p w14:paraId="79F9C291" w14:textId="39C1FA3D"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Табличен списък на нежеланите реакции:</w:t>
      </w:r>
    </w:p>
    <w:p w14:paraId="59CE912E" w14:textId="77777777" w:rsidR="001C266B" w:rsidRPr="001C266B" w:rsidRDefault="001C266B" w:rsidP="001C266B">
      <w:pPr>
        <w:spacing w:line="240" w:lineRule="auto"/>
        <w:rPr>
          <w:rFonts w:eastAsia="Times New Roman" w:cs="Arial"/>
          <w:color w:val="000000"/>
          <w:lang w:eastAsia="bg-BG"/>
        </w:rPr>
      </w:pPr>
    </w:p>
    <w:p w14:paraId="7DAA382C" w14:textId="6BFCBC3E" w:rsidR="001C266B" w:rsidRPr="001C266B" w:rsidRDefault="001C266B" w:rsidP="001C266B">
      <w:pPr>
        <w:spacing w:line="240" w:lineRule="auto"/>
        <w:rPr>
          <w:rFonts w:eastAsia="Times New Roman" w:cs="Arial"/>
        </w:rPr>
      </w:pPr>
      <w:r w:rsidRPr="001C266B">
        <w:rPr>
          <w:rFonts w:eastAsia="Times New Roman" w:cs="Arial"/>
          <w:color w:val="000000"/>
          <w:lang w:eastAsia="bg-BG"/>
        </w:rPr>
        <w:t>Таблицата по-долу (Таблица 4) обобщава нежеланите реакции, натрупани от докладите, направени спонтанно и по време на клинични проучвания.</w:t>
      </w:r>
    </w:p>
    <w:p w14:paraId="6D017545" w14:textId="77777777" w:rsidR="001C266B" w:rsidRPr="001C266B" w:rsidRDefault="001C266B" w:rsidP="001C266B">
      <w:pPr>
        <w:spacing w:line="240" w:lineRule="auto"/>
        <w:rPr>
          <w:rFonts w:eastAsia="Times New Roman" w:cs="Arial"/>
          <w:b/>
          <w:bCs/>
          <w:color w:val="000000"/>
          <w:lang w:eastAsia="bg-BG"/>
        </w:rPr>
      </w:pPr>
    </w:p>
    <w:p w14:paraId="0639E7CC" w14:textId="4C6C2CDA" w:rsidR="001C266B" w:rsidRPr="001C266B" w:rsidRDefault="001C266B" w:rsidP="001C266B">
      <w:pPr>
        <w:spacing w:line="240" w:lineRule="auto"/>
        <w:rPr>
          <w:rFonts w:eastAsia="Times New Roman" w:cs="Arial"/>
        </w:rPr>
      </w:pPr>
      <w:r w:rsidRPr="001C266B">
        <w:rPr>
          <w:rFonts w:eastAsia="Times New Roman" w:cs="Arial"/>
          <w:b/>
          <w:bCs/>
          <w:color w:val="000000"/>
          <w:lang w:eastAsia="bg-BG"/>
        </w:rPr>
        <w:t xml:space="preserve">Таблица </w:t>
      </w:r>
      <w:r w:rsidRPr="001C266B">
        <w:rPr>
          <w:rFonts w:eastAsia="Times New Roman" w:cs="Arial"/>
          <w:color w:val="000000"/>
          <w:lang w:eastAsia="bg-BG"/>
        </w:rPr>
        <w:t>4: Честотата на възникване на нежелана лекарствена реакция, оценена от спонтанни съобщения и клинични изпитвания</w:t>
      </w:r>
    </w:p>
    <w:p w14:paraId="14BE7AE1" w14:textId="77777777" w:rsidR="001C266B" w:rsidRPr="001C266B" w:rsidRDefault="001C266B" w:rsidP="001C266B">
      <w:pPr>
        <w:spacing w:line="240" w:lineRule="auto"/>
        <w:rPr>
          <w:rFonts w:eastAsia="Times New Roman" w:cs="Arial"/>
          <w:color w:val="000000"/>
          <w:lang w:eastAsia="bg-BG"/>
        </w:rPr>
      </w:pPr>
    </w:p>
    <w:p w14:paraId="767E41AA" w14:textId="64A478E3" w:rsidR="001C266B" w:rsidRPr="001C266B" w:rsidRDefault="001C266B" w:rsidP="001C266B">
      <w:pPr>
        <w:spacing w:line="240" w:lineRule="auto"/>
        <w:rPr>
          <w:rFonts w:ascii="Times New Roman" w:eastAsia="Times New Roman" w:hAnsi="Times New Roman" w:cs="Times New Roman"/>
          <w:sz w:val="24"/>
          <w:szCs w:val="24"/>
        </w:rPr>
      </w:pPr>
      <w:r w:rsidRPr="001C266B">
        <w:rPr>
          <w:rFonts w:eastAsia="Times New Roman" w:cs="Arial"/>
          <w:color w:val="000000"/>
          <w:lang w:eastAsia="bg-BG"/>
        </w:rPr>
        <w:t>Нежеланите лекарствени реакции са подредени според честотата, като е използвана следната класификация: Много чести (≥1/10), чести (≥1/100, &lt;1/10), не чести (≥1/1 000, &lt;1/100), редки (≥1/10 000, &lt;1/1 000), много редки (&lt;1/10 000), с неизвестна честота (от наличните данни не може да бъде направена оценка). При всяко групиране в зависимост от честотата, нежеланите реакции са изброени в низходящ ред по отношение на тяхната сериозност.</w:t>
      </w:r>
    </w:p>
    <w:p w14:paraId="506CDC89" w14:textId="7DCB977D" w:rsidR="001C266B" w:rsidRDefault="001C266B" w:rsidP="001C266B"/>
    <w:tbl>
      <w:tblPr>
        <w:tblStyle w:val="TableGrid"/>
        <w:tblW w:w="0" w:type="auto"/>
        <w:tblLook w:val="04A0" w:firstRow="1" w:lastRow="0" w:firstColumn="1" w:lastColumn="0" w:noHBand="0" w:noVBand="1"/>
      </w:tblPr>
      <w:tblGrid>
        <w:gridCol w:w="4614"/>
        <w:gridCol w:w="4736"/>
      </w:tblGrid>
      <w:tr w:rsidR="001C266B" w:rsidRPr="00663BD6" w14:paraId="1E9621C4" w14:textId="77777777" w:rsidTr="001C266B">
        <w:tc>
          <w:tcPr>
            <w:tcW w:w="9576" w:type="dxa"/>
            <w:gridSpan w:val="2"/>
          </w:tcPr>
          <w:p w14:paraId="0EE5BD26" w14:textId="5AF9D436" w:rsidR="001C266B" w:rsidRPr="00663BD6" w:rsidRDefault="001C266B" w:rsidP="001C266B">
            <w:pPr>
              <w:rPr>
                <w:rFonts w:cs="Arial"/>
              </w:rPr>
            </w:pPr>
            <w:r w:rsidRPr="00663BD6">
              <w:rPr>
                <w:rFonts w:cs="Arial"/>
                <w:b/>
                <w:bCs/>
              </w:rPr>
              <w:lastRenderedPageBreak/>
              <w:t>Инфекции и инфестации</w:t>
            </w:r>
          </w:p>
        </w:tc>
      </w:tr>
      <w:tr w:rsidR="001C266B" w:rsidRPr="00663BD6" w14:paraId="291D37BB" w14:textId="77777777" w:rsidTr="001C266B">
        <w:tc>
          <w:tcPr>
            <w:tcW w:w="4788" w:type="dxa"/>
            <w:vAlign w:val="bottom"/>
          </w:tcPr>
          <w:p w14:paraId="009A1035" w14:textId="10FA5D3C" w:rsidR="001C266B" w:rsidRDefault="001C266B" w:rsidP="001C266B">
            <w:r>
              <w:rPr>
                <w:sz w:val="20"/>
                <w:szCs w:val="20"/>
              </w:rPr>
              <w:t>С неизвестна честота</w:t>
            </w:r>
          </w:p>
        </w:tc>
        <w:tc>
          <w:tcPr>
            <w:tcW w:w="4788" w:type="dxa"/>
            <w:vAlign w:val="bottom"/>
          </w:tcPr>
          <w:p w14:paraId="316C76FB" w14:textId="6FD77D58" w:rsidR="001C266B" w:rsidRPr="00663BD6" w:rsidRDefault="001C266B" w:rsidP="001C266B">
            <w:pPr>
              <w:rPr>
                <w:rFonts w:cs="Arial"/>
              </w:rPr>
            </w:pPr>
            <w:r w:rsidRPr="00663BD6">
              <w:rPr>
                <w:rFonts w:cs="Arial"/>
              </w:rPr>
              <w:t>Сепсис*</w:t>
            </w:r>
          </w:p>
        </w:tc>
      </w:tr>
      <w:tr w:rsidR="001C266B" w:rsidRPr="00663BD6" w14:paraId="7FC8939D" w14:textId="77777777" w:rsidTr="001C266B">
        <w:tc>
          <w:tcPr>
            <w:tcW w:w="9576" w:type="dxa"/>
            <w:gridSpan w:val="2"/>
          </w:tcPr>
          <w:p w14:paraId="67493D7B" w14:textId="59261439" w:rsidR="001C266B" w:rsidRPr="00663BD6" w:rsidRDefault="001C266B" w:rsidP="001C266B">
            <w:pPr>
              <w:rPr>
                <w:rFonts w:cs="Arial"/>
              </w:rPr>
            </w:pPr>
            <w:r w:rsidRPr="00663BD6">
              <w:rPr>
                <w:rFonts w:cs="Arial"/>
                <w:b/>
                <w:bCs/>
              </w:rPr>
              <w:t>Нарушения на кръвта и лимфната система</w:t>
            </w:r>
          </w:p>
        </w:tc>
      </w:tr>
      <w:tr w:rsidR="001C266B" w:rsidRPr="00663BD6" w14:paraId="23DF8F59" w14:textId="77777777" w:rsidTr="001C266B">
        <w:trPr>
          <w:trHeight w:val="1502"/>
        </w:trPr>
        <w:tc>
          <w:tcPr>
            <w:tcW w:w="4788" w:type="dxa"/>
          </w:tcPr>
          <w:p w14:paraId="290C829B" w14:textId="77777777" w:rsidR="001C266B" w:rsidRDefault="001C266B" w:rsidP="001C266B">
            <w:r>
              <w:rPr>
                <w:sz w:val="20"/>
                <w:szCs w:val="20"/>
              </w:rPr>
              <w:t>Чести</w:t>
            </w:r>
          </w:p>
          <w:p w14:paraId="0C8B90EA" w14:textId="77777777" w:rsidR="001C266B" w:rsidRDefault="001C266B" w:rsidP="001C266B">
            <w:pPr>
              <w:rPr>
                <w:sz w:val="20"/>
                <w:szCs w:val="20"/>
              </w:rPr>
            </w:pPr>
          </w:p>
          <w:p w14:paraId="5FFB45C1" w14:textId="1BC91732" w:rsidR="001C266B" w:rsidRDefault="001C266B" w:rsidP="001C266B">
            <w:r>
              <w:rPr>
                <w:sz w:val="20"/>
                <w:szCs w:val="20"/>
              </w:rPr>
              <w:t>Нечести</w:t>
            </w:r>
          </w:p>
          <w:p w14:paraId="6644A168" w14:textId="77777777" w:rsidR="001C266B" w:rsidRDefault="001C266B" w:rsidP="001C266B">
            <w:pPr>
              <w:rPr>
                <w:sz w:val="20"/>
                <w:szCs w:val="20"/>
              </w:rPr>
            </w:pPr>
          </w:p>
          <w:p w14:paraId="45AFE7F6" w14:textId="614319E0" w:rsidR="001C266B" w:rsidRDefault="001C266B" w:rsidP="001C266B">
            <w:r>
              <w:rPr>
                <w:sz w:val="20"/>
                <w:szCs w:val="20"/>
              </w:rPr>
              <w:t>Редки</w:t>
            </w:r>
          </w:p>
          <w:p w14:paraId="4CD3D882" w14:textId="0862A2F6" w:rsidR="001C266B" w:rsidRDefault="001C266B" w:rsidP="001C266B">
            <w:r>
              <w:rPr>
                <w:sz w:val="20"/>
                <w:szCs w:val="20"/>
              </w:rPr>
              <w:t>Много редки</w:t>
            </w:r>
          </w:p>
        </w:tc>
        <w:tc>
          <w:tcPr>
            <w:tcW w:w="4788" w:type="dxa"/>
            <w:vAlign w:val="bottom"/>
          </w:tcPr>
          <w:p w14:paraId="6597705F" w14:textId="77777777" w:rsidR="001C266B" w:rsidRPr="00663BD6" w:rsidRDefault="001C266B" w:rsidP="001C266B">
            <w:pPr>
              <w:rPr>
                <w:rFonts w:cs="Arial"/>
              </w:rPr>
            </w:pPr>
            <w:r w:rsidRPr="00663BD6">
              <w:rPr>
                <w:rFonts w:cs="Arial"/>
              </w:rPr>
              <w:t>Левкопения/понижен брой левкоцити/неутропения, еозинофилия, левкоцитоза</w:t>
            </w:r>
          </w:p>
          <w:p w14:paraId="7DBECF7D" w14:textId="77777777" w:rsidR="001C266B" w:rsidRPr="00663BD6" w:rsidRDefault="001C266B" w:rsidP="001C266B">
            <w:pPr>
              <w:rPr>
                <w:rFonts w:cs="Arial"/>
              </w:rPr>
            </w:pPr>
            <w:r w:rsidRPr="00663BD6">
              <w:rPr>
                <w:rFonts w:cs="Arial"/>
              </w:rPr>
              <w:t>Агранулоцитоза</w:t>
            </w:r>
          </w:p>
          <w:p w14:paraId="1C2AEC98" w14:textId="77777777" w:rsidR="001C266B" w:rsidRPr="00663BD6" w:rsidRDefault="001C266B" w:rsidP="001C266B">
            <w:pPr>
              <w:rPr>
                <w:rFonts w:cs="Arial"/>
              </w:rPr>
            </w:pPr>
            <w:r w:rsidRPr="00663BD6">
              <w:rPr>
                <w:rFonts w:cs="Arial"/>
              </w:rPr>
              <w:t>Анемия</w:t>
            </w:r>
          </w:p>
          <w:p w14:paraId="7625D169" w14:textId="35C33233" w:rsidR="001C266B" w:rsidRPr="00663BD6" w:rsidRDefault="001C266B" w:rsidP="001C266B">
            <w:pPr>
              <w:rPr>
                <w:rFonts w:cs="Arial"/>
              </w:rPr>
            </w:pPr>
            <w:r w:rsidRPr="00663BD6">
              <w:rPr>
                <w:rFonts w:cs="Arial"/>
              </w:rPr>
              <w:t>Тромбоцитопения, тромбоцитемия</w:t>
            </w:r>
          </w:p>
        </w:tc>
      </w:tr>
      <w:tr w:rsidR="001C266B" w:rsidRPr="00663BD6" w14:paraId="1A3330F1" w14:textId="77777777" w:rsidTr="001C266B">
        <w:tc>
          <w:tcPr>
            <w:tcW w:w="9576" w:type="dxa"/>
            <w:gridSpan w:val="2"/>
          </w:tcPr>
          <w:p w14:paraId="14EB1938" w14:textId="50A9EB9F" w:rsidR="001C266B" w:rsidRPr="00663BD6" w:rsidRDefault="001C266B" w:rsidP="001C266B">
            <w:pPr>
              <w:rPr>
                <w:rFonts w:cs="Arial"/>
              </w:rPr>
            </w:pPr>
            <w:r w:rsidRPr="00663BD6">
              <w:rPr>
                <w:rFonts w:cs="Arial"/>
                <w:b/>
                <w:bCs/>
              </w:rPr>
              <w:t>Нарушения на имунната система</w:t>
            </w:r>
          </w:p>
        </w:tc>
      </w:tr>
      <w:tr w:rsidR="001C266B" w:rsidRPr="00663BD6" w14:paraId="52AC66DA" w14:textId="77777777" w:rsidTr="001C266B">
        <w:tc>
          <w:tcPr>
            <w:tcW w:w="4788" w:type="dxa"/>
          </w:tcPr>
          <w:p w14:paraId="38E95ED9" w14:textId="3A45326E" w:rsidR="001C266B" w:rsidRDefault="001C266B" w:rsidP="001C266B">
            <w:r>
              <w:t>С неизвестна честота:</w:t>
            </w:r>
          </w:p>
        </w:tc>
        <w:tc>
          <w:tcPr>
            <w:tcW w:w="4788" w:type="dxa"/>
            <w:vAlign w:val="bottom"/>
          </w:tcPr>
          <w:p w14:paraId="6BE887BE" w14:textId="0BAC8A12" w:rsidR="001C266B" w:rsidRPr="00663BD6" w:rsidRDefault="001C266B" w:rsidP="001C266B">
            <w:pPr>
              <w:rPr>
                <w:rFonts w:cs="Arial"/>
              </w:rPr>
            </w:pPr>
            <w:r w:rsidRPr="00663BD6">
              <w:rPr>
                <w:rFonts w:cs="Arial"/>
              </w:rPr>
              <w:t>Ангиоедема*, левкоцитокластичен васкулит*, Лекарствена реакция с еозинофилия и системни симптоми (</w:t>
            </w:r>
            <w:r w:rsidRPr="00663BD6">
              <w:rPr>
                <w:rFonts w:cs="Arial"/>
                <w:lang w:val="en-US"/>
              </w:rPr>
              <w:t>DRESS</w:t>
            </w:r>
            <w:r w:rsidRPr="00663BD6">
              <w:rPr>
                <w:rFonts w:cs="Arial"/>
                <w:lang w:val="ru-RU"/>
              </w:rPr>
              <w:t>)*</w:t>
            </w:r>
          </w:p>
        </w:tc>
      </w:tr>
      <w:tr w:rsidR="001C266B" w:rsidRPr="00663BD6" w14:paraId="5012BB23" w14:textId="77777777" w:rsidTr="001C266B">
        <w:tc>
          <w:tcPr>
            <w:tcW w:w="9576" w:type="dxa"/>
            <w:gridSpan w:val="2"/>
          </w:tcPr>
          <w:p w14:paraId="0A5DEB26" w14:textId="32F7B233" w:rsidR="001C266B" w:rsidRPr="00663BD6" w:rsidRDefault="001C266B" w:rsidP="001C266B">
            <w:pPr>
              <w:rPr>
                <w:rFonts w:cs="Arial"/>
              </w:rPr>
            </w:pPr>
            <w:r w:rsidRPr="00663BD6">
              <w:rPr>
                <w:rFonts w:cs="Arial"/>
                <w:b/>
                <w:bCs/>
              </w:rPr>
              <w:t>Нарушения на ендокринната система</w:t>
            </w:r>
          </w:p>
        </w:tc>
      </w:tr>
      <w:tr w:rsidR="001C266B" w:rsidRPr="00663BD6" w14:paraId="24DD1859" w14:textId="77777777" w:rsidTr="001C266B">
        <w:tc>
          <w:tcPr>
            <w:tcW w:w="4788" w:type="dxa"/>
          </w:tcPr>
          <w:p w14:paraId="79A21F9A" w14:textId="184B723C" w:rsidR="001C266B" w:rsidRDefault="001C266B" w:rsidP="001C266B">
            <w:r>
              <w:rPr>
                <w:sz w:val="20"/>
                <w:szCs w:val="20"/>
              </w:rPr>
              <w:t>С неизвестна честота:</w:t>
            </w:r>
          </w:p>
        </w:tc>
        <w:tc>
          <w:tcPr>
            <w:tcW w:w="4788" w:type="dxa"/>
          </w:tcPr>
          <w:p w14:paraId="5BA35ABE" w14:textId="216A337A" w:rsidR="001C266B" w:rsidRPr="00663BD6" w:rsidRDefault="001C266B" w:rsidP="001C266B">
            <w:pPr>
              <w:rPr>
                <w:rFonts w:cs="Arial"/>
              </w:rPr>
            </w:pPr>
            <w:r w:rsidRPr="00663BD6">
              <w:rPr>
                <w:rFonts w:cs="Arial"/>
              </w:rPr>
              <w:t>Псевдофеохромоцитом*</w:t>
            </w:r>
          </w:p>
        </w:tc>
      </w:tr>
      <w:tr w:rsidR="001C266B" w:rsidRPr="00663BD6" w14:paraId="71F370A2" w14:textId="77777777" w:rsidTr="001C266B">
        <w:tc>
          <w:tcPr>
            <w:tcW w:w="9576" w:type="dxa"/>
            <w:gridSpan w:val="2"/>
          </w:tcPr>
          <w:p w14:paraId="655B12F7" w14:textId="79BA6A2D" w:rsidR="001C266B" w:rsidRPr="00663BD6" w:rsidRDefault="001C266B" w:rsidP="001C266B">
            <w:pPr>
              <w:rPr>
                <w:rFonts w:cs="Arial"/>
                <w:b/>
              </w:rPr>
            </w:pPr>
            <w:r w:rsidRPr="00663BD6">
              <w:rPr>
                <w:rFonts w:cs="Arial"/>
                <w:b/>
                <w:lang w:eastAsia="bg-BG"/>
              </w:rPr>
              <w:t>Нарушения на метаболизма и храненето</w:t>
            </w:r>
          </w:p>
        </w:tc>
      </w:tr>
      <w:tr w:rsidR="001C266B" w:rsidRPr="00663BD6" w14:paraId="7D4319DB" w14:textId="77777777" w:rsidTr="001C266B">
        <w:tc>
          <w:tcPr>
            <w:tcW w:w="4788" w:type="dxa"/>
          </w:tcPr>
          <w:p w14:paraId="0C832478" w14:textId="77777777" w:rsidR="001C266B" w:rsidRDefault="001C266B" w:rsidP="001C266B">
            <w:r>
              <w:rPr>
                <w:sz w:val="20"/>
                <w:szCs w:val="20"/>
              </w:rPr>
              <w:t>Чести:</w:t>
            </w:r>
          </w:p>
          <w:p w14:paraId="1E1AD25B" w14:textId="5ABFC180" w:rsidR="001C266B" w:rsidRDefault="001C266B" w:rsidP="001C266B">
            <w:r>
              <w:rPr>
                <w:sz w:val="20"/>
                <w:szCs w:val="20"/>
              </w:rPr>
              <w:t>Редки:</w:t>
            </w:r>
          </w:p>
          <w:p w14:paraId="0A62507A" w14:textId="77777777" w:rsidR="001C266B" w:rsidRDefault="001C266B" w:rsidP="001C266B">
            <w:pPr>
              <w:rPr>
                <w:sz w:val="20"/>
                <w:szCs w:val="20"/>
              </w:rPr>
            </w:pPr>
          </w:p>
          <w:p w14:paraId="2334EE11" w14:textId="096F3574" w:rsidR="001C266B" w:rsidRDefault="001C266B" w:rsidP="001C266B">
            <w:r>
              <w:rPr>
                <w:sz w:val="20"/>
                <w:szCs w:val="20"/>
              </w:rPr>
              <w:t>Много редки:</w:t>
            </w:r>
          </w:p>
        </w:tc>
        <w:tc>
          <w:tcPr>
            <w:tcW w:w="4788" w:type="dxa"/>
            <w:vAlign w:val="bottom"/>
          </w:tcPr>
          <w:p w14:paraId="7F6661B3" w14:textId="77777777" w:rsidR="001C266B" w:rsidRPr="00663BD6" w:rsidRDefault="001C266B" w:rsidP="001C266B">
            <w:pPr>
              <w:rPr>
                <w:rFonts w:cs="Arial"/>
              </w:rPr>
            </w:pPr>
            <w:r w:rsidRPr="00663BD6">
              <w:rPr>
                <w:rFonts w:cs="Arial"/>
              </w:rPr>
              <w:t>Наддаване на тегло</w:t>
            </w:r>
          </w:p>
          <w:p w14:paraId="3D1D1595" w14:textId="77777777" w:rsidR="001C266B" w:rsidRPr="00663BD6" w:rsidRDefault="001C266B" w:rsidP="001C266B">
            <w:pPr>
              <w:rPr>
                <w:rFonts w:cs="Arial"/>
              </w:rPr>
            </w:pPr>
            <w:r w:rsidRPr="00663BD6">
              <w:rPr>
                <w:rFonts w:cs="Arial"/>
              </w:rPr>
              <w:t xml:space="preserve">Захарен диабет, нарушен глюкозен толеранс, затлъстяване* </w:t>
            </w:r>
          </w:p>
          <w:p w14:paraId="409DB55A" w14:textId="5C156DAB" w:rsidR="001C266B" w:rsidRPr="00663BD6" w:rsidRDefault="001C266B" w:rsidP="001C266B">
            <w:pPr>
              <w:rPr>
                <w:rFonts w:cs="Arial"/>
              </w:rPr>
            </w:pPr>
            <w:r w:rsidRPr="00663BD6">
              <w:rPr>
                <w:rFonts w:cs="Arial"/>
              </w:rPr>
              <w:t>Хиперосмоларна кома, кетоацидоза, тежка хипергликемия, хипертриглицеридемия, хиперхолестеролемия</w:t>
            </w:r>
          </w:p>
        </w:tc>
      </w:tr>
      <w:tr w:rsidR="001C266B" w:rsidRPr="00663BD6" w14:paraId="6B0B4F6E" w14:textId="77777777" w:rsidTr="001C266B">
        <w:tc>
          <w:tcPr>
            <w:tcW w:w="9576" w:type="dxa"/>
            <w:gridSpan w:val="2"/>
          </w:tcPr>
          <w:p w14:paraId="4E9FFF20" w14:textId="4BD2FD8C" w:rsidR="001C266B" w:rsidRPr="00663BD6" w:rsidRDefault="001C266B" w:rsidP="001C266B">
            <w:pPr>
              <w:rPr>
                <w:rFonts w:cs="Arial"/>
                <w:b/>
              </w:rPr>
            </w:pPr>
            <w:r w:rsidRPr="00663BD6">
              <w:rPr>
                <w:rFonts w:cs="Arial"/>
                <w:b/>
                <w:lang w:eastAsia="bg-BG"/>
              </w:rPr>
              <w:t>Психични нарушения</w:t>
            </w:r>
          </w:p>
        </w:tc>
      </w:tr>
      <w:tr w:rsidR="001C266B" w:rsidRPr="00663BD6" w14:paraId="3ED3A0A7" w14:textId="77777777" w:rsidTr="001C266B">
        <w:tc>
          <w:tcPr>
            <w:tcW w:w="4788" w:type="dxa"/>
            <w:vAlign w:val="bottom"/>
          </w:tcPr>
          <w:p w14:paraId="6535D932" w14:textId="77777777" w:rsidR="001C266B" w:rsidRDefault="001C266B" w:rsidP="001C266B">
            <w:r>
              <w:rPr>
                <w:sz w:val="20"/>
                <w:szCs w:val="20"/>
              </w:rPr>
              <w:t>Чести:</w:t>
            </w:r>
          </w:p>
          <w:p w14:paraId="5DDA4A86" w14:textId="77777777" w:rsidR="001C266B" w:rsidRDefault="001C266B" w:rsidP="001C266B">
            <w:r>
              <w:rPr>
                <w:sz w:val="20"/>
                <w:szCs w:val="20"/>
              </w:rPr>
              <w:t>Нечести:</w:t>
            </w:r>
          </w:p>
          <w:p w14:paraId="2BF322E0" w14:textId="1A69DE15" w:rsidR="001C266B" w:rsidRDefault="001C266B" w:rsidP="001C266B">
            <w:r>
              <w:rPr>
                <w:sz w:val="20"/>
                <w:szCs w:val="20"/>
              </w:rPr>
              <w:t>Редки:</w:t>
            </w:r>
          </w:p>
        </w:tc>
        <w:tc>
          <w:tcPr>
            <w:tcW w:w="4788" w:type="dxa"/>
            <w:vAlign w:val="bottom"/>
          </w:tcPr>
          <w:p w14:paraId="6A799894" w14:textId="77777777" w:rsidR="001C266B" w:rsidRPr="00663BD6" w:rsidRDefault="001C266B" w:rsidP="001C266B">
            <w:pPr>
              <w:rPr>
                <w:rFonts w:cs="Arial"/>
              </w:rPr>
            </w:pPr>
            <w:r w:rsidRPr="00663BD6">
              <w:rPr>
                <w:rFonts w:cs="Arial"/>
              </w:rPr>
              <w:t>Дизартрия</w:t>
            </w:r>
          </w:p>
          <w:p w14:paraId="55DF5482" w14:textId="77777777" w:rsidR="001C266B" w:rsidRPr="00663BD6" w:rsidRDefault="001C266B" w:rsidP="001C266B">
            <w:pPr>
              <w:rPr>
                <w:rFonts w:cs="Arial"/>
              </w:rPr>
            </w:pPr>
            <w:r w:rsidRPr="00663BD6">
              <w:rPr>
                <w:rFonts w:cs="Arial"/>
              </w:rPr>
              <w:t>Дисфемия</w:t>
            </w:r>
          </w:p>
          <w:p w14:paraId="298DC537" w14:textId="73B9EAE5" w:rsidR="001C266B" w:rsidRPr="00663BD6" w:rsidRDefault="001C266B" w:rsidP="001C266B">
            <w:pPr>
              <w:rPr>
                <w:rFonts w:cs="Arial"/>
              </w:rPr>
            </w:pPr>
            <w:r w:rsidRPr="00663BD6">
              <w:rPr>
                <w:rFonts w:cs="Arial"/>
              </w:rPr>
              <w:t>Състояние на възбуда, неспокойство</w:t>
            </w:r>
          </w:p>
        </w:tc>
      </w:tr>
      <w:tr w:rsidR="001C266B" w:rsidRPr="00663BD6" w14:paraId="01CB719B" w14:textId="77777777" w:rsidTr="001C266B">
        <w:tc>
          <w:tcPr>
            <w:tcW w:w="9576" w:type="dxa"/>
            <w:gridSpan w:val="2"/>
          </w:tcPr>
          <w:p w14:paraId="085A0DAE" w14:textId="40EB7B77" w:rsidR="001C266B" w:rsidRPr="00663BD6" w:rsidRDefault="001C266B" w:rsidP="001C266B">
            <w:pPr>
              <w:rPr>
                <w:rFonts w:cs="Arial"/>
              </w:rPr>
            </w:pPr>
            <w:r w:rsidRPr="00663BD6">
              <w:rPr>
                <w:rFonts w:cs="Arial"/>
                <w:b/>
                <w:bCs/>
              </w:rPr>
              <w:t>Нарушения на нервната система</w:t>
            </w:r>
          </w:p>
        </w:tc>
      </w:tr>
      <w:tr w:rsidR="001C266B" w:rsidRPr="00663BD6" w14:paraId="6CED6AEB" w14:textId="77777777" w:rsidTr="001C266B">
        <w:tc>
          <w:tcPr>
            <w:tcW w:w="4788" w:type="dxa"/>
          </w:tcPr>
          <w:p w14:paraId="145AC435" w14:textId="77777777" w:rsidR="001C266B" w:rsidRDefault="001C266B" w:rsidP="001C266B">
            <w:r>
              <w:rPr>
                <w:sz w:val="20"/>
                <w:szCs w:val="20"/>
              </w:rPr>
              <w:t>Много чести:</w:t>
            </w:r>
          </w:p>
          <w:p w14:paraId="43534E0E" w14:textId="77777777" w:rsidR="001C266B" w:rsidRDefault="001C266B" w:rsidP="001C266B">
            <w:pPr>
              <w:rPr>
                <w:sz w:val="20"/>
                <w:szCs w:val="20"/>
              </w:rPr>
            </w:pPr>
          </w:p>
          <w:p w14:paraId="7925CFE3" w14:textId="744983D4" w:rsidR="001C266B" w:rsidRDefault="001C266B" w:rsidP="001C266B">
            <w:r>
              <w:rPr>
                <w:sz w:val="20"/>
                <w:szCs w:val="20"/>
              </w:rPr>
              <w:t>Чести:</w:t>
            </w:r>
          </w:p>
          <w:p w14:paraId="1D153B84" w14:textId="77777777" w:rsidR="001C266B" w:rsidRDefault="001C266B" w:rsidP="001C266B">
            <w:pPr>
              <w:rPr>
                <w:sz w:val="20"/>
                <w:szCs w:val="20"/>
              </w:rPr>
            </w:pPr>
          </w:p>
          <w:p w14:paraId="0FBE1E49" w14:textId="77777777" w:rsidR="00663BD6" w:rsidRDefault="00663BD6" w:rsidP="001C266B">
            <w:pPr>
              <w:rPr>
                <w:sz w:val="20"/>
                <w:szCs w:val="20"/>
              </w:rPr>
            </w:pPr>
          </w:p>
          <w:p w14:paraId="0DD45F6B" w14:textId="77777777" w:rsidR="00663BD6" w:rsidRDefault="00663BD6" w:rsidP="001C266B">
            <w:pPr>
              <w:rPr>
                <w:sz w:val="20"/>
                <w:szCs w:val="20"/>
              </w:rPr>
            </w:pPr>
          </w:p>
          <w:p w14:paraId="3AA51EDE" w14:textId="0B9C7F82" w:rsidR="001C266B" w:rsidRDefault="001C266B" w:rsidP="001C266B">
            <w:r>
              <w:rPr>
                <w:sz w:val="20"/>
                <w:szCs w:val="20"/>
              </w:rPr>
              <w:t>Нечести:</w:t>
            </w:r>
          </w:p>
          <w:p w14:paraId="284921CB" w14:textId="77777777" w:rsidR="001C266B" w:rsidRDefault="001C266B" w:rsidP="001C266B">
            <w:pPr>
              <w:rPr>
                <w:sz w:val="20"/>
                <w:szCs w:val="20"/>
              </w:rPr>
            </w:pPr>
          </w:p>
          <w:p w14:paraId="6B9DF799" w14:textId="3B759104" w:rsidR="001C266B" w:rsidRDefault="001C266B" w:rsidP="001C266B">
            <w:r>
              <w:rPr>
                <w:sz w:val="20"/>
                <w:szCs w:val="20"/>
              </w:rPr>
              <w:t>Редки:</w:t>
            </w:r>
          </w:p>
          <w:p w14:paraId="208B8C93" w14:textId="77777777" w:rsidR="001C266B" w:rsidRDefault="001C266B" w:rsidP="001C266B">
            <w:pPr>
              <w:rPr>
                <w:sz w:val="20"/>
                <w:szCs w:val="20"/>
              </w:rPr>
            </w:pPr>
          </w:p>
          <w:p w14:paraId="26309754" w14:textId="18A22C56" w:rsidR="001C266B" w:rsidRDefault="001C266B" w:rsidP="001C266B">
            <w:r>
              <w:rPr>
                <w:sz w:val="20"/>
                <w:szCs w:val="20"/>
              </w:rPr>
              <w:t>Много редки:</w:t>
            </w:r>
          </w:p>
          <w:p w14:paraId="2B76AC4F" w14:textId="77777777" w:rsidR="001C266B" w:rsidRDefault="001C266B" w:rsidP="001C266B">
            <w:pPr>
              <w:rPr>
                <w:sz w:val="20"/>
                <w:szCs w:val="20"/>
              </w:rPr>
            </w:pPr>
          </w:p>
          <w:p w14:paraId="3F7C4932" w14:textId="77777777" w:rsidR="00663BD6" w:rsidRDefault="00663BD6" w:rsidP="001C266B">
            <w:pPr>
              <w:rPr>
                <w:sz w:val="20"/>
                <w:szCs w:val="20"/>
              </w:rPr>
            </w:pPr>
          </w:p>
          <w:p w14:paraId="74D1ECEB" w14:textId="145D9C87" w:rsidR="001C266B" w:rsidRDefault="001C266B" w:rsidP="001C266B">
            <w:r>
              <w:rPr>
                <w:sz w:val="20"/>
                <w:szCs w:val="20"/>
              </w:rPr>
              <w:t>С неизвестна честота:</w:t>
            </w:r>
          </w:p>
        </w:tc>
        <w:tc>
          <w:tcPr>
            <w:tcW w:w="4788" w:type="dxa"/>
            <w:vAlign w:val="bottom"/>
          </w:tcPr>
          <w:p w14:paraId="3B8BD6E8" w14:textId="77777777" w:rsidR="001C266B" w:rsidRPr="00663BD6" w:rsidRDefault="001C266B" w:rsidP="001C266B">
            <w:pPr>
              <w:rPr>
                <w:rFonts w:cs="Arial"/>
              </w:rPr>
            </w:pPr>
            <w:r w:rsidRPr="00663BD6">
              <w:rPr>
                <w:rFonts w:cs="Arial"/>
              </w:rPr>
              <w:t>Сънливост/седиране, замаяност</w:t>
            </w:r>
          </w:p>
          <w:p w14:paraId="3C0FD2BE" w14:textId="77777777" w:rsidR="001C266B" w:rsidRPr="00663BD6" w:rsidRDefault="001C266B" w:rsidP="001C266B">
            <w:pPr>
              <w:rPr>
                <w:rFonts w:cs="Arial"/>
              </w:rPr>
            </w:pPr>
          </w:p>
          <w:p w14:paraId="7EC0640F" w14:textId="45A0920D" w:rsidR="001C266B" w:rsidRPr="00663BD6" w:rsidRDefault="001C266B" w:rsidP="001C266B">
            <w:pPr>
              <w:rPr>
                <w:rFonts w:cs="Arial"/>
              </w:rPr>
            </w:pPr>
            <w:r w:rsidRPr="00663BD6">
              <w:rPr>
                <w:rFonts w:cs="Arial"/>
              </w:rPr>
              <w:t>Припадъци/гърчове/миоклонуси, екстрапирамидни симптоми, акатизия, тремор, ригидност, главоболие</w:t>
            </w:r>
          </w:p>
          <w:p w14:paraId="508B8271" w14:textId="77777777" w:rsidR="001C266B" w:rsidRPr="00663BD6" w:rsidRDefault="001C266B" w:rsidP="001C266B">
            <w:pPr>
              <w:rPr>
                <w:rFonts w:cs="Arial"/>
              </w:rPr>
            </w:pPr>
          </w:p>
          <w:p w14:paraId="35CB953A" w14:textId="5298F212" w:rsidR="001C266B" w:rsidRPr="00663BD6" w:rsidRDefault="001C266B" w:rsidP="001C266B">
            <w:pPr>
              <w:rPr>
                <w:rFonts w:cs="Arial"/>
              </w:rPr>
            </w:pPr>
            <w:r w:rsidRPr="00663BD6">
              <w:rPr>
                <w:rFonts w:cs="Arial"/>
              </w:rPr>
              <w:t>Малигнен невролептичен синдром</w:t>
            </w:r>
          </w:p>
          <w:p w14:paraId="1B61B46F" w14:textId="77777777" w:rsidR="001C266B" w:rsidRPr="00663BD6" w:rsidRDefault="001C266B" w:rsidP="001C266B">
            <w:pPr>
              <w:rPr>
                <w:rFonts w:cs="Arial"/>
              </w:rPr>
            </w:pPr>
          </w:p>
          <w:p w14:paraId="5E289C9F" w14:textId="13180417" w:rsidR="001C266B" w:rsidRPr="00663BD6" w:rsidRDefault="001C266B" w:rsidP="001C266B">
            <w:pPr>
              <w:rPr>
                <w:rFonts w:cs="Arial"/>
              </w:rPr>
            </w:pPr>
            <w:r w:rsidRPr="00663BD6">
              <w:rPr>
                <w:rFonts w:cs="Arial"/>
              </w:rPr>
              <w:t>Обърканост, делир</w:t>
            </w:r>
          </w:p>
          <w:p w14:paraId="15B645D6" w14:textId="77777777" w:rsidR="001C266B" w:rsidRPr="00663BD6" w:rsidRDefault="001C266B" w:rsidP="001C266B">
            <w:pPr>
              <w:rPr>
                <w:rFonts w:cs="Arial"/>
              </w:rPr>
            </w:pPr>
          </w:p>
          <w:p w14:paraId="570D75B3" w14:textId="32342683" w:rsidR="001C266B" w:rsidRPr="00663BD6" w:rsidRDefault="001C266B" w:rsidP="001C266B">
            <w:pPr>
              <w:rPr>
                <w:rFonts w:cs="Arial"/>
              </w:rPr>
            </w:pPr>
            <w:r w:rsidRPr="00663BD6">
              <w:rPr>
                <w:rFonts w:cs="Arial"/>
              </w:rPr>
              <w:t>Тардивна дискинезия, обсесивно-компулсивни симптоми</w:t>
            </w:r>
          </w:p>
          <w:p w14:paraId="38088F7D" w14:textId="77777777" w:rsidR="001C266B" w:rsidRPr="00663BD6" w:rsidRDefault="001C266B" w:rsidP="001C266B">
            <w:pPr>
              <w:rPr>
                <w:rFonts w:cs="Arial"/>
              </w:rPr>
            </w:pPr>
          </w:p>
          <w:p w14:paraId="347AFA9F" w14:textId="0CA1D8D8" w:rsidR="001C266B" w:rsidRPr="00663BD6" w:rsidRDefault="001C266B" w:rsidP="001C266B">
            <w:pPr>
              <w:rPr>
                <w:rFonts w:cs="Arial"/>
              </w:rPr>
            </w:pPr>
            <w:r w:rsidRPr="00663BD6">
              <w:rPr>
                <w:rFonts w:cs="Arial"/>
              </w:rPr>
              <w:t>Холинергичен синдром (след внезапно прекъсване на терапията)*, ЕЕГ промени*, плеврототонус*, синдром на неспокойните крака*</w:t>
            </w:r>
          </w:p>
        </w:tc>
      </w:tr>
      <w:tr w:rsidR="00663BD6" w:rsidRPr="00663BD6" w14:paraId="582E5176" w14:textId="77777777" w:rsidTr="00642EEA">
        <w:tc>
          <w:tcPr>
            <w:tcW w:w="9576" w:type="dxa"/>
            <w:gridSpan w:val="2"/>
          </w:tcPr>
          <w:p w14:paraId="057E451E" w14:textId="77E533AE" w:rsidR="00663BD6" w:rsidRPr="00663BD6" w:rsidRDefault="00663BD6" w:rsidP="00663BD6">
            <w:pPr>
              <w:rPr>
                <w:rFonts w:cs="Arial"/>
                <w:b/>
              </w:rPr>
            </w:pPr>
            <w:r w:rsidRPr="00663BD6">
              <w:rPr>
                <w:rFonts w:cs="Arial"/>
                <w:b/>
              </w:rPr>
              <w:t>Нарушения на очите</w:t>
            </w:r>
          </w:p>
        </w:tc>
      </w:tr>
      <w:tr w:rsidR="00663BD6" w:rsidRPr="00663BD6" w14:paraId="27E27299" w14:textId="77777777" w:rsidTr="001C266B">
        <w:tc>
          <w:tcPr>
            <w:tcW w:w="4788" w:type="dxa"/>
          </w:tcPr>
          <w:p w14:paraId="03F7F33D" w14:textId="385D7AE9" w:rsidR="00663BD6" w:rsidRDefault="00663BD6" w:rsidP="00663BD6">
            <w:r>
              <w:t>Чести:</w:t>
            </w:r>
          </w:p>
        </w:tc>
        <w:tc>
          <w:tcPr>
            <w:tcW w:w="4788" w:type="dxa"/>
          </w:tcPr>
          <w:p w14:paraId="5A3B16B1" w14:textId="7541052C" w:rsidR="00663BD6" w:rsidRPr="00663BD6" w:rsidRDefault="00663BD6" w:rsidP="00663BD6">
            <w:pPr>
              <w:rPr>
                <w:rFonts w:cs="Arial"/>
              </w:rPr>
            </w:pPr>
            <w:r w:rsidRPr="00663BD6">
              <w:rPr>
                <w:rFonts w:cs="Arial"/>
              </w:rPr>
              <w:t>Замъглено виждане</w:t>
            </w:r>
          </w:p>
        </w:tc>
      </w:tr>
      <w:tr w:rsidR="00663BD6" w:rsidRPr="00663BD6" w14:paraId="4332B9A9" w14:textId="77777777" w:rsidTr="00347835">
        <w:tc>
          <w:tcPr>
            <w:tcW w:w="9576" w:type="dxa"/>
            <w:gridSpan w:val="2"/>
          </w:tcPr>
          <w:p w14:paraId="5003F74A" w14:textId="61B69FB1" w:rsidR="00663BD6" w:rsidRPr="00663BD6" w:rsidRDefault="00663BD6" w:rsidP="00663BD6">
            <w:pPr>
              <w:rPr>
                <w:rFonts w:cs="Arial"/>
                <w:b/>
              </w:rPr>
            </w:pPr>
            <w:r w:rsidRPr="00663BD6">
              <w:rPr>
                <w:rFonts w:cs="Arial"/>
                <w:b/>
              </w:rPr>
              <w:lastRenderedPageBreak/>
              <w:t>Сърдечни нарушения</w:t>
            </w:r>
          </w:p>
        </w:tc>
      </w:tr>
      <w:tr w:rsidR="00663BD6" w:rsidRPr="00663BD6" w14:paraId="574063ED" w14:textId="77777777" w:rsidTr="005970DF">
        <w:tc>
          <w:tcPr>
            <w:tcW w:w="4788" w:type="dxa"/>
          </w:tcPr>
          <w:p w14:paraId="6871D71F" w14:textId="77777777" w:rsidR="00663BD6" w:rsidRDefault="00663BD6" w:rsidP="00663BD6">
            <w:r>
              <w:rPr>
                <w:sz w:val="20"/>
                <w:szCs w:val="20"/>
              </w:rPr>
              <w:t>Много чести:</w:t>
            </w:r>
          </w:p>
          <w:p w14:paraId="6C4E9B78" w14:textId="77777777" w:rsidR="00663BD6" w:rsidRDefault="00663BD6" w:rsidP="00663BD6">
            <w:pPr>
              <w:rPr>
                <w:sz w:val="20"/>
                <w:szCs w:val="20"/>
              </w:rPr>
            </w:pPr>
          </w:p>
          <w:p w14:paraId="7256A064" w14:textId="7FBC0D13" w:rsidR="00663BD6" w:rsidRDefault="00663BD6" w:rsidP="00663BD6">
            <w:r>
              <w:rPr>
                <w:sz w:val="20"/>
                <w:szCs w:val="20"/>
              </w:rPr>
              <w:t>Чести:</w:t>
            </w:r>
          </w:p>
          <w:p w14:paraId="5596CAE6" w14:textId="77777777" w:rsidR="00663BD6" w:rsidRDefault="00663BD6" w:rsidP="00663BD6">
            <w:pPr>
              <w:rPr>
                <w:sz w:val="20"/>
                <w:szCs w:val="20"/>
              </w:rPr>
            </w:pPr>
          </w:p>
          <w:p w14:paraId="00541E42" w14:textId="3E502C89" w:rsidR="00663BD6" w:rsidRDefault="00663BD6" w:rsidP="00663BD6">
            <w:r>
              <w:rPr>
                <w:sz w:val="20"/>
                <w:szCs w:val="20"/>
              </w:rPr>
              <w:t>Редки:</w:t>
            </w:r>
          </w:p>
          <w:p w14:paraId="5B3305B0" w14:textId="77777777" w:rsidR="00663BD6" w:rsidRDefault="00663BD6" w:rsidP="00663BD6">
            <w:pPr>
              <w:rPr>
                <w:sz w:val="20"/>
                <w:szCs w:val="20"/>
              </w:rPr>
            </w:pPr>
          </w:p>
          <w:p w14:paraId="4EF8DF6D" w14:textId="77777777" w:rsidR="00663BD6" w:rsidRDefault="00663BD6" w:rsidP="00663BD6">
            <w:pPr>
              <w:rPr>
                <w:sz w:val="20"/>
                <w:szCs w:val="20"/>
              </w:rPr>
            </w:pPr>
          </w:p>
          <w:p w14:paraId="36197C41" w14:textId="4F6E211B" w:rsidR="00663BD6" w:rsidRDefault="00663BD6" w:rsidP="00663BD6">
            <w:r>
              <w:rPr>
                <w:sz w:val="20"/>
                <w:szCs w:val="20"/>
              </w:rPr>
              <w:t>Много редки:</w:t>
            </w:r>
          </w:p>
          <w:p w14:paraId="689945E9" w14:textId="77777777" w:rsidR="00663BD6" w:rsidRDefault="00663BD6" w:rsidP="00663BD6">
            <w:pPr>
              <w:rPr>
                <w:sz w:val="20"/>
                <w:szCs w:val="20"/>
              </w:rPr>
            </w:pPr>
          </w:p>
          <w:p w14:paraId="0C0951D4" w14:textId="49DE73B5" w:rsidR="00663BD6" w:rsidRDefault="00663BD6" w:rsidP="00663BD6">
            <w:r>
              <w:rPr>
                <w:sz w:val="20"/>
                <w:szCs w:val="20"/>
              </w:rPr>
              <w:t>С неизвестна честота:</w:t>
            </w:r>
          </w:p>
        </w:tc>
        <w:tc>
          <w:tcPr>
            <w:tcW w:w="4788" w:type="dxa"/>
            <w:vAlign w:val="bottom"/>
          </w:tcPr>
          <w:p w14:paraId="1A9C2117" w14:textId="77777777" w:rsidR="00663BD6" w:rsidRPr="00663BD6" w:rsidRDefault="00663BD6" w:rsidP="00663BD6">
            <w:pPr>
              <w:rPr>
                <w:rFonts w:cs="Arial"/>
              </w:rPr>
            </w:pPr>
            <w:r w:rsidRPr="00663BD6">
              <w:rPr>
                <w:rFonts w:cs="Arial"/>
              </w:rPr>
              <w:t>Тахикардия</w:t>
            </w:r>
          </w:p>
          <w:p w14:paraId="42E9E77B" w14:textId="77777777" w:rsidR="00663BD6" w:rsidRPr="00663BD6" w:rsidRDefault="00663BD6" w:rsidP="00663BD6">
            <w:pPr>
              <w:rPr>
                <w:rFonts w:cs="Arial"/>
              </w:rPr>
            </w:pPr>
          </w:p>
          <w:p w14:paraId="72AE32CA" w14:textId="1EAF3751" w:rsidR="00663BD6" w:rsidRPr="00663BD6" w:rsidRDefault="00663BD6" w:rsidP="00663BD6">
            <w:pPr>
              <w:rPr>
                <w:rFonts w:cs="Arial"/>
              </w:rPr>
            </w:pPr>
            <w:r w:rsidRPr="00663BD6">
              <w:rPr>
                <w:rFonts w:cs="Arial"/>
              </w:rPr>
              <w:t>ЕКГ промени</w:t>
            </w:r>
          </w:p>
          <w:p w14:paraId="2CF206C2" w14:textId="77777777" w:rsidR="00663BD6" w:rsidRPr="00663BD6" w:rsidRDefault="00663BD6" w:rsidP="00663BD6">
            <w:pPr>
              <w:rPr>
                <w:rFonts w:cs="Arial"/>
              </w:rPr>
            </w:pPr>
          </w:p>
          <w:p w14:paraId="1FDF5B82" w14:textId="22623759" w:rsidR="00663BD6" w:rsidRPr="00663BD6" w:rsidRDefault="00663BD6" w:rsidP="00663BD6">
            <w:pPr>
              <w:rPr>
                <w:rFonts w:cs="Arial"/>
              </w:rPr>
            </w:pPr>
            <w:r w:rsidRPr="00663BD6">
              <w:rPr>
                <w:rFonts w:cs="Arial"/>
              </w:rPr>
              <w:t>Циркулаторен колапс, аритмии, миокардит, перикардит/перикарден излив</w:t>
            </w:r>
          </w:p>
          <w:p w14:paraId="2704347A" w14:textId="77777777" w:rsidR="00663BD6" w:rsidRPr="00663BD6" w:rsidRDefault="00663BD6" w:rsidP="00663BD6">
            <w:pPr>
              <w:rPr>
                <w:rFonts w:cs="Arial"/>
              </w:rPr>
            </w:pPr>
          </w:p>
          <w:p w14:paraId="56C641E6" w14:textId="63073835" w:rsidR="00663BD6" w:rsidRPr="00663BD6" w:rsidRDefault="00663BD6" w:rsidP="00663BD6">
            <w:pPr>
              <w:rPr>
                <w:rFonts w:cs="Arial"/>
              </w:rPr>
            </w:pPr>
            <w:r w:rsidRPr="00663BD6">
              <w:rPr>
                <w:rFonts w:cs="Arial"/>
              </w:rPr>
              <w:t>Кардиомиопатия, сърдечен арест</w:t>
            </w:r>
          </w:p>
          <w:p w14:paraId="1CB4C95B" w14:textId="77777777" w:rsidR="00663BD6" w:rsidRPr="00663BD6" w:rsidRDefault="00663BD6" w:rsidP="00663BD6">
            <w:pPr>
              <w:rPr>
                <w:rFonts w:cs="Arial"/>
              </w:rPr>
            </w:pPr>
          </w:p>
          <w:p w14:paraId="5C94E5CA" w14:textId="675E0363" w:rsidR="00663BD6" w:rsidRPr="00663BD6" w:rsidRDefault="00663BD6" w:rsidP="00663BD6">
            <w:pPr>
              <w:rPr>
                <w:rFonts w:cs="Arial"/>
              </w:rPr>
            </w:pPr>
            <w:r w:rsidRPr="00663BD6">
              <w:rPr>
                <w:rFonts w:cs="Arial"/>
              </w:rPr>
              <w:t>Миокарден инфаркт***, миокардит***, гръдна болка/ангина пекторис*, предсърдно мъждене*, палпитации*, недостатъчност на митрална клапа асоциирана с кардиомиопатия, която е свързана с клозарин*</w:t>
            </w:r>
          </w:p>
        </w:tc>
      </w:tr>
      <w:tr w:rsidR="00663BD6" w:rsidRPr="00663BD6" w14:paraId="777CBA0A" w14:textId="77777777" w:rsidTr="009F4020">
        <w:tc>
          <w:tcPr>
            <w:tcW w:w="9576" w:type="dxa"/>
            <w:gridSpan w:val="2"/>
          </w:tcPr>
          <w:p w14:paraId="146B67E0" w14:textId="51B1BB99" w:rsidR="00663BD6" w:rsidRPr="00663BD6" w:rsidRDefault="00663BD6" w:rsidP="00663BD6">
            <w:pPr>
              <w:rPr>
                <w:rFonts w:cs="Arial"/>
                <w:b/>
              </w:rPr>
            </w:pPr>
            <w:r w:rsidRPr="00663BD6">
              <w:rPr>
                <w:rFonts w:cs="Arial"/>
                <w:b/>
              </w:rPr>
              <w:t>Съдови нарушения</w:t>
            </w:r>
          </w:p>
        </w:tc>
      </w:tr>
      <w:tr w:rsidR="00663BD6" w:rsidRPr="00663BD6" w14:paraId="7E3D562C" w14:textId="77777777" w:rsidTr="0062667D">
        <w:tc>
          <w:tcPr>
            <w:tcW w:w="4788" w:type="dxa"/>
            <w:vAlign w:val="bottom"/>
          </w:tcPr>
          <w:p w14:paraId="047E1BA4" w14:textId="77777777" w:rsidR="00663BD6" w:rsidRDefault="00663BD6" w:rsidP="00663BD6">
            <w:r>
              <w:rPr>
                <w:sz w:val="20"/>
                <w:szCs w:val="20"/>
              </w:rPr>
              <w:t>Чести:</w:t>
            </w:r>
          </w:p>
          <w:p w14:paraId="74F723D6" w14:textId="77777777" w:rsidR="00663BD6" w:rsidRDefault="00663BD6" w:rsidP="00663BD6">
            <w:r>
              <w:rPr>
                <w:sz w:val="20"/>
                <w:szCs w:val="20"/>
              </w:rPr>
              <w:t>Редки:</w:t>
            </w:r>
          </w:p>
          <w:p w14:paraId="06F9FE48" w14:textId="4826D0F6" w:rsidR="00663BD6" w:rsidRDefault="00663BD6" w:rsidP="00663BD6">
            <w:r>
              <w:rPr>
                <w:sz w:val="20"/>
                <w:szCs w:val="20"/>
              </w:rPr>
              <w:t>С неизвестна честота:</w:t>
            </w:r>
          </w:p>
        </w:tc>
        <w:tc>
          <w:tcPr>
            <w:tcW w:w="4788" w:type="dxa"/>
            <w:vAlign w:val="bottom"/>
          </w:tcPr>
          <w:p w14:paraId="142B4FE7" w14:textId="77777777" w:rsidR="00663BD6" w:rsidRPr="00663BD6" w:rsidRDefault="00663BD6" w:rsidP="00663BD6">
            <w:pPr>
              <w:rPr>
                <w:rFonts w:cs="Arial"/>
              </w:rPr>
            </w:pPr>
            <w:r w:rsidRPr="00663BD6">
              <w:rPr>
                <w:rFonts w:cs="Arial"/>
              </w:rPr>
              <w:t>Синкоп, постурална хипотония, хипертония</w:t>
            </w:r>
          </w:p>
          <w:p w14:paraId="5CA4FEEC" w14:textId="77777777" w:rsidR="00663BD6" w:rsidRPr="00663BD6" w:rsidRDefault="00663BD6" w:rsidP="00663BD6">
            <w:pPr>
              <w:rPr>
                <w:rFonts w:cs="Arial"/>
              </w:rPr>
            </w:pPr>
            <w:r w:rsidRPr="00663BD6">
              <w:rPr>
                <w:rFonts w:cs="Arial"/>
              </w:rPr>
              <w:t>Тромбоемболизъм</w:t>
            </w:r>
          </w:p>
          <w:p w14:paraId="3F9CD251" w14:textId="40D491CE" w:rsidR="00663BD6" w:rsidRPr="00663BD6" w:rsidRDefault="00663BD6" w:rsidP="00663BD6">
            <w:pPr>
              <w:rPr>
                <w:rFonts w:cs="Arial"/>
              </w:rPr>
            </w:pPr>
            <w:r w:rsidRPr="00663BD6">
              <w:rPr>
                <w:rFonts w:cs="Arial"/>
              </w:rPr>
              <w:t>Хипотония*, венозен тромбемболизъм</w:t>
            </w:r>
          </w:p>
        </w:tc>
      </w:tr>
      <w:tr w:rsidR="00663BD6" w:rsidRPr="00663BD6" w14:paraId="2A6DF827" w14:textId="77777777" w:rsidTr="003E6DDA">
        <w:tc>
          <w:tcPr>
            <w:tcW w:w="9576" w:type="dxa"/>
            <w:gridSpan w:val="2"/>
          </w:tcPr>
          <w:p w14:paraId="6A070594" w14:textId="1554D65E" w:rsidR="00663BD6" w:rsidRPr="00663BD6" w:rsidRDefault="00663BD6" w:rsidP="001C266B">
            <w:pPr>
              <w:rPr>
                <w:rFonts w:cs="Arial"/>
              </w:rPr>
            </w:pPr>
            <w:r w:rsidRPr="00663BD6">
              <w:rPr>
                <w:rFonts w:cs="Arial"/>
                <w:b/>
                <w:bCs/>
              </w:rPr>
              <w:t>Респираторни, гръдни и медиастинални нарушения</w:t>
            </w:r>
          </w:p>
        </w:tc>
      </w:tr>
      <w:tr w:rsidR="00663BD6" w:rsidRPr="00663BD6" w14:paraId="33CC73FE" w14:textId="77777777" w:rsidTr="001C266B">
        <w:tc>
          <w:tcPr>
            <w:tcW w:w="4788" w:type="dxa"/>
          </w:tcPr>
          <w:p w14:paraId="7AAC7687" w14:textId="77777777" w:rsidR="00663BD6" w:rsidRDefault="00663BD6" w:rsidP="00663BD6">
            <w:r>
              <w:rPr>
                <w:sz w:val="20"/>
                <w:szCs w:val="20"/>
              </w:rPr>
              <w:t>Редки:</w:t>
            </w:r>
          </w:p>
          <w:p w14:paraId="7DE7702B" w14:textId="77777777" w:rsidR="00663BD6" w:rsidRDefault="00663BD6" w:rsidP="00663BD6">
            <w:pPr>
              <w:rPr>
                <w:sz w:val="20"/>
                <w:szCs w:val="20"/>
              </w:rPr>
            </w:pPr>
          </w:p>
          <w:p w14:paraId="25D515BC" w14:textId="77777777" w:rsidR="00663BD6" w:rsidRDefault="00663BD6" w:rsidP="00663BD6">
            <w:pPr>
              <w:rPr>
                <w:sz w:val="20"/>
                <w:szCs w:val="20"/>
              </w:rPr>
            </w:pPr>
          </w:p>
          <w:p w14:paraId="3BCC0801" w14:textId="77777777" w:rsidR="00663BD6" w:rsidRDefault="00663BD6" w:rsidP="00663BD6">
            <w:pPr>
              <w:rPr>
                <w:sz w:val="20"/>
                <w:szCs w:val="20"/>
              </w:rPr>
            </w:pPr>
          </w:p>
          <w:p w14:paraId="6BB2E8B6" w14:textId="77777777" w:rsidR="00663BD6" w:rsidRDefault="00663BD6" w:rsidP="00663BD6">
            <w:pPr>
              <w:rPr>
                <w:sz w:val="20"/>
                <w:szCs w:val="20"/>
              </w:rPr>
            </w:pPr>
          </w:p>
          <w:p w14:paraId="454C199F" w14:textId="3F9FACBF" w:rsidR="00663BD6" w:rsidRPr="00663BD6" w:rsidRDefault="00663BD6" w:rsidP="00663BD6">
            <w:pPr>
              <w:rPr>
                <w:sz w:val="20"/>
                <w:szCs w:val="20"/>
              </w:rPr>
            </w:pPr>
            <w:r>
              <w:rPr>
                <w:sz w:val="20"/>
                <w:szCs w:val="20"/>
              </w:rPr>
              <w:t>Много редки:</w:t>
            </w:r>
          </w:p>
          <w:p w14:paraId="19F109DA" w14:textId="77777777" w:rsidR="00663BD6" w:rsidRDefault="00663BD6" w:rsidP="00663BD6">
            <w:pPr>
              <w:rPr>
                <w:sz w:val="20"/>
                <w:szCs w:val="20"/>
              </w:rPr>
            </w:pPr>
          </w:p>
          <w:p w14:paraId="57D5AD88" w14:textId="32C71157" w:rsidR="00663BD6" w:rsidRDefault="00663BD6" w:rsidP="00663BD6">
            <w:r>
              <w:rPr>
                <w:sz w:val="20"/>
                <w:szCs w:val="20"/>
              </w:rPr>
              <w:t>С неизвестна честота:</w:t>
            </w:r>
          </w:p>
        </w:tc>
        <w:tc>
          <w:tcPr>
            <w:tcW w:w="4788" w:type="dxa"/>
          </w:tcPr>
          <w:p w14:paraId="2598F3CB" w14:textId="77777777" w:rsidR="00663BD6" w:rsidRPr="00663BD6" w:rsidRDefault="00663BD6" w:rsidP="00663BD6">
            <w:pPr>
              <w:rPr>
                <w:rFonts w:cs="Arial"/>
              </w:rPr>
            </w:pPr>
            <w:r w:rsidRPr="00663BD6">
              <w:rPr>
                <w:rFonts w:cs="Arial"/>
              </w:rPr>
              <w:t>Аспирация на приетата храна, пневмония и инфекция на долните дихателни пътища, които могат да бъдат фатални, синдром на сънна апнея*</w:t>
            </w:r>
          </w:p>
          <w:p w14:paraId="5EFD89E3" w14:textId="77777777" w:rsidR="00663BD6" w:rsidRPr="00663BD6" w:rsidRDefault="00663BD6" w:rsidP="00663BD6">
            <w:pPr>
              <w:rPr>
                <w:rFonts w:cs="Arial"/>
              </w:rPr>
            </w:pPr>
          </w:p>
          <w:p w14:paraId="77CD82D7" w14:textId="335F02DC" w:rsidR="00663BD6" w:rsidRPr="00663BD6" w:rsidRDefault="00663BD6" w:rsidP="00663BD6">
            <w:pPr>
              <w:rPr>
                <w:rFonts w:cs="Arial"/>
              </w:rPr>
            </w:pPr>
            <w:r w:rsidRPr="00663BD6">
              <w:rPr>
                <w:rFonts w:cs="Arial"/>
              </w:rPr>
              <w:t>Потискане/спиране на дишането</w:t>
            </w:r>
          </w:p>
          <w:p w14:paraId="6A32A133" w14:textId="77777777" w:rsidR="00663BD6" w:rsidRPr="00663BD6" w:rsidRDefault="00663BD6" w:rsidP="00663BD6">
            <w:pPr>
              <w:rPr>
                <w:rFonts w:cs="Arial"/>
              </w:rPr>
            </w:pPr>
          </w:p>
          <w:p w14:paraId="3B6F318B" w14:textId="1D5BEA27" w:rsidR="00663BD6" w:rsidRPr="00663BD6" w:rsidRDefault="00663BD6" w:rsidP="00663BD6">
            <w:pPr>
              <w:rPr>
                <w:rFonts w:cs="Arial"/>
              </w:rPr>
            </w:pPr>
            <w:r w:rsidRPr="00663BD6">
              <w:rPr>
                <w:rFonts w:cs="Arial"/>
              </w:rPr>
              <w:t>Плеврален излив*, назална конгестия*</w:t>
            </w:r>
          </w:p>
        </w:tc>
      </w:tr>
      <w:tr w:rsidR="00663BD6" w:rsidRPr="00663BD6" w14:paraId="0632206A" w14:textId="77777777" w:rsidTr="00276CFE">
        <w:tc>
          <w:tcPr>
            <w:tcW w:w="9576" w:type="dxa"/>
            <w:gridSpan w:val="2"/>
          </w:tcPr>
          <w:p w14:paraId="74A5581C" w14:textId="234F9A90" w:rsidR="00663BD6" w:rsidRPr="00663BD6" w:rsidRDefault="00663BD6" w:rsidP="00663BD6">
            <w:pPr>
              <w:rPr>
                <w:rFonts w:cs="Arial"/>
                <w:b/>
              </w:rPr>
            </w:pPr>
            <w:r w:rsidRPr="00663BD6">
              <w:rPr>
                <w:rFonts w:cs="Arial"/>
                <w:b/>
              </w:rPr>
              <w:t>Стомашно-чревни нарушения</w:t>
            </w:r>
          </w:p>
        </w:tc>
      </w:tr>
      <w:tr w:rsidR="00663BD6" w:rsidRPr="00663BD6" w14:paraId="394A384A" w14:textId="77777777" w:rsidTr="005F3AE7">
        <w:tc>
          <w:tcPr>
            <w:tcW w:w="4788" w:type="dxa"/>
          </w:tcPr>
          <w:p w14:paraId="0275D17D" w14:textId="77777777" w:rsidR="00663BD6" w:rsidRDefault="00663BD6" w:rsidP="00663BD6">
            <w:r>
              <w:rPr>
                <w:sz w:val="20"/>
                <w:szCs w:val="20"/>
              </w:rPr>
              <w:t>Много чести:</w:t>
            </w:r>
          </w:p>
          <w:p w14:paraId="5779104D" w14:textId="77777777" w:rsidR="00663BD6" w:rsidRDefault="00663BD6" w:rsidP="00663BD6">
            <w:pPr>
              <w:rPr>
                <w:sz w:val="20"/>
                <w:szCs w:val="20"/>
              </w:rPr>
            </w:pPr>
          </w:p>
          <w:p w14:paraId="7CF24FE5" w14:textId="33E446B3" w:rsidR="00663BD6" w:rsidRDefault="00663BD6" w:rsidP="00663BD6">
            <w:r>
              <w:rPr>
                <w:sz w:val="20"/>
                <w:szCs w:val="20"/>
              </w:rPr>
              <w:t>Чести:</w:t>
            </w:r>
          </w:p>
          <w:p w14:paraId="382BF0EA" w14:textId="77777777" w:rsidR="00663BD6" w:rsidRDefault="00663BD6" w:rsidP="00663BD6">
            <w:pPr>
              <w:rPr>
                <w:sz w:val="20"/>
                <w:szCs w:val="20"/>
              </w:rPr>
            </w:pPr>
          </w:p>
          <w:p w14:paraId="76EFF9D4" w14:textId="647A0558" w:rsidR="00663BD6" w:rsidRDefault="00663BD6" w:rsidP="00663BD6">
            <w:r>
              <w:rPr>
                <w:sz w:val="20"/>
                <w:szCs w:val="20"/>
              </w:rPr>
              <w:t>Редки:</w:t>
            </w:r>
          </w:p>
          <w:p w14:paraId="5B42FCAC" w14:textId="77777777" w:rsidR="00663BD6" w:rsidRDefault="00663BD6" w:rsidP="00663BD6">
            <w:pPr>
              <w:rPr>
                <w:sz w:val="20"/>
                <w:szCs w:val="20"/>
              </w:rPr>
            </w:pPr>
          </w:p>
          <w:p w14:paraId="0BA22593" w14:textId="77777777" w:rsidR="00663BD6" w:rsidRDefault="00663BD6" w:rsidP="00663BD6">
            <w:pPr>
              <w:rPr>
                <w:sz w:val="20"/>
                <w:szCs w:val="20"/>
              </w:rPr>
            </w:pPr>
            <w:r>
              <w:rPr>
                <w:sz w:val="20"/>
                <w:szCs w:val="20"/>
              </w:rPr>
              <w:t>Много редки:</w:t>
            </w:r>
          </w:p>
          <w:p w14:paraId="142D0434" w14:textId="77777777" w:rsidR="00663BD6" w:rsidRDefault="00663BD6" w:rsidP="00663BD6">
            <w:pPr>
              <w:rPr>
                <w:sz w:val="20"/>
                <w:szCs w:val="20"/>
              </w:rPr>
            </w:pPr>
          </w:p>
          <w:p w14:paraId="0B060404" w14:textId="77777777" w:rsidR="00663BD6" w:rsidRDefault="00663BD6" w:rsidP="00663BD6">
            <w:pPr>
              <w:rPr>
                <w:sz w:val="20"/>
                <w:szCs w:val="20"/>
              </w:rPr>
            </w:pPr>
          </w:p>
          <w:p w14:paraId="4C1227E6" w14:textId="6E95FC89" w:rsidR="00663BD6" w:rsidRDefault="00663BD6" w:rsidP="00663BD6">
            <w:r>
              <w:rPr>
                <w:sz w:val="20"/>
                <w:szCs w:val="20"/>
              </w:rPr>
              <w:t>С неизвестна честота:</w:t>
            </w:r>
          </w:p>
        </w:tc>
        <w:tc>
          <w:tcPr>
            <w:tcW w:w="4788" w:type="dxa"/>
            <w:vAlign w:val="bottom"/>
          </w:tcPr>
          <w:p w14:paraId="728E96D5" w14:textId="77777777" w:rsidR="00663BD6" w:rsidRPr="00663BD6" w:rsidRDefault="00663BD6" w:rsidP="00663BD6">
            <w:pPr>
              <w:rPr>
                <w:rFonts w:cs="Arial"/>
              </w:rPr>
            </w:pPr>
            <w:r w:rsidRPr="00663BD6">
              <w:rPr>
                <w:rFonts w:cs="Arial"/>
              </w:rPr>
              <w:t>Запек, хиперсаливация</w:t>
            </w:r>
          </w:p>
          <w:p w14:paraId="119A3899" w14:textId="77777777" w:rsidR="00663BD6" w:rsidRPr="00663BD6" w:rsidRDefault="00663BD6" w:rsidP="00663BD6">
            <w:pPr>
              <w:rPr>
                <w:rFonts w:cs="Arial"/>
              </w:rPr>
            </w:pPr>
          </w:p>
          <w:p w14:paraId="633D5340" w14:textId="5A733A8E" w:rsidR="00663BD6" w:rsidRPr="00663BD6" w:rsidRDefault="00663BD6" w:rsidP="00663BD6">
            <w:pPr>
              <w:rPr>
                <w:rFonts w:cs="Arial"/>
              </w:rPr>
            </w:pPr>
            <w:r w:rsidRPr="00663BD6">
              <w:rPr>
                <w:rFonts w:cs="Arial"/>
              </w:rPr>
              <w:t>Гадене, повръщане, сухота в устата</w:t>
            </w:r>
          </w:p>
          <w:p w14:paraId="42AFB16A" w14:textId="77777777" w:rsidR="00663BD6" w:rsidRPr="00663BD6" w:rsidRDefault="00663BD6" w:rsidP="00663BD6">
            <w:pPr>
              <w:rPr>
                <w:rFonts w:cs="Arial"/>
              </w:rPr>
            </w:pPr>
          </w:p>
          <w:p w14:paraId="69361050" w14:textId="77777777" w:rsidR="00663BD6" w:rsidRPr="00663BD6" w:rsidRDefault="00663BD6" w:rsidP="00663BD6">
            <w:pPr>
              <w:rPr>
                <w:rFonts w:cs="Arial"/>
              </w:rPr>
            </w:pPr>
            <w:r w:rsidRPr="00663BD6">
              <w:rPr>
                <w:rFonts w:cs="Arial"/>
              </w:rPr>
              <w:t>Дисфагия</w:t>
            </w:r>
          </w:p>
          <w:p w14:paraId="482EA40B" w14:textId="77777777" w:rsidR="00663BD6" w:rsidRPr="00663BD6" w:rsidRDefault="00663BD6" w:rsidP="00663BD6">
            <w:pPr>
              <w:rPr>
                <w:rFonts w:cs="Arial"/>
              </w:rPr>
            </w:pPr>
          </w:p>
          <w:p w14:paraId="24281A18" w14:textId="77777777" w:rsidR="00663BD6" w:rsidRPr="00663BD6" w:rsidRDefault="00663BD6" w:rsidP="00663BD6">
            <w:pPr>
              <w:rPr>
                <w:rFonts w:cs="Arial"/>
              </w:rPr>
            </w:pPr>
            <w:r w:rsidRPr="00663BD6">
              <w:rPr>
                <w:rFonts w:cs="Arial"/>
              </w:rPr>
              <w:t>Чревна обструкция/паралитичен илеус/фекална обструкция уголемяване на паротидната жлеза</w:t>
            </w:r>
          </w:p>
          <w:p w14:paraId="40FBEA11" w14:textId="77777777" w:rsidR="00663BD6" w:rsidRPr="00663BD6" w:rsidRDefault="00663BD6" w:rsidP="00663BD6">
            <w:pPr>
              <w:rPr>
                <w:rFonts w:cs="Arial"/>
              </w:rPr>
            </w:pPr>
          </w:p>
          <w:p w14:paraId="6F916E88" w14:textId="33F7073B" w:rsidR="00663BD6" w:rsidRPr="00663BD6" w:rsidRDefault="00663BD6" w:rsidP="00663BD6">
            <w:pPr>
              <w:rPr>
                <w:rFonts w:cs="Arial"/>
              </w:rPr>
            </w:pPr>
            <w:r w:rsidRPr="00663BD6">
              <w:rPr>
                <w:rFonts w:cs="Arial"/>
              </w:rPr>
              <w:t>Мегаколон*'**, чревен инфаркт/исхемия*’**, чревна некроза***, чревна улцерация*** и чревна перфорация***, диария*, коремен дискомфорт/киселини/диспепсия*, колит*</w:t>
            </w:r>
          </w:p>
        </w:tc>
      </w:tr>
      <w:tr w:rsidR="00663BD6" w:rsidRPr="00663BD6" w14:paraId="1A5246C9" w14:textId="77777777" w:rsidTr="002076EC">
        <w:trPr>
          <w:trHeight w:val="64"/>
        </w:trPr>
        <w:tc>
          <w:tcPr>
            <w:tcW w:w="9576" w:type="dxa"/>
            <w:gridSpan w:val="2"/>
          </w:tcPr>
          <w:p w14:paraId="0E4F7BEF" w14:textId="09001E5E" w:rsidR="00663BD6" w:rsidRPr="00663BD6" w:rsidRDefault="00663BD6" w:rsidP="00663BD6">
            <w:pPr>
              <w:rPr>
                <w:rFonts w:cs="Arial"/>
                <w:b/>
              </w:rPr>
            </w:pPr>
            <w:r w:rsidRPr="00663BD6">
              <w:rPr>
                <w:rFonts w:cs="Arial"/>
                <w:b/>
              </w:rPr>
              <w:t>Хепатобилиарни нарушения</w:t>
            </w:r>
          </w:p>
        </w:tc>
      </w:tr>
      <w:tr w:rsidR="00663BD6" w:rsidRPr="00663BD6" w14:paraId="4FD4D8D3" w14:textId="77777777" w:rsidTr="00263E92">
        <w:tc>
          <w:tcPr>
            <w:tcW w:w="4788" w:type="dxa"/>
          </w:tcPr>
          <w:p w14:paraId="34BEB960" w14:textId="77777777" w:rsidR="00663BD6" w:rsidRDefault="00663BD6" w:rsidP="00663BD6">
            <w:r>
              <w:rPr>
                <w:sz w:val="20"/>
                <w:szCs w:val="20"/>
              </w:rPr>
              <w:t>Чести:</w:t>
            </w:r>
          </w:p>
          <w:p w14:paraId="241B0AAF" w14:textId="77777777" w:rsidR="00663BD6" w:rsidRDefault="00663BD6" w:rsidP="00663BD6">
            <w:pPr>
              <w:rPr>
                <w:sz w:val="20"/>
                <w:szCs w:val="20"/>
              </w:rPr>
            </w:pPr>
          </w:p>
          <w:p w14:paraId="13DA61C2" w14:textId="67EA5711" w:rsidR="00663BD6" w:rsidRDefault="00663BD6" w:rsidP="00663BD6">
            <w:r>
              <w:rPr>
                <w:sz w:val="20"/>
                <w:szCs w:val="20"/>
              </w:rPr>
              <w:lastRenderedPageBreak/>
              <w:t>Редки:</w:t>
            </w:r>
          </w:p>
          <w:p w14:paraId="063FA8EA" w14:textId="77777777" w:rsidR="00663BD6" w:rsidRDefault="00663BD6" w:rsidP="00663BD6">
            <w:pPr>
              <w:rPr>
                <w:sz w:val="20"/>
                <w:szCs w:val="20"/>
              </w:rPr>
            </w:pPr>
          </w:p>
          <w:p w14:paraId="3BE506B3" w14:textId="3C759771" w:rsidR="00663BD6" w:rsidRDefault="00663BD6" w:rsidP="00663BD6">
            <w:r>
              <w:rPr>
                <w:sz w:val="20"/>
                <w:szCs w:val="20"/>
              </w:rPr>
              <w:t>Много редки:</w:t>
            </w:r>
          </w:p>
          <w:p w14:paraId="51554590" w14:textId="77777777" w:rsidR="00663BD6" w:rsidRDefault="00663BD6" w:rsidP="00663BD6">
            <w:pPr>
              <w:rPr>
                <w:sz w:val="20"/>
                <w:szCs w:val="20"/>
              </w:rPr>
            </w:pPr>
          </w:p>
          <w:p w14:paraId="61724105" w14:textId="533FCAD6" w:rsidR="00663BD6" w:rsidRDefault="00663BD6" w:rsidP="00663BD6">
            <w:r>
              <w:rPr>
                <w:sz w:val="20"/>
                <w:szCs w:val="20"/>
              </w:rPr>
              <w:t>С неизвестна честота:</w:t>
            </w:r>
          </w:p>
        </w:tc>
        <w:tc>
          <w:tcPr>
            <w:tcW w:w="4788" w:type="dxa"/>
            <w:vAlign w:val="bottom"/>
          </w:tcPr>
          <w:p w14:paraId="719EB0FB" w14:textId="77777777" w:rsidR="00663BD6" w:rsidRPr="00663BD6" w:rsidRDefault="00663BD6" w:rsidP="00663BD6">
            <w:pPr>
              <w:rPr>
                <w:rFonts w:cs="Arial"/>
              </w:rPr>
            </w:pPr>
            <w:r w:rsidRPr="00663BD6">
              <w:rPr>
                <w:rFonts w:cs="Arial"/>
              </w:rPr>
              <w:lastRenderedPageBreak/>
              <w:t>Повишени чернодробни ензими</w:t>
            </w:r>
          </w:p>
          <w:p w14:paraId="1B9187E0" w14:textId="77777777" w:rsidR="00663BD6" w:rsidRPr="00663BD6" w:rsidRDefault="00663BD6" w:rsidP="00663BD6">
            <w:pPr>
              <w:rPr>
                <w:rFonts w:cs="Arial"/>
              </w:rPr>
            </w:pPr>
          </w:p>
          <w:p w14:paraId="6FF89480" w14:textId="76F7CD72" w:rsidR="00663BD6" w:rsidRPr="00663BD6" w:rsidRDefault="00663BD6" w:rsidP="00663BD6">
            <w:pPr>
              <w:rPr>
                <w:rFonts w:cs="Arial"/>
              </w:rPr>
            </w:pPr>
            <w:r w:rsidRPr="00663BD6">
              <w:rPr>
                <w:rFonts w:cs="Arial"/>
              </w:rPr>
              <w:lastRenderedPageBreak/>
              <w:t>Панкреатит, хепатит, холестатична жълтеница</w:t>
            </w:r>
          </w:p>
          <w:p w14:paraId="2A8BD2A4" w14:textId="77777777" w:rsidR="00663BD6" w:rsidRPr="00663BD6" w:rsidRDefault="00663BD6" w:rsidP="00663BD6">
            <w:pPr>
              <w:rPr>
                <w:rFonts w:cs="Arial"/>
              </w:rPr>
            </w:pPr>
          </w:p>
          <w:p w14:paraId="2E65F481" w14:textId="391660C9" w:rsidR="00663BD6" w:rsidRPr="00663BD6" w:rsidRDefault="00663BD6" w:rsidP="00663BD6">
            <w:pPr>
              <w:rPr>
                <w:rFonts w:cs="Arial"/>
              </w:rPr>
            </w:pPr>
            <w:r w:rsidRPr="00663BD6">
              <w:rPr>
                <w:rFonts w:cs="Arial"/>
              </w:rPr>
              <w:t>Фулминантна чернодробна некроза</w:t>
            </w:r>
          </w:p>
          <w:p w14:paraId="540BE8AF" w14:textId="77777777" w:rsidR="00663BD6" w:rsidRPr="00663BD6" w:rsidRDefault="00663BD6" w:rsidP="00663BD6">
            <w:pPr>
              <w:rPr>
                <w:rFonts w:cs="Arial"/>
              </w:rPr>
            </w:pPr>
          </w:p>
          <w:p w14:paraId="773538E6" w14:textId="511CAC54" w:rsidR="00663BD6" w:rsidRPr="00663BD6" w:rsidRDefault="00663BD6" w:rsidP="00663BD6">
            <w:pPr>
              <w:rPr>
                <w:rFonts w:cs="Arial"/>
              </w:rPr>
            </w:pPr>
            <w:r w:rsidRPr="00663BD6">
              <w:rPr>
                <w:rFonts w:cs="Arial"/>
              </w:rPr>
              <w:t>Чернодробна стеатоза*, чернодробна некроза*, хепатотоксичност*, чернодробна фиброза*, чернодробна цироза, чернодробни нарушения, включително такива чернодробни събития, които водят до животозастрашаващи последствия като чернодробно увреждане (чернодробно, холестатично и смесено), чернодробна недостатъчност, която може да бъде фатална и чернодробна трансплантация*</w:t>
            </w:r>
          </w:p>
        </w:tc>
      </w:tr>
      <w:tr w:rsidR="00663BD6" w:rsidRPr="00663BD6" w14:paraId="0B9CC2ED" w14:textId="77777777" w:rsidTr="00867837">
        <w:tc>
          <w:tcPr>
            <w:tcW w:w="9576" w:type="dxa"/>
            <w:gridSpan w:val="2"/>
          </w:tcPr>
          <w:p w14:paraId="0C53F2F8" w14:textId="39E36E1E" w:rsidR="00663BD6" w:rsidRPr="00663BD6" w:rsidRDefault="00663BD6" w:rsidP="00663BD6">
            <w:pPr>
              <w:rPr>
                <w:rFonts w:cs="Arial"/>
                <w:b/>
              </w:rPr>
            </w:pPr>
            <w:r w:rsidRPr="00663BD6">
              <w:rPr>
                <w:rFonts w:cs="Arial"/>
                <w:b/>
                <w:lang w:eastAsia="bg-BG"/>
              </w:rPr>
              <w:lastRenderedPageBreak/>
              <w:t>Нарушения на кожата и подкожната тъкан</w:t>
            </w:r>
          </w:p>
        </w:tc>
      </w:tr>
      <w:tr w:rsidR="001C266B" w:rsidRPr="00663BD6" w14:paraId="1501C4E2" w14:textId="77777777" w:rsidTr="001C266B">
        <w:tc>
          <w:tcPr>
            <w:tcW w:w="4788" w:type="dxa"/>
          </w:tcPr>
          <w:p w14:paraId="17EEC5BB" w14:textId="7D161A61" w:rsidR="001C266B" w:rsidRDefault="00663BD6" w:rsidP="001C266B">
            <w:r>
              <w:rPr>
                <w:sz w:val="20"/>
                <w:szCs w:val="20"/>
              </w:rPr>
              <w:t>Много редки:</w:t>
            </w:r>
          </w:p>
        </w:tc>
        <w:tc>
          <w:tcPr>
            <w:tcW w:w="4788" w:type="dxa"/>
          </w:tcPr>
          <w:p w14:paraId="3E246349" w14:textId="36AE27EC" w:rsidR="001C266B" w:rsidRPr="00663BD6" w:rsidRDefault="00663BD6" w:rsidP="001C266B">
            <w:pPr>
              <w:rPr>
                <w:rFonts w:cs="Arial"/>
              </w:rPr>
            </w:pPr>
            <w:r w:rsidRPr="00663BD6">
              <w:rPr>
                <w:rFonts w:cs="Arial"/>
              </w:rPr>
              <w:t>Кожни реакции</w:t>
            </w:r>
          </w:p>
        </w:tc>
      </w:tr>
      <w:tr w:rsidR="00663BD6" w:rsidRPr="00663BD6" w14:paraId="681C9BED" w14:textId="77777777" w:rsidTr="00BB4367">
        <w:tc>
          <w:tcPr>
            <w:tcW w:w="9576" w:type="dxa"/>
            <w:gridSpan w:val="2"/>
          </w:tcPr>
          <w:p w14:paraId="6E87BAF8" w14:textId="0260AC4B" w:rsidR="00663BD6" w:rsidRPr="00663BD6" w:rsidRDefault="00663BD6" w:rsidP="001C266B">
            <w:pPr>
              <w:rPr>
                <w:rFonts w:cs="Arial"/>
              </w:rPr>
            </w:pPr>
            <w:r w:rsidRPr="00663BD6">
              <w:rPr>
                <w:rFonts w:cs="Arial"/>
                <w:b/>
                <w:bCs/>
              </w:rPr>
              <w:t>Нарушения на мускулно-скелетната система и съединителната тъкан</w:t>
            </w:r>
          </w:p>
        </w:tc>
      </w:tr>
      <w:tr w:rsidR="00663BD6" w:rsidRPr="00663BD6" w14:paraId="71FB5B61" w14:textId="77777777" w:rsidTr="00D00FBD">
        <w:tc>
          <w:tcPr>
            <w:tcW w:w="4788" w:type="dxa"/>
          </w:tcPr>
          <w:p w14:paraId="2C96B93A" w14:textId="0755623E" w:rsidR="00663BD6" w:rsidRDefault="00663BD6" w:rsidP="00663BD6">
            <w:r>
              <w:rPr>
                <w:sz w:val="20"/>
                <w:szCs w:val="20"/>
              </w:rPr>
              <w:t>С неизвестна честота:</w:t>
            </w:r>
          </w:p>
        </w:tc>
        <w:tc>
          <w:tcPr>
            <w:tcW w:w="4788" w:type="dxa"/>
            <w:vAlign w:val="bottom"/>
          </w:tcPr>
          <w:p w14:paraId="2D4CAFA7" w14:textId="71A688F0" w:rsidR="00663BD6" w:rsidRPr="00663BD6" w:rsidRDefault="00663BD6" w:rsidP="00663BD6">
            <w:pPr>
              <w:rPr>
                <w:rFonts w:cs="Arial"/>
              </w:rPr>
            </w:pPr>
            <w:r w:rsidRPr="00663BD6">
              <w:rPr>
                <w:rFonts w:cs="Arial"/>
              </w:rPr>
              <w:t>Рабдомиолиза*, мускулна слабост*, мускулни спазми*, мускулна болка*, системен лупус еритематозус*</w:t>
            </w:r>
          </w:p>
        </w:tc>
      </w:tr>
      <w:tr w:rsidR="00663BD6" w:rsidRPr="00663BD6" w14:paraId="287D2BDA" w14:textId="77777777" w:rsidTr="00EF47FB">
        <w:tc>
          <w:tcPr>
            <w:tcW w:w="9576" w:type="dxa"/>
            <w:gridSpan w:val="2"/>
          </w:tcPr>
          <w:p w14:paraId="7BF60726" w14:textId="2196593E" w:rsidR="00663BD6" w:rsidRPr="00663BD6" w:rsidRDefault="00663BD6" w:rsidP="001C266B">
            <w:pPr>
              <w:rPr>
                <w:rFonts w:cs="Arial"/>
              </w:rPr>
            </w:pPr>
            <w:r w:rsidRPr="00663BD6">
              <w:rPr>
                <w:rFonts w:cs="Arial"/>
                <w:b/>
                <w:bCs/>
              </w:rPr>
              <w:t>Нарушения на бъбреците и пикочните пътища</w:t>
            </w:r>
          </w:p>
        </w:tc>
      </w:tr>
      <w:tr w:rsidR="00663BD6" w:rsidRPr="00663BD6" w14:paraId="423811FD" w14:textId="77777777" w:rsidTr="001C266B">
        <w:tc>
          <w:tcPr>
            <w:tcW w:w="4788" w:type="dxa"/>
          </w:tcPr>
          <w:p w14:paraId="7023D80B" w14:textId="77777777" w:rsidR="00663BD6" w:rsidRDefault="00663BD6" w:rsidP="00663BD6">
            <w:r>
              <w:rPr>
                <w:sz w:val="20"/>
                <w:szCs w:val="20"/>
              </w:rPr>
              <w:t>Чести:</w:t>
            </w:r>
          </w:p>
          <w:p w14:paraId="2A24247E" w14:textId="77777777" w:rsidR="00663BD6" w:rsidRDefault="00663BD6" w:rsidP="00663BD6">
            <w:r>
              <w:rPr>
                <w:sz w:val="20"/>
                <w:szCs w:val="20"/>
              </w:rPr>
              <w:t>Много редки:</w:t>
            </w:r>
          </w:p>
          <w:p w14:paraId="65080529" w14:textId="4798D169" w:rsidR="00663BD6" w:rsidRDefault="00663BD6" w:rsidP="00663BD6">
            <w:r>
              <w:rPr>
                <w:i/>
                <w:iCs/>
                <w:sz w:val="20"/>
                <w:szCs w:val="20"/>
              </w:rPr>
              <w:t>С</w:t>
            </w:r>
            <w:r>
              <w:rPr>
                <w:sz w:val="20"/>
                <w:szCs w:val="20"/>
              </w:rPr>
              <w:t xml:space="preserve"> неизвестна честота:</w:t>
            </w:r>
          </w:p>
        </w:tc>
        <w:tc>
          <w:tcPr>
            <w:tcW w:w="4788" w:type="dxa"/>
          </w:tcPr>
          <w:p w14:paraId="4CA6889A" w14:textId="77777777" w:rsidR="00663BD6" w:rsidRPr="00663BD6" w:rsidRDefault="00663BD6" w:rsidP="00663BD6">
            <w:pPr>
              <w:rPr>
                <w:rFonts w:cs="Arial"/>
              </w:rPr>
            </w:pPr>
            <w:r w:rsidRPr="00663BD6">
              <w:rPr>
                <w:rFonts w:cs="Arial"/>
              </w:rPr>
              <w:t>Ретенция на урина, инконтиненция на урина</w:t>
            </w:r>
          </w:p>
          <w:p w14:paraId="2BD36585" w14:textId="77777777" w:rsidR="00663BD6" w:rsidRPr="00663BD6" w:rsidRDefault="00663BD6" w:rsidP="00663BD6">
            <w:pPr>
              <w:rPr>
                <w:rFonts w:cs="Arial"/>
              </w:rPr>
            </w:pPr>
            <w:r w:rsidRPr="00663BD6">
              <w:rPr>
                <w:rFonts w:cs="Arial"/>
              </w:rPr>
              <w:t>Тубулоинтерстициален нефрит</w:t>
            </w:r>
          </w:p>
          <w:p w14:paraId="7FBAF438" w14:textId="67EA7688" w:rsidR="00663BD6" w:rsidRPr="00663BD6" w:rsidRDefault="00663BD6" w:rsidP="00663BD6">
            <w:pPr>
              <w:rPr>
                <w:rFonts w:cs="Arial"/>
              </w:rPr>
            </w:pPr>
            <w:r w:rsidRPr="00663BD6">
              <w:rPr>
                <w:rFonts w:cs="Arial"/>
              </w:rPr>
              <w:t>Бъбречна недостатъчност*, нощно напикаване*</w:t>
            </w:r>
          </w:p>
        </w:tc>
      </w:tr>
      <w:tr w:rsidR="00663BD6" w:rsidRPr="00663BD6" w14:paraId="112CA9C7" w14:textId="77777777" w:rsidTr="0028490A">
        <w:tc>
          <w:tcPr>
            <w:tcW w:w="9576" w:type="dxa"/>
            <w:gridSpan w:val="2"/>
          </w:tcPr>
          <w:p w14:paraId="15419CE5" w14:textId="470C1129" w:rsidR="00663BD6" w:rsidRPr="00663BD6" w:rsidRDefault="00663BD6" w:rsidP="001C266B">
            <w:pPr>
              <w:rPr>
                <w:rFonts w:cs="Arial"/>
              </w:rPr>
            </w:pPr>
            <w:r w:rsidRPr="00663BD6">
              <w:rPr>
                <w:rFonts w:cs="Arial"/>
                <w:b/>
                <w:bCs/>
              </w:rPr>
              <w:t>Състояния, свързани с бременността, родовия и послеродовия период</w:t>
            </w:r>
          </w:p>
        </w:tc>
      </w:tr>
      <w:tr w:rsidR="00663BD6" w:rsidRPr="00663BD6" w14:paraId="0796745D" w14:textId="77777777" w:rsidTr="001C266B">
        <w:tc>
          <w:tcPr>
            <w:tcW w:w="4788" w:type="dxa"/>
          </w:tcPr>
          <w:p w14:paraId="7979EDB0" w14:textId="682568FA" w:rsidR="00663BD6" w:rsidRDefault="00663BD6" w:rsidP="00663BD6">
            <w:r>
              <w:rPr>
                <w:sz w:val="20"/>
                <w:szCs w:val="20"/>
              </w:rPr>
              <w:t>С неизвестна честота:</w:t>
            </w:r>
          </w:p>
        </w:tc>
        <w:tc>
          <w:tcPr>
            <w:tcW w:w="4788" w:type="dxa"/>
          </w:tcPr>
          <w:p w14:paraId="55A07432" w14:textId="7E392B6D" w:rsidR="00663BD6" w:rsidRPr="00663BD6" w:rsidRDefault="00663BD6" w:rsidP="00663BD6">
            <w:pPr>
              <w:rPr>
                <w:rFonts w:cs="Arial"/>
              </w:rPr>
            </w:pPr>
            <w:r w:rsidRPr="00663BD6">
              <w:rPr>
                <w:rFonts w:cs="Arial"/>
              </w:rPr>
              <w:t>Синдром на отнемане на лекарството при новородени (вж. точка 4.6)</w:t>
            </w:r>
          </w:p>
        </w:tc>
      </w:tr>
      <w:tr w:rsidR="00663BD6" w:rsidRPr="00663BD6" w14:paraId="7D697AEF" w14:textId="77777777" w:rsidTr="00005F28">
        <w:tc>
          <w:tcPr>
            <w:tcW w:w="9576" w:type="dxa"/>
            <w:gridSpan w:val="2"/>
          </w:tcPr>
          <w:p w14:paraId="7E3975CF" w14:textId="5954E196" w:rsidR="00663BD6" w:rsidRPr="00663BD6" w:rsidRDefault="00663BD6" w:rsidP="001C266B">
            <w:pPr>
              <w:rPr>
                <w:rFonts w:cs="Arial"/>
              </w:rPr>
            </w:pPr>
            <w:r w:rsidRPr="00663BD6">
              <w:rPr>
                <w:rFonts w:cs="Arial"/>
                <w:b/>
                <w:bCs/>
              </w:rPr>
              <w:t>Нарушения на възпроизводителната система и гърдата</w:t>
            </w:r>
          </w:p>
        </w:tc>
      </w:tr>
      <w:tr w:rsidR="00663BD6" w:rsidRPr="00663BD6" w14:paraId="3916183E" w14:textId="77777777" w:rsidTr="00457AFF">
        <w:tc>
          <w:tcPr>
            <w:tcW w:w="4788" w:type="dxa"/>
            <w:vAlign w:val="bottom"/>
          </w:tcPr>
          <w:p w14:paraId="6EBD6279" w14:textId="77777777" w:rsidR="00663BD6" w:rsidRDefault="00663BD6" w:rsidP="00663BD6">
            <w:r>
              <w:rPr>
                <w:sz w:val="20"/>
                <w:szCs w:val="20"/>
              </w:rPr>
              <w:t>Много редки:</w:t>
            </w:r>
          </w:p>
          <w:p w14:paraId="529E2307" w14:textId="7277A6BA" w:rsidR="00663BD6" w:rsidRDefault="00663BD6" w:rsidP="00663BD6">
            <w:r>
              <w:rPr>
                <w:sz w:val="20"/>
                <w:szCs w:val="20"/>
              </w:rPr>
              <w:t>С неизвестна честота:</w:t>
            </w:r>
          </w:p>
        </w:tc>
        <w:tc>
          <w:tcPr>
            <w:tcW w:w="4788" w:type="dxa"/>
            <w:vAlign w:val="bottom"/>
          </w:tcPr>
          <w:p w14:paraId="734427A0" w14:textId="77777777" w:rsidR="00663BD6" w:rsidRPr="00663BD6" w:rsidRDefault="00663BD6" w:rsidP="00663BD6">
            <w:pPr>
              <w:rPr>
                <w:rFonts w:cs="Arial"/>
              </w:rPr>
            </w:pPr>
            <w:r w:rsidRPr="00663BD6">
              <w:rPr>
                <w:rFonts w:cs="Arial"/>
              </w:rPr>
              <w:t>Приапизъм</w:t>
            </w:r>
          </w:p>
          <w:p w14:paraId="17B2954B" w14:textId="18B12149" w:rsidR="00663BD6" w:rsidRPr="00663BD6" w:rsidRDefault="00663BD6" w:rsidP="00663BD6">
            <w:pPr>
              <w:rPr>
                <w:rFonts w:cs="Arial"/>
              </w:rPr>
            </w:pPr>
            <w:r w:rsidRPr="00663BD6">
              <w:rPr>
                <w:rFonts w:cs="Arial"/>
              </w:rPr>
              <w:t>Ретроградна еякулация*</w:t>
            </w:r>
          </w:p>
        </w:tc>
      </w:tr>
      <w:tr w:rsidR="00663BD6" w:rsidRPr="00663BD6" w14:paraId="17DE5DDB" w14:textId="77777777" w:rsidTr="00587E7C">
        <w:tc>
          <w:tcPr>
            <w:tcW w:w="9576" w:type="dxa"/>
            <w:gridSpan w:val="2"/>
          </w:tcPr>
          <w:p w14:paraId="4333089E" w14:textId="362D18C6" w:rsidR="00663BD6" w:rsidRPr="00663BD6" w:rsidRDefault="00663BD6" w:rsidP="001C266B">
            <w:pPr>
              <w:rPr>
                <w:rFonts w:cs="Arial"/>
              </w:rPr>
            </w:pPr>
            <w:r w:rsidRPr="00663BD6">
              <w:rPr>
                <w:rFonts w:cs="Arial"/>
                <w:b/>
                <w:bCs/>
              </w:rPr>
              <w:t xml:space="preserve">Общи нарушения </w:t>
            </w:r>
            <w:r w:rsidRPr="00663BD6">
              <w:rPr>
                <w:rFonts w:cs="Arial"/>
                <w:b/>
                <w:bCs/>
                <w:i/>
                <w:iCs/>
              </w:rPr>
              <w:t>и ефекти на мястото</w:t>
            </w:r>
            <w:r w:rsidRPr="00663BD6">
              <w:rPr>
                <w:rFonts w:cs="Arial"/>
                <w:b/>
                <w:bCs/>
              </w:rPr>
              <w:t xml:space="preserve"> на приложение</w:t>
            </w:r>
          </w:p>
        </w:tc>
      </w:tr>
      <w:tr w:rsidR="00663BD6" w:rsidRPr="00663BD6" w14:paraId="228B60C0" w14:textId="77777777" w:rsidTr="00E10EB1">
        <w:trPr>
          <w:trHeight w:val="1237"/>
        </w:trPr>
        <w:tc>
          <w:tcPr>
            <w:tcW w:w="4788" w:type="dxa"/>
            <w:vAlign w:val="bottom"/>
          </w:tcPr>
          <w:p w14:paraId="4063E3D1" w14:textId="77777777" w:rsidR="00663BD6" w:rsidRDefault="00663BD6" w:rsidP="00663BD6">
            <w:r>
              <w:rPr>
                <w:sz w:val="20"/>
                <w:szCs w:val="20"/>
              </w:rPr>
              <w:t>Чести</w:t>
            </w:r>
          </w:p>
          <w:p w14:paraId="76CBB2F4" w14:textId="77777777" w:rsidR="00663BD6" w:rsidRDefault="00663BD6" w:rsidP="00663BD6">
            <w:pPr>
              <w:rPr>
                <w:sz w:val="20"/>
                <w:szCs w:val="20"/>
              </w:rPr>
            </w:pPr>
          </w:p>
          <w:p w14:paraId="4A272D69" w14:textId="77777777" w:rsidR="00663BD6" w:rsidRDefault="00663BD6" w:rsidP="00663BD6">
            <w:pPr>
              <w:rPr>
                <w:sz w:val="20"/>
                <w:szCs w:val="20"/>
              </w:rPr>
            </w:pPr>
          </w:p>
          <w:p w14:paraId="6AF8C7DB" w14:textId="77777777" w:rsidR="00663BD6" w:rsidRDefault="00663BD6" w:rsidP="00663BD6">
            <w:pPr>
              <w:rPr>
                <w:sz w:val="20"/>
                <w:szCs w:val="20"/>
              </w:rPr>
            </w:pPr>
          </w:p>
          <w:p w14:paraId="532796DA" w14:textId="5C05F0EE" w:rsidR="00663BD6" w:rsidRDefault="00663BD6" w:rsidP="00663BD6">
            <w:r>
              <w:rPr>
                <w:sz w:val="20"/>
                <w:szCs w:val="20"/>
              </w:rPr>
              <w:t>Много редки</w:t>
            </w:r>
          </w:p>
          <w:p w14:paraId="60280A1B" w14:textId="77777777" w:rsidR="00663BD6" w:rsidRDefault="00663BD6" w:rsidP="00663BD6">
            <w:pPr>
              <w:rPr>
                <w:sz w:val="20"/>
                <w:szCs w:val="20"/>
              </w:rPr>
            </w:pPr>
          </w:p>
          <w:p w14:paraId="48C366D6" w14:textId="2ADC4AA3" w:rsidR="00663BD6" w:rsidRDefault="00663BD6" w:rsidP="00663BD6">
            <w:r>
              <w:rPr>
                <w:sz w:val="20"/>
                <w:szCs w:val="20"/>
              </w:rPr>
              <w:t>С неизвестна честота:</w:t>
            </w:r>
          </w:p>
        </w:tc>
        <w:tc>
          <w:tcPr>
            <w:tcW w:w="4788" w:type="dxa"/>
            <w:vAlign w:val="bottom"/>
          </w:tcPr>
          <w:p w14:paraId="1B8D9B82" w14:textId="77777777" w:rsidR="00663BD6" w:rsidRPr="00663BD6" w:rsidRDefault="00663BD6" w:rsidP="00663BD6">
            <w:pPr>
              <w:rPr>
                <w:rFonts w:cs="Arial"/>
              </w:rPr>
            </w:pPr>
            <w:r w:rsidRPr="00663BD6">
              <w:rPr>
                <w:rFonts w:cs="Arial"/>
              </w:rPr>
              <w:t xml:space="preserve">Доброкачествена хипертермия, нарушено потоотделяне/регулация на температурата, повишена температура, умора, </w:t>
            </w:r>
          </w:p>
          <w:p w14:paraId="0F727241" w14:textId="77777777" w:rsidR="00663BD6" w:rsidRPr="00663BD6" w:rsidRDefault="00663BD6" w:rsidP="00663BD6">
            <w:pPr>
              <w:rPr>
                <w:rFonts w:cs="Arial"/>
              </w:rPr>
            </w:pPr>
          </w:p>
          <w:p w14:paraId="0581A8A0" w14:textId="22937EC1" w:rsidR="00663BD6" w:rsidRPr="00663BD6" w:rsidRDefault="00663BD6" w:rsidP="00663BD6">
            <w:pPr>
              <w:rPr>
                <w:rFonts w:cs="Arial"/>
              </w:rPr>
            </w:pPr>
            <w:r w:rsidRPr="00663BD6">
              <w:rPr>
                <w:rFonts w:cs="Arial"/>
              </w:rPr>
              <w:t>Внезапна необяснима смърт</w:t>
            </w:r>
          </w:p>
          <w:p w14:paraId="005CA07A" w14:textId="77777777" w:rsidR="00663BD6" w:rsidRPr="00663BD6" w:rsidRDefault="00663BD6" w:rsidP="00663BD6">
            <w:pPr>
              <w:rPr>
                <w:rFonts w:cs="Arial"/>
              </w:rPr>
            </w:pPr>
          </w:p>
          <w:p w14:paraId="0B4CF623" w14:textId="7D63FFE3" w:rsidR="00663BD6" w:rsidRPr="00663BD6" w:rsidRDefault="00663BD6" w:rsidP="00663BD6">
            <w:pPr>
              <w:rPr>
                <w:rFonts w:cs="Arial"/>
              </w:rPr>
            </w:pPr>
            <w:r w:rsidRPr="00663BD6">
              <w:rPr>
                <w:rFonts w:cs="Arial"/>
              </w:rPr>
              <w:t>Полисерозит*</w:t>
            </w:r>
          </w:p>
        </w:tc>
      </w:tr>
      <w:tr w:rsidR="00663BD6" w:rsidRPr="00663BD6" w14:paraId="32F48F2B" w14:textId="77777777" w:rsidTr="00E73F19">
        <w:tc>
          <w:tcPr>
            <w:tcW w:w="9576" w:type="dxa"/>
            <w:gridSpan w:val="2"/>
          </w:tcPr>
          <w:p w14:paraId="19CEF0B2" w14:textId="5096AF68" w:rsidR="00663BD6" w:rsidRPr="00663BD6" w:rsidRDefault="00663BD6" w:rsidP="00663BD6">
            <w:pPr>
              <w:rPr>
                <w:rFonts w:cs="Arial"/>
                <w:b/>
              </w:rPr>
            </w:pPr>
            <w:r w:rsidRPr="00663BD6">
              <w:rPr>
                <w:rFonts w:cs="Arial"/>
                <w:b/>
              </w:rPr>
              <w:t>Изследвания</w:t>
            </w:r>
          </w:p>
        </w:tc>
      </w:tr>
      <w:tr w:rsidR="00663BD6" w:rsidRPr="00663BD6" w14:paraId="385C19AB" w14:textId="77777777" w:rsidTr="001C266B">
        <w:tc>
          <w:tcPr>
            <w:tcW w:w="4788" w:type="dxa"/>
          </w:tcPr>
          <w:p w14:paraId="6B25286E" w14:textId="731AB7B3" w:rsidR="00663BD6" w:rsidRDefault="00663BD6" w:rsidP="00663BD6">
            <w:r>
              <w:t>Редки</w:t>
            </w:r>
          </w:p>
        </w:tc>
        <w:tc>
          <w:tcPr>
            <w:tcW w:w="4788" w:type="dxa"/>
          </w:tcPr>
          <w:p w14:paraId="0B8CEC90" w14:textId="630632F4" w:rsidR="00663BD6" w:rsidRPr="00663BD6" w:rsidRDefault="00663BD6" w:rsidP="00663BD6">
            <w:pPr>
              <w:rPr>
                <w:rFonts w:cs="Arial"/>
              </w:rPr>
            </w:pPr>
            <w:r w:rsidRPr="00663BD6">
              <w:rPr>
                <w:rFonts w:cs="Arial"/>
              </w:rPr>
              <w:t>Повишена СРК</w:t>
            </w:r>
          </w:p>
        </w:tc>
      </w:tr>
      <w:tr w:rsidR="00663BD6" w:rsidRPr="00663BD6" w14:paraId="2D7899C1" w14:textId="77777777" w:rsidTr="00062E61">
        <w:tc>
          <w:tcPr>
            <w:tcW w:w="9576" w:type="dxa"/>
            <w:gridSpan w:val="2"/>
          </w:tcPr>
          <w:p w14:paraId="12E6708D" w14:textId="6D653E5E" w:rsidR="00663BD6" w:rsidRPr="00663BD6" w:rsidRDefault="00663BD6" w:rsidP="001C266B">
            <w:pPr>
              <w:rPr>
                <w:rFonts w:cs="Arial"/>
              </w:rPr>
            </w:pPr>
            <w:r w:rsidRPr="00663BD6">
              <w:rPr>
                <w:rFonts w:cs="Arial"/>
                <w:b/>
                <w:bCs/>
              </w:rPr>
              <w:t>Наранявания, отравяния и усложнения, възникнали в резултат на интервенции</w:t>
            </w:r>
          </w:p>
        </w:tc>
      </w:tr>
      <w:tr w:rsidR="00663BD6" w:rsidRPr="00663BD6" w14:paraId="44891EB4" w14:textId="77777777" w:rsidTr="00DD57E0">
        <w:tc>
          <w:tcPr>
            <w:tcW w:w="4788" w:type="dxa"/>
          </w:tcPr>
          <w:p w14:paraId="2ED03AFD" w14:textId="7308DC24" w:rsidR="00663BD6" w:rsidRDefault="00663BD6" w:rsidP="00663BD6">
            <w:r>
              <w:rPr>
                <w:sz w:val="20"/>
                <w:szCs w:val="20"/>
              </w:rPr>
              <w:t>Нечести:</w:t>
            </w:r>
          </w:p>
        </w:tc>
        <w:tc>
          <w:tcPr>
            <w:tcW w:w="4788" w:type="dxa"/>
            <w:vAlign w:val="bottom"/>
          </w:tcPr>
          <w:p w14:paraId="0573BF93" w14:textId="35F237CE" w:rsidR="00663BD6" w:rsidRPr="00663BD6" w:rsidRDefault="00663BD6" w:rsidP="00663BD6">
            <w:pPr>
              <w:rPr>
                <w:rFonts w:cs="Arial"/>
              </w:rPr>
            </w:pPr>
            <w:r w:rsidRPr="00663BD6">
              <w:rPr>
                <w:rFonts w:cs="Arial"/>
              </w:rPr>
              <w:t xml:space="preserve">Падания (свързани с предизвикани от клозапин пристъпи, сънливост, постурална </w:t>
            </w:r>
            <w:r w:rsidRPr="00663BD6">
              <w:rPr>
                <w:rFonts w:cs="Arial"/>
              </w:rPr>
              <w:lastRenderedPageBreak/>
              <w:t>хипотония, двигателна и сензорна нестабилност)*</w:t>
            </w:r>
          </w:p>
        </w:tc>
      </w:tr>
    </w:tbl>
    <w:p w14:paraId="317E4297" w14:textId="7B9872D4" w:rsidR="00663BD6" w:rsidRPr="00663BD6" w:rsidRDefault="00663BD6" w:rsidP="00663BD6">
      <w:pPr>
        <w:spacing w:line="240" w:lineRule="auto"/>
        <w:rPr>
          <w:rFonts w:eastAsia="Times New Roman" w:cs="Arial"/>
          <w:color w:val="000000"/>
          <w:szCs w:val="20"/>
          <w:lang w:eastAsia="bg-BG"/>
        </w:rPr>
      </w:pPr>
      <w:r w:rsidRPr="00663BD6">
        <w:rPr>
          <w:rFonts w:eastAsia="Times New Roman" w:cs="Arial"/>
          <w:color w:val="000000"/>
          <w:szCs w:val="20"/>
          <w:lang w:eastAsia="bg-BG"/>
        </w:rPr>
        <w:lastRenderedPageBreak/>
        <w:t>*Нежеланите лекарствени реакции, получени от постмаркетинговия опит чрез спонтанни съобщения на случаи и литературни случаи.</w:t>
      </w:r>
    </w:p>
    <w:p w14:paraId="53CD70CC" w14:textId="57914888" w:rsidR="00663BD6" w:rsidRPr="00663BD6" w:rsidRDefault="00663BD6" w:rsidP="00663BD6">
      <w:pPr>
        <w:spacing w:line="240" w:lineRule="auto"/>
        <w:rPr>
          <w:rFonts w:eastAsia="Times New Roman" w:cs="Arial"/>
          <w:color w:val="000000"/>
          <w:szCs w:val="20"/>
          <w:lang w:eastAsia="bg-BG"/>
        </w:rPr>
      </w:pPr>
      <w:r w:rsidRPr="00663BD6">
        <w:rPr>
          <w:rFonts w:eastAsia="Times New Roman" w:cs="Arial"/>
          <w:color w:val="000000"/>
          <w:szCs w:val="20"/>
          <w:lang w:eastAsia="bg-BG"/>
        </w:rPr>
        <w:t>** Тези нежелани лекарствени реакции понякога са били фатални.</w:t>
      </w:r>
    </w:p>
    <w:p w14:paraId="41F705BF" w14:textId="77777777" w:rsidR="00663BD6" w:rsidRPr="00663BD6" w:rsidRDefault="00663BD6" w:rsidP="00663BD6">
      <w:pPr>
        <w:rPr>
          <w:rFonts w:eastAsia="Times New Roman" w:cs="Arial"/>
          <w:color w:val="000000"/>
          <w:szCs w:val="20"/>
          <w:lang w:eastAsia="bg-BG"/>
        </w:rPr>
      </w:pPr>
    </w:p>
    <w:p w14:paraId="3DC686BE" w14:textId="3CA44DBF" w:rsidR="00663BD6" w:rsidRPr="00663BD6" w:rsidRDefault="00663BD6" w:rsidP="00663BD6">
      <w:pPr>
        <w:rPr>
          <w:rFonts w:eastAsia="Times New Roman" w:cs="Arial"/>
          <w:color w:val="000000"/>
          <w:szCs w:val="20"/>
          <w:lang w:eastAsia="bg-BG"/>
        </w:rPr>
      </w:pPr>
      <w:r w:rsidRPr="00663BD6">
        <w:rPr>
          <w:rFonts w:eastAsia="Times New Roman" w:cs="Arial"/>
          <w:color w:val="000000"/>
          <w:szCs w:val="20"/>
          <w:lang w:eastAsia="bg-BG"/>
        </w:rPr>
        <w:t xml:space="preserve">Наблюдавани са много редки случаи на вентрикуларна тахикардия и удължаване на </w:t>
      </w:r>
      <w:r w:rsidRPr="00663BD6">
        <w:rPr>
          <w:rFonts w:eastAsia="Times New Roman" w:cs="Arial"/>
          <w:color w:val="000000"/>
          <w:szCs w:val="20"/>
          <w:lang w:val="en-US"/>
        </w:rPr>
        <w:t>QT</w:t>
      </w:r>
      <w:r w:rsidRPr="00663BD6">
        <w:rPr>
          <w:rFonts w:eastAsia="Times New Roman" w:cs="Arial"/>
          <w:color w:val="000000"/>
          <w:szCs w:val="20"/>
          <w:lang w:val="ru-RU"/>
        </w:rPr>
        <w:t xml:space="preserve"> </w:t>
      </w:r>
      <w:r w:rsidRPr="00663BD6">
        <w:rPr>
          <w:rFonts w:eastAsia="Times New Roman" w:cs="Arial"/>
          <w:color w:val="000000"/>
          <w:szCs w:val="20"/>
          <w:lang w:eastAsia="bg-BG"/>
        </w:rPr>
        <w:t xml:space="preserve">интервала, които може да бъдат свързани с </w:t>
      </w:r>
      <w:proofErr w:type="spellStart"/>
      <w:r w:rsidRPr="00663BD6">
        <w:rPr>
          <w:rFonts w:eastAsia="Times New Roman" w:cs="Arial"/>
          <w:i/>
          <w:iCs/>
          <w:color w:val="000000"/>
          <w:szCs w:val="20"/>
          <w:lang w:val="en-US"/>
        </w:rPr>
        <w:t>Torsades</w:t>
      </w:r>
      <w:proofErr w:type="spellEnd"/>
      <w:r w:rsidRPr="00663BD6">
        <w:rPr>
          <w:rFonts w:eastAsia="Times New Roman" w:cs="Arial"/>
          <w:i/>
          <w:iCs/>
          <w:color w:val="000000"/>
          <w:szCs w:val="20"/>
          <w:lang w:val="ru-RU"/>
        </w:rPr>
        <w:t xml:space="preserve"> </w:t>
      </w:r>
      <w:r w:rsidRPr="00663BD6">
        <w:rPr>
          <w:rFonts w:eastAsia="Times New Roman" w:cs="Arial"/>
          <w:i/>
          <w:iCs/>
          <w:color w:val="000000"/>
          <w:szCs w:val="20"/>
          <w:lang w:val="en-US"/>
        </w:rPr>
        <w:t>De</w:t>
      </w:r>
      <w:r w:rsidRPr="00663BD6">
        <w:rPr>
          <w:rFonts w:eastAsia="Times New Roman" w:cs="Arial"/>
          <w:i/>
          <w:iCs/>
          <w:color w:val="000000"/>
          <w:szCs w:val="20"/>
          <w:lang w:val="ru-RU"/>
        </w:rPr>
        <w:t xml:space="preserve"> </w:t>
      </w:r>
      <w:r w:rsidRPr="00663BD6">
        <w:rPr>
          <w:rFonts w:eastAsia="Times New Roman" w:cs="Arial"/>
          <w:i/>
          <w:iCs/>
          <w:color w:val="000000"/>
          <w:szCs w:val="20"/>
          <w:lang w:val="en-US"/>
        </w:rPr>
        <w:t>Pointes</w:t>
      </w:r>
      <w:r w:rsidRPr="00663BD6">
        <w:rPr>
          <w:rFonts w:eastAsia="Times New Roman" w:cs="Arial"/>
          <w:i/>
          <w:iCs/>
          <w:color w:val="000000"/>
          <w:szCs w:val="20"/>
          <w:lang w:val="ru-RU"/>
        </w:rPr>
        <w:t>,</w:t>
      </w:r>
      <w:r w:rsidRPr="00663BD6">
        <w:rPr>
          <w:rFonts w:eastAsia="Times New Roman" w:cs="Arial"/>
          <w:color w:val="000000"/>
          <w:szCs w:val="20"/>
          <w:lang w:val="ru-RU"/>
        </w:rPr>
        <w:t xml:space="preserve"> </w:t>
      </w:r>
      <w:r w:rsidRPr="00663BD6">
        <w:rPr>
          <w:rFonts w:eastAsia="Times New Roman" w:cs="Arial"/>
          <w:color w:val="000000"/>
          <w:szCs w:val="20"/>
          <w:lang w:eastAsia="bg-BG"/>
        </w:rPr>
        <w:t>въпреки че липсват убедителни данни за причинно-следствена връзка с употребата на този лекарствен продукт.</w:t>
      </w:r>
    </w:p>
    <w:p w14:paraId="06477EAB" w14:textId="7FD31745" w:rsidR="00663BD6" w:rsidRPr="00663BD6" w:rsidRDefault="00663BD6" w:rsidP="00663BD6">
      <w:pPr>
        <w:rPr>
          <w:rFonts w:eastAsia="Times New Roman" w:cs="Arial"/>
          <w:color w:val="000000"/>
          <w:szCs w:val="20"/>
          <w:lang w:eastAsia="bg-BG"/>
        </w:rPr>
      </w:pPr>
    </w:p>
    <w:p w14:paraId="66D1F634" w14:textId="77777777" w:rsidR="00663BD6" w:rsidRPr="00663BD6" w:rsidRDefault="00663BD6" w:rsidP="00663BD6">
      <w:pPr>
        <w:spacing w:line="240" w:lineRule="auto"/>
        <w:rPr>
          <w:rFonts w:eastAsia="Times New Roman" w:cs="Arial"/>
          <w:sz w:val="28"/>
          <w:szCs w:val="24"/>
        </w:rPr>
      </w:pPr>
      <w:r w:rsidRPr="00663BD6">
        <w:rPr>
          <w:rFonts w:eastAsia="Times New Roman" w:cs="Arial"/>
          <w:color w:val="000000"/>
          <w:szCs w:val="20"/>
          <w:u w:val="single"/>
          <w:lang w:eastAsia="bg-BG"/>
        </w:rPr>
        <w:t>Съобщаване на подозирани нежелани реакции</w:t>
      </w:r>
    </w:p>
    <w:p w14:paraId="6030B843" w14:textId="7B003066" w:rsidR="00663BD6" w:rsidRDefault="00663BD6" w:rsidP="00663BD6">
      <w:pPr>
        <w:rPr>
          <w:rFonts w:ascii="Times New Roman" w:eastAsia="Times New Roman" w:hAnsi="Times New Roman" w:cs="Times New Roman"/>
          <w:sz w:val="24"/>
          <w:szCs w:val="24"/>
        </w:rPr>
      </w:pPr>
      <w:r w:rsidRPr="00663BD6">
        <w:rPr>
          <w:rFonts w:eastAsia="Times New Roman" w:cs="Arial"/>
          <w:color w:val="000000"/>
          <w:szCs w:val="2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Изпълнителна агенция по лекарствата ул. „Дамян Груев” № 8, 1303 София; Тел.: 4-359 2 8903417; уебсайт: </w:t>
      </w:r>
      <w:r w:rsidRPr="00663BD6">
        <w:rPr>
          <w:rFonts w:eastAsia="Times New Roman" w:cs="Arial"/>
          <w:color w:val="000000"/>
          <w:szCs w:val="20"/>
          <w:u w:val="single"/>
          <w:lang w:val="en-US"/>
        </w:rPr>
        <w:t>www.bda.bg</w:t>
      </w:r>
    </w:p>
    <w:p w14:paraId="1463643E" w14:textId="44095B5E" w:rsidR="00663BD6" w:rsidRPr="001C266B" w:rsidRDefault="00663BD6" w:rsidP="00663BD6"/>
    <w:p w14:paraId="5A87DBA3" w14:textId="3602EB82" w:rsidR="007122AD" w:rsidRDefault="002C50EE" w:rsidP="00936AD0">
      <w:pPr>
        <w:pStyle w:val="Heading2"/>
      </w:pPr>
      <w:r>
        <w:t>4.9. Предозиране</w:t>
      </w:r>
    </w:p>
    <w:p w14:paraId="2911A335" w14:textId="24AEFEF3" w:rsidR="00663BD6" w:rsidRDefault="00663BD6" w:rsidP="00663BD6"/>
    <w:p w14:paraId="76314574" w14:textId="77777777" w:rsidR="00663BD6" w:rsidRPr="00663BD6" w:rsidRDefault="00663BD6" w:rsidP="00663BD6">
      <w:pPr>
        <w:spacing w:line="240" w:lineRule="auto"/>
        <w:rPr>
          <w:rFonts w:eastAsia="Times New Roman" w:cs="Arial"/>
          <w:sz w:val="28"/>
          <w:szCs w:val="24"/>
        </w:rPr>
      </w:pPr>
      <w:r w:rsidRPr="00663BD6">
        <w:rPr>
          <w:rFonts w:eastAsia="Times New Roman" w:cs="Arial"/>
          <w:color w:val="000000"/>
          <w:szCs w:val="20"/>
          <w:lang w:eastAsia="bg-BG"/>
        </w:rPr>
        <w:t xml:space="preserve">В случаите на остро преднамерено или случайно предозиране на Лепонекс, за които има информация за изхода, смъртността към момента е около 12%. Повечето от фаталните случаи са свързани със сърдечна недостатъчност или пневмония поради аспирация и се развиват при дози над 2 000 </w:t>
      </w:r>
      <w:r w:rsidRPr="00663BD6">
        <w:rPr>
          <w:rFonts w:eastAsia="Times New Roman" w:cs="Arial"/>
          <w:color w:val="000000"/>
          <w:szCs w:val="20"/>
          <w:lang w:val="en-US"/>
        </w:rPr>
        <w:t>mg</w:t>
      </w:r>
      <w:r w:rsidRPr="00663BD6">
        <w:rPr>
          <w:rFonts w:eastAsia="Times New Roman" w:cs="Arial"/>
          <w:color w:val="000000"/>
          <w:szCs w:val="20"/>
          <w:lang w:val="ru-RU"/>
        </w:rPr>
        <w:t xml:space="preserve">. </w:t>
      </w:r>
      <w:r w:rsidRPr="00663BD6">
        <w:rPr>
          <w:rFonts w:eastAsia="Times New Roman" w:cs="Arial"/>
          <w:color w:val="000000"/>
          <w:szCs w:val="20"/>
          <w:lang w:eastAsia="bg-BG"/>
        </w:rPr>
        <w:t xml:space="preserve">Има съобщения за пациенти, които се възстановяват от предозиране с над 10 000 </w:t>
      </w:r>
      <w:r w:rsidRPr="00663BD6">
        <w:rPr>
          <w:rFonts w:eastAsia="Times New Roman" w:cs="Arial"/>
          <w:color w:val="000000"/>
          <w:szCs w:val="20"/>
          <w:lang w:val="en-US"/>
        </w:rPr>
        <w:t>mg</w:t>
      </w:r>
      <w:r w:rsidRPr="00663BD6">
        <w:rPr>
          <w:rFonts w:eastAsia="Times New Roman" w:cs="Arial"/>
          <w:color w:val="000000"/>
          <w:szCs w:val="20"/>
          <w:lang w:val="ru-RU"/>
        </w:rPr>
        <w:t xml:space="preserve">. </w:t>
      </w:r>
      <w:r w:rsidRPr="00663BD6">
        <w:rPr>
          <w:rFonts w:eastAsia="Times New Roman" w:cs="Arial"/>
          <w:color w:val="000000"/>
          <w:szCs w:val="20"/>
          <w:lang w:eastAsia="bg-BG"/>
        </w:rPr>
        <w:t xml:space="preserve">При малък брой възрастни индивиди обаче, особено тези, които преди това не са получавали Лепонекс, приемът на дози от 400 </w:t>
      </w:r>
      <w:r w:rsidRPr="00663BD6">
        <w:rPr>
          <w:rFonts w:eastAsia="Times New Roman" w:cs="Arial"/>
          <w:color w:val="000000"/>
          <w:szCs w:val="20"/>
          <w:lang w:val="en-US"/>
        </w:rPr>
        <w:t>mg</w:t>
      </w:r>
      <w:r w:rsidRPr="00663BD6">
        <w:rPr>
          <w:rFonts w:eastAsia="Times New Roman" w:cs="Arial"/>
          <w:color w:val="000000"/>
          <w:szCs w:val="20"/>
          <w:lang w:val="ru-RU"/>
        </w:rPr>
        <w:t xml:space="preserve"> </w:t>
      </w:r>
      <w:r w:rsidRPr="00663BD6">
        <w:rPr>
          <w:rFonts w:eastAsia="Times New Roman" w:cs="Arial"/>
          <w:color w:val="000000"/>
          <w:szCs w:val="20"/>
          <w:lang w:eastAsia="bg-BG"/>
        </w:rPr>
        <w:t xml:space="preserve">води до животозастрашаващи коматозни състояния и в един случай, до смърт. При малки деца приемът на 50 до 200 </w:t>
      </w:r>
      <w:r w:rsidRPr="00663BD6">
        <w:rPr>
          <w:rFonts w:eastAsia="Times New Roman" w:cs="Arial"/>
          <w:color w:val="000000"/>
          <w:szCs w:val="20"/>
          <w:lang w:val="en-US"/>
        </w:rPr>
        <w:t>mg</w:t>
      </w:r>
      <w:r w:rsidRPr="00663BD6">
        <w:rPr>
          <w:rFonts w:eastAsia="Times New Roman" w:cs="Arial"/>
          <w:color w:val="000000"/>
          <w:szCs w:val="20"/>
          <w:lang w:val="ru-RU"/>
        </w:rPr>
        <w:t xml:space="preserve"> </w:t>
      </w:r>
      <w:r w:rsidRPr="00663BD6">
        <w:rPr>
          <w:rFonts w:eastAsia="Times New Roman" w:cs="Arial"/>
          <w:color w:val="000000"/>
          <w:szCs w:val="20"/>
          <w:lang w:eastAsia="bg-BG"/>
        </w:rPr>
        <w:t>води до дълбоко седиране или кома, която не е летална.</w:t>
      </w:r>
    </w:p>
    <w:p w14:paraId="29346177" w14:textId="77777777" w:rsidR="00663BD6" w:rsidRPr="00663BD6" w:rsidRDefault="00663BD6" w:rsidP="00663BD6">
      <w:pPr>
        <w:spacing w:line="240" w:lineRule="auto"/>
        <w:rPr>
          <w:rFonts w:eastAsia="Times New Roman" w:cs="Arial"/>
          <w:color w:val="000000"/>
          <w:szCs w:val="20"/>
          <w:u w:val="single"/>
          <w:lang w:eastAsia="bg-BG"/>
        </w:rPr>
      </w:pPr>
    </w:p>
    <w:p w14:paraId="5B425D63" w14:textId="51CC6465" w:rsidR="00663BD6" w:rsidRPr="00663BD6" w:rsidRDefault="00663BD6" w:rsidP="00663BD6">
      <w:pPr>
        <w:spacing w:line="240" w:lineRule="auto"/>
        <w:rPr>
          <w:rFonts w:eastAsia="Times New Roman" w:cs="Arial"/>
          <w:sz w:val="28"/>
          <w:szCs w:val="24"/>
        </w:rPr>
      </w:pPr>
      <w:r w:rsidRPr="00663BD6">
        <w:rPr>
          <w:rFonts w:eastAsia="Times New Roman" w:cs="Arial"/>
          <w:color w:val="000000"/>
          <w:szCs w:val="20"/>
          <w:u w:val="single"/>
          <w:lang w:eastAsia="bg-BG"/>
        </w:rPr>
        <w:t>Признаци и симптоми</w:t>
      </w:r>
    </w:p>
    <w:p w14:paraId="1C058EAF" w14:textId="77777777" w:rsidR="00663BD6" w:rsidRPr="00663BD6" w:rsidRDefault="00663BD6" w:rsidP="00663BD6">
      <w:pPr>
        <w:spacing w:line="240" w:lineRule="auto"/>
        <w:rPr>
          <w:rFonts w:eastAsia="Times New Roman" w:cs="Arial"/>
          <w:sz w:val="28"/>
          <w:szCs w:val="24"/>
        </w:rPr>
      </w:pPr>
      <w:r w:rsidRPr="00663BD6">
        <w:rPr>
          <w:rFonts w:eastAsia="Times New Roman" w:cs="Arial"/>
          <w:color w:val="000000"/>
          <w:szCs w:val="20"/>
          <w:lang w:eastAsia="bg-BG"/>
        </w:rPr>
        <w:t>Сънливост, летаргия, арефлексия, кома, обърканост, халюцинации, ажитираност, делир, екстрапирамидни симптоми, хиперрефлексия, гърчове; хиперсаливация, мидриаза, замъглено виждане, термолабилност; хипотония, колапс, тахикардия, сърдечни аритмии; аспирационна пневмония, диспнея, потискане на дишането или дихателна недостатъчност</w:t>
      </w:r>
    </w:p>
    <w:p w14:paraId="66FDAAF1" w14:textId="77777777" w:rsidR="00663BD6" w:rsidRPr="00663BD6" w:rsidRDefault="00663BD6" w:rsidP="00663BD6">
      <w:pPr>
        <w:spacing w:line="240" w:lineRule="auto"/>
        <w:rPr>
          <w:rFonts w:eastAsia="Times New Roman" w:cs="Arial"/>
          <w:color w:val="000000"/>
          <w:szCs w:val="20"/>
          <w:u w:val="single"/>
          <w:lang w:eastAsia="bg-BG"/>
        </w:rPr>
      </w:pPr>
    </w:p>
    <w:p w14:paraId="1C3FA2BF" w14:textId="598BE5D9" w:rsidR="00663BD6" w:rsidRPr="00663BD6" w:rsidRDefault="00663BD6" w:rsidP="00663BD6">
      <w:pPr>
        <w:spacing w:line="240" w:lineRule="auto"/>
        <w:rPr>
          <w:rFonts w:eastAsia="Times New Roman" w:cs="Arial"/>
          <w:sz w:val="28"/>
          <w:szCs w:val="24"/>
        </w:rPr>
      </w:pPr>
      <w:r w:rsidRPr="00663BD6">
        <w:rPr>
          <w:rFonts w:eastAsia="Times New Roman" w:cs="Arial"/>
          <w:color w:val="000000"/>
          <w:szCs w:val="20"/>
          <w:u w:val="single"/>
          <w:lang w:eastAsia="bg-BG"/>
        </w:rPr>
        <w:t>Лечение</w:t>
      </w:r>
    </w:p>
    <w:p w14:paraId="505344B0" w14:textId="77777777" w:rsidR="00663BD6" w:rsidRPr="00663BD6" w:rsidRDefault="00663BD6" w:rsidP="00663BD6">
      <w:pPr>
        <w:spacing w:line="240" w:lineRule="auto"/>
        <w:rPr>
          <w:rFonts w:eastAsia="Times New Roman" w:cs="Arial"/>
          <w:sz w:val="28"/>
          <w:szCs w:val="24"/>
        </w:rPr>
      </w:pPr>
      <w:r w:rsidRPr="00663BD6">
        <w:rPr>
          <w:rFonts w:eastAsia="Times New Roman" w:cs="Arial"/>
          <w:color w:val="000000"/>
          <w:szCs w:val="20"/>
          <w:lang w:eastAsia="bg-BG"/>
        </w:rPr>
        <w:t>Няма специфични антидоти за Лепонекс.</w:t>
      </w:r>
    </w:p>
    <w:p w14:paraId="3F6EE71F" w14:textId="77777777" w:rsidR="00663BD6" w:rsidRPr="00663BD6" w:rsidRDefault="00663BD6" w:rsidP="00663BD6">
      <w:pPr>
        <w:spacing w:line="240" w:lineRule="auto"/>
        <w:rPr>
          <w:rFonts w:eastAsia="Times New Roman" w:cs="Arial"/>
          <w:color w:val="000000"/>
          <w:szCs w:val="20"/>
          <w:lang w:eastAsia="bg-BG"/>
        </w:rPr>
      </w:pPr>
    </w:p>
    <w:p w14:paraId="257F02D5" w14:textId="2C93DC15" w:rsidR="00663BD6" w:rsidRPr="00663BD6" w:rsidRDefault="00663BD6" w:rsidP="00663BD6">
      <w:pPr>
        <w:spacing w:line="240" w:lineRule="auto"/>
        <w:rPr>
          <w:rFonts w:eastAsia="Times New Roman" w:cs="Arial"/>
          <w:sz w:val="28"/>
          <w:szCs w:val="24"/>
        </w:rPr>
      </w:pPr>
      <w:r w:rsidRPr="00663BD6">
        <w:rPr>
          <w:rFonts w:eastAsia="Times New Roman" w:cs="Arial"/>
          <w:color w:val="000000"/>
          <w:szCs w:val="20"/>
          <w:lang w:eastAsia="bg-BG"/>
        </w:rPr>
        <w:t>Стомашна промивка и/или приложение на активен въглен в първите 6 часа след поглъщането на лекарството. Малко е вероятно перитонеална диализа и хемодиализа да се окажат ефективни. Симптоматично лечение под непрекъснат сърдечен мониторинг, следене на дишането, контрол на електролитите и киселинно-алкалното равновесие. Трябва да се избягва употребата на адреналин при лечението на хипотонията поради възможността за “обратен адреналинов” ефект.</w:t>
      </w:r>
    </w:p>
    <w:p w14:paraId="12570870" w14:textId="77777777" w:rsidR="00663BD6" w:rsidRPr="00663BD6" w:rsidRDefault="00663BD6" w:rsidP="00663BD6">
      <w:pPr>
        <w:spacing w:line="240" w:lineRule="auto"/>
        <w:rPr>
          <w:rFonts w:eastAsia="Times New Roman" w:cs="Arial"/>
          <w:color w:val="000000"/>
          <w:szCs w:val="20"/>
          <w:lang w:eastAsia="bg-BG"/>
        </w:rPr>
      </w:pPr>
    </w:p>
    <w:p w14:paraId="149C78A1" w14:textId="1CA573C5" w:rsidR="00663BD6" w:rsidRPr="00663BD6" w:rsidRDefault="00663BD6" w:rsidP="00663BD6">
      <w:pPr>
        <w:spacing w:line="240" w:lineRule="auto"/>
        <w:rPr>
          <w:rFonts w:eastAsia="Times New Roman" w:cs="Arial"/>
          <w:sz w:val="28"/>
          <w:szCs w:val="24"/>
        </w:rPr>
      </w:pPr>
      <w:r w:rsidRPr="00663BD6">
        <w:rPr>
          <w:rFonts w:eastAsia="Times New Roman" w:cs="Arial"/>
          <w:color w:val="000000"/>
          <w:szCs w:val="20"/>
          <w:lang w:eastAsia="bg-BG"/>
        </w:rPr>
        <w:t>Необходимо е непрекъснато медицинско наблюдение в продължение на поне 5 дни поради възможността за забавени реакции.</w:t>
      </w:r>
    </w:p>
    <w:p w14:paraId="687769D2" w14:textId="77777777" w:rsidR="00663BD6" w:rsidRPr="00663BD6" w:rsidRDefault="00663BD6" w:rsidP="00663BD6"/>
    <w:p w14:paraId="02081B24" w14:textId="1F46E296" w:rsidR="00395555" w:rsidRPr="00395555" w:rsidRDefault="002C50EE" w:rsidP="008A6AF2">
      <w:pPr>
        <w:pStyle w:val="Heading1"/>
      </w:pPr>
      <w:r>
        <w:t>5. ФАРМАКОЛОГИЧНИ СВОЙСТВА</w:t>
      </w:r>
    </w:p>
    <w:p w14:paraId="7DE36AC8" w14:textId="285CEA87" w:rsidR="00B6672E" w:rsidRDefault="002C50EE" w:rsidP="00936AD0">
      <w:pPr>
        <w:pStyle w:val="Heading2"/>
      </w:pPr>
      <w:r>
        <w:t>5.1. Фармакодинамични свойства</w:t>
      </w:r>
    </w:p>
    <w:p w14:paraId="0F9DFE02" w14:textId="3B2658B6" w:rsidR="00663BD6" w:rsidRDefault="00663BD6" w:rsidP="00663BD6"/>
    <w:p w14:paraId="6E67D97D" w14:textId="77777777" w:rsidR="00663BD6" w:rsidRPr="00663BD6" w:rsidRDefault="00663BD6" w:rsidP="00663BD6">
      <w:pPr>
        <w:spacing w:line="240" w:lineRule="auto"/>
        <w:rPr>
          <w:rFonts w:eastAsia="Times New Roman" w:cs="Arial"/>
          <w:sz w:val="28"/>
          <w:szCs w:val="24"/>
        </w:rPr>
      </w:pPr>
      <w:r w:rsidRPr="00663BD6">
        <w:rPr>
          <w:rFonts w:eastAsia="Times New Roman" w:cs="Arial"/>
          <w:color w:val="000000"/>
          <w:szCs w:val="20"/>
          <w:lang w:eastAsia="bg-BG"/>
        </w:rPr>
        <w:t xml:space="preserve">Фармакотерапевтична група: Антипсихотици; Диазепини, оксазепини и тиазепини, АТС код: </w:t>
      </w:r>
      <w:r w:rsidRPr="00663BD6">
        <w:rPr>
          <w:rFonts w:eastAsia="Times New Roman" w:cs="Arial"/>
          <w:color w:val="000000"/>
          <w:szCs w:val="20"/>
          <w:lang w:val="en-US"/>
        </w:rPr>
        <w:t>N</w:t>
      </w:r>
      <w:r w:rsidRPr="00663BD6">
        <w:rPr>
          <w:rFonts w:eastAsia="Times New Roman" w:cs="Arial"/>
          <w:color w:val="000000"/>
          <w:szCs w:val="20"/>
          <w:lang w:val="ru-RU"/>
        </w:rPr>
        <w:t>05</w:t>
      </w:r>
      <w:r w:rsidRPr="00663BD6">
        <w:rPr>
          <w:rFonts w:eastAsia="Times New Roman" w:cs="Arial"/>
          <w:color w:val="000000"/>
          <w:szCs w:val="20"/>
          <w:lang w:val="en-US"/>
        </w:rPr>
        <w:t>AH</w:t>
      </w:r>
      <w:r w:rsidRPr="00663BD6">
        <w:rPr>
          <w:rFonts w:eastAsia="Times New Roman" w:cs="Arial"/>
          <w:color w:val="000000"/>
          <w:szCs w:val="20"/>
          <w:lang w:val="ru-RU"/>
        </w:rPr>
        <w:t>02.</w:t>
      </w:r>
    </w:p>
    <w:p w14:paraId="420DB928" w14:textId="77777777" w:rsidR="00663BD6" w:rsidRPr="00663BD6" w:rsidRDefault="00663BD6" w:rsidP="00663BD6">
      <w:pPr>
        <w:spacing w:line="240" w:lineRule="auto"/>
        <w:rPr>
          <w:rFonts w:eastAsia="Times New Roman" w:cs="Arial"/>
          <w:color w:val="000000"/>
          <w:szCs w:val="20"/>
          <w:u w:val="single"/>
          <w:lang w:eastAsia="bg-BG"/>
        </w:rPr>
      </w:pPr>
    </w:p>
    <w:p w14:paraId="210F8D65" w14:textId="5E5A1CBF" w:rsidR="00663BD6" w:rsidRPr="00663BD6" w:rsidRDefault="00663BD6" w:rsidP="00663BD6">
      <w:pPr>
        <w:spacing w:line="240" w:lineRule="auto"/>
        <w:rPr>
          <w:rFonts w:eastAsia="Times New Roman" w:cs="Arial"/>
          <w:sz w:val="28"/>
          <w:szCs w:val="24"/>
        </w:rPr>
      </w:pPr>
      <w:r w:rsidRPr="00663BD6">
        <w:rPr>
          <w:rFonts w:eastAsia="Times New Roman" w:cs="Arial"/>
          <w:color w:val="000000"/>
          <w:szCs w:val="20"/>
          <w:u w:val="single"/>
          <w:lang w:eastAsia="bg-BG"/>
        </w:rPr>
        <w:t>Механизъм на действие</w:t>
      </w:r>
    </w:p>
    <w:p w14:paraId="6CB00E44" w14:textId="77777777" w:rsidR="00663BD6" w:rsidRPr="00663BD6" w:rsidRDefault="00663BD6" w:rsidP="00663BD6">
      <w:pPr>
        <w:spacing w:line="240" w:lineRule="auto"/>
        <w:rPr>
          <w:rFonts w:eastAsia="Times New Roman" w:cs="Arial"/>
          <w:sz w:val="28"/>
          <w:szCs w:val="24"/>
        </w:rPr>
      </w:pPr>
      <w:r w:rsidRPr="00663BD6">
        <w:rPr>
          <w:rFonts w:eastAsia="Times New Roman" w:cs="Arial"/>
          <w:color w:val="000000"/>
          <w:szCs w:val="20"/>
          <w:lang w:eastAsia="bg-BG"/>
        </w:rPr>
        <w:t xml:space="preserve">За Лепонекс като антипсихотично средство е доказано, че се различава от класическите антипсихотици. При фармакологични експерименти веществото не предизвиква каталепсия или инхибиране на индуцирането от апоморфин или амфетамин стереотипно поведение. То има само слабо блокиращо действие на допаминовите рецептори </w:t>
      </w:r>
      <w:r w:rsidRPr="00663BD6">
        <w:rPr>
          <w:rFonts w:eastAsia="Times New Roman" w:cs="Arial"/>
          <w:color w:val="000000"/>
          <w:szCs w:val="20"/>
          <w:lang w:val="en-US"/>
        </w:rPr>
        <w:t>D</w:t>
      </w:r>
      <w:r w:rsidRPr="00663BD6">
        <w:rPr>
          <w:rFonts w:eastAsia="Times New Roman" w:cs="Arial"/>
          <w:color w:val="000000"/>
          <w:szCs w:val="20"/>
          <w:vertAlign w:val="subscript"/>
          <w:lang w:val="ru-RU"/>
        </w:rPr>
        <w:t>1</w:t>
      </w:r>
      <w:r w:rsidRPr="00663BD6">
        <w:rPr>
          <w:rFonts w:eastAsia="Times New Roman" w:cs="Arial"/>
          <w:color w:val="000000"/>
          <w:szCs w:val="20"/>
          <w:lang w:val="ru-RU"/>
        </w:rPr>
        <w:t xml:space="preserve">, </w:t>
      </w:r>
      <w:r w:rsidRPr="00663BD6">
        <w:rPr>
          <w:rFonts w:eastAsia="Times New Roman" w:cs="Arial"/>
          <w:color w:val="000000"/>
          <w:szCs w:val="20"/>
          <w:lang w:val="en-US"/>
        </w:rPr>
        <w:t>D</w:t>
      </w:r>
      <w:r w:rsidRPr="00663BD6">
        <w:rPr>
          <w:rFonts w:eastAsia="Times New Roman" w:cs="Arial"/>
          <w:color w:val="000000"/>
          <w:szCs w:val="20"/>
          <w:vertAlign w:val="subscript"/>
          <w:lang w:val="ru-RU"/>
        </w:rPr>
        <w:t>2</w:t>
      </w:r>
      <w:r w:rsidRPr="00663BD6">
        <w:rPr>
          <w:rFonts w:eastAsia="Times New Roman" w:cs="Arial"/>
          <w:color w:val="000000"/>
          <w:szCs w:val="20"/>
          <w:lang w:val="ru-RU"/>
        </w:rPr>
        <w:t xml:space="preserve">, </w:t>
      </w:r>
      <w:r w:rsidRPr="00663BD6">
        <w:rPr>
          <w:rFonts w:eastAsia="Times New Roman" w:cs="Arial"/>
          <w:color w:val="000000"/>
          <w:szCs w:val="20"/>
          <w:lang w:val="en-US"/>
        </w:rPr>
        <w:t>D</w:t>
      </w:r>
      <w:r w:rsidRPr="00663BD6">
        <w:rPr>
          <w:rFonts w:eastAsia="Times New Roman" w:cs="Arial"/>
          <w:color w:val="000000"/>
          <w:szCs w:val="20"/>
          <w:vertAlign w:val="subscript"/>
          <w:lang w:val="ru-RU"/>
        </w:rPr>
        <w:t>3</w:t>
      </w:r>
      <w:r w:rsidRPr="00663BD6">
        <w:rPr>
          <w:rFonts w:eastAsia="Times New Roman" w:cs="Arial"/>
          <w:color w:val="000000"/>
          <w:szCs w:val="20"/>
          <w:lang w:val="ru-RU"/>
        </w:rPr>
        <w:t xml:space="preserve"> </w:t>
      </w:r>
      <w:r w:rsidRPr="00663BD6">
        <w:rPr>
          <w:rFonts w:eastAsia="Times New Roman" w:cs="Arial"/>
          <w:color w:val="000000"/>
          <w:szCs w:val="20"/>
          <w:lang w:eastAsia="bg-BG"/>
        </w:rPr>
        <w:t xml:space="preserve">и </w:t>
      </w:r>
      <w:r w:rsidRPr="00663BD6">
        <w:rPr>
          <w:rFonts w:eastAsia="Times New Roman" w:cs="Arial"/>
          <w:color w:val="000000"/>
          <w:szCs w:val="20"/>
          <w:lang w:val="en-US"/>
        </w:rPr>
        <w:t>D</w:t>
      </w:r>
      <w:r w:rsidRPr="00663BD6">
        <w:rPr>
          <w:rFonts w:eastAsia="Times New Roman" w:cs="Arial"/>
          <w:color w:val="000000"/>
          <w:szCs w:val="20"/>
          <w:vertAlign w:val="subscript"/>
          <w:lang w:val="ru-RU"/>
        </w:rPr>
        <w:t>5</w:t>
      </w:r>
      <w:r w:rsidRPr="00663BD6">
        <w:rPr>
          <w:rFonts w:eastAsia="Times New Roman" w:cs="Arial"/>
          <w:color w:val="000000"/>
          <w:szCs w:val="20"/>
          <w:lang w:val="ru-RU"/>
        </w:rPr>
        <w:t xml:space="preserve">, </w:t>
      </w:r>
      <w:r w:rsidRPr="00663BD6">
        <w:rPr>
          <w:rFonts w:eastAsia="Times New Roman" w:cs="Arial"/>
          <w:color w:val="000000"/>
          <w:szCs w:val="20"/>
          <w:lang w:eastAsia="bg-BG"/>
        </w:rPr>
        <w:t xml:space="preserve">но показва висок афинитет към </w:t>
      </w:r>
      <w:r w:rsidRPr="00663BD6">
        <w:rPr>
          <w:rFonts w:eastAsia="Times New Roman" w:cs="Arial"/>
          <w:color w:val="000000"/>
          <w:szCs w:val="20"/>
          <w:lang w:val="en-US"/>
        </w:rPr>
        <w:t>D</w:t>
      </w:r>
      <w:r w:rsidRPr="00663BD6">
        <w:rPr>
          <w:rFonts w:eastAsia="Times New Roman" w:cs="Arial"/>
          <w:color w:val="000000"/>
          <w:szCs w:val="20"/>
          <w:vertAlign w:val="subscript"/>
          <w:lang w:val="ru-RU"/>
        </w:rPr>
        <w:t>4</w:t>
      </w:r>
      <w:r w:rsidRPr="00663BD6">
        <w:rPr>
          <w:rFonts w:eastAsia="Times New Roman" w:cs="Arial"/>
          <w:color w:val="000000"/>
          <w:szCs w:val="20"/>
          <w:lang w:val="ru-RU"/>
        </w:rPr>
        <w:t xml:space="preserve"> </w:t>
      </w:r>
      <w:r w:rsidRPr="00663BD6">
        <w:rPr>
          <w:rFonts w:eastAsia="Times New Roman" w:cs="Arial"/>
          <w:color w:val="000000"/>
          <w:szCs w:val="20"/>
          <w:lang w:eastAsia="bg-BG"/>
        </w:rPr>
        <w:t>рецептора.</w:t>
      </w:r>
    </w:p>
    <w:p w14:paraId="42F72054" w14:textId="77777777" w:rsidR="00663BD6" w:rsidRPr="00663BD6" w:rsidRDefault="00663BD6" w:rsidP="00663BD6">
      <w:pPr>
        <w:spacing w:line="240" w:lineRule="auto"/>
        <w:rPr>
          <w:rFonts w:eastAsia="Times New Roman" w:cs="Arial"/>
          <w:color w:val="000000"/>
          <w:szCs w:val="20"/>
          <w:u w:val="single"/>
          <w:lang w:eastAsia="bg-BG"/>
        </w:rPr>
      </w:pPr>
    </w:p>
    <w:p w14:paraId="392037D8" w14:textId="23851158" w:rsidR="00663BD6" w:rsidRPr="00663BD6" w:rsidRDefault="00663BD6" w:rsidP="00663BD6">
      <w:pPr>
        <w:spacing w:line="240" w:lineRule="auto"/>
        <w:rPr>
          <w:rFonts w:eastAsia="Times New Roman" w:cs="Arial"/>
          <w:sz w:val="28"/>
          <w:szCs w:val="24"/>
        </w:rPr>
      </w:pPr>
      <w:r w:rsidRPr="00663BD6">
        <w:rPr>
          <w:rFonts w:eastAsia="Times New Roman" w:cs="Arial"/>
          <w:color w:val="000000"/>
          <w:szCs w:val="20"/>
          <w:u w:val="single"/>
          <w:lang w:eastAsia="bg-BG"/>
        </w:rPr>
        <w:t>Фармакодинамични ефекти</w:t>
      </w:r>
    </w:p>
    <w:p w14:paraId="49260A9E" w14:textId="1DA01BAC" w:rsidR="00663BD6" w:rsidRPr="00663BD6" w:rsidRDefault="00663BD6" w:rsidP="00663BD6">
      <w:pPr>
        <w:rPr>
          <w:rFonts w:eastAsia="Times New Roman" w:cs="Arial"/>
          <w:color w:val="000000"/>
          <w:szCs w:val="20"/>
          <w:lang w:eastAsia="bg-BG"/>
        </w:rPr>
      </w:pPr>
      <w:r w:rsidRPr="00663BD6">
        <w:rPr>
          <w:rFonts w:eastAsia="Times New Roman" w:cs="Arial"/>
          <w:color w:val="000000"/>
          <w:szCs w:val="20"/>
          <w:lang w:eastAsia="bg-BG"/>
        </w:rPr>
        <w:t>Лепонекс има мощни анти-алфа-адренергични, антихолинергични, антихистаминови и инхибиращи възбудната реакция ефекти. Доказано е, че той притежава и антисеротонинергични свойства.</w:t>
      </w:r>
    </w:p>
    <w:p w14:paraId="22525134" w14:textId="4B0208D0" w:rsidR="00663BD6" w:rsidRPr="00663BD6" w:rsidRDefault="00663BD6" w:rsidP="00663BD6">
      <w:pPr>
        <w:rPr>
          <w:rFonts w:eastAsia="Times New Roman" w:cs="Arial"/>
          <w:color w:val="000000"/>
          <w:szCs w:val="20"/>
          <w:lang w:eastAsia="bg-BG"/>
        </w:rPr>
      </w:pPr>
    </w:p>
    <w:p w14:paraId="3AD7B6B6" w14:textId="77777777" w:rsidR="00663BD6" w:rsidRPr="00663BD6" w:rsidRDefault="00663BD6" w:rsidP="00663BD6">
      <w:pPr>
        <w:spacing w:line="240" w:lineRule="auto"/>
        <w:rPr>
          <w:rFonts w:eastAsia="Times New Roman" w:cs="Arial"/>
          <w:sz w:val="28"/>
          <w:szCs w:val="24"/>
        </w:rPr>
      </w:pPr>
      <w:r w:rsidRPr="00663BD6">
        <w:rPr>
          <w:rFonts w:eastAsia="Times New Roman" w:cs="Arial"/>
          <w:color w:val="000000"/>
          <w:szCs w:val="20"/>
          <w:lang w:eastAsia="bg-BG"/>
        </w:rPr>
        <w:t>Клинична</w:t>
      </w:r>
      <w:r w:rsidRPr="00663BD6">
        <w:rPr>
          <w:rFonts w:eastAsia="Times New Roman" w:cs="Arial"/>
          <w:color w:val="000000"/>
          <w:szCs w:val="20"/>
          <w:u w:val="single"/>
          <w:lang w:eastAsia="bg-BG"/>
        </w:rPr>
        <w:t xml:space="preserve"> </w:t>
      </w:r>
      <w:r w:rsidRPr="00663BD6">
        <w:rPr>
          <w:rFonts w:eastAsia="Times New Roman" w:cs="Arial"/>
          <w:color w:val="000000"/>
          <w:szCs w:val="20"/>
          <w:lang w:eastAsia="bg-BG"/>
        </w:rPr>
        <w:t>ефикасност</w:t>
      </w:r>
      <w:r w:rsidRPr="00663BD6">
        <w:rPr>
          <w:rFonts w:eastAsia="Times New Roman" w:cs="Arial"/>
          <w:color w:val="000000"/>
          <w:szCs w:val="20"/>
          <w:u w:val="single"/>
          <w:lang w:eastAsia="bg-BG"/>
        </w:rPr>
        <w:t xml:space="preserve"> </w:t>
      </w:r>
      <w:r w:rsidRPr="00663BD6">
        <w:rPr>
          <w:rFonts w:eastAsia="Times New Roman" w:cs="Arial"/>
          <w:i/>
          <w:iCs/>
          <w:color w:val="000000"/>
          <w:szCs w:val="20"/>
          <w:lang w:eastAsia="bg-BG"/>
        </w:rPr>
        <w:t>и</w:t>
      </w:r>
      <w:r w:rsidRPr="00663BD6">
        <w:rPr>
          <w:rFonts w:eastAsia="Times New Roman" w:cs="Arial"/>
          <w:color w:val="000000"/>
          <w:szCs w:val="20"/>
          <w:u w:val="single"/>
          <w:lang w:eastAsia="bg-BG"/>
        </w:rPr>
        <w:t xml:space="preserve"> </w:t>
      </w:r>
      <w:r w:rsidRPr="00663BD6">
        <w:rPr>
          <w:rFonts w:eastAsia="Times New Roman" w:cs="Arial"/>
          <w:color w:val="000000"/>
          <w:szCs w:val="20"/>
          <w:lang w:eastAsia="bg-BG"/>
        </w:rPr>
        <w:t>безопасност</w:t>
      </w:r>
    </w:p>
    <w:p w14:paraId="28F753D1" w14:textId="77777777" w:rsidR="00663BD6" w:rsidRPr="00663BD6" w:rsidRDefault="00663BD6" w:rsidP="00663BD6">
      <w:pPr>
        <w:spacing w:line="240" w:lineRule="auto"/>
        <w:rPr>
          <w:rFonts w:eastAsia="Times New Roman" w:cs="Arial"/>
          <w:sz w:val="28"/>
          <w:szCs w:val="24"/>
        </w:rPr>
      </w:pPr>
      <w:r w:rsidRPr="00663BD6">
        <w:rPr>
          <w:rFonts w:eastAsia="Times New Roman" w:cs="Arial"/>
          <w:color w:val="000000"/>
          <w:szCs w:val="20"/>
          <w:lang w:eastAsia="bg-BG"/>
        </w:rPr>
        <w:t xml:space="preserve">В клинични условия Лепонекс предизвиква бързо и значимо седиране и оказва антипсихотични ефекти при шизофренно болни с резистентност към друго лекарствено лечение. В такива случаи е доказано, че Лепонекс е ефективен при облекчаване както на позитивните, така и на негативните шизофрении симптоми, основно в краткосрочни изпитвания. В отворено клинично изпитване, проведено при 319 резистентни пациенти, лекувани в продължение на 12 месеца, е наблюдавано клинично значимо подобрение при 37% от пациентите в рамките на първата седмица от лечението и при допълнителни 44% до края на 12 месеца. Подобрението се определя като около 20% понижение спрямо изходното ниво в </w:t>
      </w:r>
      <w:r w:rsidRPr="00663BD6">
        <w:rPr>
          <w:rFonts w:eastAsia="Times New Roman" w:cs="Arial"/>
          <w:i/>
          <w:iCs/>
          <w:color w:val="000000"/>
          <w:szCs w:val="20"/>
          <w:lang w:val="en-US"/>
        </w:rPr>
        <w:t>Brief</w:t>
      </w:r>
      <w:r w:rsidRPr="00663BD6">
        <w:rPr>
          <w:rFonts w:eastAsia="Times New Roman" w:cs="Arial"/>
          <w:i/>
          <w:iCs/>
          <w:color w:val="000000"/>
          <w:szCs w:val="20"/>
          <w:lang w:val="ru-RU"/>
        </w:rPr>
        <w:t xml:space="preserve"> </w:t>
      </w:r>
      <w:r w:rsidRPr="00663BD6">
        <w:rPr>
          <w:rFonts w:eastAsia="Times New Roman" w:cs="Arial"/>
          <w:i/>
          <w:iCs/>
          <w:color w:val="000000"/>
          <w:szCs w:val="20"/>
          <w:lang w:val="en-US"/>
        </w:rPr>
        <w:t>Psychiatric</w:t>
      </w:r>
      <w:r w:rsidRPr="00663BD6">
        <w:rPr>
          <w:rFonts w:eastAsia="Times New Roman" w:cs="Arial"/>
          <w:i/>
          <w:iCs/>
          <w:color w:val="000000"/>
          <w:szCs w:val="20"/>
          <w:lang w:val="ru-RU"/>
        </w:rPr>
        <w:t xml:space="preserve"> </w:t>
      </w:r>
      <w:r w:rsidRPr="00663BD6">
        <w:rPr>
          <w:rFonts w:eastAsia="Times New Roman" w:cs="Arial"/>
          <w:i/>
          <w:iCs/>
          <w:color w:val="000000"/>
          <w:szCs w:val="20"/>
          <w:lang w:val="en-US"/>
        </w:rPr>
        <w:t>Rating</w:t>
      </w:r>
      <w:r w:rsidRPr="00663BD6">
        <w:rPr>
          <w:rFonts w:eastAsia="Times New Roman" w:cs="Arial"/>
          <w:i/>
          <w:iCs/>
          <w:color w:val="000000"/>
          <w:szCs w:val="20"/>
          <w:lang w:val="ru-RU"/>
        </w:rPr>
        <w:t xml:space="preserve"> </w:t>
      </w:r>
      <w:r w:rsidRPr="00663BD6">
        <w:rPr>
          <w:rFonts w:eastAsia="Times New Roman" w:cs="Arial"/>
          <w:i/>
          <w:iCs/>
          <w:color w:val="000000"/>
          <w:szCs w:val="20"/>
          <w:lang w:val="en-US"/>
        </w:rPr>
        <w:t>Scale</w:t>
      </w:r>
      <w:r w:rsidRPr="00663BD6">
        <w:rPr>
          <w:rFonts w:eastAsia="Times New Roman" w:cs="Arial"/>
          <w:i/>
          <w:iCs/>
          <w:color w:val="000000"/>
          <w:szCs w:val="20"/>
          <w:lang w:val="ru-RU"/>
        </w:rPr>
        <w:t xml:space="preserve"> </w:t>
      </w:r>
      <w:r w:rsidRPr="00663BD6">
        <w:rPr>
          <w:rFonts w:eastAsia="Times New Roman" w:cs="Arial"/>
          <w:i/>
          <w:iCs/>
          <w:color w:val="000000"/>
          <w:szCs w:val="20"/>
          <w:lang w:val="en-US"/>
        </w:rPr>
        <w:t>Score</w:t>
      </w:r>
      <w:r w:rsidRPr="00663BD6">
        <w:rPr>
          <w:rFonts w:eastAsia="Times New Roman" w:cs="Arial"/>
          <w:i/>
          <w:iCs/>
          <w:color w:val="000000"/>
          <w:szCs w:val="20"/>
          <w:lang w:val="ru-RU"/>
        </w:rPr>
        <w:t>.</w:t>
      </w:r>
      <w:r w:rsidRPr="00663BD6">
        <w:rPr>
          <w:rFonts w:eastAsia="Times New Roman" w:cs="Arial"/>
          <w:color w:val="000000"/>
          <w:szCs w:val="20"/>
          <w:lang w:val="ru-RU"/>
        </w:rPr>
        <w:t xml:space="preserve"> </w:t>
      </w:r>
      <w:r w:rsidRPr="00663BD6">
        <w:rPr>
          <w:rFonts w:eastAsia="Times New Roman" w:cs="Arial"/>
          <w:color w:val="000000"/>
          <w:szCs w:val="20"/>
          <w:lang w:eastAsia="bg-BG"/>
        </w:rPr>
        <w:t>В допълнение, е описано подобрение в някои аспекти на когнитивната дисфункция.</w:t>
      </w:r>
    </w:p>
    <w:p w14:paraId="1DC0BD60" w14:textId="77777777" w:rsidR="00663BD6" w:rsidRPr="00663BD6" w:rsidRDefault="00663BD6" w:rsidP="00663BD6">
      <w:pPr>
        <w:spacing w:line="240" w:lineRule="auto"/>
        <w:rPr>
          <w:rFonts w:eastAsia="Times New Roman" w:cs="Arial"/>
          <w:color w:val="000000"/>
          <w:szCs w:val="20"/>
          <w:lang w:eastAsia="bg-BG"/>
        </w:rPr>
      </w:pPr>
    </w:p>
    <w:p w14:paraId="335730C0" w14:textId="20DB7268" w:rsidR="00663BD6" w:rsidRPr="00663BD6" w:rsidRDefault="00663BD6" w:rsidP="00663BD6">
      <w:pPr>
        <w:spacing w:line="240" w:lineRule="auto"/>
        <w:rPr>
          <w:rFonts w:eastAsia="Times New Roman" w:cs="Arial"/>
          <w:sz w:val="28"/>
          <w:szCs w:val="24"/>
        </w:rPr>
      </w:pPr>
      <w:r w:rsidRPr="00663BD6">
        <w:rPr>
          <w:rFonts w:eastAsia="Times New Roman" w:cs="Arial"/>
          <w:color w:val="000000"/>
          <w:szCs w:val="20"/>
          <w:lang w:eastAsia="bg-BG"/>
        </w:rPr>
        <w:t>В сравнение с класическите антипсихотици, Лепонекс предизвиква по-малко големи екстрапирамидни реакции като остра дистонии, наподобяващи на паркинсон странични ефекти и акатизия. За разлика от класическите антипсихотици, Лепонекс води до леко или не води до повишение на пролактина, като по този начин се избягват нежелани реакции като гинекомастия, аменорея, галакторея и импотентност.</w:t>
      </w:r>
    </w:p>
    <w:p w14:paraId="25D8DCF0" w14:textId="77777777" w:rsidR="00663BD6" w:rsidRPr="00663BD6" w:rsidRDefault="00663BD6" w:rsidP="00663BD6">
      <w:pPr>
        <w:spacing w:line="240" w:lineRule="auto"/>
        <w:rPr>
          <w:rFonts w:eastAsia="Times New Roman" w:cs="Arial"/>
          <w:color w:val="000000"/>
          <w:szCs w:val="20"/>
          <w:lang w:eastAsia="bg-BG"/>
        </w:rPr>
      </w:pPr>
    </w:p>
    <w:p w14:paraId="32F5F597" w14:textId="062DCB31" w:rsidR="00663BD6" w:rsidRPr="00663BD6" w:rsidRDefault="00663BD6" w:rsidP="00663BD6">
      <w:pPr>
        <w:spacing w:line="240" w:lineRule="auto"/>
        <w:rPr>
          <w:rFonts w:eastAsia="Times New Roman" w:cs="Arial"/>
          <w:sz w:val="28"/>
          <w:szCs w:val="24"/>
        </w:rPr>
      </w:pPr>
      <w:r w:rsidRPr="00663BD6">
        <w:rPr>
          <w:rFonts w:eastAsia="Times New Roman" w:cs="Arial"/>
          <w:color w:val="000000"/>
          <w:szCs w:val="20"/>
          <w:lang w:eastAsia="bg-BG"/>
        </w:rPr>
        <w:t>Потенциално сериозни нежелани реакции, причинени от лечението с Лепонекс, са гранулоцитопенията и агранулоцитозата, които се проявяват очаквана честота 3% и 0,7%, съответно. Предвид този риск, употребата на Лепонекс трябва да се ограничи до пациенти, които са резистентни на лечение или пациенти с психоза при болестта на Паркинсон, когато други стратегии на лечение не са успели (вж. точка 4.1) и при които могат да се извършват редовни хематологични изследвания (вж. точки 4,4 и 4.8).</w:t>
      </w:r>
    </w:p>
    <w:p w14:paraId="2818F3FF" w14:textId="77777777" w:rsidR="00663BD6" w:rsidRPr="00663BD6" w:rsidRDefault="00663BD6" w:rsidP="00663BD6"/>
    <w:p w14:paraId="78DD93AA" w14:textId="0A547071" w:rsidR="00B6672E" w:rsidRDefault="002C50EE" w:rsidP="00936AD0">
      <w:pPr>
        <w:pStyle w:val="Heading2"/>
      </w:pPr>
      <w:r>
        <w:t>5.2. Фармакокинетични свойства</w:t>
      </w:r>
    </w:p>
    <w:p w14:paraId="646A5FA3" w14:textId="5FE3E015" w:rsidR="00663BD6" w:rsidRDefault="00663BD6" w:rsidP="00663BD6"/>
    <w:p w14:paraId="37A60DE9" w14:textId="77777777" w:rsidR="00663BD6" w:rsidRPr="00663BD6" w:rsidRDefault="00663BD6" w:rsidP="00663BD6">
      <w:pPr>
        <w:pStyle w:val="Heading3"/>
        <w:rPr>
          <w:rFonts w:eastAsia="Times New Roman"/>
          <w:sz w:val="28"/>
          <w:u w:val="single"/>
        </w:rPr>
      </w:pPr>
      <w:r w:rsidRPr="00663BD6">
        <w:rPr>
          <w:rFonts w:eastAsia="Times New Roman"/>
          <w:u w:val="single"/>
          <w:lang w:eastAsia="bg-BG"/>
        </w:rPr>
        <w:lastRenderedPageBreak/>
        <w:t>Абсорбция</w:t>
      </w:r>
    </w:p>
    <w:p w14:paraId="78707517" w14:textId="77777777" w:rsidR="00663BD6" w:rsidRPr="00663BD6" w:rsidRDefault="00663BD6" w:rsidP="00663BD6">
      <w:pPr>
        <w:spacing w:line="240" w:lineRule="auto"/>
        <w:rPr>
          <w:rFonts w:eastAsia="Times New Roman" w:cs="Arial"/>
          <w:sz w:val="28"/>
          <w:szCs w:val="24"/>
        </w:rPr>
      </w:pPr>
      <w:r w:rsidRPr="00663BD6">
        <w:rPr>
          <w:rFonts w:eastAsia="Times New Roman" w:cs="Arial"/>
          <w:color w:val="000000"/>
          <w:szCs w:val="20"/>
          <w:lang w:eastAsia="bg-BG"/>
        </w:rPr>
        <w:t>Абсорбцията на перорално приложения Лепонекс е 90 до 95%; нито скоростта, нито степента на абсорбцията се влияе от храната.</w:t>
      </w:r>
    </w:p>
    <w:p w14:paraId="0373A130" w14:textId="77777777" w:rsidR="00663BD6" w:rsidRPr="00663BD6" w:rsidRDefault="00663BD6" w:rsidP="00663BD6">
      <w:pPr>
        <w:spacing w:line="240" w:lineRule="auto"/>
        <w:rPr>
          <w:rFonts w:eastAsia="Times New Roman" w:cs="Arial"/>
          <w:color w:val="000000"/>
          <w:szCs w:val="20"/>
          <w:lang w:eastAsia="bg-BG"/>
        </w:rPr>
      </w:pPr>
    </w:p>
    <w:p w14:paraId="0D48DE35" w14:textId="050A9E9D" w:rsidR="00663BD6" w:rsidRPr="00663BD6" w:rsidRDefault="00663BD6" w:rsidP="00663BD6">
      <w:pPr>
        <w:spacing w:line="240" w:lineRule="auto"/>
        <w:rPr>
          <w:rFonts w:eastAsia="Times New Roman" w:cs="Arial"/>
          <w:sz w:val="28"/>
          <w:szCs w:val="24"/>
        </w:rPr>
      </w:pPr>
      <w:r w:rsidRPr="00663BD6">
        <w:rPr>
          <w:rFonts w:eastAsia="Times New Roman" w:cs="Arial"/>
          <w:color w:val="000000"/>
          <w:szCs w:val="20"/>
          <w:lang w:eastAsia="bg-BG"/>
        </w:rPr>
        <w:t>Лепонекс е подложен на умерено метаболизъм при първо преминаване, което води до абсолютна бионаличност от 50 до 60%.</w:t>
      </w:r>
    </w:p>
    <w:p w14:paraId="1A5503BF" w14:textId="77777777" w:rsidR="00663BD6" w:rsidRPr="00663BD6" w:rsidRDefault="00663BD6" w:rsidP="00663BD6">
      <w:pPr>
        <w:spacing w:line="240" w:lineRule="auto"/>
        <w:rPr>
          <w:rFonts w:eastAsia="Times New Roman" w:cs="Arial"/>
          <w:color w:val="000000"/>
          <w:szCs w:val="20"/>
          <w:u w:val="single"/>
          <w:lang w:eastAsia="bg-BG"/>
        </w:rPr>
      </w:pPr>
    </w:p>
    <w:p w14:paraId="3F814BA1" w14:textId="05FB721A" w:rsidR="00663BD6" w:rsidRPr="00663BD6" w:rsidRDefault="00663BD6" w:rsidP="00663BD6">
      <w:pPr>
        <w:pStyle w:val="Heading3"/>
        <w:rPr>
          <w:rFonts w:eastAsia="Times New Roman"/>
          <w:sz w:val="28"/>
          <w:u w:val="single"/>
        </w:rPr>
      </w:pPr>
      <w:r w:rsidRPr="00663BD6">
        <w:rPr>
          <w:rFonts w:eastAsia="Times New Roman"/>
          <w:u w:val="single"/>
          <w:lang w:eastAsia="bg-BG"/>
        </w:rPr>
        <w:t>Разпределение</w:t>
      </w:r>
    </w:p>
    <w:p w14:paraId="5E3F380D" w14:textId="77777777" w:rsidR="00663BD6" w:rsidRPr="00663BD6" w:rsidRDefault="00663BD6" w:rsidP="00663BD6">
      <w:pPr>
        <w:spacing w:line="240" w:lineRule="auto"/>
        <w:rPr>
          <w:rFonts w:eastAsia="Times New Roman" w:cs="Arial"/>
          <w:sz w:val="28"/>
          <w:szCs w:val="24"/>
        </w:rPr>
      </w:pPr>
      <w:r w:rsidRPr="00663BD6">
        <w:rPr>
          <w:rFonts w:eastAsia="Times New Roman" w:cs="Arial"/>
          <w:color w:val="000000"/>
          <w:szCs w:val="20"/>
          <w:lang w:eastAsia="bg-BG"/>
        </w:rPr>
        <w:t xml:space="preserve">При равновесни условия, ако се дава два пъти на ден, пиковите нива в кръвта се откриват средно след 2,1 часа (обхват: 0,4 до 4,2 часа), а обемът на разпределение е 1,6 </w:t>
      </w:r>
      <w:r w:rsidRPr="00663BD6">
        <w:rPr>
          <w:rFonts w:eastAsia="Times New Roman" w:cs="Arial"/>
          <w:color w:val="000000"/>
          <w:szCs w:val="20"/>
          <w:lang w:val="en-US"/>
        </w:rPr>
        <w:t>l</w:t>
      </w:r>
      <w:r w:rsidRPr="00663BD6">
        <w:rPr>
          <w:rFonts w:eastAsia="Times New Roman" w:cs="Arial"/>
          <w:color w:val="000000"/>
          <w:szCs w:val="20"/>
          <w:lang w:val="ru-RU"/>
        </w:rPr>
        <w:t>/</w:t>
      </w:r>
      <w:r w:rsidRPr="00663BD6">
        <w:rPr>
          <w:rFonts w:eastAsia="Times New Roman" w:cs="Arial"/>
          <w:color w:val="000000"/>
          <w:szCs w:val="20"/>
          <w:lang w:val="en-US"/>
        </w:rPr>
        <w:t>kg</w:t>
      </w:r>
      <w:r w:rsidRPr="00663BD6">
        <w:rPr>
          <w:rFonts w:eastAsia="Times New Roman" w:cs="Arial"/>
          <w:color w:val="000000"/>
          <w:szCs w:val="20"/>
          <w:lang w:val="ru-RU"/>
        </w:rPr>
        <w:t xml:space="preserve">. </w:t>
      </w:r>
      <w:r w:rsidRPr="00663BD6">
        <w:rPr>
          <w:rFonts w:eastAsia="Times New Roman" w:cs="Arial"/>
          <w:color w:val="000000"/>
          <w:szCs w:val="20"/>
          <w:lang w:eastAsia="bg-BG"/>
        </w:rPr>
        <w:t>Лепонекс се свързва в приблизително 95% с плазмените белтъци.</w:t>
      </w:r>
    </w:p>
    <w:p w14:paraId="4CD6A0F8" w14:textId="77777777" w:rsidR="00663BD6" w:rsidRPr="00663BD6" w:rsidRDefault="00663BD6" w:rsidP="00663BD6">
      <w:pPr>
        <w:spacing w:line="240" w:lineRule="auto"/>
        <w:rPr>
          <w:rFonts w:eastAsia="Times New Roman" w:cs="Arial"/>
          <w:color w:val="000000"/>
          <w:szCs w:val="20"/>
          <w:u w:val="single"/>
          <w:lang w:eastAsia="bg-BG"/>
        </w:rPr>
      </w:pPr>
    </w:p>
    <w:p w14:paraId="3A563F63" w14:textId="4A7D87FC" w:rsidR="00663BD6" w:rsidRPr="00663BD6" w:rsidRDefault="00663BD6" w:rsidP="00663BD6">
      <w:pPr>
        <w:pStyle w:val="Heading3"/>
        <w:rPr>
          <w:rFonts w:eastAsia="Times New Roman"/>
          <w:sz w:val="28"/>
          <w:u w:val="single"/>
        </w:rPr>
      </w:pPr>
      <w:r w:rsidRPr="00663BD6">
        <w:rPr>
          <w:rFonts w:eastAsia="Times New Roman"/>
          <w:u w:val="single"/>
          <w:lang w:eastAsia="bg-BG"/>
        </w:rPr>
        <w:t>Биотрансформация/метаболизъм</w:t>
      </w:r>
    </w:p>
    <w:p w14:paraId="19CA8BB0" w14:textId="77777777" w:rsidR="00663BD6" w:rsidRPr="00663BD6" w:rsidRDefault="00663BD6" w:rsidP="00663BD6">
      <w:pPr>
        <w:spacing w:line="240" w:lineRule="auto"/>
        <w:rPr>
          <w:rFonts w:eastAsia="Times New Roman" w:cs="Arial"/>
          <w:sz w:val="28"/>
          <w:szCs w:val="24"/>
        </w:rPr>
      </w:pPr>
      <w:r w:rsidRPr="00663BD6">
        <w:rPr>
          <w:rFonts w:eastAsia="Times New Roman" w:cs="Arial"/>
          <w:color w:val="000000"/>
          <w:szCs w:val="20"/>
          <w:lang w:eastAsia="bg-BG"/>
        </w:rPr>
        <w:t xml:space="preserve">Лепонекс се метаболизира почти напълно преди да се екскретира от </w:t>
      </w:r>
      <w:r w:rsidRPr="00663BD6">
        <w:rPr>
          <w:rFonts w:eastAsia="Times New Roman" w:cs="Arial"/>
          <w:color w:val="000000"/>
          <w:szCs w:val="20"/>
          <w:lang w:val="en-US"/>
        </w:rPr>
        <w:t>CYP</w:t>
      </w:r>
      <w:r w:rsidRPr="00663BD6">
        <w:rPr>
          <w:rFonts w:eastAsia="Times New Roman" w:cs="Arial"/>
          <w:color w:val="000000"/>
          <w:szCs w:val="20"/>
          <w:lang w:val="ru-RU"/>
        </w:rPr>
        <w:t>1</w:t>
      </w:r>
      <w:r w:rsidRPr="00663BD6">
        <w:rPr>
          <w:rFonts w:eastAsia="Times New Roman" w:cs="Arial"/>
          <w:color w:val="000000"/>
          <w:szCs w:val="20"/>
          <w:lang w:val="en-US"/>
        </w:rPr>
        <w:t>A</w:t>
      </w:r>
      <w:r w:rsidRPr="00663BD6">
        <w:rPr>
          <w:rFonts w:eastAsia="Times New Roman" w:cs="Arial"/>
          <w:color w:val="000000"/>
          <w:szCs w:val="20"/>
          <w:lang w:val="ru-RU"/>
        </w:rPr>
        <w:t xml:space="preserve">2 </w:t>
      </w:r>
      <w:r w:rsidRPr="00663BD6">
        <w:rPr>
          <w:rFonts w:eastAsia="Times New Roman" w:cs="Arial"/>
          <w:color w:val="000000"/>
          <w:szCs w:val="20"/>
          <w:lang w:eastAsia="bg-BG"/>
        </w:rPr>
        <w:t xml:space="preserve">и </w:t>
      </w:r>
      <w:r w:rsidRPr="00663BD6">
        <w:rPr>
          <w:rFonts w:eastAsia="Times New Roman" w:cs="Arial"/>
          <w:color w:val="000000"/>
          <w:szCs w:val="20"/>
          <w:lang w:val="en-US"/>
        </w:rPr>
        <w:t>CYP</w:t>
      </w:r>
      <w:r w:rsidRPr="00663BD6">
        <w:rPr>
          <w:rFonts w:eastAsia="Times New Roman" w:cs="Arial"/>
          <w:color w:val="000000"/>
          <w:szCs w:val="20"/>
          <w:lang w:val="ru-RU"/>
        </w:rPr>
        <w:t>3</w:t>
      </w:r>
      <w:r w:rsidRPr="00663BD6">
        <w:rPr>
          <w:rFonts w:eastAsia="Times New Roman" w:cs="Arial"/>
          <w:color w:val="000000"/>
          <w:szCs w:val="20"/>
          <w:lang w:val="en-US"/>
        </w:rPr>
        <w:t>A</w:t>
      </w:r>
      <w:r w:rsidRPr="00663BD6">
        <w:rPr>
          <w:rFonts w:eastAsia="Times New Roman" w:cs="Arial"/>
          <w:color w:val="000000"/>
          <w:szCs w:val="20"/>
          <w:lang w:val="ru-RU"/>
        </w:rPr>
        <w:t xml:space="preserve">4, </w:t>
      </w:r>
      <w:r w:rsidRPr="00663BD6">
        <w:rPr>
          <w:rFonts w:eastAsia="Times New Roman" w:cs="Arial"/>
          <w:color w:val="000000"/>
          <w:szCs w:val="20"/>
          <w:lang w:eastAsia="bg-BG"/>
        </w:rPr>
        <w:t xml:space="preserve">и до известна степен от </w:t>
      </w:r>
      <w:r w:rsidRPr="00663BD6">
        <w:rPr>
          <w:rFonts w:eastAsia="Times New Roman" w:cs="Arial"/>
          <w:color w:val="000000"/>
          <w:szCs w:val="20"/>
          <w:lang w:val="en-US"/>
        </w:rPr>
        <w:t>CYP</w:t>
      </w:r>
      <w:r w:rsidRPr="00663BD6">
        <w:rPr>
          <w:rFonts w:eastAsia="Times New Roman" w:cs="Arial"/>
          <w:color w:val="000000"/>
          <w:szCs w:val="20"/>
          <w:lang w:val="ru-RU"/>
        </w:rPr>
        <w:t>2</w:t>
      </w:r>
      <w:r w:rsidRPr="00663BD6">
        <w:rPr>
          <w:rFonts w:eastAsia="Times New Roman" w:cs="Arial"/>
          <w:color w:val="000000"/>
          <w:szCs w:val="20"/>
          <w:lang w:val="en-US"/>
        </w:rPr>
        <w:t>C</w:t>
      </w:r>
      <w:r w:rsidRPr="00663BD6">
        <w:rPr>
          <w:rFonts w:eastAsia="Times New Roman" w:cs="Arial"/>
          <w:color w:val="000000"/>
          <w:szCs w:val="20"/>
          <w:lang w:val="ru-RU"/>
        </w:rPr>
        <w:t xml:space="preserve">19 </w:t>
      </w:r>
      <w:r w:rsidRPr="00663BD6">
        <w:rPr>
          <w:rFonts w:eastAsia="Times New Roman" w:cs="Arial"/>
          <w:color w:val="000000"/>
          <w:szCs w:val="20"/>
          <w:lang w:eastAsia="bg-BG"/>
        </w:rPr>
        <w:t xml:space="preserve">и </w:t>
      </w:r>
      <w:r w:rsidRPr="00663BD6">
        <w:rPr>
          <w:rFonts w:eastAsia="Times New Roman" w:cs="Arial"/>
          <w:color w:val="000000"/>
          <w:szCs w:val="20"/>
          <w:lang w:val="en-US"/>
        </w:rPr>
        <w:t>CYP</w:t>
      </w:r>
      <w:r w:rsidRPr="00663BD6">
        <w:rPr>
          <w:rFonts w:eastAsia="Times New Roman" w:cs="Arial"/>
          <w:color w:val="000000"/>
          <w:szCs w:val="20"/>
          <w:lang w:val="ru-RU"/>
        </w:rPr>
        <w:t>2</w:t>
      </w:r>
      <w:r w:rsidRPr="00663BD6">
        <w:rPr>
          <w:rFonts w:eastAsia="Times New Roman" w:cs="Arial"/>
          <w:color w:val="000000"/>
          <w:szCs w:val="20"/>
          <w:lang w:val="en-US"/>
        </w:rPr>
        <w:t>D</w:t>
      </w:r>
      <w:r w:rsidRPr="00663BD6">
        <w:rPr>
          <w:rFonts w:eastAsia="Times New Roman" w:cs="Arial"/>
          <w:color w:val="000000"/>
          <w:szCs w:val="20"/>
          <w:lang w:val="ru-RU"/>
        </w:rPr>
        <w:t xml:space="preserve">6. </w:t>
      </w:r>
      <w:r w:rsidRPr="00663BD6">
        <w:rPr>
          <w:rFonts w:eastAsia="Times New Roman" w:cs="Arial"/>
          <w:color w:val="000000"/>
          <w:szCs w:val="20"/>
          <w:lang w:eastAsia="bg-BG"/>
        </w:rPr>
        <w:t>От главните метаболити единствено за диметиловото производно е доказано, че е активно. Фармакологичните му действия наподобяват тези на клозапин, но са значително по-слаби и кратки по продължителност.</w:t>
      </w:r>
    </w:p>
    <w:p w14:paraId="1051E66F" w14:textId="77777777" w:rsidR="00663BD6" w:rsidRPr="00663BD6" w:rsidRDefault="00663BD6" w:rsidP="00663BD6">
      <w:pPr>
        <w:spacing w:line="240" w:lineRule="auto"/>
        <w:rPr>
          <w:rFonts w:eastAsia="Times New Roman" w:cs="Arial"/>
          <w:color w:val="000000"/>
          <w:szCs w:val="20"/>
          <w:u w:val="single"/>
          <w:lang w:eastAsia="bg-BG"/>
        </w:rPr>
      </w:pPr>
    </w:p>
    <w:p w14:paraId="0A5DA6CC" w14:textId="60EA1C70" w:rsidR="00663BD6" w:rsidRPr="00663BD6" w:rsidRDefault="00663BD6" w:rsidP="00663BD6">
      <w:pPr>
        <w:pStyle w:val="Heading3"/>
        <w:rPr>
          <w:rFonts w:eastAsia="Times New Roman"/>
          <w:sz w:val="28"/>
          <w:u w:val="single"/>
        </w:rPr>
      </w:pPr>
      <w:r w:rsidRPr="00663BD6">
        <w:rPr>
          <w:rFonts w:eastAsia="Times New Roman"/>
          <w:u w:val="single"/>
          <w:lang w:eastAsia="bg-BG"/>
        </w:rPr>
        <w:t>Елиминиране</w:t>
      </w:r>
    </w:p>
    <w:p w14:paraId="45D49B01" w14:textId="77777777" w:rsidR="00663BD6" w:rsidRPr="00663BD6" w:rsidRDefault="00663BD6" w:rsidP="00663BD6">
      <w:pPr>
        <w:spacing w:line="240" w:lineRule="auto"/>
        <w:rPr>
          <w:rFonts w:eastAsia="Times New Roman" w:cs="Arial"/>
          <w:sz w:val="28"/>
          <w:szCs w:val="24"/>
        </w:rPr>
      </w:pPr>
      <w:r w:rsidRPr="00663BD6">
        <w:rPr>
          <w:rFonts w:eastAsia="Times New Roman" w:cs="Arial"/>
          <w:color w:val="000000"/>
          <w:szCs w:val="20"/>
          <w:lang w:eastAsia="bg-BG"/>
        </w:rPr>
        <w:t xml:space="preserve">Елиминирането му е двуфазово, със среден терминален полуживот от 12 часа (обхват: 6 до 26 часа). След единични дози от 75 </w:t>
      </w:r>
      <w:r w:rsidRPr="00663BD6">
        <w:rPr>
          <w:rFonts w:eastAsia="Times New Roman" w:cs="Arial"/>
          <w:color w:val="000000"/>
          <w:szCs w:val="20"/>
          <w:lang w:val="en-US"/>
        </w:rPr>
        <w:t>mg</w:t>
      </w:r>
      <w:r w:rsidRPr="00663BD6">
        <w:rPr>
          <w:rFonts w:eastAsia="Times New Roman" w:cs="Arial"/>
          <w:color w:val="000000"/>
          <w:szCs w:val="20"/>
          <w:lang w:val="ru-RU"/>
        </w:rPr>
        <w:t xml:space="preserve">, </w:t>
      </w:r>
      <w:r w:rsidRPr="00663BD6">
        <w:rPr>
          <w:rFonts w:eastAsia="Times New Roman" w:cs="Arial"/>
          <w:color w:val="000000"/>
          <w:szCs w:val="20"/>
          <w:lang w:eastAsia="bg-BG"/>
        </w:rPr>
        <w:t xml:space="preserve">средният терминален полуживот е 7,9 часа; той се повишава до 14,2 часа, когато се достигат условия на равновесно състояние чрез прилагане на дневни дози от 75 </w:t>
      </w:r>
      <w:r w:rsidRPr="00663BD6">
        <w:rPr>
          <w:rFonts w:eastAsia="Times New Roman" w:cs="Arial"/>
          <w:color w:val="000000"/>
          <w:szCs w:val="20"/>
          <w:lang w:val="en-US"/>
        </w:rPr>
        <w:t>mg</w:t>
      </w:r>
      <w:r w:rsidRPr="00663BD6">
        <w:rPr>
          <w:rFonts w:eastAsia="Times New Roman" w:cs="Arial"/>
          <w:color w:val="000000"/>
          <w:szCs w:val="20"/>
          <w:lang w:val="ru-RU"/>
        </w:rPr>
        <w:t xml:space="preserve"> </w:t>
      </w:r>
      <w:r w:rsidRPr="00663BD6">
        <w:rPr>
          <w:rFonts w:eastAsia="Times New Roman" w:cs="Arial"/>
          <w:color w:val="000000"/>
          <w:szCs w:val="20"/>
          <w:lang w:eastAsia="bg-BG"/>
        </w:rPr>
        <w:t>в продължение на най-малко 7 дни.</w:t>
      </w:r>
    </w:p>
    <w:p w14:paraId="084B465D" w14:textId="77777777" w:rsidR="00663BD6" w:rsidRPr="00663BD6" w:rsidRDefault="00663BD6" w:rsidP="00663BD6">
      <w:pPr>
        <w:spacing w:line="240" w:lineRule="auto"/>
        <w:rPr>
          <w:rFonts w:eastAsia="Times New Roman" w:cs="Arial"/>
          <w:sz w:val="28"/>
          <w:szCs w:val="24"/>
        </w:rPr>
      </w:pPr>
      <w:r w:rsidRPr="00663BD6">
        <w:rPr>
          <w:rFonts w:eastAsia="Times New Roman" w:cs="Arial"/>
          <w:color w:val="000000"/>
          <w:szCs w:val="20"/>
          <w:lang w:eastAsia="bg-BG"/>
        </w:rPr>
        <w:t>Откриват се само следи от непромененото лекарство в урината и фецеса, като приблизително 50% от приложената доза се екскретира под формата на метаболити в урината и 30%</w:t>
      </w:r>
      <w:r w:rsidRPr="00663BD6">
        <w:rPr>
          <w:rFonts w:eastAsia="Times New Roman" w:cs="Arial"/>
          <w:color w:val="000000"/>
          <w:szCs w:val="20"/>
          <w:lang w:val="ru-RU"/>
        </w:rPr>
        <w:t xml:space="preserve"> </w:t>
      </w:r>
      <w:r w:rsidRPr="00663BD6">
        <w:rPr>
          <w:rFonts w:eastAsia="Times New Roman" w:cs="Arial"/>
          <w:color w:val="000000"/>
          <w:szCs w:val="20"/>
          <w:lang w:eastAsia="bg-BG"/>
        </w:rPr>
        <w:t>във фецеса.</w:t>
      </w:r>
    </w:p>
    <w:p w14:paraId="3A7CACEC" w14:textId="77777777" w:rsidR="00663BD6" w:rsidRPr="00663BD6" w:rsidRDefault="00663BD6" w:rsidP="00663BD6">
      <w:pPr>
        <w:spacing w:line="240" w:lineRule="auto"/>
        <w:rPr>
          <w:rFonts w:eastAsia="Times New Roman" w:cs="Arial"/>
          <w:sz w:val="28"/>
          <w:szCs w:val="24"/>
        </w:rPr>
      </w:pPr>
    </w:p>
    <w:p w14:paraId="39C6519B" w14:textId="2F0052FE" w:rsidR="00663BD6" w:rsidRPr="00663BD6" w:rsidRDefault="00663BD6" w:rsidP="00663BD6">
      <w:pPr>
        <w:spacing w:line="240" w:lineRule="auto"/>
        <w:rPr>
          <w:rFonts w:eastAsia="Times New Roman" w:cs="Arial"/>
          <w:sz w:val="28"/>
          <w:szCs w:val="24"/>
        </w:rPr>
      </w:pPr>
      <w:r w:rsidRPr="00663BD6">
        <w:rPr>
          <w:rFonts w:eastAsia="Times New Roman" w:cs="Arial"/>
          <w:color w:val="000000"/>
          <w:szCs w:val="20"/>
          <w:u w:val="single"/>
          <w:lang w:eastAsia="bg-BG"/>
        </w:rPr>
        <w:t>Линеиност/нелинеиност</w:t>
      </w:r>
    </w:p>
    <w:p w14:paraId="5AFC107A" w14:textId="77777777" w:rsidR="00663BD6" w:rsidRPr="00663BD6" w:rsidRDefault="00663BD6" w:rsidP="00663BD6">
      <w:pPr>
        <w:rPr>
          <w:rFonts w:ascii="Times New Roman" w:eastAsia="Times New Roman" w:hAnsi="Times New Roman" w:cs="Times New Roman"/>
          <w:sz w:val="24"/>
          <w:szCs w:val="24"/>
        </w:rPr>
      </w:pPr>
      <w:r w:rsidRPr="00663BD6">
        <w:rPr>
          <w:rFonts w:eastAsia="Times New Roman" w:cs="Arial"/>
          <w:color w:val="000000"/>
          <w:szCs w:val="20"/>
          <w:lang w:eastAsia="bg-BG"/>
        </w:rPr>
        <w:t xml:space="preserve">Повишаването на дозировките от 37,5 </w:t>
      </w:r>
      <w:r w:rsidRPr="00663BD6">
        <w:rPr>
          <w:rFonts w:eastAsia="Times New Roman" w:cs="Arial"/>
          <w:color w:val="000000"/>
          <w:szCs w:val="20"/>
          <w:lang w:val="en-US"/>
        </w:rPr>
        <w:t>mg</w:t>
      </w:r>
      <w:r w:rsidRPr="00663BD6">
        <w:rPr>
          <w:rFonts w:eastAsia="Times New Roman" w:cs="Arial"/>
          <w:color w:val="000000"/>
          <w:szCs w:val="20"/>
          <w:lang w:val="ru-RU"/>
        </w:rPr>
        <w:t xml:space="preserve"> </w:t>
      </w:r>
      <w:r w:rsidRPr="00663BD6">
        <w:rPr>
          <w:rFonts w:eastAsia="Times New Roman" w:cs="Arial"/>
          <w:color w:val="000000"/>
          <w:szCs w:val="20"/>
          <w:lang w:eastAsia="bg-BG"/>
        </w:rPr>
        <w:t xml:space="preserve">до 75 </w:t>
      </w:r>
      <w:r w:rsidRPr="00663BD6">
        <w:rPr>
          <w:rFonts w:eastAsia="Times New Roman" w:cs="Arial"/>
          <w:color w:val="000000"/>
          <w:szCs w:val="20"/>
          <w:lang w:val="en-US"/>
        </w:rPr>
        <w:t>mg</w:t>
      </w:r>
      <w:r w:rsidRPr="00663BD6">
        <w:rPr>
          <w:rFonts w:eastAsia="Times New Roman" w:cs="Arial"/>
          <w:color w:val="000000"/>
          <w:szCs w:val="20"/>
          <w:lang w:val="ru-RU"/>
        </w:rPr>
        <w:t xml:space="preserve"> </w:t>
      </w:r>
      <w:r w:rsidRPr="00663BD6">
        <w:rPr>
          <w:rFonts w:eastAsia="Times New Roman" w:cs="Arial"/>
          <w:color w:val="000000"/>
          <w:szCs w:val="20"/>
          <w:lang w:eastAsia="bg-BG"/>
        </w:rPr>
        <w:t xml:space="preserve">и 150 </w:t>
      </w:r>
      <w:r w:rsidRPr="00663BD6">
        <w:rPr>
          <w:rFonts w:eastAsia="Times New Roman" w:cs="Arial"/>
          <w:color w:val="000000"/>
          <w:szCs w:val="20"/>
          <w:lang w:val="en-US"/>
        </w:rPr>
        <w:t>mg</w:t>
      </w:r>
      <w:r w:rsidRPr="00663BD6">
        <w:rPr>
          <w:rFonts w:eastAsia="Times New Roman" w:cs="Arial"/>
          <w:color w:val="000000"/>
          <w:szCs w:val="20"/>
          <w:lang w:val="ru-RU"/>
        </w:rPr>
        <w:t xml:space="preserve">, </w:t>
      </w:r>
      <w:r w:rsidRPr="00663BD6">
        <w:rPr>
          <w:rFonts w:eastAsia="Times New Roman" w:cs="Arial"/>
          <w:color w:val="000000"/>
          <w:szCs w:val="20"/>
          <w:lang w:eastAsia="bg-BG"/>
        </w:rPr>
        <w:t>давани два пъти дневно, при равновесно състояние е установено, че водят до линейни, пропорционални на дозата повишения</w:t>
      </w:r>
      <w:r w:rsidRPr="00663BD6">
        <w:rPr>
          <w:rFonts w:eastAsia="Times New Roman" w:cs="Arial"/>
          <w:color w:val="000000"/>
          <w:szCs w:val="20"/>
          <w:lang w:val="ru-RU" w:eastAsia="bg-BG"/>
        </w:rPr>
        <w:t xml:space="preserve"> </w:t>
      </w:r>
      <w:r w:rsidRPr="00663BD6">
        <w:rPr>
          <w:rFonts w:eastAsia="Times New Roman" w:cs="Arial"/>
          <w:color w:val="000000"/>
          <w:szCs w:val="20"/>
          <w:lang w:eastAsia="bg-BG"/>
        </w:rPr>
        <w:t xml:space="preserve">на площта под кривата на плазмените концентрации във времето </w:t>
      </w:r>
      <w:r w:rsidRPr="00663BD6">
        <w:rPr>
          <w:rFonts w:eastAsia="Times New Roman" w:cs="Arial"/>
          <w:color w:val="000000"/>
          <w:szCs w:val="20"/>
          <w:lang w:val="ru-RU"/>
        </w:rPr>
        <w:t>(</w:t>
      </w:r>
      <w:r w:rsidRPr="00663BD6">
        <w:rPr>
          <w:rFonts w:eastAsia="Times New Roman" w:cs="Arial"/>
          <w:color w:val="000000"/>
          <w:szCs w:val="20"/>
          <w:lang w:val="en-US"/>
        </w:rPr>
        <w:t>AUC</w:t>
      </w:r>
      <w:r w:rsidRPr="00663BD6">
        <w:rPr>
          <w:rFonts w:eastAsia="Times New Roman" w:cs="Arial"/>
          <w:color w:val="000000"/>
          <w:szCs w:val="20"/>
          <w:lang w:val="ru-RU"/>
        </w:rPr>
        <w:t xml:space="preserve">) </w:t>
      </w:r>
      <w:r w:rsidRPr="00663BD6">
        <w:rPr>
          <w:rFonts w:eastAsia="Times New Roman" w:cs="Arial"/>
          <w:color w:val="000000"/>
          <w:szCs w:val="20"/>
          <w:lang w:eastAsia="bg-BG"/>
        </w:rPr>
        <w:t>и на пиковите и минималните плазмени концентрации.</w:t>
      </w:r>
    </w:p>
    <w:p w14:paraId="441866BC" w14:textId="5C029A9F" w:rsidR="00663BD6" w:rsidRPr="00663BD6" w:rsidRDefault="00663BD6" w:rsidP="00663BD6"/>
    <w:p w14:paraId="4FB791BE" w14:textId="438A33F9" w:rsidR="00B6672E" w:rsidRDefault="002C50EE" w:rsidP="00936AD0">
      <w:pPr>
        <w:pStyle w:val="Heading2"/>
      </w:pPr>
      <w:r>
        <w:t>5.3. Предклинични данни за безопасност</w:t>
      </w:r>
    </w:p>
    <w:p w14:paraId="27F8AF6D" w14:textId="0A6EA585" w:rsidR="00663BD6" w:rsidRDefault="00663BD6" w:rsidP="00663BD6"/>
    <w:p w14:paraId="51D08647" w14:textId="2FCBF9EB" w:rsidR="00663BD6" w:rsidRPr="00663BD6" w:rsidRDefault="00663BD6" w:rsidP="00663BD6">
      <w:r>
        <w:t>Пред клиничните данни не показват особен риск за хората на база на конвенционални фармакологични проучвания за безопасност, токсичност при многократно приложение, генотоксичност, карциногенен потенциал, (относно репродуктивната токсичност, вж. точка 4.6 Фертилитет, бременност и кърмене).</w:t>
      </w:r>
    </w:p>
    <w:p w14:paraId="1BA6531D" w14:textId="3F3F74AD" w:rsidR="00B6672E" w:rsidRDefault="002C50EE" w:rsidP="00936AD0">
      <w:pPr>
        <w:pStyle w:val="Heading1"/>
      </w:pPr>
      <w:r>
        <w:t>7. ПРИТЕЖАТЕЛ НА РАЗРЕШЕНИЕТО ЗА УПОТРЕБА</w:t>
      </w:r>
    </w:p>
    <w:p w14:paraId="006BF58E" w14:textId="48B800DB" w:rsidR="00663BD6" w:rsidRDefault="00663BD6" w:rsidP="00663BD6"/>
    <w:p w14:paraId="18B130CE" w14:textId="77777777" w:rsidR="00663BD6" w:rsidRPr="00663BD6" w:rsidRDefault="00663BD6" w:rsidP="00663BD6">
      <w:pPr>
        <w:rPr>
          <w:sz w:val="24"/>
          <w:szCs w:val="24"/>
        </w:rPr>
      </w:pPr>
      <w:r w:rsidRPr="00663BD6">
        <w:rPr>
          <w:lang w:eastAsia="bg-BG"/>
        </w:rPr>
        <w:t>Майлан ЕООД</w:t>
      </w:r>
    </w:p>
    <w:p w14:paraId="60AA0921" w14:textId="77777777" w:rsidR="00663BD6" w:rsidRPr="00663BD6" w:rsidRDefault="00663BD6" w:rsidP="00663BD6">
      <w:pPr>
        <w:rPr>
          <w:sz w:val="24"/>
          <w:szCs w:val="24"/>
        </w:rPr>
      </w:pPr>
      <w:r w:rsidRPr="00663BD6">
        <w:rPr>
          <w:lang w:eastAsia="bg-BG"/>
        </w:rPr>
        <w:t>Офис сграда „Сердика Офиси“</w:t>
      </w:r>
    </w:p>
    <w:p w14:paraId="762D1CF6" w14:textId="77777777" w:rsidR="00663BD6" w:rsidRPr="00663BD6" w:rsidRDefault="00663BD6" w:rsidP="00663BD6">
      <w:pPr>
        <w:rPr>
          <w:sz w:val="24"/>
          <w:szCs w:val="24"/>
        </w:rPr>
      </w:pPr>
      <w:r w:rsidRPr="00663BD6">
        <w:rPr>
          <w:lang w:eastAsia="bg-BG"/>
        </w:rPr>
        <w:t>Бул. Ситняково № 48, ет. 7</w:t>
      </w:r>
    </w:p>
    <w:p w14:paraId="3BBD11BD" w14:textId="77777777" w:rsidR="00663BD6" w:rsidRPr="00663BD6" w:rsidRDefault="00663BD6" w:rsidP="00663BD6">
      <w:pPr>
        <w:rPr>
          <w:sz w:val="24"/>
          <w:szCs w:val="24"/>
        </w:rPr>
      </w:pPr>
      <w:r w:rsidRPr="00663BD6">
        <w:rPr>
          <w:lang w:eastAsia="bg-BG"/>
        </w:rPr>
        <w:t>1505 София</w:t>
      </w:r>
    </w:p>
    <w:p w14:paraId="5605BB35" w14:textId="5F5E499D" w:rsidR="00663BD6" w:rsidRPr="00663BD6" w:rsidRDefault="00663BD6" w:rsidP="00663BD6">
      <w:r w:rsidRPr="00663BD6">
        <w:rPr>
          <w:lang w:eastAsia="bg-BG"/>
        </w:rPr>
        <w:t>България</w:t>
      </w:r>
    </w:p>
    <w:p w14:paraId="508F3A54" w14:textId="3F3AF097" w:rsidR="00B6672E" w:rsidRDefault="00936AD0" w:rsidP="00936AD0">
      <w:pPr>
        <w:pStyle w:val="Heading1"/>
      </w:pPr>
      <w:r>
        <w:lastRenderedPageBreak/>
        <w:t>8.</w:t>
      </w:r>
      <w:r w:rsidR="002C50EE">
        <w:t>НОМЕР НА РАЗРЕШЕНИЕТО ЗА УПОТРЕБА</w:t>
      </w:r>
    </w:p>
    <w:p w14:paraId="532CA18D" w14:textId="723E901C" w:rsidR="00663BD6" w:rsidRDefault="00663BD6" w:rsidP="00663BD6"/>
    <w:p w14:paraId="2AE34A9F" w14:textId="77777777" w:rsidR="00663BD6" w:rsidRPr="00663BD6" w:rsidRDefault="00663BD6" w:rsidP="00663BD6">
      <w:pPr>
        <w:rPr>
          <w:sz w:val="24"/>
          <w:szCs w:val="24"/>
        </w:rPr>
      </w:pPr>
      <w:r w:rsidRPr="00663BD6">
        <w:rPr>
          <w:lang w:eastAsia="bg-BG"/>
        </w:rPr>
        <w:t xml:space="preserve">Лепонекс 25 </w:t>
      </w:r>
      <w:r w:rsidRPr="00663BD6">
        <w:rPr>
          <w:lang w:val="en-US"/>
        </w:rPr>
        <w:t>mg</w:t>
      </w:r>
      <w:r w:rsidRPr="00663BD6">
        <w:rPr>
          <w:lang w:val="ru-RU"/>
        </w:rPr>
        <w:t xml:space="preserve"> </w:t>
      </w:r>
      <w:r w:rsidRPr="00663BD6">
        <w:rPr>
          <w:lang w:eastAsia="bg-BG"/>
        </w:rPr>
        <w:t>таблетки: 20010676</w:t>
      </w:r>
    </w:p>
    <w:p w14:paraId="6CB28123" w14:textId="77777777" w:rsidR="00663BD6" w:rsidRPr="00663BD6" w:rsidRDefault="00663BD6" w:rsidP="00663BD6">
      <w:pPr>
        <w:rPr>
          <w:sz w:val="24"/>
          <w:szCs w:val="24"/>
        </w:rPr>
      </w:pPr>
      <w:r w:rsidRPr="00663BD6">
        <w:rPr>
          <w:lang w:eastAsia="bg-BG"/>
        </w:rPr>
        <w:t xml:space="preserve">Лепонекс 100 </w:t>
      </w:r>
      <w:r w:rsidRPr="00663BD6">
        <w:rPr>
          <w:lang w:val="en-US"/>
        </w:rPr>
        <w:t>mg</w:t>
      </w:r>
      <w:r w:rsidRPr="00663BD6">
        <w:rPr>
          <w:lang w:val="ru-RU"/>
        </w:rPr>
        <w:t xml:space="preserve"> </w:t>
      </w:r>
      <w:r w:rsidRPr="00663BD6">
        <w:rPr>
          <w:lang w:eastAsia="bg-BG"/>
        </w:rPr>
        <w:t>таблетки: 20010677</w:t>
      </w:r>
    </w:p>
    <w:p w14:paraId="652B85F8" w14:textId="77777777" w:rsidR="00663BD6" w:rsidRPr="00663BD6" w:rsidRDefault="00663BD6" w:rsidP="00663BD6"/>
    <w:p w14:paraId="2CCB5832" w14:textId="17111194" w:rsidR="007C605B" w:rsidRDefault="002C50EE" w:rsidP="007C605B">
      <w:pPr>
        <w:pStyle w:val="Heading1"/>
      </w:pPr>
      <w:r>
        <w:t>9. ДАТА НА ПЪРВО РАЗРЕШАВАНЕ/ПОДНОВЯВАНЕ НА РАЗРЕШЕНИЕТО ЗА УПОТРЕБА</w:t>
      </w:r>
    </w:p>
    <w:p w14:paraId="04DC29F8" w14:textId="0D42C259" w:rsidR="00663BD6" w:rsidRDefault="00663BD6" w:rsidP="00663BD6"/>
    <w:p w14:paraId="00A40387" w14:textId="77777777" w:rsidR="00663BD6" w:rsidRPr="00663BD6" w:rsidRDefault="00663BD6" w:rsidP="00663BD6">
      <w:pPr>
        <w:rPr>
          <w:sz w:val="24"/>
          <w:szCs w:val="24"/>
        </w:rPr>
      </w:pPr>
      <w:r w:rsidRPr="00663BD6">
        <w:rPr>
          <w:lang w:eastAsia="bg-BG"/>
        </w:rPr>
        <w:t>Дата на първо разрешаване: 21 март 1975 г.</w:t>
      </w:r>
    </w:p>
    <w:p w14:paraId="55268D19" w14:textId="2F27F017" w:rsidR="00663BD6" w:rsidRPr="00663BD6" w:rsidRDefault="00663BD6" w:rsidP="00663BD6">
      <w:r w:rsidRPr="00663BD6">
        <w:rPr>
          <w:lang w:eastAsia="bg-BG"/>
        </w:rPr>
        <w:t>Дата на последно подновяване: 11 август 2016 г.</w:t>
      </w:r>
    </w:p>
    <w:p w14:paraId="0E9D0119" w14:textId="0245C6D7" w:rsidR="002C50EE" w:rsidRDefault="002C50EE" w:rsidP="002C50EE">
      <w:pPr>
        <w:pStyle w:val="Heading1"/>
      </w:pPr>
      <w:r>
        <w:t>10. ДАТА НА АКТУАЛИЗИРАНЕ НА ТЕКСТА</w:t>
      </w:r>
    </w:p>
    <w:bookmarkEnd w:id="0"/>
    <w:p w14:paraId="43FB38A2" w14:textId="09500BAB" w:rsidR="007C605B" w:rsidRPr="003E3126" w:rsidRDefault="00663BD6" w:rsidP="00663BD6">
      <w:r>
        <w:t>август 2019</w:t>
      </w:r>
      <w:bookmarkStart w:id="1" w:name="_GoBack"/>
      <w:bookmarkEnd w:id="1"/>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6F2B46"/>
    <w:multiLevelType w:val="hybridMultilevel"/>
    <w:tmpl w:val="BB040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F20B1C"/>
    <w:multiLevelType w:val="hybridMultilevel"/>
    <w:tmpl w:val="DB76D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21291E"/>
    <w:multiLevelType w:val="hybridMultilevel"/>
    <w:tmpl w:val="2CD2B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0"/>
  </w:num>
  <w:num w:numId="2">
    <w:abstractNumId w:val="0"/>
  </w:num>
  <w:num w:numId="3">
    <w:abstractNumId w:val="15"/>
  </w:num>
  <w:num w:numId="4">
    <w:abstractNumId w:val="3"/>
  </w:num>
  <w:num w:numId="5">
    <w:abstractNumId w:val="1"/>
  </w:num>
  <w:num w:numId="6">
    <w:abstractNumId w:val="18"/>
  </w:num>
  <w:num w:numId="7">
    <w:abstractNumId w:val="13"/>
  </w:num>
  <w:num w:numId="8">
    <w:abstractNumId w:val="17"/>
  </w:num>
  <w:num w:numId="9">
    <w:abstractNumId w:val="2"/>
  </w:num>
  <w:num w:numId="10">
    <w:abstractNumId w:val="4"/>
  </w:num>
  <w:num w:numId="11">
    <w:abstractNumId w:val="33"/>
  </w:num>
  <w:num w:numId="12">
    <w:abstractNumId w:val="16"/>
  </w:num>
  <w:num w:numId="13">
    <w:abstractNumId w:val="21"/>
  </w:num>
  <w:num w:numId="14">
    <w:abstractNumId w:val="14"/>
  </w:num>
  <w:num w:numId="15">
    <w:abstractNumId w:val="32"/>
  </w:num>
  <w:num w:numId="16">
    <w:abstractNumId w:val="12"/>
  </w:num>
  <w:num w:numId="17">
    <w:abstractNumId w:val="26"/>
  </w:num>
  <w:num w:numId="18">
    <w:abstractNumId w:val="9"/>
  </w:num>
  <w:num w:numId="19">
    <w:abstractNumId w:val="28"/>
  </w:num>
  <w:num w:numId="20">
    <w:abstractNumId w:val="25"/>
  </w:num>
  <w:num w:numId="21">
    <w:abstractNumId w:val="19"/>
  </w:num>
  <w:num w:numId="22">
    <w:abstractNumId w:val="27"/>
  </w:num>
  <w:num w:numId="23">
    <w:abstractNumId w:val="20"/>
  </w:num>
  <w:num w:numId="24">
    <w:abstractNumId w:val="10"/>
  </w:num>
  <w:num w:numId="25">
    <w:abstractNumId w:val="24"/>
  </w:num>
  <w:num w:numId="26">
    <w:abstractNumId w:val="23"/>
  </w:num>
  <w:num w:numId="27">
    <w:abstractNumId w:val="35"/>
  </w:num>
  <w:num w:numId="28">
    <w:abstractNumId w:val="7"/>
  </w:num>
  <w:num w:numId="29">
    <w:abstractNumId w:val="22"/>
  </w:num>
  <w:num w:numId="30">
    <w:abstractNumId w:val="38"/>
  </w:num>
  <w:num w:numId="31">
    <w:abstractNumId w:val="6"/>
  </w:num>
  <w:num w:numId="32">
    <w:abstractNumId w:val="37"/>
  </w:num>
  <w:num w:numId="33">
    <w:abstractNumId w:val="31"/>
  </w:num>
  <w:num w:numId="34">
    <w:abstractNumId w:val="36"/>
  </w:num>
  <w:num w:numId="35">
    <w:abstractNumId w:val="8"/>
  </w:num>
  <w:num w:numId="36">
    <w:abstractNumId w:val="11"/>
  </w:num>
  <w:num w:numId="37">
    <w:abstractNumId w:val="29"/>
  </w:num>
  <w:num w:numId="38">
    <w:abstractNumId w:val="34"/>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C266B"/>
    <w:rsid w:val="001D1B23"/>
    <w:rsid w:val="002B3C38"/>
    <w:rsid w:val="002B4DBB"/>
    <w:rsid w:val="002C50EE"/>
    <w:rsid w:val="00340A0A"/>
    <w:rsid w:val="003765DC"/>
    <w:rsid w:val="00395555"/>
    <w:rsid w:val="003E3126"/>
    <w:rsid w:val="00426E5F"/>
    <w:rsid w:val="004A448E"/>
    <w:rsid w:val="004D2B9E"/>
    <w:rsid w:val="004D4D6B"/>
    <w:rsid w:val="004F1CE7"/>
    <w:rsid w:val="004F498A"/>
    <w:rsid w:val="00517A5B"/>
    <w:rsid w:val="00593A00"/>
    <w:rsid w:val="005A66D9"/>
    <w:rsid w:val="00605BCA"/>
    <w:rsid w:val="006158A1"/>
    <w:rsid w:val="00617B1F"/>
    <w:rsid w:val="00663BD6"/>
    <w:rsid w:val="00672487"/>
    <w:rsid w:val="00672600"/>
    <w:rsid w:val="00681D4A"/>
    <w:rsid w:val="00685882"/>
    <w:rsid w:val="007122AD"/>
    <w:rsid w:val="0075649D"/>
    <w:rsid w:val="007C605B"/>
    <w:rsid w:val="008134C8"/>
    <w:rsid w:val="00814073"/>
    <w:rsid w:val="00826F0D"/>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75CF6"/>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9261</Words>
  <Characters>52788</Characters>
  <Application>Microsoft Office Word</Application>
  <DocSecurity>0</DocSecurity>
  <Lines>439</Lines>
  <Paragraphs>123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2022-09-06T10:19:00Z</dcterms:created>
  <dcterms:modified xsi:type="dcterms:W3CDTF">2022-09-06T10:19:00Z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