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2537C266" w:rsidR="007122AD" w:rsidRDefault="00DD466D" w:rsidP="00936AD0">
      <w:pPr>
        <w:pStyle w:val="Heading1"/>
      </w:pPr>
      <w:r>
        <w:t>1.ИМЕ НА ЛЕКАРСТВЕНИЯ ПРОДУКТ</w:t>
      </w:r>
    </w:p>
    <w:p w14:paraId="67297CBF" w14:textId="3DA3A658" w:rsidR="00C25740" w:rsidRDefault="00C25740" w:rsidP="00C25740"/>
    <w:p w14:paraId="416522EC" w14:textId="77777777" w:rsidR="00C25740" w:rsidRPr="00C25740" w:rsidRDefault="00C25740" w:rsidP="00C25740">
      <w:pPr>
        <w:rPr>
          <w:sz w:val="24"/>
          <w:szCs w:val="24"/>
        </w:rPr>
      </w:pPr>
      <w:r w:rsidRPr="00C25740">
        <w:rPr>
          <w:lang w:eastAsia="bg-BG"/>
        </w:rPr>
        <w:t xml:space="preserve">Летрофемин 2,5 </w:t>
      </w:r>
      <w:r w:rsidRPr="00C25740">
        <w:rPr>
          <w:lang w:val="en-US"/>
        </w:rPr>
        <w:t>mg</w:t>
      </w:r>
      <w:r w:rsidRPr="00C25740">
        <w:t xml:space="preserve"> </w:t>
      </w:r>
      <w:r w:rsidRPr="00C25740">
        <w:rPr>
          <w:lang w:eastAsia="bg-BG"/>
        </w:rPr>
        <w:t>филмирани таблетки</w:t>
      </w:r>
    </w:p>
    <w:p w14:paraId="5FF97FAA" w14:textId="77777777" w:rsidR="00C25740" w:rsidRPr="00C25740" w:rsidRDefault="00C25740" w:rsidP="00C25740">
      <w:pPr>
        <w:rPr>
          <w:sz w:val="24"/>
          <w:szCs w:val="24"/>
        </w:rPr>
      </w:pPr>
      <w:proofErr w:type="spellStart"/>
      <w:r w:rsidRPr="00C25740">
        <w:rPr>
          <w:lang w:val="en-US"/>
        </w:rPr>
        <w:t>Letrofemin</w:t>
      </w:r>
      <w:proofErr w:type="spellEnd"/>
      <w:r w:rsidRPr="00C25740">
        <w:t xml:space="preserve"> </w:t>
      </w:r>
      <w:r w:rsidRPr="00C25740">
        <w:rPr>
          <w:lang w:eastAsia="bg-BG"/>
        </w:rPr>
        <w:t>2</w:t>
      </w:r>
      <w:proofErr w:type="gramStart"/>
      <w:r w:rsidRPr="00C25740">
        <w:rPr>
          <w:lang w:eastAsia="bg-BG"/>
        </w:rPr>
        <w:t>,5</w:t>
      </w:r>
      <w:proofErr w:type="gramEnd"/>
      <w:r w:rsidRPr="00C25740">
        <w:rPr>
          <w:lang w:eastAsia="bg-BG"/>
        </w:rPr>
        <w:t xml:space="preserve"> </w:t>
      </w:r>
      <w:r w:rsidRPr="00C25740">
        <w:rPr>
          <w:lang w:val="en-US"/>
        </w:rPr>
        <w:t>mg</w:t>
      </w:r>
      <w:r w:rsidRPr="00C25740">
        <w:t xml:space="preserve"> </w:t>
      </w:r>
      <w:r w:rsidRPr="00C25740">
        <w:rPr>
          <w:lang w:val="en-US"/>
        </w:rPr>
        <w:t>film</w:t>
      </w:r>
      <w:r w:rsidRPr="00C25740">
        <w:t>-</w:t>
      </w:r>
      <w:r w:rsidRPr="00C25740">
        <w:rPr>
          <w:lang w:val="en-US"/>
        </w:rPr>
        <w:t>coated</w:t>
      </w:r>
      <w:r w:rsidRPr="00C25740">
        <w:t xml:space="preserve"> </w:t>
      </w:r>
      <w:r w:rsidRPr="00C25740">
        <w:rPr>
          <w:lang w:val="en-US"/>
        </w:rPr>
        <w:t>tablets</w:t>
      </w:r>
    </w:p>
    <w:p w14:paraId="4A315A94" w14:textId="77777777" w:rsidR="00C25740" w:rsidRPr="00C25740" w:rsidRDefault="00C25740" w:rsidP="00C25740"/>
    <w:p w14:paraId="6920A680" w14:textId="01A384FD" w:rsidR="00C40420" w:rsidRDefault="00DD466D" w:rsidP="004A448E">
      <w:pPr>
        <w:pStyle w:val="Heading1"/>
      </w:pPr>
      <w:r>
        <w:t>2. КАЧЕСТВЕН И КОЛИЧЕСТВЕН СЪСТАВ</w:t>
      </w:r>
    </w:p>
    <w:p w14:paraId="7931846C" w14:textId="7BB20B02" w:rsidR="00C25740" w:rsidRDefault="00C25740" w:rsidP="00C25740"/>
    <w:p w14:paraId="707CC58A" w14:textId="77777777" w:rsidR="00C25740" w:rsidRPr="00C25740" w:rsidRDefault="00C25740" w:rsidP="00C25740">
      <w:pPr>
        <w:rPr>
          <w:sz w:val="24"/>
          <w:szCs w:val="24"/>
        </w:rPr>
      </w:pPr>
      <w:r w:rsidRPr="00C25740">
        <w:rPr>
          <w:lang w:eastAsia="bg-BG"/>
        </w:rPr>
        <w:t xml:space="preserve">Всяка филмирана таблетка съдържа 2,5 </w:t>
      </w:r>
      <w:r w:rsidRPr="00C25740">
        <w:rPr>
          <w:lang w:val="en-US"/>
        </w:rPr>
        <w:t>mg</w:t>
      </w:r>
      <w:r w:rsidRPr="00C25740">
        <w:t xml:space="preserve"> </w:t>
      </w:r>
      <w:r w:rsidRPr="00C25740">
        <w:rPr>
          <w:lang w:eastAsia="bg-BG"/>
        </w:rPr>
        <w:t xml:space="preserve">летрозол </w:t>
      </w:r>
      <w:r w:rsidRPr="00C25740">
        <w:t>(</w:t>
      </w:r>
      <w:proofErr w:type="spellStart"/>
      <w:r w:rsidRPr="00C25740">
        <w:rPr>
          <w:lang w:val="en-US"/>
        </w:rPr>
        <w:t>letrozole</w:t>
      </w:r>
      <w:proofErr w:type="spellEnd"/>
      <w:r w:rsidRPr="00C25740">
        <w:t>).</w:t>
      </w:r>
    </w:p>
    <w:p w14:paraId="7DB33BE3" w14:textId="77777777" w:rsidR="00C25740" w:rsidRPr="00C25740" w:rsidRDefault="00C25740" w:rsidP="00C25740">
      <w:pPr>
        <w:rPr>
          <w:sz w:val="24"/>
          <w:szCs w:val="24"/>
        </w:rPr>
      </w:pPr>
      <w:r w:rsidRPr="00C25740">
        <w:rPr>
          <w:lang w:eastAsia="bg-BG"/>
        </w:rPr>
        <w:t xml:space="preserve">Всяка филмирана таблетка съдържа 77,5 </w:t>
      </w:r>
      <w:r w:rsidRPr="00C25740">
        <w:rPr>
          <w:lang w:val="en-US"/>
        </w:rPr>
        <w:t>mg</w:t>
      </w:r>
      <w:r w:rsidRPr="00C25740">
        <w:rPr>
          <w:lang w:val="ru-RU"/>
        </w:rPr>
        <w:t xml:space="preserve"> </w:t>
      </w:r>
      <w:r w:rsidRPr="00C25740">
        <w:rPr>
          <w:lang w:eastAsia="bg-BG"/>
        </w:rPr>
        <w:t>лактоза (монохидрат)</w:t>
      </w:r>
    </w:p>
    <w:p w14:paraId="785D4721" w14:textId="77777777" w:rsidR="00C25740" w:rsidRPr="00C25740" w:rsidRDefault="00C25740" w:rsidP="00C25740"/>
    <w:p w14:paraId="614984C4" w14:textId="600D5DF0" w:rsidR="008A6AF2" w:rsidRDefault="00DD466D" w:rsidP="002C50EE">
      <w:pPr>
        <w:pStyle w:val="Heading1"/>
      </w:pPr>
      <w:r>
        <w:t>3. ЛЕКАРСТВЕНА ФОРМА</w:t>
      </w:r>
    </w:p>
    <w:p w14:paraId="7BD99E5E" w14:textId="669D88B6" w:rsidR="00C25740" w:rsidRDefault="00C25740" w:rsidP="00C25740"/>
    <w:p w14:paraId="4CC62687" w14:textId="77777777" w:rsidR="00C25740" w:rsidRPr="00C25740" w:rsidRDefault="00C25740" w:rsidP="00C25740">
      <w:pPr>
        <w:rPr>
          <w:sz w:val="24"/>
          <w:szCs w:val="24"/>
        </w:rPr>
      </w:pPr>
      <w:r w:rsidRPr="00C25740">
        <w:rPr>
          <w:lang w:eastAsia="bg-BG"/>
        </w:rPr>
        <w:t>Филмирани таблетки.</w:t>
      </w:r>
    </w:p>
    <w:p w14:paraId="4492A507" w14:textId="68C0EDAB" w:rsidR="00C25740" w:rsidRPr="00C25740" w:rsidRDefault="00C25740" w:rsidP="00C25740">
      <w:r w:rsidRPr="00C25740">
        <w:rPr>
          <w:lang w:eastAsia="bg-BG"/>
        </w:rPr>
        <w:t>Кръгли таблетки с бяла сърцевина и тъмно жълта обвивка.</w:t>
      </w:r>
    </w:p>
    <w:p w14:paraId="490FC2C4" w14:textId="0F4A4A75" w:rsidR="002C50EE" w:rsidRDefault="002C50EE" w:rsidP="002C50EE">
      <w:pPr>
        <w:pStyle w:val="Heading1"/>
      </w:pPr>
      <w:r>
        <w:t>4. КЛИНИЧНИ ДАННИ</w:t>
      </w:r>
    </w:p>
    <w:p w14:paraId="74330405" w14:textId="4C6AB726" w:rsidR="007122AD" w:rsidRDefault="002C50EE" w:rsidP="00936AD0">
      <w:pPr>
        <w:pStyle w:val="Heading2"/>
      </w:pPr>
      <w:r>
        <w:t>4.1. Терапевтични показания</w:t>
      </w:r>
    </w:p>
    <w:p w14:paraId="35011A93" w14:textId="06655737" w:rsidR="00C25740" w:rsidRDefault="00C25740" w:rsidP="00C25740"/>
    <w:p w14:paraId="7CB715F5" w14:textId="77777777" w:rsidR="00C25740" w:rsidRDefault="00C25740" w:rsidP="00C25740">
      <w:pPr>
        <w:pStyle w:val="ListParagraph"/>
        <w:numPr>
          <w:ilvl w:val="0"/>
          <w:numId w:val="37"/>
        </w:numPr>
        <w:spacing w:line="240" w:lineRule="auto"/>
        <w:rPr>
          <w:rFonts w:eastAsia="Times New Roman" w:cs="Arial"/>
          <w:color w:val="000000"/>
          <w:szCs w:val="44"/>
          <w:lang w:eastAsia="bg-BG"/>
        </w:rPr>
      </w:pPr>
      <w:r w:rsidRPr="00C25740">
        <w:rPr>
          <w:rFonts w:eastAsia="Times New Roman" w:cs="Arial"/>
          <w:color w:val="000000"/>
          <w:szCs w:val="44"/>
          <w:lang w:eastAsia="bg-BG"/>
        </w:rPr>
        <w:t>Адювантна терапия при жени в менопауза с хормоно-зависим рак на гърдата в начален стадий.</w:t>
      </w:r>
    </w:p>
    <w:p w14:paraId="05E7E8EA" w14:textId="77777777" w:rsidR="00C25740" w:rsidRDefault="00C25740" w:rsidP="00C25740">
      <w:pPr>
        <w:pStyle w:val="ListParagraph"/>
        <w:numPr>
          <w:ilvl w:val="0"/>
          <w:numId w:val="37"/>
        </w:numPr>
        <w:spacing w:line="240" w:lineRule="auto"/>
        <w:rPr>
          <w:rFonts w:eastAsia="Times New Roman" w:cs="Arial"/>
          <w:color w:val="000000"/>
          <w:szCs w:val="44"/>
          <w:lang w:eastAsia="bg-BG"/>
        </w:rPr>
      </w:pPr>
      <w:r w:rsidRPr="00C25740">
        <w:rPr>
          <w:rFonts w:eastAsia="Times New Roman" w:cs="Arial"/>
          <w:color w:val="000000"/>
          <w:szCs w:val="44"/>
          <w:lang w:eastAsia="bg-BG"/>
        </w:rPr>
        <w:t>Удължена адювантна терапия на хормоно-зависим рак на гърдата в начален стадий при жени в менопауза, които преди това са били лекувани с тамоксифен като стандартна адювантна терапия за 5 години.</w:t>
      </w:r>
    </w:p>
    <w:p w14:paraId="1A647FAD" w14:textId="77777777" w:rsidR="00C25740" w:rsidRDefault="00C25740" w:rsidP="00C25740">
      <w:pPr>
        <w:pStyle w:val="ListParagraph"/>
        <w:numPr>
          <w:ilvl w:val="0"/>
          <w:numId w:val="37"/>
        </w:numPr>
        <w:spacing w:line="240" w:lineRule="auto"/>
        <w:rPr>
          <w:rFonts w:eastAsia="Times New Roman" w:cs="Arial"/>
          <w:color w:val="000000"/>
          <w:szCs w:val="44"/>
          <w:lang w:eastAsia="bg-BG"/>
        </w:rPr>
      </w:pPr>
      <w:r w:rsidRPr="00C25740">
        <w:rPr>
          <w:rFonts w:eastAsia="Times New Roman" w:cs="Arial"/>
          <w:color w:val="000000"/>
          <w:szCs w:val="44"/>
          <w:lang w:eastAsia="bg-BG"/>
        </w:rPr>
        <w:t>Терапия на първи избор при жени в менопауза с напреднал хормоно-зависим рак на гърдата.</w:t>
      </w:r>
    </w:p>
    <w:p w14:paraId="5E1A840C" w14:textId="77777777" w:rsidR="00C25740" w:rsidRDefault="00C25740" w:rsidP="00C25740">
      <w:pPr>
        <w:pStyle w:val="ListParagraph"/>
        <w:numPr>
          <w:ilvl w:val="0"/>
          <w:numId w:val="37"/>
        </w:numPr>
        <w:spacing w:line="240" w:lineRule="auto"/>
        <w:rPr>
          <w:rFonts w:eastAsia="Times New Roman" w:cs="Arial"/>
          <w:color w:val="000000"/>
          <w:szCs w:val="44"/>
          <w:lang w:eastAsia="bg-BG"/>
        </w:rPr>
      </w:pPr>
      <w:r w:rsidRPr="00C25740">
        <w:rPr>
          <w:rFonts w:eastAsia="Times New Roman" w:cs="Arial"/>
          <w:color w:val="000000"/>
          <w:szCs w:val="44"/>
          <w:lang w:eastAsia="bg-BG"/>
        </w:rPr>
        <w:t>Лечение на напреднал рак на гърдата при жени в естествена или изкуствено индуцирана менопауза след рецидив или прогресия на заболяването, които преди това са били лекувани с антиестрогени.</w:t>
      </w:r>
    </w:p>
    <w:p w14:paraId="3F02177D" w14:textId="32AAD0D7" w:rsidR="00C25740" w:rsidRPr="00C25740" w:rsidRDefault="00C25740" w:rsidP="00C25740">
      <w:pPr>
        <w:pStyle w:val="ListParagraph"/>
        <w:numPr>
          <w:ilvl w:val="0"/>
          <w:numId w:val="37"/>
        </w:numPr>
        <w:spacing w:line="240" w:lineRule="auto"/>
        <w:rPr>
          <w:rFonts w:eastAsia="Times New Roman" w:cs="Arial"/>
          <w:color w:val="000000"/>
          <w:szCs w:val="44"/>
          <w:lang w:eastAsia="bg-BG"/>
        </w:rPr>
      </w:pPr>
      <w:r w:rsidRPr="00C25740">
        <w:rPr>
          <w:rFonts w:eastAsia="Times New Roman" w:cs="Arial"/>
          <w:color w:val="000000"/>
          <w:szCs w:val="44"/>
          <w:lang w:eastAsia="bg-BG"/>
        </w:rPr>
        <w:t xml:space="preserve">Неоадювантна терапия при жени в менопауза с позитивен за хормонални рецептори, </w:t>
      </w:r>
      <w:r w:rsidRPr="00C25740">
        <w:rPr>
          <w:rFonts w:eastAsia="Times New Roman" w:cs="Arial"/>
          <w:color w:val="000000"/>
          <w:szCs w:val="44"/>
          <w:lang w:val="en-US"/>
        </w:rPr>
        <w:t>HER</w:t>
      </w:r>
      <w:r w:rsidRPr="00C25740">
        <w:rPr>
          <w:rFonts w:eastAsia="Times New Roman" w:cs="Arial"/>
          <w:color w:val="000000"/>
          <w:szCs w:val="44"/>
          <w:lang w:val="ru-RU"/>
        </w:rPr>
        <w:t xml:space="preserve">-2 </w:t>
      </w:r>
      <w:r w:rsidRPr="00C25740">
        <w:rPr>
          <w:rFonts w:eastAsia="Times New Roman" w:cs="Arial"/>
          <w:color w:val="000000"/>
          <w:szCs w:val="44"/>
          <w:lang w:eastAsia="bg-BG"/>
        </w:rPr>
        <w:t>негативен рак на гърдата, при които химиотерапията не е подходяща и липсват показания за незабавно оперативно лечение.</w:t>
      </w:r>
    </w:p>
    <w:p w14:paraId="101C5383" w14:textId="77777777" w:rsidR="00C25740" w:rsidRDefault="00C25740" w:rsidP="00C25740">
      <w:pPr>
        <w:rPr>
          <w:rFonts w:eastAsia="Times New Roman" w:cs="Arial"/>
          <w:color w:val="000000"/>
          <w:szCs w:val="44"/>
          <w:lang w:eastAsia="bg-BG"/>
        </w:rPr>
      </w:pPr>
    </w:p>
    <w:p w14:paraId="78CF9C56" w14:textId="5CA8335C" w:rsidR="00C25740" w:rsidRDefault="00C25740" w:rsidP="00C25740">
      <w:pPr>
        <w:rPr>
          <w:rFonts w:eastAsia="Times New Roman" w:cs="Arial"/>
          <w:color w:val="000000"/>
          <w:szCs w:val="44"/>
          <w:lang w:eastAsia="bg-BG"/>
        </w:rPr>
      </w:pPr>
      <w:r w:rsidRPr="00C25740">
        <w:rPr>
          <w:rFonts w:eastAsia="Times New Roman" w:cs="Arial"/>
          <w:color w:val="000000"/>
          <w:szCs w:val="44"/>
          <w:lang w:eastAsia="bg-BG"/>
        </w:rPr>
        <w:t>Ефективността не е установена при пациенти с хормоно-независим рак на гърдата.</w:t>
      </w:r>
    </w:p>
    <w:p w14:paraId="3BC744F0" w14:textId="77777777" w:rsidR="00C25740" w:rsidRPr="00C25740" w:rsidRDefault="00C25740" w:rsidP="00C25740">
      <w:pPr>
        <w:rPr>
          <w:rFonts w:cs="Arial"/>
          <w:sz w:val="10"/>
        </w:rPr>
      </w:pPr>
    </w:p>
    <w:p w14:paraId="53F5B866" w14:textId="741BF04A" w:rsidR="007122AD" w:rsidRDefault="002C50EE" w:rsidP="00936AD0">
      <w:pPr>
        <w:pStyle w:val="Heading2"/>
      </w:pPr>
      <w:r>
        <w:t>4.2. Дозировка и начин на приложение</w:t>
      </w:r>
    </w:p>
    <w:p w14:paraId="6EDE2E6E" w14:textId="66AC6FF8" w:rsidR="00C25740" w:rsidRDefault="00C25740" w:rsidP="00C25740"/>
    <w:p w14:paraId="1373E93C" w14:textId="77777777" w:rsidR="00C25740" w:rsidRPr="00C25740" w:rsidRDefault="00C25740" w:rsidP="00C25740">
      <w:pPr>
        <w:pStyle w:val="Heading3"/>
        <w:rPr>
          <w:rFonts w:eastAsia="Times New Roman"/>
          <w:u w:val="single"/>
        </w:rPr>
      </w:pPr>
      <w:r w:rsidRPr="00C25740">
        <w:rPr>
          <w:rFonts w:eastAsia="Times New Roman"/>
          <w:u w:val="single"/>
          <w:lang w:eastAsia="bg-BG"/>
        </w:rPr>
        <w:t>Дозировка</w:t>
      </w:r>
    </w:p>
    <w:p w14:paraId="55973113" w14:textId="77777777" w:rsidR="00C25740" w:rsidRDefault="00C25740" w:rsidP="00C25740">
      <w:pPr>
        <w:spacing w:line="240" w:lineRule="auto"/>
        <w:rPr>
          <w:rFonts w:eastAsia="Times New Roman" w:cs="Arial"/>
          <w:i/>
          <w:iCs/>
          <w:color w:val="000000"/>
          <w:lang w:eastAsia="bg-BG"/>
        </w:rPr>
      </w:pPr>
    </w:p>
    <w:p w14:paraId="60C76482" w14:textId="097E83E9" w:rsidR="00C25740" w:rsidRPr="00C25740" w:rsidRDefault="00C25740" w:rsidP="00C25740">
      <w:pPr>
        <w:spacing w:line="240" w:lineRule="auto"/>
        <w:rPr>
          <w:rFonts w:eastAsia="Times New Roman" w:cs="Arial"/>
        </w:rPr>
      </w:pPr>
      <w:r w:rsidRPr="00C25740">
        <w:rPr>
          <w:rFonts w:eastAsia="Times New Roman" w:cs="Arial"/>
          <w:i/>
          <w:iCs/>
          <w:color w:val="000000"/>
          <w:lang w:eastAsia="bg-BG"/>
        </w:rPr>
        <w:t>Възрастни и пациенти в старческа възраст</w:t>
      </w:r>
    </w:p>
    <w:p w14:paraId="5C67B487"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lastRenderedPageBreak/>
        <w:t xml:space="preserve">Препоръчваната дозировка е 2,5 </w:t>
      </w:r>
      <w:r w:rsidRPr="00C25740">
        <w:rPr>
          <w:rFonts w:eastAsia="Times New Roman" w:cs="Arial"/>
          <w:color w:val="000000"/>
          <w:lang w:val="en-US"/>
        </w:rPr>
        <w:t>mg</w:t>
      </w:r>
      <w:r w:rsidRPr="00C25740">
        <w:rPr>
          <w:rFonts w:eastAsia="Times New Roman" w:cs="Arial"/>
          <w:color w:val="000000"/>
          <w:lang w:val="ru-RU"/>
        </w:rPr>
        <w:t xml:space="preserve"> </w:t>
      </w:r>
      <w:r w:rsidRPr="00C25740">
        <w:rPr>
          <w:rFonts w:eastAsia="Times New Roman" w:cs="Arial"/>
          <w:color w:val="000000"/>
          <w:lang w:eastAsia="bg-BG"/>
        </w:rPr>
        <w:t>Летрофемин един път дневно. Не се налага промяна на дозата при пациенти в старческа възраст.</w:t>
      </w:r>
    </w:p>
    <w:p w14:paraId="260BCF1F" w14:textId="77777777" w:rsidR="00C25740" w:rsidRDefault="00C25740" w:rsidP="00C25740">
      <w:pPr>
        <w:spacing w:line="240" w:lineRule="auto"/>
        <w:rPr>
          <w:rFonts w:eastAsia="Times New Roman" w:cs="Arial"/>
          <w:color w:val="000000"/>
          <w:lang w:eastAsia="bg-BG"/>
        </w:rPr>
      </w:pPr>
    </w:p>
    <w:p w14:paraId="11858F10" w14:textId="24427EEB" w:rsidR="00C25740" w:rsidRPr="00C25740" w:rsidRDefault="00C25740" w:rsidP="00C25740">
      <w:pPr>
        <w:spacing w:line="240" w:lineRule="auto"/>
        <w:rPr>
          <w:rFonts w:eastAsia="Times New Roman" w:cs="Arial"/>
        </w:rPr>
      </w:pPr>
      <w:r w:rsidRPr="00C25740">
        <w:rPr>
          <w:rFonts w:eastAsia="Times New Roman" w:cs="Arial"/>
          <w:color w:val="000000"/>
          <w:lang w:eastAsia="bg-BG"/>
        </w:rPr>
        <w:t>При пациенти с авансирал или метастазирал рак на гърдата, лечението с летрозол трябва да продължи, докато е налице прогресия на тумора.</w:t>
      </w:r>
      <w:bookmarkStart w:id="1" w:name="bookmark0"/>
      <w:bookmarkEnd w:id="1"/>
    </w:p>
    <w:p w14:paraId="4BCE217E" w14:textId="77777777" w:rsidR="00C25740" w:rsidRPr="00C25740" w:rsidRDefault="00C25740" w:rsidP="00C25740">
      <w:pPr>
        <w:spacing w:line="240" w:lineRule="auto"/>
        <w:rPr>
          <w:rFonts w:eastAsia="Times New Roman" w:cs="Arial"/>
        </w:rPr>
      </w:pPr>
    </w:p>
    <w:p w14:paraId="0050738F" w14:textId="0C98B816" w:rsidR="00C25740" w:rsidRDefault="00C25740" w:rsidP="00C25740">
      <w:pPr>
        <w:rPr>
          <w:rFonts w:eastAsia="Times New Roman" w:cs="Arial"/>
          <w:color w:val="000000"/>
          <w:lang w:eastAsia="bg-BG"/>
        </w:rPr>
      </w:pPr>
      <w:r w:rsidRPr="00C25740">
        <w:rPr>
          <w:rFonts w:eastAsia="Times New Roman" w:cs="Arial"/>
          <w:color w:val="000000"/>
          <w:lang w:eastAsia="bg-BG"/>
        </w:rPr>
        <w:t>При адювантна или разширена адювантна терапия лечението с летрозол трябва да продължи 5 години или до настъпване на рецидив на тумора.</w:t>
      </w:r>
    </w:p>
    <w:p w14:paraId="59DAC9C1" w14:textId="397ADFEF" w:rsidR="00C25740" w:rsidRDefault="00C25740" w:rsidP="00C25740">
      <w:pPr>
        <w:rPr>
          <w:rFonts w:eastAsia="Times New Roman" w:cs="Arial"/>
          <w:color w:val="000000"/>
          <w:lang w:eastAsia="bg-BG"/>
        </w:rPr>
      </w:pPr>
    </w:p>
    <w:p w14:paraId="70ED29A5"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При адювантна терапия секвенираната терапевтична схема (летрозол 2 години последван от тамоксифен 3 години) също трябва да се има предвид (виж т.4.4 и 5.1).</w:t>
      </w:r>
    </w:p>
    <w:p w14:paraId="71445EA3" w14:textId="77777777" w:rsidR="00C25740" w:rsidRDefault="00C25740" w:rsidP="00C25740">
      <w:pPr>
        <w:spacing w:line="240" w:lineRule="auto"/>
        <w:rPr>
          <w:rFonts w:eastAsia="Times New Roman" w:cs="Arial"/>
          <w:color w:val="000000"/>
          <w:lang w:eastAsia="bg-BG"/>
        </w:rPr>
      </w:pPr>
    </w:p>
    <w:p w14:paraId="5563836B" w14:textId="541CD5D6" w:rsidR="00C25740" w:rsidRPr="00C25740" w:rsidRDefault="00C25740" w:rsidP="00C25740">
      <w:pPr>
        <w:spacing w:line="240" w:lineRule="auto"/>
        <w:rPr>
          <w:rFonts w:eastAsia="Times New Roman" w:cs="Arial"/>
        </w:rPr>
      </w:pPr>
      <w:r w:rsidRPr="00C25740">
        <w:rPr>
          <w:rFonts w:eastAsia="Times New Roman" w:cs="Arial"/>
          <w:color w:val="000000"/>
          <w:lang w:eastAsia="bg-BG"/>
        </w:rPr>
        <w:t>При неоадювантна терапия лечението с летрозол трябва да се продължи за 4 до 8 месеца, за да постигне оптимална туморна редукция. Ако не се постигне достатъчно терапевтично повлияване, лечението с летрозол трябва да се преустанови и да се планира оперативно лечение и/или да се обсъдят с пациентката други варианти на лечение.</w:t>
      </w:r>
    </w:p>
    <w:p w14:paraId="0D735E97" w14:textId="77777777" w:rsidR="00C25740" w:rsidRDefault="00C25740" w:rsidP="00C25740">
      <w:pPr>
        <w:spacing w:line="240" w:lineRule="auto"/>
        <w:rPr>
          <w:rFonts w:eastAsia="Times New Roman" w:cs="Arial"/>
          <w:i/>
          <w:iCs/>
          <w:color w:val="000000"/>
          <w:lang w:eastAsia="bg-BG"/>
        </w:rPr>
      </w:pPr>
    </w:p>
    <w:p w14:paraId="65B59009" w14:textId="66EF82A2" w:rsidR="00C25740" w:rsidRPr="00C25740" w:rsidRDefault="00C25740" w:rsidP="00C25740">
      <w:pPr>
        <w:spacing w:line="240" w:lineRule="auto"/>
        <w:rPr>
          <w:rFonts w:eastAsia="Times New Roman" w:cs="Arial"/>
        </w:rPr>
      </w:pPr>
      <w:r w:rsidRPr="00C25740">
        <w:rPr>
          <w:rFonts w:eastAsia="Times New Roman" w:cs="Arial"/>
          <w:i/>
          <w:iCs/>
          <w:color w:val="000000"/>
          <w:lang w:eastAsia="bg-BG"/>
        </w:rPr>
        <w:t>Педиатрична популация</w:t>
      </w:r>
    </w:p>
    <w:p w14:paraId="0163A641"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Летрофемин не се препоръчва за употреба при деца и юноши. Безопасността и ефикасността на летрозол при деца и юноши на възраст до 17 години не са установени. Налице са ограничени данни и не могат да бъдат дадени препоръки за дозировката.</w:t>
      </w:r>
    </w:p>
    <w:p w14:paraId="14B7F12A" w14:textId="77777777" w:rsidR="00C25740" w:rsidRDefault="00C25740" w:rsidP="00C25740">
      <w:pPr>
        <w:spacing w:line="240" w:lineRule="auto"/>
        <w:rPr>
          <w:rFonts w:eastAsia="Times New Roman" w:cs="Arial"/>
          <w:i/>
          <w:iCs/>
          <w:color w:val="000000"/>
          <w:lang w:eastAsia="bg-BG"/>
        </w:rPr>
      </w:pPr>
    </w:p>
    <w:p w14:paraId="66EDBE30" w14:textId="1E008340" w:rsidR="00C25740" w:rsidRPr="00C25740" w:rsidRDefault="00C25740" w:rsidP="00C25740">
      <w:pPr>
        <w:spacing w:line="240" w:lineRule="auto"/>
        <w:rPr>
          <w:rFonts w:eastAsia="Times New Roman" w:cs="Arial"/>
        </w:rPr>
      </w:pPr>
      <w:r w:rsidRPr="00C25740">
        <w:rPr>
          <w:rFonts w:eastAsia="Times New Roman" w:cs="Arial"/>
          <w:i/>
          <w:iCs/>
          <w:color w:val="000000"/>
          <w:lang w:eastAsia="bg-BG"/>
        </w:rPr>
        <w:t>Бъбречно увреждане</w:t>
      </w:r>
    </w:p>
    <w:p w14:paraId="49A62895"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 xml:space="preserve">Не се налага коригиране на дозата на Летрофемин при пациенти с бъбречна недостатъчност, с креатинов клирънс ≥10 </w:t>
      </w:r>
      <w:r w:rsidRPr="00C25740">
        <w:rPr>
          <w:rFonts w:eastAsia="Times New Roman" w:cs="Arial"/>
          <w:color w:val="000000"/>
          <w:lang w:val="en-US"/>
        </w:rPr>
        <w:t>ml</w:t>
      </w:r>
      <w:r w:rsidRPr="00C25740">
        <w:rPr>
          <w:rFonts w:eastAsia="Times New Roman" w:cs="Arial"/>
          <w:color w:val="000000"/>
          <w:lang w:val="ru-RU"/>
        </w:rPr>
        <w:t xml:space="preserve"> /</w:t>
      </w:r>
      <w:r w:rsidRPr="00C25740">
        <w:rPr>
          <w:rFonts w:eastAsia="Times New Roman" w:cs="Arial"/>
          <w:color w:val="000000"/>
          <w:lang w:val="en-US"/>
        </w:rPr>
        <w:t>min</w:t>
      </w:r>
      <w:r w:rsidRPr="00C25740">
        <w:rPr>
          <w:rFonts w:eastAsia="Times New Roman" w:cs="Arial"/>
          <w:color w:val="000000"/>
          <w:lang w:val="ru-RU"/>
        </w:rPr>
        <w:t xml:space="preserve">. </w:t>
      </w:r>
      <w:r w:rsidRPr="00C25740">
        <w:rPr>
          <w:rFonts w:eastAsia="Times New Roman" w:cs="Arial"/>
          <w:color w:val="000000"/>
          <w:lang w:eastAsia="bg-BG"/>
        </w:rPr>
        <w:t xml:space="preserve">Няма достатъчно данни за случаи на бъбречна недостатъчност с креатининов клирънс под 10 </w:t>
      </w:r>
      <w:r w:rsidRPr="00C25740">
        <w:rPr>
          <w:rFonts w:eastAsia="Times New Roman" w:cs="Arial"/>
          <w:color w:val="000000"/>
          <w:lang w:val="en-US"/>
        </w:rPr>
        <w:t>ml</w:t>
      </w:r>
      <w:r w:rsidRPr="00C25740">
        <w:rPr>
          <w:rFonts w:eastAsia="Times New Roman" w:cs="Arial"/>
          <w:color w:val="000000"/>
          <w:lang w:val="ru-RU"/>
        </w:rPr>
        <w:t>/</w:t>
      </w:r>
      <w:r w:rsidRPr="00C25740">
        <w:rPr>
          <w:rFonts w:eastAsia="Times New Roman" w:cs="Arial"/>
          <w:color w:val="000000"/>
          <w:lang w:val="en-US"/>
        </w:rPr>
        <w:t>min</w:t>
      </w:r>
      <w:r w:rsidRPr="00C25740">
        <w:rPr>
          <w:rFonts w:eastAsia="Times New Roman" w:cs="Arial"/>
          <w:color w:val="000000"/>
          <w:lang w:val="ru-RU"/>
        </w:rPr>
        <w:t xml:space="preserve"> </w:t>
      </w:r>
      <w:r w:rsidRPr="00C25740">
        <w:rPr>
          <w:rFonts w:eastAsia="Times New Roman" w:cs="Arial"/>
          <w:color w:val="000000"/>
          <w:lang w:eastAsia="bg-BG"/>
        </w:rPr>
        <w:t>(вижт. 4.4 и 5.2).</w:t>
      </w:r>
    </w:p>
    <w:p w14:paraId="244A4F64" w14:textId="77777777" w:rsidR="00C25740" w:rsidRDefault="00C25740" w:rsidP="00C25740">
      <w:pPr>
        <w:spacing w:line="240" w:lineRule="auto"/>
        <w:rPr>
          <w:rFonts w:eastAsia="Times New Roman" w:cs="Arial"/>
          <w:i/>
          <w:iCs/>
          <w:color w:val="000000"/>
          <w:lang w:eastAsia="bg-BG"/>
        </w:rPr>
      </w:pPr>
    </w:p>
    <w:p w14:paraId="066FA5B6" w14:textId="6FAB9399" w:rsidR="00C25740" w:rsidRPr="00C25740" w:rsidRDefault="00C25740" w:rsidP="00C25740">
      <w:pPr>
        <w:spacing w:line="240" w:lineRule="auto"/>
        <w:rPr>
          <w:rFonts w:eastAsia="Times New Roman" w:cs="Arial"/>
        </w:rPr>
      </w:pPr>
      <w:r w:rsidRPr="00C25740">
        <w:rPr>
          <w:rFonts w:eastAsia="Times New Roman" w:cs="Arial"/>
          <w:i/>
          <w:iCs/>
          <w:color w:val="000000"/>
          <w:lang w:eastAsia="bg-BG"/>
        </w:rPr>
        <w:t>Чернодробно увреждане</w:t>
      </w:r>
    </w:p>
    <w:p w14:paraId="0434F8D5"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 xml:space="preserve">Не се налага коригиране на дозата на Летрофемин при пациенти с лека до умерена чернодробна недостатъчност (клас А или В по </w:t>
      </w:r>
      <w:r w:rsidRPr="00C25740">
        <w:rPr>
          <w:rFonts w:eastAsia="Times New Roman" w:cs="Arial"/>
          <w:color w:val="000000"/>
          <w:lang w:val="en-US"/>
        </w:rPr>
        <w:t>Child</w:t>
      </w:r>
      <w:r w:rsidRPr="00C25740">
        <w:rPr>
          <w:rFonts w:eastAsia="Times New Roman" w:cs="Arial"/>
          <w:color w:val="000000"/>
          <w:lang w:val="ru-RU"/>
        </w:rPr>
        <w:t>-</w:t>
      </w:r>
      <w:r w:rsidRPr="00C25740">
        <w:rPr>
          <w:rFonts w:eastAsia="Times New Roman" w:cs="Arial"/>
          <w:color w:val="000000"/>
          <w:lang w:val="en-US"/>
        </w:rPr>
        <w:t>Pugh</w:t>
      </w:r>
      <w:r w:rsidRPr="00C25740">
        <w:rPr>
          <w:rFonts w:eastAsia="Times New Roman" w:cs="Arial"/>
          <w:color w:val="000000"/>
          <w:lang w:val="ru-RU"/>
        </w:rPr>
        <w:t xml:space="preserve">). </w:t>
      </w:r>
      <w:r w:rsidRPr="00C25740">
        <w:rPr>
          <w:rFonts w:eastAsia="Times New Roman" w:cs="Arial"/>
          <w:color w:val="000000"/>
          <w:lang w:eastAsia="bg-BG"/>
        </w:rPr>
        <w:t xml:space="preserve">Няма достатъчно данни за пациенти с тежко чернодробно увреждане. При пациенти с тежко чернодробно увреждане (клас А или В по </w:t>
      </w:r>
      <w:r w:rsidRPr="00C25740">
        <w:rPr>
          <w:rFonts w:eastAsia="Times New Roman" w:cs="Arial"/>
          <w:color w:val="000000"/>
          <w:lang w:val="en-US"/>
        </w:rPr>
        <w:t>Child</w:t>
      </w:r>
      <w:r w:rsidRPr="00C25740">
        <w:rPr>
          <w:rFonts w:eastAsia="Times New Roman" w:cs="Arial"/>
          <w:color w:val="000000"/>
          <w:lang w:val="ru-RU"/>
        </w:rPr>
        <w:t xml:space="preserve">- </w:t>
      </w:r>
      <w:r w:rsidRPr="00C25740">
        <w:rPr>
          <w:rFonts w:eastAsia="Times New Roman" w:cs="Arial"/>
          <w:color w:val="000000"/>
          <w:lang w:val="en-US"/>
        </w:rPr>
        <w:t>Pugh</w:t>
      </w:r>
      <w:r w:rsidRPr="00C25740">
        <w:rPr>
          <w:rFonts w:eastAsia="Times New Roman" w:cs="Arial"/>
          <w:color w:val="000000"/>
          <w:lang w:val="ru-RU"/>
        </w:rPr>
        <w:t xml:space="preserve">) </w:t>
      </w:r>
      <w:r w:rsidRPr="00C25740">
        <w:rPr>
          <w:rFonts w:eastAsia="Times New Roman" w:cs="Arial"/>
          <w:color w:val="000000"/>
          <w:lang w:eastAsia="bg-BG"/>
        </w:rPr>
        <w:t>е необходимо внимателно проследяване (виж т. 4.4 и 5.2).</w:t>
      </w:r>
    </w:p>
    <w:p w14:paraId="5FF59B6E" w14:textId="77777777" w:rsidR="00C25740" w:rsidRDefault="00C25740" w:rsidP="00C25740">
      <w:pPr>
        <w:spacing w:line="240" w:lineRule="auto"/>
        <w:rPr>
          <w:rFonts w:eastAsia="Times New Roman" w:cs="Arial"/>
          <w:color w:val="000000"/>
          <w:u w:val="single"/>
          <w:lang w:eastAsia="bg-BG"/>
        </w:rPr>
      </w:pPr>
    </w:p>
    <w:p w14:paraId="7F3AC251" w14:textId="51D47E14" w:rsidR="00C25740" w:rsidRPr="00C25740" w:rsidRDefault="00C25740" w:rsidP="00C25740">
      <w:pPr>
        <w:pStyle w:val="Heading3"/>
        <w:rPr>
          <w:rFonts w:eastAsia="Times New Roman"/>
          <w:u w:val="single"/>
        </w:rPr>
      </w:pPr>
      <w:r w:rsidRPr="00C25740">
        <w:rPr>
          <w:rFonts w:eastAsia="Times New Roman"/>
          <w:u w:val="single"/>
          <w:lang w:eastAsia="bg-BG"/>
        </w:rPr>
        <w:t>Начин на приложение</w:t>
      </w:r>
    </w:p>
    <w:p w14:paraId="0C3D8D72"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Летрофемин трябва да се приема перорално и може да се приема със или без храна.</w:t>
      </w:r>
    </w:p>
    <w:p w14:paraId="39EDA01A" w14:textId="77777777" w:rsidR="00C25740" w:rsidRPr="00C25740" w:rsidRDefault="00C25740" w:rsidP="00C25740">
      <w:pPr>
        <w:rPr>
          <w:rFonts w:cs="Arial"/>
        </w:rPr>
      </w:pPr>
    </w:p>
    <w:p w14:paraId="0F253247" w14:textId="6C58C6D1" w:rsidR="007122AD" w:rsidRDefault="002C50EE" w:rsidP="00936AD0">
      <w:pPr>
        <w:pStyle w:val="Heading2"/>
      </w:pPr>
      <w:r>
        <w:t>4.3. Противопоказания</w:t>
      </w:r>
    </w:p>
    <w:p w14:paraId="24D0236F" w14:textId="5FEC1531" w:rsidR="00C25740" w:rsidRDefault="00C25740" w:rsidP="00C25740"/>
    <w:p w14:paraId="7997A45E" w14:textId="77777777" w:rsidR="00C25740" w:rsidRPr="00C25740" w:rsidRDefault="00C25740" w:rsidP="00C25740">
      <w:pPr>
        <w:pStyle w:val="ListParagraph"/>
        <w:numPr>
          <w:ilvl w:val="0"/>
          <w:numId w:val="38"/>
        </w:numPr>
        <w:rPr>
          <w:sz w:val="24"/>
          <w:szCs w:val="24"/>
        </w:rPr>
      </w:pPr>
      <w:r w:rsidRPr="00C25740">
        <w:rPr>
          <w:lang w:eastAsia="bg-BG"/>
        </w:rPr>
        <w:t>Свръхчувствителност към активното вещество или към някое от помощните вещества изброени в точка 6.1</w:t>
      </w:r>
    </w:p>
    <w:p w14:paraId="5C064DC3" w14:textId="77777777" w:rsidR="00C25740" w:rsidRPr="00C25740" w:rsidRDefault="00C25740" w:rsidP="00C25740">
      <w:pPr>
        <w:pStyle w:val="ListParagraph"/>
        <w:numPr>
          <w:ilvl w:val="0"/>
          <w:numId w:val="38"/>
        </w:numPr>
        <w:rPr>
          <w:sz w:val="24"/>
          <w:szCs w:val="24"/>
        </w:rPr>
      </w:pPr>
      <w:r w:rsidRPr="00C25740">
        <w:rPr>
          <w:lang w:eastAsia="bg-BG"/>
        </w:rPr>
        <w:t>Предменопаузен ендокринен статус</w:t>
      </w:r>
    </w:p>
    <w:p w14:paraId="763BECF2" w14:textId="77777777" w:rsidR="00C25740" w:rsidRPr="00C25740" w:rsidRDefault="00C25740" w:rsidP="00C25740">
      <w:pPr>
        <w:pStyle w:val="ListParagraph"/>
        <w:numPr>
          <w:ilvl w:val="0"/>
          <w:numId w:val="38"/>
        </w:numPr>
        <w:rPr>
          <w:sz w:val="24"/>
          <w:szCs w:val="24"/>
        </w:rPr>
      </w:pPr>
      <w:r w:rsidRPr="00C25740">
        <w:rPr>
          <w:lang w:eastAsia="bg-BG"/>
        </w:rPr>
        <w:t>Бременност (виж т. 4.6)</w:t>
      </w:r>
    </w:p>
    <w:p w14:paraId="3A460356" w14:textId="48B22B82" w:rsidR="00C25740" w:rsidRPr="00C25740" w:rsidRDefault="00C25740" w:rsidP="00C25740">
      <w:pPr>
        <w:pStyle w:val="ListParagraph"/>
        <w:numPr>
          <w:ilvl w:val="0"/>
          <w:numId w:val="38"/>
        </w:numPr>
        <w:rPr>
          <w:sz w:val="24"/>
          <w:szCs w:val="24"/>
        </w:rPr>
      </w:pPr>
      <w:r w:rsidRPr="00C25740">
        <w:rPr>
          <w:lang w:eastAsia="bg-BG"/>
        </w:rPr>
        <w:t>Кърмене (виж т. 4.6)</w:t>
      </w:r>
    </w:p>
    <w:p w14:paraId="7EF5D7A8" w14:textId="77777777" w:rsidR="00C25740" w:rsidRPr="00C25740" w:rsidRDefault="00C25740" w:rsidP="00C25740"/>
    <w:p w14:paraId="0E0BDCC7" w14:textId="73FDEE21" w:rsidR="007122AD" w:rsidRDefault="002C50EE" w:rsidP="00936AD0">
      <w:pPr>
        <w:pStyle w:val="Heading2"/>
      </w:pPr>
      <w:r>
        <w:t>4.4. Специални предупреждения и предпазни мерки при употреба</w:t>
      </w:r>
    </w:p>
    <w:p w14:paraId="6FA56FAE" w14:textId="38BA649E" w:rsidR="00C25740" w:rsidRDefault="00C25740" w:rsidP="00C25740"/>
    <w:p w14:paraId="75A00545" w14:textId="77777777" w:rsidR="00C25740" w:rsidRPr="00C25740" w:rsidRDefault="00C25740" w:rsidP="00C25740">
      <w:pPr>
        <w:spacing w:line="240" w:lineRule="auto"/>
        <w:rPr>
          <w:rFonts w:eastAsia="Times New Roman" w:cs="Arial"/>
        </w:rPr>
      </w:pPr>
      <w:r w:rsidRPr="00C25740">
        <w:rPr>
          <w:rFonts w:eastAsia="Times New Roman" w:cs="Arial"/>
          <w:color w:val="000000"/>
          <w:u w:val="single"/>
          <w:lang w:eastAsia="bg-BG"/>
        </w:rPr>
        <w:t>Менопаузален статус</w:t>
      </w:r>
    </w:p>
    <w:p w14:paraId="16F71D8F"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lastRenderedPageBreak/>
        <w:t xml:space="preserve">При пациенти с неясен постменопаузен статус, трябва да бъдат определени нивата на лутеинизиращия хормон </w:t>
      </w:r>
      <w:r w:rsidRPr="00C25740">
        <w:rPr>
          <w:rFonts w:eastAsia="Times New Roman" w:cs="Arial"/>
          <w:color w:val="000000"/>
          <w:lang w:val="ru-RU"/>
        </w:rPr>
        <w:t>(</w:t>
      </w:r>
      <w:r w:rsidRPr="00C25740">
        <w:rPr>
          <w:rFonts w:eastAsia="Times New Roman" w:cs="Arial"/>
          <w:color w:val="000000"/>
          <w:lang w:val="en-US"/>
        </w:rPr>
        <w:t>LH</w:t>
      </w:r>
      <w:r w:rsidRPr="00C25740">
        <w:rPr>
          <w:rFonts w:eastAsia="Times New Roman" w:cs="Arial"/>
          <w:color w:val="000000"/>
          <w:lang w:val="ru-RU"/>
        </w:rPr>
        <w:t xml:space="preserve">), </w:t>
      </w:r>
      <w:r w:rsidRPr="00C25740">
        <w:rPr>
          <w:rFonts w:eastAsia="Times New Roman" w:cs="Arial"/>
          <w:color w:val="000000"/>
          <w:lang w:eastAsia="bg-BG"/>
        </w:rPr>
        <w:t xml:space="preserve">фоликулостимулиращия хормон </w:t>
      </w:r>
      <w:r w:rsidRPr="00C25740">
        <w:rPr>
          <w:rFonts w:eastAsia="Times New Roman" w:cs="Arial"/>
          <w:color w:val="000000"/>
          <w:lang w:val="ru-RU"/>
        </w:rPr>
        <w:t>(</w:t>
      </w:r>
      <w:r w:rsidRPr="00C25740">
        <w:rPr>
          <w:rFonts w:eastAsia="Times New Roman" w:cs="Arial"/>
          <w:color w:val="000000"/>
          <w:lang w:val="en-US"/>
        </w:rPr>
        <w:t>FSH</w:t>
      </w:r>
      <w:r w:rsidRPr="00C25740">
        <w:rPr>
          <w:rFonts w:eastAsia="Times New Roman" w:cs="Arial"/>
          <w:color w:val="000000"/>
          <w:lang w:val="ru-RU"/>
        </w:rPr>
        <w:t xml:space="preserve">) </w:t>
      </w:r>
      <w:r w:rsidRPr="00C25740">
        <w:rPr>
          <w:rFonts w:eastAsia="Times New Roman" w:cs="Arial"/>
          <w:color w:val="000000"/>
          <w:lang w:eastAsia="bg-BG"/>
        </w:rPr>
        <w:t>и/или нивата на естрадиол преди започване на лечението с летрозол. Само жени с постменопаузален ендокринен статус трябва да получават летрозол.</w:t>
      </w:r>
    </w:p>
    <w:p w14:paraId="07EF3DA7" w14:textId="77777777" w:rsidR="00C25740" w:rsidRDefault="00C25740" w:rsidP="00C25740">
      <w:pPr>
        <w:spacing w:line="240" w:lineRule="auto"/>
        <w:rPr>
          <w:rFonts w:eastAsia="Times New Roman" w:cs="Arial"/>
          <w:color w:val="000000"/>
          <w:u w:val="single"/>
          <w:lang w:eastAsia="bg-BG"/>
        </w:rPr>
      </w:pPr>
    </w:p>
    <w:p w14:paraId="2135A33C" w14:textId="54E247F4" w:rsidR="00C25740" w:rsidRPr="00C25740" w:rsidRDefault="00C25740" w:rsidP="00C25740">
      <w:pPr>
        <w:spacing w:line="240" w:lineRule="auto"/>
        <w:rPr>
          <w:rFonts w:eastAsia="Times New Roman" w:cs="Arial"/>
        </w:rPr>
      </w:pPr>
      <w:r w:rsidRPr="00C25740">
        <w:rPr>
          <w:rFonts w:eastAsia="Times New Roman" w:cs="Arial"/>
          <w:color w:val="000000"/>
          <w:u w:val="single"/>
          <w:lang w:eastAsia="bg-BG"/>
        </w:rPr>
        <w:t>Бъбречно увреждане</w:t>
      </w:r>
    </w:p>
    <w:p w14:paraId="21C3F5B0"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 xml:space="preserve">Летрозол не е изследван при достатъчен брой пациенти с креатининов клирънс под 10 </w:t>
      </w:r>
      <w:r w:rsidRPr="00C25740">
        <w:rPr>
          <w:rFonts w:eastAsia="Times New Roman" w:cs="Arial"/>
          <w:color w:val="000000"/>
          <w:lang w:val="en-US"/>
        </w:rPr>
        <w:t>ml</w:t>
      </w:r>
      <w:r w:rsidRPr="00C25740">
        <w:rPr>
          <w:rFonts w:eastAsia="Times New Roman" w:cs="Arial"/>
          <w:color w:val="000000"/>
          <w:lang w:val="ru-RU"/>
        </w:rPr>
        <w:t>/</w:t>
      </w:r>
      <w:r w:rsidRPr="00C25740">
        <w:rPr>
          <w:rFonts w:eastAsia="Times New Roman" w:cs="Arial"/>
          <w:color w:val="000000"/>
          <w:lang w:val="en-US"/>
        </w:rPr>
        <w:t>min</w:t>
      </w:r>
      <w:r w:rsidRPr="00C25740">
        <w:rPr>
          <w:rFonts w:eastAsia="Times New Roman" w:cs="Arial"/>
          <w:color w:val="000000"/>
          <w:lang w:val="ru-RU"/>
        </w:rPr>
        <w:t xml:space="preserve">. </w:t>
      </w:r>
      <w:r w:rsidRPr="00C25740">
        <w:rPr>
          <w:rFonts w:eastAsia="Times New Roman" w:cs="Arial"/>
          <w:color w:val="000000"/>
          <w:lang w:eastAsia="bg-BG"/>
        </w:rPr>
        <w:t>Потенциалното съотношение риск/полза при тези пациенти трябва внимателно да се прецени преди прилагането на Летрофемин.</w:t>
      </w:r>
    </w:p>
    <w:p w14:paraId="6CE16F87" w14:textId="77777777" w:rsidR="00C25740" w:rsidRDefault="00C25740" w:rsidP="00C25740">
      <w:pPr>
        <w:spacing w:line="240" w:lineRule="auto"/>
        <w:rPr>
          <w:rFonts w:eastAsia="Times New Roman" w:cs="Arial"/>
          <w:color w:val="000000"/>
          <w:u w:val="single"/>
          <w:lang w:eastAsia="bg-BG"/>
        </w:rPr>
      </w:pPr>
    </w:p>
    <w:p w14:paraId="75B51FF3" w14:textId="001CD343" w:rsidR="00C25740" w:rsidRPr="00C25740" w:rsidRDefault="00C25740" w:rsidP="00C25740">
      <w:pPr>
        <w:spacing w:line="240" w:lineRule="auto"/>
        <w:rPr>
          <w:rFonts w:eastAsia="Times New Roman" w:cs="Arial"/>
        </w:rPr>
      </w:pPr>
      <w:r w:rsidRPr="00C25740">
        <w:rPr>
          <w:rFonts w:eastAsia="Times New Roman" w:cs="Arial"/>
          <w:color w:val="000000"/>
          <w:u w:val="single"/>
          <w:lang w:eastAsia="bg-BG"/>
        </w:rPr>
        <w:t>Чернодробно увреждане</w:t>
      </w:r>
    </w:p>
    <w:p w14:paraId="4097A444"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 xml:space="preserve">При пациенти с тежко чернодробно увреждане (клас С по </w:t>
      </w:r>
      <w:r w:rsidRPr="00C25740">
        <w:rPr>
          <w:rFonts w:eastAsia="Times New Roman" w:cs="Arial"/>
          <w:color w:val="000000"/>
          <w:lang w:val="en-US"/>
        </w:rPr>
        <w:t>Child</w:t>
      </w:r>
      <w:r w:rsidRPr="00C25740">
        <w:rPr>
          <w:rFonts w:eastAsia="Times New Roman" w:cs="Arial"/>
          <w:color w:val="000000"/>
          <w:lang w:val="ru-RU"/>
        </w:rPr>
        <w:t>-</w:t>
      </w:r>
      <w:r w:rsidRPr="00C25740">
        <w:rPr>
          <w:rFonts w:eastAsia="Times New Roman" w:cs="Arial"/>
          <w:color w:val="000000"/>
          <w:lang w:val="en-US"/>
        </w:rPr>
        <w:t>Pugh</w:t>
      </w:r>
      <w:r w:rsidRPr="00C25740">
        <w:rPr>
          <w:rFonts w:eastAsia="Times New Roman" w:cs="Arial"/>
          <w:color w:val="000000"/>
          <w:lang w:val="ru-RU"/>
        </w:rPr>
        <w:t xml:space="preserve">), </w:t>
      </w:r>
      <w:r w:rsidRPr="00C25740">
        <w:rPr>
          <w:rFonts w:eastAsia="Times New Roman" w:cs="Arial"/>
          <w:color w:val="000000"/>
          <w:lang w:eastAsia="bg-BG"/>
        </w:rPr>
        <w:t>системната експозиция и терминалния полуживот са били приблизително двойно по-високи в сравнение с тези при</w:t>
      </w:r>
      <w:r w:rsidRPr="00C25740">
        <w:rPr>
          <w:rFonts w:eastAsia="Times New Roman" w:cs="Arial"/>
          <w:color w:val="000000"/>
          <w:u w:val="single"/>
          <w:lang w:eastAsia="bg-BG"/>
        </w:rPr>
        <w:t xml:space="preserve"> </w:t>
      </w:r>
      <w:r w:rsidRPr="00C25740">
        <w:rPr>
          <w:rFonts w:eastAsia="Times New Roman" w:cs="Arial"/>
          <w:color w:val="000000"/>
          <w:lang w:eastAsia="bg-BG"/>
        </w:rPr>
        <w:t>здрави доброволци. Поради тази причина такива пациенти трябва да бъдат под непосредствено наблюдение (виж т.5.2).</w:t>
      </w:r>
    </w:p>
    <w:p w14:paraId="34C59D40" w14:textId="77777777" w:rsidR="00C25740" w:rsidRDefault="00C25740" w:rsidP="00C25740">
      <w:pPr>
        <w:spacing w:line="240" w:lineRule="auto"/>
        <w:rPr>
          <w:rFonts w:eastAsia="Times New Roman" w:cs="Arial"/>
          <w:color w:val="000000"/>
          <w:u w:val="single"/>
          <w:lang w:eastAsia="bg-BG"/>
        </w:rPr>
      </w:pPr>
    </w:p>
    <w:p w14:paraId="14858944" w14:textId="2575D6FE" w:rsidR="00C25740" w:rsidRPr="00C25740" w:rsidRDefault="00C25740" w:rsidP="00C25740">
      <w:pPr>
        <w:spacing w:line="240" w:lineRule="auto"/>
        <w:rPr>
          <w:rFonts w:eastAsia="Times New Roman" w:cs="Arial"/>
        </w:rPr>
      </w:pPr>
      <w:r w:rsidRPr="00C25740">
        <w:rPr>
          <w:rFonts w:eastAsia="Times New Roman" w:cs="Arial"/>
          <w:color w:val="000000"/>
          <w:u w:val="single"/>
          <w:lang w:eastAsia="bg-BG"/>
        </w:rPr>
        <w:t>Ефект върху костите</w:t>
      </w:r>
    </w:p>
    <w:p w14:paraId="1BF6BD40" w14:textId="77777777" w:rsidR="00C25740" w:rsidRPr="00C25740" w:rsidRDefault="00C25740" w:rsidP="00C25740">
      <w:pPr>
        <w:rPr>
          <w:rFonts w:eastAsia="Times New Roman" w:cs="Arial"/>
        </w:rPr>
      </w:pPr>
      <w:r w:rsidRPr="00C25740">
        <w:rPr>
          <w:rFonts w:eastAsia="Times New Roman" w:cs="Arial"/>
          <w:color w:val="000000"/>
          <w:lang w:eastAsia="bg-BG"/>
        </w:rPr>
        <w:t>Летрофемин е мощен естроген-понижаващ агент. При жени с анамнеза за остеопороза и/или фрактури или с повишен риск от развитие на остеопороза е препоръчително да се направи</w:t>
      </w:r>
      <w:r>
        <w:rPr>
          <w:rFonts w:eastAsia="Times New Roman" w:cs="Arial"/>
          <w:color w:val="000000"/>
          <w:lang w:eastAsia="bg-BG"/>
        </w:rPr>
        <w:t xml:space="preserve"> </w:t>
      </w:r>
      <w:r w:rsidRPr="00C25740">
        <w:rPr>
          <w:rFonts w:eastAsia="Times New Roman" w:cs="Arial"/>
          <w:color w:val="000000"/>
          <w:lang w:eastAsia="bg-BG"/>
        </w:rPr>
        <w:t>оценка на костната плътност преди да започнат адювантна или разширена адювантна терапия и да бъдат наблюдавани по време на и след приключване на лечението с летрозол. При адювантна терапия може също така да се има предвид секвентна терапевтична схема (летрозол 2 години последван от тамоксифен 3 години) в зависимост от профила на безопасност при съответния пациент (виж т.4.2,4.8 и 5.1).</w:t>
      </w:r>
    </w:p>
    <w:p w14:paraId="594610B4" w14:textId="77777777" w:rsidR="00C25740" w:rsidRPr="00C25740" w:rsidRDefault="00C25740" w:rsidP="00C25740">
      <w:pPr>
        <w:spacing w:line="240" w:lineRule="auto"/>
        <w:rPr>
          <w:rFonts w:eastAsia="Times New Roman" w:cs="Arial"/>
          <w:color w:val="000000"/>
          <w:u w:val="single"/>
          <w:lang w:eastAsia="bg-BG"/>
        </w:rPr>
      </w:pPr>
    </w:p>
    <w:p w14:paraId="63C70DBA" w14:textId="2E74FE21" w:rsidR="00C25740" w:rsidRPr="00C25740" w:rsidRDefault="00C25740" w:rsidP="00C25740">
      <w:pPr>
        <w:spacing w:line="240" w:lineRule="auto"/>
        <w:rPr>
          <w:rFonts w:eastAsia="Times New Roman" w:cs="Arial"/>
        </w:rPr>
      </w:pPr>
      <w:r w:rsidRPr="00C25740">
        <w:rPr>
          <w:rFonts w:eastAsia="Times New Roman" w:cs="Arial"/>
          <w:color w:val="000000"/>
          <w:u w:val="single"/>
          <w:lang w:eastAsia="bg-BG"/>
        </w:rPr>
        <w:t>Тендинит и руптура на сухожилията</w:t>
      </w:r>
    </w:p>
    <w:p w14:paraId="6666825E"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Може да се развие тендинит и да настъпи руптура на сухожилията (редки). Трябва да се започне внимателно проследяване на пациентите и да се предприемат подходящи мерки за засегнатото сухожилие (напр. имобилизация) (вж. точка 4.8).</w:t>
      </w:r>
    </w:p>
    <w:p w14:paraId="466F1492" w14:textId="77777777" w:rsidR="00C25740" w:rsidRPr="00C25740" w:rsidRDefault="00C25740" w:rsidP="00C25740">
      <w:pPr>
        <w:spacing w:line="240" w:lineRule="auto"/>
        <w:rPr>
          <w:rFonts w:eastAsia="Times New Roman" w:cs="Arial"/>
          <w:color w:val="000000"/>
          <w:u w:val="single"/>
          <w:lang w:eastAsia="bg-BG"/>
        </w:rPr>
      </w:pPr>
    </w:p>
    <w:p w14:paraId="05A43C46" w14:textId="2A48D062" w:rsidR="00C25740" w:rsidRPr="00C25740" w:rsidRDefault="00C25740" w:rsidP="00C25740">
      <w:pPr>
        <w:spacing w:line="240" w:lineRule="auto"/>
        <w:rPr>
          <w:rFonts w:eastAsia="Times New Roman" w:cs="Arial"/>
        </w:rPr>
      </w:pPr>
      <w:r w:rsidRPr="00C25740">
        <w:rPr>
          <w:rFonts w:eastAsia="Times New Roman" w:cs="Arial"/>
          <w:color w:val="000000"/>
          <w:u w:val="single"/>
          <w:lang w:eastAsia="bg-BG"/>
        </w:rPr>
        <w:t>Други предупреждения</w:t>
      </w:r>
    </w:p>
    <w:p w14:paraId="08A90108"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Едновременното приложение на Летрофемин с тамоксифен, други антиестрогенни или естроген-съдържащи лекарства трябва да се избягва, тъй като тези вещества могат да намалят фармакологичното действие на летрозол (виж т.4.5).</w:t>
      </w:r>
    </w:p>
    <w:p w14:paraId="24995B1B" w14:textId="77777777" w:rsidR="00C25740" w:rsidRPr="00C25740" w:rsidRDefault="00C25740" w:rsidP="00C25740">
      <w:pPr>
        <w:spacing w:line="240" w:lineRule="auto"/>
        <w:rPr>
          <w:rFonts w:eastAsia="Times New Roman" w:cs="Arial"/>
          <w:color w:val="000000"/>
          <w:u w:val="single"/>
          <w:lang w:eastAsia="bg-BG"/>
        </w:rPr>
      </w:pPr>
    </w:p>
    <w:p w14:paraId="56993AD7" w14:textId="72398B13" w:rsidR="00C25740" w:rsidRPr="00C25740" w:rsidRDefault="00C25740" w:rsidP="00C25740">
      <w:pPr>
        <w:spacing w:line="240" w:lineRule="auto"/>
        <w:rPr>
          <w:rFonts w:eastAsia="Times New Roman" w:cs="Arial"/>
        </w:rPr>
      </w:pPr>
      <w:r w:rsidRPr="00C25740">
        <w:rPr>
          <w:rFonts w:eastAsia="Times New Roman" w:cs="Arial"/>
          <w:color w:val="000000"/>
          <w:u w:val="single"/>
          <w:lang w:eastAsia="bg-BG"/>
        </w:rPr>
        <w:t>Лактоза</w:t>
      </w:r>
    </w:p>
    <w:p w14:paraId="4F732704"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малабсорбация не трябва да приемат това лекарство.</w:t>
      </w:r>
    </w:p>
    <w:p w14:paraId="07CD837A" w14:textId="77777777" w:rsidR="00C25740" w:rsidRPr="00C25740" w:rsidRDefault="00C25740" w:rsidP="00C25740">
      <w:pPr>
        <w:spacing w:line="240" w:lineRule="auto"/>
        <w:rPr>
          <w:rFonts w:eastAsia="Times New Roman" w:cs="Arial"/>
          <w:color w:val="000000"/>
          <w:u w:val="single"/>
          <w:lang w:eastAsia="bg-BG"/>
        </w:rPr>
      </w:pPr>
    </w:p>
    <w:p w14:paraId="0FACA749" w14:textId="5730D7A4" w:rsidR="00C25740" w:rsidRPr="00C25740" w:rsidRDefault="00C25740" w:rsidP="00C25740">
      <w:pPr>
        <w:spacing w:line="240" w:lineRule="auto"/>
        <w:rPr>
          <w:rFonts w:eastAsia="Times New Roman" w:cs="Arial"/>
        </w:rPr>
      </w:pPr>
      <w:r w:rsidRPr="00C25740">
        <w:rPr>
          <w:rFonts w:eastAsia="Times New Roman" w:cs="Arial"/>
          <w:color w:val="000000"/>
          <w:u w:val="single"/>
          <w:lang w:eastAsia="bg-BG"/>
        </w:rPr>
        <w:t>Натрий</w:t>
      </w:r>
    </w:p>
    <w:p w14:paraId="6D9A6565"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 xml:space="preserve">Това лекарство съдържа по-малко от 1 </w:t>
      </w:r>
      <w:proofErr w:type="spellStart"/>
      <w:r w:rsidRPr="00C25740">
        <w:rPr>
          <w:rFonts w:eastAsia="Times New Roman" w:cs="Arial"/>
          <w:color w:val="000000"/>
          <w:lang w:val="en-US"/>
        </w:rPr>
        <w:t>mmol</w:t>
      </w:r>
      <w:proofErr w:type="spellEnd"/>
      <w:r w:rsidRPr="00C25740">
        <w:rPr>
          <w:rFonts w:eastAsia="Times New Roman" w:cs="Arial"/>
          <w:color w:val="000000"/>
          <w:lang w:val="ru-RU"/>
        </w:rPr>
        <w:t xml:space="preserve"> </w:t>
      </w:r>
      <w:r w:rsidRPr="00C25740">
        <w:rPr>
          <w:rFonts w:eastAsia="Times New Roman" w:cs="Arial"/>
          <w:color w:val="000000"/>
          <w:lang w:eastAsia="bg-BG"/>
        </w:rPr>
        <w:t xml:space="preserve">натрий (23 </w:t>
      </w:r>
      <w:r w:rsidRPr="00C25740">
        <w:rPr>
          <w:rFonts w:eastAsia="Times New Roman" w:cs="Arial"/>
          <w:color w:val="000000"/>
          <w:lang w:val="en-US"/>
        </w:rPr>
        <w:t>mg</w:t>
      </w:r>
      <w:r w:rsidRPr="00C25740">
        <w:rPr>
          <w:rFonts w:eastAsia="Times New Roman" w:cs="Arial"/>
          <w:color w:val="000000"/>
          <w:lang w:val="ru-RU"/>
        </w:rPr>
        <w:t xml:space="preserve">) </w:t>
      </w:r>
      <w:r w:rsidRPr="00C25740">
        <w:rPr>
          <w:rFonts w:eastAsia="Times New Roman" w:cs="Arial"/>
          <w:color w:val="000000"/>
          <w:lang w:eastAsia="bg-BG"/>
        </w:rPr>
        <w:t>в една таблетка, т.е. може да се каже, че практически не съдържа натрий.</w:t>
      </w:r>
    </w:p>
    <w:p w14:paraId="61B2C55B" w14:textId="1C2E64F6" w:rsidR="00C25740" w:rsidRPr="00C25740" w:rsidRDefault="00C25740" w:rsidP="00C25740">
      <w:pPr>
        <w:rPr>
          <w:rFonts w:cs="Arial"/>
        </w:rPr>
      </w:pPr>
    </w:p>
    <w:p w14:paraId="55AC6409" w14:textId="77777777" w:rsidR="00C25740"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655F1D2F" w14:textId="77777777" w:rsidR="00C25740" w:rsidRDefault="00C25740" w:rsidP="00C25740">
      <w:pPr>
        <w:spacing w:line="240" w:lineRule="auto"/>
        <w:rPr>
          <w:rFonts w:eastAsiaTheme="majorEastAsia" w:cstheme="majorBidi"/>
          <w:color w:val="000000" w:themeColor="text1"/>
          <w:sz w:val="26"/>
          <w:szCs w:val="26"/>
        </w:rPr>
      </w:pPr>
    </w:p>
    <w:p w14:paraId="695AD292" w14:textId="3C7B685A" w:rsidR="00C25740" w:rsidRPr="00C25740" w:rsidRDefault="00C25740" w:rsidP="00C25740">
      <w:pPr>
        <w:spacing w:line="240" w:lineRule="auto"/>
        <w:rPr>
          <w:rFonts w:eastAsia="Times New Roman" w:cs="Arial"/>
        </w:rPr>
      </w:pPr>
      <w:r w:rsidRPr="00C25740">
        <w:rPr>
          <w:rFonts w:eastAsia="Times New Roman" w:cs="Arial"/>
          <w:color w:val="000000"/>
          <w:lang w:eastAsia="bg-BG"/>
        </w:rPr>
        <w:lastRenderedPageBreak/>
        <w:t xml:space="preserve">Метаболизмът на летрозол се осъществява чрез </w:t>
      </w:r>
      <w:r w:rsidRPr="00C25740">
        <w:rPr>
          <w:rFonts w:eastAsia="Times New Roman" w:cs="Arial"/>
          <w:color w:val="000000"/>
          <w:lang w:val="en-US"/>
        </w:rPr>
        <w:t>CYP</w:t>
      </w:r>
      <w:r w:rsidRPr="00C25740">
        <w:rPr>
          <w:rFonts w:eastAsia="Times New Roman" w:cs="Arial"/>
          <w:color w:val="000000"/>
          <w:lang w:val="ru-RU"/>
        </w:rPr>
        <w:t>2</w:t>
      </w:r>
      <w:r w:rsidRPr="00C25740">
        <w:rPr>
          <w:rFonts w:eastAsia="Times New Roman" w:cs="Arial"/>
          <w:color w:val="000000"/>
          <w:lang w:val="en-US"/>
        </w:rPr>
        <w:t>A</w:t>
      </w:r>
      <w:r w:rsidRPr="00C25740">
        <w:rPr>
          <w:rFonts w:eastAsia="Times New Roman" w:cs="Arial"/>
          <w:color w:val="000000"/>
          <w:lang w:val="ru-RU"/>
        </w:rPr>
        <w:t xml:space="preserve">6 </w:t>
      </w:r>
      <w:r w:rsidRPr="00C25740">
        <w:rPr>
          <w:rFonts w:eastAsia="Times New Roman" w:cs="Arial"/>
          <w:color w:val="000000"/>
          <w:lang w:eastAsia="bg-BG"/>
        </w:rPr>
        <w:t xml:space="preserve">и </w:t>
      </w:r>
      <w:r w:rsidRPr="00C25740">
        <w:rPr>
          <w:rFonts w:eastAsia="Times New Roman" w:cs="Arial"/>
          <w:color w:val="000000"/>
          <w:lang w:val="en-US"/>
        </w:rPr>
        <w:t>CYP</w:t>
      </w:r>
      <w:r w:rsidRPr="00C25740">
        <w:rPr>
          <w:rFonts w:eastAsia="Times New Roman" w:cs="Arial"/>
          <w:color w:val="000000"/>
          <w:lang w:val="ru-RU"/>
        </w:rPr>
        <w:t>3</w:t>
      </w:r>
      <w:r w:rsidRPr="00C25740">
        <w:rPr>
          <w:rFonts w:eastAsia="Times New Roman" w:cs="Arial"/>
          <w:color w:val="000000"/>
          <w:lang w:val="en-US"/>
        </w:rPr>
        <w:t>A</w:t>
      </w:r>
      <w:r w:rsidRPr="00C25740">
        <w:rPr>
          <w:rFonts w:eastAsia="Times New Roman" w:cs="Arial"/>
          <w:color w:val="000000"/>
          <w:lang w:val="ru-RU"/>
        </w:rPr>
        <w:t xml:space="preserve">4. </w:t>
      </w:r>
      <w:r w:rsidRPr="00C25740">
        <w:rPr>
          <w:rFonts w:eastAsia="Times New Roman" w:cs="Arial"/>
          <w:color w:val="000000"/>
          <w:lang w:eastAsia="bg-BG"/>
        </w:rPr>
        <w:t xml:space="preserve">Циметидин е слаб, неспецифичен инхибитор на </w:t>
      </w:r>
      <w:r w:rsidRPr="00C25740">
        <w:rPr>
          <w:rFonts w:eastAsia="Times New Roman" w:cs="Arial"/>
          <w:color w:val="000000"/>
          <w:lang w:val="en-US"/>
        </w:rPr>
        <w:t>CYP</w:t>
      </w:r>
      <w:r w:rsidRPr="00C25740">
        <w:rPr>
          <w:rFonts w:eastAsia="Times New Roman" w:cs="Arial"/>
          <w:color w:val="000000"/>
          <w:lang w:val="ru-RU"/>
        </w:rPr>
        <w:t xml:space="preserve">450 </w:t>
      </w:r>
      <w:r w:rsidRPr="00C25740">
        <w:rPr>
          <w:rFonts w:eastAsia="Times New Roman" w:cs="Arial"/>
          <w:color w:val="000000"/>
          <w:lang w:eastAsia="bg-BG"/>
        </w:rPr>
        <w:t xml:space="preserve">ензимите и не повлиява плазмените концентрации на летрозол. Ефектът на мощни инхибитори на </w:t>
      </w:r>
      <w:r w:rsidRPr="00C25740">
        <w:rPr>
          <w:rFonts w:eastAsia="Times New Roman" w:cs="Arial"/>
          <w:color w:val="000000"/>
          <w:lang w:val="en-US"/>
        </w:rPr>
        <w:t>CYP</w:t>
      </w:r>
      <w:r w:rsidRPr="00C25740">
        <w:rPr>
          <w:rFonts w:eastAsia="Times New Roman" w:cs="Arial"/>
          <w:color w:val="000000"/>
          <w:lang w:val="ru-RU"/>
        </w:rPr>
        <w:t xml:space="preserve">450 </w:t>
      </w:r>
      <w:r w:rsidRPr="00C25740">
        <w:rPr>
          <w:rFonts w:eastAsia="Times New Roman" w:cs="Arial"/>
          <w:color w:val="000000"/>
          <w:lang w:eastAsia="bg-BG"/>
        </w:rPr>
        <w:t>не е известен.</w:t>
      </w:r>
    </w:p>
    <w:p w14:paraId="5B523968" w14:textId="77777777" w:rsidR="00C25740" w:rsidRDefault="00C25740" w:rsidP="00C25740">
      <w:pPr>
        <w:spacing w:line="240" w:lineRule="auto"/>
        <w:rPr>
          <w:rFonts w:eastAsia="Times New Roman" w:cs="Arial"/>
          <w:color w:val="000000"/>
          <w:lang w:eastAsia="bg-BG"/>
        </w:rPr>
      </w:pPr>
    </w:p>
    <w:p w14:paraId="5C4D15E3" w14:textId="0CEF81C6" w:rsidR="00C25740" w:rsidRPr="00C25740" w:rsidRDefault="00C25740" w:rsidP="00C25740">
      <w:pPr>
        <w:spacing w:line="240" w:lineRule="auto"/>
        <w:rPr>
          <w:rFonts w:eastAsia="Times New Roman" w:cs="Arial"/>
        </w:rPr>
      </w:pPr>
      <w:r w:rsidRPr="00C25740">
        <w:rPr>
          <w:rFonts w:eastAsia="Times New Roman" w:cs="Arial"/>
          <w:color w:val="000000"/>
          <w:lang w:eastAsia="bg-BG"/>
        </w:rPr>
        <w:t>Към момента няма клиничен опит от прилагането ма Летрофемин в комбинация с естрогени или други противоракови агенти, различни от тамоксифен. Тамоксифен, други антиестрогени и естроген-съдържащи лекарства могат да намалят фармакологичното действие на летрозол. Установено, е че едновременното приложение на тамоксифен с летрозол значително намалява плазмената концентрация на летрозол. Едновременното приложение на летрозол с тамоксифен, други антиестрогени и естрогени трябва да се избягва.</w:t>
      </w:r>
    </w:p>
    <w:p w14:paraId="1E9636E8" w14:textId="77777777" w:rsidR="00C25740" w:rsidRDefault="00C25740" w:rsidP="00C25740">
      <w:pPr>
        <w:spacing w:line="240" w:lineRule="auto"/>
        <w:rPr>
          <w:rFonts w:eastAsia="Times New Roman" w:cs="Arial"/>
          <w:color w:val="000000"/>
          <w:lang w:eastAsia="bg-BG"/>
        </w:rPr>
      </w:pPr>
    </w:p>
    <w:p w14:paraId="144D800E" w14:textId="7C71389F" w:rsidR="00C25740" w:rsidRPr="00C25740" w:rsidRDefault="00C25740" w:rsidP="00C25740">
      <w:pPr>
        <w:spacing w:line="240" w:lineRule="auto"/>
        <w:rPr>
          <w:rFonts w:eastAsia="Times New Roman" w:cs="Arial"/>
        </w:rPr>
      </w:pPr>
      <w:r w:rsidRPr="00C25740">
        <w:rPr>
          <w:rFonts w:eastAsia="Times New Roman" w:cs="Arial"/>
          <w:color w:val="000000"/>
          <w:lang w:eastAsia="bg-BG"/>
        </w:rPr>
        <w:t xml:space="preserve">Летрозол инхибира </w:t>
      </w:r>
      <w:r w:rsidRPr="00C25740">
        <w:rPr>
          <w:rFonts w:eastAsia="Times New Roman" w:cs="Arial"/>
          <w:i/>
          <w:iCs/>
          <w:color w:val="000000"/>
          <w:lang w:val="en-US"/>
        </w:rPr>
        <w:t>in</w:t>
      </w:r>
      <w:r w:rsidRPr="00C25740">
        <w:rPr>
          <w:rFonts w:eastAsia="Times New Roman" w:cs="Arial"/>
          <w:i/>
          <w:iCs/>
          <w:color w:val="000000"/>
          <w:lang w:val="ru-RU"/>
        </w:rPr>
        <w:t xml:space="preserve"> </w:t>
      </w:r>
      <w:r w:rsidRPr="00C25740">
        <w:rPr>
          <w:rFonts w:eastAsia="Times New Roman" w:cs="Arial"/>
          <w:i/>
          <w:iCs/>
          <w:color w:val="000000"/>
          <w:lang w:val="en-US"/>
        </w:rPr>
        <w:t>vitro</w:t>
      </w:r>
      <w:r w:rsidRPr="00C25740">
        <w:rPr>
          <w:rFonts w:eastAsia="Times New Roman" w:cs="Arial"/>
          <w:color w:val="000000"/>
          <w:lang w:val="ru-RU"/>
        </w:rPr>
        <w:t xml:space="preserve"> </w:t>
      </w:r>
      <w:r w:rsidRPr="00C25740">
        <w:rPr>
          <w:rFonts w:eastAsia="Times New Roman" w:cs="Arial"/>
          <w:color w:val="000000"/>
          <w:lang w:eastAsia="bg-BG"/>
        </w:rPr>
        <w:t>цитохром Р-450 изоензимите 2А6, а също и 2С19 в умерена степен, но клиничната значимост не е ясна. Все пак е необходимо повишено внимание при едновременното прилагане на летрозол с лекарства, чието елиминиране зависи главно от тези изоензими и които имат малък терапевтичен индекс (напр. фенитоин, клопидогрел).</w:t>
      </w:r>
    </w:p>
    <w:p w14:paraId="0734264C" w14:textId="51869CB0" w:rsidR="007122AD" w:rsidRPr="007122AD" w:rsidRDefault="002C50EE" w:rsidP="00936AD0">
      <w:pPr>
        <w:pStyle w:val="Heading2"/>
      </w:pPr>
      <w:r>
        <w:t xml:space="preserve"> </w:t>
      </w:r>
    </w:p>
    <w:p w14:paraId="5D9F40EA" w14:textId="03C5219A" w:rsidR="007122AD" w:rsidRDefault="002C50EE" w:rsidP="00936AD0">
      <w:pPr>
        <w:pStyle w:val="Heading2"/>
      </w:pPr>
      <w:r>
        <w:t>4.6. Фертилитет, бременност и кърмене</w:t>
      </w:r>
    </w:p>
    <w:p w14:paraId="3CA6B0B7" w14:textId="61D636EB" w:rsidR="00C25740" w:rsidRDefault="00C25740" w:rsidP="00C25740"/>
    <w:p w14:paraId="5A8BBADF" w14:textId="77777777" w:rsidR="00C25740" w:rsidRPr="00C25740" w:rsidRDefault="00C25740" w:rsidP="00C25740">
      <w:pPr>
        <w:spacing w:line="240" w:lineRule="auto"/>
        <w:rPr>
          <w:rFonts w:eastAsia="Times New Roman" w:cs="Arial"/>
        </w:rPr>
      </w:pPr>
      <w:r w:rsidRPr="00C25740">
        <w:rPr>
          <w:rFonts w:eastAsia="Times New Roman" w:cs="Arial"/>
          <w:color w:val="000000"/>
          <w:u w:val="single"/>
          <w:lang w:eastAsia="bg-BG"/>
        </w:rPr>
        <w:t>Жени с перименопаузален статус или с детероден потенциал</w:t>
      </w:r>
    </w:p>
    <w:p w14:paraId="3D8CD9B3"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Летрофемин трябва да се прилага само при жени с ясно установен постменопаузален статус (виж т.4.4). Тъй като има съобщения за жени с възстановена яйчникова функция по време на лечението с летрозол, независимо от ясния постменопаузален статус при започване на лечението, при необходимост лекарят трябва да обсъди провеждането на подходяща контрацепция.</w:t>
      </w:r>
    </w:p>
    <w:p w14:paraId="3EE164B2" w14:textId="77777777" w:rsidR="00C25740" w:rsidRPr="00C25740" w:rsidRDefault="00C25740" w:rsidP="00C25740">
      <w:pPr>
        <w:spacing w:line="240" w:lineRule="auto"/>
        <w:rPr>
          <w:rFonts w:eastAsia="Times New Roman" w:cs="Arial"/>
          <w:color w:val="000000"/>
          <w:u w:val="single"/>
          <w:lang w:eastAsia="bg-BG"/>
        </w:rPr>
      </w:pPr>
    </w:p>
    <w:p w14:paraId="5F8875F3" w14:textId="5CC9A590" w:rsidR="00C25740" w:rsidRPr="00C25740" w:rsidRDefault="00C25740" w:rsidP="00C25740">
      <w:pPr>
        <w:pStyle w:val="Heading3"/>
        <w:rPr>
          <w:rFonts w:eastAsia="Times New Roman"/>
          <w:u w:val="single"/>
        </w:rPr>
      </w:pPr>
      <w:r w:rsidRPr="00C25740">
        <w:rPr>
          <w:rFonts w:eastAsia="Times New Roman"/>
          <w:u w:val="single"/>
          <w:lang w:eastAsia="bg-BG"/>
        </w:rPr>
        <w:t>Бременност</w:t>
      </w:r>
    </w:p>
    <w:p w14:paraId="7205B86C" w14:textId="16F30731" w:rsidR="00C25740" w:rsidRDefault="00C25740" w:rsidP="00C25740">
      <w:pPr>
        <w:rPr>
          <w:rFonts w:eastAsia="Times New Roman" w:cs="Arial"/>
          <w:color w:val="000000"/>
          <w:lang w:eastAsia="bg-BG"/>
        </w:rPr>
      </w:pPr>
      <w:r w:rsidRPr="00C25740">
        <w:rPr>
          <w:rFonts w:eastAsia="Times New Roman" w:cs="Arial"/>
          <w:color w:val="000000"/>
          <w:lang w:eastAsia="bg-BG"/>
        </w:rPr>
        <w:t>На база на опита при хора, при които има изолирани случаи на вродени дефекти (сраснали лабии, гениталии от смесен тип), летрозол може да причинява вродени малформации, когато се прилага по време на бременност. Проучванията при животни показват репродуктивна токсичност (виж т.5.3).</w:t>
      </w:r>
    </w:p>
    <w:p w14:paraId="04678E7D" w14:textId="13D200EB" w:rsidR="00C25740" w:rsidRDefault="00C25740" w:rsidP="00C25740">
      <w:pPr>
        <w:rPr>
          <w:rFonts w:eastAsia="Times New Roman" w:cs="Arial"/>
          <w:color w:val="000000"/>
          <w:lang w:eastAsia="bg-BG"/>
        </w:rPr>
      </w:pPr>
    </w:p>
    <w:p w14:paraId="243B2848"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Летрофемин е противопоказен по време на бременност (виж т. 4.3 и т. 5.3).</w:t>
      </w:r>
    </w:p>
    <w:p w14:paraId="21F123AE" w14:textId="77777777" w:rsidR="00C25740" w:rsidRDefault="00C25740" w:rsidP="00C25740">
      <w:pPr>
        <w:spacing w:line="240" w:lineRule="auto"/>
        <w:rPr>
          <w:rFonts w:eastAsia="Times New Roman" w:cs="Arial"/>
          <w:color w:val="000000"/>
          <w:u w:val="single"/>
          <w:lang w:eastAsia="bg-BG"/>
        </w:rPr>
      </w:pPr>
    </w:p>
    <w:p w14:paraId="0C85142C" w14:textId="6AB7A2E5" w:rsidR="00C25740" w:rsidRPr="00C25740" w:rsidRDefault="00C25740" w:rsidP="00C25740">
      <w:pPr>
        <w:pStyle w:val="Heading3"/>
        <w:rPr>
          <w:rFonts w:eastAsia="Times New Roman"/>
          <w:u w:val="single"/>
        </w:rPr>
      </w:pPr>
      <w:r w:rsidRPr="00C25740">
        <w:rPr>
          <w:rFonts w:eastAsia="Times New Roman"/>
          <w:u w:val="single"/>
          <w:lang w:eastAsia="bg-BG"/>
        </w:rPr>
        <w:t>Кърмене</w:t>
      </w:r>
    </w:p>
    <w:p w14:paraId="6863906F"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Не е известно дали летрозол и неговите метаболити се екскретират в кърмата. Не може да се изключи риск за новородените/кърмачета.</w:t>
      </w:r>
    </w:p>
    <w:p w14:paraId="043F9571" w14:textId="77777777" w:rsidR="00C25740" w:rsidRDefault="00C25740" w:rsidP="00C25740">
      <w:pPr>
        <w:spacing w:line="240" w:lineRule="auto"/>
        <w:rPr>
          <w:rFonts w:eastAsia="Times New Roman" w:cs="Arial"/>
          <w:color w:val="000000"/>
          <w:lang w:eastAsia="bg-BG"/>
        </w:rPr>
      </w:pPr>
    </w:p>
    <w:p w14:paraId="4EA8D1DB" w14:textId="3AF280AF" w:rsidR="00C25740" w:rsidRPr="00C25740" w:rsidRDefault="00C25740" w:rsidP="00C25740">
      <w:pPr>
        <w:spacing w:line="240" w:lineRule="auto"/>
        <w:rPr>
          <w:rFonts w:eastAsia="Times New Roman" w:cs="Arial"/>
        </w:rPr>
      </w:pPr>
      <w:r w:rsidRPr="00C25740">
        <w:rPr>
          <w:rFonts w:eastAsia="Times New Roman" w:cs="Arial"/>
          <w:color w:val="000000"/>
          <w:lang w:eastAsia="bg-BG"/>
        </w:rPr>
        <w:t>Летрофемин е противопоказен по време на кърмене (виж т. 4.3).</w:t>
      </w:r>
    </w:p>
    <w:p w14:paraId="142F03F6" w14:textId="77777777" w:rsidR="00C25740" w:rsidRDefault="00C25740" w:rsidP="00C25740">
      <w:pPr>
        <w:spacing w:line="240" w:lineRule="auto"/>
        <w:rPr>
          <w:rFonts w:eastAsia="Times New Roman" w:cs="Arial"/>
          <w:color w:val="000000"/>
          <w:u w:val="single"/>
          <w:lang w:eastAsia="bg-BG"/>
        </w:rPr>
      </w:pPr>
    </w:p>
    <w:p w14:paraId="3D87AF1A" w14:textId="1277ACDB" w:rsidR="00C25740" w:rsidRPr="00C25740" w:rsidRDefault="00C25740" w:rsidP="00C25740">
      <w:pPr>
        <w:pStyle w:val="Heading3"/>
        <w:rPr>
          <w:rFonts w:eastAsia="Times New Roman"/>
          <w:u w:val="single"/>
        </w:rPr>
      </w:pPr>
      <w:r w:rsidRPr="00C25740">
        <w:rPr>
          <w:rFonts w:eastAsia="Times New Roman"/>
          <w:u w:val="single"/>
          <w:lang w:eastAsia="bg-BG"/>
        </w:rPr>
        <w:t>Фертилитет</w:t>
      </w:r>
    </w:p>
    <w:p w14:paraId="19554B8B"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 xml:space="preserve">Фармакологичното действие на летрозол е да намалява производството на естрогени чрез инхибиране на ароматазата. При жени преди менопауза, инхибирането на естрогеновия синтез води обратно до повишаване на нивата на гонадотропините </w:t>
      </w:r>
      <w:r w:rsidRPr="00C25740">
        <w:rPr>
          <w:rFonts w:eastAsia="Times New Roman" w:cs="Arial"/>
          <w:color w:val="000000"/>
          <w:lang w:val="ru-RU"/>
        </w:rPr>
        <w:t>(</w:t>
      </w:r>
      <w:r w:rsidRPr="00C25740">
        <w:rPr>
          <w:rFonts w:eastAsia="Times New Roman" w:cs="Arial"/>
          <w:color w:val="000000"/>
          <w:lang w:val="en-US"/>
        </w:rPr>
        <w:t>LSH</w:t>
      </w:r>
      <w:r w:rsidRPr="00C25740">
        <w:rPr>
          <w:rFonts w:eastAsia="Times New Roman" w:cs="Arial"/>
          <w:color w:val="000000"/>
          <w:lang w:val="ru-RU"/>
        </w:rPr>
        <w:t xml:space="preserve">, </w:t>
      </w:r>
      <w:r w:rsidRPr="00C25740">
        <w:rPr>
          <w:rFonts w:eastAsia="Times New Roman" w:cs="Arial"/>
          <w:color w:val="000000"/>
          <w:lang w:val="en-US"/>
        </w:rPr>
        <w:t>FSH</w:t>
      </w:r>
      <w:r w:rsidRPr="00C25740">
        <w:rPr>
          <w:rFonts w:eastAsia="Times New Roman" w:cs="Arial"/>
          <w:color w:val="000000"/>
          <w:lang w:val="ru-RU"/>
        </w:rPr>
        <w:t xml:space="preserve">). </w:t>
      </w:r>
      <w:r w:rsidRPr="00C25740">
        <w:rPr>
          <w:rFonts w:eastAsia="Times New Roman" w:cs="Arial"/>
          <w:color w:val="000000"/>
          <w:lang w:eastAsia="bg-BG"/>
        </w:rPr>
        <w:t xml:space="preserve">Повишените нива на </w:t>
      </w:r>
      <w:r w:rsidRPr="00C25740">
        <w:rPr>
          <w:rFonts w:eastAsia="Times New Roman" w:cs="Arial"/>
          <w:color w:val="000000"/>
          <w:lang w:val="en-US"/>
        </w:rPr>
        <w:t>FSH</w:t>
      </w:r>
      <w:r w:rsidRPr="00C25740">
        <w:rPr>
          <w:rFonts w:eastAsia="Times New Roman" w:cs="Arial"/>
          <w:color w:val="000000"/>
          <w:lang w:val="ru-RU"/>
        </w:rPr>
        <w:t xml:space="preserve"> </w:t>
      </w:r>
      <w:r w:rsidRPr="00C25740">
        <w:rPr>
          <w:rFonts w:eastAsia="Times New Roman" w:cs="Arial"/>
          <w:color w:val="000000"/>
          <w:lang w:eastAsia="bg-BG"/>
        </w:rPr>
        <w:t>от своя страна стимулират фоликуларния растеж и могат да предизвикат овулация.</w:t>
      </w:r>
    </w:p>
    <w:p w14:paraId="7A79F0FD" w14:textId="77777777" w:rsidR="00C25740" w:rsidRPr="00C25740" w:rsidRDefault="00C25740" w:rsidP="00C25740">
      <w:pPr>
        <w:rPr>
          <w:rFonts w:cs="Arial"/>
        </w:rPr>
      </w:pPr>
    </w:p>
    <w:p w14:paraId="5DD7A76D" w14:textId="1654B7B1" w:rsidR="007122AD" w:rsidRDefault="002C50EE" w:rsidP="00936AD0">
      <w:pPr>
        <w:pStyle w:val="Heading2"/>
      </w:pPr>
      <w:r>
        <w:lastRenderedPageBreak/>
        <w:t>4.7. Ефекти върху способността за шофиране и работа с машини</w:t>
      </w:r>
    </w:p>
    <w:p w14:paraId="4B17B826" w14:textId="68006225" w:rsidR="00C25740" w:rsidRDefault="00C25740" w:rsidP="00C25740"/>
    <w:p w14:paraId="4FC2C1BD" w14:textId="77777777" w:rsidR="00C25740" w:rsidRPr="00C25740" w:rsidRDefault="00C25740" w:rsidP="00C25740">
      <w:pPr>
        <w:rPr>
          <w:sz w:val="24"/>
          <w:szCs w:val="24"/>
        </w:rPr>
      </w:pPr>
      <w:r w:rsidRPr="00C25740">
        <w:rPr>
          <w:lang w:eastAsia="bg-BG"/>
        </w:rPr>
        <w:t>Летрофемин повлиява в малка степен способността за шофиране и работа с машини. Тъй като при употребата на Летрофемин се наблюдават умора и замаяност, а така също понякога се докладва сънливост, се препоръчва повишено внимание при шофиране и работа с машини.</w:t>
      </w:r>
    </w:p>
    <w:p w14:paraId="71C20532" w14:textId="77777777" w:rsidR="00C25740" w:rsidRPr="00C25740" w:rsidRDefault="00C25740" w:rsidP="00C25740"/>
    <w:p w14:paraId="44CE30A3" w14:textId="7D8F5A81" w:rsidR="007122AD" w:rsidRDefault="002C50EE" w:rsidP="00936AD0">
      <w:pPr>
        <w:pStyle w:val="Heading2"/>
      </w:pPr>
      <w:r>
        <w:t>4.8. Нежелани лекарствени реакции</w:t>
      </w:r>
    </w:p>
    <w:p w14:paraId="7F9007D0" w14:textId="5388A7A1" w:rsidR="00C25740" w:rsidRDefault="00C25740" w:rsidP="00C25740"/>
    <w:p w14:paraId="01F5A80E" w14:textId="77777777" w:rsidR="00C25740" w:rsidRPr="00C25740" w:rsidRDefault="00C25740" w:rsidP="00C25740">
      <w:pPr>
        <w:spacing w:line="240" w:lineRule="auto"/>
        <w:rPr>
          <w:rFonts w:eastAsia="Times New Roman" w:cs="Arial"/>
        </w:rPr>
      </w:pPr>
      <w:r w:rsidRPr="00C25740">
        <w:rPr>
          <w:rFonts w:eastAsia="Times New Roman" w:cs="Arial"/>
          <w:color w:val="000000"/>
          <w:u w:val="single"/>
          <w:lang w:eastAsia="bg-BG"/>
        </w:rPr>
        <w:t>Обобщение на профила на безопасност</w:t>
      </w:r>
    </w:p>
    <w:p w14:paraId="483CDE61"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Честотите на нежеланите реакции при летрозол са базирани предимно на данни от клиничните изпитвания.</w:t>
      </w:r>
    </w:p>
    <w:p w14:paraId="28474F3B" w14:textId="77777777" w:rsidR="00C25740" w:rsidRDefault="00C25740" w:rsidP="00C25740">
      <w:pPr>
        <w:spacing w:line="240" w:lineRule="auto"/>
        <w:rPr>
          <w:rFonts w:eastAsia="Times New Roman" w:cs="Arial"/>
          <w:color w:val="000000"/>
          <w:lang w:eastAsia="bg-BG"/>
        </w:rPr>
      </w:pPr>
    </w:p>
    <w:p w14:paraId="622BF90B" w14:textId="53EF8ED4" w:rsidR="00C25740" w:rsidRPr="00C25740" w:rsidRDefault="00C25740" w:rsidP="00C25740">
      <w:pPr>
        <w:spacing w:line="240" w:lineRule="auto"/>
        <w:rPr>
          <w:rFonts w:eastAsia="Times New Roman" w:cs="Arial"/>
        </w:rPr>
      </w:pPr>
      <w:r w:rsidRPr="00C25740">
        <w:rPr>
          <w:rFonts w:eastAsia="Times New Roman" w:cs="Arial"/>
          <w:color w:val="000000"/>
          <w:lang w:eastAsia="bg-BG"/>
        </w:rPr>
        <w:t>Приблизително при една трета от пациентите, лекувани с летрозол при налични метастази и приблизително при 80% от пациентите на адювантна терапия, както и при тези на разширена адювантна терапия се наблюдават нежелани реакции. Болшинството от нежеланите реакции възникват през първите няколко седмици на лечението.</w:t>
      </w:r>
    </w:p>
    <w:p w14:paraId="5EF95556" w14:textId="77777777" w:rsidR="00C25740" w:rsidRDefault="00C25740" w:rsidP="00C25740">
      <w:pPr>
        <w:spacing w:line="240" w:lineRule="auto"/>
        <w:rPr>
          <w:rFonts w:eastAsia="Times New Roman" w:cs="Arial"/>
          <w:color w:val="000000"/>
          <w:lang w:eastAsia="bg-BG"/>
        </w:rPr>
      </w:pPr>
    </w:p>
    <w:p w14:paraId="4BFE089E" w14:textId="52B759B5" w:rsidR="00C25740" w:rsidRPr="00C25740" w:rsidRDefault="00C25740" w:rsidP="00C25740">
      <w:pPr>
        <w:spacing w:line="240" w:lineRule="auto"/>
        <w:rPr>
          <w:rFonts w:eastAsia="Times New Roman" w:cs="Arial"/>
        </w:rPr>
      </w:pPr>
      <w:r w:rsidRPr="00C25740">
        <w:rPr>
          <w:rFonts w:eastAsia="Times New Roman" w:cs="Arial"/>
          <w:color w:val="000000"/>
          <w:lang w:eastAsia="bg-BG"/>
        </w:rPr>
        <w:t>Най-често докладваните нежелани реакции в клиничните проучвания са горещите вълни, хиперхолестеролемия, артралгия, умора, повишено потене и гадене.</w:t>
      </w:r>
    </w:p>
    <w:p w14:paraId="56C2B460" w14:textId="77777777" w:rsidR="00C25740" w:rsidRDefault="00C25740" w:rsidP="00C25740">
      <w:pPr>
        <w:spacing w:line="240" w:lineRule="auto"/>
        <w:rPr>
          <w:rFonts w:eastAsia="Times New Roman" w:cs="Arial"/>
          <w:color w:val="000000"/>
          <w:lang w:eastAsia="bg-BG"/>
        </w:rPr>
      </w:pPr>
    </w:p>
    <w:p w14:paraId="6B9D6545" w14:textId="1E4BA341" w:rsidR="00C25740" w:rsidRPr="00C25740" w:rsidRDefault="00C25740" w:rsidP="00C25740">
      <w:pPr>
        <w:spacing w:line="240" w:lineRule="auto"/>
        <w:rPr>
          <w:rFonts w:eastAsia="Times New Roman" w:cs="Arial"/>
        </w:rPr>
      </w:pPr>
      <w:r w:rsidRPr="00C25740">
        <w:rPr>
          <w:rFonts w:eastAsia="Times New Roman" w:cs="Arial"/>
          <w:color w:val="000000"/>
          <w:lang w:eastAsia="bg-BG"/>
        </w:rPr>
        <w:t>Важни допълнителни нежелани реакции, които могат да възникнат при лечение с летрозол са: скелетно-свързани събития като остеопороза и/или костни фрактури и сърдечно-съдови събития (включително мозъчно-съдови и тромбоемболични събития). Честотата на тези нежелани реакции е описана в Таблица 1.</w:t>
      </w:r>
    </w:p>
    <w:p w14:paraId="2C085801" w14:textId="77777777" w:rsidR="00C25740" w:rsidRDefault="00C25740" w:rsidP="00C25740">
      <w:pPr>
        <w:spacing w:line="240" w:lineRule="auto"/>
        <w:rPr>
          <w:rFonts w:eastAsia="Times New Roman" w:cs="Arial"/>
          <w:color w:val="000000"/>
          <w:u w:val="single"/>
          <w:lang w:eastAsia="bg-BG"/>
        </w:rPr>
      </w:pPr>
    </w:p>
    <w:p w14:paraId="1042FA09" w14:textId="068EB6D2" w:rsidR="00C25740" w:rsidRPr="00C25740" w:rsidRDefault="00C25740" w:rsidP="00C25740">
      <w:pPr>
        <w:spacing w:line="240" w:lineRule="auto"/>
        <w:rPr>
          <w:rFonts w:eastAsia="Times New Roman" w:cs="Arial"/>
        </w:rPr>
      </w:pPr>
      <w:r w:rsidRPr="00C25740">
        <w:rPr>
          <w:rFonts w:eastAsia="Times New Roman" w:cs="Arial"/>
          <w:color w:val="000000"/>
          <w:u w:val="single"/>
          <w:lang w:eastAsia="bg-BG"/>
        </w:rPr>
        <w:t>Табличен списък на нежеланите реакции</w:t>
      </w:r>
    </w:p>
    <w:p w14:paraId="747EE962"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Честотата на нежеланите реакции на летрозол се основава главно на данни, събрани от клинични изпитвания.</w:t>
      </w:r>
    </w:p>
    <w:p w14:paraId="3C4AC2FE" w14:textId="77777777" w:rsidR="00C25740" w:rsidRDefault="00C25740" w:rsidP="00C25740">
      <w:pPr>
        <w:spacing w:line="240" w:lineRule="auto"/>
        <w:rPr>
          <w:rFonts w:eastAsia="Times New Roman" w:cs="Arial"/>
          <w:color w:val="000000"/>
          <w:lang w:eastAsia="bg-BG"/>
        </w:rPr>
      </w:pPr>
    </w:p>
    <w:p w14:paraId="43CC44B2" w14:textId="5724DD4D" w:rsidR="00C25740" w:rsidRPr="00C25740" w:rsidRDefault="00C25740" w:rsidP="00C25740">
      <w:pPr>
        <w:spacing w:line="240" w:lineRule="auto"/>
        <w:rPr>
          <w:rFonts w:eastAsia="Times New Roman" w:cs="Arial"/>
        </w:rPr>
      </w:pPr>
      <w:r w:rsidRPr="00C25740">
        <w:rPr>
          <w:rFonts w:eastAsia="Times New Roman" w:cs="Arial"/>
          <w:color w:val="000000"/>
          <w:lang w:eastAsia="bg-BG"/>
        </w:rPr>
        <w:t>Следните нежелани реакции, изброени в Таблица 1, са съобщени при клинични проучвания и от постмаркетинговия опит с летрозол:</w:t>
      </w:r>
    </w:p>
    <w:p w14:paraId="4EA63BD2" w14:textId="77777777" w:rsidR="00C25740" w:rsidRDefault="00C25740" w:rsidP="00C25740">
      <w:pPr>
        <w:spacing w:line="240" w:lineRule="auto"/>
        <w:rPr>
          <w:rFonts w:eastAsia="Times New Roman" w:cs="Arial"/>
          <w:b/>
          <w:bCs/>
          <w:color w:val="000000"/>
          <w:lang w:eastAsia="bg-BG"/>
        </w:rPr>
      </w:pPr>
    </w:p>
    <w:p w14:paraId="0E743051" w14:textId="01040DE1" w:rsidR="00C25740" w:rsidRPr="00C25740" w:rsidRDefault="00C25740" w:rsidP="00C25740">
      <w:pPr>
        <w:spacing w:line="240" w:lineRule="auto"/>
        <w:rPr>
          <w:rFonts w:eastAsia="Times New Roman" w:cs="Arial"/>
        </w:rPr>
      </w:pPr>
      <w:r w:rsidRPr="00C25740">
        <w:rPr>
          <w:rFonts w:eastAsia="Times New Roman" w:cs="Arial"/>
          <w:b/>
          <w:bCs/>
          <w:color w:val="000000"/>
          <w:lang w:eastAsia="bg-BG"/>
        </w:rPr>
        <w:t>Таблица 1</w:t>
      </w:r>
    </w:p>
    <w:p w14:paraId="59847BB5" w14:textId="77777777" w:rsidR="00C25740" w:rsidRDefault="00C25740" w:rsidP="00C25740">
      <w:pPr>
        <w:spacing w:line="240" w:lineRule="auto"/>
        <w:rPr>
          <w:rFonts w:eastAsia="Times New Roman" w:cs="Arial"/>
          <w:color w:val="000000"/>
          <w:lang w:eastAsia="bg-BG"/>
        </w:rPr>
      </w:pPr>
    </w:p>
    <w:p w14:paraId="1A6E4A20" w14:textId="13951648" w:rsidR="00C25740" w:rsidRPr="00C25740" w:rsidRDefault="00C25740" w:rsidP="00C25740">
      <w:pPr>
        <w:spacing w:line="240" w:lineRule="auto"/>
        <w:rPr>
          <w:rFonts w:eastAsia="Times New Roman" w:cs="Arial"/>
        </w:rPr>
      </w:pPr>
      <w:r w:rsidRPr="00C25740">
        <w:rPr>
          <w:rFonts w:eastAsia="Times New Roman" w:cs="Arial"/>
          <w:color w:val="000000"/>
          <w:lang w:eastAsia="bg-BG"/>
        </w:rPr>
        <w:t>Нежеланите реакции са класифицирани в зависимост от честотата, като се започва с най- честите, според следните условности: много чести ≥ 10%; чести ≥1% до &lt; 10%; нечести ≥0,1% до &lt; 1%; редки ≥0,01% до &lt; 0,1%; много редки &lt; 0,01%, с неизвестна честота (от наличните данни не може да бъде направена оценка).</w:t>
      </w:r>
    </w:p>
    <w:p w14:paraId="3C93A913" w14:textId="4A8AB2E5" w:rsidR="00C25740" w:rsidRDefault="00C25740" w:rsidP="00C25740"/>
    <w:tbl>
      <w:tblPr>
        <w:tblStyle w:val="TableGrid"/>
        <w:tblW w:w="0" w:type="auto"/>
        <w:tblLook w:val="04A0" w:firstRow="1" w:lastRow="0" w:firstColumn="1" w:lastColumn="0" w:noHBand="0" w:noVBand="1"/>
      </w:tblPr>
      <w:tblGrid>
        <w:gridCol w:w="4654"/>
        <w:gridCol w:w="4696"/>
      </w:tblGrid>
      <w:tr w:rsidR="00C25740" w14:paraId="132C35A7" w14:textId="77777777" w:rsidTr="00C25740">
        <w:tc>
          <w:tcPr>
            <w:tcW w:w="4788" w:type="dxa"/>
            <w:vAlign w:val="bottom"/>
          </w:tcPr>
          <w:p w14:paraId="3566F021" w14:textId="460BC9E3" w:rsidR="00C25740" w:rsidRPr="00C25740" w:rsidRDefault="00C25740" w:rsidP="00C25740">
            <w:r w:rsidRPr="00C25740">
              <w:rPr>
                <w:b/>
                <w:bCs/>
              </w:rPr>
              <w:t>Инфекции н инфестации</w:t>
            </w:r>
          </w:p>
        </w:tc>
        <w:tc>
          <w:tcPr>
            <w:tcW w:w="4788" w:type="dxa"/>
          </w:tcPr>
          <w:p w14:paraId="4917051E" w14:textId="77777777" w:rsidR="00C25740" w:rsidRPr="00C25740" w:rsidRDefault="00C25740" w:rsidP="00C25740"/>
        </w:tc>
      </w:tr>
      <w:tr w:rsidR="00C25740" w14:paraId="05D28489" w14:textId="77777777" w:rsidTr="00C25740">
        <w:tc>
          <w:tcPr>
            <w:tcW w:w="4788" w:type="dxa"/>
          </w:tcPr>
          <w:p w14:paraId="221314C5" w14:textId="4D4CE028" w:rsidR="00C25740" w:rsidRPr="00C25740" w:rsidRDefault="00C25740" w:rsidP="00C25740">
            <w:r w:rsidRPr="00C25740">
              <w:t>Нечести</w:t>
            </w:r>
          </w:p>
        </w:tc>
        <w:tc>
          <w:tcPr>
            <w:tcW w:w="4788" w:type="dxa"/>
          </w:tcPr>
          <w:p w14:paraId="51109FE2" w14:textId="19403E71" w:rsidR="00C25740" w:rsidRPr="00C25740" w:rsidRDefault="00C25740" w:rsidP="00C25740">
            <w:r w:rsidRPr="00C25740">
              <w:rPr>
                <w:u w:val="single"/>
              </w:rPr>
              <w:t>Инфекция на пикочните пътища</w:t>
            </w:r>
          </w:p>
        </w:tc>
      </w:tr>
      <w:tr w:rsidR="00C25740" w14:paraId="2A210456" w14:textId="77777777" w:rsidTr="00C25740">
        <w:tc>
          <w:tcPr>
            <w:tcW w:w="9576" w:type="dxa"/>
            <w:gridSpan w:val="2"/>
          </w:tcPr>
          <w:p w14:paraId="5EDEF31A" w14:textId="7792C07D" w:rsidR="00C25740" w:rsidRPr="00C25740" w:rsidRDefault="00C25740" w:rsidP="00C25740">
            <w:pPr>
              <w:rPr>
                <w:b/>
              </w:rPr>
            </w:pPr>
            <w:r w:rsidRPr="00C25740">
              <w:rPr>
                <w:b/>
              </w:rPr>
              <w:t>Неоплазми - доброкачествени, злокачествени и неопределени (включително кисти и полипи)</w:t>
            </w:r>
          </w:p>
        </w:tc>
      </w:tr>
      <w:tr w:rsidR="00C25740" w14:paraId="3A263DC1" w14:textId="77777777" w:rsidTr="00C25740">
        <w:tc>
          <w:tcPr>
            <w:tcW w:w="4788" w:type="dxa"/>
            <w:vAlign w:val="bottom"/>
          </w:tcPr>
          <w:p w14:paraId="4FB0338E" w14:textId="60F98929" w:rsidR="00C25740" w:rsidRPr="00C25740" w:rsidRDefault="00C25740" w:rsidP="00C25740">
            <w:r w:rsidRPr="00C25740">
              <w:t>Нечести</w:t>
            </w:r>
          </w:p>
        </w:tc>
        <w:tc>
          <w:tcPr>
            <w:tcW w:w="4788" w:type="dxa"/>
            <w:vAlign w:val="bottom"/>
          </w:tcPr>
          <w:p w14:paraId="35B6A009" w14:textId="600FC455" w:rsidR="00C25740" w:rsidRPr="00C25740" w:rsidRDefault="00C25740" w:rsidP="00C25740">
            <w:r w:rsidRPr="00C25740">
              <w:t>Туморна болка</w:t>
            </w:r>
            <w:r w:rsidRPr="00C25740">
              <w:rPr>
                <w:vertAlign w:val="superscript"/>
              </w:rPr>
              <w:t>1</w:t>
            </w:r>
          </w:p>
        </w:tc>
      </w:tr>
      <w:tr w:rsidR="00C25740" w14:paraId="0DF9715D" w14:textId="77777777" w:rsidTr="00C25740">
        <w:tc>
          <w:tcPr>
            <w:tcW w:w="9576" w:type="dxa"/>
            <w:gridSpan w:val="2"/>
            <w:vAlign w:val="bottom"/>
          </w:tcPr>
          <w:p w14:paraId="12C79706" w14:textId="119FBCB6" w:rsidR="00C25740" w:rsidRPr="00C25740" w:rsidRDefault="00C25740" w:rsidP="00C25740">
            <w:r w:rsidRPr="00C25740">
              <w:rPr>
                <w:b/>
                <w:bCs/>
              </w:rPr>
              <w:t>Нарушения в кръвоносната и лимфната система</w:t>
            </w:r>
          </w:p>
        </w:tc>
      </w:tr>
      <w:tr w:rsidR="00C25740" w14:paraId="7489F9F5" w14:textId="77777777" w:rsidTr="00C25740">
        <w:tc>
          <w:tcPr>
            <w:tcW w:w="4788" w:type="dxa"/>
            <w:vAlign w:val="bottom"/>
          </w:tcPr>
          <w:p w14:paraId="357EA865" w14:textId="0D2E569D" w:rsidR="00C25740" w:rsidRPr="00C25740" w:rsidRDefault="00C25740" w:rsidP="00C25740">
            <w:r w:rsidRPr="00C25740">
              <w:t>Нечести</w:t>
            </w:r>
          </w:p>
        </w:tc>
        <w:tc>
          <w:tcPr>
            <w:tcW w:w="4788" w:type="dxa"/>
            <w:vAlign w:val="bottom"/>
          </w:tcPr>
          <w:p w14:paraId="570EF997" w14:textId="45BD6FE5" w:rsidR="00C25740" w:rsidRPr="00C25740" w:rsidRDefault="00C25740" w:rsidP="00C25740">
            <w:r w:rsidRPr="00C25740">
              <w:t>Левкопения</w:t>
            </w:r>
          </w:p>
        </w:tc>
      </w:tr>
      <w:tr w:rsidR="00C25740" w14:paraId="0BB1C5CE" w14:textId="77777777" w:rsidTr="00C25740">
        <w:tc>
          <w:tcPr>
            <w:tcW w:w="9576" w:type="dxa"/>
            <w:gridSpan w:val="2"/>
            <w:vAlign w:val="bottom"/>
          </w:tcPr>
          <w:p w14:paraId="7F94D4B9" w14:textId="4F60666F" w:rsidR="00C25740" w:rsidRPr="00C25740" w:rsidRDefault="00C25740" w:rsidP="00C25740">
            <w:r w:rsidRPr="00C25740">
              <w:rPr>
                <w:b/>
                <w:bCs/>
              </w:rPr>
              <w:t>Нарушения на имунната система</w:t>
            </w:r>
          </w:p>
        </w:tc>
      </w:tr>
      <w:tr w:rsidR="00C25740" w14:paraId="55D47740" w14:textId="77777777" w:rsidTr="00C25740">
        <w:tc>
          <w:tcPr>
            <w:tcW w:w="4788" w:type="dxa"/>
            <w:vAlign w:val="bottom"/>
          </w:tcPr>
          <w:p w14:paraId="3DFE2868" w14:textId="68AC514D" w:rsidR="00C25740" w:rsidRPr="00C25740" w:rsidRDefault="00C25740" w:rsidP="00C25740">
            <w:r w:rsidRPr="00C25740">
              <w:t>С неизвестна честота</w:t>
            </w:r>
          </w:p>
        </w:tc>
        <w:tc>
          <w:tcPr>
            <w:tcW w:w="4788" w:type="dxa"/>
            <w:vAlign w:val="bottom"/>
          </w:tcPr>
          <w:p w14:paraId="5A60FCF0" w14:textId="35B7E6D7" w:rsidR="00C25740" w:rsidRPr="00C25740" w:rsidRDefault="00C25740" w:rsidP="00C25740">
            <w:r w:rsidRPr="00C25740">
              <w:t>Анафилактична реакция</w:t>
            </w:r>
          </w:p>
        </w:tc>
      </w:tr>
      <w:tr w:rsidR="00C25740" w14:paraId="6F1B2BB4" w14:textId="77777777" w:rsidTr="00C25740">
        <w:tc>
          <w:tcPr>
            <w:tcW w:w="9576" w:type="dxa"/>
            <w:gridSpan w:val="2"/>
            <w:vAlign w:val="bottom"/>
          </w:tcPr>
          <w:p w14:paraId="51BD881A" w14:textId="73E3D97C" w:rsidR="00C25740" w:rsidRPr="00C25740" w:rsidRDefault="00C25740" w:rsidP="00C25740">
            <w:r w:rsidRPr="00C25740">
              <w:rPr>
                <w:b/>
                <w:bCs/>
              </w:rPr>
              <w:lastRenderedPageBreak/>
              <w:t>Нарушения в метаболизма и храненето</w:t>
            </w:r>
          </w:p>
        </w:tc>
      </w:tr>
      <w:tr w:rsidR="00C25740" w14:paraId="482A63DC" w14:textId="77777777" w:rsidTr="00C25740">
        <w:tc>
          <w:tcPr>
            <w:tcW w:w="4788" w:type="dxa"/>
            <w:vAlign w:val="bottom"/>
          </w:tcPr>
          <w:p w14:paraId="00688591" w14:textId="385EAC0B" w:rsidR="00C25740" w:rsidRPr="00C25740" w:rsidRDefault="00C25740" w:rsidP="00C25740">
            <w:r w:rsidRPr="00C25740">
              <w:t>Много чести</w:t>
            </w:r>
          </w:p>
        </w:tc>
        <w:tc>
          <w:tcPr>
            <w:tcW w:w="4788" w:type="dxa"/>
            <w:vAlign w:val="bottom"/>
          </w:tcPr>
          <w:p w14:paraId="44D8B1D0" w14:textId="22FAEB5A" w:rsidR="00C25740" w:rsidRPr="00C25740" w:rsidRDefault="00C25740" w:rsidP="00C25740">
            <w:r w:rsidRPr="00C25740">
              <w:t>Хиперхолестеролемия</w:t>
            </w:r>
          </w:p>
        </w:tc>
      </w:tr>
      <w:tr w:rsidR="00C25740" w14:paraId="438AB9DD" w14:textId="77777777" w:rsidTr="00C25740">
        <w:tc>
          <w:tcPr>
            <w:tcW w:w="4788" w:type="dxa"/>
            <w:vAlign w:val="bottom"/>
          </w:tcPr>
          <w:p w14:paraId="1D45DB58" w14:textId="0F23AEDE" w:rsidR="00C25740" w:rsidRPr="00C25740" w:rsidRDefault="00C25740" w:rsidP="00C25740">
            <w:r w:rsidRPr="00C25740">
              <w:t>Чести</w:t>
            </w:r>
          </w:p>
        </w:tc>
        <w:tc>
          <w:tcPr>
            <w:tcW w:w="4788" w:type="dxa"/>
            <w:vAlign w:val="bottom"/>
          </w:tcPr>
          <w:p w14:paraId="1BFC9271" w14:textId="66F845F3" w:rsidR="00C25740" w:rsidRPr="00C25740" w:rsidRDefault="00C25740" w:rsidP="00C25740">
            <w:r w:rsidRPr="00C25740">
              <w:t>Намален апетит, повишен апетит</w:t>
            </w:r>
          </w:p>
        </w:tc>
      </w:tr>
      <w:tr w:rsidR="00C25740" w14:paraId="5100D654" w14:textId="77777777" w:rsidTr="00C25740">
        <w:tc>
          <w:tcPr>
            <w:tcW w:w="9576" w:type="dxa"/>
            <w:gridSpan w:val="2"/>
            <w:vAlign w:val="bottom"/>
          </w:tcPr>
          <w:p w14:paraId="47C44E68" w14:textId="33E29400" w:rsidR="00C25740" w:rsidRPr="00C25740" w:rsidRDefault="00C25740" w:rsidP="00C25740">
            <w:r w:rsidRPr="00C25740">
              <w:rPr>
                <w:b/>
                <w:bCs/>
              </w:rPr>
              <w:t>Психични нарушения</w:t>
            </w:r>
          </w:p>
        </w:tc>
      </w:tr>
      <w:tr w:rsidR="00C25740" w14:paraId="3B1C2CEC" w14:textId="77777777" w:rsidTr="00C25740">
        <w:tc>
          <w:tcPr>
            <w:tcW w:w="4788" w:type="dxa"/>
            <w:vAlign w:val="bottom"/>
          </w:tcPr>
          <w:p w14:paraId="282B3998" w14:textId="6E15ED3A" w:rsidR="00C25740" w:rsidRPr="00C25740" w:rsidRDefault="00C25740" w:rsidP="00C25740">
            <w:r w:rsidRPr="00C25740">
              <w:t>Чести</w:t>
            </w:r>
          </w:p>
        </w:tc>
        <w:tc>
          <w:tcPr>
            <w:tcW w:w="4788" w:type="dxa"/>
            <w:vAlign w:val="bottom"/>
          </w:tcPr>
          <w:p w14:paraId="1D4D5756" w14:textId="5A3AC2B4" w:rsidR="00C25740" w:rsidRPr="00C25740" w:rsidRDefault="00C25740" w:rsidP="00C25740">
            <w:r w:rsidRPr="00C25740">
              <w:t>Депресия</w:t>
            </w:r>
          </w:p>
        </w:tc>
      </w:tr>
      <w:tr w:rsidR="00C25740" w14:paraId="4C25E737" w14:textId="77777777" w:rsidTr="00C25740">
        <w:tc>
          <w:tcPr>
            <w:tcW w:w="4788" w:type="dxa"/>
          </w:tcPr>
          <w:p w14:paraId="42F439CB" w14:textId="1B4C5E51" w:rsidR="00C25740" w:rsidRPr="00C25740" w:rsidRDefault="00C25740" w:rsidP="00C25740">
            <w:r w:rsidRPr="00C25740">
              <w:t>Нечести</w:t>
            </w:r>
          </w:p>
        </w:tc>
        <w:tc>
          <w:tcPr>
            <w:tcW w:w="4788" w:type="dxa"/>
            <w:vAlign w:val="bottom"/>
          </w:tcPr>
          <w:p w14:paraId="2E59F557" w14:textId="5BCB049E" w:rsidR="00C25740" w:rsidRPr="00C25740" w:rsidRDefault="00C25740" w:rsidP="00C25740">
            <w:r w:rsidRPr="00C25740">
              <w:t>Тревожност (включително нервност), раздразнителност</w:t>
            </w:r>
          </w:p>
        </w:tc>
      </w:tr>
      <w:tr w:rsidR="00C25740" w14:paraId="09615955" w14:textId="77777777" w:rsidTr="00C25740">
        <w:tc>
          <w:tcPr>
            <w:tcW w:w="9576" w:type="dxa"/>
            <w:gridSpan w:val="2"/>
            <w:vAlign w:val="bottom"/>
          </w:tcPr>
          <w:p w14:paraId="34786256" w14:textId="43913820" w:rsidR="00C25740" w:rsidRPr="00C25740" w:rsidRDefault="00C25740" w:rsidP="00C25740">
            <w:r w:rsidRPr="00C25740">
              <w:rPr>
                <w:b/>
                <w:bCs/>
              </w:rPr>
              <w:t>Нарушения на нервната система</w:t>
            </w:r>
          </w:p>
        </w:tc>
      </w:tr>
      <w:tr w:rsidR="00C25740" w14:paraId="365CBD2B" w14:textId="77777777" w:rsidTr="00C25740">
        <w:tc>
          <w:tcPr>
            <w:tcW w:w="4788" w:type="dxa"/>
            <w:vAlign w:val="bottom"/>
          </w:tcPr>
          <w:p w14:paraId="76ACCE6B" w14:textId="569943FB" w:rsidR="00C25740" w:rsidRPr="00C25740" w:rsidRDefault="00C25740" w:rsidP="00C25740">
            <w:r w:rsidRPr="00C25740">
              <w:t>Чести</w:t>
            </w:r>
          </w:p>
        </w:tc>
        <w:tc>
          <w:tcPr>
            <w:tcW w:w="4788" w:type="dxa"/>
            <w:vAlign w:val="bottom"/>
          </w:tcPr>
          <w:p w14:paraId="5E77D615" w14:textId="50D1E8FF" w:rsidR="00C25740" w:rsidRPr="00C25740" w:rsidRDefault="00C25740" w:rsidP="00C25740">
            <w:r w:rsidRPr="00C25740">
              <w:t>Главоболие, замаяност</w:t>
            </w:r>
          </w:p>
        </w:tc>
      </w:tr>
      <w:tr w:rsidR="00C25740" w14:paraId="16B96E23" w14:textId="77777777" w:rsidTr="00C25740">
        <w:tc>
          <w:tcPr>
            <w:tcW w:w="4788" w:type="dxa"/>
          </w:tcPr>
          <w:p w14:paraId="1ED1F6C9" w14:textId="1FE45F4C" w:rsidR="00C25740" w:rsidRPr="00C25740" w:rsidRDefault="00C25740" w:rsidP="00C25740">
            <w:r w:rsidRPr="00C25740">
              <w:t>Нечести</w:t>
            </w:r>
          </w:p>
        </w:tc>
        <w:tc>
          <w:tcPr>
            <w:tcW w:w="4788" w:type="dxa"/>
            <w:vAlign w:val="bottom"/>
          </w:tcPr>
          <w:p w14:paraId="77F54087" w14:textId="1728A63A" w:rsidR="00C25740" w:rsidRPr="00C25740" w:rsidRDefault="00C25740" w:rsidP="00C25740">
            <w:r w:rsidRPr="00C25740">
              <w:t>Сънливост, безсъние, нарушения в паметта, нарушена чувствителност (включително парестезии, хипоестезия), вкусови нарушения, мозъчно-съдов инцидент</w:t>
            </w:r>
          </w:p>
        </w:tc>
      </w:tr>
      <w:tr w:rsidR="00C25740" w14:paraId="77D80858" w14:textId="77777777" w:rsidTr="00C25740">
        <w:tc>
          <w:tcPr>
            <w:tcW w:w="9576" w:type="dxa"/>
            <w:gridSpan w:val="2"/>
            <w:vAlign w:val="bottom"/>
          </w:tcPr>
          <w:p w14:paraId="6A527178" w14:textId="32D78D34" w:rsidR="00C25740" w:rsidRPr="00C25740" w:rsidRDefault="00C25740" w:rsidP="00C25740">
            <w:r w:rsidRPr="00C25740">
              <w:rPr>
                <w:b/>
                <w:bCs/>
              </w:rPr>
              <w:t>Нарушения на очите</w:t>
            </w:r>
          </w:p>
        </w:tc>
      </w:tr>
      <w:tr w:rsidR="00C25740" w14:paraId="309EE65F" w14:textId="77777777" w:rsidTr="00C25740">
        <w:tc>
          <w:tcPr>
            <w:tcW w:w="4788" w:type="dxa"/>
          </w:tcPr>
          <w:p w14:paraId="35C50C8F" w14:textId="0DE1C9F0" w:rsidR="00C25740" w:rsidRPr="00C25740" w:rsidRDefault="00C25740" w:rsidP="00C25740">
            <w:r w:rsidRPr="00C25740">
              <w:t>Нечести</w:t>
            </w:r>
          </w:p>
        </w:tc>
        <w:tc>
          <w:tcPr>
            <w:tcW w:w="4788" w:type="dxa"/>
            <w:vAlign w:val="bottom"/>
          </w:tcPr>
          <w:p w14:paraId="637F95B3" w14:textId="2A0CBBE1" w:rsidR="00C25740" w:rsidRPr="00C25740" w:rsidRDefault="00C25740" w:rsidP="00C25740">
            <w:r w:rsidRPr="00C25740">
              <w:t>Катаракта, възпаление на окото, замъглено зрение</w:t>
            </w:r>
          </w:p>
        </w:tc>
      </w:tr>
      <w:tr w:rsidR="00C25740" w14:paraId="2691233E" w14:textId="77777777" w:rsidTr="00C25740">
        <w:tc>
          <w:tcPr>
            <w:tcW w:w="9576" w:type="dxa"/>
            <w:gridSpan w:val="2"/>
            <w:vAlign w:val="bottom"/>
          </w:tcPr>
          <w:p w14:paraId="0B14586E" w14:textId="4F592E86" w:rsidR="00C25740" w:rsidRPr="00C25740" w:rsidRDefault="00C25740" w:rsidP="00C25740">
            <w:r w:rsidRPr="00C25740">
              <w:rPr>
                <w:b/>
                <w:bCs/>
              </w:rPr>
              <w:t>Сърдечни нарушения</w:t>
            </w:r>
          </w:p>
        </w:tc>
      </w:tr>
      <w:tr w:rsidR="00C25740" w14:paraId="0670F570" w14:textId="77777777" w:rsidTr="00C25740">
        <w:tc>
          <w:tcPr>
            <w:tcW w:w="4788" w:type="dxa"/>
          </w:tcPr>
          <w:p w14:paraId="2901CC9A" w14:textId="50266787" w:rsidR="00C25740" w:rsidRPr="00C25740" w:rsidRDefault="00C25740" w:rsidP="00C25740">
            <w:r w:rsidRPr="00C25740">
              <w:t>Чести</w:t>
            </w:r>
          </w:p>
        </w:tc>
        <w:tc>
          <w:tcPr>
            <w:tcW w:w="4788" w:type="dxa"/>
          </w:tcPr>
          <w:p w14:paraId="451309EF" w14:textId="6C5E8AF8" w:rsidR="00C25740" w:rsidRPr="00C25740" w:rsidRDefault="00C25740" w:rsidP="00C25740">
            <w:r w:rsidRPr="00C25740">
              <w:t xml:space="preserve">Палпитации </w:t>
            </w:r>
            <w:r w:rsidRPr="00C25740">
              <w:rPr>
                <w:vertAlign w:val="superscript"/>
              </w:rPr>
              <w:t>1</w:t>
            </w:r>
          </w:p>
        </w:tc>
      </w:tr>
      <w:tr w:rsidR="00C25740" w14:paraId="30B0D989" w14:textId="77777777" w:rsidTr="00C25740">
        <w:tc>
          <w:tcPr>
            <w:tcW w:w="4788" w:type="dxa"/>
          </w:tcPr>
          <w:p w14:paraId="36847479" w14:textId="02063FA3" w:rsidR="00C25740" w:rsidRPr="00C25740" w:rsidRDefault="00C25740" w:rsidP="00C25740">
            <w:r w:rsidRPr="00C25740">
              <w:t>Нечести</w:t>
            </w:r>
          </w:p>
        </w:tc>
        <w:tc>
          <w:tcPr>
            <w:tcW w:w="4788" w:type="dxa"/>
            <w:vAlign w:val="bottom"/>
          </w:tcPr>
          <w:p w14:paraId="127514EF" w14:textId="44C4074A" w:rsidR="00C25740" w:rsidRPr="00C25740" w:rsidRDefault="00C25740" w:rsidP="00C25740">
            <w:r w:rsidRPr="00C25740">
              <w:t>Тахикардия, исхемични сърдечно-съдови събития (включително новопоявила се или влошаваща се стенокардия, стенокардия, изискваща оперативно лечение, миокарден инфаркт и миокардна исхемия)</w:t>
            </w:r>
          </w:p>
        </w:tc>
      </w:tr>
      <w:tr w:rsidR="00C25740" w14:paraId="10245BBE" w14:textId="77777777" w:rsidTr="00C25740">
        <w:tc>
          <w:tcPr>
            <w:tcW w:w="9576" w:type="dxa"/>
            <w:gridSpan w:val="2"/>
            <w:vAlign w:val="bottom"/>
          </w:tcPr>
          <w:p w14:paraId="1A38CD30" w14:textId="1959CDE1" w:rsidR="00C25740" w:rsidRPr="00C25740" w:rsidRDefault="00C25740" w:rsidP="00C25740">
            <w:r w:rsidRPr="00C25740">
              <w:rPr>
                <w:b/>
                <w:bCs/>
              </w:rPr>
              <w:t>Съдови нарушения</w:t>
            </w:r>
          </w:p>
        </w:tc>
      </w:tr>
      <w:tr w:rsidR="00C25740" w14:paraId="107ACB4B" w14:textId="77777777" w:rsidTr="00C25740">
        <w:tc>
          <w:tcPr>
            <w:tcW w:w="4788" w:type="dxa"/>
            <w:vAlign w:val="bottom"/>
          </w:tcPr>
          <w:p w14:paraId="5DE04F6E" w14:textId="6DB81199" w:rsidR="00C25740" w:rsidRPr="00C25740" w:rsidRDefault="00C25740" w:rsidP="00C25740">
            <w:r w:rsidRPr="00C25740">
              <w:t>Много чести</w:t>
            </w:r>
          </w:p>
        </w:tc>
        <w:tc>
          <w:tcPr>
            <w:tcW w:w="4788" w:type="dxa"/>
            <w:vAlign w:val="bottom"/>
          </w:tcPr>
          <w:p w14:paraId="01540CC6" w14:textId="49881816" w:rsidR="00C25740" w:rsidRPr="00C25740" w:rsidRDefault="00C25740" w:rsidP="00C25740">
            <w:r w:rsidRPr="00C25740">
              <w:t>Горещи вълни</w:t>
            </w:r>
          </w:p>
        </w:tc>
      </w:tr>
      <w:tr w:rsidR="00C25740" w14:paraId="1E9FCBCE" w14:textId="77777777" w:rsidTr="00C25740">
        <w:tc>
          <w:tcPr>
            <w:tcW w:w="4788" w:type="dxa"/>
            <w:vAlign w:val="bottom"/>
          </w:tcPr>
          <w:p w14:paraId="51D5BB09" w14:textId="0510E76D" w:rsidR="00C25740" w:rsidRPr="00C25740" w:rsidRDefault="00C25740" w:rsidP="00C25740">
            <w:r w:rsidRPr="00C25740">
              <w:t>Чести</w:t>
            </w:r>
          </w:p>
        </w:tc>
        <w:tc>
          <w:tcPr>
            <w:tcW w:w="4788" w:type="dxa"/>
            <w:vAlign w:val="bottom"/>
          </w:tcPr>
          <w:p w14:paraId="0F7535DB" w14:textId="748AF57F" w:rsidR="00C25740" w:rsidRPr="00C25740" w:rsidRDefault="00C25740" w:rsidP="00C25740">
            <w:r w:rsidRPr="00C25740">
              <w:t>Хипертония</w:t>
            </w:r>
          </w:p>
        </w:tc>
      </w:tr>
      <w:tr w:rsidR="00C25740" w14:paraId="65624189" w14:textId="77777777" w:rsidTr="00C25740">
        <w:tc>
          <w:tcPr>
            <w:tcW w:w="4788" w:type="dxa"/>
          </w:tcPr>
          <w:p w14:paraId="735A6EFB" w14:textId="11F8EC1F" w:rsidR="00C25740" w:rsidRPr="00C25740" w:rsidRDefault="00C25740" w:rsidP="00C25740">
            <w:r w:rsidRPr="00C25740">
              <w:t>Нечести</w:t>
            </w:r>
          </w:p>
        </w:tc>
        <w:tc>
          <w:tcPr>
            <w:tcW w:w="4788" w:type="dxa"/>
            <w:vAlign w:val="bottom"/>
          </w:tcPr>
          <w:p w14:paraId="6F608885" w14:textId="158712CB" w:rsidR="00C25740" w:rsidRPr="00C25740" w:rsidRDefault="00C25740" w:rsidP="00C25740">
            <w:r w:rsidRPr="00C25740">
              <w:t>Тромбофлебит (вкл. повърхностен и дълбок тромбофлебит)</w:t>
            </w:r>
          </w:p>
        </w:tc>
      </w:tr>
      <w:tr w:rsidR="00C25740" w14:paraId="031E8551" w14:textId="77777777" w:rsidTr="00C25740">
        <w:tc>
          <w:tcPr>
            <w:tcW w:w="4788" w:type="dxa"/>
          </w:tcPr>
          <w:p w14:paraId="05792247" w14:textId="79E8ABB1" w:rsidR="00C25740" w:rsidRPr="00C25740" w:rsidRDefault="00C25740" w:rsidP="00C25740">
            <w:r w:rsidRPr="00C25740">
              <w:t>Редки</w:t>
            </w:r>
          </w:p>
        </w:tc>
        <w:tc>
          <w:tcPr>
            <w:tcW w:w="4788" w:type="dxa"/>
            <w:vAlign w:val="bottom"/>
          </w:tcPr>
          <w:p w14:paraId="1324BACA" w14:textId="6E0F9D1C" w:rsidR="00C25740" w:rsidRPr="00C25740" w:rsidRDefault="00C25740" w:rsidP="00C25740">
            <w:r w:rsidRPr="00C25740">
              <w:t>Белодробна тромбоемболия, артериална тромбоза, мозъчно-съдов инфаркт</w:t>
            </w:r>
          </w:p>
        </w:tc>
      </w:tr>
      <w:tr w:rsidR="00C25740" w14:paraId="1186B9E6" w14:textId="77777777" w:rsidTr="00C25740">
        <w:tc>
          <w:tcPr>
            <w:tcW w:w="9576" w:type="dxa"/>
            <w:gridSpan w:val="2"/>
            <w:vAlign w:val="bottom"/>
          </w:tcPr>
          <w:p w14:paraId="5B1D63B3" w14:textId="29FD30E9" w:rsidR="00C25740" w:rsidRPr="00C25740" w:rsidRDefault="00C25740" w:rsidP="00C25740">
            <w:r w:rsidRPr="00C25740">
              <w:rPr>
                <w:b/>
                <w:bCs/>
              </w:rPr>
              <w:t>Респираторни, гръдни и мсдиастинални нарушения</w:t>
            </w:r>
          </w:p>
        </w:tc>
      </w:tr>
      <w:tr w:rsidR="00C25740" w14:paraId="1F71FAA0" w14:textId="77777777" w:rsidTr="00C25740">
        <w:tc>
          <w:tcPr>
            <w:tcW w:w="4788" w:type="dxa"/>
            <w:vAlign w:val="bottom"/>
          </w:tcPr>
          <w:p w14:paraId="7896674C" w14:textId="0EC1485B" w:rsidR="00C25740" w:rsidRPr="00C25740" w:rsidRDefault="00C25740" w:rsidP="00C25740">
            <w:r w:rsidRPr="00C25740">
              <w:t>Нечести</w:t>
            </w:r>
          </w:p>
        </w:tc>
        <w:tc>
          <w:tcPr>
            <w:tcW w:w="4788" w:type="dxa"/>
            <w:vAlign w:val="bottom"/>
          </w:tcPr>
          <w:p w14:paraId="3D05B809" w14:textId="2801722C" w:rsidR="00C25740" w:rsidRPr="00C25740" w:rsidRDefault="00C25740" w:rsidP="00C25740">
            <w:r w:rsidRPr="00C25740">
              <w:t>Диспнея, кашлица</w:t>
            </w:r>
          </w:p>
        </w:tc>
      </w:tr>
      <w:tr w:rsidR="00C25740" w14:paraId="2E94669D" w14:textId="77777777" w:rsidTr="00C25740">
        <w:tc>
          <w:tcPr>
            <w:tcW w:w="9576" w:type="dxa"/>
            <w:gridSpan w:val="2"/>
            <w:vAlign w:val="bottom"/>
          </w:tcPr>
          <w:p w14:paraId="49F3F1E9" w14:textId="0977E81C" w:rsidR="00C25740" w:rsidRPr="00C25740" w:rsidRDefault="00C25740" w:rsidP="00C25740">
            <w:r w:rsidRPr="00C25740">
              <w:rPr>
                <w:b/>
                <w:bCs/>
              </w:rPr>
              <w:t>Стомашно-чревни нарушения</w:t>
            </w:r>
          </w:p>
        </w:tc>
      </w:tr>
      <w:tr w:rsidR="00C25740" w14:paraId="3A000C34" w14:textId="77777777" w:rsidTr="00C25740">
        <w:tc>
          <w:tcPr>
            <w:tcW w:w="4788" w:type="dxa"/>
          </w:tcPr>
          <w:p w14:paraId="0E316F41" w14:textId="5B40CB7B" w:rsidR="00C25740" w:rsidRPr="00C25740" w:rsidRDefault="00C25740" w:rsidP="00C25740">
            <w:r w:rsidRPr="00C25740">
              <w:t>Чести</w:t>
            </w:r>
          </w:p>
        </w:tc>
        <w:tc>
          <w:tcPr>
            <w:tcW w:w="4788" w:type="dxa"/>
            <w:vAlign w:val="bottom"/>
          </w:tcPr>
          <w:p w14:paraId="1985B867" w14:textId="5FCB0AD1" w:rsidR="00C25740" w:rsidRPr="00C25740" w:rsidRDefault="00C25740" w:rsidP="00C25740">
            <w:r w:rsidRPr="00C25740">
              <w:t>Гадене, диспепсия</w:t>
            </w:r>
            <w:r w:rsidRPr="00C25740">
              <w:rPr>
                <w:vertAlign w:val="superscript"/>
              </w:rPr>
              <w:t>1</w:t>
            </w:r>
            <w:r w:rsidRPr="00C25740">
              <w:t>, констипация, абдоминална болка, диария, повръщане</w:t>
            </w:r>
          </w:p>
        </w:tc>
      </w:tr>
      <w:tr w:rsidR="00C25740" w14:paraId="74CB68E9" w14:textId="77777777" w:rsidTr="00C25740">
        <w:tc>
          <w:tcPr>
            <w:tcW w:w="4788" w:type="dxa"/>
            <w:vAlign w:val="bottom"/>
          </w:tcPr>
          <w:p w14:paraId="2EE0F6FE" w14:textId="0B6AEBAA" w:rsidR="00C25740" w:rsidRPr="00C25740" w:rsidRDefault="00C25740" w:rsidP="00C25740">
            <w:r w:rsidRPr="00C25740">
              <w:t>Нечести</w:t>
            </w:r>
          </w:p>
        </w:tc>
        <w:tc>
          <w:tcPr>
            <w:tcW w:w="4788" w:type="dxa"/>
            <w:vAlign w:val="bottom"/>
          </w:tcPr>
          <w:p w14:paraId="0770286C" w14:textId="1FDF9647" w:rsidR="00C25740" w:rsidRPr="00C25740" w:rsidRDefault="00C25740" w:rsidP="00C25740">
            <w:r w:rsidRPr="00C25740">
              <w:t>Стоматит, сухота в устата</w:t>
            </w:r>
            <w:r w:rsidRPr="00C25740">
              <w:rPr>
                <w:vertAlign w:val="superscript"/>
              </w:rPr>
              <w:t>1</w:t>
            </w:r>
          </w:p>
        </w:tc>
      </w:tr>
      <w:tr w:rsidR="00C25740" w14:paraId="3664BC08" w14:textId="77777777" w:rsidTr="00C25740">
        <w:tc>
          <w:tcPr>
            <w:tcW w:w="9576" w:type="dxa"/>
            <w:gridSpan w:val="2"/>
            <w:vAlign w:val="bottom"/>
          </w:tcPr>
          <w:p w14:paraId="0C83C68D" w14:textId="16A1156E" w:rsidR="00C25740" w:rsidRPr="00C25740" w:rsidRDefault="00C25740" w:rsidP="00C25740">
            <w:r w:rsidRPr="00C25740">
              <w:rPr>
                <w:b/>
                <w:bCs/>
              </w:rPr>
              <w:t>Хепатобилиарни нарушения:</w:t>
            </w:r>
          </w:p>
        </w:tc>
      </w:tr>
      <w:tr w:rsidR="00C25740" w14:paraId="5641FF0D" w14:textId="77777777" w:rsidTr="00C25740">
        <w:tc>
          <w:tcPr>
            <w:tcW w:w="4788" w:type="dxa"/>
          </w:tcPr>
          <w:p w14:paraId="518E4A35" w14:textId="2C9D5615" w:rsidR="00C25740" w:rsidRPr="00C25740" w:rsidRDefault="00C25740" w:rsidP="00C25740">
            <w:r w:rsidRPr="00C25740">
              <w:t>Нечести</w:t>
            </w:r>
          </w:p>
        </w:tc>
        <w:tc>
          <w:tcPr>
            <w:tcW w:w="4788" w:type="dxa"/>
            <w:vAlign w:val="bottom"/>
          </w:tcPr>
          <w:p w14:paraId="5AC1C225" w14:textId="2AFC2558" w:rsidR="00C25740" w:rsidRPr="00C25740" w:rsidRDefault="00C25740" w:rsidP="00C25740">
            <w:r w:rsidRPr="00C25740">
              <w:t>Повишени чернодробни ензими, хипербилирубинемия, жълтеница</w:t>
            </w:r>
          </w:p>
        </w:tc>
      </w:tr>
      <w:tr w:rsidR="00C25740" w14:paraId="5AA3ADFA" w14:textId="77777777" w:rsidTr="00C25740">
        <w:tc>
          <w:tcPr>
            <w:tcW w:w="4788" w:type="dxa"/>
            <w:vAlign w:val="bottom"/>
          </w:tcPr>
          <w:p w14:paraId="3CE267FF" w14:textId="26315FE9" w:rsidR="00C25740" w:rsidRPr="00C25740" w:rsidRDefault="00C25740" w:rsidP="00C25740">
            <w:r w:rsidRPr="00C25740">
              <w:t>С неизвестна честота</w:t>
            </w:r>
          </w:p>
        </w:tc>
        <w:tc>
          <w:tcPr>
            <w:tcW w:w="4788" w:type="dxa"/>
            <w:vAlign w:val="bottom"/>
          </w:tcPr>
          <w:p w14:paraId="54BC660C" w14:textId="4F39374C" w:rsidR="00C25740" w:rsidRPr="00C25740" w:rsidRDefault="00C25740" w:rsidP="00C25740">
            <w:r w:rsidRPr="00C25740">
              <w:t>Хепатит</w:t>
            </w:r>
          </w:p>
        </w:tc>
      </w:tr>
      <w:tr w:rsidR="00C25740" w14:paraId="587297C4" w14:textId="77777777" w:rsidTr="00C25740">
        <w:tc>
          <w:tcPr>
            <w:tcW w:w="9576" w:type="dxa"/>
            <w:gridSpan w:val="2"/>
            <w:vAlign w:val="bottom"/>
          </w:tcPr>
          <w:p w14:paraId="0C9F5AFF" w14:textId="313242B6" w:rsidR="00C25740" w:rsidRPr="00C25740" w:rsidRDefault="00C25740" w:rsidP="00C25740">
            <w:r w:rsidRPr="00C25740">
              <w:rPr>
                <w:b/>
                <w:bCs/>
              </w:rPr>
              <w:t>Нарушения на кожата и подкожните тъкани</w:t>
            </w:r>
          </w:p>
        </w:tc>
      </w:tr>
      <w:tr w:rsidR="00C25740" w14:paraId="62FDC468" w14:textId="77777777" w:rsidTr="00C25740">
        <w:tc>
          <w:tcPr>
            <w:tcW w:w="4788" w:type="dxa"/>
            <w:vAlign w:val="bottom"/>
          </w:tcPr>
          <w:p w14:paraId="3F351DB5" w14:textId="09AEE0DB" w:rsidR="00C25740" w:rsidRPr="00C25740" w:rsidRDefault="00C25740" w:rsidP="00C25740">
            <w:r w:rsidRPr="00C25740">
              <w:t>Много чести</w:t>
            </w:r>
          </w:p>
        </w:tc>
        <w:tc>
          <w:tcPr>
            <w:tcW w:w="4788" w:type="dxa"/>
            <w:vAlign w:val="bottom"/>
          </w:tcPr>
          <w:p w14:paraId="73C18AFB" w14:textId="14F4D53A" w:rsidR="00C25740" w:rsidRPr="00C25740" w:rsidRDefault="00C25740" w:rsidP="00C25740">
            <w:r w:rsidRPr="00C25740">
              <w:t>Увеличено потоотделяне</w:t>
            </w:r>
          </w:p>
        </w:tc>
      </w:tr>
      <w:tr w:rsidR="00C25740" w14:paraId="1EC621E7" w14:textId="77777777" w:rsidTr="00C25740">
        <w:tc>
          <w:tcPr>
            <w:tcW w:w="4788" w:type="dxa"/>
          </w:tcPr>
          <w:p w14:paraId="3C64A21F" w14:textId="0FA4D73B" w:rsidR="00C25740" w:rsidRPr="00C25740" w:rsidRDefault="00C25740" w:rsidP="00C25740">
            <w:r w:rsidRPr="00C25740">
              <w:t>Чести</w:t>
            </w:r>
          </w:p>
        </w:tc>
        <w:tc>
          <w:tcPr>
            <w:tcW w:w="4788" w:type="dxa"/>
            <w:vAlign w:val="bottom"/>
          </w:tcPr>
          <w:p w14:paraId="7BAC5F04" w14:textId="41E1BF03" w:rsidR="00C25740" w:rsidRPr="00C25740" w:rsidRDefault="00C25740" w:rsidP="00C25740">
            <w:r w:rsidRPr="00C25740">
              <w:t>Алопеция, обрив (вкл. еритематозен, макулопапуларен, псориазиформен и везикуларен), суха кожа</w:t>
            </w:r>
          </w:p>
        </w:tc>
      </w:tr>
      <w:tr w:rsidR="00C25740" w14:paraId="0A0B62F8" w14:textId="77777777" w:rsidTr="00C25740">
        <w:tc>
          <w:tcPr>
            <w:tcW w:w="4788" w:type="dxa"/>
            <w:vAlign w:val="bottom"/>
          </w:tcPr>
          <w:p w14:paraId="320F61BA" w14:textId="0C69A1FF" w:rsidR="00C25740" w:rsidRPr="00C25740" w:rsidRDefault="00C25740" w:rsidP="00C25740">
            <w:r w:rsidRPr="00C25740">
              <w:lastRenderedPageBreak/>
              <w:t>Нечести</w:t>
            </w:r>
          </w:p>
        </w:tc>
        <w:tc>
          <w:tcPr>
            <w:tcW w:w="4788" w:type="dxa"/>
            <w:vAlign w:val="bottom"/>
          </w:tcPr>
          <w:p w14:paraId="1324E900" w14:textId="4B786730" w:rsidR="00C25740" w:rsidRPr="00C25740" w:rsidRDefault="00C25740" w:rsidP="00C25740">
            <w:r w:rsidRPr="00C25740">
              <w:t>Пруритус, уртикария</w:t>
            </w:r>
          </w:p>
        </w:tc>
      </w:tr>
      <w:tr w:rsidR="00C25740" w14:paraId="57CF2272" w14:textId="77777777" w:rsidTr="00C25740">
        <w:tc>
          <w:tcPr>
            <w:tcW w:w="4788" w:type="dxa"/>
          </w:tcPr>
          <w:p w14:paraId="71E07FE2" w14:textId="651B7513" w:rsidR="00C25740" w:rsidRPr="00C25740" w:rsidRDefault="00C25740" w:rsidP="00C25740">
            <w:r w:rsidRPr="00C25740">
              <w:t>С неизвестна честота</w:t>
            </w:r>
          </w:p>
        </w:tc>
        <w:tc>
          <w:tcPr>
            <w:tcW w:w="4788" w:type="dxa"/>
          </w:tcPr>
          <w:p w14:paraId="4C96FF5B" w14:textId="69675588" w:rsidR="00C25740" w:rsidRPr="00C25740" w:rsidRDefault="00C25740" w:rsidP="00C25740">
            <w:r w:rsidRPr="00C25740">
              <w:t>Ангиоедем, токсична епидермална некр</w:t>
            </w:r>
            <w:r w:rsidRPr="00C25740">
              <w:rPr>
                <w:u w:val="single"/>
              </w:rPr>
              <w:t>олиза, еритема мултиформе</w:t>
            </w:r>
          </w:p>
        </w:tc>
      </w:tr>
      <w:tr w:rsidR="00C25740" w14:paraId="60D931FC" w14:textId="77777777" w:rsidTr="00C25740">
        <w:tc>
          <w:tcPr>
            <w:tcW w:w="9576" w:type="dxa"/>
            <w:gridSpan w:val="2"/>
          </w:tcPr>
          <w:p w14:paraId="7A0FE5B2" w14:textId="77777777" w:rsidR="00C25740" w:rsidRPr="00C25740" w:rsidRDefault="00C25740" w:rsidP="00C25740">
            <w:r w:rsidRPr="00C25740">
              <w:rPr>
                <w:b/>
                <w:bCs/>
              </w:rPr>
              <w:t>Нарушения на мускулно-скелетната система и съединителната тъкан</w:t>
            </w:r>
          </w:p>
          <w:p w14:paraId="21F576BF" w14:textId="0D8673A9" w:rsidR="00C25740" w:rsidRPr="00C25740" w:rsidRDefault="00C25740" w:rsidP="00C25740">
            <w:r w:rsidRPr="00C25740">
              <w:rPr>
                <w:rFonts w:cs="Arial"/>
              </w:rPr>
              <w:tab/>
            </w:r>
          </w:p>
        </w:tc>
      </w:tr>
      <w:tr w:rsidR="00C25740" w14:paraId="3C378AF5" w14:textId="77777777" w:rsidTr="00C25740">
        <w:tc>
          <w:tcPr>
            <w:tcW w:w="4788" w:type="dxa"/>
          </w:tcPr>
          <w:p w14:paraId="075F7E05" w14:textId="7F302FA5" w:rsidR="00C25740" w:rsidRPr="00C25740" w:rsidRDefault="00C25740" w:rsidP="00C25740">
            <w:r w:rsidRPr="00C25740">
              <w:t>Много чести</w:t>
            </w:r>
          </w:p>
        </w:tc>
        <w:tc>
          <w:tcPr>
            <w:tcW w:w="4788" w:type="dxa"/>
          </w:tcPr>
          <w:p w14:paraId="757247C0" w14:textId="76A0B829" w:rsidR="00C25740" w:rsidRPr="00C25740" w:rsidRDefault="00C25740" w:rsidP="00C25740">
            <w:r w:rsidRPr="00C25740">
              <w:t>Артралгия</w:t>
            </w:r>
          </w:p>
        </w:tc>
      </w:tr>
      <w:tr w:rsidR="00C25740" w14:paraId="3C0B0A09" w14:textId="77777777" w:rsidTr="00C25740">
        <w:tc>
          <w:tcPr>
            <w:tcW w:w="4788" w:type="dxa"/>
          </w:tcPr>
          <w:p w14:paraId="39DABCBC" w14:textId="0EC5FA67" w:rsidR="00C25740" w:rsidRPr="00C25740" w:rsidRDefault="00C25740" w:rsidP="00C25740">
            <w:r w:rsidRPr="00C25740">
              <w:t>Чести</w:t>
            </w:r>
          </w:p>
        </w:tc>
        <w:tc>
          <w:tcPr>
            <w:tcW w:w="4788" w:type="dxa"/>
          </w:tcPr>
          <w:p w14:paraId="17874913" w14:textId="5C23FE7C" w:rsidR="00C25740" w:rsidRPr="00C25740" w:rsidRDefault="00C25740" w:rsidP="00C25740">
            <w:r w:rsidRPr="00C25740">
              <w:t>Миалгия, костна болка</w:t>
            </w:r>
            <w:r w:rsidRPr="00C25740">
              <w:rPr>
                <w:vertAlign w:val="superscript"/>
              </w:rPr>
              <w:t>1</w:t>
            </w:r>
            <w:r w:rsidRPr="00C25740">
              <w:t>, остеопороза, фрактури на костите, артрит</w:t>
            </w:r>
          </w:p>
        </w:tc>
      </w:tr>
      <w:tr w:rsidR="00C25740" w14:paraId="43B4A6A0" w14:textId="77777777" w:rsidTr="00C25740">
        <w:tc>
          <w:tcPr>
            <w:tcW w:w="4788" w:type="dxa"/>
          </w:tcPr>
          <w:p w14:paraId="0E8CD496" w14:textId="6BE6B64F" w:rsidR="00C25740" w:rsidRPr="00C25740" w:rsidRDefault="00C25740" w:rsidP="00C25740">
            <w:r w:rsidRPr="00C25740">
              <w:t>Нечести</w:t>
            </w:r>
          </w:p>
        </w:tc>
        <w:tc>
          <w:tcPr>
            <w:tcW w:w="4788" w:type="dxa"/>
          </w:tcPr>
          <w:p w14:paraId="4BC445C0" w14:textId="0CECD7AF" w:rsidR="00C25740" w:rsidRPr="00C25740" w:rsidRDefault="00C25740" w:rsidP="00C25740">
            <w:r w:rsidRPr="00C25740">
              <w:t>Тендинит</w:t>
            </w:r>
          </w:p>
        </w:tc>
      </w:tr>
      <w:tr w:rsidR="00C25740" w14:paraId="3C79FB95" w14:textId="77777777" w:rsidTr="00C25740">
        <w:tc>
          <w:tcPr>
            <w:tcW w:w="4788" w:type="dxa"/>
          </w:tcPr>
          <w:p w14:paraId="046913BB" w14:textId="751B0619" w:rsidR="00C25740" w:rsidRPr="00C25740" w:rsidRDefault="00C25740" w:rsidP="00C25740">
            <w:r w:rsidRPr="00C25740">
              <w:t>Редки</w:t>
            </w:r>
          </w:p>
        </w:tc>
        <w:tc>
          <w:tcPr>
            <w:tcW w:w="4788" w:type="dxa"/>
          </w:tcPr>
          <w:p w14:paraId="4E26AAF9" w14:textId="28C5EFC2" w:rsidR="00C25740" w:rsidRPr="00C25740" w:rsidRDefault="00C25740" w:rsidP="00C25740">
            <w:r w:rsidRPr="00C25740">
              <w:t>Руптура на сухожилията</w:t>
            </w:r>
          </w:p>
        </w:tc>
      </w:tr>
      <w:tr w:rsidR="00C25740" w14:paraId="389E2273" w14:textId="77777777" w:rsidTr="00C25740">
        <w:tc>
          <w:tcPr>
            <w:tcW w:w="4788" w:type="dxa"/>
          </w:tcPr>
          <w:p w14:paraId="2EB556E6" w14:textId="4C8BB6EC" w:rsidR="00C25740" w:rsidRPr="00C25740" w:rsidRDefault="00C25740" w:rsidP="00C25740">
            <w:r w:rsidRPr="00C25740">
              <w:t>С неизвестна честота</w:t>
            </w:r>
          </w:p>
        </w:tc>
        <w:tc>
          <w:tcPr>
            <w:tcW w:w="4788" w:type="dxa"/>
          </w:tcPr>
          <w:p w14:paraId="7DD3923D" w14:textId="26F56695" w:rsidR="00C25740" w:rsidRPr="00C25740" w:rsidRDefault="00C25740" w:rsidP="00C25740">
            <w:r w:rsidRPr="00C25740">
              <w:t>Тригер пръст</w:t>
            </w:r>
          </w:p>
        </w:tc>
      </w:tr>
      <w:tr w:rsidR="00C25740" w14:paraId="0BBDFB2E" w14:textId="77777777" w:rsidTr="00C25740">
        <w:tc>
          <w:tcPr>
            <w:tcW w:w="9576" w:type="dxa"/>
            <w:gridSpan w:val="2"/>
          </w:tcPr>
          <w:p w14:paraId="7CE8D846" w14:textId="74C66CB3" w:rsidR="00C25740" w:rsidRPr="00C25740" w:rsidRDefault="00C25740" w:rsidP="00C25740">
            <w:r w:rsidRPr="00C25740">
              <w:rPr>
                <w:b/>
                <w:bCs/>
              </w:rPr>
              <w:t xml:space="preserve">Нарушения на </w:t>
            </w:r>
            <w:r w:rsidRPr="00C25740">
              <w:rPr>
                <w:b/>
                <w:bCs/>
                <w:i/>
                <w:iCs/>
              </w:rPr>
              <w:t>бъбреците</w:t>
            </w:r>
            <w:r w:rsidRPr="00C25740">
              <w:rPr>
                <w:b/>
                <w:bCs/>
              </w:rPr>
              <w:t xml:space="preserve"> н пикочните </w:t>
            </w:r>
            <w:r w:rsidRPr="00C25740">
              <w:rPr>
                <w:b/>
                <w:bCs/>
                <w:i/>
                <w:iCs/>
              </w:rPr>
              <w:t>пътища</w:t>
            </w:r>
          </w:p>
        </w:tc>
      </w:tr>
      <w:tr w:rsidR="00C25740" w14:paraId="67A530A8" w14:textId="77777777" w:rsidTr="00C25740">
        <w:tc>
          <w:tcPr>
            <w:tcW w:w="4788" w:type="dxa"/>
          </w:tcPr>
          <w:p w14:paraId="1259D008" w14:textId="0CBF297A" w:rsidR="00C25740" w:rsidRPr="00C25740" w:rsidRDefault="00C25740" w:rsidP="00C25740">
            <w:r w:rsidRPr="00C25740">
              <w:t>Нечести</w:t>
            </w:r>
          </w:p>
        </w:tc>
        <w:tc>
          <w:tcPr>
            <w:tcW w:w="4788" w:type="dxa"/>
          </w:tcPr>
          <w:p w14:paraId="1A8E7EDA" w14:textId="1CA6DD80" w:rsidR="00C25740" w:rsidRPr="00C25740" w:rsidRDefault="00C25740" w:rsidP="00C25740">
            <w:r w:rsidRPr="00C25740">
              <w:t>Често уриниране</w:t>
            </w:r>
          </w:p>
        </w:tc>
      </w:tr>
      <w:tr w:rsidR="00C25740" w14:paraId="3A837367" w14:textId="77777777" w:rsidTr="00C25740">
        <w:tc>
          <w:tcPr>
            <w:tcW w:w="9576" w:type="dxa"/>
            <w:gridSpan w:val="2"/>
          </w:tcPr>
          <w:p w14:paraId="46E7826D" w14:textId="364CB259" w:rsidR="00C25740" w:rsidRPr="00C25740" w:rsidRDefault="00C25740" w:rsidP="00C25740">
            <w:r w:rsidRPr="00C25740">
              <w:rPr>
                <w:b/>
                <w:bCs/>
              </w:rPr>
              <w:t>Нарушения на възпроизводителната система и гърдата</w:t>
            </w:r>
          </w:p>
        </w:tc>
      </w:tr>
      <w:tr w:rsidR="00C25740" w14:paraId="031375C2" w14:textId="77777777" w:rsidTr="00C25740">
        <w:tc>
          <w:tcPr>
            <w:tcW w:w="4788" w:type="dxa"/>
          </w:tcPr>
          <w:p w14:paraId="5FEF0E28" w14:textId="48EB75DB" w:rsidR="00C25740" w:rsidRPr="00C25740" w:rsidRDefault="00C25740" w:rsidP="00C25740">
            <w:r w:rsidRPr="00C25740">
              <w:t>Чести</w:t>
            </w:r>
          </w:p>
        </w:tc>
        <w:tc>
          <w:tcPr>
            <w:tcW w:w="4788" w:type="dxa"/>
          </w:tcPr>
          <w:p w14:paraId="70FF0944" w14:textId="0C1536AB" w:rsidR="00C25740" w:rsidRPr="00C25740" w:rsidRDefault="00C25740" w:rsidP="00C25740">
            <w:r w:rsidRPr="00C25740">
              <w:t>Вагинално кръвотечение</w:t>
            </w:r>
          </w:p>
        </w:tc>
      </w:tr>
      <w:tr w:rsidR="00C25740" w14:paraId="0F91A99F" w14:textId="77777777" w:rsidTr="00C25740">
        <w:tc>
          <w:tcPr>
            <w:tcW w:w="4788" w:type="dxa"/>
          </w:tcPr>
          <w:p w14:paraId="1C99574A" w14:textId="24DEE503" w:rsidR="00C25740" w:rsidRPr="00C25740" w:rsidRDefault="00C25740" w:rsidP="00C25740">
            <w:r w:rsidRPr="00C25740">
              <w:t>Нечести</w:t>
            </w:r>
          </w:p>
        </w:tc>
        <w:tc>
          <w:tcPr>
            <w:tcW w:w="4788" w:type="dxa"/>
          </w:tcPr>
          <w:p w14:paraId="41B6741F" w14:textId="160461FC" w:rsidR="00C25740" w:rsidRPr="00C25740" w:rsidRDefault="00C25740" w:rsidP="00C25740">
            <w:r w:rsidRPr="00C25740">
              <w:t>Вагинално течение, вагинална сухота, болка в гърдите</w:t>
            </w:r>
          </w:p>
        </w:tc>
      </w:tr>
      <w:tr w:rsidR="00C25740" w14:paraId="30CEFCC0" w14:textId="77777777" w:rsidTr="00C25740">
        <w:tc>
          <w:tcPr>
            <w:tcW w:w="9576" w:type="dxa"/>
            <w:gridSpan w:val="2"/>
          </w:tcPr>
          <w:p w14:paraId="40EBCAC7" w14:textId="3F0528D8" w:rsidR="00C25740" w:rsidRPr="00C25740" w:rsidRDefault="00C25740" w:rsidP="00C25740">
            <w:r w:rsidRPr="00C25740">
              <w:rPr>
                <w:b/>
                <w:bCs/>
              </w:rPr>
              <w:t>Общи нарушения и ефекти на мястото на приложение</w:t>
            </w:r>
          </w:p>
        </w:tc>
      </w:tr>
      <w:tr w:rsidR="00C25740" w14:paraId="4E206339" w14:textId="77777777" w:rsidTr="00C25740">
        <w:tc>
          <w:tcPr>
            <w:tcW w:w="4788" w:type="dxa"/>
          </w:tcPr>
          <w:p w14:paraId="0FC31E08" w14:textId="5E4DD986" w:rsidR="00C25740" w:rsidRPr="00C25740" w:rsidRDefault="00C25740" w:rsidP="00C25740">
            <w:r w:rsidRPr="00C25740">
              <w:t>Много чести</w:t>
            </w:r>
          </w:p>
        </w:tc>
        <w:tc>
          <w:tcPr>
            <w:tcW w:w="4788" w:type="dxa"/>
          </w:tcPr>
          <w:p w14:paraId="4B63C8EF" w14:textId="6B9EC59D" w:rsidR="00C25740" w:rsidRPr="00C25740" w:rsidRDefault="00C25740" w:rsidP="00C25740">
            <w:r w:rsidRPr="00C25740">
              <w:t>Умора (включително астения, общо неразположение)</w:t>
            </w:r>
          </w:p>
        </w:tc>
      </w:tr>
      <w:tr w:rsidR="00C25740" w14:paraId="1062E5BC" w14:textId="77777777" w:rsidTr="00C25740">
        <w:tc>
          <w:tcPr>
            <w:tcW w:w="4788" w:type="dxa"/>
          </w:tcPr>
          <w:p w14:paraId="4B8B58D9" w14:textId="4510135E" w:rsidR="00C25740" w:rsidRPr="00C25740" w:rsidRDefault="00C25740" w:rsidP="00C25740">
            <w:r w:rsidRPr="00C25740">
              <w:t>Чести</w:t>
            </w:r>
          </w:p>
        </w:tc>
        <w:tc>
          <w:tcPr>
            <w:tcW w:w="4788" w:type="dxa"/>
          </w:tcPr>
          <w:p w14:paraId="3BDC6030" w14:textId="14C3D664" w:rsidR="00C25740" w:rsidRPr="00C25740" w:rsidRDefault="00C25740" w:rsidP="00C25740">
            <w:r w:rsidRPr="00C25740">
              <w:t>Периферни отоци, болка в гърдите</w:t>
            </w:r>
          </w:p>
        </w:tc>
      </w:tr>
      <w:tr w:rsidR="00C25740" w14:paraId="3B611CFC" w14:textId="77777777" w:rsidTr="00C25740">
        <w:tc>
          <w:tcPr>
            <w:tcW w:w="4788" w:type="dxa"/>
          </w:tcPr>
          <w:p w14:paraId="3D141E09" w14:textId="38047A9E" w:rsidR="00C25740" w:rsidRPr="00C25740" w:rsidRDefault="00C25740" w:rsidP="00C25740">
            <w:r w:rsidRPr="00C25740">
              <w:t>Нечести</w:t>
            </w:r>
          </w:p>
        </w:tc>
        <w:tc>
          <w:tcPr>
            <w:tcW w:w="4788" w:type="dxa"/>
          </w:tcPr>
          <w:p w14:paraId="47D116B6" w14:textId="1EE0D365" w:rsidR="00C25740" w:rsidRPr="00C25740" w:rsidRDefault="00C25740" w:rsidP="00C25740">
            <w:r w:rsidRPr="00C25740">
              <w:t>Генерализиран оток, сухота на лигавиците, жажда, пирексия</w:t>
            </w:r>
          </w:p>
        </w:tc>
      </w:tr>
      <w:tr w:rsidR="00C25740" w14:paraId="608926BF" w14:textId="77777777" w:rsidTr="00C25740">
        <w:tc>
          <w:tcPr>
            <w:tcW w:w="9576" w:type="dxa"/>
            <w:gridSpan w:val="2"/>
          </w:tcPr>
          <w:p w14:paraId="316A92A9" w14:textId="3847F40C" w:rsidR="00C25740" w:rsidRPr="00C25740" w:rsidRDefault="00C25740" w:rsidP="00C25740">
            <w:r w:rsidRPr="00C25740">
              <w:rPr>
                <w:b/>
                <w:bCs/>
              </w:rPr>
              <w:t>Изследвания</w:t>
            </w:r>
          </w:p>
        </w:tc>
      </w:tr>
      <w:tr w:rsidR="00C25740" w14:paraId="6CE14329" w14:textId="77777777" w:rsidTr="00C25740">
        <w:tc>
          <w:tcPr>
            <w:tcW w:w="4788" w:type="dxa"/>
          </w:tcPr>
          <w:p w14:paraId="08A066ED" w14:textId="40CFE34C" w:rsidR="00C25740" w:rsidRPr="00C25740" w:rsidRDefault="00C25740" w:rsidP="00C25740">
            <w:r w:rsidRPr="00C25740">
              <w:t>Чести</w:t>
            </w:r>
          </w:p>
        </w:tc>
        <w:tc>
          <w:tcPr>
            <w:tcW w:w="4788" w:type="dxa"/>
          </w:tcPr>
          <w:p w14:paraId="0C99370A" w14:textId="024FB1FB" w:rsidR="00C25740" w:rsidRPr="00C25740" w:rsidRDefault="00C25740" w:rsidP="00C25740">
            <w:r w:rsidRPr="00C25740">
              <w:t>Повишение на теглото</w:t>
            </w:r>
          </w:p>
        </w:tc>
      </w:tr>
      <w:tr w:rsidR="00C25740" w14:paraId="5273EAFF" w14:textId="77777777" w:rsidTr="00C25740">
        <w:tc>
          <w:tcPr>
            <w:tcW w:w="4788" w:type="dxa"/>
          </w:tcPr>
          <w:p w14:paraId="18DA7582" w14:textId="466B95B8" w:rsidR="00C25740" w:rsidRPr="00C25740" w:rsidRDefault="00C25740" w:rsidP="00C25740">
            <w:r w:rsidRPr="00C25740">
              <w:t>Нечести</w:t>
            </w:r>
          </w:p>
        </w:tc>
        <w:tc>
          <w:tcPr>
            <w:tcW w:w="4788" w:type="dxa"/>
          </w:tcPr>
          <w:p w14:paraId="0FDAA836" w14:textId="285B7BC7" w:rsidR="00C25740" w:rsidRPr="00C25740" w:rsidRDefault="00C25740" w:rsidP="00C25740">
            <w:r w:rsidRPr="00C25740">
              <w:t>Загуба на тегло</w:t>
            </w:r>
          </w:p>
        </w:tc>
      </w:tr>
    </w:tbl>
    <w:p w14:paraId="281B3ABB" w14:textId="77777777" w:rsidR="00C25740" w:rsidRPr="00C25740" w:rsidRDefault="00C25740" w:rsidP="00C25740">
      <w:pPr>
        <w:spacing w:line="240" w:lineRule="auto"/>
        <w:rPr>
          <w:rFonts w:eastAsia="Times New Roman" w:cs="Arial"/>
        </w:rPr>
      </w:pPr>
      <w:r w:rsidRPr="00C25740">
        <w:rPr>
          <w:rFonts w:eastAsia="Times New Roman" w:cs="Arial"/>
          <w:color w:val="000000"/>
          <w:vertAlign w:val="superscript"/>
          <w:lang w:eastAsia="bg-BG"/>
        </w:rPr>
        <w:t>1</w:t>
      </w:r>
      <w:r w:rsidRPr="00C25740">
        <w:rPr>
          <w:rFonts w:eastAsia="Times New Roman" w:cs="Arial"/>
          <w:color w:val="000000"/>
          <w:lang w:eastAsia="bg-BG"/>
        </w:rPr>
        <w:t xml:space="preserve"> Нежелани реакции, съобщавани само при пациенти с метастази</w:t>
      </w:r>
    </w:p>
    <w:p w14:paraId="7013C0F1" w14:textId="77777777" w:rsidR="00C25740" w:rsidRDefault="00C25740" w:rsidP="00C25740">
      <w:pPr>
        <w:spacing w:line="240" w:lineRule="auto"/>
        <w:rPr>
          <w:rFonts w:eastAsia="Times New Roman" w:cs="Arial"/>
          <w:color w:val="000000"/>
          <w:lang w:eastAsia="bg-BG"/>
        </w:rPr>
      </w:pPr>
    </w:p>
    <w:p w14:paraId="37A8D53A" w14:textId="15BF89BC" w:rsidR="00C25740" w:rsidRPr="00C25740" w:rsidRDefault="00C25740" w:rsidP="00C25740">
      <w:pPr>
        <w:spacing w:line="240" w:lineRule="auto"/>
        <w:rPr>
          <w:rFonts w:eastAsia="Times New Roman" w:cs="Arial"/>
        </w:rPr>
      </w:pPr>
      <w:r w:rsidRPr="00C25740">
        <w:rPr>
          <w:rFonts w:eastAsia="Times New Roman" w:cs="Arial"/>
          <w:color w:val="000000"/>
          <w:lang w:eastAsia="bg-BG"/>
        </w:rPr>
        <w:t>Някои нежелани реакции се съобщават с подчертано различна честота при адювантна терапия. Следващите таблици предоставят информация за значителни разлики при летрозол спрямо тамоксифен, прилагани като монотерапия и при летрозол-тамоксифен прилагани като секвентна терапия:</w:t>
      </w:r>
    </w:p>
    <w:p w14:paraId="50B39DF4" w14:textId="77777777" w:rsidR="00C25740" w:rsidRDefault="00C25740" w:rsidP="00C25740">
      <w:pPr>
        <w:spacing w:line="240" w:lineRule="auto"/>
        <w:rPr>
          <w:rFonts w:eastAsia="Times New Roman" w:cs="Arial"/>
          <w:b/>
          <w:bCs/>
          <w:color w:val="000000"/>
          <w:lang w:eastAsia="bg-BG"/>
        </w:rPr>
      </w:pPr>
    </w:p>
    <w:p w14:paraId="6308DBDF" w14:textId="58E7D3C2" w:rsidR="00C25740" w:rsidRPr="00C25740" w:rsidRDefault="00C25740" w:rsidP="00C25740">
      <w:pPr>
        <w:spacing w:line="240" w:lineRule="auto"/>
        <w:rPr>
          <w:rFonts w:ascii="Times New Roman" w:eastAsia="Times New Roman" w:hAnsi="Times New Roman" w:cs="Times New Roman"/>
          <w:sz w:val="24"/>
          <w:szCs w:val="24"/>
        </w:rPr>
      </w:pPr>
      <w:r w:rsidRPr="00C25740">
        <w:rPr>
          <w:rFonts w:eastAsia="Times New Roman" w:cs="Arial"/>
          <w:b/>
          <w:bCs/>
          <w:color w:val="000000"/>
          <w:lang w:eastAsia="bg-BG"/>
        </w:rPr>
        <w:t>Таблица 2 Адювантна монотерапия с летрозол спрямо тамоксифен, прилаган като монотерапия — нежелани събития със сигннфикантна разлика</w:t>
      </w:r>
    </w:p>
    <w:p w14:paraId="45FDDF25" w14:textId="40DDE0FA" w:rsidR="00C25740" w:rsidRDefault="00C25740" w:rsidP="00C25740"/>
    <w:tbl>
      <w:tblPr>
        <w:tblStyle w:val="TableGrid"/>
        <w:tblW w:w="0" w:type="auto"/>
        <w:tblLook w:val="04A0" w:firstRow="1" w:lastRow="0" w:firstColumn="1" w:lastColumn="0" w:noHBand="0" w:noVBand="1"/>
      </w:tblPr>
      <w:tblGrid>
        <w:gridCol w:w="3136"/>
        <w:gridCol w:w="3104"/>
        <w:gridCol w:w="3110"/>
      </w:tblGrid>
      <w:tr w:rsidR="00C25740" w14:paraId="32F8B43C" w14:textId="77777777" w:rsidTr="00C25740">
        <w:tc>
          <w:tcPr>
            <w:tcW w:w="3192" w:type="dxa"/>
          </w:tcPr>
          <w:p w14:paraId="0ED1A220" w14:textId="77777777" w:rsidR="00C25740" w:rsidRPr="00C25740" w:rsidRDefault="00C25740" w:rsidP="00C25740"/>
        </w:tc>
        <w:tc>
          <w:tcPr>
            <w:tcW w:w="3192" w:type="dxa"/>
          </w:tcPr>
          <w:p w14:paraId="1B456996" w14:textId="37D30CBF" w:rsidR="00C25740" w:rsidRPr="00C25740" w:rsidRDefault="00C25740" w:rsidP="00C25740">
            <w:r w:rsidRPr="00C25740">
              <w:rPr>
                <w:b/>
                <w:bCs/>
              </w:rPr>
              <w:t>Летрозол, честота на нежеланото събитие</w:t>
            </w:r>
          </w:p>
        </w:tc>
        <w:tc>
          <w:tcPr>
            <w:tcW w:w="3192" w:type="dxa"/>
          </w:tcPr>
          <w:p w14:paraId="50F06FAA" w14:textId="369CBBD4" w:rsidR="00C25740" w:rsidRPr="00C25740" w:rsidRDefault="00C25740" w:rsidP="00C25740">
            <w:r w:rsidRPr="00C25740">
              <w:rPr>
                <w:b/>
                <w:bCs/>
              </w:rPr>
              <w:t>Тамоксифен, честота на нежеланото събитие</w:t>
            </w:r>
          </w:p>
        </w:tc>
      </w:tr>
      <w:tr w:rsidR="00C25740" w14:paraId="7654FDC3" w14:textId="77777777" w:rsidTr="00C25740">
        <w:tc>
          <w:tcPr>
            <w:tcW w:w="3192" w:type="dxa"/>
          </w:tcPr>
          <w:p w14:paraId="0A2735B8" w14:textId="35DE8696" w:rsidR="00C25740" w:rsidRPr="00C25740" w:rsidRDefault="00C25740" w:rsidP="00C25740">
            <w:r w:rsidRPr="00C25740">
              <w:t>Костни фрактури</w:t>
            </w:r>
          </w:p>
        </w:tc>
        <w:tc>
          <w:tcPr>
            <w:tcW w:w="3192" w:type="dxa"/>
          </w:tcPr>
          <w:p w14:paraId="1D44981B" w14:textId="34DE08C7" w:rsidR="00C25740" w:rsidRPr="00C25740" w:rsidRDefault="00C25740" w:rsidP="00C25740">
            <w:r w:rsidRPr="00C25740">
              <w:t>10,1% (13,8%)</w:t>
            </w:r>
          </w:p>
        </w:tc>
        <w:tc>
          <w:tcPr>
            <w:tcW w:w="3192" w:type="dxa"/>
          </w:tcPr>
          <w:p w14:paraId="6B8C097D" w14:textId="45037D6E" w:rsidR="00C25740" w:rsidRPr="00C25740" w:rsidRDefault="00C25740" w:rsidP="00C25740">
            <w:r w:rsidRPr="00C25740">
              <w:t>7,1% (10,5%)</w:t>
            </w:r>
          </w:p>
        </w:tc>
      </w:tr>
      <w:tr w:rsidR="00C25740" w14:paraId="7ECBBBF1" w14:textId="77777777" w:rsidTr="00C25740">
        <w:tc>
          <w:tcPr>
            <w:tcW w:w="3192" w:type="dxa"/>
          </w:tcPr>
          <w:p w14:paraId="35981DB3" w14:textId="31EFB536" w:rsidR="00C25740" w:rsidRPr="00C25740" w:rsidRDefault="00C25740" w:rsidP="00C25740">
            <w:r w:rsidRPr="00C25740">
              <w:t>Остеопороза</w:t>
            </w:r>
          </w:p>
        </w:tc>
        <w:tc>
          <w:tcPr>
            <w:tcW w:w="3192" w:type="dxa"/>
          </w:tcPr>
          <w:p w14:paraId="27B8193F" w14:textId="5407A0B3" w:rsidR="00C25740" w:rsidRPr="00C25740" w:rsidRDefault="00C25740" w:rsidP="00C25740">
            <w:r w:rsidRPr="00C25740">
              <w:t>5,1% (5,1%)</w:t>
            </w:r>
          </w:p>
        </w:tc>
        <w:tc>
          <w:tcPr>
            <w:tcW w:w="3192" w:type="dxa"/>
          </w:tcPr>
          <w:p w14:paraId="5CAD48B9" w14:textId="43ACC2D3" w:rsidR="00C25740" w:rsidRPr="00C25740" w:rsidRDefault="00C25740" w:rsidP="00C25740">
            <w:r w:rsidRPr="00C25740">
              <w:t>2,7% (2,7%)</w:t>
            </w:r>
          </w:p>
        </w:tc>
      </w:tr>
      <w:tr w:rsidR="00C25740" w14:paraId="5080C3B4" w14:textId="77777777" w:rsidTr="00C25740">
        <w:tc>
          <w:tcPr>
            <w:tcW w:w="3192" w:type="dxa"/>
          </w:tcPr>
          <w:p w14:paraId="68F60B7A" w14:textId="55BB03A6" w:rsidR="00C25740" w:rsidRPr="00C25740" w:rsidRDefault="00C25740" w:rsidP="00C25740">
            <w:r w:rsidRPr="00C25740">
              <w:t>Тромбоемболични събития</w:t>
            </w:r>
          </w:p>
        </w:tc>
        <w:tc>
          <w:tcPr>
            <w:tcW w:w="3192" w:type="dxa"/>
          </w:tcPr>
          <w:p w14:paraId="42233C22" w14:textId="0287DFD5" w:rsidR="00C25740" w:rsidRPr="00C25740" w:rsidRDefault="00C25740" w:rsidP="00C25740">
            <w:r w:rsidRPr="00C25740">
              <w:t>2,1% (2,9%)</w:t>
            </w:r>
          </w:p>
        </w:tc>
        <w:tc>
          <w:tcPr>
            <w:tcW w:w="3192" w:type="dxa"/>
          </w:tcPr>
          <w:p w14:paraId="5CC6C502" w14:textId="31A2B0C4" w:rsidR="00C25740" w:rsidRPr="00C25740" w:rsidRDefault="00C25740" w:rsidP="00C25740">
            <w:r w:rsidRPr="00C25740">
              <w:t>3,6% (4,5%)</w:t>
            </w:r>
          </w:p>
        </w:tc>
      </w:tr>
      <w:tr w:rsidR="00C25740" w14:paraId="27B0ACBA" w14:textId="77777777" w:rsidTr="00C25740">
        <w:tc>
          <w:tcPr>
            <w:tcW w:w="3192" w:type="dxa"/>
          </w:tcPr>
          <w:p w14:paraId="76E0B265" w14:textId="4964267F" w:rsidR="00C25740" w:rsidRPr="00C25740" w:rsidRDefault="00C25740" w:rsidP="00C25740">
            <w:r w:rsidRPr="00C25740">
              <w:t>Миокарден инфаркт</w:t>
            </w:r>
          </w:p>
        </w:tc>
        <w:tc>
          <w:tcPr>
            <w:tcW w:w="3192" w:type="dxa"/>
          </w:tcPr>
          <w:p w14:paraId="2528BD03" w14:textId="2225B812" w:rsidR="00C25740" w:rsidRPr="00C25740" w:rsidRDefault="00C25740" w:rsidP="00C25740">
            <w:r w:rsidRPr="00C25740">
              <w:t>1,0% (1,5%)</w:t>
            </w:r>
          </w:p>
        </w:tc>
        <w:tc>
          <w:tcPr>
            <w:tcW w:w="3192" w:type="dxa"/>
          </w:tcPr>
          <w:p w14:paraId="26E7DA5B" w14:textId="1C134D87" w:rsidR="00C25740" w:rsidRPr="00C25740" w:rsidRDefault="00C25740" w:rsidP="00C25740">
            <w:r w:rsidRPr="00C25740">
              <w:t>0,5% (1,0%)</w:t>
            </w:r>
          </w:p>
        </w:tc>
      </w:tr>
      <w:tr w:rsidR="00C25740" w14:paraId="3D793CD9" w14:textId="77777777" w:rsidTr="00C25740">
        <w:tc>
          <w:tcPr>
            <w:tcW w:w="3192" w:type="dxa"/>
          </w:tcPr>
          <w:p w14:paraId="2B91F65B" w14:textId="77777777" w:rsidR="00C25740" w:rsidRPr="00C25740" w:rsidRDefault="00C25740" w:rsidP="00C25740">
            <w:r w:rsidRPr="00C25740">
              <w:t>Хиперплазия</w:t>
            </w:r>
            <w:r w:rsidRPr="00C25740">
              <w:tab/>
              <w:t>на</w:t>
            </w:r>
          </w:p>
          <w:p w14:paraId="3FDF22FA" w14:textId="19A4D162" w:rsidR="00C25740" w:rsidRPr="00C25740" w:rsidRDefault="00C25740" w:rsidP="00C25740">
            <w:r w:rsidRPr="00C25740">
              <w:t>ендометриума/ рак на ендометриума</w:t>
            </w:r>
          </w:p>
        </w:tc>
        <w:tc>
          <w:tcPr>
            <w:tcW w:w="3192" w:type="dxa"/>
          </w:tcPr>
          <w:p w14:paraId="6E4DAEA1" w14:textId="63016BA6" w:rsidR="00C25740" w:rsidRPr="00C25740" w:rsidRDefault="00C25740" w:rsidP="00C25740">
            <w:r w:rsidRPr="00C25740">
              <w:t>0,2% (0,4%)</w:t>
            </w:r>
          </w:p>
        </w:tc>
        <w:tc>
          <w:tcPr>
            <w:tcW w:w="3192" w:type="dxa"/>
          </w:tcPr>
          <w:p w14:paraId="35314037" w14:textId="488BB158" w:rsidR="00C25740" w:rsidRPr="00C25740" w:rsidRDefault="00C25740" w:rsidP="00C25740">
            <w:r w:rsidRPr="00C25740">
              <w:t>2,3% (2,9%)</w:t>
            </w:r>
          </w:p>
        </w:tc>
      </w:tr>
      <w:tr w:rsidR="00C25740" w14:paraId="63CE822C" w14:textId="77777777" w:rsidTr="00C25740">
        <w:tc>
          <w:tcPr>
            <w:tcW w:w="9576" w:type="dxa"/>
            <w:gridSpan w:val="3"/>
          </w:tcPr>
          <w:p w14:paraId="6CED39C7" w14:textId="493028CE" w:rsidR="00C25740" w:rsidRPr="00C25740" w:rsidRDefault="00C25740" w:rsidP="00C25740">
            <w:r w:rsidRPr="00C25740">
              <w:lastRenderedPageBreak/>
              <w:t xml:space="preserve">Забележка: Периодът „По време на лечението“ включва 30 дни след последната доза. „По всяко време“ включва периода на проследяване след завършване или прекратяване на </w:t>
            </w:r>
            <w:r w:rsidRPr="00C25740">
              <w:rPr>
                <w:u w:val="single"/>
              </w:rPr>
              <w:t>лечението по време на изпитване</w:t>
            </w:r>
            <w:r w:rsidRPr="00C25740">
              <w:t>то.</w:t>
            </w:r>
          </w:p>
        </w:tc>
      </w:tr>
    </w:tbl>
    <w:p w14:paraId="1B0CA160" w14:textId="579A4CAA" w:rsidR="00C25740" w:rsidRDefault="00C25740" w:rsidP="00C25740"/>
    <w:p w14:paraId="557BE9D4" w14:textId="6398A488" w:rsidR="00C25740" w:rsidRDefault="00C25740" w:rsidP="00C25740">
      <w:pPr>
        <w:rPr>
          <w:b/>
        </w:rPr>
      </w:pPr>
      <w:r w:rsidRPr="00C25740">
        <w:rPr>
          <w:b/>
        </w:rPr>
        <w:t>Таблица 3 Секвентна терапия спрямо летрозол, прилагана като монотерапия - нежелани събития със сигнифнкантна разлика</w:t>
      </w:r>
    </w:p>
    <w:tbl>
      <w:tblPr>
        <w:tblStyle w:val="TableGrid"/>
        <w:tblW w:w="0" w:type="auto"/>
        <w:tblLook w:val="04A0" w:firstRow="1" w:lastRow="0" w:firstColumn="1" w:lastColumn="0" w:noHBand="0" w:noVBand="1"/>
      </w:tblPr>
      <w:tblGrid>
        <w:gridCol w:w="2555"/>
        <w:gridCol w:w="2264"/>
        <w:gridCol w:w="2268"/>
        <w:gridCol w:w="2263"/>
      </w:tblGrid>
      <w:tr w:rsidR="00C25740" w14:paraId="0E0D67F6" w14:textId="77777777" w:rsidTr="00C25740">
        <w:tc>
          <w:tcPr>
            <w:tcW w:w="2394" w:type="dxa"/>
          </w:tcPr>
          <w:p w14:paraId="20688E61" w14:textId="77777777" w:rsidR="00C25740" w:rsidRPr="00C25740" w:rsidRDefault="00C25740" w:rsidP="00C25740">
            <w:pPr>
              <w:rPr>
                <w:b/>
              </w:rPr>
            </w:pPr>
          </w:p>
        </w:tc>
        <w:tc>
          <w:tcPr>
            <w:tcW w:w="2394" w:type="dxa"/>
          </w:tcPr>
          <w:p w14:paraId="662AF2C8" w14:textId="7ED99FA6" w:rsidR="00C25740" w:rsidRPr="00C25740" w:rsidRDefault="00C25740" w:rsidP="00C25740">
            <w:pPr>
              <w:rPr>
                <w:b/>
              </w:rPr>
            </w:pPr>
            <w:r w:rsidRPr="00C25740">
              <w:rPr>
                <w:b/>
                <w:bCs/>
              </w:rPr>
              <w:t>Летрозол като монотерапия</w:t>
            </w:r>
          </w:p>
        </w:tc>
        <w:tc>
          <w:tcPr>
            <w:tcW w:w="2394" w:type="dxa"/>
          </w:tcPr>
          <w:p w14:paraId="18B0D0CE" w14:textId="7DCEB171" w:rsidR="00C25740" w:rsidRPr="00C25740" w:rsidRDefault="00C25740" w:rsidP="00C25740">
            <w:pPr>
              <w:rPr>
                <w:b/>
              </w:rPr>
            </w:pPr>
            <w:r w:rsidRPr="00C25740">
              <w:rPr>
                <w:b/>
                <w:bCs/>
              </w:rPr>
              <w:t>Летрозол- &gt;тамоксифен</w:t>
            </w:r>
          </w:p>
        </w:tc>
        <w:tc>
          <w:tcPr>
            <w:tcW w:w="2394" w:type="dxa"/>
          </w:tcPr>
          <w:p w14:paraId="7D7A2BEA" w14:textId="77777777" w:rsidR="00C25740" w:rsidRPr="00C25740" w:rsidRDefault="00C25740" w:rsidP="00C25740">
            <w:r w:rsidRPr="00C25740">
              <w:rPr>
                <w:b/>
                <w:bCs/>
              </w:rPr>
              <w:t>Тамоксифен-</w:t>
            </w:r>
          </w:p>
          <w:p w14:paraId="524722C3" w14:textId="52F3B78D" w:rsidR="00C25740" w:rsidRPr="00C25740" w:rsidRDefault="00C25740" w:rsidP="00C25740">
            <w:pPr>
              <w:rPr>
                <w:b/>
              </w:rPr>
            </w:pPr>
            <w:r w:rsidRPr="00C25740">
              <w:rPr>
                <w:b/>
                <w:bCs/>
              </w:rPr>
              <w:t>&gt;Летрозол</w:t>
            </w:r>
          </w:p>
        </w:tc>
      </w:tr>
      <w:tr w:rsidR="00C25740" w14:paraId="76B2E2FB" w14:textId="77777777" w:rsidTr="00C25740">
        <w:tc>
          <w:tcPr>
            <w:tcW w:w="2394" w:type="dxa"/>
          </w:tcPr>
          <w:p w14:paraId="335A0908" w14:textId="6AD58CB0" w:rsidR="00C25740" w:rsidRPr="00C25740" w:rsidRDefault="00C25740" w:rsidP="00C25740">
            <w:pPr>
              <w:rPr>
                <w:b/>
              </w:rPr>
            </w:pPr>
            <w:r w:rsidRPr="00C25740">
              <w:t>Костни фрактури</w:t>
            </w:r>
          </w:p>
        </w:tc>
        <w:tc>
          <w:tcPr>
            <w:tcW w:w="2394" w:type="dxa"/>
          </w:tcPr>
          <w:p w14:paraId="20194862" w14:textId="1D832E6E" w:rsidR="00C25740" w:rsidRPr="00C25740" w:rsidRDefault="00C25740" w:rsidP="00C25740">
            <w:pPr>
              <w:rPr>
                <w:b/>
              </w:rPr>
            </w:pPr>
            <w:r w:rsidRPr="00C25740">
              <w:t>9,9%</w:t>
            </w:r>
          </w:p>
        </w:tc>
        <w:tc>
          <w:tcPr>
            <w:tcW w:w="2394" w:type="dxa"/>
          </w:tcPr>
          <w:p w14:paraId="04FA8E3A" w14:textId="4C98FA6B" w:rsidR="00C25740" w:rsidRPr="00C25740" w:rsidRDefault="00C25740" w:rsidP="00C25740">
            <w:pPr>
              <w:rPr>
                <w:b/>
              </w:rPr>
            </w:pPr>
            <w:r w:rsidRPr="00C25740">
              <w:t>7,6%*</w:t>
            </w:r>
          </w:p>
        </w:tc>
        <w:tc>
          <w:tcPr>
            <w:tcW w:w="2394" w:type="dxa"/>
          </w:tcPr>
          <w:p w14:paraId="1B2F0A82" w14:textId="23CBA726" w:rsidR="00C25740" w:rsidRPr="00C25740" w:rsidRDefault="00C25740" w:rsidP="00C25740">
            <w:pPr>
              <w:rPr>
                <w:b/>
              </w:rPr>
            </w:pPr>
            <w:r w:rsidRPr="00C25740">
              <w:rPr>
                <w:rFonts w:cs="Arial"/>
              </w:rPr>
              <w:t>9,6%</w:t>
            </w:r>
          </w:p>
        </w:tc>
      </w:tr>
      <w:tr w:rsidR="00C25740" w14:paraId="2893C14D" w14:textId="77777777" w:rsidTr="00C25740">
        <w:tc>
          <w:tcPr>
            <w:tcW w:w="2394" w:type="dxa"/>
          </w:tcPr>
          <w:p w14:paraId="47BABB82" w14:textId="56D83332" w:rsidR="00C25740" w:rsidRPr="00C25740" w:rsidRDefault="00C25740" w:rsidP="00C25740">
            <w:pPr>
              <w:rPr>
                <w:b/>
              </w:rPr>
            </w:pPr>
            <w:r w:rsidRPr="00C25740">
              <w:t>Пролиферативни нарушения на ендометриума</w:t>
            </w:r>
          </w:p>
        </w:tc>
        <w:tc>
          <w:tcPr>
            <w:tcW w:w="2394" w:type="dxa"/>
          </w:tcPr>
          <w:p w14:paraId="61B83BAC" w14:textId="3F30EF90" w:rsidR="00C25740" w:rsidRPr="00C25740" w:rsidRDefault="00C25740" w:rsidP="00C25740">
            <w:pPr>
              <w:rPr>
                <w:b/>
              </w:rPr>
            </w:pPr>
            <w:r w:rsidRPr="00C25740">
              <w:t>0,7%</w:t>
            </w:r>
          </w:p>
        </w:tc>
        <w:tc>
          <w:tcPr>
            <w:tcW w:w="2394" w:type="dxa"/>
          </w:tcPr>
          <w:p w14:paraId="73D62054" w14:textId="53633E74" w:rsidR="00C25740" w:rsidRPr="00C25740" w:rsidRDefault="00C25740" w:rsidP="00C25740">
            <w:pPr>
              <w:rPr>
                <w:b/>
              </w:rPr>
            </w:pPr>
            <w:r w:rsidRPr="00C25740">
              <w:t>3,4%**</w:t>
            </w:r>
          </w:p>
        </w:tc>
        <w:tc>
          <w:tcPr>
            <w:tcW w:w="2394" w:type="dxa"/>
          </w:tcPr>
          <w:p w14:paraId="78A33777" w14:textId="215FCB7F" w:rsidR="00C25740" w:rsidRPr="00C25740" w:rsidRDefault="00C25740" w:rsidP="00C25740">
            <w:pPr>
              <w:rPr>
                <w:b/>
              </w:rPr>
            </w:pPr>
            <w:r w:rsidRPr="00C25740">
              <w:rPr>
                <w:rFonts w:cs="Arial"/>
              </w:rPr>
              <w:t>1,7%</w:t>
            </w:r>
          </w:p>
        </w:tc>
      </w:tr>
      <w:tr w:rsidR="00C25740" w14:paraId="3BAA5BFB" w14:textId="77777777" w:rsidTr="00C25740">
        <w:tc>
          <w:tcPr>
            <w:tcW w:w="2394" w:type="dxa"/>
          </w:tcPr>
          <w:p w14:paraId="476B5E32" w14:textId="730E9B6E" w:rsidR="00C25740" w:rsidRPr="00C25740" w:rsidRDefault="00C25740" w:rsidP="00C25740">
            <w:pPr>
              <w:rPr>
                <w:b/>
              </w:rPr>
            </w:pPr>
            <w:r w:rsidRPr="00C25740">
              <w:t>Xиперхолестеролемия</w:t>
            </w:r>
          </w:p>
        </w:tc>
        <w:tc>
          <w:tcPr>
            <w:tcW w:w="2394" w:type="dxa"/>
          </w:tcPr>
          <w:p w14:paraId="7D0978FB" w14:textId="126DB211" w:rsidR="00C25740" w:rsidRPr="00C25740" w:rsidRDefault="00C25740" w:rsidP="00C25740">
            <w:pPr>
              <w:rPr>
                <w:b/>
              </w:rPr>
            </w:pPr>
            <w:r w:rsidRPr="00C25740">
              <w:t>52,5%</w:t>
            </w:r>
          </w:p>
        </w:tc>
        <w:tc>
          <w:tcPr>
            <w:tcW w:w="2394" w:type="dxa"/>
          </w:tcPr>
          <w:p w14:paraId="6F7326B3" w14:textId="1554E742" w:rsidR="00C25740" w:rsidRPr="00C25740" w:rsidRDefault="00C25740" w:rsidP="00C25740">
            <w:pPr>
              <w:rPr>
                <w:b/>
              </w:rPr>
            </w:pPr>
            <w:r w:rsidRPr="00C25740">
              <w:t>44,2%*</w:t>
            </w:r>
          </w:p>
        </w:tc>
        <w:tc>
          <w:tcPr>
            <w:tcW w:w="2394" w:type="dxa"/>
          </w:tcPr>
          <w:p w14:paraId="2FA08210" w14:textId="7538817A" w:rsidR="00C25740" w:rsidRPr="00C25740" w:rsidRDefault="00C25740" w:rsidP="00C25740">
            <w:pPr>
              <w:rPr>
                <w:b/>
              </w:rPr>
            </w:pPr>
            <w:r w:rsidRPr="00C25740">
              <w:rPr>
                <w:rFonts w:cs="Arial"/>
              </w:rPr>
              <w:t>40,8%</w:t>
            </w:r>
          </w:p>
        </w:tc>
      </w:tr>
      <w:tr w:rsidR="00C25740" w14:paraId="63D7B9A8" w14:textId="77777777" w:rsidTr="00C25740">
        <w:tc>
          <w:tcPr>
            <w:tcW w:w="2394" w:type="dxa"/>
          </w:tcPr>
          <w:p w14:paraId="1197808E" w14:textId="13CC0F7F" w:rsidR="00C25740" w:rsidRPr="00C25740" w:rsidRDefault="00C25740" w:rsidP="00C25740">
            <w:pPr>
              <w:rPr>
                <w:b/>
              </w:rPr>
            </w:pPr>
            <w:r w:rsidRPr="00C25740">
              <w:t>Горещи вълни</w:t>
            </w:r>
          </w:p>
        </w:tc>
        <w:tc>
          <w:tcPr>
            <w:tcW w:w="2394" w:type="dxa"/>
          </w:tcPr>
          <w:p w14:paraId="7C2B8F4A" w14:textId="167B3D73" w:rsidR="00C25740" w:rsidRPr="00C25740" w:rsidRDefault="00C25740" w:rsidP="00C25740">
            <w:pPr>
              <w:rPr>
                <w:b/>
              </w:rPr>
            </w:pPr>
            <w:r w:rsidRPr="00C25740">
              <w:t>37,7%</w:t>
            </w:r>
          </w:p>
        </w:tc>
        <w:tc>
          <w:tcPr>
            <w:tcW w:w="2394" w:type="dxa"/>
          </w:tcPr>
          <w:p w14:paraId="2E250391" w14:textId="10F1351B" w:rsidR="00C25740" w:rsidRPr="00C25740" w:rsidRDefault="00C25740" w:rsidP="00C25740">
            <w:pPr>
              <w:rPr>
                <w:b/>
              </w:rPr>
            </w:pPr>
            <w:r w:rsidRPr="00C25740">
              <w:t>41,7%**</w:t>
            </w:r>
          </w:p>
        </w:tc>
        <w:tc>
          <w:tcPr>
            <w:tcW w:w="2394" w:type="dxa"/>
          </w:tcPr>
          <w:p w14:paraId="5D06AAEA" w14:textId="108EF57F" w:rsidR="00C25740" w:rsidRPr="00C25740" w:rsidRDefault="00C25740" w:rsidP="00C25740">
            <w:pPr>
              <w:rPr>
                <w:b/>
              </w:rPr>
            </w:pPr>
            <w:r w:rsidRPr="00C25740">
              <w:rPr>
                <w:rFonts w:cs="Arial"/>
              </w:rPr>
              <w:t>43,9%</w:t>
            </w:r>
          </w:p>
        </w:tc>
      </w:tr>
      <w:tr w:rsidR="00C25740" w14:paraId="1FC306E7" w14:textId="77777777" w:rsidTr="00C25740">
        <w:tc>
          <w:tcPr>
            <w:tcW w:w="2394" w:type="dxa"/>
          </w:tcPr>
          <w:p w14:paraId="65FA5C63" w14:textId="576CD4D0" w:rsidR="00C25740" w:rsidRPr="00C25740" w:rsidRDefault="00C25740" w:rsidP="00C25740">
            <w:pPr>
              <w:rPr>
                <w:b/>
              </w:rPr>
            </w:pPr>
            <w:r w:rsidRPr="00C25740">
              <w:rPr>
                <w:u w:val="single"/>
              </w:rPr>
              <w:t>Вагинално кървене</w:t>
            </w:r>
          </w:p>
        </w:tc>
        <w:tc>
          <w:tcPr>
            <w:tcW w:w="2394" w:type="dxa"/>
          </w:tcPr>
          <w:p w14:paraId="50B7338E" w14:textId="052D1AF0" w:rsidR="00C25740" w:rsidRPr="00C25740" w:rsidRDefault="00C25740" w:rsidP="00C25740">
            <w:pPr>
              <w:rPr>
                <w:b/>
              </w:rPr>
            </w:pPr>
            <w:r w:rsidRPr="00C25740">
              <w:t>6,3%</w:t>
            </w:r>
          </w:p>
        </w:tc>
        <w:tc>
          <w:tcPr>
            <w:tcW w:w="2394" w:type="dxa"/>
          </w:tcPr>
          <w:p w14:paraId="1F41B684" w14:textId="2E6F27D4" w:rsidR="00C25740" w:rsidRPr="00C25740" w:rsidRDefault="00C25740" w:rsidP="00C25740">
            <w:pPr>
              <w:rPr>
                <w:b/>
              </w:rPr>
            </w:pPr>
            <w:r w:rsidRPr="00C25740">
              <w:t>9,6%**</w:t>
            </w:r>
          </w:p>
        </w:tc>
        <w:tc>
          <w:tcPr>
            <w:tcW w:w="2394" w:type="dxa"/>
          </w:tcPr>
          <w:p w14:paraId="370396F5" w14:textId="7957C428" w:rsidR="00C25740" w:rsidRPr="00C25740" w:rsidRDefault="00C25740" w:rsidP="00C25740">
            <w:pPr>
              <w:rPr>
                <w:b/>
              </w:rPr>
            </w:pPr>
            <w:r w:rsidRPr="00C25740">
              <w:rPr>
                <w:rFonts w:cs="Arial"/>
              </w:rPr>
              <w:t>12,7%</w:t>
            </w:r>
          </w:p>
        </w:tc>
      </w:tr>
    </w:tbl>
    <w:p w14:paraId="71ECDA7B" w14:textId="370D320F" w:rsidR="00C25740" w:rsidRDefault="00C25740" w:rsidP="00C25740">
      <w:pPr>
        <w:rPr>
          <w:b/>
        </w:rPr>
      </w:pPr>
    </w:p>
    <w:p w14:paraId="34984FAD" w14:textId="5FA05485" w:rsidR="00C25740" w:rsidRPr="00C25740" w:rsidRDefault="00C25740" w:rsidP="00C25740">
      <w:pPr>
        <w:spacing w:line="240" w:lineRule="auto"/>
        <w:rPr>
          <w:rFonts w:eastAsia="Times New Roman" w:cs="Arial"/>
        </w:rPr>
      </w:pPr>
      <w:r>
        <w:rPr>
          <w:rFonts w:eastAsia="Times New Roman" w:cs="Arial"/>
          <w:color w:val="000000"/>
          <w:lang w:eastAsia="bg-BG"/>
        </w:rPr>
        <w:t>М</w:t>
      </w:r>
      <w:r w:rsidRPr="00C25740">
        <w:rPr>
          <w:rFonts w:eastAsia="Times New Roman" w:cs="Arial"/>
          <w:color w:val="000000"/>
          <w:lang w:eastAsia="bg-BG"/>
        </w:rPr>
        <w:t xml:space="preserve">етастази </w:t>
      </w:r>
      <w:r w:rsidRPr="00C25740">
        <w:rPr>
          <w:rFonts w:eastAsia="Times New Roman" w:cs="Arial"/>
          <w:color w:val="000000"/>
          <w:lang w:val="ru-RU"/>
        </w:rPr>
        <w:t>(</w:t>
      </w:r>
      <w:r w:rsidRPr="00C25740">
        <w:rPr>
          <w:rFonts w:eastAsia="Times New Roman" w:cs="Arial"/>
          <w:color w:val="000000"/>
          <w:lang w:val="en-US"/>
        </w:rPr>
        <w:t>DDFS</w:t>
      </w:r>
      <w:r w:rsidRPr="00C25740">
        <w:rPr>
          <w:rFonts w:eastAsia="Times New Roman" w:cs="Arial"/>
          <w:color w:val="000000"/>
          <w:lang w:val="ru-RU"/>
        </w:rPr>
        <w:t xml:space="preserve">), </w:t>
      </w:r>
      <w:r w:rsidRPr="00C25740">
        <w:rPr>
          <w:rFonts w:eastAsia="Times New Roman" w:cs="Arial"/>
          <w:color w:val="000000"/>
          <w:lang w:eastAsia="bg-BG"/>
        </w:rPr>
        <w:t xml:space="preserve">обща преживяемост </w:t>
      </w:r>
      <w:r w:rsidRPr="00C25740">
        <w:rPr>
          <w:rFonts w:eastAsia="Times New Roman" w:cs="Arial"/>
          <w:color w:val="000000"/>
          <w:lang w:val="ru-RU"/>
        </w:rPr>
        <w:t>(</w:t>
      </w:r>
      <w:r w:rsidRPr="00C25740">
        <w:rPr>
          <w:rFonts w:eastAsia="Times New Roman" w:cs="Arial"/>
          <w:color w:val="000000"/>
          <w:lang w:val="en-US"/>
        </w:rPr>
        <w:t>OS</w:t>
      </w:r>
      <w:r w:rsidRPr="00C25740">
        <w:rPr>
          <w:rFonts w:eastAsia="Times New Roman" w:cs="Arial"/>
          <w:color w:val="000000"/>
          <w:lang w:val="ru-RU"/>
        </w:rPr>
        <w:t xml:space="preserve">), </w:t>
      </w:r>
      <w:r w:rsidRPr="00C25740">
        <w:rPr>
          <w:rFonts w:eastAsia="Times New Roman" w:cs="Arial"/>
          <w:color w:val="000000"/>
          <w:lang w:eastAsia="bg-BG"/>
        </w:rPr>
        <w:t xml:space="preserve">преживяемост без системно заболяване </w:t>
      </w:r>
      <w:r w:rsidRPr="00C25740">
        <w:rPr>
          <w:rFonts w:eastAsia="Times New Roman" w:cs="Arial"/>
          <w:color w:val="000000"/>
          <w:lang w:val="ru-RU"/>
        </w:rPr>
        <w:t>(</w:t>
      </w:r>
      <w:r w:rsidRPr="00C25740">
        <w:rPr>
          <w:rFonts w:eastAsia="Times New Roman" w:cs="Arial"/>
          <w:color w:val="000000"/>
          <w:lang w:val="en-US"/>
        </w:rPr>
        <w:t>SDFS</w:t>
      </w:r>
      <w:r w:rsidRPr="00C25740">
        <w:rPr>
          <w:rFonts w:eastAsia="Times New Roman" w:cs="Arial"/>
          <w:color w:val="000000"/>
          <w:lang w:val="ru-RU"/>
        </w:rPr>
        <w:t xml:space="preserve">), </w:t>
      </w:r>
      <w:r w:rsidRPr="00C25740">
        <w:rPr>
          <w:rFonts w:eastAsia="Times New Roman" w:cs="Arial"/>
          <w:color w:val="000000"/>
          <w:lang w:eastAsia="bg-BG"/>
        </w:rPr>
        <w:t>инвазивен контралатерален рак на гурдата и време до рецидив на рака на гърдата.</w:t>
      </w:r>
    </w:p>
    <w:p w14:paraId="0C4502B8" w14:textId="77777777" w:rsidR="00C25740" w:rsidRDefault="00C25740" w:rsidP="00C25740">
      <w:pPr>
        <w:spacing w:line="240" w:lineRule="auto"/>
        <w:rPr>
          <w:rFonts w:eastAsia="Times New Roman" w:cs="Arial"/>
          <w:i/>
          <w:iCs/>
          <w:color w:val="000000"/>
          <w:lang w:eastAsia="bg-BG"/>
        </w:rPr>
      </w:pPr>
    </w:p>
    <w:p w14:paraId="523566BB" w14:textId="4D7B3FA2" w:rsidR="00C25740" w:rsidRPr="00C25740" w:rsidRDefault="00C25740" w:rsidP="00C25740">
      <w:pPr>
        <w:spacing w:line="240" w:lineRule="auto"/>
        <w:rPr>
          <w:rFonts w:eastAsia="Times New Roman" w:cs="Arial"/>
        </w:rPr>
      </w:pPr>
      <w:r w:rsidRPr="00C25740">
        <w:rPr>
          <w:rFonts w:eastAsia="Times New Roman" w:cs="Arial"/>
          <w:i/>
          <w:iCs/>
          <w:color w:val="000000"/>
          <w:lang w:eastAsia="bg-BG"/>
        </w:rPr>
        <w:t>Данни за ефикасност при медиана на проследяване 26 и 60 месеца</w:t>
      </w:r>
    </w:p>
    <w:p w14:paraId="65B2FE54"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Данните в Таблица 4 отразяват резултатите от Първичния основен анализ на проучването (РСА), базиран на данните от рамената на монотерапия (А и Б) и от двете рамена, при които има смяна на терапията (В и Г), при медиана на продължителност 24 месеца и медиана на проследяване 26 месеца, и при медиана на продължителност на лечението 32 месеца и медиана на проследяване 60 месеца.</w:t>
      </w:r>
    </w:p>
    <w:p w14:paraId="0839BF46" w14:textId="77777777" w:rsidR="00C25740" w:rsidRDefault="00C25740" w:rsidP="00C25740">
      <w:pPr>
        <w:spacing w:line="240" w:lineRule="auto"/>
        <w:rPr>
          <w:rFonts w:eastAsia="Times New Roman" w:cs="Arial"/>
          <w:color w:val="000000"/>
          <w:lang w:eastAsia="bg-BG"/>
        </w:rPr>
      </w:pPr>
    </w:p>
    <w:p w14:paraId="1ED3DA06" w14:textId="4E8610A7" w:rsidR="00C25740" w:rsidRPr="00C25740" w:rsidRDefault="00C25740" w:rsidP="00C25740">
      <w:pPr>
        <w:spacing w:line="240" w:lineRule="auto"/>
        <w:rPr>
          <w:rFonts w:eastAsia="Times New Roman" w:cs="Arial"/>
        </w:rPr>
      </w:pPr>
      <w:r w:rsidRPr="00C25740">
        <w:rPr>
          <w:rFonts w:eastAsia="Times New Roman" w:cs="Arial"/>
          <w:color w:val="000000"/>
          <w:lang w:eastAsia="bg-BG"/>
        </w:rPr>
        <w:t>Процентът на 5-годишната преживяемост без заболяване е 84% при летрозол и 81,4% при тамоксифен.</w:t>
      </w:r>
    </w:p>
    <w:p w14:paraId="799D9967" w14:textId="77777777" w:rsidR="00C25740" w:rsidRDefault="00C25740" w:rsidP="00C25740">
      <w:pPr>
        <w:spacing w:line="240" w:lineRule="auto"/>
        <w:rPr>
          <w:rFonts w:eastAsia="Times New Roman" w:cs="Arial"/>
          <w:b/>
          <w:bCs/>
          <w:color w:val="000000"/>
          <w:lang w:eastAsia="bg-BG"/>
        </w:rPr>
      </w:pPr>
    </w:p>
    <w:p w14:paraId="405FD52C" w14:textId="2A6B836C" w:rsidR="00C25740" w:rsidRPr="00C25740" w:rsidRDefault="00C25740" w:rsidP="00C25740">
      <w:pPr>
        <w:spacing w:line="240" w:lineRule="auto"/>
        <w:rPr>
          <w:rFonts w:eastAsia="Times New Roman" w:cs="Arial"/>
        </w:rPr>
      </w:pPr>
      <w:r w:rsidRPr="00C25740">
        <w:rPr>
          <w:rFonts w:eastAsia="Times New Roman" w:cs="Arial"/>
          <w:b/>
          <w:bCs/>
          <w:color w:val="000000"/>
          <w:lang w:eastAsia="bg-BG"/>
        </w:rPr>
        <w:t xml:space="preserve">Таблица 4 Първичен анализ на проучването: Преживяемост без заболяване и обща преживяемост при средно проследяване от 26 месеца и средно проследяване от 60 месеца </w:t>
      </w:r>
      <w:r w:rsidRPr="00C25740">
        <w:rPr>
          <w:rFonts w:eastAsia="Times New Roman" w:cs="Arial"/>
          <w:b/>
          <w:bCs/>
          <w:color w:val="000000"/>
          <w:lang w:val="ru-RU"/>
        </w:rPr>
        <w:t>(</w:t>
      </w:r>
      <w:r w:rsidRPr="00C25740">
        <w:rPr>
          <w:rFonts w:eastAsia="Times New Roman" w:cs="Arial"/>
          <w:b/>
          <w:bCs/>
          <w:color w:val="000000"/>
          <w:lang w:val="en-US"/>
        </w:rPr>
        <w:t>ITT</w:t>
      </w:r>
      <w:r w:rsidRPr="00C25740">
        <w:rPr>
          <w:rFonts w:eastAsia="Times New Roman" w:cs="Arial"/>
          <w:b/>
          <w:bCs/>
          <w:color w:val="000000"/>
          <w:lang w:val="ru-RU"/>
        </w:rPr>
        <w:t xml:space="preserve"> </w:t>
      </w:r>
      <w:r w:rsidRPr="00C25740">
        <w:rPr>
          <w:rFonts w:eastAsia="Times New Roman" w:cs="Arial"/>
          <w:b/>
          <w:bCs/>
          <w:color w:val="000000"/>
          <w:lang w:eastAsia="bg-BG"/>
        </w:rPr>
        <w:t>популация)</w:t>
      </w:r>
    </w:p>
    <w:p w14:paraId="10464949" w14:textId="24D75C91" w:rsidR="00C25740" w:rsidRDefault="00C25740" w:rsidP="00C25740">
      <w:pPr>
        <w:rPr>
          <w:b/>
        </w:rPr>
      </w:pPr>
    </w:p>
    <w:tbl>
      <w:tblPr>
        <w:tblStyle w:val="TableGrid"/>
        <w:tblW w:w="0" w:type="auto"/>
        <w:tblLook w:val="04A0" w:firstRow="1" w:lastRow="0" w:firstColumn="1" w:lastColumn="0" w:noHBand="0" w:noVBand="1"/>
      </w:tblPr>
      <w:tblGrid>
        <w:gridCol w:w="1749"/>
        <w:gridCol w:w="1267"/>
        <w:gridCol w:w="1586"/>
        <w:gridCol w:w="947"/>
        <w:gridCol w:w="1268"/>
        <w:gridCol w:w="1586"/>
        <w:gridCol w:w="947"/>
      </w:tblGrid>
      <w:tr w:rsidR="00C25740" w14:paraId="20B0FEB7" w14:textId="77777777" w:rsidTr="00C25740">
        <w:tc>
          <w:tcPr>
            <w:tcW w:w="9576" w:type="dxa"/>
            <w:gridSpan w:val="7"/>
          </w:tcPr>
          <w:p w14:paraId="58967FC8" w14:textId="59E9DADA" w:rsidR="00C25740" w:rsidRDefault="00C25740" w:rsidP="00C25740">
            <w:pPr>
              <w:jc w:val="center"/>
              <w:rPr>
                <w:b/>
              </w:rPr>
            </w:pPr>
            <w:r w:rsidRPr="00C25740">
              <w:rPr>
                <w:b/>
                <w:bCs/>
              </w:rPr>
              <w:t>Първичен анализ на проучването</w:t>
            </w:r>
          </w:p>
        </w:tc>
      </w:tr>
      <w:tr w:rsidR="00C25740" w14:paraId="3B41BA6E" w14:textId="77777777" w:rsidTr="00C25740">
        <w:tc>
          <w:tcPr>
            <w:tcW w:w="9576" w:type="dxa"/>
            <w:gridSpan w:val="7"/>
          </w:tcPr>
          <w:p w14:paraId="4B3E975D" w14:textId="1740C6AE" w:rsidR="00C25740" w:rsidRDefault="00C25740" w:rsidP="00C25740">
            <w:pPr>
              <w:jc w:val="center"/>
              <w:rPr>
                <w:b/>
              </w:rPr>
            </w:pPr>
            <w:r w:rsidRPr="00C25740">
              <w:rPr>
                <w:b/>
                <w:bCs/>
              </w:rPr>
              <w:t>Средно проследяване от 26 месеца Средно проследяване от 60 месеца</w:t>
            </w:r>
          </w:p>
        </w:tc>
      </w:tr>
      <w:tr w:rsidR="00C25740" w14:paraId="62738437" w14:textId="77777777" w:rsidTr="00C25740">
        <w:tc>
          <w:tcPr>
            <w:tcW w:w="1759" w:type="dxa"/>
          </w:tcPr>
          <w:p w14:paraId="6399DA29" w14:textId="77777777" w:rsidR="00C25740" w:rsidRPr="00C25740" w:rsidRDefault="00C25740" w:rsidP="00C25740">
            <w:pPr>
              <w:rPr>
                <w:b/>
              </w:rPr>
            </w:pPr>
          </w:p>
        </w:tc>
        <w:tc>
          <w:tcPr>
            <w:tcW w:w="1276" w:type="dxa"/>
          </w:tcPr>
          <w:p w14:paraId="20534CAF" w14:textId="30C67D11" w:rsidR="00C25740" w:rsidRPr="00C25740" w:rsidRDefault="00C25740" w:rsidP="00C25740">
            <w:pPr>
              <w:rPr>
                <w:b/>
              </w:rPr>
            </w:pPr>
            <w:r w:rsidRPr="00C25740">
              <w:rPr>
                <w:b/>
                <w:bCs/>
              </w:rPr>
              <w:t>Летрозол №4003</w:t>
            </w:r>
          </w:p>
        </w:tc>
        <w:tc>
          <w:tcPr>
            <w:tcW w:w="1586" w:type="dxa"/>
          </w:tcPr>
          <w:p w14:paraId="36B19DBB" w14:textId="49B8CFD7" w:rsidR="00C25740" w:rsidRPr="00C25740" w:rsidRDefault="00C25740" w:rsidP="00C25740">
            <w:pPr>
              <w:rPr>
                <w:b/>
              </w:rPr>
            </w:pPr>
            <w:r w:rsidRPr="00C25740">
              <w:rPr>
                <w:b/>
                <w:bCs/>
              </w:rPr>
              <w:t>Тамоксифен №4007</w:t>
            </w:r>
          </w:p>
        </w:tc>
        <w:tc>
          <w:tcPr>
            <w:tcW w:w="1046" w:type="dxa"/>
          </w:tcPr>
          <w:p w14:paraId="56FCE5B3" w14:textId="520A3CB4" w:rsidR="00C25740" w:rsidRPr="00C25740" w:rsidRDefault="00C25740" w:rsidP="00C25740">
            <w:pPr>
              <w:rPr>
                <w:b/>
              </w:rPr>
            </w:pPr>
            <w:r w:rsidRPr="00C25740">
              <w:rPr>
                <w:b/>
                <w:bCs/>
                <w:lang w:val="en-US"/>
              </w:rPr>
              <w:t xml:space="preserve">HR </w:t>
            </w:r>
            <w:r w:rsidRPr="00C25740">
              <w:rPr>
                <w:b/>
                <w:bCs/>
              </w:rPr>
              <w:t xml:space="preserve">(95% </w:t>
            </w:r>
            <w:r w:rsidRPr="00C25740">
              <w:rPr>
                <w:b/>
                <w:bCs/>
                <w:lang w:val="en-US"/>
              </w:rPr>
              <w:t xml:space="preserve">CI) </w:t>
            </w:r>
            <w:r w:rsidRPr="00C25740">
              <w:rPr>
                <w:b/>
                <w:bCs/>
                <w:i/>
                <w:iCs/>
              </w:rPr>
              <w:t>Р</w:t>
            </w:r>
          </w:p>
        </w:tc>
        <w:tc>
          <w:tcPr>
            <w:tcW w:w="1277" w:type="dxa"/>
          </w:tcPr>
          <w:p w14:paraId="3F04EAE7" w14:textId="6DC797CF" w:rsidR="00C25740" w:rsidRPr="00C25740" w:rsidRDefault="00C25740" w:rsidP="00C25740">
            <w:pPr>
              <w:rPr>
                <w:b/>
              </w:rPr>
            </w:pPr>
            <w:r w:rsidRPr="00C25740">
              <w:rPr>
                <w:b/>
                <w:bCs/>
              </w:rPr>
              <w:t xml:space="preserve">Летрозол </w:t>
            </w:r>
            <w:r w:rsidRPr="00C25740">
              <w:rPr>
                <w:b/>
                <w:bCs/>
                <w:lang w:val="en-US"/>
              </w:rPr>
              <w:t>N=4003</w:t>
            </w:r>
          </w:p>
        </w:tc>
        <w:tc>
          <w:tcPr>
            <w:tcW w:w="1586" w:type="dxa"/>
          </w:tcPr>
          <w:p w14:paraId="3AB488D1" w14:textId="1D17D8E9" w:rsidR="00C25740" w:rsidRPr="00C25740" w:rsidRDefault="00C25740" w:rsidP="00C25740">
            <w:pPr>
              <w:rPr>
                <w:b/>
              </w:rPr>
            </w:pPr>
            <w:r w:rsidRPr="00C25740">
              <w:rPr>
                <w:b/>
                <w:bCs/>
              </w:rPr>
              <w:t>Тамоксифен №4007</w:t>
            </w:r>
          </w:p>
        </w:tc>
        <w:tc>
          <w:tcPr>
            <w:tcW w:w="1046" w:type="dxa"/>
          </w:tcPr>
          <w:p w14:paraId="3AF19F28" w14:textId="36E92E19" w:rsidR="00C25740" w:rsidRPr="00C25740" w:rsidRDefault="00C25740" w:rsidP="00C25740">
            <w:pPr>
              <w:rPr>
                <w:b/>
              </w:rPr>
            </w:pPr>
            <w:r w:rsidRPr="00C25740">
              <w:rPr>
                <w:b/>
                <w:bCs/>
                <w:lang w:val="en-US"/>
              </w:rPr>
              <w:t xml:space="preserve">HR </w:t>
            </w:r>
            <w:r w:rsidRPr="00C25740">
              <w:rPr>
                <w:b/>
                <w:bCs/>
              </w:rPr>
              <w:t xml:space="preserve">(95% </w:t>
            </w:r>
            <w:r w:rsidRPr="00C25740">
              <w:rPr>
                <w:b/>
                <w:bCs/>
                <w:lang w:val="en-US"/>
              </w:rPr>
              <w:t xml:space="preserve">CI) </w:t>
            </w:r>
            <w:r w:rsidRPr="00C25740">
              <w:rPr>
                <w:b/>
                <w:bCs/>
                <w:i/>
                <w:iCs/>
              </w:rPr>
              <w:t>Р</w:t>
            </w:r>
          </w:p>
        </w:tc>
      </w:tr>
      <w:tr w:rsidR="00C25740" w14:paraId="00BD43A5" w14:textId="77777777" w:rsidTr="00C25740">
        <w:tc>
          <w:tcPr>
            <w:tcW w:w="1759" w:type="dxa"/>
          </w:tcPr>
          <w:p w14:paraId="2A9A4B8D" w14:textId="77777777" w:rsidR="00C25740" w:rsidRPr="00C25740" w:rsidRDefault="00C25740" w:rsidP="00C25740">
            <w:r w:rsidRPr="00C25740">
              <w:t>Преживяемост без заболяване (първична крайна точка) - събития (дефиниция</w:t>
            </w:r>
          </w:p>
          <w:p w14:paraId="04A42526" w14:textId="7C512B39" w:rsidR="00C25740" w:rsidRPr="00C25740" w:rsidRDefault="00C25740" w:rsidP="00C25740">
            <w:pPr>
              <w:rPr>
                <w:b/>
              </w:rPr>
            </w:pPr>
            <w:r w:rsidRPr="00C25740">
              <w:t>2 по протокол)</w:t>
            </w:r>
          </w:p>
        </w:tc>
        <w:tc>
          <w:tcPr>
            <w:tcW w:w="1276" w:type="dxa"/>
          </w:tcPr>
          <w:p w14:paraId="2831DD40" w14:textId="50F42317" w:rsidR="00C25740" w:rsidRPr="00C25740" w:rsidRDefault="00C25740" w:rsidP="00C25740">
            <w:pPr>
              <w:rPr>
                <w:b/>
              </w:rPr>
            </w:pPr>
            <w:r w:rsidRPr="00C25740">
              <w:t>351</w:t>
            </w:r>
          </w:p>
        </w:tc>
        <w:tc>
          <w:tcPr>
            <w:tcW w:w="1586" w:type="dxa"/>
          </w:tcPr>
          <w:p w14:paraId="1C01ADCE" w14:textId="40F30D16" w:rsidR="00C25740" w:rsidRPr="00C25740" w:rsidRDefault="00C25740" w:rsidP="00C25740">
            <w:pPr>
              <w:rPr>
                <w:b/>
              </w:rPr>
            </w:pPr>
            <w:r w:rsidRPr="00C25740">
              <w:t>428</w:t>
            </w:r>
          </w:p>
        </w:tc>
        <w:tc>
          <w:tcPr>
            <w:tcW w:w="1046" w:type="dxa"/>
          </w:tcPr>
          <w:p w14:paraId="4749D5C4" w14:textId="77777777" w:rsidR="00C25740" w:rsidRPr="00C25740" w:rsidRDefault="00C25740" w:rsidP="00C25740">
            <w:r w:rsidRPr="00C25740">
              <w:t>0,81</w:t>
            </w:r>
          </w:p>
          <w:p w14:paraId="769A92B2" w14:textId="77777777" w:rsidR="00C25740" w:rsidRPr="00C25740" w:rsidRDefault="00C25740" w:rsidP="00C25740">
            <w:r w:rsidRPr="00C25740">
              <w:rPr>
                <w:lang w:val="en-US"/>
              </w:rPr>
              <w:t xml:space="preserve">(0,70, </w:t>
            </w:r>
            <w:r w:rsidRPr="00C25740">
              <w:t>0,93)</w:t>
            </w:r>
          </w:p>
          <w:p w14:paraId="07756B3E" w14:textId="22FAB658" w:rsidR="00C25740" w:rsidRPr="00C25740" w:rsidRDefault="00C25740" w:rsidP="00C25740">
            <w:pPr>
              <w:rPr>
                <w:b/>
              </w:rPr>
            </w:pPr>
            <w:r w:rsidRPr="00C25740">
              <w:t>0,003</w:t>
            </w:r>
          </w:p>
        </w:tc>
        <w:tc>
          <w:tcPr>
            <w:tcW w:w="1277" w:type="dxa"/>
          </w:tcPr>
          <w:p w14:paraId="3E9FCDDD" w14:textId="0732153B" w:rsidR="00C25740" w:rsidRPr="00C25740" w:rsidRDefault="00C25740" w:rsidP="00C25740">
            <w:pPr>
              <w:rPr>
                <w:b/>
              </w:rPr>
            </w:pPr>
            <w:r w:rsidRPr="00C25740">
              <w:t>585</w:t>
            </w:r>
          </w:p>
        </w:tc>
        <w:tc>
          <w:tcPr>
            <w:tcW w:w="1586" w:type="dxa"/>
          </w:tcPr>
          <w:p w14:paraId="13A974CC" w14:textId="276521F2" w:rsidR="00C25740" w:rsidRPr="00C25740" w:rsidRDefault="00C25740" w:rsidP="00C25740">
            <w:pPr>
              <w:rPr>
                <w:b/>
              </w:rPr>
            </w:pPr>
            <w:r w:rsidRPr="00C25740">
              <w:t>664</w:t>
            </w:r>
          </w:p>
        </w:tc>
        <w:tc>
          <w:tcPr>
            <w:tcW w:w="1046" w:type="dxa"/>
          </w:tcPr>
          <w:p w14:paraId="6DD40C84" w14:textId="77777777" w:rsidR="00C25740" w:rsidRPr="00C25740" w:rsidRDefault="00C25740" w:rsidP="00C25740">
            <w:r w:rsidRPr="00C25740">
              <w:t>0,86</w:t>
            </w:r>
          </w:p>
          <w:p w14:paraId="7AF1085B" w14:textId="77777777" w:rsidR="00C25740" w:rsidRPr="00C25740" w:rsidRDefault="00C25740" w:rsidP="00C25740">
            <w:r w:rsidRPr="00C25740">
              <w:t>(0,77, 0,96)</w:t>
            </w:r>
          </w:p>
          <w:p w14:paraId="66F283F5" w14:textId="0BDA7430" w:rsidR="00C25740" w:rsidRPr="00C25740" w:rsidRDefault="00C25740" w:rsidP="00C25740">
            <w:pPr>
              <w:rPr>
                <w:b/>
              </w:rPr>
            </w:pPr>
            <w:r w:rsidRPr="00C25740">
              <w:t>0.008</w:t>
            </w:r>
          </w:p>
        </w:tc>
      </w:tr>
      <w:tr w:rsidR="00C25740" w14:paraId="5CDC59DA" w14:textId="77777777" w:rsidTr="00C25740">
        <w:tc>
          <w:tcPr>
            <w:tcW w:w="1759" w:type="dxa"/>
            <w:vMerge w:val="restart"/>
          </w:tcPr>
          <w:p w14:paraId="1EAE041C" w14:textId="77777777" w:rsidR="00C25740" w:rsidRPr="00C25740" w:rsidRDefault="00C25740" w:rsidP="00C25740">
            <w:pPr>
              <w:rPr>
                <w:b/>
              </w:rPr>
            </w:pPr>
            <w:r w:rsidRPr="00C25740">
              <w:t>Обща преживяемост (вторична крайна точка)</w:t>
            </w:r>
          </w:p>
          <w:p w14:paraId="77D8CB28" w14:textId="14E05B4D" w:rsidR="00C25740" w:rsidRPr="00C25740" w:rsidRDefault="00C25740" w:rsidP="00C25740">
            <w:pPr>
              <w:rPr>
                <w:b/>
              </w:rPr>
            </w:pPr>
            <w:r w:rsidRPr="00C25740">
              <w:t>Брой смъртни случаи</w:t>
            </w:r>
          </w:p>
        </w:tc>
        <w:tc>
          <w:tcPr>
            <w:tcW w:w="1276" w:type="dxa"/>
          </w:tcPr>
          <w:p w14:paraId="52F6C2E7" w14:textId="0684D508" w:rsidR="00C25740" w:rsidRPr="00C25740" w:rsidRDefault="00C25740" w:rsidP="00C25740">
            <w:pPr>
              <w:rPr>
                <w:b/>
              </w:rPr>
            </w:pPr>
            <w:r w:rsidRPr="00C25740">
              <w:rPr>
                <w:b/>
                <w:bCs/>
              </w:rPr>
              <w:t>166</w:t>
            </w:r>
          </w:p>
        </w:tc>
        <w:tc>
          <w:tcPr>
            <w:tcW w:w="1586" w:type="dxa"/>
          </w:tcPr>
          <w:p w14:paraId="5FA00995" w14:textId="30ED3759" w:rsidR="00C25740" w:rsidRPr="00C25740" w:rsidRDefault="00C25740" w:rsidP="00C25740">
            <w:pPr>
              <w:rPr>
                <w:b/>
              </w:rPr>
            </w:pPr>
            <w:r w:rsidRPr="00C25740">
              <w:t>192</w:t>
            </w:r>
          </w:p>
        </w:tc>
        <w:tc>
          <w:tcPr>
            <w:tcW w:w="1046" w:type="dxa"/>
          </w:tcPr>
          <w:p w14:paraId="177127F4" w14:textId="77777777" w:rsidR="00C25740" w:rsidRPr="00C25740" w:rsidRDefault="00C25740" w:rsidP="00C25740">
            <w:r w:rsidRPr="00C25740">
              <w:t>0,86</w:t>
            </w:r>
          </w:p>
          <w:p w14:paraId="199C8807" w14:textId="6B166E37" w:rsidR="00C25740" w:rsidRPr="00C25740" w:rsidRDefault="00C25740" w:rsidP="00C25740">
            <w:pPr>
              <w:rPr>
                <w:b/>
              </w:rPr>
            </w:pPr>
            <w:r w:rsidRPr="00C25740">
              <w:lastRenderedPageBreak/>
              <w:t>(0.70, 1.06)</w:t>
            </w:r>
          </w:p>
        </w:tc>
        <w:tc>
          <w:tcPr>
            <w:tcW w:w="1277" w:type="dxa"/>
          </w:tcPr>
          <w:p w14:paraId="251B216D" w14:textId="568F251F" w:rsidR="00C25740" w:rsidRPr="00C25740" w:rsidRDefault="00C25740" w:rsidP="00C25740">
            <w:pPr>
              <w:rPr>
                <w:b/>
              </w:rPr>
            </w:pPr>
            <w:r w:rsidRPr="00C25740">
              <w:lastRenderedPageBreak/>
              <w:t>330</w:t>
            </w:r>
          </w:p>
        </w:tc>
        <w:tc>
          <w:tcPr>
            <w:tcW w:w="1586" w:type="dxa"/>
          </w:tcPr>
          <w:p w14:paraId="1CDE24DF" w14:textId="4C8FFAE4" w:rsidR="00C25740" w:rsidRPr="00C25740" w:rsidRDefault="00C25740" w:rsidP="00C25740">
            <w:pPr>
              <w:rPr>
                <w:b/>
              </w:rPr>
            </w:pPr>
            <w:r w:rsidRPr="00C25740">
              <w:t>374</w:t>
            </w:r>
          </w:p>
        </w:tc>
        <w:tc>
          <w:tcPr>
            <w:tcW w:w="1046" w:type="dxa"/>
          </w:tcPr>
          <w:p w14:paraId="4A98D47E" w14:textId="77777777" w:rsidR="00C25740" w:rsidRPr="00C25740" w:rsidRDefault="00C25740" w:rsidP="00C25740">
            <w:r w:rsidRPr="00C25740">
              <w:t>0,87</w:t>
            </w:r>
          </w:p>
          <w:p w14:paraId="1139436D" w14:textId="641CD38B" w:rsidR="00C25740" w:rsidRPr="00C25740" w:rsidRDefault="00C25740" w:rsidP="00C25740">
            <w:pPr>
              <w:rPr>
                <w:b/>
              </w:rPr>
            </w:pPr>
            <w:r w:rsidRPr="00C25740">
              <w:lastRenderedPageBreak/>
              <w:t>(0,75, 1.01)</w:t>
            </w:r>
          </w:p>
        </w:tc>
      </w:tr>
      <w:tr w:rsidR="00C25740" w14:paraId="132FB73B" w14:textId="77777777" w:rsidTr="00C25740">
        <w:tc>
          <w:tcPr>
            <w:tcW w:w="1759" w:type="dxa"/>
            <w:vMerge/>
          </w:tcPr>
          <w:p w14:paraId="0C6FF550" w14:textId="4AF4715E" w:rsidR="00C25740" w:rsidRPr="00C25740" w:rsidRDefault="00C25740" w:rsidP="00C25740">
            <w:pPr>
              <w:rPr>
                <w:b/>
              </w:rPr>
            </w:pPr>
          </w:p>
        </w:tc>
        <w:tc>
          <w:tcPr>
            <w:tcW w:w="1276" w:type="dxa"/>
          </w:tcPr>
          <w:p w14:paraId="3E22ADDE" w14:textId="77777777" w:rsidR="00C25740" w:rsidRPr="00C25740" w:rsidRDefault="00C25740" w:rsidP="00C25740">
            <w:pPr>
              <w:rPr>
                <w:b/>
              </w:rPr>
            </w:pPr>
          </w:p>
        </w:tc>
        <w:tc>
          <w:tcPr>
            <w:tcW w:w="1586" w:type="dxa"/>
          </w:tcPr>
          <w:p w14:paraId="5374F324" w14:textId="77777777" w:rsidR="00C25740" w:rsidRPr="00C25740" w:rsidRDefault="00C25740" w:rsidP="00C25740">
            <w:pPr>
              <w:rPr>
                <w:b/>
              </w:rPr>
            </w:pPr>
          </w:p>
        </w:tc>
        <w:tc>
          <w:tcPr>
            <w:tcW w:w="1046" w:type="dxa"/>
          </w:tcPr>
          <w:p w14:paraId="48A08F95" w14:textId="77777777" w:rsidR="00C25740" w:rsidRPr="00C25740" w:rsidRDefault="00C25740" w:rsidP="00C25740">
            <w:pPr>
              <w:rPr>
                <w:b/>
              </w:rPr>
            </w:pPr>
          </w:p>
        </w:tc>
        <w:tc>
          <w:tcPr>
            <w:tcW w:w="1277" w:type="dxa"/>
          </w:tcPr>
          <w:p w14:paraId="52B1295C" w14:textId="77777777" w:rsidR="00C25740" w:rsidRPr="00C25740" w:rsidRDefault="00C25740" w:rsidP="00C25740">
            <w:pPr>
              <w:rPr>
                <w:b/>
              </w:rPr>
            </w:pPr>
          </w:p>
        </w:tc>
        <w:tc>
          <w:tcPr>
            <w:tcW w:w="1586" w:type="dxa"/>
          </w:tcPr>
          <w:p w14:paraId="718C8D47" w14:textId="77777777" w:rsidR="00C25740" w:rsidRPr="00C25740" w:rsidRDefault="00C25740" w:rsidP="00C25740">
            <w:pPr>
              <w:rPr>
                <w:b/>
              </w:rPr>
            </w:pPr>
          </w:p>
        </w:tc>
        <w:tc>
          <w:tcPr>
            <w:tcW w:w="1046" w:type="dxa"/>
          </w:tcPr>
          <w:p w14:paraId="3814DB59" w14:textId="77777777" w:rsidR="00C25740" w:rsidRPr="00C25740" w:rsidRDefault="00C25740" w:rsidP="00C25740">
            <w:pPr>
              <w:rPr>
                <w:b/>
              </w:rPr>
            </w:pPr>
          </w:p>
        </w:tc>
      </w:tr>
    </w:tbl>
    <w:p w14:paraId="2FFDAF8C" w14:textId="77777777" w:rsidR="00C25740" w:rsidRPr="00C25740" w:rsidRDefault="00C25740" w:rsidP="00C25740">
      <w:pPr>
        <w:spacing w:line="240" w:lineRule="auto"/>
        <w:rPr>
          <w:rFonts w:eastAsia="Times New Roman" w:cs="Arial"/>
        </w:rPr>
      </w:pPr>
      <w:r w:rsidRPr="00C25740">
        <w:rPr>
          <w:rFonts w:eastAsia="Times New Roman" w:cs="Arial"/>
          <w:color w:val="000000"/>
          <w:lang w:val="en-US"/>
        </w:rPr>
        <w:t>HR</w:t>
      </w:r>
      <w:r w:rsidRPr="00C25740">
        <w:rPr>
          <w:rFonts w:eastAsia="Times New Roman" w:cs="Arial"/>
          <w:color w:val="000000"/>
          <w:lang w:val="ru-RU"/>
        </w:rPr>
        <w:t xml:space="preserve"> = </w:t>
      </w:r>
      <w:r w:rsidRPr="00C25740">
        <w:rPr>
          <w:rFonts w:eastAsia="Times New Roman" w:cs="Arial"/>
          <w:color w:val="000000"/>
          <w:lang w:eastAsia="bg-BG"/>
        </w:rPr>
        <w:t xml:space="preserve">Коефициент на риск; </w:t>
      </w:r>
      <w:r w:rsidRPr="00C25740">
        <w:rPr>
          <w:rFonts w:eastAsia="Times New Roman" w:cs="Arial"/>
          <w:color w:val="000000"/>
          <w:lang w:val="en-US"/>
        </w:rPr>
        <w:t>CI</w:t>
      </w:r>
      <w:r w:rsidRPr="00C25740">
        <w:rPr>
          <w:rFonts w:eastAsia="Times New Roman" w:cs="Arial"/>
          <w:color w:val="000000"/>
          <w:lang w:val="ru-RU"/>
        </w:rPr>
        <w:t xml:space="preserve"> </w:t>
      </w:r>
      <w:r w:rsidRPr="00C25740">
        <w:rPr>
          <w:rFonts w:eastAsia="Times New Roman" w:cs="Arial"/>
          <w:color w:val="000000"/>
          <w:lang w:eastAsia="bg-BG"/>
        </w:rPr>
        <w:t>- Доверителен интервал</w:t>
      </w:r>
    </w:p>
    <w:p w14:paraId="4522CFEC" w14:textId="77777777" w:rsidR="00C25740" w:rsidRDefault="00C25740" w:rsidP="00C25740">
      <w:pPr>
        <w:spacing w:line="240" w:lineRule="auto"/>
        <w:rPr>
          <w:rFonts w:eastAsia="Times New Roman" w:cs="Arial"/>
          <w:color w:val="000000"/>
          <w:lang w:eastAsia="bg-BG"/>
        </w:rPr>
      </w:pPr>
      <w:r w:rsidRPr="00C25740">
        <w:rPr>
          <w:rFonts w:eastAsia="Times New Roman" w:cs="Arial"/>
          <w:color w:val="000000"/>
          <w:vertAlign w:val="superscript"/>
          <w:lang w:eastAsia="bg-BG"/>
        </w:rPr>
        <w:t>1</w:t>
      </w:r>
      <w:r w:rsidRPr="00C25740">
        <w:rPr>
          <w:rFonts w:eastAsia="Times New Roman" w:cs="Arial"/>
          <w:color w:val="000000"/>
          <w:lang w:eastAsia="bg-BG"/>
        </w:rPr>
        <w:t xml:space="preserve"> </w:t>
      </w:r>
      <w:r w:rsidRPr="00C25740">
        <w:rPr>
          <w:rFonts w:eastAsia="Times New Roman" w:cs="Arial"/>
          <w:color w:val="000000"/>
          <w:lang w:val="en-US"/>
        </w:rPr>
        <w:t>Log</w:t>
      </w:r>
      <w:r w:rsidRPr="00C25740">
        <w:rPr>
          <w:rFonts w:eastAsia="Times New Roman" w:cs="Arial"/>
          <w:color w:val="000000"/>
          <w:lang w:val="ru-RU"/>
        </w:rPr>
        <w:t xml:space="preserve"> </w:t>
      </w:r>
      <w:r w:rsidRPr="00C25740">
        <w:rPr>
          <w:rFonts w:eastAsia="Times New Roman" w:cs="Arial"/>
          <w:color w:val="000000"/>
          <w:lang w:val="en-US"/>
        </w:rPr>
        <w:t>rank</w:t>
      </w:r>
      <w:r w:rsidRPr="00C25740">
        <w:rPr>
          <w:rFonts w:eastAsia="Times New Roman" w:cs="Arial"/>
          <w:color w:val="000000"/>
          <w:lang w:val="ru-RU"/>
        </w:rPr>
        <w:t xml:space="preserve"> </w:t>
      </w:r>
      <w:r w:rsidRPr="00C25740">
        <w:rPr>
          <w:rFonts w:eastAsia="Times New Roman" w:cs="Arial"/>
          <w:color w:val="000000"/>
          <w:lang w:eastAsia="bg-BG"/>
        </w:rPr>
        <w:t xml:space="preserve">тест, сертификация по начин на рандомизация и прилагане на химиотерапия (да/не) </w:t>
      </w:r>
    </w:p>
    <w:p w14:paraId="3244636E" w14:textId="72BC840D" w:rsidR="00C25740" w:rsidRPr="00C25740" w:rsidRDefault="00C25740" w:rsidP="00C25740">
      <w:pPr>
        <w:spacing w:line="240" w:lineRule="auto"/>
        <w:rPr>
          <w:rFonts w:eastAsia="Times New Roman" w:cs="Arial"/>
        </w:rPr>
      </w:pPr>
      <w:r w:rsidRPr="00C25740">
        <w:rPr>
          <w:rFonts w:eastAsia="Times New Roman" w:cs="Arial"/>
          <w:color w:val="000000"/>
          <w:vertAlign w:val="superscript"/>
          <w:lang w:eastAsia="bg-BG"/>
        </w:rPr>
        <w:t>2</w:t>
      </w:r>
      <w:r w:rsidRPr="00C25740">
        <w:rPr>
          <w:rFonts w:eastAsia="Times New Roman" w:cs="Arial"/>
          <w:color w:val="000000"/>
          <w:lang w:eastAsia="bg-BG"/>
        </w:rPr>
        <w:t xml:space="preserve"> Преживяемост без заболяване - събития: локорегионален рецидив, далечни метастази, инвазивнен контралатерален рак на гърдата, вторична (не на гърдата) първична неоплазма, смърт поради друга причина без предшестваща неоплазма.</w:t>
      </w:r>
    </w:p>
    <w:p w14:paraId="101AD987" w14:textId="77777777" w:rsidR="00C25740" w:rsidRDefault="00C25740" w:rsidP="00C25740">
      <w:pPr>
        <w:spacing w:line="240" w:lineRule="auto"/>
        <w:rPr>
          <w:rFonts w:eastAsia="Times New Roman" w:cs="Arial"/>
          <w:i/>
          <w:iCs/>
          <w:color w:val="000000"/>
          <w:lang w:eastAsia="bg-BG"/>
        </w:rPr>
      </w:pPr>
    </w:p>
    <w:p w14:paraId="04A73713" w14:textId="638F6B78" w:rsidR="00C25740" w:rsidRPr="00C25740" w:rsidRDefault="00C25740" w:rsidP="00C25740">
      <w:pPr>
        <w:spacing w:line="240" w:lineRule="auto"/>
        <w:rPr>
          <w:rFonts w:eastAsia="Times New Roman" w:cs="Arial"/>
        </w:rPr>
      </w:pPr>
      <w:r w:rsidRPr="00C25740">
        <w:rPr>
          <w:rFonts w:eastAsia="Times New Roman" w:cs="Arial"/>
          <w:i/>
          <w:iCs/>
          <w:color w:val="000000"/>
          <w:lang w:eastAsia="bg-BG"/>
        </w:rPr>
        <w:t xml:space="preserve">Резултати при медиана на проследяване 73 месеца (само рамената на монотерапия) </w:t>
      </w:r>
      <w:r w:rsidRPr="00C25740">
        <w:rPr>
          <w:rFonts w:eastAsia="Times New Roman" w:cs="Arial"/>
          <w:color w:val="000000"/>
          <w:lang w:eastAsia="bg-BG"/>
        </w:rPr>
        <w:t>Получените при анализа на рамената на монотерапия (МАА) дългосрочни данни относно ефикасността на летрозол като монотерапия спрямо тамоксифен като монотерапия (медиана на продължителност на адювантна терапия: 5 години) са представени на Таблица 5,</w:t>
      </w:r>
    </w:p>
    <w:p w14:paraId="35F9EAE8" w14:textId="77777777" w:rsidR="00C25740" w:rsidRDefault="00C25740" w:rsidP="00C25740">
      <w:pPr>
        <w:spacing w:line="240" w:lineRule="auto"/>
        <w:rPr>
          <w:rFonts w:eastAsia="Times New Roman" w:cs="Arial"/>
          <w:b/>
          <w:bCs/>
          <w:color w:val="000000"/>
          <w:lang w:eastAsia="bg-BG"/>
        </w:rPr>
      </w:pPr>
    </w:p>
    <w:p w14:paraId="1DF88BA7" w14:textId="7117B7FA" w:rsidR="00C25740" w:rsidRPr="00C25740" w:rsidRDefault="00C25740" w:rsidP="00C25740">
      <w:pPr>
        <w:spacing w:line="240" w:lineRule="auto"/>
        <w:rPr>
          <w:rFonts w:eastAsia="Times New Roman" w:cs="Arial"/>
        </w:rPr>
      </w:pPr>
      <w:r w:rsidRPr="00C25740">
        <w:rPr>
          <w:rFonts w:eastAsia="Times New Roman" w:cs="Arial"/>
          <w:b/>
          <w:bCs/>
          <w:color w:val="000000"/>
          <w:lang w:eastAsia="bg-BG"/>
        </w:rPr>
        <w:t xml:space="preserve">Таблица 5 Анализ на рамената на монотерапия: Преживяемост без заболяване и обща преживяемост при медиана на проследяване 73 месеца </w:t>
      </w:r>
      <w:r w:rsidRPr="00C25740">
        <w:rPr>
          <w:rFonts w:eastAsia="Times New Roman" w:cs="Arial"/>
          <w:b/>
          <w:bCs/>
          <w:color w:val="000000"/>
          <w:lang w:val="ru-RU"/>
        </w:rPr>
        <w:t>(</w:t>
      </w:r>
      <w:r w:rsidRPr="00C25740">
        <w:rPr>
          <w:rFonts w:eastAsia="Times New Roman" w:cs="Arial"/>
          <w:b/>
          <w:bCs/>
          <w:color w:val="000000"/>
          <w:lang w:val="en-US"/>
        </w:rPr>
        <w:t>ITT</w:t>
      </w:r>
      <w:r w:rsidRPr="00C25740">
        <w:rPr>
          <w:rFonts w:eastAsia="Times New Roman" w:cs="Arial"/>
          <w:b/>
          <w:bCs/>
          <w:color w:val="000000"/>
          <w:lang w:val="ru-RU"/>
        </w:rPr>
        <w:t xml:space="preserve"> </w:t>
      </w:r>
      <w:r w:rsidRPr="00C25740">
        <w:rPr>
          <w:rFonts w:eastAsia="Times New Roman" w:cs="Arial"/>
          <w:b/>
          <w:bCs/>
          <w:color w:val="000000"/>
          <w:lang w:eastAsia="bg-BG"/>
        </w:rPr>
        <w:t>популация)</w:t>
      </w:r>
    </w:p>
    <w:tbl>
      <w:tblPr>
        <w:tblStyle w:val="TableGrid"/>
        <w:tblW w:w="0" w:type="auto"/>
        <w:tblLook w:val="04A0" w:firstRow="1" w:lastRow="0" w:firstColumn="1" w:lastColumn="0" w:noHBand="0" w:noVBand="1"/>
      </w:tblPr>
      <w:tblGrid>
        <w:gridCol w:w="1895"/>
        <w:gridCol w:w="1846"/>
        <w:gridCol w:w="1881"/>
        <w:gridCol w:w="1894"/>
        <w:gridCol w:w="1834"/>
      </w:tblGrid>
      <w:tr w:rsidR="00C25740" w14:paraId="2BF5352A" w14:textId="77777777" w:rsidTr="00C25740">
        <w:tc>
          <w:tcPr>
            <w:tcW w:w="1915" w:type="dxa"/>
          </w:tcPr>
          <w:p w14:paraId="07AEC68C" w14:textId="77777777" w:rsidR="00C25740" w:rsidRPr="00C25740" w:rsidRDefault="00C25740" w:rsidP="00C25740">
            <w:pPr>
              <w:rPr>
                <w:b/>
              </w:rPr>
            </w:pPr>
          </w:p>
        </w:tc>
        <w:tc>
          <w:tcPr>
            <w:tcW w:w="1915" w:type="dxa"/>
          </w:tcPr>
          <w:p w14:paraId="57039477" w14:textId="0F2748EE" w:rsidR="00C25740" w:rsidRPr="00C25740" w:rsidRDefault="00C25740" w:rsidP="00C25740">
            <w:pPr>
              <w:rPr>
                <w:b/>
              </w:rPr>
            </w:pPr>
            <w:r w:rsidRPr="00C25740">
              <w:rPr>
                <w:b/>
                <w:bCs/>
              </w:rPr>
              <w:t>Летрозол</w:t>
            </w:r>
          </w:p>
        </w:tc>
        <w:tc>
          <w:tcPr>
            <w:tcW w:w="1915" w:type="dxa"/>
          </w:tcPr>
          <w:p w14:paraId="3F638E7E" w14:textId="712599D4" w:rsidR="00C25740" w:rsidRPr="00C25740" w:rsidRDefault="00C25740" w:rsidP="00C25740">
            <w:pPr>
              <w:rPr>
                <w:b/>
              </w:rPr>
            </w:pPr>
            <w:r w:rsidRPr="00C25740">
              <w:rPr>
                <w:b/>
                <w:bCs/>
              </w:rPr>
              <w:t xml:space="preserve">Тамоксифен </w:t>
            </w:r>
            <w:r w:rsidRPr="00C25740">
              <w:rPr>
                <w:b/>
                <w:bCs/>
                <w:lang w:val="en-US"/>
              </w:rPr>
              <w:t>N=</w:t>
            </w:r>
            <w:r w:rsidRPr="00C25740">
              <w:rPr>
                <w:b/>
                <w:bCs/>
              </w:rPr>
              <w:t>2459</w:t>
            </w:r>
          </w:p>
        </w:tc>
        <w:tc>
          <w:tcPr>
            <w:tcW w:w="1915" w:type="dxa"/>
          </w:tcPr>
          <w:p w14:paraId="4A8B4786" w14:textId="77777777" w:rsidR="00C25740" w:rsidRPr="00C25740" w:rsidRDefault="00C25740" w:rsidP="00C25740">
            <w:r w:rsidRPr="00C25740">
              <w:rPr>
                <w:b/>
                <w:bCs/>
              </w:rPr>
              <w:t>Коефициент на</w:t>
            </w:r>
          </w:p>
          <w:p w14:paraId="695E5BE0" w14:textId="5C43B852" w:rsidR="00C25740" w:rsidRPr="00C25740" w:rsidRDefault="00C25740" w:rsidP="00C25740">
            <w:pPr>
              <w:rPr>
                <w:b/>
              </w:rPr>
            </w:pPr>
            <w:r w:rsidRPr="00C25740">
              <w:rPr>
                <w:b/>
                <w:bCs/>
              </w:rPr>
              <w:t>риск</w:t>
            </w:r>
            <w:r w:rsidRPr="00C25740">
              <w:rPr>
                <w:b/>
                <w:bCs/>
                <w:vertAlign w:val="superscript"/>
              </w:rPr>
              <w:t>1</w:t>
            </w:r>
            <w:r w:rsidRPr="00C25740">
              <w:rPr>
                <w:b/>
                <w:bCs/>
              </w:rPr>
              <w:t xml:space="preserve"> (95% </w:t>
            </w:r>
            <w:r w:rsidRPr="00C25740">
              <w:rPr>
                <w:b/>
                <w:bCs/>
                <w:lang w:val="en-US"/>
              </w:rPr>
              <w:t>CI)</w:t>
            </w:r>
          </w:p>
        </w:tc>
        <w:tc>
          <w:tcPr>
            <w:tcW w:w="1916" w:type="dxa"/>
          </w:tcPr>
          <w:p w14:paraId="63F793FD" w14:textId="2D02F70F" w:rsidR="00C25740" w:rsidRPr="00C25740" w:rsidRDefault="00C25740" w:rsidP="00C25740">
            <w:pPr>
              <w:rPr>
                <w:b/>
              </w:rPr>
            </w:pPr>
            <w:r w:rsidRPr="00C25740">
              <w:rPr>
                <w:rFonts w:cs="Arial"/>
                <w:lang w:val="en-US"/>
              </w:rPr>
              <w:t>p-</w:t>
            </w:r>
            <w:r w:rsidRPr="00C25740">
              <w:rPr>
                <w:rFonts w:cs="Arial"/>
              </w:rPr>
              <w:t>стойност</w:t>
            </w:r>
          </w:p>
        </w:tc>
      </w:tr>
      <w:tr w:rsidR="00C25740" w14:paraId="33848A8B" w14:textId="77777777" w:rsidTr="00C25740">
        <w:tc>
          <w:tcPr>
            <w:tcW w:w="1915" w:type="dxa"/>
          </w:tcPr>
          <w:p w14:paraId="79056771" w14:textId="65CCC90C" w:rsidR="00C25740" w:rsidRPr="00C25740" w:rsidRDefault="00C25740" w:rsidP="00C25740">
            <w:pPr>
              <w:rPr>
                <w:b/>
              </w:rPr>
            </w:pPr>
            <w:r w:rsidRPr="00C25740">
              <w:t>Преживяемост без заболяване-събития (първична)</w:t>
            </w:r>
            <w:r w:rsidRPr="00C25740">
              <w:rPr>
                <w:vertAlign w:val="superscript"/>
              </w:rPr>
              <w:t>2</w:t>
            </w:r>
          </w:p>
        </w:tc>
        <w:tc>
          <w:tcPr>
            <w:tcW w:w="1915" w:type="dxa"/>
          </w:tcPr>
          <w:p w14:paraId="5F5E5C6D" w14:textId="7C49BFF3" w:rsidR="00C25740" w:rsidRPr="00C25740" w:rsidRDefault="00C25740" w:rsidP="00C25740">
            <w:pPr>
              <w:rPr>
                <w:b/>
              </w:rPr>
            </w:pPr>
            <w:r w:rsidRPr="00C25740">
              <w:t>509</w:t>
            </w:r>
          </w:p>
        </w:tc>
        <w:tc>
          <w:tcPr>
            <w:tcW w:w="1915" w:type="dxa"/>
          </w:tcPr>
          <w:p w14:paraId="420C9D89" w14:textId="3455D161" w:rsidR="00C25740" w:rsidRPr="00C25740" w:rsidRDefault="00C25740" w:rsidP="00C25740">
            <w:pPr>
              <w:rPr>
                <w:b/>
              </w:rPr>
            </w:pPr>
            <w:r w:rsidRPr="00C25740">
              <w:t>565</w:t>
            </w:r>
          </w:p>
        </w:tc>
        <w:tc>
          <w:tcPr>
            <w:tcW w:w="1915" w:type="dxa"/>
          </w:tcPr>
          <w:p w14:paraId="790465BC" w14:textId="5B4E32B4" w:rsidR="00C25740" w:rsidRPr="00C25740" w:rsidRDefault="00C25740" w:rsidP="00C25740">
            <w:pPr>
              <w:rPr>
                <w:b/>
              </w:rPr>
            </w:pPr>
            <w:r w:rsidRPr="00C25740">
              <w:t>0,88 (0,78, 0,99)</w:t>
            </w:r>
          </w:p>
        </w:tc>
        <w:tc>
          <w:tcPr>
            <w:tcW w:w="1916" w:type="dxa"/>
          </w:tcPr>
          <w:p w14:paraId="38BFDCC0" w14:textId="61FC13A2" w:rsidR="00C25740" w:rsidRPr="00C25740" w:rsidRDefault="00C25740" w:rsidP="00C25740">
            <w:pPr>
              <w:rPr>
                <w:b/>
              </w:rPr>
            </w:pPr>
            <w:r w:rsidRPr="00C25740">
              <w:t>0,03</w:t>
            </w:r>
          </w:p>
        </w:tc>
      </w:tr>
      <w:tr w:rsidR="00C25740" w14:paraId="06CC2809" w14:textId="77777777" w:rsidTr="00C25740">
        <w:tc>
          <w:tcPr>
            <w:tcW w:w="1915" w:type="dxa"/>
          </w:tcPr>
          <w:p w14:paraId="7EC3B356" w14:textId="372667BC" w:rsidR="00C25740" w:rsidRPr="00C25740" w:rsidRDefault="00C25740" w:rsidP="00C25740">
            <w:pPr>
              <w:rPr>
                <w:b/>
              </w:rPr>
            </w:pPr>
            <w:r w:rsidRPr="00C25740">
              <w:t>Време до появата на далечни метастази (вторична)</w:t>
            </w:r>
          </w:p>
        </w:tc>
        <w:tc>
          <w:tcPr>
            <w:tcW w:w="1915" w:type="dxa"/>
          </w:tcPr>
          <w:p w14:paraId="34C3D6F7" w14:textId="576660E0" w:rsidR="00C25740" w:rsidRPr="00C25740" w:rsidRDefault="00C25740" w:rsidP="00C25740">
            <w:pPr>
              <w:rPr>
                <w:b/>
              </w:rPr>
            </w:pPr>
            <w:r w:rsidRPr="00C25740">
              <w:t>257</w:t>
            </w:r>
          </w:p>
        </w:tc>
        <w:tc>
          <w:tcPr>
            <w:tcW w:w="1915" w:type="dxa"/>
          </w:tcPr>
          <w:p w14:paraId="581A8AC9" w14:textId="0D9F5974" w:rsidR="00C25740" w:rsidRPr="00C25740" w:rsidRDefault="00C25740" w:rsidP="00C25740">
            <w:pPr>
              <w:rPr>
                <w:b/>
              </w:rPr>
            </w:pPr>
            <w:r w:rsidRPr="00C25740">
              <w:t>298</w:t>
            </w:r>
          </w:p>
        </w:tc>
        <w:tc>
          <w:tcPr>
            <w:tcW w:w="1915" w:type="dxa"/>
          </w:tcPr>
          <w:p w14:paraId="0D4B1EAF" w14:textId="35377615" w:rsidR="00C25740" w:rsidRPr="00C25740" w:rsidRDefault="00C25740" w:rsidP="00C25740">
            <w:pPr>
              <w:rPr>
                <w:b/>
              </w:rPr>
            </w:pPr>
            <w:r w:rsidRPr="00C25740">
              <w:t>0,85 (0,72, 1,00)</w:t>
            </w:r>
          </w:p>
        </w:tc>
        <w:tc>
          <w:tcPr>
            <w:tcW w:w="1916" w:type="dxa"/>
          </w:tcPr>
          <w:p w14:paraId="15E4D500" w14:textId="2BB9CD49" w:rsidR="00C25740" w:rsidRPr="00C25740" w:rsidRDefault="00C25740" w:rsidP="00C25740">
            <w:pPr>
              <w:rPr>
                <w:b/>
              </w:rPr>
            </w:pPr>
            <w:r w:rsidRPr="00C25740">
              <w:t>0,045</w:t>
            </w:r>
          </w:p>
        </w:tc>
      </w:tr>
      <w:tr w:rsidR="00C25740" w14:paraId="6C347A5C" w14:textId="77777777" w:rsidTr="00C25740">
        <w:tc>
          <w:tcPr>
            <w:tcW w:w="1915" w:type="dxa"/>
          </w:tcPr>
          <w:p w14:paraId="61289C3D" w14:textId="12053234" w:rsidR="00C25740" w:rsidRPr="00C25740" w:rsidRDefault="00C25740" w:rsidP="00C25740">
            <w:pPr>
              <w:rPr>
                <w:b/>
              </w:rPr>
            </w:pPr>
            <w:r w:rsidRPr="00C25740">
              <w:t>Обща преживяемост (вторична)-смъртни случаи</w:t>
            </w:r>
          </w:p>
        </w:tc>
        <w:tc>
          <w:tcPr>
            <w:tcW w:w="1915" w:type="dxa"/>
          </w:tcPr>
          <w:p w14:paraId="6DFEA820" w14:textId="6C63AFB5" w:rsidR="00C25740" w:rsidRPr="00C25740" w:rsidRDefault="00C25740" w:rsidP="00C25740">
            <w:pPr>
              <w:rPr>
                <w:b/>
              </w:rPr>
            </w:pPr>
            <w:r w:rsidRPr="00C25740">
              <w:t>303</w:t>
            </w:r>
          </w:p>
        </w:tc>
        <w:tc>
          <w:tcPr>
            <w:tcW w:w="1915" w:type="dxa"/>
          </w:tcPr>
          <w:p w14:paraId="5D84B6E7" w14:textId="4758A325" w:rsidR="00C25740" w:rsidRPr="00C25740" w:rsidRDefault="00C25740" w:rsidP="00C25740">
            <w:pPr>
              <w:rPr>
                <w:b/>
              </w:rPr>
            </w:pPr>
            <w:r w:rsidRPr="00C25740">
              <w:t>343</w:t>
            </w:r>
          </w:p>
        </w:tc>
        <w:tc>
          <w:tcPr>
            <w:tcW w:w="1915" w:type="dxa"/>
          </w:tcPr>
          <w:p w14:paraId="4769AFAF" w14:textId="2E77ADF7" w:rsidR="00C25740" w:rsidRPr="00C25740" w:rsidRDefault="00C25740" w:rsidP="00C25740">
            <w:pPr>
              <w:rPr>
                <w:b/>
              </w:rPr>
            </w:pPr>
            <w:r w:rsidRPr="00C25740">
              <w:t>0,87(0,75,1,02)</w:t>
            </w:r>
          </w:p>
        </w:tc>
        <w:tc>
          <w:tcPr>
            <w:tcW w:w="1916" w:type="dxa"/>
          </w:tcPr>
          <w:p w14:paraId="3C859867" w14:textId="4059A94F" w:rsidR="00C25740" w:rsidRPr="00C25740" w:rsidRDefault="00C25740" w:rsidP="00C25740">
            <w:pPr>
              <w:rPr>
                <w:b/>
              </w:rPr>
            </w:pPr>
            <w:r w:rsidRPr="00C25740">
              <w:t>0,08</w:t>
            </w:r>
          </w:p>
        </w:tc>
      </w:tr>
      <w:tr w:rsidR="00C25740" w14:paraId="770FE837" w14:textId="77777777" w:rsidTr="00C25740">
        <w:tc>
          <w:tcPr>
            <w:tcW w:w="1915" w:type="dxa"/>
          </w:tcPr>
          <w:p w14:paraId="34471E8C" w14:textId="4AC1079A" w:rsidR="00C25740" w:rsidRPr="00C25740" w:rsidRDefault="00C25740" w:rsidP="00C25740">
            <w:pPr>
              <w:rPr>
                <w:b/>
              </w:rPr>
            </w:pPr>
            <w:r w:rsidRPr="00C25740">
              <w:t xml:space="preserve">Цензуриран анализ на </w:t>
            </w:r>
            <w:r w:rsidRPr="00C25740">
              <w:rPr>
                <w:lang w:val="en-US"/>
              </w:rPr>
              <w:t>DFS</w:t>
            </w:r>
            <w:r w:rsidRPr="00C25740">
              <w:rPr>
                <w:vertAlign w:val="superscript"/>
                <w:lang w:val="en-US"/>
              </w:rPr>
              <w:t>3</w:t>
            </w:r>
          </w:p>
        </w:tc>
        <w:tc>
          <w:tcPr>
            <w:tcW w:w="1915" w:type="dxa"/>
          </w:tcPr>
          <w:p w14:paraId="276BB5E8" w14:textId="6A4D78DB" w:rsidR="00C25740" w:rsidRPr="00C25740" w:rsidRDefault="00C25740" w:rsidP="00C25740">
            <w:pPr>
              <w:rPr>
                <w:b/>
              </w:rPr>
            </w:pPr>
            <w:r w:rsidRPr="00C25740">
              <w:t>509</w:t>
            </w:r>
          </w:p>
        </w:tc>
        <w:tc>
          <w:tcPr>
            <w:tcW w:w="1915" w:type="dxa"/>
          </w:tcPr>
          <w:p w14:paraId="6A2E3EF9" w14:textId="39226890" w:rsidR="00C25740" w:rsidRPr="00C25740" w:rsidRDefault="00C25740" w:rsidP="00C25740">
            <w:pPr>
              <w:rPr>
                <w:b/>
              </w:rPr>
            </w:pPr>
            <w:r w:rsidRPr="00C25740">
              <w:t>543</w:t>
            </w:r>
          </w:p>
        </w:tc>
        <w:tc>
          <w:tcPr>
            <w:tcW w:w="1915" w:type="dxa"/>
          </w:tcPr>
          <w:p w14:paraId="0B32D16B" w14:textId="78123194" w:rsidR="00C25740" w:rsidRPr="00C25740" w:rsidRDefault="00C25740" w:rsidP="00C25740">
            <w:pPr>
              <w:rPr>
                <w:b/>
              </w:rPr>
            </w:pPr>
            <w:r w:rsidRPr="00C25740">
              <w:t>0,85 (0,75, 0,96)</w:t>
            </w:r>
          </w:p>
        </w:tc>
        <w:tc>
          <w:tcPr>
            <w:tcW w:w="1916" w:type="dxa"/>
          </w:tcPr>
          <w:p w14:paraId="3798AC1F" w14:textId="77777777" w:rsidR="00C25740" w:rsidRPr="00C25740" w:rsidRDefault="00C25740" w:rsidP="00C25740">
            <w:pPr>
              <w:rPr>
                <w:b/>
              </w:rPr>
            </w:pPr>
          </w:p>
        </w:tc>
      </w:tr>
      <w:tr w:rsidR="00C25740" w14:paraId="364B0988" w14:textId="77777777" w:rsidTr="00C25740">
        <w:tc>
          <w:tcPr>
            <w:tcW w:w="1915" w:type="dxa"/>
          </w:tcPr>
          <w:p w14:paraId="384C86B5" w14:textId="6D04EFBA" w:rsidR="00C25740" w:rsidRPr="00C25740" w:rsidRDefault="00C25740" w:rsidP="00C25740">
            <w:pPr>
              <w:rPr>
                <w:b/>
              </w:rPr>
            </w:pPr>
            <w:r w:rsidRPr="00C25740">
              <w:t xml:space="preserve">Цензуриран анализ на </w:t>
            </w:r>
            <w:r w:rsidRPr="00C25740">
              <w:rPr>
                <w:lang w:val="en-US"/>
              </w:rPr>
              <w:t>OS</w:t>
            </w:r>
            <w:r w:rsidRPr="00C25740">
              <w:rPr>
                <w:vertAlign w:val="superscript"/>
                <w:lang w:val="en-US"/>
              </w:rPr>
              <w:t>3</w:t>
            </w:r>
          </w:p>
        </w:tc>
        <w:tc>
          <w:tcPr>
            <w:tcW w:w="1915" w:type="dxa"/>
          </w:tcPr>
          <w:p w14:paraId="6AD8A9FD" w14:textId="716DA13D" w:rsidR="00C25740" w:rsidRPr="00C25740" w:rsidRDefault="00C25740" w:rsidP="00C25740">
            <w:pPr>
              <w:rPr>
                <w:b/>
              </w:rPr>
            </w:pPr>
            <w:r w:rsidRPr="00C25740">
              <w:t>303</w:t>
            </w:r>
          </w:p>
        </w:tc>
        <w:tc>
          <w:tcPr>
            <w:tcW w:w="1915" w:type="dxa"/>
          </w:tcPr>
          <w:p w14:paraId="14FE3FC1" w14:textId="15CF85F1" w:rsidR="00C25740" w:rsidRPr="00C25740" w:rsidRDefault="00C25740" w:rsidP="00C25740">
            <w:pPr>
              <w:rPr>
                <w:b/>
              </w:rPr>
            </w:pPr>
            <w:r w:rsidRPr="00C25740">
              <w:t>338</w:t>
            </w:r>
          </w:p>
        </w:tc>
        <w:tc>
          <w:tcPr>
            <w:tcW w:w="1915" w:type="dxa"/>
          </w:tcPr>
          <w:p w14:paraId="78E097DE" w14:textId="55522DDD" w:rsidR="00C25740" w:rsidRPr="00C25740" w:rsidRDefault="00C25740" w:rsidP="00C25740">
            <w:pPr>
              <w:rPr>
                <w:b/>
              </w:rPr>
            </w:pPr>
            <w:r w:rsidRPr="00C25740">
              <w:t>0,82 (0,70,0,96)</w:t>
            </w:r>
          </w:p>
        </w:tc>
        <w:tc>
          <w:tcPr>
            <w:tcW w:w="1916" w:type="dxa"/>
          </w:tcPr>
          <w:p w14:paraId="5B2F07CC" w14:textId="77777777" w:rsidR="00C25740" w:rsidRPr="00C25740" w:rsidRDefault="00C25740" w:rsidP="00C25740">
            <w:pPr>
              <w:rPr>
                <w:b/>
              </w:rPr>
            </w:pPr>
          </w:p>
        </w:tc>
      </w:tr>
    </w:tbl>
    <w:p w14:paraId="1D0D2620" w14:textId="77777777" w:rsidR="00C25740" w:rsidRPr="00C25740" w:rsidRDefault="00C25740" w:rsidP="00C25740">
      <w:pPr>
        <w:spacing w:line="240" w:lineRule="auto"/>
        <w:rPr>
          <w:rFonts w:eastAsia="Times New Roman" w:cs="Arial"/>
        </w:rPr>
      </w:pPr>
      <w:r w:rsidRPr="00C25740">
        <w:rPr>
          <w:rFonts w:eastAsia="Times New Roman" w:cs="Arial"/>
          <w:color w:val="000000"/>
          <w:vertAlign w:val="superscript"/>
          <w:lang w:val="ru-RU"/>
        </w:rPr>
        <w:t>1</w:t>
      </w:r>
      <w:r w:rsidRPr="00C25740">
        <w:rPr>
          <w:rFonts w:eastAsia="Times New Roman" w:cs="Arial"/>
          <w:color w:val="000000"/>
          <w:lang w:val="en-US"/>
        </w:rPr>
        <w:t>Log</w:t>
      </w:r>
      <w:r w:rsidRPr="00C25740">
        <w:rPr>
          <w:rFonts w:eastAsia="Times New Roman" w:cs="Arial"/>
          <w:color w:val="000000"/>
          <w:lang w:val="ru-RU"/>
        </w:rPr>
        <w:t xml:space="preserve"> </w:t>
      </w:r>
      <w:r w:rsidRPr="00C25740">
        <w:rPr>
          <w:rFonts w:eastAsia="Times New Roman" w:cs="Arial"/>
          <w:color w:val="000000"/>
          <w:lang w:val="en-US"/>
        </w:rPr>
        <w:t>rank</w:t>
      </w:r>
      <w:r w:rsidRPr="00C25740">
        <w:rPr>
          <w:rFonts w:eastAsia="Times New Roman" w:cs="Arial"/>
          <w:color w:val="000000"/>
          <w:lang w:val="ru-RU"/>
        </w:rPr>
        <w:t xml:space="preserve"> </w:t>
      </w:r>
      <w:r w:rsidRPr="00C25740">
        <w:rPr>
          <w:rFonts w:eastAsia="Times New Roman" w:cs="Arial"/>
          <w:color w:val="000000"/>
          <w:lang w:eastAsia="bg-BG"/>
        </w:rPr>
        <w:t xml:space="preserve">тест, стратифицирация </w:t>
      </w:r>
      <w:proofErr w:type="gramStart"/>
      <w:r w:rsidRPr="00C25740">
        <w:rPr>
          <w:rFonts w:eastAsia="Times New Roman" w:cs="Arial"/>
          <w:color w:val="000000"/>
          <w:lang w:eastAsia="bg-BG"/>
        </w:rPr>
        <w:t>по начина</w:t>
      </w:r>
      <w:proofErr w:type="gramEnd"/>
      <w:r w:rsidRPr="00C25740">
        <w:rPr>
          <w:rFonts w:eastAsia="Times New Roman" w:cs="Arial"/>
          <w:color w:val="000000"/>
          <w:lang w:eastAsia="bg-BG"/>
        </w:rPr>
        <w:t xml:space="preserve"> на рандомизация и прилагане на химиотерапия (да/не)</w:t>
      </w:r>
    </w:p>
    <w:p w14:paraId="1C7C544C" w14:textId="31F496CE" w:rsidR="00C25740" w:rsidRPr="00C25740" w:rsidRDefault="00C25740" w:rsidP="00C25740">
      <w:pPr>
        <w:spacing w:line="240" w:lineRule="auto"/>
        <w:rPr>
          <w:rFonts w:eastAsia="Times New Roman" w:cs="Arial"/>
        </w:rPr>
      </w:pPr>
      <w:r w:rsidRPr="00C25740">
        <w:rPr>
          <w:rFonts w:eastAsia="Times New Roman" w:cs="Arial"/>
          <w:color w:val="000000"/>
          <w:vertAlign w:val="superscript"/>
          <w:lang w:eastAsia="bg-BG"/>
        </w:rPr>
        <w:t>2</w:t>
      </w:r>
      <w:r w:rsidRPr="00C25740">
        <w:rPr>
          <w:rFonts w:eastAsia="Times New Roman" w:cs="Arial"/>
          <w:color w:val="000000"/>
          <w:lang w:eastAsia="bg-BG"/>
        </w:rPr>
        <w:t>Преживяемост без заболяване - събития: локорегионален рецидив, далечни метастази, инвазивен контралатерален рак на гърдата, вторична (не на гърдата) първична неоплазма, смърт поради друга причина без предшестваща неоплазма</w:t>
      </w:r>
    </w:p>
    <w:p w14:paraId="68BAA3B3" w14:textId="77777777" w:rsidR="00C25740" w:rsidRPr="00C25740" w:rsidRDefault="00C25740" w:rsidP="00C25740">
      <w:pPr>
        <w:spacing w:line="240" w:lineRule="auto"/>
        <w:rPr>
          <w:rFonts w:eastAsia="Times New Roman" w:cs="Arial"/>
        </w:rPr>
      </w:pPr>
      <w:r w:rsidRPr="00C25740">
        <w:rPr>
          <w:rFonts w:eastAsia="Times New Roman" w:cs="Arial"/>
          <w:color w:val="000000"/>
          <w:vertAlign w:val="superscript"/>
          <w:lang w:eastAsia="bg-BG"/>
        </w:rPr>
        <w:t>3</w:t>
      </w:r>
      <w:r w:rsidRPr="00C25740">
        <w:rPr>
          <w:rFonts w:eastAsia="Times New Roman" w:cs="Arial"/>
          <w:color w:val="000000"/>
          <w:lang w:eastAsia="bg-BG"/>
        </w:rPr>
        <w:t xml:space="preserve"> Наблюдения в рамото на тамоксифен, цензурирани към датата на селективно преминаване на летрозол</w:t>
      </w:r>
    </w:p>
    <w:p w14:paraId="2B15340F" w14:textId="77777777" w:rsidR="00C25740" w:rsidRDefault="00C25740" w:rsidP="00C25740">
      <w:pPr>
        <w:spacing w:line="240" w:lineRule="auto"/>
        <w:rPr>
          <w:rFonts w:eastAsia="Times New Roman" w:cs="Arial"/>
          <w:i/>
          <w:iCs/>
          <w:color w:val="000000"/>
          <w:lang w:eastAsia="bg-BG"/>
        </w:rPr>
      </w:pPr>
    </w:p>
    <w:p w14:paraId="5B26FDCA" w14:textId="0F4A290B" w:rsidR="00C25740" w:rsidRPr="00C25740" w:rsidRDefault="00C25740" w:rsidP="00C25740">
      <w:pPr>
        <w:spacing w:line="240" w:lineRule="auto"/>
        <w:rPr>
          <w:rFonts w:eastAsia="Times New Roman" w:cs="Arial"/>
        </w:rPr>
      </w:pPr>
      <w:r w:rsidRPr="00C25740">
        <w:rPr>
          <w:rFonts w:eastAsia="Times New Roman" w:cs="Arial"/>
          <w:i/>
          <w:iCs/>
          <w:color w:val="000000"/>
          <w:lang w:eastAsia="bg-BG"/>
        </w:rPr>
        <w:lastRenderedPageBreak/>
        <w:t xml:space="preserve">Анализ на секвенирана терапия </w:t>
      </w:r>
      <w:r w:rsidRPr="00C25740">
        <w:rPr>
          <w:rFonts w:eastAsia="Times New Roman" w:cs="Arial"/>
          <w:i/>
          <w:iCs/>
          <w:color w:val="000000"/>
          <w:lang w:val="ru-RU"/>
        </w:rPr>
        <w:t>(</w:t>
      </w:r>
      <w:r w:rsidRPr="00C25740">
        <w:rPr>
          <w:rFonts w:eastAsia="Times New Roman" w:cs="Arial"/>
          <w:i/>
          <w:iCs/>
          <w:color w:val="000000"/>
          <w:lang w:val="en-US"/>
        </w:rPr>
        <w:t>STA</w:t>
      </w:r>
      <w:r w:rsidRPr="00C25740">
        <w:rPr>
          <w:rFonts w:eastAsia="Times New Roman" w:cs="Arial"/>
          <w:i/>
          <w:iCs/>
          <w:color w:val="000000"/>
          <w:lang w:val="ru-RU"/>
        </w:rPr>
        <w:t>)</w:t>
      </w:r>
    </w:p>
    <w:p w14:paraId="01E32094" w14:textId="77777777" w:rsidR="00C25740" w:rsidRPr="00C25740" w:rsidRDefault="00C25740" w:rsidP="00C25740">
      <w:pPr>
        <w:spacing w:line="240" w:lineRule="auto"/>
        <w:rPr>
          <w:rFonts w:eastAsia="Times New Roman" w:cs="Arial"/>
        </w:rPr>
      </w:pPr>
      <w:r w:rsidRPr="00C25740">
        <w:rPr>
          <w:rFonts w:eastAsia="Times New Roman" w:cs="Arial"/>
          <w:color w:val="000000"/>
          <w:lang w:eastAsia="bg-BG"/>
        </w:rPr>
        <w:t xml:space="preserve">Анализът на секвенирана терапия </w:t>
      </w:r>
      <w:r w:rsidRPr="00C25740">
        <w:rPr>
          <w:rFonts w:eastAsia="Times New Roman" w:cs="Arial"/>
          <w:color w:val="000000"/>
          <w:lang w:val="ru-RU"/>
        </w:rPr>
        <w:t>(</w:t>
      </w:r>
      <w:r w:rsidRPr="00C25740">
        <w:rPr>
          <w:rFonts w:eastAsia="Times New Roman" w:cs="Arial"/>
          <w:color w:val="000000"/>
          <w:lang w:val="en-US"/>
        </w:rPr>
        <w:t>STA</w:t>
      </w:r>
      <w:r w:rsidRPr="00C25740">
        <w:rPr>
          <w:rFonts w:eastAsia="Times New Roman" w:cs="Arial"/>
          <w:color w:val="000000"/>
          <w:lang w:val="ru-RU"/>
        </w:rPr>
        <w:t xml:space="preserve">) </w:t>
      </w:r>
      <w:r w:rsidRPr="00C25740">
        <w:rPr>
          <w:rFonts w:eastAsia="Times New Roman" w:cs="Arial"/>
          <w:color w:val="000000"/>
          <w:lang w:eastAsia="bg-BG"/>
        </w:rPr>
        <w:t xml:space="preserve">се отнася до втория основен въпрос на </w:t>
      </w:r>
      <w:r w:rsidRPr="00C25740">
        <w:rPr>
          <w:rFonts w:eastAsia="Times New Roman" w:cs="Arial"/>
          <w:color w:val="000000"/>
          <w:lang w:val="en-US"/>
        </w:rPr>
        <w:t>BIG</w:t>
      </w:r>
      <w:r w:rsidRPr="00C25740">
        <w:rPr>
          <w:rFonts w:eastAsia="Times New Roman" w:cs="Arial"/>
          <w:color w:val="000000"/>
          <w:lang w:val="ru-RU"/>
        </w:rPr>
        <w:t xml:space="preserve"> </w:t>
      </w:r>
      <w:r w:rsidRPr="00C25740">
        <w:rPr>
          <w:rFonts w:eastAsia="Times New Roman" w:cs="Arial"/>
          <w:color w:val="000000"/>
          <w:lang w:eastAsia="bg-BG"/>
        </w:rPr>
        <w:t xml:space="preserve">1 -98, а именно дали секвенираното прилагане на тамоксифен и летрозол превъзхожда монотерапията. Няма сигнификантни разлики по отношение на </w:t>
      </w:r>
      <w:r w:rsidRPr="00C25740">
        <w:rPr>
          <w:rFonts w:eastAsia="Times New Roman" w:cs="Arial"/>
          <w:color w:val="000000"/>
          <w:lang w:val="en-US"/>
        </w:rPr>
        <w:t>DFS</w:t>
      </w:r>
      <w:r w:rsidRPr="00C25740">
        <w:rPr>
          <w:rFonts w:eastAsia="Times New Roman" w:cs="Arial"/>
          <w:color w:val="000000"/>
          <w:lang w:val="ru-RU"/>
        </w:rPr>
        <w:t xml:space="preserve">, </w:t>
      </w:r>
      <w:r w:rsidRPr="00C25740">
        <w:rPr>
          <w:rFonts w:eastAsia="Times New Roman" w:cs="Arial"/>
          <w:color w:val="000000"/>
          <w:lang w:val="en-US"/>
        </w:rPr>
        <w:t>OS</w:t>
      </w:r>
      <w:r w:rsidRPr="00C25740">
        <w:rPr>
          <w:rFonts w:eastAsia="Times New Roman" w:cs="Arial"/>
          <w:color w:val="000000"/>
          <w:lang w:val="ru-RU"/>
        </w:rPr>
        <w:t xml:space="preserve">, </w:t>
      </w:r>
      <w:r w:rsidRPr="00C25740">
        <w:rPr>
          <w:rFonts w:eastAsia="Times New Roman" w:cs="Arial"/>
          <w:color w:val="000000"/>
          <w:lang w:val="en-US"/>
        </w:rPr>
        <w:t>SDFS</w:t>
      </w:r>
      <w:r w:rsidRPr="00C25740">
        <w:rPr>
          <w:rFonts w:eastAsia="Times New Roman" w:cs="Arial"/>
          <w:color w:val="000000"/>
          <w:lang w:val="ru-RU"/>
        </w:rPr>
        <w:t xml:space="preserve"> </w:t>
      </w:r>
      <w:r w:rsidRPr="00C25740">
        <w:rPr>
          <w:rFonts w:eastAsia="Times New Roman" w:cs="Arial"/>
          <w:color w:val="000000"/>
          <w:lang w:eastAsia="bg-BG"/>
        </w:rPr>
        <w:t xml:space="preserve">и </w:t>
      </w:r>
      <w:r w:rsidRPr="00C25740">
        <w:rPr>
          <w:rFonts w:eastAsia="Times New Roman" w:cs="Arial"/>
          <w:color w:val="000000"/>
          <w:lang w:val="en-US"/>
        </w:rPr>
        <w:t>DDFS</w:t>
      </w:r>
      <w:r w:rsidRPr="00C25740">
        <w:rPr>
          <w:rFonts w:eastAsia="Times New Roman" w:cs="Arial"/>
          <w:color w:val="000000"/>
          <w:lang w:val="ru-RU"/>
        </w:rPr>
        <w:t xml:space="preserve"> </w:t>
      </w:r>
      <w:r w:rsidRPr="00C25740">
        <w:rPr>
          <w:rFonts w:eastAsia="Times New Roman" w:cs="Arial"/>
          <w:color w:val="000000"/>
          <w:lang w:eastAsia="bg-BG"/>
        </w:rPr>
        <w:t>при смяна на терапията спрямо монотерапията (Таблица 6).</w:t>
      </w:r>
    </w:p>
    <w:p w14:paraId="71AD7013" w14:textId="77777777" w:rsidR="00C25740" w:rsidRDefault="00C25740" w:rsidP="00C25740">
      <w:pPr>
        <w:spacing w:line="240" w:lineRule="auto"/>
        <w:rPr>
          <w:rFonts w:eastAsia="Times New Roman" w:cs="Arial"/>
          <w:b/>
          <w:bCs/>
          <w:color w:val="000000"/>
          <w:lang w:eastAsia="bg-BG"/>
        </w:rPr>
      </w:pPr>
    </w:p>
    <w:p w14:paraId="01657A5A" w14:textId="677AEB9A" w:rsidR="00C25740" w:rsidRPr="00C25740" w:rsidRDefault="00C25740" w:rsidP="00C25740">
      <w:pPr>
        <w:spacing w:line="240" w:lineRule="auto"/>
        <w:rPr>
          <w:rFonts w:ascii="Times New Roman" w:eastAsia="Times New Roman" w:hAnsi="Times New Roman" w:cs="Times New Roman"/>
          <w:sz w:val="24"/>
          <w:szCs w:val="24"/>
        </w:rPr>
      </w:pPr>
      <w:r w:rsidRPr="00C25740">
        <w:rPr>
          <w:rFonts w:eastAsia="Times New Roman" w:cs="Arial"/>
          <w:b/>
          <w:bCs/>
          <w:color w:val="000000"/>
          <w:lang w:eastAsia="bg-BG"/>
        </w:rPr>
        <w:t xml:space="preserve">Таблица 6 Анализ на секвентната терапия по отношение пя преживяемост без заболяване при прилагане на летрозол като първо ендокринно средство </w:t>
      </w:r>
      <w:r w:rsidRPr="00C25740">
        <w:rPr>
          <w:rFonts w:eastAsia="Times New Roman" w:cs="Arial"/>
          <w:b/>
          <w:bCs/>
          <w:color w:val="000000"/>
          <w:lang w:val="ru-RU"/>
        </w:rPr>
        <w:t>(</w:t>
      </w:r>
      <w:r w:rsidRPr="00C25740">
        <w:rPr>
          <w:rFonts w:eastAsia="Times New Roman" w:cs="Arial"/>
          <w:b/>
          <w:bCs/>
          <w:color w:val="000000"/>
          <w:lang w:val="en-US"/>
        </w:rPr>
        <w:t>STA</w:t>
      </w:r>
      <w:r w:rsidRPr="00C25740">
        <w:rPr>
          <w:rFonts w:eastAsia="Times New Roman" w:cs="Arial"/>
          <w:b/>
          <w:bCs/>
          <w:color w:val="000000"/>
          <w:lang w:val="ru-RU"/>
        </w:rPr>
        <w:t xml:space="preserve"> </w:t>
      </w:r>
      <w:r w:rsidRPr="00C25740">
        <w:rPr>
          <w:rFonts w:eastAsia="Times New Roman" w:cs="Arial"/>
          <w:b/>
          <w:bCs/>
          <w:color w:val="000000"/>
          <w:lang w:eastAsia="bg-BG"/>
        </w:rPr>
        <w:t>популация със смяна на терапията)</w:t>
      </w:r>
    </w:p>
    <w:tbl>
      <w:tblPr>
        <w:tblStyle w:val="TableGrid"/>
        <w:tblW w:w="0" w:type="auto"/>
        <w:tblLook w:val="04A0" w:firstRow="1" w:lastRow="0" w:firstColumn="1" w:lastColumn="0" w:noHBand="0" w:noVBand="1"/>
      </w:tblPr>
      <w:tblGrid>
        <w:gridCol w:w="1778"/>
        <w:gridCol w:w="1268"/>
        <w:gridCol w:w="1536"/>
        <w:gridCol w:w="1591"/>
        <w:gridCol w:w="1643"/>
        <w:gridCol w:w="1534"/>
      </w:tblGrid>
      <w:tr w:rsidR="00C25740" w14:paraId="1BE9476C" w14:textId="77777777" w:rsidTr="00C25740">
        <w:tc>
          <w:tcPr>
            <w:tcW w:w="1809" w:type="dxa"/>
          </w:tcPr>
          <w:p w14:paraId="5B30EAD8" w14:textId="77777777" w:rsidR="00C25740" w:rsidRPr="00C25740" w:rsidRDefault="00C25740" w:rsidP="00C25740">
            <w:pPr>
              <w:rPr>
                <w:b/>
              </w:rPr>
            </w:pPr>
          </w:p>
        </w:tc>
        <w:tc>
          <w:tcPr>
            <w:tcW w:w="1358" w:type="dxa"/>
          </w:tcPr>
          <w:p w14:paraId="7EAE4E63" w14:textId="624A1D50" w:rsidR="00C25740" w:rsidRPr="00C25740" w:rsidRDefault="00C25740" w:rsidP="00C25740">
            <w:pPr>
              <w:rPr>
                <w:b/>
              </w:rPr>
            </w:pPr>
            <w:r w:rsidRPr="00C25740">
              <w:rPr>
                <w:b/>
                <w:bCs/>
                <w:lang w:val="en-US"/>
              </w:rPr>
              <w:t>N</w:t>
            </w:r>
          </w:p>
        </w:tc>
        <w:tc>
          <w:tcPr>
            <w:tcW w:w="1586" w:type="dxa"/>
          </w:tcPr>
          <w:p w14:paraId="000217B7" w14:textId="5053806B" w:rsidR="00C25740" w:rsidRPr="00C25740" w:rsidRDefault="00C25740" w:rsidP="00C25740">
            <w:pPr>
              <w:rPr>
                <w:b/>
              </w:rPr>
            </w:pPr>
            <w:r w:rsidRPr="00C25740">
              <w:rPr>
                <w:b/>
                <w:bCs/>
              </w:rPr>
              <w:t>Брой събития</w:t>
            </w:r>
            <w:r w:rsidRPr="00C25740">
              <w:rPr>
                <w:b/>
                <w:bCs/>
                <w:vertAlign w:val="superscript"/>
              </w:rPr>
              <w:t>1</w:t>
            </w:r>
          </w:p>
        </w:tc>
        <w:tc>
          <w:tcPr>
            <w:tcW w:w="1595" w:type="dxa"/>
          </w:tcPr>
          <w:p w14:paraId="6B5482BF" w14:textId="2E727A77" w:rsidR="00C25740" w:rsidRPr="00C25740" w:rsidRDefault="00C25740" w:rsidP="00C25740">
            <w:pPr>
              <w:rPr>
                <w:b/>
              </w:rPr>
            </w:pPr>
            <w:r w:rsidRPr="00C25740">
              <w:rPr>
                <w:b/>
                <w:bCs/>
              </w:rPr>
              <w:t>Коефициент  на риск</w:t>
            </w:r>
            <w:r w:rsidRPr="00C25740">
              <w:rPr>
                <w:b/>
                <w:bCs/>
                <w:vertAlign w:val="superscript"/>
              </w:rPr>
              <w:t>2</w:t>
            </w:r>
          </w:p>
        </w:tc>
        <w:tc>
          <w:tcPr>
            <w:tcW w:w="1643" w:type="dxa"/>
          </w:tcPr>
          <w:p w14:paraId="2428CD3B" w14:textId="78D0E8CA" w:rsidR="00C25740" w:rsidRPr="00C25740" w:rsidRDefault="00C25740" w:rsidP="00C25740">
            <w:pPr>
              <w:rPr>
                <w:b/>
              </w:rPr>
            </w:pPr>
            <w:r w:rsidRPr="00C25740">
              <w:rPr>
                <w:b/>
                <w:bCs/>
              </w:rPr>
              <w:t>(97.5% доверителен интервал)</w:t>
            </w:r>
          </w:p>
        </w:tc>
        <w:tc>
          <w:tcPr>
            <w:tcW w:w="1585" w:type="dxa"/>
          </w:tcPr>
          <w:p w14:paraId="4C560ACD" w14:textId="017F8B1E" w:rsidR="00C25740" w:rsidRPr="00C25740" w:rsidRDefault="00C25740" w:rsidP="00C25740">
            <w:pPr>
              <w:rPr>
                <w:b/>
              </w:rPr>
            </w:pPr>
            <w:r w:rsidRPr="00C25740">
              <w:rPr>
                <w:b/>
                <w:bCs/>
              </w:rPr>
              <w:t>Сох модел Р- стойност</w:t>
            </w:r>
          </w:p>
        </w:tc>
      </w:tr>
      <w:tr w:rsidR="00C25740" w14:paraId="57D3675C" w14:textId="77777777" w:rsidTr="00C25740">
        <w:tc>
          <w:tcPr>
            <w:tcW w:w="1809" w:type="dxa"/>
          </w:tcPr>
          <w:p w14:paraId="5F65B1C1" w14:textId="1508A996" w:rsidR="00C25740" w:rsidRPr="00C25740" w:rsidRDefault="00C25740" w:rsidP="00C25740">
            <w:pPr>
              <w:rPr>
                <w:b/>
              </w:rPr>
            </w:pPr>
            <w:r w:rsidRPr="00C25740">
              <w:rPr>
                <w:b/>
                <w:bCs/>
              </w:rPr>
              <w:t xml:space="preserve">[Летрозол </w:t>
            </w:r>
            <w:r w:rsidRPr="00C25740">
              <w:rPr>
                <w:b/>
                <w:bCs/>
                <w:lang w:val="en-US"/>
              </w:rPr>
              <w:t>→</w:t>
            </w:r>
            <w:r w:rsidRPr="00C25740">
              <w:rPr>
                <w:b/>
                <w:bCs/>
              </w:rPr>
              <w:t>] Тамоксифен</w:t>
            </w:r>
          </w:p>
        </w:tc>
        <w:tc>
          <w:tcPr>
            <w:tcW w:w="1358" w:type="dxa"/>
          </w:tcPr>
          <w:p w14:paraId="5B6129CE" w14:textId="085E8F00" w:rsidR="00C25740" w:rsidRPr="00C25740" w:rsidRDefault="00C25740" w:rsidP="00C25740">
            <w:pPr>
              <w:rPr>
                <w:b/>
              </w:rPr>
            </w:pPr>
            <w:r w:rsidRPr="00C25740">
              <w:t>1460</w:t>
            </w:r>
          </w:p>
        </w:tc>
        <w:tc>
          <w:tcPr>
            <w:tcW w:w="1586" w:type="dxa"/>
          </w:tcPr>
          <w:p w14:paraId="398DA4DE" w14:textId="2EA0B81F" w:rsidR="00C25740" w:rsidRPr="00C25740" w:rsidRDefault="00C25740" w:rsidP="00C25740">
            <w:pPr>
              <w:rPr>
                <w:b/>
              </w:rPr>
            </w:pPr>
            <w:r w:rsidRPr="00C25740">
              <w:t>160</w:t>
            </w:r>
          </w:p>
        </w:tc>
        <w:tc>
          <w:tcPr>
            <w:tcW w:w="1595" w:type="dxa"/>
          </w:tcPr>
          <w:p w14:paraId="09FABB1C" w14:textId="66C45989" w:rsidR="00C25740" w:rsidRPr="00C25740" w:rsidRDefault="00C25740" w:rsidP="00C25740">
            <w:pPr>
              <w:rPr>
                <w:b/>
              </w:rPr>
            </w:pPr>
            <w:r w:rsidRPr="00C25740">
              <w:t>0,92</w:t>
            </w:r>
          </w:p>
        </w:tc>
        <w:tc>
          <w:tcPr>
            <w:tcW w:w="1643" w:type="dxa"/>
          </w:tcPr>
          <w:p w14:paraId="72E8C835" w14:textId="15ABBDEB" w:rsidR="00C25740" w:rsidRPr="00C25740" w:rsidRDefault="00C25740" w:rsidP="00C25740">
            <w:pPr>
              <w:rPr>
                <w:b/>
              </w:rPr>
            </w:pPr>
            <w:r w:rsidRPr="00C25740">
              <w:t>(0,72, 1,17)</w:t>
            </w:r>
          </w:p>
        </w:tc>
        <w:tc>
          <w:tcPr>
            <w:tcW w:w="1585" w:type="dxa"/>
          </w:tcPr>
          <w:p w14:paraId="67558B71" w14:textId="78A193C5" w:rsidR="00C25740" w:rsidRPr="00C25740" w:rsidRDefault="00C25740" w:rsidP="00C25740">
            <w:pPr>
              <w:rPr>
                <w:b/>
              </w:rPr>
            </w:pPr>
            <w:r w:rsidRPr="00C25740">
              <w:t>0,42</w:t>
            </w:r>
          </w:p>
        </w:tc>
      </w:tr>
      <w:tr w:rsidR="00C25740" w14:paraId="4B728CB4" w14:textId="77777777" w:rsidTr="00C25740">
        <w:tc>
          <w:tcPr>
            <w:tcW w:w="1809" w:type="dxa"/>
          </w:tcPr>
          <w:p w14:paraId="6431112E" w14:textId="69AEDDA2" w:rsidR="00C25740" w:rsidRPr="00C25740" w:rsidRDefault="00C25740" w:rsidP="00C25740">
            <w:pPr>
              <w:rPr>
                <w:b/>
              </w:rPr>
            </w:pPr>
            <w:r w:rsidRPr="00C25740">
              <w:rPr>
                <w:b/>
                <w:bCs/>
              </w:rPr>
              <w:t>Летрозол</w:t>
            </w:r>
          </w:p>
        </w:tc>
        <w:tc>
          <w:tcPr>
            <w:tcW w:w="1358" w:type="dxa"/>
          </w:tcPr>
          <w:p w14:paraId="496D0CF8" w14:textId="74796D6F" w:rsidR="00C25740" w:rsidRPr="00C25740" w:rsidRDefault="00C25740" w:rsidP="00C25740">
            <w:pPr>
              <w:rPr>
                <w:b/>
              </w:rPr>
            </w:pPr>
            <w:r w:rsidRPr="00C25740">
              <w:t>1463</w:t>
            </w:r>
          </w:p>
        </w:tc>
        <w:tc>
          <w:tcPr>
            <w:tcW w:w="1586" w:type="dxa"/>
          </w:tcPr>
          <w:p w14:paraId="77975836" w14:textId="71683681" w:rsidR="00C25740" w:rsidRPr="00C25740" w:rsidRDefault="00C25740" w:rsidP="00C25740">
            <w:pPr>
              <w:rPr>
                <w:b/>
              </w:rPr>
            </w:pPr>
            <w:r w:rsidRPr="00C25740">
              <w:t>178</w:t>
            </w:r>
          </w:p>
        </w:tc>
        <w:tc>
          <w:tcPr>
            <w:tcW w:w="1595" w:type="dxa"/>
          </w:tcPr>
          <w:p w14:paraId="042012D2" w14:textId="77777777" w:rsidR="00C25740" w:rsidRPr="00C25740" w:rsidRDefault="00C25740" w:rsidP="00C25740">
            <w:pPr>
              <w:rPr>
                <w:b/>
              </w:rPr>
            </w:pPr>
          </w:p>
        </w:tc>
        <w:tc>
          <w:tcPr>
            <w:tcW w:w="1643" w:type="dxa"/>
          </w:tcPr>
          <w:p w14:paraId="5D7EB7DC" w14:textId="77777777" w:rsidR="00C25740" w:rsidRPr="00C25740" w:rsidRDefault="00C25740" w:rsidP="00C25740">
            <w:pPr>
              <w:rPr>
                <w:b/>
              </w:rPr>
            </w:pPr>
          </w:p>
        </w:tc>
        <w:tc>
          <w:tcPr>
            <w:tcW w:w="1585" w:type="dxa"/>
          </w:tcPr>
          <w:p w14:paraId="61606E41" w14:textId="77777777" w:rsidR="00C25740" w:rsidRPr="00C25740" w:rsidRDefault="00C25740" w:rsidP="00C25740">
            <w:pPr>
              <w:rPr>
                <w:b/>
              </w:rPr>
            </w:pPr>
          </w:p>
        </w:tc>
      </w:tr>
    </w:tbl>
    <w:p w14:paraId="6BFA46FC" w14:textId="3E854725" w:rsidR="00C25740" w:rsidRPr="00C25740" w:rsidRDefault="00C25740" w:rsidP="00C25740">
      <w:pPr>
        <w:spacing w:line="240" w:lineRule="auto"/>
        <w:rPr>
          <w:rFonts w:eastAsia="Times New Roman" w:cs="Arial"/>
          <w:color w:val="000000"/>
          <w:lang w:eastAsia="bg-BG"/>
        </w:rPr>
      </w:pPr>
      <w:r w:rsidRPr="00C25740">
        <w:rPr>
          <w:rFonts w:eastAsia="Times New Roman" w:cs="Arial"/>
          <w:color w:val="000000"/>
          <w:vertAlign w:val="superscript"/>
          <w:lang w:eastAsia="bg-BG"/>
        </w:rPr>
        <w:t>1</w:t>
      </w:r>
      <w:r w:rsidRPr="00C25740">
        <w:rPr>
          <w:rFonts w:eastAsia="Times New Roman" w:cs="Arial"/>
          <w:color w:val="000000"/>
          <w:lang w:eastAsia="bg-BG"/>
        </w:rPr>
        <w:t>Дефиниция по протокол, включително втора първична неоплазма, която не е на гърдата, след смяна на терапията/ след две години</w:t>
      </w:r>
    </w:p>
    <w:p w14:paraId="7B821A39" w14:textId="1A071AA1" w:rsidR="00C25740" w:rsidRPr="00C25740" w:rsidRDefault="00C25740" w:rsidP="00C25740">
      <w:pPr>
        <w:spacing w:line="240" w:lineRule="auto"/>
        <w:rPr>
          <w:rFonts w:eastAsia="Times New Roman" w:cs="Arial"/>
          <w:color w:val="000000"/>
          <w:lang w:eastAsia="bg-BG"/>
        </w:rPr>
      </w:pPr>
      <w:r w:rsidRPr="00C25740">
        <w:rPr>
          <w:rFonts w:eastAsia="Times New Roman" w:cs="Arial"/>
          <w:color w:val="000000"/>
          <w:vertAlign w:val="superscript"/>
          <w:lang w:eastAsia="bg-BG"/>
        </w:rPr>
        <w:t>2</w:t>
      </w:r>
      <w:r w:rsidRPr="00C25740">
        <w:rPr>
          <w:rFonts w:eastAsia="Times New Roman" w:cs="Arial"/>
          <w:color w:val="000000"/>
          <w:lang w:eastAsia="bg-BG"/>
        </w:rPr>
        <w:t>Коригиран чрез прилагане на химиотерапия</w:t>
      </w:r>
    </w:p>
    <w:p w14:paraId="360C8FD7" w14:textId="77777777" w:rsidR="00C25740" w:rsidRDefault="00C25740" w:rsidP="00C25740">
      <w:pPr>
        <w:spacing w:line="240" w:lineRule="auto"/>
        <w:rPr>
          <w:rFonts w:eastAsia="Times New Roman" w:cs="Arial"/>
          <w:color w:val="000000"/>
          <w:lang w:eastAsia="bg-BG"/>
        </w:rPr>
      </w:pPr>
    </w:p>
    <w:p w14:paraId="0D1CF355" w14:textId="23BB248A" w:rsidR="00C25740" w:rsidRPr="00C25740" w:rsidRDefault="00C25740" w:rsidP="00C25740">
      <w:pPr>
        <w:spacing w:line="240" w:lineRule="auto"/>
        <w:rPr>
          <w:rFonts w:eastAsia="Times New Roman" w:cs="Arial"/>
        </w:rPr>
      </w:pPr>
      <w:r w:rsidRPr="00C25740">
        <w:rPr>
          <w:rFonts w:eastAsia="Times New Roman" w:cs="Arial"/>
          <w:color w:val="000000"/>
          <w:lang w:eastAsia="bg-BG"/>
        </w:rPr>
        <w:t xml:space="preserve">Няма сигнификантна разлика по отношение на </w:t>
      </w:r>
      <w:r w:rsidRPr="00C25740">
        <w:rPr>
          <w:rFonts w:eastAsia="Times New Roman" w:cs="Arial"/>
          <w:color w:val="000000"/>
          <w:lang w:val="en-US"/>
        </w:rPr>
        <w:t>DFS</w:t>
      </w:r>
      <w:r w:rsidRPr="00C25740">
        <w:rPr>
          <w:rFonts w:eastAsia="Times New Roman" w:cs="Arial"/>
          <w:color w:val="000000"/>
          <w:lang w:val="ru-RU"/>
        </w:rPr>
        <w:t xml:space="preserve">, </w:t>
      </w:r>
      <w:r w:rsidRPr="00C25740">
        <w:rPr>
          <w:rFonts w:eastAsia="Times New Roman" w:cs="Arial"/>
          <w:color w:val="000000"/>
          <w:lang w:val="en-US"/>
        </w:rPr>
        <w:t>OS</w:t>
      </w:r>
      <w:r w:rsidRPr="00C25740">
        <w:rPr>
          <w:rFonts w:eastAsia="Times New Roman" w:cs="Arial"/>
          <w:color w:val="000000"/>
          <w:lang w:val="ru-RU"/>
        </w:rPr>
        <w:t xml:space="preserve">, </w:t>
      </w:r>
      <w:r w:rsidRPr="00C25740">
        <w:rPr>
          <w:rFonts w:eastAsia="Times New Roman" w:cs="Arial"/>
          <w:color w:val="000000"/>
          <w:lang w:val="en-US"/>
        </w:rPr>
        <w:t>SDFS</w:t>
      </w:r>
      <w:r w:rsidRPr="00C25740">
        <w:rPr>
          <w:rFonts w:eastAsia="Times New Roman" w:cs="Arial"/>
          <w:color w:val="000000"/>
          <w:lang w:val="ru-RU"/>
        </w:rPr>
        <w:t xml:space="preserve"> </w:t>
      </w:r>
      <w:r w:rsidRPr="00C25740">
        <w:rPr>
          <w:rFonts w:eastAsia="Times New Roman" w:cs="Arial"/>
          <w:color w:val="000000"/>
          <w:lang w:eastAsia="bg-BG"/>
        </w:rPr>
        <w:t xml:space="preserve">и </w:t>
      </w:r>
      <w:r w:rsidRPr="00C25740">
        <w:rPr>
          <w:rFonts w:eastAsia="Times New Roman" w:cs="Arial"/>
          <w:color w:val="000000"/>
          <w:lang w:val="en-US"/>
        </w:rPr>
        <w:t>DDFS</w:t>
      </w:r>
      <w:r w:rsidRPr="00C25740">
        <w:rPr>
          <w:rFonts w:eastAsia="Times New Roman" w:cs="Arial"/>
          <w:color w:val="000000"/>
          <w:lang w:val="ru-RU"/>
        </w:rPr>
        <w:t xml:space="preserve"> </w:t>
      </w:r>
      <w:r w:rsidRPr="00C25740">
        <w:rPr>
          <w:rFonts w:eastAsia="Times New Roman" w:cs="Arial"/>
          <w:color w:val="000000"/>
          <w:lang w:eastAsia="bg-BG"/>
        </w:rPr>
        <w:t xml:space="preserve">при нито един от </w:t>
      </w:r>
      <w:r w:rsidRPr="00C25740">
        <w:rPr>
          <w:rFonts w:eastAsia="Times New Roman" w:cs="Arial"/>
          <w:color w:val="000000"/>
          <w:lang w:val="en-US"/>
        </w:rPr>
        <w:t>STA</w:t>
      </w:r>
      <w:r>
        <w:rPr>
          <w:rFonts w:eastAsia="Times New Roman" w:cs="Arial"/>
        </w:rPr>
        <w:t xml:space="preserve"> </w:t>
      </w:r>
      <w:r w:rsidRPr="00C25740">
        <w:rPr>
          <w:rFonts w:eastAsia="Times New Roman" w:cs="Arial"/>
          <w:color w:val="000000"/>
          <w:lang w:eastAsia="bg-BG"/>
        </w:rPr>
        <w:t>на следните сравнения на рандомизация (Таблица 7).</w:t>
      </w:r>
    </w:p>
    <w:p w14:paraId="04591302" w14:textId="77777777" w:rsidR="00C25740" w:rsidRDefault="00C25740" w:rsidP="00C25740">
      <w:pPr>
        <w:spacing w:line="240" w:lineRule="auto"/>
        <w:rPr>
          <w:rFonts w:eastAsia="Times New Roman" w:cs="Arial"/>
          <w:b/>
          <w:bCs/>
          <w:color w:val="000000"/>
          <w:lang w:eastAsia="bg-BG"/>
        </w:rPr>
      </w:pPr>
    </w:p>
    <w:p w14:paraId="2AAFB0FD" w14:textId="1D955135" w:rsidR="00C25740" w:rsidRPr="00C25740" w:rsidRDefault="00C25740" w:rsidP="00C25740">
      <w:pPr>
        <w:spacing w:line="240" w:lineRule="auto"/>
        <w:rPr>
          <w:rFonts w:eastAsia="Times New Roman" w:cs="Arial"/>
        </w:rPr>
      </w:pPr>
      <w:r w:rsidRPr="00C25740">
        <w:rPr>
          <w:rFonts w:eastAsia="Times New Roman" w:cs="Arial"/>
          <w:b/>
          <w:bCs/>
          <w:color w:val="000000"/>
          <w:lang w:eastAsia="bg-BG"/>
        </w:rPr>
        <w:t>Таблица 7 Анализ на секвент</w:t>
      </w:r>
      <w:r w:rsidRPr="00C25740">
        <w:rPr>
          <w:rFonts w:eastAsia="Times New Roman" w:cs="Arial"/>
          <w:b/>
          <w:bCs/>
          <w:color w:val="000000"/>
          <w:lang w:val="en-US"/>
        </w:rPr>
        <w:t>N</w:t>
      </w:r>
      <w:r w:rsidRPr="00C25740">
        <w:rPr>
          <w:rFonts w:eastAsia="Times New Roman" w:cs="Arial"/>
          <w:b/>
          <w:bCs/>
          <w:color w:val="000000"/>
          <w:lang w:eastAsia="bg-BG"/>
        </w:rPr>
        <w:t xml:space="preserve">ата терапия от рандомизация </w:t>
      </w:r>
      <w:r w:rsidRPr="00C25740">
        <w:rPr>
          <w:rFonts w:eastAsia="Times New Roman" w:cs="Arial"/>
          <w:b/>
          <w:bCs/>
          <w:color w:val="000000"/>
          <w:lang w:val="ru-RU"/>
        </w:rPr>
        <w:t>(</w:t>
      </w:r>
      <w:r w:rsidRPr="00C25740">
        <w:rPr>
          <w:rFonts w:eastAsia="Times New Roman" w:cs="Arial"/>
          <w:b/>
          <w:bCs/>
          <w:color w:val="000000"/>
          <w:lang w:val="en-US"/>
        </w:rPr>
        <w:t>STA</w:t>
      </w:r>
      <w:r w:rsidRPr="00C25740">
        <w:rPr>
          <w:rFonts w:eastAsia="Times New Roman" w:cs="Arial"/>
          <w:b/>
          <w:bCs/>
          <w:color w:val="000000"/>
          <w:lang w:val="ru-RU"/>
        </w:rPr>
        <w:t>-</w:t>
      </w:r>
      <w:r w:rsidRPr="00C25740">
        <w:rPr>
          <w:rFonts w:eastAsia="Times New Roman" w:cs="Arial"/>
          <w:b/>
          <w:bCs/>
          <w:color w:val="000000"/>
          <w:lang w:val="en-US"/>
        </w:rPr>
        <w:t>R</w:t>
      </w:r>
      <w:r w:rsidRPr="00C25740">
        <w:rPr>
          <w:rFonts w:eastAsia="Times New Roman" w:cs="Arial"/>
          <w:b/>
          <w:bCs/>
          <w:color w:val="000000"/>
          <w:lang w:val="ru-RU"/>
        </w:rPr>
        <w:t xml:space="preserve">) </w:t>
      </w:r>
      <w:r w:rsidRPr="00C25740">
        <w:rPr>
          <w:rFonts w:eastAsia="Times New Roman" w:cs="Arial"/>
          <w:b/>
          <w:bCs/>
          <w:color w:val="000000"/>
          <w:lang w:eastAsia="bg-BG"/>
        </w:rPr>
        <w:t xml:space="preserve">по отношение на преживяемостта без заболяване </w:t>
      </w:r>
      <w:r w:rsidRPr="00C25740">
        <w:rPr>
          <w:rFonts w:eastAsia="Times New Roman" w:cs="Arial"/>
          <w:b/>
          <w:bCs/>
          <w:color w:val="000000"/>
          <w:lang w:val="ru-RU"/>
        </w:rPr>
        <w:t>(</w:t>
      </w:r>
      <w:r w:rsidRPr="00C25740">
        <w:rPr>
          <w:rFonts w:eastAsia="Times New Roman" w:cs="Arial"/>
          <w:b/>
          <w:bCs/>
          <w:color w:val="000000"/>
          <w:lang w:val="en-US"/>
        </w:rPr>
        <w:t>ITT</w:t>
      </w:r>
      <w:r w:rsidRPr="00C25740">
        <w:rPr>
          <w:rFonts w:eastAsia="Times New Roman" w:cs="Arial"/>
          <w:b/>
          <w:bCs/>
          <w:color w:val="000000"/>
          <w:lang w:val="ru-RU"/>
        </w:rPr>
        <w:t xml:space="preserve"> </w:t>
      </w:r>
      <w:r w:rsidRPr="00C25740">
        <w:rPr>
          <w:rFonts w:eastAsia="Times New Roman" w:cs="Arial"/>
          <w:b/>
          <w:bCs/>
          <w:color w:val="000000"/>
          <w:lang w:val="en-US"/>
        </w:rPr>
        <w:t>STA</w:t>
      </w:r>
      <w:r w:rsidRPr="00C25740">
        <w:rPr>
          <w:rFonts w:eastAsia="Times New Roman" w:cs="Arial"/>
          <w:b/>
          <w:bCs/>
          <w:color w:val="000000"/>
          <w:lang w:val="ru-RU"/>
        </w:rPr>
        <w:t>-</w:t>
      </w:r>
      <w:r w:rsidRPr="00C25740">
        <w:rPr>
          <w:rFonts w:eastAsia="Times New Roman" w:cs="Arial"/>
          <w:b/>
          <w:bCs/>
          <w:color w:val="000000"/>
          <w:lang w:val="en-US"/>
        </w:rPr>
        <w:t>R</w:t>
      </w:r>
      <w:r w:rsidRPr="00C25740">
        <w:rPr>
          <w:rFonts w:eastAsia="Times New Roman" w:cs="Arial"/>
          <w:b/>
          <w:bCs/>
          <w:color w:val="000000"/>
          <w:lang w:val="ru-RU"/>
        </w:rPr>
        <w:t xml:space="preserve"> </w:t>
      </w:r>
      <w:r w:rsidRPr="00C25740">
        <w:rPr>
          <w:rFonts w:eastAsia="Times New Roman" w:cs="Arial"/>
          <w:b/>
          <w:bCs/>
          <w:color w:val="000000"/>
          <w:lang w:eastAsia="bg-BG"/>
        </w:rPr>
        <w:t>популация)</w:t>
      </w:r>
    </w:p>
    <w:tbl>
      <w:tblPr>
        <w:tblStyle w:val="TableGrid"/>
        <w:tblW w:w="0" w:type="auto"/>
        <w:tblLook w:val="04A0" w:firstRow="1" w:lastRow="0" w:firstColumn="1" w:lastColumn="0" w:noHBand="0" w:noVBand="1"/>
      </w:tblPr>
      <w:tblGrid>
        <w:gridCol w:w="3165"/>
        <w:gridCol w:w="3092"/>
        <w:gridCol w:w="3093"/>
      </w:tblGrid>
      <w:tr w:rsidR="00C25740" w14:paraId="22C2E307" w14:textId="77777777" w:rsidTr="00E15137">
        <w:tc>
          <w:tcPr>
            <w:tcW w:w="3246" w:type="dxa"/>
          </w:tcPr>
          <w:p w14:paraId="30320E03" w14:textId="77777777" w:rsidR="00C25740" w:rsidRPr="00C25740" w:rsidRDefault="00C25740" w:rsidP="00C25740">
            <w:pPr>
              <w:rPr>
                <w:b/>
              </w:rPr>
            </w:pPr>
          </w:p>
        </w:tc>
        <w:tc>
          <w:tcPr>
            <w:tcW w:w="3165" w:type="dxa"/>
            <w:vAlign w:val="bottom"/>
          </w:tcPr>
          <w:p w14:paraId="0B504962" w14:textId="6B81032F" w:rsidR="00C25740" w:rsidRPr="00C25740" w:rsidRDefault="00C25740" w:rsidP="00C25740">
            <w:pPr>
              <w:rPr>
                <w:b/>
              </w:rPr>
            </w:pPr>
            <w:r w:rsidRPr="00C25740">
              <w:rPr>
                <w:b/>
                <w:bCs/>
              </w:rPr>
              <w:t xml:space="preserve">Летрозол </w:t>
            </w:r>
            <w:r w:rsidRPr="00C25740">
              <w:rPr>
                <w:b/>
                <w:bCs/>
                <w:lang w:val="en-US"/>
              </w:rPr>
              <w:t>→</w:t>
            </w:r>
            <w:r w:rsidRPr="00C25740">
              <w:rPr>
                <w:b/>
                <w:bCs/>
              </w:rPr>
              <w:t xml:space="preserve"> Тамоксифен</w:t>
            </w:r>
          </w:p>
        </w:tc>
        <w:tc>
          <w:tcPr>
            <w:tcW w:w="3165" w:type="dxa"/>
            <w:vAlign w:val="bottom"/>
          </w:tcPr>
          <w:p w14:paraId="221BE23C" w14:textId="4F6414B7" w:rsidR="00C25740" w:rsidRPr="00C25740" w:rsidRDefault="00C25740" w:rsidP="00C25740">
            <w:pPr>
              <w:rPr>
                <w:b/>
              </w:rPr>
            </w:pPr>
            <w:r w:rsidRPr="00C25740">
              <w:rPr>
                <w:b/>
                <w:bCs/>
              </w:rPr>
              <w:t>Летрозол</w:t>
            </w:r>
          </w:p>
        </w:tc>
      </w:tr>
      <w:tr w:rsidR="00C25740" w14:paraId="32101CD2" w14:textId="77777777" w:rsidTr="00E15137">
        <w:tc>
          <w:tcPr>
            <w:tcW w:w="3246" w:type="dxa"/>
          </w:tcPr>
          <w:p w14:paraId="298C451B" w14:textId="4ACB2930" w:rsidR="00C25740" w:rsidRPr="00C25740" w:rsidRDefault="00C25740" w:rsidP="00C25740">
            <w:pPr>
              <w:rPr>
                <w:b/>
              </w:rPr>
            </w:pPr>
            <w:r w:rsidRPr="00C25740">
              <w:t>Брой пациенти</w:t>
            </w:r>
          </w:p>
        </w:tc>
        <w:tc>
          <w:tcPr>
            <w:tcW w:w="3165" w:type="dxa"/>
          </w:tcPr>
          <w:p w14:paraId="0543F42E" w14:textId="4D7B8706" w:rsidR="00C25740" w:rsidRPr="00C25740" w:rsidRDefault="00C25740" w:rsidP="00C25740">
            <w:pPr>
              <w:rPr>
                <w:b/>
              </w:rPr>
            </w:pPr>
            <w:r w:rsidRPr="00C25740">
              <w:t>1540</w:t>
            </w:r>
          </w:p>
        </w:tc>
        <w:tc>
          <w:tcPr>
            <w:tcW w:w="3165" w:type="dxa"/>
          </w:tcPr>
          <w:p w14:paraId="1AFB343F" w14:textId="16F7C327" w:rsidR="00C25740" w:rsidRPr="00C25740" w:rsidRDefault="00C25740" w:rsidP="00C25740">
            <w:pPr>
              <w:rPr>
                <w:b/>
              </w:rPr>
            </w:pPr>
            <w:r w:rsidRPr="00C25740">
              <w:t>1546</w:t>
            </w:r>
          </w:p>
        </w:tc>
      </w:tr>
      <w:tr w:rsidR="00C25740" w14:paraId="766E395B" w14:textId="77777777" w:rsidTr="00E15137">
        <w:tc>
          <w:tcPr>
            <w:tcW w:w="3246" w:type="dxa"/>
            <w:vAlign w:val="bottom"/>
          </w:tcPr>
          <w:p w14:paraId="2F2E6627" w14:textId="6EF7F42C" w:rsidR="00C25740" w:rsidRPr="00C25740" w:rsidRDefault="00C25740" w:rsidP="00C25740">
            <w:pPr>
              <w:rPr>
                <w:b/>
              </w:rPr>
            </w:pPr>
            <w:r w:rsidRPr="00C25740">
              <w:t xml:space="preserve">Брой пациенти с </w:t>
            </w:r>
            <w:r w:rsidRPr="00C25740">
              <w:rPr>
                <w:lang w:val="en-US"/>
              </w:rPr>
              <w:t>DFS</w:t>
            </w:r>
            <w:r w:rsidRPr="00C25740">
              <w:rPr>
                <w:lang w:val="ru-RU"/>
              </w:rPr>
              <w:t xml:space="preserve"> </w:t>
            </w:r>
            <w:r w:rsidRPr="00C25740">
              <w:t>събития (дефиниция по протокол)</w:t>
            </w:r>
          </w:p>
        </w:tc>
        <w:tc>
          <w:tcPr>
            <w:tcW w:w="3165" w:type="dxa"/>
          </w:tcPr>
          <w:p w14:paraId="2211B30C" w14:textId="3A067E11" w:rsidR="00C25740" w:rsidRPr="00C25740" w:rsidRDefault="00C25740" w:rsidP="00C25740">
            <w:pPr>
              <w:rPr>
                <w:b/>
              </w:rPr>
            </w:pPr>
            <w:r w:rsidRPr="00C25740">
              <w:t>236</w:t>
            </w:r>
          </w:p>
        </w:tc>
        <w:tc>
          <w:tcPr>
            <w:tcW w:w="3165" w:type="dxa"/>
          </w:tcPr>
          <w:p w14:paraId="1C0E94C6" w14:textId="261F3648" w:rsidR="00C25740" w:rsidRPr="00C25740" w:rsidRDefault="00C25740" w:rsidP="00C25740">
            <w:pPr>
              <w:rPr>
                <w:b/>
              </w:rPr>
            </w:pPr>
            <w:r w:rsidRPr="00C25740">
              <w:t>248</w:t>
            </w:r>
          </w:p>
        </w:tc>
      </w:tr>
      <w:tr w:rsidR="00C25740" w14:paraId="05DDD77C" w14:textId="77777777" w:rsidTr="00E15137">
        <w:tc>
          <w:tcPr>
            <w:tcW w:w="3246" w:type="dxa"/>
            <w:vAlign w:val="bottom"/>
          </w:tcPr>
          <w:p w14:paraId="7D9B588F" w14:textId="395F1EBE" w:rsidR="00C25740" w:rsidRPr="00C25740" w:rsidRDefault="00C25740" w:rsidP="00C25740">
            <w:pPr>
              <w:rPr>
                <w:b/>
              </w:rPr>
            </w:pPr>
            <w:r w:rsidRPr="00C25740">
              <w:t>Коефициент на риск</w:t>
            </w:r>
            <w:r w:rsidRPr="00C25740">
              <w:rPr>
                <w:vertAlign w:val="superscript"/>
              </w:rPr>
              <w:t>1</w:t>
            </w:r>
            <w:r w:rsidRPr="00C25740">
              <w:t xml:space="preserve"> (99% </w:t>
            </w:r>
            <w:r w:rsidRPr="00C25740">
              <w:rPr>
                <w:lang w:val="en-US"/>
              </w:rPr>
              <w:t>CI)</w:t>
            </w:r>
          </w:p>
        </w:tc>
        <w:tc>
          <w:tcPr>
            <w:tcW w:w="6330" w:type="dxa"/>
            <w:gridSpan w:val="2"/>
          </w:tcPr>
          <w:p w14:paraId="070FD7FE" w14:textId="52BFDF2B" w:rsidR="00C25740" w:rsidRPr="00C25740" w:rsidRDefault="00C25740" w:rsidP="00C25740">
            <w:pPr>
              <w:rPr>
                <w:sz w:val="24"/>
                <w:szCs w:val="24"/>
              </w:rPr>
            </w:pPr>
            <w:r w:rsidRPr="00C25740">
              <w:rPr>
                <w:lang w:eastAsia="bg-BG"/>
              </w:rPr>
              <w:t>0,96(0,76, 1,21)</w:t>
            </w:r>
          </w:p>
        </w:tc>
      </w:tr>
      <w:tr w:rsidR="00E15137" w14:paraId="6424CEA7" w14:textId="77777777" w:rsidTr="00E15137">
        <w:tc>
          <w:tcPr>
            <w:tcW w:w="3246" w:type="dxa"/>
          </w:tcPr>
          <w:p w14:paraId="2AA069F8" w14:textId="77777777" w:rsidR="00E15137" w:rsidRPr="00C25740" w:rsidRDefault="00E15137" w:rsidP="00E15137">
            <w:pPr>
              <w:rPr>
                <w:b/>
              </w:rPr>
            </w:pPr>
          </w:p>
        </w:tc>
        <w:tc>
          <w:tcPr>
            <w:tcW w:w="3165" w:type="dxa"/>
          </w:tcPr>
          <w:p w14:paraId="670E123A" w14:textId="1CBEA938" w:rsidR="00E15137" w:rsidRPr="00E15137" w:rsidRDefault="00E15137" w:rsidP="00E15137">
            <w:pPr>
              <w:rPr>
                <w:b/>
              </w:rPr>
            </w:pPr>
            <w:r w:rsidRPr="00E15137">
              <w:rPr>
                <w:b/>
                <w:bCs/>
              </w:rPr>
              <w:t xml:space="preserve">Летрозол </w:t>
            </w:r>
            <w:r w:rsidRPr="00E15137">
              <w:rPr>
                <w:b/>
                <w:bCs/>
                <w:lang w:val="en-US"/>
              </w:rPr>
              <w:t>→</w:t>
            </w:r>
            <w:r w:rsidRPr="00E15137">
              <w:rPr>
                <w:b/>
                <w:bCs/>
              </w:rPr>
              <w:t xml:space="preserve"> Тамоксифен</w:t>
            </w:r>
          </w:p>
        </w:tc>
        <w:tc>
          <w:tcPr>
            <w:tcW w:w="3165" w:type="dxa"/>
          </w:tcPr>
          <w:p w14:paraId="21DE31AF" w14:textId="596E9758" w:rsidR="00E15137" w:rsidRPr="00E15137" w:rsidRDefault="00E15137" w:rsidP="00E15137">
            <w:pPr>
              <w:rPr>
                <w:b/>
              </w:rPr>
            </w:pPr>
            <w:r w:rsidRPr="00E15137">
              <w:rPr>
                <w:b/>
                <w:bCs/>
              </w:rPr>
              <w:t>Томоксифен</w:t>
            </w:r>
          </w:p>
        </w:tc>
      </w:tr>
      <w:tr w:rsidR="00E15137" w14:paraId="4812C8C9" w14:textId="77777777" w:rsidTr="00E15137">
        <w:tc>
          <w:tcPr>
            <w:tcW w:w="3246" w:type="dxa"/>
          </w:tcPr>
          <w:p w14:paraId="7318D2D4" w14:textId="112B2216" w:rsidR="00E15137" w:rsidRPr="00C25740" w:rsidRDefault="00E15137" w:rsidP="00E15137">
            <w:pPr>
              <w:rPr>
                <w:b/>
              </w:rPr>
            </w:pPr>
            <w:r w:rsidRPr="00C25740">
              <w:t>Брой пациенти</w:t>
            </w:r>
          </w:p>
        </w:tc>
        <w:tc>
          <w:tcPr>
            <w:tcW w:w="3165" w:type="dxa"/>
          </w:tcPr>
          <w:p w14:paraId="1A5CFA04" w14:textId="02B0E82F" w:rsidR="00E15137" w:rsidRPr="00E15137" w:rsidRDefault="00E15137" w:rsidP="00E15137">
            <w:pPr>
              <w:rPr>
                <w:b/>
              </w:rPr>
            </w:pPr>
            <w:r w:rsidRPr="00E15137">
              <w:t>1540</w:t>
            </w:r>
          </w:p>
        </w:tc>
        <w:tc>
          <w:tcPr>
            <w:tcW w:w="3165" w:type="dxa"/>
          </w:tcPr>
          <w:p w14:paraId="7BF02D9D" w14:textId="57C8050D" w:rsidR="00E15137" w:rsidRPr="00E15137" w:rsidRDefault="00E15137" w:rsidP="00E15137">
            <w:pPr>
              <w:rPr>
                <w:b/>
              </w:rPr>
            </w:pPr>
            <w:r w:rsidRPr="00E15137">
              <w:rPr>
                <w:lang w:val="en-US"/>
              </w:rPr>
              <w:t>1548</w:t>
            </w:r>
          </w:p>
        </w:tc>
      </w:tr>
      <w:tr w:rsidR="00E15137" w14:paraId="5A073968" w14:textId="77777777" w:rsidTr="00E15137">
        <w:tc>
          <w:tcPr>
            <w:tcW w:w="3246" w:type="dxa"/>
          </w:tcPr>
          <w:p w14:paraId="13AD9E77" w14:textId="3EC76F46" w:rsidR="00E15137" w:rsidRPr="00C25740" w:rsidRDefault="00E15137" w:rsidP="00E15137">
            <w:pPr>
              <w:rPr>
                <w:b/>
              </w:rPr>
            </w:pPr>
            <w:r w:rsidRPr="00C25740">
              <w:t xml:space="preserve">Брой пациенти с </w:t>
            </w:r>
            <w:r w:rsidRPr="00C25740">
              <w:rPr>
                <w:lang w:val="en-US"/>
              </w:rPr>
              <w:t>DFS</w:t>
            </w:r>
            <w:r w:rsidRPr="00C25740">
              <w:rPr>
                <w:lang w:val="ru-RU"/>
              </w:rPr>
              <w:t xml:space="preserve"> </w:t>
            </w:r>
            <w:r w:rsidRPr="00C25740">
              <w:t>събития (дефиниция по протокол)</w:t>
            </w:r>
          </w:p>
        </w:tc>
        <w:tc>
          <w:tcPr>
            <w:tcW w:w="3165" w:type="dxa"/>
          </w:tcPr>
          <w:p w14:paraId="06A4EDBC" w14:textId="2F76A37C" w:rsidR="00E15137" w:rsidRPr="00E15137" w:rsidRDefault="00E15137" w:rsidP="00E15137">
            <w:pPr>
              <w:rPr>
                <w:b/>
              </w:rPr>
            </w:pPr>
            <w:r w:rsidRPr="00E15137">
              <w:t>236</w:t>
            </w:r>
          </w:p>
        </w:tc>
        <w:tc>
          <w:tcPr>
            <w:tcW w:w="3165" w:type="dxa"/>
          </w:tcPr>
          <w:p w14:paraId="0041091C" w14:textId="756A9BC5" w:rsidR="00E15137" w:rsidRPr="00E15137" w:rsidRDefault="00E15137" w:rsidP="00E15137">
            <w:pPr>
              <w:rPr>
                <w:b/>
              </w:rPr>
            </w:pPr>
            <w:r w:rsidRPr="00E15137">
              <w:rPr>
                <w:i/>
                <w:iCs/>
              </w:rPr>
              <w:t>269</w:t>
            </w:r>
          </w:p>
        </w:tc>
      </w:tr>
      <w:tr w:rsidR="00E15137" w14:paraId="08AC10ED" w14:textId="77777777" w:rsidTr="00E15137">
        <w:tc>
          <w:tcPr>
            <w:tcW w:w="3246" w:type="dxa"/>
            <w:vAlign w:val="bottom"/>
          </w:tcPr>
          <w:p w14:paraId="62323A80" w14:textId="04049CA3" w:rsidR="00E15137" w:rsidRPr="00C25740" w:rsidRDefault="00E15137" w:rsidP="00C25740">
            <w:pPr>
              <w:rPr>
                <w:b/>
              </w:rPr>
            </w:pPr>
            <w:r w:rsidRPr="00C25740">
              <w:t>Коефициент на риск</w:t>
            </w:r>
            <w:r w:rsidRPr="00C25740">
              <w:rPr>
                <w:vertAlign w:val="superscript"/>
              </w:rPr>
              <w:t>1</w:t>
            </w:r>
            <w:r w:rsidRPr="00C25740">
              <w:t xml:space="preserve"> (99% </w:t>
            </w:r>
            <w:r w:rsidRPr="00C25740">
              <w:rPr>
                <w:lang w:val="en-US"/>
              </w:rPr>
              <w:t>CI)</w:t>
            </w:r>
          </w:p>
        </w:tc>
        <w:tc>
          <w:tcPr>
            <w:tcW w:w="6330" w:type="dxa"/>
            <w:gridSpan w:val="2"/>
          </w:tcPr>
          <w:p w14:paraId="2C565FF5" w14:textId="69ABFA26" w:rsidR="00E15137" w:rsidRDefault="00E15137" w:rsidP="00E15137">
            <w:pPr>
              <w:rPr>
                <w:b/>
              </w:rPr>
            </w:pPr>
            <w:r>
              <w:t>0,87(0,69, 1,09)</w:t>
            </w:r>
          </w:p>
        </w:tc>
      </w:tr>
      <w:tr w:rsidR="00E15137" w14:paraId="154B9AA7" w14:textId="77777777" w:rsidTr="00362A8D">
        <w:tc>
          <w:tcPr>
            <w:tcW w:w="9576" w:type="dxa"/>
            <w:gridSpan w:val="3"/>
          </w:tcPr>
          <w:p w14:paraId="2B9001AC" w14:textId="77777777" w:rsidR="00E15137" w:rsidRPr="00E15137" w:rsidRDefault="00E15137" w:rsidP="00E15137">
            <w:r w:rsidRPr="00E15137">
              <w:rPr>
                <w:vertAlign w:val="superscript"/>
                <w:lang w:eastAsia="bg-BG"/>
              </w:rPr>
              <w:t>1</w:t>
            </w:r>
            <w:r w:rsidRPr="00E15137">
              <w:rPr>
                <w:lang w:eastAsia="bg-BG"/>
              </w:rPr>
              <w:t>Коригиран чрез прилагане на химиотерапия (да/не)</w:t>
            </w:r>
          </w:p>
          <w:p w14:paraId="6B7226E9" w14:textId="4A91007D" w:rsidR="00E15137" w:rsidRPr="00E15137" w:rsidRDefault="00E15137" w:rsidP="00E15137">
            <w:r w:rsidRPr="00E15137">
              <w:rPr>
                <w:rFonts w:cs="Arial"/>
                <w:vertAlign w:val="superscript"/>
                <w:lang w:eastAsia="bg-BG"/>
              </w:rPr>
              <w:t>2</w:t>
            </w:r>
            <w:r w:rsidRPr="00E15137">
              <w:rPr>
                <w:lang w:eastAsia="bg-BG"/>
              </w:rPr>
              <w:t xml:space="preserve">624 </w:t>
            </w:r>
            <w:r w:rsidRPr="00E15137">
              <w:rPr>
                <w:i/>
                <w:iCs/>
                <w:lang w:eastAsia="bg-BG"/>
              </w:rPr>
              <w:t>(40%)</w:t>
            </w:r>
            <w:r w:rsidRPr="00E15137">
              <w:rPr>
                <w:lang w:eastAsia="bg-BG"/>
              </w:rPr>
              <w:t xml:space="preserve"> пациенти, </w:t>
            </w:r>
            <w:r w:rsidRPr="00E15137">
              <w:rPr>
                <w:i/>
                <w:iCs/>
                <w:lang w:eastAsia="bg-BG"/>
              </w:rPr>
              <w:t>селективно преминали на летрозол</w:t>
            </w:r>
            <w:r w:rsidRPr="00E15137">
              <w:rPr>
                <w:lang w:eastAsia="bg-BG"/>
              </w:rPr>
              <w:t xml:space="preserve"> след разслепяване на рамото с тамоксифен през 2005 г. </w:t>
            </w:r>
          </w:p>
        </w:tc>
      </w:tr>
    </w:tbl>
    <w:p w14:paraId="7506EFE1" w14:textId="37CC93C0" w:rsidR="00C25740" w:rsidRDefault="00C25740" w:rsidP="00C25740">
      <w:pPr>
        <w:rPr>
          <w:b/>
        </w:rPr>
      </w:pPr>
    </w:p>
    <w:p w14:paraId="4406F6F9" w14:textId="77777777" w:rsidR="00E15137" w:rsidRPr="00E15137" w:rsidRDefault="00E15137" w:rsidP="00E15137">
      <w:pPr>
        <w:spacing w:line="240" w:lineRule="auto"/>
        <w:rPr>
          <w:rFonts w:eastAsia="Times New Roman" w:cs="Arial"/>
        </w:rPr>
      </w:pPr>
      <w:r w:rsidRPr="00E15137">
        <w:rPr>
          <w:rFonts w:eastAsia="Times New Roman" w:cs="Arial"/>
          <w:i/>
          <w:iCs/>
          <w:color w:val="000000"/>
          <w:u w:val="single"/>
          <w:lang w:eastAsia="bg-BG"/>
        </w:rPr>
        <w:t xml:space="preserve">Проучване </w:t>
      </w:r>
      <w:r w:rsidRPr="00E15137">
        <w:rPr>
          <w:rFonts w:eastAsia="Times New Roman" w:cs="Arial"/>
          <w:i/>
          <w:iCs/>
          <w:color w:val="000000"/>
          <w:u w:val="single"/>
          <w:lang w:val="en-US"/>
        </w:rPr>
        <w:t>D</w:t>
      </w:r>
      <w:r w:rsidRPr="00E15137">
        <w:rPr>
          <w:rFonts w:eastAsia="Times New Roman" w:cs="Arial"/>
          <w:i/>
          <w:iCs/>
          <w:color w:val="000000"/>
          <w:u w:val="single"/>
          <w:lang w:val="ru-RU"/>
        </w:rPr>
        <w:t>2407</w:t>
      </w:r>
    </w:p>
    <w:p w14:paraId="5A3D7ACF" w14:textId="77777777"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Проучване </w:t>
      </w:r>
      <w:r w:rsidRPr="00E15137">
        <w:rPr>
          <w:rFonts w:eastAsia="Times New Roman" w:cs="Arial"/>
          <w:color w:val="000000"/>
          <w:lang w:val="en-US"/>
        </w:rPr>
        <w:t>D</w:t>
      </w:r>
      <w:r w:rsidRPr="00E15137">
        <w:rPr>
          <w:rFonts w:eastAsia="Times New Roman" w:cs="Arial"/>
          <w:color w:val="000000"/>
          <w:lang w:val="ru-RU"/>
        </w:rPr>
        <w:t xml:space="preserve">2407 </w:t>
      </w:r>
      <w:r w:rsidRPr="00E15137">
        <w:rPr>
          <w:rFonts w:eastAsia="Times New Roman" w:cs="Arial"/>
          <w:color w:val="000000"/>
          <w:lang w:eastAsia="bg-BG"/>
        </w:rPr>
        <w:t>е отворено, рандомизирано, многоцентрово проучване за безопасност след разрешаване за употреба, планирано да сравни ефектите на адювантната терапия с летрозол и тамоксифен върху костната минерална плътност (КМП) и серумния липиден профил. При общо 262 пациенти е назначено да получават или летрозол в продължение на 5 години или тамоксифен в продължение на 2 години, а след това летрозол в продължение на 3 години.</w:t>
      </w:r>
    </w:p>
    <w:p w14:paraId="7C80CA40" w14:textId="77777777" w:rsidR="00E15137" w:rsidRDefault="00E15137" w:rsidP="00E15137">
      <w:pPr>
        <w:spacing w:line="240" w:lineRule="auto"/>
        <w:rPr>
          <w:rFonts w:eastAsia="Times New Roman" w:cs="Arial"/>
          <w:color w:val="000000"/>
          <w:lang w:eastAsia="bg-BG"/>
        </w:rPr>
      </w:pPr>
    </w:p>
    <w:p w14:paraId="039D4B91" w14:textId="0F6DA5DD"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На 24-ия месец е установена статистически значима разлика по отношение на първичната крайна точка КМП в областта на лумбалните прешлени </w:t>
      </w:r>
      <w:r w:rsidRPr="00E15137">
        <w:rPr>
          <w:rFonts w:eastAsia="Times New Roman" w:cs="Arial"/>
          <w:color w:val="000000"/>
          <w:lang w:val="ru-RU"/>
        </w:rPr>
        <w:t>(</w:t>
      </w:r>
      <w:r w:rsidRPr="00E15137">
        <w:rPr>
          <w:rFonts w:eastAsia="Times New Roman" w:cs="Arial"/>
          <w:color w:val="000000"/>
          <w:lang w:val="en-US"/>
        </w:rPr>
        <w:t>L</w:t>
      </w:r>
      <w:r w:rsidRPr="00E15137">
        <w:rPr>
          <w:rFonts w:eastAsia="Times New Roman" w:cs="Arial"/>
          <w:color w:val="000000"/>
          <w:lang w:val="ru-RU"/>
        </w:rPr>
        <w:t>2-</w:t>
      </w:r>
      <w:r w:rsidRPr="00E15137">
        <w:rPr>
          <w:rFonts w:eastAsia="Times New Roman" w:cs="Arial"/>
          <w:color w:val="000000"/>
          <w:lang w:val="en-US"/>
        </w:rPr>
        <w:t>L</w:t>
      </w:r>
      <w:r w:rsidRPr="00E15137">
        <w:rPr>
          <w:rFonts w:eastAsia="Times New Roman" w:cs="Arial"/>
          <w:color w:val="000000"/>
          <w:lang w:val="ru-RU"/>
        </w:rPr>
        <w:t xml:space="preserve">4), </w:t>
      </w:r>
      <w:r w:rsidRPr="00E15137">
        <w:rPr>
          <w:rFonts w:eastAsia="Times New Roman" w:cs="Arial"/>
          <w:color w:val="000000"/>
          <w:lang w:eastAsia="bg-BG"/>
        </w:rPr>
        <w:t>показваща медиана на понижение 4,1% за летрозол спрямо медиана на повишение 0,3% за тамоксифен,</w:t>
      </w:r>
    </w:p>
    <w:p w14:paraId="58B5CC32" w14:textId="77777777" w:rsidR="00E15137" w:rsidRDefault="00E15137" w:rsidP="00E15137">
      <w:pPr>
        <w:spacing w:line="240" w:lineRule="auto"/>
        <w:rPr>
          <w:rFonts w:eastAsia="Times New Roman" w:cs="Arial"/>
          <w:color w:val="000000"/>
          <w:lang w:eastAsia="bg-BG"/>
        </w:rPr>
      </w:pPr>
    </w:p>
    <w:p w14:paraId="4468B086" w14:textId="73DBF794" w:rsidR="00E15137" w:rsidRPr="00E15137" w:rsidRDefault="00E15137" w:rsidP="00E15137">
      <w:pPr>
        <w:spacing w:line="240" w:lineRule="auto"/>
        <w:rPr>
          <w:rFonts w:eastAsia="Times New Roman" w:cs="Arial"/>
        </w:rPr>
      </w:pPr>
      <w:r w:rsidRPr="00E15137">
        <w:rPr>
          <w:rFonts w:eastAsia="Times New Roman" w:cs="Arial"/>
          <w:color w:val="000000"/>
          <w:lang w:eastAsia="bg-BG"/>
        </w:rPr>
        <w:t>При нито един от пациентите с нормална КМП на изходно ниво не е наблюдавано развитие на остеопороза в хода на 2-годишното лечение и само при 1 пациент с остеопения на изходното ниво (Т скор от -1,9) е наблюдавано развитие на остеопороза по време на лечението (оценка чрез централен преглед).</w:t>
      </w:r>
    </w:p>
    <w:p w14:paraId="09139974" w14:textId="77777777" w:rsidR="00E15137" w:rsidRDefault="00E15137" w:rsidP="00E15137">
      <w:pPr>
        <w:spacing w:line="240" w:lineRule="auto"/>
        <w:rPr>
          <w:rFonts w:eastAsia="Times New Roman" w:cs="Arial"/>
          <w:color w:val="000000"/>
          <w:lang w:eastAsia="bg-BG"/>
        </w:rPr>
      </w:pPr>
    </w:p>
    <w:p w14:paraId="7F48DD04" w14:textId="51677580" w:rsidR="00E15137" w:rsidRPr="00E15137" w:rsidRDefault="00E15137" w:rsidP="00E15137">
      <w:pPr>
        <w:spacing w:line="240" w:lineRule="auto"/>
        <w:rPr>
          <w:rFonts w:eastAsia="Times New Roman" w:cs="Arial"/>
        </w:rPr>
      </w:pPr>
      <w:r w:rsidRPr="00E15137">
        <w:rPr>
          <w:rFonts w:eastAsia="Times New Roman" w:cs="Arial"/>
          <w:color w:val="000000"/>
          <w:lang w:eastAsia="bg-BG"/>
        </w:rPr>
        <w:t>Резултатите за обща КМП на бедрената кост са подобни на тези за лумбалните прешлени, но по-слабо изразени.</w:t>
      </w:r>
    </w:p>
    <w:p w14:paraId="2A9C8BAD" w14:textId="77777777" w:rsidR="00E15137" w:rsidRDefault="00E15137" w:rsidP="00E15137">
      <w:pPr>
        <w:spacing w:line="240" w:lineRule="auto"/>
        <w:rPr>
          <w:rFonts w:eastAsia="Times New Roman" w:cs="Arial"/>
          <w:color w:val="000000"/>
          <w:lang w:eastAsia="bg-BG"/>
        </w:rPr>
      </w:pPr>
    </w:p>
    <w:p w14:paraId="2953E894" w14:textId="4FF2A479" w:rsidR="00E15137" w:rsidRPr="00E15137" w:rsidRDefault="00E15137" w:rsidP="00E15137">
      <w:pPr>
        <w:spacing w:line="240" w:lineRule="auto"/>
        <w:rPr>
          <w:rFonts w:eastAsia="Times New Roman" w:cs="Arial"/>
        </w:rPr>
      </w:pPr>
      <w:r w:rsidRPr="00E15137">
        <w:rPr>
          <w:rFonts w:eastAsia="Times New Roman" w:cs="Arial"/>
          <w:color w:val="000000"/>
          <w:lang w:eastAsia="bg-BG"/>
        </w:rPr>
        <w:t>Няма статистически значима разлика между леченията по отношение на честотата на фрактурите - 15% в рамото на летрозол и 17% в рамото на тамоксифен.</w:t>
      </w:r>
    </w:p>
    <w:p w14:paraId="74FE500E" w14:textId="77777777" w:rsidR="00E15137" w:rsidRDefault="00E15137" w:rsidP="00E15137">
      <w:pPr>
        <w:spacing w:line="240" w:lineRule="auto"/>
        <w:rPr>
          <w:rFonts w:eastAsia="Times New Roman" w:cs="Arial"/>
          <w:color w:val="000000"/>
          <w:lang w:eastAsia="bg-BG"/>
        </w:rPr>
      </w:pPr>
    </w:p>
    <w:p w14:paraId="130E2EA4" w14:textId="52A73DE5" w:rsidR="00E15137" w:rsidRPr="00E15137" w:rsidRDefault="00E15137" w:rsidP="00E15137">
      <w:pPr>
        <w:spacing w:line="240" w:lineRule="auto"/>
        <w:rPr>
          <w:rFonts w:eastAsia="Times New Roman" w:cs="Arial"/>
        </w:rPr>
      </w:pPr>
      <w:r w:rsidRPr="00E15137">
        <w:rPr>
          <w:rFonts w:eastAsia="Times New Roman" w:cs="Arial"/>
          <w:color w:val="000000"/>
          <w:lang w:eastAsia="bg-BG"/>
        </w:rPr>
        <w:t>В рамото на тамоксифен медианата на нивата на общия холестерол се понижава с 16% спрямо изходните стойности след 6 месеца и това понижение се поддържа при следващите визити до 24 месеца. В рамото на летрозол нивата на общия холестерол остават относително постоянни в течение на времето, давайки статистически значима разлика в полза на тамоксифен във всяка времева точка.</w:t>
      </w:r>
    </w:p>
    <w:p w14:paraId="7AF28306" w14:textId="77777777" w:rsidR="00E15137" w:rsidRDefault="00E15137" w:rsidP="00E15137">
      <w:pPr>
        <w:spacing w:line="240" w:lineRule="auto"/>
        <w:rPr>
          <w:rFonts w:eastAsia="Times New Roman" w:cs="Arial"/>
          <w:i/>
          <w:iCs/>
          <w:color w:val="000000"/>
          <w:u w:val="single"/>
          <w:lang w:eastAsia="bg-BG"/>
        </w:rPr>
      </w:pPr>
    </w:p>
    <w:p w14:paraId="221FF7E3" w14:textId="5B522F6E" w:rsidR="00E15137" w:rsidRPr="00E15137" w:rsidRDefault="00E15137" w:rsidP="00E15137">
      <w:pPr>
        <w:spacing w:line="240" w:lineRule="auto"/>
        <w:rPr>
          <w:rFonts w:eastAsia="Times New Roman" w:cs="Arial"/>
        </w:rPr>
      </w:pPr>
      <w:r w:rsidRPr="00E15137">
        <w:rPr>
          <w:rFonts w:eastAsia="Times New Roman" w:cs="Arial"/>
          <w:i/>
          <w:iCs/>
          <w:color w:val="000000"/>
          <w:u w:val="single"/>
          <w:lang w:eastAsia="bg-BG"/>
        </w:rPr>
        <w:t>Разширена адювантна терапия (МА-17)</w:t>
      </w:r>
    </w:p>
    <w:p w14:paraId="3F757CAE" w14:textId="77777777" w:rsidR="00E15137" w:rsidRPr="00E15137" w:rsidRDefault="00E15137" w:rsidP="00E15137">
      <w:pPr>
        <w:spacing w:line="240" w:lineRule="auto"/>
        <w:rPr>
          <w:rFonts w:eastAsia="Times New Roman" w:cs="Arial"/>
        </w:rPr>
      </w:pPr>
      <w:r w:rsidRPr="00E15137">
        <w:rPr>
          <w:rFonts w:eastAsia="Times New Roman" w:cs="Arial"/>
          <w:color w:val="000000"/>
          <w:lang w:eastAsia="bg-BG"/>
        </w:rPr>
        <w:t>В едно мултицентрово, двойносляпо, рандомизирано, плацебо-контролирано, проучване (МА- 17), над 5 100 жени в постменопауза с рецептор-положителен или неуставен първичен рак на гърдата, които са завършили адювантна терапия с тамоксифен (4,5 до 6 години), са рандомизирани на летрозол или плацебо в продължение на 5 години.</w:t>
      </w:r>
    </w:p>
    <w:p w14:paraId="4BBFF490" w14:textId="77777777" w:rsidR="00E15137" w:rsidRDefault="00E15137" w:rsidP="00E15137">
      <w:pPr>
        <w:spacing w:line="240" w:lineRule="auto"/>
        <w:rPr>
          <w:rFonts w:eastAsia="Times New Roman" w:cs="Arial"/>
          <w:color w:val="000000"/>
          <w:lang w:eastAsia="bg-BG"/>
        </w:rPr>
      </w:pPr>
    </w:p>
    <w:p w14:paraId="193D086A" w14:textId="449964E1" w:rsidR="00E15137" w:rsidRPr="00E15137" w:rsidRDefault="00E15137" w:rsidP="00E15137">
      <w:pPr>
        <w:spacing w:line="240" w:lineRule="auto"/>
        <w:rPr>
          <w:rFonts w:eastAsia="Times New Roman" w:cs="Arial"/>
        </w:rPr>
      </w:pPr>
      <w:r w:rsidRPr="00E15137">
        <w:rPr>
          <w:rFonts w:eastAsia="Times New Roman" w:cs="Arial"/>
          <w:color w:val="000000"/>
          <w:lang w:eastAsia="bg-BG"/>
        </w:rPr>
        <w:t>Първичната крайна точка е преживяемост без заболяване, дефинирана като интервал между рандомизицията и най-ранната поява на локорегионален рецидив, далечни метастази или контралатерален рак на гърдата.</w:t>
      </w:r>
    </w:p>
    <w:p w14:paraId="506CCC35" w14:textId="77777777" w:rsidR="00E15137" w:rsidRDefault="00E15137" w:rsidP="00E15137">
      <w:pPr>
        <w:spacing w:line="240" w:lineRule="auto"/>
        <w:rPr>
          <w:rFonts w:eastAsia="Times New Roman" w:cs="Arial"/>
          <w:color w:val="000000"/>
          <w:lang w:eastAsia="bg-BG"/>
        </w:rPr>
      </w:pPr>
    </w:p>
    <w:p w14:paraId="55787EE2" w14:textId="1E161693"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Първият планиран междинен анализ при средна продължителност на проследяване около 28 месеца (25% от пациентите са проследени в продължение на поне 38 месеца) показва, че летрозол значимо понижава риска от рецидив на рак на гърдата с 42% спрямо плацебо </w:t>
      </w:r>
      <w:r w:rsidRPr="00E15137">
        <w:rPr>
          <w:rFonts w:eastAsia="Times New Roman" w:cs="Arial"/>
          <w:color w:val="000000"/>
          <w:lang w:val="ru-RU"/>
        </w:rPr>
        <w:t>(</w:t>
      </w:r>
      <w:r w:rsidRPr="00E15137">
        <w:rPr>
          <w:rFonts w:eastAsia="Times New Roman" w:cs="Arial"/>
          <w:color w:val="000000"/>
          <w:lang w:val="en-US"/>
        </w:rPr>
        <w:t>HR</w:t>
      </w:r>
      <w:r w:rsidRPr="00E15137">
        <w:rPr>
          <w:rFonts w:eastAsia="Times New Roman" w:cs="Arial"/>
          <w:color w:val="000000"/>
          <w:lang w:val="ru-RU"/>
        </w:rPr>
        <w:t xml:space="preserve"> </w:t>
      </w:r>
      <w:r w:rsidRPr="00E15137">
        <w:rPr>
          <w:rFonts w:eastAsia="Times New Roman" w:cs="Arial"/>
          <w:color w:val="000000"/>
          <w:lang w:eastAsia="bg-BG"/>
        </w:rPr>
        <w:t xml:space="preserve">0,58; 95% </w:t>
      </w:r>
      <w:r w:rsidRPr="00E15137">
        <w:rPr>
          <w:rFonts w:eastAsia="Times New Roman" w:cs="Arial"/>
          <w:color w:val="000000"/>
          <w:lang w:val="en-US"/>
        </w:rPr>
        <w:t>CI</w:t>
      </w:r>
      <w:r w:rsidRPr="00E15137">
        <w:rPr>
          <w:rFonts w:eastAsia="Times New Roman" w:cs="Arial"/>
          <w:color w:val="000000"/>
          <w:lang w:val="ru-RU"/>
        </w:rPr>
        <w:t xml:space="preserve"> </w:t>
      </w:r>
      <w:r w:rsidRPr="00E15137">
        <w:rPr>
          <w:rFonts w:eastAsia="Times New Roman" w:cs="Arial"/>
          <w:color w:val="000000"/>
          <w:lang w:eastAsia="bg-BG"/>
        </w:rPr>
        <w:t xml:space="preserve">0,45, 0,76; Р=0,00003). Предимство в полза на летрозол се наблюдава независимо от статуса на лимфните възли. Няма статистически значима разлика по отношение на общата преживяемост: (летрозол 51 смъртни случая; плацебо 62; </w:t>
      </w:r>
      <w:r w:rsidRPr="00E15137">
        <w:rPr>
          <w:rFonts w:eastAsia="Times New Roman" w:cs="Arial"/>
          <w:color w:val="000000"/>
          <w:lang w:val="en-US"/>
        </w:rPr>
        <w:t>HR</w:t>
      </w:r>
      <w:r w:rsidRPr="00E15137">
        <w:rPr>
          <w:rFonts w:eastAsia="Times New Roman" w:cs="Arial"/>
          <w:color w:val="000000"/>
          <w:lang w:val="ru-RU"/>
        </w:rPr>
        <w:t xml:space="preserve"> </w:t>
      </w:r>
      <w:r w:rsidRPr="00E15137">
        <w:rPr>
          <w:rFonts w:eastAsia="Times New Roman" w:cs="Arial"/>
          <w:color w:val="000000"/>
          <w:lang w:eastAsia="bg-BG"/>
        </w:rPr>
        <w:t xml:space="preserve">0,82; 95% </w:t>
      </w:r>
      <w:r w:rsidRPr="00E15137">
        <w:rPr>
          <w:rFonts w:eastAsia="Times New Roman" w:cs="Arial"/>
          <w:color w:val="000000"/>
          <w:lang w:val="en-US"/>
        </w:rPr>
        <w:t>CI</w:t>
      </w:r>
      <w:r w:rsidRPr="00E15137">
        <w:rPr>
          <w:rFonts w:eastAsia="Times New Roman" w:cs="Arial"/>
          <w:color w:val="000000"/>
          <w:lang w:val="ru-RU"/>
        </w:rPr>
        <w:t xml:space="preserve"> </w:t>
      </w:r>
      <w:r w:rsidRPr="00E15137">
        <w:rPr>
          <w:rFonts w:eastAsia="Times New Roman" w:cs="Arial"/>
          <w:color w:val="000000"/>
          <w:lang w:eastAsia="bg-BG"/>
        </w:rPr>
        <w:t>0,56,1,19).</w:t>
      </w:r>
    </w:p>
    <w:p w14:paraId="37858A53" w14:textId="77777777" w:rsidR="00E15137" w:rsidRDefault="00E15137" w:rsidP="00E15137">
      <w:pPr>
        <w:rPr>
          <w:rFonts w:eastAsia="Times New Roman" w:cs="Arial"/>
          <w:color w:val="000000"/>
          <w:lang w:eastAsia="bg-BG"/>
        </w:rPr>
      </w:pPr>
    </w:p>
    <w:p w14:paraId="3E4D0C82" w14:textId="19187463" w:rsidR="00E15137" w:rsidRDefault="00E15137" w:rsidP="00E15137">
      <w:pPr>
        <w:rPr>
          <w:rFonts w:eastAsia="Times New Roman" w:cs="Arial"/>
          <w:color w:val="000000"/>
          <w:lang w:eastAsia="bg-BG"/>
        </w:rPr>
      </w:pPr>
      <w:r w:rsidRPr="00E15137">
        <w:rPr>
          <w:rFonts w:eastAsia="Times New Roman" w:cs="Arial"/>
          <w:color w:val="000000"/>
          <w:lang w:eastAsia="bg-BG"/>
        </w:rPr>
        <w:t>Затова, след първия междинен анализ проучването е разслепено като отворено и на пациентите от плацебо рамото е позволено да преминат на лечение с летрозол в продължение Повече от 60% от подходящите пациентите (без заболяване при разслепяването) преминат на терапия с летрозол. Крайният анализ включва 1 551 жени, преминали от лечението с плацебо към лечение с летрозол за среден период от 31 месеца (граници от 13 до 106 месеца след приключване на адювантата терапия с тамоксифен. Средната продължителност на</w:t>
      </w:r>
      <w:r w:rsidRPr="00E15137">
        <w:rPr>
          <w:rFonts w:eastAsia="Times New Roman" w:cs="Arial"/>
          <w:color w:val="000000"/>
          <w:vertAlign w:val="subscript"/>
          <w:lang w:eastAsia="bg-BG"/>
        </w:rPr>
        <w:t xml:space="preserve"> </w:t>
      </w:r>
      <w:r w:rsidRPr="00E15137">
        <w:rPr>
          <w:rFonts w:eastAsia="Times New Roman" w:cs="Arial"/>
          <w:color w:val="000000"/>
          <w:lang w:eastAsia="bg-BG"/>
        </w:rPr>
        <w:t>лечението с летрозол след смяната на терапията е 40 месеца.</w:t>
      </w:r>
    </w:p>
    <w:p w14:paraId="5A35B276" w14:textId="590C310E" w:rsidR="00E15137" w:rsidRDefault="00E15137" w:rsidP="00E15137">
      <w:pPr>
        <w:rPr>
          <w:rFonts w:eastAsia="Times New Roman" w:cs="Arial"/>
          <w:color w:val="000000"/>
          <w:lang w:eastAsia="bg-BG"/>
        </w:rPr>
      </w:pPr>
    </w:p>
    <w:p w14:paraId="354F4023" w14:textId="77777777" w:rsidR="00E15137" w:rsidRPr="00E15137" w:rsidRDefault="00E15137" w:rsidP="00E15137">
      <w:pPr>
        <w:spacing w:line="240" w:lineRule="auto"/>
        <w:rPr>
          <w:rFonts w:eastAsia="Times New Roman" w:cs="Arial"/>
        </w:rPr>
      </w:pPr>
      <w:r w:rsidRPr="00E15137">
        <w:rPr>
          <w:rFonts w:eastAsia="Times New Roman" w:cs="Arial"/>
          <w:color w:val="000000"/>
          <w:lang w:eastAsia="bg-BG"/>
        </w:rPr>
        <w:lastRenderedPageBreak/>
        <w:t>Крайният анализ, проведен при медиана на проследяване 62 месеца, потвърждава сигнификантната редукция на риска от рецидив на рак на гърдата при летрозол.</w:t>
      </w:r>
    </w:p>
    <w:p w14:paraId="49C6F038" w14:textId="77777777" w:rsidR="00E15137" w:rsidRPr="00E15137" w:rsidRDefault="00E15137" w:rsidP="00E15137">
      <w:pPr>
        <w:spacing w:line="240" w:lineRule="auto"/>
        <w:rPr>
          <w:rFonts w:eastAsia="Times New Roman" w:cs="Arial"/>
          <w:b/>
          <w:bCs/>
          <w:color w:val="000000"/>
          <w:lang w:eastAsia="bg-BG"/>
        </w:rPr>
      </w:pPr>
    </w:p>
    <w:p w14:paraId="3C5C4DB1" w14:textId="3C1D4403" w:rsidR="00E15137" w:rsidRPr="00E15137" w:rsidRDefault="00E15137" w:rsidP="00E15137">
      <w:pPr>
        <w:spacing w:line="240" w:lineRule="auto"/>
        <w:rPr>
          <w:rFonts w:eastAsia="Times New Roman" w:cs="Arial"/>
        </w:rPr>
      </w:pPr>
      <w:r w:rsidRPr="00E15137">
        <w:rPr>
          <w:rFonts w:eastAsia="Times New Roman" w:cs="Arial"/>
          <w:b/>
          <w:bCs/>
          <w:color w:val="000000"/>
          <w:lang w:eastAsia="bg-BG"/>
        </w:rPr>
        <w:t xml:space="preserve">Таблица 8 Преживяемост без заболяване в общата преживяемост (Модифицирана </w:t>
      </w:r>
      <w:r w:rsidRPr="00E15137">
        <w:rPr>
          <w:rFonts w:eastAsia="Times New Roman" w:cs="Arial"/>
          <w:b/>
          <w:bCs/>
          <w:color w:val="000000"/>
          <w:lang w:val="en-US"/>
        </w:rPr>
        <w:t>ITT</w:t>
      </w:r>
      <w:r w:rsidRPr="00E15137">
        <w:rPr>
          <w:rFonts w:eastAsia="Times New Roman" w:cs="Arial"/>
          <w:b/>
          <w:bCs/>
          <w:color w:val="000000"/>
          <w:lang w:val="ru-RU"/>
        </w:rPr>
        <w:t xml:space="preserve"> </w:t>
      </w:r>
      <w:r w:rsidRPr="00E15137">
        <w:rPr>
          <w:rFonts w:eastAsia="Times New Roman" w:cs="Arial"/>
          <w:b/>
          <w:bCs/>
          <w:color w:val="000000"/>
          <w:lang w:eastAsia="bg-BG"/>
        </w:rPr>
        <w:t>популация)</w:t>
      </w:r>
    </w:p>
    <w:tbl>
      <w:tblPr>
        <w:tblStyle w:val="TableGrid"/>
        <w:tblW w:w="0" w:type="auto"/>
        <w:tblLook w:val="04A0" w:firstRow="1" w:lastRow="0" w:firstColumn="1" w:lastColumn="0" w:noHBand="0" w:noVBand="1"/>
      </w:tblPr>
      <w:tblGrid>
        <w:gridCol w:w="2184"/>
        <w:gridCol w:w="1180"/>
        <w:gridCol w:w="1122"/>
        <w:gridCol w:w="1281"/>
        <w:gridCol w:w="1180"/>
        <w:gridCol w:w="1122"/>
        <w:gridCol w:w="1281"/>
      </w:tblGrid>
      <w:tr w:rsidR="00E15137" w14:paraId="0B3F2A12" w14:textId="77777777" w:rsidTr="00E15137">
        <w:tc>
          <w:tcPr>
            <w:tcW w:w="3032" w:type="dxa"/>
          </w:tcPr>
          <w:p w14:paraId="44B7249D" w14:textId="77777777" w:rsidR="00E15137" w:rsidRDefault="00E15137" w:rsidP="00E15137">
            <w:pPr>
              <w:rPr>
                <w:rFonts w:cs="Arial"/>
                <w:b/>
              </w:rPr>
            </w:pPr>
          </w:p>
        </w:tc>
        <w:tc>
          <w:tcPr>
            <w:tcW w:w="3272" w:type="dxa"/>
            <w:gridSpan w:val="3"/>
            <w:vAlign w:val="bottom"/>
          </w:tcPr>
          <w:p w14:paraId="72C554CC" w14:textId="75754E2E" w:rsidR="00E15137" w:rsidRPr="00E15137" w:rsidRDefault="00E15137" w:rsidP="00E15137">
            <w:pPr>
              <w:rPr>
                <w:rFonts w:cs="Arial"/>
                <w:b/>
              </w:rPr>
            </w:pPr>
            <w:r w:rsidRPr="00E15137">
              <w:rPr>
                <w:b/>
              </w:rPr>
              <w:t>Медиана на проследяване 28 месеца</w:t>
            </w:r>
          </w:p>
        </w:tc>
        <w:tc>
          <w:tcPr>
            <w:tcW w:w="3272" w:type="dxa"/>
            <w:gridSpan w:val="3"/>
            <w:vAlign w:val="bottom"/>
          </w:tcPr>
          <w:p w14:paraId="60ED50BC" w14:textId="30453A3D" w:rsidR="00E15137" w:rsidRPr="00E15137" w:rsidRDefault="00E15137" w:rsidP="00E15137">
            <w:pPr>
              <w:rPr>
                <w:rFonts w:cs="Arial"/>
                <w:b/>
              </w:rPr>
            </w:pPr>
            <w:r w:rsidRPr="00E15137">
              <w:rPr>
                <w:b/>
              </w:rPr>
              <w:t>Медиана на проследяване 62 месеца</w:t>
            </w:r>
            <w:r w:rsidRPr="00E15137">
              <w:rPr>
                <w:b/>
                <w:vertAlign w:val="superscript"/>
              </w:rPr>
              <w:t>1</w:t>
            </w:r>
          </w:p>
        </w:tc>
      </w:tr>
      <w:tr w:rsidR="00E15137" w14:paraId="7B16FEA8" w14:textId="77777777" w:rsidTr="00E15137">
        <w:tc>
          <w:tcPr>
            <w:tcW w:w="3032" w:type="dxa"/>
          </w:tcPr>
          <w:p w14:paraId="113DABFD" w14:textId="77777777" w:rsidR="00E15137" w:rsidRDefault="00E15137" w:rsidP="00E15137">
            <w:pPr>
              <w:rPr>
                <w:rFonts w:cs="Arial"/>
                <w:b/>
              </w:rPr>
            </w:pPr>
          </w:p>
        </w:tc>
        <w:tc>
          <w:tcPr>
            <w:tcW w:w="1078" w:type="dxa"/>
          </w:tcPr>
          <w:p w14:paraId="05FBCC46" w14:textId="05665EB0" w:rsidR="00E15137" w:rsidRPr="00E15137" w:rsidRDefault="00E15137" w:rsidP="00E15137">
            <w:pPr>
              <w:rPr>
                <w:rFonts w:cs="Arial"/>
                <w:b/>
              </w:rPr>
            </w:pPr>
            <w:r>
              <w:t>Летрозол N=</w:t>
            </w:r>
            <w:r w:rsidRPr="00E15137">
              <w:t>2582</w:t>
            </w:r>
          </w:p>
        </w:tc>
        <w:tc>
          <w:tcPr>
            <w:tcW w:w="1026" w:type="dxa"/>
          </w:tcPr>
          <w:p w14:paraId="27D85839" w14:textId="6F7D7634" w:rsidR="00E15137" w:rsidRPr="00E15137" w:rsidRDefault="00E15137" w:rsidP="00E15137">
            <w:pPr>
              <w:rPr>
                <w:rFonts w:cs="Arial"/>
                <w:b/>
              </w:rPr>
            </w:pPr>
            <w:r>
              <w:t xml:space="preserve">Плацебо </w:t>
            </w:r>
            <w:r>
              <w:rPr>
                <w:lang w:val="en-US"/>
              </w:rPr>
              <w:t>N=</w:t>
            </w:r>
            <w:r w:rsidRPr="00E15137">
              <w:t>2586</w:t>
            </w:r>
          </w:p>
        </w:tc>
        <w:tc>
          <w:tcPr>
            <w:tcW w:w="1168" w:type="dxa"/>
            <w:vAlign w:val="bottom"/>
          </w:tcPr>
          <w:p w14:paraId="75952937" w14:textId="77777777" w:rsidR="00E15137" w:rsidRPr="00E15137" w:rsidRDefault="00E15137" w:rsidP="00E15137">
            <w:r w:rsidRPr="00E15137">
              <w:rPr>
                <w:lang w:val="en-US"/>
              </w:rPr>
              <w:t>HR</w:t>
            </w:r>
          </w:p>
          <w:p w14:paraId="765B1757" w14:textId="77777777" w:rsidR="00E15137" w:rsidRPr="00E15137" w:rsidRDefault="00E15137" w:rsidP="00E15137">
            <w:r w:rsidRPr="00E15137">
              <w:t>2</w:t>
            </w:r>
          </w:p>
          <w:p w14:paraId="31BD3E6D" w14:textId="1F9B6842" w:rsidR="00E15137" w:rsidRPr="00E15137" w:rsidRDefault="00E15137" w:rsidP="00E15137">
            <w:pPr>
              <w:rPr>
                <w:rFonts w:cs="Arial"/>
                <w:b/>
              </w:rPr>
            </w:pPr>
            <w:r w:rsidRPr="00E15137">
              <w:t xml:space="preserve">(95% </w:t>
            </w:r>
            <w:r w:rsidRPr="00E15137">
              <w:rPr>
                <w:lang w:val="en-US"/>
              </w:rPr>
              <w:t xml:space="preserve">CI) </w:t>
            </w:r>
            <w:r w:rsidRPr="00E15137">
              <w:rPr>
                <w:i/>
                <w:iCs/>
              </w:rPr>
              <w:t xml:space="preserve">Р </w:t>
            </w:r>
            <w:r w:rsidRPr="00E15137">
              <w:t>стойност</w:t>
            </w:r>
          </w:p>
        </w:tc>
        <w:tc>
          <w:tcPr>
            <w:tcW w:w="1078" w:type="dxa"/>
          </w:tcPr>
          <w:p w14:paraId="4410AC85" w14:textId="09BDA839" w:rsidR="00E15137" w:rsidRPr="00E15137" w:rsidRDefault="00E15137" w:rsidP="00E15137">
            <w:pPr>
              <w:rPr>
                <w:rFonts w:cs="Arial"/>
                <w:b/>
              </w:rPr>
            </w:pPr>
            <w:r>
              <w:t>Летрозол N=</w:t>
            </w:r>
            <w:r w:rsidRPr="00E15137">
              <w:t>2582</w:t>
            </w:r>
          </w:p>
        </w:tc>
        <w:tc>
          <w:tcPr>
            <w:tcW w:w="1026" w:type="dxa"/>
          </w:tcPr>
          <w:p w14:paraId="4EB74AC0" w14:textId="1641211A" w:rsidR="00E15137" w:rsidRPr="00E15137" w:rsidRDefault="00E15137" w:rsidP="00E15137">
            <w:pPr>
              <w:rPr>
                <w:rFonts w:cs="Arial"/>
                <w:b/>
              </w:rPr>
            </w:pPr>
            <w:r>
              <w:t>Плацебо N=</w:t>
            </w:r>
            <w:r w:rsidRPr="00E15137">
              <w:t>2586</w:t>
            </w:r>
          </w:p>
        </w:tc>
        <w:tc>
          <w:tcPr>
            <w:tcW w:w="1168" w:type="dxa"/>
            <w:vAlign w:val="bottom"/>
          </w:tcPr>
          <w:p w14:paraId="68BB78D2" w14:textId="2B91BEDD" w:rsidR="00E15137" w:rsidRPr="00E15137" w:rsidRDefault="00E15137" w:rsidP="00E15137">
            <w:pPr>
              <w:rPr>
                <w:rFonts w:cs="Arial"/>
                <w:b/>
              </w:rPr>
            </w:pPr>
            <w:r w:rsidRPr="00E15137">
              <w:rPr>
                <w:lang w:val="en-US"/>
              </w:rPr>
              <w:t xml:space="preserve">HR </w:t>
            </w:r>
            <w:r w:rsidRPr="00E15137">
              <w:t xml:space="preserve">(95% </w:t>
            </w:r>
            <w:r w:rsidRPr="00E15137">
              <w:rPr>
                <w:lang w:val="en-US"/>
              </w:rPr>
              <w:t>CI)</w:t>
            </w:r>
            <w:r w:rsidRPr="00E15137">
              <w:rPr>
                <w:vertAlign w:val="superscript"/>
                <w:lang w:val="en-US"/>
              </w:rPr>
              <w:t xml:space="preserve">2 </w:t>
            </w:r>
            <w:r w:rsidRPr="00E15137">
              <w:rPr>
                <w:i/>
                <w:iCs/>
              </w:rPr>
              <w:t xml:space="preserve">Р </w:t>
            </w:r>
            <w:r w:rsidRPr="00E15137">
              <w:t>стойност</w:t>
            </w:r>
          </w:p>
        </w:tc>
      </w:tr>
      <w:tr w:rsidR="00E15137" w14:paraId="24E6CFEF" w14:textId="77777777" w:rsidTr="00971FC5">
        <w:tc>
          <w:tcPr>
            <w:tcW w:w="9576" w:type="dxa"/>
            <w:gridSpan w:val="7"/>
          </w:tcPr>
          <w:p w14:paraId="3558A60B" w14:textId="7C292212" w:rsidR="00E15137" w:rsidRPr="00E15137" w:rsidRDefault="00E15137" w:rsidP="00E15137">
            <w:pPr>
              <w:rPr>
                <w:rFonts w:cs="Arial"/>
                <w:b/>
              </w:rPr>
            </w:pPr>
            <w:r w:rsidRPr="00E15137">
              <w:rPr>
                <w:b/>
                <w:lang w:eastAsia="bg-BG"/>
              </w:rPr>
              <w:t>Преживяемост без заболяване</w:t>
            </w:r>
            <w:r w:rsidRPr="00E15137">
              <w:rPr>
                <w:b/>
                <w:vertAlign w:val="superscript"/>
                <w:lang w:eastAsia="bg-BG"/>
              </w:rPr>
              <w:t>3</w:t>
            </w:r>
          </w:p>
        </w:tc>
      </w:tr>
      <w:tr w:rsidR="00E15137" w14:paraId="07BA3A8E" w14:textId="77777777" w:rsidTr="00E15137">
        <w:tc>
          <w:tcPr>
            <w:tcW w:w="3032" w:type="dxa"/>
          </w:tcPr>
          <w:p w14:paraId="45C3D8CB" w14:textId="7F85E40D" w:rsidR="00E15137" w:rsidRPr="00E15137" w:rsidRDefault="00E15137" w:rsidP="00E15137">
            <w:pPr>
              <w:rPr>
                <w:rFonts w:cs="Arial"/>
                <w:b/>
              </w:rPr>
            </w:pPr>
            <w:r w:rsidRPr="00E15137">
              <w:t>Събития</w:t>
            </w:r>
          </w:p>
        </w:tc>
        <w:tc>
          <w:tcPr>
            <w:tcW w:w="1078" w:type="dxa"/>
          </w:tcPr>
          <w:p w14:paraId="0560BCD7" w14:textId="4E8AB5D7" w:rsidR="00E15137" w:rsidRPr="00E15137" w:rsidRDefault="00E15137" w:rsidP="00E15137">
            <w:pPr>
              <w:rPr>
                <w:rFonts w:cs="Arial"/>
                <w:b/>
              </w:rPr>
            </w:pPr>
            <w:r w:rsidRPr="00E15137">
              <w:t>92 (3.6%)</w:t>
            </w:r>
          </w:p>
        </w:tc>
        <w:tc>
          <w:tcPr>
            <w:tcW w:w="1026" w:type="dxa"/>
          </w:tcPr>
          <w:p w14:paraId="6B393674" w14:textId="3A6EE155" w:rsidR="00E15137" w:rsidRPr="00E15137" w:rsidRDefault="00E15137" w:rsidP="00E15137">
            <w:pPr>
              <w:rPr>
                <w:rFonts w:cs="Arial"/>
                <w:b/>
              </w:rPr>
            </w:pPr>
            <w:r w:rsidRPr="00E15137">
              <w:t>155 (6,0%)</w:t>
            </w:r>
          </w:p>
        </w:tc>
        <w:tc>
          <w:tcPr>
            <w:tcW w:w="1168" w:type="dxa"/>
            <w:vAlign w:val="bottom"/>
          </w:tcPr>
          <w:p w14:paraId="0CEB02BE" w14:textId="4AC746C1" w:rsidR="00E15137" w:rsidRPr="00E15137" w:rsidRDefault="00E15137" w:rsidP="00E15137">
            <w:pPr>
              <w:rPr>
                <w:rFonts w:cs="Arial"/>
                <w:b/>
              </w:rPr>
            </w:pPr>
            <w:r w:rsidRPr="00E15137">
              <w:t>0.58 (0,45,0,76) 0,00003</w:t>
            </w:r>
          </w:p>
        </w:tc>
        <w:tc>
          <w:tcPr>
            <w:tcW w:w="1078" w:type="dxa"/>
          </w:tcPr>
          <w:p w14:paraId="2ED4FD94" w14:textId="59F241E3" w:rsidR="00E15137" w:rsidRPr="00E15137" w:rsidRDefault="00E15137" w:rsidP="00E15137">
            <w:pPr>
              <w:rPr>
                <w:rFonts w:cs="Arial"/>
                <w:b/>
              </w:rPr>
            </w:pPr>
            <w:r w:rsidRPr="00E15137">
              <w:t>209 (8,1%)</w:t>
            </w:r>
          </w:p>
        </w:tc>
        <w:tc>
          <w:tcPr>
            <w:tcW w:w="1026" w:type="dxa"/>
          </w:tcPr>
          <w:p w14:paraId="3C10E657" w14:textId="3DD69142" w:rsidR="00E15137" w:rsidRPr="00E15137" w:rsidRDefault="00E15137" w:rsidP="00E15137">
            <w:pPr>
              <w:rPr>
                <w:rFonts w:cs="Arial"/>
                <w:b/>
              </w:rPr>
            </w:pPr>
            <w:r w:rsidRPr="00E15137">
              <w:t>286 (11,1%)</w:t>
            </w:r>
          </w:p>
        </w:tc>
        <w:tc>
          <w:tcPr>
            <w:tcW w:w="1168" w:type="dxa"/>
          </w:tcPr>
          <w:p w14:paraId="6F616DB2" w14:textId="6B8F6B1D" w:rsidR="00E15137" w:rsidRPr="00E15137" w:rsidRDefault="00E15137" w:rsidP="00E15137">
            <w:pPr>
              <w:rPr>
                <w:rFonts w:cs="Arial"/>
                <w:b/>
              </w:rPr>
            </w:pPr>
            <w:r w:rsidRPr="00E15137">
              <w:t>0.75 (0,63,0,89)</w:t>
            </w:r>
          </w:p>
        </w:tc>
      </w:tr>
      <w:tr w:rsidR="00E15137" w14:paraId="30CFC355" w14:textId="77777777" w:rsidTr="00E15137">
        <w:tc>
          <w:tcPr>
            <w:tcW w:w="3032" w:type="dxa"/>
          </w:tcPr>
          <w:p w14:paraId="0E651ADA" w14:textId="780D2514" w:rsidR="00E15137" w:rsidRPr="00E15137" w:rsidRDefault="00E15137" w:rsidP="00E15137">
            <w:pPr>
              <w:rPr>
                <w:rFonts w:cs="Arial"/>
                <w:b/>
              </w:rPr>
            </w:pPr>
            <w:r w:rsidRPr="00E15137">
              <w:t xml:space="preserve">4-годишна </w:t>
            </w:r>
            <w:r w:rsidRPr="00E15137">
              <w:rPr>
                <w:lang w:val="en-US"/>
              </w:rPr>
              <w:t>DFS</w:t>
            </w:r>
          </w:p>
        </w:tc>
        <w:tc>
          <w:tcPr>
            <w:tcW w:w="1078" w:type="dxa"/>
          </w:tcPr>
          <w:p w14:paraId="57C3D8B0" w14:textId="2B545FB0" w:rsidR="00E15137" w:rsidRPr="00E15137" w:rsidRDefault="00E15137" w:rsidP="00E15137">
            <w:pPr>
              <w:rPr>
                <w:rFonts w:cs="Arial"/>
                <w:b/>
              </w:rPr>
            </w:pPr>
            <w:r w:rsidRPr="00E15137">
              <w:t>94.4%</w:t>
            </w:r>
          </w:p>
        </w:tc>
        <w:tc>
          <w:tcPr>
            <w:tcW w:w="1026" w:type="dxa"/>
          </w:tcPr>
          <w:p w14:paraId="0F5CBA52" w14:textId="5EE79A4F" w:rsidR="00E15137" w:rsidRPr="00E15137" w:rsidRDefault="00E15137" w:rsidP="00E15137">
            <w:pPr>
              <w:rPr>
                <w:rFonts w:cs="Arial"/>
                <w:b/>
              </w:rPr>
            </w:pPr>
            <w:r w:rsidRPr="00E15137">
              <w:t>89.8%</w:t>
            </w:r>
          </w:p>
        </w:tc>
        <w:tc>
          <w:tcPr>
            <w:tcW w:w="1168" w:type="dxa"/>
          </w:tcPr>
          <w:p w14:paraId="7364A238" w14:textId="77777777" w:rsidR="00E15137" w:rsidRPr="00E15137" w:rsidRDefault="00E15137" w:rsidP="00E15137">
            <w:pPr>
              <w:rPr>
                <w:rFonts w:cs="Arial"/>
                <w:b/>
              </w:rPr>
            </w:pPr>
          </w:p>
        </w:tc>
        <w:tc>
          <w:tcPr>
            <w:tcW w:w="1078" w:type="dxa"/>
          </w:tcPr>
          <w:p w14:paraId="76B034A7" w14:textId="7617AB74" w:rsidR="00E15137" w:rsidRPr="00E15137" w:rsidRDefault="00E15137" w:rsidP="00E15137">
            <w:pPr>
              <w:rPr>
                <w:rFonts w:cs="Arial"/>
                <w:b/>
              </w:rPr>
            </w:pPr>
            <w:r w:rsidRPr="00E15137">
              <w:t>94.4%</w:t>
            </w:r>
          </w:p>
        </w:tc>
        <w:tc>
          <w:tcPr>
            <w:tcW w:w="1026" w:type="dxa"/>
          </w:tcPr>
          <w:p w14:paraId="60E0E3AD" w14:textId="05196A6B" w:rsidR="00E15137" w:rsidRPr="00E15137" w:rsidRDefault="00E15137" w:rsidP="00E15137">
            <w:pPr>
              <w:rPr>
                <w:rFonts w:cs="Arial"/>
                <w:b/>
              </w:rPr>
            </w:pPr>
            <w:r w:rsidRPr="00E15137">
              <w:t>91.4%</w:t>
            </w:r>
          </w:p>
        </w:tc>
        <w:tc>
          <w:tcPr>
            <w:tcW w:w="1168" w:type="dxa"/>
          </w:tcPr>
          <w:p w14:paraId="2E8B4B2D" w14:textId="77777777" w:rsidR="00E15137" w:rsidRPr="00E15137" w:rsidRDefault="00E15137" w:rsidP="00E15137">
            <w:pPr>
              <w:rPr>
                <w:rFonts w:cs="Arial"/>
                <w:b/>
              </w:rPr>
            </w:pPr>
          </w:p>
        </w:tc>
      </w:tr>
      <w:tr w:rsidR="00E15137" w14:paraId="6C78908E" w14:textId="77777777" w:rsidTr="005D58FA">
        <w:tc>
          <w:tcPr>
            <w:tcW w:w="9576" w:type="dxa"/>
            <w:gridSpan w:val="7"/>
          </w:tcPr>
          <w:p w14:paraId="1676F3ED" w14:textId="47C78D32" w:rsidR="00E15137" w:rsidRPr="00E15137" w:rsidRDefault="00E15137" w:rsidP="00E15137">
            <w:pPr>
              <w:rPr>
                <w:rFonts w:cs="Arial"/>
                <w:b/>
              </w:rPr>
            </w:pPr>
            <w:r w:rsidRPr="00E15137">
              <w:rPr>
                <w:b/>
                <w:lang w:eastAsia="bg-BG"/>
              </w:rPr>
              <w:t>Преживяемост без заболяване</w:t>
            </w:r>
            <w:r w:rsidRPr="00E15137">
              <w:rPr>
                <w:b/>
                <w:vertAlign w:val="superscript"/>
                <w:lang w:eastAsia="bg-BG"/>
              </w:rPr>
              <w:t>3</w:t>
            </w:r>
            <w:r w:rsidRPr="00E15137">
              <w:rPr>
                <w:b/>
                <w:lang w:eastAsia="bg-BG"/>
              </w:rPr>
              <w:t xml:space="preserve"> , включително смърт поради друга причина</w:t>
            </w:r>
          </w:p>
        </w:tc>
      </w:tr>
      <w:tr w:rsidR="00E15137" w14:paraId="6BFA56A9" w14:textId="77777777" w:rsidTr="00E15137">
        <w:tc>
          <w:tcPr>
            <w:tcW w:w="3032" w:type="dxa"/>
            <w:vAlign w:val="bottom"/>
          </w:tcPr>
          <w:p w14:paraId="75128D3E" w14:textId="77777777" w:rsidR="00E15137" w:rsidRPr="00E15137" w:rsidRDefault="00E15137" w:rsidP="00E15137">
            <w:r w:rsidRPr="00E15137">
              <w:t>Събития</w:t>
            </w:r>
          </w:p>
          <w:p w14:paraId="684E8009" w14:textId="63C16E72" w:rsidR="00E15137" w:rsidRPr="00E15137" w:rsidRDefault="00E15137" w:rsidP="00E15137">
            <w:pPr>
              <w:rPr>
                <w:rFonts w:cs="Arial"/>
                <w:b/>
              </w:rPr>
            </w:pPr>
            <w:r w:rsidRPr="00E15137">
              <w:t xml:space="preserve">5- годишна </w:t>
            </w:r>
            <w:r w:rsidRPr="00E15137">
              <w:rPr>
                <w:lang w:val="en-US"/>
              </w:rPr>
              <w:t>DFS</w:t>
            </w:r>
          </w:p>
        </w:tc>
        <w:tc>
          <w:tcPr>
            <w:tcW w:w="1078" w:type="dxa"/>
            <w:vAlign w:val="bottom"/>
          </w:tcPr>
          <w:p w14:paraId="0EB6ED0D" w14:textId="77777777" w:rsidR="00E15137" w:rsidRPr="00E15137" w:rsidRDefault="00E15137" w:rsidP="00E15137">
            <w:r w:rsidRPr="00E15137">
              <w:t>122 (4.7%)</w:t>
            </w:r>
          </w:p>
          <w:p w14:paraId="2692BB34" w14:textId="1AB0B2D6" w:rsidR="00E15137" w:rsidRPr="00E15137" w:rsidRDefault="00E15137" w:rsidP="00E15137">
            <w:pPr>
              <w:rPr>
                <w:rFonts w:cs="Arial"/>
                <w:b/>
              </w:rPr>
            </w:pPr>
            <w:r w:rsidRPr="00E15137">
              <w:t>90,5%</w:t>
            </w:r>
          </w:p>
        </w:tc>
        <w:tc>
          <w:tcPr>
            <w:tcW w:w="1026" w:type="dxa"/>
            <w:vAlign w:val="bottom"/>
          </w:tcPr>
          <w:p w14:paraId="66247CE0" w14:textId="07C98E8B" w:rsidR="00E15137" w:rsidRPr="00E15137" w:rsidRDefault="00E15137" w:rsidP="00E15137">
            <w:pPr>
              <w:rPr>
                <w:rFonts w:cs="Arial"/>
                <w:b/>
              </w:rPr>
            </w:pPr>
            <w:r w:rsidRPr="00E15137">
              <w:t>193 (7,5%) 80,8%</w:t>
            </w:r>
          </w:p>
        </w:tc>
        <w:tc>
          <w:tcPr>
            <w:tcW w:w="1168" w:type="dxa"/>
          </w:tcPr>
          <w:p w14:paraId="5A6E12F5" w14:textId="77777777" w:rsidR="00E15137" w:rsidRPr="00E15137" w:rsidRDefault="00E15137" w:rsidP="00E15137">
            <w:r w:rsidRPr="00E15137">
              <w:t>0.62</w:t>
            </w:r>
          </w:p>
          <w:p w14:paraId="20D7860D" w14:textId="4BDA1E24" w:rsidR="00E15137" w:rsidRPr="00E15137" w:rsidRDefault="00E15137" w:rsidP="00E15137">
            <w:pPr>
              <w:rPr>
                <w:rFonts w:cs="Arial"/>
                <w:b/>
              </w:rPr>
            </w:pPr>
            <w:r w:rsidRPr="00E15137">
              <w:t>(0,49, 0,78)</w:t>
            </w:r>
          </w:p>
        </w:tc>
        <w:tc>
          <w:tcPr>
            <w:tcW w:w="1078" w:type="dxa"/>
            <w:vAlign w:val="bottom"/>
          </w:tcPr>
          <w:p w14:paraId="073E710D" w14:textId="09C31C74" w:rsidR="00E15137" w:rsidRPr="00E15137" w:rsidRDefault="00E15137" w:rsidP="00E15137">
            <w:pPr>
              <w:rPr>
                <w:rFonts w:cs="Arial"/>
                <w:b/>
              </w:rPr>
            </w:pPr>
            <w:r w:rsidRPr="00E15137">
              <w:t>344 (13,3%) 88,8%</w:t>
            </w:r>
          </w:p>
        </w:tc>
        <w:tc>
          <w:tcPr>
            <w:tcW w:w="1026" w:type="dxa"/>
            <w:vAlign w:val="bottom"/>
          </w:tcPr>
          <w:p w14:paraId="0183A86A" w14:textId="1D274BA9" w:rsidR="00E15137" w:rsidRPr="00E15137" w:rsidRDefault="00E15137" w:rsidP="00E15137">
            <w:pPr>
              <w:rPr>
                <w:rFonts w:cs="Arial"/>
                <w:b/>
              </w:rPr>
            </w:pPr>
            <w:r w:rsidRPr="00E15137">
              <w:t>402 (15,5%) 86,7%</w:t>
            </w:r>
          </w:p>
        </w:tc>
        <w:tc>
          <w:tcPr>
            <w:tcW w:w="1168" w:type="dxa"/>
          </w:tcPr>
          <w:p w14:paraId="078E4ABF" w14:textId="77777777" w:rsidR="00E15137" w:rsidRPr="00E15137" w:rsidRDefault="00E15137" w:rsidP="00E15137">
            <w:r w:rsidRPr="00E15137">
              <w:t>0.89</w:t>
            </w:r>
          </w:p>
          <w:p w14:paraId="32E08FD3" w14:textId="78D62546" w:rsidR="00E15137" w:rsidRPr="00E15137" w:rsidRDefault="00E15137" w:rsidP="00E15137">
            <w:pPr>
              <w:rPr>
                <w:rFonts w:cs="Arial"/>
                <w:b/>
              </w:rPr>
            </w:pPr>
            <w:r w:rsidRPr="00E15137">
              <w:t>(0,77, 1,03)</w:t>
            </w:r>
          </w:p>
        </w:tc>
      </w:tr>
      <w:tr w:rsidR="00E15137" w14:paraId="14FDF58E" w14:textId="77777777" w:rsidTr="00E15137">
        <w:tc>
          <w:tcPr>
            <w:tcW w:w="3032" w:type="dxa"/>
          </w:tcPr>
          <w:p w14:paraId="4A60EEDB" w14:textId="77777777" w:rsidR="00E15137" w:rsidRPr="00E15137" w:rsidRDefault="00E15137" w:rsidP="00E15137">
            <w:r w:rsidRPr="00E15137">
              <w:t>Далечни метастази</w:t>
            </w:r>
          </w:p>
          <w:p w14:paraId="7DDB81E5" w14:textId="03B82E4A" w:rsidR="00E15137" w:rsidRPr="00E15137" w:rsidRDefault="00E15137" w:rsidP="00E15137">
            <w:pPr>
              <w:rPr>
                <w:rFonts w:cs="Arial"/>
                <w:b/>
              </w:rPr>
            </w:pPr>
            <w:r w:rsidRPr="00E15137">
              <w:t>Събития</w:t>
            </w:r>
          </w:p>
        </w:tc>
        <w:tc>
          <w:tcPr>
            <w:tcW w:w="1078" w:type="dxa"/>
            <w:vAlign w:val="center"/>
          </w:tcPr>
          <w:p w14:paraId="69133762" w14:textId="4BD4817B" w:rsidR="00E15137" w:rsidRPr="00E15137" w:rsidRDefault="00E15137" w:rsidP="00E15137">
            <w:pPr>
              <w:rPr>
                <w:rFonts w:cs="Arial"/>
                <w:b/>
              </w:rPr>
            </w:pPr>
            <w:r w:rsidRPr="00E15137">
              <w:t>57(2,2%)</w:t>
            </w:r>
          </w:p>
        </w:tc>
        <w:tc>
          <w:tcPr>
            <w:tcW w:w="1026" w:type="dxa"/>
            <w:vAlign w:val="center"/>
          </w:tcPr>
          <w:p w14:paraId="21409AEC" w14:textId="32783928" w:rsidR="00E15137" w:rsidRPr="00E15137" w:rsidRDefault="00E15137" w:rsidP="00E15137">
            <w:pPr>
              <w:rPr>
                <w:rFonts w:cs="Arial"/>
                <w:b/>
              </w:rPr>
            </w:pPr>
            <w:r w:rsidRPr="00E15137">
              <w:t>93 (3,6%)</w:t>
            </w:r>
          </w:p>
        </w:tc>
        <w:tc>
          <w:tcPr>
            <w:tcW w:w="1168" w:type="dxa"/>
            <w:vAlign w:val="bottom"/>
          </w:tcPr>
          <w:p w14:paraId="46840DED" w14:textId="49357578" w:rsidR="00E15137" w:rsidRPr="00E15137" w:rsidRDefault="00E15137" w:rsidP="00E15137">
            <w:pPr>
              <w:rPr>
                <w:rFonts w:cs="Arial"/>
                <w:b/>
              </w:rPr>
            </w:pPr>
            <w:r w:rsidRPr="00E15137">
              <w:t>0,61 (0,44,0,84)</w:t>
            </w:r>
          </w:p>
        </w:tc>
        <w:tc>
          <w:tcPr>
            <w:tcW w:w="1078" w:type="dxa"/>
            <w:vAlign w:val="bottom"/>
          </w:tcPr>
          <w:p w14:paraId="53170DCB" w14:textId="22E85071" w:rsidR="00E15137" w:rsidRPr="00E15137" w:rsidRDefault="00E15137" w:rsidP="00E15137">
            <w:pPr>
              <w:rPr>
                <w:rFonts w:cs="Arial"/>
                <w:b/>
              </w:rPr>
            </w:pPr>
            <w:r w:rsidRPr="00E15137">
              <w:t>142 (5,5%)</w:t>
            </w:r>
          </w:p>
        </w:tc>
        <w:tc>
          <w:tcPr>
            <w:tcW w:w="1026" w:type="dxa"/>
            <w:vAlign w:val="bottom"/>
          </w:tcPr>
          <w:p w14:paraId="4562BC58" w14:textId="77777777" w:rsidR="00E15137" w:rsidRPr="00E15137" w:rsidRDefault="00E15137" w:rsidP="00E15137">
            <w:r w:rsidRPr="00E15137">
              <w:t>169</w:t>
            </w:r>
          </w:p>
          <w:p w14:paraId="367916A3" w14:textId="77E045C5" w:rsidR="00E15137" w:rsidRPr="00E15137" w:rsidRDefault="00E15137" w:rsidP="00E15137">
            <w:pPr>
              <w:rPr>
                <w:rFonts w:cs="Arial"/>
                <w:b/>
              </w:rPr>
            </w:pPr>
            <w:r w:rsidRPr="00E15137">
              <w:t>(6,5%)</w:t>
            </w:r>
          </w:p>
        </w:tc>
        <w:tc>
          <w:tcPr>
            <w:tcW w:w="1168" w:type="dxa"/>
            <w:vAlign w:val="bottom"/>
          </w:tcPr>
          <w:p w14:paraId="5E6648A6" w14:textId="71E1938B" w:rsidR="00E15137" w:rsidRPr="00E15137" w:rsidRDefault="00E15137" w:rsidP="00E15137">
            <w:pPr>
              <w:rPr>
                <w:rFonts w:cs="Arial"/>
                <w:b/>
              </w:rPr>
            </w:pPr>
            <w:r w:rsidRPr="00E15137">
              <w:t>0,88 (0,70,1,10)</w:t>
            </w:r>
          </w:p>
        </w:tc>
      </w:tr>
      <w:tr w:rsidR="00E15137" w14:paraId="06A51D3A" w14:textId="77777777" w:rsidTr="00252FEA">
        <w:tc>
          <w:tcPr>
            <w:tcW w:w="9576" w:type="dxa"/>
            <w:gridSpan w:val="7"/>
          </w:tcPr>
          <w:p w14:paraId="5BEBF865" w14:textId="6622EB61" w:rsidR="00E15137" w:rsidRPr="00E15137" w:rsidRDefault="00E15137" w:rsidP="00E15137">
            <w:pPr>
              <w:rPr>
                <w:rFonts w:cs="Arial"/>
                <w:b/>
              </w:rPr>
            </w:pPr>
            <w:r w:rsidRPr="00E15137">
              <w:rPr>
                <w:b/>
              </w:rPr>
              <w:t>Обща преживяемост</w:t>
            </w:r>
          </w:p>
        </w:tc>
      </w:tr>
      <w:tr w:rsidR="00E15137" w14:paraId="0A8F8E82" w14:textId="77777777" w:rsidTr="00E15137">
        <w:tc>
          <w:tcPr>
            <w:tcW w:w="3032" w:type="dxa"/>
          </w:tcPr>
          <w:p w14:paraId="5811DA0B" w14:textId="77777777" w:rsidR="00E15137" w:rsidRPr="00E15137" w:rsidRDefault="00E15137" w:rsidP="00E15137">
            <w:r w:rsidRPr="00E15137">
              <w:t>Смъртни случаи</w:t>
            </w:r>
          </w:p>
          <w:p w14:paraId="13616C5E" w14:textId="77777777" w:rsidR="00E15137" w:rsidRDefault="00E15137" w:rsidP="00E15137"/>
          <w:p w14:paraId="075EE814" w14:textId="39447C4D" w:rsidR="00E15137" w:rsidRPr="00E15137" w:rsidRDefault="00E15137" w:rsidP="00E15137">
            <w:pPr>
              <w:rPr>
                <w:rFonts w:cs="Arial"/>
                <w:b/>
              </w:rPr>
            </w:pPr>
            <w:r>
              <w:t>Смъртни случаи</w:t>
            </w:r>
            <w:r w:rsidRPr="00E15137">
              <w:rPr>
                <w:vertAlign w:val="superscript"/>
              </w:rPr>
              <w:t>4</w:t>
            </w:r>
          </w:p>
        </w:tc>
        <w:tc>
          <w:tcPr>
            <w:tcW w:w="1078" w:type="dxa"/>
          </w:tcPr>
          <w:p w14:paraId="127776F1" w14:textId="77777777" w:rsidR="00E15137" w:rsidRPr="00E15137" w:rsidRDefault="00E15137" w:rsidP="00E15137">
            <w:r w:rsidRPr="00E15137">
              <w:t>51 (2,0%)</w:t>
            </w:r>
          </w:p>
          <w:p w14:paraId="286AE038" w14:textId="77777777" w:rsidR="00E15137" w:rsidRDefault="00E15137" w:rsidP="00E15137"/>
          <w:p w14:paraId="5EFA0EF8" w14:textId="1B871630" w:rsidR="00E15137" w:rsidRPr="00E15137" w:rsidRDefault="00E15137" w:rsidP="00E15137">
            <w:pPr>
              <w:rPr>
                <w:rFonts w:cs="Arial"/>
                <w:b/>
              </w:rPr>
            </w:pPr>
            <w:r w:rsidRPr="00E15137">
              <w:t>--</w:t>
            </w:r>
          </w:p>
        </w:tc>
        <w:tc>
          <w:tcPr>
            <w:tcW w:w="1026" w:type="dxa"/>
          </w:tcPr>
          <w:p w14:paraId="75B99CB9" w14:textId="77777777" w:rsidR="00E15137" w:rsidRPr="00E15137" w:rsidRDefault="00E15137" w:rsidP="00E15137">
            <w:r w:rsidRPr="00E15137">
              <w:t>62 (2,4%)</w:t>
            </w:r>
          </w:p>
          <w:p w14:paraId="57F69489" w14:textId="77777777" w:rsidR="00E15137" w:rsidRDefault="00E15137" w:rsidP="00E15137"/>
          <w:p w14:paraId="3A1D39C7" w14:textId="27288156" w:rsidR="00E15137" w:rsidRPr="00E15137" w:rsidRDefault="00E15137" w:rsidP="00E15137">
            <w:pPr>
              <w:rPr>
                <w:rFonts w:cs="Arial"/>
                <w:b/>
              </w:rPr>
            </w:pPr>
            <w:r w:rsidRPr="00E15137">
              <w:t>--</w:t>
            </w:r>
          </w:p>
        </w:tc>
        <w:tc>
          <w:tcPr>
            <w:tcW w:w="1168" w:type="dxa"/>
          </w:tcPr>
          <w:p w14:paraId="5CAD3CB0" w14:textId="77777777" w:rsidR="00E15137" w:rsidRPr="00E15137" w:rsidRDefault="00E15137" w:rsidP="00E15137">
            <w:r w:rsidRPr="00E15137">
              <w:t>0.82 (0,56,1,19)</w:t>
            </w:r>
          </w:p>
          <w:p w14:paraId="0E3E6089" w14:textId="7CFE24A5" w:rsidR="00E15137" w:rsidRPr="00E15137" w:rsidRDefault="00E15137" w:rsidP="00E15137">
            <w:pPr>
              <w:rPr>
                <w:rFonts w:cs="Arial"/>
                <w:b/>
              </w:rPr>
            </w:pPr>
            <w:r w:rsidRPr="00E15137">
              <w:rPr>
                <w:lang w:val="en-US"/>
              </w:rPr>
              <w:t>--</w:t>
            </w:r>
          </w:p>
        </w:tc>
        <w:tc>
          <w:tcPr>
            <w:tcW w:w="1078" w:type="dxa"/>
            <w:vAlign w:val="bottom"/>
          </w:tcPr>
          <w:p w14:paraId="74856C73" w14:textId="77777777" w:rsidR="00E15137" w:rsidRDefault="00E15137" w:rsidP="00E15137">
            <w:r w:rsidRPr="00E15137">
              <w:t xml:space="preserve">236 (9,1%) </w:t>
            </w:r>
          </w:p>
          <w:p w14:paraId="03484BB1" w14:textId="77777777" w:rsidR="00E15137" w:rsidRDefault="00E15137" w:rsidP="00E15137"/>
          <w:p w14:paraId="0A0A2810" w14:textId="3D9E7702" w:rsidR="00E15137" w:rsidRPr="00E15137" w:rsidRDefault="00E15137" w:rsidP="00E15137">
            <w:pPr>
              <w:rPr>
                <w:rFonts w:cs="Arial"/>
                <w:b/>
              </w:rPr>
            </w:pPr>
            <w:r w:rsidRPr="00E15137">
              <w:t>236</w:t>
            </w:r>
            <w:r w:rsidRPr="00E15137">
              <w:rPr>
                <w:vertAlign w:val="superscript"/>
              </w:rPr>
              <w:t xml:space="preserve">5 </w:t>
            </w:r>
            <w:r w:rsidRPr="00E15137">
              <w:t>(9,1%)</w:t>
            </w:r>
          </w:p>
        </w:tc>
        <w:tc>
          <w:tcPr>
            <w:tcW w:w="1026" w:type="dxa"/>
            <w:vAlign w:val="bottom"/>
          </w:tcPr>
          <w:p w14:paraId="318F6CA7" w14:textId="77777777" w:rsidR="00E15137" w:rsidRDefault="00E15137" w:rsidP="00E15137">
            <w:r w:rsidRPr="00E15137">
              <w:t xml:space="preserve">232 (9,0%) </w:t>
            </w:r>
          </w:p>
          <w:p w14:paraId="7449C1A6" w14:textId="77777777" w:rsidR="00E15137" w:rsidRDefault="00E15137" w:rsidP="00E15137"/>
          <w:p w14:paraId="42AF9B72" w14:textId="66480737" w:rsidR="00E15137" w:rsidRPr="00E15137" w:rsidRDefault="00E15137" w:rsidP="00E15137">
            <w:pPr>
              <w:rPr>
                <w:rFonts w:cs="Arial"/>
                <w:b/>
              </w:rPr>
            </w:pPr>
            <w:r w:rsidRPr="00E15137">
              <w:t>170</w:t>
            </w:r>
            <w:r w:rsidRPr="00E15137">
              <w:rPr>
                <w:vertAlign w:val="superscript"/>
              </w:rPr>
              <w:t xml:space="preserve">6 </w:t>
            </w:r>
            <w:r w:rsidRPr="00E15137">
              <w:t>(6,6%)</w:t>
            </w:r>
          </w:p>
        </w:tc>
        <w:tc>
          <w:tcPr>
            <w:tcW w:w="1168" w:type="dxa"/>
            <w:vAlign w:val="bottom"/>
          </w:tcPr>
          <w:p w14:paraId="57B913B3" w14:textId="77777777" w:rsidR="00E15137" w:rsidRDefault="00E15137" w:rsidP="00E15137">
            <w:r w:rsidRPr="00E15137">
              <w:t xml:space="preserve">1,13 (0,95, 1,36) </w:t>
            </w:r>
          </w:p>
          <w:p w14:paraId="0D651297" w14:textId="77777777" w:rsidR="00E15137" w:rsidRDefault="00E15137" w:rsidP="00E15137"/>
          <w:p w14:paraId="65EB2FA4" w14:textId="72359A15" w:rsidR="00E15137" w:rsidRPr="00E15137" w:rsidRDefault="00E15137" w:rsidP="00E15137">
            <w:pPr>
              <w:rPr>
                <w:rFonts w:cs="Arial"/>
                <w:b/>
              </w:rPr>
            </w:pPr>
            <w:r w:rsidRPr="00E15137">
              <w:t>0.78 (0,64, 0,96)</w:t>
            </w:r>
          </w:p>
        </w:tc>
      </w:tr>
      <w:tr w:rsidR="00E15137" w14:paraId="285CE1EA" w14:textId="77777777" w:rsidTr="00943A6C">
        <w:tc>
          <w:tcPr>
            <w:tcW w:w="9576" w:type="dxa"/>
            <w:gridSpan w:val="7"/>
          </w:tcPr>
          <w:p w14:paraId="14041194" w14:textId="77777777" w:rsidR="00E15137" w:rsidRPr="00E15137" w:rsidRDefault="00E15137" w:rsidP="00E15137">
            <w:pPr>
              <w:spacing w:line="240" w:lineRule="auto"/>
              <w:rPr>
                <w:rFonts w:eastAsia="Times New Roman" w:cs="Arial"/>
              </w:rPr>
            </w:pPr>
            <w:r w:rsidRPr="00E15137">
              <w:rPr>
                <w:rFonts w:eastAsia="Times New Roman" w:cs="Arial"/>
                <w:color w:val="000000"/>
                <w:lang w:val="en-US"/>
              </w:rPr>
              <w:t>HR</w:t>
            </w:r>
            <w:r w:rsidRPr="00E15137">
              <w:rPr>
                <w:rFonts w:eastAsia="Times New Roman" w:cs="Arial"/>
                <w:color w:val="000000"/>
                <w:lang w:val="ru-RU"/>
              </w:rPr>
              <w:t xml:space="preserve"> </w:t>
            </w:r>
            <w:r w:rsidRPr="00E15137">
              <w:rPr>
                <w:rFonts w:eastAsia="Times New Roman" w:cs="Arial"/>
                <w:color w:val="000000"/>
                <w:lang w:eastAsia="bg-BG"/>
              </w:rPr>
              <w:t xml:space="preserve">- Коефициент на риск; </w:t>
            </w:r>
            <w:r w:rsidRPr="00E15137">
              <w:rPr>
                <w:rFonts w:eastAsia="Times New Roman" w:cs="Arial"/>
                <w:color w:val="000000"/>
                <w:lang w:val="en-US"/>
              </w:rPr>
              <w:t>CI</w:t>
            </w:r>
            <w:r w:rsidRPr="00E15137">
              <w:rPr>
                <w:rFonts w:eastAsia="Times New Roman" w:cs="Arial"/>
                <w:color w:val="000000"/>
                <w:lang w:val="ru-RU"/>
              </w:rPr>
              <w:t xml:space="preserve"> </w:t>
            </w:r>
            <w:r w:rsidRPr="00E15137">
              <w:rPr>
                <w:rFonts w:eastAsia="Times New Roman" w:cs="Arial"/>
                <w:color w:val="000000"/>
                <w:lang w:eastAsia="bg-BG"/>
              </w:rPr>
              <w:t>= Доверителен интервал</w:t>
            </w:r>
          </w:p>
          <w:p w14:paraId="7B231821" w14:textId="77777777" w:rsidR="00E15137" w:rsidRPr="00E15137" w:rsidRDefault="00E15137" w:rsidP="00E15137">
            <w:pPr>
              <w:spacing w:line="240" w:lineRule="auto"/>
              <w:rPr>
                <w:rFonts w:eastAsia="Times New Roman" w:cs="Arial"/>
              </w:rPr>
            </w:pPr>
            <w:r w:rsidRPr="00E15137">
              <w:rPr>
                <w:rFonts w:eastAsia="Times New Roman" w:cs="Arial"/>
                <w:color w:val="000000"/>
                <w:vertAlign w:val="superscript"/>
                <w:lang w:eastAsia="bg-BG"/>
              </w:rPr>
              <w:t>1</w:t>
            </w:r>
            <w:r w:rsidRPr="00E15137">
              <w:rPr>
                <w:rFonts w:eastAsia="Times New Roman" w:cs="Arial"/>
                <w:color w:val="000000"/>
                <w:lang w:eastAsia="bg-BG"/>
              </w:rPr>
              <w:t>Когато проучването е разслепено през 2003 г, 1 551 пациенти, рандомизираяи в плацебо рамото (60% от тези, при които може да се смени терапията, т.е. такива, които са без заболяване) преминават към лечение с летрозол при медиана 31 месеца след рандомицазията. Настоящият анализ игнорира селективната смяна на терапията.</w:t>
            </w:r>
          </w:p>
          <w:p w14:paraId="0C61A121" w14:textId="77777777" w:rsidR="00E15137" w:rsidRPr="00E15137" w:rsidRDefault="00E15137" w:rsidP="00E15137">
            <w:pPr>
              <w:spacing w:line="240" w:lineRule="auto"/>
              <w:rPr>
                <w:rFonts w:eastAsia="Times New Roman" w:cs="Arial"/>
              </w:rPr>
            </w:pPr>
            <w:r w:rsidRPr="00E15137">
              <w:rPr>
                <w:rFonts w:eastAsia="Times New Roman" w:cs="Arial"/>
                <w:color w:val="000000"/>
                <w:vertAlign w:val="superscript"/>
                <w:lang w:eastAsia="bg-BG"/>
              </w:rPr>
              <w:t>2</w:t>
            </w:r>
            <w:r w:rsidRPr="00E15137">
              <w:rPr>
                <w:rFonts w:eastAsia="Times New Roman" w:cs="Arial"/>
                <w:color w:val="000000"/>
                <w:lang w:eastAsia="bg-BG"/>
              </w:rPr>
              <w:t>Стратификация по рецепторен статус, нодален статус и наличие на предхождаща адювантна химиотерапия.</w:t>
            </w:r>
          </w:p>
          <w:p w14:paraId="186F1B46" w14:textId="77777777" w:rsidR="00E15137" w:rsidRPr="00E15137" w:rsidRDefault="00E15137" w:rsidP="00E15137">
            <w:pPr>
              <w:spacing w:line="240" w:lineRule="auto"/>
              <w:rPr>
                <w:rFonts w:eastAsia="Times New Roman" w:cs="Arial"/>
              </w:rPr>
            </w:pPr>
            <w:r w:rsidRPr="00E15137">
              <w:rPr>
                <w:rFonts w:eastAsia="Times New Roman" w:cs="Arial"/>
                <w:color w:val="000000"/>
                <w:vertAlign w:val="superscript"/>
                <w:lang w:eastAsia="bg-BG"/>
              </w:rPr>
              <w:t>3</w:t>
            </w:r>
            <w:r w:rsidRPr="00E15137">
              <w:rPr>
                <w:rFonts w:eastAsia="Times New Roman" w:cs="Arial"/>
                <w:color w:val="000000"/>
                <w:lang w:eastAsia="bg-BG"/>
              </w:rPr>
              <w:t xml:space="preserve">Дефиниция по протокол за събития, свързани с преживяемост без заболяване: локорегионален рецидив, далечни метастази или контралатерален рак на гърдата. </w:t>
            </w:r>
            <w:r w:rsidRPr="00E15137">
              <w:rPr>
                <w:rFonts w:eastAsia="Times New Roman" w:cs="Arial"/>
                <w:color w:val="000000"/>
                <w:vertAlign w:val="superscript"/>
                <w:lang w:eastAsia="bg-BG"/>
              </w:rPr>
              <w:t>4</w:t>
            </w:r>
            <w:r w:rsidRPr="00E15137">
              <w:rPr>
                <w:rFonts w:eastAsia="Times New Roman" w:cs="Arial"/>
                <w:color w:val="000000"/>
                <w:lang w:eastAsia="bg-BG"/>
              </w:rPr>
              <w:t>Експлоративен анализ, цензуриращ времето на проследяване към датата на смяна на терапията (ако има такива) в плацебо рамото.</w:t>
            </w:r>
          </w:p>
          <w:p w14:paraId="79760D50" w14:textId="77777777" w:rsidR="00E15137" w:rsidRPr="00E15137" w:rsidRDefault="00E15137" w:rsidP="00E15137">
            <w:pPr>
              <w:spacing w:line="240" w:lineRule="auto"/>
              <w:rPr>
                <w:rFonts w:eastAsia="Times New Roman" w:cs="Arial"/>
              </w:rPr>
            </w:pPr>
            <w:r w:rsidRPr="00E15137">
              <w:rPr>
                <w:rFonts w:eastAsia="Times New Roman" w:cs="Arial"/>
                <w:color w:val="000000"/>
                <w:vertAlign w:val="superscript"/>
                <w:lang w:eastAsia="bg-BG"/>
              </w:rPr>
              <w:t>5</w:t>
            </w:r>
            <w:r w:rsidRPr="00E15137">
              <w:rPr>
                <w:rFonts w:eastAsia="Times New Roman" w:cs="Arial"/>
                <w:color w:val="000000"/>
                <w:lang w:eastAsia="bg-BG"/>
              </w:rPr>
              <w:t>Медиана на проследяване 62 седмици.</w:t>
            </w:r>
          </w:p>
          <w:p w14:paraId="66A0229D" w14:textId="72055750" w:rsidR="00E15137" w:rsidRPr="00E15137" w:rsidRDefault="00E15137" w:rsidP="00E15137">
            <w:pPr>
              <w:spacing w:line="240" w:lineRule="auto"/>
              <w:rPr>
                <w:rFonts w:eastAsia="Times New Roman" w:cs="Arial"/>
              </w:rPr>
            </w:pPr>
            <w:r w:rsidRPr="00E15137">
              <w:rPr>
                <w:rFonts w:eastAsia="Times New Roman" w:cs="Arial"/>
                <w:color w:val="000000"/>
                <w:vertAlign w:val="superscript"/>
                <w:lang w:eastAsia="bg-BG"/>
              </w:rPr>
              <w:t>6</w:t>
            </w:r>
            <w:r w:rsidRPr="00E15137">
              <w:rPr>
                <w:rFonts w:eastAsia="Times New Roman" w:cs="Arial"/>
                <w:color w:val="000000"/>
                <w:lang w:eastAsia="bg-BG"/>
              </w:rPr>
              <w:t>Медиана на проследяване до смяна на терапията (ако има такава) 37 месеца.</w:t>
            </w:r>
          </w:p>
        </w:tc>
      </w:tr>
    </w:tbl>
    <w:p w14:paraId="43C2DE45" w14:textId="51F398CA" w:rsidR="00E15137" w:rsidRDefault="00E15137" w:rsidP="00E15137">
      <w:pPr>
        <w:rPr>
          <w:rFonts w:cs="Arial"/>
          <w:b/>
        </w:rPr>
      </w:pPr>
    </w:p>
    <w:p w14:paraId="1C97296D" w14:textId="77777777"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В МА-17 подпроучването за костна плътност, при което са прилагани едновременно калций и витамин </w:t>
      </w:r>
      <w:r w:rsidRPr="00E15137">
        <w:rPr>
          <w:rFonts w:eastAsia="Times New Roman" w:cs="Arial"/>
          <w:color w:val="000000"/>
          <w:lang w:val="en-US"/>
        </w:rPr>
        <w:t>D</w:t>
      </w:r>
      <w:r w:rsidRPr="00E15137">
        <w:rPr>
          <w:rFonts w:eastAsia="Times New Roman" w:cs="Arial"/>
          <w:color w:val="000000"/>
          <w:lang w:val="ru-RU"/>
        </w:rPr>
        <w:t xml:space="preserve">, </w:t>
      </w:r>
      <w:r w:rsidRPr="00E15137">
        <w:rPr>
          <w:rFonts w:eastAsia="Times New Roman" w:cs="Arial"/>
          <w:color w:val="000000"/>
          <w:lang w:eastAsia="bg-BG"/>
        </w:rPr>
        <w:t>се наблюдава по-голямо намаление на КМП спрямо изходното ниво на летрозол спрямо плацебо. Единствената статистически значима разлика възникнала на 2-рата година и е в общата КМП на бедрената кост (медиана на понижение 3,8% за летрозол спрямо медиана на понижение 2,0% за плацебо).</w:t>
      </w:r>
    </w:p>
    <w:p w14:paraId="4B8E8C3F" w14:textId="77777777" w:rsidR="00E15137" w:rsidRPr="00E15137" w:rsidRDefault="00E15137" w:rsidP="00E15137">
      <w:pPr>
        <w:spacing w:line="240" w:lineRule="auto"/>
        <w:rPr>
          <w:rFonts w:eastAsia="Times New Roman" w:cs="Arial"/>
          <w:color w:val="000000"/>
          <w:lang w:eastAsia="bg-BG"/>
        </w:rPr>
      </w:pPr>
    </w:p>
    <w:p w14:paraId="6E1D0B5E" w14:textId="3DF71933" w:rsidR="00E15137" w:rsidRPr="00E15137" w:rsidRDefault="00E15137" w:rsidP="00E15137">
      <w:pPr>
        <w:spacing w:line="240" w:lineRule="auto"/>
        <w:rPr>
          <w:rFonts w:eastAsia="Times New Roman" w:cs="Arial"/>
        </w:rPr>
      </w:pPr>
      <w:r w:rsidRPr="00E15137">
        <w:rPr>
          <w:rFonts w:eastAsia="Times New Roman" w:cs="Arial"/>
          <w:color w:val="000000"/>
          <w:lang w:eastAsia="bg-BG"/>
        </w:rPr>
        <w:t>В МА-17 подпроучването за липидния статус няма сигнификантна разлика между петрозол и плацебо по отношение на общия холестерол или отделните липидни фракции.</w:t>
      </w:r>
    </w:p>
    <w:p w14:paraId="6B4A0E01" w14:textId="77777777" w:rsidR="00E15137" w:rsidRPr="00E15137" w:rsidRDefault="00E15137" w:rsidP="00E15137">
      <w:pPr>
        <w:spacing w:line="240" w:lineRule="auto"/>
        <w:rPr>
          <w:rFonts w:eastAsia="Times New Roman" w:cs="Arial"/>
        </w:rPr>
      </w:pPr>
    </w:p>
    <w:p w14:paraId="30760AAE" w14:textId="77777777" w:rsidR="00E15137" w:rsidRPr="00E15137" w:rsidRDefault="00E15137" w:rsidP="00E15137">
      <w:pPr>
        <w:rPr>
          <w:rFonts w:eastAsia="Times New Roman" w:cs="Arial"/>
        </w:rPr>
      </w:pPr>
      <w:r w:rsidRPr="00E15137">
        <w:rPr>
          <w:rFonts w:eastAsia="Times New Roman" w:cs="Arial"/>
          <w:color w:val="000000"/>
          <w:lang w:eastAsia="bg-BG"/>
        </w:rPr>
        <w:t>В актуализирано подпроучване за качеството на живот, няма сигнификантни разлики между леченията по отношение на скора за физическо състояние, скора за психическо състояние или</w:t>
      </w:r>
      <w:r w:rsidRPr="00E15137">
        <w:rPr>
          <w:rFonts w:eastAsia="Times New Roman" w:cs="Arial"/>
          <w:color w:val="000000"/>
          <w:lang w:val="ru-RU" w:eastAsia="bg-BG"/>
        </w:rPr>
        <w:t xml:space="preserve"> </w:t>
      </w:r>
      <w:r w:rsidRPr="00E15137">
        <w:rPr>
          <w:rFonts w:eastAsia="Times New Roman" w:cs="Arial"/>
          <w:color w:val="000000"/>
          <w:lang w:eastAsia="bg-BG"/>
        </w:rPr>
        <w:t xml:space="preserve">някой от останалите скорове от </w:t>
      </w:r>
      <w:r w:rsidRPr="00E15137">
        <w:rPr>
          <w:rFonts w:eastAsia="Times New Roman" w:cs="Arial"/>
          <w:color w:val="000000"/>
          <w:lang w:val="en-US"/>
        </w:rPr>
        <w:t>SF</w:t>
      </w:r>
      <w:r w:rsidRPr="00E15137">
        <w:rPr>
          <w:rFonts w:eastAsia="Times New Roman" w:cs="Arial"/>
          <w:color w:val="000000"/>
          <w:lang w:val="ru-RU"/>
        </w:rPr>
        <w:t xml:space="preserve">-36 </w:t>
      </w:r>
      <w:r w:rsidRPr="00E15137">
        <w:rPr>
          <w:rFonts w:eastAsia="Times New Roman" w:cs="Arial"/>
          <w:color w:val="000000"/>
          <w:lang w:eastAsia="bg-BG"/>
        </w:rPr>
        <w:t xml:space="preserve">скала. В </w:t>
      </w:r>
      <w:r w:rsidRPr="00E15137">
        <w:rPr>
          <w:rFonts w:eastAsia="Times New Roman" w:cs="Arial"/>
          <w:color w:val="000000"/>
          <w:lang w:val="en-US"/>
        </w:rPr>
        <w:t>MENQOL</w:t>
      </w:r>
      <w:r w:rsidRPr="00E15137">
        <w:rPr>
          <w:rFonts w:eastAsia="Times New Roman" w:cs="Arial"/>
          <w:color w:val="000000"/>
          <w:lang w:val="ru-RU"/>
        </w:rPr>
        <w:t xml:space="preserve"> </w:t>
      </w:r>
      <w:r w:rsidRPr="00E15137">
        <w:rPr>
          <w:rFonts w:eastAsia="Times New Roman" w:cs="Arial"/>
          <w:color w:val="000000"/>
          <w:lang w:eastAsia="bg-BG"/>
        </w:rPr>
        <w:t>скалата, значително повече жени от рамото на летрозол, спрямо рамото на плацебо, са по-притеснени (общо, през първата година от лечението) от симптомите, произхождащи от потискането на естрогените - горещи вълни и вагинална сухота. Симптомът, тревожещ най-много пациенти и в двете терапевтични рамена, е мускулни болки, при статистически значима разлика в полза на плацебо.</w:t>
      </w:r>
    </w:p>
    <w:p w14:paraId="37FE14D7" w14:textId="77777777" w:rsidR="00E15137" w:rsidRDefault="00E15137" w:rsidP="00E15137">
      <w:pPr>
        <w:spacing w:line="240" w:lineRule="auto"/>
        <w:rPr>
          <w:rFonts w:eastAsia="Times New Roman" w:cs="Arial"/>
          <w:i/>
          <w:iCs/>
          <w:color w:val="000000"/>
          <w:u w:val="single"/>
          <w:lang w:eastAsia="bg-BG"/>
        </w:rPr>
      </w:pPr>
    </w:p>
    <w:p w14:paraId="3B847C18" w14:textId="5901E013" w:rsidR="00E15137" w:rsidRPr="00E15137" w:rsidRDefault="00E15137" w:rsidP="00E15137">
      <w:pPr>
        <w:spacing w:line="240" w:lineRule="auto"/>
        <w:rPr>
          <w:rFonts w:eastAsia="Times New Roman" w:cs="Arial"/>
        </w:rPr>
      </w:pPr>
      <w:r w:rsidRPr="00E15137">
        <w:rPr>
          <w:rFonts w:eastAsia="Times New Roman" w:cs="Arial"/>
          <w:i/>
          <w:iCs/>
          <w:color w:val="000000"/>
          <w:u w:val="single"/>
          <w:lang w:eastAsia="bg-BG"/>
        </w:rPr>
        <w:t>Неоадювантна терапия</w:t>
      </w:r>
    </w:p>
    <w:p w14:paraId="6499781D" w14:textId="120EB351"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Проведено е двойносляпо изпитване (Р024) при 337 жени в постменопауза с рак на гърдата, рандомизирани да приемат летрозол 2,5 </w:t>
      </w:r>
      <w:r w:rsidRPr="00E15137">
        <w:rPr>
          <w:rFonts w:eastAsia="Times New Roman" w:cs="Arial"/>
          <w:color w:val="000000"/>
          <w:lang w:val="en-US"/>
        </w:rPr>
        <w:t>mg</w:t>
      </w:r>
      <w:r w:rsidRPr="00E15137">
        <w:rPr>
          <w:rFonts w:eastAsia="Times New Roman" w:cs="Arial"/>
          <w:color w:val="000000"/>
          <w:lang w:val="ru-RU"/>
        </w:rPr>
        <w:t xml:space="preserve"> </w:t>
      </w:r>
      <w:r w:rsidRPr="00E15137">
        <w:rPr>
          <w:rFonts w:eastAsia="Times New Roman" w:cs="Arial"/>
          <w:color w:val="000000"/>
          <w:lang w:eastAsia="bg-BG"/>
        </w:rPr>
        <w:t xml:space="preserve">в продължение на 4 месеца или тамоксифен в продължение на 4 месеца. На изходно ниво всички пациенти са с тумор в стадий Т2-Т4с, </w:t>
      </w:r>
      <w:r w:rsidRPr="00E15137">
        <w:rPr>
          <w:rFonts w:eastAsia="Times New Roman" w:cs="Arial"/>
          <w:color w:val="000000"/>
          <w:lang w:val="en-US"/>
        </w:rPr>
        <w:t>N</w:t>
      </w:r>
      <w:r w:rsidRPr="00E15137">
        <w:rPr>
          <w:rFonts w:eastAsia="Times New Roman" w:cs="Arial"/>
          <w:color w:val="000000"/>
          <w:lang w:val="ru-RU"/>
        </w:rPr>
        <w:t xml:space="preserve">0-2, </w:t>
      </w:r>
      <w:r w:rsidRPr="00E15137">
        <w:rPr>
          <w:rFonts w:eastAsia="Times New Roman" w:cs="Arial"/>
          <w:color w:val="000000"/>
          <w:lang w:eastAsia="bg-BG"/>
        </w:rPr>
        <w:t xml:space="preserve">МО, </w:t>
      </w:r>
      <w:r w:rsidRPr="00E15137">
        <w:rPr>
          <w:rFonts w:eastAsia="Times New Roman" w:cs="Arial"/>
          <w:color w:val="000000"/>
          <w:lang w:val="en-US"/>
        </w:rPr>
        <w:t>ER</w:t>
      </w:r>
      <w:r w:rsidRPr="00E15137">
        <w:rPr>
          <w:rFonts w:eastAsia="Times New Roman" w:cs="Arial"/>
          <w:color w:val="000000"/>
          <w:lang w:val="ru-RU"/>
        </w:rPr>
        <w:t xml:space="preserve"> </w:t>
      </w:r>
      <w:r w:rsidRPr="00E15137">
        <w:rPr>
          <w:rFonts w:eastAsia="Times New Roman" w:cs="Arial"/>
          <w:color w:val="000000"/>
          <w:lang w:eastAsia="bg-BG"/>
        </w:rPr>
        <w:t xml:space="preserve">и/или </w:t>
      </w:r>
      <w:proofErr w:type="spellStart"/>
      <w:r w:rsidRPr="00E15137">
        <w:rPr>
          <w:rFonts w:eastAsia="Times New Roman" w:cs="Arial"/>
          <w:color w:val="000000"/>
          <w:lang w:val="en-US"/>
        </w:rPr>
        <w:t>PgR</w:t>
      </w:r>
      <w:proofErr w:type="spellEnd"/>
      <w:r w:rsidRPr="00E15137">
        <w:rPr>
          <w:rFonts w:eastAsia="Times New Roman" w:cs="Arial"/>
          <w:color w:val="000000"/>
          <w:lang w:eastAsia="bg-BG"/>
        </w:rPr>
        <w:t>-позитивен и нито един от пациентите не е преценен като подходяща за съхраняващо гърдата оперативно лечение. Въз основа на клиничната оценка е наблюдавано обективно повлияване при 55% от пациентите в рамото на летрозол, спрямо 36% в рамото на тамоксифен (Р&lt;0,001). Тази находка е потвърдена ехографски (летрозол 35% спрямо тамоксифен 25%, Р=0,04) и чрез мамография (летрозол 34% спрямо тамоксифен 16%, Р&lt;0,001). При общо 45% от пациентите в групата на летрозол спрямо 35% от пациентите от групата на тамоксифен (Р=0,02) е проведено съхраняващо гърдата оперативно лечение). По време на 4- месечния преоперативен период на лечение при 12% от пациентите, лекувани с летрозол и 17% от пациентите, лекувани с тамоксифен е установена прогресия на заболяването при клинична оценка.</w:t>
      </w:r>
    </w:p>
    <w:p w14:paraId="219D1EFF" w14:textId="77777777" w:rsidR="00E15137" w:rsidRDefault="00E15137" w:rsidP="00E15137">
      <w:pPr>
        <w:spacing w:line="240" w:lineRule="auto"/>
        <w:rPr>
          <w:rFonts w:eastAsia="Times New Roman" w:cs="Arial"/>
          <w:b/>
          <w:bCs/>
          <w:color w:val="000000"/>
          <w:u w:val="single"/>
          <w:lang w:eastAsia="bg-BG"/>
        </w:rPr>
      </w:pPr>
    </w:p>
    <w:p w14:paraId="6EA1D0BE" w14:textId="29725113" w:rsidR="00E15137" w:rsidRPr="00E15137" w:rsidRDefault="00E15137" w:rsidP="00E15137">
      <w:pPr>
        <w:spacing w:line="240" w:lineRule="auto"/>
        <w:rPr>
          <w:rFonts w:eastAsia="Times New Roman" w:cs="Arial"/>
        </w:rPr>
      </w:pPr>
      <w:r w:rsidRPr="00E15137">
        <w:rPr>
          <w:rFonts w:eastAsia="Times New Roman" w:cs="Arial"/>
          <w:b/>
          <w:bCs/>
          <w:color w:val="000000"/>
          <w:u w:val="single"/>
          <w:lang w:eastAsia="bg-BG"/>
        </w:rPr>
        <w:t>Терапия на първа линия</w:t>
      </w:r>
    </w:p>
    <w:p w14:paraId="50A39C25" w14:textId="77777777" w:rsidR="00E15137" w:rsidRDefault="00E15137" w:rsidP="00E15137">
      <w:pPr>
        <w:spacing w:line="240" w:lineRule="auto"/>
        <w:rPr>
          <w:rFonts w:eastAsia="Times New Roman" w:cs="Arial"/>
          <w:color w:val="000000"/>
          <w:lang w:eastAsia="bg-BG"/>
        </w:rPr>
      </w:pPr>
    </w:p>
    <w:p w14:paraId="50D1EB8E" w14:textId="23BACEFE"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Проведено е контролирано, двойно-сляпо проучване, сравняващо летрозол 2,5 </w:t>
      </w:r>
      <w:r w:rsidRPr="00E15137">
        <w:rPr>
          <w:rFonts w:eastAsia="Times New Roman" w:cs="Arial"/>
          <w:color w:val="000000"/>
          <w:lang w:val="en-US"/>
        </w:rPr>
        <w:t>mg</w:t>
      </w:r>
      <w:r w:rsidRPr="00E15137">
        <w:rPr>
          <w:rFonts w:eastAsia="Times New Roman" w:cs="Arial"/>
          <w:color w:val="000000"/>
          <w:lang w:val="ru-RU"/>
        </w:rPr>
        <w:t xml:space="preserve"> </w:t>
      </w:r>
      <w:r w:rsidRPr="00E15137">
        <w:rPr>
          <w:rFonts w:eastAsia="Times New Roman" w:cs="Arial"/>
          <w:color w:val="000000"/>
          <w:lang w:eastAsia="bg-BG"/>
        </w:rPr>
        <w:t xml:space="preserve">спрямо тамоксифен 20 </w:t>
      </w:r>
      <w:r w:rsidRPr="00E15137">
        <w:rPr>
          <w:rFonts w:eastAsia="Times New Roman" w:cs="Arial"/>
          <w:color w:val="000000"/>
          <w:lang w:val="en-US"/>
        </w:rPr>
        <w:t>mg</w:t>
      </w:r>
      <w:r w:rsidRPr="00E15137">
        <w:rPr>
          <w:rFonts w:eastAsia="Times New Roman" w:cs="Arial"/>
          <w:color w:val="000000"/>
          <w:lang w:val="ru-RU"/>
        </w:rPr>
        <w:t xml:space="preserve"> </w:t>
      </w:r>
      <w:r w:rsidRPr="00E15137">
        <w:rPr>
          <w:rFonts w:eastAsia="Times New Roman" w:cs="Arial"/>
          <w:color w:val="000000"/>
          <w:lang w:eastAsia="bg-BG"/>
        </w:rPr>
        <w:t>като първа линия на терапия при жени в менопауза с напреднал рак на гърдата. При 907 жени, летрозол превъзхождаше тамоксифен по отношение на времето до прогресия на заболяването (първична крайна точка), общия обективен отговор, времето до терапевтичен неуспех и клиничните ползи.</w:t>
      </w:r>
    </w:p>
    <w:p w14:paraId="2DD84120" w14:textId="77777777" w:rsidR="00E15137" w:rsidRDefault="00E15137" w:rsidP="00E15137">
      <w:pPr>
        <w:spacing w:line="240" w:lineRule="auto"/>
        <w:rPr>
          <w:rFonts w:eastAsia="Times New Roman" w:cs="Arial"/>
          <w:color w:val="000000"/>
          <w:lang w:eastAsia="bg-BG"/>
        </w:rPr>
      </w:pPr>
    </w:p>
    <w:p w14:paraId="20467B08" w14:textId="2FAA2849" w:rsidR="00E15137" w:rsidRPr="00E15137" w:rsidRDefault="00E15137" w:rsidP="00E15137">
      <w:pPr>
        <w:spacing w:line="240" w:lineRule="auto"/>
        <w:rPr>
          <w:rFonts w:eastAsia="Times New Roman" w:cs="Arial"/>
        </w:rPr>
      </w:pPr>
      <w:r w:rsidRPr="00E15137">
        <w:rPr>
          <w:rFonts w:eastAsia="Times New Roman" w:cs="Arial"/>
          <w:color w:val="000000"/>
          <w:lang w:eastAsia="bg-BG"/>
        </w:rPr>
        <w:t>Резултатите са обобщени в таблица 9.</w:t>
      </w:r>
    </w:p>
    <w:p w14:paraId="34DC0042" w14:textId="77777777" w:rsidR="00E15137" w:rsidRDefault="00E15137" w:rsidP="00E15137">
      <w:pPr>
        <w:spacing w:line="240" w:lineRule="auto"/>
        <w:rPr>
          <w:rFonts w:eastAsia="Times New Roman" w:cs="Arial"/>
          <w:b/>
          <w:bCs/>
          <w:color w:val="000000"/>
          <w:lang w:eastAsia="bg-BG"/>
        </w:rPr>
      </w:pPr>
    </w:p>
    <w:p w14:paraId="4AEAB095" w14:textId="5C4742D6" w:rsidR="00E15137" w:rsidRPr="00E15137" w:rsidRDefault="00E15137" w:rsidP="00E15137">
      <w:pPr>
        <w:spacing w:line="240" w:lineRule="auto"/>
        <w:rPr>
          <w:rFonts w:eastAsia="Times New Roman" w:cs="Arial"/>
        </w:rPr>
      </w:pPr>
      <w:r w:rsidRPr="00E15137">
        <w:rPr>
          <w:rFonts w:eastAsia="Times New Roman" w:cs="Arial"/>
          <w:b/>
          <w:bCs/>
          <w:color w:val="000000"/>
          <w:lang w:eastAsia="bg-BG"/>
        </w:rPr>
        <w:t>Таблица 9 Резултати при средно проследяване 32 месеца</w:t>
      </w:r>
    </w:p>
    <w:p w14:paraId="093959A0" w14:textId="7702A8C2" w:rsidR="00E15137" w:rsidRDefault="00E15137" w:rsidP="00E15137">
      <w:pPr>
        <w:rPr>
          <w:rFonts w:cs="Arial"/>
          <w:b/>
        </w:rPr>
      </w:pPr>
    </w:p>
    <w:tbl>
      <w:tblPr>
        <w:tblStyle w:val="TableGrid"/>
        <w:tblW w:w="0" w:type="auto"/>
        <w:tblLook w:val="04A0" w:firstRow="1" w:lastRow="0" w:firstColumn="1" w:lastColumn="0" w:noHBand="0" w:noVBand="1"/>
      </w:tblPr>
      <w:tblGrid>
        <w:gridCol w:w="2342"/>
        <w:gridCol w:w="2346"/>
        <w:gridCol w:w="2320"/>
        <w:gridCol w:w="2342"/>
      </w:tblGrid>
      <w:tr w:rsidR="00E15137" w14:paraId="1CAF38EA" w14:textId="77777777" w:rsidTr="00E15137">
        <w:tc>
          <w:tcPr>
            <w:tcW w:w="2394" w:type="dxa"/>
          </w:tcPr>
          <w:p w14:paraId="0EBAFC37" w14:textId="53A0612B" w:rsidR="00E15137" w:rsidRPr="00E15137" w:rsidRDefault="00E15137" w:rsidP="00E15137">
            <w:pPr>
              <w:rPr>
                <w:rFonts w:cs="Arial"/>
                <w:b/>
              </w:rPr>
            </w:pPr>
            <w:r w:rsidRPr="00E15137">
              <w:rPr>
                <w:b/>
                <w:bCs/>
              </w:rPr>
              <w:t>Променлива</w:t>
            </w:r>
          </w:p>
        </w:tc>
        <w:tc>
          <w:tcPr>
            <w:tcW w:w="2394" w:type="dxa"/>
          </w:tcPr>
          <w:p w14:paraId="366A7E35" w14:textId="4ABC9E44" w:rsidR="00E15137" w:rsidRPr="00E15137" w:rsidRDefault="00E15137" w:rsidP="00E15137">
            <w:pPr>
              <w:rPr>
                <w:rFonts w:cs="Arial"/>
                <w:b/>
              </w:rPr>
            </w:pPr>
            <w:r w:rsidRPr="00E15137">
              <w:rPr>
                <w:b/>
                <w:bCs/>
              </w:rPr>
              <w:t>Статистика</w:t>
            </w:r>
          </w:p>
        </w:tc>
        <w:tc>
          <w:tcPr>
            <w:tcW w:w="2394" w:type="dxa"/>
          </w:tcPr>
          <w:p w14:paraId="2E7881E2" w14:textId="411062E8" w:rsidR="00E15137" w:rsidRPr="00E15137" w:rsidRDefault="00E15137" w:rsidP="00E15137">
            <w:pPr>
              <w:rPr>
                <w:rFonts w:cs="Arial"/>
                <w:b/>
              </w:rPr>
            </w:pPr>
            <w:r w:rsidRPr="00E15137">
              <w:rPr>
                <w:b/>
                <w:bCs/>
              </w:rPr>
              <w:t xml:space="preserve">Летрозол </w:t>
            </w:r>
            <w:r w:rsidRPr="00E15137">
              <w:rPr>
                <w:b/>
                <w:bCs/>
                <w:lang w:val="en-US"/>
              </w:rPr>
              <w:t>N=453</w:t>
            </w:r>
          </w:p>
        </w:tc>
        <w:tc>
          <w:tcPr>
            <w:tcW w:w="2394" w:type="dxa"/>
          </w:tcPr>
          <w:p w14:paraId="601B91A4" w14:textId="2CAF2DB5" w:rsidR="00E15137" w:rsidRPr="00E15137" w:rsidRDefault="00E15137" w:rsidP="00E15137">
            <w:pPr>
              <w:rPr>
                <w:rFonts w:cs="Arial"/>
                <w:b/>
              </w:rPr>
            </w:pPr>
            <w:r w:rsidRPr="00E15137">
              <w:rPr>
                <w:b/>
                <w:bCs/>
              </w:rPr>
              <w:t xml:space="preserve">Тамоксифен </w:t>
            </w:r>
            <w:r w:rsidRPr="00E15137">
              <w:rPr>
                <w:b/>
                <w:bCs/>
                <w:lang w:val="en-US"/>
              </w:rPr>
              <w:t>N=454</w:t>
            </w:r>
          </w:p>
        </w:tc>
      </w:tr>
      <w:tr w:rsidR="00E15137" w14:paraId="3D2C5CFC" w14:textId="77777777" w:rsidTr="00E15137">
        <w:tc>
          <w:tcPr>
            <w:tcW w:w="2394" w:type="dxa"/>
            <w:vMerge w:val="restart"/>
          </w:tcPr>
          <w:p w14:paraId="092737E9" w14:textId="175870CD" w:rsidR="00E15137" w:rsidRPr="00E15137" w:rsidRDefault="00E15137" w:rsidP="00E15137">
            <w:pPr>
              <w:rPr>
                <w:rFonts w:cs="Arial"/>
                <w:b/>
              </w:rPr>
            </w:pPr>
            <w:r w:rsidRPr="00E15137">
              <w:rPr>
                <w:b/>
                <w:bCs/>
              </w:rPr>
              <w:t>Време до прогресия</w:t>
            </w:r>
          </w:p>
        </w:tc>
        <w:tc>
          <w:tcPr>
            <w:tcW w:w="2394" w:type="dxa"/>
          </w:tcPr>
          <w:p w14:paraId="4098A363" w14:textId="36EC179A" w:rsidR="00E15137" w:rsidRPr="00E15137" w:rsidRDefault="00E15137" w:rsidP="00E15137">
            <w:pPr>
              <w:rPr>
                <w:rFonts w:cs="Arial"/>
                <w:b/>
              </w:rPr>
            </w:pPr>
            <w:r w:rsidRPr="00E15137">
              <w:t xml:space="preserve">Медиана (95% </w:t>
            </w:r>
            <w:r w:rsidRPr="00E15137">
              <w:rPr>
                <w:lang w:val="en-US"/>
              </w:rPr>
              <w:t xml:space="preserve">CI </w:t>
            </w:r>
            <w:r w:rsidRPr="00E15137">
              <w:t>за медианата)</w:t>
            </w:r>
          </w:p>
        </w:tc>
        <w:tc>
          <w:tcPr>
            <w:tcW w:w="2394" w:type="dxa"/>
          </w:tcPr>
          <w:p w14:paraId="3AC0DA37" w14:textId="1A525274" w:rsidR="00E15137" w:rsidRPr="00E15137" w:rsidRDefault="00E15137" w:rsidP="00E15137">
            <w:pPr>
              <w:rPr>
                <w:rFonts w:cs="Arial"/>
                <w:b/>
              </w:rPr>
            </w:pPr>
            <w:r w:rsidRPr="00E15137">
              <w:rPr>
                <w:lang w:val="en-US"/>
              </w:rPr>
              <w:t xml:space="preserve">9,4 </w:t>
            </w:r>
            <w:r w:rsidRPr="00E15137">
              <w:t xml:space="preserve">месеца </w:t>
            </w:r>
            <w:r w:rsidRPr="00E15137">
              <w:rPr>
                <w:lang w:val="en-US"/>
              </w:rPr>
              <w:t xml:space="preserve">(8,9; 11,6 </w:t>
            </w:r>
            <w:r w:rsidRPr="00E15137">
              <w:t>месеца)</w:t>
            </w:r>
          </w:p>
        </w:tc>
        <w:tc>
          <w:tcPr>
            <w:tcW w:w="2394" w:type="dxa"/>
          </w:tcPr>
          <w:p w14:paraId="1380543D" w14:textId="6331E802" w:rsidR="00E15137" w:rsidRPr="00E15137" w:rsidRDefault="00E15137" w:rsidP="00E15137">
            <w:pPr>
              <w:rPr>
                <w:rFonts w:cs="Arial"/>
                <w:b/>
              </w:rPr>
            </w:pPr>
            <w:r w:rsidRPr="00E15137">
              <w:t>6,0 месеца (5,4; 6,3 месеца)</w:t>
            </w:r>
          </w:p>
        </w:tc>
      </w:tr>
      <w:tr w:rsidR="00E15137" w14:paraId="55B8F2F7" w14:textId="77777777" w:rsidTr="00E15137">
        <w:tc>
          <w:tcPr>
            <w:tcW w:w="2394" w:type="dxa"/>
            <w:vMerge/>
          </w:tcPr>
          <w:p w14:paraId="69F80B8E" w14:textId="77777777" w:rsidR="00E15137" w:rsidRPr="00E15137" w:rsidRDefault="00E15137" w:rsidP="00E15137">
            <w:pPr>
              <w:rPr>
                <w:rFonts w:cs="Arial"/>
                <w:b/>
              </w:rPr>
            </w:pPr>
          </w:p>
        </w:tc>
        <w:tc>
          <w:tcPr>
            <w:tcW w:w="2394" w:type="dxa"/>
          </w:tcPr>
          <w:p w14:paraId="6BE048E2" w14:textId="0C9E7397" w:rsidR="00E15137" w:rsidRPr="00E15137" w:rsidRDefault="00E15137" w:rsidP="00E15137">
            <w:pPr>
              <w:rPr>
                <w:rFonts w:cs="Arial"/>
                <w:b/>
              </w:rPr>
            </w:pPr>
            <w:r w:rsidRPr="00E15137">
              <w:t xml:space="preserve">Коефициент на риск </w:t>
            </w:r>
            <w:r w:rsidRPr="00E15137">
              <w:rPr>
                <w:lang w:val="en-US"/>
              </w:rPr>
              <w:t>(HR)</w:t>
            </w:r>
          </w:p>
        </w:tc>
        <w:tc>
          <w:tcPr>
            <w:tcW w:w="2394" w:type="dxa"/>
          </w:tcPr>
          <w:p w14:paraId="16590170" w14:textId="77777777" w:rsidR="00E15137" w:rsidRPr="00E15137" w:rsidRDefault="00E15137" w:rsidP="00E15137">
            <w:pPr>
              <w:rPr>
                <w:rFonts w:cs="Arial"/>
                <w:b/>
              </w:rPr>
            </w:pPr>
          </w:p>
        </w:tc>
        <w:tc>
          <w:tcPr>
            <w:tcW w:w="2394" w:type="dxa"/>
          </w:tcPr>
          <w:p w14:paraId="6F98D890" w14:textId="35C519AF" w:rsidR="00E15137" w:rsidRPr="00E15137" w:rsidRDefault="00E15137" w:rsidP="00E15137">
            <w:pPr>
              <w:rPr>
                <w:rFonts w:cs="Arial"/>
                <w:b/>
              </w:rPr>
            </w:pPr>
            <w:r w:rsidRPr="00E15137">
              <w:t>0,72</w:t>
            </w:r>
          </w:p>
        </w:tc>
      </w:tr>
      <w:tr w:rsidR="00E15137" w14:paraId="41A00ADA" w14:textId="77777777" w:rsidTr="00E15137">
        <w:tc>
          <w:tcPr>
            <w:tcW w:w="2394" w:type="dxa"/>
            <w:vMerge/>
          </w:tcPr>
          <w:p w14:paraId="334DC1E0" w14:textId="77777777" w:rsidR="00E15137" w:rsidRPr="00E15137" w:rsidRDefault="00E15137" w:rsidP="00E15137">
            <w:pPr>
              <w:rPr>
                <w:rFonts w:cs="Arial"/>
                <w:b/>
              </w:rPr>
            </w:pPr>
          </w:p>
        </w:tc>
        <w:tc>
          <w:tcPr>
            <w:tcW w:w="2394" w:type="dxa"/>
          </w:tcPr>
          <w:p w14:paraId="4913878A" w14:textId="65772065" w:rsidR="00E15137" w:rsidRPr="00E15137" w:rsidRDefault="00E15137" w:rsidP="00E15137">
            <w:pPr>
              <w:rPr>
                <w:rFonts w:cs="Arial"/>
                <w:b/>
              </w:rPr>
            </w:pPr>
            <w:r w:rsidRPr="00E15137">
              <w:t xml:space="preserve">(95% </w:t>
            </w:r>
            <w:r w:rsidRPr="00E15137">
              <w:rPr>
                <w:lang w:val="en-US"/>
              </w:rPr>
              <w:t>CI for HR) P</w:t>
            </w:r>
          </w:p>
        </w:tc>
        <w:tc>
          <w:tcPr>
            <w:tcW w:w="2394" w:type="dxa"/>
          </w:tcPr>
          <w:p w14:paraId="0D4398D2" w14:textId="77777777" w:rsidR="00E15137" w:rsidRPr="00E15137" w:rsidRDefault="00E15137" w:rsidP="00E15137">
            <w:pPr>
              <w:rPr>
                <w:rFonts w:cs="Arial"/>
                <w:b/>
              </w:rPr>
            </w:pPr>
          </w:p>
        </w:tc>
        <w:tc>
          <w:tcPr>
            <w:tcW w:w="2394" w:type="dxa"/>
          </w:tcPr>
          <w:p w14:paraId="754A620A" w14:textId="2622AA05" w:rsidR="00E15137" w:rsidRPr="00E15137" w:rsidRDefault="00E15137" w:rsidP="00E15137">
            <w:pPr>
              <w:rPr>
                <w:rFonts w:cs="Arial"/>
                <w:b/>
              </w:rPr>
            </w:pPr>
            <w:r w:rsidRPr="00E15137">
              <w:t>(0,62; 0,83) &lt; 0.0001</w:t>
            </w:r>
          </w:p>
        </w:tc>
      </w:tr>
      <w:tr w:rsidR="00E15137" w14:paraId="0DBD9A35" w14:textId="77777777" w:rsidTr="00E15137">
        <w:tc>
          <w:tcPr>
            <w:tcW w:w="2394" w:type="dxa"/>
            <w:vMerge w:val="restart"/>
          </w:tcPr>
          <w:p w14:paraId="33CD125B" w14:textId="1AE147CD" w:rsidR="00E15137" w:rsidRPr="00E15137" w:rsidRDefault="00E15137" w:rsidP="00E15137">
            <w:pPr>
              <w:rPr>
                <w:rFonts w:cs="Arial"/>
                <w:b/>
              </w:rPr>
            </w:pPr>
            <w:r w:rsidRPr="00E15137">
              <w:rPr>
                <w:b/>
                <w:bCs/>
              </w:rPr>
              <w:t xml:space="preserve">Честота на обективен отговор </w:t>
            </w:r>
            <w:r w:rsidRPr="00E15137">
              <w:rPr>
                <w:b/>
                <w:bCs/>
                <w:lang w:val="ru-RU"/>
              </w:rPr>
              <w:t>(</w:t>
            </w:r>
            <w:r w:rsidRPr="00E15137">
              <w:rPr>
                <w:b/>
                <w:bCs/>
                <w:lang w:val="en-US"/>
              </w:rPr>
              <w:t>ORR</w:t>
            </w:r>
            <w:r w:rsidRPr="00E15137">
              <w:rPr>
                <w:b/>
                <w:bCs/>
                <w:lang w:val="ru-RU"/>
              </w:rPr>
              <w:t>)</w:t>
            </w:r>
          </w:p>
        </w:tc>
        <w:tc>
          <w:tcPr>
            <w:tcW w:w="2394" w:type="dxa"/>
          </w:tcPr>
          <w:p w14:paraId="5D45F9A2" w14:textId="4F8C4FF9" w:rsidR="00E15137" w:rsidRPr="00E15137" w:rsidRDefault="00E15137" w:rsidP="00E15137">
            <w:pPr>
              <w:rPr>
                <w:rFonts w:cs="Arial"/>
                <w:b/>
              </w:rPr>
            </w:pPr>
            <w:r w:rsidRPr="00E15137">
              <w:rPr>
                <w:lang w:val="en-US"/>
              </w:rPr>
              <w:t>CR+PR</w:t>
            </w:r>
          </w:p>
        </w:tc>
        <w:tc>
          <w:tcPr>
            <w:tcW w:w="2394" w:type="dxa"/>
          </w:tcPr>
          <w:p w14:paraId="6086AE1E" w14:textId="54E4EEC1" w:rsidR="00E15137" w:rsidRPr="00E15137" w:rsidRDefault="00E15137" w:rsidP="00E15137">
            <w:pPr>
              <w:rPr>
                <w:rFonts w:cs="Arial"/>
                <w:b/>
              </w:rPr>
            </w:pPr>
            <w:r w:rsidRPr="00E15137">
              <w:rPr>
                <w:lang w:val="en-US"/>
              </w:rPr>
              <w:t>145 (32%)</w:t>
            </w:r>
          </w:p>
        </w:tc>
        <w:tc>
          <w:tcPr>
            <w:tcW w:w="2394" w:type="dxa"/>
          </w:tcPr>
          <w:p w14:paraId="29D28ED0" w14:textId="6DA84025" w:rsidR="00E15137" w:rsidRPr="00E15137" w:rsidRDefault="00E15137" w:rsidP="00E15137">
            <w:pPr>
              <w:rPr>
                <w:rFonts w:cs="Arial"/>
                <w:b/>
              </w:rPr>
            </w:pPr>
            <w:r w:rsidRPr="00E15137">
              <w:t>95 (21%)</w:t>
            </w:r>
          </w:p>
        </w:tc>
      </w:tr>
      <w:tr w:rsidR="00E15137" w14:paraId="14A248EF" w14:textId="77777777" w:rsidTr="00E15137">
        <w:tc>
          <w:tcPr>
            <w:tcW w:w="2394" w:type="dxa"/>
            <w:vMerge/>
          </w:tcPr>
          <w:p w14:paraId="3DD19229" w14:textId="77777777" w:rsidR="00E15137" w:rsidRPr="00E15137" w:rsidRDefault="00E15137" w:rsidP="00E15137">
            <w:pPr>
              <w:rPr>
                <w:rFonts w:cs="Arial"/>
                <w:b/>
              </w:rPr>
            </w:pPr>
          </w:p>
        </w:tc>
        <w:tc>
          <w:tcPr>
            <w:tcW w:w="2394" w:type="dxa"/>
          </w:tcPr>
          <w:p w14:paraId="2BE0FD7F" w14:textId="6AB1CA11" w:rsidR="00E15137" w:rsidRPr="00E15137" w:rsidRDefault="00E15137" w:rsidP="00E15137">
            <w:pPr>
              <w:rPr>
                <w:rFonts w:cs="Arial"/>
                <w:b/>
              </w:rPr>
            </w:pPr>
            <w:r w:rsidRPr="00E15137">
              <w:rPr>
                <w:lang w:val="ru-RU"/>
              </w:rPr>
              <w:t xml:space="preserve">(95% </w:t>
            </w:r>
            <w:r w:rsidRPr="00E15137">
              <w:rPr>
                <w:lang w:val="en-US"/>
              </w:rPr>
              <w:t>CI</w:t>
            </w:r>
            <w:r w:rsidRPr="00E15137">
              <w:rPr>
                <w:lang w:val="ru-RU"/>
              </w:rPr>
              <w:t xml:space="preserve"> </w:t>
            </w:r>
            <w:r w:rsidRPr="00E15137">
              <w:t>за честотата) Съотношение на шансовете</w:t>
            </w:r>
          </w:p>
        </w:tc>
        <w:tc>
          <w:tcPr>
            <w:tcW w:w="2394" w:type="dxa"/>
          </w:tcPr>
          <w:p w14:paraId="7169B95D" w14:textId="41A1ED7B" w:rsidR="00E15137" w:rsidRPr="00E15137" w:rsidRDefault="00E15137" w:rsidP="00E15137">
            <w:pPr>
              <w:rPr>
                <w:rFonts w:cs="Arial"/>
                <w:b/>
              </w:rPr>
            </w:pPr>
            <w:r w:rsidRPr="00E15137">
              <w:rPr>
                <w:lang w:val="en-US"/>
              </w:rPr>
              <w:t>(28, 36%)</w:t>
            </w:r>
          </w:p>
        </w:tc>
        <w:tc>
          <w:tcPr>
            <w:tcW w:w="2394" w:type="dxa"/>
          </w:tcPr>
          <w:p w14:paraId="7C205275" w14:textId="77777777" w:rsidR="00E15137" w:rsidRPr="00E15137" w:rsidRDefault="00E15137" w:rsidP="00E15137">
            <w:r w:rsidRPr="00E15137">
              <w:t>(17,25%)</w:t>
            </w:r>
          </w:p>
          <w:p w14:paraId="7FF928E1" w14:textId="7F085D58" w:rsidR="00E15137" w:rsidRPr="00E15137" w:rsidRDefault="00E15137" w:rsidP="00E15137">
            <w:pPr>
              <w:rPr>
                <w:rFonts w:cs="Arial"/>
                <w:b/>
              </w:rPr>
            </w:pPr>
            <w:r w:rsidRPr="00E15137">
              <w:t>1.78</w:t>
            </w:r>
          </w:p>
        </w:tc>
      </w:tr>
      <w:tr w:rsidR="00E15137" w14:paraId="3BE73735" w14:textId="77777777" w:rsidTr="00E15137">
        <w:tc>
          <w:tcPr>
            <w:tcW w:w="2394" w:type="dxa"/>
            <w:vMerge/>
          </w:tcPr>
          <w:p w14:paraId="30D4C2C8" w14:textId="77777777" w:rsidR="00E15137" w:rsidRPr="00E15137" w:rsidRDefault="00E15137" w:rsidP="00E15137">
            <w:pPr>
              <w:rPr>
                <w:rFonts w:cs="Arial"/>
                <w:b/>
              </w:rPr>
            </w:pPr>
          </w:p>
        </w:tc>
        <w:tc>
          <w:tcPr>
            <w:tcW w:w="2394" w:type="dxa"/>
          </w:tcPr>
          <w:p w14:paraId="6D4130D8" w14:textId="7EF1E922" w:rsidR="00E15137" w:rsidRPr="00E15137" w:rsidRDefault="00E15137" w:rsidP="00E15137">
            <w:pPr>
              <w:rPr>
                <w:rFonts w:cs="Arial"/>
                <w:b/>
              </w:rPr>
            </w:pPr>
            <w:r w:rsidRPr="00E15137">
              <w:t xml:space="preserve">(95% </w:t>
            </w:r>
            <w:r w:rsidRPr="00E15137">
              <w:rPr>
                <w:lang w:val="en-US"/>
              </w:rPr>
              <w:t>CI for odds ratio) P</w:t>
            </w:r>
          </w:p>
        </w:tc>
        <w:tc>
          <w:tcPr>
            <w:tcW w:w="2394" w:type="dxa"/>
          </w:tcPr>
          <w:p w14:paraId="78FBC587" w14:textId="77777777" w:rsidR="00E15137" w:rsidRPr="00E15137" w:rsidRDefault="00E15137" w:rsidP="00E15137">
            <w:pPr>
              <w:rPr>
                <w:rFonts w:cs="Arial"/>
                <w:b/>
              </w:rPr>
            </w:pPr>
          </w:p>
        </w:tc>
        <w:tc>
          <w:tcPr>
            <w:tcW w:w="2394" w:type="dxa"/>
          </w:tcPr>
          <w:p w14:paraId="6DD5BE02" w14:textId="2189BA69" w:rsidR="00E15137" w:rsidRPr="00E15137" w:rsidRDefault="00E15137" w:rsidP="00E15137">
            <w:pPr>
              <w:rPr>
                <w:rFonts w:cs="Arial"/>
                <w:b/>
              </w:rPr>
            </w:pPr>
            <w:r w:rsidRPr="00E15137">
              <w:t xml:space="preserve">(1,32,2,40) </w:t>
            </w:r>
            <w:r w:rsidRPr="00E15137">
              <w:rPr>
                <w:u w:val="single"/>
              </w:rPr>
              <w:t>0,0002</w:t>
            </w:r>
          </w:p>
        </w:tc>
      </w:tr>
    </w:tbl>
    <w:p w14:paraId="3C1110F0" w14:textId="3BC107C4" w:rsidR="00E15137" w:rsidRDefault="00E15137" w:rsidP="00E15137">
      <w:pPr>
        <w:rPr>
          <w:rFonts w:cs="Arial"/>
          <w:b/>
        </w:rPr>
      </w:pPr>
    </w:p>
    <w:p w14:paraId="7753B7D3" w14:textId="27FA94ED" w:rsidR="00E15137" w:rsidRDefault="00E15137" w:rsidP="00E15137">
      <w:r w:rsidRPr="00E15137">
        <w:t>Времето до прогресия е значително по-дълго и честотата на терапевтично повлияване е значително по-висока при летрозол, независимо от това, дали е прилагана или не адювантна антиестрогенна терапия. Времето до прогресия на заболяването е сигнификантно по-дълго за летрозол, независимо от основната локализация на заболяването. Средната стойност на времето до прогресия е 12,1 месеца при летрозол и 6,4 месеца при тамоксифен при пациенти само със заболяване на меките тъкани, и медиана 8,3 месеца при летрозол и 4,6 месеца при тамоксифен при пациенти с висцерални метастази.</w:t>
      </w:r>
    </w:p>
    <w:p w14:paraId="533015A6" w14:textId="76BB5B11" w:rsidR="00E15137" w:rsidRDefault="00E15137" w:rsidP="00E15137"/>
    <w:p w14:paraId="700BA596" w14:textId="77777777" w:rsidR="00E15137" w:rsidRPr="00E15137" w:rsidRDefault="00E15137" w:rsidP="00E15137">
      <w:pPr>
        <w:spacing w:line="240" w:lineRule="auto"/>
        <w:rPr>
          <w:rFonts w:eastAsia="Times New Roman" w:cs="Arial"/>
        </w:rPr>
      </w:pPr>
      <w:r w:rsidRPr="00E15137">
        <w:rPr>
          <w:rFonts w:eastAsia="Times New Roman" w:cs="Arial"/>
          <w:color w:val="000000"/>
          <w:lang w:eastAsia="bg-BG"/>
        </w:rPr>
        <w:t>При прогресия на заболяването дизайнът на проучването позволява преминаване на пациентите на друга терапия или прекратяване на участието в проучването. Приблизително 50% от пациентите преминават в другото терапевтично рамото, като преминаването завършва на практика до 36 месеца. Средното време до преминаване на друга терапия е 17 месеца (от летрозол на тамоксифен) и 13 месеца (от тамоксифен на летрозол).</w:t>
      </w:r>
    </w:p>
    <w:p w14:paraId="6DCD520A" w14:textId="77777777" w:rsidR="00E15137" w:rsidRDefault="00E15137" w:rsidP="00E15137">
      <w:pPr>
        <w:spacing w:line="240" w:lineRule="auto"/>
        <w:rPr>
          <w:rFonts w:eastAsia="Times New Roman" w:cs="Arial"/>
          <w:color w:val="000000"/>
          <w:lang w:eastAsia="bg-BG"/>
        </w:rPr>
      </w:pPr>
    </w:p>
    <w:p w14:paraId="09DC669A" w14:textId="142BC265"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Лечението с летрозол като първа линия терапия за рак на гърдата в напреднал стадий доведе до средна преживяемост 34 месеца, в сравнение с 30 месеца за тамоксифен </w:t>
      </w:r>
      <w:r w:rsidRPr="00E15137">
        <w:rPr>
          <w:rFonts w:eastAsia="Times New Roman" w:cs="Arial"/>
          <w:color w:val="000000"/>
          <w:lang w:val="ru-RU"/>
        </w:rPr>
        <w:t>(</w:t>
      </w:r>
      <w:proofErr w:type="spellStart"/>
      <w:r w:rsidRPr="00E15137">
        <w:rPr>
          <w:rFonts w:eastAsia="Times New Roman" w:cs="Arial"/>
          <w:color w:val="000000"/>
          <w:lang w:val="en-US"/>
        </w:rPr>
        <w:t>logrank</w:t>
      </w:r>
      <w:proofErr w:type="spellEnd"/>
      <w:r w:rsidRPr="00E15137">
        <w:rPr>
          <w:rFonts w:eastAsia="Times New Roman" w:cs="Arial"/>
          <w:color w:val="000000"/>
          <w:lang w:val="ru-RU"/>
        </w:rPr>
        <w:t xml:space="preserve"> </w:t>
      </w:r>
      <w:r w:rsidRPr="00E15137">
        <w:rPr>
          <w:rFonts w:eastAsia="Times New Roman" w:cs="Arial"/>
          <w:color w:val="000000"/>
          <w:lang w:eastAsia="bg-BG"/>
        </w:rPr>
        <w:t>тест Р=0,53, несигнификантно). Липсата на предимства за летрозол по отношение на общата преживяемост може да бъде обяснена с кръстосания дизайн на проучването.</w:t>
      </w:r>
    </w:p>
    <w:p w14:paraId="0C2D94FB" w14:textId="77777777" w:rsidR="00E15137" w:rsidRDefault="00E15137" w:rsidP="00E15137">
      <w:pPr>
        <w:spacing w:line="240" w:lineRule="auto"/>
        <w:rPr>
          <w:rFonts w:eastAsia="Times New Roman" w:cs="Arial"/>
          <w:b/>
          <w:bCs/>
          <w:color w:val="000000"/>
          <w:u w:val="single"/>
          <w:lang w:eastAsia="bg-BG"/>
        </w:rPr>
      </w:pPr>
    </w:p>
    <w:p w14:paraId="6758E634" w14:textId="78D1300F" w:rsidR="00E15137" w:rsidRPr="00E15137" w:rsidRDefault="00E15137" w:rsidP="00E15137">
      <w:pPr>
        <w:spacing w:line="240" w:lineRule="auto"/>
        <w:rPr>
          <w:rFonts w:eastAsia="Times New Roman" w:cs="Arial"/>
        </w:rPr>
      </w:pPr>
      <w:r w:rsidRPr="00E15137">
        <w:rPr>
          <w:rFonts w:eastAsia="Times New Roman" w:cs="Arial"/>
          <w:b/>
          <w:bCs/>
          <w:color w:val="000000"/>
          <w:u w:val="single"/>
          <w:lang w:eastAsia="bg-BG"/>
        </w:rPr>
        <w:t>Терапия на втора линия</w:t>
      </w:r>
    </w:p>
    <w:p w14:paraId="171260CB" w14:textId="77777777" w:rsidR="00E15137" w:rsidRDefault="00E15137" w:rsidP="00E15137">
      <w:pPr>
        <w:spacing w:line="240" w:lineRule="auto"/>
        <w:rPr>
          <w:rFonts w:eastAsia="Times New Roman" w:cs="Arial"/>
          <w:color w:val="000000"/>
          <w:lang w:eastAsia="bg-BG"/>
        </w:rPr>
      </w:pPr>
    </w:p>
    <w:p w14:paraId="588444F0" w14:textId="4BB91974"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Проведени са две контролирани клинични проучвания, сравняващи две дози летрозол (0,5 </w:t>
      </w:r>
      <w:r w:rsidRPr="00E15137">
        <w:rPr>
          <w:rFonts w:eastAsia="Times New Roman" w:cs="Arial"/>
          <w:color w:val="000000"/>
          <w:lang w:val="en-US"/>
        </w:rPr>
        <w:t>mg</w:t>
      </w:r>
      <w:r w:rsidRPr="00E15137">
        <w:rPr>
          <w:rFonts w:eastAsia="Times New Roman" w:cs="Arial"/>
          <w:color w:val="000000"/>
          <w:lang w:val="ru-RU"/>
        </w:rPr>
        <w:t xml:space="preserve"> </w:t>
      </w:r>
      <w:r w:rsidRPr="00E15137">
        <w:rPr>
          <w:rFonts w:eastAsia="Times New Roman" w:cs="Arial"/>
          <w:color w:val="000000"/>
          <w:lang w:eastAsia="bg-BG"/>
        </w:rPr>
        <w:t xml:space="preserve">и 2,5 </w:t>
      </w:r>
      <w:r w:rsidRPr="00E15137">
        <w:rPr>
          <w:rFonts w:eastAsia="Times New Roman" w:cs="Arial"/>
          <w:color w:val="000000"/>
          <w:lang w:val="en-US"/>
        </w:rPr>
        <w:t>mg</w:t>
      </w:r>
      <w:r w:rsidRPr="00E15137">
        <w:rPr>
          <w:rFonts w:eastAsia="Times New Roman" w:cs="Arial"/>
          <w:color w:val="000000"/>
          <w:lang w:val="ru-RU"/>
        </w:rPr>
        <w:t xml:space="preserve">) </w:t>
      </w:r>
      <w:r w:rsidRPr="00E15137">
        <w:rPr>
          <w:rFonts w:eastAsia="Times New Roman" w:cs="Arial"/>
          <w:color w:val="000000"/>
          <w:lang w:eastAsia="bg-BG"/>
        </w:rPr>
        <w:t>с мегестрол ацетат и съответно с аминоглутетимид при жени в постменопауза с рак на гърдата в напреднал стадий, лекувани преди това с антиестрогени.</w:t>
      </w:r>
    </w:p>
    <w:p w14:paraId="2F4DB7E1" w14:textId="77777777" w:rsidR="00E15137" w:rsidRDefault="00E15137" w:rsidP="00E15137">
      <w:pPr>
        <w:spacing w:line="240" w:lineRule="auto"/>
        <w:rPr>
          <w:rFonts w:eastAsia="Times New Roman" w:cs="Arial"/>
          <w:color w:val="000000"/>
          <w:lang w:eastAsia="bg-BG"/>
        </w:rPr>
      </w:pPr>
    </w:p>
    <w:p w14:paraId="6555822D" w14:textId="37180392"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Времето до прогресия на заболяването не се различава съществено между летрозол 2,5 </w:t>
      </w:r>
      <w:r w:rsidRPr="00E15137">
        <w:rPr>
          <w:rFonts w:eastAsia="Times New Roman" w:cs="Arial"/>
          <w:color w:val="000000"/>
          <w:lang w:val="en-US"/>
        </w:rPr>
        <w:t>mg</w:t>
      </w:r>
      <w:r w:rsidRPr="00E15137">
        <w:rPr>
          <w:rFonts w:eastAsia="Times New Roman" w:cs="Arial"/>
          <w:color w:val="000000"/>
          <w:lang w:val="ru-RU"/>
        </w:rPr>
        <w:t xml:space="preserve"> </w:t>
      </w:r>
      <w:r w:rsidRPr="00E15137">
        <w:rPr>
          <w:rFonts w:eastAsia="Times New Roman" w:cs="Arial"/>
          <w:color w:val="000000"/>
          <w:lang w:eastAsia="bg-BG"/>
        </w:rPr>
        <w:t xml:space="preserve">и мегестрол ацетат (Р=0,07). Статистически значими различия се наблюдават в полза на летрозол 2,5 </w:t>
      </w:r>
      <w:r w:rsidRPr="00E15137">
        <w:rPr>
          <w:rFonts w:eastAsia="Times New Roman" w:cs="Arial"/>
          <w:color w:val="000000"/>
          <w:lang w:val="en-US"/>
        </w:rPr>
        <w:t>mg</w:t>
      </w:r>
      <w:r w:rsidRPr="00E15137">
        <w:rPr>
          <w:rFonts w:eastAsia="Times New Roman" w:cs="Arial"/>
          <w:color w:val="000000"/>
          <w:lang w:val="ru-RU"/>
        </w:rPr>
        <w:t xml:space="preserve"> </w:t>
      </w:r>
      <w:r w:rsidRPr="00E15137">
        <w:rPr>
          <w:rFonts w:eastAsia="Times New Roman" w:cs="Arial"/>
          <w:color w:val="000000"/>
          <w:lang w:eastAsia="bg-BG"/>
        </w:rPr>
        <w:t>в сравнение с мегестрол ацетат в степента на общия обективен туморен отговор (24% спрямо 16%, Р=0,04), и във времето до настъпване на терапевтичен неуспех (Р=0,004). Общата преживяемост не се различава значително между двете рамена (Р=0,02).</w:t>
      </w:r>
    </w:p>
    <w:p w14:paraId="704EEB79" w14:textId="77777777" w:rsidR="00E15137" w:rsidRDefault="00E15137" w:rsidP="00E15137">
      <w:pPr>
        <w:rPr>
          <w:rFonts w:eastAsia="Times New Roman" w:cs="Arial"/>
          <w:color w:val="000000"/>
          <w:lang w:eastAsia="bg-BG"/>
        </w:rPr>
      </w:pPr>
    </w:p>
    <w:p w14:paraId="0CA18C3F" w14:textId="53940349" w:rsidR="00E15137" w:rsidRPr="00E15137" w:rsidRDefault="00E15137" w:rsidP="00E15137">
      <w:pPr>
        <w:rPr>
          <w:rFonts w:cs="Arial"/>
          <w:b/>
        </w:rPr>
      </w:pPr>
      <w:r w:rsidRPr="00E15137">
        <w:rPr>
          <w:rFonts w:eastAsia="Times New Roman" w:cs="Arial"/>
          <w:color w:val="000000"/>
          <w:lang w:eastAsia="bg-BG"/>
        </w:rPr>
        <w:t xml:space="preserve">Във второто проучване, степента на отговор не показва статистически значима разлика между летрозол 2,5 </w:t>
      </w:r>
      <w:r w:rsidRPr="00E15137">
        <w:rPr>
          <w:rFonts w:eastAsia="Times New Roman" w:cs="Arial"/>
          <w:color w:val="000000"/>
          <w:lang w:val="en-US"/>
        </w:rPr>
        <w:t>mg</w:t>
      </w:r>
      <w:r w:rsidRPr="00E15137">
        <w:rPr>
          <w:rFonts w:eastAsia="Times New Roman" w:cs="Arial"/>
          <w:color w:val="000000"/>
          <w:lang w:val="ru-RU"/>
        </w:rPr>
        <w:t xml:space="preserve"> </w:t>
      </w:r>
      <w:r w:rsidRPr="00E15137">
        <w:rPr>
          <w:rFonts w:eastAsia="Times New Roman" w:cs="Arial"/>
          <w:color w:val="000000"/>
          <w:lang w:eastAsia="bg-BG"/>
        </w:rPr>
        <w:t xml:space="preserve">и аминоглутетимид (Р=0,06). Летрозол 2,5 </w:t>
      </w:r>
      <w:r w:rsidRPr="00E15137">
        <w:rPr>
          <w:rFonts w:eastAsia="Times New Roman" w:cs="Arial"/>
          <w:color w:val="000000"/>
          <w:lang w:val="en-US"/>
        </w:rPr>
        <w:t>mg</w:t>
      </w:r>
      <w:r w:rsidRPr="00E15137">
        <w:rPr>
          <w:rFonts w:eastAsia="Times New Roman" w:cs="Arial"/>
          <w:color w:val="000000"/>
          <w:lang w:val="ru-RU"/>
        </w:rPr>
        <w:t xml:space="preserve"> </w:t>
      </w:r>
      <w:r w:rsidRPr="00E15137">
        <w:rPr>
          <w:rFonts w:eastAsia="Times New Roman" w:cs="Arial"/>
          <w:color w:val="000000"/>
          <w:lang w:eastAsia="bg-BG"/>
        </w:rPr>
        <w:t xml:space="preserve">превъзхожда статистически аминоглутетимид по отношение на времето до прогресия на заболяването (Р=0,008), времето до терапевтичен неуспех </w:t>
      </w:r>
      <w:r w:rsidRPr="00E15137">
        <w:rPr>
          <w:rFonts w:eastAsia="Times New Roman" w:cs="Arial"/>
          <w:i/>
          <w:iCs/>
          <w:color w:val="000000"/>
          <w:lang w:eastAsia="bg-BG"/>
        </w:rPr>
        <w:t>(Р=0,003)</w:t>
      </w:r>
      <w:r w:rsidRPr="00E15137">
        <w:rPr>
          <w:rFonts w:eastAsia="Times New Roman" w:cs="Arial"/>
          <w:color w:val="000000"/>
          <w:lang w:eastAsia="bg-BG"/>
        </w:rPr>
        <w:t xml:space="preserve"> и общата преживяемост (</w:t>
      </w:r>
      <w:r w:rsidRPr="00E15137">
        <w:rPr>
          <w:rFonts w:eastAsia="Times New Roman" w:cs="Arial"/>
          <w:color w:val="000000"/>
          <w:lang w:val="en-US"/>
        </w:rPr>
        <w:t>p</w:t>
      </w:r>
      <w:r w:rsidRPr="00E15137">
        <w:rPr>
          <w:rFonts w:eastAsia="Times New Roman" w:cs="Arial"/>
          <w:color w:val="000000"/>
          <w:lang w:eastAsia="bg-BG"/>
        </w:rPr>
        <w:t>=0,002).</w:t>
      </w:r>
    </w:p>
    <w:p w14:paraId="5A87DBA3" w14:textId="1FC2F5C7" w:rsidR="007122AD" w:rsidRPr="007122AD" w:rsidRDefault="002C50EE" w:rsidP="00936AD0">
      <w:pPr>
        <w:pStyle w:val="Heading2"/>
      </w:pPr>
      <w:r>
        <w:lastRenderedPageBreak/>
        <w:t>4.9. Предозиране</w:t>
      </w:r>
    </w:p>
    <w:p w14:paraId="02081B24" w14:textId="1F46E296" w:rsidR="00395555" w:rsidRPr="00395555" w:rsidRDefault="002C50EE" w:rsidP="008A6AF2">
      <w:pPr>
        <w:pStyle w:val="Heading1"/>
      </w:pPr>
      <w:r>
        <w:t>5. ФАРМАКОЛОГИЧНИ СВОЙСТВА</w:t>
      </w:r>
    </w:p>
    <w:p w14:paraId="7DE36AC8" w14:textId="75422EBC" w:rsidR="00B6672E" w:rsidRPr="007122AD" w:rsidRDefault="002C50EE" w:rsidP="00936AD0">
      <w:pPr>
        <w:pStyle w:val="Heading2"/>
      </w:pPr>
      <w:r>
        <w:t>5.1. Фармакодинамични свойства</w:t>
      </w:r>
    </w:p>
    <w:p w14:paraId="78DD93AA" w14:textId="1EAC66A3" w:rsidR="00B6672E" w:rsidRDefault="002C50EE" w:rsidP="00936AD0">
      <w:pPr>
        <w:pStyle w:val="Heading2"/>
      </w:pPr>
      <w:r>
        <w:t>5.2. Фармакокинетични свойства</w:t>
      </w:r>
    </w:p>
    <w:p w14:paraId="56EA416C" w14:textId="73DCADA3" w:rsidR="00E15137" w:rsidRDefault="00E15137" w:rsidP="00E15137"/>
    <w:p w14:paraId="2C6D2EDD" w14:textId="77777777" w:rsidR="00E15137" w:rsidRPr="00E15137" w:rsidRDefault="00E15137" w:rsidP="00E15137">
      <w:pPr>
        <w:pStyle w:val="Heading3"/>
        <w:rPr>
          <w:rFonts w:eastAsia="Times New Roman"/>
          <w:u w:val="single"/>
        </w:rPr>
      </w:pPr>
      <w:r w:rsidRPr="00E15137">
        <w:rPr>
          <w:rFonts w:eastAsia="Times New Roman"/>
          <w:u w:val="single"/>
          <w:lang w:eastAsia="bg-BG"/>
        </w:rPr>
        <w:t>Абсорбция</w:t>
      </w:r>
    </w:p>
    <w:p w14:paraId="73AB8F67" w14:textId="77777777"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Летрозол се абсорбира бързо и изцяло в стомашно-чревно тракт (средна абсолютна бионаличност 99,9%). Храната леко понижава степента на абсорбция (средно </w:t>
      </w:r>
      <w:proofErr w:type="spellStart"/>
      <w:r w:rsidRPr="00E15137">
        <w:rPr>
          <w:rFonts w:eastAsia="Times New Roman" w:cs="Arial"/>
          <w:color w:val="000000"/>
          <w:lang w:val="en-US"/>
        </w:rPr>
        <w:t>tmax</w:t>
      </w:r>
      <w:proofErr w:type="spellEnd"/>
      <w:r w:rsidRPr="00E15137">
        <w:rPr>
          <w:rFonts w:eastAsia="Times New Roman" w:cs="Arial"/>
          <w:color w:val="000000"/>
          <w:lang w:val="ru-RU"/>
        </w:rPr>
        <w:t xml:space="preserve">: </w:t>
      </w:r>
      <w:r w:rsidRPr="00E15137">
        <w:rPr>
          <w:rFonts w:eastAsia="Times New Roman" w:cs="Arial"/>
          <w:color w:val="000000"/>
          <w:lang w:eastAsia="bg-BG"/>
        </w:rPr>
        <w:t>1 час на гладно спрямо 2 часа след хранене; и средно С</w:t>
      </w:r>
      <w:r w:rsidRPr="00E15137">
        <w:rPr>
          <w:rFonts w:eastAsia="Times New Roman" w:cs="Arial"/>
          <w:color w:val="000000"/>
          <w:lang w:val="en-US"/>
        </w:rPr>
        <w:t>m</w:t>
      </w:r>
      <w:r w:rsidRPr="00E15137">
        <w:rPr>
          <w:rFonts w:eastAsia="Times New Roman" w:cs="Arial"/>
          <w:color w:val="000000"/>
          <w:lang w:eastAsia="bg-BG"/>
        </w:rPr>
        <w:t xml:space="preserve">ах; 129 ± 20,3 </w:t>
      </w:r>
      <w:proofErr w:type="spellStart"/>
      <w:r w:rsidRPr="00E15137">
        <w:rPr>
          <w:rFonts w:eastAsia="Times New Roman" w:cs="Arial"/>
          <w:color w:val="000000"/>
          <w:lang w:val="en-US"/>
        </w:rPr>
        <w:t>nmol</w:t>
      </w:r>
      <w:proofErr w:type="spellEnd"/>
      <w:r w:rsidRPr="00E15137">
        <w:rPr>
          <w:rFonts w:eastAsia="Times New Roman" w:cs="Arial"/>
          <w:color w:val="000000"/>
          <w:lang w:val="ru-RU"/>
        </w:rPr>
        <w:t>/</w:t>
      </w:r>
      <w:r w:rsidRPr="00E15137">
        <w:rPr>
          <w:rFonts w:eastAsia="Times New Roman" w:cs="Arial"/>
          <w:color w:val="000000"/>
          <w:lang w:val="en-US"/>
        </w:rPr>
        <w:t>L</w:t>
      </w:r>
      <w:r w:rsidRPr="00E15137">
        <w:rPr>
          <w:rFonts w:eastAsia="Times New Roman" w:cs="Arial"/>
          <w:color w:val="000000"/>
          <w:lang w:val="ru-RU"/>
        </w:rPr>
        <w:t xml:space="preserve"> </w:t>
      </w:r>
      <w:r w:rsidRPr="00E15137">
        <w:rPr>
          <w:rFonts w:eastAsia="Times New Roman" w:cs="Arial"/>
          <w:color w:val="000000"/>
          <w:lang w:eastAsia="bg-BG"/>
        </w:rPr>
        <w:t xml:space="preserve">на гладно спрямо 98,7 ± 18,6 </w:t>
      </w:r>
      <w:proofErr w:type="spellStart"/>
      <w:r w:rsidRPr="00E15137">
        <w:rPr>
          <w:rFonts w:eastAsia="Times New Roman" w:cs="Arial"/>
          <w:color w:val="000000"/>
          <w:lang w:val="en-US"/>
        </w:rPr>
        <w:t>nmol</w:t>
      </w:r>
      <w:proofErr w:type="spellEnd"/>
      <w:r w:rsidRPr="00E15137">
        <w:rPr>
          <w:rFonts w:eastAsia="Times New Roman" w:cs="Arial"/>
          <w:color w:val="000000"/>
          <w:lang w:val="ru-RU"/>
        </w:rPr>
        <w:t>/</w:t>
      </w:r>
      <w:r w:rsidRPr="00E15137">
        <w:rPr>
          <w:rFonts w:eastAsia="Times New Roman" w:cs="Arial"/>
          <w:color w:val="000000"/>
          <w:lang w:val="en-US"/>
        </w:rPr>
        <w:t>L</w:t>
      </w:r>
      <w:r w:rsidRPr="00E15137">
        <w:rPr>
          <w:rFonts w:eastAsia="Times New Roman" w:cs="Arial"/>
          <w:color w:val="000000"/>
          <w:lang w:val="ru-RU"/>
        </w:rPr>
        <w:t xml:space="preserve"> </w:t>
      </w:r>
      <w:r w:rsidRPr="00E15137">
        <w:rPr>
          <w:rFonts w:eastAsia="Times New Roman" w:cs="Arial"/>
          <w:color w:val="000000"/>
          <w:lang w:eastAsia="bg-BG"/>
        </w:rPr>
        <w:t xml:space="preserve">след хранене), но степента на абсорбция (площта под кривата </w:t>
      </w:r>
      <w:r w:rsidRPr="00E15137">
        <w:rPr>
          <w:rFonts w:eastAsia="Times New Roman" w:cs="Arial"/>
          <w:color w:val="000000"/>
          <w:lang w:val="en-US"/>
        </w:rPr>
        <w:t>AUC</w:t>
      </w:r>
      <w:r w:rsidRPr="00E15137">
        <w:rPr>
          <w:rFonts w:eastAsia="Times New Roman" w:cs="Arial"/>
          <w:color w:val="000000"/>
          <w:lang w:val="ru-RU"/>
        </w:rPr>
        <w:t xml:space="preserve">) </w:t>
      </w:r>
      <w:r w:rsidRPr="00E15137">
        <w:rPr>
          <w:rFonts w:eastAsia="Times New Roman" w:cs="Arial"/>
          <w:color w:val="000000"/>
          <w:lang w:eastAsia="bg-BG"/>
        </w:rPr>
        <w:t>не се променя. Незначителният ефект върху скоростта на абсорбция не се счита за клинично значимо и следователно летрозол може да се приема независимо от времето на хранене.</w:t>
      </w:r>
    </w:p>
    <w:p w14:paraId="6F928DA4" w14:textId="77777777" w:rsidR="00E15137" w:rsidRDefault="00E15137" w:rsidP="00E15137">
      <w:pPr>
        <w:spacing w:line="240" w:lineRule="auto"/>
        <w:rPr>
          <w:rFonts w:eastAsia="Times New Roman" w:cs="Arial"/>
          <w:color w:val="000000"/>
          <w:u w:val="single"/>
          <w:lang w:eastAsia="bg-BG"/>
        </w:rPr>
      </w:pPr>
    </w:p>
    <w:p w14:paraId="17A94853" w14:textId="38ECCD73" w:rsidR="00E15137" w:rsidRPr="00E15137" w:rsidRDefault="00E15137" w:rsidP="00E15137">
      <w:pPr>
        <w:pStyle w:val="Heading3"/>
        <w:rPr>
          <w:rFonts w:eastAsia="Times New Roman"/>
          <w:u w:val="single"/>
        </w:rPr>
      </w:pPr>
      <w:r w:rsidRPr="00E15137">
        <w:rPr>
          <w:rFonts w:eastAsia="Times New Roman"/>
          <w:u w:val="single"/>
          <w:lang w:eastAsia="bg-BG"/>
        </w:rPr>
        <w:t>Разпределение</w:t>
      </w:r>
    </w:p>
    <w:p w14:paraId="54484CD3" w14:textId="77777777"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Свързването на летрозол с плазмените протеини е приблизително 60%, предимно с албумин (55%). Концентрацията на летрозол в еритроцитите е около 80% от тази в плазмата. След прилагането на 2,5 </w:t>
      </w:r>
      <w:r w:rsidRPr="00E15137">
        <w:rPr>
          <w:rFonts w:eastAsia="Times New Roman" w:cs="Arial"/>
          <w:color w:val="000000"/>
          <w:lang w:val="en-US"/>
        </w:rPr>
        <w:t>mg</w:t>
      </w:r>
      <w:r w:rsidRPr="00E15137">
        <w:rPr>
          <w:rFonts w:eastAsia="Times New Roman" w:cs="Arial"/>
          <w:color w:val="000000"/>
          <w:lang w:val="ru-RU"/>
        </w:rPr>
        <w:t xml:space="preserve"> </w:t>
      </w:r>
      <w:r w:rsidRPr="00E15137">
        <w:rPr>
          <w:rFonts w:eastAsia="Times New Roman" w:cs="Arial"/>
          <w:color w:val="000000"/>
          <w:vertAlign w:val="superscript"/>
          <w:lang w:eastAsia="bg-BG"/>
        </w:rPr>
        <w:t>14</w:t>
      </w:r>
      <w:r w:rsidRPr="00E15137">
        <w:rPr>
          <w:rFonts w:eastAsia="Times New Roman" w:cs="Arial"/>
          <w:color w:val="000000"/>
          <w:lang w:eastAsia="bg-BG"/>
        </w:rPr>
        <w:t xml:space="preserve">С-маркиран летрозол, приблизително 82% от радиоактивността в плазмата се дължи на непроменено вещество. Следователно системното излагане на организма на тези метаболити е ниско. Летрозол се разпределя в тъканите бързо и екстензивно. Привидният обем на разпределение в стационарно състояние е около 1,87 ± 0,47 </w:t>
      </w:r>
      <w:r w:rsidRPr="00E15137">
        <w:rPr>
          <w:rFonts w:eastAsia="Times New Roman" w:cs="Arial"/>
          <w:color w:val="000000"/>
          <w:lang w:val="en-US"/>
        </w:rPr>
        <w:t>l</w:t>
      </w:r>
      <w:r w:rsidRPr="00E15137">
        <w:rPr>
          <w:rFonts w:eastAsia="Times New Roman" w:cs="Arial"/>
          <w:color w:val="000000"/>
          <w:lang w:val="ru-RU"/>
        </w:rPr>
        <w:t>/</w:t>
      </w:r>
      <w:r w:rsidRPr="00E15137">
        <w:rPr>
          <w:rFonts w:eastAsia="Times New Roman" w:cs="Arial"/>
          <w:color w:val="000000"/>
          <w:lang w:val="en-US"/>
        </w:rPr>
        <w:t>kg</w:t>
      </w:r>
      <w:r w:rsidRPr="00E15137">
        <w:rPr>
          <w:rFonts w:eastAsia="Times New Roman" w:cs="Arial"/>
          <w:color w:val="000000"/>
          <w:lang w:val="ru-RU"/>
        </w:rPr>
        <w:t>.</w:t>
      </w:r>
    </w:p>
    <w:p w14:paraId="077FCC6E" w14:textId="77777777" w:rsidR="00E15137" w:rsidRDefault="00E15137" w:rsidP="00E15137">
      <w:pPr>
        <w:spacing w:line="240" w:lineRule="auto"/>
        <w:rPr>
          <w:rFonts w:eastAsia="Times New Roman" w:cs="Arial"/>
          <w:color w:val="000000"/>
          <w:u w:val="single"/>
          <w:lang w:eastAsia="bg-BG"/>
        </w:rPr>
      </w:pPr>
    </w:p>
    <w:p w14:paraId="74B82F17" w14:textId="6450B6C0" w:rsidR="00E15137" w:rsidRPr="00E15137" w:rsidRDefault="00E15137" w:rsidP="00E15137">
      <w:pPr>
        <w:pStyle w:val="Heading3"/>
        <w:rPr>
          <w:rFonts w:eastAsia="Times New Roman"/>
          <w:u w:val="single"/>
        </w:rPr>
      </w:pPr>
      <w:r w:rsidRPr="00E15137">
        <w:rPr>
          <w:rFonts w:eastAsia="Times New Roman"/>
          <w:u w:val="single"/>
          <w:lang w:eastAsia="bg-BG"/>
        </w:rPr>
        <w:t>Биотрансформация</w:t>
      </w:r>
    </w:p>
    <w:p w14:paraId="7658F1FD" w14:textId="77777777" w:rsidR="00E15137" w:rsidRPr="00E15137" w:rsidRDefault="00E15137" w:rsidP="00E15137">
      <w:pPr>
        <w:rPr>
          <w:rFonts w:eastAsia="Times New Roman" w:cs="Arial"/>
        </w:rPr>
      </w:pPr>
      <w:r w:rsidRPr="00E15137">
        <w:rPr>
          <w:rFonts w:eastAsia="Times New Roman" w:cs="Arial"/>
          <w:color w:val="000000"/>
          <w:lang w:eastAsia="bg-BG"/>
        </w:rPr>
        <w:t xml:space="preserve">Основният път на елиминиране на летрозол е метаболитен клирънс до фармакологично неактивен карбинолов метаболит </w:t>
      </w:r>
      <w:r w:rsidRPr="00E15137">
        <w:rPr>
          <w:rFonts w:eastAsia="Times New Roman" w:cs="Arial"/>
          <w:color w:val="000000"/>
          <w:lang w:val="ru-RU"/>
        </w:rPr>
        <w:t>(</w:t>
      </w:r>
      <w:proofErr w:type="spellStart"/>
      <w:r w:rsidRPr="00E15137">
        <w:rPr>
          <w:rFonts w:eastAsia="Times New Roman" w:cs="Arial"/>
          <w:color w:val="000000"/>
          <w:lang w:val="en-US"/>
        </w:rPr>
        <w:t>CLm</w:t>
      </w:r>
      <w:proofErr w:type="spellEnd"/>
      <w:r w:rsidRPr="00E15137">
        <w:rPr>
          <w:rFonts w:eastAsia="Times New Roman" w:cs="Arial"/>
          <w:color w:val="000000"/>
          <w:lang w:val="ru-RU"/>
        </w:rPr>
        <w:t xml:space="preserve">= </w:t>
      </w:r>
      <w:r w:rsidRPr="00E15137">
        <w:rPr>
          <w:rFonts w:eastAsia="Times New Roman" w:cs="Arial"/>
          <w:color w:val="000000"/>
          <w:lang w:eastAsia="bg-BG"/>
        </w:rPr>
        <w:t xml:space="preserve">2,1 </w:t>
      </w:r>
      <w:r w:rsidRPr="00E15137">
        <w:rPr>
          <w:rFonts w:eastAsia="Times New Roman" w:cs="Arial"/>
          <w:color w:val="000000"/>
          <w:lang w:val="en-US"/>
        </w:rPr>
        <w:t>l</w:t>
      </w:r>
      <w:r w:rsidRPr="00E15137">
        <w:rPr>
          <w:rFonts w:eastAsia="Times New Roman" w:cs="Arial"/>
          <w:color w:val="000000"/>
          <w:lang w:val="ru-RU"/>
        </w:rPr>
        <w:t>/</w:t>
      </w:r>
      <w:r w:rsidRPr="00E15137">
        <w:rPr>
          <w:rFonts w:eastAsia="Times New Roman" w:cs="Arial"/>
          <w:color w:val="000000"/>
          <w:lang w:val="en-US"/>
        </w:rPr>
        <w:t>h</w:t>
      </w:r>
      <w:r w:rsidRPr="00E15137">
        <w:rPr>
          <w:rFonts w:eastAsia="Times New Roman" w:cs="Arial"/>
          <w:color w:val="000000"/>
          <w:lang w:val="ru-RU"/>
        </w:rPr>
        <w:t xml:space="preserve">), </w:t>
      </w:r>
      <w:r w:rsidRPr="00E15137">
        <w:rPr>
          <w:rFonts w:eastAsia="Times New Roman" w:cs="Arial"/>
          <w:color w:val="000000"/>
          <w:lang w:eastAsia="bg-BG"/>
        </w:rPr>
        <w:t xml:space="preserve">но той е относително бавен в сравнение с чернодробния кръвоток (около 90 </w:t>
      </w:r>
      <w:r w:rsidRPr="00E15137">
        <w:rPr>
          <w:rFonts w:eastAsia="Times New Roman" w:cs="Arial"/>
          <w:color w:val="000000"/>
          <w:lang w:val="en-US"/>
        </w:rPr>
        <w:t>l</w:t>
      </w:r>
      <w:r w:rsidRPr="00E15137">
        <w:rPr>
          <w:rFonts w:eastAsia="Times New Roman" w:cs="Arial"/>
          <w:color w:val="000000"/>
          <w:lang w:val="ru-RU"/>
        </w:rPr>
        <w:t>/</w:t>
      </w:r>
      <w:r w:rsidRPr="00E15137">
        <w:rPr>
          <w:rFonts w:eastAsia="Times New Roman" w:cs="Arial"/>
          <w:color w:val="000000"/>
          <w:lang w:val="en-US"/>
        </w:rPr>
        <w:t>h</w:t>
      </w:r>
      <w:r w:rsidRPr="00E15137">
        <w:rPr>
          <w:rFonts w:eastAsia="Times New Roman" w:cs="Arial"/>
          <w:color w:val="000000"/>
          <w:lang w:val="ru-RU"/>
        </w:rPr>
        <w:t xml:space="preserve">). </w:t>
      </w:r>
      <w:r w:rsidRPr="00E15137">
        <w:rPr>
          <w:rFonts w:eastAsia="Times New Roman" w:cs="Arial"/>
          <w:color w:val="000000"/>
          <w:lang w:eastAsia="bg-BG"/>
        </w:rPr>
        <w:t>Установено е, че цитохром Р450 изоензимите ЗА4 и 2А6 могат да превръщат летрозол до този метаболит. Образуването на второстепенни неидентифицирани метаболити и директното екскретиране през бъбреците и в изпоражненията играе несъществена роля в общото елиминиране на летрозол. В рамките на две</w:t>
      </w:r>
      <w:r w:rsidRPr="00E15137">
        <w:rPr>
          <w:rFonts w:eastAsia="Times New Roman" w:cs="Arial"/>
          <w:color w:val="000000"/>
          <w:lang w:val="ru-RU"/>
        </w:rPr>
        <w:t xml:space="preserve"> </w:t>
      </w:r>
      <w:r w:rsidRPr="00E15137">
        <w:rPr>
          <w:rFonts w:eastAsia="Times New Roman" w:cs="Arial"/>
          <w:color w:val="000000"/>
          <w:lang w:eastAsia="bg-BG"/>
        </w:rPr>
        <w:t>седмици след</w:t>
      </w:r>
      <w:r w:rsidRPr="00E15137">
        <w:rPr>
          <w:rFonts w:eastAsia="Times New Roman" w:cs="Arial"/>
          <w:b/>
          <w:bCs/>
          <w:color w:val="000000"/>
          <w:lang w:eastAsia="bg-BG"/>
        </w:rPr>
        <w:t xml:space="preserve"> </w:t>
      </w:r>
      <w:r w:rsidRPr="00E15137">
        <w:rPr>
          <w:rFonts w:eastAsia="Times New Roman" w:cs="Arial"/>
          <w:color w:val="000000"/>
          <w:lang w:eastAsia="bg-BG"/>
        </w:rPr>
        <w:t xml:space="preserve">приложението на 2,5 </w:t>
      </w:r>
      <w:r w:rsidRPr="00E15137">
        <w:rPr>
          <w:rFonts w:eastAsia="Times New Roman" w:cs="Arial"/>
          <w:color w:val="000000"/>
          <w:lang w:val="en-US"/>
        </w:rPr>
        <w:t>mg</w:t>
      </w:r>
      <w:r w:rsidRPr="00E15137">
        <w:rPr>
          <w:rFonts w:eastAsia="Times New Roman" w:cs="Arial"/>
          <w:color w:val="000000"/>
          <w:lang w:val="ru-RU"/>
        </w:rPr>
        <w:t xml:space="preserve"> </w:t>
      </w:r>
      <w:r w:rsidRPr="00E15137">
        <w:rPr>
          <w:rFonts w:eastAsia="Times New Roman" w:cs="Arial"/>
          <w:color w:val="000000"/>
          <w:vertAlign w:val="superscript"/>
          <w:lang w:eastAsia="bg-BG"/>
        </w:rPr>
        <w:t>14</w:t>
      </w:r>
      <w:r w:rsidRPr="00E15137">
        <w:rPr>
          <w:rFonts w:eastAsia="Times New Roman" w:cs="Arial"/>
          <w:color w:val="000000"/>
          <w:lang w:eastAsia="bg-BG"/>
        </w:rPr>
        <w:t>С-маркиран летрозол при здрави менопаузални доброволки, 88,2±  7,6% от радиоактивността е възстановена в урината и 3,8 ± 0,9% в изпражненията. Най-малко 75% от радиоактивността, възстановена в урината за период от 216 часа (84,7±7,8% от дозата)</w:t>
      </w:r>
      <w:r w:rsidRPr="00E15137">
        <w:rPr>
          <w:rFonts w:eastAsia="Times New Roman" w:cs="Arial"/>
          <w:color w:val="000000"/>
          <w:lang w:val="ru-RU" w:eastAsia="bg-BG"/>
        </w:rPr>
        <w:t xml:space="preserve"> </w:t>
      </w:r>
      <w:r w:rsidRPr="00E15137">
        <w:rPr>
          <w:rFonts w:eastAsia="Times New Roman" w:cs="Arial"/>
          <w:color w:val="000000"/>
          <w:lang w:eastAsia="bg-BG"/>
        </w:rPr>
        <w:t>се дължат на глюкуронид на карбиноловия метаболит, около 9% - на два неидентифицирани метаболита и 6% - на непроменения летрозол.</w:t>
      </w:r>
    </w:p>
    <w:p w14:paraId="60E646EF" w14:textId="77777777" w:rsidR="00E15137" w:rsidRDefault="00E15137" w:rsidP="00E15137">
      <w:pPr>
        <w:spacing w:line="240" w:lineRule="auto"/>
        <w:rPr>
          <w:rFonts w:eastAsia="Times New Roman" w:cs="Arial"/>
          <w:color w:val="000000"/>
          <w:lang w:eastAsia="bg-BG"/>
        </w:rPr>
      </w:pPr>
    </w:p>
    <w:p w14:paraId="4D4880C7" w14:textId="23A3E072"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Привидният краен полуживот в плазмата е около 2 дни. След прилагане на 2,5 </w:t>
      </w:r>
      <w:r w:rsidRPr="00E15137">
        <w:rPr>
          <w:rFonts w:eastAsia="Times New Roman" w:cs="Arial"/>
          <w:color w:val="000000"/>
          <w:lang w:val="en-US"/>
        </w:rPr>
        <w:t>mg</w:t>
      </w:r>
      <w:r w:rsidRPr="00E15137">
        <w:rPr>
          <w:rFonts w:eastAsia="Times New Roman" w:cs="Arial"/>
          <w:color w:val="000000"/>
          <w:lang w:val="ru-RU"/>
        </w:rPr>
        <w:t xml:space="preserve"> </w:t>
      </w:r>
      <w:r w:rsidRPr="00E15137">
        <w:rPr>
          <w:rFonts w:eastAsia="Times New Roman" w:cs="Arial"/>
          <w:color w:val="000000"/>
          <w:lang w:eastAsia="bg-BG"/>
        </w:rPr>
        <w:t xml:space="preserve">дневно, стационарно състояние нивата се достигат в рамките на 2 до 6 седмици. Плазмените концентрации в стационарно състояние са приблизително 7 пъти по-високи от концентрациите, измерени след приемане на единична доза от 2,5 </w:t>
      </w:r>
      <w:r w:rsidRPr="00E15137">
        <w:rPr>
          <w:rFonts w:eastAsia="Times New Roman" w:cs="Arial"/>
          <w:color w:val="000000"/>
          <w:lang w:val="en-US"/>
        </w:rPr>
        <w:t>mg</w:t>
      </w:r>
      <w:r w:rsidRPr="00E15137">
        <w:rPr>
          <w:rFonts w:eastAsia="Times New Roman" w:cs="Arial"/>
          <w:color w:val="000000"/>
          <w:lang w:val="ru-RU"/>
        </w:rPr>
        <w:t xml:space="preserve">, </w:t>
      </w:r>
      <w:r w:rsidRPr="00E15137">
        <w:rPr>
          <w:rFonts w:eastAsia="Times New Roman" w:cs="Arial"/>
          <w:color w:val="000000"/>
          <w:lang w:eastAsia="bg-BG"/>
        </w:rPr>
        <w:t xml:space="preserve">но са само 1,5 до 2 пъти по-високи от стойностите в стационарно състояние, очаквани от концентрациите, измерени след единична доза, което показва слаба нелинейност във фармакокинетиката на летрозол при прилагане на дневна доза от 2,5 </w:t>
      </w:r>
      <w:r w:rsidRPr="00E15137">
        <w:rPr>
          <w:rFonts w:eastAsia="Times New Roman" w:cs="Arial"/>
          <w:color w:val="000000"/>
          <w:lang w:val="en-US"/>
        </w:rPr>
        <w:t>mg</w:t>
      </w:r>
      <w:r w:rsidRPr="00E15137">
        <w:rPr>
          <w:rFonts w:eastAsia="Times New Roman" w:cs="Arial"/>
          <w:color w:val="000000"/>
          <w:lang w:val="ru-RU"/>
        </w:rPr>
        <w:t xml:space="preserve">. </w:t>
      </w:r>
      <w:r w:rsidRPr="00E15137">
        <w:rPr>
          <w:rFonts w:eastAsia="Times New Roman" w:cs="Arial"/>
          <w:color w:val="000000"/>
          <w:lang w:eastAsia="bg-BG"/>
        </w:rPr>
        <w:t>Тъй като в стационарно състояние нивата се запазват във времето, може да се заключи, че няма продължително натрупване на летрозол.</w:t>
      </w:r>
    </w:p>
    <w:p w14:paraId="0922DA0D" w14:textId="77777777" w:rsidR="00E15137" w:rsidRDefault="00E15137" w:rsidP="00E15137">
      <w:pPr>
        <w:spacing w:line="240" w:lineRule="auto"/>
        <w:rPr>
          <w:rFonts w:eastAsia="Times New Roman" w:cs="Arial"/>
          <w:color w:val="000000"/>
          <w:u w:val="single"/>
          <w:lang w:eastAsia="bg-BG"/>
        </w:rPr>
      </w:pPr>
    </w:p>
    <w:p w14:paraId="71813485" w14:textId="7D3C30A3" w:rsidR="00E15137" w:rsidRPr="00E15137" w:rsidRDefault="00E15137" w:rsidP="00E15137">
      <w:pPr>
        <w:spacing w:line="240" w:lineRule="auto"/>
        <w:rPr>
          <w:rFonts w:eastAsia="Times New Roman" w:cs="Arial"/>
        </w:rPr>
      </w:pPr>
      <w:r w:rsidRPr="00E15137">
        <w:rPr>
          <w:rFonts w:eastAsia="Times New Roman" w:cs="Arial"/>
          <w:color w:val="000000"/>
          <w:u w:val="single"/>
          <w:lang w:eastAsia="bg-BG"/>
        </w:rPr>
        <w:t>Специални популации</w:t>
      </w:r>
    </w:p>
    <w:p w14:paraId="04C8D78B" w14:textId="77777777" w:rsidR="00E15137" w:rsidRPr="00E15137" w:rsidRDefault="00E15137" w:rsidP="00E15137">
      <w:pPr>
        <w:spacing w:line="240" w:lineRule="auto"/>
        <w:rPr>
          <w:rFonts w:eastAsia="Times New Roman" w:cs="Arial"/>
        </w:rPr>
      </w:pPr>
      <w:r w:rsidRPr="00E15137">
        <w:rPr>
          <w:rFonts w:eastAsia="Times New Roman" w:cs="Arial"/>
          <w:i/>
          <w:iCs/>
          <w:color w:val="000000"/>
          <w:lang w:eastAsia="bg-BG"/>
        </w:rPr>
        <w:t>Старческа възраст</w:t>
      </w:r>
    </w:p>
    <w:p w14:paraId="2801A17A" w14:textId="77777777" w:rsidR="00E15137" w:rsidRPr="00E15137" w:rsidRDefault="00E15137" w:rsidP="00E15137">
      <w:pPr>
        <w:spacing w:line="240" w:lineRule="auto"/>
        <w:rPr>
          <w:rFonts w:eastAsia="Times New Roman" w:cs="Arial"/>
        </w:rPr>
      </w:pPr>
      <w:r w:rsidRPr="00E15137">
        <w:rPr>
          <w:rFonts w:eastAsia="Times New Roman" w:cs="Arial"/>
          <w:color w:val="000000"/>
          <w:lang w:eastAsia="bg-BG"/>
        </w:rPr>
        <w:t>Възрастта не оказва влияние върху фармакокинетиката на летрозол.</w:t>
      </w:r>
    </w:p>
    <w:p w14:paraId="2726878D" w14:textId="77777777" w:rsidR="00E15137" w:rsidRDefault="00E15137" w:rsidP="00E15137">
      <w:pPr>
        <w:spacing w:line="240" w:lineRule="auto"/>
        <w:rPr>
          <w:rFonts w:eastAsia="Times New Roman" w:cs="Arial"/>
          <w:i/>
          <w:iCs/>
          <w:color w:val="000000"/>
          <w:lang w:eastAsia="bg-BG"/>
        </w:rPr>
      </w:pPr>
    </w:p>
    <w:p w14:paraId="619C7EB7" w14:textId="1913C984" w:rsidR="00E15137" w:rsidRPr="00E15137" w:rsidRDefault="00E15137" w:rsidP="00E15137">
      <w:pPr>
        <w:spacing w:line="240" w:lineRule="auto"/>
        <w:rPr>
          <w:rFonts w:eastAsia="Times New Roman" w:cs="Arial"/>
        </w:rPr>
      </w:pPr>
      <w:r w:rsidRPr="00E15137">
        <w:rPr>
          <w:rFonts w:eastAsia="Times New Roman" w:cs="Arial"/>
          <w:i/>
          <w:iCs/>
          <w:color w:val="000000"/>
          <w:lang w:eastAsia="bg-BG"/>
        </w:rPr>
        <w:t>Бъбречно увреждане</w:t>
      </w:r>
    </w:p>
    <w:p w14:paraId="4BB61190" w14:textId="77777777"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В проучване, включващо 19 доброволци с различна степен на засягане на бъбречната функция (24-часов клирънс на креатинина 9 до 116 </w:t>
      </w:r>
      <w:r w:rsidRPr="00E15137">
        <w:rPr>
          <w:rFonts w:eastAsia="Times New Roman" w:cs="Arial"/>
          <w:color w:val="000000"/>
          <w:lang w:val="en-US"/>
        </w:rPr>
        <w:t>ml</w:t>
      </w:r>
      <w:r w:rsidRPr="00E15137">
        <w:rPr>
          <w:rFonts w:eastAsia="Times New Roman" w:cs="Arial"/>
          <w:color w:val="000000"/>
          <w:lang w:val="ru-RU"/>
        </w:rPr>
        <w:t>/</w:t>
      </w:r>
      <w:r w:rsidRPr="00E15137">
        <w:rPr>
          <w:rFonts w:eastAsia="Times New Roman" w:cs="Arial"/>
          <w:color w:val="000000"/>
          <w:lang w:val="en-US"/>
        </w:rPr>
        <w:t>min</w:t>
      </w:r>
      <w:r w:rsidRPr="00E15137">
        <w:rPr>
          <w:rFonts w:eastAsia="Times New Roman" w:cs="Arial"/>
          <w:color w:val="000000"/>
          <w:lang w:val="ru-RU"/>
        </w:rPr>
        <w:t xml:space="preserve">) </w:t>
      </w:r>
      <w:r w:rsidRPr="00E15137">
        <w:rPr>
          <w:rFonts w:eastAsia="Times New Roman" w:cs="Arial"/>
          <w:color w:val="000000"/>
          <w:lang w:eastAsia="bg-BG"/>
        </w:rPr>
        <w:t xml:space="preserve">не е установен ефект върху фармакокинетиката на летрозол след прилагане на единична доза от 2,5 </w:t>
      </w:r>
      <w:r w:rsidRPr="00E15137">
        <w:rPr>
          <w:rFonts w:eastAsia="Times New Roman" w:cs="Arial"/>
          <w:color w:val="000000"/>
          <w:lang w:val="en-US"/>
        </w:rPr>
        <w:t>mg</w:t>
      </w:r>
      <w:r w:rsidRPr="00E15137">
        <w:rPr>
          <w:rFonts w:eastAsia="Times New Roman" w:cs="Arial"/>
          <w:color w:val="000000"/>
          <w:lang w:val="ru-RU"/>
        </w:rPr>
        <w:t>.</w:t>
      </w:r>
    </w:p>
    <w:p w14:paraId="6413E4DA" w14:textId="77777777" w:rsidR="00E15137" w:rsidRDefault="00E15137" w:rsidP="00E15137">
      <w:pPr>
        <w:spacing w:line="240" w:lineRule="auto"/>
        <w:rPr>
          <w:rFonts w:eastAsia="Times New Roman" w:cs="Arial"/>
          <w:i/>
          <w:iCs/>
          <w:color w:val="000000"/>
          <w:lang w:eastAsia="bg-BG"/>
        </w:rPr>
      </w:pPr>
    </w:p>
    <w:p w14:paraId="22CCAE69" w14:textId="0C2AE15A" w:rsidR="00E15137" w:rsidRPr="00E15137" w:rsidRDefault="00E15137" w:rsidP="00E15137">
      <w:pPr>
        <w:spacing w:line="240" w:lineRule="auto"/>
        <w:rPr>
          <w:rFonts w:eastAsia="Times New Roman" w:cs="Arial"/>
        </w:rPr>
      </w:pPr>
      <w:r w:rsidRPr="00E15137">
        <w:rPr>
          <w:rFonts w:eastAsia="Times New Roman" w:cs="Arial"/>
          <w:i/>
          <w:iCs/>
          <w:color w:val="000000"/>
          <w:lang w:eastAsia="bg-BG"/>
        </w:rPr>
        <w:t>Чернодробно увреждане</w:t>
      </w:r>
    </w:p>
    <w:p w14:paraId="214BB79B" w14:textId="77777777"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В подобно проучване, включващо лица с различна степен на чернодробна функция, средните стойности на </w:t>
      </w:r>
      <w:r w:rsidRPr="00E15137">
        <w:rPr>
          <w:rFonts w:eastAsia="Times New Roman" w:cs="Arial"/>
          <w:color w:val="000000"/>
          <w:lang w:val="en-US"/>
        </w:rPr>
        <w:t>AUC</w:t>
      </w:r>
      <w:r w:rsidRPr="00E15137">
        <w:rPr>
          <w:rFonts w:eastAsia="Times New Roman" w:cs="Arial"/>
          <w:color w:val="000000"/>
          <w:lang w:val="ru-RU"/>
        </w:rPr>
        <w:t xml:space="preserve"> </w:t>
      </w:r>
      <w:r w:rsidRPr="00E15137">
        <w:rPr>
          <w:rFonts w:eastAsia="Times New Roman" w:cs="Arial"/>
          <w:color w:val="000000"/>
          <w:lang w:eastAsia="bg-BG"/>
        </w:rPr>
        <w:t xml:space="preserve">при доброволците с умерено тежка чернодробна недостатъчност (клас В по </w:t>
      </w:r>
      <w:r w:rsidRPr="00E15137">
        <w:rPr>
          <w:rFonts w:eastAsia="Times New Roman" w:cs="Arial"/>
          <w:color w:val="000000"/>
          <w:lang w:val="en-US"/>
        </w:rPr>
        <w:t>Child</w:t>
      </w:r>
      <w:r w:rsidRPr="00E15137">
        <w:rPr>
          <w:rFonts w:eastAsia="Times New Roman" w:cs="Arial"/>
          <w:color w:val="000000"/>
          <w:lang w:val="ru-RU"/>
        </w:rPr>
        <w:t xml:space="preserve"> </w:t>
      </w:r>
      <w:r w:rsidRPr="00E15137">
        <w:rPr>
          <w:rFonts w:eastAsia="Times New Roman" w:cs="Arial"/>
          <w:color w:val="000000"/>
          <w:lang w:eastAsia="bg-BG"/>
        </w:rPr>
        <w:t xml:space="preserve">- </w:t>
      </w:r>
      <w:r w:rsidRPr="00E15137">
        <w:rPr>
          <w:rFonts w:eastAsia="Times New Roman" w:cs="Arial"/>
          <w:color w:val="000000"/>
          <w:lang w:val="en-US"/>
        </w:rPr>
        <w:t>Pugh</w:t>
      </w:r>
      <w:r w:rsidRPr="00E15137">
        <w:rPr>
          <w:rFonts w:eastAsia="Times New Roman" w:cs="Arial"/>
          <w:color w:val="000000"/>
          <w:lang w:val="ru-RU"/>
        </w:rPr>
        <w:t xml:space="preserve">) </w:t>
      </w:r>
      <w:r w:rsidRPr="00E15137">
        <w:rPr>
          <w:rFonts w:eastAsia="Times New Roman" w:cs="Arial"/>
          <w:color w:val="000000"/>
          <w:lang w:eastAsia="bg-BG"/>
        </w:rPr>
        <w:t xml:space="preserve">са с 37% по-високи, отколкото при здрави доброволци, но все пак в границите, наблюдавани при участниците без нарушение на чернодробната функция.. В проучване сравняващо фармакокинетиката на летрозол след прием на еднократна перорална доза при 8 пациенти мъже с чернодробна цироза и тежка чернодробна недостатъчност (клас С по </w:t>
      </w:r>
      <w:r w:rsidRPr="00E15137">
        <w:rPr>
          <w:rFonts w:eastAsia="Times New Roman" w:cs="Arial"/>
          <w:color w:val="000000"/>
          <w:lang w:val="en-US"/>
        </w:rPr>
        <w:t>Child</w:t>
      </w:r>
      <w:r w:rsidRPr="00E15137">
        <w:rPr>
          <w:rFonts w:eastAsia="Times New Roman" w:cs="Arial"/>
          <w:color w:val="000000"/>
          <w:lang w:val="ru-RU"/>
        </w:rPr>
        <w:t xml:space="preserve"> </w:t>
      </w:r>
      <w:r w:rsidRPr="00E15137">
        <w:rPr>
          <w:rFonts w:eastAsia="Times New Roman" w:cs="Arial"/>
          <w:color w:val="000000"/>
          <w:lang w:eastAsia="bg-BG"/>
        </w:rPr>
        <w:t xml:space="preserve">- </w:t>
      </w:r>
      <w:r w:rsidRPr="00E15137">
        <w:rPr>
          <w:rFonts w:eastAsia="Times New Roman" w:cs="Arial"/>
          <w:color w:val="000000"/>
          <w:lang w:val="en-US"/>
        </w:rPr>
        <w:t>Pugh</w:t>
      </w:r>
      <w:r w:rsidRPr="00E15137">
        <w:rPr>
          <w:rFonts w:eastAsia="Times New Roman" w:cs="Arial"/>
          <w:color w:val="000000"/>
          <w:lang w:val="ru-RU"/>
        </w:rPr>
        <w:t xml:space="preserve">) </w:t>
      </w:r>
      <w:r w:rsidRPr="00E15137">
        <w:rPr>
          <w:rFonts w:eastAsia="Times New Roman" w:cs="Arial"/>
          <w:color w:val="000000"/>
          <w:lang w:eastAsia="bg-BG"/>
        </w:rPr>
        <w:t xml:space="preserve">спрямо здрави доброволци </w:t>
      </w:r>
      <w:r w:rsidRPr="00E15137">
        <w:rPr>
          <w:rFonts w:eastAsia="Times New Roman" w:cs="Arial"/>
          <w:color w:val="000000"/>
          <w:lang w:val="ru-RU"/>
        </w:rPr>
        <w:t>(</w:t>
      </w:r>
      <w:r w:rsidRPr="00E15137">
        <w:rPr>
          <w:rFonts w:eastAsia="Times New Roman" w:cs="Arial"/>
          <w:color w:val="000000"/>
          <w:lang w:val="en-US"/>
        </w:rPr>
        <w:t>N</w:t>
      </w:r>
      <w:r w:rsidRPr="00E15137">
        <w:rPr>
          <w:rFonts w:eastAsia="Times New Roman" w:cs="Arial"/>
          <w:color w:val="000000"/>
          <w:lang w:val="ru-RU"/>
        </w:rPr>
        <w:t xml:space="preserve">=8), </w:t>
      </w:r>
      <w:r w:rsidRPr="00E15137">
        <w:rPr>
          <w:rFonts w:eastAsia="Times New Roman" w:cs="Arial"/>
          <w:color w:val="000000"/>
          <w:lang w:val="en-US"/>
        </w:rPr>
        <w:t>AUC</w:t>
      </w:r>
      <w:r w:rsidRPr="00E15137">
        <w:rPr>
          <w:rFonts w:eastAsia="Times New Roman" w:cs="Arial"/>
          <w:color w:val="000000"/>
          <w:lang w:val="ru-RU"/>
        </w:rPr>
        <w:t xml:space="preserve"> </w:t>
      </w:r>
      <w:r w:rsidRPr="00E15137">
        <w:rPr>
          <w:rFonts w:eastAsia="Times New Roman" w:cs="Arial"/>
          <w:color w:val="000000"/>
          <w:lang w:eastAsia="bg-BG"/>
        </w:rPr>
        <w:t xml:space="preserve">и </w:t>
      </w:r>
      <w:r w:rsidRPr="00E15137">
        <w:rPr>
          <w:rFonts w:eastAsia="Times New Roman" w:cs="Arial"/>
          <w:color w:val="000000"/>
          <w:lang w:val="en-US"/>
        </w:rPr>
        <w:t>t</w:t>
      </w:r>
      <w:r w:rsidRPr="00E15137">
        <w:rPr>
          <w:rFonts w:eastAsia="Times New Roman" w:cs="Arial"/>
          <w:color w:val="000000"/>
          <w:vertAlign w:val="subscript"/>
          <w:lang w:val="ru-RU"/>
        </w:rPr>
        <w:t xml:space="preserve">1/2 </w:t>
      </w:r>
      <w:r w:rsidRPr="00E15137">
        <w:rPr>
          <w:rFonts w:eastAsia="Times New Roman" w:cs="Arial"/>
          <w:color w:val="000000"/>
          <w:lang w:eastAsia="bg-BG"/>
        </w:rPr>
        <w:t>нарастват съответно с 95 и 187%. Поради тази причина летрозол трябва да се прилага с повишено внимание и след преценка на съотношението между потенциалните рискове и полза за подобни пациенти.</w:t>
      </w:r>
    </w:p>
    <w:p w14:paraId="73FE4B82" w14:textId="6A3F7102" w:rsidR="00E15137" w:rsidRPr="00E15137" w:rsidRDefault="00E15137" w:rsidP="00E15137"/>
    <w:p w14:paraId="4FB791BE" w14:textId="1EDF568F" w:rsidR="00B6672E" w:rsidRDefault="002C50EE" w:rsidP="00936AD0">
      <w:pPr>
        <w:pStyle w:val="Heading2"/>
      </w:pPr>
      <w:r>
        <w:t>5.3. Предклинични данни за безопасност</w:t>
      </w:r>
    </w:p>
    <w:p w14:paraId="790876F3" w14:textId="54C841A9" w:rsidR="00E15137" w:rsidRDefault="00E15137" w:rsidP="00E15137"/>
    <w:p w14:paraId="3E3FB5BA" w14:textId="77777777" w:rsidR="00E15137" w:rsidRPr="00E15137" w:rsidRDefault="00E15137" w:rsidP="00E15137">
      <w:pPr>
        <w:spacing w:line="240" w:lineRule="auto"/>
        <w:rPr>
          <w:rFonts w:eastAsia="Times New Roman" w:cs="Arial"/>
        </w:rPr>
      </w:pPr>
      <w:r w:rsidRPr="00E15137">
        <w:rPr>
          <w:rFonts w:eastAsia="Times New Roman" w:cs="Arial"/>
          <w:color w:val="000000"/>
          <w:lang w:eastAsia="bg-BG"/>
        </w:rPr>
        <w:t>При различни предклиничнн проучвания за безопасност, проведени със стандартни животински видове, няма данни за системна или таргетна органна токсичност.</w:t>
      </w:r>
    </w:p>
    <w:p w14:paraId="7A5649FE" w14:textId="77777777" w:rsidR="00E15137" w:rsidRDefault="00E15137" w:rsidP="00E15137">
      <w:pPr>
        <w:spacing w:line="240" w:lineRule="auto"/>
        <w:rPr>
          <w:rFonts w:eastAsia="Times New Roman" w:cs="Arial"/>
          <w:color w:val="000000"/>
          <w:lang w:eastAsia="bg-BG"/>
        </w:rPr>
      </w:pPr>
    </w:p>
    <w:p w14:paraId="2D2B64AE" w14:textId="7DA692AF"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Летрозол показва ниска степен на остра токсичност при гризачи, приемащи до 2000 </w:t>
      </w:r>
      <w:r w:rsidRPr="00E15137">
        <w:rPr>
          <w:rFonts w:eastAsia="Times New Roman" w:cs="Arial"/>
          <w:color w:val="000000"/>
          <w:lang w:val="en-US"/>
        </w:rPr>
        <w:t>mg</w:t>
      </w:r>
      <w:r w:rsidRPr="00E15137">
        <w:rPr>
          <w:rFonts w:eastAsia="Times New Roman" w:cs="Arial"/>
          <w:color w:val="000000"/>
          <w:lang w:val="ru-RU"/>
        </w:rPr>
        <w:t>/</w:t>
      </w:r>
      <w:r w:rsidRPr="00E15137">
        <w:rPr>
          <w:rFonts w:eastAsia="Times New Roman" w:cs="Arial"/>
          <w:color w:val="000000"/>
          <w:lang w:val="en-US"/>
        </w:rPr>
        <w:t>kg</w:t>
      </w:r>
      <w:r w:rsidRPr="00E15137">
        <w:rPr>
          <w:rFonts w:eastAsia="Times New Roman" w:cs="Arial"/>
          <w:color w:val="000000"/>
          <w:lang w:val="ru-RU"/>
        </w:rPr>
        <w:t xml:space="preserve">. </w:t>
      </w:r>
      <w:r w:rsidRPr="00E15137">
        <w:rPr>
          <w:rFonts w:eastAsia="Times New Roman" w:cs="Arial"/>
          <w:color w:val="000000"/>
          <w:lang w:eastAsia="bg-BG"/>
        </w:rPr>
        <w:t xml:space="preserve">При кучета летрозол причинява признаци на умерена токсичност при доза от 100 </w:t>
      </w:r>
      <w:r w:rsidRPr="00E15137">
        <w:rPr>
          <w:rFonts w:eastAsia="Times New Roman" w:cs="Arial"/>
          <w:color w:val="000000"/>
          <w:lang w:val="en-US"/>
        </w:rPr>
        <w:t>mg</w:t>
      </w:r>
      <w:r w:rsidRPr="00E15137">
        <w:rPr>
          <w:rFonts w:eastAsia="Times New Roman" w:cs="Arial"/>
          <w:color w:val="000000"/>
          <w:lang w:val="ru-RU"/>
        </w:rPr>
        <w:t>/</w:t>
      </w:r>
      <w:r w:rsidRPr="00E15137">
        <w:rPr>
          <w:rFonts w:eastAsia="Times New Roman" w:cs="Arial"/>
          <w:color w:val="000000"/>
          <w:lang w:val="en-US"/>
        </w:rPr>
        <w:t>kg</w:t>
      </w:r>
      <w:r w:rsidRPr="00E15137">
        <w:rPr>
          <w:rFonts w:eastAsia="Times New Roman" w:cs="Arial"/>
          <w:color w:val="000000"/>
          <w:lang w:val="ru-RU"/>
        </w:rPr>
        <w:t>.</w:t>
      </w:r>
    </w:p>
    <w:p w14:paraId="48ECC3DC" w14:textId="77777777" w:rsidR="00E15137" w:rsidRDefault="00E15137" w:rsidP="00E15137">
      <w:pPr>
        <w:spacing w:line="240" w:lineRule="auto"/>
        <w:rPr>
          <w:rFonts w:eastAsia="Times New Roman" w:cs="Arial"/>
          <w:color w:val="000000"/>
          <w:lang w:eastAsia="bg-BG"/>
        </w:rPr>
      </w:pPr>
    </w:p>
    <w:p w14:paraId="556B9316" w14:textId="77777777" w:rsidR="00E15137" w:rsidRDefault="00E15137" w:rsidP="00E15137">
      <w:pPr>
        <w:spacing w:line="240" w:lineRule="auto"/>
        <w:rPr>
          <w:rFonts w:eastAsia="Times New Roman" w:cs="Arial"/>
          <w:color w:val="000000"/>
          <w:lang w:eastAsia="bg-BG"/>
        </w:rPr>
      </w:pPr>
      <w:r w:rsidRPr="00E15137">
        <w:rPr>
          <w:rFonts w:eastAsia="Times New Roman" w:cs="Arial"/>
          <w:color w:val="000000"/>
          <w:lang w:eastAsia="bg-BG"/>
        </w:rPr>
        <w:t xml:space="preserve">При проучвания за токсичност при многократно прилагане при плъхове и кучета с продължителност до 12 месеца, основните наблюдавани находки могат да се припишат на фармакологичното действие на лекарственото вещество. Дозировката, при която няма </w:t>
      </w:r>
    </w:p>
    <w:p w14:paraId="74C24551" w14:textId="3E22BAF8"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нежелани реакции и при двата вида е 0,3 </w:t>
      </w:r>
      <w:r w:rsidRPr="00E15137">
        <w:rPr>
          <w:rFonts w:eastAsia="Times New Roman" w:cs="Arial"/>
          <w:color w:val="000000"/>
          <w:lang w:val="en-US"/>
        </w:rPr>
        <w:t>mg</w:t>
      </w:r>
      <w:r w:rsidRPr="00E15137">
        <w:rPr>
          <w:rFonts w:eastAsia="Times New Roman" w:cs="Arial"/>
          <w:color w:val="000000"/>
          <w:lang w:val="ru-RU"/>
        </w:rPr>
        <w:t>/</w:t>
      </w:r>
      <w:r w:rsidRPr="00E15137">
        <w:rPr>
          <w:rFonts w:eastAsia="Times New Roman" w:cs="Arial"/>
          <w:color w:val="000000"/>
          <w:lang w:val="en-US"/>
        </w:rPr>
        <w:t>kg</w:t>
      </w:r>
      <w:r w:rsidRPr="00E15137">
        <w:rPr>
          <w:rFonts w:eastAsia="Times New Roman" w:cs="Arial"/>
          <w:color w:val="000000"/>
          <w:lang w:val="ru-RU"/>
        </w:rPr>
        <w:t>.</w:t>
      </w:r>
    </w:p>
    <w:p w14:paraId="7EDC00AD" w14:textId="77777777" w:rsidR="00E15137" w:rsidRDefault="00E15137" w:rsidP="00E15137">
      <w:pPr>
        <w:spacing w:line="240" w:lineRule="auto"/>
        <w:rPr>
          <w:rFonts w:eastAsia="Times New Roman" w:cs="Arial"/>
          <w:color w:val="000000"/>
          <w:lang w:eastAsia="bg-BG"/>
        </w:rPr>
      </w:pPr>
    </w:p>
    <w:p w14:paraId="5BEA3A06" w14:textId="1AF6886A" w:rsidR="00E15137" w:rsidRPr="00E15137" w:rsidRDefault="00E15137" w:rsidP="00E15137">
      <w:pPr>
        <w:spacing w:line="240" w:lineRule="auto"/>
        <w:rPr>
          <w:rFonts w:eastAsia="Times New Roman" w:cs="Arial"/>
        </w:rPr>
      </w:pPr>
      <w:r w:rsidRPr="00E15137">
        <w:rPr>
          <w:rFonts w:eastAsia="Times New Roman" w:cs="Arial"/>
          <w:color w:val="000000"/>
          <w:lang w:eastAsia="bg-BG"/>
        </w:rPr>
        <w:t xml:space="preserve">Проучвания </w:t>
      </w:r>
      <w:r w:rsidRPr="00E15137">
        <w:rPr>
          <w:rFonts w:eastAsia="Times New Roman" w:cs="Arial"/>
          <w:i/>
          <w:iCs/>
          <w:color w:val="000000"/>
          <w:lang w:val="en-US"/>
        </w:rPr>
        <w:t>in</w:t>
      </w:r>
      <w:r w:rsidRPr="00E15137">
        <w:rPr>
          <w:rFonts w:eastAsia="Times New Roman" w:cs="Arial"/>
          <w:i/>
          <w:iCs/>
          <w:color w:val="000000"/>
          <w:lang w:val="ru-RU"/>
        </w:rPr>
        <w:t xml:space="preserve"> </w:t>
      </w:r>
      <w:r w:rsidRPr="00E15137">
        <w:rPr>
          <w:rFonts w:eastAsia="Times New Roman" w:cs="Arial"/>
          <w:i/>
          <w:iCs/>
          <w:color w:val="000000"/>
          <w:lang w:val="en-US"/>
        </w:rPr>
        <w:t>vitro</w:t>
      </w:r>
      <w:r w:rsidRPr="00E15137">
        <w:rPr>
          <w:rFonts w:eastAsia="Times New Roman" w:cs="Arial"/>
          <w:color w:val="000000"/>
          <w:lang w:val="ru-RU"/>
        </w:rPr>
        <w:t xml:space="preserve"> </w:t>
      </w:r>
      <w:r w:rsidRPr="00E15137">
        <w:rPr>
          <w:rFonts w:eastAsia="Times New Roman" w:cs="Arial"/>
          <w:color w:val="000000"/>
          <w:lang w:eastAsia="bg-BG"/>
        </w:rPr>
        <w:t xml:space="preserve">и </w:t>
      </w:r>
      <w:r w:rsidRPr="00E15137">
        <w:rPr>
          <w:rFonts w:eastAsia="Times New Roman" w:cs="Arial"/>
          <w:i/>
          <w:iCs/>
          <w:color w:val="000000"/>
          <w:lang w:val="en-US"/>
        </w:rPr>
        <w:t>in</w:t>
      </w:r>
      <w:r w:rsidRPr="00E15137">
        <w:rPr>
          <w:rFonts w:eastAsia="Times New Roman" w:cs="Arial"/>
          <w:i/>
          <w:iCs/>
          <w:color w:val="000000"/>
          <w:lang w:val="ru-RU"/>
        </w:rPr>
        <w:t xml:space="preserve"> </w:t>
      </w:r>
      <w:r w:rsidRPr="00E15137">
        <w:rPr>
          <w:rFonts w:eastAsia="Times New Roman" w:cs="Arial"/>
          <w:i/>
          <w:iCs/>
          <w:color w:val="000000"/>
          <w:lang w:val="en-US"/>
        </w:rPr>
        <w:t>vivo</w:t>
      </w:r>
      <w:r w:rsidRPr="00E15137">
        <w:rPr>
          <w:rFonts w:eastAsia="Times New Roman" w:cs="Arial"/>
          <w:color w:val="000000"/>
          <w:lang w:val="ru-RU"/>
        </w:rPr>
        <w:t xml:space="preserve"> </w:t>
      </w:r>
      <w:r w:rsidRPr="00E15137">
        <w:rPr>
          <w:rFonts w:eastAsia="Times New Roman" w:cs="Arial"/>
          <w:color w:val="000000"/>
          <w:lang w:eastAsia="bg-BG"/>
        </w:rPr>
        <w:t>на мутагенния потенциал на летрозол не разкриват индикации за генотоксичност.</w:t>
      </w:r>
    </w:p>
    <w:p w14:paraId="47FCE7F2" w14:textId="77777777" w:rsidR="00E15137" w:rsidRDefault="00E15137" w:rsidP="00E15137">
      <w:pPr>
        <w:spacing w:line="240" w:lineRule="auto"/>
        <w:rPr>
          <w:rFonts w:eastAsia="Times New Roman" w:cs="Arial"/>
          <w:color w:val="000000"/>
          <w:lang w:eastAsia="bg-BG"/>
        </w:rPr>
      </w:pPr>
    </w:p>
    <w:p w14:paraId="43C0CCEC" w14:textId="5912F990" w:rsidR="00E15137" w:rsidRPr="00E15137" w:rsidRDefault="00E15137" w:rsidP="00E15137">
      <w:pPr>
        <w:spacing w:line="240" w:lineRule="auto"/>
        <w:rPr>
          <w:rFonts w:eastAsia="Times New Roman" w:cs="Arial"/>
        </w:rPr>
      </w:pPr>
      <w:r w:rsidRPr="00E15137">
        <w:rPr>
          <w:rFonts w:eastAsia="Times New Roman" w:cs="Arial"/>
          <w:color w:val="000000"/>
          <w:lang w:eastAsia="bg-BG"/>
        </w:rPr>
        <w:t>При 104-седмично проучване за карциногенност при плъховве не са установени свързани с лечението тумори при мъжките плъхове. При женските плъхове беше установена понижена честота на доброкачествените и злокачествените гръдни тумори при всички дозировки на летрозол.</w:t>
      </w:r>
    </w:p>
    <w:p w14:paraId="5DCA2A7F" w14:textId="77777777" w:rsidR="00E15137" w:rsidRDefault="00E15137" w:rsidP="00E15137">
      <w:pPr>
        <w:rPr>
          <w:rFonts w:eastAsia="Times New Roman" w:cs="Arial"/>
          <w:color w:val="000000"/>
          <w:lang w:eastAsia="bg-BG"/>
        </w:rPr>
      </w:pPr>
    </w:p>
    <w:p w14:paraId="36CBB93A" w14:textId="77777777" w:rsidR="00E15137" w:rsidRPr="00E15137" w:rsidRDefault="00E15137" w:rsidP="00E15137">
      <w:pPr>
        <w:rPr>
          <w:rFonts w:eastAsia="Times New Roman" w:cs="Arial"/>
        </w:rPr>
      </w:pPr>
      <w:r w:rsidRPr="00E15137">
        <w:rPr>
          <w:rFonts w:eastAsia="Times New Roman" w:cs="Arial"/>
          <w:color w:val="000000"/>
          <w:lang w:eastAsia="bg-BG"/>
        </w:rPr>
        <w:t>Летрозол е ембриотоксичен и фетотоксичен при бременни плъхове и зайци след перорален прием на клинично значими дози. При плъхове с живи фетуси се наблюдава повишена честота на фетални малформации, включително куполообразна глава и цервикална/централна вертебрална фузия. Все пак не е възможно да се прецени дали това е индиректно следствие от</w:t>
      </w:r>
      <w:r w:rsidRPr="00E15137">
        <w:rPr>
          <w:rFonts w:eastAsia="Times New Roman" w:cs="Arial"/>
          <w:color w:val="000000"/>
          <w:lang w:val="ru-RU" w:eastAsia="bg-BG"/>
        </w:rPr>
        <w:t xml:space="preserve"> </w:t>
      </w:r>
      <w:r w:rsidRPr="00E15137">
        <w:rPr>
          <w:rFonts w:eastAsia="Times New Roman" w:cs="Arial"/>
          <w:color w:val="000000"/>
          <w:lang w:eastAsia="bg-BG"/>
        </w:rPr>
        <w:t xml:space="preserve">фармакологичните свойства (инхибиране на </w:t>
      </w:r>
      <w:r w:rsidRPr="00E15137">
        <w:rPr>
          <w:rFonts w:eastAsia="Times New Roman" w:cs="Arial"/>
          <w:color w:val="000000"/>
          <w:lang w:eastAsia="bg-BG"/>
        </w:rPr>
        <w:lastRenderedPageBreak/>
        <w:t>биосинтезата на естрогени), или директен резултат от ефекта на летрозол (виж точки 4.3 и 4.6).</w:t>
      </w:r>
    </w:p>
    <w:p w14:paraId="7FB013A6" w14:textId="77777777" w:rsidR="00E15137" w:rsidRPr="00E15137" w:rsidRDefault="00E15137" w:rsidP="00E15137">
      <w:pPr>
        <w:spacing w:line="240" w:lineRule="auto"/>
        <w:rPr>
          <w:rFonts w:eastAsia="Times New Roman" w:cs="Arial"/>
          <w:color w:val="000000"/>
          <w:lang w:eastAsia="bg-BG"/>
        </w:rPr>
      </w:pPr>
    </w:p>
    <w:p w14:paraId="408DAF93" w14:textId="16957B83" w:rsidR="00E15137" w:rsidRPr="00E15137" w:rsidRDefault="00E15137" w:rsidP="00E15137">
      <w:pPr>
        <w:spacing w:line="240" w:lineRule="auto"/>
        <w:rPr>
          <w:rFonts w:eastAsia="Times New Roman" w:cs="Arial"/>
        </w:rPr>
      </w:pPr>
      <w:r w:rsidRPr="00E15137">
        <w:rPr>
          <w:rFonts w:eastAsia="Times New Roman" w:cs="Arial"/>
          <w:color w:val="000000"/>
          <w:lang w:eastAsia="bg-BG"/>
        </w:rPr>
        <w:t>Предклиничните наблюдения са ограничени само до тези, асоциирани с известното фармакологично действие, което е единственото съображение за безопасност при употреба при хора, изведено от проучванията при животни.</w:t>
      </w:r>
    </w:p>
    <w:p w14:paraId="218BD420" w14:textId="2FCD3057" w:rsidR="00E15137" w:rsidRPr="00E15137" w:rsidRDefault="00E15137" w:rsidP="00E15137">
      <w:pPr>
        <w:rPr>
          <w:rFonts w:cs="Arial"/>
        </w:rPr>
      </w:pPr>
    </w:p>
    <w:p w14:paraId="1BA6531D" w14:textId="44893D31" w:rsidR="00B6672E" w:rsidRDefault="002C50EE" w:rsidP="00936AD0">
      <w:pPr>
        <w:pStyle w:val="Heading1"/>
      </w:pPr>
      <w:r>
        <w:t>7. ПРИТЕЖАТЕЛ НА РАЗРЕШЕНИЕТО ЗА УПОТРЕБА</w:t>
      </w:r>
    </w:p>
    <w:p w14:paraId="5FFD48EB" w14:textId="12E345E0" w:rsidR="00E15137" w:rsidRDefault="00E15137" w:rsidP="00E15137"/>
    <w:p w14:paraId="7FD6750A" w14:textId="77777777" w:rsidR="00E15137" w:rsidRDefault="00E15137" w:rsidP="00E15137">
      <w:pPr>
        <w:rPr>
          <w:lang w:eastAsia="bg-BG"/>
        </w:rPr>
      </w:pPr>
      <w:r>
        <w:rPr>
          <w:lang w:eastAsia="bg-BG"/>
        </w:rPr>
        <w:t>“ЧаJ</w:t>
      </w:r>
      <w:r w:rsidRPr="00E15137">
        <w:rPr>
          <w:lang w:eastAsia="bg-BG"/>
        </w:rPr>
        <w:t xml:space="preserve">кафарма Висококачествените Лекарства” АД </w:t>
      </w:r>
    </w:p>
    <w:p w14:paraId="1663F42D" w14:textId="77777777" w:rsidR="00E15137" w:rsidRDefault="00E15137" w:rsidP="00E15137">
      <w:pPr>
        <w:rPr>
          <w:lang w:eastAsia="bg-BG"/>
        </w:rPr>
      </w:pPr>
      <w:r w:rsidRPr="00E15137">
        <w:rPr>
          <w:lang w:eastAsia="bg-BG"/>
        </w:rPr>
        <w:t xml:space="preserve">гр. София 1172, “Г,М Димитров” № 1, България </w:t>
      </w:r>
    </w:p>
    <w:p w14:paraId="42E58BB1" w14:textId="77777777" w:rsidR="00E15137" w:rsidRDefault="00E15137" w:rsidP="00E15137">
      <w:pPr>
        <w:rPr>
          <w:lang w:eastAsia="bg-BG"/>
        </w:rPr>
      </w:pPr>
      <w:r w:rsidRPr="00E15137">
        <w:rPr>
          <w:lang w:eastAsia="bg-BG"/>
        </w:rPr>
        <w:t xml:space="preserve">тел.: 02/ 962 54 54 </w:t>
      </w:r>
    </w:p>
    <w:p w14:paraId="57A24CAF" w14:textId="139B2BA1" w:rsidR="00E15137" w:rsidRPr="00E15137" w:rsidRDefault="00E15137" w:rsidP="00E15137">
      <w:pPr>
        <w:rPr>
          <w:sz w:val="24"/>
          <w:szCs w:val="24"/>
        </w:rPr>
      </w:pPr>
      <w:r w:rsidRPr="00E15137">
        <w:rPr>
          <w:lang w:eastAsia="bg-BG"/>
        </w:rPr>
        <w:t>факс: 02/ 960 37 03</w:t>
      </w:r>
    </w:p>
    <w:p w14:paraId="0864AF7E" w14:textId="6B3491F8" w:rsidR="00E15137" w:rsidRPr="00E15137" w:rsidRDefault="00E15137" w:rsidP="00E15137">
      <w:pPr>
        <w:rPr>
          <w:sz w:val="24"/>
          <w:szCs w:val="24"/>
        </w:rPr>
      </w:pPr>
      <w:proofErr w:type="gramStart"/>
      <w:r w:rsidRPr="00E15137">
        <w:rPr>
          <w:lang w:val="en-US"/>
        </w:rPr>
        <w:t>e-mail</w:t>
      </w:r>
      <w:proofErr w:type="gramEnd"/>
      <w:r w:rsidRPr="00E15137">
        <w:rPr>
          <w:lang w:val="en-US"/>
        </w:rPr>
        <w:t>: info@</w:t>
      </w:r>
      <w:r>
        <w:rPr>
          <w:lang w:val="en-US"/>
        </w:rPr>
        <w:t>tchaikapharm</w:t>
      </w:r>
      <w:r w:rsidRPr="00E15137">
        <w:rPr>
          <w:lang w:val="en-US"/>
        </w:rPr>
        <w:t>a.</w:t>
      </w:r>
      <w:r>
        <w:rPr>
          <w:lang w:val="en-US"/>
        </w:rPr>
        <w:t>com</w:t>
      </w:r>
    </w:p>
    <w:p w14:paraId="33FC686F" w14:textId="77777777" w:rsidR="00E15137" w:rsidRPr="00E15137" w:rsidRDefault="00E15137" w:rsidP="00E15137"/>
    <w:p w14:paraId="508F3A54" w14:textId="5AD0CF47" w:rsidR="00B6672E" w:rsidRDefault="00936AD0" w:rsidP="00936AD0">
      <w:pPr>
        <w:pStyle w:val="Heading1"/>
      </w:pPr>
      <w:r>
        <w:t>8.</w:t>
      </w:r>
      <w:r w:rsidR="002C50EE">
        <w:t>НОМЕР НА РАЗРЕШЕНИЕТО ЗА УПОТРЕБА</w:t>
      </w:r>
    </w:p>
    <w:p w14:paraId="17ACBE1F" w14:textId="5906713E" w:rsidR="00E15137" w:rsidRDefault="00E15137" w:rsidP="00E15137"/>
    <w:p w14:paraId="67334A63" w14:textId="53A39A77" w:rsidR="00E15137" w:rsidRPr="00E15137" w:rsidRDefault="00E15137" w:rsidP="00E15137">
      <w:r>
        <w:t>№11-4915/19.05.2009</w:t>
      </w:r>
    </w:p>
    <w:p w14:paraId="2CCB5832" w14:textId="4669A544" w:rsidR="007C605B" w:rsidRDefault="002C50EE" w:rsidP="007C605B">
      <w:pPr>
        <w:pStyle w:val="Heading1"/>
      </w:pPr>
      <w:r>
        <w:t>9. ДАТА НА ПЪРВО РАЗРЕШАВАНЕ/ПОДНОВЯВАНЕ НА РАЗРЕШЕНИЕТО ЗА УПОТРЕБА</w:t>
      </w:r>
    </w:p>
    <w:p w14:paraId="5DF5F9F8" w14:textId="408377E2" w:rsidR="00E15137" w:rsidRDefault="00E15137" w:rsidP="00E15137"/>
    <w:p w14:paraId="0E9AFC4F" w14:textId="6E6F604E" w:rsidR="00E15137" w:rsidRPr="00E15137" w:rsidRDefault="00E15137" w:rsidP="00E15137">
      <w:r>
        <w:t>19.05.2009</w:t>
      </w:r>
    </w:p>
    <w:p w14:paraId="0E9D0119" w14:textId="0245C6D7" w:rsidR="002C50EE" w:rsidRDefault="002C50EE" w:rsidP="002C50EE">
      <w:pPr>
        <w:pStyle w:val="Heading1"/>
      </w:pPr>
      <w:r>
        <w:t>10. ДАТА НА АКТУАЛИЗИРАНЕ НА ТЕКСТА</w:t>
      </w:r>
    </w:p>
    <w:bookmarkEnd w:id="0"/>
    <w:p w14:paraId="43FB38A2" w14:textId="566203D0" w:rsidR="007C605B" w:rsidRPr="003E3126" w:rsidRDefault="00E15137" w:rsidP="00E15137">
      <w:r>
        <w:t>05/2021</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3E06FD"/>
    <w:multiLevelType w:val="hybridMultilevel"/>
    <w:tmpl w:val="9D8C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7D55B46"/>
    <w:multiLevelType w:val="multilevel"/>
    <w:tmpl w:val="A32EC37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6"/>
  </w:num>
  <w:num w:numId="4">
    <w:abstractNumId w:val="4"/>
  </w:num>
  <w:num w:numId="5">
    <w:abstractNumId w:val="1"/>
  </w:num>
  <w:num w:numId="6">
    <w:abstractNumId w:val="19"/>
  </w:num>
  <w:num w:numId="7">
    <w:abstractNumId w:val="13"/>
  </w:num>
  <w:num w:numId="8">
    <w:abstractNumId w:val="18"/>
  </w:num>
  <w:num w:numId="9">
    <w:abstractNumId w:val="3"/>
  </w:num>
  <w:num w:numId="10">
    <w:abstractNumId w:val="5"/>
  </w:num>
  <w:num w:numId="11">
    <w:abstractNumId w:val="33"/>
  </w:num>
  <w:num w:numId="12">
    <w:abstractNumId w:val="17"/>
  </w:num>
  <w:num w:numId="13">
    <w:abstractNumId w:val="22"/>
  </w:num>
  <w:num w:numId="14">
    <w:abstractNumId w:val="15"/>
  </w:num>
  <w:num w:numId="15">
    <w:abstractNumId w:val="32"/>
  </w:num>
  <w:num w:numId="16">
    <w:abstractNumId w:val="12"/>
  </w:num>
  <w:num w:numId="17">
    <w:abstractNumId w:val="27"/>
  </w:num>
  <w:num w:numId="18">
    <w:abstractNumId w:val="9"/>
  </w:num>
  <w:num w:numId="19">
    <w:abstractNumId w:val="29"/>
  </w:num>
  <w:num w:numId="20">
    <w:abstractNumId w:val="26"/>
  </w:num>
  <w:num w:numId="21">
    <w:abstractNumId w:val="20"/>
  </w:num>
  <w:num w:numId="22">
    <w:abstractNumId w:val="28"/>
  </w:num>
  <w:num w:numId="23">
    <w:abstractNumId w:val="21"/>
  </w:num>
  <w:num w:numId="24">
    <w:abstractNumId w:val="10"/>
  </w:num>
  <w:num w:numId="25">
    <w:abstractNumId w:val="25"/>
  </w:num>
  <w:num w:numId="26">
    <w:abstractNumId w:val="24"/>
  </w:num>
  <w:num w:numId="27">
    <w:abstractNumId w:val="34"/>
  </w:num>
  <w:num w:numId="28">
    <w:abstractNumId w:val="7"/>
  </w:num>
  <w:num w:numId="29">
    <w:abstractNumId w:val="23"/>
  </w:num>
  <w:num w:numId="30">
    <w:abstractNumId w:val="37"/>
  </w:num>
  <w:num w:numId="31">
    <w:abstractNumId w:val="6"/>
  </w:num>
  <w:num w:numId="32">
    <w:abstractNumId w:val="36"/>
  </w:num>
  <w:num w:numId="33">
    <w:abstractNumId w:val="31"/>
  </w:num>
  <w:num w:numId="34">
    <w:abstractNumId w:val="35"/>
  </w:num>
  <w:num w:numId="35">
    <w:abstractNumId w:val="8"/>
  </w:num>
  <w:num w:numId="36">
    <w:abstractNumId w:val="11"/>
  </w:num>
  <w:num w:numId="37">
    <w:abstractNumId w:val="1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25740"/>
    <w:rsid w:val="00C33464"/>
    <w:rsid w:val="00C40420"/>
    <w:rsid w:val="00C809A7"/>
    <w:rsid w:val="00C83063"/>
    <w:rsid w:val="00C87E90"/>
    <w:rsid w:val="00CA1B57"/>
    <w:rsid w:val="00CF77F7"/>
    <w:rsid w:val="00D86297"/>
    <w:rsid w:val="00DD466D"/>
    <w:rsid w:val="00E15137"/>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5300</Words>
  <Characters>30213</Characters>
  <Application>Microsoft Office Word</Application>
  <DocSecurity>0</DocSecurity>
  <Lines>251</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2022-10-04T20:32:00Z</dcterms:created>
  <dcterms:modified xsi:type="dcterms:W3CDTF">2022-10-04T20:32:00Z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