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283BA6FC" w:rsidR="00C40420" w:rsidRDefault="00DD466D" w:rsidP="004A448E">
      <w:pPr>
        <w:pStyle w:val="Heading1"/>
      </w:pPr>
      <w:r>
        <w:t>1.ИМЕ НА ЛЕКАРСТВЕНИЯ ПРОДУКТ</w:t>
      </w:r>
    </w:p>
    <w:p w14:paraId="1381EA31" w14:textId="7A0208B4" w:rsidR="00784150" w:rsidRDefault="00784150" w:rsidP="00784150"/>
    <w:p w14:paraId="1150C499" w14:textId="77777777" w:rsidR="00784150" w:rsidRPr="00784150" w:rsidRDefault="00784150" w:rsidP="00784150">
      <w:pPr>
        <w:rPr>
          <w:sz w:val="24"/>
          <w:szCs w:val="24"/>
        </w:rPr>
      </w:pPr>
      <w:r w:rsidRPr="00784150">
        <w:rPr>
          <w:lang w:eastAsia="bg-BG"/>
        </w:rPr>
        <w:t xml:space="preserve">Летрозол МС Фарма 2,5 </w:t>
      </w:r>
      <w:r w:rsidRPr="00784150">
        <w:rPr>
          <w:lang w:val="en-US"/>
        </w:rPr>
        <w:t>mg</w:t>
      </w:r>
      <w:r w:rsidRPr="00784150">
        <w:rPr>
          <w:lang w:val="ru-RU"/>
        </w:rPr>
        <w:t xml:space="preserve"> </w:t>
      </w:r>
      <w:r w:rsidRPr="00784150">
        <w:rPr>
          <w:lang w:eastAsia="bg-BG"/>
        </w:rPr>
        <w:t>филмирани таблетки</w:t>
      </w:r>
    </w:p>
    <w:p w14:paraId="6292CA91" w14:textId="77777777" w:rsidR="00784150" w:rsidRPr="00784150" w:rsidRDefault="00784150" w:rsidP="00784150">
      <w:pPr>
        <w:rPr>
          <w:sz w:val="24"/>
          <w:szCs w:val="24"/>
        </w:rPr>
      </w:pPr>
      <w:r w:rsidRPr="00784150">
        <w:rPr>
          <w:lang w:val="en-US"/>
        </w:rPr>
        <w:t xml:space="preserve">Letrozole </w:t>
      </w:r>
      <w:r w:rsidRPr="00784150">
        <w:rPr>
          <w:lang w:eastAsia="bg-BG"/>
        </w:rPr>
        <w:t xml:space="preserve">МС </w:t>
      </w:r>
      <w:r w:rsidRPr="00784150">
        <w:rPr>
          <w:lang w:val="en-US"/>
        </w:rPr>
        <w:t xml:space="preserve">Pharma </w:t>
      </w:r>
      <w:r w:rsidRPr="00784150">
        <w:rPr>
          <w:lang w:eastAsia="bg-BG"/>
        </w:rPr>
        <w:t xml:space="preserve">2,5 </w:t>
      </w:r>
      <w:r w:rsidRPr="00784150">
        <w:rPr>
          <w:lang w:val="en-US"/>
        </w:rPr>
        <w:t>mg film-coated tablets</w:t>
      </w:r>
    </w:p>
    <w:p w14:paraId="3B14D65B" w14:textId="77777777" w:rsidR="00784150" w:rsidRPr="00784150" w:rsidRDefault="00784150" w:rsidP="00784150"/>
    <w:p w14:paraId="6920A680" w14:textId="3472043A" w:rsidR="00C40420" w:rsidRDefault="00DD466D" w:rsidP="004A448E">
      <w:pPr>
        <w:pStyle w:val="Heading1"/>
      </w:pPr>
      <w:r>
        <w:t>2. КАЧЕСТВЕН И КОЛИЧЕСТВЕН СЪСТАВ</w:t>
      </w:r>
    </w:p>
    <w:p w14:paraId="1518FFF6" w14:textId="7B204081" w:rsidR="00784150" w:rsidRDefault="00784150" w:rsidP="00784150"/>
    <w:p w14:paraId="013B9B91" w14:textId="77777777" w:rsidR="00784150" w:rsidRPr="00784150" w:rsidRDefault="00784150" w:rsidP="00784150">
      <w:pPr>
        <w:rPr>
          <w:sz w:val="24"/>
          <w:szCs w:val="24"/>
        </w:rPr>
      </w:pPr>
      <w:r w:rsidRPr="00784150">
        <w:rPr>
          <w:lang w:eastAsia="bg-BG"/>
        </w:rPr>
        <w:t xml:space="preserve">Всяка филмирана таблетка съдържа 2,5 </w:t>
      </w:r>
      <w:r w:rsidRPr="00784150">
        <w:rPr>
          <w:lang w:val="en-US"/>
        </w:rPr>
        <w:t>mg</w:t>
      </w:r>
      <w:r w:rsidRPr="00784150">
        <w:t xml:space="preserve"> </w:t>
      </w:r>
      <w:r w:rsidRPr="00784150">
        <w:rPr>
          <w:lang w:eastAsia="bg-BG"/>
        </w:rPr>
        <w:t xml:space="preserve">летрозол </w:t>
      </w:r>
      <w:r w:rsidRPr="00784150">
        <w:rPr>
          <w:i/>
          <w:iCs/>
        </w:rPr>
        <w:t>(</w:t>
      </w:r>
      <w:r w:rsidRPr="00784150">
        <w:rPr>
          <w:i/>
          <w:iCs/>
          <w:lang w:val="en-US"/>
        </w:rPr>
        <w:t>letrozole</w:t>
      </w:r>
      <w:r w:rsidRPr="00784150">
        <w:rPr>
          <w:i/>
          <w:iCs/>
        </w:rPr>
        <w:t>).</w:t>
      </w:r>
    </w:p>
    <w:p w14:paraId="3B9E39A6" w14:textId="77777777" w:rsidR="00784150" w:rsidRDefault="00784150" w:rsidP="00784150">
      <w:pPr>
        <w:rPr>
          <w:lang w:eastAsia="bg-BG"/>
        </w:rPr>
      </w:pPr>
    </w:p>
    <w:p w14:paraId="66CBB44F" w14:textId="051617DD" w:rsidR="00784150" w:rsidRPr="00784150" w:rsidRDefault="00784150" w:rsidP="00784150">
      <w:pPr>
        <w:rPr>
          <w:sz w:val="24"/>
          <w:szCs w:val="24"/>
        </w:rPr>
      </w:pPr>
      <w:r w:rsidRPr="00784150">
        <w:rPr>
          <w:lang w:eastAsia="bg-BG"/>
        </w:rPr>
        <w:t>Помощно вещество с известно действие:</w:t>
      </w:r>
    </w:p>
    <w:p w14:paraId="2FD1221A" w14:textId="77777777" w:rsidR="00784150" w:rsidRPr="00784150" w:rsidRDefault="00784150" w:rsidP="00784150">
      <w:pPr>
        <w:rPr>
          <w:sz w:val="24"/>
          <w:szCs w:val="24"/>
        </w:rPr>
      </w:pPr>
      <w:r w:rsidRPr="00784150">
        <w:rPr>
          <w:lang w:eastAsia="bg-BG"/>
        </w:rPr>
        <w:t xml:space="preserve">Всяка филмирана таблетка съдържа 45 </w:t>
      </w:r>
      <w:r w:rsidRPr="00784150">
        <w:rPr>
          <w:lang w:val="en-US"/>
        </w:rPr>
        <w:t>mg</w:t>
      </w:r>
      <w:r w:rsidRPr="00784150">
        <w:rPr>
          <w:lang w:val="ru-RU"/>
        </w:rPr>
        <w:t xml:space="preserve"> </w:t>
      </w:r>
      <w:r w:rsidRPr="00784150">
        <w:rPr>
          <w:lang w:eastAsia="bg-BG"/>
        </w:rPr>
        <w:t>лактоза монохидрат.</w:t>
      </w:r>
    </w:p>
    <w:p w14:paraId="1F578149" w14:textId="77777777" w:rsidR="00784150" w:rsidRPr="00784150" w:rsidRDefault="00784150" w:rsidP="00784150"/>
    <w:p w14:paraId="614984C4" w14:textId="40167045" w:rsidR="008A6AF2" w:rsidRDefault="00DD466D" w:rsidP="002C50EE">
      <w:pPr>
        <w:pStyle w:val="Heading1"/>
      </w:pPr>
      <w:r>
        <w:t>3. ЛЕКАРСТВЕНА ФОРМА</w:t>
      </w:r>
    </w:p>
    <w:p w14:paraId="37DDCE2D" w14:textId="533B5649" w:rsidR="00784150" w:rsidRDefault="00784150" w:rsidP="00784150"/>
    <w:p w14:paraId="642BF6F4" w14:textId="77777777" w:rsidR="00784150" w:rsidRPr="00784150" w:rsidRDefault="00784150" w:rsidP="00784150">
      <w:pPr>
        <w:rPr>
          <w:sz w:val="24"/>
          <w:szCs w:val="24"/>
        </w:rPr>
      </w:pPr>
      <w:r w:rsidRPr="00784150">
        <w:rPr>
          <w:lang w:eastAsia="bg-BG"/>
        </w:rPr>
        <w:t>Филмирана таблетка.</w:t>
      </w:r>
    </w:p>
    <w:p w14:paraId="05ADDC0A" w14:textId="77777777" w:rsidR="00784150" w:rsidRPr="00784150" w:rsidRDefault="00784150" w:rsidP="00784150">
      <w:pPr>
        <w:rPr>
          <w:sz w:val="24"/>
          <w:szCs w:val="24"/>
        </w:rPr>
      </w:pPr>
      <w:r w:rsidRPr="00784150">
        <w:rPr>
          <w:lang w:eastAsia="bg-BG"/>
        </w:rPr>
        <w:t>Жълти, кръгли, двойноизпъкнали филмирани таблетки без делителна черта.</w:t>
      </w:r>
    </w:p>
    <w:p w14:paraId="266A025E" w14:textId="77777777" w:rsidR="00784150" w:rsidRPr="00784150" w:rsidRDefault="00784150" w:rsidP="00784150"/>
    <w:p w14:paraId="490FC2C4" w14:textId="32682B15" w:rsidR="002C50EE" w:rsidRDefault="002C50EE" w:rsidP="002C50EE">
      <w:pPr>
        <w:pStyle w:val="Heading1"/>
      </w:pPr>
      <w:r>
        <w:t>4. КЛИНИЧНИ ДАННИ</w:t>
      </w:r>
    </w:p>
    <w:p w14:paraId="0C8E6903" w14:textId="79DF2699" w:rsidR="008134C8" w:rsidRDefault="002C50EE" w:rsidP="004A448E">
      <w:pPr>
        <w:pStyle w:val="Heading2"/>
      </w:pPr>
      <w:r>
        <w:t>4.1. Терапевтични показания</w:t>
      </w:r>
    </w:p>
    <w:p w14:paraId="00D8B9EA" w14:textId="15610314" w:rsidR="00784150" w:rsidRDefault="00784150" w:rsidP="00784150"/>
    <w:p w14:paraId="11167FAB" w14:textId="77777777" w:rsidR="00784150" w:rsidRDefault="00784150" w:rsidP="00784150">
      <w:pPr>
        <w:pStyle w:val="ListParagraph"/>
        <w:numPr>
          <w:ilvl w:val="0"/>
          <w:numId w:val="35"/>
        </w:numPr>
        <w:spacing w:line="240" w:lineRule="auto"/>
        <w:rPr>
          <w:rFonts w:eastAsia="Times New Roman" w:cs="Arial"/>
          <w:color w:val="000000"/>
          <w:lang w:eastAsia="bg-BG"/>
        </w:rPr>
      </w:pPr>
      <w:r w:rsidRPr="00784150">
        <w:rPr>
          <w:rFonts w:eastAsia="Times New Roman" w:cs="Arial"/>
          <w:color w:val="000000"/>
          <w:lang w:eastAsia="bg-BG"/>
        </w:rPr>
        <w:t>Адювантна терапия при жени в постменопауза с позитивен за хормонални рецептори инвазивен рак на гърдата в начален стадий.</w:t>
      </w:r>
    </w:p>
    <w:p w14:paraId="5EBCB349" w14:textId="77777777" w:rsidR="00784150" w:rsidRDefault="00784150" w:rsidP="00784150">
      <w:pPr>
        <w:pStyle w:val="ListParagraph"/>
        <w:numPr>
          <w:ilvl w:val="0"/>
          <w:numId w:val="35"/>
        </w:numPr>
        <w:spacing w:line="240" w:lineRule="auto"/>
        <w:rPr>
          <w:rFonts w:eastAsia="Times New Roman" w:cs="Arial"/>
          <w:color w:val="000000"/>
          <w:lang w:eastAsia="bg-BG"/>
        </w:rPr>
      </w:pPr>
      <w:r w:rsidRPr="00784150">
        <w:rPr>
          <w:rFonts w:eastAsia="Times New Roman" w:cs="Arial"/>
          <w:color w:val="000000"/>
          <w:lang w:eastAsia="bg-BG"/>
        </w:rPr>
        <w:t>Разширена адювантна терапия на позитивен за хормонални рецептори инвазивен рак на гърдата при жени в постменопауза, които преди това са били лекувани с тамоксифен като стандартна адювантна терапия за период от 5 години.</w:t>
      </w:r>
    </w:p>
    <w:p w14:paraId="5FF6BA21" w14:textId="77777777" w:rsidR="00784150" w:rsidRDefault="00784150" w:rsidP="00784150">
      <w:pPr>
        <w:pStyle w:val="ListParagraph"/>
        <w:numPr>
          <w:ilvl w:val="0"/>
          <w:numId w:val="35"/>
        </w:numPr>
        <w:spacing w:line="240" w:lineRule="auto"/>
        <w:rPr>
          <w:rFonts w:eastAsia="Times New Roman" w:cs="Arial"/>
          <w:color w:val="000000"/>
          <w:lang w:eastAsia="bg-BG"/>
        </w:rPr>
      </w:pPr>
      <w:r w:rsidRPr="00784150">
        <w:rPr>
          <w:rFonts w:eastAsia="Times New Roman" w:cs="Arial"/>
          <w:color w:val="000000"/>
          <w:lang w:eastAsia="bg-BG"/>
        </w:rPr>
        <w:t>Терапия от първа линия при жени в постменопауза с позитивен за хормонални рецептори авансирал рак на гърдата.</w:t>
      </w:r>
    </w:p>
    <w:p w14:paraId="73F5B759" w14:textId="77777777" w:rsidR="00784150" w:rsidRDefault="00784150" w:rsidP="00784150">
      <w:pPr>
        <w:pStyle w:val="ListParagraph"/>
        <w:numPr>
          <w:ilvl w:val="0"/>
          <w:numId w:val="35"/>
        </w:numPr>
        <w:spacing w:line="240" w:lineRule="auto"/>
        <w:rPr>
          <w:rFonts w:eastAsia="Times New Roman" w:cs="Arial"/>
          <w:color w:val="000000"/>
          <w:lang w:eastAsia="bg-BG"/>
        </w:rPr>
      </w:pPr>
      <w:r w:rsidRPr="00784150">
        <w:rPr>
          <w:rFonts w:eastAsia="Times New Roman" w:cs="Arial"/>
          <w:color w:val="000000"/>
          <w:lang w:eastAsia="bg-BG"/>
        </w:rPr>
        <w:t>Лечение на авансирал рак на гърдата след рецидив или прогресия на заболяването при жени с естествен или изкуствено индуциран постменопаузален ендокринен статус, които преди това са лекувани с антиестрогени,</w:t>
      </w:r>
    </w:p>
    <w:p w14:paraId="46CD1D24" w14:textId="5DBB4292" w:rsidR="00784150" w:rsidRPr="00784150" w:rsidRDefault="00784150" w:rsidP="00784150">
      <w:pPr>
        <w:pStyle w:val="ListParagraph"/>
        <w:numPr>
          <w:ilvl w:val="0"/>
          <w:numId w:val="35"/>
        </w:numPr>
        <w:spacing w:line="240" w:lineRule="auto"/>
        <w:rPr>
          <w:rFonts w:eastAsia="Times New Roman" w:cs="Arial"/>
          <w:color w:val="000000"/>
          <w:lang w:eastAsia="bg-BG"/>
        </w:rPr>
      </w:pPr>
      <w:r w:rsidRPr="00784150">
        <w:rPr>
          <w:rFonts w:eastAsia="Times New Roman" w:cs="Arial"/>
          <w:color w:val="000000"/>
          <w:lang w:eastAsia="bg-BG"/>
        </w:rPr>
        <w:t xml:space="preserve">Неоадювантна терапия при жени в постменопауза с позитивен за хормонални рецептори, </w:t>
      </w:r>
      <w:r w:rsidRPr="00784150">
        <w:rPr>
          <w:rFonts w:eastAsia="Times New Roman" w:cs="Arial"/>
          <w:color w:val="000000"/>
          <w:lang w:val="en-US"/>
        </w:rPr>
        <w:t>HER</w:t>
      </w:r>
      <w:r w:rsidRPr="00784150">
        <w:rPr>
          <w:rFonts w:eastAsia="Times New Roman" w:cs="Arial"/>
          <w:color w:val="000000"/>
          <w:lang w:val="ru-RU"/>
        </w:rPr>
        <w:t xml:space="preserve">-2 </w:t>
      </w:r>
      <w:r w:rsidRPr="00784150">
        <w:rPr>
          <w:rFonts w:eastAsia="Times New Roman" w:cs="Arial"/>
          <w:color w:val="000000"/>
          <w:lang w:eastAsia="bg-BG"/>
        </w:rPr>
        <w:t>негативен рак на гърдата, при които химиотерапията не е подходяща и липсват показания за незабавно оперативно лечение.</w:t>
      </w:r>
    </w:p>
    <w:p w14:paraId="583C5500" w14:textId="77777777" w:rsidR="00784150" w:rsidRDefault="00784150" w:rsidP="00784150">
      <w:pPr>
        <w:rPr>
          <w:rFonts w:eastAsia="Times New Roman" w:cs="Arial"/>
          <w:color w:val="000000"/>
          <w:lang w:eastAsia="bg-BG"/>
        </w:rPr>
      </w:pPr>
    </w:p>
    <w:p w14:paraId="45BFCB2B" w14:textId="3487C925" w:rsidR="00784150" w:rsidRPr="00784150" w:rsidRDefault="00784150" w:rsidP="00784150">
      <w:pPr>
        <w:rPr>
          <w:rFonts w:eastAsia="Times New Roman" w:cs="Arial"/>
          <w:color w:val="000000"/>
          <w:lang w:eastAsia="bg-BG"/>
        </w:rPr>
      </w:pPr>
      <w:r w:rsidRPr="00784150">
        <w:rPr>
          <w:rFonts w:eastAsia="Times New Roman" w:cs="Arial"/>
          <w:color w:val="000000"/>
          <w:lang w:eastAsia="bg-BG"/>
        </w:rPr>
        <w:t>Не е доказана ефикасност при пациенти с негативен за хормонални рецептори рак на гърдата.</w:t>
      </w:r>
    </w:p>
    <w:p w14:paraId="56EBE3FD" w14:textId="77777777" w:rsidR="00784150" w:rsidRPr="00784150" w:rsidRDefault="00784150" w:rsidP="00784150"/>
    <w:p w14:paraId="30BE2C7B" w14:textId="1D95C28F" w:rsidR="008134C8" w:rsidRDefault="002C50EE" w:rsidP="004A448E">
      <w:pPr>
        <w:pStyle w:val="Heading2"/>
      </w:pPr>
      <w:r>
        <w:t>4.2. Дозировка и начин на приложение</w:t>
      </w:r>
    </w:p>
    <w:p w14:paraId="1555AE76" w14:textId="1312956C" w:rsidR="00784150" w:rsidRDefault="00784150" w:rsidP="00784150"/>
    <w:p w14:paraId="01E8180D" w14:textId="77777777" w:rsidR="00784150" w:rsidRPr="00784150" w:rsidRDefault="00784150" w:rsidP="00784150">
      <w:pPr>
        <w:pStyle w:val="Heading3"/>
        <w:rPr>
          <w:rFonts w:eastAsia="Times New Roman"/>
          <w:u w:val="single"/>
        </w:rPr>
      </w:pPr>
      <w:r w:rsidRPr="00784150">
        <w:rPr>
          <w:rFonts w:eastAsia="Times New Roman"/>
          <w:u w:val="single"/>
          <w:lang w:eastAsia="bg-BG"/>
        </w:rPr>
        <w:lastRenderedPageBreak/>
        <w:t>Дозировка</w:t>
      </w:r>
    </w:p>
    <w:p w14:paraId="51C98E46" w14:textId="77777777" w:rsidR="00784150" w:rsidRDefault="00784150" w:rsidP="00784150">
      <w:pPr>
        <w:spacing w:line="240" w:lineRule="auto"/>
        <w:rPr>
          <w:rFonts w:eastAsia="Times New Roman" w:cs="Arial"/>
          <w:i/>
          <w:iCs/>
          <w:color w:val="000000"/>
          <w:u w:val="single"/>
          <w:lang w:eastAsia="bg-BG"/>
        </w:rPr>
      </w:pPr>
    </w:p>
    <w:p w14:paraId="3FEF56DB" w14:textId="502C6272" w:rsidR="00784150" w:rsidRPr="00784150" w:rsidRDefault="00784150" w:rsidP="00784150">
      <w:pPr>
        <w:spacing w:line="240" w:lineRule="auto"/>
        <w:rPr>
          <w:rFonts w:eastAsia="Times New Roman" w:cs="Arial"/>
        </w:rPr>
      </w:pPr>
      <w:r w:rsidRPr="00784150">
        <w:rPr>
          <w:rFonts w:eastAsia="Times New Roman" w:cs="Arial"/>
          <w:i/>
          <w:iCs/>
          <w:color w:val="000000"/>
          <w:u w:val="single"/>
          <w:lang w:eastAsia="bg-BG"/>
        </w:rPr>
        <w:t>Възрастни и пациенти в старческа възраст</w:t>
      </w:r>
    </w:p>
    <w:p w14:paraId="5BE3E8E0"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Препоръчаната дозировка е 2,5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летрозол един път дневно. Не се налага промяна на дозата при жени в старческа възраст.</w:t>
      </w:r>
    </w:p>
    <w:p w14:paraId="60530495" w14:textId="77777777" w:rsidR="00784150" w:rsidRDefault="00784150" w:rsidP="00784150">
      <w:pPr>
        <w:spacing w:line="240" w:lineRule="auto"/>
        <w:rPr>
          <w:rFonts w:eastAsia="Times New Roman" w:cs="Arial"/>
          <w:color w:val="000000"/>
          <w:lang w:eastAsia="bg-BG"/>
        </w:rPr>
      </w:pPr>
    </w:p>
    <w:p w14:paraId="5169B7A2" w14:textId="3C63EB9F" w:rsidR="00784150" w:rsidRPr="00784150" w:rsidRDefault="00784150" w:rsidP="00784150">
      <w:pPr>
        <w:spacing w:line="240" w:lineRule="auto"/>
        <w:rPr>
          <w:rFonts w:eastAsia="Times New Roman" w:cs="Arial"/>
        </w:rPr>
      </w:pPr>
      <w:r w:rsidRPr="00784150">
        <w:rPr>
          <w:rFonts w:eastAsia="Times New Roman" w:cs="Arial"/>
          <w:color w:val="000000"/>
          <w:lang w:eastAsia="bg-BG"/>
        </w:rPr>
        <w:t>При пациенти с авансирал или метастазирал рак на гърдата, лечението с Летрозол МС Фарма трябва да продължи дотогава, до като е налице прогресия на тумора.</w:t>
      </w:r>
    </w:p>
    <w:p w14:paraId="18CEE17D" w14:textId="77777777" w:rsidR="00784150" w:rsidRDefault="00784150" w:rsidP="00784150">
      <w:pPr>
        <w:spacing w:line="240" w:lineRule="auto"/>
        <w:rPr>
          <w:rFonts w:eastAsia="Times New Roman" w:cs="Arial"/>
          <w:color w:val="000000"/>
          <w:lang w:eastAsia="bg-BG"/>
        </w:rPr>
      </w:pPr>
    </w:p>
    <w:p w14:paraId="5FB6AF05" w14:textId="6BE3AF74" w:rsidR="00784150" w:rsidRPr="00784150" w:rsidRDefault="00784150" w:rsidP="00784150">
      <w:pPr>
        <w:spacing w:line="240" w:lineRule="auto"/>
        <w:rPr>
          <w:rFonts w:eastAsia="Times New Roman" w:cs="Arial"/>
        </w:rPr>
      </w:pPr>
      <w:r w:rsidRPr="00784150">
        <w:rPr>
          <w:rFonts w:eastAsia="Times New Roman" w:cs="Arial"/>
          <w:color w:val="000000"/>
          <w:lang w:eastAsia="bg-BG"/>
        </w:rPr>
        <w:t>При адювантна или разширена терапия лечението с Летрозол МС Фарма трябва да продължи 5 години или до настъпване на рецидив на тумора.</w:t>
      </w:r>
    </w:p>
    <w:p w14:paraId="4AFB1EAF" w14:textId="53AD4510" w:rsidR="00784150" w:rsidRDefault="00784150" w:rsidP="00784150"/>
    <w:p w14:paraId="09EE0BAC"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При адювантна терапия секвентната терапевтична схема (летрозол 2 години последван от тамоксифен 3 години) също трябва да се има предвид (вж. точки 4.4 и 5.1).</w:t>
      </w:r>
    </w:p>
    <w:p w14:paraId="0F123AC5" w14:textId="77777777" w:rsidR="00784150" w:rsidRDefault="00784150" w:rsidP="00784150">
      <w:pPr>
        <w:spacing w:line="240" w:lineRule="auto"/>
        <w:rPr>
          <w:rFonts w:eastAsia="Times New Roman" w:cs="Arial"/>
          <w:color w:val="000000"/>
          <w:lang w:eastAsia="bg-BG"/>
        </w:rPr>
      </w:pPr>
    </w:p>
    <w:p w14:paraId="0C426D80" w14:textId="7F6CE175" w:rsidR="00784150" w:rsidRPr="00784150" w:rsidRDefault="00784150" w:rsidP="00784150">
      <w:pPr>
        <w:spacing w:line="240" w:lineRule="auto"/>
        <w:rPr>
          <w:rFonts w:eastAsia="Times New Roman" w:cs="Arial"/>
        </w:rPr>
      </w:pPr>
      <w:r w:rsidRPr="00784150">
        <w:rPr>
          <w:rFonts w:eastAsia="Times New Roman" w:cs="Arial"/>
          <w:color w:val="000000"/>
          <w:lang w:eastAsia="bg-BG"/>
        </w:rPr>
        <w:t>При неоадювантна терапия лечението с Летрозол МС Фарма трябва да се продължи за 4 до 8 месеца, за да се постигне оптимална туморна редукция. Ако не се постигне достатъчно терапевтично повлияване, лечението с Летрозол МС Фарма трябва да се преустанови и да се планира оперативно лечение и/или да се обсъдят с пациентката други варианти за лечение.</w:t>
      </w:r>
    </w:p>
    <w:p w14:paraId="4F8964D2" w14:textId="77777777" w:rsidR="00784150" w:rsidRDefault="00784150" w:rsidP="00784150">
      <w:pPr>
        <w:spacing w:line="240" w:lineRule="auto"/>
        <w:rPr>
          <w:rFonts w:eastAsia="Times New Roman" w:cs="Arial"/>
          <w:i/>
          <w:iCs/>
          <w:color w:val="000000"/>
          <w:lang w:eastAsia="bg-BG"/>
        </w:rPr>
      </w:pPr>
    </w:p>
    <w:p w14:paraId="6B6F8653" w14:textId="49655562" w:rsidR="00784150" w:rsidRPr="00784150" w:rsidRDefault="00784150" w:rsidP="00784150">
      <w:pPr>
        <w:spacing w:line="240" w:lineRule="auto"/>
        <w:rPr>
          <w:rFonts w:eastAsia="Times New Roman" w:cs="Arial"/>
        </w:rPr>
      </w:pPr>
      <w:r w:rsidRPr="00784150">
        <w:rPr>
          <w:rFonts w:eastAsia="Times New Roman" w:cs="Arial"/>
          <w:i/>
          <w:iCs/>
          <w:color w:val="000000"/>
          <w:lang w:eastAsia="bg-BG"/>
        </w:rPr>
        <w:t>Педиатрична популация</w:t>
      </w:r>
    </w:p>
    <w:p w14:paraId="308116E7"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Летрозол МС Фарма не се препоръчва за употреба при деца и юноши. Безопасността и ефикасността на Летрозол МС Фарма при деца и юноши на възраст до 17 години не са установени. Налице са ограничени данни и не могат да бъдат дадени препоръки за дозировката.</w:t>
      </w:r>
    </w:p>
    <w:p w14:paraId="0CFC86CD" w14:textId="77777777" w:rsidR="00784150" w:rsidRDefault="00784150" w:rsidP="00784150">
      <w:pPr>
        <w:spacing w:line="240" w:lineRule="auto"/>
        <w:rPr>
          <w:rFonts w:eastAsia="Times New Roman" w:cs="Arial"/>
          <w:i/>
          <w:iCs/>
          <w:color w:val="000000"/>
          <w:lang w:eastAsia="bg-BG"/>
        </w:rPr>
      </w:pPr>
    </w:p>
    <w:p w14:paraId="635857A2" w14:textId="64EDAC6C" w:rsidR="00784150" w:rsidRPr="00784150" w:rsidRDefault="00784150" w:rsidP="00784150">
      <w:pPr>
        <w:spacing w:line="240" w:lineRule="auto"/>
        <w:rPr>
          <w:rFonts w:eastAsia="Times New Roman" w:cs="Arial"/>
        </w:rPr>
      </w:pPr>
      <w:r w:rsidRPr="00784150">
        <w:rPr>
          <w:rFonts w:eastAsia="Times New Roman" w:cs="Arial"/>
          <w:i/>
          <w:iCs/>
          <w:color w:val="000000"/>
          <w:lang w:eastAsia="bg-BG"/>
        </w:rPr>
        <w:t>Бъбречно увреждане</w:t>
      </w:r>
    </w:p>
    <w:p w14:paraId="4F26D923"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Не се налага коригиране на дозата на Летрозол МС Фарма при пациенти с бъбречна недостатъчност с креатининов клирънс ≥10 </w:t>
      </w:r>
      <w:r w:rsidRPr="00784150">
        <w:rPr>
          <w:rFonts w:eastAsia="Times New Roman" w:cs="Arial"/>
          <w:color w:val="000000"/>
          <w:lang w:val="en-US"/>
        </w:rPr>
        <w:t>ml</w:t>
      </w:r>
      <w:r w:rsidRPr="00784150">
        <w:rPr>
          <w:rFonts w:eastAsia="Times New Roman" w:cs="Arial"/>
          <w:color w:val="000000"/>
          <w:lang w:val="ru-RU"/>
        </w:rPr>
        <w:t>/</w:t>
      </w:r>
      <w:r w:rsidRPr="00784150">
        <w:rPr>
          <w:rFonts w:eastAsia="Times New Roman" w:cs="Arial"/>
          <w:color w:val="000000"/>
          <w:lang w:val="en-US"/>
        </w:rPr>
        <w:t>min</w:t>
      </w:r>
      <w:r w:rsidRPr="00784150">
        <w:rPr>
          <w:rFonts w:eastAsia="Times New Roman" w:cs="Arial"/>
          <w:color w:val="000000"/>
          <w:lang w:val="ru-RU"/>
        </w:rPr>
        <w:t xml:space="preserve">. </w:t>
      </w:r>
      <w:r w:rsidRPr="00784150">
        <w:rPr>
          <w:rFonts w:eastAsia="Times New Roman" w:cs="Arial"/>
          <w:color w:val="000000"/>
          <w:lang w:eastAsia="bg-BG"/>
        </w:rPr>
        <w:t xml:space="preserve">Няма достатъчно данни при случаи на бъбречна недостатъчност с креатитнинов клирънс под 10 </w:t>
      </w:r>
      <w:r w:rsidRPr="00784150">
        <w:rPr>
          <w:rFonts w:eastAsia="Times New Roman" w:cs="Arial"/>
          <w:color w:val="000000"/>
          <w:lang w:val="en-US"/>
        </w:rPr>
        <w:t>ml</w:t>
      </w:r>
      <w:r w:rsidRPr="00784150">
        <w:rPr>
          <w:rFonts w:eastAsia="Times New Roman" w:cs="Arial"/>
          <w:color w:val="000000"/>
          <w:lang w:val="ru-RU"/>
        </w:rPr>
        <w:t>/</w:t>
      </w:r>
      <w:r w:rsidRPr="00784150">
        <w:rPr>
          <w:rFonts w:eastAsia="Times New Roman" w:cs="Arial"/>
          <w:color w:val="000000"/>
          <w:lang w:val="en-US"/>
        </w:rPr>
        <w:t>min</w:t>
      </w:r>
      <w:r w:rsidRPr="00784150">
        <w:rPr>
          <w:rFonts w:eastAsia="Times New Roman" w:cs="Arial"/>
          <w:color w:val="000000"/>
          <w:lang w:val="ru-RU"/>
        </w:rPr>
        <w:t xml:space="preserve"> </w:t>
      </w:r>
      <w:r w:rsidRPr="00784150">
        <w:rPr>
          <w:rFonts w:eastAsia="Times New Roman" w:cs="Arial"/>
          <w:color w:val="000000"/>
          <w:lang w:eastAsia="bg-BG"/>
        </w:rPr>
        <w:t>(вж. точки 4.4 и 5.2).</w:t>
      </w:r>
    </w:p>
    <w:p w14:paraId="06D89348" w14:textId="77777777" w:rsidR="00784150" w:rsidRDefault="00784150" w:rsidP="00784150">
      <w:pPr>
        <w:spacing w:line="240" w:lineRule="auto"/>
        <w:rPr>
          <w:rFonts w:eastAsia="Times New Roman" w:cs="Arial"/>
          <w:i/>
          <w:iCs/>
          <w:color w:val="000000"/>
          <w:lang w:eastAsia="bg-BG"/>
        </w:rPr>
      </w:pPr>
    </w:p>
    <w:p w14:paraId="2064F426" w14:textId="4ECC1899" w:rsidR="00784150" w:rsidRPr="00784150" w:rsidRDefault="00784150" w:rsidP="00784150">
      <w:pPr>
        <w:spacing w:line="240" w:lineRule="auto"/>
        <w:rPr>
          <w:rFonts w:eastAsia="Times New Roman" w:cs="Arial"/>
        </w:rPr>
      </w:pPr>
      <w:r w:rsidRPr="00784150">
        <w:rPr>
          <w:rFonts w:eastAsia="Times New Roman" w:cs="Arial"/>
          <w:i/>
          <w:iCs/>
          <w:color w:val="000000"/>
          <w:lang w:eastAsia="bg-BG"/>
        </w:rPr>
        <w:t>Чернодробно увреждане</w:t>
      </w:r>
    </w:p>
    <w:p w14:paraId="5BF726E0"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Не се налага коригиране на дозата на Летрозол МС Фарма при пациенти с лека до умерена бъбречна недостатъчност (Клас А или В по </w:t>
      </w:r>
      <w:r w:rsidRPr="00784150">
        <w:rPr>
          <w:rFonts w:eastAsia="Times New Roman" w:cs="Arial"/>
          <w:color w:val="000000"/>
          <w:lang w:val="en-US"/>
        </w:rPr>
        <w:t>Child</w:t>
      </w:r>
      <w:r w:rsidRPr="00784150">
        <w:rPr>
          <w:rFonts w:eastAsia="Times New Roman" w:cs="Arial"/>
          <w:color w:val="000000"/>
          <w:lang w:val="ru-RU"/>
        </w:rPr>
        <w:t>-</w:t>
      </w:r>
      <w:r w:rsidRPr="00784150">
        <w:rPr>
          <w:rFonts w:eastAsia="Times New Roman" w:cs="Arial"/>
          <w:color w:val="000000"/>
          <w:lang w:val="en-US"/>
        </w:rPr>
        <w:t>Pugh</w:t>
      </w:r>
      <w:r w:rsidRPr="00784150">
        <w:rPr>
          <w:rFonts w:eastAsia="Times New Roman" w:cs="Arial"/>
          <w:color w:val="000000"/>
          <w:lang w:val="ru-RU"/>
        </w:rPr>
        <w:t xml:space="preserve">). </w:t>
      </w:r>
      <w:r w:rsidRPr="00784150">
        <w:rPr>
          <w:rFonts w:eastAsia="Times New Roman" w:cs="Arial"/>
          <w:color w:val="000000"/>
          <w:lang w:eastAsia="bg-BG"/>
        </w:rPr>
        <w:t xml:space="preserve">Няма достатъчно данни за пациенти с тежко чернодробно увреждане. При пациентите с тежко чернодробно увреждане (Клас С по </w:t>
      </w:r>
      <w:r w:rsidRPr="00784150">
        <w:rPr>
          <w:rFonts w:eastAsia="Times New Roman" w:cs="Arial"/>
          <w:color w:val="000000"/>
          <w:lang w:val="en-US"/>
        </w:rPr>
        <w:t>Child</w:t>
      </w:r>
      <w:r w:rsidRPr="00784150">
        <w:rPr>
          <w:rFonts w:eastAsia="Times New Roman" w:cs="Arial"/>
          <w:color w:val="000000"/>
          <w:lang w:val="ru-RU"/>
        </w:rPr>
        <w:t>-</w:t>
      </w:r>
      <w:r w:rsidRPr="00784150">
        <w:rPr>
          <w:rFonts w:eastAsia="Times New Roman" w:cs="Arial"/>
          <w:color w:val="000000"/>
          <w:lang w:val="en-US"/>
        </w:rPr>
        <w:t>Pugh</w:t>
      </w:r>
      <w:r w:rsidRPr="00784150">
        <w:rPr>
          <w:rFonts w:eastAsia="Times New Roman" w:cs="Arial"/>
          <w:color w:val="000000"/>
          <w:lang w:val="ru-RU"/>
        </w:rPr>
        <w:t xml:space="preserve">) </w:t>
      </w:r>
      <w:r w:rsidRPr="00784150">
        <w:rPr>
          <w:rFonts w:eastAsia="Times New Roman" w:cs="Arial"/>
          <w:color w:val="000000"/>
          <w:lang w:eastAsia="bg-BG"/>
        </w:rPr>
        <w:t>е необходимо внимателно проследяване (вж. точки 4.4 и 5.2).</w:t>
      </w:r>
    </w:p>
    <w:p w14:paraId="605AF1B2" w14:textId="77777777" w:rsidR="00784150" w:rsidRDefault="00784150" w:rsidP="00784150">
      <w:pPr>
        <w:spacing w:line="240" w:lineRule="auto"/>
        <w:rPr>
          <w:rFonts w:eastAsia="Times New Roman" w:cs="Arial"/>
          <w:color w:val="000000"/>
          <w:u w:val="single"/>
          <w:lang w:eastAsia="bg-BG"/>
        </w:rPr>
      </w:pPr>
    </w:p>
    <w:p w14:paraId="339B4DBF" w14:textId="3D96E1A3" w:rsidR="00784150" w:rsidRPr="00784150" w:rsidRDefault="00784150" w:rsidP="00784150">
      <w:pPr>
        <w:pStyle w:val="Heading3"/>
        <w:rPr>
          <w:rFonts w:eastAsia="Times New Roman"/>
          <w:u w:val="single"/>
        </w:rPr>
      </w:pPr>
      <w:r w:rsidRPr="00784150">
        <w:rPr>
          <w:rFonts w:eastAsia="Times New Roman"/>
          <w:u w:val="single"/>
          <w:lang w:eastAsia="bg-BG"/>
        </w:rPr>
        <w:t>Начин на приложение</w:t>
      </w:r>
    </w:p>
    <w:p w14:paraId="393F49AF" w14:textId="6E41D5C1" w:rsidR="00784150" w:rsidRDefault="00784150" w:rsidP="00784150">
      <w:pPr>
        <w:rPr>
          <w:rFonts w:eastAsia="Times New Roman" w:cs="Arial"/>
          <w:color w:val="000000"/>
          <w:lang w:eastAsia="bg-BG"/>
        </w:rPr>
      </w:pPr>
      <w:r w:rsidRPr="00784150">
        <w:rPr>
          <w:rFonts w:eastAsia="Times New Roman" w:cs="Arial"/>
          <w:color w:val="000000"/>
          <w:lang w:eastAsia="bg-BG"/>
        </w:rPr>
        <w:t>Летрозол МС Фарма трябва да се приема перорално и може да се приема със или без храна.</w:t>
      </w:r>
    </w:p>
    <w:p w14:paraId="6EB251A9" w14:textId="77777777" w:rsidR="00784150" w:rsidRPr="00784150" w:rsidRDefault="00784150" w:rsidP="00784150">
      <w:pPr>
        <w:rPr>
          <w:rFonts w:cs="Arial"/>
        </w:rPr>
      </w:pPr>
    </w:p>
    <w:p w14:paraId="28C984E8" w14:textId="1BF71E72" w:rsidR="008134C8" w:rsidRDefault="002C50EE" w:rsidP="004A448E">
      <w:pPr>
        <w:pStyle w:val="Heading2"/>
      </w:pPr>
      <w:r>
        <w:t>4.3. Противопоказания</w:t>
      </w:r>
    </w:p>
    <w:p w14:paraId="7257BAA7" w14:textId="2AA07E33" w:rsidR="00784150" w:rsidRDefault="00784150" w:rsidP="00784150"/>
    <w:p w14:paraId="614E27FE" w14:textId="77777777" w:rsidR="00784150" w:rsidRPr="00784150" w:rsidRDefault="00784150" w:rsidP="00784150">
      <w:pPr>
        <w:pStyle w:val="ListParagraph"/>
        <w:numPr>
          <w:ilvl w:val="0"/>
          <w:numId w:val="36"/>
        </w:numPr>
        <w:rPr>
          <w:sz w:val="24"/>
          <w:szCs w:val="24"/>
        </w:rPr>
      </w:pPr>
      <w:r w:rsidRPr="00784150">
        <w:rPr>
          <w:lang w:eastAsia="bg-BG"/>
        </w:rPr>
        <w:t>Свръхчувствителност към активното вещество или към някое от помощните вещества, изброени в точка 6.1.</w:t>
      </w:r>
    </w:p>
    <w:p w14:paraId="28E87ACA" w14:textId="77777777" w:rsidR="00784150" w:rsidRPr="00784150" w:rsidRDefault="00784150" w:rsidP="00784150">
      <w:pPr>
        <w:pStyle w:val="ListParagraph"/>
        <w:numPr>
          <w:ilvl w:val="0"/>
          <w:numId w:val="36"/>
        </w:numPr>
        <w:rPr>
          <w:sz w:val="24"/>
          <w:szCs w:val="24"/>
        </w:rPr>
      </w:pPr>
      <w:r w:rsidRPr="00784150">
        <w:rPr>
          <w:lang w:eastAsia="bg-BG"/>
        </w:rPr>
        <w:t>Предменопаузален ендокринен статус</w:t>
      </w:r>
    </w:p>
    <w:p w14:paraId="195F33DA" w14:textId="77777777" w:rsidR="00784150" w:rsidRPr="00784150" w:rsidRDefault="00784150" w:rsidP="00784150">
      <w:pPr>
        <w:pStyle w:val="ListParagraph"/>
        <w:numPr>
          <w:ilvl w:val="0"/>
          <w:numId w:val="36"/>
        </w:numPr>
        <w:rPr>
          <w:sz w:val="24"/>
          <w:szCs w:val="24"/>
        </w:rPr>
      </w:pPr>
      <w:r w:rsidRPr="00784150">
        <w:rPr>
          <w:lang w:eastAsia="bg-BG"/>
        </w:rPr>
        <w:t>Бременност (вж. точка 4.6)</w:t>
      </w:r>
    </w:p>
    <w:p w14:paraId="5B99E1FF" w14:textId="6C3070AB" w:rsidR="00784150" w:rsidRPr="00784150" w:rsidRDefault="00784150" w:rsidP="00784150">
      <w:pPr>
        <w:pStyle w:val="ListParagraph"/>
        <w:numPr>
          <w:ilvl w:val="0"/>
          <w:numId w:val="36"/>
        </w:numPr>
        <w:rPr>
          <w:sz w:val="24"/>
          <w:szCs w:val="24"/>
        </w:rPr>
      </w:pPr>
      <w:r w:rsidRPr="00784150">
        <w:rPr>
          <w:lang w:eastAsia="bg-BG"/>
        </w:rPr>
        <w:lastRenderedPageBreak/>
        <w:t>Кърмене (вж. точка 4.6)</w:t>
      </w:r>
    </w:p>
    <w:p w14:paraId="7C629675" w14:textId="6D330235" w:rsidR="00784150" w:rsidRPr="00784150" w:rsidRDefault="00784150" w:rsidP="00784150"/>
    <w:p w14:paraId="212F509C" w14:textId="58E8A742" w:rsidR="004F498A" w:rsidRDefault="002C50EE" w:rsidP="004A448E">
      <w:pPr>
        <w:pStyle w:val="Heading2"/>
      </w:pPr>
      <w:r>
        <w:t>4.4. Специални предупреждения и предпазни мерки при употреба</w:t>
      </w:r>
    </w:p>
    <w:p w14:paraId="7065807E" w14:textId="00FF42BC" w:rsidR="00784150" w:rsidRDefault="00784150" w:rsidP="00784150"/>
    <w:p w14:paraId="70743CAA" w14:textId="77777777"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Менопаузален статус</w:t>
      </w:r>
    </w:p>
    <w:p w14:paraId="36483C98"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При пациенти, при които менопаузалният статус е неясен, трябва да се изследват нивата на лутеинизиращия хормон </w:t>
      </w:r>
      <w:r w:rsidRPr="00784150">
        <w:rPr>
          <w:rFonts w:eastAsia="Times New Roman" w:cs="Arial"/>
          <w:color w:val="000000"/>
          <w:lang w:val="ru-RU"/>
        </w:rPr>
        <w:t>(</w:t>
      </w:r>
      <w:r w:rsidRPr="00784150">
        <w:rPr>
          <w:rFonts w:eastAsia="Times New Roman" w:cs="Arial"/>
          <w:color w:val="000000"/>
          <w:lang w:val="en-US"/>
        </w:rPr>
        <w:t>LH</w:t>
      </w:r>
      <w:r w:rsidRPr="00784150">
        <w:rPr>
          <w:rFonts w:eastAsia="Times New Roman" w:cs="Arial"/>
          <w:color w:val="000000"/>
          <w:lang w:val="ru-RU"/>
        </w:rPr>
        <w:t xml:space="preserve">), </w:t>
      </w:r>
      <w:r w:rsidRPr="00784150">
        <w:rPr>
          <w:rFonts w:eastAsia="Times New Roman" w:cs="Arial"/>
          <w:color w:val="000000"/>
          <w:lang w:eastAsia="bg-BG"/>
        </w:rPr>
        <w:t xml:space="preserve">фоликулостимулиращия хормон </w:t>
      </w:r>
      <w:r w:rsidRPr="00784150">
        <w:rPr>
          <w:rFonts w:eastAsia="Times New Roman" w:cs="Arial"/>
          <w:color w:val="000000"/>
          <w:lang w:val="ru-RU"/>
        </w:rPr>
        <w:t>(</w:t>
      </w:r>
      <w:r w:rsidRPr="00784150">
        <w:rPr>
          <w:rFonts w:eastAsia="Times New Roman" w:cs="Arial"/>
          <w:color w:val="000000"/>
          <w:lang w:val="en-US"/>
        </w:rPr>
        <w:t>FSH</w:t>
      </w:r>
      <w:r w:rsidRPr="00784150">
        <w:rPr>
          <w:rFonts w:eastAsia="Times New Roman" w:cs="Arial"/>
          <w:color w:val="000000"/>
          <w:lang w:val="ru-RU"/>
        </w:rPr>
        <w:t xml:space="preserve">) </w:t>
      </w:r>
      <w:r w:rsidRPr="00784150">
        <w:rPr>
          <w:rFonts w:eastAsia="Times New Roman" w:cs="Arial"/>
          <w:color w:val="000000"/>
          <w:lang w:eastAsia="bg-BG"/>
        </w:rPr>
        <w:t>и/или нивата на естрадиол преди да се започне лечение с Летрозол МС Фарма. Само жени с постменопаузален ендокринен статус трябва да получават Летрозол МС Фарма.</w:t>
      </w:r>
    </w:p>
    <w:p w14:paraId="0C805205" w14:textId="77777777" w:rsidR="00784150" w:rsidRDefault="00784150" w:rsidP="00784150">
      <w:pPr>
        <w:spacing w:line="240" w:lineRule="auto"/>
        <w:rPr>
          <w:rFonts w:eastAsia="Times New Roman" w:cs="Arial"/>
          <w:color w:val="000000"/>
          <w:u w:val="single"/>
          <w:lang w:eastAsia="bg-BG"/>
        </w:rPr>
      </w:pPr>
    </w:p>
    <w:p w14:paraId="0C49705C" w14:textId="21A9DC97"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Бъбречно увреждане</w:t>
      </w:r>
    </w:p>
    <w:p w14:paraId="7868246D"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Летрозол не е проучван при достатъчен брой пациенти с креатининов клирънс под 10 </w:t>
      </w:r>
      <w:r w:rsidRPr="00784150">
        <w:rPr>
          <w:rFonts w:eastAsia="Times New Roman" w:cs="Arial"/>
          <w:color w:val="000000"/>
          <w:lang w:val="en-US"/>
        </w:rPr>
        <w:t>ml</w:t>
      </w:r>
      <w:r w:rsidRPr="00784150">
        <w:rPr>
          <w:rFonts w:eastAsia="Times New Roman" w:cs="Arial"/>
          <w:color w:val="000000"/>
          <w:lang w:val="ru-RU"/>
        </w:rPr>
        <w:t>/</w:t>
      </w:r>
      <w:r w:rsidRPr="00784150">
        <w:rPr>
          <w:rFonts w:eastAsia="Times New Roman" w:cs="Arial"/>
          <w:color w:val="000000"/>
          <w:lang w:val="en-US"/>
        </w:rPr>
        <w:t>min</w:t>
      </w:r>
      <w:r w:rsidRPr="00784150">
        <w:rPr>
          <w:rFonts w:eastAsia="Times New Roman" w:cs="Arial"/>
          <w:color w:val="000000"/>
          <w:lang w:val="ru-RU"/>
        </w:rPr>
        <w:t xml:space="preserve">. </w:t>
      </w:r>
      <w:r w:rsidRPr="00784150">
        <w:rPr>
          <w:rFonts w:eastAsia="Times New Roman" w:cs="Arial"/>
          <w:color w:val="000000"/>
          <w:lang w:eastAsia="bg-BG"/>
        </w:rPr>
        <w:t>При такива пациенти трябва внимателно да се прецени потенциалното съотношение полза/риск преди да се приложи Летрозол МС Фарма.</w:t>
      </w:r>
    </w:p>
    <w:p w14:paraId="1A0735DB" w14:textId="77777777" w:rsidR="00784150" w:rsidRDefault="00784150" w:rsidP="00784150">
      <w:pPr>
        <w:spacing w:line="240" w:lineRule="auto"/>
        <w:rPr>
          <w:rFonts w:eastAsia="Times New Roman" w:cs="Arial"/>
          <w:color w:val="000000"/>
          <w:u w:val="single"/>
          <w:lang w:eastAsia="bg-BG"/>
        </w:rPr>
      </w:pPr>
    </w:p>
    <w:p w14:paraId="4E4A73D7" w14:textId="4FD7849C"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Чернодробно увреждане</w:t>
      </w:r>
    </w:p>
    <w:p w14:paraId="194ADDE4"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При пациенти с тежко чернодробно увреждане (Клас С по </w:t>
      </w:r>
      <w:r w:rsidRPr="00784150">
        <w:rPr>
          <w:rFonts w:eastAsia="Times New Roman" w:cs="Arial"/>
          <w:color w:val="000000"/>
          <w:lang w:val="en-US"/>
        </w:rPr>
        <w:t>Child</w:t>
      </w:r>
      <w:r w:rsidRPr="00784150">
        <w:rPr>
          <w:rFonts w:eastAsia="Times New Roman" w:cs="Arial"/>
          <w:color w:val="000000"/>
          <w:lang w:val="ru-RU"/>
        </w:rPr>
        <w:t>-</w:t>
      </w:r>
      <w:r w:rsidRPr="00784150">
        <w:rPr>
          <w:rFonts w:eastAsia="Times New Roman" w:cs="Arial"/>
          <w:color w:val="000000"/>
          <w:lang w:val="en-US"/>
        </w:rPr>
        <w:t>Pugh</w:t>
      </w:r>
      <w:r w:rsidRPr="00784150">
        <w:rPr>
          <w:rFonts w:eastAsia="Times New Roman" w:cs="Arial"/>
          <w:color w:val="000000"/>
          <w:lang w:val="ru-RU"/>
        </w:rPr>
        <w:t xml:space="preserve">), </w:t>
      </w:r>
      <w:r w:rsidRPr="00784150">
        <w:rPr>
          <w:rFonts w:eastAsia="Times New Roman" w:cs="Arial"/>
          <w:color w:val="000000"/>
          <w:lang w:eastAsia="bg-BG"/>
        </w:rPr>
        <w:t>системната експозиция и терминалният полуживот са били приблизително двойно по-високи в сравнение с тези при здрави доброволци. Поради тази причина такива пациенти трябва да бъдат под непосредствено наблюдение (вж. точка 5.2).</w:t>
      </w:r>
    </w:p>
    <w:p w14:paraId="5BAFDB92" w14:textId="31D73008" w:rsidR="00784150" w:rsidRDefault="00784150" w:rsidP="00784150"/>
    <w:p w14:paraId="74C8AD45" w14:textId="77777777"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Ефекти върху костите</w:t>
      </w:r>
    </w:p>
    <w:p w14:paraId="51AC380F"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Летрозол е мощно естроген-понижаващо средство. При жените с анамнеза за остеопороза и/или фрактури, както и тези, които са с повишен риск от развитие на остеопороза, трябва да бъде определена костната плътност преди започване на адювантна или разширена адювантна терапия и да бъдат проследени по време на и след приключване на лечението с летрозол. Ако е необходимо, трябва да бъде започнато лечение или профилактика на остеопорозата и да бъдат внимателно проследявани. При адювантна терапия може също така да се има предвид секвентна терапевтична схема (летрозол 2 години последван от тамоксифен 3 години) в зависимост от профила на безопасност при съответния пациент (вж. точки 4.2, 4.8 и 5.1).</w:t>
      </w:r>
    </w:p>
    <w:p w14:paraId="561FC99B" w14:textId="77777777" w:rsidR="00784150" w:rsidRDefault="00784150" w:rsidP="00784150">
      <w:pPr>
        <w:spacing w:line="240" w:lineRule="auto"/>
        <w:rPr>
          <w:rFonts w:eastAsia="Times New Roman" w:cs="Arial"/>
          <w:color w:val="000000"/>
          <w:u w:val="single"/>
          <w:lang w:eastAsia="bg-BG"/>
        </w:rPr>
      </w:pPr>
    </w:p>
    <w:p w14:paraId="56EF8B5D" w14:textId="58EB4E18"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Други предупреждениия</w:t>
      </w:r>
    </w:p>
    <w:p w14:paraId="3EC2488D"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Едновременното приложение на Летрозол МС Фарма с тамоксифен, други антиестрогени или естроген-съдържащи лекарства трябва да се избягва, тъй като тези вещества могат да намалят фармакологичното действие на летрозол (вж. точка 4.5).</w:t>
      </w:r>
    </w:p>
    <w:p w14:paraId="6165629E" w14:textId="77777777" w:rsidR="00784150" w:rsidRDefault="00784150" w:rsidP="00784150">
      <w:pPr>
        <w:spacing w:line="240" w:lineRule="auto"/>
        <w:rPr>
          <w:rFonts w:eastAsia="Times New Roman" w:cs="Arial"/>
          <w:color w:val="000000"/>
          <w:u w:val="single"/>
          <w:lang w:eastAsia="bg-BG"/>
        </w:rPr>
      </w:pPr>
    </w:p>
    <w:p w14:paraId="3E6613ED" w14:textId="1C8625D0"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Лактоза</w:t>
      </w:r>
    </w:p>
    <w:p w14:paraId="6D17489B"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Тъй като таблетките съдържат лактоза, Летрозол МС Фарма не се препоръчва при пациенти с редки наследствени нарушения като галактозна непоносимост, тежък лактазен дефицит или глюкозо-галактозна малабсорбция.</w:t>
      </w:r>
    </w:p>
    <w:p w14:paraId="275A6ECF" w14:textId="77777777" w:rsidR="00784150" w:rsidRPr="00784150" w:rsidRDefault="00784150" w:rsidP="00784150"/>
    <w:p w14:paraId="58245B9C" w14:textId="71225928" w:rsidR="00784150" w:rsidRDefault="002C50EE" w:rsidP="0078415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DC33F94" w14:textId="566AE7E8" w:rsidR="00784150" w:rsidRDefault="00784150" w:rsidP="00784150"/>
    <w:p w14:paraId="68E848D8"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Метаболизмът на летрозол се осъществява чрез </w:t>
      </w:r>
      <w:r w:rsidRPr="00784150">
        <w:rPr>
          <w:rFonts w:eastAsia="Times New Roman" w:cs="Arial"/>
          <w:color w:val="000000"/>
          <w:lang w:val="en-US"/>
        </w:rPr>
        <w:t>CYP</w:t>
      </w:r>
      <w:r w:rsidRPr="00784150">
        <w:rPr>
          <w:rFonts w:eastAsia="Times New Roman" w:cs="Arial"/>
          <w:color w:val="000000"/>
          <w:lang w:val="ru-RU"/>
        </w:rPr>
        <w:t>2</w:t>
      </w:r>
      <w:r w:rsidRPr="00784150">
        <w:rPr>
          <w:rFonts w:eastAsia="Times New Roman" w:cs="Arial"/>
          <w:color w:val="000000"/>
          <w:lang w:val="en-US"/>
        </w:rPr>
        <w:t>A</w:t>
      </w:r>
      <w:r w:rsidRPr="00784150">
        <w:rPr>
          <w:rFonts w:eastAsia="Times New Roman" w:cs="Arial"/>
          <w:color w:val="000000"/>
          <w:lang w:val="ru-RU"/>
        </w:rPr>
        <w:t xml:space="preserve">6 </w:t>
      </w:r>
      <w:r w:rsidRPr="00784150">
        <w:rPr>
          <w:rFonts w:eastAsia="Times New Roman" w:cs="Arial"/>
          <w:color w:val="000000"/>
          <w:lang w:eastAsia="bg-BG"/>
        </w:rPr>
        <w:t xml:space="preserve">и </w:t>
      </w:r>
      <w:r w:rsidRPr="00784150">
        <w:rPr>
          <w:rFonts w:eastAsia="Times New Roman" w:cs="Arial"/>
          <w:color w:val="000000"/>
          <w:lang w:val="en-US"/>
        </w:rPr>
        <w:t>CYP</w:t>
      </w:r>
      <w:r w:rsidRPr="00784150">
        <w:rPr>
          <w:rFonts w:eastAsia="Times New Roman" w:cs="Arial"/>
          <w:color w:val="000000"/>
          <w:lang w:val="ru-RU"/>
        </w:rPr>
        <w:t>3</w:t>
      </w:r>
      <w:r w:rsidRPr="00784150">
        <w:rPr>
          <w:rFonts w:eastAsia="Times New Roman" w:cs="Arial"/>
          <w:color w:val="000000"/>
          <w:lang w:val="en-US"/>
        </w:rPr>
        <w:t>A</w:t>
      </w:r>
      <w:r w:rsidRPr="00784150">
        <w:rPr>
          <w:rFonts w:eastAsia="Times New Roman" w:cs="Arial"/>
          <w:color w:val="000000"/>
          <w:lang w:val="ru-RU"/>
        </w:rPr>
        <w:t xml:space="preserve">4. </w:t>
      </w:r>
      <w:r w:rsidRPr="00784150">
        <w:rPr>
          <w:rFonts w:eastAsia="Times New Roman" w:cs="Arial"/>
          <w:color w:val="000000"/>
          <w:lang w:eastAsia="bg-BG"/>
        </w:rPr>
        <w:t xml:space="preserve">Циметидин е слаб, неспецифичен инхибитор на </w:t>
      </w:r>
      <w:r w:rsidRPr="00784150">
        <w:rPr>
          <w:rFonts w:eastAsia="Times New Roman" w:cs="Arial"/>
          <w:color w:val="000000"/>
          <w:lang w:val="en-US"/>
        </w:rPr>
        <w:t>CYP</w:t>
      </w:r>
      <w:r w:rsidRPr="00784150">
        <w:rPr>
          <w:rFonts w:eastAsia="Times New Roman" w:cs="Arial"/>
          <w:color w:val="000000"/>
          <w:lang w:val="ru-RU"/>
        </w:rPr>
        <w:t xml:space="preserve">450 </w:t>
      </w:r>
      <w:r w:rsidRPr="00784150">
        <w:rPr>
          <w:rFonts w:eastAsia="Times New Roman" w:cs="Arial"/>
          <w:color w:val="000000"/>
          <w:lang w:eastAsia="bg-BG"/>
        </w:rPr>
        <w:t xml:space="preserve">ензимите и не повлиява плазмените концентрации на летрозол. Ефектът на мощни инхибитори на </w:t>
      </w:r>
      <w:r w:rsidRPr="00784150">
        <w:rPr>
          <w:rFonts w:eastAsia="Times New Roman" w:cs="Arial"/>
          <w:color w:val="000000"/>
          <w:lang w:val="en-US"/>
        </w:rPr>
        <w:t xml:space="preserve">CYP450 </w:t>
      </w:r>
      <w:r w:rsidRPr="00784150">
        <w:rPr>
          <w:rFonts w:eastAsia="Times New Roman" w:cs="Arial"/>
          <w:color w:val="000000"/>
          <w:lang w:eastAsia="bg-BG"/>
        </w:rPr>
        <w:t>не известен.</w:t>
      </w:r>
    </w:p>
    <w:p w14:paraId="139CB26B" w14:textId="77777777" w:rsidR="00784150" w:rsidRDefault="00784150" w:rsidP="00784150">
      <w:pPr>
        <w:spacing w:line="240" w:lineRule="auto"/>
        <w:rPr>
          <w:rFonts w:eastAsia="Times New Roman" w:cs="Arial"/>
          <w:color w:val="000000"/>
          <w:lang w:eastAsia="bg-BG"/>
        </w:rPr>
      </w:pPr>
    </w:p>
    <w:p w14:paraId="323F81BA" w14:textId="4B68EEC4" w:rsidR="00784150" w:rsidRPr="00784150" w:rsidRDefault="00784150" w:rsidP="00784150">
      <w:pPr>
        <w:spacing w:line="240" w:lineRule="auto"/>
        <w:rPr>
          <w:rFonts w:eastAsia="Times New Roman" w:cs="Arial"/>
        </w:rPr>
      </w:pPr>
      <w:r w:rsidRPr="00784150">
        <w:rPr>
          <w:rFonts w:eastAsia="Times New Roman" w:cs="Arial"/>
          <w:color w:val="000000"/>
          <w:lang w:eastAsia="bg-BG"/>
        </w:rPr>
        <w:lastRenderedPageBreak/>
        <w:t>Към момента няма клиничен опит с прилагането на летрозол в комбинация с естрогени или други противоракови средства, различни от тамоксифен. Тамоксифен, други антиестрогени или естроген-съдържащи лекарства могат да намалят фармакологичното действие на летрозол. Освен това е установено, че едновременното приложение на тамоксифен с летрозол значително намалява плазмената концентрация на летрозол. Едновременното приложение на летрозол с тамоксифен, други антиестрогени и естрогени трябва да се избягва.</w:t>
      </w:r>
    </w:p>
    <w:p w14:paraId="1BAAB898" w14:textId="77777777" w:rsidR="00784150" w:rsidRDefault="00784150" w:rsidP="00784150">
      <w:pPr>
        <w:spacing w:line="240" w:lineRule="auto"/>
        <w:rPr>
          <w:rFonts w:eastAsia="Times New Roman" w:cs="Arial"/>
          <w:color w:val="000000"/>
          <w:lang w:eastAsia="bg-BG"/>
        </w:rPr>
      </w:pPr>
    </w:p>
    <w:p w14:paraId="49608EB1" w14:textId="7D7564D8"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Летрозол инхибира </w:t>
      </w:r>
      <w:r w:rsidRPr="00784150">
        <w:rPr>
          <w:rFonts w:eastAsia="Times New Roman" w:cs="Arial"/>
          <w:i/>
          <w:iCs/>
          <w:color w:val="000000"/>
          <w:lang w:val="en-US"/>
        </w:rPr>
        <w:t>in</w:t>
      </w:r>
      <w:r w:rsidRPr="00784150">
        <w:rPr>
          <w:rFonts w:eastAsia="Times New Roman" w:cs="Arial"/>
          <w:i/>
          <w:iCs/>
          <w:color w:val="000000"/>
          <w:lang w:val="ru-RU"/>
        </w:rPr>
        <w:t xml:space="preserve"> </w:t>
      </w:r>
      <w:r w:rsidRPr="00784150">
        <w:rPr>
          <w:rFonts w:eastAsia="Times New Roman" w:cs="Arial"/>
          <w:i/>
          <w:iCs/>
          <w:color w:val="000000"/>
          <w:lang w:val="en-US"/>
        </w:rPr>
        <w:t>vitro</w:t>
      </w:r>
      <w:r w:rsidRPr="00784150">
        <w:rPr>
          <w:rFonts w:eastAsia="Times New Roman" w:cs="Arial"/>
          <w:color w:val="000000"/>
          <w:lang w:val="ru-RU"/>
        </w:rPr>
        <w:t xml:space="preserve"> </w:t>
      </w:r>
      <w:r w:rsidRPr="00784150">
        <w:rPr>
          <w:rFonts w:eastAsia="Times New Roman" w:cs="Arial"/>
          <w:color w:val="000000"/>
          <w:lang w:eastAsia="bg-BG"/>
        </w:rPr>
        <w:t>цитохром Р-450 изоензимите 2А6, а също и 2С19 в умерена степен, но клиничната значимост не е ясна. Поради тази причина е необходимо повишено внимание при едновременно прилагане на летрозол с лекарствени продукти, чието елиминиране зависи предимно от тези изоензими и които имат тесен терапевтичен индекс (напр. фенитоин, клопидогрел).</w:t>
      </w:r>
    </w:p>
    <w:p w14:paraId="5E4F92A2" w14:textId="77777777" w:rsidR="00784150" w:rsidRPr="00784150" w:rsidRDefault="00784150" w:rsidP="00784150"/>
    <w:p w14:paraId="394A7584" w14:textId="7F785816" w:rsidR="004F498A" w:rsidRDefault="002C50EE" w:rsidP="004A448E">
      <w:pPr>
        <w:pStyle w:val="Heading2"/>
      </w:pPr>
      <w:r>
        <w:t>4.6. Фертилитет, бременност и кърмене</w:t>
      </w:r>
    </w:p>
    <w:p w14:paraId="46D83F06" w14:textId="70F6ACE8" w:rsidR="00784150" w:rsidRDefault="00784150" w:rsidP="00784150"/>
    <w:p w14:paraId="4E1524DB" w14:textId="77777777"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Жени с перименопаузален статус или с детероден потенциал</w:t>
      </w:r>
    </w:p>
    <w:p w14:paraId="1C33C492"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Летрозол МС Фарма трябва да се прилага само при жени с ясно установен постменопаузален статус (вж. точка 4.4), Тъй като има съобщения за жени с възстановена яйчникова функция по време на лечението с летрозол, независимо от ясния постменопаузален статус при започване на лечението, при необходимост лекарят трябва да обсъди провеждането на подходяща контрацепция.</w:t>
      </w:r>
    </w:p>
    <w:p w14:paraId="667BD669" w14:textId="77777777" w:rsidR="00784150" w:rsidRDefault="00784150" w:rsidP="00784150">
      <w:pPr>
        <w:spacing w:line="240" w:lineRule="auto"/>
        <w:rPr>
          <w:rFonts w:eastAsia="Times New Roman" w:cs="Arial"/>
          <w:color w:val="000000"/>
          <w:u w:val="single"/>
          <w:lang w:eastAsia="bg-BG"/>
        </w:rPr>
      </w:pPr>
    </w:p>
    <w:p w14:paraId="0908D4CF" w14:textId="5CF963F0"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Бременност</w:t>
      </w:r>
    </w:p>
    <w:p w14:paraId="32D8AC6B"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На база на опита при хора, при които има изолирани случаи на вродени дефекти (срастнали лабии, гениталии от смесен тип), летрозол може да причинява вродени малформации, когато се прилага по време на бременност. Проучванията при животни показват репродуктивна токсичност (вж. точка 5.3).</w:t>
      </w:r>
    </w:p>
    <w:p w14:paraId="44BA3061" w14:textId="77777777" w:rsidR="00784150" w:rsidRDefault="00784150" w:rsidP="00784150">
      <w:pPr>
        <w:spacing w:line="240" w:lineRule="auto"/>
        <w:rPr>
          <w:rFonts w:eastAsia="Times New Roman" w:cs="Arial"/>
          <w:color w:val="000000"/>
          <w:lang w:eastAsia="bg-BG"/>
        </w:rPr>
      </w:pPr>
    </w:p>
    <w:p w14:paraId="3D5B4695" w14:textId="37DD6D63" w:rsidR="00784150" w:rsidRPr="00784150" w:rsidRDefault="00784150" w:rsidP="00784150">
      <w:pPr>
        <w:spacing w:line="240" w:lineRule="auto"/>
        <w:rPr>
          <w:rFonts w:eastAsia="Times New Roman" w:cs="Arial"/>
        </w:rPr>
      </w:pPr>
      <w:r w:rsidRPr="00784150">
        <w:rPr>
          <w:rFonts w:eastAsia="Times New Roman" w:cs="Arial"/>
          <w:color w:val="000000"/>
          <w:lang w:eastAsia="bg-BG"/>
        </w:rPr>
        <w:t>Летрозол МС Фарма е противопоказан по време на бременност (вж. точки 4.3 и 5.3).</w:t>
      </w:r>
    </w:p>
    <w:p w14:paraId="4254376B" w14:textId="35DEC2AB" w:rsidR="00784150" w:rsidRDefault="00784150" w:rsidP="00784150"/>
    <w:p w14:paraId="48A0BF1F" w14:textId="77777777"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Кърмене</w:t>
      </w:r>
    </w:p>
    <w:p w14:paraId="59D0DECD"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Не е известно дали летрозол и неговите метаболити са екскретират в кърмата. Не може да се изключи риск за новородените/кърмачетата.</w:t>
      </w:r>
    </w:p>
    <w:p w14:paraId="77973F30" w14:textId="77777777" w:rsidR="00784150" w:rsidRDefault="00784150" w:rsidP="00784150">
      <w:pPr>
        <w:spacing w:line="240" w:lineRule="auto"/>
        <w:rPr>
          <w:rFonts w:eastAsia="Times New Roman" w:cs="Arial"/>
          <w:color w:val="000000"/>
          <w:lang w:eastAsia="bg-BG"/>
        </w:rPr>
      </w:pPr>
    </w:p>
    <w:p w14:paraId="3D0056CF" w14:textId="128E491B" w:rsidR="00784150" w:rsidRPr="00784150" w:rsidRDefault="00784150" w:rsidP="00784150">
      <w:pPr>
        <w:spacing w:line="240" w:lineRule="auto"/>
        <w:rPr>
          <w:rFonts w:eastAsia="Times New Roman" w:cs="Arial"/>
        </w:rPr>
      </w:pPr>
      <w:r w:rsidRPr="00784150">
        <w:rPr>
          <w:rFonts w:eastAsia="Times New Roman" w:cs="Arial"/>
          <w:color w:val="000000"/>
          <w:lang w:eastAsia="bg-BG"/>
        </w:rPr>
        <w:t>Летрозол МС Фарма е противопоказан по време на бременност (вж. точка 4.3).</w:t>
      </w:r>
    </w:p>
    <w:p w14:paraId="7A330686" w14:textId="77777777" w:rsidR="00784150" w:rsidRDefault="00784150" w:rsidP="00784150">
      <w:pPr>
        <w:spacing w:line="240" w:lineRule="auto"/>
        <w:rPr>
          <w:rFonts w:eastAsia="Times New Roman" w:cs="Arial"/>
          <w:color w:val="000000"/>
          <w:u w:val="single"/>
          <w:lang w:eastAsia="bg-BG"/>
        </w:rPr>
      </w:pPr>
    </w:p>
    <w:p w14:paraId="510F1219" w14:textId="3A4167AC"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Фертилитет</w:t>
      </w:r>
    </w:p>
    <w:p w14:paraId="4A362D30"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Фармакологичното действие на летрозол е да намалява производството на естрогени чрез инхибиране на ароматазата. При жени преди менопауза, инхибирането на естрогеновия синтез води обратно до повишаване на нивата на гонадотропините </w:t>
      </w:r>
      <w:r w:rsidRPr="00784150">
        <w:rPr>
          <w:rFonts w:eastAsia="Times New Roman" w:cs="Arial"/>
          <w:color w:val="000000"/>
          <w:lang w:val="ru-RU"/>
        </w:rPr>
        <w:t>(</w:t>
      </w:r>
      <w:r w:rsidRPr="00784150">
        <w:rPr>
          <w:rFonts w:eastAsia="Times New Roman" w:cs="Arial"/>
          <w:color w:val="000000"/>
          <w:lang w:val="en-US"/>
        </w:rPr>
        <w:t>LH</w:t>
      </w:r>
      <w:r w:rsidRPr="00784150">
        <w:rPr>
          <w:rFonts w:eastAsia="Times New Roman" w:cs="Arial"/>
          <w:color w:val="000000"/>
          <w:lang w:val="ru-RU"/>
        </w:rPr>
        <w:t xml:space="preserve">, </w:t>
      </w:r>
      <w:r w:rsidRPr="00784150">
        <w:rPr>
          <w:rFonts w:eastAsia="Times New Roman" w:cs="Arial"/>
          <w:color w:val="000000"/>
          <w:lang w:val="en-US"/>
        </w:rPr>
        <w:t>FSH</w:t>
      </w:r>
      <w:r w:rsidRPr="00784150">
        <w:rPr>
          <w:rFonts w:eastAsia="Times New Roman" w:cs="Arial"/>
          <w:color w:val="000000"/>
          <w:lang w:val="ru-RU"/>
        </w:rPr>
        <w:t xml:space="preserve">). </w:t>
      </w:r>
      <w:r w:rsidRPr="00784150">
        <w:rPr>
          <w:rFonts w:eastAsia="Times New Roman" w:cs="Arial"/>
          <w:color w:val="000000"/>
          <w:lang w:eastAsia="bg-BG"/>
        </w:rPr>
        <w:t xml:space="preserve">Повишените нива на </w:t>
      </w:r>
      <w:r w:rsidRPr="00784150">
        <w:rPr>
          <w:rFonts w:eastAsia="Times New Roman" w:cs="Arial"/>
          <w:color w:val="000000"/>
          <w:lang w:val="en-US"/>
        </w:rPr>
        <w:t>FSH</w:t>
      </w:r>
      <w:r w:rsidRPr="00784150">
        <w:rPr>
          <w:rFonts w:eastAsia="Times New Roman" w:cs="Arial"/>
          <w:color w:val="000000"/>
          <w:lang w:val="ru-RU"/>
        </w:rPr>
        <w:t xml:space="preserve"> </w:t>
      </w:r>
      <w:r w:rsidRPr="00784150">
        <w:rPr>
          <w:rFonts w:eastAsia="Times New Roman" w:cs="Arial"/>
          <w:color w:val="000000"/>
          <w:lang w:eastAsia="bg-BG"/>
        </w:rPr>
        <w:t>от своя страна стимулират фоликуларния растеж и могат да предизвикат овулация.</w:t>
      </w:r>
    </w:p>
    <w:p w14:paraId="3DDEF443" w14:textId="77777777" w:rsidR="00784150" w:rsidRPr="00784150" w:rsidRDefault="00784150" w:rsidP="00784150"/>
    <w:p w14:paraId="064DF1DE" w14:textId="005FFEFD" w:rsidR="00CF77F7" w:rsidRDefault="002C50EE" w:rsidP="004A448E">
      <w:pPr>
        <w:pStyle w:val="Heading2"/>
      </w:pPr>
      <w:r>
        <w:t>4.7. Ефекти върху способността за шофиране и работа с машини</w:t>
      </w:r>
    </w:p>
    <w:p w14:paraId="7DC5EEC6" w14:textId="2D660AFB" w:rsidR="00784150" w:rsidRDefault="00784150" w:rsidP="00784150"/>
    <w:p w14:paraId="3EC01A5F" w14:textId="116248BE" w:rsidR="00784150" w:rsidRDefault="00784150" w:rsidP="00784150">
      <w:r>
        <w:t xml:space="preserve">Летрозол МС Фарма повлиява в малка степен способността за шофиране и работа с машини. Препоръчва се повишено внимание при шофиране и работа с машини, тъй като </w:t>
      </w:r>
      <w:r>
        <w:lastRenderedPageBreak/>
        <w:t>при употребата на летрозол са наблюдавани умора и замаяност, и нечесто се съобщава за сънливост.</w:t>
      </w:r>
    </w:p>
    <w:p w14:paraId="028D5A33" w14:textId="77777777" w:rsidR="00784150" w:rsidRPr="00784150" w:rsidRDefault="00784150" w:rsidP="00784150"/>
    <w:p w14:paraId="37A3FD9F" w14:textId="03C9FA59" w:rsidR="00CF77F7" w:rsidRDefault="002C50EE" w:rsidP="004A448E">
      <w:pPr>
        <w:pStyle w:val="Heading2"/>
      </w:pPr>
      <w:r>
        <w:t>4.8. Нежелани лекарствени реакции</w:t>
      </w:r>
    </w:p>
    <w:p w14:paraId="7695D510" w14:textId="6D1BC880" w:rsidR="00784150" w:rsidRDefault="00784150" w:rsidP="00784150"/>
    <w:p w14:paraId="65C5C6B2" w14:textId="77777777"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Обобщение на профила на безопасност</w:t>
      </w:r>
    </w:p>
    <w:p w14:paraId="6F648C2E"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Честотите на нежеланите реакции при летрозол са базирани предимно на данни от клинични изпитвания.</w:t>
      </w:r>
    </w:p>
    <w:p w14:paraId="36D4B8CF" w14:textId="77777777" w:rsidR="00784150" w:rsidRDefault="00784150" w:rsidP="00784150">
      <w:pPr>
        <w:spacing w:line="240" w:lineRule="auto"/>
        <w:rPr>
          <w:rFonts w:eastAsia="Times New Roman" w:cs="Arial"/>
          <w:color w:val="000000"/>
          <w:lang w:eastAsia="bg-BG"/>
        </w:rPr>
      </w:pPr>
    </w:p>
    <w:p w14:paraId="7F62A1AA" w14:textId="10054FD8" w:rsidR="00784150" w:rsidRPr="00784150" w:rsidRDefault="00784150" w:rsidP="00784150">
      <w:pPr>
        <w:spacing w:line="240" w:lineRule="auto"/>
        <w:rPr>
          <w:rFonts w:eastAsia="Times New Roman" w:cs="Arial"/>
        </w:rPr>
      </w:pPr>
      <w:r w:rsidRPr="00784150">
        <w:rPr>
          <w:rFonts w:eastAsia="Times New Roman" w:cs="Arial"/>
          <w:color w:val="000000"/>
          <w:lang w:eastAsia="bg-BG"/>
        </w:rPr>
        <w:t>Приблизително при една трета от пациентите, лекувани с летрозол при налични метастази и приблизително при 80% от пациентите на адювантна терапия, както и при тези на разширена адювантна терапия, се наблюдават нежелани реакции. Болшинството от нежеланите реакции възникват през първите няколко седмици на лечението.</w:t>
      </w:r>
    </w:p>
    <w:p w14:paraId="5A48D698" w14:textId="77777777" w:rsidR="00784150" w:rsidRDefault="00784150" w:rsidP="00784150">
      <w:pPr>
        <w:spacing w:line="240" w:lineRule="auto"/>
        <w:rPr>
          <w:rFonts w:eastAsia="Times New Roman" w:cs="Arial"/>
          <w:color w:val="000000"/>
          <w:lang w:eastAsia="bg-BG"/>
        </w:rPr>
      </w:pPr>
    </w:p>
    <w:p w14:paraId="05E0F8C3" w14:textId="19C29E8A" w:rsidR="00784150" w:rsidRPr="00784150" w:rsidRDefault="00784150" w:rsidP="00784150">
      <w:pPr>
        <w:spacing w:line="240" w:lineRule="auto"/>
        <w:rPr>
          <w:rFonts w:eastAsia="Times New Roman" w:cs="Arial"/>
        </w:rPr>
      </w:pPr>
      <w:r w:rsidRPr="00784150">
        <w:rPr>
          <w:rFonts w:eastAsia="Times New Roman" w:cs="Arial"/>
          <w:color w:val="000000"/>
          <w:lang w:eastAsia="bg-BG"/>
        </w:rPr>
        <w:t>Най-често съобщаваните нежелани реакции по време на клиничните изпитвания са горещи вълни, хиперхолестеролемия, артралгия, умора, повишено потене и гадене.</w:t>
      </w:r>
    </w:p>
    <w:p w14:paraId="14BE2C7E" w14:textId="77777777" w:rsidR="00784150" w:rsidRDefault="00784150" w:rsidP="00784150">
      <w:pPr>
        <w:spacing w:line="240" w:lineRule="auto"/>
        <w:rPr>
          <w:rFonts w:eastAsia="Times New Roman" w:cs="Arial"/>
          <w:color w:val="000000"/>
          <w:lang w:eastAsia="bg-BG"/>
        </w:rPr>
      </w:pPr>
    </w:p>
    <w:p w14:paraId="22B40A03" w14:textId="375D637B" w:rsidR="00784150" w:rsidRPr="00784150" w:rsidRDefault="00784150" w:rsidP="00784150">
      <w:pPr>
        <w:spacing w:line="240" w:lineRule="auto"/>
        <w:rPr>
          <w:rFonts w:eastAsia="Times New Roman" w:cs="Arial"/>
        </w:rPr>
      </w:pPr>
      <w:r w:rsidRPr="00784150">
        <w:rPr>
          <w:rFonts w:eastAsia="Times New Roman" w:cs="Arial"/>
          <w:color w:val="000000"/>
          <w:lang w:eastAsia="bg-BG"/>
        </w:rPr>
        <w:t>Важни допълнителни нежелани реакции, които могат да възникнат при лечение с летрозол са: скелетно-свързани събития като остеопороза и/или костни фрактури и сърдечно-съдови събития (включително мозъчно-съдови и тромбоемболични събития). Честотата на тези нежелани реакции е описана в Таблица 1.</w:t>
      </w:r>
    </w:p>
    <w:p w14:paraId="2D374ADC" w14:textId="77777777" w:rsidR="00784150" w:rsidRDefault="00784150" w:rsidP="00784150">
      <w:pPr>
        <w:spacing w:line="240" w:lineRule="auto"/>
        <w:rPr>
          <w:rFonts w:eastAsia="Times New Roman" w:cs="Arial"/>
          <w:color w:val="000000"/>
          <w:u w:val="single"/>
          <w:lang w:eastAsia="bg-BG"/>
        </w:rPr>
      </w:pPr>
    </w:p>
    <w:p w14:paraId="6FF0DF44" w14:textId="5EBDAA33"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Таблично представяне на нежелани реакции</w:t>
      </w:r>
    </w:p>
    <w:p w14:paraId="06B22D2A"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Честотите на нежеланите реакции при летрозол са базирани предимно на данни от клинични изпитвания.</w:t>
      </w:r>
    </w:p>
    <w:p w14:paraId="4B5F655F" w14:textId="77777777" w:rsidR="00784150" w:rsidRDefault="00784150" w:rsidP="00784150">
      <w:pPr>
        <w:spacing w:line="240" w:lineRule="auto"/>
        <w:rPr>
          <w:rFonts w:eastAsia="Times New Roman" w:cs="Arial"/>
          <w:color w:val="000000"/>
          <w:lang w:eastAsia="bg-BG"/>
        </w:rPr>
      </w:pPr>
    </w:p>
    <w:p w14:paraId="7C7B68AA" w14:textId="3D3F95B7" w:rsidR="00784150" w:rsidRPr="00784150" w:rsidRDefault="00784150" w:rsidP="00784150">
      <w:pPr>
        <w:spacing w:line="240" w:lineRule="auto"/>
        <w:rPr>
          <w:rFonts w:eastAsia="Times New Roman" w:cs="Arial"/>
        </w:rPr>
      </w:pPr>
      <w:r w:rsidRPr="00784150">
        <w:rPr>
          <w:rFonts w:eastAsia="Times New Roman" w:cs="Arial"/>
          <w:color w:val="000000"/>
          <w:lang w:eastAsia="bg-BG"/>
        </w:rPr>
        <w:t>Следващите нежелани лекарствени реакции, изброени в Таблица 1, са съобщени по време на клиничните проучвания и постмаркетинговия опит с летрозол.</w:t>
      </w:r>
    </w:p>
    <w:p w14:paraId="700B7519" w14:textId="77777777" w:rsidR="00784150" w:rsidRDefault="00784150" w:rsidP="00784150">
      <w:pPr>
        <w:rPr>
          <w:rFonts w:eastAsia="Times New Roman" w:cs="Arial"/>
          <w:color w:val="000000"/>
          <w:lang w:eastAsia="bg-BG"/>
        </w:rPr>
      </w:pPr>
    </w:p>
    <w:p w14:paraId="5DE7D79A" w14:textId="25C0C9D3" w:rsidR="00784150" w:rsidRPr="00784150" w:rsidRDefault="00784150" w:rsidP="00784150">
      <w:pPr>
        <w:rPr>
          <w:rFonts w:eastAsia="Times New Roman" w:cs="Arial"/>
          <w:color w:val="000000"/>
          <w:lang w:eastAsia="bg-BG"/>
        </w:rPr>
      </w:pPr>
      <w:r w:rsidRPr="00784150">
        <w:rPr>
          <w:rFonts w:eastAsia="Times New Roman" w:cs="Arial"/>
          <w:color w:val="000000"/>
          <w:lang w:eastAsia="bg-BG"/>
        </w:rPr>
        <w:t>Наблюдаваните нежелани реакции са класифицирани в зависимост от честотата - много чести (≥ 10%), чести (≥1% до &lt; 10%), нечести (≥0,1% до &lt; 1%), редки (&gt; 0,01% до &lt; 0,1%), много редки (&lt; 0.01%), 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5542"/>
        <w:gridCol w:w="3808"/>
      </w:tblGrid>
      <w:tr w:rsidR="00784150" w14:paraId="4FE56C2D" w14:textId="77777777" w:rsidTr="00696C38">
        <w:tc>
          <w:tcPr>
            <w:tcW w:w="9576" w:type="dxa"/>
            <w:gridSpan w:val="2"/>
            <w:vAlign w:val="bottom"/>
          </w:tcPr>
          <w:p w14:paraId="1FB07782" w14:textId="01813A52" w:rsidR="00784150" w:rsidRPr="00784150" w:rsidRDefault="00784150" w:rsidP="00784150">
            <w:r w:rsidRPr="00784150">
              <w:rPr>
                <w:b/>
                <w:bCs/>
              </w:rPr>
              <w:t>Инфекции и инфестации</w:t>
            </w:r>
          </w:p>
        </w:tc>
      </w:tr>
      <w:tr w:rsidR="00784150" w14:paraId="1C6F42CF" w14:textId="77777777" w:rsidTr="00784150">
        <w:tc>
          <w:tcPr>
            <w:tcW w:w="5716" w:type="dxa"/>
            <w:vAlign w:val="bottom"/>
          </w:tcPr>
          <w:p w14:paraId="2F73CBCC" w14:textId="075C42B2" w:rsidR="00784150" w:rsidRPr="00784150" w:rsidRDefault="00784150" w:rsidP="00784150">
            <w:r w:rsidRPr="00784150">
              <w:t>Нечести</w:t>
            </w:r>
          </w:p>
        </w:tc>
        <w:tc>
          <w:tcPr>
            <w:tcW w:w="3860" w:type="dxa"/>
            <w:vAlign w:val="bottom"/>
          </w:tcPr>
          <w:p w14:paraId="085E1599" w14:textId="79776706" w:rsidR="00784150" w:rsidRPr="00784150" w:rsidRDefault="00784150" w:rsidP="00784150">
            <w:r w:rsidRPr="00784150">
              <w:t>Инфекция на пикочните пътища</w:t>
            </w:r>
          </w:p>
        </w:tc>
      </w:tr>
      <w:tr w:rsidR="00784150" w14:paraId="174D6000" w14:textId="77777777" w:rsidTr="00696C38">
        <w:tc>
          <w:tcPr>
            <w:tcW w:w="9576" w:type="dxa"/>
            <w:gridSpan w:val="2"/>
          </w:tcPr>
          <w:p w14:paraId="2FE5A08F" w14:textId="49FE5AB5" w:rsidR="00784150" w:rsidRPr="00784150" w:rsidRDefault="00784150" w:rsidP="00784150">
            <w:pPr>
              <w:rPr>
                <w:b/>
                <w:sz w:val="24"/>
                <w:szCs w:val="24"/>
              </w:rPr>
            </w:pPr>
            <w:r w:rsidRPr="00784150">
              <w:rPr>
                <w:b/>
                <w:lang w:eastAsia="bg-BG"/>
              </w:rPr>
              <w:t>Неоплазми - доброкачествени, злокачествени и неопределени (включително кисти и полипи)</w:t>
            </w:r>
          </w:p>
        </w:tc>
      </w:tr>
      <w:tr w:rsidR="00784150" w14:paraId="70437D75" w14:textId="77777777" w:rsidTr="00784150">
        <w:tc>
          <w:tcPr>
            <w:tcW w:w="5716" w:type="dxa"/>
            <w:vAlign w:val="bottom"/>
          </w:tcPr>
          <w:p w14:paraId="0E688F82" w14:textId="7DDE7A2C" w:rsidR="00784150" w:rsidRDefault="00784150" w:rsidP="00784150">
            <w:r>
              <w:t>Нечести</w:t>
            </w:r>
          </w:p>
        </w:tc>
        <w:tc>
          <w:tcPr>
            <w:tcW w:w="3860" w:type="dxa"/>
            <w:vAlign w:val="bottom"/>
          </w:tcPr>
          <w:p w14:paraId="5C5627D8" w14:textId="5B01E427" w:rsidR="00784150" w:rsidRDefault="00784150" w:rsidP="00784150">
            <w:r>
              <w:t>Туморна болка</w:t>
            </w:r>
            <w:r>
              <w:rPr>
                <w:vertAlign w:val="superscript"/>
              </w:rPr>
              <w:t>1</w:t>
            </w:r>
          </w:p>
        </w:tc>
      </w:tr>
      <w:tr w:rsidR="00784150" w14:paraId="3A3D1AC8" w14:textId="77777777" w:rsidTr="00696C38">
        <w:tc>
          <w:tcPr>
            <w:tcW w:w="9576" w:type="dxa"/>
            <w:gridSpan w:val="2"/>
          </w:tcPr>
          <w:p w14:paraId="33FE34D2" w14:textId="0DBC6372" w:rsidR="00784150" w:rsidRPr="00784150" w:rsidRDefault="00784150" w:rsidP="00784150">
            <w:pPr>
              <w:rPr>
                <w:b/>
              </w:rPr>
            </w:pPr>
            <w:r w:rsidRPr="00784150">
              <w:rPr>
                <w:b/>
              </w:rPr>
              <w:t>Нарушения на кръвта и лимфната система</w:t>
            </w:r>
          </w:p>
        </w:tc>
      </w:tr>
      <w:tr w:rsidR="00784150" w14:paraId="410DB83C" w14:textId="77777777" w:rsidTr="00784150">
        <w:tc>
          <w:tcPr>
            <w:tcW w:w="5716" w:type="dxa"/>
            <w:vAlign w:val="bottom"/>
          </w:tcPr>
          <w:p w14:paraId="553930DD" w14:textId="2752BE30" w:rsidR="00784150" w:rsidRPr="00784150" w:rsidRDefault="00784150" w:rsidP="00784150">
            <w:r w:rsidRPr="00784150">
              <w:t>Нечести</w:t>
            </w:r>
          </w:p>
        </w:tc>
        <w:tc>
          <w:tcPr>
            <w:tcW w:w="3860" w:type="dxa"/>
            <w:vAlign w:val="bottom"/>
          </w:tcPr>
          <w:p w14:paraId="0E146FB2" w14:textId="2C56FF12" w:rsidR="00784150" w:rsidRPr="00784150" w:rsidRDefault="00784150" w:rsidP="00784150">
            <w:r w:rsidRPr="00784150">
              <w:t>Левкопения</w:t>
            </w:r>
          </w:p>
        </w:tc>
      </w:tr>
      <w:tr w:rsidR="00784150" w14:paraId="06572918" w14:textId="77777777" w:rsidTr="00696C38">
        <w:tc>
          <w:tcPr>
            <w:tcW w:w="9576" w:type="dxa"/>
            <w:gridSpan w:val="2"/>
            <w:vAlign w:val="bottom"/>
          </w:tcPr>
          <w:p w14:paraId="2D67E8B5" w14:textId="61F2EAA4" w:rsidR="00784150" w:rsidRPr="00784150" w:rsidRDefault="00784150" w:rsidP="00784150">
            <w:r w:rsidRPr="00784150">
              <w:rPr>
                <w:b/>
                <w:bCs/>
              </w:rPr>
              <w:t>Нарушения на имунната система</w:t>
            </w:r>
          </w:p>
        </w:tc>
      </w:tr>
      <w:tr w:rsidR="00784150" w14:paraId="1AEDD144" w14:textId="77777777" w:rsidTr="00784150">
        <w:tc>
          <w:tcPr>
            <w:tcW w:w="5716" w:type="dxa"/>
            <w:vAlign w:val="bottom"/>
          </w:tcPr>
          <w:p w14:paraId="58D0402E" w14:textId="08150531" w:rsidR="00784150" w:rsidRPr="00784150" w:rsidRDefault="00784150" w:rsidP="00784150">
            <w:r w:rsidRPr="00784150">
              <w:t>С неизвестна честота</w:t>
            </w:r>
          </w:p>
        </w:tc>
        <w:tc>
          <w:tcPr>
            <w:tcW w:w="3860" w:type="dxa"/>
            <w:vAlign w:val="bottom"/>
          </w:tcPr>
          <w:p w14:paraId="483B02F8" w14:textId="2974E8B7" w:rsidR="00784150" w:rsidRPr="00784150" w:rsidRDefault="00784150" w:rsidP="00784150">
            <w:r w:rsidRPr="00784150">
              <w:t>Анафилактична реакция</w:t>
            </w:r>
          </w:p>
        </w:tc>
      </w:tr>
      <w:tr w:rsidR="00784150" w14:paraId="2C1A7D95" w14:textId="77777777" w:rsidTr="00696C38">
        <w:tc>
          <w:tcPr>
            <w:tcW w:w="9576" w:type="dxa"/>
            <w:gridSpan w:val="2"/>
            <w:vAlign w:val="bottom"/>
          </w:tcPr>
          <w:p w14:paraId="02FFD852" w14:textId="3CFA9001" w:rsidR="00784150" w:rsidRPr="00784150" w:rsidRDefault="00784150" w:rsidP="00784150">
            <w:r w:rsidRPr="00784150">
              <w:rPr>
                <w:b/>
                <w:bCs/>
              </w:rPr>
              <w:t>Нарушения на метаболизма и храненето</w:t>
            </w:r>
          </w:p>
        </w:tc>
      </w:tr>
      <w:tr w:rsidR="00784150" w14:paraId="26E3E4BC" w14:textId="77777777" w:rsidTr="00784150">
        <w:tc>
          <w:tcPr>
            <w:tcW w:w="5716" w:type="dxa"/>
            <w:vAlign w:val="bottom"/>
          </w:tcPr>
          <w:p w14:paraId="0F509507" w14:textId="2EC94763" w:rsidR="00784150" w:rsidRPr="00784150" w:rsidRDefault="00784150" w:rsidP="00784150">
            <w:r w:rsidRPr="00784150">
              <w:t>Много чести</w:t>
            </w:r>
          </w:p>
        </w:tc>
        <w:tc>
          <w:tcPr>
            <w:tcW w:w="3860" w:type="dxa"/>
            <w:vAlign w:val="bottom"/>
          </w:tcPr>
          <w:p w14:paraId="2171D422" w14:textId="778E02A5" w:rsidR="00784150" w:rsidRPr="00784150" w:rsidRDefault="00784150" w:rsidP="00784150">
            <w:r w:rsidRPr="00784150">
              <w:t>Хиперхолестеролемия</w:t>
            </w:r>
          </w:p>
        </w:tc>
      </w:tr>
      <w:tr w:rsidR="00784150" w14:paraId="66E55350" w14:textId="77777777" w:rsidTr="00784150">
        <w:tc>
          <w:tcPr>
            <w:tcW w:w="5716" w:type="dxa"/>
            <w:vAlign w:val="bottom"/>
          </w:tcPr>
          <w:p w14:paraId="0FCAC59C" w14:textId="1E085CEB" w:rsidR="00784150" w:rsidRPr="00784150" w:rsidRDefault="00784150" w:rsidP="00784150">
            <w:r w:rsidRPr="00784150">
              <w:t>Чести</w:t>
            </w:r>
          </w:p>
        </w:tc>
        <w:tc>
          <w:tcPr>
            <w:tcW w:w="3860" w:type="dxa"/>
            <w:vAlign w:val="bottom"/>
          </w:tcPr>
          <w:p w14:paraId="710BA5D2" w14:textId="41E16948" w:rsidR="00784150" w:rsidRPr="00784150" w:rsidRDefault="00784150" w:rsidP="00784150">
            <w:r w:rsidRPr="00784150">
              <w:t>Анорексия, повишен апетит</w:t>
            </w:r>
          </w:p>
        </w:tc>
      </w:tr>
      <w:tr w:rsidR="00784150" w14:paraId="0BF668F0" w14:textId="77777777" w:rsidTr="00696C38">
        <w:tc>
          <w:tcPr>
            <w:tcW w:w="9576" w:type="dxa"/>
            <w:gridSpan w:val="2"/>
            <w:vAlign w:val="bottom"/>
          </w:tcPr>
          <w:p w14:paraId="2870D70A" w14:textId="170D03EC" w:rsidR="00784150" w:rsidRPr="00784150" w:rsidRDefault="00784150" w:rsidP="00784150">
            <w:r w:rsidRPr="00784150">
              <w:rPr>
                <w:b/>
                <w:bCs/>
              </w:rPr>
              <w:t>Психични нарушения</w:t>
            </w:r>
          </w:p>
        </w:tc>
      </w:tr>
      <w:tr w:rsidR="00784150" w14:paraId="4CCECABD" w14:textId="77777777" w:rsidTr="00784150">
        <w:tc>
          <w:tcPr>
            <w:tcW w:w="5716" w:type="dxa"/>
            <w:vAlign w:val="bottom"/>
          </w:tcPr>
          <w:p w14:paraId="07246B8D" w14:textId="6D70B35A" w:rsidR="00784150" w:rsidRPr="00784150" w:rsidRDefault="00784150" w:rsidP="00784150">
            <w:r w:rsidRPr="00784150">
              <w:t>Чести</w:t>
            </w:r>
          </w:p>
        </w:tc>
        <w:tc>
          <w:tcPr>
            <w:tcW w:w="3860" w:type="dxa"/>
            <w:vAlign w:val="bottom"/>
          </w:tcPr>
          <w:p w14:paraId="1B3EA1B8" w14:textId="179D87CC" w:rsidR="00784150" w:rsidRPr="00784150" w:rsidRDefault="00784150" w:rsidP="00784150">
            <w:r w:rsidRPr="00784150">
              <w:t>Депресия</w:t>
            </w:r>
          </w:p>
        </w:tc>
      </w:tr>
      <w:tr w:rsidR="00784150" w14:paraId="79E82046" w14:textId="77777777" w:rsidTr="00784150">
        <w:tc>
          <w:tcPr>
            <w:tcW w:w="5716" w:type="dxa"/>
          </w:tcPr>
          <w:p w14:paraId="344485A9" w14:textId="116F5994" w:rsidR="00784150" w:rsidRPr="00784150" w:rsidRDefault="00784150" w:rsidP="00784150">
            <w:r w:rsidRPr="00784150">
              <w:lastRenderedPageBreak/>
              <w:t>Нечести</w:t>
            </w:r>
          </w:p>
        </w:tc>
        <w:tc>
          <w:tcPr>
            <w:tcW w:w="3860" w:type="dxa"/>
            <w:vAlign w:val="bottom"/>
          </w:tcPr>
          <w:p w14:paraId="43C8656F" w14:textId="77CC4CA4" w:rsidR="00784150" w:rsidRPr="00784150" w:rsidRDefault="00784150" w:rsidP="00784150">
            <w:r w:rsidRPr="00784150">
              <w:t>Тревожност (включително нервност), раздразнителност</w:t>
            </w:r>
          </w:p>
        </w:tc>
      </w:tr>
      <w:tr w:rsidR="00784150" w14:paraId="155CCA4A" w14:textId="77777777" w:rsidTr="00696C38">
        <w:tc>
          <w:tcPr>
            <w:tcW w:w="9576" w:type="dxa"/>
            <w:gridSpan w:val="2"/>
            <w:vAlign w:val="bottom"/>
          </w:tcPr>
          <w:p w14:paraId="637EDFCE" w14:textId="019D0ED0" w:rsidR="00784150" w:rsidRPr="00784150" w:rsidRDefault="00784150" w:rsidP="00784150">
            <w:r w:rsidRPr="00784150">
              <w:rPr>
                <w:b/>
                <w:bCs/>
              </w:rPr>
              <w:t>Нарушения на нервната система</w:t>
            </w:r>
          </w:p>
        </w:tc>
      </w:tr>
      <w:tr w:rsidR="00784150" w14:paraId="02542586" w14:textId="77777777" w:rsidTr="00784150">
        <w:tc>
          <w:tcPr>
            <w:tcW w:w="5716" w:type="dxa"/>
            <w:vAlign w:val="bottom"/>
          </w:tcPr>
          <w:p w14:paraId="23C9344E" w14:textId="09A1B67E" w:rsidR="00784150" w:rsidRPr="00784150" w:rsidRDefault="00784150" w:rsidP="00784150">
            <w:r w:rsidRPr="00784150">
              <w:t>Чести</w:t>
            </w:r>
          </w:p>
        </w:tc>
        <w:tc>
          <w:tcPr>
            <w:tcW w:w="3860" w:type="dxa"/>
            <w:vAlign w:val="bottom"/>
          </w:tcPr>
          <w:p w14:paraId="78E84962" w14:textId="1BE2B799" w:rsidR="00784150" w:rsidRPr="00784150" w:rsidRDefault="00784150" w:rsidP="00784150">
            <w:r w:rsidRPr="00784150">
              <w:t>Главоболие, замаяност</w:t>
            </w:r>
          </w:p>
        </w:tc>
      </w:tr>
      <w:tr w:rsidR="00784150" w14:paraId="2653CB3B" w14:textId="77777777" w:rsidTr="00784150">
        <w:tc>
          <w:tcPr>
            <w:tcW w:w="5716" w:type="dxa"/>
          </w:tcPr>
          <w:p w14:paraId="71302EF6" w14:textId="63AA286B" w:rsidR="00784150" w:rsidRPr="00784150" w:rsidRDefault="00784150" w:rsidP="00784150">
            <w:r w:rsidRPr="00784150">
              <w:t>Нечести</w:t>
            </w:r>
          </w:p>
        </w:tc>
        <w:tc>
          <w:tcPr>
            <w:tcW w:w="3860" w:type="dxa"/>
            <w:vAlign w:val="bottom"/>
          </w:tcPr>
          <w:p w14:paraId="608696CB" w14:textId="11DD87C9" w:rsidR="00784150" w:rsidRPr="00784150" w:rsidRDefault="00784150" w:rsidP="00784150">
            <w:r w:rsidRPr="00784150">
              <w:t>Сънливост, безсъние, нарушения в паметта, нарушена чувствителност, включително парестезии и хипоестезия, вкусови нарушения, мозъчно-съдови инциденти</w:t>
            </w:r>
          </w:p>
        </w:tc>
      </w:tr>
      <w:tr w:rsidR="00784150" w14:paraId="13A7324A" w14:textId="77777777" w:rsidTr="00696C38">
        <w:tc>
          <w:tcPr>
            <w:tcW w:w="9576" w:type="dxa"/>
            <w:gridSpan w:val="2"/>
            <w:vAlign w:val="bottom"/>
          </w:tcPr>
          <w:p w14:paraId="0FF70C80" w14:textId="74DB0F10" w:rsidR="00784150" w:rsidRPr="00784150" w:rsidRDefault="00784150" w:rsidP="00784150">
            <w:r w:rsidRPr="00784150">
              <w:rPr>
                <w:b/>
                <w:bCs/>
              </w:rPr>
              <w:t>Нарушения на очите</w:t>
            </w:r>
          </w:p>
        </w:tc>
      </w:tr>
      <w:tr w:rsidR="00784150" w14:paraId="2B69E1DA" w14:textId="77777777" w:rsidTr="00784150">
        <w:tc>
          <w:tcPr>
            <w:tcW w:w="5716" w:type="dxa"/>
            <w:vAlign w:val="bottom"/>
          </w:tcPr>
          <w:p w14:paraId="104105AC" w14:textId="22F8315A" w:rsidR="00784150" w:rsidRPr="00784150" w:rsidRDefault="00784150" w:rsidP="00784150">
            <w:r w:rsidRPr="00784150">
              <w:t>Нечести</w:t>
            </w:r>
          </w:p>
        </w:tc>
        <w:tc>
          <w:tcPr>
            <w:tcW w:w="3860" w:type="dxa"/>
            <w:vAlign w:val="bottom"/>
          </w:tcPr>
          <w:p w14:paraId="29834139" w14:textId="268A0FE8" w:rsidR="00784150" w:rsidRPr="00784150" w:rsidRDefault="00784150" w:rsidP="00784150">
            <w:r w:rsidRPr="00784150">
              <w:t>Катаракта, дразнене в очите, замъглено виждане</w:t>
            </w:r>
          </w:p>
        </w:tc>
      </w:tr>
      <w:tr w:rsidR="00784150" w14:paraId="63C01D90" w14:textId="77777777" w:rsidTr="00696C38">
        <w:tc>
          <w:tcPr>
            <w:tcW w:w="9576" w:type="dxa"/>
            <w:gridSpan w:val="2"/>
            <w:vAlign w:val="bottom"/>
          </w:tcPr>
          <w:p w14:paraId="5C4F280B" w14:textId="6D3B1FD3" w:rsidR="00784150" w:rsidRPr="00784150" w:rsidRDefault="00784150" w:rsidP="00784150">
            <w:r w:rsidRPr="00784150">
              <w:rPr>
                <w:b/>
                <w:bCs/>
              </w:rPr>
              <w:t>Сърдечни нарушения</w:t>
            </w:r>
          </w:p>
        </w:tc>
      </w:tr>
      <w:tr w:rsidR="00784150" w14:paraId="08E16D96" w14:textId="77777777" w:rsidTr="00784150">
        <w:tc>
          <w:tcPr>
            <w:tcW w:w="5716" w:type="dxa"/>
          </w:tcPr>
          <w:p w14:paraId="5C3B08E8" w14:textId="68AD3916" w:rsidR="00784150" w:rsidRPr="00784150" w:rsidRDefault="00784150" w:rsidP="00784150">
            <w:r w:rsidRPr="00784150">
              <w:t>Чести</w:t>
            </w:r>
          </w:p>
        </w:tc>
        <w:tc>
          <w:tcPr>
            <w:tcW w:w="3860" w:type="dxa"/>
            <w:vAlign w:val="bottom"/>
          </w:tcPr>
          <w:p w14:paraId="5FD1A630" w14:textId="5873E026" w:rsidR="00784150" w:rsidRPr="00784150" w:rsidRDefault="00784150" w:rsidP="00784150">
            <w:r w:rsidRPr="00784150">
              <w:t>Палпитации</w:t>
            </w:r>
            <w:r w:rsidRPr="00784150">
              <w:rPr>
                <w:vertAlign w:val="superscript"/>
              </w:rPr>
              <w:t>1</w:t>
            </w:r>
            <w:r w:rsidRPr="00784150">
              <w:t>, тахикардия, исхемични сърдечно</w:t>
            </w:r>
            <w:r w:rsidRPr="00784150">
              <w:softHyphen/>
              <w:t>съдови събития (включително новопоявила се или влошаваща се стенокардия, стенокардия, изискваща оперативно лечение, миокарден инфаркт и миокардна исхемия)</w:t>
            </w:r>
          </w:p>
        </w:tc>
      </w:tr>
      <w:tr w:rsidR="00784150" w14:paraId="77A158EF" w14:textId="77777777" w:rsidTr="00696C38">
        <w:tc>
          <w:tcPr>
            <w:tcW w:w="9576" w:type="dxa"/>
            <w:gridSpan w:val="2"/>
            <w:vAlign w:val="bottom"/>
          </w:tcPr>
          <w:p w14:paraId="693028FD" w14:textId="03D7087A" w:rsidR="00784150" w:rsidRPr="00784150" w:rsidRDefault="00784150" w:rsidP="00784150">
            <w:r w:rsidRPr="00784150">
              <w:rPr>
                <w:b/>
                <w:bCs/>
              </w:rPr>
              <w:t>Съдови нарушения</w:t>
            </w:r>
          </w:p>
        </w:tc>
      </w:tr>
      <w:tr w:rsidR="00784150" w14:paraId="633E99C7" w14:textId="77777777" w:rsidTr="00784150">
        <w:tc>
          <w:tcPr>
            <w:tcW w:w="5716" w:type="dxa"/>
            <w:vAlign w:val="bottom"/>
          </w:tcPr>
          <w:p w14:paraId="03DDBFAA" w14:textId="54CCFD59" w:rsidR="00784150" w:rsidRPr="00784150" w:rsidRDefault="00784150" w:rsidP="00784150">
            <w:r w:rsidRPr="00784150">
              <w:t>Много чести</w:t>
            </w:r>
          </w:p>
        </w:tc>
        <w:tc>
          <w:tcPr>
            <w:tcW w:w="3860" w:type="dxa"/>
            <w:vAlign w:val="bottom"/>
          </w:tcPr>
          <w:p w14:paraId="6D0E9387" w14:textId="57202828" w:rsidR="00784150" w:rsidRPr="00784150" w:rsidRDefault="00784150" w:rsidP="00784150">
            <w:r w:rsidRPr="00784150">
              <w:t>Горещи вълни</w:t>
            </w:r>
          </w:p>
        </w:tc>
      </w:tr>
      <w:tr w:rsidR="00784150" w14:paraId="4AF20BD9" w14:textId="77777777" w:rsidTr="00784150">
        <w:tc>
          <w:tcPr>
            <w:tcW w:w="5716" w:type="dxa"/>
            <w:vAlign w:val="bottom"/>
          </w:tcPr>
          <w:p w14:paraId="739E4B52" w14:textId="07B164CB" w:rsidR="00784150" w:rsidRPr="00784150" w:rsidRDefault="00784150" w:rsidP="00784150">
            <w:r w:rsidRPr="00784150">
              <w:t>Чести</w:t>
            </w:r>
          </w:p>
        </w:tc>
        <w:tc>
          <w:tcPr>
            <w:tcW w:w="3860" w:type="dxa"/>
            <w:vAlign w:val="bottom"/>
          </w:tcPr>
          <w:p w14:paraId="1ABC7570" w14:textId="3B74868E" w:rsidR="00784150" w:rsidRPr="00784150" w:rsidRDefault="00784150" w:rsidP="00784150">
            <w:r w:rsidRPr="00784150">
              <w:t>Хипертония</w:t>
            </w:r>
          </w:p>
        </w:tc>
      </w:tr>
      <w:tr w:rsidR="00784150" w14:paraId="02BB652B" w14:textId="77777777" w:rsidTr="00784150">
        <w:tc>
          <w:tcPr>
            <w:tcW w:w="5716" w:type="dxa"/>
          </w:tcPr>
          <w:p w14:paraId="42BD6C95" w14:textId="005AC204" w:rsidR="00784150" w:rsidRPr="00784150" w:rsidRDefault="00784150" w:rsidP="00784150">
            <w:r w:rsidRPr="00784150">
              <w:t>Нечести</w:t>
            </w:r>
          </w:p>
        </w:tc>
        <w:tc>
          <w:tcPr>
            <w:tcW w:w="3860" w:type="dxa"/>
            <w:vAlign w:val="bottom"/>
          </w:tcPr>
          <w:p w14:paraId="77FB676B" w14:textId="34D1D16B" w:rsidR="00784150" w:rsidRPr="00784150" w:rsidRDefault="00784150" w:rsidP="00784150">
            <w:r w:rsidRPr="00784150">
              <w:t xml:space="preserve">Тромбофлебит (включително повърхностен </w:t>
            </w:r>
            <w:r w:rsidRPr="00784150">
              <w:rPr>
                <w:b/>
                <w:bCs/>
              </w:rPr>
              <w:t xml:space="preserve">и </w:t>
            </w:r>
            <w:r w:rsidRPr="00784150">
              <w:t>дълбок венозен тромбофлебит)</w:t>
            </w:r>
          </w:p>
        </w:tc>
      </w:tr>
      <w:tr w:rsidR="00784150" w14:paraId="55DC169F" w14:textId="77777777" w:rsidTr="00784150">
        <w:tc>
          <w:tcPr>
            <w:tcW w:w="5716" w:type="dxa"/>
          </w:tcPr>
          <w:p w14:paraId="6A24C84F" w14:textId="13F501FF" w:rsidR="00784150" w:rsidRPr="00784150" w:rsidRDefault="00784150" w:rsidP="00784150">
            <w:r w:rsidRPr="00784150">
              <w:t>Редки</w:t>
            </w:r>
          </w:p>
        </w:tc>
        <w:tc>
          <w:tcPr>
            <w:tcW w:w="3860" w:type="dxa"/>
            <w:vAlign w:val="bottom"/>
          </w:tcPr>
          <w:p w14:paraId="2025668E" w14:textId="395A616A" w:rsidR="00784150" w:rsidRPr="00784150" w:rsidRDefault="00784150" w:rsidP="00784150">
            <w:r w:rsidRPr="00784150">
              <w:t>Белодробна тромбоемболия, артериална тромбоза, мозъчно-съдов инфаркт</w:t>
            </w:r>
          </w:p>
        </w:tc>
      </w:tr>
      <w:tr w:rsidR="00784150" w14:paraId="77B29DC3" w14:textId="77777777" w:rsidTr="00696C38">
        <w:tc>
          <w:tcPr>
            <w:tcW w:w="9576" w:type="dxa"/>
            <w:gridSpan w:val="2"/>
            <w:vAlign w:val="bottom"/>
          </w:tcPr>
          <w:p w14:paraId="3D0158A6" w14:textId="18A29FD7" w:rsidR="00784150" w:rsidRPr="00784150" w:rsidRDefault="00784150" w:rsidP="00784150">
            <w:r w:rsidRPr="00784150">
              <w:rPr>
                <w:b/>
                <w:bCs/>
              </w:rPr>
              <w:t>Респираторни, гръдни и медиастинални нарушения</w:t>
            </w:r>
          </w:p>
        </w:tc>
      </w:tr>
      <w:tr w:rsidR="00784150" w14:paraId="574726E9" w14:textId="77777777" w:rsidTr="00784150">
        <w:tc>
          <w:tcPr>
            <w:tcW w:w="5716" w:type="dxa"/>
            <w:vAlign w:val="bottom"/>
          </w:tcPr>
          <w:p w14:paraId="1A5B2A4B" w14:textId="5664FB44" w:rsidR="00784150" w:rsidRPr="00784150" w:rsidRDefault="00784150" w:rsidP="00784150">
            <w:r w:rsidRPr="00784150">
              <w:t>Нечести</w:t>
            </w:r>
          </w:p>
        </w:tc>
        <w:tc>
          <w:tcPr>
            <w:tcW w:w="3860" w:type="dxa"/>
            <w:vAlign w:val="bottom"/>
          </w:tcPr>
          <w:p w14:paraId="36723AD1" w14:textId="7B083E56" w:rsidR="00784150" w:rsidRPr="00784150" w:rsidRDefault="00784150" w:rsidP="00784150">
            <w:r w:rsidRPr="00784150">
              <w:t>Диспнея, кашлица</w:t>
            </w:r>
          </w:p>
        </w:tc>
      </w:tr>
      <w:tr w:rsidR="00784150" w14:paraId="5D730295" w14:textId="77777777" w:rsidTr="00696C38">
        <w:tc>
          <w:tcPr>
            <w:tcW w:w="9576" w:type="dxa"/>
            <w:gridSpan w:val="2"/>
            <w:vAlign w:val="bottom"/>
          </w:tcPr>
          <w:p w14:paraId="7CB5971C" w14:textId="53BC5F98" w:rsidR="00784150" w:rsidRPr="00784150" w:rsidRDefault="00784150" w:rsidP="00784150">
            <w:r w:rsidRPr="00784150">
              <w:rPr>
                <w:b/>
                <w:bCs/>
              </w:rPr>
              <w:t>Стомашно-чревни нарушения</w:t>
            </w:r>
          </w:p>
        </w:tc>
      </w:tr>
      <w:tr w:rsidR="00784150" w14:paraId="2558CB2B" w14:textId="77777777" w:rsidTr="00784150">
        <w:tc>
          <w:tcPr>
            <w:tcW w:w="5716" w:type="dxa"/>
          </w:tcPr>
          <w:p w14:paraId="2037003F" w14:textId="3914D32A" w:rsidR="00784150" w:rsidRPr="00784150" w:rsidRDefault="00784150" w:rsidP="00784150">
            <w:r w:rsidRPr="00784150">
              <w:t>Чести</w:t>
            </w:r>
          </w:p>
        </w:tc>
        <w:tc>
          <w:tcPr>
            <w:tcW w:w="3860" w:type="dxa"/>
            <w:vAlign w:val="bottom"/>
          </w:tcPr>
          <w:p w14:paraId="79113CDC" w14:textId="6EF5C008" w:rsidR="00784150" w:rsidRPr="00784150" w:rsidRDefault="00784150" w:rsidP="00784150">
            <w:r w:rsidRPr="00784150">
              <w:t>Гадене, диспепсия</w:t>
            </w:r>
            <w:r w:rsidRPr="00784150">
              <w:rPr>
                <w:vertAlign w:val="superscript"/>
              </w:rPr>
              <w:t>1</w:t>
            </w:r>
            <w:r w:rsidRPr="00784150">
              <w:t>, запек, коремна болка, диария, повръщане</w:t>
            </w:r>
          </w:p>
        </w:tc>
      </w:tr>
      <w:tr w:rsidR="00784150" w14:paraId="34CDED2D" w14:textId="77777777" w:rsidTr="00784150">
        <w:tc>
          <w:tcPr>
            <w:tcW w:w="5716" w:type="dxa"/>
          </w:tcPr>
          <w:p w14:paraId="5A770537" w14:textId="64D4E193" w:rsidR="00784150" w:rsidRPr="00784150" w:rsidRDefault="00784150" w:rsidP="00784150">
            <w:r w:rsidRPr="00784150">
              <w:t>Нечести</w:t>
            </w:r>
          </w:p>
        </w:tc>
        <w:tc>
          <w:tcPr>
            <w:tcW w:w="3860" w:type="dxa"/>
          </w:tcPr>
          <w:p w14:paraId="230FEB98" w14:textId="55DEA92E" w:rsidR="00784150" w:rsidRPr="00784150" w:rsidRDefault="00784150" w:rsidP="00784150">
            <w:r w:rsidRPr="00784150">
              <w:t>Сухота в устата, стоматит</w:t>
            </w:r>
            <w:r w:rsidRPr="00784150">
              <w:rPr>
                <w:vertAlign w:val="superscript"/>
              </w:rPr>
              <w:t>1</w:t>
            </w:r>
          </w:p>
        </w:tc>
      </w:tr>
      <w:tr w:rsidR="00784150" w14:paraId="4F7D00CC" w14:textId="77777777" w:rsidTr="00696C38">
        <w:tc>
          <w:tcPr>
            <w:tcW w:w="9576" w:type="dxa"/>
            <w:gridSpan w:val="2"/>
            <w:vAlign w:val="bottom"/>
          </w:tcPr>
          <w:p w14:paraId="2A7E6F35" w14:textId="002EF239" w:rsidR="00784150" w:rsidRPr="00784150" w:rsidRDefault="00784150" w:rsidP="00784150">
            <w:r w:rsidRPr="00784150">
              <w:rPr>
                <w:b/>
                <w:bCs/>
              </w:rPr>
              <w:t>Хепатобилиарни нарушения</w:t>
            </w:r>
          </w:p>
        </w:tc>
      </w:tr>
      <w:tr w:rsidR="00784150" w14:paraId="075B12CA" w14:textId="77777777" w:rsidTr="00784150">
        <w:tc>
          <w:tcPr>
            <w:tcW w:w="5716" w:type="dxa"/>
            <w:vMerge w:val="restart"/>
            <w:vAlign w:val="bottom"/>
          </w:tcPr>
          <w:p w14:paraId="62BCDE31" w14:textId="77777777" w:rsidR="00784150" w:rsidRDefault="00784150" w:rsidP="00784150">
            <w:r w:rsidRPr="00784150">
              <w:t>Нечести</w:t>
            </w:r>
          </w:p>
          <w:p w14:paraId="0B2D8685" w14:textId="77777777" w:rsidR="00784150" w:rsidRDefault="00784150" w:rsidP="00784150"/>
          <w:p w14:paraId="099462F6" w14:textId="02A4E68E" w:rsidR="00784150" w:rsidRPr="00784150" w:rsidRDefault="00784150" w:rsidP="00784150"/>
        </w:tc>
        <w:tc>
          <w:tcPr>
            <w:tcW w:w="3860" w:type="dxa"/>
            <w:vAlign w:val="bottom"/>
          </w:tcPr>
          <w:p w14:paraId="1CA52A79" w14:textId="25C6806B" w:rsidR="00784150" w:rsidRPr="00784150" w:rsidRDefault="00784150" w:rsidP="00784150">
            <w:r w:rsidRPr="00784150">
              <w:t>Повишение на чернодробните ензими</w:t>
            </w:r>
          </w:p>
        </w:tc>
      </w:tr>
      <w:tr w:rsidR="00784150" w14:paraId="5D44FC32" w14:textId="77777777" w:rsidTr="00784150">
        <w:tc>
          <w:tcPr>
            <w:tcW w:w="5716" w:type="dxa"/>
            <w:vMerge/>
          </w:tcPr>
          <w:p w14:paraId="4BEC9704" w14:textId="77777777" w:rsidR="00784150" w:rsidRPr="00784150" w:rsidRDefault="00784150" w:rsidP="00784150"/>
        </w:tc>
        <w:tc>
          <w:tcPr>
            <w:tcW w:w="3860" w:type="dxa"/>
            <w:vAlign w:val="bottom"/>
          </w:tcPr>
          <w:p w14:paraId="4E6A40CE" w14:textId="4B394530" w:rsidR="00784150" w:rsidRPr="00784150" w:rsidRDefault="00784150" w:rsidP="00784150">
            <w:r w:rsidRPr="00784150">
              <w:t>Хипербилирубинемия</w:t>
            </w:r>
          </w:p>
        </w:tc>
      </w:tr>
      <w:tr w:rsidR="00784150" w14:paraId="3866F883" w14:textId="77777777" w:rsidTr="00784150">
        <w:tc>
          <w:tcPr>
            <w:tcW w:w="5716" w:type="dxa"/>
            <w:vMerge/>
          </w:tcPr>
          <w:p w14:paraId="3A8BF071" w14:textId="77777777" w:rsidR="00784150" w:rsidRPr="00784150" w:rsidRDefault="00784150" w:rsidP="00784150"/>
        </w:tc>
        <w:tc>
          <w:tcPr>
            <w:tcW w:w="3860" w:type="dxa"/>
            <w:vAlign w:val="bottom"/>
          </w:tcPr>
          <w:p w14:paraId="2593F692" w14:textId="6F2024BE" w:rsidR="00784150" w:rsidRPr="00784150" w:rsidRDefault="00784150" w:rsidP="00784150">
            <w:r w:rsidRPr="00784150">
              <w:t>Жълтеница</w:t>
            </w:r>
          </w:p>
        </w:tc>
      </w:tr>
      <w:tr w:rsidR="00784150" w14:paraId="784C2865" w14:textId="77777777" w:rsidTr="00784150">
        <w:tc>
          <w:tcPr>
            <w:tcW w:w="5716" w:type="dxa"/>
          </w:tcPr>
          <w:p w14:paraId="61587947" w14:textId="3F2E72DA" w:rsidR="00784150" w:rsidRPr="00784150" w:rsidRDefault="00784150" w:rsidP="00784150">
            <w:r w:rsidRPr="00784150">
              <w:t>С неизвестна честота</w:t>
            </w:r>
          </w:p>
        </w:tc>
        <w:tc>
          <w:tcPr>
            <w:tcW w:w="3860" w:type="dxa"/>
          </w:tcPr>
          <w:p w14:paraId="1A3181C5" w14:textId="73F8E956" w:rsidR="00784150" w:rsidRPr="00784150" w:rsidRDefault="00784150" w:rsidP="00784150">
            <w:r w:rsidRPr="00784150">
              <w:t>Хепатит</w:t>
            </w:r>
          </w:p>
        </w:tc>
      </w:tr>
      <w:tr w:rsidR="00784150" w14:paraId="77FEE35C" w14:textId="77777777" w:rsidTr="00696C38">
        <w:tc>
          <w:tcPr>
            <w:tcW w:w="9576" w:type="dxa"/>
            <w:gridSpan w:val="2"/>
            <w:vAlign w:val="bottom"/>
          </w:tcPr>
          <w:p w14:paraId="287051CD" w14:textId="789245C4" w:rsidR="00784150" w:rsidRPr="00784150" w:rsidRDefault="00784150" w:rsidP="00784150">
            <w:r w:rsidRPr="00784150">
              <w:rPr>
                <w:b/>
                <w:bCs/>
              </w:rPr>
              <w:t>Нарушения на кожата и подкожната тъкан</w:t>
            </w:r>
          </w:p>
        </w:tc>
      </w:tr>
      <w:tr w:rsidR="00784150" w14:paraId="4660BC67" w14:textId="77777777" w:rsidTr="00784150">
        <w:tc>
          <w:tcPr>
            <w:tcW w:w="5716" w:type="dxa"/>
            <w:vAlign w:val="bottom"/>
          </w:tcPr>
          <w:p w14:paraId="086541FA" w14:textId="563AB027" w:rsidR="00784150" w:rsidRPr="00784150" w:rsidRDefault="00784150" w:rsidP="00784150">
            <w:r w:rsidRPr="00784150">
              <w:t>Много чести</w:t>
            </w:r>
          </w:p>
        </w:tc>
        <w:tc>
          <w:tcPr>
            <w:tcW w:w="3860" w:type="dxa"/>
            <w:vAlign w:val="bottom"/>
          </w:tcPr>
          <w:p w14:paraId="2FA0C98C" w14:textId="2484B318" w:rsidR="00784150" w:rsidRPr="00784150" w:rsidRDefault="00784150" w:rsidP="00784150">
            <w:r w:rsidRPr="00784150">
              <w:t>Увеличено потоотделяне</w:t>
            </w:r>
          </w:p>
        </w:tc>
      </w:tr>
      <w:tr w:rsidR="00784150" w14:paraId="291FD4D1" w14:textId="77777777" w:rsidTr="00784150">
        <w:tc>
          <w:tcPr>
            <w:tcW w:w="5716" w:type="dxa"/>
          </w:tcPr>
          <w:p w14:paraId="08288C45" w14:textId="11D75AEA" w:rsidR="00784150" w:rsidRPr="00784150" w:rsidRDefault="00784150" w:rsidP="00784150">
            <w:r w:rsidRPr="00784150">
              <w:lastRenderedPageBreak/>
              <w:t>Чести</w:t>
            </w:r>
          </w:p>
        </w:tc>
        <w:tc>
          <w:tcPr>
            <w:tcW w:w="3860" w:type="dxa"/>
            <w:vAlign w:val="bottom"/>
          </w:tcPr>
          <w:p w14:paraId="0DC78985" w14:textId="77777777" w:rsidR="00784150" w:rsidRPr="00784150" w:rsidRDefault="00784150" w:rsidP="00784150">
            <w:r w:rsidRPr="00784150">
              <w:t>Алопеция, обрив, вкл. еритематозен, макулопапуларен,</w:t>
            </w:r>
            <w:r w:rsidRPr="00784150">
              <w:tab/>
              <w:t>псориазиформен</w:t>
            </w:r>
            <w:r w:rsidRPr="00784150">
              <w:tab/>
            </w:r>
            <w:r w:rsidRPr="00784150">
              <w:rPr>
                <w:b/>
                <w:bCs/>
              </w:rPr>
              <w:t>и</w:t>
            </w:r>
          </w:p>
          <w:p w14:paraId="1699E62C" w14:textId="3AF363DF" w:rsidR="00784150" w:rsidRPr="00784150" w:rsidRDefault="00784150" w:rsidP="00784150">
            <w:r w:rsidRPr="00784150">
              <w:t>везикуларен, суха кожа</w:t>
            </w:r>
          </w:p>
        </w:tc>
      </w:tr>
      <w:tr w:rsidR="00784150" w14:paraId="7D773E54" w14:textId="77777777" w:rsidTr="00784150">
        <w:tc>
          <w:tcPr>
            <w:tcW w:w="5716" w:type="dxa"/>
            <w:vAlign w:val="bottom"/>
          </w:tcPr>
          <w:p w14:paraId="45341D8F" w14:textId="264B3077" w:rsidR="00784150" w:rsidRPr="00784150" w:rsidRDefault="00784150" w:rsidP="00784150">
            <w:r w:rsidRPr="00784150">
              <w:t>Нечести</w:t>
            </w:r>
          </w:p>
        </w:tc>
        <w:tc>
          <w:tcPr>
            <w:tcW w:w="3860" w:type="dxa"/>
            <w:vAlign w:val="bottom"/>
          </w:tcPr>
          <w:p w14:paraId="7B5EC34C" w14:textId="2D8EFF87" w:rsidR="00784150" w:rsidRPr="00784150" w:rsidRDefault="00784150" w:rsidP="00784150">
            <w:r w:rsidRPr="00784150">
              <w:t>Сърбеж, уртикария</w:t>
            </w:r>
          </w:p>
        </w:tc>
      </w:tr>
      <w:tr w:rsidR="00784150" w14:paraId="20764ED9" w14:textId="77777777" w:rsidTr="00784150">
        <w:tc>
          <w:tcPr>
            <w:tcW w:w="5716" w:type="dxa"/>
          </w:tcPr>
          <w:p w14:paraId="629F294E" w14:textId="61ED9DA8" w:rsidR="00784150" w:rsidRPr="00784150" w:rsidRDefault="00784150" w:rsidP="00784150">
            <w:r w:rsidRPr="00784150">
              <w:t>С неизвестна честота</w:t>
            </w:r>
          </w:p>
        </w:tc>
        <w:tc>
          <w:tcPr>
            <w:tcW w:w="3860" w:type="dxa"/>
            <w:vAlign w:val="bottom"/>
          </w:tcPr>
          <w:p w14:paraId="0F007ADE" w14:textId="73C61809" w:rsidR="00784150" w:rsidRPr="00784150" w:rsidRDefault="00784150" w:rsidP="00784150">
            <w:r w:rsidRPr="00784150">
              <w:t>Ангиоедем, токсична епидермална некролиза, еритема мултиформе</w:t>
            </w:r>
          </w:p>
        </w:tc>
      </w:tr>
      <w:tr w:rsidR="00784150" w14:paraId="4A8D6B00" w14:textId="77777777" w:rsidTr="00696C38">
        <w:tc>
          <w:tcPr>
            <w:tcW w:w="9576" w:type="dxa"/>
            <w:gridSpan w:val="2"/>
            <w:vAlign w:val="bottom"/>
          </w:tcPr>
          <w:p w14:paraId="38A26F1D" w14:textId="2A7B1DD7" w:rsidR="00784150" w:rsidRPr="00784150" w:rsidRDefault="00784150" w:rsidP="00784150">
            <w:r w:rsidRPr="00784150">
              <w:rPr>
                <w:b/>
                <w:bCs/>
              </w:rPr>
              <w:t>Нарушения на мускулно-скелетната система и съединителната тъкан</w:t>
            </w:r>
          </w:p>
        </w:tc>
      </w:tr>
      <w:tr w:rsidR="00784150" w14:paraId="40558F1A" w14:textId="77777777" w:rsidTr="00784150">
        <w:tc>
          <w:tcPr>
            <w:tcW w:w="5716" w:type="dxa"/>
            <w:vAlign w:val="bottom"/>
          </w:tcPr>
          <w:p w14:paraId="2E4EB312" w14:textId="1C6ABC20" w:rsidR="00784150" w:rsidRPr="00784150" w:rsidRDefault="00784150" w:rsidP="00784150">
            <w:r w:rsidRPr="00784150">
              <w:t>Много чести</w:t>
            </w:r>
          </w:p>
        </w:tc>
        <w:tc>
          <w:tcPr>
            <w:tcW w:w="3860" w:type="dxa"/>
            <w:vAlign w:val="bottom"/>
          </w:tcPr>
          <w:p w14:paraId="1C388BBD" w14:textId="45BFC8EE" w:rsidR="00784150" w:rsidRPr="00784150" w:rsidRDefault="00784150" w:rsidP="00784150">
            <w:r w:rsidRPr="00784150">
              <w:t>Артралгия</w:t>
            </w:r>
          </w:p>
        </w:tc>
      </w:tr>
      <w:tr w:rsidR="00784150" w14:paraId="7E5AD840" w14:textId="77777777" w:rsidTr="00784150">
        <w:tc>
          <w:tcPr>
            <w:tcW w:w="5716" w:type="dxa"/>
            <w:vMerge w:val="restart"/>
          </w:tcPr>
          <w:p w14:paraId="2D5FB030" w14:textId="698C19DE" w:rsidR="00784150" w:rsidRPr="00784150" w:rsidRDefault="00784150" w:rsidP="00784150">
            <w:r w:rsidRPr="00784150">
              <w:t>Чести</w:t>
            </w:r>
          </w:p>
        </w:tc>
        <w:tc>
          <w:tcPr>
            <w:tcW w:w="3860" w:type="dxa"/>
            <w:vAlign w:val="bottom"/>
          </w:tcPr>
          <w:p w14:paraId="4AF6EFD0" w14:textId="3EC93776" w:rsidR="00784150" w:rsidRPr="00784150" w:rsidRDefault="00784150" w:rsidP="00784150">
            <w:r w:rsidRPr="00784150">
              <w:t>Миалгия, болка в костите</w:t>
            </w:r>
            <w:r w:rsidRPr="00784150">
              <w:rPr>
                <w:vertAlign w:val="superscript"/>
              </w:rPr>
              <w:t>1</w:t>
            </w:r>
            <w:r w:rsidRPr="00784150">
              <w:t>, остеонороза фрактури на костите</w:t>
            </w:r>
          </w:p>
        </w:tc>
      </w:tr>
      <w:tr w:rsidR="00784150" w14:paraId="71504D47" w14:textId="77777777" w:rsidTr="00784150">
        <w:tc>
          <w:tcPr>
            <w:tcW w:w="5716" w:type="dxa"/>
            <w:vMerge/>
          </w:tcPr>
          <w:p w14:paraId="7E26F958" w14:textId="77777777" w:rsidR="00784150" w:rsidRDefault="00784150" w:rsidP="00784150"/>
        </w:tc>
        <w:tc>
          <w:tcPr>
            <w:tcW w:w="3860" w:type="dxa"/>
          </w:tcPr>
          <w:p w14:paraId="3838ACF7" w14:textId="584123FF" w:rsidR="00784150" w:rsidRDefault="00784150" w:rsidP="00784150">
            <w:r>
              <w:t>Артрит</w:t>
            </w:r>
          </w:p>
        </w:tc>
      </w:tr>
      <w:tr w:rsidR="00784150" w14:paraId="613169F0" w14:textId="77777777" w:rsidTr="00696C38">
        <w:tc>
          <w:tcPr>
            <w:tcW w:w="9576" w:type="dxa"/>
            <w:gridSpan w:val="2"/>
          </w:tcPr>
          <w:p w14:paraId="28DDD497" w14:textId="63215089" w:rsidR="00784150" w:rsidRPr="00784150" w:rsidRDefault="00784150" w:rsidP="00784150">
            <w:pPr>
              <w:rPr>
                <w:b/>
              </w:rPr>
            </w:pPr>
            <w:r w:rsidRPr="00784150">
              <w:rPr>
                <w:b/>
                <w:lang w:eastAsia="bg-BG"/>
              </w:rPr>
              <w:t>Нарушения на бъбреците и пикочните пътища</w:t>
            </w:r>
          </w:p>
        </w:tc>
      </w:tr>
      <w:tr w:rsidR="00784150" w14:paraId="1A42FCEA" w14:textId="77777777" w:rsidTr="00784150">
        <w:tc>
          <w:tcPr>
            <w:tcW w:w="5716" w:type="dxa"/>
          </w:tcPr>
          <w:p w14:paraId="3FBA0829" w14:textId="6725CB69" w:rsidR="00784150" w:rsidRDefault="00784150" w:rsidP="00784150">
            <w:r>
              <w:t>Нечести</w:t>
            </w:r>
          </w:p>
        </w:tc>
        <w:tc>
          <w:tcPr>
            <w:tcW w:w="3860" w:type="dxa"/>
          </w:tcPr>
          <w:p w14:paraId="5ED7DCEB" w14:textId="2FF972E2" w:rsidR="00784150" w:rsidRDefault="00784150" w:rsidP="00784150">
            <w:r>
              <w:t>Често уриниране</w:t>
            </w:r>
          </w:p>
        </w:tc>
      </w:tr>
      <w:tr w:rsidR="00784150" w14:paraId="5D9F1CD8" w14:textId="77777777" w:rsidTr="00696C38">
        <w:tc>
          <w:tcPr>
            <w:tcW w:w="9576" w:type="dxa"/>
            <w:gridSpan w:val="2"/>
          </w:tcPr>
          <w:p w14:paraId="298E92B6" w14:textId="5C5EF7C4" w:rsidR="00784150" w:rsidRPr="00784150" w:rsidRDefault="00784150" w:rsidP="00784150">
            <w:pPr>
              <w:rPr>
                <w:b/>
              </w:rPr>
            </w:pPr>
            <w:r w:rsidRPr="00784150">
              <w:rPr>
                <w:b/>
                <w:lang w:eastAsia="bg-BG"/>
              </w:rPr>
              <w:t>Нарушения на възпроизводителната система и гърдата</w:t>
            </w:r>
          </w:p>
        </w:tc>
      </w:tr>
      <w:tr w:rsidR="00784150" w14:paraId="52D4A1E6" w14:textId="77777777" w:rsidTr="00784150">
        <w:tc>
          <w:tcPr>
            <w:tcW w:w="5716" w:type="dxa"/>
          </w:tcPr>
          <w:p w14:paraId="3C22644F" w14:textId="1C669793" w:rsidR="00784150" w:rsidRDefault="00784150" w:rsidP="00784150">
            <w:r>
              <w:t>Чести</w:t>
            </w:r>
          </w:p>
        </w:tc>
        <w:tc>
          <w:tcPr>
            <w:tcW w:w="3860" w:type="dxa"/>
          </w:tcPr>
          <w:p w14:paraId="0E6EFC60" w14:textId="26D19F05" w:rsidR="00784150" w:rsidRDefault="00784150" w:rsidP="00784150">
            <w:r>
              <w:t>Вагинално кървене</w:t>
            </w:r>
          </w:p>
        </w:tc>
      </w:tr>
      <w:tr w:rsidR="00784150" w14:paraId="078ED625" w14:textId="77777777" w:rsidTr="00784150">
        <w:tc>
          <w:tcPr>
            <w:tcW w:w="5716" w:type="dxa"/>
          </w:tcPr>
          <w:p w14:paraId="4253E925" w14:textId="52CE5AA2" w:rsidR="00784150" w:rsidRDefault="00784150" w:rsidP="00784150">
            <w:r>
              <w:t>Нечести</w:t>
            </w:r>
          </w:p>
        </w:tc>
        <w:tc>
          <w:tcPr>
            <w:tcW w:w="3860" w:type="dxa"/>
          </w:tcPr>
          <w:p w14:paraId="2823FC32" w14:textId="5177CE32" w:rsidR="00784150" w:rsidRDefault="00784150" w:rsidP="00784150">
            <w:r>
              <w:t>Вагинален секрет, вагинална сухота, болка в гърдите</w:t>
            </w:r>
          </w:p>
        </w:tc>
      </w:tr>
      <w:tr w:rsidR="00784150" w14:paraId="34C5821C" w14:textId="77777777" w:rsidTr="00696C38">
        <w:tc>
          <w:tcPr>
            <w:tcW w:w="9576" w:type="dxa"/>
            <w:gridSpan w:val="2"/>
          </w:tcPr>
          <w:p w14:paraId="3436C8E3" w14:textId="4F10CE92" w:rsidR="00784150" w:rsidRPr="00784150" w:rsidRDefault="00784150" w:rsidP="00784150">
            <w:pPr>
              <w:rPr>
                <w:b/>
              </w:rPr>
            </w:pPr>
            <w:r w:rsidRPr="00784150">
              <w:rPr>
                <w:b/>
                <w:lang w:eastAsia="bg-BG"/>
              </w:rPr>
              <w:t>Общи нарушения и ефекти на мястото на приложение</w:t>
            </w:r>
          </w:p>
        </w:tc>
      </w:tr>
      <w:tr w:rsidR="00784150" w14:paraId="508E3FC5" w14:textId="77777777" w:rsidTr="00784150">
        <w:tc>
          <w:tcPr>
            <w:tcW w:w="5716" w:type="dxa"/>
          </w:tcPr>
          <w:p w14:paraId="181D3741" w14:textId="66172AED" w:rsidR="00784150" w:rsidRPr="00784150" w:rsidRDefault="00784150" w:rsidP="00784150">
            <w:r w:rsidRPr="00784150">
              <w:t>Много чести</w:t>
            </w:r>
          </w:p>
        </w:tc>
        <w:tc>
          <w:tcPr>
            <w:tcW w:w="3860" w:type="dxa"/>
          </w:tcPr>
          <w:p w14:paraId="33DD6C3D" w14:textId="21D6B3A5" w:rsidR="00784150" w:rsidRPr="00784150" w:rsidRDefault="00784150" w:rsidP="00784150">
            <w:r w:rsidRPr="00784150">
              <w:t>Умора (включително астения, общо неразположение)</w:t>
            </w:r>
          </w:p>
        </w:tc>
      </w:tr>
      <w:tr w:rsidR="00784150" w14:paraId="52387D5D" w14:textId="77777777" w:rsidTr="00784150">
        <w:tc>
          <w:tcPr>
            <w:tcW w:w="5716" w:type="dxa"/>
            <w:vMerge w:val="restart"/>
          </w:tcPr>
          <w:p w14:paraId="7C3139B6" w14:textId="44B689D9" w:rsidR="00784150" w:rsidRPr="00784150" w:rsidRDefault="00784150" w:rsidP="00784150">
            <w:r w:rsidRPr="00784150">
              <w:t>Чести</w:t>
            </w:r>
          </w:p>
        </w:tc>
        <w:tc>
          <w:tcPr>
            <w:tcW w:w="3860" w:type="dxa"/>
          </w:tcPr>
          <w:p w14:paraId="077FF075" w14:textId="29D3198F" w:rsidR="00784150" w:rsidRPr="00784150" w:rsidRDefault="00784150" w:rsidP="00784150">
            <w:r w:rsidRPr="00784150">
              <w:t>Периферен оток</w:t>
            </w:r>
          </w:p>
        </w:tc>
      </w:tr>
      <w:tr w:rsidR="00784150" w14:paraId="46AD1E8B" w14:textId="77777777" w:rsidTr="00784150">
        <w:tc>
          <w:tcPr>
            <w:tcW w:w="5716" w:type="dxa"/>
            <w:vMerge/>
          </w:tcPr>
          <w:p w14:paraId="5C2E2FDA" w14:textId="77777777" w:rsidR="00784150" w:rsidRPr="00784150" w:rsidRDefault="00784150" w:rsidP="00784150"/>
        </w:tc>
        <w:tc>
          <w:tcPr>
            <w:tcW w:w="3860" w:type="dxa"/>
          </w:tcPr>
          <w:p w14:paraId="72EE9A94" w14:textId="2288409E" w:rsidR="00784150" w:rsidRPr="00784150" w:rsidRDefault="00784150" w:rsidP="00784150">
            <w:r w:rsidRPr="00784150">
              <w:t>Болка в гърдите</w:t>
            </w:r>
          </w:p>
        </w:tc>
      </w:tr>
      <w:tr w:rsidR="00784150" w14:paraId="3346A7BE" w14:textId="77777777" w:rsidTr="00784150">
        <w:tc>
          <w:tcPr>
            <w:tcW w:w="5716" w:type="dxa"/>
          </w:tcPr>
          <w:p w14:paraId="7A79A138" w14:textId="6023B3AE" w:rsidR="00784150" w:rsidRPr="00784150" w:rsidRDefault="00784150" w:rsidP="00784150">
            <w:r w:rsidRPr="00784150">
              <w:t>Нечести</w:t>
            </w:r>
          </w:p>
        </w:tc>
        <w:tc>
          <w:tcPr>
            <w:tcW w:w="3860" w:type="dxa"/>
          </w:tcPr>
          <w:p w14:paraId="272AE2AC" w14:textId="54B10296" w:rsidR="00784150" w:rsidRPr="00784150" w:rsidRDefault="00784150" w:rsidP="00784150">
            <w:r w:rsidRPr="00784150">
              <w:t>Генерализиран оток.сухота на лигавиците, пирексия</w:t>
            </w:r>
          </w:p>
        </w:tc>
      </w:tr>
      <w:tr w:rsidR="00784150" w14:paraId="5C9B04EF" w14:textId="77777777" w:rsidTr="00696C38">
        <w:tc>
          <w:tcPr>
            <w:tcW w:w="9576" w:type="dxa"/>
            <w:gridSpan w:val="2"/>
          </w:tcPr>
          <w:p w14:paraId="1EA28A29" w14:textId="6A4B3C1E" w:rsidR="00784150" w:rsidRPr="00784150" w:rsidRDefault="00784150" w:rsidP="00784150">
            <w:pPr>
              <w:rPr>
                <w:b/>
              </w:rPr>
            </w:pPr>
            <w:r w:rsidRPr="00784150">
              <w:rPr>
                <w:b/>
                <w:lang w:eastAsia="bg-BG"/>
              </w:rPr>
              <w:t>Други нарушения</w:t>
            </w:r>
          </w:p>
        </w:tc>
      </w:tr>
      <w:tr w:rsidR="00784150" w14:paraId="5A23840B" w14:textId="77777777" w:rsidTr="00784150">
        <w:tc>
          <w:tcPr>
            <w:tcW w:w="5716" w:type="dxa"/>
          </w:tcPr>
          <w:p w14:paraId="42192DF3" w14:textId="598536C7" w:rsidR="00784150" w:rsidRDefault="00784150" w:rsidP="00784150">
            <w:r>
              <w:t>Чести</w:t>
            </w:r>
          </w:p>
        </w:tc>
        <w:tc>
          <w:tcPr>
            <w:tcW w:w="3860" w:type="dxa"/>
          </w:tcPr>
          <w:p w14:paraId="5B04970C" w14:textId="66934FD3" w:rsidR="00784150" w:rsidRDefault="00784150" w:rsidP="00784150">
            <w:r>
              <w:t>Повишение на теглото</w:t>
            </w:r>
          </w:p>
        </w:tc>
      </w:tr>
      <w:tr w:rsidR="00784150" w14:paraId="43BC24F7" w14:textId="77777777" w:rsidTr="00784150">
        <w:tc>
          <w:tcPr>
            <w:tcW w:w="5716" w:type="dxa"/>
          </w:tcPr>
          <w:p w14:paraId="7ED7EF30" w14:textId="3C6A4232" w:rsidR="00784150" w:rsidRDefault="00784150" w:rsidP="00784150">
            <w:r>
              <w:t>Нечести</w:t>
            </w:r>
          </w:p>
        </w:tc>
        <w:tc>
          <w:tcPr>
            <w:tcW w:w="3860" w:type="dxa"/>
          </w:tcPr>
          <w:p w14:paraId="3CFFFDE6" w14:textId="537A4B42" w:rsidR="00784150" w:rsidRDefault="00784150" w:rsidP="00784150">
            <w:r>
              <w:t>Загуба на тегло</w:t>
            </w:r>
          </w:p>
        </w:tc>
      </w:tr>
    </w:tbl>
    <w:p w14:paraId="1BC25541" w14:textId="77777777" w:rsidR="00784150" w:rsidRPr="00784150" w:rsidRDefault="00784150" w:rsidP="00784150">
      <w:pPr>
        <w:spacing w:line="240" w:lineRule="auto"/>
        <w:rPr>
          <w:rFonts w:eastAsia="Times New Roman" w:cs="Arial"/>
        </w:rPr>
      </w:pPr>
      <w:r w:rsidRPr="00784150">
        <w:rPr>
          <w:rFonts w:eastAsia="Times New Roman" w:cs="Arial"/>
          <w:color w:val="000000"/>
          <w:vertAlign w:val="superscript"/>
          <w:lang w:eastAsia="bg-BG"/>
        </w:rPr>
        <w:t>1</w:t>
      </w:r>
      <w:r w:rsidRPr="00784150">
        <w:rPr>
          <w:rFonts w:eastAsia="Times New Roman" w:cs="Arial"/>
          <w:color w:val="000000"/>
          <w:lang w:eastAsia="bg-BG"/>
        </w:rPr>
        <w:t xml:space="preserve"> Нежелани реакции, съобщавани само при пациенти с метастази</w:t>
      </w:r>
    </w:p>
    <w:p w14:paraId="3DD834BE" w14:textId="77777777" w:rsidR="00784150" w:rsidRDefault="00784150" w:rsidP="00784150">
      <w:pPr>
        <w:spacing w:line="240" w:lineRule="auto"/>
        <w:rPr>
          <w:rFonts w:eastAsia="Times New Roman" w:cs="Arial"/>
          <w:color w:val="000000"/>
          <w:lang w:eastAsia="bg-BG"/>
        </w:rPr>
      </w:pPr>
    </w:p>
    <w:p w14:paraId="094D5AC9" w14:textId="29B91E9D" w:rsidR="00784150" w:rsidRPr="00784150" w:rsidRDefault="00784150" w:rsidP="00784150">
      <w:pPr>
        <w:spacing w:line="240" w:lineRule="auto"/>
        <w:rPr>
          <w:rFonts w:eastAsia="Times New Roman" w:cs="Arial"/>
        </w:rPr>
      </w:pPr>
      <w:r w:rsidRPr="00784150">
        <w:rPr>
          <w:rFonts w:eastAsia="Times New Roman" w:cs="Arial"/>
          <w:color w:val="000000"/>
          <w:lang w:eastAsia="bg-BG"/>
        </w:rPr>
        <w:t>Някои нежелани реакции се съобщават с подчертано различна честота при адювантна терапия. Следващите таблици предоставят информация за сигиификантните разлики при летрозол спрямо тамоксифен, прилагани като монотерапия и при летрозол-тамоксифен прилагани като секвентна терапия:</w:t>
      </w:r>
    </w:p>
    <w:p w14:paraId="2A5EB447" w14:textId="77777777" w:rsidR="00784150" w:rsidRDefault="00784150" w:rsidP="00784150">
      <w:pPr>
        <w:spacing w:line="240" w:lineRule="auto"/>
        <w:rPr>
          <w:rFonts w:eastAsia="Times New Roman" w:cs="Arial"/>
          <w:b/>
          <w:bCs/>
          <w:color w:val="000000"/>
          <w:lang w:eastAsia="bg-BG"/>
        </w:rPr>
      </w:pPr>
    </w:p>
    <w:p w14:paraId="77A07F06" w14:textId="4F41CCE8" w:rsidR="00784150" w:rsidRPr="00784150" w:rsidRDefault="00784150" w:rsidP="00784150">
      <w:pPr>
        <w:spacing w:line="240" w:lineRule="auto"/>
        <w:rPr>
          <w:rFonts w:eastAsia="Times New Roman" w:cs="Arial"/>
          <w:b/>
          <w:bCs/>
          <w:color w:val="000000"/>
          <w:lang w:eastAsia="bg-BG"/>
        </w:rPr>
      </w:pPr>
      <w:r w:rsidRPr="00784150">
        <w:rPr>
          <w:rFonts w:eastAsia="Times New Roman" w:cs="Arial"/>
          <w:b/>
          <w:bCs/>
          <w:color w:val="000000"/>
          <w:lang w:eastAsia="bg-BG"/>
        </w:rPr>
        <w:t>Таблица 2 Адювантна монотерапия с летрозол спрямо тамоксифен, прилаган като монотерапия - нежелани събития със сигнификантна разлика</w:t>
      </w:r>
    </w:p>
    <w:tbl>
      <w:tblPr>
        <w:tblStyle w:val="TableGrid"/>
        <w:tblW w:w="0" w:type="auto"/>
        <w:tblLook w:val="04A0" w:firstRow="1" w:lastRow="0" w:firstColumn="1" w:lastColumn="0" w:noHBand="0" w:noVBand="1"/>
      </w:tblPr>
      <w:tblGrid>
        <w:gridCol w:w="4336"/>
        <w:gridCol w:w="2499"/>
        <w:gridCol w:w="2515"/>
      </w:tblGrid>
      <w:tr w:rsidR="00784150" w14:paraId="2235263D" w14:textId="77777777" w:rsidTr="00784150">
        <w:tc>
          <w:tcPr>
            <w:tcW w:w="4462" w:type="dxa"/>
          </w:tcPr>
          <w:p w14:paraId="4DC58CC1" w14:textId="77777777" w:rsidR="00784150" w:rsidRPr="00784150" w:rsidRDefault="00784150" w:rsidP="00784150"/>
        </w:tc>
        <w:tc>
          <w:tcPr>
            <w:tcW w:w="2550" w:type="dxa"/>
          </w:tcPr>
          <w:p w14:paraId="2EB5A6E6" w14:textId="76708652" w:rsidR="00784150" w:rsidRPr="00784150" w:rsidRDefault="00784150" w:rsidP="00784150">
            <w:r w:rsidRPr="00784150">
              <w:rPr>
                <w:b/>
                <w:bCs/>
              </w:rPr>
              <w:t>Летрозол, честота на нежеланото събитие</w:t>
            </w:r>
          </w:p>
        </w:tc>
        <w:tc>
          <w:tcPr>
            <w:tcW w:w="2564" w:type="dxa"/>
          </w:tcPr>
          <w:p w14:paraId="09D096C8" w14:textId="55DE021B" w:rsidR="00784150" w:rsidRPr="00784150" w:rsidRDefault="00784150" w:rsidP="00784150">
            <w:r w:rsidRPr="00784150">
              <w:rPr>
                <w:b/>
                <w:bCs/>
              </w:rPr>
              <w:t>Тамоксифен, честота на нежеланото събитие</w:t>
            </w:r>
          </w:p>
        </w:tc>
      </w:tr>
      <w:tr w:rsidR="00784150" w14:paraId="1E468324" w14:textId="77777777" w:rsidTr="00784150">
        <w:tc>
          <w:tcPr>
            <w:tcW w:w="4462" w:type="dxa"/>
          </w:tcPr>
          <w:p w14:paraId="6C08B2BF" w14:textId="4103ABA3" w:rsidR="00784150" w:rsidRPr="00784150" w:rsidRDefault="00784150" w:rsidP="00784150">
            <w:r w:rsidRPr="00784150">
              <w:t>Костни фрактури</w:t>
            </w:r>
          </w:p>
        </w:tc>
        <w:tc>
          <w:tcPr>
            <w:tcW w:w="2550" w:type="dxa"/>
          </w:tcPr>
          <w:p w14:paraId="24BE3942" w14:textId="44DC6049" w:rsidR="00784150" w:rsidRPr="00784150" w:rsidRDefault="00784150" w:rsidP="00784150">
            <w:r w:rsidRPr="00784150">
              <w:t>10,1%(13,8%)</w:t>
            </w:r>
          </w:p>
        </w:tc>
        <w:tc>
          <w:tcPr>
            <w:tcW w:w="2564" w:type="dxa"/>
          </w:tcPr>
          <w:p w14:paraId="30A753CC" w14:textId="5566A2B7" w:rsidR="00784150" w:rsidRPr="00784150" w:rsidRDefault="00784150" w:rsidP="00784150">
            <w:r w:rsidRPr="00784150">
              <w:t>7,1%(10,5%)</w:t>
            </w:r>
          </w:p>
        </w:tc>
      </w:tr>
      <w:tr w:rsidR="00784150" w14:paraId="66608939" w14:textId="77777777" w:rsidTr="00784150">
        <w:tc>
          <w:tcPr>
            <w:tcW w:w="4462" w:type="dxa"/>
          </w:tcPr>
          <w:p w14:paraId="1221C13D" w14:textId="5D7D2A49" w:rsidR="00784150" w:rsidRPr="00784150" w:rsidRDefault="00784150" w:rsidP="00784150">
            <w:r w:rsidRPr="00784150">
              <w:t>Остеопороза</w:t>
            </w:r>
          </w:p>
        </w:tc>
        <w:tc>
          <w:tcPr>
            <w:tcW w:w="2550" w:type="dxa"/>
          </w:tcPr>
          <w:p w14:paraId="33FF0DBD" w14:textId="25CC0A43" w:rsidR="00784150" w:rsidRPr="00784150" w:rsidRDefault="00784150" w:rsidP="00784150">
            <w:r w:rsidRPr="00784150">
              <w:t>5,1%(5,1%)</w:t>
            </w:r>
          </w:p>
        </w:tc>
        <w:tc>
          <w:tcPr>
            <w:tcW w:w="2564" w:type="dxa"/>
          </w:tcPr>
          <w:p w14:paraId="5ABED790" w14:textId="1FB27AB8" w:rsidR="00784150" w:rsidRPr="00784150" w:rsidRDefault="00784150" w:rsidP="00784150">
            <w:r w:rsidRPr="00784150">
              <w:t>2,7%(2,7%)</w:t>
            </w:r>
          </w:p>
        </w:tc>
      </w:tr>
      <w:tr w:rsidR="00784150" w14:paraId="7353CFE8" w14:textId="77777777" w:rsidTr="00784150">
        <w:tc>
          <w:tcPr>
            <w:tcW w:w="4462" w:type="dxa"/>
          </w:tcPr>
          <w:p w14:paraId="207D4EB6" w14:textId="1D1A982C" w:rsidR="00784150" w:rsidRPr="00784150" w:rsidRDefault="00784150" w:rsidP="00784150">
            <w:r w:rsidRPr="00784150">
              <w:t>Тромбоемболични събития</w:t>
            </w:r>
          </w:p>
        </w:tc>
        <w:tc>
          <w:tcPr>
            <w:tcW w:w="2550" w:type="dxa"/>
          </w:tcPr>
          <w:p w14:paraId="02417164" w14:textId="204C93B9" w:rsidR="00784150" w:rsidRPr="00784150" w:rsidRDefault="00784150" w:rsidP="00784150">
            <w:r w:rsidRPr="00784150">
              <w:t>2,1%(2,9%)</w:t>
            </w:r>
          </w:p>
        </w:tc>
        <w:tc>
          <w:tcPr>
            <w:tcW w:w="2564" w:type="dxa"/>
          </w:tcPr>
          <w:p w14:paraId="23A7B191" w14:textId="34CBDB7A" w:rsidR="00784150" w:rsidRPr="00784150" w:rsidRDefault="00784150" w:rsidP="00784150">
            <w:r w:rsidRPr="00784150">
              <w:t>3,6%(4,5%)</w:t>
            </w:r>
          </w:p>
        </w:tc>
      </w:tr>
      <w:tr w:rsidR="00784150" w14:paraId="1579B5BB" w14:textId="77777777" w:rsidTr="00784150">
        <w:tc>
          <w:tcPr>
            <w:tcW w:w="4462" w:type="dxa"/>
          </w:tcPr>
          <w:p w14:paraId="715BEC04" w14:textId="0BAFA4CD" w:rsidR="00784150" w:rsidRPr="00784150" w:rsidRDefault="00784150" w:rsidP="00784150">
            <w:r w:rsidRPr="00784150">
              <w:t>Миокарден инфаркт</w:t>
            </w:r>
          </w:p>
        </w:tc>
        <w:tc>
          <w:tcPr>
            <w:tcW w:w="2550" w:type="dxa"/>
          </w:tcPr>
          <w:p w14:paraId="6E7A55A7" w14:textId="6C51F8E7" w:rsidR="00784150" w:rsidRPr="00784150" w:rsidRDefault="00784150" w:rsidP="00784150">
            <w:r w:rsidRPr="00784150">
              <w:t>1,0%(1,5%)</w:t>
            </w:r>
          </w:p>
        </w:tc>
        <w:tc>
          <w:tcPr>
            <w:tcW w:w="2564" w:type="dxa"/>
          </w:tcPr>
          <w:p w14:paraId="6634DFC7" w14:textId="1FC6AB1C" w:rsidR="00784150" w:rsidRPr="00784150" w:rsidRDefault="00784150" w:rsidP="00784150">
            <w:r w:rsidRPr="00784150">
              <w:t>0,5%(1,0%)</w:t>
            </w:r>
          </w:p>
        </w:tc>
      </w:tr>
      <w:tr w:rsidR="00784150" w14:paraId="0AAFDFCD" w14:textId="77777777" w:rsidTr="00784150">
        <w:tc>
          <w:tcPr>
            <w:tcW w:w="4462" w:type="dxa"/>
          </w:tcPr>
          <w:p w14:paraId="793D71A4" w14:textId="239F07F2" w:rsidR="00784150" w:rsidRPr="00784150" w:rsidRDefault="00784150" w:rsidP="00784150">
            <w:r w:rsidRPr="00784150">
              <w:t>Хиперплазия на ендометриума/рак на ендометриума</w:t>
            </w:r>
          </w:p>
        </w:tc>
        <w:tc>
          <w:tcPr>
            <w:tcW w:w="2550" w:type="dxa"/>
          </w:tcPr>
          <w:p w14:paraId="453D8EF3" w14:textId="2700A04A" w:rsidR="00784150" w:rsidRPr="00784150" w:rsidRDefault="00784150" w:rsidP="00784150">
            <w:r w:rsidRPr="00784150">
              <w:t>0,2%(0,4%)</w:t>
            </w:r>
          </w:p>
        </w:tc>
        <w:tc>
          <w:tcPr>
            <w:tcW w:w="2564" w:type="dxa"/>
          </w:tcPr>
          <w:p w14:paraId="65A1C92E" w14:textId="5E11F466" w:rsidR="00784150" w:rsidRPr="00784150" w:rsidRDefault="00784150" w:rsidP="00784150">
            <w:r w:rsidRPr="00784150">
              <w:t>2,3%(2,9%)</w:t>
            </w:r>
          </w:p>
        </w:tc>
      </w:tr>
      <w:tr w:rsidR="00784150" w14:paraId="447DD9EC" w14:textId="77777777" w:rsidTr="00696C38">
        <w:tc>
          <w:tcPr>
            <w:tcW w:w="9576" w:type="dxa"/>
            <w:gridSpan w:val="3"/>
          </w:tcPr>
          <w:p w14:paraId="4ED31D63" w14:textId="77777777" w:rsidR="00784150" w:rsidRPr="00784150" w:rsidRDefault="00784150" w:rsidP="00784150">
            <w:pPr>
              <w:rPr>
                <w:sz w:val="24"/>
                <w:szCs w:val="24"/>
              </w:rPr>
            </w:pPr>
            <w:r w:rsidRPr="00784150">
              <w:rPr>
                <w:lang w:eastAsia="bg-BG"/>
              </w:rPr>
              <w:lastRenderedPageBreak/>
              <w:t>Забележка: Медиана на продължителност на лечението 60 месеца. Периодът за съобщаване на нежелани реакции включва периода на лечение плюс 30 дни след спиране на лечението.</w:t>
            </w:r>
          </w:p>
          <w:p w14:paraId="00FB51CD" w14:textId="47748848" w:rsidR="00784150" w:rsidRPr="00784150" w:rsidRDefault="00784150" w:rsidP="00784150">
            <w:pPr>
              <w:rPr>
                <w:sz w:val="24"/>
                <w:szCs w:val="24"/>
              </w:rPr>
            </w:pPr>
            <w:r w:rsidRPr="00784150">
              <w:rPr>
                <w:lang w:eastAsia="bg-BG"/>
              </w:rPr>
              <w:t>Процентите в скобите показват честотата на събитията по всяко време след рандомизацията, включително през периода след приключване на проучването. Медианата на проследяване е 73 месеца.</w:t>
            </w:r>
          </w:p>
        </w:tc>
      </w:tr>
    </w:tbl>
    <w:p w14:paraId="2A73A019" w14:textId="5C9D1E47" w:rsidR="00784150" w:rsidRDefault="00784150" w:rsidP="00784150"/>
    <w:p w14:paraId="0C476004" w14:textId="77777777" w:rsidR="00784150" w:rsidRPr="00784150" w:rsidRDefault="00784150" w:rsidP="00784150">
      <w:pPr>
        <w:rPr>
          <w:b/>
          <w:sz w:val="24"/>
          <w:szCs w:val="24"/>
        </w:rPr>
      </w:pPr>
      <w:r w:rsidRPr="00784150">
        <w:rPr>
          <w:b/>
          <w:lang w:eastAsia="bg-BG"/>
        </w:rPr>
        <w:t>Таблица 3 Секвентна терапия спрямо летрозол, прилаган като монотерапия - нежелани събития със сигнификантна разлика</w:t>
      </w:r>
    </w:p>
    <w:tbl>
      <w:tblPr>
        <w:tblStyle w:val="TableGrid"/>
        <w:tblW w:w="0" w:type="auto"/>
        <w:tblLook w:val="04A0" w:firstRow="1" w:lastRow="0" w:firstColumn="1" w:lastColumn="0" w:noHBand="0" w:noVBand="1"/>
      </w:tblPr>
      <w:tblGrid>
        <w:gridCol w:w="2555"/>
        <w:gridCol w:w="2270"/>
        <w:gridCol w:w="2254"/>
        <w:gridCol w:w="2271"/>
      </w:tblGrid>
      <w:tr w:rsidR="00784150" w14:paraId="0D110A5C" w14:textId="77777777" w:rsidTr="00784150">
        <w:tc>
          <w:tcPr>
            <w:tcW w:w="2555" w:type="dxa"/>
          </w:tcPr>
          <w:p w14:paraId="669C8A92" w14:textId="77777777" w:rsidR="00784150" w:rsidRPr="00784150" w:rsidRDefault="00784150" w:rsidP="00784150"/>
        </w:tc>
        <w:tc>
          <w:tcPr>
            <w:tcW w:w="2342" w:type="dxa"/>
          </w:tcPr>
          <w:p w14:paraId="1E7CF6E1" w14:textId="0AA45039" w:rsidR="00784150" w:rsidRPr="00784150" w:rsidRDefault="00784150" w:rsidP="00784150">
            <w:r w:rsidRPr="00784150">
              <w:rPr>
                <w:b/>
                <w:bCs/>
              </w:rPr>
              <w:t>Летрозол като монотерапия</w:t>
            </w:r>
          </w:p>
        </w:tc>
        <w:tc>
          <w:tcPr>
            <w:tcW w:w="2336" w:type="dxa"/>
          </w:tcPr>
          <w:p w14:paraId="3B17E889" w14:textId="5CA640B2" w:rsidR="00784150" w:rsidRPr="00784150" w:rsidRDefault="00784150" w:rsidP="00784150">
            <w:r w:rsidRPr="00784150">
              <w:rPr>
                <w:b/>
                <w:bCs/>
              </w:rPr>
              <w:t>Летрозол-&gt; тамоксифен</w:t>
            </w:r>
          </w:p>
        </w:tc>
        <w:tc>
          <w:tcPr>
            <w:tcW w:w="2343" w:type="dxa"/>
          </w:tcPr>
          <w:p w14:paraId="710CCA06" w14:textId="77777777" w:rsidR="00784150" w:rsidRPr="00784150" w:rsidRDefault="00784150" w:rsidP="00784150">
            <w:r w:rsidRPr="00784150">
              <w:rPr>
                <w:b/>
                <w:bCs/>
              </w:rPr>
              <w:t>Тамоксифен-</w:t>
            </w:r>
          </w:p>
          <w:p w14:paraId="1F409E99" w14:textId="12AF2E76" w:rsidR="00784150" w:rsidRPr="00784150" w:rsidRDefault="00784150" w:rsidP="00784150">
            <w:r w:rsidRPr="00784150">
              <w:rPr>
                <w:b/>
                <w:bCs/>
              </w:rPr>
              <w:t>&gt;летрозол</w:t>
            </w:r>
          </w:p>
        </w:tc>
      </w:tr>
      <w:tr w:rsidR="00784150" w14:paraId="041401DB" w14:textId="77777777" w:rsidTr="00784150">
        <w:tc>
          <w:tcPr>
            <w:tcW w:w="2555" w:type="dxa"/>
          </w:tcPr>
          <w:p w14:paraId="61C7166E" w14:textId="65961618" w:rsidR="00784150" w:rsidRPr="00784150" w:rsidRDefault="00784150" w:rsidP="00784150">
            <w:r w:rsidRPr="00784150">
              <w:t>Костни фрактури</w:t>
            </w:r>
          </w:p>
        </w:tc>
        <w:tc>
          <w:tcPr>
            <w:tcW w:w="2342" w:type="dxa"/>
          </w:tcPr>
          <w:p w14:paraId="2DB45DD7" w14:textId="49DA7D85" w:rsidR="00784150" w:rsidRPr="00784150" w:rsidRDefault="00784150" w:rsidP="00784150">
            <w:r w:rsidRPr="00784150">
              <w:t>9,9%</w:t>
            </w:r>
          </w:p>
        </w:tc>
        <w:tc>
          <w:tcPr>
            <w:tcW w:w="2336" w:type="dxa"/>
          </w:tcPr>
          <w:p w14:paraId="7B80DFD0" w14:textId="5E0E393F" w:rsidR="00784150" w:rsidRPr="00784150" w:rsidRDefault="00784150" w:rsidP="00784150">
            <w:r w:rsidRPr="00784150">
              <w:t>7,6%*</w:t>
            </w:r>
          </w:p>
        </w:tc>
        <w:tc>
          <w:tcPr>
            <w:tcW w:w="2343" w:type="dxa"/>
          </w:tcPr>
          <w:p w14:paraId="1A171F2F" w14:textId="62B70F3C" w:rsidR="00784150" w:rsidRPr="00784150" w:rsidRDefault="00784150" w:rsidP="00784150">
            <w:r w:rsidRPr="00784150">
              <w:t>9,6%</w:t>
            </w:r>
          </w:p>
        </w:tc>
      </w:tr>
      <w:tr w:rsidR="00784150" w14:paraId="5173FC3D" w14:textId="77777777" w:rsidTr="00784150">
        <w:tc>
          <w:tcPr>
            <w:tcW w:w="2555" w:type="dxa"/>
          </w:tcPr>
          <w:p w14:paraId="0E97CF61" w14:textId="23D05979" w:rsidR="00784150" w:rsidRPr="00784150" w:rsidRDefault="00784150" w:rsidP="00784150">
            <w:r w:rsidRPr="00784150">
              <w:t>Пролиферативни нарушения на ендометриума</w:t>
            </w:r>
          </w:p>
        </w:tc>
        <w:tc>
          <w:tcPr>
            <w:tcW w:w="2342" w:type="dxa"/>
          </w:tcPr>
          <w:p w14:paraId="70FB8524" w14:textId="0B054749" w:rsidR="00784150" w:rsidRPr="00784150" w:rsidRDefault="00784150" w:rsidP="00784150">
            <w:r w:rsidRPr="00784150">
              <w:t>0,7%</w:t>
            </w:r>
          </w:p>
        </w:tc>
        <w:tc>
          <w:tcPr>
            <w:tcW w:w="2336" w:type="dxa"/>
          </w:tcPr>
          <w:p w14:paraId="7C2FAC29" w14:textId="648C6434" w:rsidR="00784150" w:rsidRPr="00784150" w:rsidRDefault="00784150" w:rsidP="00784150">
            <w:r w:rsidRPr="00784150">
              <w:t>3,4%**</w:t>
            </w:r>
          </w:p>
        </w:tc>
        <w:tc>
          <w:tcPr>
            <w:tcW w:w="2343" w:type="dxa"/>
          </w:tcPr>
          <w:p w14:paraId="4BECAB49" w14:textId="78ED10EE" w:rsidR="00784150" w:rsidRPr="00784150" w:rsidRDefault="00784150" w:rsidP="00784150">
            <w:r w:rsidRPr="00784150">
              <w:t>1,7%**</w:t>
            </w:r>
          </w:p>
        </w:tc>
      </w:tr>
      <w:tr w:rsidR="00784150" w14:paraId="223C6B9A" w14:textId="77777777" w:rsidTr="00784150">
        <w:tc>
          <w:tcPr>
            <w:tcW w:w="2555" w:type="dxa"/>
          </w:tcPr>
          <w:p w14:paraId="69A09F80" w14:textId="39AF65D5" w:rsidR="00784150" w:rsidRPr="00784150" w:rsidRDefault="00784150" w:rsidP="00784150">
            <w:r w:rsidRPr="00784150">
              <w:t>Хиперхолестеролемия</w:t>
            </w:r>
          </w:p>
        </w:tc>
        <w:tc>
          <w:tcPr>
            <w:tcW w:w="2342" w:type="dxa"/>
          </w:tcPr>
          <w:p w14:paraId="5213EE8E" w14:textId="18E28176" w:rsidR="00784150" w:rsidRPr="00784150" w:rsidRDefault="00784150" w:rsidP="00784150">
            <w:r w:rsidRPr="00784150">
              <w:t>52,5%</w:t>
            </w:r>
          </w:p>
        </w:tc>
        <w:tc>
          <w:tcPr>
            <w:tcW w:w="2336" w:type="dxa"/>
          </w:tcPr>
          <w:p w14:paraId="61B39D7E" w14:textId="448D409E" w:rsidR="00784150" w:rsidRPr="00784150" w:rsidRDefault="00784150" w:rsidP="00784150">
            <w:r w:rsidRPr="00784150">
              <w:t>44,2%*</w:t>
            </w:r>
          </w:p>
        </w:tc>
        <w:tc>
          <w:tcPr>
            <w:tcW w:w="2343" w:type="dxa"/>
          </w:tcPr>
          <w:p w14:paraId="42ADD7CB" w14:textId="79F4C270" w:rsidR="00784150" w:rsidRPr="00784150" w:rsidRDefault="00784150" w:rsidP="00784150">
            <w:r w:rsidRPr="00784150">
              <w:t>40,8%*</w:t>
            </w:r>
          </w:p>
        </w:tc>
      </w:tr>
      <w:tr w:rsidR="00784150" w14:paraId="384E6B6B" w14:textId="77777777" w:rsidTr="00784150">
        <w:tc>
          <w:tcPr>
            <w:tcW w:w="2555" w:type="dxa"/>
          </w:tcPr>
          <w:p w14:paraId="02F8B928" w14:textId="3DD4491C" w:rsidR="00784150" w:rsidRPr="00784150" w:rsidRDefault="00784150" w:rsidP="00784150">
            <w:r w:rsidRPr="00784150">
              <w:t>Горещи вълни</w:t>
            </w:r>
          </w:p>
        </w:tc>
        <w:tc>
          <w:tcPr>
            <w:tcW w:w="2342" w:type="dxa"/>
          </w:tcPr>
          <w:p w14:paraId="1AE3EE94" w14:textId="14058BEB" w:rsidR="00784150" w:rsidRPr="00784150" w:rsidRDefault="00784150" w:rsidP="00784150">
            <w:r w:rsidRPr="00784150">
              <w:t>37,7%</w:t>
            </w:r>
          </w:p>
        </w:tc>
        <w:tc>
          <w:tcPr>
            <w:tcW w:w="2336" w:type="dxa"/>
          </w:tcPr>
          <w:p w14:paraId="35445C57" w14:textId="33D57A8F" w:rsidR="00784150" w:rsidRPr="00784150" w:rsidRDefault="00784150" w:rsidP="00784150">
            <w:r w:rsidRPr="00784150">
              <w:t>41,7%**</w:t>
            </w:r>
          </w:p>
        </w:tc>
        <w:tc>
          <w:tcPr>
            <w:tcW w:w="2343" w:type="dxa"/>
          </w:tcPr>
          <w:p w14:paraId="1A974568" w14:textId="1FCB7EAB" w:rsidR="00784150" w:rsidRPr="00784150" w:rsidRDefault="00784150" w:rsidP="00784150">
            <w:r w:rsidRPr="00784150">
              <w:t>43,9%**</w:t>
            </w:r>
          </w:p>
        </w:tc>
      </w:tr>
      <w:tr w:rsidR="00784150" w14:paraId="6683D5AE" w14:textId="77777777" w:rsidTr="00784150">
        <w:tc>
          <w:tcPr>
            <w:tcW w:w="2555" w:type="dxa"/>
          </w:tcPr>
          <w:p w14:paraId="337BAA09" w14:textId="5DA0211D" w:rsidR="00784150" w:rsidRDefault="00784150" w:rsidP="00784150">
            <w:r>
              <w:t>Вагинално кървене</w:t>
            </w:r>
          </w:p>
        </w:tc>
        <w:tc>
          <w:tcPr>
            <w:tcW w:w="2342" w:type="dxa"/>
          </w:tcPr>
          <w:p w14:paraId="2A36DDA8" w14:textId="1E0D15A2" w:rsidR="00784150" w:rsidRDefault="00784150" w:rsidP="00784150">
            <w:r>
              <w:t>6,3%</w:t>
            </w:r>
          </w:p>
        </w:tc>
        <w:tc>
          <w:tcPr>
            <w:tcW w:w="2336" w:type="dxa"/>
            <w:vAlign w:val="bottom"/>
          </w:tcPr>
          <w:p w14:paraId="15E24D53" w14:textId="235DE76B" w:rsidR="00784150" w:rsidRDefault="00784150" w:rsidP="00784150">
            <w:r>
              <w:t>9,6%**</w:t>
            </w:r>
          </w:p>
        </w:tc>
        <w:tc>
          <w:tcPr>
            <w:tcW w:w="2343" w:type="dxa"/>
            <w:vAlign w:val="bottom"/>
          </w:tcPr>
          <w:p w14:paraId="25BD3415" w14:textId="6483BC66" w:rsidR="00784150" w:rsidRDefault="00784150" w:rsidP="00784150">
            <w:r>
              <w:t>12,7%**</w:t>
            </w:r>
          </w:p>
        </w:tc>
      </w:tr>
      <w:tr w:rsidR="00784150" w14:paraId="2A919451" w14:textId="77777777" w:rsidTr="00696C38">
        <w:tc>
          <w:tcPr>
            <w:tcW w:w="9576" w:type="dxa"/>
            <w:gridSpan w:val="4"/>
          </w:tcPr>
          <w:p w14:paraId="101E5DAE" w14:textId="0D819AF3" w:rsidR="00784150" w:rsidRPr="00784150" w:rsidRDefault="00784150" w:rsidP="00784150">
            <w:pPr>
              <w:rPr>
                <w:lang w:eastAsia="bg-BG"/>
              </w:rPr>
            </w:pPr>
            <w:r>
              <w:rPr>
                <w:lang w:eastAsia="bg-BG"/>
              </w:rPr>
              <w:t>*</w:t>
            </w:r>
            <w:r w:rsidRPr="00784150">
              <w:rPr>
                <w:lang w:eastAsia="bg-BG"/>
              </w:rPr>
              <w:t>Сигнификантно по-малко при летрозол като монотерапия</w:t>
            </w:r>
          </w:p>
          <w:p w14:paraId="77FC9B99" w14:textId="615F77CC" w:rsidR="00784150" w:rsidRPr="00784150" w:rsidRDefault="00784150" w:rsidP="00784150">
            <w:pPr>
              <w:rPr>
                <w:lang w:eastAsia="bg-BG"/>
              </w:rPr>
            </w:pPr>
            <w:r w:rsidRPr="00784150">
              <w:rPr>
                <w:lang w:eastAsia="bg-BG"/>
              </w:rPr>
              <w:t>*</w:t>
            </w:r>
            <w:r>
              <w:rPr>
                <w:lang w:eastAsia="bg-BG"/>
              </w:rPr>
              <w:t>*</w:t>
            </w:r>
            <w:r w:rsidRPr="00784150">
              <w:rPr>
                <w:lang w:eastAsia="bg-BG"/>
              </w:rPr>
              <w:t xml:space="preserve"> Сигнификантно повече при летрозол като монотерапия</w:t>
            </w:r>
          </w:p>
          <w:p w14:paraId="09EB7FC6" w14:textId="38D63A26" w:rsidR="00784150" w:rsidRPr="00784150" w:rsidRDefault="00784150" w:rsidP="00784150">
            <w:pPr>
              <w:rPr>
                <w:sz w:val="24"/>
                <w:szCs w:val="24"/>
              </w:rPr>
            </w:pPr>
            <w:r w:rsidRPr="00784150">
              <w:rPr>
                <w:lang w:eastAsia="bg-BG"/>
              </w:rPr>
              <w:t>Забележка : Периодът за съобщаване е по време на лечението или 30 дни след спиране на лечението</w:t>
            </w:r>
          </w:p>
        </w:tc>
      </w:tr>
    </w:tbl>
    <w:p w14:paraId="129F67C2" w14:textId="2683B5C9" w:rsidR="00784150" w:rsidRDefault="00784150" w:rsidP="00784150"/>
    <w:p w14:paraId="2C154FA6" w14:textId="77777777"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Описание на избрани нежелани реакции</w:t>
      </w:r>
    </w:p>
    <w:p w14:paraId="1D38FDDC" w14:textId="77777777" w:rsidR="00784150" w:rsidRDefault="00784150" w:rsidP="00784150">
      <w:pPr>
        <w:spacing w:line="240" w:lineRule="auto"/>
        <w:rPr>
          <w:rFonts w:eastAsia="Times New Roman" w:cs="Arial"/>
          <w:i/>
          <w:iCs/>
          <w:color w:val="000000"/>
          <w:lang w:eastAsia="bg-BG"/>
        </w:rPr>
      </w:pPr>
    </w:p>
    <w:p w14:paraId="489D4DD3" w14:textId="161ACD0C" w:rsidR="00784150" w:rsidRPr="00784150" w:rsidRDefault="00784150" w:rsidP="00784150">
      <w:pPr>
        <w:spacing w:line="240" w:lineRule="auto"/>
        <w:rPr>
          <w:rFonts w:eastAsia="Times New Roman" w:cs="Arial"/>
        </w:rPr>
      </w:pPr>
      <w:r w:rsidRPr="00784150">
        <w:rPr>
          <w:rFonts w:eastAsia="Times New Roman" w:cs="Arial"/>
          <w:i/>
          <w:iCs/>
          <w:color w:val="000000"/>
          <w:lang w:eastAsia="bg-BG"/>
        </w:rPr>
        <w:t>Нежелани реакции свързани със сърцето</w:t>
      </w:r>
    </w:p>
    <w:p w14:paraId="55BF6C2C"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При адювантна терапия, в допълнение към данните, представени в Таблица 2, се съобщават следните нежелани събития, съответно при летрозол и тамоксифен (при медиана на продължителност на лечението 60 месеца плюс 30 дни): стенокардия, изискваща оперативно лечение (1,0% спрямо 1,0%); сърдечна недостатъчност (1,1% спрямо 0,6%); хипертония (5,6% спрямо 5,7%); мозъчно-съдов инцидент/транзиторна исхемична атака (2,1% спрямо 1,9%).</w:t>
      </w:r>
    </w:p>
    <w:p w14:paraId="095DA193" w14:textId="77777777" w:rsidR="00784150" w:rsidRDefault="00784150" w:rsidP="00784150">
      <w:pPr>
        <w:spacing w:line="240" w:lineRule="auto"/>
        <w:rPr>
          <w:rFonts w:eastAsia="Times New Roman" w:cs="Arial"/>
          <w:color w:val="000000"/>
          <w:lang w:eastAsia="bg-BG"/>
        </w:rPr>
      </w:pPr>
    </w:p>
    <w:p w14:paraId="2BA5A9A1" w14:textId="2E6F92C0" w:rsidR="00784150" w:rsidRPr="00784150" w:rsidRDefault="00784150" w:rsidP="00784150">
      <w:pPr>
        <w:spacing w:line="240" w:lineRule="auto"/>
        <w:rPr>
          <w:rFonts w:eastAsia="Times New Roman" w:cs="Arial"/>
        </w:rPr>
      </w:pPr>
      <w:r w:rsidRPr="00784150">
        <w:rPr>
          <w:rFonts w:eastAsia="Times New Roman" w:cs="Arial"/>
          <w:color w:val="000000"/>
          <w:lang w:eastAsia="bg-BG"/>
        </w:rPr>
        <w:t>При разширена адювантна терапия съответно при летрозол (медиана на продължителност на лечението 5 години) и плацебо (медиана на продължителност на лечението 3 години) се съобщават: стенокардия, изискваща оперативно лечение (0,8% спрямо 0,6%); новопоявила се или влошаваща се стенокардия (1,4% спрямо 1,0%); миокарден инфаркт (1,0% спрямо 0,7%); тромбоемболични събития* (0,9% спрямо 0,3%); инсулт/транзиторна исхемична атака* (1,5% спрямо 0,8%).</w:t>
      </w:r>
    </w:p>
    <w:p w14:paraId="39CDED22" w14:textId="77777777" w:rsidR="00784150" w:rsidRDefault="00784150" w:rsidP="00784150">
      <w:pPr>
        <w:spacing w:line="240" w:lineRule="auto"/>
        <w:rPr>
          <w:rFonts w:eastAsia="Times New Roman" w:cs="Arial"/>
          <w:color w:val="000000"/>
          <w:lang w:eastAsia="bg-BG"/>
        </w:rPr>
      </w:pPr>
    </w:p>
    <w:p w14:paraId="0D695092" w14:textId="680C455D" w:rsidR="00784150" w:rsidRPr="00784150" w:rsidRDefault="00784150" w:rsidP="00784150">
      <w:pPr>
        <w:spacing w:line="240" w:lineRule="auto"/>
        <w:rPr>
          <w:rFonts w:eastAsia="Times New Roman" w:cs="Arial"/>
        </w:rPr>
      </w:pPr>
      <w:r w:rsidRPr="00784150">
        <w:rPr>
          <w:rFonts w:eastAsia="Times New Roman" w:cs="Arial"/>
          <w:color w:val="000000"/>
          <w:lang w:eastAsia="bg-BG"/>
        </w:rPr>
        <w:t>Събитията, отбелязани със * имат статистически значима разлика в двете терапевтични рамена.</w:t>
      </w:r>
    </w:p>
    <w:p w14:paraId="562D7F7E" w14:textId="77777777" w:rsidR="00784150" w:rsidRDefault="00784150" w:rsidP="00784150">
      <w:pPr>
        <w:spacing w:line="240" w:lineRule="auto"/>
        <w:rPr>
          <w:rFonts w:eastAsia="Times New Roman" w:cs="Arial"/>
          <w:i/>
          <w:iCs/>
          <w:color w:val="000000"/>
          <w:lang w:eastAsia="bg-BG"/>
        </w:rPr>
      </w:pPr>
    </w:p>
    <w:p w14:paraId="1C44A4AB" w14:textId="2C0EFDDB" w:rsidR="00784150" w:rsidRPr="00784150" w:rsidRDefault="00784150" w:rsidP="00784150">
      <w:pPr>
        <w:spacing w:line="240" w:lineRule="auto"/>
        <w:rPr>
          <w:rFonts w:eastAsia="Times New Roman" w:cs="Arial"/>
        </w:rPr>
      </w:pPr>
      <w:r w:rsidRPr="00784150">
        <w:rPr>
          <w:rFonts w:eastAsia="Times New Roman" w:cs="Arial"/>
          <w:i/>
          <w:iCs/>
          <w:color w:val="000000"/>
          <w:lang w:eastAsia="bg-BG"/>
        </w:rPr>
        <w:t>Скелетно-свързани събития</w:t>
      </w:r>
    </w:p>
    <w:p w14:paraId="106DED5F"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За данните за безопасност по отношение на костите при адюванта терапия, моля отнесете се към Таблица 2.</w:t>
      </w:r>
    </w:p>
    <w:p w14:paraId="2D89F777" w14:textId="77777777" w:rsidR="00784150" w:rsidRDefault="00784150" w:rsidP="00784150">
      <w:pPr>
        <w:spacing w:line="240" w:lineRule="auto"/>
        <w:rPr>
          <w:rFonts w:eastAsia="Times New Roman" w:cs="Arial"/>
          <w:color w:val="000000"/>
          <w:lang w:eastAsia="bg-BG"/>
        </w:rPr>
      </w:pPr>
    </w:p>
    <w:p w14:paraId="6438004B" w14:textId="2A80E2CF"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При разширена адювантна терапия при сигнификантно повече пациенти, лекувани с летрозол, се наблюдават костни фрактури или остеопороза (костни фрактури 10,4% и </w:t>
      </w:r>
      <w:r w:rsidRPr="00784150">
        <w:rPr>
          <w:rFonts w:eastAsia="Times New Roman" w:cs="Arial"/>
          <w:color w:val="000000"/>
          <w:lang w:eastAsia="bg-BG"/>
        </w:rPr>
        <w:lastRenderedPageBreak/>
        <w:t>остеопороза 12,2%) в сравнение с пациентите в плацебо-рамото (съответно 5,8% и 6,4%). Медианата на продължителност на лечението е 5 години с летрозол, спрямо 3 години с плацебо.</w:t>
      </w:r>
    </w:p>
    <w:p w14:paraId="68B4C805" w14:textId="77777777" w:rsidR="00784150" w:rsidRDefault="00784150" w:rsidP="00784150">
      <w:pPr>
        <w:spacing w:line="240" w:lineRule="auto"/>
        <w:rPr>
          <w:rFonts w:eastAsia="Times New Roman" w:cs="Arial"/>
          <w:color w:val="000000"/>
          <w:u w:val="single"/>
          <w:lang w:eastAsia="bg-BG"/>
        </w:rPr>
      </w:pPr>
    </w:p>
    <w:p w14:paraId="53703295" w14:textId="20E76906"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Съобщаване на подозирани нежелани реакции</w:t>
      </w:r>
    </w:p>
    <w:p w14:paraId="12516934"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5C39FB1D" w14:textId="77777777" w:rsidR="00784150" w:rsidRDefault="00784150" w:rsidP="00784150">
      <w:pPr>
        <w:spacing w:line="240" w:lineRule="auto"/>
        <w:rPr>
          <w:rFonts w:eastAsia="Times New Roman" w:cs="Arial"/>
          <w:color w:val="000000"/>
          <w:lang w:eastAsia="bg-BG"/>
        </w:rPr>
      </w:pPr>
    </w:p>
    <w:p w14:paraId="583DB905" w14:textId="7A6A5489" w:rsidR="00784150" w:rsidRPr="00784150" w:rsidRDefault="00784150" w:rsidP="00784150">
      <w:pPr>
        <w:spacing w:line="240" w:lineRule="auto"/>
        <w:rPr>
          <w:rFonts w:eastAsia="Times New Roman" w:cs="Arial"/>
        </w:rPr>
      </w:pPr>
      <w:r w:rsidRPr="00784150">
        <w:rPr>
          <w:rFonts w:eastAsia="Times New Roman" w:cs="Arial"/>
          <w:color w:val="000000"/>
          <w:lang w:eastAsia="bg-BG"/>
        </w:rPr>
        <w:t>Изпълнителна агенция по лекарствата</w:t>
      </w:r>
    </w:p>
    <w:p w14:paraId="52EFD972"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ул. „Дамян Груев” № 8</w:t>
      </w:r>
    </w:p>
    <w:p w14:paraId="5675C214"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1303 София</w:t>
      </w:r>
    </w:p>
    <w:p w14:paraId="7EA36708"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Тел.:+359 2 8903417</w:t>
      </w:r>
    </w:p>
    <w:p w14:paraId="5DB4A214"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уебсайт: </w:t>
      </w:r>
      <w:hyperlink r:id="rId5" w:history="1">
        <w:r w:rsidRPr="00784150">
          <w:rPr>
            <w:rFonts w:eastAsia="Times New Roman" w:cs="Arial"/>
            <w:color w:val="000000"/>
            <w:u w:val="single"/>
            <w:lang w:val="en-US"/>
          </w:rPr>
          <w:t>www</w:t>
        </w:r>
        <w:r w:rsidRPr="00784150">
          <w:rPr>
            <w:rFonts w:eastAsia="Times New Roman" w:cs="Arial"/>
            <w:color w:val="000000"/>
            <w:u w:val="single"/>
            <w:lang w:val="ru-RU"/>
          </w:rPr>
          <w:t>.</w:t>
        </w:r>
        <w:r w:rsidRPr="00784150">
          <w:rPr>
            <w:rFonts w:eastAsia="Times New Roman" w:cs="Arial"/>
            <w:color w:val="000000"/>
            <w:u w:val="single"/>
            <w:lang w:val="en-US"/>
          </w:rPr>
          <w:t>bda</w:t>
        </w:r>
        <w:r w:rsidRPr="00784150">
          <w:rPr>
            <w:rFonts w:eastAsia="Times New Roman" w:cs="Arial"/>
            <w:color w:val="000000"/>
            <w:u w:val="single"/>
            <w:lang w:val="ru-RU"/>
          </w:rPr>
          <w:t>.</w:t>
        </w:r>
        <w:r w:rsidRPr="00784150">
          <w:rPr>
            <w:rFonts w:eastAsia="Times New Roman" w:cs="Arial"/>
            <w:color w:val="000000"/>
            <w:u w:val="single"/>
            <w:lang w:val="en-US"/>
          </w:rPr>
          <w:t>bg</w:t>
        </w:r>
      </w:hyperlink>
    </w:p>
    <w:p w14:paraId="25E1B058" w14:textId="77777777" w:rsidR="00784150" w:rsidRPr="00784150" w:rsidRDefault="00784150" w:rsidP="00784150"/>
    <w:p w14:paraId="0A023CE0" w14:textId="37635E61" w:rsidR="00CF77F7" w:rsidRDefault="002C50EE" w:rsidP="004A448E">
      <w:pPr>
        <w:pStyle w:val="Heading2"/>
      </w:pPr>
      <w:r>
        <w:t>4.9. Предозиране</w:t>
      </w:r>
    </w:p>
    <w:p w14:paraId="7A2876B7" w14:textId="7D5F559E" w:rsidR="00784150" w:rsidRDefault="00784150" w:rsidP="00784150"/>
    <w:p w14:paraId="4D649A70" w14:textId="20505252" w:rsidR="00784150" w:rsidRPr="00784150" w:rsidRDefault="00784150" w:rsidP="00784150">
      <w:r>
        <w:t>Съобщават се изолирани случаи на предозиране с летрозол. Не е известно специфично лечение при предозиране; лечението трябва да бъде симптоматично и поддържащо.</w:t>
      </w:r>
    </w:p>
    <w:p w14:paraId="02081B24" w14:textId="1F46E296" w:rsidR="00395555" w:rsidRPr="00395555" w:rsidRDefault="002C50EE" w:rsidP="008A6AF2">
      <w:pPr>
        <w:pStyle w:val="Heading1"/>
      </w:pPr>
      <w:r>
        <w:t>5. ФАРМАКОЛОГИЧНИ СВОЙСТВА</w:t>
      </w:r>
    </w:p>
    <w:p w14:paraId="32B6DE66" w14:textId="4472E95B" w:rsidR="00CF77F7" w:rsidRDefault="002C50EE" w:rsidP="004A448E">
      <w:pPr>
        <w:pStyle w:val="Heading2"/>
      </w:pPr>
      <w:r>
        <w:t>5.1. Фармакодинамични свойства</w:t>
      </w:r>
    </w:p>
    <w:p w14:paraId="076F3289" w14:textId="4FF26984" w:rsidR="00784150" w:rsidRDefault="00784150" w:rsidP="00784150"/>
    <w:p w14:paraId="00152CBC" w14:textId="323D5B7A" w:rsidR="00784150" w:rsidRPr="00784150" w:rsidRDefault="00784150" w:rsidP="00696C38">
      <w:pPr>
        <w:rPr>
          <w:rFonts w:cs="Arial"/>
        </w:rPr>
      </w:pPr>
      <w:r w:rsidRPr="00784150">
        <w:rPr>
          <w:rFonts w:cs="Arial"/>
        </w:rPr>
        <w:t>Фармакотерапевтична група: Ендокринна терапия. Хормонални антагонисти и сродни средства:</w:t>
      </w:r>
      <w:r w:rsidR="00696C38">
        <w:rPr>
          <w:rFonts w:cs="Arial"/>
        </w:rPr>
        <w:t xml:space="preserve"> </w:t>
      </w:r>
      <w:r w:rsidRPr="00784150">
        <w:rPr>
          <w:rFonts w:eastAsia="Times New Roman" w:cs="Arial"/>
          <w:color w:val="000000"/>
          <w:lang w:eastAsia="bg-BG"/>
        </w:rPr>
        <w:t>ароматазен инхибитор.</w:t>
      </w:r>
    </w:p>
    <w:p w14:paraId="4761E5D0"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АТС код: </w:t>
      </w:r>
      <w:r w:rsidRPr="00784150">
        <w:rPr>
          <w:rFonts w:eastAsia="Times New Roman" w:cs="Arial"/>
          <w:color w:val="000000"/>
          <w:lang w:val="en-US"/>
        </w:rPr>
        <w:t>L</w:t>
      </w:r>
      <w:r w:rsidRPr="00784150">
        <w:rPr>
          <w:rFonts w:eastAsia="Times New Roman" w:cs="Arial"/>
          <w:color w:val="000000"/>
          <w:lang w:val="ru-RU"/>
        </w:rPr>
        <w:t>02</w:t>
      </w:r>
      <w:r w:rsidRPr="00784150">
        <w:rPr>
          <w:rFonts w:eastAsia="Times New Roman" w:cs="Arial"/>
          <w:color w:val="000000"/>
          <w:lang w:val="en-US"/>
        </w:rPr>
        <w:t>BG</w:t>
      </w:r>
      <w:r w:rsidRPr="00784150">
        <w:rPr>
          <w:rFonts w:eastAsia="Times New Roman" w:cs="Arial"/>
          <w:color w:val="000000"/>
          <w:lang w:val="ru-RU"/>
        </w:rPr>
        <w:t>04</w:t>
      </w:r>
    </w:p>
    <w:p w14:paraId="27F00AA9" w14:textId="77777777" w:rsidR="00784150" w:rsidRDefault="00784150" w:rsidP="00784150">
      <w:pPr>
        <w:spacing w:line="240" w:lineRule="auto"/>
        <w:rPr>
          <w:rFonts w:eastAsia="Times New Roman" w:cs="Arial"/>
          <w:color w:val="000000"/>
          <w:u w:val="single"/>
          <w:lang w:eastAsia="bg-BG"/>
        </w:rPr>
      </w:pPr>
    </w:p>
    <w:p w14:paraId="11BA3B47" w14:textId="69D83ED9"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Фармакодинамични ефекти</w:t>
      </w:r>
    </w:p>
    <w:p w14:paraId="3080C452"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Елиминирането на естроген-медиираните стимулиращи ефекти е предпоставка за повлияването на тумора в случаите, когато растежът на туморна тъкан зависи от наличието на естрогени и се прилага ендокринно лечение. При жени след настъпването на менопауза, естрогени се произвеждат основно под действието на ензима ароматаза, който преобразува надбъбречните андрогени - предимно андростендион и тестостерон, в естрон и естрадиол. Следователно, потискане на биосинтезата на естроген в периферната тъкан и в самата туморна тъкан може да се постигне чрез специфичното инхибиране на ензима ароматаза.</w:t>
      </w:r>
    </w:p>
    <w:p w14:paraId="344BCBCA" w14:textId="77777777" w:rsidR="00696C38" w:rsidRDefault="00696C38" w:rsidP="00784150">
      <w:pPr>
        <w:spacing w:line="240" w:lineRule="auto"/>
        <w:rPr>
          <w:rFonts w:eastAsia="Times New Roman" w:cs="Arial"/>
          <w:color w:val="000000"/>
          <w:lang w:eastAsia="bg-BG"/>
        </w:rPr>
      </w:pPr>
    </w:p>
    <w:p w14:paraId="56F85A1A" w14:textId="76EB19DB" w:rsidR="00784150" w:rsidRPr="00784150" w:rsidRDefault="00784150" w:rsidP="00784150">
      <w:pPr>
        <w:spacing w:line="240" w:lineRule="auto"/>
        <w:rPr>
          <w:rFonts w:eastAsia="Times New Roman" w:cs="Arial"/>
        </w:rPr>
      </w:pPr>
      <w:r w:rsidRPr="00784150">
        <w:rPr>
          <w:rFonts w:eastAsia="Times New Roman" w:cs="Arial"/>
          <w:color w:val="000000"/>
          <w:lang w:eastAsia="bg-BG"/>
        </w:rPr>
        <w:t>Летрозол е нестероиден ароматазен инхибитор. Инхибира ензима ароматаза чрез конкурентно свързване с хема на ароматазния цитохром Р450 изоензим, което води до ограничаване биосинтезата на естроген във всички тъкани, където е наличен.</w:t>
      </w:r>
    </w:p>
    <w:p w14:paraId="3BB2F2D7" w14:textId="77777777" w:rsidR="00696C38" w:rsidRDefault="00696C38" w:rsidP="00784150">
      <w:pPr>
        <w:spacing w:line="240" w:lineRule="auto"/>
        <w:rPr>
          <w:rFonts w:eastAsia="Times New Roman" w:cs="Arial"/>
          <w:color w:val="000000"/>
          <w:lang w:eastAsia="bg-BG"/>
        </w:rPr>
      </w:pPr>
    </w:p>
    <w:p w14:paraId="10A568E5" w14:textId="19E9DC3E"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При здрави пациентки в менопауза, единични дози от 0,1, 0,5 и 2,5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летрозол понижават нивата на естрон и естрадиол в серума със съответно 75-78% и 78% спрямо изходните. Максимално потискане се постига в рамките на 48-78 часа.</w:t>
      </w:r>
    </w:p>
    <w:p w14:paraId="34B5DDAD" w14:textId="77777777" w:rsidR="00784150" w:rsidRPr="00784150" w:rsidRDefault="00784150" w:rsidP="00784150">
      <w:pPr>
        <w:spacing w:line="240" w:lineRule="auto"/>
        <w:rPr>
          <w:rFonts w:eastAsia="Times New Roman" w:cs="Arial"/>
        </w:rPr>
      </w:pPr>
    </w:p>
    <w:p w14:paraId="40061070" w14:textId="7777777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При пациентки в постменопауза с рак на гърдата в напреднал стадий, лекувани с дневни дози от 0,1 до 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 xml:space="preserve">плазмените концентрации на естрадиол, естрон и естрон сулфат се </w:t>
      </w:r>
      <w:r w:rsidRPr="00784150">
        <w:rPr>
          <w:rFonts w:eastAsia="Times New Roman" w:cs="Arial"/>
          <w:color w:val="000000"/>
          <w:lang w:eastAsia="bg-BG"/>
        </w:rPr>
        <w:lastRenderedPageBreak/>
        <w:t xml:space="preserve">понижават със 75-95% от изходните. При дози от 0,5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и по-високи, много от стойностите на естрон и естрон сулфат са били под границата на откриване на аналитичния метод, което показва, че при такава дозировка се постига по-висока степен на потискане на естрогена. Потискането на естрогените се поддържа при всички пациентки по време на целия лечебен курс.</w:t>
      </w:r>
    </w:p>
    <w:p w14:paraId="368515F9" w14:textId="77777777" w:rsidR="00696C38" w:rsidRDefault="00696C38" w:rsidP="00784150">
      <w:pPr>
        <w:spacing w:line="240" w:lineRule="auto"/>
        <w:rPr>
          <w:rFonts w:eastAsia="Times New Roman" w:cs="Arial"/>
          <w:color w:val="000000"/>
          <w:lang w:eastAsia="bg-BG"/>
        </w:rPr>
      </w:pPr>
    </w:p>
    <w:p w14:paraId="43B16351" w14:textId="5B1B0469"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Инхибирането на ароматазата от летрозол е високо специфично. Не се наблюдава влошаване на стероидогенезата на надбъбречната жлеза. При пациентките с настъпила менопауза, лекувани с дневни дози летрозол от 0,1 до 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не са установени клинично значими изменения в плазмените концентрации на кортизол, алдостерон, 11-дезоксикортизол, 17- хидроксипрогестерон и адренокортикотропния хормон или в активността на плазмения ренин.</w:t>
      </w:r>
    </w:p>
    <w:p w14:paraId="27AE9E3E" w14:textId="77777777" w:rsidR="00696C38" w:rsidRDefault="00696C38" w:rsidP="00784150">
      <w:pPr>
        <w:spacing w:line="240" w:lineRule="auto"/>
        <w:rPr>
          <w:rFonts w:eastAsia="Times New Roman" w:cs="Arial"/>
          <w:color w:val="000000"/>
          <w:lang w:eastAsia="bg-BG"/>
        </w:rPr>
      </w:pPr>
    </w:p>
    <w:p w14:paraId="073BF0F9" w14:textId="2AA8C587"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Тестът за стимулиране с аденокортикотропен хормон, проведен след 6 и 12 седмици лечение с дневни дози от 0,1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 xml:space="preserve">0,25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 xml:space="preserve">0,5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 xml:space="preserve">1 </w:t>
      </w:r>
      <w:r w:rsidRPr="00784150">
        <w:rPr>
          <w:rFonts w:eastAsia="Times New Roman" w:cs="Arial"/>
          <w:color w:val="000000"/>
          <w:lang w:val="en-US"/>
        </w:rPr>
        <w:t>mg</w:t>
      </w:r>
      <w:r w:rsidRPr="00784150">
        <w:rPr>
          <w:rFonts w:eastAsia="Times New Roman" w:cs="Arial"/>
          <w:color w:val="000000"/>
          <w:lang w:val="ru-RU"/>
        </w:rPr>
        <w:t xml:space="preserve">, 2,5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 xml:space="preserve">и </w:t>
      </w:r>
      <w:r w:rsidRPr="00784150">
        <w:rPr>
          <w:rFonts w:eastAsia="Times New Roman" w:cs="Arial"/>
          <w:color w:val="000000"/>
          <w:lang w:val="ru-RU"/>
        </w:rPr>
        <w:t xml:space="preserve">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не показва отслабване на продукцията на алдостерон или кортизол. Ето защо не е необходимо допълване на лечението с глюкокортикоиди и минералокортикоиди.</w:t>
      </w:r>
    </w:p>
    <w:p w14:paraId="2BFC7479" w14:textId="77777777" w:rsidR="00696C38" w:rsidRDefault="00696C38" w:rsidP="00784150">
      <w:pPr>
        <w:spacing w:line="240" w:lineRule="auto"/>
        <w:rPr>
          <w:rFonts w:eastAsia="Times New Roman" w:cs="Arial"/>
          <w:color w:val="000000"/>
          <w:lang w:eastAsia="bg-BG"/>
        </w:rPr>
      </w:pPr>
    </w:p>
    <w:p w14:paraId="21982C11" w14:textId="70F96DF6" w:rsidR="00784150" w:rsidRPr="00784150" w:rsidRDefault="00784150" w:rsidP="00784150">
      <w:pPr>
        <w:spacing w:line="240" w:lineRule="auto"/>
        <w:rPr>
          <w:rFonts w:eastAsia="Times New Roman" w:cs="Arial"/>
        </w:rPr>
      </w:pPr>
      <w:r w:rsidRPr="00784150">
        <w:rPr>
          <w:rFonts w:eastAsia="Times New Roman" w:cs="Arial"/>
          <w:color w:val="000000"/>
          <w:lang w:eastAsia="bg-BG"/>
        </w:rPr>
        <w:t xml:space="preserve">Не са установени изменения в плазмените концентрации на андрогените (андростендион и тестостерон) при здравите пациентки с настъпила менопауза след приемане на единични дози от 0,1, 0,5 и 2,5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 xml:space="preserve">летрозол, както и в плазмените концентрации на андростендион при пациентките с настъпила менопауза след приемане на дневни дози от 0,1 до 5 </w:t>
      </w:r>
      <w:r w:rsidRPr="00784150">
        <w:rPr>
          <w:rFonts w:eastAsia="Times New Roman" w:cs="Arial"/>
          <w:color w:val="000000"/>
          <w:lang w:val="en-US"/>
        </w:rPr>
        <w:t>mg</w:t>
      </w:r>
      <w:r w:rsidRPr="00784150">
        <w:rPr>
          <w:rFonts w:eastAsia="Times New Roman" w:cs="Arial"/>
          <w:color w:val="000000"/>
          <w:lang w:val="ru-RU"/>
        </w:rPr>
        <w:t xml:space="preserve">, </w:t>
      </w:r>
      <w:r w:rsidRPr="00784150">
        <w:rPr>
          <w:rFonts w:eastAsia="Times New Roman" w:cs="Arial"/>
          <w:color w:val="000000"/>
          <w:lang w:eastAsia="bg-BG"/>
        </w:rPr>
        <w:t xml:space="preserve">което показва, че блокирането на биосинтезата на естроген не води до акумулиране на андрогенни прекурсори. Плазмените нива на лутеинизиращия хормон </w:t>
      </w:r>
      <w:r w:rsidRPr="00784150">
        <w:rPr>
          <w:rFonts w:eastAsia="Times New Roman" w:cs="Arial"/>
          <w:color w:val="000000"/>
          <w:lang w:val="ru-RU"/>
        </w:rPr>
        <w:t>(</w:t>
      </w:r>
      <w:r w:rsidRPr="00784150">
        <w:rPr>
          <w:rFonts w:eastAsia="Times New Roman" w:cs="Arial"/>
          <w:color w:val="000000"/>
          <w:lang w:val="en-US"/>
        </w:rPr>
        <w:t>LH</w:t>
      </w:r>
      <w:r w:rsidRPr="00784150">
        <w:rPr>
          <w:rFonts w:eastAsia="Times New Roman" w:cs="Arial"/>
          <w:color w:val="000000"/>
          <w:lang w:val="ru-RU"/>
        </w:rPr>
        <w:t xml:space="preserve">) </w:t>
      </w:r>
      <w:r w:rsidRPr="00784150">
        <w:rPr>
          <w:rFonts w:eastAsia="Times New Roman" w:cs="Arial"/>
          <w:color w:val="000000"/>
          <w:lang w:eastAsia="bg-BG"/>
        </w:rPr>
        <w:t xml:space="preserve">и фоликулостимулиращия хормон </w:t>
      </w:r>
      <w:r w:rsidRPr="00784150">
        <w:rPr>
          <w:rFonts w:eastAsia="Times New Roman" w:cs="Arial"/>
          <w:color w:val="000000"/>
          <w:lang w:val="ru-RU"/>
        </w:rPr>
        <w:t>(</w:t>
      </w:r>
      <w:r w:rsidRPr="00784150">
        <w:rPr>
          <w:rFonts w:eastAsia="Times New Roman" w:cs="Arial"/>
          <w:color w:val="000000"/>
          <w:lang w:val="en-US"/>
        </w:rPr>
        <w:t>FSH</w:t>
      </w:r>
      <w:r w:rsidRPr="00784150">
        <w:rPr>
          <w:rFonts w:eastAsia="Times New Roman" w:cs="Arial"/>
          <w:color w:val="000000"/>
          <w:lang w:val="ru-RU"/>
        </w:rPr>
        <w:t xml:space="preserve">) </w:t>
      </w:r>
      <w:r w:rsidRPr="00784150">
        <w:rPr>
          <w:rFonts w:eastAsia="Times New Roman" w:cs="Arial"/>
          <w:color w:val="000000"/>
          <w:lang w:eastAsia="bg-BG"/>
        </w:rPr>
        <w:t xml:space="preserve">не се повлияват от летрозол при пациентките, като същото се отнася и до функцията на щитовидната жлеза, отчетено чрез тестове за тиротропин </w:t>
      </w:r>
      <w:r w:rsidRPr="00784150">
        <w:rPr>
          <w:rFonts w:eastAsia="Times New Roman" w:cs="Arial"/>
          <w:color w:val="000000"/>
          <w:lang w:val="ru-RU"/>
        </w:rPr>
        <w:t>(</w:t>
      </w:r>
      <w:r w:rsidRPr="00784150">
        <w:rPr>
          <w:rFonts w:eastAsia="Times New Roman" w:cs="Arial"/>
          <w:color w:val="000000"/>
          <w:lang w:val="en-US"/>
        </w:rPr>
        <w:t>TSH</w:t>
      </w:r>
      <w:r w:rsidRPr="00784150">
        <w:rPr>
          <w:rFonts w:eastAsia="Times New Roman" w:cs="Arial"/>
          <w:color w:val="000000"/>
          <w:lang w:val="ru-RU"/>
        </w:rPr>
        <w:t xml:space="preserve">), </w:t>
      </w:r>
      <w:r w:rsidRPr="00784150">
        <w:rPr>
          <w:rFonts w:eastAsia="Times New Roman" w:cs="Arial"/>
          <w:color w:val="000000"/>
          <w:lang w:eastAsia="bg-BG"/>
        </w:rPr>
        <w:t>трийодтиронин (Т4) и тироксин (ТЗ).</w:t>
      </w:r>
    </w:p>
    <w:p w14:paraId="03D4BA71" w14:textId="77777777" w:rsidR="00696C38" w:rsidRDefault="00696C38" w:rsidP="00784150">
      <w:pPr>
        <w:spacing w:line="240" w:lineRule="auto"/>
        <w:rPr>
          <w:rFonts w:eastAsia="Times New Roman" w:cs="Arial"/>
          <w:color w:val="000000"/>
          <w:u w:val="single"/>
          <w:lang w:eastAsia="bg-BG"/>
        </w:rPr>
      </w:pPr>
    </w:p>
    <w:p w14:paraId="65DF5713" w14:textId="0F0D1469" w:rsidR="00784150" w:rsidRPr="00784150" w:rsidRDefault="00784150" w:rsidP="00784150">
      <w:pPr>
        <w:spacing w:line="240" w:lineRule="auto"/>
        <w:rPr>
          <w:rFonts w:eastAsia="Times New Roman" w:cs="Arial"/>
        </w:rPr>
      </w:pPr>
      <w:r w:rsidRPr="00784150">
        <w:rPr>
          <w:rFonts w:eastAsia="Times New Roman" w:cs="Arial"/>
          <w:color w:val="000000"/>
          <w:u w:val="single"/>
          <w:lang w:eastAsia="bg-BG"/>
        </w:rPr>
        <w:t>Адювантна терапия</w:t>
      </w:r>
    </w:p>
    <w:p w14:paraId="321A9BC4" w14:textId="77777777" w:rsidR="00696C38" w:rsidRDefault="00696C38" w:rsidP="00784150">
      <w:pPr>
        <w:spacing w:line="240" w:lineRule="auto"/>
        <w:rPr>
          <w:rFonts w:eastAsia="Times New Roman" w:cs="Arial"/>
          <w:i/>
          <w:iCs/>
          <w:color w:val="000000"/>
          <w:u w:val="single"/>
          <w:lang w:eastAsia="bg-BG"/>
        </w:rPr>
      </w:pPr>
    </w:p>
    <w:p w14:paraId="441C5802" w14:textId="130140AB" w:rsidR="00784150" w:rsidRPr="00784150" w:rsidRDefault="00784150" w:rsidP="00784150">
      <w:pPr>
        <w:spacing w:line="240" w:lineRule="auto"/>
        <w:rPr>
          <w:rFonts w:eastAsia="Times New Roman" w:cs="Arial"/>
        </w:rPr>
      </w:pPr>
      <w:r w:rsidRPr="00784150">
        <w:rPr>
          <w:rFonts w:eastAsia="Times New Roman" w:cs="Arial"/>
          <w:i/>
          <w:iCs/>
          <w:color w:val="000000"/>
          <w:u w:val="single"/>
          <w:lang w:eastAsia="bg-BG"/>
        </w:rPr>
        <w:t xml:space="preserve">Проучване </w:t>
      </w:r>
      <w:r w:rsidRPr="00784150">
        <w:rPr>
          <w:rFonts w:eastAsia="Times New Roman" w:cs="Arial"/>
          <w:i/>
          <w:iCs/>
          <w:color w:val="000000"/>
          <w:u w:val="single"/>
          <w:lang w:val="en-US"/>
        </w:rPr>
        <w:t xml:space="preserve">BIG </w:t>
      </w:r>
      <w:r w:rsidRPr="00784150">
        <w:rPr>
          <w:rFonts w:eastAsia="Times New Roman" w:cs="Arial"/>
          <w:i/>
          <w:iCs/>
          <w:color w:val="000000"/>
          <w:u w:val="single"/>
          <w:lang w:eastAsia="bg-BG"/>
        </w:rPr>
        <w:t>1-98</w:t>
      </w:r>
    </w:p>
    <w:p w14:paraId="465C1746" w14:textId="41D67828" w:rsidR="00784150" w:rsidRDefault="00784150" w:rsidP="00784150">
      <w:pPr>
        <w:rPr>
          <w:rFonts w:eastAsia="Times New Roman" w:cs="Arial"/>
          <w:color w:val="000000"/>
          <w:lang w:eastAsia="bg-BG"/>
        </w:rPr>
      </w:pPr>
      <w:r w:rsidRPr="00784150">
        <w:rPr>
          <w:rFonts w:eastAsia="Times New Roman" w:cs="Arial"/>
          <w:color w:val="000000"/>
          <w:lang w:val="en-US"/>
        </w:rPr>
        <w:t>BIG</w:t>
      </w:r>
      <w:r w:rsidRPr="00784150">
        <w:rPr>
          <w:rFonts w:eastAsia="Times New Roman" w:cs="Arial"/>
          <w:color w:val="000000"/>
          <w:lang w:val="ru-RU"/>
        </w:rPr>
        <w:t xml:space="preserve"> </w:t>
      </w:r>
      <w:r w:rsidRPr="00784150">
        <w:rPr>
          <w:rFonts w:eastAsia="Times New Roman" w:cs="Arial"/>
          <w:color w:val="000000"/>
          <w:lang w:eastAsia="bg-BG"/>
        </w:rPr>
        <w:t>1-98 е многоцентрово, двойносляпо проучване, при което над 8 000 постменопаузални жени с позитивен за хормонални рецептори рак на гърдата в начален стадий са рандомизирани на едно от следните лечения: А. тамоксифен за 5 години; Б. летрозол за 5 години; В. тамоксифен за 2 години, а след това летрозол за 3 години; Г, летрозол за 2 години, а след това тамоксифен за 3 години.</w:t>
      </w:r>
    </w:p>
    <w:p w14:paraId="5BCC7B15" w14:textId="4E9ACBB0" w:rsidR="00696C38" w:rsidRDefault="00696C38" w:rsidP="00784150">
      <w:pPr>
        <w:rPr>
          <w:rFonts w:cs="Arial"/>
        </w:rPr>
      </w:pPr>
    </w:p>
    <w:p w14:paraId="067C780E" w14:textId="77777777" w:rsidR="00696C38" w:rsidRPr="00696C38" w:rsidRDefault="00696C38" w:rsidP="00696C38">
      <w:pPr>
        <w:spacing w:line="240" w:lineRule="auto"/>
        <w:rPr>
          <w:rFonts w:eastAsia="Times New Roman" w:cs="Arial"/>
        </w:rPr>
      </w:pPr>
      <w:r w:rsidRPr="00696C38">
        <w:rPr>
          <w:rFonts w:eastAsia="Times New Roman" w:cs="Arial"/>
          <w:color w:val="000000"/>
          <w:lang w:eastAsia="bg-BG"/>
        </w:rPr>
        <w:t xml:space="preserve">Първичната крайна точка е преживяемост без заболяване </w:t>
      </w:r>
      <w:r w:rsidRPr="00696C38">
        <w:rPr>
          <w:rFonts w:eastAsia="Times New Roman" w:cs="Arial"/>
          <w:color w:val="000000"/>
          <w:lang w:val="ru-RU"/>
        </w:rPr>
        <w:t>(</w:t>
      </w:r>
      <w:r w:rsidRPr="00696C38">
        <w:rPr>
          <w:rFonts w:eastAsia="Times New Roman" w:cs="Arial"/>
          <w:color w:val="000000"/>
          <w:lang w:val="en-US"/>
        </w:rPr>
        <w:t>DFS</w:t>
      </w:r>
      <w:r w:rsidRPr="00696C38">
        <w:rPr>
          <w:rFonts w:eastAsia="Times New Roman" w:cs="Arial"/>
          <w:color w:val="000000"/>
          <w:lang w:val="ru-RU"/>
        </w:rPr>
        <w:t xml:space="preserve">); </w:t>
      </w:r>
      <w:r w:rsidRPr="00696C38">
        <w:rPr>
          <w:rFonts w:eastAsia="Times New Roman" w:cs="Arial"/>
          <w:color w:val="000000"/>
          <w:lang w:eastAsia="bg-BG"/>
        </w:rPr>
        <w:t xml:space="preserve">вторични крайни точки за ефикасност са време до поява на далечни метастази </w:t>
      </w:r>
      <w:r w:rsidRPr="00696C38">
        <w:rPr>
          <w:rFonts w:eastAsia="Times New Roman" w:cs="Arial"/>
          <w:color w:val="000000"/>
          <w:lang w:val="ru-RU"/>
        </w:rPr>
        <w:t>(</w:t>
      </w:r>
      <w:r w:rsidRPr="00696C38">
        <w:rPr>
          <w:rFonts w:eastAsia="Times New Roman" w:cs="Arial"/>
          <w:color w:val="000000"/>
          <w:lang w:val="en-US"/>
        </w:rPr>
        <w:t>TDM</w:t>
      </w:r>
      <w:r w:rsidRPr="00696C38">
        <w:rPr>
          <w:rFonts w:eastAsia="Times New Roman" w:cs="Arial"/>
          <w:color w:val="000000"/>
          <w:lang w:val="ru-RU"/>
        </w:rPr>
        <w:t xml:space="preserve">), </w:t>
      </w:r>
      <w:r w:rsidRPr="00696C38">
        <w:rPr>
          <w:rFonts w:eastAsia="Times New Roman" w:cs="Arial"/>
          <w:color w:val="000000"/>
          <w:lang w:eastAsia="bg-BG"/>
        </w:rPr>
        <w:t xml:space="preserve">преживяемост без далечни метастази </w:t>
      </w:r>
      <w:r w:rsidRPr="00696C38">
        <w:rPr>
          <w:rFonts w:eastAsia="Times New Roman" w:cs="Arial"/>
          <w:color w:val="000000"/>
          <w:lang w:val="ru-RU"/>
        </w:rPr>
        <w:t>(</w:t>
      </w:r>
      <w:r w:rsidRPr="00696C38">
        <w:rPr>
          <w:rFonts w:eastAsia="Times New Roman" w:cs="Arial"/>
          <w:color w:val="000000"/>
          <w:lang w:val="en-US"/>
        </w:rPr>
        <w:t>DDFS</w:t>
      </w:r>
      <w:r w:rsidRPr="00696C38">
        <w:rPr>
          <w:rFonts w:eastAsia="Times New Roman" w:cs="Arial"/>
          <w:color w:val="000000"/>
          <w:lang w:val="ru-RU"/>
        </w:rPr>
        <w:t xml:space="preserve">), </w:t>
      </w:r>
      <w:r w:rsidRPr="00696C38">
        <w:rPr>
          <w:rFonts w:eastAsia="Times New Roman" w:cs="Arial"/>
          <w:color w:val="000000"/>
          <w:lang w:eastAsia="bg-BG"/>
        </w:rPr>
        <w:t xml:space="preserve">обща преживяемост </w:t>
      </w:r>
      <w:r w:rsidRPr="00696C38">
        <w:rPr>
          <w:rFonts w:eastAsia="Times New Roman" w:cs="Arial"/>
          <w:color w:val="000000"/>
          <w:lang w:val="ru-RU"/>
        </w:rPr>
        <w:t>(</w:t>
      </w:r>
      <w:r w:rsidRPr="00696C38">
        <w:rPr>
          <w:rFonts w:eastAsia="Times New Roman" w:cs="Arial"/>
          <w:color w:val="000000"/>
          <w:lang w:val="en-US"/>
        </w:rPr>
        <w:t>OS</w:t>
      </w:r>
      <w:r w:rsidRPr="00696C38">
        <w:rPr>
          <w:rFonts w:eastAsia="Times New Roman" w:cs="Arial"/>
          <w:color w:val="000000"/>
          <w:lang w:val="ru-RU"/>
        </w:rPr>
        <w:t xml:space="preserve">), </w:t>
      </w:r>
      <w:r w:rsidRPr="00696C38">
        <w:rPr>
          <w:rFonts w:eastAsia="Times New Roman" w:cs="Arial"/>
          <w:color w:val="000000"/>
          <w:lang w:eastAsia="bg-BG"/>
        </w:rPr>
        <w:t xml:space="preserve">преживяемост без системно заболяване </w:t>
      </w:r>
      <w:r w:rsidRPr="00696C38">
        <w:rPr>
          <w:rFonts w:eastAsia="Times New Roman" w:cs="Arial"/>
          <w:color w:val="000000"/>
          <w:lang w:val="ru-RU"/>
        </w:rPr>
        <w:t>(</w:t>
      </w:r>
      <w:r w:rsidRPr="00696C38">
        <w:rPr>
          <w:rFonts w:eastAsia="Times New Roman" w:cs="Arial"/>
          <w:color w:val="000000"/>
          <w:lang w:val="en-US"/>
        </w:rPr>
        <w:t>SDFS</w:t>
      </w:r>
      <w:r w:rsidRPr="00696C38">
        <w:rPr>
          <w:rFonts w:eastAsia="Times New Roman" w:cs="Arial"/>
          <w:color w:val="000000"/>
          <w:lang w:val="ru-RU"/>
        </w:rPr>
        <w:t xml:space="preserve">), </w:t>
      </w:r>
      <w:r w:rsidRPr="00696C38">
        <w:rPr>
          <w:rFonts w:eastAsia="Times New Roman" w:cs="Arial"/>
          <w:color w:val="000000"/>
          <w:lang w:eastAsia="bg-BG"/>
        </w:rPr>
        <w:t>инвазивен контралатерален рак на гърдата и време до рецидив на рака на гърдата.</w:t>
      </w:r>
    </w:p>
    <w:p w14:paraId="75FEF39F" w14:textId="77777777" w:rsidR="00696C38" w:rsidRDefault="00696C38" w:rsidP="00696C38">
      <w:pPr>
        <w:spacing w:line="240" w:lineRule="auto"/>
        <w:rPr>
          <w:rFonts w:eastAsia="Times New Roman" w:cs="Arial"/>
          <w:i/>
          <w:iCs/>
          <w:color w:val="000000"/>
          <w:lang w:eastAsia="bg-BG"/>
        </w:rPr>
      </w:pPr>
    </w:p>
    <w:p w14:paraId="70166A41" w14:textId="509B6F05" w:rsidR="00696C38" w:rsidRPr="00696C38" w:rsidRDefault="00696C38" w:rsidP="00696C38">
      <w:pPr>
        <w:spacing w:line="240" w:lineRule="auto"/>
        <w:rPr>
          <w:rFonts w:eastAsia="Times New Roman" w:cs="Arial"/>
        </w:rPr>
      </w:pPr>
      <w:r w:rsidRPr="00696C38">
        <w:rPr>
          <w:rFonts w:eastAsia="Times New Roman" w:cs="Arial"/>
          <w:i/>
          <w:iCs/>
          <w:color w:val="000000"/>
          <w:lang w:eastAsia="bg-BG"/>
        </w:rPr>
        <w:t>Данни за ефикасност при медиана на проследяване 26 и 60 месеца</w:t>
      </w:r>
    </w:p>
    <w:p w14:paraId="26F73028" w14:textId="77777777" w:rsidR="00696C38" w:rsidRPr="00696C38" w:rsidRDefault="00696C38" w:rsidP="00696C38">
      <w:pPr>
        <w:spacing w:line="240" w:lineRule="auto"/>
        <w:rPr>
          <w:rFonts w:eastAsia="Times New Roman" w:cs="Arial"/>
        </w:rPr>
      </w:pPr>
      <w:r w:rsidRPr="00696C38">
        <w:rPr>
          <w:rFonts w:eastAsia="Times New Roman" w:cs="Arial"/>
          <w:color w:val="000000"/>
          <w:lang w:eastAsia="bg-BG"/>
        </w:rPr>
        <w:t>Данните в Таблица 4 отразяват резултатите от Първичния основен анализ на проучването (РСА), базиран на данните от рамената на монотерапия (А и Б) и от двете рамена, при които има смяна на терапията (В и Г), при медиана на продължителност на лечението 24 месеца и медиана на проследяване 26 месеца, и при медиана на продължителност на лечението 32 месеца и медиана на проследяване 60 месеца.</w:t>
      </w:r>
    </w:p>
    <w:p w14:paraId="18A0DCB0" w14:textId="77777777" w:rsidR="00696C38" w:rsidRDefault="00696C38" w:rsidP="00696C38">
      <w:pPr>
        <w:spacing w:line="240" w:lineRule="auto"/>
        <w:rPr>
          <w:rFonts w:eastAsia="Times New Roman" w:cs="Arial"/>
          <w:color w:val="000000"/>
          <w:lang w:eastAsia="bg-BG"/>
        </w:rPr>
      </w:pPr>
    </w:p>
    <w:p w14:paraId="73FF41C6" w14:textId="50D50EAD" w:rsidR="00696C38" w:rsidRPr="00696C38" w:rsidRDefault="00696C38" w:rsidP="00696C38">
      <w:pPr>
        <w:spacing w:line="240" w:lineRule="auto"/>
        <w:rPr>
          <w:rFonts w:eastAsia="Times New Roman" w:cs="Arial"/>
        </w:rPr>
      </w:pPr>
      <w:r w:rsidRPr="00696C38">
        <w:rPr>
          <w:rFonts w:eastAsia="Times New Roman" w:cs="Arial"/>
          <w:color w:val="000000"/>
          <w:lang w:eastAsia="bg-BG"/>
        </w:rPr>
        <w:lastRenderedPageBreak/>
        <w:t>Процентът на 5-годишната преживяемост без заболяване е 84% при летрозол и 81,4% при тамоксифен.</w:t>
      </w:r>
    </w:p>
    <w:p w14:paraId="065FC311" w14:textId="77777777" w:rsidR="00696C38" w:rsidRDefault="00696C38" w:rsidP="00696C38">
      <w:pPr>
        <w:spacing w:line="240" w:lineRule="auto"/>
        <w:rPr>
          <w:rFonts w:eastAsia="Times New Roman" w:cs="Arial"/>
          <w:b/>
          <w:bCs/>
          <w:color w:val="000000"/>
          <w:lang w:eastAsia="bg-BG"/>
        </w:rPr>
      </w:pPr>
    </w:p>
    <w:p w14:paraId="228B4191" w14:textId="6E3F1D9B" w:rsidR="00696C38" w:rsidRPr="00696C38" w:rsidRDefault="00696C38" w:rsidP="00696C38">
      <w:pPr>
        <w:spacing w:line="240" w:lineRule="auto"/>
        <w:rPr>
          <w:rFonts w:eastAsia="Times New Roman" w:cs="Arial"/>
        </w:rPr>
      </w:pPr>
      <w:r w:rsidRPr="00696C38">
        <w:rPr>
          <w:rFonts w:eastAsia="Times New Roman" w:cs="Arial"/>
          <w:b/>
          <w:bCs/>
          <w:color w:val="000000"/>
          <w:lang w:eastAsia="bg-BG"/>
        </w:rPr>
        <w:t xml:space="preserve">Таблица 4 Първичен анализ на проучването: Преживяемост без заболяване и обща преживяемост при средно проследяване от 26 месеца и средно проследяване от 60 месеца </w:t>
      </w:r>
      <w:r w:rsidRPr="00696C38">
        <w:rPr>
          <w:rFonts w:eastAsia="Times New Roman" w:cs="Arial"/>
          <w:b/>
          <w:bCs/>
          <w:color w:val="000000"/>
          <w:lang w:val="ru-RU"/>
        </w:rPr>
        <w:t>(</w:t>
      </w:r>
      <w:r w:rsidRPr="00696C38">
        <w:rPr>
          <w:rFonts w:eastAsia="Times New Roman" w:cs="Arial"/>
          <w:b/>
          <w:bCs/>
          <w:color w:val="000000"/>
          <w:lang w:val="en-US"/>
        </w:rPr>
        <w:t>ITT</w:t>
      </w:r>
      <w:r w:rsidRPr="00696C38">
        <w:rPr>
          <w:rFonts w:eastAsia="Times New Roman" w:cs="Arial"/>
          <w:b/>
          <w:bCs/>
          <w:color w:val="000000"/>
          <w:lang w:val="ru-RU"/>
        </w:rPr>
        <w:t xml:space="preserve"> </w:t>
      </w:r>
      <w:r w:rsidRPr="00696C38">
        <w:rPr>
          <w:rFonts w:eastAsia="Times New Roman" w:cs="Arial"/>
          <w:b/>
          <w:bCs/>
          <w:color w:val="000000"/>
          <w:lang w:eastAsia="bg-BG"/>
        </w:rPr>
        <w:t>популация)</w:t>
      </w:r>
    </w:p>
    <w:p w14:paraId="238510D5" w14:textId="22CB0B1D" w:rsidR="00696C38" w:rsidRDefault="00696C38" w:rsidP="00784150">
      <w:pPr>
        <w:rPr>
          <w:rFonts w:cs="Arial"/>
        </w:rPr>
      </w:pPr>
    </w:p>
    <w:tbl>
      <w:tblPr>
        <w:tblStyle w:val="TableGrid"/>
        <w:tblW w:w="0" w:type="auto"/>
        <w:tblLook w:val="04A0" w:firstRow="1" w:lastRow="0" w:firstColumn="1" w:lastColumn="0" w:noHBand="0" w:noVBand="1"/>
      </w:tblPr>
      <w:tblGrid>
        <w:gridCol w:w="1710"/>
        <w:gridCol w:w="1237"/>
        <w:gridCol w:w="1565"/>
        <w:gridCol w:w="771"/>
        <w:gridCol w:w="1237"/>
        <w:gridCol w:w="1565"/>
        <w:gridCol w:w="1265"/>
      </w:tblGrid>
      <w:tr w:rsidR="00696C38" w14:paraId="372FA23D" w14:textId="77777777" w:rsidTr="00696C38">
        <w:tc>
          <w:tcPr>
            <w:tcW w:w="9576" w:type="dxa"/>
            <w:gridSpan w:val="7"/>
          </w:tcPr>
          <w:p w14:paraId="04DD41BD" w14:textId="17BC82BF" w:rsidR="00696C38" w:rsidRPr="00696C38" w:rsidRDefault="00696C38" w:rsidP="00696C38">
            <w:pPr>
              <w:jc w:val="center"/>
              <w:rPr>
                <w:rFonts w:cs="Arial"/>
                <w:b/>
              </w:rPr>
            </w:pPr>
            <w:r w:rsidRPr="00696C38">
              <w:rPr>
                <w:b/>
              </w:rPr>
              <w:t>Първичен анализ на проучването</w:t>
            </w:r>
          </w:p>
        </w:tc>
      </w:tr>
      <w:tr w:rsidR="00696C38" w14:paraId="24761FDD" w14:textId="77777777" w:rsidTr="00696C38">
        <w:tc>
          <w:tcPr>
            <w:tcW w:w="1733" w:type="dxa"/>
          </w:tcPr>
          <w:p w14:paraId="396FC8F0" w14:textId="77777777" w:rsidR="00696C38" w:rsidRDefault="00696C38" w:rsidP="00784150">
            <w:pPr>
              <w:rPr>
                <w:rFonts w:cs="Arial"/>
              </w:rPr>
            </w:pPr>
          </w:p>
        </w:tc>
        <w:tc>
          <w:tcPr>
            <w:tcW w:w="3700" w:type="dxa"/>
            <w:gridSpan w:val="3"/>
          </w:tcPr>
          <w:p w14:paraId="47317AD8" w14:textId="0E5068B7" w:rsidR="00696C38" w:rsidRPr="00696C38" w:rsidRDefault="00696C38" w:rsidP="00696C38">
            <w:pPr>
              <w:rPr>
                <w:rFonts w:cs="Arial"/>
                <w:b/>
              </w:rPr>
            </w:pPr>
            <w:r w:rsidRPr="00696C38">
              <w:rPr>
                <w:b/>
              </w:rPr>
              <w:t>Средно проследяване от 26 месеца</w:t>
            </w:r>
          </w:p>
        </w:tc>
        <w:tc>
          <w:tcPr>
            <w:tcW w:w="4143" w:type="dxa"/>
            <w:gridSpan w:val="3"/>
          </w:tcPr>
          <w:p w14:paraId="3BF44133" w14:textId="784747CE" w:rsidR="00696C38" w:rsidRPr="00696C38" w:rsidRDefault="00696C38" w:rsidP="00696C38">
            <w:pPr>
              <w:rPr>
                <w:b/>
                <w:sz w:val="24"/>
                <w:szCs w:val="24"/>
              </w:rPr>
            </w:pPr>
            <w:r w:rsidRPr="00696C38">
              <w:rPr>
                <w:b/>
                <w:lang w:eastAsia="bg-BG"/>
              </w:rPr>
              <w:t>Средно проследяване от 60 месеца</w:t>
            </w:r>
          </w:p>
        </w:tc>
      </w:tr>
      <w:tr w:rsidR="00696C38" w14:paraId="1EDD266A" w14:textId="77777777" w:rsidTr="00696C38">
        <w:tc>
          <w:tcPr>
            <w:tcW w:w="1733" w:type="dxa"/>
          </w:tcPr>
          <w:p w14:paraId="62B12F0F" w14:textId="77777777" w:rsidR="00696C38" w:rsidRPr="00696C38" w:rsidRDefault="00696C38" w:rsidP="00696C38">
            <w:pPr>
              <w:rPr>
                <w:rFonts w:cs="Arial"/>
              </w:rPr>
            </w:pPr>
          </w:p>
        </w:tc>
        <w:tc>
          <w:tcPr>
            <w:tcW w:w="1266" w:type="dxa"/>
          </w:tcPr>
          <w:p w14:paraId="4267411E" w14:textId="4A767D8C" w:rsidR="00696C38" w:rsidRPr="00696C38" w:rsidRDefault="00696C38" w:rsidP="00696C38">
            <w:pPr>
              <w:rPr>
                <w:rFonts w:cs="Arial"/>
              </w:rPr>
            </w:pPr>
            <w:r w:rsidRPr="00696C38">
              <w:rPr>
                <w:rFonts w:cs="Arial"/>
                <w:b/>
                <w:bCs/>
              </w:rPr>
              <w:t xml:space="preserve">Летрозол </w:t>
            </w:r>
            <w:r w:rsidRPr="00696C38">
              <w:rPr>
                <w:rFonts w:cs="Arial"/>
                <w:b/>
                <w:bCs/>
                <w:lang w:val="en-US"/>
              </w:rPr>
              <w:t>N=4003</w:t>
            </w:r>
          </w:p>
        </w:tc>
        <w:tc>
          <w:tcPr>
            <w:tcW w:w="1586" w:type="dxa"/>
          </w:tcPr>
          <w:p w14:paraId="0E3A009B" w14:textId="3EBB359B" w:rsidR="00696C38" w:rsidRPr="00696C38" w:rsidRDefault="00696C38" w:rsidP="00696C38">
            <w:pPr>
              <w:rPr>
                <w:rFonts w:cs="Arial"/>
              </w:rPr>
            </w:pPr>
            <w:r w:rsidRPr="00696C38">
              <w:rPr>
                <w:rFonts w:cs="Arial"/>
                <w:b/>
                <w:bCs/>
              </w:rPr>
              <w:t xml:space="preserve">Тамоксифен </w:t>
            </w:r>
            <w:r w:rsidRPr="00696C38">
              <w:rPr>
                <w:rFonts w:cs="Arial"/>
                <w:b/>
                <w:bCs/>
                <w:lang w:val="en-US"/>
              </w:rPr>
              <w:t>N=4007</w:t>
            </w:r>
          </w:p>
        </w:tc>
        <w:tc>
          <w:tcPr>
            <w:tcW w:w="848" w:type="dxa"/>
          </w:tcPr>
          <w:p w14:paraId="2F045BAB" w14:textId="77777777" w:rsidR="00696C38" w:rsidRPr="00696C38" w:rsidRDefault="00696C38" w:rsidP="00696C38">
            <w:pPr>
              <w:rPr>
                <w:rFonts w:cs="Arial"/>
              </w:rPr>
            </w:pPr>
            <w:r w:rsidRPr="00696C38">
              <w:rPr>
                <w:rFonts w:cs="Arial"/>
                <w:smallCaps/>
                <w:lang w:val="en-US"/>
              </w:rPr>
              <w:t>Hr</w:t>
            </w:r>
            <w:r w:rsidRPr="00696C38">
              <w:rPr>
                <w:rFonts w:cs="Arial"/>
                <w:smallCaps/>
                <w:vertAlign w:val="superscript"/>
                <w:lang w:val="en-US"/>
              </w:rPr>
              <w:t>1</w:t>
            </w:r>
          </w:p>
          <w:p w14:paraId="6235F294" w14:textId="553D7939" w:rsidR="00696C38" w:rsidRPr="00696C38" w:rsidRDefault="00696C38" w:rsidP="00696C38">
            <w:pPr>
              <w:rPr>
                <w:rFonts w:cs="Arial"/>
              </w:rPr>
            </w:pPr>
            <w:r w:rsidRPr="00696C38">
              <w:rPr>
                <w:rFonts w:cs="Arial"/>
              </w:rPr>
              <w:t xml:space="preserve">(95% </w:t>
            </w:r>
            <w:r w:rsidRPr="00696C38">
              <w:rPr>
                <w:rFonts w:cs="Arial"/>
                <w:lang w:val="en-US"/>
              </w:rPr>
              <w:t>CI)</w:t>
            </w:r>
          </w:p>
        </w:tc>
        <w:tc>
          <w:tcPr>
            <w:tcW w:w="1266" w:type="dxa"/>
          </w:tcPr>
          <w:p w14:paraId="4AA8016A" w14:textId="32607233" w:rsidR="00696C38" w:rsidRPr="00696C38" w:rsidRDefault="00696C38" w:rsidP="00696C38">
            <w:pPr>
              <w:rPr>
                <w:rFonts w:cs="Arial"/>
              </w:rPr>
            </w:pPr>
            <w:r w:rsidRPr="00696C38">
              <w:rPr>
                <w:rFonts w:cs="Arial"/>
                <w:b/>
                <w:bCs/>
              </w:rPr>
              <w:t xml:space="preserve">Летрозол </w:t>
            </w:r>
            <w:r w:rsidRPr="00696C38">
              <w:rPr>
                <w:rFonts w:cs="Arial"/>
                <w:b/>
                <w:bCs/>
                <w:lang w:val="en-US"/>
              </w:rPr>
              <w:t>N=4003</w:t>
            </w:r>
          </w:p>
        </w:tc>
        <w:tc>
          <w:tcPr>
            <w:tcW w:w="1586" w:type="dxa"/>
          </w:tcPr>
          <w:p w14:paraId="2A4B1DB2" w14:textId="3909D6FC" w:rsidR="00696C38" w:rsidRPr="00696C38" w:rsidRDefault="00696C38" w:rsidP="00696C38">
            <w:pPr>
              <w:rPr>
                <w:rFonts w:cs="Arial"/>
              </w:rPr>
            </w:pPr>
            <w:r w:rsidRPr="00696C38">
              <w:rPr>
                <w:rFonts w:cs="Arial"/>
                <w:b/>
                <w:bCs/>
              </w:rPr>
              <w:t xml:space="preserve">Тамоксифен </w:t>
            </w:r>
            <w:r w:rsidRPr="00696C38">
              <w:rPr>
                <w:rFonts w:cs="Arial"/>
                <w:b/>
                <w:bCs/>
                <w:lang w:val="en-US"/>
              </w:rPr>
              <w:t>N=4007</w:t>
            </w:r>
          </w:p>
        </w:tc>
        <w:tc>
          <w:tcPr>
            <w:tcW w:w="1291" w:type="dxa"/>
          </w:tcPr>
          <w:p w14:paraId="49894DD3" w14:textId="77777777" w:rsidR="00696C38" w:rsidRPr="00696C38" w:rsidRDefault="00696C38" w:rsidP="00696C38">
            <w:pPr>
              <w:rPr>
                <w:rFonts w:cs="Arial"/>
              </w:rPr>
            </w:pPr>
            <w:r w:rsidRPr="00696C38">
              <w:rPr>
                <w:rFonts w:cs="Arial"/>
                <w:b/>
                <w:bCs/>
                <w:lang w:val="en-US"/>
              </w:rPr>
              <w:t>HR</w:t>
            </w:r>
          </w:p>
          <w:p w14:paraId="1EBEF581" w14:textId="337B6E0C" w:rsidR="00696C38" w:rsidRPr="00696C38" w:rsidRDefault="00696C38" w:rsidP="00696C38">
            <w:pPr>
              <w:rPr>
                <w:rFonts w:cs="Arial"/>
              </w:rPr>
            </w:pPr>
            <w:r w:rsidRPr="00696C38">
              <w:rPr>
                <w:rFonts w:cs="Arial"/>
              </w:rPr>
              <w:t xml:space="preserve">(95% </w:t>
            </w:r>
            <w:r w:rsidRPr="00696C38">
              <w:rPr>
                <w:rFonts w:cs="Arial"/>
                <w:lang w:val="en-US"/>
              </w:rPr>
              <w:t>CI)</w:t>
            </w:r>
          </w:p>
        </w:tc>
      </w:tr>
      <w:tr w:rsidR="00696C38" w14:paraId="0BFD3592" w14:textId="77777777" w:rsidTr="00696C38">
        <w:tc>
          <w:tcPr>
            <w:tcW w:w="1733" w:type="dxa"/>
            <w:vMerge w:val="restart"/>
          </w:tcPr>
          <w:p w14:paraId="21398665" w14:textId="77777777" w:rsidR="00696C38" w:rsidRPr="00696C38" w:rsidRDefault="00696C38" w:rsidP="00696C38">
            <w:pPr>
              <w:rPr>
                <w:rFonts w:cs="Arial"/>
              </w:rPr>
            </w:pPr>
            <w:r w:rsidRPr="00696C38">
              <w:rPr>
                <w:rFonts w:cs="Arial"/>
              </w:rPr>
              <w:t>Преживяемост без заболяване (първична крайна точка) - събития (дефиниция по</w:t>
            </w:r>
          </w:p>
          <w:p w14:paraId="25176E1A" w14:textId="36E5A7D5" w:rsidR="00696C38" w:rsidRPr="00696C38" w:rsidRDefault="00696C38" w:rsidP="00696C38">
            <w:pPr>
              <w:rPr>
                <w:rFonts w:cs="Arial"/>
              </w:rPr>
            </w:pPr>
            <w:r w:rsidRPr="00696C38">
              <w:rPr>
                <w:rFonts w:cs="Arial"/>
              </w:rPr>
              <w:t>2 протокол )</w:t>
            </w:r>
          </w:p>
        </w:tc>
        <w:tc>
          <w:tcPr>
            <w:tcW w:w="1266" w:type="dxa"/>
          </w:tcPr>
          <w:p w14:paraId="0EE79AC3" w14:textId="236479BC" w:rsidR="00696C38" w:rsidRPr="00696C38" w:rsidRDefault="00696C38" w:rsidP="00696C38">
            <w:pPr>
              <w:rPr>
                <w:rFonts w:cs="Arial"/>
              </w:rPr>
            </w:pPr>
            <w:r w:rsidRPr="00696C38">
              <w:rPr>
                <w:rFonts w:cs="Arial"/>
              </w:rPr>
              <w:t>351</w:t>
            </w:r>
          </w:p>
        </w:tc>
        <w:tc>
          <w:tcPr>
            <w:tcW w:w="1586" w:type="dxa"/>
          </w:tcPr>
          <w:p w14:paraId="6628F0F9" w14:textId="609EF597" w:rsidR="00696C38" w:rsidRPr="00696C38" w:rsidRDefault="00696C38" w:rsidP="00696C38">
            <w:pPr>
              <w:rPr>
                <w:rFonts w:cs="Arial"/>
              </w:rPr>
            </w:pPr>
            <w:r w:rsidRPr="00696C38">
              <w:rPr>
                <w:rFonts w:cs="Arial"/>
              </w:rPr>
              <w:t>428</w:t>
            </w:r>
          </w:p>
        </w:tc>
        <w:tc>
          <w:tcPr>
            <w:tcW w:w="848" w:type="dxa"/>
          </w:tcPr>
          <w:p w14:paraId="4BB15AE5" w14:textId="4D4088F5" w:rsidR="00696C38" w:rsidRPr="00696C38" w:rsidRDefault="00696C38" w:rsidP="00696C38">
            <w:pPr>
              <w:rPr>
                <w:rFonts w:cs="Arial"/>
              </w:rPr>
            </w:pPr>
            <w:r w:rsidRPr="00696C38">
              <w:rPr>
                <w:rFonts w:cs="Arial"/>
              </w:rPr>
              <w:t>0.81</w:t>
            </w:r>
          </w:p>
        </w:tc>
        <w:tc>
          <w:tcPr>
            <w:tcW w:w="1266" w:type="dxa"/>
          </w:tcPr>
          <w:p w14:paraId="6DF8E63E" w14:textId="3FD2F672" w:rsidR="00696C38" w:rsidRPr="00696C38" w:rsidRDefault="00696C38" w:rsidP="00696C38">
            <w:pPr>
              <w:rPr>
                <w:rFonts w:cs="Arial"/>
              </w:rPr>
            </w:pPr>
            <w:r w:rsidRPr="00696C38">
              <w:rPr>
                <w:rFonts w:cs="Arial"/>
              </w:rPr>
              <w:t>585</w:t>
            </w:r>
          </w:p>
        </w:tc>
        <w:tc>
          <w:tcPr>
            <w:tcW w:w="1586" w:type="dxa"/>
          </w:tcPr>
          <w:p w14:paraId="00A5DDAD" w14:textId="1B454C48" w:rsidR="00696C38" w:rsidRPr="00696C38" w:rsidRDefault="00696C38" w:rsidP="00696C38">
            <w:pPr>
              <w:rPr>
                <w:rFonts w:cs="Arial"/>
              </w:rPr>
            </w:pPr>
            <w:r w:rsidRPr="00696C38">
              <w:rPr>
                <w:rFonts w:cs="Arial"/>
              </w:rPr>
              <w:t>664</w:t>
            </w:r>
          </w:p>
        </w:tc>
        <w:tc>
          <w:tcPr>
            <w:tcW w:w="1291" w:type="dxa"/>
          </w:tcPr>
          <w:p w14:paraId="7635E0C7" w14:textId="4C8C29F7" w:rsidR="00696C38" w:rsidRPr="00696C38" w:rsidRDefault="00696C38" w:rsidP="00696C38">
            <w:pPr>
              <w:rPr>
                <w:rFonts w:cs="Arial"/>
              </w:rPr>
            </w:pPr>
            <w:r w:rsidRPr="00696C38">
              <w:rPr>
                <w:rFonts w:cs="Arial"/>
              </w:rPr>
              <w:t>0.86</w:t>
            </w:r>
          </w:p>
        </w:tc>
      </w:tr>
      <w:tr w:rsidR="00696C38" w14:paraId="10F47131" w14:textId="77777777" w:rsidTr="00696C38">
        <w:tc>
          <w:tcPr>
            <w:tcW w:w="1733" w:type="dxa"/>
            <w:vMerge/>
          </w:tcPr>
          <w:p w14:paraId="0BFCEA0C" w14:textId="77777777" w:rsidR="00696C38" w:rsidRPr="00696C38" w:rsidRDefault="00696C38" w:rsidP="00696C38">
            <w:pPr>
              <w:rPr>
                <w:rFonts w:cs="Arial"/>
              </w:rPr>
            </w:pPr>
          </w:p>
        </w:tc>
        <w:tc>
          <w:tcPr>
            <w:tcW w:w="1266" w:type="dxa"/>
          </w:tcPr>
          <w:p w14:paraId="00AB9732" w14:textId="77777777" w:rsidR="00696C38" w:rsidRPr="00696C38" w:rsidRDefault="00696C38" w:rsidP="00696C38">
            <w:pPr>
              <w:rPr>
                <w:rFonts w:cs="Arial"/>
              </w:rPr>
            </w:pPr>
          </w:p>
        </w:tc>
        <w:tc>
          <w:tcPr>
            <w:tcW w:w="1586" w:type="dxa"/>
          </w:tcPr>
          <w:p w14:paraId="51D3FB8E" w14:textId="77777777" w:rsidR="00696C38" w:rsidRPr="00696C38" w:rsidRDefault="00696C38" w:rsidP="00696C38">
            <w:pPr>
              <w:rPr>
                <w:rFonts w:cs="Arial"/>
              </w:rPr>
            </w:pPr>
          </w:p>
        </w:tc>
        <w:tc>
          <w:tcPr>
            <w:tcW w:w="848" w:type="dxa"/>
          </w:tcPr>
          <w:p w14:paraId="4C665EBD" w14:textId="3832D155" w:rsidR="00696C38" w:rsidRPr="00696C38" w:rsidRDefault="00696C38" w:rsidP="00696C38">
            <w:pPr>
              <w:rPr>
                <w:rFonts w:cs="Arial"/>
              </w:rPr>
            </w:pPr>
            <w:r w:rsidRPr="00696C38">
              <w:rPr>
                <w:rFonts w:cs="Arial"/>
              </w:rPr>
              <w:t>(0.70, 0.93)</w:t>
            </w:r>
          </w:p>
        </w:tc>
        <w:tc>
          <w:tcPr>
            <w:tcW w:w="1266" w:type="dxa"/>
          </w:tcPr>
          <w:p w14:paraId="0E4D4A09" w14:textId="77777777" w:rsidR="00696C38" w:rsidRPr="00696C38" w:rsidRDefault="00696C38" w:rsidP="00696C38">
            <w:pPr>
              <w:rPr>
                <w:rFonts w:cs="Arial"/>
              </w:rPr>
            </w:pPr>
          </w:p>
        </w:tc>
        <w:tc>
          <w:tcPr>
            <w:tcW w:w="1586" w:type="dxa"/>
          </w:tcPr>
          <w:p w14:paraId="461DF8C9" w14:textId="77777777" w:rsidR="00696C38" w:rsidRPr="00696C38" w:rsidRDefault="00696C38" w:rsidP="00696C38">
            <w:pPr>
              <w:rPr>
                <w:rFonts w:cs="Arial"/>
              </w:rPr>
            </w:pPr>
          </w:p>
        </w:tc>
        <w:tc>
          <w:tcPr>
            <w:tcW w:w="1291" w:type="dxa"/>
          </w:tcPr>
          <w:p w14:paraId="06DE15BC" w14:textId="1095733D" w:rsidR="00696C38" w:rsidRPr="00696C38" w:rsidRDefault="00696C38" w:rsidP="00696C38">
            <w:pPr>
              <w:rPr>
                <w:rFonts w:cs="Arial"/>
              </w:rPr>
            </w:pPr>
            <w:r w:rsidRPr="00696C38">
              <w:rPr>
                <w:rFonts w:cs="Arial"/>
              </w:rPr>
              <w:t>(0.77,0.96)</w:t>
            </w:r>
          </w:p>
        </w:tc>
      </w:tr>
      <w:tr w:rsidR="00696C38" w14:paraId="58BFE693" w14:textId="77777777" w:rsidTr="00696C38">
        <w:tc>
          <w:tcPr>
            <w:tcW w:w="1733" w:type="dxa"/>
            <w:vMerge/>
          </w:tcPr>
          <w:p w14:paraId="0CA71881" w14:textId="77777777" w:rsidR="00696C38" w:rsidRPr="00696C38" w:rsidRDefault="00696C38" w:rsidP="00696C38">
            <w:pPr>
              <w:rPr>
                <w:rFonts w:cs="Arial"/>
              </w:rPr>
            </w:pPr>
          </w:p>
        </w:tc>
        <w:tc>
          <w:tcPr>
            <w:tcW w:w="1266" w:type="dxa"/>
          </w:tcPr>
          <w:p w14:paraId="0163CD15" w14:textId="77777777" w:rsidR="00696C38" w:rsidRPr="00696C38" w:rsidRDefault="00696C38" w:rsidP="00696C38">
            <w:pPr>
              <w:rPr>
                <w:rFonts w:cs="Arial"/>
              </w:rPr>
            </w:pPr>
          </w:p>
        </w:tc>
        <w:tc>
          <w:tcPr>
            <w:tcW w:w="1586" w:type="dxa"/>
          </w:tcPr>
          <w:p w14:paraId="6CBF454A" w14:textId="77777777" w:rsidR="00696C38" w:rsidRPr="00696C38" w:rsidRDefault="00696C38" w:rsidP="00696C38">
            <w:pPr>
              <w:rPr>
                <w:rFonts w:cs="Arial"/>
              </w:rPr>
            </w:pPr>
          </w:p>
        </w:tc>
        <w:tc>
          <w:tcPr>
            <w:tcW w:w="848" w:type="dxa"/>
          </w:tcPr>
          <w:p w14:paraId="00D21D9A" w14:textId="507297F7" w:rsidR="00696C38" w:rsidRPr="00696C38" w:rsidRDefault="00696C38" w:rsidP="00696C38">
            <w:pPr>
              <w:rPr>
                <w:rFonts w:cs="Arial"/>
              </w:rPr>
            </w:pPr>
            <w:r w:rsidRPr="00696C38">
              <w:rPr>
                <w:rFonts w:cs="Arial"/>
              </w:rPr>
              <w:t>0.003</w:t>
            </w:r>
          </w:p>
        </w:tc>
        <w:tc>
          <w:tcPr>
            <w:tcW w:w="1266" w:type="dxa"/>
          </w:tcPr>
          <w:p w14:paraId="17C64363" w14:textId="77777777" w:rsidR="00696C38" w:rsidRPr="00696C38" w:rsidRDefault="00696C38" w:rsidP="00696C38">
            <w:pPr>
              <w:rPr>
                <w:rFonts w:cs="Arial"/>
              </w:rPr>
            </w:pPr>
          </w:p>
        </w:tc>
        <w:tc>
          <w:tcPr>
            <w:tcW w:w="1586" w:type="dxa"/>
          </w:tcPr>
          <w:p w14:paraId="2C13E769" w14:textId="77777777" w:rsidR="00696C38" w:rsidRPr="00696C38" w:rsidRDefault="00696C38" w:rsidP="00696C38">
            <w:pPr>
              <w:rPr>
                <w:rFonts w:cs="Arial"/>
              </w:rPr>
            </w:pPr>
          </w:p>
        </w:tc>
        <w:tc>
          <w:tcPr>
            <w:tcW w:w="1291" w:type="dxa"/>
          </w:tcPr>
          <w:p w14:paraId="12A18033" w14:textId="573CD065" w:rsidR="00696C38" w:rsidRPr="00696C38" w:rsidRDefault="00696C38" w:rsidP="00696C38">
            <w:pPr>
              <w:rPr>
                <w:rFonts w:cs="Arial"/>
              </w:rPr>
            </w:pPr>
            <w:r w:rsidRPr="00696C38">
              <w:rPr>
                <w:rFonts w:cs="Arial"/>
              </w:rPr>
              <w:t>0.008</w:t>
            </w:r>
          </w:p>
        </w:tc>
      </w:tr>
      <w:tr w:rsidR="00696C38" w14:paraId="146A6CD0" w14:textId="77777777" w:rsidTr="00696C38">
        <w:tc>
          <w:tcPr>
            <w:tcW w:w="1733" w:type="dxa"/>
            <w:vMerge/>
          </w:tcPr>
          <w:p w14:paraId="54FD86E1" w14:textId="77777777" w:rsidR="00696C38" w:rsidRPr="00696C38" w:rsidRDefault="00696C38" w:rsidP="00696C38">
            <w:pPr>
              <w:rPr>
                <w:rFonts w:cs="Arial"/>
              </w:rPr>
            </w:pPr>
          </w:p>
        </w:tc>
        <w:tc>
          <w:tcPr>
            <w:tcW w:w="1266" w:type="dxa"/>
          </w:tcPr>
          <w:p w14:paraId="1D2C566F" w14:textId="77777777" w:rsidR="00696C38" w:rsidRPr="00696C38" w:rsidRDefault="00696C38" w:rsidP="00696C38">
            <w:pPr>
              <w:rPr>
                <w:rFonts w:cs="Arial"/>
              </w:rPr>
            </w:pPr>
          </w:p>
        </w:tc>
        <w:tc>
          <w:tcPr>
            <w:tcW w:w="1586" w:type="dxa"/>
          </w:tcPr>
          <w:p w14:paraId="48FC9AFE" w14:textId="77777777" w:rsidR="00696C38" w:rsidRPr="00696C38" w:rsidRDefault="00696C38" w:rsidP="00696C38">
            <w:pPr>
              <w:rPr>
                <w:rFonts w:cs="Arial"/>
              </w:rPr>
            </w:pPr>
          </w:p>
        </w:tc>
        <w:tc>
          <w:tcPr>
            <w:tcW w:w="848" w:type="dxa"/>
          </w:tcPr>
          <w:p w14:paraId="1DD2E4BB" w14:textId="77777777" w:rsidR="00696C38" w:rsidRPr="00696C38" w:rsidRDefault="00696C38" w:rsidP="00696C38">
            <w:pPr>
              <w:rPr>
                <w:rFonts w:cs="Arial"/>
              </w:rPr>
            </w:pPr>
          </w:p>
        </w:tc>
        <w:tc>
          <w:tcPr>
            <w:tcW w:w="1266" w:type="dxa"/>
          </w:tcPr>
          <w:p w14:paraId="3E9DA756" w14:textId="77777777" w:rsidR="00696C38" w:rsidRPr="00696C38" w:rsidRDefault="00696C38" w:rsidP="00696C38">
            <w:pPr>
              <w:rPr>
                <w:rFonts w:cs="Arial"/>
              </w:rPr>
            </w:pPr>
          </w:p>
        </w:tc>
        <w:tc>
          <w:tcPr>
            <w:tcW w:w="1586" w:type="dxa"/>
          </w:tcPr>
          <w:p w14:paraId="41295A12" w14:textId="77777777" w:rsidR="00696C38" w:rsidRPr="00696C38" w:rsidRDefault="00696C38" w:rsidP="00696C38">
            <w:pPr>
              <w:rPr>
                <w:rFonts w:cs="Arial"/>
              </w:rPr>
            </w:pPr>
          </w:p>
        </w:tc>
        <w:tc>
          <w:tcPr>
            <w:tcW w:w="1291" w:type="dxa"/>
          </w:tcPr>
          <w:p w14:paraId="6A71377B" w14:textId="77777777" w:rsidR="00696C38" w:rsidRPr="00696C38" w:rsidRDefault="00696C38" w:rsidP="00696C38">
            <w:pPr>
              <w:rPr>
                <w:rFonts w:cs="Arial"/>
              </w:rPr>
            </w:pPr>
          </w:p>
        </w:tc>
      </w:tr>
      <w:tr w:rsidR="00696C38" w14:paraId="1160E64E" w14:textId="77777777" w:rsidTr="00696C38">
        <w:tc>
          <w:tcPr>
            <w:tcW w:w="1733" w:type="dxa"/>
            <w:vMerge w:val="restart"/>
          </w:tcPr>
          <w:p w14:paraId="51DD1618" w14:textId="5313A196" w:rsidR="00696C38" w:rsidRPr="00696C38" w:rsidRDefault="00696C38" w:rsidP="00696C38">
            <w:pPr>
              <w:rPr>
                <w:rFonts w:cs="Arial"/>
              </w:rPr>
            </w:pPr>
            <w:r w:rsidRPr="00696C38">
              <w:rPr>
                <w:rFonts w:cs="Arial"/>
              </w:rPr>
              <w:t>Обща преживяемост (вторична крайна точка)</w:t>
            </w:r>
          </w:p>
        </w:tc>
        <w:tc>
          <w:tcPr>
            <w:tcW w:w="1266" w:type="dxa"/>
          </w:tcPr>
          <w:p w14:paraId="29A568D8" w14:textId="332ACABD" w:rsidR="00696C38" w:rsidRPr="00696C38" w:rsidRDefault="00696C38" w:rsidP="00696C38">
            <w:pPr>
              <w:rPr>
                <w:rFonts w:cs="Arial"/>
              </w:rPr>
            </w:pPr>
            <w:r w:rsidRPr="00696C38">
              <w:rPr>
                <w:rFonts w:cs="Arial"/>
              </w:rPr>
              <w:t>166</w:t>
            </w:r>
          </w:p>
        </w:tc>
        <w:tc>
          <w:tcPr>
            <w:tcW w:w="1586" w:type="dxa"/>
          </w:tcPr>
          <w:p w14:paraId="49B3DCF1" w14:textId="0BB086EF" w:rsidR="00696C38" w:rsidRPr="00696C38" w:rsidRDefault="00696C38" w:rsidP="00696C38">
            <w:pPr>
              <w:rPr>
                <w:rFonts w:cs="Arial"/>
              </w:rPr>
            </w:pPr>
            <w:r w:rsidRPr="00696C38">
              <w:rPr>
                <w:rFonts w:cs="Arial"/>
              </w:rPr>
              <w:t>192</w:t>
            </w:r>
          </w:p>
        </w:tc>
        <w:tc>
          <w:tcPr>
            <w:tcW w:w="848" w:type="dxa"/>
          </w:tcPr>
          <w:p w14:paraId="142FE56A" w14:textId="0E35433D" w:rsidR="00696C38" w:rsidRPr="00696C38" w:rsidRDefault="00696C38" w:rsidP="00696C38">
            <w:pPr>
              <w:rPr>
                <w:rFonts w:cs="Arial"/>
              </w:rPr>
            </w:pPr>
            <w:r w:rsidRPr="00696C38">
              <w:rPr>
                <w:rFonts w:cs="Arial"/>
              </w:rPr>
              <w:t>0.86</w:t>
            </w:r>
          </w:p>
        </w:tc>
        <w:tc>
          <w:tcPr>
            <w:tcW w:w="1266" w:type="dxa"/>
          </w:tcPr>
          <w:p w14:paraId="0C80E183" w14:textId="2C61286B" w:rsidR="00696C38" w:rsidRPr="00696C38" w:rsidRDefault="00696C38" w:rsidP="00696C38">
            <w:pPr>
              <w:rPr>
                <w:rFonts w:cs="Arial"/>
              </w:rPr>
            </w:pPr>
            <w:r w:rsidRPr="00696C38">
              <w:rPr>
                <w:rFonts w:cs="Arial"/>
              </w:rPr>
              <w:t>330</w:t>
            </w:r>
          </w:p>
        </w:tc>
        <w:tc>
          <w:tcPr>
            <w:tcW w:w="1586" w:type="dxa"/>
          </w:tcPr>
          <w:p w14:paraId="47581570" w14:textId="26585F9F" w:rsidR="00696C38" w:rsidRPr="00696C38" w:rsidRDefault="00696C38" w:rsidP="00696C38">
            <w:pPr>
              <w:rPr>
                <w:rFonts w:cs="Arial"/>
              </w:rPr>
            </w:pPr>
            <w:r w:rsidRPr="00696C38">
              <w:rPr>
                <w:rFonts w:cs="Arial"/>
              </w:rPr>
              <w:t>374</w:t>
            </w:r>
          </w:p>
        </w:tc>
        <w:tc>
          <w:tcPr>
            <w:tcW w:w="1291" w:type="dxa"/>
          </w:tcPr>
          <w:p w14:paraId="193B4208" w14:textId="27592CEE" w:rsidR="00696C38" w:rsidRPr="00696C38" w:rsidRDefault="00696C38" w:rsidP="00696C38">
            <w:pPr>
              <w:rPr>
                <w:rFonts w:cs="Arial"/>
              </w:rPr>
            </w:pPr>
            <w:r w:rsidRPr="00696C38">
              <w:rPr>
                <w:rFonts w:cs="Arial"/>
              </w:rPr>
              <w:t>0.87</w:t>
            </w:r>
          </w:p>
        </w:tc>
      </w:tr>
      <w:tr w:rsidR="00696C38" w14:paraId="7E077C15" w14:textId="77777777" w:rsidTr="00696C38">
        <w:tc>
          <w:tcPr>
            <w:tcW w:w="1733" w:type="dxa"/>
            <w:vMerge/>
          </w:tcPr>
          <w:p w14:paraId="4D6FF70E" w14:textId="77777777" w:rsidR="00696C38" w:rsidRPr="00696C38" w:rsidRDefault="00696C38" w:rsidP="00696C38">
            <w:pPr>
              <w:rPr>
                <w:rFonts w:cs="Arial"/>
              </w:rPr>
            </w:pPr>
          </w:p>
        </w:tc>
        <w:tc>
          <w:tcPr>
            <w:tcW w:w="1266" w:type="dxa"/>
          </w:tcPr>
          <w:p w14:paraId="5B65C12E" w14:textId="77777777" w:rsidR="00696C38" w:rsidRPr="00696C38" w:rsidRDefault="00696C38" w:rsidP="00696C38">
            <w:pPr>
              <w:rPr>
                <w:rFonts w:cs="Arial"/>
              </w:rPr>
            </w:pPr>
          </w:p>
        </w:tc>
        <w:tc>
          <w:tcPr>
            <w:tcW w:w="1586" w:type="dxa"/>
          </w:tcPr>
          <w:p w14:paraId="69B0ED88" w14:textId="77777777" w:rsidR="00696C38" w:rsidRPr="00696C38" w:rsidRDefault="00696C38" w:rsidP="00696C38">
            <w:pPr>
              <w:rPr>
                <w:rFonts w:cs="Arial"/>
              </w:rPr>
            </w:pPr>
          </w:p>
        </w:tc>
        <w:tc>
          <w:tcPr>
            <w:tcW w:w="848" w:type="dxa"/>
          </w:tcPr>
          <w:p w14:paraId="439562DB" w14:textId="231D7BF5" w:rsidR="00696C38" w:rsidRPr="00696C38" w:rsidRDefault="00696C38" w:rsidP="00696C38">
            <w:pPr>
              <w:rPr>
                <w:rFonts w:cs="Arial"/>
              </w:rPr>
            </w:pPr>
            <w:r w:rsidRPr="00696C38">
              <w:rPr>
                <w:rFonts w:cs="Arial"/>
              </w:rPr>
              <w:t>(0.70, 1.06)</w:t>
            </w:r>
          </w:p>
        </w:tc>
        <w:tc>
          <w:tcPr>
            <w:tcW w:w="1266" w:type="dxa"/>
          </w:tcPr>
          <w:p w14:paraId="54FE4D57" w14:textId="77777777" w:rsidR="00696C38" w:rsidRPr="00696C38" w:rsidRDefault="00696C38" w:rsidP="00696C38">
            <w:pPr>
              <w:rPr>
                <w:rFonts w:cs="Arial"/>
              </w:rPr>
            </w:pPr>
          </w:p>
        </w:tc>
        <w:tc>
          <w:tcPr>
            <w:tcW w:w="1586" w:type="dxa"/>
          </w:tcPr>
          <w:p w14:paraId="3AE9DE05" w14:textId="77777777" w:rsidR="00696C38" w:rsidRPr="00696C38" w:rsidRDefault="00696C38" w:rsidP="00696C38">
            <w:pPr>
              <w:rPr>
                <w:rFonts w:cs="Arial"/>
              </w:rPr>
            </w:pPr>
          </w:p>
        </w:tc>
        <w:tc>
          <w:tcPr>
            <w:tcW w:w="1291" w:type="dxa"/>
          </w:tcPr>
          <w:p w14:paraId="38F7305F" w14:textId="3D292325" w:rsidR="00696C38" w:rsidRPr="00696C38" w:rsidRDefault="00696C38" w:rsidP="00696C38">
            <w:pPr>
              <w:rPr>
                <w:rFonts w:cs="Arial"/>
              </w:rPr>
            </w:pPr>
            <w:r w:rsidRPr="00696C38">
              <w:rPr>
                <w:rFonts w:cs="Arial"/>
              </w:rPr>
              <w:t>(0.75,1.01)</w:t>
            </w:r>
          </w:p>
        </w:tc>
      </w:tr>
      <w:tr w:rsidR="00696C38" w14:paraId="0F6B96CE" w14:textId="77777777" w:rsidTr="00696C38">
        <w:tc>
          <w:tcPr>
            <w:tcW w:w="1733" w:type="dxa"/>
          </w:tcPr>
          <w:p w14:paraId="00302E17" w14:textId="6E3624AB" w:rsidR="00696C38" w:rsidRPr="00696C38" w:rsidRDefault="00696C38" w:rsidP="00696C38">
            <w:pPr>
              <w:rPr>
                <w:rFonts w:cs="Arial"/>
              </w:rPr>
            </w:pPr>
            <w:r w:rsidRPr="00696C38">
              <w:rPr>
                <w:rFonts w:cs="Arial"/>
              </w:rPr>
              <w:t>Брой смъртни случаи</w:t>
            </w:r>
          </w:p>
        </w:tc>
        <w:tc>
          <w:tcPr>
            <w:tcW w:w="1266" w:type="dxa"/>
          </w:tcPr>
          <w:p w14:paraId="5364D097" w14:textId="77777777" w:rsidR="00696C38" w:rsidRPr="00696C38" w:rsidRDefault="00696C38" w:rsidP="00696C38">
            <w:pPr>
              <w:rPr>
                <w:rFonts w:cs="Arial"/>
              </w:rPr>
            </w:pPr>
          </w:p>
        </w:tc>
        <w:tc>
          <w:tcPr>
            <w:tcW w:w="1586" w:type="dxa"/>
          </w:tcPr>
          <w:p w14:paraId="5DA31F73" w14:textId="77777777" w:rsidR="00696C38" w:rsidRPr="00696C38" w:rsidRDefault="00696C38" w:rsidP="00696C38">
            <w:pPr>
              <w:rPr>
                <w:rFonts w:cs="Arial"/>
              </w:rPr>
            </w:pPr>
          </w:p>
        </w:tc>
        <w:tc>
          <w:tcPr>
            <w:tcW w:w="848" w:type="dxa"/>
          </w:tcPr>
          <w:p w14:paraId="55FA6AE6" w14:textId="77777777" w:rsidR="00696C38" w:rsidRPr="00696C38" w:rsidRDefault="00696C38" w:rsidP="00696C38">
            <w:pPr>
              <w:rPr>
                <w:rFonts w:cs="Arial"/>
              </w:rPr>
            </w:pPr>
          </w:p>
        </w:tc>
        <w:tc>
          <w:tcPr>
            <w:tcW w:w="1266" w:type="dxa"/>
          </w:tcPr>
          <w:p w14:paraId="02E3D785" w14:textId="77777777" w:rsidR="00696C38" w:rsidRPr="00696C38" w:rsidRDefault="00696C38" w:rsidP="00696C38">
            <w:pPr>
              <w:rPr>
                <w:rFonts w:cs="Arial"/>
              </w:rPr>
            </w:pPr>
          </w:p>
        </w:tc>
        <w:tc>
          <w:tcPr>
            <w:tcW w:w="1586" w:type="dxa"/>
          </w:tcPr>
          <w:p w14:paraId="79CFB43F" w14:textId="77777777" w:rsidR="00696C38" w:rsidRPr="00696C38" w:rsidRDefault="00696C38" w:rsidP="00696C38">
            <w:pPr>
              <w:rPr>
                <w:rFonts w:cs="Arial"/>
              </w:rPr>
            </w:pPr>
          </w:p>
        </w:tc>
        <w:tc>
          <w:tcPr>
            <w:tcW w:w="1291" w:type="dxa"/>
          </w:tcPr>
          <w:p w14:paraId="3042D82A" w14:textId="77777777" w:rsidR="00696C38" w:rsidRPr="00696C38" w:rsidRDefault="00696C38" w:rsidP="00696C38">
            <w:pPr>
              <w:rPr>
                <w:rFonts w:cs="Arial"/>
              </w:rPr>
            </w:pPr>
          </w:p>
        </w:tc>
      </w:tr>
      <w:tr w:rsidR="00696C38" w14:paraId="137B4222" w14:textId="77777777" w:rsidTr="00696C38">
        <w:tc>
          <w:tcPr>
            <w:tcW w:w="9576" w:type="dxa"/>
            <w:gridSpan w:val="7"/>
          </w:tcPr>
          <w:p w14:paraId="642215F7" w14:textId="77777777" w:rsidR="00696C38" w:rsidRPr="00696C38" w:rsidRDefault="00696C38" w:rsidP="00696C38">
            <w:pPr>
              <w:spacing w:line="240" w:lineRule="auto"/>
              <w:rPr>
                <w:rFonts w:eastAsia="Times New Roman" w:cs="Arial"/>
              </w:rPr>
            </w:pPr>
            <w:r w:rsidRPr="00696C38">
              <w:rPr>
                <w:rFonts w:eastAsia="Times New Roman" w:cs="Arial"/>
                <w:color w:val="000000"/>
                <w:lang w:val="en-US"/>
              </w:rPr>
              <w:t>HR</w:t>
            </w:r>
            <w:r w:rsidRPr="00696C38">
              <w:rPr>
                <w:rFonts w:eastAsia="Times New Roman" w:cs="Arial"/>
                <w:color w:val="000000"/>
                <w:lang w:val="ru-RU"/>
              </w:rPr>
              <w:t xml:space="preserve"> </w:t>
            </w:r>
            <w:r w:rsidRPr="00696C38">
              <w:rPr>
                <w:rFonts w:eastAsia="Times New Roman" w:cs="Arial"/>
                <w:color w:val="000000"/>
                <w:lang w:eastAsia="bg-BG"/>
              </w:rPr>
              <w:t xml:space="preserve">= Коефициент на риск; </w:t>
            </w:r>
            <w:r w:rsidRPr="00696C38">
              <w:rPr>
                <w:rFonts w:eastAsia="Times New Roman" w:cs="Arial"/>
                <w:color w:val="000000"/>
                <w:lang w:val="en-US"/>
              </w:rPr>
              <w:t>CI</w:t>
            </w:r>
            <w:r w:rsidRPr="00696C38">
              <w:rPr>
                <w:rFonts w:eastAsia="Times New Roman" w:cs="Arial"/>
                <w:color w:val="000000"/>
                <w:lang w:val="ru-RU"/>
              </w:rPr>
              <w:t xml:space="preserve"> </w:t>
            </w:r>
            <w:r w:rsidRPr="00696C38">
              <w:rPr>
                <w:rFonts w:eastAsia="Times New Roman" w:cs="Arial"/>
                <w:color w:val="000000"/>
                <w:lang w:eastAsia="bg-BG"/>
              </w:rPr>
              <w:t>= Доверителен интервал</w:t>
            </w:r>
          </w:p>
          <w:p w14:paraId="472C9671" w14:textId="77777777" w:rsidR="00696C38" w:rsidRDefault="00696C38" w:rsidP="00696C38">
            <w:pPr>
              <w:spacing w:line="240" w:lineRule="auto"/>
              <w:rPr>
                <w:rFonts w:eastAsia="Times New Roman" w:cs="Arial"/>
                <w:color w:val="000000"/>
                <w:lang w:val="ru-RU"/>
              </w:rPr>
            </w:pPr>
            <w:r w:rsidRPr="00696C38">
              <w:rPr>
                <w:rFonts w:eastAsia="Times New Roman" w:cs="Arial"/>
                <w:color w:val="000000"/>
                <w:vertAlign w:val="superscript"/>
              </w:rPr>
              <w:t>1</w:t>
            </w:r>
            <w:r w:rsidRPr="00696C38">
              <w:rPr>
                <w:rFonts w:eastAsia="Times New Roman" w:cs="Arial"/>
                <w:color w:val="000000"/>
                <w:lang w:val="en-US"/>
              </w:rPr>
              <w:t>Long</w:t>
            </w:r>
            <w:r w:rsidRPr="00696C38">
              <w:rPr>
                <w:rFonts w:eastAsia="Times New Roman" w:cs="Arial"/>
                <w:color w:val="000000"/>
                <w:lang w:val="ru-RU"/>
              </w:rPr>
              <w:t xml:space="preserve"> </w:t>
            </w:r>
            <w:r w:rsidRPr="00696C38">
              <w:rPr>
                <w:rFonts w:eastAsia="Times New Roman" w:cs="Arial"/>
                <w:color w:val="000000"/>
                <w:lang w:val="en-US"/>
              </w:rPr>
              <w:t>rank</w:t>
            </w:r>
            <w:r w:rsidRPr="00696C38">
              <w:rPr>
                <w:rFonts w:eastAsia="Times New Roman" w:cs="Arial"/>
                <w:color w:val="000000"/>
                <w:lang w:val="ru-RU"/>
              </w:rPr>
              <w:t xml:space="preserve"> </w:t>
            </w:r>
            <w:r w:rsidRPr="00696C38">
              <w:rPr>
                <w:rFonts w:eastAsia="Times New Roman" w:cs="Arial"/>
                <w:color w:val="000000"/>
                <w:lang w:val="en-US"/>
              </w:rPr>
              <w:t>test</w:t>
            </w:r>
            <w:r w:rsidRPr="00696C38">
              <w:rPr>
                <w:rFonts w:eastAsia="Times New Roman" w:cs="Arial"/>
                <w:color w:val="000000"/>
                <w:lang w:val="ru-RU"/>
              </w:rPr>
              <w:t xml:space="preserve">, </w:t>
            </w:r>
            <w:r w:rsidRPr="00696C38">
              <w:rPr>
                <w:rFonts w:eastAsia="Times New Roman" w:cs="Arial"/>
                <w:color w:val="000000"/>
                <w:lang w:eastAsia="bg-BG"/>
              </w:rPr>
              <w:t>сертификация по начин на рандомизация и прилагане на химиотерапия (да/не)</w:t>
            </w:r>
          </w:p>
          <w:p w14:paraId="3F9A09EB" w14:textId="149456C7" w:rsidR="00696C38" w:rsidRPr="00696C38" w:rsidRDefault="00696C38" w:rsidP="00696C38">
            <w:pPr>
              <w:spacing w:line="240" w:lineRule="auto"/>
              <w:rPr>
                <w:rFonts w:eastAsia="Times New Roman" w:cs="Arial"/>
                <w:color w:val="000000"/>
                <w:lang w:val="ru-RU"/>
              </w:rPr>
            </w:pPr>
            <w:r w:rsidRPr="00696C38">
              <w:rPr>
                <w:rFonts w:eastAsia="Times New Roman" w:cs="Arial"/>
                <w:color w:val="000000"/>
                <w:vertAlign w:val="superscript"/>
                <w:lang w:val="ru-RU"/>
              </w:rPr>
              <w:t>2</w:t>
            </w:r>
            <w:r w:rsidRPr="00696C38">
              <w:rPr>
                <w:rFonts w:eastAsia="Times New Roman" w:cs="Arial"/>
                <w:color w:val="000000"/>
                <w:lang w:eastAsia="bg-BG"/>
              </w:rPr>
              <w:t>Преживяемост без заболяване - събития: локорегионален рецидив, отдалечени метастази, инвазивен контралатерален рак на гърдата, вторична (не на гърдата) първична неоплазма, смърт поради друга причина без предшестваща неоплазма.</w:t>
            </w:r>
          </w:p>
        </w:tc>
      </w:tr>
    </w:tbl>
    <w:p w14:paraId="3A45BF04" w14:textId="77777777" w:rsidR="00696C38" w:rsidRDefault="00696C38" w:rsidP="00696C38">
      <w:pPr>
        <w:spacing w:line="240" w:lineRule="auto"/>
        <w:rPr>
          <w:rFonts w:cs="Arial"/>
        </w:rPr>
      </w:pPr>
    </w:p>
    <w:p w14:paraId="4860A14A" w14:textId="28CF7845" w:rsidR="00696C38" w:rsidRPr="00696C38" w:rsidRDefault="00696C38" w:rsidP="00696C38">
      <w:pPr>
        <w:spacing w:line="240" w:lineRule="auto"/>
        <w:rPr>
          <w:rFonts w:eastAsia="Times New Roman" w:cs="Arial"/>
        </w:rPr>
      </w:pPr>
      <w:r w:rsidRPr="00696C38">
        <w:rPr>
          <w:rFonts w:eastAsia="Times New Roman" w:cs="Arial"/>
          <w:i/>
          <w:iCs/>
          <w:color w:val="000000"/>
          <w:lang w:eastAsia="bg-BG"/>
        </w:rPr>
        <w:t>Резултати при медиана на проследяване 73 месеца (само рамената на монотерапия)</w:t>
      </w:r>
    </w:p>
    <w:p w14:paraId="2CBBF977" w14:textId="77777777" w:rsidR="00696C38" w:rsidRDefault="00696C38" w:rsidP="00696C38">
      <w:pPr>
        <w:spacing w:line="240" w:lineRule="auto"/>
        <w:rPr>
          <w:rFonts w:eastAsia="Times New Roman" w:cs="Arial"/>
          <w:color w:val="000000"/>
          <w:lang w:eastAsia="bg-BG"/>
        </w:rPr>
      </w:pPr>
    </w:p>
    <w:p w14:paraId="3E185E70" w14:textId="20BDCF07" w:rsidR="00696C38" w:rsidRPr="00696C38" w:rsidRDefault="00696C38" w:rsidP="00696C38">
      <w:pPr>
        <w:spacing w:line="240" w:lineRule="auto"/>
        <w:rPr>
          <w:rFonts w:eastAsia="Times New Roman" w:cs="Arial"/>
        </w:rPr>
      </w:pPr>
      <w:r w:rsidRPr="00696C38">
        <w:rPr>
          <w:rFonts w:eastAsia="Times New Roman" w:cs="Arial"/>
          <w:color w:val="000000"/>
          <w:lang w:eastAsia="bg-BG"/>
        </w:rPr>
        <w:t>Получените при анализа на рамената на монотерапия (МАА) дългосрочни данни относно ефикасността на летрозол като монотерапия спрямо тамоксифен като монотерапия (медиана на продължителност на адювантната терапия: 5 години) са представени в Таблица 5.</w:t>
      </w:r>
    </w:p>
    <w:p w14:paraId="2D339F66" w14:textId="77777777" w:rsidR="00696C38" w:rsidRDefault="00696C38" w:rsidP="00696C38">
      <w:pPr>
        <w:rPr>
          <w:rFonts w:eastAsia="Times New Roman" w:cs="Arial"/>
          <w:b/>
          <w:bCs/>
          <w:color w:val="000000"/>
          <w:lang w:eastAsia="bg-BG"/>
        </w:rPr>
      </w:pPr>
    </w:p>
    <w:p w14:paraId="21023AB6" w14:textId="425E0D5E" w:rsidR="00696C38" w:rsidRDefault="00696C38" w:rsidP="00696C38">
      <w:pPr>
        <w:rPr>
          <w:rFonts w:ascii="Times New Roman" w:eastAsia="Times New Roman" w:hAnsi="Times New Roman" w:cs="Times New Roman"/>
          <w:b/>
          <w:bCs/>
          <w:color w:val="000000"/>
          <w:sz w:val="56"/>
          <w:szCs w:val="56"/>
          <w:lang w:eastAsia="bg-BG"/>
        </w:rPr>
      </w:pPr>
      <w:r w:rsidRPr="00696C38">
        <w:rPr>
          <w:rFonts w:eastAsia="Times New Roman" w:cs="Arial"/>
          <w:b/>
          <w:bCs/>
          <w:color w:val="000000"/>
          <w:lang w:eastAsia="bg-BG"/>
        </w:rPr>
        <w:t xml:space="preserve">Таблица 5 Анализ на рамената на монотерапия: Преживяемост без заболяване и обща преживяемост при медиана на проследяване 73 месеца </w:t>
      </w:r>
      <w:r w:rsidRPr="00696C38">
        <w:rPr>
          <w:rFonts w:eastAsia="Times New Roman" w:cs="Arial"/>
          <w:b/>
          <w:bCs/>
          <w:color w:val="000000"/>
          <w:lang w:val="ru-RU"/>
        </w:rPr>
        <w:t>(</w:t>
      </w:r>
      <w:r w:rsidRPr="00696C38">
        <w:rPr>
          <w:rFonts w:eastAsia="Times New Roman" w:cs="Arial"/>
          <w:b/>
          <w:bCs/>
          <w:color w:val="000000"/>
          <w:lang w:val="en-US"/>
        </w:rPr>
        <w:t>ITT</w:t>
      </w:r>
      <w:r w:rsidRPr="00696C38">
        <w:rPr>
          <w:rFonts w:eastAsia="Times New Roman" w:cs="Arial"/>
          <w:b/>
          <w:bCs/>
          <w:color w:val="000000"/>
          <w:lang w:val="ru-RU"/>
        </w:rPr>
        <w:t xml:space="preserve"> </w:t>
      </w:r>
      <w:r w:rsidRPr="00696C38">
        <w:rPr>
          <w:rFonts w:eastAsia="Times New Roman" w:cs="Arial"/>
          <w:b/>
          <w:bCs/>
          <w:color w:val="000000"/>
          <w:lang w:eastAsia="bg-BG"/>
        </w:rPr>
        <w:t>популация)</w:t>
      </w:r>
    </w:p>
    <w:p w14:paraId="1D0AFEDA" w14:textId="3076D423" w:rsidR="00696C38" w:rsidRDefault="00696C38" w:rsidP="00696C38">
      <w:pPr>
        <w:rPr>
          <w:rFonts w:cs="Arial"/>
        </w:rPr>
      </w:pPr>
    </w:p>
    <w:tbl>
      <w:tblPr>
        <w:tblStyle w:val="TableGrid"/>
        <w:tblW w:w="0" w:type="auto"/>
        <w:tblLook w:val="04A0" w:firstRow="1" w:lastRow="0" w:firstColumn="1" w:lastColumn="0" w:noHBand="0" w:noVBand="1"/>
      </w:tblPr>
      <w:tblGrid>
        <w:gridCol w:w="1895"/>
        <w:gridCol w:w="1848"/>
        <w:gridCol w:w="1882"/>
        <w:gridCol w:w="1880"/>
        <w:gridCol w:w="1845"/>
      </w:tblGrid>
      <w:tr w:rsidR="00696C38" w14:paraId="0AAA0BA5" w14:textId="77777777" w:rsidTr="00696C38">
        <w:tc>
          <w:tcPr>
            <w:tcW w:w="1915" w:type="dxa"/>
          </w:tcPr>
          <w:p w14:paraId="669E39EB" w14:textId="77777777" w:rsidR="00696C38" w:rsidRDefault="00696C38" w:rsidP="00696C38">
            <w:pPr>
              <w:rPr>
                <w:rFonts w:cs="Arial"/>
              </w:rPr>
            </w:pPr>
          </w:p>
        </w:tc>
        <w:tc>
          <w:tcPr>
            <w:tcW w:w="1915" w:type="dxa"/>
          </w:tcPr>
          <w:p w14:paraId="5F20C802" w14:textId="52AD5EC1" w:rsidR="00696C38" w:rsidRPr="00696C38" w:rsidRDefault="00696C38" w:rsidP="00696C38">
            <w:pPr>
              <w:rPr>
                <w:rFonts w:cs="Arial"/>
              </w:rPr>
            </w:pPr>
            <w:r w:rsidRPr="00696C38">
              <w:rPr>
                <w:b/>
                <w:bCs/>
              </w:rPr>
              <w:t>Летрозол</w:t>
            </w:r>
          </w:p>
        </w:tc>
        <w:tc>
          <w:tcPr>
            <w:tcW w:w="1915" w:type="dxa"/>
          </w:tcPr>
          <w:p w14:paraId="07A5D430" w14:textId="6018E402" w:rsidR="00696C38" w:rsidRPr="00696C38" w:rsidRDefault="00696C38" w:rsidP="00696C38">
            <w:pPr>
              <w:rPr>
                <w:rFonts w:cs="Arial"/>
              </w:rPr>
            </w:pPr>
            <w:r w:rsidRPr="00696C38">
              <w:rPr>
                <w:b/>
                <w:bCs/>
              </w:rPr>
              <w:t xml:space="preserve">Тамоксифен </w:t>
            </w:r>
            <w:r w:rsidRPr="00696C38">
              <w:rPr>
                <w:b/>
                <w:bCs/>
                <w:lang w:val="en-US"/>
              </w:rPr>
              <w:t>N=2459</w:t>
            </w:r>
          </w:p>
        </w:tc>
        <w:tc>
          <w:tcPr>
            <w:tcW w:w="1915" w:type="dxa"/>
          </w:tcPr>
          <w:p w14:paraId="35F00F06" w14:textId="77777777" w:rsidR="00696C38" w:rsidRPr="00696C38" w:rsidRDefault="00696C38" w:rsidP="00696C38"/>
          <w:p w14:paraId="7FC9F8A5" w14:textId="557D1B0A" w:rsidR="00696C38" w:rsidRPr="00696C38" w:rsidRDefault="00696C38" w:rsidP="00696C38">
            <w:pPr>
              <w:rPr>
                <w:rFonts w:cs="Arial"/>
              </w:rPr>
            </w:pPr>
            <w:r w:rsidRPr="00696C38">
              <w:rPr>
                <w:b/>
                <w:bCs/>
              </w:rPr>
              <w:lastRenderedPageBreak/>
              <w:t>Коефициент на риск</w:t>
            </w:r>
            <w:r w:rsidRPr="00696C38">
              <w:rPr>
                <w:b/>
                <w:bCs/>
                <w:vertAlign w:val="superscript"/>
              </w:rPr>
              <w:t>1</w:t>
            </w:r>
            <w:r w:rsidRPr="00696C38">
              <w:rPr>
                <w:b/>
                <w:bCs/>
              </w:rPr>
              <w:t xml:space="preserve"> (95% </w:t>
            </w:r>
            <w:r w:rsidRPr="00696C38">
              <w:rPr>
                <w:b/>
                <w:bCs/>
                <w:lang w:val="en-US"/>
              </w:rPr>
              <w:t>CI)</w:t>
            </w:r>
          </w:p>
        </w:tc>
        <w:tc>
          <w:tcPr>
            <w:tcW w:w="1916" w:type="dxa"/>
          </w:tcPr>
          <w:p w14:paraId="0254CF86" w14:textId="3B8341E0" w:rsidR="00696C38" w:rsidRPr="00696C38" w:rsidRDefault="00696C38" w:rsidP="00696C38">
            <w:pPr>
              <w:rPr>
                <w:rFonts w:cs="Arial"/>
              </w:rPr>
            </w:pPr>
            <w:r w:rsidRPr="00696C38">
              <w:rPr>
                <w:b/>
                <w:bCs/>
                <w:lang w:val="en-US"/>
              </w:rPr>
              <w:lastRenderedPageBreak/>
              <w:t>P-</w:t>
            </w:r>
            <w:r w:rsidRPr="00696C38">
              <w:rPr>
                <w:b/>
                <w:bCs/>
              </w:rPr>
              <w:t>стойност</w:t>
            </w:r>
          </w:p>
        </w:tc>
      </w:tr>
      <w:tr w:rsidR="00696C38" w14:paraId="14EBBE6B" w14:textId="77777777" w:rsidTr="00696C38">
        <w:tc>
          <w:tcPr>
            <w:tcW w:w="1915" w:type="dxa"/>
          </w:tcPr>
          <w:p w14:paraId="388D62C1" w14:textId="6E2BF707" w:rsidR="00696C38" w:rsidRPr="00696C38" w:rsidRDefault="00696C38" w:rsidP="00696C38">
            <w:pPr>
              <w:rPr>
                <w:rFonts w:cs="Arial"/>
              </w:rPr>
            </w:pPr>
            <w:r w:rsidRPr="00696C38">
              <w:t>Преживяемост без заболяване - събития (първична)</w:t>
            </w:r>
            <w:r w:rsidRPr="00696C38">
              <w:rPr>
                <w:vertAlign w:val="superscript"/>
              </w:rPr>
              <w:t>2</w:t>
            </w:r>
          </w:p>
        </w:tc>
        <w:tc>
          <w:tcPr>
            <w:tcW w:w="1915" w:type="dxa"/>
          </w:tcPr>
          <w:p w14:paraId="23125E39" w14:textId="27B0B4CA" w:rsidR="00696C38" w:rsidRPr="00696C38" w:rsidRDefault="00696C38" w:rsidP="00696C38">
            <w:pPr>
              <w:rPr>
                <w:rFonts w:cs="Arial"/>
              </w:rPr>
            </w:pPr>
            <w:r w:rsidRPr="00696C38">
              <w:t>509</w:t>
            </w:r>
          </w:p>
        </w:tc>
        <w:tc>
          <w:tcPr>
            <w:tcW w:w="1915" w:type="dxa"/>
          </w:tcPr>
          <w:p w14:paraId="12B56C47" w14:textId="41147CEE" w:rsidR="00696C38" w:rsidRPr="00696C38" w:rsidRDefault="00696C38" w:rsidP="00696C38">
            <w:pPr>
              <w:rPr>
                <w:rFonts w:cs="Arial"/>
              </w:rPr>
            </w:pPr>
            <w:r w:rsidRPr="00696C38">
              <w:t>565</w:t>
            </w:r>
          </w:p>
        </w:tc>
        <w:tc>
          <w:tcPr>
            <w:tcW w:w="1915" w:type="dxa"/>
          </w:tcPr>
          <w:p w14:paraId="5507A2C7" w14:textId="4A097E3E" w:rsidR="00696C38" w:rsidRPr="00696C38" w:rsidRDefault="00696C38" w:rsidP="00696C38">
            <w:pPr>
              <w:rPr>
                <w:rFonts w:cs="Arial"/>
              </w:rPr>
            </w:pPr>
            <w:r w:rsidRPr="00696C38">
              <w:t>0.88 (0.78, 0.99)</w:t>
            </w:r>
          </w:p>
        </w:tc>
        <w:tc>
          <w:tcPr>
            <w:tcW w:w="1916" w:type="dxa"/>
          </w:tcPr>
          <w:p w14:paraId="20FC94F8" w14:textId="693CEACF" w:rsidR="00696C38" w:rsidRPr="00696C38" w:rsidRDefault="00696C38" w:rsidP="00696C38">
            <w:pPr>
              <w:rPr>
                <w:rFonts w:cs="Arial"/>
              </w:rPr>
            </w:pPr>
            <w:r w:rsidRPr="00696C38">
              <w:t>0.03</w:t>
            </w:r>
          </w:p>
        </w:tc>
      </w:tr>
      <w:tr w:rsidR="00696C38" w14:paraId="7B71D4DB" w14:textId="77777777" w:rsidTr="00696C38">
        <w:tc>
          <w:tcPr>
            <w:tcW w:w="1915" w:type="dxa"/>
          </w:tcPr>
          <w:p w14:paraId="32F4DDEC" w14:textId="610902AE" w:rsidR="00696C38" w:rsidRPr="00696C38" w:rsidRDefault="00696C38" w:rsidP="00696C38">
            <w:pPr>
              <w:rPr>
                <w:rFonts w:cs="Arial"/>
              </w:rPr>
            </w:pPr>
            <w:r w:rsidRPr="00696C38">
              <w:t>Време до появата на далечни метастази (вторична)</w:t>
            </w:r>
          </w:p>
        </w:tc>
        <w:tc>
          <w:tcPr>
            <w:tcW w:w="1915" w:type="dxa"/>
          </w:tcPr>
          <w:p w14:paraId="76F27269" w14:textId="31B8B43D" w:rsidR="00696C38" w:rsidRPr="00696C38" w:rsidRDefault="00696C38" w:rsidP="00696C38">
            <w:pPr>
              <w:rPr>
                <w:rFonts w:cs="Arial"/>
              </w:rPr>
            </w:pPr>
            <w:r w:rsidRPr="00696C38">
              <w:t>257</w:t>
            </w:r>
          </w:p>
        </w:tc>
        <w:tc>
          <w:tcPr>
            <w:tcW w:w="1915" w:type="dxa"/>
          </w:tcPr>
          <w:p w14:paraId="4E1C1184" w14:textId="15E758A3" w:rsidR="00696C38" w:rsidRPr="00696C38" w:rsidRDefault="00696C38" w:rsidP="00696C38">
            <w:pPr>
              <w:rPr>
                <w:rFonts w:cs="Arial"/>
              </w:rPr>
            </w:pPr>
            <w:r w:rsidRPr="00696C38">
              <w:t>298</w:t>
            </w:r>
          </w:p>
        </w:tc>
        <w:tc>
          <w:tcPr>
            <w:tcW w:w="1915" w:type="dxa"/>
          </w:tcPr>
          <w:p w14:paraId="25D8DA09" w14:textId="67401BD6" w:rsidR="00696C38" w:rsidRPr="00696C38" w:rsidRDefault="00696C38" w:rsidP="00696C38">
            <w:pPr>
              <w:rPr>
                <w:rFonts w:cs="Arial"/>
              </w:rPr>
            </w:pPr>
            <w:r w:rsidRPr="00696C38">
              <w:t>0.85 (0.72, 1.00)</w:t>
            </w:r>
          </w:p>
        </w:tc>
        <w:tc>
          <w:tcPr>
            <w:tcW w:w="1916" w:type="dxa"/>
          </w:tcPr>
          <w:p w14:paraId="0B314006" w14:textId="2178CA8B" w:rsidR="00696C38" w:rsidRPr="00696C38" w:rsidRDefault="00696C38" w:rsidP="00696C38">
            <w:pPr>
              <w:rPr>
                <w:rFonts w:cs="Arial"/>
              </w:rPr>
            </w:pPr>
            <w:r w:rsidRPr="00696C38">
              <w:t>0.045</w:t>
            </w:r>
          </w:p>
        </w:tc>
      </w:tr>
      <w:tr w:rsidR="00696C38" w14:paraId="77236E80" w14:textId="77777777" w:rsidTr="00696C38">
        <w:tc>
          <w:tcPr>
            <w:tcW w:w="1915" w:type="dxa"/>
          </w:tcPr>
          <w:p w14:paraId="58FFDBFB" w14:textId="31FEFC41" w:rsidR="00696C38" w:rsidRPr="00696C38" w:rsidRDefault="00696C38" w:rsidP="00696C38">
            <w:pPr>
              <w:rPr>
                <w:rFonts w:cs="Arial"/>
              </w:rPr>
            </w:pPr>
            <w:r w:rsidRPr="00696C38">
              <w:t>Обща преживяемост (вторична) - смъртни случаи</w:t>
            </w:r>
          </w:p>
        </w:tc>
        <w:tc>
          <w:tcPr>
            <w:tcW w:w="1915" w:type="dxa"/>
          </w:tcPr>
          <w:p w14:paraId="6AA700ED" w14:textId="1E202793" w:rsidR="00696C38" w:rsidRPr="00696C38" w:rsidRDefault="00696C38" w:rsidP="00696C38">
            <w:pPr>
              <w:rPr>
                <w:rFonts w:cs="Arial"/>
              </w:rPr>
            </w:pPr>
            <w:r w:rsidRPr="00696C38">
              <w:t>303</w:t>
            </w:r>
          </w:p>
        </w:tc>
        <w:tc>
          <w:tcPr>
            <w:tcW w:w="1915" w:type="dxa"/>
          </w:tcPr>
          <w:p w14:paraId="23DB6EA6" w14:textId="529B03B3" w:rsidR="00696C38" w:rsidRPr="00696C38" w:rsidRDefault="00696C38" w:rsidP="00696C38">
            <w:pPr>
              <w:rPr>
                <w:rFonts w:cs="Arial"/>
              </w:rPr>
            </w:pPr>
            <w:r w:rsidRPr="00696C38">
              <w:t>343</w:t>
            </w:r>
          </w:p>
        </w:tc>
        <w:tc>
          <w:tcPr>
            <w:tcW w:w="1915" w:type="dxa"/>
          </w:tcPr>
          <w:p w14:paraId="34309505" w14:textId="1FE9C6F1" w:rsidR="00696C38" w:rsidRPr="00696C38" w:rsidRDefault="00696C38" w:rsidP="00696C38">
            <w:pPr>
              <w:rPr>
                <w:rFonts w:cs="Arial"/>
              </w:rPr>
            </w:pPr>
            <w:r w:rsidRPr="00696C38">
              <w:t>0.87 (0.75,1.02)</w:t>
            </w:r>
          </w:p>
        </w:tc>
        <w:tc>
          <w:tcPr>
            <w:tcW w:w="1916" w:type="dxa"/>
          </w:tcPr>
          <w:p w14:paraId="46D1BBEE" w14:textId="6681C804" w:rsidR="00696C38" w:rsidRPr="00696C38" w:rsidRDefault="00696C38" w:rsidP="00696C38">
            <w:pPr>
              <w:rPr>
                <w:rFonts w:cs="Arial"/>
              </w:rPr>
            </w:pPr>
            <w:r w:rsidRPr="00696C38">
              <w:t>0.08</w:t>
            </w:r>
          </w:p>
        </w:tc>
      </w:tr>
      <w:tr w:rsidR="00696C38" w14:paraId="2A7CF7EB" w14:textId="77777777" w:rsidTr="00696C38">
        <w:tc>
          <w:tcPr>
            <w:tcW w:w="1915" w:type="dxa"/>
          </w:tcPr>
          <w:p w14:paraId="1BE331B3" w14:textId="77777777" w:rsidR="00696C38" w:rsidRPr="00696C38" w:rsidRDefault="00696C38" w:rsidP="00696C38">
            <w:r w:rsidRPr="00696C38">
              <w:t>Цензуриран анализ</w:t>
            </w:r>
          </w:p>
          <w:p w14:paraId="75F6573F" w14:textId="77777777" w:rsidR="00696C38" w:rsidRPr="00696C38" w:rsidRDefault="00696C38" w:rsidP="00696C38">
            <w:r w:rsidRPr="00696C38">
              <w:t>3</w:t>
            </w:r>
          </w:p>
          <w:p w14:paraId="25532AEC" w14:textId="067E0713" w:rsidR="00696C38" w:rsidRPr="00696C38" w:rsidRDefault="00696C38" w:rsidP="00696C38">
            <w:pPr>
              <w:rPr>
                <w:rFonts w:cs="Arial"/>
              </w:rPr>
            </w:pPr>
            <w:r w:rsidRPr="00696C38">
              <w:t xml:space="preserve">на </w:t>
            </w:r>
            <w:r w:rsidRPr="00696C38">
              <w:rPr>
                <w:lang w:val="en-US"/>
              </w:rPr>
              <w:t>DFS</w:t>
            </w:r>
          </w:p>
        </w:tc>
        <w:tc>
          <w:tcPr>
            <w:tcW w:w="1915" w:type="dxa"/>
          </w:tcPr>
          <w:p w14:paraId="02A2747B" w14:textId="2BE208B2" w:rsidR="00696C38" w:rsidRPr="00696C38" w:rsidRDefault="00696C38" w:rsidP="00696C38">
            <w:pPr>
              <w:rPr>
                <w:rFonts w:cs="Arial"/>
              </w:rPr>
            </w:pPr>
            <w:r w:rsidRPr="00696C38">
              <w:t>509</w:t>
            </w:r>
          </w:p>
        </w:tc>
        <w:tc>
          <w:tcPr>
            <w:tcW w:w="1915" w:type="dxa"/>
          </w:tcPr>
          <w:p w14:paraId="2D5B56DF" w14:textId="19744F43" w:rsidR="00696C38" w:rsidRPr="00696C38" w:rsidRDefault="00696C38" w:rsidP="00696C38">
            <w:pPr>
              <w:rPr>
                <w:rFonts w:cs="Arial"/>
              </w:rPr>
            </w:pPr>
            <w:r w:rsidRPr="00696C38">
              <w:t>543</w:t>
            </w:r>
          </w:p>
        </w:tc>
        <w:tc>
          <w:tcPr>
            <w:tcW w:w="1915" w:type="dxa"/>
          </w:tcPr>
          <w:p w14:paraId="242067BB" w14:textId="1E117277" w:rsidR="00696C38" w:rsidRPr="00696C38" w:rsidRDefault="00696C38" w:rsidP="00696C38">
            <w:pPr>
              <w:rPr>
                <w:rFonts w:cs="Arial"/>
              </w:rPr>
            </w:pPr>
            <w:r w:rsidRPr="00696C38">
              <w:t>0.85 (0.75, 0.96)</w:t>
            </w:r>
          </w:p>
        </w:tc>
        <w:tc>
          <w:tcPr>
            <w:tcW w:w="1916" w:type="dxa"/>
          </w:tcPr>
          <w:p w14:paraId="0A383CB1" w14:textId="77777777" w:rsidR="00696C38" w:rsidRPr="00696C38" w:rsidRDefault="00696C38" w:rsidP="00696C38">
            <w:pPr>
              <w:rPr>
                <w:rFonts w:cs="Arial"/>
              </w:rPr>
            </w:pPr>
          </w:p>
        </w:tc>
      </w:tr>
      <w:tr w:rsidR="00696C38" w14:paraId="0AD7A842" w14:textId="77777777" w:rsidTr="00696C38">
        <w:tc>
          <w:tcPr>
            <w:tcW w:w="1915" w:type="dxa"/>
          </w:tcPr>
          <w:p w14:paraId="173FACE5" w14:textId="1E6110C1" w:rsidR="00696C38" w:rsidRPr="00696C38" w:rsidRDefault="00696C38" w:rsidP="00696C38">
            <w:pPr>
              <w:rPr>
                <w:rFonts w:cs="Arial"/>
              </w:rPr>
            </w:pPr>
            <w:r w:rsidRPr="00696C38">
              <w:t xml:space="preserve">Цензуриран анализ на </w:t>
            </w:r>
            <w:r w:rsidRPr="00696C38">
              <w:rPr>
                <w:lang w:val="en-US"/>
              </w:rPr>
              <w:t>OS</w:t>
            </w:r>
          </w:p>
        </w:tc>
        <w:tc>
          <w:tcPr>
            <w:tcW w:w="1915" w:type="dxa"/>
          </w:tcPr>
          <w:p w14:paraId="00D87B5A" w14:textId="0CCC8792" w:rsidR="00696C38" w:rsidRPr="00696C38" w:rsidRDefault="00696C38" w:rsidP="00696C38">
            <w:pPr>
              <w:rPr>
                <w:rFonts w:cs="Arial"/>
              </w:rPr>
            </w:pPr>
            <w:r w:rsidRPr="00696C38">
              <w:t>303</w:t>
            </w:r>
          </w:p>
        </w:tc>
        <w:tc>
          <w:tcPr>
            <w:tcW w:w="1915" w:type="dxa"/>
          </w:tcPr>
          <w:p w14:paraId="0C00DAFB" w14:textId="1D799C25" w:rsidR="00696C38" w:rsidRPr="00696C38" w:rsidRDefault="00696C38" w:rsidP="00696C38">
            <w:pPr>
              <w:rPr>
                <w:rFonts w:cs="Arial"/>
              </w:rPr>
            </w:pPr>
            <w:r w:rsidRPr="00696C38">
              <w:t>338</w:t>
            </w:r>
          </w:p>
        </w:tc>
        <w:tc>
          <w:tcPr>
            <w:tcW w:w="1915" w:type="dxa"/>
          </w:tcPr>
          <w:p w14:paraId="17DD73E7" w14:textId="5D680271" w:rsidR="00696C38" w:rsidRPr="00696C38" w:rsidRDefault="00696C38" w:rsidP="00696C38">
            <w:pPr>
              <w:rPr>
                <w:rFonts w:cs="Arial"/>
              </w:rPr>
            </w:pPr>
            <w:r w:rsidRPr="00696C38">
              <w:t>0.82 (0.70, 0.96)</w:t>
            </w:r>
          </w:p>
        </w:tc>
        <w:tc>
          <w:tcPr>
            <w:tcW w:w="1916" w:type="dxa"/>
          </w:tcPr>
          <w:p w14:paraId="25B4240C" w14:textId="77777777" w:rsidR="00696C38" w:rsidRPr="00696C38" w:rsidRDefault="00696C38" w:rsidP="00696C38">
            <w:pPr>
              <w:rPr>
                <w:rFonts w:cs="Arial"/>
              </w:rPr>
            </w:pPr>
          </w:p>
        </w:tc>
      </w:tr>
      <w:tr w:rsidR="00696C38" w14:paraId="73E6172D" w14:textId="77777777" w:rsidTr="00696C38">
        <w:tc>
          <w:tcPr>
            <w:tcW w:w="9576" w:type="dxa"/>
            <w:gridSpan w:val="5"/>
          </w:tcPr>
          <w:p w14:paraId="6C8F624F" w14:textId="14373454" w:rsidR="00696C38" w:rsidRPr="00696C38" w:rsidRDefault="00696C38" w:rsidP="00696C38">
            <w:pPr>
              <w:rPr>
                <w:lang w:val="ru-RU"/>
              </w:rPr>
            </w:pPr>
            <w:r w:rsidRPr="00696C38">
              <w:rPr>
                <w:vertAlign w:val="superscript"/>
              </w:rPr>
              <w:t>1</w:t>
            </w:r>
            <w:r w:rsidRPr="00696C38">
              <w:rPr>
                <w:lang w:val="en-US"/>
              </w:rPr>
              <w:t>Log</w:t>
            </w:r>
            <w:r w:rsidRPr="00696C38">
              <w:rPr>
                <w:lang w:val="ru-RU"/>
              </w:rPr>
              <w:t xml:space="preserve"> </w:t>
            </w:r>
            <w:r w:rsidRPr="00696C38">
              <w:rPr>
                <w:lang w:val="en-US"/>
              </w:rPr>
              <w:t>rank</w:t>
            </w:r>
            <w:r w:rsidRPr="00696C38">
              <w:rPr>
                <w:lang w:val="ru-RU"/>
              </w:rPr>
              <w:t xml:space="preserve"> </w:t>
            </w:r>
            <w:r w:rsidRPr="00696C38">
              <w:rPr>
                <w:lang w:eastAsia="bg-BG"/>
              </w:rPr>
              <w:t xml:space="preserve">тест, стратификация по начин на рандомизация и прилагане на химиотерапия </w:t>
            </w:r>
            <w:r w:rsidRPr="00696C38">
              <w:rPr>
                <w:lang w:val="ru-RU"/>
              </w:rPr>
              <w:t>(</w:t>
            </w:r>
            <w:r w:rsidRPr="00696C38">
              <w:rPr>
                <w:lang w:val="en-US"/>
              </w:rPr>
              <w:t>yes</w:t>
            </w:r>
            <w:r w:rsidRPr="00696C38">
              <w:rPr>
                <w:lang w:val="ru-RU"/>
              </w:rPr>
              <w:t>/</w:t>
            </w:r>
            <w:r w:rsidRPr="00696C38">
              <w:rPr>
                <w:lang w:val="en-US"/>
              </w:rPr>
              <w:t>no</w:t>
            </w:r>
            <w:r w:rsidRPr="00696C38">
              <w:rPr>
                <w:lang w:val="ru-RU"/>
              </w:rPr>
              <w:t>)</w:t>
            </w:r>
          </w:p>
          <w:p w14:paraId="53BB6570" w14:textId="24DF45AC" w:rsidR="00696C38" w:rsidRPr="00696C38" w:rsidRDefault="00696C38" w:rsidP="00696C38">
            <w:pPr>
              <w:rPr>
                <w:lang w:eastAsia="bg-BG"/>
              </w:rPr>
            </w:pPr>
            <w:r w:rsidRPr="00696C38">
              <w:rPr>
                <w:vertAlign w:val="superscript"/>
                <w:lang w:eastAsia="bg-BG"/>
              </w:rPr>
              <w:t>2</w:t>
            </w:r>
            <w:r w:rsidRPr="00696C38">
              <w:rPr>
                <w:lang w:eastAsia="bg-BG"/>
              </w:rPr>
              <w:t>Преживяемост без заболяване - събития: локорегионален рецидив, далечни метастази, инвазивен контралатерален рак на гърдата, вторична (не на гърдата) първична неоплазма, смърт поради друга причина без предшестваща неоплазма.</w:t>
            </w:r>
          </w:p>
          <w:p w14:paraId="19D0A211" w14:textId="24809215" w:rsidR="00696C38" w:rsidRPr="00696C38" w:rsidRDefault="00696C38" w:rsidP="00696C38">
            <w:pPr>
              <w:rPr>
                <w:lang w:eastAsia="bg-BG"/>
              </w:rPr>
            </w:pPr>
            <w:r w:rsidRPr="00696C38">
              <w:rPr>
                <w:vertAlign w:val="superscript"/>
                <w:lang w:eastAsia="bg-BG"/>
              </w:rPr>
              <w:t>3</w:t>
            </w:r>
            <w:r w:rsidRPr="00696C38">
              <w:rPr>
                <w:lang w:eastAsia="bg-BG"/>
              </w:rPr>
              <w:t>Наблюдения в рамото на тамоксифен, цензурирани към датата на селективно преминаване на летрозол.</w:t>
            </w:r>
          </w:p>
        </w:tc>
      </w:tr>
    </w:tbl>
    <w:p w14:paraId="59B51283" w14:textId="7370E4C0" w:rsidR="00696C38" w:rsidRDefault="00696C38" w:rsidP="00696C38">
      <w:pPr>
        <w:rPr>
          <w:rFonts w:cs="Arial"/>
        </w:rPr>
      </w:pPr>
    </w:p>
    <w:p w14:paraId="13679B3C" w14:textId="77777777" w:rsidR="00696C38" w:rsidRPr="00696C38" w:rsidRDefault="00696C38" w:rsidP="00696C38">
      <w:pPr>
        <w:spacing w:line="240" w:lineRule="auto"/>
        <w:rPr>
          <w:rFonts w:eastAsia="Times New Roman" w:cs="Arial"/>
        </w:rPr>
      </w:pPr>
      <w:r w:rsidRPr="00696C38">
        <w:rPr>
          <w:rFonts w:eastAsia="Times New Roman" w:cs="Arial"/>
          <w:i/>
          <w:iCs/>
          <w:color w:val="000000"/>
          <w:lang w:eastAsia="bg-BG"/>
        </w:rPr>
        <w:t xml:space="preserve">Анализ на секвентната терапия </w:t>
      </w:r>
      <w:r w:rsidRPr="00696C38">
        <w:rPr>
          <w:rFonts w:eastAsia="Times New Roman" w:cs="Arial"/>
          <w:i/>
          <w:iCs/>
          <w:color w:val="000000"/>
          <w:lang w:val="ru-RU"/>
        </w:rPr>
        <w:t>(</w:t>
      </w:r>
      <w:r w:rsidRPr="00696C38">
        <w:rPr>
          <w:rFonts w:eastAsia="Times New Roman" w:cs="Arial"/>
          <w:i/>
          <w:iCs/>
          <w:color w:val="000000"/>
          <w:lang w:val="en-US"/>
        </w:rPr>
        <w:t>STA</w:t>
      </w:r>
      <w:r w:rsidRPr="00696C38">
        <w:rPr>
          <w:rFonts w:eastAsia="Times New Roman" w:cs="Arial"/>
          <w:i/>
          <w:iCs/>
          <w:color w:val="000000"/>
          <w:lang w:val="ru-RU"/>
        </w:rPr>
        <w:t>)</w:t>
      </w:r>
    </w:p>
    <w:p w14:paraId="08BB017A" w14:textId="77777777" w:rsidR="00696C38" w:rsidRPr="00696C38" w:rsidRDefault="00696C38" w:rsidP="00696C38">
      <w:pPr>
        <w:spacing w:line="240" w:lineRule="auto"/>
        <w:rPr>
          <w:rFonts w:eastAsia="Times New Roman" w:cs="Arial"/>
        </w:rPr>
      </w:pPr>
      <w:r w:rsidRPr="00696C38">
        <w:rPr>
          <w:rFonts w:eastAsia="Times New Roman" w:cs="Arial"/>
          <w:color w:val="000000"/>
          <w:lang w:eastAsia="bg-BG"/>
        </w:rPr>
        <w:t xml:space="preserve">Анализът на секвентната терапия </w:t>
      </w:r>
      <w:r w:rsidRPr="00696C38">
        <w:rPr>
          <w:rFonts w:eastAsia="Times New Roman" w:cs="Arial"/>
          <w:color w:val="000000"/>
          <w:lang w:val="ru-RU"/>
        </w:rPr>
        <w:t>(</w:t>
      </w:r>
      <w:r w:rsidRPr="00696C38">
        <w:rPr>
          <w:rFonts w:eastAsia="Times New Roman" w:cs="Arial"/>
          <w:color w:val="000000"/>
          <w:lang w:val="en-US"/>
        </w:rPr>
        <w:t>STA</w:t>
      </w:r>
      <w:r w:rsidRPr="00696C38">
        <w:rPr>
          <w:rFonts w:eastAsia="Times New Roman" w:cs="Arial"/>
          <w:color w:val="000000"/>
          <w:lang w:val="ru-RU"/>
        </w:rPr>
        <w:t xml:space="preserve">) </w:t>
      </w:r>
      <w:r w:rsidRPr="00696C38">
        <w:rPr>
          <w:rFonts w:eastAsia="Times New Roman" w:cs="Arial"/>
          <w:color w:val="000000"/>
          <w:lang w:eastAsia="bg-BG"/>
        </w:rPr>
        <w:t xml:space="preserve">се отнася до втория основен въпрос на </w:t>
      </w:r>
      <w:r w:rsidRPr="00696C38">
        <w:rPr>
          <w:rFonts w:eastAsia="Times New Roman" w:cs="Arial"/>
          <w:color w:val="000000"/>
          <w:lang w:val="en-US"/>
        </w:rPr>
        <w:t>BIG</w:t>
      </w:r>
      <w:r w:rsidRPr="00696C38">
        <w:rPr>
          <w:rFonts w:eastAsia="Times New Roman" w:cs="Arial"/>
          <w:color w:val="000000"/>
          <w:lang w:val="ru-RU"/>
        </w:rPr>
        <w:t xml:space="preserve"> </w:t>
      </w:r>
      <w:r w:rsidRPr="00696C38">
        <w:rPr>
          <w:rFonts w:eastAsia="Times New Roman" w:cs="Arial"/>
          <w:color w:val="000000"/>
          <w:lang w:eastAsia="bg-BG"/>
        </w:rPr>
        <w:t xml:space="preserve">1-98, а именно дали секвенираното прилагане на тамоксифен и летрозол превъзхожда монотерапията. Няма сигнификантни разлики по отношение на </w:t>
      </w:r>
      <w:r w:rsidRPr="00696C38">
        <w:rPr>
          <w:rFonts w:eastAsia="Times New Roman" w:cs="Arial"/>
          <w:color w:val="000000"/>
          <w:lang w:val="en-US"/>
        </w:rPr>
        <w:t>DFS</w:t>
      </w:r>
      <w:r w:rsidRPr="00696C38">
        <w:rPr>
          <w:rFonts w:eastAsia="Times New Roman" w:cs="Arial"/>
          <w:color w:val="000000"/>
          <w:lang w:val="ru-RU"/>
        </w:rPr>
        <w:t xml:space="preserve">, </w:t>
      </w:r>
      <w:r w:rsidRPr="00696C38">
        <w:rPr>
          <w:rFonts w:eastAsia="Times New Roman" w:cs="Arial"/>
          <w:color w:val="000000"/>
          <w:lang w:val="en-US"/>
        </w:rPr>
        <w:t>OS</w:t>
      </w:r>
      <w:r w:rsidRPr="00696C38">
        <w:rPr>
          <w:rFonts w:eastAsia="Times New Roman" w:cs="Arial"/>
          <w:color w:val="000000"/>
          <w:lang w:val="ru-RU"/>
        </w:rPr>
        <w:t xml:space="preserve">, </w:t>
      </w:r>
      <w:r w:rsidRPr="00696C38">
        <w:rPr>
          <w:rFonts w:eastAsia="Times New Roman" w:cs="Arial"/>
          <w:color w:val="000000"/>
          <w:lang w:val="en-US"/>
        </w:rPr>
        <w:t>SDFS</w:t>
      </w:r>
      <w:r w:rsidRPr="00696C38">
        <w:rPr>
          <w:rFonts w:eastAsia="Times New Roman" w:cs="Arial"/>
          <w:color w:val="000000"/>
          <w:lang w:val="ru-RU"/>
        </w:rPr>
        <w:t xml:space="preserve"> </w:t>
      </w:r>
      <w:r w:rsidRPr="00696C38">
        <w:rPr>
          <w:rFonts w:eastAsia="Times New Roman" w:cs="Arial"/>
          <w:color w:val="000000"/>
          <w:lang w:eastAsia="bg-BG"/>
        </w:rPr>
        <w:t xml:space="preserve">и </w:t>
      </w:r>
      <w:r w:rsidRPr="00696C38">
        <w:rPr>
          <w:rFonts w:eastAsia="Times New Roman" w:cs="Arial"/>
          <w:color w:val="000000"/>
          <w:lang w:val="en-US"/>
        </w:rPr>
        <w:t>DDFS</w:t>
      </w:r>
      <w:r w:rsidRPr="00696C38">
        <w:rPr>
          <w:rFonts w:eastAsia="Times New Roman" w:cs="Arial"/>
          <w:color w:val="000000"/>
          <w:lang w:val="ru-RU"/>
        </w:rPr>
        <w:t xml:space="preserve"> </w:t>
      </w:r>
      <w:r w:rsidRPr="00696C38">
        <w:rPr>
          <w:rFonts w:eastAsia="Times New Roman" w:cs="Arial"/>
          <w:color w:val="000000"/>
          <w:lang w:eastAsia="bg-BG"/>
        </w:rPr>
        <w:t>при смяна на терапията спрямо монотерапията (Таблица 6).</w:t>
      </w:r>
    </w:p>
    <w:p w14:paraId="5081F036" w14:textId="77777777" w:rsidR="00696C38" w:rsidRPr="00696C38" w:rsidRDefault="00696C38" w:rsidP="00696C38">
      <w:pPr>
        <w:spacing w:line="240" w:lineRule="auto"/>
        <w:rPr>
          <w:rFonts w:eastAsia="Times New Roman" w:cs="Arial"/>
          <w:b/>
          <w:bCs/>
          <w:color w:val="000000"/>
          <w:lang w:eastAsia="bg-BG"/>
        </w:rPr>
      </w:pPr>
    </w:p>
    <w:p w14:paraId="09344D09" w14:textId="367C1016" w:rsidR="00696C38" w:rsidRPr="00696C38" w:rsidRDefault="00696C38" w:rsidP="00696C38">
      <w:pPr>
        <w:spacing w:line="240" w:lineRule="auto"/>
        <w:rPr>
          <w:rFonts w:eastAsia="Times New Roman" w:cs="Arial"/>
        </w:rPr>
      </w:pPr>
      <w:r w:rsidRPr="00696C38">
        <w:rPr>
          <w:rFonts w:eastAsia="Times New Roman" w:cs="Arial"/>
          <w:b/>
          <w:bCs/>
          <w:color w:val="000000"/>
          <w:lang w:eastAsia="bg-BG"/>
        </w:rPr>
        <w:t xml:space="preserve">Таблица 6 Анализ на секвентната терапия по отношение на преживяемост без заболяване при прилагане на летрозол като първо ендокринно средство </w:t>
      </w:r>
      <w:r w:rsidRPr="00696C38">
        <w:rPr>
          <w:rFonts w:eastAsia="Times New Roman" w:cs="Arial"/>
          <w:b/>
          <w:bCs/>
          <w:color w:val="000000"/>
          <w:lang w:val="ru-RU"/>
        </w:rPr>
        <w:t>(</w:t>
      </w:r>
      <w:r w:rsidRPr="00696C38">
        <w:rPr>
          <w:rFonts w:eastAsia="Times New Roman" w:cs="Arial"/>
          <w:b/>
          <w:bCs/>
          <w:color w:val="000000"/>
          <w:lang w:val="en-US"/>
        </w:rPr>
        <w:t>STA</w:t>
      </w:r>
      <w:r w:rsidRPr="00696C38">
        <w:rPr>
          <w:rFonts w:eastAsia="Times New Roman" w:cs="Arial"/>
          <w:b/>
          <w:bCs/>
          <w:color w:val="000000"/>
          <w:lang w:val="ru-RU"/>
        </w:rPr>
        <w:t xml:space="preserve"> </w:t>
      </w:r>
      <w:r w:rsidRPr="00696C38">
        <w:rPr>
          <w:rFonts w:eastAsia="Times New Roman" w:cs="Arial"/>
          <w:b/>
          <w:bCs/>
          <w:color w:val="000000"/>
          <w:lang w:eastAsia="bg-BG"/>
        </w:rPr>
        <w:t>популация със смяна на терапията)</w:t>
      </w:r>
    </w:p>
    <w:p w14:paraId="4D0491A3" w14:textId="4C055D36" w:rsidR="00696C38" w:rsidRDefault="00696C38" w:rsidP="00696C38">
      <w:pPr>
        <w:rPr>
          <w:rFonts w:cs="Arial"/>
        </w:rPr>
      </w:pPr>
    </w:p>
    <w:tbl>
      <w:tblPr>
        <w:tblStyle w:val="TableGrid"/>
        <w:tblW w:w="0" w:type="auto"/>
        <w:tblLook w:val="04A0" w:firstRow="1" w:lastRow="0" w:firstColumn="1" w:lastColumn="0" w:noHBand="0" w:noVBand="1"/>
      </w:tblPr>
      <w:tblGrid>
        <w:gridCol w:w="1778"/>
        <w:gridCol w:w="1268"/>
        <w:gridCol w:w="1536"/>
        <w:gridCol w:w="1591"/>
        <w:gridCol w:w="1643"/>
        <w:gridCol w:w="1534"/>
      </w:tblGrid>
      <w:tr w:rsidR="00696C38" w14:paraId="2BE78C76" w14:textId="77777777" w:rsidTr="00696C38">
        <w:tc>
          <w:tcPr>
            <w:tcW w:w="1809" w:type="dxa"/>
          </w:tcPr>
          <w:p w14:paraId="2774E9B1" w14:textId="77777777" w:rsidR="00696C38" w:rsidRPr="00696C38" w:rsidRDefault="00696C38" w:rsidP="00696C38">
            <w:pPr>
              <w:rPr>
                <w:rFonts w:cs="Arial"/>
              </w:rPr>
            </w:pPr>
          </w:p>
        </w:tc>
        <w:tc>
          <w:tcPr>
            <w:tcW w:w="1358" w:type="dxa"/>
          </w:tcPr>
          <w:p w14:paraId="4B35E751" w14:textId="1DB074AD" w:rsidR="00696C38" w:rsidRPr="00696C38" w:rsidRDefault="00696C38" w:rsidP="00696C38">
            <w:pPr>
              <w:rPr>
                <w:rFonts w:cs="Arial"/>
              </w:rPr>
            </w:pPr>
            <w:r w:rsidRPr="00696C38">
              <w:rPr>
                <w:b/>
                <w:bCs/>
                <w:lang w:val="en-US"/>
              </w:rPr>
              <w:t>N</w:t>
            </w:r>
          </w:p>
        </w:tc>
        <w:tc>
          <w:tcPr>
            <w:tcW w:w="1586" w:type="dxa"/>
          </w:tcPr>
          <w:p w14:paraId="6DF7FB38" w14:textId="1578E0A6" w:rsidR="00696C38" w:rsidRPr="00696C38" w:rsidRDefault="00696C38" w:rsidP="00696C38">
            <w:pPr>
              <w:rPr>
                <w:rFonts w:cs="Arial"/>
              </w:rPr>
            </w:pPr>
            <w:r w:rsidRPr="00696C38">
              <w:rPr>
                <w:b/>
                <w:bCs/>
              </w:rPr>
              <w:t>Брой събития</w:t>
            </w:r>
            <w:r w:rsidRPr="00696C38">
              <w:rPr>
                <w:b/>
                <w:bCs/>
                <w:vertAlign w:val="superscript"/>
              </w:rPr>
              <w:t>1</w:t>
            </w:r>
          </w:p>
        </w:tc>
        <w:tc>
          <w:tcPr>
            <w:tcW w:w="1595" w:type="dxa"/>
          </w:tcPr>
          <w:p w14:paraId="594F04F0" w14:textId="77777777" w:rsidR="00696C38" w:rsidRPr="00696C38" w:rsidRDefault="00696C38" w:rsidP="00696C38">
            <w:r w:rsidRPr="00696C38">
              <w:rPr>
                <w:b/>
                <w:bCs/>
              </w:rPr>
              <w:t>Коефициент</w:t>
            </w:r>
          </w:p>
          <w:p w14:paraId="477D53B6" w14:textId="77777777" w:rsidR="00696C38" w:rsidRPr="00696C38" w:rsidRDefault="00696C38" w:rsidP="00696C38"/>
          <w:p w14:paraId="5D6D89A7" w14:textId="2E0155DE" w:rsidR="00696C38" w:rsidRPr="00696C38" w:rsidRDefault="00696C38" w:rsidP="00696C38">
            <w:pPr>
              <w:rPr>
                <w:rFonts w:cs="Arial"/>
              </w:rPr>
            </w:pPr>
            <w:r w:rsidRPr="00696C38">
              <w:rPr>
                <w:b/>
                <w:bCs/>
              </w:rPr>
              <w:t>на риск</w:t>
            </w:r>
            <w:r w:rsidRPr="00696C38">
              <w:rPr>
                <w:b/>
                <w:bCs/>
                <w:vertAlign w:val="superscript"/>
              </w:rPr>
              <w:t>2</w:t>
            </w:r>
          </w:p>
        </w:tc>
        <w:tc>
          <w:tcPr>
            <w:tcW w:w="1643" w:type="dxa"/>
          </w:tcPr>
          <w:p w14:paraId="4E46C4AD" w14:textId="0447FCF2" w:rsidR="00696C38" w:rsidRPr="00696C38" w:rsidRDefault="00696C38" w:rsidP="00696C38">
            <w:pPr>
              <w:rPr>
                <w:rFonts w:cs="Arial"/>
              </w:rPr>
            </w:pPr>
            <w:r w:rsidRPr="00696C38">
              <w:rPr>
                <w:b/>
                <w:bCs/>
              </w:rPr>
              <w:t>(97.5% доверителен интервал)</w:t>
            </w:r>
          </w:p>
        </w:tc>
        <w:tc>
          <w:tcPr>
            <w:tcW w:w="1585" w:type="dxa"/>
          </w:tcPr>
          <w:p w14:paraId="0BF4081A" w14:textId="58BF747A" w:rsidR="00696C38" w:rsidRPr="00696C38" w:rsidRDefault="00696C38" w:rsidP="00696C38">
            <w:pPr>
              <w:rPr>
                <w:rFonts w:cs="Arial"/>
              </w:rPr>
            </w:pPr>
            <w:r w:rsidRPr="00696C38">
              <w:rPr>
                <w:b/>
                <w:bCs/>
              </w:rPr>
              <w:t xml:space="preserve">Сох модел </w:t>
            </w:r>
            <w:r w:rsidRPr="00696C38">
              <w:rPr>
                <w:i/>
                <w:iCs/>
              </w:rPr>
              <w:t xml:space="preserve">Р- </w:t>
            </w:r>
            <w:r w:rsidRPr="00696C38">
              <w:rPr>
                <w:b/>
                <w:bCs/>
              </w:rPr>
              <w:t>стойност</w:t>
            </w:r>
          </w:p>
        </w:tc>
      </w:tr>
      <w:tr w:rsidR="00696C38" w14:paraId="54C5724B" w14:textId="77777777" w:rsidTr="00696C38">
        <w:tc>
          <w:tcPr>
            <w:tcW w:w="1809" w:type="dxa"/>
          </w:tcPr>
          <w:p w14:paraId="6D045B7D" w14:textId="43E45EBC" w:rsidR="00696C38" w:rsidRPr="00696C38" w:rsidRDefault="00696C38" w:rsidP="00696C38">
            <w:pPr>
              <w:rPr>
                <w:rFonts w:cs="Arial"/>
              </w:rPr>
            </w:pPr>
            <w:r w:rsidRPr="00696C38">
              <w:rPr>
                <w:b/>
                <w:bCs/>
              </w:rPr>
              <w:t>[Летрозол →] Тамоксифен</w:t>
            </w:r>
          </w:p>
        </w:tc>
        <w:tc>
          <w:tcPr>
            <w:tcW w:w="1358" w:type="dxa"/>
          </w:tcPr>
          <w:p w14:paraId="5B36B555" w14:textId="2B133A26" w:rsidR="00696C38" w:rsidRPr="00696C38" w:rsidRDefault="00696C38" w:rsidP="00696C38">
            <w:pPr>
              <w:rPr>
                <w:rFonts w:cs="Arial"/>
              </w:rPr>
            </w:pPr>
            <w:r w:rsidRPr="00696C38">
              <w:t>1460</w:t>
            </w:r>
          </w:p>
        </w:tc>
        <w:tc>
          <w:tcPr>
            <w:tcW w:w="1586" w:type="dxa"/>
          </w:tcPr>
          <w:p w14:paraId="5CD75F82" w14:textId="1BAA9435" w:rsidR="00696C38" w:rsidRPr="00696C38" w:rsidRDefault="00696C38" w:rsidP="00696C38">
            <w:pPr>
              <w:rPr>
                <w:rFonts w:cs="Arial"/>
              </w:rPr>
            </w:pPr>
            <w:r w:rsidRPr="00696C38">
              <w:t>160</w:t>
            </w:r>
          </w:p>
        </w:tc>
        <w:tc>
          <w:tcPr>
            <w:tcW w:w="1595" w:type="dxa"/>
          </w:tcPr>
          <w:p w14:paraId="4D77F211" w14:textId="7A0464E8" w:rsidR="00696C38" w:rsidRPr="00696C38" w:rsidRDefault="00696C38" w:rsidP="00696C38">
            <w:pPr>
              <w:rPr>
                <w:rFonts w:cs="Arial"/>
              </w:rPr>
            </w:pPr>
            <w:r w:rsidRPr="00696C38">
              <w:t>0.92</w:t>
            </w:r>
          </w:p>
        </w:tc>
        <w:tc>
          <w:tcPr>
            <w:tcW w:w="1643" w:type="dxa"/>
          </w:tcPr>
          <w:p w14:paraId="0D8E48FA" w14:textId="15A00634" w:rsidR="00696C38" w:rsidRPr="00696C38" w:rsidRDefault="00696C38" w:rsidP="00696C38">
            <w:pPr>
              <w:rPr>
                <w:rFonts w:cs="Arial"/>
              </w:rPr>
            </w:pPr>
            <w:r w:rsidRPr="00696C38">
              <w:t>(0.72, 1.17)</w:t>
            </w:r>
          </w:p>
        </w:tc>
        <w:tc>
          <w:tcPr>
            <w:tcW w:w="1585" w:type="dxa"/>
          </w:tcPr>
          <w:p w14:paraId="26924749" w14:textId="371ABE5A" w:rsidR="00696C38" w:rsidRPr="00696C38" w:rsidRDefault="00696C38" w:rsidP="00696C38">
            <w:pPr>
              <w:rPr>
                <w:rFonts w:cs="Arial"/>
              </w:rPr>
            </w:pPr>
            <w:r w:rsidRPr="00696C38">
              <w:t>0.42</w:t>
            </w:r>
          </w:p>
        </w:tc>
      </w:tr>
      <w:tr w:rsidR="00696C38" w14:paraId="7894B203" w14:textId="77777777" w:rsidTr="00696C38">
        <w:tc>
          <w:tcPr>
            <w:tcW w:w="1809" w:type="dxa"/>
          </w:tcPr>
          <w:p w14:paraId="35BE789F" w14:textId="180544C9" w:rsidR="00696C38" w:rsidRPr="00696C38" w:rsidRDefault="00696C38" w:rsidP="00696C38">
            <w:pPr>
              <w:rPr>
                <w:rFonts w:cs="Arial"/>
              </w:rPr>
            </w:pPr>
            <w:r w:rsidRPr="00696C38">
              <w:rPr>
                <w:b/>
                <w:bCs/>
              </w:rPr>
              <w:t>Летрозол</w:t>
            </w:r>
          </w:p>
        </w:tc>
        <w:tc>
          <w:tcPr>
            <w:tcW w:w="1358" w:type="dxa"/>
          </w:tcPr>
          <w:p w14:paraId="67262947" w14:textId="1D2C8E71" w:rsidR="00696C38" w:rsidRPr="00696C38" w:rsidRDefault="00696C38" w:rsidP="00696C38">
            <w:pPr>
              <w:rPr>
                <w:rFonts w:cs="Arial"/>
              </w:rPr>
            </w:pPr>
            <w:r w:rsidRPr="00696C38">
              <w:t>1463</w:t>
            </w:r>
          </w:p>
        </w:tc>
        <w:tc>
          <w:tcPr>
            <w:tcW w:w="1586" w:type="dxa"/>
          </w:tcPr>
          <w:p w14:paraId="3E0A6781" w14:textId="51613A19" w:rsidR="00696C38" w:rsidRPr="00696C38" w:rsidRDefault="00696C38" w:rsidP="00696C38">
            <w:pPr>
              <w:rPr>
                <w:rFonts w:cs="Arial"/>
              </w:rPr>
            </w:pPr>
            <w:r w:rsidRPr="00696C38">
              <w:t>178</w:t>
            </w:r>
          </w:p>
        </w:tc>
        <w:tc>
          <w:tcPr>
            <w:tcW w:w="1595" w:type="dxa"/>
          </w:tcPr>
          <w:p w14:paraId="30318A1E" w14:textId="77777777" w:rsidR="00696C38" w:rsidRPr="00696C38" w:rsidRDefault="00696C38" w:rsidP="00696C38">
            <w:pPr>
              <w:rPr>
                <w:rFonts w:cs="Arial"/>
              </w:rPr>
            </w:pPr>
          </w:p>
        </w:tc>
        <w:tc>
          <w:tcPr>
            <w:tcW w:w="1643" w:type="dxa"/>
          </w:tcPr>
          <w:p w14:paraId="778C7AF6" w14:textId="77777777" w:rsidR="00696C38" w:rsidRPr="00696C38" w:rsidRDefault="00696C38" w:rsidP="00696C38">
            <w:pPr>
              <w:rPr>
                <w:rFonts w:cs="Arial"/>
              </w:rPr>
            </w:pPr>
          </w:p>
        </w:tc>
        <w:tc>
          <w:tcPr>
            <w:tcW w:w="1585" w:type="dxa"/>
          </w:tcPr>
          <w:p w14:paraId="635615F1" w14:textId="77777777" w:rsidR="00696C38" w:rsidRPr="00696C38" w:rsidRDefault="00696C38" w:rsidP="00696C38">
            <w:pPr>
              <w:rPr>
                <w:rFonts w:cs="Arial"/>
              </w:rPr>
            </w:pPr>
          </w:p>
        </w:tc>
      </w:tr>
    </w:tbl>
    <w:p w14:paraId="73B93A0B" w14:textId="62959B5E" w:rsidR="00696C38" w:rsidRPr="00696C38" w:rsidRDefault="00696C38" w:rsidP="00696C38">
      <w:pPr>
        <w:spacing w:line="240" w:lineRule="auto"/>
        <w:rPr>
          <w:rFonts w:eastAsia="Times New Roman" w:cs="Arial"/>
          <w:color w:val="000000"/>
          <w:lang w:eastAsia="bg-BG"/>
        </w:rPr>
      </w:pPr>
      <w:r w:rsidRPr="00696C38">
        <w:rPr>
          <w:rFonts w:eastAsia="Times New Roman" w:cs="Arial"/>
          <w:color w:val="000000"/>
          <w:vertAlign w:val="superscript"/>
          <w:lang w:eastAsia="bg-BG"/>
        </w:rPr>
        <w:t>1</w:t>
      </w:r>
      <w:r w:rsidRPr="00696C38">
        <w:rPr>
          <w:rFonts w:eastAsia="Times New Roman" w:cs="Arial"/>
          <w:color w:val="000000"/>
          <w:lang w:eastAsia="bg-BG"/>
        </w:rPr>
        <w:t>Дефиниция по протокол, включително втора първична неоплазма, която не е на гърдата, след смяната на терапията/ след две година</w:t>
      </w:r>
    </w:p>
    <w:p w14:paraId="23F4AF0F" w14:textId="20764595" w:rsidR="00696C38" w:rsidRPr="00696C38" w:rsidRDefault="00696C38" w:rsidP="00696C38">
      <w:pPr>
        <w:spacing w:line="240" w:lineRule="auto"/>
        <w:rPr>
          <w:rFonts w:eastAsia="Times New Roman" w:cs="Arial"/>
          <w:color w:val="000000"/>
          <w:lang w:eastAsia="bg-BG"/>
        </w:rPr>
      </w:pPr>
      <w:r w:rsidRPr="00696C38">
        <w:rPr>
          <w:rFonts w:eastAsia="Times New Roman" w:cs="Arial"/>
          <w:color w:val="000000"/>
          <w:vertAlign w:val="superscript"/>
          <w:lang w:eastAsia="bg-BG"/>
        </w:rPr>
        <w:lastRenderedPageBreak/>
        <w:t>2</w:t>
      </w:r>
      <w:r w:rsidRPr="00696C38">
        <w:rPr>
          <w:rFonts w:eastAsia="Times New Roman" w:cs="Arial"/>
          <w:color w:val="000000"/>
          <w:lang w:eastAsia="bg-BG"/>
        </w:rPr>
        <w:t>Коригиран чрез прилагане на химиотерапия</w:t>
      </w:r>
    </w:p>
    <w:p w14:paraId="772430E5" w14:textId="77777777" w:rsidR="00696C38" w:rsidRDefault="00696C38" w:rsidP="00696C38">
      <w:pPr>
        <w:spacing w:line="240" w:lineRule="auto"/>
        <w:rPr>
          <w:rFonts w:eastAsia="Times New Roman" w:cs="Arial"/>
          <w:color w:val="000000"/>
          <w:lang w:eastAsia="bg-BG"/>
        </w:rPr>
      </w:pPr>
    </w:p>
    <w:p w14:paraId="7CEC9E0C" w14:textId="74583633" w:rsidR="00696C38" w:rsidRPr="00696C38" w:rsidRDefault="00696C38" w:rsidP="00696C38">
      <w:pPr>
        <w:spacing w:line="240" w:lineRule="auto"/>
        <w:rPr>
          <w:rFonts w:eastAsia="Times New Roman" w:cs="Arial"/>
        </w:rPr>
      </w:pPr>
      <w:r w:rsidRPr="00696C38">
        <w:rPr>
          <w:rFonts w:eastAsia="Times New Roman" w:cs="Arial"/>
          <w:color w:val="000000"/>
          <w:lang w:eastAsia="bg-BG"/>
        </w:rPr>
        <w:t xml:space="preserve">Няма сигнификантна разлика по отношение на </w:t>
      </w:r>
      <w:r w:rsidRPr="00696C38">
        <w:rPr>
          <w:rFonts w:eastAsia="Times New Roman" w:cs="Arial"/>
          <w:color w:val="000000"/>
          <w:lang w:val="en-US"/>
        </w:rPr>
        <w:t>DFS</w:t>
      </w:r>
      <w:r w:rsidRPr="00696C38">
        <w:rPr>
          <w:rFonts w:eastAsia="Times New Roman" w:cs="Arial"/>
          <w:color w:val="000000"/>
          <w:lang w:val="ru-RU"/>
        </w:rPr>
        <w:t xml:space="preserve">, </w:t>
      </w:r>
      <w:r w:rsidRPr="00696C38">
        <w:rPr>
          <w:rFonts w:eastAsia="Times New Roman" w:cs="Arial"/>
          <w:color w:val="000000"/>
          <w:lang w:val="en-US"/>
        </w:rPr>
        <w:t>OS</w:t>
      </w:r>
      <w:r w:rsidRPr="00696C38">
        <w:rPr>
          <w:rFonts w:eastAsia="Times New Roman" w:cs="Arial"/>
          <w:color w:val="000000"/>
          <w:lang w:val="ru-RU"/>
        </w:rPr>
        <w:t xml:space="preserve">, </w:t>
      </w:r>
      <w:r w:rsidRPr="00696C38">
        <w:rPr>
          <w:rFonts w:eastAsia="Times New Roman" w:cs="Arial"/>
          <w:color w:val="000000"/>
          <w:lang w:val="en-US"/>
        </w:rPr>
        <w:t>SDFS</w:t>
      </w:r>
      <w:r w:rsidRPr="00696C38">
        <w:rPr>
          <w:rFonts w:eastAsia="Times New Roman" w:cs="Arial"/>
          <w:color w:val="000000"/>
          <w:lang w:val="ru-RU"/>
        </w:rPr>
        <w:t xml:space="preserve"> </w:t>
      </w:r>
      <w:r w:rsidRPr="00696C38">
        <w:rPr>
          <w:rFonts w:eastAsia="Times New Roman" w:cs="Arial"/>
          <w:color w:val="000000"/>
          <w:lang w:eastAsia="bg-BG"/>
        </w:rPr>
        <w:t xml:space="preserve">и </w:t>
      </w:r>
      <w:r w:rsidRPr="00696C38">
        <w:rPr>
          <w:rFonts w:eastAsia="Times New Roman" w:cs="Arial"/>
          <w:color w:val="000000"/>
          <w:lang w:val="en-US"/>
        </w:rPr>
        <w:t>DDFS</w:t>
      </w:r>
      <w:r w:rsidRPr="00696C38">
        <w:rPr>
          <w:rFonts w:eastAsia="Times New Roman" w:cs="Arial"/>
          <w:color w:val="000000"/>
          <w:lang w:val="ru-RU"/>
        </w:rPr>
        <w:t xml:space="preserve"> </w:t>
      </w:r>
      <w:r w:rsidRPr="00696C38">
        <w:rPr>
          <w:rFonts w:eastAsia="Times New Roman" w:cs="Arial"/>
          <w:color w:val="000000"/>
          <w:lang w:eastAsia="bg-BG"/>
        </w:rPr>
        <w:t xml:space="preserve">при нито един от </w:t>
      </w:r>
      <w:r w:rsidRPr="00696C38">
        <w:rPr>
          <w:rFonts w:eastAsia="Times New Roman" w:cs="Arial"/>
          <w:color w:val="000000"/>
          <w:lang w:val="en-US"/>
        </w:rPr>
        <w:t>STA</w:t>
      </w:r>
      <w:r w:rsidRPr="00696C38">
        <w:rPr>
          <w:rFonts w:eastAsia="Times New Roman" w:cs="Arial"/>
          <w:color w:val="000000"/>
          <w:lang w:val="ru-RU"/>
        </w:rPr>
        <w:t xml:space="preserve"> </w:t>
      </w:r>
      <w:r w:rsidRPr="00696C38">
        <w:rPr>
          <w:rFonts w:eastAsia="Times New Roman" w:cs="Arial"/>
          <w:color w:val="000000"/>
          <w:lang w:eastAsia="bg-BG"/>
        </w:rPr>
        <w:t>на сдвоените сравнения на рандомизацията (Таблица 7).</w:t>
      </w:r>
    </w:p>
    <w:p w14:paraId="5578F206" w14:textId="77777777" w:rsidR="00696C38" w:rsidRDefault="00696C38" w:rsidP="00696C38">
      <w:pPr>
        <w:rPr>
          <w:rFonts w:eastAsia="Times New Roman" w:cs="Arial"/>
          <w:b/>
          <w:bCs/>
          <w:color w:val="000000"/>
          <w:lang w:eastAsia="bg-BG"/>
        </w:rPr>
      </w:pPr>
    </w:p>
    <w:p w14:paraId="04D5CE77" w14:textId="1BE9A693" w:rsidR="00696C38" w:rsidRDefault="00696C38" w:rsidP="00696C38">
      <w:pPr>
        <w:rPr>
          <w:rFonts w:eastAsia="Times New Roman" w:cs="Arial"/>
          <w:b/>
          <w:bCs/>
          <w:color w:val="000000"/>
          <w:lang w:eastAsia="bg-BG"/>
        </w:rPr>
      </w:pPr>
      <w:r w:rsidRPr="00696C38">
        <w:rPr>
          <w:rFonts w:eastAsia="Times New Roman" w:cs="Arial"/>
          <w:b/>
          <w:bCs/>
          <w:color w:val="000000"/>
          <w:lang w:eastAsia="bg-BG"/>
        </w:rPr>
        <w:t xml:space="preserve">Таблица 7 Анализ на секвентната терапия от рандомизацията </w:t>
      </w:r>
      <w:r w:rsidRPr="00696C38">
        <w:rPr>
          <w:rFonts w:eastAsia="Times New Roman" w:cs="Arial"/>
          <w:b/>
          <w:bCs/>
          <w:color w:val="000000"/>
          <w:lang w:val="ru-RU"/>
        </w:rPr>
        <w:t>(</w:t>
      </w:r>
      <w:r w:rsidRPr="00696C38">
        <w:rPr>
          <w:rFonts w:eastAsia="Times New Roman" w:cs="Arial"/>
          <w:b/>
          <w:bCs/>
          <w:color w:val="000000"/>
          <w:lang w:val="en-US"/>
        </w:rPr>
        <w:t>STA</w:t>
      </w:r>
      <w:r w:rsidRPr="00696C38">
        <w:rPr>
          <w:rFonts w:eastAsia="Times New Roman" w:cs="Arial"/>
          <w:b/>
          <w:bCs/>
          <w:color w:val="000000"/>
          <w:lang w:val="ru-RU"/>
        </w:rPr>
        <w:t>-</w:t>
      </w:r>
      <w:r w:rsidRPr="00696C38">
        <w:rPr>
          <w:rFonts w:eastAsia="Times New Roman" w:cs="Arial"/>
          <w:b/>
          <w:bCs/>
          <w:color w:val="000000"/>
          <w:lang w:val="en-US"/>
        </w:rPr>
        <w:t>R</w:t>
      </w:r>
      <w:r w:rsidRPr="00696C38">
        <w:rPr>
          <w:rFonts w:eastAsia="Times New Roman" w:cs="Arial"/>
          <w:b/>
          <w:bCs/>
          <w:color w:val="000000"/>
          <w:lang w:val="ru-RU"/>
        </w:rPr>
        <w:t xml:space="preserve">) </w:t>
      </w:r>
      <w:r w:rsidRPr="00696C38">
        <w:rPr>
          <w:rFonts w:eastAsia="Times New Roman" w:cs="Arial"/>
          <w:b/>
          <w:bCs/>
          <w:color w:val="000000"/>
          <w:lang w:eastAsia="bg-BG"/>
        </w:rPr>
        <w:t xml:space="preserve">по отношение на преживяемостта без заболяване </w:t>
      </w:r>
      <w:r w:rsidRPr="00696C38">
        <w:rPr>
          <w:rFonts w:eastAsia="Times New Roman" w:cs="Arial"/>
          <w:b/>
          <w:bCs/>
          <w:color w:val="000000"/>
          <w:lang w:val="ru-RU"/>
        </w:rPr>
        <w:t>(</w:t>
      </w:r>
      <w:r w:rsidRPr="00696C38">
        <w:rPr>
          <w:rFonts w:eastAsia="Times New Roman" w:cs="Arial"/>
          <w:b/>
          <w:bCs/>
          <w:color w:val="000000"/>
          <w:lang w:val="en-US"/>
        </w:rPr>
        <w:t>ITT</w:t>
      </w:r>
      <w:r w:rsidRPr="00696C38">
        <w:rPr>
          <w:rFonts w:eastAsia="Times New Roman" w:cs="Arial"/>
          <w:b/>
          <w:bCs/>
          <w:color w:val="000000"/>
          <w:lang w:val="ru-RU"/>
        </w:rPr>
        <w:t xml:space="preserve"> </w:t>
      </w:r>
      <w:r w:rsidRPr="00696C38">
        <w:rPr>
          <w:rFonts w:eastAsia="Times New Roman" w:cs="Arial"/>
          <w:b/>
          <w:bCs/>
          <w:color w:val="000000"/>
          <w:lang w:val="en-US"/>
        </w:rPr>
        <w:t>STA</w:t>
      </w:r>
      <w:r w:rsidRPr="00696C38">
        <w:rPr>
          <w:rFonts w:eastAsia="Times New Roman" w:cs="Arial"/>
          <w:b/>
          <w:bCs/>
          <w:color w:val="000000"/>
          <w:lang w:val="ru-RU"/>
        </w:rPr>
        <w:t>-</w:t>
      </w:r>
      <w:r w:rsidRPr="00696C38">
        <w:rPr>
          <w:rFonts w:eastAsia="Times New Roman" w:cs="Arial"/>
          <w:b/>
          <w:bCs/>
          <w:color w:val="000000"/>
          <w:lang w:val="en-US"/>
        </w:rPr>
        <w:t>R</w:t>
      </w:r>
      <w:r w:rsidRPr="00696C38">
        <w:rPr>
          <w:rFonts w:eastAsia="Times New Roman" w:cs="Arial"/>
          <w:b/>
          <w:bCs/>
          <w:color w:val="000000"/>
          <w:lang w:val="ru-RU"/>
        </w:rPr>
        <w:t xml:space="preserve"> </w:t>
      </w:r>
      <w:r w:rsidRPr="00696C38">
        <w:rPr>
          <w:rFonts w:eastAsia="Times New Roman" w:cs="Arial"/>
          <w:b/>
          <w:bCs/>
          <w:color w:val="000000"/>
          <w:lang w:eastAsia="bg-BG"/>
        </w:rPr>
        <w:t>популация)</w:t>
      </w:r>
      <w:r w:rsidRPr="00696C38">
        <w:rPr>
          <w:rFonts w:eastAsia="Times New Roman" w:cs="Arial"/>
          <w:b/>
          <w:bCs/>
          <w:color w:val="000000"/>
          <w:lang w:eastAsia="bg-BG"/>
        </w:rPr>
        <w:tab/>
      </w:r>
    </w:p>
    <w:tbl>
      <w:tblPr>
        <w:tblStyle w:val="TableGrid"/>
        <w:tblW w:w="0" w:type="auto"/>
        <w:tblLook w:val="04A0" w:firstRow="1" w:lastRow="0" w:firstColumn="1" w:lastColumn="0" w:noHBand="0" w:noVBand="1"/>
      </w:tblPr>
      <w:tblGrid>
        <w:gridCol w:w="3511"/>
        <w:gridCol w:w="2920"/>
        <w:gridCol w:w="2919"/>
      </w:tblGrid>
      <w:tr w:rsidR="00E334F9" w14:paraId="7EB87541" w14:textId="77777777" w:rsidTr="00E334F9">
        <w:tc>
          <w:tcPr>
            <w:tcW w:w="3609" w:type="dxa"/>
          </w:tcPr>
          <w:p w14:paraId="23D8C475" w14:textId="77777777" w:rsidR="00E334F9" w:rsidRPr="00E334F9" w:rsidRDefault="00E334F9" w:rsidP="00E334F9">
            <w:pPr>
              <w:rPr>
                <w:rFonts w:eastAsia="Times New Roman" w:cs="Arial"/>
                <w:b/>
                <w:bCs/>
                <w:color w:val="000000"/>
                <w:lang w:eastAsia="bg-BG"/>
              </w:rPr>
            </w:pPr>
          </w:p>
        </w:tc>
        <w:tc>
          <w:tcPr>
            <w:tcW w:w="2984" w:type="dxa"/>
          </w:tcPr>
          <w:p w14:paraId="4DF58662" w14:textId="63CFB161" w:rsidR="00E334F9" w:rsidRPr="00E334F9" w:rsidRDefault="00E334F9" w:rsidP="00E334F9">
            <w:pPr>
              <w:rPr>
                <w:rFonts w:eastAsia="Times New Roman" w:cs="Arial"/>
                <w:b/>
                <w:bCs/>
                <w:color w:val="000000"/>
                <w:lang w:eastAsia="bg-BG"/>
              </w:rPr>
            </w:pPr>
            <w:r w:rsidRPr="00E334F9">
              <w:rPr>
                <w:b/>
                <w:bCs/>
              </w:rPr>
              <w:t xml:space="preserve">Летрозол </w:t>
            </w:r>
            <w:r w:rsidRPr="00E334F9">
              <w:rPr>
                <w:b/>
                <w:bCs/>
                <w:lang w:val="en-US"/>
              </w:rPr>
              <w:t>→</w:t>
            </w:r>
            <w:r w:rsidRPr="00E334F9">
              <w:rPr>
                <w:b/>
                <w:bCs/>
              </w:rPr>
              <w:t xml:space="preserve"> Тамоксифен</w:t>
            </w:r>
          </w:p>
        </w:tc>
        <w:tc>
          <w:tcPr>
            <w:tcW w:w="2983" w:type="dxa"/>
          </w:tcPr>
          <w:p w14:paraId="5F313B2F" w14:textId="31D4BDDE" w:rsidR="00E334F9" w:rsidRPr="00E334F9" w:rsidRDefault="00E334F9" w:rsidP="00E334F9">
            <w:pPr>
              <w:rPr>
                <w:rFonts w:eastAsia="Times New Roman" w:cs="Arial"/>
                <w:b/>
                <w:bCs/>
                <w:color w:val="000000"/>
                <w:lang w:eastAsia="bg-BG"/>
              </w:rPr>
            </w:pPr>
            <w:r w:rsidRPr="00E334F9">
              <w:rPr>
                <w:b/>
                <w:bCs/>
              </w:rPr>
              <w:t>Летрозол</w:t>
            </w:r>
          </w:p>
        </w:tc>
      </w:tr>
      <w:tr w:rsidR="00E334F9" w14:paraId="14B0BFD5" w14:textId="77777777" w:rsidTr="00E334F9">
        <w:tc>
          <w:tcPr>
            <w:tcW w:w="3609" w:type="dxa"/>
          </w:tcPr>
          <w:p w14:paraId="05773022" w14:textId="4984A924" w:rsidR="00E334F9" w:rsidRPr="00E334F9" w:rsidRDefault="00E334F9" w:rsidP="00E334F9">
            <w:pPr>
              <w:rPr>
                <w:rFonts w:eastAsia="Times New Roman" w:cs="Arial"/>
                <w:b/>
                <w:bCs/>
                <w:color w:val="000000"/>
                <w:lang w:eastAsia="bg-BG"/>
              </w:rPr>
            </w:pPr>
            <w:r w:rsidRPr="00E334F9">
              <w:t>Брой пациенти</w:t>
            </w:r>
          </w:p>
        </w:tc>
        <w:tc>
          <w:tcPr>
            <w:tcW w:w="2984" w:type="dxa"/>
          </w:tcPr>
          <w:p w14:paraId="487E4305" w14:textId="0159AC77" w:rsidR="00E334F9" w:rsidRPr="00E334F9" w:rsidRDefault="00E334F9" w:rsidP="00E334F9">
            <w:pPr>
              <w:rPr>
                <w:rFonts w:eastAsia="Times New Roman" w:cs="Arial"/>
                <w:b/>
                <w:bCs/>
                <w:color w:val="000000"/>
                <w:lang w:eastAsia="bg-BG"/>
              </w:rPr>
            </w:pPr>
            <w:r w:rsidRPr="00E334F9">
              <w:t>1540</w:t>
            </w:r>
          </w:p>
        </w:tc>
        <w:tc>
          <w:tcPr>
            <w:tcW w:w="2983" w:type="dxa"/>
          </w:tcPr>
          <w:p w14:paraId="2EDDF946" w14:textId="6839F14C" w:rsidR="00E334F9" w:rsidRPr="00E334F9" w:rsidRDefault="00E334F9" w:rsidP="00E334F9">
            <w:pPr>
              <w:rPr>
                <w:rFonts w:eastAsia="Times New Roman" w:cs="Arial"/>
                <w:b/>
                <w:bCs/>
                <w:color w:val="000000"/>
                <w:lang w:eastAsia="bg-BG"/>
              </w:rPr>
            </w:pPr>
            <w:r w:rsidRPr="00E334F9">
              <w:t>1546</w:t>
            </w:r>
          </w:p>
        </w:tc>
      </w:tr>
      <w:tr w:rsidR="00E334F9" w14:paraId="7DAF2EC6" w14:textId="77777777" w:rsidTr="00E334F9">
        <w:tc>
          <w:tcPr>
            <w:tcW w:w="3609" w:type="dxa"/>
          </w:tcPr>
          <w:p w14:paraId="5BBC1A34" w14:textId="11EAE6ED" w:rsidR="00E334F9" w:rsidRPr="00E334F9" w:rsidRDefault="00E334F9" w:rsidP="00E334F9">
            <w:pPr>
              <w:rPr>
                <w:rFonts w:eastAsia="Times New Roman" w:cs="Arial"/>
                <w:b/>
                <w:bCs/>
                <w:color w:val="000000"/>
                <w:lang w:eastAsia="bg-BG"/>
              </w:rPr>
            </w:pPr>
            <w:r w:rsidRPr="00E334F9">
              <w:t xml:space="preserve">Брой пациенти с </w:t>
            </w:r>
            <w:r w:rsidRPr="00E334F9">
              <w:rPr>
                <w:lang w:val="en-US"/>
              </w:rPr>
              <w:t>DFS</w:t>
            </w:r>
            <w:r w:rsidRPr="00E334F9">
              <w:t>-събитие (дефиниция по протокол)</w:t>
            </w:r>
          </w:p>
        </w:tc>
        <w:tc>
          <w:tcPr>
            <w:tcW w:w="2984" w:type="dxa"/>
          </w:tcPr>
          <w:p w14:paraId="5A463633" w14:textId="7BA9C9C4" w:rsidR="00E334F9" w:rsidRPr="00E334F9" w:rsidRDefault="00E334F9" w:rsidP="00E334F9">
            <w:pPr>
              <w:rPr>
                <w:rFonts w:eastAsia="Times New Roman" w:cs="Arial"/>
                <w:b/>
                <w:bCs/>
                <w:color w:val="000000"/>
                <w:lang w:eastAsia="bg-BG"/>
              </w:rPr>
            </w:pPr>
            <w:r w:rsidRPr="00E334F9">
              <w:t>236</w:t>
            </w:r>
          </w:p>
        </w:tc>
        <w:tc>
          <w:tcPr>
            <w:tcW w:w="2983" w:type="dxa"/>
          </w:tcPr>
          <w:p w14:paraId="529A1F4A" w14:textId="3BAE62D5" w:rsidR="00E334F9" w:rsidRPr="00E334F9" w:rsidRDefault="00E334F9" w:rsidP="00E334F9">
            <w:pPr>
              <w:rPr>
                <w:rFonts w:eastAsia="Times New Roman" w:cs="Arial"/>
                <w:b/>
                <w:bCs/>
                <w:color w:val="000000"/>
                <w:lang w:eastAsia="bg-BG"/>
              </w:rPr>
            </w:pPr>
            <w:r w:rsidRPr="00E334F9">
              <w:t>248</w:t>
            </w:r>
          </w:p>
        </w:tc>
      </w:tr>
      <w:tr w:rsidR="00E334F9" w14:paraId="30557161" w14:textId="77777777" w:rsidTr="00E334F9">
        <w:tc>
          <w:tcPr>
            <w:tcW w:w="3609" w:type="dxa"/>
          </w:tcPr>
          <w:p w14:paraId="44A25A6A" w14:textId="0E460054" w:rsidR="00E334F9" w:rsidRPr="00E334F9" w:rsidRDefault="00E334F9" w:rsidP="00E334F9">
            <w:pPr>
              <w:rPr>
                <w:lang w:val="en-US"/>
              </w:rPr>
            </w:pPr>
            <w:r w:rsidRPr="00E334F9">
              <w:t>Коефициент на риск</w:t>
            </w:r>
            <w:r w:rsidRPr="00E334F9">
              <w:rPr>
                <w:vertAlign w:val="superscript"/>
              </w:rPr>
              <w:t>1</w:t>
            </w:r>
            <w:r w:rsidRPr="00E334F9">
              <w:t xml:space="preserve"> (99% </w:t>
            </w:r>
            <w:r w:rsidRPr="00E334F9">
              <w:rPr>
                <w:lang w:val="en-US"/>
              </w:rPr>
              <w:t>CI)</w:t>
            </w:r>
          </w:p>
        </w:tc>
        <w:tc>
          <w:tcPr>
            <w:tcW w:w="5967" w:type="dxa"/>
            <w:gridSpan w:val="2"/>
          </w:tcPr>
          <w:p w14:paraId="1ED018D5" w14:textId="1B90E2C6" w:rsidR="00E334F9" w:rsidRPr="00E334F9" w:rsidRDefault="00E334F9" w:rsidP="00E334F9">
            <w:pPr>
              <w:jc w:val="center"/>
              <w:rPr>
                <w:rFonts w:eastAsia="Times New Roman" w:cs="Arial"/>
                <w:b/>
                <w:bCs/>
                <w:color w:val="000000"/>
                <w:lang w:eastAsia="bg-BG"/>
              </w:rPr>
            </w:pPr>
            <w:r w:rsidRPr="00E334F9">
              <w:t>0.96 (0.76, 1.21)</w:t>
            </w:r>
          </w:p>
        </w:tc>
      </w:tr>
      <w:tr w:rsidR="00E334F9" w14:paraId="673C251D" w14:textId="77777777" w:rsidTr="00E334F9">
        <w:tc>
          <w:tcPr>
            <w:tcW w:w="3609" w:type="dxa"/>
          </w:tcPr>
          <w:p w14:paraId="58EB7373" w14:textId="77777777" w:rsidR="00E334F9" w:rsidRDefault="00E334F9" w:rsidP="00E334F9">
            <w:pPr>
              <w:rPr>
                <w:rFonts w:eastAsia="Times New Roman" w:cs="Arial"/>
                <w:b/>
                <w:bCs/>
                <w:color w:val="000000"/>
                <w:lang w:eastAsia="bg-BG"/>
              </w:rPr>
            </w:pPr>
          </w:p>
        </w:tc>
        <w:tc>
          <w:tcPr>
            <w:tcW w:w="2984" w:type="dxa"/>
          </w:tcPr>
          <w:p w14:paraId="5BB8DB1E" w14:textId="2DCA3370" w:rsidR="00E334F9" w:rsidRPr="00E334F9" w:rsidRDefault="00E334F9" w:rsidP="00E334F9">
            <w:pPr>
              <w:rPr>
                <w:rFonts w:eastAsia="Times New Roman" w:cs="Arial"/>
                <w:b/>
                <w:bCs/>
                <w:color w:val="000000"/>
                <w:lang w:eastAsia="bg-BG"/>
              </w:rPr>
            </w:pPr>
            <w:r w:rsidRPr="00E334F9">
              <w:rPr>
                <w:b/>
                <w:bCs/>
              </w:rPr>
              <w:t xml:space="preserve">Летрозол </w:t>
            </w:r>
            <w:r w:rsidRPr="00E334F9">
              <w:rPr>
                <w:b/>
                <w:bCs/>
                <w:lang w:val="en-US"/>
              </w:rPr>
              <w:t>→</w:t>
            </w:r>
            <w:r w:rsidRPr="00E334F9">
              <w:rPr>
                <w:b/>
                <w:bCs/>
              </w:rPr>
              <w:t xml:space="preserve"> Тамоксифен</w:t>
            </w:r>
          </w:p>
        </w:tc>
        <w:tc>
          <w:tcPr>
            <w:tcW w:w="2983" w:type="dxa"/>
          </w:tcPr>
          <w:p w14:paraId="5DBAEDA8" w14:textId="412425C8" w:rsidR="00E334F9" w:rsidRPr="00E334F9" w:rsidRDefault="00E334F9" w:rsidP="00E334F9">
            <w:pPr>
              <w:rPr>
                <w:rFonts w:eastAsia="Times New Roman" w:cs="Arial"/>
                <w:b/>
                <w:bCs/>
                <w:color w:val="000000"/>
                <w:lang w:eastAsia="bg-BG"/>
              </w:rPr>
            </w:pPr>
            <w:r w:rsidRPr="00E334F9">
              <w:t>Тамоксифен</w:t>
            </w:r>
            <w:r w:rsidRPr="00E334F9">
              <w:rPr>
                <w:vertAlign w:val="superscript"/>
              </w:rPr>
              <w:t>2</w:t>
            </w:r>
          </w:p>
        </w:tc>
      </w:tr>
      <w:tr w:rsidR="00E334F9" w14:paraId="3C97F096" w14:textId="77777777" w:rsidTr="00E334F9">
        <w:tc>
          <w:tcPr>
            <w:tcW w:w="3609" w:type="dxa"/>
          </w:tcPr>
          <w:p w14:paraId="0968B6A2" w14:textId="4FC61A00" w:rsidR="00E334F9" w:rsidRPr="00E334F9" w:rsidRDefault="00E334F9" w:rsidP="00E334F9">
            <w:pPr>
              <w:rPr>
                <w:rFonts w:eastAsia="Times New Roman" w:cs="Arial"/>
                <w:b/>
                <w:bCs/>
                <w:color w:val="000000"/>
                <w:lang w:eastAsia="bg-BG"/>
              </w:rPr>
            </w:pPr>
            <w:r w:rsidRPr="00E334F9">
              <w:t>Брой пациенти</w:t>
            </w:r>
          </w:p>
        </w:tc>
        <w:tc>
          <w:tcPr>
            <w:tcW w:w="2984" w:type="dxa"/>
          </w:tcPr>
          <w:p w14:paraId="11332A50" w14:textId="7DE0647D" w:rsidR="00E334F9" w:rsidRPr="00E334F9" w:rsidRDefault="00E334F9" w:rsidP="00E334F9">
            <w:pPr>
              <w:rPr>
                <w:rFonts w:eastAsia="Times New Roman" w:cs="Arial"/>
                <w:b/>
                <w:bCs/>
                <w:color w:val="000000"/>
                <w:lang w:eastAsia="bg-BG"/>
              </w:rPr>
            </w:pPr>
            <w:r w:rsidRPr="00E334F9">
              <w:t>1540</w:t>
            </w:r>
          </w:p>
        </w:tc>
        <w:tc>
          <w:tcPr>
            <w:tcW w:w="2983" w:type="dxa"/>
          </w:tcPr>
          <w:p w14:paraId="72EB0125" w14:textId="247BFE3B" w:rsidR="00E334F9" w:rsidRPr="00E334F9" w:rsidRDefault="00E334F9" w:rsidP="00E334F9">
            <w:pPr>
              <w:rPr>
                <w:rFonts w:eastAsia="Times New Roman" w:cs="Arial"/>
                <w:b/>
                <w:bCs/>
                <w:color w:val="000000"/>
                <w:lang w:eastAsia="bg-BG"/>
              </w:rPr>
            </w:pPr>
            <w:r w:rsidRPr="00E334F9">
              <w:t>1548</w:t>
            </w:r>
          </w:p>
        </w:tc>
      </w:tr>
      <w:tr w:rsidR="00E334F9" w14:paraId="57F91DB8" w14:textId="77777777" w:rsidTr="00E334F9">
        <w:tc>
          <w:tcPr>
            <w:tcW w:w="3609" w:type="dxa"/>
          </w:tcPr>
          <w:p w14:paraId="2BF585FB" w14:textId="43D4E9C9" w:rsidR="00E334F9" w:rsidRPr="00E334F9" w:rsidRDefault="00E334F9" w:rsidP="00E334F9">
            <w:pPr>
              <w:rPr>
                <w:rFonts w:eastAsia="Times New Roman" w:cs="Arial"/>
                <w:b/>
                <w:bCs/>
                <w:color w:val="000000"/>
                <w:lang w:eastAsia="bg-BG"/>
              </w:rPr>
            </w:pPr>
            <w:r w:rsidRPr="00E334F9">
              <w:t xml:space="preserve">Брой пациенти с </w:t>
            </w:r>
            <w:r w:rsidRPr="00E334F9">
              <w:rPr>
                <w:lang w:val="en-US"/>
              </w:rPr>
              <w:t>DFS</w:t>
            </w:r>
            <w:r w:rsidRPr="00E334F9">
              <w:t>-събитие (дефиниция по протокол)</w:t>
            </w:r>
          </w:p>
        </w:tc>
        <w:tc>
          <w:tcPr>
            <w:tcW w:w="2984" w:type="dxa"/>
          </w:tcPr>
          <w:p w14:paraId="0521BFB6" w14:textId="5A19A161" w:rsidR="00E334F9" w:rsidRPr="00E334F9" w:rsidRDefault="00E334F9" w:rsidP="00E334F9">
            <w:pPr>
              <w:rPr>
                <w:rFonts w:eastAsia="Times New Roman" w:cs="Arial"/>
                <w:b/>
                <w:bCs/>
                <w:color w:val="000000"/>
                <w:lang w:eastAsia="bg-BG"/>
              </w:rPr>
            </w:pPr>
            <w:r w:rsidRPr="00E334F9">
              <w:t>236</w:t>
            </w:r>
          </w:p>
        </w:tc>
        <w:tc>
          <w:tcPr>
            <w:tcW w:w="2983" w:type="dxa"/>
          </w:tcPr>
          <w:p w14:paraId="7AC44E34" w14:textId="2450EC84" w:rsidR="00E334F9" w:rsidRPr="00E334F9" w:rsidRDefault="00E334F9" w:rsidP="00E334F9">
            <w:pPr>
              <w:rPr>
                <w:rFonts w:eastAsia="Times New Roman" w:cs="Arial"/>
                <w:b/>
                <w:bCs/>
                <w:color w:val="000000"/>
                <w:lang w:eastAsia="bg-BG"/>
              </w:rPr>
            </w:pPr>
            <w:r w:rsidRPr="00E334F9">
              <w:t>269</w:t>
            </w:r>
          </w:p>
        </w:tc>
      </w:tr>
      <w:tr w:rsidR="00E334F9" w14:paraId="7A5BC017" w14:textId="77777777" w:rsidTr="00E334F9">
        <w:tc>
          <w:tcPr>
            <w:tcW w:w="3609" w:type="dxa"/>
          </w:tcPr>
          <w:p w14:paraId="0AF60D5D" w14:textId="393A8928" w:rsidR="00E334F9" w:rsidRPr="00E334F9" w:rsidRDefault="00E334F9" w:rsidP="00E334F9">
            <w:pPr>
              <w:rPr>
                <w:rFonts w:eastAsia="Times New Roman" w:cs="Arial"/>
                <w:b/>
                <w:bCs/>
                <w:color w:val="000000"/>
                <w:lang w:eastAsia="bg-BG"/>
              </w:rPr>
            </w:pPr>
            <w:r w:rsidRPr="00E334F9">
              <w:t>Коефициент на риск</w:t>
            </w:r>
            <w:r w:rsidRPr="00E334F9">
              <w:rPr>
                <w:vertAlign w:val="superscript"/>
              </w:rPr>
              <w:t>1</w:t>
            </w:r>
            <w:r w:rsidRPr="00E334F9">
              <w:t xml:space="preserve"> (99% </w:t>
            </w:r>
            <w:r w:rsidRPr="00E334F9">
              <w:rPr>
                <w:lang w:val="en-US"/>
              </w:rPr>
              <w:t>CI)</w:t>
            </w:r>
          </w:p>
        </w:tc>
        <w:tc>
          <w:tcPr>
            <w:tcW w:w="5967" w:type="dxa"/>
            <w:gridSpan w:val="2"/>
          </w:tcPr>
          <w:p w14:paraId="5ED05BB9" w14:textId="3801D44E" w:rsidR="00E334F9" w:rsidRPr="00E334F9" w:rsidRDefault="00E334F9" w:rsidP="00E334F9">
            <w:pPr>
              <w:jc w:val="center"/>
              <w:rPr>
                <w:rFonts w:eastAsia="Times New Roman" w:cs="Arial"/>
                <w:b/>
                <w:bCs/>
                <w:color w:val="000000"/>
                <w:lang w:eastAsia="bg-BG"/>
              </w:rPr>
            </w:pPr>
            <w:r w:rsidRPr="00E334F9">
              <w:t>0.87 (0.69,1.09)</w:t>
            </w:r>
          </w:p>
        </w:tc>
      </w:tr>
      <w:tr w:rsidR="00E334F9" w14:paraId="1B0E3381" w14:textId="77777777" w:rsidTr="00913F77">
        <w:tc>
          <w:tcPr>
            <w:tcW w:w="9576" w:type="dxa"/>
            <w:gridSpan w:val="3"/>
          </w:tcPr>
          <w:p w14:paraId="6FC26DCC" w14:textId="6BE7828E" w:rsidR="00E334F9" w:rsidRPr="00E334F9" w:rsidRDefault="00E334F9" w:rsidP="00E334F9">
            <w:r w:rsidRPr="00E334F9">
              <w:rPr>
                <w:color w:val="000000"/>
                <w:vertAlign w:val="superscript"/>
                <w:lang w:eastAsia="bg-BG"/>
              </w:rPr>
              <w:t>1</w:t>
            </w:r>
            <w:r w:rsidRPr="00E334F9">
              <w:rPr>
                <w:color w:val="000000"/>
                <w:lang w:eastAsia="bg-BG"/>
              </w:rPr>
              <w:t>Коригиран чрез прилагане на химиотерапия (да/не)</w:t>
            </w:r>
          </w:p>
          <w:p w14:paraId="10FB2A6A" w14:textId="77777777" w:rsidR="00E334F9" w:rsidRPr="00E334F9" w:rsidRDefault="00E334F9" w:rsidP="00E334F9"/>
          <w:p w14:paraId="0E96EF5D" w14:textId="77777777" w:rsidR="00E334F9" w:rsidRPr="00E334F9" w:rsidRDefault="00E334F9" w:rsidP="00E334F9">
            <w:r w:rsidRPr="00E334F9">
              <w:rPr>
                <w:color w:val="000000"/>
                <w:vertAlign w:val="superscript"/>
                <w:lang w:eastAsia="bg-BG"/>
              </w:rPr>
              <w:t>2</w:t>
            </w:r>
            <w:r w:rsidRPr="00E334F9">
              <w:rPr>
                <w:color w:val="000000"/>
                <w:lang w:eastAsia="bg-BG"/>
              </w:rPr>
              <w:t>624 (40%) пациенти, селективно преминали на летрозол след разслепяване на рамото с тамоксифен през 2005 г.</w:t>
            </w:r>
          </w:p>
          <w:p w14:paraId="1B014704" w14:textId="77777777" w:rsidR="00E334F9" w:rsidRDefault="00E334F9" w:rsidP="00E334F9">
            <w:pPr>
              <w:rPr>
                <w:rFonts w:cs="Arial"/>
                <w:b/>
                <w:bCs/>
                <w:color w:val="000000"/>
                <w:lang w:eastAsia="bg-BG"/>
              </w:rPr>
            </w:pPr>
          </w:p>
        </w:tc>
      </w:tr>
    </w:tbl>
    <w:p w14:paraId="6DA8196F" w14:textId="2B88841D" w:rsidR="00696C38" w:rsidRDefault="00696C38" w:rsidP="00696C38">
      <w:pPr>
        <w:rPr>
          <w:rFonts w:eastAsia="Times New Roman" w:cs="Arial"/>
          <w:b/>
          <w:bCs/>
          <w:color w:val="000000"/>
          <w:lang w:eastAsia="bg-BG"/>
        </w:rPr>
      </w:pPr>
    </w:p>
    <w:p w14:paraId="4A1FC1AB" w14:textId="77777777" w:rsidR="00E334F9" w:rsidRPr="00E334F9" w:rsidRDefault="00E334F9" w:rsidP="00E334F9">
      <w:pPr>
        <w:spacing w:line="240" w:lineRule="auto"/>
        <w:rPr>
          <w:rFonts w:eastAsia="Times New Roman" w:cs="Arial"/>
        </w:rPr>
      </w:pPr>
      <w:r w:rsidRPr="00E334F9">
        <w:rPr>
          <w:rFonts w:eastAsia="Times New Roman" w:cs="Arial"/>
          <w:i/>
          <w:iCs/>
          <w:color w:val="000000"/>
          <w:u w:val="single"/>
          <w:lang w:eastAsia="bg-BG"/>
        </w:rPr>
        <w:t xml:space="preserve">Проучване </w:t>
      </w:r>
      <w:r w:rsidRPr="00E334F9">
        <w:rPr>
          <w:rFonts w:eastAsia="Times New Roman" w:cs="Arial"/>
          <w:i/>
          <w:iCs/>
          <w:color w:val="000000"/>
          <w:u w:val="single"/>
          <w:lang w:val="en-US"/>
        </w:rPr>
        <w:t>D</w:t>
      </w:r>
      <w:r w:rsidRPr="00E334F9">
        <w:rPr>
          <w:rFonts w:eastAsia="Times New Roman" w:cs="Arial"/>
          <w:i/>
          <w:iCs/>
          <w:color w:val="000000"/>
          <w:u w:val="single"/>
          <w:lang w:val="ru-RU"/>
        </w:rPr>
        <w:t>2407</w:t>
      </w:r>
    </w:p>
    <w:p w14:paraId="3F559A7B" w14:textId="77777777" w:rsidR="00E334F9" w:rsidRPr="00E334F9" w:rsidRDefault="00E334F9" w:rsidP="00E334F9">
      <w:pPr>
        <w:spacing w:line="240" w:lineRule="auto"/>
        <w:rPr>
          <w:rFonts w:eastAsia="Times New Roman" w:cs="Arial"/>
        </w:rPr>
      </w:pPr>
      <w:r w:rsidRPr="00E334F9">
        <w:rPr>
          <w:rFonts w:eastAsia="Times New Roman" w:cs="Arial"/>
          <w:color w:val="000000"/>
          <w:lang w:eastAsia="bg-BG"/>
        </w:rPr>
        <w:t xml:space="preserve">Проучване </w:t>
      </w:r>
      <w:r w:rsidRPr="00E334F9">
        <w:rPr>
          <w:rFonts w:eastAsia="Times New Roman" w:cs="Arial"/>
          <w:color w:val="000000"/>
          <w:lang w:val="en-US"/>
        </w:rPr>
        <w:t>D</w:t>
      </w:r>
      <w:r w:rsidRPr="00E334F9">
        <w:rPr>
          <w:rFonts w:eastAsia="Times New Roman" w:cs="Arial"/>
          <w:color w:val="000000"/>
          <w:lang w:val="ru-RU"/>
        </w:rPr>
        <w:t xml:space="preserve">2407 </w:t>
      </w:r>
      <w:r w:rsidRPr="00E334F9">
        <w:rPr>
          <w:rFonts w:eastAsia="Times New Roman" w:cs="Arial"/>
          <w:color w:val="000000"/>
          <w:lang w:eastAsia="bg-BG"/>
        </w:rPr>
        <w:t>е отворено, рандомизирано, многоцентрово проучване за безопасност след разрешаване за употреба, планирано да сравни ефектите на адювантната терапия с летрозол и тамоксифен върху костната минерална плътност (КМП) и серумния липиден профил. При общо 262 пациенти е назначено да получават или летрозол в продължение на 5 години или тамоксифен продължение на 2 години, а след това летрозол в продължение на 3 години.</w:t>
      </w:r>
    </w:p>
    <w:p w14:paraId="79C157A3" w14:textId="77777777" w:rsidR="00E334F9" w:rsidRDefault="00E334F9" w:rsidP="00E334F9">
      <w:pPr>
        <w:spacing w:line="240" w:lineRule="auto"/>
        <w:rPr>
          <w:rFonts w:eastAsia="Times New Roman" w:cs="Arial"/>
          <w:color w:val="000000"/>
          <w:lang w:eastAsia="bg-BG"/>
        </w:rPr>
      </w:pPr>
    </w:p>
    <w:p w14:paraId="521446F6" w14:textId="204E5FE3" w:rsidR="00E334F9" w:rsidRPr="00E334F9" w:rsidRDefault="00E334F9" w:rsidP="00E334F9">
      <w:pPr>
        <w:spacing w:line="240" w:lineRule="auto"/>
        <w:rPr>
          <w:rFonts w:eastAsia="Times New Roman" w:cs="Arial"/>
        </w:rPr>
      </w:pPr>
      <w:r w:rsidRPr="00E334F9">
        <w:rPr>
          <w:rFonts w:eastAsia="Times New Roman" w:cs="Arial"/>
          <w:color w:val="000000"/>
          <w:lang w:eastAsia="bg-BG"/>
        </w:rPr>
        <w:t xml:space="preserve">На 24-ия месец е установена статистически значима разлика по отношение на първичната крайна точка КМП в областта на лумбалните прешлени </w:t>
      </w:r>
      <w:r w:rsidRPr="00E334F9">
        <w:rPr>
          <w:rFonts w:eastAsia="Times New Roman" w:cs="Arial"/>
          <w:color w:val="000000"/>
          <w:lang w:val="ru-RU"/>
        </w:rPr>
        <w:t>(</w:t>
      </w:r>
      <w:r w:rsidRPr="00E334F9">
        <w:rPr>
          <w:rFonts w:eastAsia="Times New Roman" w:cs="Arial"/>
          <w:color w:val="000000"/>
          <w:lang w:val="en-US"/>
        </w:rPr>
        <w:t>L</w:t>
      </w:r>
      <w:r w:rsidRPr="00E334F9">
        <w:rPr>
          <w:rFonts w:eastAsia="Times New Roman" w:cs="Arial"/>
          <w:color w:val="000000"/>
          <w:lang w:val="ru-RU"/>
        </w:rPr>
        <w:t>2-</w:t>
      </w:r>
      <w:r w:rsidRPr="00E334F9">
        <w:rPr>
          <w:rFonts w:eastAsia="Times New Roman" w:cs="Arial"/>
          <w:color w:val="000000"/>
          <w:lang w:val="en-US"/>
        </w:rPr>
        <w:t>L</w:t>
      </w:r>
      <w:r w:rsidRPr="00E334F9">
        <w:rPr>
          <w:rFonts w:eastAsia="Times New Roman" w:cs="Arial"/>
          <w:color w:val="000000"/>
          <w:lang w:val="ru-RU"/>
        </w:rPr>
        <w:t xml:space="preserve">4), </w:t>
      </w:r>
      <w:r w:rsidRPr="00E334F9">
        <w:rPr>
          <w:rFonts w:eastAsia="Times New Roman" w:cs="Arial"/>
          <w:color w:val="000000"/>
          <w:lang w:eastAsia="bg-BG"/>
        </w:rPr>
        <w:t>показваща медиана на понижение 4,1 % за летрозол спрямо медиана на повишение 0,3 % за тамоксифен.</w:t>
      </w:r>
    </w:p>
    <w:p w14:paraId="41372D4C" w14:textId="77777777" w:rsidR="00E334F9" w:rsidRDefault="00E334F9" w:rsidP="00E334F9">
      <w:pPr>
        <w:spacing w:line="240" w:lineRule="auto"/>
        <w:rPr>
          <w:rFonts w:eastAsia="Times New Roman" w:cs="Arial"/>
          <w:color w:val="000000"/>
          <w:lang w:eastAsia="bg-BG"/>
        </w:rPr>
      </w:pPr>
    </w:p>
    <w:p w14:paraId="6EF322E2" w14:textId="094BEFB2" w:rsidR="00E334F9" w:rsidRPr="00E334F9" w:rsidRDefault="00E334F9" w:rsidP="00E334F9">
      <w:pPr>
        <w:spacing w:line="240" w:lineRule="auto"/>
        <w:rPr>
          <w:rFonts w:eastAsia="Times New Roman" w:cs="Arial"/>
        </w:rPr>
      </w:pPr>
      <w:r w:rsidRPr="00E334F9">
        <w:rPr>
          <w:rFonts w:eastAsia="Times New Roman" w:cs="Arial"/>
          <w:color w:val="000000"/>
          <w:lang w:eastAsia="bg-BG"/>
        </w:rPr>
        <w:t>При нито един от пациентите с нормална КМП на изходно ниво не е наблюдавано развитие на остеопороза в хода на 2-годишното лечение и само при 1 пациент с остеопения на изходно ниво (Т скор от -1,9) е наблюдавано развитие на остеопороза по време на лечението (оценка чрез централен преглед).</w:t>
      </w:r>
    </w:p>
    <w:p w14:paraId="0D5504AC" w14:textId="77777777" w:rsidR="00E334F9" w:rsidRDefault="00E334F9" w:rsidP="00E334F9">
      <w:pPr>
        <w:spacing w:line="240" w:lineRule="auto"/>
        <w:rPr>
          <w:rFonts w:eastAsia="Times New Roman" w:cs="Arial"/>
          <w:color w:val="000000"/>
          <w:lang w:eastAsia="bg-BG"/>
        </w:rPr>
      </w:pPr>
    </w:p>
    <w:p w14:paraId="008E17F0" w14:textId="7CD187D6" w:rsidR="00E334F9" w:rsidRPr="00E334F9" w:rsidRDefault="00E334F9" w:rsidP="00E334F9">
      <w:pPr>
        <w:spacing w:line="240" w:lineRule="auto"/>
        <w:rPr>
          <w:rFonts w:eastAsia="Times New Roman" w:cs="Arial"/>
        </w:rPr>
      </w:pPr>
      <w:r w:rsidRPr="00E334F9">
        <w:rPr>
          <w:rFonts w:eastAsia="Times New Roman" w:cs="Arial"/>
          <w:color w:val="000000"/>
          <w:lang w:eastAsia="bg-BG"/>
        </w:rPr>
        <w:t>Резултатите за обща КМП на бедрената кост са подобни на тези за лумбалните прешлени, но по-слабо изразени.</w:t>
      </w:r>
    </w:p>
    <w:p w14:paraId="28720AEB" w14:textId="77777777" w:rsidR="00E334F9" w:rsidRDefault="00E334F9" w:rsidP="00E334F9">
      <w:pPr>
        <w:spacing w:line="240" w:lineRule="auto"/>
        <w:rPr>
          <w:rFonts w:eastAsia="Times New Roman" w:cs="Arial"/>
          <w:color w:val="000000"/>
          <w:lang w:eastAsia="bg-BG"/>
        </w:rPr>
      </w:pPr>
    </w:p>
    <w:p w14:paraId="6579CC2D" w14:textId="0C9AC486" w:rsidR="00E334F9" w:rsidRDefault="00E334F9" w:rsidP="00E334F9">
      <w:pPr>
        <w:spacing w:line="240" w:lineRule="auto"/>
        <w:rPr>
          <w:rFonts w:eastAsia="Times New Roman" w:cs="Arial"/>
          <w:color w:val="000000"/>
          <w:lang w:eastAsia="bg-BG"/>
        </w:rPr>
      </w:pPr>
      <w:r w:rsidRPr="00E334F9">
        <w:rPr>
          <w:rFonts w:eastAsia="Times New Roman" w:cs="Arial"/>
          <w:color w:val="000000"/>
          <w:lang w:eastAsia="bg-BG"/>
        </w:rPr>
        <w:t xml:space="preserve">Няма статистически значима разлика между леченията по отношение на честотата на </w:t>
      </w:r>
    </w:p>
    <w:p w14:paraId="663911F3" w14:textId="11A0EB91" w:rsidR="00E334F9" w:rsidRPr="00E334F9" w:rsidRDefault="00E334F9" w:rsidP="00E334F9">
      <w:pPr>
        <w:spacing w:line="240" w:lineRule="auto"/>
        <w:rPr>
          <w:rFonts w:eastAsia="Times New Roman" w:cs="Arial"/>
        </w:rPr>
      </w:pPr>
      <w:r w:rsidRPr="00E334F9">
        <w:rPr>
          <w:rFonts w:eastAsia="Times New Roman" w:cs="Arial"/>
          <w:color w:val="000000"/>
          <w:lang w:eastAsia="bg-BG"/>
        </w:rPr>
        <w:t>фрактурите - 1</w:t>
      </w:r>
      <w:r w:rsidRPr="00E334F9">
        <w:rPr>
          <w:rFonts w:eastAsia="Times New Roman" w:cs="Arial"/>
          <w:i/>
          <w:iCs/>
          <w:color w:val="000000"/>
          <w:lang w:eastAsia="bg-BG"/>
        </w:rPr>
        <w:t>5%</w:t>
      </w:r>
      <w:r w:rsidRPr="00E334F9">
        <w:rPr>
          <w:rFonts w:eastAsia="Times New Roman" w:cs="Arial"/>
          <w:color w:val="000000"/>
          <w:lang w:eastAsia="bg-BG"/>
        </w:rPr>
        <w:t xml:space="preserve"> в рамото на летрозол и 17% в рамото на тамоксифен.</w:t>
      </w:r>
    </w:p>
    <w:p w14:paraId="04848CBF" w14:textId="77777777" w:rsidR="00E334F9" w:rsidRDefault="00E334F9" w:rsidP="00E334F9">
      <w:pPr>
        <w:spacing w:line="240" w:lineRule="auto"/>
        <w:rPr>
          <w:rFonts w:eastAsia="Times New Roman" w:cs="Arial"/>
          <w:color w:val="000000"/>
          <w:lang w:eastAsia="bg-BG"/>
        </w:rPr>
      </w:pPr>
    </w:p>
    <w:p w14:paraId="36728739" w14:textId="3A19A2BA" w:rsidR="00E334F9" w:rsidRPr="00E334F9" w:rsidRDefault="00E334F9" w:rsidP="00E334F9">
      <w:pPr>
        <w:spacing w:line="240" w:lineRule="auto"/>
        <w:rPr>
          <w:rFonts w:eastAsia="Times New Roman" w:cs="Arial"/>
        </w:rPr>
      </w:pPr>
      <w:r w:rsidRPr="00E334F9">
        <w:rPr>
          <w:rFonts w:eastAsia="Times New Roman" w:cs="Arial"/>
          <w:color w:val="000000"/>
          <w:lang w:eastAsia="bg-BG"/>
        </w:rPr>
        <w:lastRenderedPageBreak/>
        <w:t>В рамото на тамоксифен медианата на нивата на общия холестерол се понижава с 16% спрямо изходните стойности след 6 месеца и това понижение се поддържа при следващите визити до 24 месеца. В рамото на летрозол нивата на общия холестерол остават относително постоянни в течение на времето, давайки статистически значима разлика в полза на тамоксифен във всяка времева точка.</w:t>
      </w:r>
    </w:p>
    <w:p w14:paraId="749CFF0B" w14:textId="77777777" w:rsidR="00E334F9" w:rsidRDefault="00E334F9" w:rsidP="00E334F9">
      <w:pPr>
        <w:spacing w:line="240" w:lineRule="auto"/>
        <w:rPr>
          <w:rFonts w:eastAsia="Times New Roman" w:cs="Arial"/>
          <w:i/>
          <w:iCs/>
          <w:color w:val="000000"/>
          <w:u w:val="single"/>
          <w:lang w:eastAsia="bg-BG"/>
        </w:rPr>
      </w:pPr>
    </w:p>
    <w:p w14:paraId="62BA62E2" w14:textId="6C182053" w:rsidR="00E334F9" w:rsidRPr="00E334F9" w:rsidRDefault="00E334F9" w:rsidP="00E334F9">
      <w:pPr>
        <w:spacing w:line="240" w:lineRule="auto"/>
        <w:rPr>
          <w:rFonts w:eastAsia="Times New Roman" w:cs="Arial"/>
        </w:rPr>
      </w:pPr>
      <w:r w:rsidRPr="00E334F9">
        <w:rPr>
          <w:rFonts w:eastAsia="Times New Roman" w:cs="Arial"/>
          <w:i/>
          <w:iCs/>
          <w:color w:val="000000"/>
          <w:u w:val="single"/>
          <w:lang w:eastAsia="bg-BG"/>
        </w:rPr>
        <w:t>Разширена адювантна терапия (МА-17)</w:t>
      </w:r>
    </w:p>
    <w:p w14:paraId="23705564" w14:textId="77777777" w:rsidR="00E334F9" w:rsidRPr="00E334F9" w:rsidRDefault="00E334F9" w:rsidP="00E334F9">
      <w:pPr>
        <w:spacing w:line="240" w:lineRule="auto"/>
        <w:rPr>
          <w:rFonts w:eastAsia="Times New Roman" w:cs="Arial"/>
        </w:rPr>
      </w:pPr>
      <w:r w:rsidRPr="00E334F9">
        <w:rPr>
          <w:rFonts w:eastAsia="Times New Roman" w:cs="Arial"/>
          <w:color w:val="000000"/>
          <w:lang w:eastAsia="bg-BG"/>
        </w:rPr>
        <w:t>В едно многоцентрово, двойносляпо, рандомизирано, плацебо-контролирано проучване (МА- 17) над 5 100 жени в постменопаузата с рецептор-положителен или неустановен първичен рак на гърдата, които за завършили адювантна терапия с тамоксифен (4,5 до 6 години), са рандомизирани на летрозол или плацебо в продължение на 5 години.</w:t>
      </w:r>
    </w:p>
    <w:p w14:paraId="539506A7" w14:textId="77777777" w:rsidR="00E334F9" w:rsidRDefault="00E334F9" w:rsidP="00E334F9">
      <w:pPr>
        <w:spacing w:line="240" w:lineRule="auto"/>
        <w:rPr>
          <w:rFonts w:eastAsia="Times New Roman" w:cs="Arial"/>
          <w:color w:val="000000"/>
          <w:lang w:eastAsia="bg-BG"/>
        </w:rPr>
      </w:pPr>
    </w:p>
    <w:p w14:paraId="27889647" w14:textId="45F1429B" w:rsidR="00E334F9" w:rsidRPr="00E334F9" w:rsidRDefault="00E334F9" w:rsidP="00E334F9">
      <w:pPr>
        <w:spacing w:line="240" w:lineRule="auto"/>
        <w:rPr>
          <w:rFonts w:eastAsia="Times New Roman" w:cs="Arial"/>
        </w:rPr>
      </w:pPr>
      <w:r w:rsidRPr="00E334F9">
        <w:rPr>
          <w:rFonts w:eastAsia="Times New Roman" w:cs="Arial"/>
          <w:color w:val="000000"/>
          <w:lang w:eastAsia="bg-BG"/>
        </w:rPr>
        <w:t>Първичната крайна точка е преживяемост без заболяване, дефинирана като интервала между рандомизацията и най-ранната поява на локорегионален рецидив, далечни метастази или контралатерален рак на гърдата.</w:t>
      </w:r>
    </w:p>
    <w:p w14:paraId="3A2759A5" w14:textId="77777777" w:rsidR="00E334F9" w:rsidRDefault="00E334F9" w:rsidP="00E334F9">
      <w:pPr>
        <w:spacing w:line="240" w:lineRule="auto"/>
        <w:rPr>
          <w:rFonts w:eastAsia="Times New Roman" w:cs="Arial"/>
          <w:color w:val="000000"/>
          <w:lang w:eastAsia="bg-BG"/>
        </w:rPr>
      </w:pPr>
      <w:r w:rsidRPr="00E334F9">
        <w:rPr>
          <w:rFonts w:eastAsia="Times New Roman" w:cs="Arial"/>
          <w:color w:val="000000"/>
          <w:lang w:eastAsia="bg-BG"/>
        </w:rPr>
        <w:t xml:space="preserve">Първият планиран междинен анализ при медиана на проследяване около 28 месеца (25% от пациентите са проследени в продължение на поне 38 месеца) показва, че летрозол </w:t>
      </w:r>
    </w:p>
    <w:p w14:paraId="3DF9D711" w14:textId="172D2669" w:rsidR="00E334F9" w:rsidRPr="00E334F9" w:rsidRDefault="00E334F9" w:rsidP="00E334F9">
      <w:pPr>
        <w:spacing w:line="240" w:lineRule="auto"/>
        <w:rPr>
          <w:rFonts w:eastAsia="Times New Roman" w:cs="Arial"/>
        </w:rPr>
      </w:pPr>
      <w:r w:rsidRPr="00E334F9">
        <w:rPr>
          <w:rFonts w:eastAsia="Times New Roman" w:cs="Arial"/>
          <w:color w:val="000000"/>
          <w:lang w:eastAsia="bg-BG"/>
        </w:rPr>
        <w:t xml:space="preserve">значимо намалява риска от рецидив на рак на гърдата с 42% спрямо плацебо </w:t>
      </w:r>
      <w:r w:rsidRPr="00E334F9">
        <w:rPr>
          <w:rFonts w:eastAsia="Times New Roman" w:cs="Arial"/>
          <w:color w:val="000000"/>
          <w:lang w:val="ru-RU"/>
        </w:rPr>
        <w:t>(</w:t>
      </w:r>
      <w:r w:rsidRPr="00E334F9">
        <w:rPr>
          <w:rFonts w:eastAsia="Times New Roman" w:cs="Arial"/>
          <w:color w:val="000000"/>
          <w:lang w:val="en-US"/>
        </w:rPr>
        <w:t>HR</w:t>
      </w:r>
      <w:r w:rsidRPr="00E334F9">
        <w:rPr>
          <w:rFonts w:eastAsia="Times New Roman" w:cs="Arial"/>
          <w:color w:val="000000"/>
          <w:lang w:val="ru-RU"/>
        </w:rPr>
        <w:t xml:space="preserve"> </w:t>
      </w:r>
      <w:r w:rsidRPr="00E334F9">
        <w:rPr>
          <w:rFonts w:eastAsia="Times New Roman" w:cs="Arial"/>
          <w:color w:val="000000"/>
          <w:lang w:eastAsia="bg-BG"/>
        </w:rPr>
        <w:t xml:space="preserve">0,58; 95% </w:t>
      </w:r>
      <w:r w:rsidRPr="00E334F9">
        <w:rPr>
          <w:rFonts w:eastAsia="Times New Roman" w:cs="Arial"/>
          <w:color w:val="000000"/>
          <w:lang w:val="en-US"/>
        </w:rPr>
        <w:t>CI</w:t>
      </w:r>
      <w:r w:rsidRPr="00E334F9">
        <w:rPr>
          <w:rFonts w:eastAsia="Times New Roman" w:cs="Arial"/>
          <w:color w:val="000000"/>
          <w:lang w:val="ru-RU"/>
        </w:rPr>
        <w:t xml:space="preserve"> </w:t>
      </w:r>
      <w:r w:rsidRPr="00E334F9">
        <w:rPr>
          <w:rFonts w:eastAsia="Times New Roman" w:cs="Arial"/>
          <w:color w:val="000000"/>
          <w:lang w:eastAsia="bg-BG"/>
        </w:rPr>
        <w:t xml:space="preserve">0,45, 0,76; Р=0,00003). Предимство в полза на летрозол се наблюдава независимо от статуса на лимфните възли. Няма статистически значима разлика по отношение на общата преживяемост: (летрозол 51 смъртни случая; плацебо 62; </w:t>
      </w:r>
      <w:r w:rsidRPr="00E334F9">
        <w:rPr>
          <w:rFonts w:eastAsia="Times New Roman" w:cs="Arial"/>
          <w:color w:val="000000"/>
          <w:lang w:val="en-US"/>
        </w:rPr>
        <w:t>HR</w:t>
      </w:r>
      <w:r w:rsidRPr="00E334F9">
        <w:rPr>
          <w:rFonts w:eastAsia="Times New Roman" w:cs="Arial"/>
          <w:color w:val="000000"/>
          <w:lang w:val="ru-RU"/>
        </w:rPr>
        <w:t xml:space="preserve"> </w:t>
      </w:r>
      <w:r w:rsidRPr="00E334F9">
        <w:rPr>
          <w:rFonts w:eastAsia="Times New Roman" w:cs="Arial"/>
          <w:color w:val="000000"/>
          <w:lang w:eastAsia="bg-BG"/>
        </w:rPr>
        <w:t xml:space="preserve">0,82; 95% </w:t>
      </w:r>
      <w:r w:rsidRPr="00E334F9">
        <w:rPr>
          <w:rFonts w:eastAsia="Times New Roman" w:cs="Arial"/>
          <w:color w:val="000000"/>
          <w:lang w:val="en-US"/>
        </w:rPr>
        <w:t>CI</w:t>
      </w:r>
      <w:r w:rsidRPr="00E334F9">
        <w:rPr>
          <w:rFonts w:eastAsia="Times New Roman" w:cs="Arial"/>
          <w:color w:val="000000"/>
          <w:lang w:val="ru-RU"/>
        </w:rPr>
        <w:t xml:space="preserve"> </w:t>
      </w:r>
      <w:r w:rsidRPr="00E334F9">
        <w:rPr>
          <w:rFonts w:eastAsia="Times New Roman" w:cs="Arial"/>
          <w:color w:val="000000"/>
          <w:lang w:eastAsia="bg-BG"/>
        </w:rPr>
        <w:t>0,56, 1,19).</w:t>
      </w:r>
    </w:p>
    <w:p w14:paraId="26A204D3" w14:textId="77777777" w:rsidR="00E334F9" w:rsidRDefault="00E334F9" w:rsidP="00E334F9">
      <w:pPr>
        <w:spacing w:line="240" w:lineRule="auto"/>
        <w:rPr>
          <w:rFonts w:eastAsia="Times New Roman" w:cs="Arial"/>
          <w:color w:val="000000"/>
          <w:lang w:eastAsia="bg-BG"/>
        </w:rPr>
      </w:pPr>
    </w:p>
    <w:p w14:paraId="5EB150B7" w14:textId="77777777" w:rsidR="00E334F9" w:rsidRPr="00E334F9" w:rsidRDefault="00E334F9" w:rsidP="00E334F9">
      <w:pPr>
        <w:rPr>
          <w:rFonts w:eastAsia="Times New Roman" w:cs="Arial"/>
        </w:rPr>
      </w:pPr>
      <w:r w:rsidRPr="00E334F9">
        <w:rPr>
          <w:rFonts w:eastAsia="Times New Roman" w:cs="Arial"/>
          <w:color w:val="000000"/>
          <w:lang w:eastAsia="bg-BG"/>
        </w:rPr>
        <w:t>Затова, след първия междинен анализ проучването е разслепено и продължава като отворено,</w:t>
      </w:r>
      <w:r>
        <w:rPr>
          <w:rFonts w:eastAsia="Times New Roman" w:cs="Arial"/>
          <w:color w:val="000000"/>
          <w:lang w:eastAsia="bg-BG"/>
        </w:rPr>
        <w:t xml:space="preserve"> </w:t>
      </w:r>
      <w:r w:rsidRPr="00E334F9">
        <w:rPr>
          <w:rFonts w:eastAsia="Times New Roman" w:cs="Arial"/>
          <w:color w:val="000000"/>
          <w:lang w:eastAsia="bg-BG"/>
        </w:rPr>
        <w:t>и на пациентите от плацебо рамото е позволено да преминат на лечение с летрозол в продължение на 5 години. Над 60% от подходящите пациенти (без заболяване при разслепяването) избират да преминат на терапия с летрозол. Крайният анализ включва 1 551 жени, преминали от лечение с плацебо към лечение с летрозол при медиана 31 месеца (граници от 12 до 106 месеца) след приключване на адювантната терапия с тамоксифен. Медианата на продължителност на лечението с летрозол след смяната на терапията е 40 месеца.</w:t>
      </w:r>
    </w:p>
    <w:p w14:paraId="5E19FFA9" w14:textId="77777777" w:rsidR="00E334F9" w:rsidRDefault="00E334F9" w:rsidP="00E334F9">
      <w:pPr>
        <w:spacing w:line="240" w:lineRule="auto"/>
        <w:rPr>
          <w:rFonts w:eastAsia="Times New Roman" w:cs="Arial"/>
          <w:color w:val="000000"/>
          <w:lang w:eastAsia="bg-BG"/>
        </w:rPr>
      </w:pPr>
    </w:p>
    <w:p w14:paraId="77991C1A" w14:textId="77777777" w:rsidR="00E334F9" w:rsidRDefault="00E334F9" w:rsidP="00E334F9">
      <w:pPr>
        <w:spacing w:line="240" w:lineRule="auto"/>
        <w:rPr>
          <w:rFonts w:eastAsia="Times New Roman" w:cs="Arial"/>
          <w:color w:val="000000"/>
          <w:lang w:eastAsia="bg-BG"/>
        </w:rPr>
      </w:pPr>
      <w:r w:rsidRPr="00E334F9">
        <w:rPr>
          <w:rFonts w:eastAsia="Times New Roman" w:cs="Arial"/>
          <w:color w:val="000000"/>
          <w:lang w:eastAsia="bg-BG"/>
        </w:rPr>
        <w:t xml:space="preserve">Крайният анализ, проведен при медиана на проследяване 62 месеца, потвърждава </w:t>
      </w:r>
    </w:p>
    <w:p w14:paraId="537266A7" w14:textId="2671D22F" w:rsidR="00E334F9" w:rsidRPr="00E334F9" w:rsidRDefault="00E334F9" w:rsidP="00E334F9">
      <w:pPr>
        <w:spacing w:line="240" w:lineRule="auto"/>
        <w:rPr>
          <w:rFonts w:eastAsia="Times New Roman" w:cs="Arial"/>
        </w:rPr>
      </w:pPr>
      <w:r w:rsidRPr="00E334F9">
        <w:rPr>
          <w:rFonts w:eastAsia="Times New Roman" w:cs="Arial"/>
          <w:color w:val="000000"/>
          <w:lang w:eastAsia="bg-BG"/>
        </w:rPr>
        <w:t>сигнификантната редукция на риска от рецидив на рак на гърдата при летрозол.</w:t>
      </w:r>
    </w:p>
    <w:p w14:paraId="4849521E" w14:textId="77777777" w:rsidR="00E334F9" w:rsidRDefault="00E334F9" w:rsidP="00E334F9">
      <w:pPr>
        <w:spacing w:line="240" w:lineRule="auto"/>
        <w:rPr>
          <w:rFonts w:eastAsia="Times New Roman" w:cs="Arial"/>
          <w:b/>
          <w:bCs/>
          <w:color w:val="000000"/>
          <w:lang w:eastAsia="bg-BG"/>
        </w:rPr>
      </w:pPr>
      <w:bookmarkStart w:id="1" w:name="bookmark0"/>
    </w:p>
    <w:p w14:paraId="66D8FD44" w14:textId="47D81924" w:rsidR="00E334F9" w:rsidRPr="00E334F9" w:rsidRDefault="00E334F9" w:rsidP="00E334F9">
      <w:pPr>
        <w:spacing w:line="240" w:lineRule="auto"/>
        <w:rPr>
          <w:rFonts w:eastAsia="Times New Roman" w:cs="Arial"/>
        </w:rPr>
      </w:pPr>
      <w:r w:rsidRPr="00E334F9">
        <w:rPr>
          <w:rFonts w:eastAsia="Times New Roman" w:cs="Arial"/>
          <w:b/>
          <w:bCs/>
          <w:color w:val="000000"/>
          <w:lang w:eastAsia="bg-BG"/>
        </w:rPr>
        <w:t xml:space="preserve">Таблица 8 Преживяемост без заболяване и обща преживяемост (Модифицирана </w:t>
      </w:r>
      <w:r w:rsidRPr="00E334F9">
        <w:rPr>
          <w:rFonts w:eastAsia="Times New Roman" w:cs="Arial"/>
          <w:b/>
          <w:bCs/>
          <w:color w:val="000000"/>
          <w:lang w:val="en-US"/>
        </w:rPr>
        <w:t>ITT</w:t>
      </w:r>
      <w:r w:rsidRPr="00E334F9">
        <w:rPr>
          <w:rFonts w:eastAsia="Times New Roman" w:cs="Arial"/>
          <w:b/>
          <w:bCs/>
          <w:color w:val="000000"/>
          <w:lang w:val="ru-RU"/>
        </w:rPr>
        <w:t xml:space="preserve"> </w:t>
      </w:r>
      <w:r w:rsidRPr="00E334F9">
        <w:rPr>
          <w:rFonts w:eastAsia="Times New Roman" w:cs="Arial"/>
          <w:b/>
          <w:bCs/>
          <w:color w:val="000000"/>
          <w:lang w:eastAsia="bg-BG"/>
        </w:rPr>
        <w:t>популация)</w:t>
      </w:r>
      <w:bookmarkEnd w:id="1"/>
    </w:p>
    <w:tbl>
      <w:tblPr>
        <w:tblStyle w:val="TableGrid"/>
        <w:tblW w:w="0" w:type="auto"/>
        <w:tblLook w:val="04A0" w:firstRow="1" w:lastRow="0" w:firstColumn="1" w:lastColumn="0" w:noHBand="0" w:noVBand="1"/>
      </w:tblPr>
      <w:tblGrid>
        <w:gridCol w:w="1662"/>
        <w:gridCol w:w="1253"/>
        <w:gridCol w:w="1165"/>
        <w:gridCol w:w="1281"/>
        <w:gridCol w:w="1354"/>
        <w:gridCol w:w="1354"/>
        <w:gridCol w:w="1281"/>
      </w:tblGrid>
      <w:tr w:rsidR="00E334F9" w14:paraId="772E7DA4" w14:textId="77777777" w:rsidTr="00E334F9">
        <w:tc>
          <w:tcPr>
            <w:tcW w:w="1888" w:type="dxa"/>
          </w:tcPr>
          <w:p w14:paraId="0C2BEC6C" w14:textId="77777777" w:rsidR="00E334F9" w:rsidRDefault="00E334F9" w:rsidP="00E334F9">
            <w:pPr>
              <w:spacing w:line="240" w:lineRule="auto"/>
              <w:rPr>
                <w:rFonts w:eastAsia="Times New Roman" w:cs="Arial"/>
              </w:rPr>
            </w:pPr>
          </w:p>
        </w:tc>
        <w:tc>
          <w:tcPr>
            <w:tcW w:w="3699" w:type="dxa"/>
            <w:gridSpan w:val="3"/>
            <w:vAlign w:val="bottom"/>
          </w:tcPr>
          <w:p w14:paraId="066A7078" w14:textId="5C9AB634" w:rsidR="00E334F9" w:rsidRPr="00E334F9" w:rsidRDefault="00E334F9" w:rsidP="00E334F9">
            <w:pPr>
              <w:rPr>
                <w:rFonts w:eastAsia="Times New Roman" w:cs="Arial"/>
                <w:b/>
              </w:rPr>
            </w:pPr>
            <w:r w:rsidRPr="00E334F9">
              <w:rPr>
                <w:b/>
              </w:rPr>
              <w:t>Медиана на проследяване 28 месеца</w:t>
            </w:r>
          </w:p>
        </w:tc>
        <w:tc>
          <w:tcPr>
            <w:tcW w:w="3989" w:type="dxa"/>
            <w:gridSpan w:val="3"/>
            <w:vAlign w:val="bottom"/>
          </w:tcPr>
          <w:p w14:paraId="0F422267" w14:textId="364CD3AA" w:rsidR="00E334F9" w:rsidRPr="00E334F9" w:rsidRDefault="00E334F9" w:rsidP="00E334F9">
            <w:pPr>
              <w:rPr>
                <w:rFonts w:eastAsia="Times New Roman" w:cs="Arial"/>
                <w:b/>
              </w:rPr>
            </w:pPr>
            <w:r w:rsidRPr="00E334F9">
              <w:rPr>
                <w:b/>
              </w:rPr>
              <w:t>Медиана на проследяване 62 месеца</w:t>
            </w:r>
          </w:p>
        </w:tc>
      </w:tr>
      <w:tr w:rsidR="00765CE3" w14:paraId="35E6826C" w14:textId="77777777" w:rsidTr="00E334F9">
        <w:tc>
          <w:tcPr>
            <w:tcW w:w="1888" w:type="dxa"/>
          </w:tcPr>
          <w:p w14:paraId="4D96ED92" w14:textId="77777777" w:rsidR="00E334F9" w:rsidRDefault="00E334F9" w:rsidP="00E334F9">
            <w:pPr>
              <w:spacing w:line="240" w:lineRule="auto"/>
              <w:rPr>
                <w:rFonts w:eastAsia="Times New Roman" w:cs="Arial"/>
              </w:rPr>
            </w:pPr>
          </w:p>
        </w:tc>
        <w:tc>
          <w:tcPr>
            <w:tcW w:w="1253" w:type="dxa"/>
          </w:tcPr>
          <w:p w14:paraId="3224D095" w14:textId="1E23B0A9" w:rsidR="00E334F9" w:rsidRPr="00E334F9" w:rsidRDefault="00E334F9" w:rsidP="00E334F9">
            <w:pPr>
              <w:rPr>
                <w:rFonts w:eastAsia="Times New Roman" w:cs="Arial"/>
                <w:b/>
              </w:rPr>
            </w:pPr>
            <w:r w:rsidRPr="00E334F9">
              <w:rPr>
                <w:b/>
              </w:rPr>
              <w:t xml:space="preserve">Летрозол </w:t>
            </w:r>
            <w:r w:rsidRPr="00E334F9">
              <w:rPr>
                <w:b/>
                <w:lang w:val="en-US"/>
              </w:rPr>
              <w:t>N=</w:t>
            </w:r>
            <w:r w:rsidRPr="00E334F9">
              <w:rPr>
                <w:b/>
              </w:rPr>
              <w:t>2582</w:t>
            </w:r>
          </w:p>
        </w:tc>
        <w:tc>
          <w:tcPr>
            <w:tcW w:w="1165" w:type="dxa"/>
          </w:tcPr>
          <w:p w14:paraId="4962B61A" w14:textId="5A3D021C" w:rsidR="00E334F9" w:rsidRPr="00E334F9" w:rsidRDefault="00E334F9" w:rsidP="00E334F9">
            <w:pPr>
              <w:rPr>
                <w:rFonts w:eastAsia="Times New Roman" w:cs="Arial"/>
                <w:b/>
              </w:rPr>
            </w:pPr>
            <w:r w:rsidRPr="00E334F9">
              <w:rPr>
                <w:b/>
              </w:rPr>
              <w:t xml:space="preserve">Плацебо </w:t>
            </w:r>
            <w:r w:rsidRPr="00E334F9">
              <w:rPr>
                <w:b/>
                <w:lang w:val="en-US"/>
              </w:rPr>
              <w:t>N=</w:t>
            </w:r>
            <w:r w:rsidRPr="00E334F9">
              <w:rPr>
                <w:b/>
              </w:rPr>
              <w:t>2586</w:t>
            </w:r>
          </w:p>
        </w:tc>
        <w:tc>
          <w:tcPr>
            <w:tcW w:w="1281" w:type="dxa"/>
          </w:tcPr>
          <w:p w14:paraId="6AF0D258" w14:textId="7186C748" w:rsidR="00E334F9" w:rsidRPr="00E334F9" w:rsidRDefault="00E334F9" w:rsidP="00E334F9">
            <w:pPr>
              <w:rPr>
                <w:rFonts w:eastAsia="Times New Roman" w:cs="Arial"/>
                <w:b/>
              </w:rPr>
            </w:pPr>
            <w:r w:rsidRPr="00E334F9">
              <w:rPr>
                <w:b/>
                <w:lang w:val="en-US"/>
              </w:rPr>
              <w:t xml:space="preserve">HR </w:t>
            </w:r>
            <w:r w:rsidRPr="00E334F9">
              <w:rPr>
                <w:b/>
              </w:rPr>
              <w:t xml:space="preserve">(95% </w:t>
            </w:r>
            <w:r w:rsidRPr="00E334F9">
              <w:rPr>
                <w:b/>
                <w:lang w:val="en-US"/>
              </w:rPr>
              <w:t>CI)</w:t>
            </w:r>
            <w:r w:rsidRPr="00E334F9">
              <w:rPr>
                <w:b/>
                <w:vertAlign w:val="superscript"/>
                <w:lang w:val="en-US"/>
              </w:rPr>
              <w:t xml:space="preserve">2 </w:t>
            </w:r>
            <w:r w:rsidRPr="00E334F9">
              <w:rPr>
                <w:b/>
                <w:i/>
                <w:iCs/>
              </w:rPr>
              <w:t>Р</w:t>
            </w:r>
            <w:r w:rsidRPr="00E334F9">
              <w:rPr>
                <w:b/>
              </w:rPr>
              <w:t xml:space="preserve"> </w:t>
            </w:r>
            <w:r w:rsidRPr="00E334F9">
              <w:rPr>
                <w:b/>
                <w:lang w:val="en-US"/>
              </w:rPr>
              <w:t>value</w:t>
            </w:r>
          </w:p>
        </w:tc>
        <w:tc>
          <w:tcPr>
            <w:tcW w:w="1354" w:type="dxa"/>
          </w:tcPr>
          <w:p w14:paraId="33C25E13" w14:textId="5A981090" w:rsidR="00E334F9" w:rsidRPr="00E334F9" w:rsidRDefault="00E334F9" w:rsidP="00E334F9">
            <w:pPr>
              <w:rPr>
                <w:rFonts w:eastAsia="Times New Roman" w:cs="Arial"/>
                <w:b/>
              </w:rPr>
            </w:pPr>
            <w:r w:rsidRPr="00E334F9">
              <w:rPr>
                <w:b/>
              </w:rPr>
              <w:t>Летрозол №2582</w:t>
            </w:r>
          </w:p>
        </w:tc>
        <w:tc>
          <w:tcPr>
            <w:tcW w:w="1354" w:type="dxa"/>
          </w:tcPr>
          <w:p w14:paraId="429FCC27" w14:textId="16C04473" w:rsidR="00E334F9" w:rsidRPr="00E334F9" w:rsidRDefault="00E334F9" w:rsidP="00E334F9">
            <w:pPr>
              <w:rPr>
                <w:rFonts w:eastAsia="Times New Roman" w:cs="Arial"/>
                <w:b/>
              </w:rPr>
            </w:pPr>
            <w:r w:rsidRPr="00E334F9">
              <w:rPr>
                <w:b/>
              </w:rPr>
              <w:t>Плацебо №2586</w:t>
            </w:r>
          </w:p>
        </w:tc>
        <w:tc>
          <w:tcPr>
            <w:tcW w:w="1281" w:type="dxa"/>
          </w:tcPr>
          <w:p w14:paraId="0767D86D" w14:textId="690EA4F9" w:rsidR="00E334F9" w:rsidRPr="00E334F9" w:rsidRDefault="00E334F9" w:rsidP="00E334F9">
            <w:pPr>
              <w:rPr>
                <w:rFonts w:eastAsia="Times New Roman" w:cs="Arial"/>
                <w:b/>
              </w:rPr>
            </w:pPr>
            <w:r w:rsidRPr="00E334F9">
              <w:rPr>
                <w:b/>
                <w:lang w:val="en-US"/>
              </w:rPr>
              <w:t xml:space="preserve">HR </w:t>
            </w:r>
            <w:r w:rsidRPr="00E334F9">
              <w:rPr>
                <w:b/>
              </w:rPr>
              <w:t xml:space="preserve">(95% </w:t>
            </w:r>
            <w:r w:rsidRPr="00E334F9">
              <w:rPr>
                <w:b/>
                <w:lang w:val="en-US"/>
              </w:rPr>
              <w:t>CI)</w:t>
            </w:r>
            <w:r w:rsidRPr="00E334F9">
              <w:rPr>
                <w:b/>
                <w:vertAlign w:val="superscript"/>
                <w:lang w:val="en-US"/>
              </w:rPr>
              <w:t xml:space="preserve">2 </w:t>
            </w:r>
            <w:r w:rsidRPr="00E334F9">
              <w:rPr>
                <w:b/>
                <w:i/>
                <w:iCs/>
              </w:rPr>
              <w:t>Р</w:t>
            </w:r>
            <w:r w:rsidRPr="00E334F9">
              <w:rPr>
                <w:b/>
              </w:rPr>
              <w:t xml:space="preserve"> </w:t>
            </w:r>
            <w:r w:rsidRPr="00E334F9">
              <w:rPr>
                <w:b/>
                <w:lang w:val="en-US"/>
              </w:rPr>
              <w:t>value</w:t>
            </w:r>
          </w:p>
        </w:tc>
      </w:tr>
      <w:tr w:rsidR="00E334F9" w14:paraId="375971F0" w14:textId="77777777" w:rsidTr="00FD1D49">
        <w:tc>
          <w:tcPr>
            <w:tcW w:w="9576" w:type="dxa"/>
            <w:gridSpan w:val="7"/>
          </w:tcPr>
          <w:p w14:paraId="318E3379" w14:textId="41217D3F" w:rsidR="00E334F9" w:rsidRPr="00E334F9" w:rsidRDefault="00E334F9" w:rsidP="00E334F9">
            <w:pPr>
              <w:rPr>
                <w:rFonts w:cs="Arial"/>
                <w:b/>
              </w:rPr>
            </w:pPr>
            <w:r w:rsidRPr="00E334F9">
              <w:rPr>
                <w:b/>
                <w:lang w:eastAsia="bg-BG"/>
              </w:rPr>
              <w:t>Преживяемост без заболяване</w:t>
            </w:r>
            <w:r w:rsidRPr="00E334F9">
              <w:rPr>
                <w:b/>
                <w:vertAlign w:val="superscript"/>
                <w:lang w:eastAsia="bg-BG"/>
              </w:rPr>
              <w:t>3</w:t>
            </w:r>
          </w:p>
        </w:tc>
      </w:tr>
      <w:tr w:rsidR="00765CE3" w14:paraId="06F82E37" w14:textId="77777777" w:rsidTr="00E334F9">
        <w:tc>
          <w:tcPr>
            <w:tcW w:w="1888" w:type="dxa"/>
          </w:tcPr>
          <w:p w14:paraId="7D74DAE0" w14:textId="6A999F51" w:rsidR="00E334F9" w:rsidRPr="00E334F9" w:rsidRDefault="00E334F9" w:rsidP="00E334F9">
            <w:pPr>
              <w:spacing w:line="240" w:lineRule="auto"/>
              <w:rPr>
                <w:rFonts w:eastAsia="Times New Roman" w:cs="Arial"/>
              </w:rPr>
            </w:pPr>
            <w:r w:rsidRPr="00E334F9">
              <w:t>Събития</w:t>
            </w:r>
          </w:p>
        </w:tc>
        <w:tc>
          <w:tcPr>
            <w:tcW w:w="1253" w:type="dxa"/>
          </w:tcPr>
          <w:p w14:paraId="06FDC9A6" w14:textId="2281E249" w:rsidR="00E334F9" w:rsidRPr="00E334F9" w:rsidRDefault="00E334F9" w:rsidP="00E334F9">
            <w:pPr>
              <w:spacing w:line="240" w:lineRule="auto"/>
              <w:rPr>
                <w:rFonts w:eastAsia="Times New Roman" w:cs="Arial"/>
              </w:rPr>
            </w:pPr>
            <w:r w:rsidRPr="00E334F9">
              <w:t>92 (3.6%)</w:t>
            </w:r>
          </w:p>
        </w:tc>
        <w:tc>
          <w:tcPr>
            <w:tcW w:w="1165" w:type="dxa"/>
          </w:tcPr>
          <w:p w14:paraId="512DABF6" w14:textId="6BD2C7A9" w:rsidR="00E334F9" w:rsidRPr="00E334F9" w:rsidRDefault="00E334F9" w:rsidP="00E334F9">
            <w:pPr>
              <w:spacing w:line="240" w:lineRule="auto"/>
              <w:rPr>
                <w:rFonts w:eastAsia="Times New Roman" w:cs="Arial"/>
              </w:rPr>
            </w:pPr>
            <w:r w:rsidRPr="00E334F9">
              <w:t>155 (6.0%)</w:t>
            </w:r>
          </w:p>
        </w:tc>
        <w:tc>
          <w:tcPr>
            <w:tcW w:w="1281" w:type="dxa"/>
          </w:tcPr>
          <w:p w14:paraId="602AE138" w14:textId="104280A1" w:rsidR="00E334F9" w:rsidRPr="00E334F9" w:rsidRDefault="00E334F9" w:rsidP="00E334F9">
            <w:pPr>
              <w:spacing w:line="240" w:lineRule="auto"/>
              <w:rPr>
                <w:rFonts w:eastAsia="Times New Roman" w:cs="Arial"/>
              </w:rPr>
            </w:pPr>
            <w:r w:rsidRPr="00E334F9">
              <w:t>0.58 (0.45, 0.76) 0.00003</w:t>
            </w:r>
          </w:p>
        </w:tc>
        <w:tc>
          <w:tcPr>
            <w:tcW w:w="1354" w:type="dxa"/>
          </w:tcPr>
          <w:p w14:paraId="680F0DEA" w14:textId="624D590F" w:rsidR="00E334F9" w:rsidRPr="00E334F9" w:rsidRDefault="00E334F9" w:rsidP="00E334F9">
            <w:pPr>
              <w:spacing w:line="240" w:lineRule="auto"/>
              <w:rPr>
                <w:rFonts w:eastAsia="Times New Roman" w:cs="Arial"/>
              </w:rPr>
            </w:pPr>
            <w:r w:rsidRPr="00E334F9">
              <w:t>209 (8.1%)</w:t>
            </w:r>
          </w:p>
        </w:tc>
        <w:tc>
          <w:tcPr>
            <w:tcW w:w="1354" w:type="dxa"/>
          </w:tcPr>
          <w:p w14:paraId="2495AB6B" w14:textId="4C5E739C" w:rsidR="00E334F9" w:rsidRPr="00E334F9" w:rsidRDefault="00E334F9" w:rsidP="00E334F9">
            <w:pPr>
              <w:spacing w:line="240" w:lineRule="auto"/>
              <w:rPr>
                <w:rFonts w:eastAsia="Times New Roman" w:cs="Arial"/>
              </w:rPr>
            </w:pPr>
            <w:r w:rsidRPr="00E334F9">
              <w:t>286(11.1%)</w:t>
            </w:r>
          </w:p>
        </w:tc>
        <w:tc>
          <w:tcPr>
            <w:tcW w:w="1281" w:type="dxa"/>
          </w:tcPr>
          <w:p w14:paraId="1CDDE072" w14:textId="5E85F55F" w:rsidR="00E334F9" w:rsidRPr="00E334F9" w:rsidRDefault="00E334F9" w:rsidP="00E334F9">
            <w:pPr>
              <w:spacing w:line="240" w:lineRule="auto"/>
              <w:rPr>
                <w:rFonts w:eastAsia="Times New Roman" w:cs="Arial"/>
              </w:rPr>
            </w:pPr>
            <w:r w:rsidRPr="00E334F9">
              <w:t>0.75 (0.63, 0.89)</w:t>
            </w:r>
          </w:p>
        </w:tc>
      </w:tr>
      <w:tr w:rsidR="00765CE3" w14:paraId="35EB015A" w14:textId="77777777" w:rsidTr="00E334F9">
        <w:tc>
          <w:tcPr>
            <w:tcW w:w="1888" w:type="dxa"/>
          </w:tcPr>
          <w:p w14:paraId="7A119B51" w14:textId="54232536" w:rsidR="00E334F9" w:rsidRPr="00E334F9" w:rsidRDefault="00E334F9" w:rsidP="00E334F9">
            <w:pPr>
              <w:spacing w:line="240" w:lineRule="auto"/>
              <w:rPr>
                <w:rFonts w:eastAsia="Times New Roman" w:cs="Arial"/>
              </w:rPr>
            </w:pPr>
            <w:r w:rsidRPr="00E334F9">
              <w:t xml:space="preserve">4-годишна </w:t>
            </w:r>
            <w:r w:rsidRPr="00E334F9">
              <w:rPr>
                <w:lang w:val="en-US"/>
              </w:rPr>
              <w:t>DFS</w:t>
            </w:r>
          </w:p>
        </w:tc>
        <w:tc>
          <w:tcPr>
            <w:tcW w:w="1253" w:type="dxa"/>
          </w:tcPr>
          <w:p w14:paraId="10805A21" w14:textId="63577171" w:rsidR="00E334F9" w:rsidRPr="00E334F9" w:rsidRDefault="00E334F9" w:rsidP="00E334F9">
            <w:pPr>
              <w:spacing w:line="240" w:lineRule="auto"/>
              <w:rPr>
                <w:rFonts w:eastAsia="Times New Roman" w:cs="Arial"/>
              </w:rPr>
            </w:pPr>
            <w:r w:rsidRPr="00E334F9">
              <w:t>94.4%</w:t>
            </w:r>
          </w:p>
        </w:tc>
        <w:tc>
          <w:tcPr>
            <w:tcW w:w="1165" w:type="dxa"/>
          </w:tcPr>
          <w:p w14:paraId="270E6674" w14:textId="2CA7DA50" w:rsidR="00E334F9" w:rsidRPr="00E334F9" w:rsidRDefault="00E334F9" w:rsidP="00E334F9">
            <w:pPr>
              <w:spacing w:line="240" w:lineRule="auto"/>
              <w:rPr>
                <w:rFonts w:eastAsia="Times New Roman" w:cs="Arial"/>
              </w:rPr>
            </w:pPr>
            <w:r w:rsidRPr="00E334F9">
              <w:t>89.8%</w:t>
            </w:r>
          </w:p>
        </w:tc>
        <w:tc>
          <w:tcPr>
            <w:tcW w:w="1281" w:type="dxa"/>
          </w:tcPr>
          <w:p w14:paraId="6E7D2809" w14:textId="77777777" w:rsidR="00E334F9" w:rsidRPr="00E334F9" w:rsidRDefault="00E334F9" w:rsidP="00E334F9">
            <w:pPr>
              <w:spacing w:line="240" w:lineRule="auto"/>
              <w:rPr>
                <w:rFonts w:eastAsia="Times New Roman" w:cs="Arial"/>
              </w:rPr>
            </w:pPr>
          </w:p>
        </w:tc>
        <w:tc>
          <w:tcPr>
            <w:tcW w:w="1354" w:type="dxa"/>
          </w:tcPr>
          <w:p w14:paraId="5275CE70" w14:textId="3E6EF5DF" w:rsidR="00E334F9" w:rsidRPr="00E334F9" w:rsidRDefault="00E334F9" w:rsidP="00E334F9">
            <w:pPr>
              <w:spacing w:line="240" w:lineRule="auto"/>
              <w:rPr>
                <w:rFonts w:eastAsia="Times New Roman" w:cs="Arial"/>
              </w:rPr>
            </w:pPr>
            <w:r w:rsidRPr="00E334F9">
              <w:t>94.4%</w:t>
            </w:r>
          </w:p>
        </w:tc>
        <w:tc>
          <w:tcPr>
            <w:tcW w:w="1354" w:type="dxa"/>
          </w:tcPr>
          <w:p w14:paraId="0C7D918E" w14:textId="41DB3870" w:rsidR="00E334F9" w:rsidRPr="00E334F9" w:rsidRDefault="00E334F9" w:rsidP="00E334F9">
            <w:pPr>
              <w:spacing w:line="240" w:lineRule="auto"/>
              <w:rPr>
                <w:rFonts w:eastAsia="Times New Roman" w:cs="Arial"/>
              </w:rPr>
            </w:pPr>
            <w:r w:rsidRPr="00E334F9">
              <w:t>91.4%</w:t>
            </w:r>
          </w:p>
        </w:tc>
        <w:tc>
          <w:tcPr>
            <w:tcW w:w="1281" w:type="dxa"/>
          </w:tcPr>
          <w:p w14:paraId="4845B985" w14:textId="77777777" w:rsidR="00E334F9" w:rsidRPr="00E334F9" w:rsidRDefault="00E334F9" w:rsidP="00E334F9">
            <w:pPr>
              <w:spacing w:line="240" w:lineRule="auto"/>
              <w:rPr>
                <w:rFonts w:eastAsia="Times New Roman" w:cs="Arial"/>
              </w:rPr>
            </w:pPr>
          </w:p>
        </w:tc>
      </w:tr>
      <w:tr w:rsidR="00E334F9" w14:paraId="4BA7FF42" w14:textId="77777777" w:rsidTr="000B630D">
        <w:tc>
          <w:tcPr>
            <w:tcW w:w="9576" w:type="dxa"/>
            <w:gridSpan w:val="7"/>
          </w:tcPr>
          <w:p w14:paraId="31C41D62" w14:textId="2BE503B1" w:rsidR="00E334F9" w:rsidRPr="00E334F9" w:rsidRDefault="00E334F9" w:rsidP="00E334F9">
            <w:pPr>
              <w:rPr>
                <w:rFonts w:cs="Arial"/>
                <w:b/>
              </w:rPr>
            </w:pPr>
            <w:r w:rsidRPr="00E334F9">
              <w:rPr>
                <w:b/>
                <w:lang w:eastAsia="bg-BG"/>
              </w:rPr>
              <w:t>Преживяемост без заболяване</w:t>
            </w:r>
            <w:r w:rsidRPr="00E334F9">
              <w:rPr>
                <w:b/>
                <w:vertAlign w:val="superscript"/>
                <w:lang w:eastAsia="bg-BG"/>
              </w:rPr>
              <w:t>3</w:t>
            </w:r>
            <w:r w:rsidRPr="00E334F9">
              <w:rPr>
                <w:b/>
                <w:lang w:eastAsia="bg-BG"/>
              </w:rPr>
              <w:t xml:space="preserve"> , включително смърт поради друга причина</w:t>
            </w:r>
          </w:p>
        </w:tc>
      </w:tr>
      <w:tr w:rsidR="00765CE3" w14:paraId="05A78FCC" w14:textId="77777777" w:rsidTr="00E334F9">
        <w:tc>
          <w:tcPr>
            <w:tcW w:w="1888" w:type="dxa"/>
          </w:tcPr>
          <w:p w14:paraId="06F86BD5" w14:textId="58BFF502" w:rsidR="00E334F9" w:rsidRPr="00E334F9" w:rsidRDefault="00E334F9" w:rsidP="00E334F9">
            <w:pPr>
              <w:spacing w:line="240" w:lineRule="auto"/>
              <w:rPr>
                <w:rFonts w:eastAsia="Times New Roman" w:cs="Arial"/>
              </w:rPr>
            </w:pPr>
            <w:r w:rsidRPr="00E334F9">
              <w:lastRenderedPageBreak/>
              <w:t>Събития</w:t>
            </w:r>
          </w:p>
        </w:tc>
        <w:tc>
          <w:tcPr>
            <w:tcW w:w="1253" w:type="dxa"/>
          </w:tcPr>
          <w:p w14:paraId="034D9097" w14:textId="57273DBE" w:rsidR="00E334F9" w:rsidRPr="00E334F9" w:rsidRDefault="00E334F9" w:rsidP="00E334F9">
            <w:pPr>
              <w:spacing w:line="240" w:lineRule="auto"/>
              <w:rPr>
                <w:rFonts w:eastAsia="Times New Roman" w:cs="Arial"/>
              </w:rPr>
            </w:pPr>
            <w:r w:rsidRPr="00E334F9">
              <w:t>122 (4.7%)</w:t>
            </w:r>
          </w:p>
        </w:tc>
        <w:tc>
          <w:tcPr>
            <w:tcW w:w="1165" w:type="dxa"/>
          </w:tcPr>
          <w:p w14:paraId="51B0ABE6" w14:textId="17789112" w:rsidR="00E334F9" w:rsidRPr="00E334F9" w:rsidRDefault="00E334F9" w:rsidP="00E334F9">
            <w:pPr>
              <w:spacing w:line="240" w:lineRule="auto"/>
              <w:rPr>
                <w:rFonts w:eastAsia="Times New Roman" w:cs="Arial"/>
              </w:rPr>
            </w:pPr>
            <w:r w:rsidRPr="00E334F9">
              <w:t>193 (7.5%)</w:t>
            </w:r>
          </w:p>
        </w:tc>
        <w:tc>
          <w:tcPr>
            <w:tcW w:w="1281" w:type="dxa"/>
          </w:tcPr>
          <w:p w14:paraId="01BF757F" w14:textId="07621A5D" w:rsidR="00E334F9" w:rsidRPr="00E334F9" w:rsidRDefault="00E334F9" w:rsidP="00E334F9">
            <w:pPr>
              <w:spacing w:line="240" w:lineRule="auto"/>
              <w:rPr>
                <w:rFonts w:eastAsia="Times New Roman" w:cs="Arial"/>
              </w:rPr>
            </w:pPr>
            <w:r w:rsidRPr="00E334F9">
              <w:t>0.62</w:t>
            </w:r>
          </w:p>
        </w:tc>
        <w:tc>
          <w:tcPr>
            <w:tcW w:w="1354" w:type="dxa"/>
          </w:tcPr>
          <w:p w14:paraId="290B3293" w14:textId="599A0573" w:rsidR="00E334F9" w:rsidRPr="00E334F9" w:rsidRDefault="00E334F9" w:rsidP="00E334F9">
            <w:pPr>
              <w:spacing w:line="240" w:lineRule="auto"/>
              <w:rPr>
                <w:rFonts w:eastAsia="Times New Roman" w:cs="Arial"/>
              </w:rPr>
            </w:pPr>
            <w:r w:rsidRPr="00E334F9">
              <w:t>344(13.3%)</w:t>
            </w:r>
          </w:p>
        </w:tc>
        <w:tc>
          <w:tcPr>
            <w:tcW w:w="1354" w:type="dxa"/>
          </w:tcPr>
          <w:p w14:paraId="2D9FF60A" w14:textId="04CFF84E" w:rsidR="00E334F9" w:rsidRPr="00E334F9" w:rsidRDefault="00E334F9" w:rsidP="00E334F9">
            <w:pPr>
              <w:spacing w:line="240" w:lineRule="auto"/>
              <w:rPr>
                <w:rFonts w:eastAsia="Times New Roman" w:cs="Arial"/>
              </w:rPr>
            </w:pPr>
            <w:r w:rsidRPr="00E334F9">
              <w:t>402(15.5%)</w:t>
            </w:r>
          </w:p>
        </w:tc>
        <w:tc>
          <w:tcPr>
            <w:tcW w:w="1281" w:type="dxa"/>
          </w:tcPr>
          <w:p w14:paraId="6CAEB6CC" w14:textId="39756E8D" w:rsidR="00E334F9" w:rsidRPr="00E334F9" w:rsidRDefault="00E334F9" w:rsidP="00E334F9">
            <w:pPr>
              <w:spacing w:line="240" w:lineRule="auto"/>
              <w:rPr>
                <w:rFonts w:eastAsia="Times New Roman" w:cs="Arial"/>
              </w:rPr>
            </w:pPr>
            <w:r w:rsidRPr="00E334F9">
              <w:t>0.89</w:t>
            </w:r>
          </w:p>
        </w:tc>
      </w:tr>
      <w:tr w:rsidR="00765CE3" w14:paraId="72A63F79" w14:textId="77777777" w:rsidTr="00E334F9">
        <w:tc>
          <w:tcPr>
            <w:tcW w:w="1888" w:type="dxa"/>
            <w:vAlign w:val="bottom"/>
          </w:tcPr>
          <w:p w14:paraId="084436F1" w14:textId="691EE31F" w:rsidR="00E334F9" w:rsidRPr="00E334F9" w:rsidRDefault="00E334F9" w:rsidP="00E334F9">
            <w:pPr>
              <w:spacing w:line="240" w:lineRule="auto"/>
              <w:rPr>
                <w:rFonts w:eastAsia="Times New Roman" w:cs="Arial"/>
              </w:rPr>
            </w:pPr>
            <w:r w:rsidRPr="00E334F9">
              <w:t xml:space="preserve">5-годишна </w:t>
            </w:r>
            <w:r w:rsidRPr="00E334F9">
              <w:rPr>
                <w:lang w:val="en-US"/>
              </w:rPr>
              <w:t>DFS</w:t>
            </w:r>
          </w:p>
        </w:tc>
        <w:tc>
          <w:tcPr>
            <w:tcW w:w="1253" w:type="dxa"/>
            <w:vAlign w:val="bottom"/>
          </w:tcPr>
          <w:p w14:paraId="3BFC6703" w14:textId="60FC1C8A" w:rsidR="00E334F9" w:rsidRPr="00E334F9" w:rsidRDefault="00E334F9" w:rsidP="00E334F9">
            <w:pPr>
              <w:spacing w:line="240" w:lineRule="auto"/>
              <w:rPr>
                <w:rFonts w:eastAsia="Times New Roman" w:cs="Arial"/>
              </w:rPr>
            </w:pPr>
            <w:r w:rsidRPr="00E334F9">
              <w:t>90.5%</w:t>
            </w:r>
          </w:p>
        </w:tc>
        <w:tc>
          <w:tcPr>
            <w:tcW w:w="1165" w:type="dxa"/>
            <w:vAlign w:val="bottom"/>
          </w:tcPr>
          <w:p w14:paraId="5D089F0D" w14:textId="42DFB2C6" w:rsidR="00E334F9" w:rsidRPr="00E334F9" w:rsidRDefault="00E334F9" w:rsidP="00E334F9">
            <w:pPr>
              <w:spacing w:line="240" w:lineRule="auto"/>
              <w:rPr>
                <w:rFonts w:eastAsia="Times New Roman" w:cs="Arial"/>
              </w:rPr>
            </w:pPr>
            <w:r w:rsidRPr="00E334F9">
              <w:t>80.8%</w:t>
            </w:r>
          </w:p>
        </w:tc>
        <w:tc>
          <w:tcPr>
            <w:tcW w:w="1281" w:type="dxa"/>
          </w:tcPr>
          <w:p w14:paraId="2ECAA212" w14:textId="1ADA2B33" w:rsidR="00E334F9" w:rsidRPr="00E334F9" w:rsidRDefault="00E334F9" w:rsidP="00E334F9">
            <w:pPr>
              <w:spacing w:line="240" w:lineRule="auto"/>
              <w:rPr>
                <w:rFonts w:eastAsia="Times New Roman" w:cs="Arial"/>
              </w:rPr>
            </w:pPr>
            <w:r w:rsidRPr="00E334F9">
              <w:t>(0.49, 0.78)</w:t>
            </w:r>
          </w:p>
        </w:tc>
        <w:tc>
          <w:tcPr>
            <w:tcW w:w="1354" w:type="dxa"/>
            <w:vAlign w:val="bottom"/>
          </w:tcPr>
          <w:p w14:paraId="2EB8590B" w14:textId="3EB81221" w:rsidR="00E334F9" w:rsidRPr="00E334F9" w:rsidRDefault="00E334F9" w:rsidP="00E334F9">
            <w:pPr>
              <w:spacing w:line="240" w:lineRule="auto"/>
              <w:rPr>
                <w:rFonts w:eastAsia="Times New Roman" w:cs="Arial"/>
              </w:rPr>
            </w:pPr>
            <w:r w:rsidRPr="00E334F9">
              <w:t>88.8%</w:t>
            </w:r>
          </w:p>
        </w:tc>
        <w:tc>
          <w:tcPr>
            <w:tcW w:w="1354" w:type="dxa"/>
            <w:vAlign w:val="bottom"/>
          </w:tcPr>
          <w:p w14:paraId="713CBFED" w14:textId="369C4438" w:rsidR="00E334F9" w:rsidRPr="00E334F9" w:rsidRDefault="00E334F9" w:rsidP="00E334F9">
            <w:pPr>
              <w:spacing w:line="240" w:lineRule="auto"/>
              <w:rPr>
                <w:rFonts w:eastAsia="Times New Roman" w:cs="Arial"/>
              </w:rPr>
            </w:pPr>
            <w:r w:rsidRPr="00E334F9">
              <w:t>86.7%</w:t>
            </w:r>
          </w:p>
        </w:tc>
        <w:tc>
          <w:tcPr>
            <w:tcW w:w="1281" w:type="dxa"/>
          </w:tcPr>
          <w:p w14:paraId="429BEB7F" w14:textId="23F1F615" w:rsidR="00E334F9" w:rsidRPr="00E334F9" w:rsidRDefault="00E334F9" w:rsidP="00E334F9">
            <w:pPr>
              <w:spacing w:line="240" w:lineRule="auto"/>
              <w:rPr>
                <w:rFonts w:eastAsia="Times New Roman" w:cs="Arial"/>
              </w:rPr>
            </w:pPr>
            <w:r w:rsidRPr="00E334F9">
              <w:t>(0.77, 1.03)</w:t>
            </w:r>
          </w:p>
        </w:tc>
      </w:tr>
      <w:tr w:rsidR="00E334F9" w14:paraId="0DAF1D9B" w14:textId="77777777" w:rsidTr="008670EA">
        <w:tc>
          <w:tcPr>
            <w:tcW w:w="9576" w:type="dxa"/>
            <w:gridSpan w:val="7"/>
          </w:tcPr>
          <w:p w14:paraId="2D616D69" w14:textId="7E8E0492" w:rsidR="00E334F9" w:rsidRPr="00E334F9" w:rsidRDefault="00E334F9" w:rsidP="00E334F9">
            <w:pPr>
              <w:rPr>
                <w:rFonts w:eastAsia="Times New Roman" w:cs="Arial"/>
                <w:b/>
              </w:rPr>
            </w:pPr>
            <w:r w:rsidRPr="00E334F9">
              <w:rPr>
                <w:b/>
              </w:rPr>
              <w:t>Далечни метастази</w:t>
            </w:r>
          </w:p>
        </w:tc>
      </w:tr>
      <w:tr w:rsidR="00E334F9" w14:paraId="1E4A8FAF" w14:textId="77777777" w:rsidTr="00E334F9">
        <w:tc>
          <w:tcPr>
            <w:tcW w:w="1888" w:type="dxa"/>
          </w:tcPr>
          <w:p w14:paraId="120F693A" w14:textId="60BCBDB4" w:rsidR="00E334F9" w:rsidRDefault="00E334F9" w:rsidP="00E334F9">
            <w:pPr>
              <w:rPr>
                <w:rFonts w:eastAsia="Times New Roman" w:cs="Arial"/>
              </w:rPr>
            </w:pPr>
            <w:r>
              <w:t>Събития</w:t>
            </w:r>
          </w:p>
        </w:tc>
        <w:tc>
          <w:tcPr>
            <w:tcW w:w="1253" w:type="dxa"/>
          </w:tcPr>
          <w:p w14:paraId="74448619" w14:textId="43C6866C" w:rsidR="00E334F9" w:rsidRDefault="00E334F9" w:rsidP="00E334F9">
            <w:pPr>
              <w:rPr>
                <w:rFonts w:eastAsia="Times New Roman" w:cs="Arial"/>
              </w:rPr>
            </w:pPr>
            <w:r>
              <w:t>57 (2.2%)</w:t>
            </w:r>
          </w:p>
        </w:tc>
        <w:tc>
          <w:tcPr>
            <w:tcW w:w="1165" w:type="dxa"/>
          </w:tcPr>
          <w:p w14:paraId="03D9577C" w14:textId="321FA385" w:rsidR="00E334F9" w:rsidRDefault="00E334F9" w:rsidP="00E334F9">
            <w:pPr>
              <w:rPr>
                <w:rFonts w:eastAsia="Times New Roman" w:cs="Arial"/>
              </w:rPr>
            </w:pPr>
            <w:r>
              <w:t>93 (3.6%)</w:t>
            </w:r>
          </w:p>
        </w:tc>
        <w:tc>
          <w:tcPr>
            <w:tcW w:w="1281" w:type="dxa"/>
            <w:vAlign w:val="bottom"/>
          </w:tcPr>
          <w:p w14:paraId="43FDE0D3" w14:textId="02D0E755" w:rsidR="00E334F9" w:rsidRDefault="00E334F9" w:rsidP="00E334F9">
            <w:pPr>
              <w:rPr>
                <w:rFonts w:eastAsia="Times New Roman" w:cs="Arial"/>
              </w:rPr>
            </w:pPr>
            <w:r>
              <w:t>0.61 (0.44, 0.84)</w:t>
            </w:r>
          </w:p>
        </w:tc>
        <w:tc>
          <w:tcPr>
            <w:tcW w:w="1354" w:type="dxa"/>
            <w:vAlign w:val="bottom"/>
          </w:tcPr>
          <w:p w14:paraId="7DA6E201" w14:textId="23475C55" w:rsidR="00E334F9" w:rsidRDefault="00E334F9" w:rsidP="00E334F9">
            <w:pPr>
              <w:rPr>
                <w:rFonts w:eastAsia="Times New Roman" w:cs="Arial"/>
              </w:rPr>
            </w:pPr>
            <w:r>
              <w:t>142 (5.5%)</w:t>
            </w:r>
          </w:p>
        </w:tc>
        <w:tc>
          <w:tcPr>
            <w:tcW w:w="1354" w:type="dxa"/>
            <w:vAlign w:val="bottom"/>
          </w:tcPr>
          <w:p w14:paraId="06393B06" w14:textId="03ADE20E" w:rsidR="00E334F9" w:rsidRDefault="00E334F9" w:rsidP="00E334F9">
            <w:pPr>
              <w:rPr>
                <w:rFonts w:eastAsia="Times New Roman" w:cs="Arial"/>
              </w:rPr>
            </w:pPr>
            <w:r>
              <w:t>169 (65%)</w:t>
            </w:r>
          </w:p>
        </w:tc>
        <w:tc>
          <w:tcPr>
            <w:tcW w:w="1281" w:type="dxa"/>
            <w:vAlign w:val="bottom"/>
          </w:tcPr>
          <w:p w14:paraId="5C9A15FE" w14:textId="40C5EDE8" w:rsidR="00E334F9" w:rsidRDefault="00E334F9" w:rsidP="00E334F9">
            <w:pPr>
              <w:rPr>
                <w:rFonts w:eastAsia="Times New Roman" w:cs="Arial"/>
              </w:rPr>
            </w:pPr>
            <w:r>
              <w:t>0.88 (0.70,1.10)</w:t>
            </w:r>
          </w:p>
        </w:tc>
      </w:tr>
      <w:tr w:rsidR="00E334F9" w14:paraId="0E847B55" w14:textId="77777777" w:rsidTr="003E272E">
        <w:tc>
          <w:tcPr>
            <w:tcW w:w="9576" w:type="dxa"/>
            <w:gridSpan w:val="7"/>
          </w:tcPr>
          <w:p w14:paraId="6D37BE17" w14:textId="3F7C9060" w:rsidR="00E334F9" w:rsidRPr="00E334F9" w:rsidRDefault="00E334F9" w:rsidP="00E334F9">
            <w:pPr>
              <w:rPr>
                <w:rFonts w:cs="Arial"/>
                <w:b/>
              </w:rPr>
            </w:pPr>
            <w:r w:rsidRPr="00E334F9">
              <w:rPr>
                <w:b/>
                <w:lang w:eastAsia="bg-BG"/>
              </w:rPr>
              <w:t>Обща преживяемост</w:t>
            </w:r>
          </w:p>
        </w:tc>
      </w:tr>
      <w:tr w:rsidR="00E334F9" w14:paraId="037DDEC6" w14:textId="77777777" w:rsidTr="00E334F9">
        <w:tc>
          <w:tcPr>
            <w:tcW w:w="1888" w:type="dxa"/>
          </w:tcPr>
          <w:p w14:paraId="0B7C32D7" w14:textId="6B5F596E" w:rsidR="00E334F9" w:rsidRDefault="00E334F9" w:rsidP="00E334F9">
            <w:pPr>
              <w:rPr>
                <w:rFonts w:eastAsia="Times New Roman" w:cs="Arial"/>
              </w:rPr>
            </w:pPr>
            <w:r>
              <w:t>Смъртни случаи</w:t>
            </w:r>
          </w:p>
        </w:tc>
        <w:tc>
          <w:tcPr>
            <w:tcW w:w="1253" w:type="dxa"/>
          </w:tcPr>
          <w:p w14:paraId="36B7161B" w14:textId="43F6C3AD" w:rsidR="00E334F9" w:rsidRDefault="00E334F9" w:rsidP="00E334F9">
            <w:pPr>
              <w:rPr>
                <w:rFonts w:eastAsia="Times New Roman" w:cs="Arial"/>
              </w:rPr>
            </w:pPr>
            <w:r>
              <w:t>51 (2.0%)</w:t>
            </w:r>
          </w:p>
        </w:tc>
        <w:tc>
          <w:tcPr>
            <w:tcW w:w="1165" w:type="dxa"/>
          </w:tcPr>
          <w:p w14:paraId="28D7E5E6" w14:textId="6CBDA148" w:rsidR="00E334F9" w:rsidRDefault="00E334F9" w:rsidP="00E334F9">
            <w:pPr>
              <w:rPr>
                <w:rFonts w:eastAsia="Times New Roman" w:cs="Arial"/>
              </w:rPr>
            </w:pPr>
            <w:r>
              <w:t>62 (2.4%)</w:t>
            </w:r>
          </w:p>
        </w:tc>
        <w:tc>
          <w:tcPr>
            <w:tcW w:w="1281" w:type="dxa"/>
            <w:vAlign w:val="bottom"/>
          </w:tcPr>
          <w:p w14:paraId="7D9B6518" w14:textId="41E13467" w:rsidR="00E334F9" w:rsidRDefault="00E334F9" w:rsidP="00E334F9">
            <w:pPr>
              <w:rPr>
                <w:rFonts w:eastAsia="Times New Roman" w:cs="Arial"/>
              </w:rPr>
            </w:pPr>
            <w:r>
              <w:t>0.82 (0.56,1.19)</w:t>
            </w:r>
          </w:p>
        </w:tc>
        <w:tc>
          <w:tcPr>
            <w:tcW w:w="1354" w:type="dxa"/>
          </w:tcPr>
          <w:p w14:paraId="4D8240EE" w14:textId="77A426F6" w:rsidR="00E334F9" w:rsidRDefault="00E334F9" w:rsidP="00E334F9">
            <w:pPr>
              <w:rPr>
                <w:rFonts w:eastAsia="Times New Roman" w:cs="Arial"/>
              </w:rPr>
            </w:pPr>
            <w:r>
              <w:t>236 (9.1%)</w:t>
            </w:r>
          </w:p>
        </w:tc>
        <w:tc>
          <w:tcPr>
            <w:tcW w:w="1354" w:type="dxa"/>
          </w:tcPr>
          <w:p w14:paraId="1901C401" w14:textId="6F779982" w:rsidR="00E334F9" w:rsidRDefault="00E334F9" w:rsidP="00E334F9">
            <w:pPr>
              <w:rPr>
                <w:rFonts w:eastAsia="Times New Roman" w:cs="Arial"/>
              </w:rPr>
            </w:pPr>
            <w:r>
              <w:t>232 (9.0%)</w:t>
            </w:r>
          </w:p>
        </w:tc>
        <w:tc>
          <w:tcPr>
            <w:tcW w:w="1281" w:type="dxa"/>
            <w:vAlign w:val="bottom"/>
          </w:tcPr>
          <w:p w14:paraId="73C91029" w14:textId="5A491107" w:rsidR="00E334F9" w:rsidRDefault="00E334F9" w:rsidP="00E334F9">
            <w:pPr>
              <w:rPr>
                <w:rFonts w:eastAsia="Times New Roman" w:cs="Arial"/>
              </w:rPr>
            </w:pPr>
            <w:r>
              <w:t>1.13 (0.95, 1.36)</w:t>
            </w:r>
          </w:p>
        </w:tc>
      </w:tr>
      <w:tr w:rsidR="00E334F9" w14:paraId="00F29836" w14:textId="77777777" w:rsidTr="00E334F9">
        <w:tc>
          <w:tcPr>
            <w:tcW w:w="1888" w:type="dxa"/>
          </w:tcPr>
          <w:p w14:paraId="401F1CAC" w14:textId="77777777" w:rsidR="00E334F9" w:rsidRDefault="00E334F9" w:rsidP="00E334F9"/>
          <w:p w14:paraId="0ED7F85F" w14:textId="049BD83E" w:rsidR="00E334F9" w:rsidRDefault="00E334F9" w:rsidP="00E334F9">
            <w:pPr>
              <w:rPr>
                <w:rFonts w:eastAsia="Times New Roman" w:cs="Arial"/>
              </w:rPr>
            </w:pPr>
            <w:r>
              <w:t>Смъртни случаи</w:t>
            </w:r>
            <w:r>
              <w:rPr>
                <w:vertAlign w:val="superscript"/>
              </w:rPr>
              <w:t>4</w:t>
            </w:r>
          </w:p>
        </w:tc>
        <w:tc>
          <w:tcPr>
            <w:tcW w:w="1253" w:type="dxa"/>
          </w:tcPr>
          <w:p w14:paraId="0E600EF6" w14:textId="77777777" w:rsidR="00E334F9" w:rsidRDefault="00E334F9" w:rsidP="00E334F9">
            <w:pPr>
              <w:rPr>
                <w:rFonts w:eastAsia="Times New Roman" w:cs="Arial"/>
              </w:rPr>
            </w:pPr>
          </w:p>
        </w:tc>
        <w:tc>
          <w:tcPr>
            <w:tcW w:w="1165" w:type="dxa"/>
          </w:tcPr>
          <w:p w14:paraId="162A9A8F" w14:textId="77777777" w:rsidR="00E334F9" w:rsidRDefault="00E334F9" w:rsidP="00E334F9">
            <w:pPr>
              <w:rPr>
                <w:rFonts w:eastAsia="Times New Roman" w:cs="Arial"/>
              </w:rPr>
            </w:pPr>
          </w:p>
        </w:tc>
        <w:tc>
          <w:tcPr>
            <w:tcW w:w="1281" w:type="dxa"/>
          </w:tcPr>
          <w:p w14:paraId="7B781359" w14:textId="77777777" w:rsidR="00E334F9" w:rsidRDefault="00E334F9" w:rsidP="00E334F9">
            <w:pPr>
              <w:rPr>
                <w:rFonts w:eastAsia="Times New Roman" w:cs="Arial"/>
              </w:rPr>
            </w:pPr>
          </w:p>
        </w:tc>
        <w:tc>
          <w:tcPr>
            <w:tcW w:w="1354" w:type="dxa"/>
          </w:tcPr>
          <w:p w14:paraId="488B2E66" w14:textId="69C36942" w:rsidR="00E334F9" w:rsidRDefault="00E334F9" w:rsidP="00E334F9">
            <w:pPr>
              <w:rPr>
                <w:rFonts w:eastAsia="Times New Roman" w:cs="Arial"/>
              </w:rPr>
            </w:pPr>
            <w:r>
              <w:t>236</w:t>
            </w:r>
            <w:r>
              <w:rPr>
                <w:vertAlign w:val="superscript"/>
              </w:rPr>
              <w:t xml:space="preserve">5 </w:t>
            </w:r>
            <w:r>
              <w:t>(9.1%)</w:t>
            </w:r>
          </w:p>
        </w:tc>
        <w:tc>
          <w:tcPr>
            <w:tcW w:w="1354" w:type="dxa"/>
          </w:tcPr>
          <w:p w14:paraId="1E7FDCA4" w14:textId="556F150B" w:rsidR="00E334F9" w:rsidRDefault="00E334F9" w:rsidP="00E334F9">
            <w:pPr>
              <w:rPr>
                <w:rFonts w:eastAsia="Times New Roman" w:cs="Arial"/>
              </w:rPr>
            </w:pPr>
            <w:r>
              <w:t>170</w:t>
            </w:r>
            <w:r w:rsidRPr="00E334F9">
              <w:rPr>
                <w:vertAlign w:val="superscript"/>
              </w:rPr>
              <w:t>6</w:t>
            </w:r>
            <w:r>
              <w:t xml:space="preserve"> (6.6%)</w:t>
            </w:r>
          </w:p>
        </w:tc>
        <w:tc>
          <w:tcPr>
            <w:tcW w:w="1281" w:type="dxa"/>
          </w:tcPr>
          <w:p w14:paraId="2A405466" w14:textId="2C814722" w:rsidR="00E334F9" w:rsidRDefault="00E334F9" w:rsidP="00E334F9">
            <w:pPr>
              <w:rPr>
                <w:rFonts w:eastAsia="Times New Roman" w:cs="Arial"/>
              </w:rPr>
            </w:pPr>
            <w:r>
              <w:t>0.78 (0.64, 0.96)</w:t>
            </w:r>
          </w:p>
        </w:tc>
      </w:tr>
      <w:tr w:rsidR="00E334F9" w14:paraId="32DE8492" w14:textId="77777777" w:rsidTr="00063676">
        <w:tc>
          <w:tcPr>
            <w:tcW w:w="9576" w:type="dxa"/>
            <w:gridSpan w:val="7"/>
          </w:tcPr>
          <w:p w14:paraId="2E3F1D36" w14:textId="77777777" w:rsidR="00E334F9" w:rsidRPr="00E334F9" w:rsidRDefault="00E334F9" w:rsidP="00E334F9">
            <w:pPr>
              <w:spacing w:line="240" w:lineRule="auto"/>
              <w:rPr>
                <w:rFonts w:eastAsia="Times New Roman" w:cs="Arial"/>
              </w:rPr>
            </w:pPr>
            <w:r w:rsidRPr="00E334F9">
              <w:rPr>
                <w:rFonts w:eastAsia="Times New Roman" w:cs="Arial"/>
                <w:color w:val="000000"/>
                <w:lang w:val="en-US"/>
              </w:rPr>
              <w:t>HR</w:t>
            </w:r>
            <w:r w:rsidRPr="00E334F9">
              <w:rPr>
                <w:rFonts w:eastAsia="Times New Roman" w:cs="Arial"/>
                <w:color w:val="000000"/>
                <w:lang w:val="ru-RU"/>
              </w:rPr>
              <w:t xml:space="preserve"> </w:t>
            </w:r>
            <w:r w:rsidRPr="00E334F9">
              <w:rPr>
                <w:rFonts w:eastAsia="Times New Roman" w:cs="Arial"/>
                <w:color w:val="000000"/>
                <w:lang w:eastAsia="bg-BG"/>
              </w:rPr>
              <w:t xml:space="preserve">= Коефициент на риск; </w:t>
            </w:r>
            <w:r w:rsidRPr="00E334F9">
              <w:rPr>
                <w:rFonts w:eastAsia="Times New Roman" w:cs="Arial"/>
                <w:color w:val="000000"/>
                <w:lang w:val="en-US"/>
              </w:rPr>
              <w:t>CI</w:t>
            </w:r>
            <w:r w:rsidRPr="00E334F9">
              <w:rPr>
                <w:rFonts w:eastAsia="Times New Roman" w:cs="Arial"/>
                <w:color w:val="000000"/>
                <w:lang w:val="ru-RU"/>
              </w:rPr>
              <w:t xml:space="preserve"> </w:t>
            </w:r>
            <w:r w:rsidRPr="00E334F9">
              <w:rPr>
                <w:rFonts w:eastAsia="Times New Roman" w:cs="Arial"/>
                <w:color w:val="000000"/>
                <w:lang w:eastAsia="bg-BG"/>
              </w:rPr>
              <w:t>= Доверителен интервал</w:t>
            </w:r>
          </w:p>
          <w:p w14:paraId="46505CEF" w14:textId="77777777" w:rsidR="00E334F9" w:rsidRPr="00E334F9" w:rsidRDefault="00E334F9" w:rsidP="00E334F9">
            <w:pPr>
              <w:spacing w:line="240" w:lineRule="auto"/>
              <w:rPr>
                <w:rFonts w:eastAsia="Times New Roman" w:cs="Arial"/>
              </w:rPr>
            </w:pPr>
          </w:p>
          <w:p w14:paraId="140A1F22" w14:textId="77777777" w:rsidR="00E334F9" w:rsidRPr="00E334F9" w:rsidRDefault="00E334F9" w:rsidP="00E334F9">
            <w:pPr>
              <w:spacing w:line="240" w:lineRule="auto"/>
              <w:rPr>
                <w:rFonts w:eastAsia="Times New Roman" w:cs="Arial"/>
              </w:rPr>
            </w:pPr>
            <w:r w:rsidRPr="00E334F9">
              <w:rPr>
                <w:rFonts w:eastAsia="Times New Roman" w:cs="Arial"/>
                <w:color w:val="000000"/>
                <w:vertAlign w:val="superscript"/>
                <w:lang w:eastAsia="bg-BG"/>
              </w:rPr>
              <w:t>1</w:t>
            </w:r>
            <w:r w:rsidRPr="00E334F9">
              <w:rPr>
                <w:rFonts w:eastAsia="Times New Roman" w:cs="Arial"/>
                <w:color w:val="000000"/>
                <w:lang w:eastAsia="bg-BG"/>
              </w:rPr>
              <w:t>Когато проучването е разслепено през 2003 г, 1 551 пациенти, рандомизирани в плацебо рамото (60% от тези, при които може да се смени терапията, т.е. такива, които са без заболяване) преминават към лечение с летрозол при медиана 31 месеца след рандомизацията. Настоящият анализ игнорира селективната смяна на терапията.</w:t>
            </w:r>
          </w:p>
          <w:p w14:paraId="63591AD0" w14:textId="29D71A51" w:rsidR="00E334F9" w:rsidRPr="00E334F9" w:rsidRDefault="00E334F9" w:rsidP="00E334F9">
            <w:pPr>
              <w:spacing w:line="240" w:lineRule="auto"/>
              <w:rPr>
                <w:rFonts w:eastAsia="Times New Roman" w:cs="Arial"/>
                <w:color w:val="000000"/>
                <w:lang w:eastAsia="bg-BG"/>
              </w:rPr>
            </w:pPr>
            <w:r w:rsidRPr="00E334F9">
              <w:rPr>
                <w:rFonts w:eastAsia="Times New Roman" w:cs="Arial"/>
                <w:color w:val="000000"/>
                <w:vertAlign w:val="superscript"/>
                <w:lang w:eastAsia="bg-BG"/>
              </w:rPr>
              <w:t>2</w:t>
            </w:r>
            <w:r w:rsidRPr="00E334F9">
              <w:rPr>
                <w:rFonts w:eastAsia="Times New Roman" w:cs="Arial"/>
                <w:color w:val="000000"/>
                <w:lang w:eastAsia="bg-BG"/>
              </w:rPr>
              <w:t>Стратификация по рецепторен статус, нодален статус и наличие на предхождаща адювантна химиотерапия.</w:t>
            </w:r>
          </w:p>
          <w:p w14:paraId="36E1E3D5" w14:textId="362FB282" w:rsidR="00E334F9" w:rsidRPr="00E334F9" w:rsidRDefault="00E334F9" w:rsidP="00E334F9">
            <w:pPr>
              <w:spacing w:line="240" w:lineRule="auto"/>
              <w:rPr>
                <w:rFonts w:eastAsia="Times New Roman" w:cs="Arial"/>
              </w:rPr>
            </w:pPr>
            <w:r w:rsidRPr="00E334F9">
              <w:rPr>
                <w:rFonts w:eastAsia="Times New Roman" w:cs="Arial"/>
                <w:color w:val="000000"/>
                <w:vertAlign w:val="superscript"/>
                <w:lang w:eastAsia="bg-BG"/>
              </w:rPr>
              <w:t>3</w:t>
            </w:r>
            <w:r w:rsidRPr="00E334F9">
              <w:rPr>
                <w:rFonts w:eastAsia="Times New Roman" w:cs="Arial"/>
                <w:color w:val="000000"/>
                <w:lang w:eastAsia="bg-BG"/>
              </w:rPr>
              <w:t>Дефиниция по протокол за събития, свързани с преживяемост без заболяване: локорегионален рецидив, далечни метастази или контралатерален рак на гърдата.</w:t>
            </w:r>
          </w:p>
          <w:p w14:paraId="5A0A30AF" w14:textId="51BC272F" w:rsidR="00E334F9" w:rsidRPr="00E334F9" w:rsidRDefault="00E334F9" w:rsidP="00E334F9">
            <w:pPr>
              <w:spacing w:line="240" w:lineRule="auto"/>
              <w:rPr>
                <w:rFonts w:eastAsia="Times New Roman" w:cs="Arial"/>
              </w:rPr>
            </w:pPr>
            <w:r w:rsidRPr="00E334F9">
              <w:rPr>
                <w:rFonts w:eastAsia="Times New Roman" w:cs="Arial"/>
                <w:color w:val="000000"/>
                <w:vertAlign w:val="superscript"/>
                <w:lang w:eastAsia="bg-BG"/>
              </w:rPr>
              <w:t>4</w:t>
            </w:r>
            <w:r w:rsidRPr="00E334F9">
              <w:rPr>
                <w:rFonts w:eastAsia="Times New Roman" w:cs="Arial"/>
                <w:color w:val="000000"/>
                <w:lang w:eastAsia="bg-BG"/>
              </w:rPr>
              <w:t>Експлоративен анализ, цензуриращ времето на проследяване към датата на смяна на терапията (ако има такава) в плацебо рамото.</w:t>
            </w:r>
          </w:p>
          <w:p w14:paraId="4FFA23DD" w14:textId="153A2500" w:rsidR="00E334F9" w:rsidRPr="00E334F9" w:rsidRDefault="00E334F9" w:rsidP="00E334F9">
            <w:pPr>
              <w:spacing w:line="240" w:lineRule="auto"/>
              <w:rPr>
                <w:rFonts w:eastAsia="Times New Roman" w:cs="Arial"/>
              </w:rPr>
            </w:pPr>
            <w:r w:rsidRPr="00E334F9">
              <w:rPr>
                <w:rFonts w:eastAsia="Times New Roman" w:cs="Arial"/>
                <w:color w:val="000000"/>
                <w:vertAlign w:val="superscript"/>
                <w:lang w:eastAsia="bg-BG"/>
              </w:rPr>
              <w:t>5</w:t>
            </w:r>
            <w:r w:rsidRPr="00E334F9">
              <w:rPr>
                <w:rFonts w:eastAsia="Times New Roman" w:cs="Arial"/>
                <w:color w:val="000000"/>
                <w:lang w:eastAsia="bg-BG"/>
              </w:rPr>
              <w:t>Медиана на проследяване 62 месеца.</w:t>
            </w:r>
          </w:p>
          <w:p w14:paraId="7A3A8A74" w14:textId="0506C555" w:rsidR="00E334F9" w:rsidRPr="00E334F9" w:rsidRDefault="00E334F9" w:rsidP="00E334F9">
            <w:pPr>
              <w:spacing w:line="240" w:lineRule="auto"/>
              <w:rPr>
                <w:rFonts w:eastAsia="Times New Roman" w:cs="Arial"/>
              </w:rPr>
            </w:pPr>
            <w:r w:rsidRPr="00E334F9">
              <w:rPr>
                <w:rFonts w:eastAsia="Times New Roman" w:cs="Arial"/>
                <w:color w:val="000000"/>
                <w:vertAlign w:val="superscript"/>
                <w:lang w:eastAsia="bg-BG"/>
              </w:rPr>
              <w:t>6</w:t>
            </w:r>
            <w:r w:rsidRPr="00E334F9">
              <w:rPr>
                <w:rFonts w:eastAsia="Times New Roman" w:cs="Arial"/>
                <w:color w:val="000000"/>
                <w:lang w:eastAsia="bg-BG"/>
              </w:rPr>
              <w:t>Медиана на проследяване до смяната на терапията (ако има такава) 37 месеца.</w:t>
            </w:r>
          </w:p>
        </w:tc>
      </w:tr>
    </w:tbl>
    <w:p w14:paraId="34BC86A3" w14:textId="309FD38B" w:rsidR="00E334F9" w:rsidRPr="00E334F9" w:rsidRDefault="00E334F9" w:rsidP="00E334F9">
      <w:pPr>
        <w:spacing w:line="240" w:lineRule="auto"/>
        <w:rPr>
          <w:rFonts w:eastAsia="Times New Roman" w:cs="Arial"/>
        </w:rPr>
      </w:pPr>
    </w:p>
    <w:p w14:paraId="2F411032" w14:textId="611A2375" w:rsidR="00E334F9" w:rsidRPr="00E334F9" w:rsidRDefault="00E334F9" w:rsidP="00696C38">
      <w:r w:rsidRPr="00E334F9">
        <w:t xml:space="preserve">В МА-17 подпроучването за костна плътност, при което са прилагани едновременно калций и витамин </w:t>
      </w:r>
      <w:r w:rsidRPr="00E334F9">
        <w:rPr>
          <w:lang w:val="en-US"/>
        </w:rPr>
        <w:t>D</w:t>
      </w:r>
      <w:r w:rsidRPr="00E334F9">
        <w:rPr>
          <w:lang w:val="ru-RU"/>
        </w:rPr>
        <w:t xml:space="preserve">, </w:t>
      </w:r>
      <w:r w:rsidRPr="00E334F9">
        <w:t>се наблюдава по-голамо намаление на КМП спрямо изходното ниво при летрозол спрямо плацебо. Единствената статистически значима разлика възниква на 2-рата година и е в общата КМП на бедрената кост (медиана на понижение 3,8% за летрозол спрямо медиана на понижение 2,0% за плацебо).</w:t>
      </w:r>
    </w:p>
    <w:p w14:paraId="42CF1CDD" w14:textId="1E933091" w:rsidR="00E334F9" w:rsidRDefault="00E334F9" w:rsidP="00696C38">
      <w:pPr>
        <w:rPr>
          <w:rFonts w:eastAsia="Times New Roman" w:cs="Arial"/>
          <w:b/>
          <w:bCs/>
          <w:color w:val="000000"/>
          <w:lang w:eastAsia="bg-BG"/>
        </w:rPr>
      </w:pPr>
    </w:p>
    <w:p w14:paraId="0CE0F53C" w14:textId="77777777" w:rsidR="00E334F9" w:rsidRPr="00E334F9" w:rsidRDefault="00E334F9" w:rsidP="00E334F9">
      <w:pPr>
        <w:spacing w:line="240" w:lineRule="auto"/>
        <w:rPr>
          <w:rFonts w:eastAsia="Times New Roman" w:cs="Arial"/>
        </w:rPr>
      </w:pPr>
      <w:r w:rsidRPr="00E334F9">
        <w:rPr>
          <w:rFonts w:eastAsia="Times New Roman" w:cs="Arial"/>
          <w:color w:val="000000"/>
          <w:lang w:eastAsia="bg-BG"/>
        </w:rPr>
        <w:t>В МА-17 подпроучването за липидния статус няма сигнификантна разлика между летрозол и плацебо по отношение на общия холестерол или отделните липидни фракции.</w:t>
      </w:r>
    </w:p>
    <w:p w14:paraId="2D2CC754" w14:textId="77777777" w:rsidR="00E334F9" w:rsidRPr="00E334F9" w:rsidRDefault="00E334F9" w:rsidP="00E334F9">
      <w:pPr>
        <w:spacing w:line="240" w:lineRule="auto"/>
        <w:rPr>
          <w:rFonts w:eastAsia="Times New Roman" w:cs="Arial"/>
        </w:rPr>
      </w:pPr>
      <w:r w:rsidRPr="00E334F9">
        <w:rPr>
          <w:rFonts w:eastAsia="Times New Roman" w:cs="Arial"/>
          <w:color w:val="000000"/>
          <w:lang w:eastAsia="bg-BG"/>
        </w:rPr>
        <w:t xml:space="preserve">В актуализирано подпроучване за качеството на живот, няма сигнификантни разлики между леченията по отношение на скора за физическо състояние, скора за психично състояние или в някой от основните скорове от </w:t>
      </w:r>
      <w:r w:rsidRPr="00E334F9">
        <w:rPr>
          <w:rFonts w:eastAsia="Times New Roman" w:cs="Arial"/>
          <w:color w:val="000000"/>
          <w:lang w:val="en-US"/>
        </w:rPr>
        <w:t>SF</w:t>
      </w:r>
      <w:r w:rsidRPr="00E334F9">
        <w:rPr>
          <w:rFonts w:eastAsia="Times New Roman" w:cs="Arial"/>
          <w:color w:val="000000"/>
          <w:lang w:val="ru-RU"/>
        </w:rPr>
        <w:t xml:space="preserve">-36 </w:t>
      </w:r>
      <w:r w:rsidRPr="00E334F9">
        <w:rPr>
          <w:rFonts w:eastAsia="Times New Roman" w:cs="Arial"/>
          <w:color w:val="000000"/>
          <w:lang w:eastAsia="bg-BG"/>
        </w:rPr>
        <w:t xml:space="preserve">скалата. В </w:t>
      </w:r>
      <w:r w:rsidRPr="00E334F9">
        <w:rPr>
          <w:rFonts w:eastAsia="Times New Roman" w:cs="Arial"/>
          <w:color w:val="000000"/>
          <w:lang w:val="en-US"/>
        </w:rPr>
        <w:t>MENQOL</w:t>
      </w:r>
      <w:r w:rsidRPr="00E334F9">
        <w:rPr>
          <w:rFonts w:eastAsia="Times New Roman" w:cs="Arial"/>
          <w:color w:val="000000"/>
          <w:lang w:val="ru-RU"/>
        </w:rPr>
        <w:t xml:space="preserve"> </w:t>
      </w:r>
      <w:r w:rsidRPr="00E334F9">
        <w:rPr>
          <w:rFonts w:eastAsia="Times New Roman" w:cs="Arial"/>
          <w:color w:val="000000"/>
          <w:lang w:eastAsia="bg-BG"/>
        </w:rPr>
        <w:t>скалата, значително повече жени от рамото на летрозол, спрямо рамото на плацебо, са по-притеснени (общо, през първата година от лечението) от симптомите, произхождащи от потискането на естрогените - горещи вълни и вагинална сухота. Симптомът, тревожещ най-много пациенти и в двете терапевтични рамена, е мускулни болки, при статистически значима разлика в полза на плацебо.</w:t>
      </w:r>
    </w:p>
    <w:p w14:paraId="71138A65" w14:textId="77777777" w:rsidR="00E334F9" w:rsidRDefault="00E334F9" w:rsidP="00E334F9">
      <w:pPr>
        <w:spacing w:line="240" w:lineRule="auto"/>
        <w:rPr>
          <w:rFonts w:eastAsia="Times New Roman" w:cs="Arial"/>
          <w:i/>
          <w:iCs/>
          <w:color w:val="000000"/>
          <w:u w:val="single"/>
          <w:lang w:eastAsia="bg-BG"/>
        </w:rPr>
      </w:pPr>
    </w:p>
    <w:p w14:paraId="29E7B4C3" w14:textId="62299A5B" w:rsidR="00E334F9" w:rsidRPr="00E334F9" w:rsidRDefault="00E334F9" w:rsidP="00E334F9">
      <w:pPr>
        <w:spacing w:line="240" w:lineRule="auto"/>
        <w:rPr>
          <w:rFonts w:eastAsia="Times New Roman" w:cs="Arial"/>
        </w:rPr>
      </w:pPr>
      <w:r w:rsidRPr="00E334F9">
        <w:rPr>
          <w:rFonts w:eastAsia="Times New Roman" w:cs="Arial"/>
          <w:i/>
          <w:iCs/>
          <w:color w:val="000000"/>
          <w:u w:val="single"/>
          <w:lang w:eastAsia="bg-BG"/>
        </w:rPr>
        <w:t>Неоадювантна терапия</w:t>
      </w:r>
    </w:p>
    <w:p w14:paraId="390E6F1D" w14:textId="77777777" w:rsidR="00E334F9" w:rsidRPr="00E334F9" w:rsidRDefault="00E334F9" w:rsidP="00E334F9">
      <w:pPr>
        <w:spacing w:line="240" w:lineRule="auto"/>
        <w:rPr>
          <w:rFonts w:eastAsia="Times New Roman" w:cs="Arial"/>
        </w:rPr>
      </w:pPr>
      <w:r w:rsidRPr="00E334F9">
        <w:rPr>
          <w:rFonts w:eastAsia="Times New Roman" w:cs="Arial"/>
          <w:color w:val="000000"/>
          <w:lang w:eastAsia="bg-BG"/>
        </w:rPr>
        <w:t xml:space="preserve">Проведено е двойносляпо изпитване (Р024) при 337 жени в постменопауза с рак на гърдата, рандомизирани да приемат или летрозол 2,5 </w:t>
      </w:r>
      <w:r w:rsidRPr="00E334F9">
        <w:rPr>
          <w:rFonts w:eastAsia="Times New Roman" w:cs="Arial"/>
          <w:color w:val="000000"/>
          <w:lang w:val="en-US"/>
        </w:rPr>
        <w:t>mg</w:t>
      </w:r>
      <w:r w:rsidRPr="00E334F9">
        <w:rPr>
          <w:rFonts w:eastAsia="Times New Roman" w:cs="Arial"/>
          <w:color w:val="000000"/>
          <w:lang w:val="ru-RU"/>
        </w:rPr>
        <w:t xml:space="preserve"> </w:t>
      </w:r>
      <w:r w:rsidRPr="00E334F9">
        <w:rPr>
          <w:rFonts w:eastAsia="Times New Roman" w:cs="Arial"/>
          <w:color w:val="000000"/>
          <w:lang w:eastAsia="bg-BG"/>
        </w:rPr>
        <w:t xml:space="preserve">в продължение на 4 месеца или тамоксифен в продължение на 4 месеца. На изходно ниво всички пациенти са с тумор в </w:t>
      </w:r>
      <w:r w:rsidRPr="00E334F9">
        <w:rPr>
          <w:rFonts w:eastAsia="Times New Roman" w:cs="Arial"/>
          <w:color w:val="000000"/>
          <w:lang w:eastAsia="bg-BG"/>
        </w:rPr>
        <w:lastRenderedPageBreak/>
        <w:t xml:space="preserve">стадий Т2-Т4с, </w:t>
      </w:r>
      <w:r w:rsidRPr="00E334F9">
        <w:rPr>
          <w:rFonts w:eastAsia="Times New Roman" w:cs="Arial"/>
          <w:color w:val="000000"/>
          <w:lang w:val="en-US"/>
        </w:rPr>
        <w:t>N</w:t>
      </w:r>
      <w:r w:rsidRPr="00E334F9">
        <w:rPr>
          <w:rFonts w:eastAsia="Times New Roman" w:cs="Arial"/>
          <w:color w:val="000000"/>
          <w:lang w:val="ru-RU"/>
        </w:rPr>
        <w:t xml:space="preserve">0-2, </w:t>
      </w:r>
      <w:r w:rsidRPr="00E334F9">
        <w:rPr>
          <w:rFonts w:eastAsia="Times New Roman" w:cs="Arial"/>
          <w:color w:val="000000"/>
          <w:lang w:eastAsia="bg-BG"/>
        </w:rPr>
        <w:t xml:space="preserve">МО, </w:t>
      </w:r>
      <w:r w:rsidRPr="00E334F9">
        <w:rPr>
          <w:rFonts w:eastAsia="Times New Roman" w:cs="Arial"/>
          <w:color w:val="000000"/>
          <w:lang w:val="en-US"/>
        </w:rPr>
        <w:t>ER</w:t>
      </w:r>
      <w:r w:rsidRPr="00E334F9">
        <w:rPr>
          <w:rFonts w:eastAsia="Times New Roman" w:cs="Arial"/>
          <w:color w:val="000000"/>
          <w:lang w:val="ru-RU"/>
        </w:rPr>
        <w:t xml:space="preserve"> </w:t>
      </w:r>
      <w:r w:rsidRPr="00E334F9">
        <w:rPr>
          <w:rFonts w:eastAsia="Times New Roman" w:cs="Arial"/>
          <w:color w:val="000000"/>
          <w:lang w:eastAsia="bg-BG"/>
        </w:rPr>
        <w:t xml:space="preserve">и/или </w:t>
      </w:r>
      <w:r w:rsidRPr="00E334F9">
        <w:rPr>
          <w:rFonts w:eastAsia="Times New Roman" w:cs="Arial"/>
          <w:color w:val="000000"/>
          <w:lang w:val="en-US"/>
        </w:rPr>
        <w:t>PgR</w:t>
      </w:r>
      <w:r w:rsidRPr="00E334F9">
        <w:rPr>
          <w:rFonts w:eastAsia="Times New Roman" w:cs="Arial"/>
          <w:color w:val="000000"/>
          <w:lang w:eastAsia="bg-BG"/>
        </w:rPr>
        <w:t>-позитивен и нито един от пациентите не е преценен като подходяща за съхраняващо гърдата оперативно лечение. Въз основа на клиничната оценка е наблюдавано обективно повлияване при 55% от пациентите в рамото на летрозол, спрямо 36% в рамото на тамоксифен (Р&lt;0,001). Тази находка е потвърдена ехографски (летрозол 35% спрямо тамоксифен 25%, Р=0,04) и чрез мамография (летрозол 34% спрямо тамоксифен 16%, Р&lt;0,001). При общо 45% от пациентите в групата на летрозол спрямо 35% от пациентите от групата на тамоксифен (Р=0,02) е проведено съхраняващо гърдата оперативно лечение). По време на 4- месечния пред оперативен период на лечение при 12% от пациентите, лекувани с летрозол и 17% от пациентите, лекувани с тамоксифен е установена прогресия на заболяването при клинична оценка.</w:t>
      </w:r>
    </w:p>
    <w:p w14:paraId="072CF2D2" w14:textId="77777777" w:rsidR="00E334F9" w:rsidRDefault="00E334F9" w:rsidP="00E334F9">
      <w:pPr>
        <w:spacing w:line="240" w:lineRule="auto"/>
        <w:rPr>
          <w:rFonts w:eastAsia="Times New Roman" w:cs="Arial"/>
          <w:b/>
          <w:bCs/>
          <w:color w:val="000000"/>
          <w:u w:val="single"/>
          <w:lang w:eastAsia="bg-BG"/>
        </w:rPr>
      </w:pPr>
    </w:p>
    <w:p w14:paraId="79C96FF1" w14:textId="090E5DB1" w:rsidR="00E334F9" w:rsidRPr="00E334F9" w:rsidRDefault="00E334F9" w:rsidP="00E334F9">
      <w:pPr>
        <w:spacing w:line="240" w:lineRule="auto"/>
        <w:rPr>
          <w:rFonts w:eastAsia="Times New Roman" w:cs="Arial"/>
        </w:rPr>
      </w:pPr>
      <w:r w:rsidRPr="00E334F9">
        <w:rPr>
          <w:rFonts w:eastAsia="Times New Roman" w:cs="Arial"/>
          <w:b/>
          <w:bCs/>
          <w:color w:val="000000"/>
          <w:u w:val="single"/>
          <w:lang w:eastAsia="bg-BG"/>
        </w:rPr>
        <w:t>Първа линия на терапия:</w:t>
      </w:r>
    </w:p>
    <w:p w14:paraId="3FD86A89" w14:textId="77777777" w:rsidR="00E334F9" w:rsidRPr="00E334F9" w:rsidRDefault="00E334F9" w:rsidP="00E334F9">
      <w:pPr>
        <w:spacing w:line="240" w:lineRule="auto"/>
        <w:rPr>
          <w:rFonts w:eastAsia="Times New Roman" w:cs="Arial"/>
        </w:rPr>
      </w:pPr>
      <w:r w:rsidRPr="00E334F9">
        <w:rPr>
          <w:rFonts w:eastAsia="Times New Roman" w:cs="Arial"/>
          <w:color w:val="000000"/>
          <w:lang w:eastAsia="bg-BG"/>
        </w:rPr>
        <w:t xml:space="preserve">Проведено е едно контролирано, двойносляпо изпитване за сравнение на летрозол 2.5 </w:t>
      </w:r>
      <w:r w:rsidRPr="00E334F9">
        <w:rPr>
          <w:rFonts w:eastAsia="Times New Roman" w:cs="Arial"/>
          <w:color w:val="000000"/>
          <w:lang w:val="en-US"/>
        </w:rPr>
        <w:t>mg</w:t>
      </w:r>
      <w:r w:rsidRPr="00E334F9">
        <w:rPr>
          <w:rFonts w:eastAsia="Times New Roman" w:cs="Arial"/>
          <w:color w:val="000000"/>
          <w:lang w:val="ru-RU"/>
        </w:rPr>
        <w:t xml:space="preserve"> </w:t>
      </w:r>
      <w:r w:rsidRPr="00E334F9">
        <w:rPr>
          <w:rFonts w:eastAsia="Times New Roman" w:cs="Arial"/>
          <w:color w:val="000000"/>
          <w:lang w:eastAsia="bg-BG"/>
        </w:rPr>
        <w:t xml:space="preserve">с тамоксифен 20 </w:t>
      </w:r>
      <w:r w:rsidRPr="00E334F9">
        <w:rPr>
          <w:rFonts w:eastAsia="Times New Roman" w:cs="Arial"/>
          <w:color w:val="000000"/>
          <w:lang w:val="en-US"/>
        </w:rPr>
        <w:t>mg</w:t>
      </w:r>
      <w:r w:rsidRPr="00E334F9">
        <w:rPr>
          <w:rFonts w:eastAsia="Times New Roman" w:cs="Arial"/>
          <w:color w:val="000000"/>
          <w:lang w:val="ru-RU"/>
        </w:rPr>
        <w:t xml:space="preserve"> </w:t>
      </w:r>
      <w:r w:rsidRPr="00E334F9">
        <w:rPr>
          <w:rFonts w:eastAsia="Times New Roman" w:cs="Arial"/>
          <w:color w:val="000000"/>
          <w:lang w:eastAsia="bg-BG"/>
        </w:rPr>
        <w:t>като първа линия на лечение при жени в постменопауза с рак на гърдата в напреднал стадий. При 907 жени, летрозол превъзхожда тамоксифен по отношение на времето до прогресията на заболя ването (първична крайна точка), общия обективен отговор, времето до терапевтичен неуспех и клиничната полза.</w:t>
      </w:r>
    </w:p>
    <w:p w14:paraId="78BE7290" w14:textId="77777777" w:rsidR="00E334F9" w:rsidRDefault="00E334F9" w:rsidP="00E334F9">
      <w:pPr>
        <w:spacing w:line="240" w:lineRule="auto"/>
        <w:rPr>
          <w:rFonts w:eastAsia="Times New Roman" w:cs="Arial"/>
          <w:color w:val="000000"/>
          <w:lang w:eastAsia="bg-BG"/>
        </w:rPr>
      </w:pPr>
    </w:p>
    <w:p w14:paraId="6C7BD884" w14:textId="03C0064D" w:rsidR="00E334F9" w:rsidRPr="00E334F9" w:rsidRDefault="00E334F9" w:rsidP="00E334F9">
      <w:pPr>
        <w:spacing w:line="240" w:lineRule="auto"/>
        <w:rPr>
          <w:rFonts w:eastAsia="Times New Roman" w:cs="Arial"/>
        </w:rPr>
      </w:pPr>
      <w:r w:rsidRPr="00E334F9">
        <w:rPr>
          <w:rFonts w:eastAsia="Times New Roman" w:cs="Arial"/>
          <w:color w:val="000000"/>
          <w:lang w:eastAsia="bg-BG"/>
        </w:rPr>
        <w:t>Тези резултати са обобщени в Таблица 9:</w:t>
      </w:r>
    </w:p>
    <w:p w14:paraId="681B8B68" w14:textId="77777777" w:rsidR="00E334F9" w:rsidRDefault="00E334F9" w:rsidP="00E334F9">
      <w:pPr>
        <w:spacing w:line="240" w:lineRule="auto"/>
        <w:rPr>
          <w:rFonts w:eastAsia="Times New Roman" w:cs="Arial"/>
          <w:b/>
          <w:bCs/>
          <w:color w:val="000000"/>
          <w:lang w:eastAsia="bg-BG"/>
        </w:rPr>
      </w:pPr>
    </w:p>
    <w:p w14:paraId="662E3C7B" w14:textId="626C1982" w:rsidR="00E334F9" w:rsidRPr="00E334F9" w:rsidRDefault="00E334F9" w:rsidP="00E334F9">
      <w:pPr>
        <w:spacing w:line="240" w:lineRule="auto"/>
        <w:rPr>
          <w:rFonts w:eastAsia="Times New Roman" w:cs="Arial"/>
        </w:rPr>
      </w:pPr>
      <w:r w:rsidRPr="00E334F9">
        <w:rPr>
          <w:rFonts w:eastAsia="Times New Roman" w:cs="Arial"/>
          <w:b/>
          <w:bCs/>
          <w:color w:val="000000"/>
          <w:lang w:eastAsia="bg-BG"/>
        </w:rPr>
        <w:t>Таблица 5 Резултати при медиана на проследяванео 32 месеца</w:t>
      </w:r>
    </w:p>
    <w:p w14:paraId="0FBADBD5" w14:textId="3D3E002A" w:rsidR="00E334F9" w:rsidRDefault="00E334F9" w:rsidP="00696C38">
      <w:pPr>
        <w:rPr>
          <w:rFonts w:eastAsia="Times New Roman" w:cs="Arial"/>
          <w:b/>
          <w:bCs/>
          <w:color w:val="000000"/>
          <w:lang w:eastAsia="bg-BG"/>
        </w:rPr>
      </w:pPr>
    </w:p>
    <w:tbl>
      <w:tblPr>
        <w:tblStyle w:val="TableGrid"/>
        <w:tblW w:w="0" w:type="auto"/>
        <w:tblLook w:val="04A0" w:firstRow="1" w:lastRow="0" w:firstColumn="1" w:lastColumn="0" w:noHBand="0" w:noVBand="1"/>
      </w:tblPr>
      <w:tblGrid>
        <w:gridCol w:w="2342"/>
        <w:gridCol w:w="2345"/>
        <w:gridCol w:w="2322"/>
        <w:gridCol w:w="2341"/>
      </w:tblGrid>
      <w:tr w:rsidR="00E334F9" w14:paraId="5D341439" w14:textId="77777777" w:rsidTr="00D27492">
        <w:tc>
          <w:tcPr>
            <w:tcW w:w="2394" w:type="dxa"/>
          </w:tcPr>
          <w:p w14:paraId="4571FE6A" w14:textId="4579C6BD" w:rsidR="00E334F9" w:rsidRPr="00E334F9" w:rsidRDefault="00E334F9" w:rsidP="00E334F9">
            <w:pPr>
              <w:rPr>
                <w:rFonts w:eastAsia="Times New Roman" w:cs="Arial"/>
                <w:b/>
                <w:bCs/>
                <w:color w:val="000000"/>
                <w:lang w:val="en-US" w:eastAsia="bg-BG"/>
              </w:rPr>
            </w:pPr>
            <w:r w:rsidRPr="00E334F9">
              <w:rPr>
                <w:b/>
                <w:bCs/>
              </w:rPr>
              <w:t>Променлива</w:t>
            </w:r>
          </w:p>
        </w:tc>
        <w:tc>
          <w:tcPr>
            <w:tcW w:w="2394" w:type="dxa"/>
          </w:tcPr>
          <w:p w14:paraId="413A0A11" w14:textId="6BCA1F98" w:rsidR="00E334F9" w:rsidRPr="00E334F9" w:rsidRDefault="00E334F9" w:rsidP="00E334F9">
            <w:pPr>
              <w:rPr>
                <w:rFonts w:eastAsia="Times New Roman" w:cs="Arial"/>
                <w:b/>
                <w:bCs/>
                <w:color w:val="000000"/>
                <w:lang w:eastAsia="bg-BG"/>
              </w:rPr>
            </w:pPr>
            <w:r w:rsidRPr="00E334F9">
              <w:rPr>
                <w:b/>
                <w:bCs/>
              </w:rPr>
              <w:t>Статистика</w:t>
            </w:r>
          </w:p>
        </w:tc>
        <w:tc>
          <w:tcPr>
            <w:tcW w:w="2394" w:type="dxa"/>
            <w:vAlign w:val="bottom"/>
          </w:tcPr>
          <w:p w14:paraId="6AA0F4AE" w14:textId="442AE961" w:rsidR="00E334F9" w:rsidRPr="00E334F9" w:rsidRDefault="00E334F9" w:rsidP="00E334F9">
            <w:pPr>
              <w:rPr>
                <w:rFonts w:eastAsia="Times New Roman" w:cs="Arial"/>
                <w:b/>
                <w:bCs/>
                <w:color w:val="000000"/>
                <w:lang w:eastAsia="bg-BG"/>
              </w:rPr>
            </w:pPr>
            <w:r w:rsidRPr="00E334F9">
              <w:rPr>
                <w:b/>
                <w:bCs/>
              </w:rPr>
              <w:t xml:space="preserve">Летрозол </w:t>
            </w:r>
            <w:r w:rsidRPr="00E334F9">
              <w:rPr>
                <w:b/>
                <w:bCs/>
                <w:lang w:val="en-US"/>
              </w:rPr>
              <w:t>n</w:t>
            </w:r>
            <w:r w:rsidRPr="00E334F9">
              <w:rPr>
                <w:b/>
                <w:bCs/>
              </w:rPr>
              <w:t>=453</w:t>
            </w:r>
          </w:p>
        </w:tc>
        <w:tc>
          <w:tcPr>
            <w:tcW w:w="2394" w:type="dxa"/>
            <w:vAlign w:val="bottom"/>
          </w:tcPr>
          <w:p w14:paraId="3BD7B47E" w14:textId="3D47FC17" w:rsidR="00E334F9" w:rsidRPr="00E334F9" w:rsidRDefault="00E334F9" w:rsidP="00E334F9">
            <w:pPr>
              <w:rPr>
                <w:rFonts w:eastAsia="Times New Roman" w:cs="Arial"/>
                <w:b/>
                <w:bCs/>
                <w:color w:val="000000"/>
                <w:lang w:eastAsia="bg-BG"/>
              </w:rPr>
            </w:pPr>
            <w:r w:rsidRPr="00E334F9">
              <w:rPr>
                <w:b/>
                <w:bCs/>
              </w:rPr>
              <w:t xml:space="preserve">Тамоксифен </w:t>
            </w:r>
            <w:r w:rsidRPr="00E334F9">
              <w:rPr>
                <w:b/>
                <w:bCs/>
                <w:lang w:val="en-US"/>
              </w:rPr>
              <w:t>n</w:t>
            </w:r>
            <w:r w:rsidRPr="00E334F9">
              <w:rPr>
                <w:b/>
                <w:bCs/>
              </w:rPr>
              <w:t>=454</w:t>
            </w:r>
          </w:p>
        </w:tc>
      </w:tr>
      <w:tr w:rsidR="00E334F9" w14:paraId="4AD2CB93" w14:textId="77777777" w:rsidTr="00D27492">
        <w:tc>
          <w:tcPr>
            <w:tcW w:w="2394" w:type="dxa"/>
            <w:vMerge w:val="restart"/>
          </w:tcPr>
          <w:p w14:paraId="31F8AF5E" w14:textId="0D9ECDA2" w:rsidR="00E334F9" w:rsidRPr="00E334F9" w:rsidRDefault="00E334F9" w:rsidP="00E334F9">
            <w:pPr>
              <w:rPr>
                <w:rFonts w:eastAsia="Times New Roman" w:cs="Arial"/>
                <w:b/>
                <w:bCs/>
                <w:color w:val="000000"/>
                <w:lang w:eastAsia="bg-BG"/>
              </w:rPr>
            </w:pPr>
            <w:r w:rsidRPr="00E334F9">
              <w:rPr>
                <w:b/>
                <w:bCs/>
              </w:rPr>
              <w:t>Време до прогресия</w:t>
            </w:r>
          </w:p>
        </w:tc>
        <w:tc>
          <w:tcPr>
            <w:tcW w:w="2394" w:type="dxa"/>
            <w:vAlign w:val="bottom"/>
          </w:tcPr>
          <w:p w14:paraId="2C6C68C4" w14:textId="20437A13" w:rsidR="00E334F9" w:rsidRPr="00E334F9" w:rsidRDefault="00E334F9" w:rsidP="00E334F9">
            <w:pPr>
              <w:rPr>
                <w:rFonts w:eastAsia="Times New Roman" w:cs="Arial"/>
                <w:b/>
                <w:bCs/>
                <w:color w:val="000000"/>
                <w:lang w:eastAsia="bg-BG"/>
              </w:rPr>
            </w:pPr>
            <w:r w:rsidRPr="00E334F9">
              <w:t>Средно</w:t>
            </w:r>
          </w:p>
        </w:tc>
        <w:tc>
          <w:tcPr>
            <w:tcW w:w="2394" w:type="dxa"/>
            <w:vAlign w:val="bottom"/>
          </w:tcPr>
          <w:p w14:paraId="55FBE2D8" w14:textId="57AEE38C" w:rsidR="00E334F9" w:rsidRPr="00E334F9" w:rsidRDefault="00E334F9" w:rsidP="00E334F9">
            <w:pPr>
              <w:rPr>
                <w:rFonts w:eastAsia="Times New Roman" w:cs="Arial"/>
                <w:b/>
                <w:bCs/>
                <w:color w:val="000000"/>
                <w:lang w:eastAsia="bg-BG"/>
              </w:rPr>
            </w:pPr>
            <w:r w:rsidRPr="00E334F9">
              <w:t>9.4 месеца</w:t>
            </w:r>
          </w:p>
        </w:tc>
        <w:tc>
          <w:tcPr>
            <w:tcW w:w="2394" w:type="dxa"/>
            <w:vAlign w:val="bottom"/>
          </w:tcPr>
          <w:p w14:paraId="3B3A68C9" w14:textId="6B5C57FC" w:rsidR="00E334F9" w:rsidRPr="00E334F9" w:rsidRDefault="00E334F9" w:rsidP="00E334F9">
            <w:pPr>
              <w:rPr>
                <w:rFonts w:eastAsia="Times New Roman" w:cs="Arial"/>
                <w:b/>
                <w:bCs/>
                <w:color w:val="000000"/>
                <w:lang w:eastAsia="bg-BG"/>
              </w:rPr>
            </w:pPr>
            <w:r w:rsidRPr="00E334F9">
              <w:t>6.0 месеца</w:t>
            </w:r>
          </w:p>
        </w:tc>
      </w:tr>
      <w:tr w:rsidR="00E334F9" w14:paraId="4AC4502B" w14:textId="77777777" w:rsidTr="00D27492">
        <w:tc>
          <w:tcPr>
            <w:tcW w:w="2394" w:type="dxa"/>
            <w:vMerge/>
          </w:tcPr>
          <w:p w14:paraId="13D8971A" w14:textId="77777777" w:rsidR="00E334F9" w:rsidRPr="00E334F9" w:rsidRDefault="00E334F9" w:rsidP="00E334F9">
            <w:pPr>
              <w:rPr>
                <w:rFonts w:eastAsia="Times New Roman" w:cs="Arial"/>
                <w:b/>
                <w:bCs/>
                <w:color w:val="000000"/>
                <w:lang w:eastAsia="bg-BG"/>
              </w:rPr>
            </w:pPr>
          </w:p>
        </w:tc>
        <w:tc>
          <w:tcPr>
            <w:tcW w:w="2394" w:type="dxa"/>
            <w:vAlign w:val="bottom"/>
          </w:tcPr>
          <w:p w14:paraId="77298BF8" w14:textId="50A84E7D" w:rsidR="00E334F9" w:rsidRPr="00E334F9" w:rsidRDefault="00E334F9" w:rsidP="00E334F9">
            <w:pPr>
              <w:rPr>
                <w:rFonts w:eastAsia="Times New Roman" w:cs="Arial"/>
                <w:b/>
                <w:bCs/>
                <w:color w:val="000000"/>
                <w:lang w:eastAsia="bg-BG"/>
              </w:rPr>
            </w:pPr>
            <w:r w:rsidRPr="00E334F9">
              <w:t xml:space="preserve">(95% </w:t>
            </w:r>
            <w:r w:rsidRPr="00E334F9">
              <w:rPr>
                <w:lang w:val="en-US"/>
              </w:rPr>
              <w:t xml:space="preserve">CI </w:t>
            </w:r>
            <w:r w:rsidRPr="00E334F9">
              <w:t>за медианата)</w:t>
            </w:r>
          </w:p>
        </w:tc>
        <w:tc>
          <w:tcPr>
            <w:tcW w:w="2394" w:type="dxa"/>
            <w:vAlign w:val="bottom"/>
          </w:tcPr>
          <w:p w14:paraId="0FEBACE5" w14:textId="63D7F9A2" w:rsidR="00E334F9" w:rsidRPr="00E334F9" w:rsidRDefault="00E334F9" w:rsidP="00E334F9">
            <w:pPr>
              <w:rPr>
                <w:rFonts w:eastAsia="Times New Roman" w:cs="Arial"/>
                <w:b/>
                <w:bCs/>
                <w:color w:val="000000"/>
                <w:lang w:eastAsia="bg-BG"/>
              </w:rPr>
            </w:pPr>
            <w:r w:rsidRPr="00E334F9">
              <w:t>(8.9,11.6 месеца)</w:t>
            </w:r>
          </w:p>
        </w:tc>
        <w:tc>
          <w:tcPr>
            <w:tcW w:w="2394" w:type="dxa"/>
            <w:vAlign w:val="bottom"/>
          </w:tcPr>
          <w:p w14:paraId="5F549426" w14:textId="6F90AF17" w:rsidR="00E334F9" w:rsidRPr="00E334F9" w:rsidRDefault="00E334F9" w:rsidP="00E334F9">
            <w:pPr>
              <w:rPr>
                <w:rFonts w:eastAsia="Times New Roman" w:cs="Arial"/>
                <w:b/>
                <w:bCs/>
                <w:color w:val="000000"/>
                <w:lang w:eastAsia="bg-BG"/>
              </w:rPr>
            </w:pPr>
            <w:r w:rsidRPr="00E334F9">
              <w:t>(5.4, 6.3 месеца)</w:t>
            </w:r>
          </w:p>
        </w:tc>
      </w:tr>
      <w:tr w:rsidR="00E334F9" w14:paraId="4188B11B" w14:textId="77777777" w:rsidTr="00D27492">
        <w:tc>
          <w:tcPr>
            <w:tcW w:w="2394" w:type="dxa"/>
            <w:vMerge/>
          </w:tcPr>
          <w:p w14:paraId="68445DB5" w14:textId="77777777" w:rsidR="00E334F9" w:rsidRPr="00E334F9" w:rsidRDefault="00E334F9" w:rsidP="00E334F9">
            <w:pPr>
              <w:rPr>
                <w:rFonts w:eastAsia="Times New Roman" w:cs="Arial"/>
                <w:b/>
                <w:bCs/>
                <w:color w:val="000000"/>
                <w:lang w:eastAsia="bg-BG"/>
              </w:rPr>
            </w:pPr>
          </w:p>
        </w:tc>
        <w:tc>
          <w:tcPr>
            <w:tcW w:w="2394" w:type="dxa"/>
            <w:vAlign w:val="bottom"/>
          </w:tcPr>
          <w:p w14:paraId="21CBCBA9" w14:textId="1C99ED22" w:rsidR="00E334F9" w:rsidRPr="00E334F9" w:rsidRDefault="00E334F9" w:rsidP="00E334F9">
            <w:pPr>
              <w:rPr>
                <w:rFonts w:eastAsia="Times New Roman" w:cs="Arial"/>
                <w:b/>
                <w:bCs/>
                <w:color w:val="000000"/>
                <w:lang w:eastAsia="bg-BG"/>
              </w:rPr>
            </w:pPr>
            <w:r w:rsidRPr="00E334F9">
              <w:t xml:space="preserve">Коефициент на риск </w:t>
            </w:r>
            <w:r w:rsidRPr="00E334F9">
              <w:rPr>
                <w:lang w:val="en-US"/>
              </w:rPr>
              <w:t>(HR)</w:t>
            </w:r>
          </w:p>
        </w:tc>
        <w:tc>
          <w:tcPr>
            <w:tcW w:w="2394" w:type="dxa"/>
          </w:tcPr>
          <w:p w14:paraId="2250E33F" w14:textId="582AFADB" w:rsidR="00E334F9" w:rsidRPr="00E334F9" w:rsidRDefault="00E334F9" w:rsidP="00E334F9">
            <w:pPr>
              <w:rPr>
                <w:rFonts w:eastAsia="Times New Roman" w:cs="Arial"/>
                <w:b/>
                <w:bCs/>
                <w:color w:val="000000"/>
                <w:lang w:eastAsia="bg-BG"/>
              </w:rPr>
            </w:pPr>
            <w:r w:rsidRPr="00E334F9">
              <w:t>0.72</w:t>
            </w:r>
          </w:p>
        </w:tc>
        <w:tc>
          <w:tcPr>
            <w:tcW w:w="2394" w:type="dxa"/>
          </w:tcPr>
          <w:p w14:paraId="142A9AFE" w14:textId="77777777" w:rsidR="00E334F9" w:rsidRPr="00E334F9" w:rsidRDefault="00E334F9" w:rsidP="00E334F9">
            <w:pPr>
              <w:rPr>
                <w:rFonts w:eastAsia="Times New Roman" w:cs="Arial"/>
                <w:b/>
                <w:bCs/>
                <w:color w:val="000000"/>
                <w:lang w:eastAsia="bg-BG"/>
              </w:rPr>
            </w:pPr>
          </w:p>
        </w:tc>
      </w:tr>
      <w:tr w:rsidR="00E334F9" w14:paraId="2E2103A2" w14:textId="77777777" w:rsidTr="00D27492">
        <w:tc>
          <w:tcPr>
            <w:tcW w:w="2394" w:type="dxa"/>
            <w:vMerge/>
          </w:tcPr>
          <w:p w14:paraId="33FF2071" w14:textId="77777777" w:rsidR="00E334F9" w:rsidRPr="00E334F9" w:rsidRDefault="00E334F9" w:rsidP="00E334F9">
            <w:pPr>
              <w:rPr>
                <w:rFonts w:eastAsia="Times New Roman" w:cs="Arial"/>
                <w:b/>
                <w:bCs/>
                <w:color w:val="000000"/>
                <w:lang w:eastAsia="bg-BG"/>
              </w:rPr>
            </w:pPr>
          </w:p>
        </w:tc>
        <w:tc>
          <w:tcPr>
            <w:tcW w:w="2394" w:type="dxa"/>
            <w:vAlign w:val="bottom"/>
          </w:tcPr>
          <w:p w14:paraId="5D8C5B67" w14:textId="03E684AB" w:rsidR="00E334F9" w:rsidRPr="00E334F9" w:rsidRDefault="00E334F9" w:rsidP="00E334F9">
            <w:pPr>
              <w:rPr>
                <w:rFonts w:eastAsia="Times New Roman" w:cs="Arial"/>
                <w:b/>
                <w:bCs/>
                <w:color w:val="000000"/>
                <w:lang w:eastAsia="bg-BG"/>
              </w:rPr>
            </w:pPr>
            <w:r w:rsidRPr="00E334F9">
              <w:t xml:space="preserve">(95% </w:t>
            </w:r>
            <w:r w:rsidRPr="00E334F9">
              <w:rPr>
                <w:lang w:val="en-US"/>
              </w:rPr>
              <w:t xml:space="preserve">CI </w:t>
            </w:r>
            <w:r w:rsidRPr="00E334F9">
              <w:t xml:space="preserve">за </w:t>
            </w:r>
            <w:r w:rsidRPr="00E334F9">
              <w:rPr>
                <w:lang w:val="en-US"/>
              </w:rPr>
              <w:t>HR)</w:t>
            </w:r>
          </w:p>
        </w:tc>
        <w:tc>
          <w:tcPr>
            <w:tcW w:w="2394" w:type="dxa"/>
            <w:vAlign w:val="bottom"/>
          </w:tcPr>
          <w:p w14:paraId="6C9B5BC7" w14:textId="3D7C572F" w:rsidR="00E334F9" w:rsidRPr="00E334F9" w:rsidRDefault="00E334F9" w:rsidP="00E334F9">
            <w:pPr>
              <w:rPr>
                <w:rFonts w:eastAsia="Times New Roman" w:cs="Arial"/>
                <w:b/>
                <w:bCs/>
                <w:color w:val="000000"/>
                <w:lang w:eastAsia="bg-BG"/>
              </w:rPr>
            </w:pPr>
            <w:r w:rsidRPr="00E334F9">
              <w:t>(0.62, 0.83)</w:t>
            </w:r>
          </w:p>
        </w:tc>
        <w:tc>
          <w:tcPr>
            <w:tcW w:w="2394" w:type="dxa"/>
          </w:tcPr>
          <w:p w14:paraId="1F1CC793" w14:textId="77777777" w:rsidR="00E334F9" w:rsidRPr="00E334F9" w:rsidRDefault="00E334F9" w:rsidP="00E334F9">
            <w:pPr>
              <w:rPr>
                <w:rFonts w:eastAsia="Times New Roman" w:cs="Arial"/>
                <w:b/>
                <w:bCs/>
                <w:color w:val="000000"/>
                <w:lang w:eastAsia="bg-BG"/>
              </w:rPr>
            </w:pPr>
          </w:p>
        </w:tc>
      </w:tr>
      <w:tr w:rsidR="00E334F9" w14:paraId="7631CB1C" w14:textId="77777777" w:rsidTr="00D27492">
        <w:tc>
          <w:tcPr>
            <w:tcW w:w="2394" w:type="dxa"/>
            <w:vMerge/>
          </w:tcPr>
          <w:p w14:paraId="43951E4A" w14:textId="77777777" w:rsidR="00E334F9" w:rsidRPr="00E334F9" w:rsidRDefault="00E334F9" w:rsidP="00E334F9">
            <w:pPr>
              <w:rPr>
                <w:rFonts w:eastAsia="Times New Roman" w:cs="Arial"/>
                <w:b/>
                <w:bCs/>
                <w:color w:val="000000"/>
                <w:lang w:eastAsia="bg-BG"/>
              </w:rPr>
            </w:pPr>
          </w:p>
        </w:tc>
        <w:tc>
          <w:tcPr>
            <w:tcW w:w="2394" w:type="dxa"/>
            <w:vAlign w:val="bottom"/>
          </w:tcPr>
          <w:p w14:paraId="4AB7DED0" w14:textId="66296F5A" w:rsidR="00E334F9" w:rsidRPr="00E334F9" w:rsidRDefault="00E334F9" w:rsidP="00E334F9">
            <w:pPr>
              <w:rPr>
                <w:rFonts w:eastAsia="Times New Roman" w:cs="Arial"/>
                <w:b/>
                <w:bCs/>
                <w:color w:val="000000"/>
                <w:lang w:eastAsia="bg-BG"/>
              </w:rPr>
            </w:pPr>
            <w:r w:rsidRPr="00E334F9">
              <w:rPr>
                <w:i/>
                <w:iCs/>
              </w:rPr>
              <w:t>Р</w:t>
            </w:r>
          </w:p>
        </w:tc>
        <w:tc>
          <w:tcPr>
            <w:tcW w:w="2394" w:type="dxa"/>
            <w:vAlign w:val="bottom"/>
          </w:tcPr>
          <w:p w14:paraId="0AEBBAEA" w14:textId="5EA1C242" w:rsidR="00E334F9" w:rsidRPr="00E334F9" w:rsidRDefault="00E334F9" w:rsidP="00E334F9">
            <w:pPr>
              <w:rPr>
                <w:rFonts w:eastAsia="Times New Roman" w:cs="Arial"/>
                <w:b/>
                <w:bCs/>
                <w:color w:val="000000"/>
                <w:lang w:eastAsia="bg-BG"/>
              </w:rPr>
            </w:pPr>
            <w:r w:rsidRPr="00E334F9">
              <w:t>&lt;0.0001</w:t>
            </w:r>
          </w:p>
        </w:tc>
        <w:tc>
          <w:tcPr>
            <w:tcW w:w="2394" w:type="dxa"/>
          </w:tcPr>
          <w:p w14:paraId="106E6553" w14:textId="77777777" w:rsidR="00E334F9" w:rsidRPr="00E334F9" w:rsidRDefault="00E334F9" w:rsidP="00E334F9">
            <w:pPr>
              <w:rPr>
                <w:rFonts w:eastAsia="Times New Roman" w:cs="Arial"/>
                <w:b/>
                <w:bCs/>
                <w:color w:val="000000"/>
                <w:lang w:eastAsia="bg-BG"/>
              </w:rPr>
            </w:pPr>
          </w:p>
        </w:tc>
      </w:tr>
      <w:tr w:rsidR="00E334F9" w14:paraId="4EE99E7F" w14:textId="77777777" w:rsidTr="00E334F9">
        <w:tc>
          <w:tcPr>
            <w:tcW w:w="2394" w:type="dxa"/>
            <w:vMerge w:val="restart"/>
          </w:tcPr>
          <w:p w14:paraId="6F49E695" w14:textId="7EA653C3" w:rsidR="00E334F9" w:rsidRPr="00E334F9" w:rsidRDefault="00E334F9" w:rsidP="00E334F9">
            <w:pPr>
              <w:rPr>
                <w:rFonts w:eastAsia="Times New Roman" w:cs="Arial"/>
                <w:b/>
                <w:bCs/>
                <w:color w:val="000000"/>
                <w:lang w:eastAsia="bg-BG"/>
              </w:rPr>
            </w:pPr>
            <w:r w:rsidRPr="00E334F9">
              <w:rPr>
                <w:b/>
                <w:bCs/>
              </w:rPr>
              <w:t xml:space="preserve">Честота на обективен отговор </w:t>
            </w:r>
            <w:r w:rsidRPr="00E334F9">
              <w:rPr>
                <w:b/>
                <w:bCs/>
                <w:lang w:val="ru-RU"/>
              </w:rPr>
              <w:t>(</w:t>
            </w:r>
            <w:r w:rsidRPr="00E334F9">
              <w:rPr>
                <w:b/>
                <w:bCs/>
                <w:lang w:val="en-US"/>
              </w:rPr>
              <w:t>ORR</w:t>
            </w:r>
            <w:r w:rsidRPr="00E334F9">
              <w:rPr>
                <w:b/>
                <w:bCs/>
                <w:lang w:val="ru-RU"/>
              </w:rPr>
              <w:t>)</w:t>
            </w:r>
          </w:p>
        </w:tc>
        <w:tc>
          <w:tcPr>
            <w:tcW w:w="2394" w:type="dxa"/>
          </w:tcPr>
          <w:p w14:paraId="011FD440" w14:textId="4DE84E5C" w:rsidR="00E334F9" w:rsidRPr="00E334F9" w:rsidRDefault="00E334F9" w:rsidP="00E334F9">
            <w:pPr>
              <w:rPr>
                <w:rFonts w:eastAsia="Times New Roman" w:cs="Arial"/>
                <w:b/>
                <w:bCs/>
                <w:color w:val="000000"/>
                <w:lang w:eastAsia="bg-BG"/>
              </w:rPr>
            </w:pPr>
            <w:r w:rsidRPr="00E334F9">
              <w:rPr>
                <w:lang w:val="en-US"/>
              </w:rPr>
              <w:t>CR+PR</w:t>
            </w:r>
          </w:p>
        </w:tc>
        <w:tc>
          <w:tcPr>
            <w:tcW w:w="2394" w:type="dxa"/>
          </w:tcPr>
          <w:p w14:paraId="3D1E40F0" w14:textId="6412F643" w:rsidR="00E334F9" w:rsidRPr="00E334F9" w:rsidRDefault="00E334F9" w:rsidP="00E334F9">
            <w:pPr>
              <w:rPr>
                <w:rFonts w:eastAsia="Times New Roman" w:cs="Arial"/>
                <w:b/>
                <w:bCs/>
                <w:color w:val="000000"/>
                <w:lang w:eastAsia="bg-BG"/>
              </w:rPr>
            </w:pPr>
            <w:r w:rsidRPr="00E334F9">
              <w:t>145 (32%)</w:t>
            </w:r>
          </w:p>
        </w:tc>
        <w:tc>
          <w:tcPr>
            <w:tcW w:w="2394" w:type="dxa"/>
          </w:tcPr>
          <w:p w14:paraId="4CAE1F0A" w14:textId="467E562F" w:rsidR="00E334F9" w:rsidRPr="00E334F9" w:rsidRDefault="00E334F9" w:rsidP="00E334F9">
            <w:pPr>
              <w:rPr>
                <w:rFonts w:eastAsia="Times New Roman" w:cs="Arial"/>
                <w:b/>
                <w:bCs/>
                <w:color w:val="000000"/>
                <w:lang w:eastAsia="bg-BG"/>
              </w:rPr>
            </w:pPr>
            <w:r w:rsidRPr="00E334F9">
              <w:t>95 (21%)</w:t>
            </w:r>
          </w:p>
        </w:tc>
      </w:tr>
      <w:tr w:rsidR="00E334F9" w14:paraId="3091C6F7" w14:textId="77777777" w:rsidTr="00D27492">
        <w:tc>
          <w:tcPr>
            <w:tcW w:w="2394" w:type="dxa"/>
            <w:vMerge/>
          </w:tcPr>
          <w:p w14:paraId="73723C22" w14:textId="77777777" w:rsidR="00E334F9" w:rsidRPr="00E334F9" w:rsidRDefault="00E334F9" w:rsidP="00E334F9">
            <w:pPr>
              <w:rPr>
                <w:rFonts w:eastAsia="Times New Roman" w:cs="Arial"/>
                <w:b/>
                <w:bCs/>
                <w:color w:val="000000"/>
                <w:lang w:eastAsia="bg-BG"/>
              </w:rPr>
            </w:pPr>
          </w:p>
        </w:tc>
        <w:tc>
          <w:tcPr>
            <w:tcW w:w="2394" w:type="dxa"/>
            <w:vAlign w:val="bottom"/>
          </w:tcPr>
          <w:p w14:paraId="0079E7EE" w14:textId="77BD2DDA" w:rsidR="00E334F9" w:rsidRPr="00E334F9" w:rsidRDefault="00E334F9" w:rsidP="00E334F9">
            <w:pPr>
              <w:rPr>
                <w:rFonts w:eastAsia="Times New Roman" w:cs="Arial"/>
                <w:b/>
                <w:bCs/>
                <w:color w:val="000000"/>
                <w:lang w:eastAsia="bg-BG"/>
              </w:rPr>
            </w:pPr>
            <w:r w:rsidRPr="00E334F9">
              <w:t xml:space="preserve">(95% </w:t>
            </w:r>
            <w:r w:rsidRPr="00E334F9">
              <w:rPr>
                <w:lang w:val="en-US"/>
              </w:rPr>
              <w:t xml:space="preserve">CI </w:t>
            </w:r>
            <w:r w:rsidRPr="00E334F9">
              <w:t>за честота)</w:t>
            </w:r>
          </w:p>
        </w:tc>
        <w:tc>
          <w:tcPr>
            <w:tcW w:w="2394" w:type="dxa"/>
            <w:vAlign w:val="bottom"/>
          </w:tcPr>
          <w:p w14:paraId="5FC34770" w14:textId="2F94E9CD" w:rsidR="00E334F9" w:rsidRPr="00E334F9" w:rsidRDefault="00E334F9" w:rsidP="00E334F9">
            <w:pPr>
              <w:rPr>
                <w:rFonts w:eastAsia="Times New Roman" w:cs="Arial"/>
                <w:b/>
                <w:bCs/>
                <w:color w:val="000000"/>
                <w:lang w:eastAsia="bg-BG"/>
              </w:rPr>
            </w:pPr>
            <w:r w:rsidRPr="00E334F9">
              <w:t>(28, 36%)</w:t>
            </w:r>
          </w:p>
        </w:tc>
        <w:tc>
          <w:tcPr>
            <w:tcW w:w="2394" w:type="dxa"/>
            <w:vAlign w:val="bottom"/>
          </w:tcPr>
          <w:p w14:paraId="61987372" w14:textId="7EDA1CA2" w:rsidR="00E334F9" w:rsidRPr="00E334F9" w:rsidRDefault="00E334F9" w:rsidP="00E334F9">
            <w:pPr>
              <w:rPr>
                <w:rFonts w:eastAsia="Times New Roman" w:cs="Arial"/>
                <w:b/>
                <w:bCs/>
                <w:color w:val="000000"/>
                <w:lang w:eastAsia="bg-BG"/>
              </w:rPr>
            </w:pPr>
            <w:r w:rsidRPr="00E334F9">
              <w:t>(17, 25%)</w:t>
            </w:r>
          </w:p>
        </w:tc>
      </w:tr>
      <w:tr w:rsidR="00E334F9" w14:paraId="485BB351" w14:textId="77777777" w:rsidTr="00D27492">
        <w:tc>
          <w:tcPr>
            <w:tcW w:w="2394" w:type="dxa"/>
            <w:vMerge/>
          </w:tcPr>
          <w:p w14:paraId="638AB072" w14:textId="77777777" w:rsidR="00E334F9" w:rsidRPr="00E334F9" w:rsidRDefault="00E334F9" w:rsidP="00E334F9">
            <w:pPr>
              <w:rPr>
                <w:rFonts w:eastAsia="Times New Roman" w:cs="Arial"/>
                <w:b/>
                <w:bCs/>
                <w:color w:val="000000"/>
                <w:lang w:eastAsia="bg-BG"/>
              </w:rPr>
            </w:pPr>
          </w:p>
        </w:tc>
        <w:tc>
          <w:tcPr>
            <w:tcW w:w="2394" w:type="dxa"/>
            <w:vAlign w:val="bottom"/>
          </w:tcPr>
          <w:p w14:paraId="108977C7" w14:textId="77777777" w:rsidR="00E334F9" w:rsidRPr="00E334F9" w:rsidRDefault="00E334F9" w:rsidP="00E334F9">
            <w:r w:rsidRPr="00E334F9">
              <w:t>Съотношение</w:t>
            </w:r>
            <w:r w:rsidRPr="00E334F9">
              <w:tab/>
              <w:t>на</w:t>
            </w:r>
          </w:p>
          <w:p w14:paraId="5A9FE087" w14:textId="04C4C9C4" w:rsidR="00E334F9" w:rsidRPr="00E334F9" w:rsidRDefault="00E334F9" w:rsidP="00E334F9">
            <w:pPr>
              <w:rPr>
                <w:rFonts w:eastAsia="Times New Roman" w:cs="Arial"/>
                <w:b/>
                <w:bCs/>
                <w:color w:val="000000"/>
                <w:lang w:eastAsia="bg-BG"/>
              </w:rPr>
            </w:pPr>
            <w:r w:rsidRPr="00E334F9">
              <w:t>шансовете</w:t>
            </w:r>
          </w:p>
        </w:tc>
        <w:tc>
          <w:tcPr>
            <w:tcW w:w="2394" w:type="dxa"/>
          </w:tcPr>
          <w:p w14:paraId="42757016" w14:textId="0C7D07B9" w:rsidR="00E334F9" w:rsidRPr="00E334F9" w:rsidRDefault="00E334F9" w:rsidP="00E334F9">
            <w:pPr>
              <w:rPr>
                <w:rFonts w:eastAsia="Times New Roman" w:cs="Arial"/>
                <w:b/>
                <w:bCs/>
                <w:color w:val="000000"/>
                <w:lang w:eastAsia="bg-BG"/>
              </w:rPr>
            </w:pPr>
            <w:r w:rsidRPr="00E334F9">
              <w:t>1.78</w:t>
            </w:r>
          </w:p>
        </w:tc>
        <w:tc>
          <w:tcPr>
            <w:tcW w:w="2394" w:type="dxa"/>
          </w:tcPr>
          <w:p w14:paraId="2E59DC0D" w14:textId="77777777" w:rsidR="00E334F9" w:rsidRPr="00E334F9" w:rsidRDefault="00E334F9" w:rsidP="00E334F9">
            <w:pPr>
              <w:rPr>
                <w:rFonts w:eastAsia="Times New Roman" w:cs="Arial"/>
                <w:b/>
                <w:bCs/>
                <w:color w:val="000000"/>
                <w:lang w:eastAsia="bg-BG"/>
              </w:rPr>
            </w:pPr>
          </w:p>
        </w:tc>
      </w:tr>
      <w:tr w:rsidR="00E334F9" w14:paraId="6D711314" w14:textId="77777777" w:rsidTr="00D27492">
        <w:tc>
          <w:tcPr>
            <w:tcW w:w="2394" w:type="dxa"/>
            <w:vMerge/>
          </w:tcPr>
          <w:p w14:paraId="00FB070B" w14:textId="77777777" w:rsidR="00E334F9" w:rsidRPr="00E334F9" w:rsidRDefault="00E334F9" w:rsidP="00E334F9">
            <w:pPr>
              <w:rPr>
                <w:rFonts w:eastAsia="Times New Roman" w:cs="Arial"/>
                <w:b/>
                <w:bCs/>
                <w:color w:val="000000"/>
                <w:lang w:eastAsia="bg-BG"/>
              </w:rPr>
            </w:pPr>
          </w:p>
        </w:tc>
        <w:tc>
          <w:tcPr>
            <w:tcW w:w="2394" w:type="dxa"/>
            <w:vAlign w:val="bottom"/>
          </w:tcPr>
          <w:p w14:paraId="3949D197" w14:textId="339DFB6E" w:rsidR="00E334F9" w:rsidRPr="00E334F9" w:rsidRDefault="00E334F9" w:rsidP="00E334F9">
            <w:pPr>
              <w:rPr>
                <w:rFonts w:eastAsia="Times New Roman" w:cs="Arial"/>
                <w:b/>
                <w:bCs/>
                <w:color w:val="000000"/>
                <w:lang w:eastAsia="bg-BG"/>
              </w:rPr>
            </w:pPr>
            <w:r w:rsidRPr="00E334F9">
              <w:t xml:space="preserve">(95% </w:t>
            </w:r>
            <w:r w:rsidRPr="00E334F9">
              <w:rPr>
                <w:lang w:val="en-US"/>
              </w:rPr>
              <w:t>CI</w:t>
            </w:r>
            <w:r w:rsidRPr="00E334F9">
              <w:rPr>
                <w:lang w:val="ru-RU"/>
              </w:rPr>
              <w:t xml:space="preserve"> </w:t>
            </w:r>
            <w:r w:rsidRPr="00E334F9">
              <w:t>за съотношение на шансовете)</w:t>
            </w:r>
          </w:p>
        </w:tc>
        <w:tc>
          <w:tcPr>
            <w:tcW w:w="2394" w:type="dxa"/>
          </w:tcPr>
          <w:p w14:paraId="5FFA6838" w14:textId="4EC37FC7" w:rsidR="00E334F9" w:rsidRPr="00E334F9" w:rsidRDefault="00E334F9" w:rsidP="00E334F9">
            <w:pPr>
              <w:rPr>
                <w:rFonts w:eastAsia="Times New Roman" w:cs="Arial"/>
                <w:b/>
                <w:bCs/>
                <w:color w:val="000000"/>
                <w:lang w:eastAsia="bg-BG"/>
              </w:rPr>
            </w:pPr>
            <w:r w:rsidRPr="00E334F9">
              <w:t>(1.32,2.40)</w:t>
            </w:r>
          </w:p>
        </w:tc>
        <w:tc>
          <w:tcPr>
            <w:tcW w:w="2394" w:type="dxa"/>
          </w:tcPr>
          <w:p w14:paraId="247D13E6" w14:textId="77777777" w:rsidR="00E334F9" w:rsidRPr="00E334F9" w:rsidRDefault="00E334F9" w:rsidP="00E334F9">
            <w:pPr>
              <w:rPr>
                <w:rFonts w:eastAsia="Times New Roman" w:cs="Arial"/>
                <w:b/>
                <w:bCs/>
                <w:color w:val="000000"/>
                <w:lang w:eastAsia="bg-BG"/>
              </w:rPr>
            </w:pPr>
          </w:p>
        </w:tc>
      </w:tr>
      <w:tr w:rsidR="00E334F9" w14:paraId="774F2F19" w14:textId="77777777" w:rsidTr="00E334F9">
        <w:tc>
          <w:tcPr>
            <w:tcW w:w="2394" w:type="dxa"/>
            <w:vMerge/>
          </w:tcPr>
          <w:p w14:paraId="25F5CCC5" w14:textId="77777777" w:rsidR="00E334F9" w:rsidRPr="00E334F9" w:rsidRDefault="00E334F9" w:rsidP="00E334F9">
            <w:pPr>
              <w:rPr>
                <w:rFonts w:eastAsia="Times New Roman" w:cs="Arial"/>
                <w:b/>
                <w:bCs/>
                <w:color w:val="000000"/>
                <w:lang w:eastAsia="bg-BG"/>
              </w:rPr>
            </w:pPr>
          </w:p>
        </w:tc>
        <w:tc>
          <w:tcPr>
            <w:tcW w:w="2394" w:type="dxa"/>
          </w:tcPr>
          <w:p w14:paraId="61BD679F" w14:textId="3D09E6CF" w:rsidR="00E334F9" w:rsidRPr="00E334F9" w:rsidRDefault="00E334F9" w:rsidP="00E334F9">
            <w:pPr>
              <w:rPr>
                <w:rFonts w:eastAsia="Times New Roman" w:cs="Arial"/>
                <w:b/>
                <w:bCs/>
                <w:color w:val="000000"/>
                <w:lang w:eastAsia="bg-BG"/>
              </w:rPr>
            </w:pPr>
            <w:r w:rsidRPr="00E334F9">
              <w:rPr>
                <w:i/>
                <w:iCs/>
              </w:rPr>
              <w:t>Р</w:t>
            </w:r>
          </w:p>
        </w:tc>
        <w:tc>
          <w:tcPr>
            <w:tcW w:w="2394" w:type="dxa"/>
          </w:tcPr>
          <w:p w14:paraId="3A3D3899" w14:textId="3FE87428" w:rsidR="00E334F9" w:rsidRPr="00E334F9" w:rsidRDefault="00E334F9" w:rsidP="00E334F9">
            <w:pPr>
              <w:rPr>
                <w:rFonts w:eastAsia="Times New Roman" w:cs="Arial"/>
                <w:b/>
                <w:bCs/>
                <w:color w:val="000000"/>
                <w:lang w:eastAsia="bg-BG"/>
              </w:rPr>
            </w:pPr>
            <w:r w:rsidRPr="00E334F9">
              <w:t>0.0002</w:t>
            </w:r>
          </w:p>
        </w:tc>
        <w:tc>
          <w:tcPr>
            <w:tcW w:w="2394" w:type="dxa"/>
          </w:tcPr>
          <w:p w14:paraId="59B10665" w14:textId="77777777" w:rsidR="00E334F9" w:rsidRPr="00E334F9" w:rsidRDefault="00E334F9" w:rsidP="00E334F9">
            <w:pPr>
              <w:rPr>
                <w:rFonts w:eastAsia="Times New Roman" w:cs="Arial"/>
                <w:b/>
                <w:bCs/>
                <w:color w:val="000000"/>
                <w:lang w:eastAsia="bg-BG"/>
              </w:rPr>
            </w:pPr>
          </w:p>
        </w:tc>
      </w:tr>
    </w:tbl>
    <w:p w14:paraId="0E991CDC" w14:textId="77777777" w:rsidR="00E334F9" w:rsidRDefault="00E334F9" w:rsidP="00696C38">
      <w:pPr>
        <w:rPr>
          <w:rFonts w:eastAsia="Times New Roman" w:cs="Arial"/>
          <w:b/>
          <w:bCs/>
          <w:color w:val="000000"/>
          <w:lang w:eastAsia="bg-BG"/>
        </w:rPr>
      </w:pPr>
    </w:p>
    <w:p w14:paraId="10DD0C2A"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Времето до прогресията е сигнификантно по-дълго и честотата на терапевтично повлияване е сигнификантно по-висока при летрозол, независимо от това, дали е прилагана или не адювантна антиестрогенна терапия. Времето до прогресия на заболяването е сигнификантно по-дълго при летрозол, независимо от основната локализацията на заболяването. Медианата на времето до прогресия е 12,1 месеца при летрозол и 6,4 месеца при тамоксифен при пациенти само със заболяване на меките тъкани, и медиана 8,3 месеца при летрозол и 4,6 месеца при тамоксифен при пациенти с висцерални метастази.</w:t>
      </w:r>
    </w:p>
    <w:p w14:paraId="61A8D620" w14:textId="77777777" w:rsidR="00765CE3" w:rsidRDefault="00765CE3" w:rsidP="00765CE3">
      <w:pPr>
        <w:spacing w:line="240" w:lineRule="auto"/>
        <w:rPr>
          <w:rFonts w:eastAsia="Times New Roman" w:cs="Arial"/>
          <w:color w:val="000000"/>
          <w:lang w:eastAsia="bg-BG"/>
        </w:rPr>
      </w:pPr>
    </w:p>
    <w:p w14:paraId="0C711F75" w14:textId="77777777" w:rsidR="00765CE3" w:rsidRDefault="00765CE3" w:rsidP="00765CE3">
      <w:pPr>
        <w:spacing w:line="240" w:lineRule="auto"/>
        <w:rPr>
          <w:rFonts w:eastAsia="Times New Roman" w:cs="Arial"/>
          <w:color w:val="000000"/>
          <w:lang w:eastAsia="bg-BG"/>
        </w:rPr>
      </w:pPr>
      <w:r w:rsidRPr="00765CE3">
        <w:rPr>
          <w:rFonts w:eastAsia="Times New Roman" w:cs="Arial"/>
          <w:color w:val="000000"/>
          <w:lang w:eastAsia="bg-BG"/>
        </w:rPr>
        <w:lastRenderedPageBreak/>
        <w:t xml:space="preserve">При прогресия на заболяването дизайнът на проучването позволява преминаване на пациентите на другата терапия или прекратяване на участието в проучването. </w:t>
      </w:r>
    </w:p>
    <w:p w14:paraId="0B285E09" w14:textId="252B6291" w:rsidR="00765CE3" w:rsidRPr="00765CE3" w:rsidRDefault="00765CE3" w:rsidP="00765CE3">
      <w:pPr>
        <w:spacing w:line="240" w:lineRule="auto"/>
        <w:rPr>
          <w:rFonts w:eastAsia="Times New Roman" w:cs="Arial"/>
        </w:rPr>
      </w:pPr>
      <w:r w:rsidRPr="00765CE3">
        <w:rPr>
          <w:rFonts w:eastAsia="Times New Roman" w:cs="Arial"/>
          <w:color w:val="000000"/>
          <w:lang w:eastAsia="bg-BG"/>
        </w:rPr>
        <w:t>Приблизително 50% от пациентите преминават в другото терапевтично рамо, като преминаването завършва на практика до 36 месеца. Медианата на времето до преминаване на другата терапия е 17 месеца (от летрозол към тамоксифен) и 13 месеца (от тамоксифен към летрозол).</w:t>
      </w:r>
    </w:p>
    <w:p w14:paraId="5D3C627D" w14:textId="77777777" w:rsidR="00765CE3" w:rsidRDefault="00765CE3" w:rsidP="00765CE3">
      <w:pPr>
        <w:spacing w:line="240" w:lineRule="auto"/>
        <w:rPr>
          <w:rFonts w:eastAsia="Times New Roman" w:cs="Arial"/>
          <w:color w:val="000000"/>
          <w:lang w:eastAsia="bg-BG"/>
        </w:rPr>
      </w:pPr>
    </w:p>
    <w:p w14:paraId="26AC2A48" w14:textId="6AD0899E"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Приложението на летрозол като първа линия на лечение при рак на гърдата в напреднал стадий води до медиана на общата преживяемост 34 месеца спрямо 30 месеца за тамоксифен </w:t>
      </w:r>
      <w:r w:rsidRPr="00765CE3">
        <w:rPr>
          <w:rFonts w:eastAsia="Times New Roman" w:cs="Arial"/>
          <w:color w:val="000000"/>
          <w:lang w:val="ru-RU"/>
        </w:rPr>
        <w:t>(</w:t>
      </w:r>
      <w:r w:rsidRPr="00765CE3">
        <w:rPr>
          <w:rFonts w:eastAsia="Times New Roman" w:cs="Arial"/>
          <w:color w:val="000000"/>
          <w:lang w:val="en-US"/>
        </w:rPr>
        <w:t>logrank</w:t>
      </w:r>
      <w:r w:rsidRPr="00765CE3">
        <w:rPr>
          <w:rFonts w:eastAsia="Times New Roman" w:cs="Arial"/>
          <w:color w:val="000000"/>
          <w:lang w:val="ru-RU"/>
        </w:rPr>
        <w:t xml:space="preserve"> </w:t>
      </w:r>
      <w:r w:rsidRPr="00765CE3">
        <w:rPr>
          <w:rFonts w:eastAsia="Times New Roman" w:cs="Arial"/>
          <w:color w:val="000000"/>
          <w:lang w:eastAsia="bg-BG"/>
        </w:rPr>
        <w:t>тест Р=0,53, несигнификантно). Липсата на предимство за летрозол по отношение на общата преживяемост може да бъде обяснена с кръстосания дизайн на проучването.</w:t>
      </w:r>
    </w:p>
    <w:p w14:paraId="10A94B4C" w14:textId="77777777" w:rsidR="00765CE3" w:rsidRDefault="00765CE3" w:rsidP="00765CE3">
      <w:pPr>
        <w:spacing w:line="240" w:lineRule="auto"/>
        <w:rPr>
          <w:rFonts w:eastAsia="Times New Roman" w:cs="Arial"/>
          <w:b/>
          <w:bCs/>
          <w:color w:val="000000"/>
          <w:u w:val="single"/>
          <w:lang w:eastAsia="bg-BG"/>
        </w:rPr>
      </w:pPr>
    </w:p>
    <w:p w14:paraId="35DEC9AC" w14:textId="709B4B6B" w:rsidR="00765CE3" w:rsidRPr="00765CE3" w:rsidRDefault="00765CE3" w:rsidP="00765CE3">
      <w:pPr>
        <w:spacing w:line="240" w:lineRule="auto"/>
        <w:rPr>
          <w:rFonts w:eastAsia="Times New Roman" w:cs="Arial"/>
        </w:rPr>
      </w:pPr>
      <w:r w:rsidRPr="00765CE3">
        <w:rPr>
          <w:rFonts w:eastAsia="Times New Roman" w:cs="Arial"/>
          <w:b/>
          <w:bCs/>
          <w:color w:val="000000"/>
          <w:u w:val="single"/>
          <w:lang w:eastAsia="bg-BG"/>
        </w:rPr>
        <w:t>Втора линия на терапия:</w:t>
      </w:r>
    </w:p>
    <w:p w14:paraId="3EEBAA32"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Проведени са две добре контролирани клинични изпитвания за сравнение на две дози летрозол (0.5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 xml:space="preserve">и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с мегестрол ацетат и аминоглутетимид съответно, при жени в постменопауза с рак на гърдата в напреднал стадий, преди това подложени на лечение с антиестрогени.</w:t>
      </w:r>
    </w:p>
    <w:p w14:paraId="0FFAB3D6" w14:textId="77777777" w:rsidR="00765CE3" w:rsidRDefault="00765CE3" w:rsidP="00765CE3">
      <w:pPr>
        <w:spacing w:line="240" w:lineRule="auto"/>
        <w:rPr>
          <w:rFonts w:eastAsia="Times New Roman" w:cs="Arial"/>
          <w:color w:val="000000"/>
          <w:lang w:eastAsia="bg-BG"/>
        </w:rPr>
      </w:pPr>
    </w:p>
    <w:p w14:paraId="71ED0A6A" w14:textId="49BA6D2A"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Времето до прогресия на заболяването не се различава значително между летрозола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 xml:space="preserve">и мегестрол ацетат (Р=0.07). Статистически значими различия са наблюдавани в полза на летрозол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в сравнение с мегестрол ацетат в общия обективен туморен отговор (24% спрямо 16%, Р=0.04), и във времето до настъпване на терапевтичния неуспех (</w:t>
      </w:r>
      <w:r w:rsidRPr="00765CE3">
        <w:rPr>
          <w:rFonts w:eastAsia="Times New Roman" w:cs="Arial"/>
          <w:color w:val="000000"/>
          <w:lang w:val="en-US"/>
        </w:rPr>
        <w:t>P</w:t>
      </w:r>
      <w:r w:rsidRPr="00765CE3">
        <w:rPr>
          <w:rFonts w:eastAsia="Times New Roman" w:cs="Arial"/>
          <w:color w:val="000000"/>
          <w:lang w:eastAsia="bg-BG"/>
        </w:rPr>
        <w:t>=0.04). Общата преживяемост не се различава значимо в двете рамена, (Р=0.2).</w:t>
      </w:r>
    </w:p>
    <w:p w14:paraId="4E04987B" w14:textId="77777777" w:rsidR="00765CE3" w:rsidRDefault="00765CE3" w:rsidP="00765CE3">
      <w:pPr>
        <w:spacing w:line="240" w:lineRule="auto"/>
        <w:rPr>
          <w:rFonts w:eastAsia="Times New Roman" w:cs="Arial"/>
          <w:color w:val="000000"/>
          <w:lang w:eastAsia="bg-BG"/>
        </w:rPr>
      </w:pPr>
    </w:p>
    <w:p w14:paraId="2DB584F0" w14:textId="1FD1C879"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Във второто изпитване, степента на отговор не показва статистически значима разлика между летрозол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и аминоглутетимид (</w:t>
      </w:r>
      <w:r w:rsidRPr="00765CE3">
        <w:rPr>
          <w:rFonts w:eastAsia="Times New Roman" w:cs="Arial"/>
          <w:color w:val="000000"/>
          <w:lang w:val="en-US"/>
        </w:rPr>
        <w:t>P</w:t>
      </w:r>
      <w:r w:rsidRPr="00765CE3">
        <w:rPr>
          <w:rFonts w:eastAsia="Times New Roman" w:cs="Arial"/>
          <w:color w:val="000000"/>
          <w:lang w:eastAsia="bg-BG"/>
        </w:rPr>
        <w:t xml:space="preserve">=0.06). Летрозол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превъзхожда статистически аминоглутетимид относно времето до прогресията (</w:t>
      </w:r>
      <w:r w:rsidRPr="00765CE3">
        <w:rPr>
          <w:rFonts w:eastAsia="Times New Roman" w:cs="Arial"/>
          <w:color w:val="000000"/>
          <w:lang w:val="en-US"/>
        </w:rPr>
        <w:t>P</w:t>
      </w:r>
      <w:r w:rsidRPr="00765CE3">
        <w:rPr>
          <w:rFonts w:eastAsia="Times New Roman" w:cs="Arial"/>
          <w:color w:val="000000"/>
          <w:lang w:val="ru-RU"/>
        </w:rPr>
        <w:t>=0.008</w:t>
      </w:r>
      <w:r w:rsidRPr="00765CE3">
        <w:rPr>
          <w:rFonts w:eastAsia="Times New Roman" w:cs="Arial"/>
          <w:color w:val="000000"/>
          <w:lang w:eastAsia="bg-BG"/>
        </w:rPr>
        <w:t>), времето за достигане на терапевтичен неуспех (</w:t>
      </w:r>
      <w:r w:rsidRPr="00765CE3">
        <w:rPr>
          <w:rFonts w:eastAsia="Times New Roman" w:cs="Arial"/>
          <w:color w:val="000000"/>
          <w:lang w:val="en-US"/>
        </w:rPr>
        <w:t>P</w:t>
      </w:r>
      <w:r w:rsidRPr="00765CE3">
        <w:rPr>
          <w:rFonts w:eastAsia="Times New Roman" w:cs="Arial"/>
          <w:color w:val="000000"/>
          <w:lang w:eastAsia="bg-BG"/>
        </w:rPr>
        <w:t>=0.003) и общата преживяемост (</w:t>
      </w:r>
      <w:r w:rsidRPr="00765CE3">
        <w:rPr>
          <w:rFonts w:eastAsia="Times New Roman" w:cs="Arial"/>
          <w:color w:val="000000"/>
          <w:lang w:val="en-US"/>
        </w:rPr>
        <w:t>P</w:t>
      </w:r>
      <w:r w:rsidRPr="00765CE3">
        <w:rPr>
          <w:rFonts w:eastAsia="Times New Roman" w:cs="Arial"/>
          <w:color w:val="000000"/>
          <w:lang w:eastAsia="bg-BG"/>
        </w:rPr>
        <w:t>=0.002).</w:t>
      </w:r>
    </w:p>
    <w:p w14:paraId="2A124E8F" w14:textId="77777777" w:rsidR="00765CE3" w:rsidRDefault="00765CE3" w:rsidP="00765CE3">
      <w:pPr>
        <w:spacing w:line="240" w:lineRule="auto"/>
        <w:rPr>
          <w:rFonts w:eastAsia="Times New Roman" w:cs="Arial"/>
          <w:color w:val="000000"/>
          <w:u w:val="single"/>
          <w:lang w:eastAsia="bg-BG"/>
        </w:rPr>
      </w:pPr>
    </w:p>
    <w:p w14:paraId="27B9AB8D" w14:textId="215A8E50" w:rsidR="00765CE3" w:rsidRPr="00765CE3" w:rsidRDefault="00765CE3" w:rsidP="00765CE3">
      <w:pPr>
        <w:spacing w:line="240" w:lineRule="auto"/>
        <w:rPr>
          <w:rFonts w:eastAsia="Times New Roman" w:cs="Arial"/>
        </w:rPr>
      </w:pPr>
      <w:r w:rsidRPr="00765CE3">
        <w:rPr>
          <w:rFonts w:eastAsia="Times New Roman" w:cs="Arial"/>
          <w:color w:val="000000"/>
          <w:u w:val="single"/>
          <w:lang w:eastAsia="bg-BG"/>
        </w:rPr>
        <w:t>Рак на гърдата при мъже</w:t>
      </w:r>
    </w:p>
    <w:p w14:paraId="18F71B30"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Употребата на летрозол при мъже с рак на гърдата не е проучвана.</w:t>
      </w:r>
    </w:p>
    <w:p w14:paraId="3FE5EF61" w14:textId="77777777" w:rsidR="00E334F9" w:rsidRPr="00696C38" w:rsidRDefault="00E334F9" w:rsidP="00696C38">
      <w:pPr>
        <w:rPr>
          <w:rFonts w:eastAsia="Times New Roman" w:cs="Arial"/>
          <w:b/>
          <w:bCs/>
          <w:color w:val="000000"/>
          <w:lang w:eastAsia="bg-BG"/>
        </w:rPr>
      </w:pPr>
    </w:p>
    <w:p w14:paraId="35F84B81" w14:textId="1B5C7FF8" w:rsidR="00CF77F7" w:rsidRDefault="002C50EE" w:rsidP="004A448E">
      <w:pPr>
        <w:pStyle w:val="Heading2"/>
      </w:pPr>
      <w:r>
        <w:t>5.2. Фармакокинетични свойства</w:t>
      </w:r>
    </w:p>
    <w:p w14:paraId="46A61387" w14:textId="6C47F1FD" w:rsidR="00765CE3" w:rsidRDefault="00765CE3" w:rsidP="00765CE3"/>
    <w:p w14:paraId="22773F24" w14:textId="77777777" w:rsidR="00765CE3" w:rsidRPr="00765CE3" w:rsidRDefault="00765CE3" w:rsidP="00765CE3">
      <w:pPr>
        <w:spacing w:line="240" w:lineRule="auto"/>
        <w:rPr>
          <w:rFonts w:eastAsia="Times New Roman" w:cs="Arial"/>
        </w:rPr>
      </w:pPr>
      <w:r w:rsidRPr="00765CE3">
        <w:rPr>
          <w:rFonts w:eastAsia="Times New Roman" w:cs="Arial"/>
          <w:color w:val="000000"/>
          <w:u w:val="single"/>
          <w:lang w:eastAsia="bg-BG"/>
        </w:rPr>
        <w:t>Абсорбция</w:t>
      </w:r>
    </w:p>
    <w:p w14:paraId="53BE12B5"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Летрозол се абсорбира бързо и изцяло в стомашно-чревния тракт (средна абсолютна бионаличност 99,9%). Присъствието на храна леко понижава скоростта на абсорбция (средно </w:t>
      </w:r>
      <w:r w:rsidRPr="00765CE3">
        <w:rPr>
          <w:rFonts w:eastAsia="Times New Roman" w:cs="Arial"/>
          <w:color w:val="000000"/>
          <w:lang w:val="en-US"/>
        </w:rPr>
        <w:t>t</w:t>
      </w:r>
      <w:r w:rsidRPr="00765CE3">
        <w:rPr>
          <w:rFonts w:eastAsia="Times New Roman" w:cs="Arial"/>
          <w:color w:val="000000"/>
          <w:vertAlign w:val="subscript"/>
          <w:lang w:val="en-US"/>
        </w:rPr>
        <w:t>max</w:t>
      </w:r>
      <w:r w:rsidRPr="00765CE3">
        <w:rPr>
          <w:rFonts w:eastAsia="Times New Roman" w:cs="Arial"/>
          <w:color w:val="000000"/>
          <w:lang w:val="ru-RU"/>
        </w:rPr>
        <w:t xml:space="preserve"> </w:t>
      </w:r>
      <w:r w:rsidRPr="00765CE3">
        <w:rPr>
          <w:rFonts w:eastAsia="Times New Roman" w:cs="Arial"/>
          <w:color w:val="000000"/>
          <w:lang w:eastAsia="bg-BG"/>
        </w:rPr>
        <w:t>= 1 час на гладно спрямо 2 часа след хранене; средно С</w:t>
      </w:r>
      <w:r w:rsidRPr="00765CE3">
        <w:rPr>
          <w:rFonts w:eastAsia="Times New Roman" w:cs="Arial"/>
          <w:color w:val="000000"/>
          <w:vertAlign w:val="subscript"/>
          <w:lang w:val="en-US"/>
        </w:rPr>
        <w:t>max</w:t>
      </w:r>
      <w:r w:rsidRPr="00765CE3">
        <w:rPr>
          <w:rFonts w:eastAsia="Times New Roman" w:cs="Arial"/>
          <w:color w:val="000000"/>
          <w:lang w:eastAsia="bg-BG"/>
        </w:rPr>
        <w:t xml:space="preserve"> = 129 + 20,3 </w:t>
      </w:r>
      <w:r w:rsidRPr="00765CE3">
        <w:rPr>
          <w:rFonts w:eastAsia="Times New Roman" w:cs="Arial"/>
          <w:color w:val="000000"/>
          <w:lang w:val="en-US"/>
        </w:rPr>
        <w:t>nmol</w:t>
      </w:r>
      <w:r w:rsidRPr="00765CE3">
        <w:rPr>
          <w:rFonts w:eastAsia="Times New Roman" w:cs="Arial"/>
          <w:color w:val="000000"/>
          <w:lang w:val="ru-RU"/>
        </w:rPr>
        <w:t xml:space="preserve">/1 </w:t>
      </w:r>
      <w:r w:rsidRPr="00765CE3">
        <w:rPr>
          <w:rFonts w:eastAsia="Times New Roman" w:cs="Arial"/>
          <w:color w:val="000000"/>
          <w:lang w:eastAsia="bg-BG"/>
        </w:rPr>
        <w:t xml:space="preserve">на гладно спрямо 98,7 ± 18,6 </w:t>
      </w:r>
      <w:r w:rsidRPr="00765CE3">
        <w:rPr>
          <w:rFonts w:eastAsia="Times New Roman" w:cs="Arial"/>
          <w:color w:val="000000"/>
          <w:lang w:val="en-US"/>
        </w:rPr>
        <w:t>nmol</w:t>
      </w:r>
      <w:r w:rsidRPr="00765CE3">
        <w:rPr>
          <w:rFonts w:eastAsia="Times New Roman" w:cs="Arial"/>
          <w:color w:val="000000"/>
          <w:lang w:val="ru-RU"/>
        </w:rPr>
        <w:t xml:space="preserve">/1 </w:t>
      </w:r>
      <w:r w:rsidRPr="00765CE3">
        <w:rPr>
          <w:rFonts w:eastAsia="Times New Roman" w:cs="Arial"/>
          <w:color w:val="000000"/>
          <w:lang w:eastAsia="bg-BG"/>
        </w:rPr>
        <w:t xml:space="preserve">след хранене), но степента на абсорбция (площта под кривата </w:t>
      </w:r>
      <w:r w:rsidRPr="00765CE3">
        <w:rPr>
          <w:rFonts w:eastAsia="Times New Roman" w:cs="Arial"/>
          <w:color w:val="000000"/>
          <w:lang w:val="en-US"/>
        </w:rPr>
        <w:t>AUC</w:t>
      </w:r>
      <w:r w:rsidRPr="00765CE3">
        <w:rPr>
          <w:rFonts w:eastAsia="Times New Roman" w:cs="Arial"/>
          <w:color w:val="000000"/>
          <w:lang w:val="ru-RU"/>
        </w:rPr>
        <w:t xml:space="preserve">) </w:t>
      </w:r>
      <w:r w:rsidRPr="00765CE3">
        <w:rPr>
          <w:rFonts w:eastAsia="Times New Roman" w:cs="Arial"/>
          <w:color w:val="000000"/>
          <w:lang w:eastAsia="bg-BG"/>
        </w:rPr>
        <w:t>остава непроменена. Незначителното отражение върху степента на резорбция се счита за клинично незначимо и следователно летрозол може да се приема независимо от храненето.</w:t>
      </w:r>
    </w:p>
    <w:p w14:paraId="1EBBECB6" w14:textId="77777777" w:rsidR="00765CE3" w:rsidRDefault="00765CE3" w:rsidP="00765CE3">
      <w:pPr>
        <w:spacing w:line="240" w:lineRule="auto"/>
        <w:rPr>
          <w:rFonts w:eastAsia="Times New Roman" w:cs="Arial"/>
          <w:color w:val="000000"/>
          <w:u w:val="single"/>
          <w:lang w:eastAsia="bg-BG"/>
        </w:rPr>
      </w:pPr>
    </w:p>
    <w:p w14:paraId="3DE0804C" w14:textId="41456837" w:rsidR="00765CE3" w:rsidRPr="00765CE3" w:rsidRDefault="00765CE3" w:rsidP="00765CE3">
      <w:pPr>
        <w:spacing w:line="240" w:lineRule="auto"/>
        <w:rPr>
          <w:rFonts w:eastAsia="Times New Roman" w:cs="Arial"/>
        </w:rPr>
      </w:pPr>
      <w:r w:rsidRPr="00765CE3">
        <w:rPr>
          <w:rFonts w:eastAsia="Times New Roman" w:cs="Arial"/>
          <w:color w:val="000000"/>
          <w:u w:val="single"/>
          <w:lang w:eastAsia="bg-BG"/>
        </w:rPr>
        <w:t>Разпределение</w:t>
      </w:r>
    </w:p>
    <w:p w14:paraId="1F1B6FD9" w14:textId="61195653"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Свързването на летрозол с плазмените протеини е приблизително 60%, предимно с албумин (55%). Концентрацията на летрозол в еритроцитите е около 80% от тази в плазмата. След прилагането на маркиран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С</w:t>
      </w:r>
      <w:r w:rsidRPr="00765CE3">
        <w:rPr>
          <w:rFonts w:eastAsia="Times New Roman" w:cs="Arial"/>
          <w:color w:val="000000"/>
          <w:vertAlign w:val="superscript"/>
          <w:lang w:eastAsia="bg-BG"/>
        </w:rPr>
        <w:t>14</w:t>
      </w:r>
      <w:r w:rsidRPr="00765CE3">
        <w:rPr>
          <w:rFonts w:eastAsia="Times New Roman" w:cs="Arial"/>
          <w:color w:val="000000"/>
          <w:lang w:eastAsia="bg-BG"/>
        </w:rPr>
        <w:t xml:space="preserve"> летрозол, приблизително 82% от радиоактивността в плазмата се дължи на непроменено вещество. Следователно, </w:t>
      </w:r>
      <w:r w:rsidRPr="00765CE3">
        <w:rPr>
          <w:rFonts w:eastAsia="Times New Roman" w:cs="Arial"/>
          <w:color w:val="000000"/>
          <w:lang w:eastAsia="bg-BG"/>
        </w:rPr>
        <w:lastRenderedPageBreak/>
        <w:t>ефективната концентрация на метаболитите е ниска. Летрозол се разпределя в тъканите бързо и екстензивно. Привидният</w:t>
      </w:r>
      <w:r w:rsidRPr="00765CE3">
        <w:rPr>
          <w:rFonts w:eastAsia="Times New Roman" w:cs="Arial"/>
          <w:lang w:val="ru-RU"/>
        </w:rPr>
        <w:t xml:space="preserve"> </w:t>
      </w:r>
      <w:r w:rsidRPr="00765CE3">
        <w:rPr>
          <w:rFonts w:eastAsia="Times New Roman" w:cs="Arial"/>
          <w:color w:val="000000"/>
          <w:lang w:eastAsia="bg-BG"/>
        </w:rPr>
        <w:t xml:space="preserve">обем на разпределение в равновесно състояние е около 1,87 + 0,47 </w:t>
      </w:r>
      <w:r w:rsidRPr="00765CE3">
        <w:rPr>
          <w:rFonts w:eastAsia="Times New Roman" w:cs="Arial"/>
          <w:color w:val="000000"/>
          <w:lang w:val="ru-RU"/>
        </w:rPr>
        <w:t>1/</w:t>
      </w:r>
      <w:r w:rsidRPr="00765CE3">
        <w:rPr>
          <w:rFonts w:eastAsia="Times New Roman" w:cs="Arial"/>
          <w:color w:val="000000"/>
          <w:lang w:val="en-US"/>
        </w:rPr>
        <w:t>kg</w:t>
      </w:r>
      <w:r w:rsidRPr="00765CE3">
        <w:rPr>
          <w:rFonts w:eastAsia="Times New Roman" w:cs="Arial"/>
          <w:color w:val="000000"/>
          <w:lang w:val="ru-RU"/>
        </w:rPr>
        <w:t>.</w:t>
      </w:r>
    </w:p>
    <w:p w14:paraId="54ECE18E" w14:textId="2A74B6B8" w:rsidR="00765CE3" w:rsidRDefault="00765CE3" w:rsidP="00765CE3">
      <w:pPr>
        <w:rPr>
          <w:lang w:val="ru-RU"/>
        </w:rPr>
      </w:pPr>
    </w:p>
    <w:p w14:paraId="63CA185B" w14:textId="77777777" w:rsidR="00765CE3" w:rsidRPr="00765CE3" w:rsidRDefault="00765CE3" w:rsidP="00765CE3">
      <w:pPr>
        <w:spacing w:line="240" w:lineRule="auto"/>
        <w:rPr>
          <w:rFonts w:eastAsia="Times New Roman" w:cs="Arial"/>
        </w:rPr>
      </w:pPr>
      <w:r w:rsidRPr="00765CE3">
        <w:rPr>
          <w:rFonts w:eastAsia="Times New Roman" w:cs="Arial"/>
          <w:color w:val="000000"/>
          <w:u w:val="single"/>
          <w:lang w:eastAsia="bg-BG"/>
        </w:rPr>
        <w:t>Биотрансформация</w:t>
      </w:r>
    </w:p>
    <w:p w14:paraId="5B15490D"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Основният път на елиминиране на летрозол е метаболитния клирънс до фармакологично неактивен карбинолов метаболит </w:t>
      </w:r>
      <w:r w:rsidRPr="00765CE3">
        <w:rPr>
          <w:rFonts w:eastAsia="Times New Roman" w:cs="Arial"/>
          <w:color w:val="000000"/>
          <w:lang w:val="ru-RU"/>
        </w:rPr>
        <w:t>(</w:t>
      </w:r>
      <w:r w:rsidRPr="00765CE3">
        <w:rPr>
          <w:rFonts w:eastAsia="Times New Roman" w:cs="Arial"/>
          <w:color w:val="000000"/>
          <w:lang w:val="en-US"/>
        </w:rPr>
        <w:t>CL</w:t>
      </w:r>
      <w:r w:rsidRPr="00765CE3">
        <w:rPr>
          <w:rFonts w:eastAsia="Times New Roman" w:cs="Arial"/>
          <w:color w:val="000000"/>
          <w:vertAlign w:val="subscript"/>
          <w:lang w:val="en-US"/>
        </w:rPr>
        <w:t>m</w:t>
      </w:r>
      <w:r w:rsidRPr="00765CE3">
        <w:rPr>
          <w:rFonts w:eastAsia="Times New Roman" w:cs="Arial"/>
          <w:color w:val="000000"/>
          <w:lang w:val="ru-RU"/>
        </w:rPr>
        <w:t xml:space="preserve"> </w:t>
      </w:r>
      <w:r w:rsidRPr="00765CE3">
        <w:rPr>
          <w:rFonts w:eastAsia="Times New Roman" w:cs="Arial"/>
          <w:color w:val="000000"/>
          <w:lang w:eastAsia="bg-BG"/>
        </w:rPr>
        <w:t xml:space="preserve">= 2,1 </w:t>
      </w:r>
      <w:r w:rsidRPr="00765CE3">
        <w:rPr>
          <w:rFonts w:eastAsia="Times New Roman" w:cs="Arial"/>
          <w:color w:val="000000"/>
          <w:lang w:val="ru-RU"/>
        </w:rPr>
        <w:t>1/</w:t>
      </w:r>
      <w:r w:rsidRPr="00765CE3">
        <w:rPr>
          <w:rFonts w:eastAsia="Times New Roman" w:cs="Arial"/>
          <w:color w:val="000000"/>
          <w:lang w:val="en-US"/>
        </w:rPr>
        <w:t>h</w:t>
      </w:r>
      <w:r w:rsidRPr="00765CE3">
        <w:rPr>
          <w:rFonts w:eastAsia="Times New Roman" w:cs="Arial"/>
          <w:color w:val="000000"/>
          <w:lang w:val="ru-RU"/>
        </w:rPr>
        <w:t xml:space="preserve">), </w:t>
      </w:r>
      <w:r w:rsidRPr="00765CE3">
        <w:rPr>
          <w:rFonts w:eastAsia="Times New Roman" w:cs="Arial"/>
          <w:color w:val="000000"/>
          <w:lang w:eastAsia="bg-BG"/>
        </w:rPr>
        <w:t xml:space="preserve">но той е относително бавен в сравнение с кръвния поток през черния дроб (около 90 </w:t>
      </w:r>
      <w:r w:rsidRPr="00765CE3">
        <w:rPr>
          <w:rFonts w:eastAsia="Times New Roman" w:cs="Arial"/>
          <w:color w:val="000000"/>
          <w:lang w:val="en-US"/>
        </w:rPr>
        <w:t>Vh</w:t>
      </w:r>
      <w:r w:rsidRPr="00765CE3">
        <w:rPr>
          <w:rFonts w:eastAsia="Times New Roman" w:cs="Arial"/>
          <w:color w:val="000000"/>
          <w:lang w:val="ru-RU"/>
        </w:rPr>
        <w:t xml:space="preserve">). </w:t>
      </w:r>
      <w:r w:rsidRPr="00765CE3">
        <w:rPr>
          <w:rFonts w:eastAsia="Times New Roman" w:cs="Arial"/>
          <w:color w:val="000000"/>
          <w:lang w:eastAsia="bg-BG"/>
        </w:rPr>
        <w:t xml:space="preserve">Установено е, че изоензимите ЗА4 и 2А6 на цитохром Р450 са способни да конвертират летрозол в неговия метаболит. Формирането на второстепенни неидентифицирани метаболити и директната бъбречна и фекална екскреция играят несъществена роля в общото елиминиране на летрозол. В рамките на две седмици след приложението при здрави менопаузални доброволки на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летрозол, маркиран с С</w:t>
      </w:r>
      <w:r w:rsidRPr="00765CE3">
        <w:rPr>
          <w:rFonts w:eastAsia="Times New Roman" w:cs="Arial"/>
          <w:color w:val="000000"/>
          <w:vertAlign w:val="superscript"/>
          <w:lang w:eastAsia="bg-BG"/>
        </w:rPr>
        <w:t>14</w:t>
      </w:r>
      <w:r w:rsidRPr="00765CE3">
        <w:rPr>
          <w:rFonts w:eastAsia="Times New Roman" w:cs="Arial"/>
          <w:color w:val="000000"/>
          <w:lang w:eastAsia="bg-BG"/>
        </w:rPr>
        <w:t>, 88,2 ± 7,6% от радиоактивността е установена в урината и 3,8 ± 0,9% във фекалиите. Най-малко 75% от радиоактивността, установена в урината за период до 216 часа (84,7 ± 7,8% от дозата), се приписва на глюкуронид на карбиноловия метаболит, около 9% - на два неидентифицирани метаболита и 6% - на непроменения летрозол.</w:t>
      </w:r>
    </w:p>
    <w:p w14:paraId="52D02BC2" w14:textId="77777777" w:rsidR="00765CE3" w:rsidRDefault="00765CE3" w:rsidP="00765CE3">
      <w:pPr>
        <w:spacing w:line="240" w:lineRule="auto"/>
        <w:rPr>
          <w:rFonts w:eastAsia="Times New Roman" w:cs="Arial"/>
          <w:color w:val="000000"/>
          <w:lang w:eastAsia="bg-BG"/>
        </w:rPr>
      </w:pPr>
    </w:p>
    <w:p w14:paraId="5AA06A70" w14:textId="3765ADFA"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Привидният терминален полуживот в плазмата е около 2 дни. След прилагане на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 xml:space="preserve">дневна доза, нивата в стационарно състояние се достигат след 2 до 6 седмици. Плазмените концентрации в стационарно състояние са приблизително 7 пъти по-високи от концентрациите, измерени след приемане на единична доза от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 xml:space="preserve">но са само 1,5 до 2 пъти по-високи от стойностите в стационарно състояние, очаквани при концентрациите, измерени след единична доза, което показва слаба нелинейност във фармакокинетиката на летрозол при прилагане на дневна доза от 2,5 </w:t>
      </w:r>
      <w:r w:rsidRPr="00765CE3">
        <w:rPr>
          <w:rFonts w:eastAsia="Times New Roman" w:cs="Arial"/>
          <w:color w:val="000000"/>
          <w:lang w:val="en-US"/>
        </w:rPr>
        <w:t>mg</w:t>
      </w:r>
      <w:r w:rsidRPr="00765CE3">
        <w:rPr>
          <w:rFonts w:eastAsia="Times New Roman" w:cs="Arial"/>
          <w:color w:val="000000"/>
          <w:lang w:val="ru-RU"/>
        </w:rPr>
        <w:t xml:space="preserve">. </w:t>
      </w:r>
      <w:r w:rsidRPr="00765CE3">
        <w:rPr>
          <w:rFonts w:eastAsia="Times New Roman" w:cs="Arial"/>
          <w:color w:val="000000"/>
          <w:lang w:eastAsia="bg-BG"/>
        </w:rPr>
        <w:t>Тъй като нивата в стационарно състояние се запазват във времето, може да се заключи, че няма продължително кумулиране на летрозол.</w:t>
      </w:r>
    </w:p>
    <w:p w14:paraId="7BD19C80" w14:textId="77777777" w:rsidR="00765CE3" w:rsidRDefault="00765CE3" w:rsidP="00765CE3">
      <w:pPr>
        <w:spacing w:line="240" w:lineRule="auto"/>
        <w:rPr>
          <w:rFonts w:eastAsia="Times New Roman" w:cs="Arial"/>
          <w:color w:val="000000"/>
          <w:u w:val="single"/>
          <w:lang w:eastAsia="bg-BG"/>
        </w:rPr>
      </w:pPr>
    </w:p>
    <w:p w14:paraId="5720280C" w14:textId="172B8673" w:rsidR="00765CE3" w:rsidRPr="00765CE3" w:rsidRDefault="00765CE3" w:rsidP="00765CE3">
      <w:pPr>
        <w:spacing w:line="240" w:lineRule="auto"/>
        <w:rPr>
          <w:rFonts w:eastAsia="Times New Roman" w:cs="Arial"/>
        </w:rPr>
      </w:pPr>
      <w:r w:rsidRPr="00765CE3">
        <w:rPr>
          <w:rFonts w:eastAsia="Times New Roman" w:cs="Arial"/>
          <w:color w:val="000000"/>
          <w:u w:val="single"/>
          <w:lang w:eastAsia="bg-BG"/>
        </w:rPr>
        <w:t>Специални популации</w:t>
      </w:r>
    </w:p>
    <w:p w14:paraId="1840DF01" w14:textId="77777777" w:rsidR="00765CE3" w:rsidRDefault="00765CE3" w:rsidP="00765CE3">
      <w:pPr>
        <w:spacing w:line="240" w:lineRule="auto"/>
        <w:rPr>
          <w:rFonts w:eastAsia="Times New Roman" w:cs="Arial"/>
          <w:i/>
          <w:iCs/>
          <w:color w:val="000000"/>
          <w:lang w:eastAsia="bg-BG"/>
        </w:rPr>
      </w:pPr>
    </w:p>
    <w:p w14:paraId="07AD3AA4" w14:textId="336DD994" w:rsidR="00765CE3" w:rsidRPr="00765CE3" w:rsidRDefault="00765CE3" w:rsidP="00765CE3">
      <w:pPr>
        <w:spacing w:line="240" w:lineRule="auto"/>
        <w:rPr>
          <w:rFonts w:eastAsia="Times New Roman" w:cs="Arial"/>
        </w:rPr>
      </w:pPr>
      <w:r w:rsidRPr="00765CE3">
        <w:rPr>
          <w:rFonts w:eastAsia="Times New Roman" w:cs="Arial"/>
          <w:i/>
          <w:iCs/>
          <w:color w:val="000000"/>
          <w:lang w:eastAsia="bg-BG"/>
        </w:rPr>
        <w:t>Старческа възраст</w:t>
      </w:r>
    </w:p>
    <w:p w14:paraId="1BAF56BC"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Възрастта не оказва влияние върху фармакокинетиката на летрозол.</w:t>
      </w:r>
    </w:p>
    <w:p w14:paraId="2B126E13" w14:textId="77777777" w:rsidR="00765CE3" w:rsidRDefault="00765CE3" w:rsidP="00765CE3">
      <w:pPr>
        <w:spacing w:line="240" w:lineRule="auto"/>
        <w:rPr>
          <w:rFonts w:eastAsia="Times New Roman" w:cs="Arial"/>
          <w:i/>
          <w:iCs/>
          <w:color w:val="000000"/>
          <w:lang w:eastAsia="bg-BG"/>
        </w:rPr>
      </w:pPr>
    </w:p>
    <w:p w14:paraId="309F23C5" w14:textId="0BB7F3D8" w:rsidR="00765CE3" w:rsidRPr="00765CE3" w:rsidRDefault="00765CE3" w:rsidP="00765CE3">
      <w:pPr>
        <w:spacing w:line="240" w:lineRule="auto"/>
        <w:rPr>
          <w:rFonts w:eastAsia="Times New Roman" w:cs="Arial"/>
        </w:rPr>
      </w:pPr>
      <w:r w:rsidRPr="00765CE3">
        <w:rPr>
          <w:rFonts w:eastAsia="Times New Roman" w:cs="Arial"/>
          <w:i/>
          <w:iCs/>
          <w:color w:val="000000"/>
          <w:lang w:eastAsia="bg-BG"/>
        </w:rPr>
        <w:t>Бъбречно увреждане</w:t>
      </w:r>
    </w:p>
    <w:p w14:paraId="642BFC41"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В изпитване, включващо 19 доброволци с различна степен на засягане на бъбречната функция (24-часов креатининов клирънс 9-116 </w:t>
      </w:r>
      <w:r w:rsidRPr="00765CE3">
        <w:rPr>
          <w:rFonts w:eastAsia="Times New Roman" w:cs="Arial"/>
          <w:color w:val="000000"/>
          <w:lang w:val="en-US"/>
        </w:rPr>
        <w:t>tnl</w:t>
      </w:r>
      <w:r w:rsidRPr="00765CE3">
        <w:rPr>
          <w:rFonts w:eastAsia="Times New Roman" w:cs="Arial"/>
          <w:color w:val="000000"/>
          <w:lang w:val="ru-RU"/>
        </w:rPr>
        <w:t>/</w:t>
      </w:r>
      <w:r w:rsidRPr="00765CE3">
        <w:rPr>
          <w:rFonts w:eastAsia="Times New Roman" w:cs="Arial"/>
          <w:color w:val="000000"/>
          <w:lang w:val="en-US"/>
        </w:rPr>
        <w:t>min</w:t>
      </w:r>
      <w:r w:rsidRPr="00765CE3">
        <w:rPr>
          <w:rFonts w:eastAsia="Times New Roman" w:cs="Arial"/>
          <w:color w:val="000000"/>
          <w:lang w:val="ru-RU"/>
        </w:rPr>
        <w:t xml:space="preserve">) </w:t>
      </w:r>
      <w:r w:rsidRPr="00765CE3">
        <w:rPr>
          <w:rFonts w:eastAsia="Times New Roman" w:cs="Arial"/>
          <w:color w:val="000000"/>
          <w:lang w:eastAsia="bg-BG"/>
        </w:rPr>
        <w:t xml:space="preserve">не е установен ефект върху фармакокинетиката на летрозол след единична доза от 2,5 </w:t>
      </w:r>
      <w:r w:rsidRPr="00765CE3">
        <w:rPr>
          <w:rFonts w:eastAsia="Times New Roman" w:cs="Arial"/>
          <w:color w:val="000000"/>
          <w:lang w:val="en-US"/>
        </w:rPr>
        <w:t>mg</w:t>
      </w:r>
      <w:r w:rsidRPr="00765CE3">
        <w:rPr>
          <w:rFonts w:eastAsia="Times New Roman" w:cs="Arial"/>
          <w:color w:val="000000"/>
          <w:lang w:val="ru-RU"/>
        </w:rPr>
        <w:t>.</w:t>
      </w:r>
    </w:p>
    <w:p w14:paraId="4305B20C" w14:textId="77777777" w:rsidR="00765CE3" w:rsidRDefault="00765CE3" w:rsidP="00765CE3">
      <w:pPr>
        <w:spacing w:line="240" w:lineRule="auto"/>
        <w:rPr>
          <w:rFonts w:eastAsia="Times New Roman" w:cs="Arial"/>
          <w:i/>
          <w:iCs/>
          <w:color w:val="000000"/>
          <w:lang w:eastAsia="bg-BG"/>
        </w:rPr>
      </w:pPr>
    </w:p>
    <w:p w14:paraId="06793297" w14:textId="7D15A91D" w:rsidR="00765CE3" w:rsidRPr="00765CE3" w:rsidRDefault="00765CE3" w:rsidP="00765CE3">
      <w:pPr>
        <w:spacing w:line="240" w:lineRule="auto"/>
        <w:rPr>
          <w:rFonts w:eastAsia="Times New Roman" w:cs="Arial"/>
        </w:rPr>
      </w:pPr>
      <w:r w:rsidRPr="00765CE3">
        <w:rPr>
          <w:rFonts w:eastAsia="Times New Roman" w:cs="Arial"/>
          <w:i/>
          <w:iCs/>
          <w:color w:val="000000"/>
          <w:lang w:eastAsia="bg-BG"/>
        </w:rPr>
        <w:t>Чернодробно увреждане</w:t>
      </w:r>
    </w:p>
    <w:p w14:paraId="729690B0"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В подобно изпитване, включващо субекти с различна степен на засягане на чернодробната функция, средните стойности на </w:t>
      </w:r>
      <w:r w:rsidRPr="00765CE3">
        <w:rPr>
          <w:rFonts w:eastAsia="Times New Roman" w:cs="Arial"/>
          <w:color w:val="000000"/>
          <w:lang w:val="en-US"/>
        </w:rPr>
        <w:t>AUC</w:t>
      </w:r>
      <w:r w:rsidRPr="00765CE3">
        <w:rPr>
          <w:rFonts w:eastAsia="Times New Roman" w:cs="Arial"/>
          <w:color w:val="000000"/>
          <w:lang w:val="ru-RU"/>
        </w:rPr>
        <w:t xml:space="preserve"> </w:t>
      </w:r>
      <w:r w:rsidRPr="00765CE3">
        <w:rPr>
          <w:rFonts w:eastAsia="Times New Roman" w:cs="Arial"/>
          <w:color w:val="000000"/>
          <w:lang w:eastAsia="bg-BG"/>
        </w:rPr>
        <w:t xml:space="preserve">на доброволците с умерено чернодробно увреждане (Клас В по </w:t>
      </w:r>
      <w:r w:rsidRPr="00765CE3">
        <w:rPr>
          <w:rFonts w:eastAsia="Times New Roman" w:cs="Arial"/>
          <w:color w:val="000000"/>
          <w:lang w:val="en-US"/>
        </w:rPr>
        <w:t>Child</w:t>
      </w:r>
      <w:r w:rsidRPr="00765CE3">
        <w:rPr>
          <w:rFonts w:eastAsia="Times New Roman" w:cs="Arial"/>
          <w:color w:val="000000"/>
          <w:lang w:val="ru-RU"/>
        </w:rPr>
        <w:t>-</w:t>
      </w:r>
      <w:r w:rsidRPr="00765CE3">
        <w:rPr>
          <w:rFonts w:eastAsia="Times New Roman" w:cs="Arial"/>
          <w:color w:val="000000"/>
          <w:lang w:val="en-US"/>
        </w:rPr>
        <w:t>Pugh</w:t>
      </w:r>
      <w:r w:rsidRPr="00765CE3">
        <w:rPr>
          <w:rFonts w:eastAsia="Times New Roman" w:cs="Arial"/>
          <w:color w:val="000000"/>
          <w:lang w:val="ru-RU"/>
        </w:rPr>
        <w:t xml:space="preserve">) </w:t>
      </w:r>
      <w:r w:rsidRPr="00765CE3">
        <w:rPr>
          <w:rFonts w:eastAsia="Times New Roman" w:cs="Arial"/>
          <w:color w:val="000000"/>
          <w:lang w:eastAsia="bg-BG"/>
        </w:rPr>
        <w:t xml:space="preserve">са с 37% по-високи в сравнение със здрави субекти, но все пак в границите, наблюдавани при субекти с нормална чернодробна функция. В изпитване, сравняващо фармакокинетиката на летрозол след единична перорална доза при осем участници мъже с цироза на черния дроб и тежко чернодробно увреждане (Клас С по </w:t>
      </w:r>
      <w:r w:rsidRPr="00765CE3">
        <w:rPr>
          <w:rFonts w:eastAsia="Times New Roman" w:cs="Arial"/>
          <w:color w:val="000000"/>
          <w:lang w:val="en-US"/>
        </w:rPr>
        <w:t>Child</w:t>
      </w:r>
      <w:r w:rsidRPr="00765CE3">
        <w:rPr>
          <w:rFonts w:eastAsia="Times New Roman" w:cs="Arial"/>
          <w:color w:val="000000"/>
          <w:lang w:val="ru-RU"/>
        </w:rPr>
        <w:t>-</w:t>
      </w:r>
      <w:r w:rsidRPr="00765CE3">
        <w:rPr>
          <w:rFonts w:eastAsia="Times New Roman" w:cs="Arial"/>
          <w:color w:val="000000"/>
          <w:lang w:val="en-US"/>
        </w:rPr>
        <w:t>Pugh</w:t>
      </w:r>
      <w:r w:rsidRPr="00765CE3">
        <w:rPr>
          <w:rFonts w:eastAsia="Times New Roman" w:cs="Arial"/>
          <w:color w:val="000000"/>
          <w:lang w:val="ru-RU"/>
        </w:rPr>
        <w:t xml:space="preserve">) </w:t>
      </w:r>
      <w:r w:rsidRPr="00765CE3">
        <w:rPr>
          <w:rFonts w:eastAsia="Times New Roman" w:cs="Arial"/>
          <w:color w:val="000000"/>
          <w:lang w:eastAsia="bg-BG"/>
        </w:rPr>
        <w:t xml:space="preserve">със здрави доброволци </w:t>
      </w:r>
      <w:r w:rsidRPr="00765CE3">
        <w:rPr>
          <w:rFonts w:eastAsia="Times New Roman" w:cs="Arial"/>
          <w:color w:val="000000"/>
          <w:lang w:val="ru-RU"/>
        </w:rPr>
        <w:t>(</w:t>
      </w:r>
      <w:r w:rsidRPr="00765CE3">
        <w:rPr>
          <w:rFonts w:eastAsia="Times New Roman" w:cs="Arial"/>
          <w:color w:val="000000"/>
          <w:lang w:val="en-US"/>
        </w:rPr>
        <w:t>N</w:t>
      </w:r>
      <w:r w:rsidRPr="00765CE3">
        <w:rPr>
          <w:rFonts w:eastAsia="Times New Roman" w:cs="Arial"/>
          <w:color w:val="000000"/>
          <w:lang w:val="ru-RU"/>
        </w:rPr>
        <w:t xml:space="preserve">=8), </w:t>
      </w:r>
      <w:r w:rsidRPr="00765CE3">
        <w:rPr>
          <w:rFonts w:eastAsia="Times New Roman" w:cs="Arial"/>
          <w:color w:val="000000"/>
          <w:lang w:val="en-US"/>
        </w:rPr>
        <w:t>AUC</w:t>
      </w:r>
      <w:r w:rsidRPr="00765CE3">
        <w:rPr>
          <w:rFonts w:eastAsia="Times New Roman" w:cs="Arial"/>
          <w:color w:val="000000"/>
          <w:lang w:val="ru-RU"/>
        </w:rPr>
        <w:t xml:space="preserve"> </w:t>
      </w:r>
      <w:r w:rsidRPr="00765CE3">
        <w:rPr>
          <w:rFonts w:eastAsia="Times New Roman" w:cs="Arial"/>
          <w:color w:val="000000"/>
          <w:lang w:eastAsia="bg-BG"/>
        </w:rPr>
        <w:t xml:space="preserve">и </w:t>
      </w:r>
      <w:r w:rsidRPr="00765CE3">
        <w:rPr>
          <w:rFonts w:eastAsia="Times New Roman" w:cs="Arial"/>
          <w:color w:val="000000"/>
          <w:lang w:val="en-US"/>
        </w:rPr>
        <w:t>t</w:t>
      </w:r>
      <w:r w:rsidRPr="00765CE3">
        <w:rPr>
          <w:rFonts w:eastAsia="Times New Roman" w:cs="Arial"/>
          <w:color w:val="000000"/>
          <w:vertAlign w:val="subscript"/>
          <w:lang w:val="ru-RU"/>
        </w:rPr>
        <w:t>1/2</w:t>
      </w:r>
      <w:r w:rsidRPr="00765CE3">
        <w:rPr>
          <w:rFonts w:eastAsia="Times New Roman" w:cs="Arial"/>
          <w:color w:val="000000"/>
          <w:lang w:val="ru-RU"/>
        </w:rPr>
        <w:t xml:space="preserve"> </w:t>
      </w:r>
      <w:r w:rsidRPr="00765CE3">
        <w:rPr>
          <w:rFonts w:eastAsia="Times New Roman" w:cs="Arial"/>
          <w:color w:val="000000"/>
          <w:lang w:eastAsia="bg-BG"/>
        </w:rPr>
        <w:t>се увеличават съответно до 95 и 187%. Поради тази причина летрозол трябва да се прилага с повишено внимание при пациенти с тежко чернодробно увреждане и след преценка на съотношението полза/риск за всеки отделен пациент.</w:t>
      </w:r>
    </w:p>
    <w:p w14:paraId="5A9277F3" w14:textId="77777777" w:rsidR="00765CE3" w:rsidRPr="00765CE3" w:rsidRDefault="00765CE3" w:rsidP="00765CE3"/>
    <w:p w14:paraId="648E39DA" w14:textId="4C8C6195" w:rsidR="00CF77F7" w:rsidRDefault="002C50EE" w:rsidP="004A448E">
      <w:pPr>
        <w:pStyle w:val="Heading2"/>
      </w:pPr>
      <w:r>
        <w:lastRenderedPageBreak/>
        <w:t>5.3. Предклинични данни за безопасност</w:t>
      </w:r>
    </w:p>
    <w:p w14:paraId="40886832" w14:textId="4C12228D" w:rsidR="00765CE3" w:rsidRDefault="00765CE3" w:rsidP="00765CE3"/>
    <w:p w14:paraId="1F94D1BD" w14:textId="77777777" w:rsidR="00765CE3" w:rsidRPr="00765CE3" w:rsidRDefault="00765CE3" w:rsidP="00765CE3">
      <w:pPr>
        <w:spacing w:line="240" w:lineRule="auto"/>
        <w:rPr>
          <w:rFonts w:eastAsia="Times New Roman" w:cs="Arial"/>
        </w:rPr>
      </w:pPr>
      <w:r w:rsidRPr="00765CE3">
        <w:rPr>
          <w:rFonts w:eastAsia="Times New Roman" w:cs="Arial"/>
          <w:color w:val="000000"/>
          <w:lang w:eastAsia="bg-BG"/>
        </w:rPr>
        <w:t>При различни предклинични проучвания за безопасност, проведени със стандартни животински видове, няма данни за системна или таргетна органна токсичност.</w:t>
      </w:r>
    </w:p>
    <w:p w14:paraId="7D975D5E" w14:textId="77777777" w:rsidR="00765CE3" w:rsidRDefault="00765CE3" w:rsidP="00765CE3">
      <w:pPr>
        <w:spacing w:line="240" w:lineRule="auto"/>
        <w:rPr>
          <w:rFonts w:eastAsia="Times New Roman" w:cs="Arial"/>
          <w:color w:val="000000"/>
          <w:lang w:eastAsia="bg-BG"/>
        </w:rPr>
      </w:pPr>
    </w:p>
    <w:p w14:paraId="2B3EF310" w14:textId="79CB0BFA"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Летрозол показва ниска степен на остра токсичност при гризачи, приемащи до 2000 </w:t>
      </w:r>
      <w:r w:rsidRPr="00765CE3">
        <w:rPr>
          <w:rFonts w:eastAsia="Times New Roman" w:cs="Arial"/>
          <w:color w:val="000000"/>
          <w:lang w:val="en-US"/>
        </w:rPr>
        <w:t>mg</w:t>
      </w:r>
      <w:r w:rsidRPr="00765CE3">
        <w:rPr>
          <w:rFonts w:eastAsia="Times New Roman" w:cs="Arial"/>
          <w:color w:val="000000"/>
          <w:lang w:val="ru-RU"/>
        </w:rPr>
        <w:t>/</w:t>
      </w:r>
      <w:r w:rsidRPr="00765CE3">
        <w:rPr>
          <w:rFonts w:eastAsia="Times New Roman" w:cs="Arial"/>
          <w:color w:val="000000"/>
          <w:lang w:val="en-US"/>
        </w:rPr>
        <w:t>kg</w:t>
      </w:r>
      <w:r w:rsidRPr="00765CE3">
        <w:rPr>
          <w:rFonts w:eastAsia="Times New Roman" w:cs="Arial"/>
          <w:color w:val="000000"/>
          <w:lang w:val="ru-RU"/>
        </w:rPr>
        <w:t xml:space="preserve">. </w:t>
      </w:r>
      <w:r w:rsidRPr="00765CE3">
        <w:rPr>
          <w:rFonts w:eastAsia="Times New Roman" w:cs="Arial"/>
          <w:color w:val="000000"/>
          <w:lang w:eastAsia="bg-BG"/>
        </w:rPr>
        <w:t xml:space="preserve">При кучета летрозол причинява признаци на умерена токсичност при доза 100 </w:t>
      </w:r>
      <w:r w:rsidRPr="00765CE3">
        <w:rPr>
          <w:rFonts w:eastAsia="Times New Roman" w:cs="Arial"/>
          <w:color w:val="000000"/>
          <w:lang w:val="en-US"/>
        </w:rPr>
        <w:t>mg</w:t>
      </w:r>
      <w:r w:rsidRPr="00765CE3">
        <w:rPr>
          <w:rFonts w:eastAsia="Times New Roman" w:cs="Arial"/>
          <w:color w:val="000000"/>
          <w:lang w:val="ru-RU"/>
        </w:rPr>
        <w:t>/</w:t>
      </w:r>
      <w:r w:rsidRPr="00765CE3">
        <w:rPr>
          <w:rFonts w:eastAsia="Times New Roman" w:cs="Arial"/>
          <w:color w:val="000000"/>
          <w:lang w:val="en-US"/>
        </w:rPr>
        <w:t>kg</w:t>
      </w:r>
      <w:r w:rsidRPr="00765CE3">
        <w:rPr>
          <w:rFonts w:eastAsia="Times New Roman" w:cs="Arial"/>
          <w:color w:val="000000"/>
          <w:lang w:val="ru-RU"/>
        </w:rPr>
        <w:t>.</w:t>
      </w:r>
    </w:p>
    <w:p w14:paraId="37E44F60" w14:textId="77777777" w:rsidR="00765CE3" w:rsidRDefault="00765CE3" w:rsidP="00765CE3">
      <w:pPr>
        <w:rPr>
          <w:rFonts w:eastAsia="Times New Roman" w:cs="Arial"/>
          <w:color w:val="000000"/>
          <w:lang w:eastAsia="bg-BG"/>
        </w:rPr>
      </w:pPr>
    </w:p>
    <w:p w14:paraId="1C3BE495" w14:textId="77777777" w:rsidR="00765CE3" w:rsidRPr="00765CE3" w:rsidRDefault="00765CE3" w:rsidP="00765CE3">
      <w:pPr>
        <w:rPr>
          <w:rFonts w:eastAsia="Times New Roman" w:cs="Arial"/>
        </w:rPr>
      </w:pPr>
      <w:r w:rsidRPr="00765CE3">
        <w:rPr>
          <w:rFonts w:eastAsia="Times New Roman" w:cs="Arial"/>
          <w:color w:val="000000"/>
          <w:lang w:eastAsia="bg-BG"/>
        </w:rPr>
        <w:t xml:space="preserve">При проучвания за токсичност при плъхове и кучета </w:t>
      </w:r>
      <w:r w:rsidRPr="00765CE3">
        <w:rPr>
          <w:rFonts w:eastAsia="Times New Roman" w:cs="Arial"/>
          <w:i/>
          <w:iCs/>
          <w:color w:val="000000"/>
          <w:lang w:eastAsia="bg-BG"/>
        </w:rPr>
        <w:t>с</w:t>
      </w:r>
      <w:r w:rsidRPr="00765CE3">
        <w:rPr>
          <w:rFonts w:eastAsia="Times New Roman" w:cs="Arial"/>
          <w:color w:val="000000"/>
          <w:lang w:eastAsia="bg-BG"/>
        </w:rPr>
        <w:t xml:space="preserve"> повтарящи се дози с продължителност до 12 месеца, основните наблюдавани прояви могат да се припишат на фармакол</w:t>
      </w:r>
      <w:r w:rsidRPr="00765CE3">
        <w:rPr>
          <w:rFonts w:eastAsia="Times New Roman" w:cs="Arial"/>
          <w:color w:val="000000"/>
          <w:lang w:val="en-US"/>
        </w:rPr>
        <w:t>o</w:t>
      </w:r>
      <w:r w:rsidRPr="00765CE3">
        <w:rPr>
          <w:rFonts w:eastAsia="Times New Roman" w:cs="Arial"/>
          <w:color w:val="000000"/>
          <w:lang w:eastAsia="bg-BG"/>
        </w:rPr>
        <w:t>гичното действие на лекарственото вещество. Дозировката, при която няма нежелани реакции и при</w:t>
      </w:r>
      <w:r w:rsidRPr="00765CE3">
        <w:rPr>
          <w:rFonts w:eastAsia="Times New Roman" w:cs="Arial"/>
          <w:color w:val="000000"/>
          <w:lang w:val="ru-RU" w:eastAsia="bg-BG"/>
        </w:rPr>
        <w:t xml:space="preserve"> </w:t>
      </w:r>
      <w:r w:rsidRPr="00765CE3">
        <w:rPr>
          <w:rFonts w:eastAsia="Times New Roman" w:cs="Arial"/>
          <w:color w:val="000000"/>
          <w:lang w:eastAsia="bg-BG"/>
        </w:rPr>
        <w:t xml:space="preserve">двата вида, е 0,3 </w:t>
      </w:r>
      <w:r w:rsidRPr="00765CE3">
        <w:rPr>
          <w:rFonts w:eastAsia="Times New Roman" w:cs="Arial"/>
          <w:color w:val="000000"/>
          <w:lang w:val="en-US"/>
        </w:rPr>
        <w:t>mg</w:t>
      </w:r>
      <w:r w:rsidRPr="00765CE3">
        <w:rPr>
          <w:rFonts w:eastAsia="Times New Roman" w:cs="Arial"/>
          <w:color w:val="000000"/>
          <w:lang w:val="ru-RU"/>
        </w:rPr>
        <w:t>/</w:t>
      </w:r>
      <w:r w:rsidRPr="00765CE3">
        <w:rPr>
          <w:rFonts w:eastAsia="Times New Roman" w:cs="Arial"/>
          <w:color w:val="000000"/>
          <w:lang w:val="en-US"/>
        </w:rPr>
        <w:t>kg</w:t>
      </w:r>
      <w:r w:rsidRPr="00765CE3">
        <w:rPr>
          <w:rFonts w:eastAsia="Times New Roman" w:cs="Arial"/>
          <w:color w:val="000000"/>
          <w:lang w:val="ru-RU"/>
        </w:rPr>
        <w:t>.</w:t>
      </w:r>
    </w:p>
    <w:p w14:paraId="7677159C" w14:textId="77777777" w:rsidR="00765CE3" w:rsidRDefault="00765CE3" w:rsidP="00765CE3">
      <w:pPr>
        <w:spacing w:line="240" w:lineRule="auto"/>
        <w:rPr>
          <w:rFonts w:eastAsia="Times New Roman" w:cs="Arial"/>
          <w:color w:val="000000"/>
          <w:lang w:eastAsia="bg-BG"/>
        </w:rPr>
      </w:pPr>
    </w:p>
    <w:p w14:paraId="40BCEABE" w14:textId="3F1A7E96" w:rsidR="00765CE3" w:rsidRPr="00765CE3" w:rsidRDefault="00765CE3" w:rsidP="00765CE3">
      <w:pPr>
        <w:spacing w:line="240" w:lineRule="auto"/>
        <w:rPr>
          <w:rFonts w:eastAsia="Times New Roman" w:cs="Arial"/>
        </w:rPr>
      </w:pPr>
      <w:r w:rsidRPr="00765CE3">
        <w:rPr>
          <w:rFonts w:eastAsia="Times New Roman" w:cs="Arial"/>
          <w:color w:val="000000"/>
          <w:lang w:eastAsia="bg-BG"/>
        </w:rPr>
        <w:t xml:space="preserve">Проучванията </w:t>
      </w:r>
      <w:r w:rsidRPr="00765CE3">
        <w:rPr>
          <w:rFonts w:eastAsia="Times New Roman" w:cs="Arial"/>
          <w:i/>
          <w:iCs/>
          <w:color w:val="000000"/>
          <w:lang w:val="en-US"/>
        </w:rPr>
        <w:t>in</w:t>
      </w:r>
      <w:r w:rsidRPr="00765CE3">
        <w:rPr>
          <w:rFonts w:eastAsia="Times New Roman" w:cs="Arial"/>
          <w:i/>
          <w:iCs/>
          <w:color w:val="000000"/>
          <w:lang w:val="ru-RU"/>
        </w:rPr>
        <w:t xml:space="preserve"> </w:t>
      </w:r>
      <w:r w:rsidRPr="00765CE3">
        <w:rPr>
          <w:rFonts w:eastAsia="Times New Roman" w:cs="Arial"/>
          <w:i/>
          <w:iCs/>
          <w:color w:val="000000"/>
          <w:lang w:val="en-US"/>
        </w:rPr>
        <w:t>vitro</w:t>
      </w:r>
      <w:r w:rsidRPr="00765CE3">
        <w:rPr>
          <w:rFonts w:eastAsia="Times New Roman" w:cs="Arial"/>
          <w:color w:val="000000"/>
          <w:lang w:val="ru-RU"/>
        </w:rPr>
        <w:t xml:space="preserve"> </w:t>
      </w:r>
      <w:r w:rsidRPr="00765CE3">
        <w:rPr>
          <w:rFonts w:eastAsia="Times New Roman" w:cs="Arial"/>
          <w:color w:val="000000"/>
          <w:lang w:val="en-US"/>
        </w:rPr>
        <w:t>w</w:t>
      </w:r>
      <w:r w:rsidRPr="00765CE3">
        <w:rPr>
          <w:rFonts w:eastAsia="Times New Roman" w:cs="Arial"/>
          <w:color w:val="000000"/>
          <w:lang w:val="ru-RU"/>
        </w:rPr>
        <w:t xml:space="preserve"> </w:t>
      </w:r>
      <w:r w:rsidRPr="00765CE3">
        <w:rPr>
          <w:rFonts w:eastAsia="Times New Roman" w:cs="Arial"/>
          <w:i/>
          <w:iCs/>
          <w:color w:val="000000"/>
          <w:lang w:val="en-US"/>
        </w:rPr>
        <w:t>in</w:t>
      </w:r>
      <w:r w:rsidRPr="00765CE3">
        <w:rPr>
          <w:rFonts w:eastAsia="Times New Roman" w:cs="Arial"/>
          <w:i/>
          <w:iCs/>
          <w:color w:val="000000"/>
          <w:lang w:val="ru-RU"/>
        </w:rPr>
        <w:t xml:space="preserve"> </w:t>
      </w:r>
      <w:r w:rsidRPr="00765CE3">
        <w:rPr>
          <w:rFonts w:eastAsia="Times New Roman" w:cs="Arial"/>
          <w:i/>
          <w:iCs/>
          <w:color w:val="000000"/>
          <w:lang w:val="en-US"/>
        </w:rPr>
        <w:t>vivo</w:t>
      </w:r>
      <w:r w:rsidRPr="00765CE3">
        <w:rPr>
          <w:rFonts w:eastAsia="Times New Roman" w:cs="Arial"/>
          <w:color w:val="000000"/>
          <w:lang w:val="ru-RU"/>
        </w:rPr>
        <w:t xml:space="preserve"> </w:t>
      </w:r>
      <w:r w:rsidRPr="00765CE3">
        <w:rPr>
          <w:rFonts w:eastAsia="Times New Roman" w:cs="Arial"/>
          <w:color w:val="000000"/>
          <w:lang w:eastAsia="bg-BG"/>
        </w:rPr>
        <w:t>за мутагенен потенциал на летрозол не разкриват индикации за генотоксичност.</w:t>
      </w:r>
    </w:p>
    <w:p w14:paraId="72DFEB93" w14:textId="77777777" w:rsidR="00765CE3" w:rsidRDefault="00765CE3" w:rsidP="00765CE3">
      <w:pPr>
        <w:spacing w:line="240" w:lineRule="auto"/>
        <w:rPr>
          <w:rFonts w:eastAsia="Times New Roman" w:cs="Arial"/>
          <w:color w:val="000000"/>
          <w:lang w:eastAsia="bg-BG"/>
        </w:rPr>
      </w:pPr>
    </w:p>
    <w:p w14:paraId="2A8640DC" w14:textId="5184E8B3" w:rsidR="00765CE3" w:rsidRPr="00765CE3" w:rsidRDefault="00765CE3" w:rsidP="00765CE3">
      <w:pPr>
        <w:spacing w:line="240" w:lineRule="auto"/>
        <w:rPr>
          <w:rFonts w:eastAsia="Times New Roman" w:cs="Arial"/>
        </w:rPr>
      </w:pPr>
      <w:r w:rsidRPr="00765CE3">
        <w:rPr>
          <w:rFonts w:eastAsia="Times New Roman" w:cs="Arial"/>
          <w:color w:val="000000"/>
          <w:lang w:eastAsia="bg-BG"/>
        </w:rPr>
        <w:t>При 104 седмично проучване за канцерогенност при плъхове, не са установени свързани с лечението тумори при мъжки плъхове. При женските плъхове е установена понижена честота на доброкачествените и злокачествени тумори на млечната жлеза при всички дозировки на летрозол.</w:t>
      </w:r>
    </w:p>
    <w:p w14:paraId="7CFA6AE2" w14:textId="77777777" w:rsidR="00765CE3" w:rsidRDefault="00765CE3" w:rsidP="00765CE3">
      <w:pPr>
        <w:spacing w:line="240" w:lineRule="auto"/>
        <w:rPr>
          <w:rFonts w:eastAsia="Times New Roman" w:cs="Arial"/>
          <w:color w:val="000000"/>
          <w:lang w:eastAsia="bg-BG"/>
        </w:rPr>
      </w:pPr>
    </w:p>
    <w:p w14:paraId="7B72F67C" w14:textId="135D4A5C" w:rsidR="00765CE3" w:rsidRPr="00765CE3" w:rsidRDefault="00765CE3" w:rsidP="00765CE3">
      <w:pPr>
        <w:spacing w:line="240" w:lineRule="auto"/>
        <w:rPr>
          <w:rFonts w:eastAsia="Times New Roman" w:cs="Arial"/>
        </w:rPr>
      </w:pPr>
      <w:r w:rsidRPr="00765CE3">
        <w:rPr>
          <w:rFonts w:eastAsia="Times New Roman" w:cs="Arial"/>
          <w:color w:val="000000"/>
          <w:lang w:eastAsia="bg-BG"/>
        </w:rPr>
        <w:t>Летрозол е ембриотоксичен и фетотоксичен при бременни плъхове и зайци след перорален прием на клинично значими дози. При плъховете с живи фетуси се наблюдава повишена честота на фетални малформации, включително куполообразна глава и цервикална/централна вертебрална фузия. Не се наблюдава повишена честота на фетални малформации при зайци. Не е известно дали това е индиректно следствие от фармакологичните свойства (инхибиране на синтезата на естрогени) или директен ефект на лекарството (вж. точки 4.3 и 4.6).</w:t>
      </w:r>
    </w:p>
    <w:p w14:paraId="06150C1F" w14:textId="77777777" w:rsidR="00765CE3" w:rsidRDefault="00765CE3" w:rsidP="00765CE3">
      <w:pPr>
        <w:spacing w:line="240" w:lineRule="auto"/>
        <w:rPr>
          <w:rFonts w:eastAsia="Times New Roman" w:cs="Arial"/>
          <w:color w:val="000000"/>
          <w:lang w:eastAsia="bg-BG"/>
        </w:rPr>
      </w:pPr>
    </w:p>
    <w:p w14:paraId="0466E697" w14:textId="2DE35A89" w:rsidR="00765CE3" w:rsidRPr="00765CE3" w:rsidRDefault="00765CE3" w:rsidP="00765CE3">
      <w:pPr>
        <w:spacing w:line="240" w:lineRule="auto"/>
        <w:rPr>
          <w:rFonts w:eastAsia="Times New Roman" w:cs="Arial"/>
        </w:rPr>
      </w:pPr>
      <w:r w:rsidRPr="00765CE3">
        <w:rPr>
          <w:rFonts w:eastAsia="Times New Roman" w:cs="Arial"/>
          <w:color w:val="000000"/>
          <w:lang w:eastAsia="bg-BG"/>
        </w:rPr>
        <w:t>Предклиничните наблюдения са ограничени до тези, свързани с известното фармакологично действие, което единственото съображение за безопасност при хора, извлечено от проучванията на животни.</w:t>
      </w:r>
    </w:p>
    <w:p w14:paraId="6EC453A3" w14:textId="4CC5DAA9" w:rsidR="00765CE3" w:rsidRPr="00765CE3" w:rsidRDefault="00765CE3" w:rsidP="00765CE3">
      <w:pPr>
        <w:rPr>
          <w:rFonts w:cs="Arial"/>
        </w:rPr>
      </w:pPr>
    </w:p>
    <w:p w14:paraId="6A7820AB" w14:textId="707EA646" w:rsidR="008A6AF2" w:rsidRDefault="002C50EE" w:rsidP="00395555">
      <w:pPr>
        <w:pStyle w:val="Heading1"/>
      </w:pPr>
      <w:r>
        <w:t>7. ПРИТЕЖАТЕЛ НА РАЗРЕШЕНИЕТО ЗА УПОТРЕБА</w:t>
      </w:r>
    </w:p>
    <w:p w14:paraId="45BDC14B" w14:textId="1BAD2973" w:rsidR="00765CE3" w:rsidRDefault="00765CE3" w:rsidP="00765CE3"/>
    <w:p w14:paraId="4B489764" w14:textId="77777777" w:rsidR="00765CE3" w:rsidRPr="00765CE3" w:rsidRDefault="00765CE3" w:rsidP="00765CE3">
      <w:pPr>
        <w:rPr>
          <w:sz w:val="24"/>
          <w:szCs w:val="24"/>
        </w:rPr>
      </w:pPr>
      <w:r w:rsidRPr="00765CE3">
        <w:rPr>
          <w:lang w:eastAsia="bg-BG"/>
        </w:rPr>
        <w:t>МС Фарма АД</w:t>
      </w:r>
    </w:p>
    <w:p w14:paraId="3AE4B849" w14:textId="77777777" w:rsidR="00765CE3" w:rsidRPr="00765CE3" w:rsidRDefault="00765CE3" w:rsidP="00765CE3">
      <w:pPr>
        <w:rPr>
          <w:sz w:val="24"/>
          <w:szCs w:val="24"/>
        </w:rPr>
      </w:pPr>
      <w:r w:rsidRPr="00765CE3">
        <w:rPr>
          <w:lang w:eastAsia="bg-BG"/>
        </w:rPr>
        <w:t>Ул. „Земляне” № 35</w:t>
      </w:r>
    </w:p>
    <w:p w14:paraId="737EA401" w14:textId="77777777" w:rsidR="00765CE3" w:rsidRPr="00765CE3" w:rsidRDefault="00765CE3" w:rsidP="00765CE3">
      <w:pPr>
        <w:rPr>
          <w:sz w:val="24"/>
          <w:szCs w:val="24"/>
        </w:rPr>
      </w:pPr>
      <w:r w:rsidRPr="00765CE3">
        <w:rPr>
          <w:lang w:eastAsia="bg-BG"/>
        </w:rPr>
        <w:t>София 1618</w:t>
      </w:r>
    </w:p>
    <w:p w14:paraId="5D1BD407" w14:textId="5C66B23F" w:rsidR="00765CE3" w:rsidRPr="00765CE3" w:rsidRDefault="00765CE3" w:rsidP="00765CE3">
      <w:r w:rsidRPr="00765CE3">
        <w:rPr>
          <w:lang w:eastAsia="bg-BG"/>
        </w:rPr>
        <w:t>България</w:t>
      </w:r>
    </w:p>
    <w:p w14:paraId="7BA1BA64" w14:textId="6AD10CB3" w:rsidR="00CF77F7" w:rsidRDefault="002C50EE" w:rsidP="004A448E">
      <w:pPr>
        <w:pStyle w:val="Heading1"/>
      </w:pPr>
      <w:r>
        <w:t>8. НОМЕР НА РАЗРЕШЕНИЕТО ЗА УПОТРЕБА</w:t>
      </w:r>
    </w:p>
    <w:p w14:paraId="70E12BDB" w14:textId="095C6214" w:rsidR="00765CE3" w:rsidRDefault="00765CE3" w:rsidP="00765CE3"/>
    <w:p w14:paraId="382B53EF" w14:textId="066B7DB9" w:rsidR="00765CE3" w:rsidRPr="00765CE3" w:rsidRDefault="00765CE3" w:rsidP="00765CE3">
      <w:r>
        <w:t>20110031</w:t>
      </w:r>
    </w:p>
    <w:p w14:paraId="2CCB5832" w14:textId="64C2C87E" w:rsidR="007C605B" w:rsidRDefault="002C50EE" w:rsidP="007C605B">
      <w:pPr>
        <w:pStyle w:val="Heading1"/>
      </w:pPr>
      <w:r>
        <w:lastRenderedPageBreak/>
        <w:t>9. ДАТА НА ПЪРВО РАЗРЕШАВАНЕ/ПОДНОВЯВАНЕ НА РАЗРЕШЕНИЕТО ЗА УПОТРЕБА</w:t>
      </w:r>
    </w:p>
    <w:p w14:paraId="1F928302" w14:textId="52B8B985" w:rsidR="00765CE3" w:rsidRDefault="00765CE3" w:rsidP="00765CE3"/>
    <w:p w14:paraId="13B1FC56" w14:textId="68F918BA" w:rsidR="00765CE3" w:rsidRPr="00765CE3" w:rsidRDefault="00765CE3" w:rsidP="00765CE3">
      <w:r>
        <w:t>23/02/2011</w:t>
      </w:r>
    </w:p>
    <w:p w14:paraId="0E9D0119" w14:textId="0245C6D7" w:rsidR="002C50EE" w:rsidRDefault="002C50EE" w:rsidP="002C50EE">
      <w:pPr>
        <w:pStyle w:val="Heading1"/>
      </w:pPr>
      <w:r>
        <w:t>10. ДАТА НА АКТУАЛИЗИРАНЕ НА ТЕКСТА</w:t>
      </w:r>
    </w:p>
    <w:bookmarkEnd w:id="0"/>
    <w:p w14:paraId="43FB38A2" w14:textId="7475FA2D" w:rsidR="007C605B" w:rsidRPr="00765CE3" w:rsidRDefault="00765CE3" w:rsidP="00765CE3">
      <w:pPr>
        <w:rPr>
          <w:sz w:val="24"/>
          <w:szCs w:val="24"/>
        </w:rPr>
      </w:pPr>
      <w:r w:rsidRPr="00765CE3">
        <w:rPr>
          <w:lang w:eastAsia="bg-BG"/>
        </w:rPr>
        <w:t>11/2017 г.</w:t>
      </w:r>
      <w:bookmarkStart w:id="2" w:name="_GoBack"/>
      <w:bookmarkEnd w:id="2"/>
    </w:p>
    <w:sectPr w:rsidR="007C605B" w:rsidRPr="0076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5784EA2"/>
    <w:multiLevelType w:val="hybridMultilevel"/>
    <w:tmpl w:val="E484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E1A31"/>
    <w:multiLevelType w:val="hybridMultilevel"/>
    <w:tmpl w:val="0DCCCD10"/>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7"/>
  </w:num>
  <w:num w:numId="7">
    <w:abstractNumId w:val="11"/>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2"/>
  </w:num>
  <w:num w:numId="15">
    <w:abstractNumId w:val="30"/>
  </w:num>
  <w:num w:numId="16">
    <w:abstractNumId w:val="10"/>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96C38"/>
    <w:rsid w:val="0075649D"/>
    <w:rsid w:val="00765CE3"/>
    <w:rsid w:val="00784150"/>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334F9"/>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6261</Words>
  <Characters>35691</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2022-05-03T22:52:00Z</dcterms:created>
  <dcterms:modified xsi:type="dcterms:W3CDTF">2022-05-03T22:52:00Z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