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581BCB7" w:rsidR="00AA23EC" w:rsidRDefault="00DD466D" w:rsidP="00DD466D">
      <w:pPr>
        <w:pStyle w:val="Heading1"/>
      </w:pPr>
      <w:r>
        <w:t>1.ИМЕ НА ЛЕКАРСТВЕНИЯ ПРОДУКТ</w:t>
      </w:r>
    </w:p>
    <w:p w14:paraId="3D31A74D" w14:textId="34EC0140" w:rsidR="00786747" w:rsidRDefault="00786747" w:rsidP="00786747"/>
    <w:p w14:paraId="6B7AAE3F" w14:textId="77777777" w:rsidR="00786747" w:rsidRPr="00786747" w:rsidRDefault="00786747" w:rsidP="00786747">
      <w:pPr>
        <w:rPr>
          <w:sz w:val="24"/>
          <w:szCs w:val="24"/>
        </w:rPr>
      </w:pPr>
      <w:r w:rsidRPr="00786747">
        <w:rPr>
          <w:lang w:eastAsia="bg-BG"/>
        </w:rPr>
        <w:t xml:space="preserve">Левебон 500 </w:t>
      </w:r>
      <w:r w:rsidRPr="00786747">
        <w:rPr>
          <w:lang w:val="en-US"/>
        </w:rPr>
        <w:t>mg</w:t>
      </w:r>
      <w:r w:rsidRPr="00786747">
        <w:t xml:space="preserve"> </w:t>
      </w:r>
      <w:r w:rsidRPr="00786747">
        <w:rPr>
          <w:lang w:eastAsia="bg-BG"/>
        </w:rPr>
        <w:t>филмирани таблетки</w:t>
      </w:r>
    </w:p>
    <w:p w14:paraId="5C7BA969" w14:textId="77777777" w:rsidR="00786747" w:rsidRPr="00786747" w:rsidRDefault="00786747" w:rsidP="00786747">
      <w:pPr>
        <w:rPr>
          <w:sz w:val="24"/>
          <w:szCs w:val="24"/>
        </w:rPr>
      </w:pPr>
      <w:proofErr w:type="spellStart"/>
      <w:r w:rsidRPr="00786747">
        <w:rPr>
          <w:lang w:val="en-US"/>
        </w:rPr>
        <w:t>Levebon</w:t>
      </w:r>
      <w:proofErr w:type="spellEnd"/>
      <w:r w:rsidRPr="00786747">
        <w:t xml:space="preserve"> </w:t>
      </w:r>
      <w:r w:rsidRPr="00786747">
        <w:rPr>
          <w:lang w:eastAsia="bg-BG"/>
        </w:rPr>
        <w:t xml:space="preserve">500 </w:t>
      </w:r>
      <w:r w:rsidRPr="00786747">
        <w:rPr>
          <w:lang w:val="en-US"/>
        </w:rPr>
        <w:t>mg</w:t>
      </w:r>
      <w:r w:rsidRPr="00786747">
        <w:t xml:space="preserve"> </w:t>
      </w:r>
      <w:r w:rsidRPr="00786747">
        <w:rPr>
          <w:lang w:val="en-US"/>
        </w:rPr>
        <w:t>film</w:t>
      </w:r>
      <w:r w:rsidRPr="00786747">
        <w:t>-</w:t>
      </w:r>
      <w:r w:rsidRPr="00786747">
        <w:rPr>
          <w:lang w:val="en-US"/>
        </w:rPr>
        <w:t>coated</w:t>
      </w:r>
      <w:r w:rsidRPr="00786747">
        <w:t xml:space="preserve"> </w:t>
      </w:r>
      <w:r w:rsidRPr="00786747">
        <w:rPr>
          <w:lang w:val="en-US"/>
        </w:rPr>
        <w:t>tablets</w:t>
      </w:r>
    </w:p>
    <w:p w14:paraId="4BF4AE52" w14:textId="77777777" w:rsidR="00786747" w:rsidRDefault="00786747" w:rsidP="00786747">
      <w:pPr>
        <w:rPr>
          <w:lang w:eastAsia="bg-BG"/>
        </w:rPr>
      </w:pPr>
    </w:p>
    <w:p w14:paraId="0F1F0B2C" w14:textId="4DE1011E" w:rsidR="00786747" w:rsidRPr="00786747" w:rsidRDefault="00786747" w:rsidP="00786747">
      <w:pPr>
        <w:rPr>
          <w:sz w:val="24"/>
          <w:szCs w:val="24"/>
        </w:rPr>
      </w:pPr>
      <w:r w:rsidRPr="00786747">
        <w:rPr>
          <w:lang w:eastAsia="bg-BG"/>
        </w:rPr>
        <w:t xml:space="preserve">Левебон </w:t>
      </w:r>
      <w:r w:rsidRPr="00786747">
        <w:t xml:space="preserve">1 000 </w:t>
      </w:r>
      <w:r w:rsidRPr="00786747">
        <w:rPr>
          <w:lang w:val="en-US"/>
        </w:rPr>
        <w:t>mg</w:t>
      </w:r>
      <w:r w:rsidRPr="00786747">
        <w:t xml:space="preserve"> </w:t>
      </w:r>
      <w:r w:rsidRPr="00786747">
        <w:rPr>
          <w:lang w:eastAsia="bg-BG"/>
        </w:rPr>
        <w:t>филмирани таблетки</w:t>
      </w:r>
    </w:p>
    <w:p w14:paraId="5CF8CAA4" w14:textId="34FC4B49" w:rsidR="00786747" w:rsidRPr="00786747" w:rsidRDefault="00786747" w:rsidP="00786747">
      <w:proofErr w:type="spellStart"/>
      <w:r w:rsidRPr="00786747">
        <w:rPr>
          <w:lang w:val="en-US"/>
        </w:rPr>
        <w:t>Levebon</w:t>
      </w:r>
      <w:proofErr w:type="spellEnd"/>
      <w:r w:rsidRPr="00786747">
        <w:t xml:space="preserve"> </w:t>
      </w:r>
      <w:r w:rsidRPr="00786747">
        <w:rPr>
          <w:lang w:eastAsia="bg-BG"/>
        </w:rPr>
        <w:t xml:space="preserve">1 000 </w:t>
      </w:r>
      <w:r w:rsidRPr="00786747">
        <w:rPr>
          <w:lang w:val="en-US"/>
        </w:rPr>
        <w:t>mg</w:t>
      </w:r>
      <w:r w:rsidRPr="00786747">
        <w:t xml:space="preserve"> </w:t>
      </w:r>
      <w:r w:rsidRPr="00786747">
        <w:rPr>
          <w:lang w:val="en-US"/>
        </w:rPr>
        <w:t>film</w:t>
      </w:r>
      <w:r w:rsidRPr="00786747">
        <w:t>-</w:t>
      </w:r>
      <w:r w:rsidRPr="00786747">
        <w:rPr>
          <w:lang w:val="en-US"/>
        </w:rPr>
        <w:t>coated</w:t>
      </w:r>
      <w:r w:rsidRPr="00786747">
        <w:t xml:space="preserve"> </w:t>
      </w:r>
      <w:r w:rsidRPr="00786747">
        <w:rPr>
          <w:lang w:val="en-US"/>
        </w:rPr>
        <w:t>tablets</w:t>
      </w:r>
    </w:p>
    <w:p w14:paraId="0A368469" w14:textId="04D05224" w:rsidR="00C0049F" w:rsidRDefault="00DD466D" w:rsidP="009F1313">
      <w:pPr>
        <w:pStyle w:val="Heading1"/>
      </w:pPr>
      <w:r>
        <w:t>2. КАЧЕСТВЕН И КОЛИЧЕСТВЕН СЪСТАВ</w:t>
      </w:r>
    </w:p>
    <w:p w14:paraId="46EBD418" w14:textId="60346C37" w:rsidR="00786747" w:rsidRDefault="00786747" w:rsidP="00786747"/>
    <w:p w14:paraId="5350AF1E" w14:textId="77777777"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Левебон 500 </w:t>
      </w:r>
      <w:r w:rsidRPr="00786747">
        <w:rPr>
          <w:rFonts w:eastAsia="Times New Roman" w:cs="Arial"/>
          <w:i/>
          <w:iCs/>
          <w:color w:val="000000"/>
          <w:szCs w:val="20"/>
          <w:lang w:val="en-US"/>
        </w:rPr>
        <w:t>mg</w:t>
      </w:r>
      <w:r w:rsidRPr="00786747">
        <w:rPr>
          <w:rFonts w:eastAsia="Times New Roman" w:cs="Arial"/>
          <w:i/>
          <w:iCs/>
          <w:color w:val="000000"/>
          <w:szCs w:val="20"/>
        </w:rPr>
        <w:t xml:space="preserve"> </w:t>
      </w:r>
      <w:r w:rsidRPr="00786747">
        <w:rPr>
          <w:rFonts w:eastAsia="Times New Roman" w:cs="Arial"/>
          <w:i/>
          <w:iCs/>
          <w:color w:val="000000"/>
          <w:szCs w:val="20"/>
          <w:lang w:eastAsia="bg-BG"/>
        </w:rPr>
        <w:t>филмирани таблетки</w:t>
      </w:r>
    </w:p>
    <w:p w14:paraId="595AFA0C"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1 филмирана таблетка съдържа 500 </w:t>
      </w:r>
      <w:r w:rsidRPr="00786747">
        <w:rPr>
          <w:rFonts w:eastAsia="Times New Roman" w:cs="Arial"/>
          <w:color w:val="000000"/>
          <w:szCs w:val="20"/>
          <w:lang w:val="en-US"/>
        </w:rPr>
        <w:t>mg</w:t>
      </w:r>
      <w:r w:rsidRPr="00786747">
        <w:rPr>
          <w:rFonts w:eastAsia="Times New Roman" w:cs="Arial"/>
          <w:color w:val="000000"/>
          <w:szCs w:val="20"/>
        </w:rPr>
        <w:t xml:space="preserve"> </w:t>
      </w:r>
      <w:r w:rsidRPr="00786747">
        <w:rPr>
          <w:rFonts w:eastAsia="Times New Roman" w:cs="Arial"/>
          <w:color w:val="000000"/>
          <w:szCs w:val="20"/>
          <w:lang w:eastAsia="bg-BG"/>
        </w:rPr>
        <w:t xml:space="preserve">леветирацетам </w:t>
      </w:r>
      <w:r w:rsidRPr="00786747">
        <w:rPr>
          <w:rFonts w:eastAsia="Times New Roman" w:cs="Arial"/>
          <w:i/>
          <w:iCs/>
          <w:color w:val="000000"/>
          <w:szCs w:val="20"/>
        </w:rPr>
        <w:t>(</w:t>
      </w:r>
      <w:proofErr w:type="spellStart"/>
      <w:r w:rsidRPr="00786747">
        <w:rPr>
          <w:rFonts w:eastAsia="Times New Roman" w:cs="Arial"/>
          <w:i/>
          <w:iCs/>
          <w:color w:val="000000"/>
          <w:szCs w:val="20"/>
          <w:lang w:val="en-US"/>
        </w:rPr>
        <w:t>levetiracetam</w:t>
      </w:r>
      <w:proofErr w:type="spellEnd"/>
      <w:r w:rsidRPr="00786747">
        <w:rPr>
          <w:rFonts w:eastAsia="Times New Roman" w:cs="Arial"/>
          <w:i/>
          <w:iCs/>
          <w:color w:val="000000"/>
          <w:szCs w:val="20"/>
        </w:rPr>
        <w:t>).</w:t>
      </w:r>
    </w:p>
    <w:p w14:paraId="28887E8E" w14:textId="77777777" w:rsidR="00786747" w:rsidRPr="00786747" w:rsidRDefault="00786747" w:rsidP="00786747">
      <w:pPr>
        <w:spacing w:line="240" w:lineRule="auto"/>
        <w:rPr>
          <w:rFonts w:eastAsia="Times New Roman" w:cs="Arial"/>
          <w:i/>
          <w:iCs/>
          <w:color w:val="000000"/>
          <w:szCs w:val="20"/>
          <w:lang w:eastAsia="bg-BG"/>
        </w:rPr>
      </w:pPr>
    </w:p>
    <w:p w14:paraId="12378AA2" w14:textId="3BD65505"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Левебон 1000 </w:t>
      </w:r>
      <w:r w:rsidRPr="00786747">
        <w:rPr>
          <w:rFonts w:eastAsia="Times New Roman" w:cs="Arial"/>
          <w:i/>
          <w:iCs/>
          <w:color w:val="000000"/>
          <w:szCs w:val="20"/>
          <w:lang w:val="en-US"/>
        </w:rPr>
        <w:t xml:space="preserve">mg </w:t>
      </w:r>
      <w:r w:rsidRPr="00786747">
        <w:rPr>
          <w:rFonts w:eastAsia="Times New Roman" w:cs="Arial"/>
          <w:i/>
          <w:iCs/>
          <w:color w:val="000000"/>
          <w:szCs w:val="20"/>
          <w:lang w:eastAsia="bg-BG"/>
        </w:rPr>
        <w:t>филмирани таблетки</w:t>
      </w:r>
    </w:p>
    <w:p w14:paraId="56286F78" w14:textId="77CE2E62" w:rsidR="00786747" w:rsidRPr="00786747" w:rsidRDefault="00786747" w:rsidP="00786747">
      <w:pPr>
        <w:rPr>
          <w:rFonts w:cs="Arial"/>
          <w:sz w:val="24"/>
        </w:rPr>
      </w:pPr>
      <w:r w:rsidRPr="00786747">
        <w:rPr>
          <w:rFonts w:eastAsia="Times New Roman" w:cs="Arial"/>
          <w:i/>
          <w:iCs/>
          <w:color w:val="000000"/>
          <w:szCs w:val="20"/>
          <w:lang w:eastAsia="bg-BG"/>
        </w:rPr>
        <w:t>1</w:t>
      </w:r>
      <w:r w:rsidRPr="00786747">
        <w:rPr>
          <w:rFonts w:eastAsia="Times New Roman" w:cs="Arial"/>
          <w:color w:val="000000"/>
          <w:szCs w:val="20"/>
          <w:lang w:eastAsia="bg-BG"/>
        </w:rPr>
        <w:t xml:space="preserve"> филмирана таблетка съдържа 1000 </w:t>
      </w:r>
      <w:r w:rsidRPr="00786747">
        <w:rPr>
          <w:rFonts w:eastAsia="Times New Roman" w:cs="Arial"/>
          <w:color w:val="000000"/>
          <w:szCs w:val="20"/>
          <w:lang w:val="en-US"/>
        </w:rPr>
        <w:t>mg</w:t>
      </w:r>
      <w:r w:rsidRPr="00786747">
        <w:rPr>
          <w:rFonts w:eastAsia="Times New Roman" w:cs="Arial"/>
          <w:color w:val="000000"/>
          <w:szCs w:val="20"/>
        </w:rPr>
        <w:t xml:space="preserve"> </w:t>
      </w:r>
      <w:r w:rsidRPr="00786747">
        <w:rPr>
          <w:rFonts w:eastAsia="Times New Roman" w:cs="Arial"/>
          <w:color w:val="000000"/>
          <w:szCs w:val="20"/>
          <w:lang w:eastAsia="bg-BG"/>
        </w:rPr>
        <w:t xml:space="preserve">леветирацетам </w:t>
      </w:r>
      <w:r w:rsidRPr="00786747">
        <w:rPr>
          <w:rFonts w:eastAsia="Times New Roman" w:cs="Arial"/>
          <w:i/>
          <w:iCs/>
          <w:color w:val="000000"/>
          <w:szCs w:val="20"/>
        </w:rPr>
        <w:t>(</w:t>
      </w:r>
      <w:proofErr w:type="spellStart"/>
      <w:r w:rsidRPr="00786747">
        <w:rPr>
          <w:rFonts w:eastAsia="Times New Roman" w:cs="Arial"/>
          <w:i/>
          <w:iCs/>
          <w:color w:val="000000"/>
          <w:szCs w:val="20"/>
          <w:lang w:val="en-US"/>
        </w:rPr>
        <w:t>levetiracetam</w:t>
      </w:r>
      <w:proofErr w:type="spellEnd"/>
      <w:r w:rsidRPr="00786747">
        <w:rPr>
          <w:rFonts w:eastAsia="Times New Roman" w:cs="Arial"/>
          <w:i/>
          <w:iCs/>
          <w:color w:val="000000"/>
          <w:szCs w:val="20"/>
        </w:rPr>
        <w:t>).</w:t>
      </w:r>
    </w:p>
    <w:p w14:paraId="614984C4" w14:textId="77777777" w:rsidR="008A6AF2" w:rsidRDefault="00DD466D" w:rsidP="002C50EE">
      <w:pPr>
        <w:pStyle w:val="Heading1"/>
      </w:pPr>
      <w:r>
        <w:t>3. ЛЕКАРСТВЕНА ФОРМА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2C5C90A" w:rsidR="00395555" w:rsidRDefault="00395555" w:rsidP="00395555"/>
    <w:p w14:paraId="34798B7E"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Филмирани таблетки</w:t>
      </w:r>
    </w:p>
    <w:p w14:paraId="538FC66B" w14:textId="77777777" w:rsidR="00786747" w:rsidRPr="00786747" w:rsidRDefault="00786747" w:rsidP="00786747">
      <w:pPr>
        <w:spacing w:line="240" w:lineRule="auto"/>
        <w:rPr>
          <w:rFonts w:eastAsia="Times New Roman" w:cs="Arial"/>
          <w:i/>
          <w:iCs/>
          <w:color w:val="000000"/>
          <w:szCs w:val="20"/>
          <w:lang w:eastAsia="bg-BG"/>
        </w:rPr>
      </w:pPr>
    </w:p>
    <w:p w14:paraId="35E9342B" w14:textId="7B6457F8"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Левебон 500 </w:t>
      </w:r>
      <w:r w:rsidRPr="00786747">
        <w:rPr>
          <w:rFonts w:eastAsia="Times New Roman" w:cs="Arial"/>
          <w:i/>
          <w:iCs/>
          <w:color w:val="000000"/>
          <w:szCs w:val="20"/>
          <w:lang w:val="en-US"/>
        </w:rPr>
        <w:t>mg</w:t>
      </w:r>
      <w:r w:rsidRPr="00786747">
        <w:rPr>
          <w:rFonts w:eastAsia="Times New Roman" w:cs="Arial"/>
          <w:i/>
          <w:iCs/>
          <w:color w:val="000000"/>
          <w:szCs w:val="20"/>
          <w:lang w:val="ru-RU"/>
        </w:rPr>
        <w:t xml:space="preserve"> </w:t>
      </w:r>
      <w:r w:rsidRPr="00786747">
        <w:rPr>
          <w:rFonts w:eastAsia="Times New Roman" w:cs="Arial"/>
          <w:i/>
          <w:iCs/>
          <w:color w:val="000000"/>
          <w:szCs w:val="20"/>
          <w:lang w:eastAsia="bg-BG"/>
        </w:rPr>
        <w:t>филмирани таблетки</w:t>
      </w:r>
    </w:p>
    <w:p w14:paraId="4E8335D4"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Жълти, продълговати таблетки (16.3 х 7.6 </w:t>
      </w:r>
      <w:r w:rsidRPr="00786747">
        <w:rPr>
          <w:rFonts w:eastAsia="Times New Roman" w:cs="Arial"/>
          <w:color w:val="000000"/>
          <w:szCs w:val="20"/>
          <w:lang w:val="en-US"/>
        </w:rPr>
        <w:t>mm</w:t>
      </w:r>
      <w:r w:rsidRPr="00786747">
        <w:rPr>
          <w:rFonts w:eastAsia="Times New Roman" w:cs="Arial"/>
          <w:color w:val="000000"/>
          <w:szCs w:val="20"/>
          <w:lang w:val="ru-RU"/>
        </w:rPr>
        <w:t xml:space="preserve">) </w:t>
      </w:r>
      <w:r w:rsidRPr="00786747">
        <w:rPr>
          <w:rFonts w:eastAsia="Times New Roman" w:cs="Arial"/>
          <w:color w:val="000000"/>
          <w:szCs w:val="20"/>
          <w:lang w:eastAsia="bg-BG"/>
        </w:rPr>
        <w:t>с делителна черта от едната страна.</w:t>
      </w:r>
    </w:p>
    <w:p w14:paraId="1AB4E88D"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Таблетката може да бъде разделена на две равни дози.</w:t>
      </w:r>
    </w:p>
    <w:p w14:paraId="25D1C44C" w14:textId="77777777" w:rsidR="00786747" w:rsidRPr="00786747" w:rsidRDefault="00786747" w:rsidP="00786747">
      <w:pPr>
        <w:spacing w:line="240" w:lineRule="auto"/>
        <w:rPr>
          <w:rFonts w:eastAsia="Times New Roman" w:cs="Arial"/>
          <w:i/>
          <w:iCs/>
          <w:color w:val="000000"/>
          <w:szCs w:val="20"/>
          <w:lang w:eastAsia="bg-BG"/>
        </w:rPr>
      </w:pPr>
    </w:p>
    <w:p w14:paraId="294A173B" w14:textId="6EAE0A65"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Левебон 1000 </w:t>
      </w:r>
      <w:r w:rsidRPr="00786747">
        <w:rPr>
          <w:rFonts w:eastAsia="Times New Roman" w:cs="Arial"/>
          <w:i/>
          <w:iCs/>
          <w:color w:val="000000"/>
          <w:szCs w:val="20"/>
          <w:lang w:val="en-US"/>
        </w:rPr>
        <w:t>mg</w:t>
      </w:r>
      <w:r w:rsidRPr="00786747">
        <w:rPr>
          <w:rFonts w:eastAsia="Times New Roman" w:cs="Arial"/>
          <w:i/>
          <w:iCs/>
          <w:color w:val="000000"/>
          <w:szCs w:val="20"/>
          <w:lang w:val="ru-RU"/>
        </w:rPr>
        <w:t xml:space="preserve"> </w:t>
      </w:r>
      <w:r w:rsidRPr="00786747">
        <w:rPr>
          <w:rFonts w:eastAsia="Times New Roman" w:cs="Arial"/>
          <w:i/>
          <w:iCs/>
          <w:color w:val="000000"/>
          <w:szCs w:val="20"/>
          <w:lang w:eastAsia="bg-BG"/>
        </w:rPr>
        <w:t>филмирани таблетки</w:t>
      </w:r>
    </w:p>
    <w:p w14:paraId="1A69FA25"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Бели, продълговати таблетки (19.1 х 10.2 </w:t>
      </w:r>
      <w:r w:rsidRPr="00786747">
        <w:rPr>
          <w:rFonts w:eastAsia="Times New Roman" w:cs="Arial"/>
          <w:color w:val="000000"/>
          <w:szCs w:val="20"/>
          <w:lang w:val="en-US"/>
        </w:rPr>
        <w:t>mm</w:t>
      </w:r>
      <w:r w:rsidRPr="00786747">
        <w:rPr>
          <w:rFonts w:eastAsia="Times New Roman" w:cs="Arial"/>
          <w:color w:val="000000"/>
          <w:szCs w:val="20"/>
          <w:lang w:val="ru-RU"/>
        </w:rPr>
        <w:t xml:space="preserve">) </w:t>
      </w:r>
      <w:r w:rsidRPr="00786747">
        <w:rPr>
          <w:rFonts w:eastAsia="Times New Roman" w:cs="Arial"/>
          <w:color w:val="000000"/>
          <w:szCs w:val="20"/>
          <w:lang w:eastAsia="bg-BG"/>
        </w:rPr>
        <w:t>с делителна черта от едната страна. Таблетката може да бъде разделена на две равни дози.</w:t>
      </w:r>
    </w:p>
    <w:p w14:paraId="58BE79AB" w14:textId="77777777" w:rsidR="00786747" w:rsidRPr="00395555" w:rsidRDefault="00786747" w:rsidP="00395555"/>
    <w:p w14:paraId="7C0CA5EB" w14:textId="05C8FCE9" w:rsidR="00C0049F" w:rsidRDefault="002C50EE" w:rsidP="009F1313">
      <w:pPr>
        <w:pStyle w:val="Heading2"/>
      </w:pPr>
      <w:r>
        <w:t>4.2. Дозировка и начин на приложение</w:t>
      </w:r>
    </w:p>
    <w:p w14:paraId="0A9B34B0" w14:textId="7F4106B2" w:rsidR="00786747" w:rsidRDefault="00786747" w:rsidP="00786747"/>
    <w:p w14:paraId="279A9E93"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Левебон е показан за монотерапия при лечението на парциални пристъпи със или без вторична генерализация при възрастни и юноши над 16-годишна възраст с новодиагностицирана епилепсия.</w:t>
      </w:r>
    </w:p>
    <w:p w14:paraId="31650207" w14:textId="77777777" w:rsidR="00786747" w:rsidRPr="00786747" w:rsidRDefault="00786747" w:rsidP="00786747">
      <w:pPr>
        <w:spacing w:line="240" w:lineRule="auto"/>
        <w:rPr>
          <w:rFonts w:eastAsia="Times New Roman" w:cs="Arial"/>
          <w:color w:val="000000"/>
          <w:szCs w:val="20"/>
          <w:lang w:eastAsia="bg-BG"/>
        </w:rPr>
      </w:pPr>
    </w:p>
    <w:p w14:paraId="651958BA" w14:textId="0B17F6D5" w:rsidR="00786747" w:rsidRPr="00786747" w:rsidRDefault="00786747" w:rsidP="00786747">
      <w:pPr>
        <w:spacing w:line="240" w:lineRule="auto"/>
        <w:rPr>
          <w:rFonts w:eastAsia="Times New Roman" w:cs="Arial"/>
          <w:color w:val="000000"/>
          <w:szCs w:val="20"/>
          <w:lang w:eastAsia="bg-BG"/>
        </w:rPr>
      </w:pPr>
      <w:r w:rsidRPr="00786747">
        <w:rPr>
          <w:rFonts w:eastAsia="Times New Roman" w:cs="Arial"/>
          <w:color w:val="000000"/>
          <w:szCs w:val="20"/>
          <w:lang w:eastAsia="bg-BG"/>
        </w:rPr>
        <w:t>Левебон е показан за допълваща терапия</w:t>
      </w:r>
    </w:p>
    <w:p w14:paraId="40881CFF" w14:textId="77777777" w:rsidR="00786747" w:rsidRPr="00786747" w:rsidRDefault="00786747" w:rsidP="00786747">
      <w:pPr>
        <w:pStyle w:val="ListParagraph"/>
        <w:numPr>
          <w:ilvl w:val="0"/>
          <w:numId w:val="32"/>
        </w:numPr>
        <w:spacing w:line="240" w:lineRule="auto"/>
        <w:rPr>
          <w:rFonts w:eastAsia="Times New Roman" w:cs="Arial"/>
          <w:color w:val="000000"/>
          <w:szCs w:val="20"/>
          <w:lang w:eastAsia="bg-BG"/>
        </w:rPr>
      </w:pPr>
      <w:r w:rsidRPr="00786747">
        <w:rPr>
          <w:rFonts w:eastAsia="Times New Roman" w:cs="Arial"/>
          <w:color w:val="000000"/>
          <w:szCs w:val="20"/>
          <w:lang w:eastAsia="bg-BG"/>
        </w:rPr>
        <w:t xml:space="preserve">при лечение на парциални пристъпи със или без вторична генерализация при възрастни, деца и новородени над 1-месечна възраст с </w:t>
      </w:r>
      <w:r w:rsidRPr="00786747">
        <w:rPr>
          <w:rFonts w:eastAsia="Times New Roman" w:cs="Arial"/>
          <w:i/>
          <w:iCs/>
          <w:color w:val="000000"/>
          <w:szCs w:val="20"/>
          <w:lang w:eastAsia="bg-BG"/>
        </w:rPr>
        <w:t>епилепсия.</w:t>
      </w:r>
    </w:p>
    <w:p w14:paraId="40CD3030" w14:textId="77777777" w:rsidR="00786747" w:rsidRPr="00786747" w:rsidRDefault="00786747" w:rsidP="00786747">
      <w:pPr>
        <w:pStyle w:val="ListParagraph"/>
        <w:numPr>
          <w:ilvl w:val="0"/>
          <w:numId w:val="32"/>
        </w:numPr>
        <w:spacing w:line="240" w:lineRule="auto"/>
        <w:rPr>
          <w:rFonts w:eastAsia="Times New Roman" w:cs="Arial"/>
          <w:color w:val="000000"/>
          <w:szCs w:val="20"/>
          <w:lang w:eastAsia="bg-BG"/>
        </w:rPr>
      </w:pPr>
      <w:r w:rsidRPr="00786747">
        <w:rPr>
          <w:rFonts w:eastAsia="Times New Roman" w:cs="Arial"/>
          <w:color w:val="000000"/>
          <w:szCs w:val="20"/>
          <w:lang w:eastAsia="bg-BG"/>
        </w:rPr>
        <w:t>при лечение на миоклонични пристъпи при възрастни и юноши над 12-годишна възраст с ювенилна миоклонична епилепсия.</w:t>
      </w:r>
    </w:p>
    <w:p w14:paraId="7CAAD4CB" w14:textId="105DC41F" w:rsidR="00786747" w:rsidRPr="00786747" w:rsidRDefault="00786747" w:rsidP="00786747">
      <w:pPr>
        <w:pStyle w:val="ListParagraph"/>
        <w:numPr>
          <w:ilvl w:val="0"/>
          <w:numId w:val="32"/>
        </w:numPr>
        <w:rPr>
          <w:rFonts w:cs="Arial"/>
          <w:sz w:val="24"/>
        </w:rPr>
      </w:pPr>
      <w:r w:rsidRPr="00786747">
        <w:rPr>
          <w:rFonts w:eastAsia="Times New Roman" w:cs="Arial"/>
          <w:color w:val="000000"/>
          <w:szCs w:val="20"/>
          <w:lang w:eastAsia="bg-BG"/>
        </w:rPr>
        <w:lastRenderedPageBreak/>
        <w:t>при лечение на първично генерализирани тонично-клонични пристъпи при възрастни и юноши над 12-годишна възраст с идиопатична генерализирана епилепсия.</w:t>
      </w:r>
    </w:p>
    <w:p w14:paraId="267F857A" w14:textId="42BB941A" w:rsidR="00786747" w:rsidRDefault="00786747" w:rsidP="00786747"/>
    <w:p w14:paraId="2B8E624C" w14:textId="74C153A7" w:rsidR="00786747" w:rsidRPr="00786747" w:rsidRDefault="00786747" w:rsidP="00786747">
      <w:pPr>
        <w:pStyle w:val="Heading3"/>
        <w:rPr>
          <w:u w:val="single"/>
        </w:rPr>
      </w:pPr>
      <w:r w:rsidRPr="00786747">
        <w:rPr>
          <w:u w:val="single"/>
        </w:rPr>
        <w:t>Дозировка</w:t>
      </w:r>
    </w:p>
    <w:p w14:paraId="37B3337E" w14:textId="70CB2C22" w:rsidR="00786747" w:rsidRPr="00786747" w:rsidRDefault="00786747" w:rsidP="00786747">
      <w:pPr>
        <w:rPr>
          <w:rFonts w:cs="Arial"/>
          <w:szCs w:val="20"/>
        </w:rPr>
      </w:pPr>
    </w:p>
    <w:p w14:paraId="43E25EA9" w14:textId="77777777"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Монотерапия при възрастни и юноши над 16-годишна възраст</w:t>
      </w:r>
    </w:p>
    <w:p w14:paraId="722A601B" w14:textId="77777777" w:rsidR="00786747" w:rsidRPr="00786747" w:rsidRDefault="00786747" w:rsidP="00786747">
      <w:pPr>
        <w:spacing w:line="240" w:lineRule="auto"/>
        <w:rPr>
          <w:rFonts w:eastAsia="Times New Roman" w:cs="Arial"/>
          <w:color w:val="000000"/>
          <w:szCs w:val="20"/>
          <w:lang w:eastAsia="bg-BG"/>
        </w:rPr>
      </w:pPr>
    </w:p>
    <w:p w14:paraId="5E5645F8" w14:textId="47931F73"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Препоръчителната начална доза е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която след две седмици трябва да се повиши до първоначалната терапевтична доза от 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След това дозата може да се повишава с по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на всеки две седмици в зависимост от клиничния отговор. Максималната доза е 1500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два пъти дневно.</w:t>
      </w:r>
    </w:p>
    <w:p w14:paraId="53079778" w14:textId="77777777" w:rsidR="00786747" w:rsidRPr="00786747" w:rsidRDefault="00786747" w:rsidP="00786747">
      <w:pPr>
        <w:spacing w:line="240" w:lineRule="auto"/>
        <w:rPr>
          <w:rFonts w:eastAsia="Times New Roman" w:cs="Arial"/>
          <w:i/>
          <w:iCs/>
          <w:color w:val="000000"/>
          <w:szCs w:val="20"/>
          <w:lang w:eastAsia="bg-BG"/>
        </w:rPr>
      </w:pPr>
    </w:p>
    <w:p w14:paraId="2EC72D5C" w14:textId="60630D71"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Допълващо лечение при възрастни (&gt;18 години) и юноши (12 до 17 години) с тегло 50 </w:t>
      </w:r>
      <w:r w:rsidRPr="00786747">
        <w:rPr>
          <w:rFonts w:eastAsia="Times New Roman" w:cs="Arial"/>
          <w:i/>
          <w:iCs/>
          <w:color w:val="000000"/>
          <w:szCs w:val="20"/>
          <w:lang w:val="en-US"/>
        </w:rPr>
        <w:t>kg</w:t>
      </w:r>
      <w:r w:rsidRPr="00786747">
        <w:rPr>
          <w:rFonts w:eastAsia="Times New Roman" w:cs="Arial"/>
          <w:i/>
          <w:iCs/>
          <w:color w:val="000000"/>
          <w:szCs w:val="20"/>
          <w:lang w:val="ru-RU"/>
        </w:rPr>
        <w:t xml:space="preserve"> </w:t>
      </w:r>
      <w:r w:rsidRPr="00786747">
        <w:rPr>
          <w:rFonts w:eastAsia="Times New Roman" w:cs="Arial"/>
          <w:i/>
          <w:iCs/>
          <w:color w:val="000000"/>
          <w:szCs w:val="20"/>
          <w:lang w:eastAsia="bg-BG"/>
        </w:rPr>
        <w:t>или повече</w:t>
      </w:r>
    </w:p>
    <w:p w14:paraId="7DF1FD66" w14:textId="77777777" w:rsidR="00786747" w:rsidRPr="00786747" w:rsidRDefault="00786747" w:rsidP="00786747">
      <w:pPr>
        <w:spacing w:line="240" w:lineRule="auto"/>
        <w:rPr>
          <w:rFonts w:eastAsia="Times New Roman" w:cs="Arial"/>
          <w:color w:val="000000"/>
          <w:szCs w:val="20"/>
          <w:lang w:eastAsia="bg-BG"/>
        </w:rPr>
      </w:pPr>
    </w:p>
    <w:p w14:paraId="2A23FC56" w14:textId="654AB441"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Началната терапевтична доза е 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два пъти дневно. Тази доза може да бъде започната от първия ден на лечението.</w:t>
      </w:r>
    </w:p>
    <w:p w14:paraId="419447E2" w14:textId="166FF6FD"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В зависимост от клиничния отговор и поносимост, дневната доза може да се увеличи до 1500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Промени в дозата, свързани с увеличаване или намаляване, могат да се правят на всеки 2 до 4 седмици с 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два пъти дневно.</w:t>
      </w:r>
    </w:p>
    <w:p w14:paraId="1D848991" w14:textId="77777777" w:rsidR="00786747" w:rsidRPr="00786747" w:rsidRDefault="00786747" w:rsidP="00786747">
      <w:pPr>
        <w:spacing w:line="240" w:lineRule="auto"/>
        <w:rPr>
          <w:rFonts w:eastAsia="Times New Roman" w:cs="Arial"/>
          <w:color w:val="000000"/>
          <w:szCs w:val="20"/>
          <w:u w:val="single"/>
          <w:lang w:eastAsia="bg-BG"/>
        </w:rPr>
      </w:pPr>
    </w:p>
    <w:p w14:paraId="70967E5E" w14:textId="526F93C3"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Спиране на лечението</w:t>
      </w:r>
    </w:p>
    <w:p w14:paraId="587AD11C"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Ако се налага преустановяване на лечението с леветирацетам, се препоръчва това да става постепенно (напр. при възрастни и юноши над 50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дозата се намалява с 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на всеки 2 до 4 седмици; при новородени, деца и юноши с тегло под 50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намаляването на дозата не трябва да е с повече от 10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на всеки две седмици; при новородени (под 6 месеца): намаляването на дозата не трябва да е с повече от 7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два пъти дневно на всеки две седмици).</w:t>
      </w:r>
    </w:p>
    <w:p w14:paraId="79ABE4A5" w14:textId="77777777" w:rsidR="00786747" w:rsidRPr="00786747" w:rsidRDefault="00786747" w:rsidP="00786747">
      <w:pPr>
        <w:spacing w:line="240" w:lineRule="auto"/>
        <w:rPr>
          <w:rFonts w:eastAsia="Times New Roman" w:cs="Arial"/>
          <w:color w:val="000000"/>
          <w:szCs w:val="20"/>
          <w:u w:val="single"/>
          <w:lang w:eastAsia="bg-BG"/>
        </w:rPr>
      </w:pPr>
    </w:p>
    <w:p w14:paraId="7AB50DD6" w14:textId="4F332F56"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Специални популации</w:t>
      </w:r>
    </w:p>
    <w:p w14:paraId="1B0CA56E" w14:textId="77777777" w:rsidR="00786747" w:rsidRPr="00786747" w:rsidRDefault="00786747" w:rsidP="00786747">
      <w:pPr>
        <w:spacing w:line="240" w:lineRule="auto"/>
        <w:rPr>
          <w:rFonts w:eastAsia="Times New Roman" w:cs="Arial"/>
          <w:i/>
          <w:iCs/>
          <w:color w:val="000000"/>
          <w:szCs w:val="20"/>
          <w:lang w:val="en-US" w:eastAsia="bg-BG"/>
        </w:rPr>
      </w:pPr>
    </w:p>
    <w:p w14:paraId="0EE0D5D0" w14:textId="068E457E"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Пациенти в старческа възраст (65 години и по-възрастни)</w:t>
      </w:r>
    </w:p>
    <w:p w14:paraId="55E44741" w14:textId="77777777" w:rsidR="00786747" w:rsidRPr="00786747" w:rsidRDefault="00786747" w:rsidP="00786747">
      <w:pPr>
        <w:spacing w:line="240" w:lineRule="auto"/>
        <w:rPr>
          <w:rFonts w:eastAsia="Times New Roman" w:cs="Arial"/>
          <w:color w:val="000000"/>
          <w:szCs w:val="20"/>
          <w:lang w:eastAsia="bg-BG"/>
        </w:rPr>
      </w:pPr>
    </w:p>
    <w:p w14:paraId="627744D5" w14:textId="01BE8F5B"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пациенти в старческа възраст с нарушена бъбречна функция се препоръчва адаптиране на дозата (вж.. по-долу „Бъбречно увреждане”).</w:t>
      </w:r>
    </w:p>
    <w:p w14:paraId="4326505A" w14:textId="77777777" w:rsidR="00786747" w:rsidRPr="00786747" w:rsidRDefault="00786747" w:rsidP="00786747">
      <w:pPr>
        <w:spacing w:line="240" w:lineRule="auto"/>
        <w:rPr>
          <w:rFonts w:eastAsia="Times New Roman" w:cs="Arial"/>
          <w:i/>
          <w:iCs/>
          <w:color w:val="000000"/>
          <w:szCs w:val="20"/>
          <w:lang w:eastAsia="bg-BG"/>
        </w:rPr>
      </w:pPr>
    </w:p>
    <w:p w14:paraId="14988908" w14:textId="1CE9747B"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Бъбречно увреждане</w:t>
      </w:r>
    </w:p>
    <w:p w14:paraId="0FE07F5B" w14:textId="77777777" w:rsidR="00786747" w:rsidRPr="00786747" w:rsidRDefault="00786747" w:rsidP="00786747">
      <w:pPr>
        <w:spacing w:line="240" w:lineRule="auto"/>
        <w:rPr>
          <w:rFonts w:eastAsia="Times New Roman" w:cs="Arial"/>
          <w:color w:val="000000"/>
          <w:szCs w:val="20"/>
          <w:lang w:eastAsia="bg-BG"/>
        </w:rPr>
      </w:pPr>
    </w:p>
    <w:p w14:paraId="3ACDAFBA" w14:textId="0D123DFB"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Дневната доза трябва да се индивидуализира в зависимост от бъбречната функция.</w:t>
      </w:r>
    </w:p>
    <w:p w14:paraId="0BAD2933" w14:textId="77777777" w:rsidR="00786747" w:rsidRPr="00786747" w:rsidRDefault="00786747" w:rsidP="00786747">
      <w:pPr>
        <w:spacing w:line="240" w:lineRule="auto"/>
        <w:rPr>
          <w:rFonts w:eastAsia="Times New Roman" w:cs="Arial"/>
          <w:color w:val="000000"/>
          <w:szCs w:val="20"/>
          <w:lang w:eastAsia="bg-BG"/>
        </w:rPr>
      </w:pPr>
    </w:p>
    <w:p w14:paraId="7FDB58C5" w14:textId="2FE552FB"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При възрастни пациенти използвайте приложената по-долу таблица за адаптиране на дозата. За използване на тази таблица за дозиране е необходимо да се знае креатининовия клирънса </w:t>
      </w:r>
      <w:r w:rsidRPr="00786747">
        <w:rPr>
          <w:rFonts w:eastAsia="Times New Roman" w:cs="Arial"/>
          <w:color w:val="000000"/>
          <w:szCs w:val="20"/>
          <w:lang w:val="ru-RU"/>
        </w:rPr>
        <w:t>(</w:t>
      </w:r>
      <w:proofErr w:type="spellStart"/>
      <w:r w:rsidRPr="00786747">
        <w:rPr>
          <w:rFonts w:eastAsia="Times New Roman" w:cs="Arial"/>
          <w:color w:val="000000"/>
          <w:szCs w:val="20"/>
          <w:lang w:val="en-US"/>
        </w:rPr>
        <w:t>CLcr</w:t>
      </w:r>
      <w:proofErr w:type="spellEnd"/>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на пациента в </w:t>
      </w:r>
      <w:r w:rsidRPr="00786747">
        <w:rPr>
          <w:rFonts w:eastAsia="Times New Roman" w:cs="Arial"/>
          <w:color w:val="000000"/>
          <w:szCs w:val="20"/>
          <w:lang w:val="en-US"/>
        </w:rPr>
        <w:t>ml</w:t>
      </w:r>
      <w:r w:rsidRPr="00786747">
        <w:rPr>
          <w:rFonts w:eastAsia="Times New Roman" w:cs="Arial"/>
          <w:color w:val="000000"/>
          <w:szCs w:val="20"/>
          <w:lang w:val="ru-RU"/>
        </w:rPr>
        <w:t>/</w:t>
      </w:r>
      <w:r w:rsidRPr="00786747">
        <w:rPr>
          <w:rFonts w:eastAsia="Times New Roman" w:cs="Arial"/>
          <w:color w:val="000000"/>
          <w:szCs w:val="20"/>
          <w:lang w:val="en-US"/>
        </w:rPr>
        <w:t>min</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При възрастни и юноши с тегло над 50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proofErr w:type="spellStart"/>
      <w:r w:rsidRPr="00786747">
        <w:rPr>
          <w:rFonts w:eastAsia="Times New Roman" w:cs="Arial"/>
          <w:color w:val="000000"/>
          <w:szCs w:val="20"/>
          <w:lang w:val="en-US"/>
        </w:rPr>
        <w:t>CLcr</w:t>
      </w:r>
      <w:proofErr w:type="spellEnd"/>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в </w:t>
      </w:r>
      <w:r w:rsidRPr="00786747">
        <w:rPr>
          <w:rFonts w:eastAsia="Times New Roman" w:cs="Arial"/>
          <w:color w:val="000000"/>
          <w:szCs w:val="20"/>
          <w:lang w:val="en-US"/>
        </w:rPr>
        <w:t>ml</w:t>
      </w:r>
      <w:r w:rsidRPr="00786747">
        <w:rPr>
          <w:rFonts w:eastAsia="Times New Roman" w:cs="Arial"/>
          <w:color w:val="000000"/>
          <w:szCs w:val="20"/>
          <w:lang w:val="ru-RU"/>
        </w:rPr>
        <w:t>/</w:t>
      </w:r>
      <w:r w:rsidRPr="00786747">
        <w:rPr>
          <w:rFonts w:eastAsia="Times New Roman" w:cs="Arial"/>
          <w:color w:val="000000"/>
          <w:szCs w:val="20"/>
          <w:lang w:val="en-US"/>
        </w:rPr>
        <w:t>min</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може да се определи от серумния креатинин </w:t>
      </w:r>
      <w:r w:rsidRPr="00786747">
        <w:rPr>
          <w:rFonts w:eastAsia="Times New Roman" w:cs="Arial"/>
          <w:color w:val="000000"/>
          <w:szCs w:val="20"/>
          <w:lang w:val="ru-RU"/>
        </w:rPr>
        <w:t>(</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dl</w:t>
      </w:r>
      <w:r w:rsidRPr="00786747">
        <w:rPr>
          <w:rFonts w:eastAsia="Times New Roman" w:cs="Arial"/>
          <w:color w:val="000000"/>
          <w:szCs w:val="20"/>
          <w:lang w:val="ru-RU"/>
        </w:rPr>
        <w:t xml:space="preserve">) </w:t>
      </w:r>
      <w:r w:rsidRPr="00786747">
        <w:rPr>
          <w:rFonts w:eastAsia="Times New Roman" w:cs="Arial"/>
          <w:color w:val="000000"/>
          <w:szCs w:val="20"/>
          <w:lang w:eastAsia="bg-BG"/>
        </w:rPr>
        <w:t>чрез следната формула:</w:t>
      </w:r>
    </w:p>
    <w:p w14:paraId="3D68F981" w14:textId="624B7AB4" w:rsidR="00786747" w:rsidRDefault="00786747" w:rsidP="00786747"/>
    <w:p w14:paraId="04AF2E60" w14:textId="1EC3D8DE" w:rsidR="00786747" w:rsidRDefault="00786747" w:rsidP="00786747">
      <w:r>
        <w:rPr>
          <w:noProof/>
          <w:lang w:val="en-US"/>
        </w:rPr>
        <w:lastRenderedPageBreak/>
        <w:drawing>
          <wp:inline distT="0" distB="0" distL="0" distR="0" wp14:anchorId="48AE467D" wp14:editId="72B82DD9">
            <wp:extent cx="594360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56260"/>
                    </a:xfrm>
                    <a:prstGeom prst="rect">
                      <a:avLst/>
                    </a:prstGeom>
                  </pic:spPr>
                </pic:pic>
              </a:graphicData>
            </a:graphic>
          </wp:inline>
        </w:drawing>
      </w:r>
    </w:p>
    <w:p w14:paraId="5A637A03" w14:textId="6C8EC587" w:rsidR="00786747" w:rsidRDefault="00786747" w:rsidP="00786747"/>
    <w:p w14:paraId="3C3CC248" w14:textId="6521779C" w:rsidR="00786747" w:rsidRDefault="00786747" w:rsidP="00786747">
      <w:pPr>
        <w:rPr>
          <w:szCs w:val="20"/>
        </w:rPr>
      </w:pPr>
      <w:r w:rsidRPr="00786747">
        <w:rPr>
          <w:szCs w:val="20"/>
        </w:rPr>
        <w:t xml:space="preserve">След това </w:t>
      </w:r>
      <w:proofErr w:type="spellStart"/>
      <w:r w:rsidRPr="00786747">
        <w:rPr>
          <w:szCs w:val="20"/>
          <w:lang w:val="en-US"/>
        </w:rPr>
        <w:t>CLcr</w:t>
      </w:r>
      <w:proofErr w:type="spellEnd"/>
      <w:r w:rsidRPr="00786747">
        <w:rPr>
          <w:szCs w:val="20"/>
          <w:lang w:val="ru-RU"/>
        </w:rPr>
        <w:t xml:space="preserve"> </w:t>
      </w:r>
      <w:r w:rsidRPr="00786747">
        <w:rPr>
          <w:szCs w:val="20"/>
        </w:rPr>
        <w:t>се адаптира спрямо телесната повърхност (ТП) както следва:</w:t>
      </w:r>
    </w:p>
    <w:p w14:paraId="4FF67FED" w14:textId="3E968249" w:rsidR="00786747" w:rsidRDefault="00786747" w:rsidP="00786747">
      <w:pPr>
        <w:rPr>
          <w:szCs w:val="20"/>
        </w:rPr>
      </w:pPr>
    </w:p>
    <w:p w14:paraId="2F110688" w14:textId="1F907EE4" w:rsidR="00786747" w:rsidRDefault="00786747" w:rsidP="00786747">
      <w:pPr>
        <w:rPr>
          <w:sz w:val="24"/>
        </w:rPr>
      </w:pPr>
      <w:r>
        <w:rPr>
          <w:noProof/>
          <w:sz w:val="24"/>
          <w:lang w:val="en-US"/>
        </w:rPr>
        <w:drawing>
          <wp:inline distT="0" distB="0" distL="0" distR="0" wp14:anchorId="7D4F36E8" wp14:editId="5F42C51B">
            <wp:extent cx="5943600" cy="68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80720"/>
                    </a:xfrm>
                    <a:prstGeom prst="rect">
                      <a:avLst/>
                    </a:prstGeom>
                  </pic:spPr>
                </pic:pic>
              </a:graphicData>
            </a:graphic>
          </wp:inline>
        </w:drawing>
      </w:r>
    </w:p>
    <w:p w14:paraId="0560C1C1" w14:textId="14063423" w:rsidR="00786747" w:rsidRDefault="00786747" w:rsidP="00786747">
      <w:pPr>
        <w:rPr>
          <w:sz w:val="24"/>
        </w:rPr>
      </w:pPr>
    </w:p>
    <w:p w14:paraId="4D0AE33A" w14:textId="1059E719" w:rsidR="00786747" w:rsidRDefault="00786747" w:rsidP="00786747">
      <w:pPr>
        <w:rPr>
          <w:sz w:val="20"/>
          <w:szCs w:val="20"/>
        </w:rPr>
      </w:pPr>
      <w:r>
        <w:rPr>
          <w:sz w:val="20"/>
          <w:szCs w:val="20"/>
        </w:rPr>
        <w:t xml:space="preserve">Адаптиране на дозата при възрастни и юноши с тегло над 50 </w:t>
      </w:r>
      <w:r>
        <w:rPr>
          <w:sz w:val="20"/>
          <w:szCs w:val="20"/>
          <w:lang w:val="en-US"/>
        </w:rPr>
        <w:t>kg</w:t>
      </w:r>
      <w:r w:rsidRPr="00786747">
        <w:rPr>
          <w:sz w:val="20"/>
          <w:szCs w:val="20"/>
          <w:lang w:val="ru-RU"/>
        </w:rPr>
        <w:t xml:space="preserve"> </w:t>
      </w:r>
      <w:r>
        <w:rPr>
          <w:sz w:val="20"/>
          <w:szCs w:val="20"/>
        </w:rPr>
        <w:t>с нарушена бъбречна функция:</w:t>
      </w:r>
    </w:p>
    <w:tbl>
      <w:tblPr>
        <w:tblStyle w:val="TableGrid"/>
        <w:tblW w:w="0" w:type="auto"/>
        <w:tblLook w:val="04A0" w:firstRow="1" w:lastRow="0" w:firstColumn="1" w:lastColumn="0" w:noHBand="0" w:noVBand="1"/>
      </w:tblPr>
      <w:tblGrid>
        <w:gridCol w:w="3132"/>
        <w:gridCol w:w="3115"/>
        <w:gridCol w:w="3103"/>
      </w:tblGrid>
      <w:tr w:rsidR="00786747" w14:paraId="0CF3FF7F" w14:textId="77777777" w:rsidTr="00786747">
        <w:tc>
          <w:tcPr>
            <w:tcW w:w="3192" w:type="dxa"/>
          </w:tcPr>
          <w:p w14:paraId="547536F6" w14:textId="093BAD5C" w:rsidR="00786747" w:rsidRPr="00786747" w:rsidRDefault="00786747" w:rsidP="00786747">
            <w:r w:rsidRPr="00786747">
              <w:rPr>
                <w:szCs w:val="20"/>
              </w:rPr>
              <w:t>Група</w:t>
            </w:r>
          </w:p>
        </w:tc>
        <w:tc>
          <w:tcPr>
            <w:tcW w:w="3192" w:type="dxa"/>
          </w:tcPr>
          <w:p w14:paraId="2FCA6398" w14:textId="517661CF" w:rsidR="00786747" w:rsidRPr="00786747" w:rsidRDefault="00786747" w:rsidP="00786747">
            <w:r w:rsidRPr="00786747">
              <w:rPr>
                <w:szCs w:val="20"/>
              </w:rPr>
              <w:t xml:space="preserve">Креатининов клирьнс </w:t>
            </w:r>
            <w:r w:rsidRPr="00786747">
              <w:rPr>
                <w:szCs w:val="20"/>
                <w:lang w:val="ru-RU"/>
              </w:rPr>
              <w:t>(</w:t>
            </w:r>
            <w:r w:rsidRPr="00786747">
              <w:rPr>
                <w:szCs w:val="20"/>
                <w:lang w:val="en-US"/>
              </w:rPr>
              <w:t>ml</w:t>
            </w:r>
            <w:r w:rsidRPr="00786747">
              <w:rPr>
                <w:szCs w:val="20"/>
                <w:lang w:val="ru-RU"/>
              </w:rPr>
              <w:t>/</w:t>
            </w:r>
            <w:r w:rsidRPr="00786747">
              <w:rPr>
                <w:szCs w:val="20"/>
                <w:lang w:val="en-US"/>
              </w:rPr>
              <w:t>min</w:t>
            </w:r>
            <w:r w:rsidRPr="00786747">
              <w:rPr>
                <w:szCs w:val="20"/>
                <w:lang w:val="ru-RU"/>
              </w:rPr>
              <w:t>/</w:t>
            </w:r>
            <w:r w:rsidRPr="00786747">
              <w:rPr>
                <w:szCs w:val="20"/>
              </w:rPr>
              <w:t xml:space="preserve">1,73 </w:t>
            </w:r>
            <w:r w:rsidRPr="00786747">
              <w:rPr>
                <w:szCs w:val="20"/>
                <w:lang w:val="en-US"/>
              </w:rPr>
              <w:t>m</w:t>
            </w:r>
            <w:r w:rsidRPr="00786747">
              <w:rPr>
                <w:szCs w:val="20"/>
                <w:vertAlign w:val="superscript"/>
                <w:lang w:val="ru-RU"/>
              </w:rPr>
              <w:t>2</w:t>
            </w:r>
            <w:r w:rsidRPr="00786747">
              <w:rPr>
                <w:szCs w:val="20"/>
                <w:lang w:val="ru-RU"/>
              </w:rPr>
              <w:t>)</w:t>
            </w:r>
          </w:p>
        </w:tc>
        <w:tc>
          <w:tcPr>
            <w:tcW w:w="3192" w:type="dxa"/>
          </w:tcPr>
          <w:p w14:paraId="025B8B19" w14:textId="459335AA" w:rsidR="00786747" w:rsidRPr="00786747" w:rsidRDefault="00786747" w:rsidP="00786747">
            <w:r w:rsidRPr="00786747">
              <w:rPr>
                <w:szCs w:val="20"/>
              </w:rPr>
              <w:t>Доза и честота на</w:t>
            </w:r>
            <w:r w:rsidRPr="00786747">
              <w:rPr>
                <w:szCs w:val="20"/>
                <w:lang w:val="ru-RU"/>
              </w:rPr>
              <w:t xml:space="preserve"> </w:t>
            </w:r>
            <w:r w:rsidRPr="00786747">
              <w:rPr>
                <w:szCs w:val="20"/>
              </w:rPr>
              <w:t>прилагано</w:t>
            </w:r>
          </w:p>
        </w:tc>
      </w:tr>
      <w:tr w:rsidR="00786747" w14:paraId="3C91B749" w14:textId="77777777" w:rsidTr="00786747">
        <w:tc>
          <w:tcPr>
            <w:tcW w:w="3192" w:type="dxa"/>
          </w:tcPr>
          <w:p w14:paraId="079D7493" w14:textId="3B7E9113" w:rsidR="00786747" w:rsidRPr="00786747" w:rsidRDefault="00786747" w:rsidP="00786747">
            <w:r w:rsidRPr="00786747">
              <w:rPr>
                <w:szCs w:val="20"/>
              </w:rPr>
              <w:t>Нормална</w:t>
            </w:r>
          </w:p>
        </w:tc>
        <w:tc>
          <w:tcPr>
            <w:tcW w:w="3192" w:type="dxa"/>
          </w:tcPr>
          <w:p w14:paraId="3E8DCFCF" w14:textId="01906956" w:rsidR="00786747" w:rsidRPr="00786747" w:rsidRDefault="00786747" w:rsidP="00786747">
            <w:r w:rsidRPr="00786747">
              <w:rPr>
                <w:szCs w:val="20"/>
              </w:rPr>
              <w:t>&gt;80</w:t>
            </w:r>
          </w:p>
        </w:tc>
        <w:tc>
          <w:tcPr>
            <w:tcW w:w="3192" w:type="dxa"/>
          </w:tcPr>
          <w:p w14:paraId="616A0D6B" w14:textId="1C25BD25" w:rsidR="00786747" w:rsidRPr="00786747" w:rsidRDefault="00786747" w:rsidP="00786747">
            <w:r w:rsidRPr="00786747">
              <w:rPr>
                <w:szCs w:val="20"/>
              </w:rPr>
              <w:t xml:space="preserve">500 до 1 500 </w:t>
            </w:r>
            <w:r w:rsidRPr="00786747">
              <w:rPr>
                <w:szCs w:val="20"/>
                <w:lang w:val="en-US"/>
              </w:rPr>
              <w:t>mg</w:t>
            </w:r>
            <w:r w:rsidRPr="00786747">
              <w:rPr>
                <w:szCs w:val="20"/>
                <w:lang w:val="ru-RU"/>
              </w:rPr>
              <w:t xml:space="preserve"> </w:t>
            </w:r>
            <w:r w:rsidRPr="00786747">
              <w:rPr>
                <w:szCs w:val="20"/>
              </w:rPr>
              <w:t>два пъти дневно</w:t>
            </w:r>
          </w:p>
        </w:tc>
      </w:tr>
      <w:tr w:rsidR="00786747" w14:paraId="11D04014" w14:textId="77777777" w:rsidTr="00786747">
        <w:tc>
          <w:tcPr>
            <w:tcW w:w="3192" w:type="dxa"/>
          </w:tcPr>
          <w:p w14:paraId="3D313733" w14:textId="35325299" w:rsidR="00786747" w:rsidRPr="00786747" w:rsidRDefault="00786747" w:rsidP="00786747">
            <w:r w:rsidRPr="00786747">
              <w:rPr>
                <w:szCs w:val="20"/>
              </w:rPr>
              <w:t>Лека</w:t>
            </w:r>
          </w:p>
        </w:tc>
        <w:tc>
          <w:tcPr>
            <w:tcW w:w="3192" w:type="dxa"/>
          </w:tcPr>
          <w:p w14:paraId="241F648A" w14:textId="669799D0" w:rsidR="00786747" w:rsidRPr="00786747" w:rsidRDefault="00786747" w:rsidP="00786747">
            <w:r w:rsidRPr="00786747">
              <w:rPr>
                <w:szCs w:val="20"/>
              </w:rPr>
              <w:t>50-79</w:t>
            </w:r>
          </w:p>
        </w:tc>
        <w:tc>
          <w:tcPr>
            <w:tcW w:w="3192" w:type="dxa"/>
          </w:tcPr>
          <w:p w14:paraId="6360C0C5" w14:textId="60F49F6C" w:rsidR="00786747" w:rsidRPr="00786747" w:rsidRDefault="00786747" w:rsidP="00786747">
            <w:r w:rsidRPr="00786747">
              <w:rPr>
                <w:szCs w:val="20"/>
              </w:rPr>
              <w:t xml:space="preserve">500 до 1 000 </w:t>
            </w:r>
            <w:r w:rsidRPr="00786747">
              <w:rPr>
                <w:szCs w:val="20"/>
                <w:lang w:val="en-US"/>
              </w:rPr>
              <w:t>mg</w:t>
            </w:r>
            <w:r w:rsidRPr="00786747">
              <w:rPr>
                <w:szCs w:val="20"/>
                <w:lang w:val="ru-RU"/>
              </w:rPr>
              <w:t xml:space="preserve"> </w:t>
            </w:r>
            <w:r w:rsidRPr="00786747">
              <w:rPr>
                <w:szCs w:val="20"/>
              </w:rPr>
              <w:t>два пъти дневно</w:t>
            </w:r>
          </w:p>
        </w:tc>
      </w:tr>
      <w:tr w:rsidR="00786747" w14:paraId="12D2775C" w14:textId="77777777" w:rsidTr="00786747">
        <w:tc>
          <w:tcPr>
            <w:tcW w:w="3192" w:type="dxa"/>
          </w:tcPr>
          <w:p w14:paraId="7D36F210" w14:textId="2394CA6D" w:rsidR="00786747" w:rsidRPr="00786747" w:rsidRDefault="00786747" w:rsidP="00786747">
            <w:r w:rsidRPr="00786747">
              <w:rPr>
                <w:szCs w:val="20"/>
              </w:rPr>
              <w:t>Умерена</w:t>
            </w:r>
          </w:p>
        </w:tc>
        <w:tc>
          <w:tcPr>
            <w:tcW w:w="3192" w:type="dxa"/>
          </w:tcPr>
          <w:p w14:paraId="3FF155DC" w14:textId="1E26896C" w:rsidR="00786747" w:rsidRPr="00786747" w:rsidRDefault="00786747" w:rsidP="00786747">
            <w:r w:rsidRPr="00786747">
              <w:rPr>
                <w:szCs w:val="20"/>
              </w:rPr>
              <w:t>30-49</w:t>
            </w:r>
          </w:p>
        </w:tc>
        <w:tc>
          <w:tcPr>
            <w:tcW w:w="3192" w:type="dxa"/>
          </w:tcPr>
          <w:p w14:paraId="2877B11D" w14:textId="4772B532" w:rsidR="00786747" w:rsidRPr="00786747" w:rsidRDefault="00786747" w:rsidP="00786747">
            <w:r w:rsidRPr="00786747">
              <w:rPr>
                <w:szCs w:val="20"/>
              </w:rPr>
              <w:t xml:space="preserve">250 до 750 </w:t>
            </w:r>
            <w:r w:rsidRPr="00786747">
              <w:rPr>
                <w:szCs w:val="20"/>
                <w:lang w:val="en-US"/>
              </w:rPr>
              <w:t>mg</w:t>
            </w:r>
            <w:r w:rsidRPr="00786747">
              <w:rPr>
                <w:szCs w:val="20"/>
                <w:lang w:val="ru-RU"/>
              </w:rPr>
              <w:t xml:space="preserve"> </w:t>
            </w:r>
            <w:r w:rsidRPr="00786747">
              <w:rPr>
                <w:szCs w:val="20"/>
              </w:rPr>
              <w:t>два пъти дневно</w:t>
            </w:r>
          </w:p>
        </w:tc>
      </w:tr>
      <w:tr w:rsidR="00786747" w14:paraId="0633E798" w14:textId="77777777" w:rsidTr="00786747">
        <w:tc>
          <w:tcPr>
            <w:tcW w:w="3192" w:type="dxa"/>
          </w:tcPr>
          <w:p w14:paraId="2F39C563" w14:textId="169E2B83" w:rsidR="00786747" w:rsidRPr="00786747" w:rsidRDefault="00786747" w:rsidP="00786747">
            <w:r w:rsidRPr="00786747">
              <w:rPr>
                <w:szCs w:val="20"/>
              </w:rPr>
              <w:t>Тежка</w:t>
            </w:r>
          </w:p>
        </w:tc>
        <w:tc>
          <w:tcPr>
            <w:tcW w:w="3192" w:type="dxa"/>
          </w:tcPr>
          <w:p w14:paraId="56562CF2" w14:textId="4CF80D17" w:rsidR="00786747" w:rsidRPr="00786747" w:rsidRDefault="00786747" w:rsidP="00786747">
            <w:r w:rsidRPr="00786747">
              <w:rPr>
                <w:szCs w:val="20"/>
              </w:rPr>
              <w:t>&lt;30</w:t>
            </w:r>
          </w:p>
        </w:tc>
        <w:tc>
          <w:tcPr>
            <w:tcW w:w="3192" w:type="dxa"/>
          </w:tcPr>
          <w:p w14:paraId="430732C7" w14:textId="631B16A7" w:rsidR="00786747" w:rsidRPr="00786747" w:rsidRDefault="00786747" w:rsidP="00786747">
            <w:r w:rsidRPr="00786747">
              <w:rPr>
                <w:szCs w:val="20"/>
              </w:rPr>
              <w:t xml:space="preserve">250 до 500 </w:t>
            </w:r>
            <w:r w:rsidRPr="00786747">
              <w:rPr>
                <w:szCs w:val="20"/>
                <w:lang w:val="en-US"/>
              </w:rPr>
              <w:t>mg</w:t>
            </w:r>
            <w:r w:rsidRPr="00786747">
              <w:rPr>
                <w:szCs w:val="20"/>
                <w:lang w:val="ru-RU"/>
              </w:rPr>
              <w:t xml:space="preserve"> </w:t>
            </w:r>
            <w:r w:rsidRPr="00786747">
              <w:rPr>
                <w:szCs w:val="20"/>
              </w:rPr>
              <w:t>два пъти дневно</w:t>
            </w:r>
          </w:p>
        </w:tc>
      </w:tr>
      <w:tr w:rsidR="00786747" w14:paraId="1971D36F" w14:textId="77777777" w:rsidTr="00786747">
        <w:tc>
          <w:tcPr>
            <w:tcW w:w="3192" w:type="dxa"/>
          </w:tcPr>
          <w:p w14:paraId="104869E5" w14:textId="2140E2B5" w:rsidR="00786747" w:rsidRPr="00786747" w:rsidRDefault="00786747" w:rsidP="00786747">
            <w:r w:rsidRPr="00786747">
              <w:rPr>
                <w:szCs w:val="20"/>
                <w:vertAlign w:val="superscript"/>
              </w:rPr>
              <w:t>(1)</w:t>
            </w:r>
            <w:r w:rsidRPr="00786747">
              <w:rPr>
                <w:szCs w:val="20"/>
              </w:rPr>
              <w:t>Пациенти с терминална бъбречна недостатъчност, провеждащи хемодиализно лечение</w:t>
            </w:r>
          </w:p>
        </w:tc>
        <w:tc>
          <w:tcPr>
            <w:tcW w:w="3192" w:type="dxa"/>
          </w:tcPr>
          <w:p w14:paraId="45132818" w14:textId="77777777" w:rsidR="00786747" w:rsidRPr="00786747" w:rsidRDefault="00786747" w:rsidP="00786747"/>
        </w:tc>
        <w:tc>
          <w:tcPr>
            <w:tcW w:w="3192" w:type="dxa"/>
          </w:tcPr>
          <w:p w14:paraId="0AF5F983" w14:textId="5145EBA8" w:rsidR="00786747" w:rsidRPr="00786747" w:rsidRDefault="00786747" w:rsidP="00786747">
            <w:r w:rsidRPr="00786747">
              <w:rPr>
                <w:szCs w:val="20"/>
              </w:rPr>
              <w:t xml:space="preserve">500 до 1 000 </w:t>
            </w:r>
            <w:r w:rsidRPr="00786747">
              <w:rPr>
                <w:szCs w:val="20"/>
                <w:lang w:val="en-US"/>
              </w:rPr>
              <w:t>mg</w:t>
            </w:r>
            <w:r w:rsidRPr="00786747">
              <w:rPr>
                <w:szCs w:val="20"/>
                <w:lang w:val="ru-RU"/>
              </w:rPr>
              <w:t xml:space="preserve"> </w:t>
            </w:r>
            <w:r w:rsidRPr="00786747">
              <w:rPr>
                <w:szCs w:val="20"/>
              </w:rPr>
              <w:t>един път дневно (2)</w:t>
            </w:r>
          </w:p>
        </w:tc>
      </w:tr>
    </w:tbl>
    <w:p w14:paraId="7A9FEC5C" w14:textId="026E64D3" w:rsidR="00786747" w:rsidRDefault="00786747" w:rsidP="00786747">
      <w:pPr>
        <w:rPr>
          <w:sz w:val="24"/>
        </w:rPr>
      </w:pPr>
    </w:p>
    <w:p w14:paraId="53439E33"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vertAlign w:val="superscript"/>
          <w:lang w:eastAsia="bg-BG"/>
        </w:rPr>
        <w:t>(1)</w:t>
      </w:r>
      <w:r w:rsidRPr="00786747">
        <w:rPr>
          <w:rFonts w:eastAsia="Times New Roman" w:cs="Arial"/>
          <w:color w:val="000000"/>
          <w:szCs w:val="20"/>
          <w:lang w:eastAsia="bg-BG"/>
        </w:rPr>
        <w:t xml:space="preserve"> През първия ден на лечението с леветирацетам се препоръчва натоварваща доза от 750 </w:t>
      </w:r>
      <w:r w:rsidRPr="00786747">
        <w:rPr>
          <w:rFonts w:eastAsia="Times New Roman" w:cs="Arial"/>
          <w:color w:val="000000"/>
          <w:szCs w:val="20"/>
          <w:lang w:val="en-US"/>
        </w:rPr>
        <w:t>mg</w:t>
      </w:r>
      <w:r w:rsidRPr="00786747">
        <w:rPr>
          <w:rFonts w:eastAsia="Times New Roman" w:cs="Arial"/>
          <w:color w:val="000000"/>
          <w:szCs w:val="20"/>
          <w:lang w:val="ru-RU"/>
        </w:rPr>
        <w:t>.</w:t>
      </w:r>
    </w:p>
    <w:p w14:paraId="6418E50A"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vertAlign w:val="superscript"/>
          <w:lang w:eastAsia="bg-BG"/>
        </w:rPr>
        <w:t>(2)</w:t>
      </w:r>
      <w:r w:rsidRPr="00786747">
        <w:rPr>
          <w:rFonts w:eastAsia="Times New Roman" w:cs="Arial"/>
          <w:color w:val="000000"/>
          <w:szCs w:val="20"/>
          <w:lang w:eastAsia="bg-BG"/>
        </w:rPr>
        <w:t xml:space="preserve"> След диализа се препоръчва допълнителна доза от 250 до 500 </w:t>
      </w:r>
      <w:r w:rsidRPr="00786747">
        <w:rPr>
          <w:rFonts w:eastAsia="Times New Roman" w:cs="Arial"/>
          <w:color w:val="000000"/>
          <w:szCs w:val="20"/>
          <w:lang w:val="en-US"/>
        </w:rPr>
        <w:t>mg</w:t>
      </w:r>
      <w:r w:rsidRPr="00786747">
        <w:rPr>
          <w:rFonts w:eastAsia="Times New Roman" w:cs="Arial"/>
          <w:color w:val="000000"/>
          <w:szCs w:val="20"/>
          <w:lang w:val="ru-RU"/>
        </w:rPr>
        <w:t>.</w:t>
      </w:r>
    </w:p>
    <w:p w14:paraId="0C5E76D2" w14:textId="77777777" w:rsidR="00786747" w:rsidRPr="00786747" w:rsidRDefault="00786747" w:rsidP="00786747">
      <w:pPr>
        <w:spacing w:line="240" w:lineRule="auto"/>
        <w:rPr>
          <w:rFonts w:eastAsia="Times New Roman" w:cs="Arial"/>
          <w:color w:val="000000"/>
          <w:szCs w:val="20"/>
          <w:lang w:eastAsia="bg-BG"/>
        </w:rPr>
      </w:pPr>
    </w:p>
    <w:p w14:paraId="2A179AA8" w14:textId="7198C22F"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деца с бъбречни увреждания дозата леветирацетам трябва да се адаптира въз основа на бъбречната функция, тъй като клирънсът на леветирацетам е свързан с бъбречната функция. Тази препоръка се основава на проучване при възрастни пациенти с бъбречни увреждания.</w:t>
      </w:r>
    </w:p>
    <w:p w14:paraId="22F023C3" w14:textId="77777777" w:rsidR="00786747" w:rsidRPr="00786747" w:rsidRDefault="00786747" w:rsidP="00786747">
      <w:pPr>
        <w:rPr>
          <w:rFonts w:eastAsia="Times New Roman" w:cs="Arial"/>
          <w:color w:val="000000"/>
          <w:szCs w:val="20"/>
          <w:lang w:val="en-US"/>
        </w:rPr>
      </w:pPr>
    </w:p>
    <w:p w14:paraId="601EAF7E" w14:textId="79AEAAA2" w:rsidR="00786747" w:rsidRDefault="00786747" w:rsidP="00786747">
      <w:pPr>
        <w:rPr>
          <w:rFonts w:eastAsia="Times New Roman" w:cs="Arial"/>
          <w:color w:val="000000"/>
          <w:szCs w:val="20"/>
          <w:lang w:val="ru-RU"/>
        </w:rPr>
      </w:pPr>
      <w:proofErr w:type="spellStart"/>
      <w:r w:rsidRPr="00786747">
        <w:rPr>
          <w:rFonts w:eastAsia="Times New Roman" w:cs="Arial"/>
          <w:color w:val="000000"/>
          <w:szCs w:val="20"/>
          <w:lang w:val="en-US"/>
        </w:rPr>
        <w:t>CLcr</w:t>
      </w:r>
      <w:proofErr w:type="spellEnd"/>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в </w:t>
      </w:r>
      <w:r w:rsidRPr="00786747">
        <w:rPr>
          <w:rFonts w:eastAsia="Times New Roman" w:cs="Arial"/>
          <w:color w:val="000000"/>
          <w:szCs w:val="20"/>
          <w:lang w:val="en-US"/>
        </w:rPr>
        <w:t>ml</w:t>
      </w:r>
      <w:r w:rsidRPr="00786747">
        <w:rPr>
          <w:rFonts w:eastAsia="Times New Roman" w:cs="Arial"/>
          <w:color w:val="000000"/>
          <w:szCs w:val="20"/>
          <w:lang w:val="ru-RU"/>
        </w:rPr>
        <w:t>/</w:t>
      </w:r>
      <w:r w:rsidRPr="00786747">
        <w:rPr>
          <w:rFonts w:eastAsia="Times New Roman" w:cs="Arial"/>
          <w:color w:val="000000"/>
          <w:szCs w:val="20"/>
          <w:lang w:val="en-US"/>
        </w:rPr>
        <w:t>min</w:t>
      </w:r>
      <w:r w:rsidRPr="00786747">
        <w:rPr>
          <w:rFonts w:eastAsia="Times New Roman" w:cs="Arial"/>
          <w:color w:val="000000"/>
          <w:szCs w:val="20"/>
          <w:lang w:val="ru-RU"/>
        </w:rPr>
        <w:t>/</w:t>
      </w:r>
      <w:r w:rsidRPr="00786747">
        <w:rPr>
          <w:rFonts w:eastAsia="Times New Roman" w:cs="Arial"/>
          <w:color w:val="000000"/>
          <w:szCs w:val="20"/>
          <w:lang w:eastAsia="bg-BG"/>
        </w:rPr>
        <w:t>1</w:t>
      </w:r>
      <w:proofErr w:type="gramStart"/>
      <w:r w:rsidRPr="00786747">
        <w:rPr>
          <w:rFonts w:eastAsia="Times New Roman" w:cs="Arial"/>
          <w:color w:val="000000"/>
          <w:szCs w:val="20"/>
          <w:lang w:eastAsia="bg-BG"/>
        </w:rPr>
        <w:t>,73</w:t>
      </w:r>
      <w:proofErr w:type="gramEnd"/>
      <w:r w:rsidRPr="00786747">
        <w:rPr>
          <w:rFonts w:eastAsia="Times New Roman" w:cs="Arial"/>
          <w:color w:val="000000"/>
          <w:szCs w:val="20"/>
          <w:lang w:eastAsia="bg-BG"/>
        </w:rPr>
        <w:t xml:space="preserve"> </w:t>
      </w:r>
      <w:r w:rsidRPr="00786747">
        <w:rPr>
          <w:rFonts w:eastAsia="Times New Roman" w:cs="Arial"/>
          <w:color w:val="000000"/>
          <w:szCs w:val="20"/>
          <w:lang w:val="en-US"/>
        </w:rPr>
        <w:t>m</w:t>
      </w:r>
      <w:r w:rsidRPr="00786747">
        <w:rPr>
          <w:rFonts w:eastAsia="Times New Roman" w:cs="Arial"/>
          <w:color w:val="000000"/>
          <w:szCs w:val="20"/>
          <w:vertAlign w:val="superscript"/>
          <w:lang w:val="ru-RU"/>
        </w:rPr>
        <w:t>2</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може да се изчисли от определянето на серумния креатинин </w:t>
      </w:r>
      <w:r w:rsidRPr="00786747">
        <w:rPr>
          <w:rFonts w:eastAsia="Times New Roman" w:cs="Arial"/>
          <w:color w:val="000000"/>
          <w:szCs w:val="20"/>
          <w:lang w:val="ru-RU"/>
        </w:rPr>
        <w:t>(</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dl</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за по- малки юноши, деца и новородени с помощта на следната формула (формула на </w:t>
      </w:r>
      <w:r w:rsidRPr="00786747">
        <w:rPr>
          <w:rFonts w:eastAsia="Times New Roman" w:cs="Arial"/>
          <w:color w:val="000000"/>
          <w:szCs w:val="20"/>
          <w:lang w:val="en-US"/>
        </w:rPr>
        <w:t>Schwartz</w:t>
      </w:r>
      <w:r w:rsidRPr="00786747">
        <w:rPr>
          <w:rFonts w:eastAsia="Times New Roman" w:cs="Arial"/>
          <w:color w:val="000000"/>
          <w:szCs w:val="20"/>
          <w:lang w:val="ru-RU"/>
        </w:rPr>
        <w:t>):</w:t>
      </w:r>
    </w:p>
    <w:p w14:paraId="3CD4F0DA" w14:textId="3C7F4D60" w:rsidR="00786747" w:rsidRDefault="00786747" w:rsidP="00786747">
      <w:pPr>
        <w:rPr>
          <w:rFonts w:cs="Arial"/>
          <w:sz w:val="28"/>
          <w:lang w:val="ru-RU"/>
        </w:rPr>
      </w:pPr>
      <w:r>
        <w:rPr>
          <w:rFonts w:cs="Arial"/>
          <w:noProof/>
          <w:sz w:val="28"/>
          <w:lang w:val="en-US"/>
        </w:rPr>
        <w:drawing>
          <wp:inline distT="0" distB="0" distL="0" distR="0" wp14:anchorId="2295CB70" wp14:editId="01B5F4DC">
            <wp:extent cx="594360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67385"/>
                    </a:xfrm>
                    <a:prstGeom prst="rect">
                      <a:avLst/>
                    </a:prstGeom>
                  </pic:spPr>
                </pic:pic>
              </a:graphicData>
            </a:graphic>
          </wp:inline>
        </w:drawing>
      </w:r>
    </w:p>
    <w:p w14:paraId="51945C93" w14:textId="77777777" w:rsidR="00786747" w:rsidRPr="00786747" w:rsidRDefault="00786747" w:rsidP="00786747">
      <w:pPr>
        <w:spacing w:line="240" w:lineRule="auto"/>
        <w:rPr>
          <w:rFonts w:eastAsia="Times New Roman" w:cs="Arial"/>
          <w:sz w:val="28"/>
          <w:szCs w:val="24"/>
        </w:rPr>
      </w:pPr>
      <w:proofErr w:type="spellStart"/>
      <w:proofErr w:type="gramStart"/>
      <w:r w:rsidRPr="00786747">
        <w:rPr>
          <w:rFonts w:eastAsia="Times New Roman" w:cs="Arial"/>
          <w:color w:val="000000"/>
          <w:szCs w:val="20"/>
          <w:lang w:val="en-US"/>
        </w:rPr>
        <w:t>ks</w:t>
      </w:r>
      <w:proofErr w:type="spellEnd"/>
      <w:proofErr w:type="gramEnd"/>
      <w:r w:rsidRPr="00786747">
        <w:rPr>
          <w:rFonts w:eastAsia="Times New Roman" w:cs="Arial"/>
          <w:color w:val="000000"/>
          <w:szCs w:val="20"/>
          <w:lang w:val="ru-RU"/>
        </w:rPr>
        <w:t xml:space="preserve"> = 0,45 </w:t>
      </w:r>
      <w:r w:rsidRPr="00786747">
        <w:rPr>
          <w:rFonts w:eastAsia="Times New Roman" w:cs="Arial"/>
          <w:color w:val="000000"/>
          <w:szCs w:val="20"/>
          <w:lang w:eastAsia="bg-BG"/>
        </w:rPr>
        <w:t xml:space="preserve">при новородени до 1-годишна възраст; </w:t>
      </w:r>
      <w:proofErr w:type="spellStart"/>
      <w:r w:rsidRPr="00786747">
        <w:rPr>
          <w:rFonts w:eastAsia="Times New Roman" w:cs="Arial"/>
          <w:color w:val="000000"/>
          <w:szCs w:val="20"/>
          <w:lang w:val="en-US"/>
        </w:rPr>
        <w:t>ks</w:t>
      </w:r>
      <w:proofErr w:type="spellEnd"/>
      <w:r w:rsidRPr="00786747">
        <w:rPr>
          <w:rFonts w:eastAsia="Times New Roman" w:cs="Arial"/>
          <w:color w:val="000000"/>
          <w:szCs w:val="20"/>
          <w:lang w:val="ru-RU"/>
        </w:rPr>
        <w:t xml:space="preserve"> </w:t>
      </w:r>
      <w:r w:rsidRPr="00786747">
        <w:rPr>
          <w:rFonts w:eastAsia="Times New Roman" w:cs="Arial"/>
          <w:color w:val="000000"/>
          <w:szCs w:val="20"/>
          <w:lang w:eastAsia="bg-BG"/>
        </w:rPr>
        <w:t>= 0,55 при деца под 13 години и девойки;</w:t>
      </w:r>
    </w:p>
    <w:p w14:paraId="43B051D0" w14:textId="77777777" w:rsidR="00786747" w:rsidRPr="00786747" w:rsidRDefault="00786747" w:rsidP="00786747">
      <w:pPr>
        <w:spacing w:line="240" w:lineRule="auto"/>
        <w:rPr>
          <w:rFonts w:eastAsia="Times New Roman" w:cs="Arial"/>
          <w:sz w:val="28"/>
          <w:szCs w:val="24"/>
        </w:rPr>
      </w:pPr>
      <w:proofErr w:type="spellStart"/>
      <w:proofErr w:type="gramStart"/>
      <w:r w:rsidRPr="00786747">
        <w:rPr>
          <w:rFonts w:eastAsia="Times New Roman" w:cs="Arial"/>
          <w:color w:val="000000"/>
          <w:szCs w:val="20"/>
          <w:lang w:val="en-US"/>
        </w:rPr>
        <w:t>ks</w:t>
      </w:r>
      <w:proofErr w:type="spellEnd"/>
      <w:proofErr w:type="gramEnd"/>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 0,7 при младежи</w:t>
      </w:r>
    </w:p>
    <w:p w14:paraId="742D4F0A" w14:textId="093E3037" w:rsidR="00786747" w:rsidRPr="00786747" w:rsidRDefault="00786747" w:rsidP="00786747">
      <w:pPr>
        <w:spacing w:line="240" w:lineRule="auto"/>
        <w:rPr>
          <w:rFonts w:eastAsia="Times New Roman" w:cs="Arial"/>
          <w:color w:val="000000"/>
          <w:szCs w:val="20"/>
          <w:lang w:eastAsia="bg-BG"/>
        </w:rPr>
      </w:pPr>
    </w:p>
    <w:p w14:paraId="5E3F6D4E" w14:textId="31CC71F1" w:rsidR="00786747" w:rsidRDefault="00786747" w:rsidP="00786747">
      <w:pPr>
        <w:spacing w:line="240" w:lineRule="auto"/>
        <w:rPr>
          <w:rFonts w:eastAsia="Times New Roman" w:cs="Arial"/>
          <w:color w:val="000000"/>
          <w:szCs w:val="20"/>
          <w:lang w:eastAsia="bg-BG"/>
        </w:rPr>
      </w:pPr>
      <w:r w:rsidRPr="00786747">
        <w:rPr>
          <w:rFonts w:eastAsia="Times New Roman" w:cs="Arial"/>
          <w:color w:val="000000"/>
          <w:szCs w:val="20"/>
          <w:lang w:eastAsia="bg-BG"/>
        </w:rPr>
        <w:lastRenderedPageBreak/>
        <w:t xml:space="preserve">Адаптиране на дозата при новородени, деца и юноши с тегло под 50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с нарушена бъбречна функция:</w:t>
      </w:r>
    </w:p>
    <w:tbl>
      <w:tblPr>
        <w:tblStyle w:val="TableGrid"/>
        <w:tblW w:w="0" w:type="auto"/>
        <w:tblLook w:val="04A0" w:firstRow="1" w:lastRow="0" w:firstColumn="1" w:lastColumn="0" w:noHBand="0" w:noVBand="1"/>
      </w:tblPr>
      <w:tblGrid>
        <w:gridCol w:w="2327"/>
        <w:gridCol w:w="2343"/>
        <w:gridCol w:w="2340"/>
        <w:gridCol w:w="2340"/>
      </w:tblGrid>
      <w:tr w:rsidR="00786747" w14:paraId="09837184" w14:textId="77777777" w:rsidTr="00786747">
        <w:tc>
          <w:tcPr>
            <w:tcW w:w="2394" w:type="dxa"/>
          </w:tcPr>
          <w:p w14:paraId="2AD09717" w14:textId="1D993199" w:rsidR="00786747" w:rsidRPr="00786747" w:rsidRDefault="00786747" w:rsidP="00786747">
            <w:pPr>
              <w:spacing w:line="240" w:lineRule="auto"/>
              <w:rPr>
                <w:rFonts w:eastAsia="Times New Roman" w:cs="Arial"/>
                <w:szCs w:val="24"/>
              </w:rPr>
            </w:pPr>
            <w:r w:rsidRPr="00786747">
              <w:rPr>
                <w:rFonts w:cs="Arial"/>
                <w:szCs w:val="20"/>
              </w:rPr>
              <w:t>Група</w:t>
            </w:r>
          </w:p>
        </w:tc>
        <w:tc>
          <w:tcPr>
            <w:tcW w:w="2394" w:type="dxa"/>
          </w:tcPr>
          <w:p w14:paraId="1F410A59" w14:textId="19107FAB" w:rsidR="00786747" w:rsidRPr="00786747" w:rsidRDefault="00786747" w:rsidP="00786747">
            <w:pPr>
              <w:spacing w:line="240" w:lineRule="auto"/>
              <w:rPr>
                <w:rFonts w:eastAsia="Times New Roman" w:cs="Arial"/>
                <w:szCs w:val="24"/>
              </w:rPr>
            </w:pPr>
            <w:r w:rsidRPr="00786747">
              <w:rPr>
                <w:rFonts w:cs="Arial"/>
                <w:szCs w:val="20"/>
              </w:rPr>
              <w:t xml:space="preserve">Креатининов клирънс </w:t>
            </w:r>
            <w:r w:rsidRPr="00786747">
              <w:rPr>
                <w:rFonts w:cs="Arial"/>
                <w:szCs w:val="20"/>
                <w:lang w:val="ru-RU"/>
              </w:rPr>
              <w:t>(</w:t>
            </w:r>
            <w:r w:rsidRPr="00786747">
              <w:rPr>
                <w:rFonts w:cs="Arial"/>
                <w:szCs w:val="20"/>
                <w:lang w:val="en-US"/>
              </w:rPr>
              <w:t>ml</w:t>
            </w:r>
            <w:r w:rsidRPr="00786747">
              <w:rPr>
                <w:rFonts w:cs="Arial"/>
                <w:szCs w:val="20"/>
                <w:lang w:val="ru-RU"/>
              </w:rPr>
              <w:t>/</w:t>
            </w:r>
            <w:r w:rsidRPr="00786747">
              <w:rPr>
                <w:rFonts w:cs="Arial"/>
                <w:szCs w:val="20"/>
                <w:lang w:val="en-US"/>
              </w:rPr>
              <w:t>min</w:t>
            </w:r>
            <w:r w:rsidRPr="00786747">
              <w:rPr>
                <w:rFonts w:cs="Arial"/>
                <w:szCs w:val="20"/>
                <w:lang w:val="ru-RU"/>
              </w:rPr>
              <w:t>/</w:t>
            </w:r>
            <w:r w:rsidRPr="00786747">
              <w:rPr>
                <w:rFonts w:cs="Arial"/>
                <w:szCs w:val="20"/>
              </w:rPr>
              <w:t xml:space="preserve">1,73 </w:t>
            </w:r>
            <w:r w:rsidRPr="00786747">
              <w:rPr>
                <w:rFonts w:cs="Arial"/>
                <w:szCs w:val="20"/>
                <w:lang w:val="en-US"/>
              </w:rPr>
              <w:t>m</w:t>
            </w:r>
            <w:r w:rsidRPr="00786747">
              <w:rPr>
                <w:rFonts w:cs="Arial"/>
                <w:szCs w:val="20"/>
                <w:vertAlign w:val="superscript"/>
                <w:lang w:val="ru-RU"/>
              </w:rPr>
              <w:t>2</w:t>
            </w:r>
            <w:r w:rsidRPr="00786747">
              <w:rPr>
                <w:rFonts w:cs="Arial"/>
                <w:szCs w:val="20"/>
                <w:lang w:val="ru-RU"/>
              </w:rPr>
              <w:t>)</w:t>
            </w:r>
          </w:p>
        </w:tc>
        <w:tc>
          <w:tcPr>
            <w:tcW w:w="4788" w:type="dxa"/>
            <w:gridSpan w:val="2"/>
          </w:tcPr>
          <w:p w14:paraId="48D9D64C" w14:textId="77777777" w:rsidR="00786747" w:rsidRPr="00786747" w:rsidRDefault="00786747" w:rsidP="00786747">
            <w:pPr>
              <w:spacing w:line="240" w:lineRule="auto"/>
              <w:rPr>
                <w:rFonts w:eastAsia="Times New Roman" w:cs="Arial"/>
                <w:szCs w:val="24"/>
              </w:rPr>
            </w:pPr>
            <w:r w:rsidRPr="00786747">
              <w:rPr>
                <w:rFonts w:eastAsia="Times New Roman" w:cs="Arial"/>
                <w:color w:val="000000"/>
                <w:szCs w:val="20"/>
                <w:lang w:eastAsia="bg-BG"/>
              </w:rPr>
              <w:t>Доза и честота на прилагане (1)</w:t>
            </w:r>
          </w:p>
          <w:p w14:paraId="5A54FD3A" w14:textId="77777777" w:rsidR="00786747" w:rsidRPr="00786747" w:rsidRDefault="00786747" w:rsidP="00786747">
            <w:pPr>
              <w:spacing w:line="240" w:lineRule="auto"/>
              <w:rPr>
                <w:rFonts w:eastAsia="Times New Roman" w:cs="Arial"/>
                <w:szCs w:val="24"/>
              </w:rPr>
            </w:pPr>
          </w:p>
        </w:tc>
      </w:tr>
      <w:tr w:rsidR="00786747" w14:paraId="19C302B5" w14:textId="77777777" w:rsidTr="00786747">
        <w:tc>
          <w:tcPr>
            <w:tcW w:w="2394" w:type="dxa"/>
          </w:tcPr>
          <w:p w14:paraId="12A68775" w14:textId="77777777" w:rsidR="00786747" w:rsidRPr="00786747" w:rsidRDefault="00786747" w:rsidP="00786747">
            <w:pPr>
              <w:spacing w:line="240" w:lineRule="auto"/>
              <w:rPr>
                <w:rFonts w:eastAsia="Times New Roman" w:cs="Arial"/>
                <w:szCs w:val="24"/>
              </w:rPr>
            </w:pPr>
          </w:p>
        </w:tc>
        <w:tc>
          <w:tcPr>
            <w:tcW w:w="2394" w:type="dxa"/>
          </w:tcPr>
          <w:p w14:paraId="19A75751" w14:textId="77777777" w:rsidR="00786747" w:rsidRPr="00786747" w:rsidRDefault="00786747" w:rsidP="00786747">
            <w:pPr>
              <w:spacing w:line="240" w:lineRule="auto"/>
              <w:rPr>
                <w:rFonts w:eastAsia="Times New Roman" w:cs="Arial"/>
                <w:szCs w:val="24"/>
              </w:rPr>
            </w:pPr>
          </w:p>
        </w:tc>
        <w:tc>
          <w:tcPr>
            <w:tcW w:w="2394" w:type="dxa"/>
          </w:tcPr>
          <w:p w14:paraId="43CD80AA" w14:textId="01A0257B" w:rsidR="00786747" w:rsidRPr="00786747" w:rsidRDefault="00786747" w:rsidP="00786747">
            <w:pPr>
              <w:spacing w:line="240" w:lineRule="auto"/>
              <w:rPr>
                <w:rFonts w:eastAsia="Times New Roman" w:cs="Arial"/>
                <w:szCs w:val="24"/>
              </w:rPr>
            </w:pPr>
            <w:r w:rsidRPr="00786747">
              <w:rPr>
                <w:rFonts w:cs="Arial"/>
                <w:szCs w:val="20"/>
              </w:rPr>
              <w:t>Новородени от 1 до 6 месеца</w:t>
            </w:r>
          </w:p>
        </w:tc>
        <w:tc>
          <w:tcPr>
            <w:tcW w:w="2394" w:type="dxa"/>
          </w:tcPr>
          <w:p w14:paraId="3DCDC31D" w14:textId="77CA9435" w:rsidR="00786747" w:rsidRPr="00786747" w:rsidRDefault="00786747" w:rsidP="00786747">
            <w:pPr>
              <w:spacing w:line="240" w:lineRule="auto"/>
              <w:rPr>
                <w:rFonts w:eastAsia="Times New Roman" w:cs="Arial"/>
                <w:szCs w:val="24"/>
              </w:rPr>
            </w:pPr>
            <w:r w:rsidRPr="00786747">
              <w:rPr>
                <w:rFonts w:cs="Arial"/>
                <w:szCs w:val="20"/>
              </w:rPr>
              <w:t xml:space="preserve">Новородени от 6 до 23 месеца, деца и юноши с тегло под </w:t>
            </w:r>
            <w:r w:rsidRPr="00786747">
              <w:rPr>
                <w:rFonts w:cs="Arial"/>
                <w:szCs w:val="20"/>
                <w:lang w:val="ru-RU"/>
              </w:rPr>
              <w:t xml:space="preserve">50 </w:t>
            </w:r>
            <w:r w:rsidRPr="00786747">
              <w:rPr>
                <w:rFonts w:cs="Arial"/>
                <w:szCs w:val="20"/>
                <w:lang w:val="en-US"/>
              </w:rPr>
              <w:t>kg</w:t>
            </w:r>
          </w:p>
        </w:tc>
      </w:tr>
      <w:tr w:rsidR="00786747" w14:paraId="0580E036" w14:textId="77777777" w:rsidTr="00786747">
        <w:tc>
          <w:tcPr>
            <w:tcW w:w="2394" w:type="dxa"/>
          </w:tcPr>
          <w:p w14:paraId="694BA50E" w14:textId="28FE88BB" w:rsidR="00786747" w:rsidRPr="00786747" w:rsidRDefault="00786747" w:rsidP="00786747">
            <w:pPr>
              <w:spacing w:line="240" w:lineRule="auto"/>
              <w:rPr>
                <w:rFonts w:eastAsia="Times New Roman" w:cs="Arial"/>
                <w:szCs w:val="24"/>
              </w:rPr>
            </w:pPr>
            <w:r w:rsidRPr="00786747">
              <w:rPr>
                <w:rFonts w:cs="Arial"/>
                <w:szCs w:val="20"/>
              </w:rPr>
              <w:t>Нормална</w:t>
            </w:r>
          </w:p>
        </w:tc>
        <w:tc>
          <w:tcPr>
            <w:tcW w:w="2394" w:type="dxa"/>
          </w:tcPr>
          <w:p w14:paraId="1607F8FC" w14:textId="47D03DF5" w:rsidR="00786747" w:rsidRPr="00786747" w:rsidRDefault="00786747" w:rsidP="00786747">
            <w:pPr>
              <w:spacing w:line="240" w:lineRule="auto"/>
              <w:rPr>
                <w:rFonts w:eastAsia="Times New Roman" w:cs="Arial"/>
                <w:szCs w:val="24"/>
              </w:rPr>
            </w:pPr>
            <w:r w:rsidRPr="00786747">
              <w:rPr>
                <w:rFonts w:cs="Arial"/>
                <w:szCs w:val="20"/>
              </w:rPr>
              <w:t>&gt;80</w:t>
            </w:r>
          </w:p>
        </w:tc>
        <w:tc>
          <w:tcPr>
            <w:tcW w:w="2394" w:type="dxa"/>
          </w:tcPr>
          <w:p w14:paraId="4AE7886E" w14:textId="31A49BC2" w:rsidR="00786747" w:rsidRPr="00786747" w:rsidRDefault="00786747" w:rsidP="00786747">
            <w:pPr>
              <w:spacing w:line="240" w:lineRule="auto"/>
              <w:rPr>
                <w:rFonts w:eastAsia="Times New Roman" w:cs="Arial"/>
                <w:szCs w:val="24"/>
              </w:rPr>
            </w:pPr>
            <w:r w:rsidRPr="00786747">
              <w:rPr>
                <w:rFonts w:cs="Arial"/>
                <w:szCs w:val="20"/>
              </w:rPr>
              <w:t xml:space="preserve">7 до 21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c>
          <w:tcPr>
            <w:tcW w:w="2394" w:type="dxa"/>
          </w:tcPr>
          <w:p w14:paraId="2F69B63C" w14:textId="12F83314" w:rsidR="00786747" w:rsidRPr="00786747" w:rsidRDefault="00786747" w:rsidP="00786747">
            <w:pPr>
              <w:spacing w:line="240" w:lineRule="auto"/>
              <w:rPr>
                <w:rFonts w:eastAsia="Times New Roman" w:cs="Arial"/>
                <w:szCs w:val="24"/>
              </w:rPr>
            </w:pPr>
            <w:r w:rsidRPr="00786747">
              <w:rPr>
                <w:rFonts w:cs="Arial"/>
                <w:szCs w:val="20"/>
              </w:rPr>
              <w:t xml:space="preserve">10 до 30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r>
      <w:tr w:rsidR="00786747" w14:paraId="1FAE51AB" w14:textId="77777777" w:rsidTr="00786747">
        <w:trPr>
          <w:trHeight w:val="593"/>
        </w:trPr>
        <w:tc>
          <w:tcPr>
            <w:tcW w:w="2394" w:type="dxa"/>
          </w:tcPr>
          <w:p w14:paraId="3C2624E0" w14:textId="1AE5B98C" w:rsidR="00786747" w:rsidRPr="00786747" w:rsidRDefault="00786747" w:rsidP="00786747">
            <w:pPr>
              <w:spacing w:line="240" w:lineRule="auto"/>
              <w:rPr>
                <w:rFonts w:eastAsia="Times New Roman" w:cs="Arial"/>
                <w:szCs w:val="24"/>
              </w:rPr>
            </w:pPr>
            <w:r w:rsidRPr="00786747">
              <w:rPr>
                <w:rFonts w:cs="Arial"/>
                <w:szCs w:val="20"/>
              </w:rPr>
              <w:t>Лека</w:t>
            </w:r>
          </w:p>
        </w:tc>
        <w:tc>
          <w:tcPr>
            <w:tcW w:w="2394" w:type="dxa"/>
          </w:tcPr>
          <w:p w14:paraId="1E617421" w14:textId="7A0BE5A8" w:rsidR="00786747" w:rsidRPr="00786747" w:rsidRDefault="00786747" w:rsidP="00786747">
            <w:pPr>
              <w:spacing w:line="240" w:lineRule="auto"/>
              <w:rPr>
                <w:rFonts w:eastAsia="Times New Roman" w:cs="Arial"/>
                <w:szCs w:val="24"/>
              </w:rPr>
            </w:pPr>
            <w:r w:rsidRPr="00786747">
              <w:rPr>
                <w:rFonts w:cs="Arial"/>
                <w:szCs w:val="20"/>
              </w:rPr>
              <w:t>50-79</w:t>
            </w:r>
          </w:p>
        </w:tc>
        <w:tc>
          <w:tcPr>
            <w:tcW w:w="2394" w:type="dxa"/>
          </w:tcPr>
          <w:p w14:paraId="1BB0C5CC" w14:textId="56CC3253" w:rsidR="00786747" w:rsidRPr="00786747" w:rsidRDefault="00786747" w:rsidP="00786747">
            <w:pPr>
              <w:spacing w:line="240" w:lineRule="auto"/>
              <w:rPr>
                <w:rFonts w:eastAsia="Times New Roman" w:cs="Arial"/>
                <w:szCs w:val="24"/>
              </w:rPr>
            </w:pPr>
            <w:r w:rsidRPr="00786747">
              <w:rPr>
                <w:rFonts w:cs="Arial"/>
                <w:szCs w:val="20"/>
              </w:rPr>
              <w:t xml:space="preserve">7 до 14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c>
          <w:tcPr>
            <w:tcW w:w="2394" w:type="dxa"/>
          </w:tcPr>
          <w:p w14:paraId="67A0D23D" w14:textId="72B36C7F" w:rsidR="00786747" w:rsidRPr="00786747" w:rsidRDefault="00786747" w:rsidP="00786747">
            <w:pPr>
              <w:spacing w:line="240" w:lineRule="auto"/>
              <w:rPr>
                <w:rFonts w:eastAsia="Times New Roman" w:cs="Arial"/>
                <w:szCs w:val="24"/>
              </w:rPr>
            </w:pPr>
            <w:r w:rsidRPr="00786747">
              <w:rPr>
                <w:rFonts w:cs="Arial"/>
                <w:szCs w:val="20"/>
              </w:rPr>
              <w:t xml:space="preserve">10 до 20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r>
      <w:tr w:rsidR="00786747" w14:paraId="76A927B7" w14:textId="77777777" w:rsidTr="00786747">
        <w:tc>
          <w:tcPr>
            <w:tcW w:w="2394" w:type="dxa"/>
          </w:tcPr>
          <w:p w14:paraId="7D7FC8FC" w14:textId="357647E8" w:rsidR="00786747" w:rsidRPr="00786747" w:rsidRDefault="00786747" w:rsidP="00786747">
            <w:pPr>
              <w:spacing w:line="240" w:lineRule="auto"/>
              <w:rPr>
                <w:rFonts w:eastAsia="Times New Roman" w:cs="Arial"/>
                <w:szCs w:val="24"/>
              </w:rPr>
            </w:pPr>
            <w:r w:rsidRPr="00786747">
              <w:rPr>
                <w:rFonts w:cs="Arial"/>
                <w:szCs w:val="20"/>
              </w:rPr>
              <w:t>Умерена</w:t>
            </w:r>
          </w:p>
        </w:tc>
        <w:tc>
          <w:tcPr>
            <w:tcW w:w="2394" w:type="dxa"/>
          </w:tcPr>
          <w:p w14:paraId="2A4E70C5" w14:textId="15B15C16" w:rsidR="00786747" w:rsidRPr="00786747" w:rsidRDefault="00786747" w:rsidP="00786747">
            <w:pPr>
              <w:spacing w:line="240" w:lineRule="auto"/>
              <w:rPr>
                <w:rFonts w:eastAsia="Times New Roman" w:cs="Arial"/>
                <w:szCs w:val="24"/>
              </w:rPr>
            </w:pPr>
            <w:r w:rsidRPr="00786747">
              <w:rPr>
                <w:rFonts w:cs="Arial"/>
                <w:szCs w:val="20"/>
              </w:rPr>
              <w:t>30-49</w:t>
            </w:r>
          </w:p>
        </w:tc>
        <w:tc>
          <w:tcPr>
            <w:tcW w:w="2394" w:type="dxa"/>
          </w:tcPr>
          <w:p w14:paraId="1E490DE9" w14:textId="685635E0" w:rsidR="00786747" w:rsidRPr="00786747" w:rsidRDefault="00786747" w:rsidP="00786747">
            <w:pPr>
              <w:spacing w:line="240" w:lineRule="auto"/>
              <w:rPr>
                <w:rFonts w:eastAsia="Times New Roman" w:cs="Arial"/>
                <w:szCs w:val="24"/>
              </w:rPr>
            </w:pPr>
            <w:r w:rsidRPr="00786747">
              <w:rPr>
                <w:rFonts w:cs="Arial"/>
                <w:szCs w:val="20"/>
              </w:rPr>
              <w:t xml:space="preserve">3,5 до 10,5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c>
          <w:tcPr>
            <w:tcW w:w="2394" w:type="dxa"/>
          </w:tcPr>
          <w:p w14:paraId="73A75D09" w14:textId="4E5DC863" w:rsidR="00786747" w:rsidRPr="00786747" w:rsidRDefault="00786747" w:rsidP="00786747">
            <w:pPr>
              <w:spacing w:line="240" w:lineRule="auto"/>
              <w:rPr>
                <w:rFonts w:eastAsia="Times New Roman" w:cs="Arial"/>
                <w:szCs w:val="24"/>
              </w:rPr>
            </w:pPr>
            <w:r w:rsidRPr="00786747">
              <w:rPr>
                <w:rFonts w:cs="Arial"/>
                <w:szCs w:val="20"/>
              </w:rPr>
              <w:t xml:space="preserve">5 до 15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r>
      <w:tr w:rsidR="00786747" w14:paraId="6A632E0B" w14:textId="77777777" w:rsidTr="00786747">
        <w:tc>
          <w:tcPr>
            <w:tcW w:w="2394" w:type="dxa"/>
          </w:tcPr>
          <w:p w14:paraId="526584A6" w14:textId="50267270" w:rsidR="00786747" w:rsidRPr="00786747" w:rsidRDefault="00786747" w:rsidP="00786747">
            <w:pPr>
              <w:spacing w:line="240" w:lineRule="auto"/>
              <w:rPr>
                <w:rFonts w:eastAsia="Times New Roman" w:cs="Arial"/>
                <w:szCs w:val="24"/>
              </w:rPr>
            </w:pPr>
            <w:r w:rsidRPr="00786747">
              <w:rPr>
                <w:rFonts w:cs="Arial"/>
                <w:szCs w:val="20"/>
              </w:rPr>
              <w:t>Тежка</w:t>
            </w:r>
          </w:p>
        </w:tc>
        <w:tc>
          <w:tcPr>
            <w:tcW w:w="2394" w:type="dxa"/>
          </w:tcPr>
          <w:p w14:paraId="1B9EC72C" w14:textId="6E01003C" w:rsidR="00786747" w:rsidRPr="00786747" w:rsidRDefault="00786747" w:rsidP="00786747">
            <w:pPr>
              <w:spacing w:line="240" w:lineRule="auto"/>
              <w:rPr>
                <w:rFonts w:eastAsia="Times New Roman" w:cs="Arial"/>
                <w:szCs w:val="24"/>
              </w:rPr>
            </w:pPr>
            <w:r w:rsidRPr="00786747">
              <w:rPr>
                <w:rFonts w:cs="Arial"/>
                <w:szCs w:val="20"/>
              </w:rPr>
              <w:t>&lt;30</w:t>
            </w:r>
          </w:p>
        </w:tc>
        <w:tc>
          <w:tcPr>
            <w:tcW w:w="2394" w:type="dxa"/>
          </w:tcPr>
          <w:p w14:paraId="354BA7EB" w14:textId="7EDD5B06" w:rsidR="00786747" w:rsidRPr="00786747" w:rsidRDefault="00786747" w:rsidP="00786747">
            <w:pPr>
              <w:spacing w:line="240" w:lineRule="auto"/>
              <w:rPr>
                <w:rFonts w:eastAsia="Times New Roman" w:cs="Arial"/>
                <w:szCs w:val="24"/>
              </w:rPr>
            </w:pPr>
            <w:r w:rsidRPr="00786747">
              <w:rPr>
                <w:rFonts w:cs="Arial"/>
                <w:szCs w:val="20"/>
              </w:rPr>
              <w:t xml:space="preserve">3,5 до 7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c>
          <w:tcPr>
            <w:tcW w:w="2394" w:type="dxa"/>
          </w:tcPr>
          <w:p w14:paraId="3275C068" w14:textId="0CF9E5F3" w:rsidR="00786747" w:rsidRPr="00786747" w:rsidRDefault="00786747" w:rsidP="00786747">
            <w:pPr>
              <w:spacing w:line="240" w:lineRule="auto"/>
              <w:rPr>
                <w:rFonts w:eastAsia="Times New Roman" w:cs="Arial"/>
                <w:szCs w:val="24"/>
              </w:rPr>
            </w:pPr>
            <w:r w:rsidRPr="00786747">
              <w:rPr>
                <w:rFonts w:cs="Arial"/>
                <w:szCs w:val="20"/>
              </w:rPr>
              <w:t xml:space="preserve">5 до 10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два пъти дневно</w:t>
            </w:r>
          </w:p>
        </w:tc>
      </w:tr>
      <w:tr w:rsidR="00786747" w14:paraId="7ED6522A" w14:textId="77777777" w:rsidTr="00786747">
        <w:tc>
          <w:tcPr>
            <w:tcW w:w="2394" w:type="dxa"/>
          </w:tcPr>
          <w:p w14:paraId="79EA5B25" w14:textId="3772FDED" w:rsidR="00786747" w:rsidRPr="00786747" w:rsidRDefault="00786747" w:rsidP="00786747">
            <w:pPr>
              <w:spacing w:line="240" w:lineRule="auto"/>
              <w:rPr>
                <w:rFonts w:eastAsia="Times New Roman" w:cs="Arial"/>
                <w:szCs w:val="24"/>
              </w:rPr>
            </w:pPr>
            <w:r w:rsidRPr="00786747">
              <w:rPr>
                <w:rFonts w:cs="Arial"/>
                <w:szCs w:val="20"/>
              </w:rPr>
              <w:t>Пациенти</w:t>
            </w:r>
          </w:p>
        </w:tc>
        <w:tc>
          <w:tcPr>
            <w:tcW w:w="2394" w:type="dxa"/>
          </w:tcPr>
          <w:p w14:paraId="2EB7A403" w14:textId="77777777" w:rsidR="00786747" w:rsidRPr="00786747" w:rsidRDefault="00786747" w:rsidP="00786747">
            <w:pPr>
              <w:spacing w:line="240" w:lineRule="auto"/>
              <w:rPr>
                <w:rFonts w:eastAsia="Times New Roman" w:cs="Arial"/>
                <w:szCs w:val="24"/>
              </w:rPr>
            </w:pPr>
          </w:p>
        </w:tc>
        <w:tc>
          <w:tcPr>
            <w:tcW w:w="2394" w:type="dxa"/>
          </w:tcPr>
          <w:p w14:paraId="561BCD72" w14:textId="69F75CFD" w:rsidR="00786747" w:rsidRPr="00786747" w:rsidRDefault="00786747" w:rsidP="00786747">
            <w:pPr>
              <w:spacing w:line="240" w:lineRule="auto"/>
              <w:rPr>
                <w:rFonts w:eastAsia="Times New Roman" w:cs="Arial"/>
                <w:szCs w:val="24"/>
              </w:rPr>
            </w:pPr>
            <w:r w:rsidRPr="00786747">
              <w:rPr>
                <w:rFonts w:cs="Arial"/>
                <w:szCs w:val="20"/>
              </w:rPr>
              <w:t xml:space="preserve">7 до 14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един път дневно (2) (4)</w:t>
            </w:r>
          </w:p>
        </w:tc>
        <w:tc>
          <w:tcPr>
            <w:tcW w:w="2394" w:type="dxa"/>
          </w:tcPr>
          <w:p w14:paraId="03A57DC3" w14:textId="51B73B36" w:rsidR="00786747" w:rsidRPr="00786747" w:rsidRDefault="00786747" w:rsidP="00786747">
            <w:pPr>
              <w:spacing w:line="240" w:lineRule="auto"/>
              <w:rPr>
                <w:rFonts w:eastAsia="Times New Roman" w:cs="Arial"/>
                <w:szCs w:val="24"/>
              </w:rPr>
            </w:pPr>
            <w:r w:rsidRPr="00786747">
              <w:rPr>
                <w:rFonts w:cs="Arial"/>
                <w:szCs w:val="20"/>
              </w:rPr>
              <w:t xml:space="preserve">10 до 20 </w:t>
            </w:r>
            <w:r w:rsidRPr="00786747">
              <w:rPr>
                <w:rFonts w:cs="Arial"/>
                <w:szCs w:val="20"/>
                <w:lang w:val="en-US"/>
              </w:rPr>
              <w:t>mg</w:t>
            </w:r>
            <w:r w:rsidRPr="00786747">
              <w:rPr>
                <w:rFonts w:cs="Arial"/>
                <w:szCs w:val="20"/>
                <w:lang w:val="ru-RU"/>
              </w:rPr>
              <w:t>/</w:t>
            </w:r>
            <w:r w:rsidRPr="00786747">
              <w:rPr>
                <w:rFonts w:cs="Arial"/>
                <w:szCs w:val="20"/>
                <w:lang w:val="en-US"/>
              </w:rPr>
              <w:t>kg</w:t>
            </w:r>
            <w:r w:rsidRPr="00786747">
              <w:rPr>
                <w:rFonts w:cs="Arial"/>
                <w:szCs w:val="20"/>
                <w:lang w:val="ru-RU"/>
              </w:rPr>
              <w:t xml:space="preserve"> </w:t>
            </w:r>
            <w:r w:rsidRPr="00786747">
              <w:rPr>
                <w:rFonts w:cs="Arial"/>
                <w:szCs w:val="20"/>
              </w:rPr>
              <w:t>един път дневно (3) (5)</w:t>
            </w:r>
          </w:p>
        </w:tc>
      </w:tr>
    </w:tbl>
    <w:p w14:paraId="11628615" w14:textId="77777777" w:rsidR="00786747" w:rsidRPr="00786747" w:rsidRDefault="00786747" w:rsidP="00786747">
      <w:pPr>
        <w:pStyle w:val="ListParagraph"/>
        <w:numPr>
          <w:ilvl w:val="0"/>
          <w:numId w:val="33"/>
        </w:numPr>
        <w:spacing w:line="240" w:lineRule="auto"/>
        <w:rPr>
          <w:rFonts w:eastAsia="Times New Roman" w:cs="Arial"/>
          <w:sz w:val="28"/>
          <w:szCs w:val="24"/>
        </w:rPr>
      </w:pPr>
      <w:r w:rsidRPr="00786747">
        <w:rPr>
          <w:rFonts w:eastAsia="Times New Roman" w:cs="Arial"/>
          <w:color w:val="000000"/>
          <w:szCs w:val="20"/>
          <w:lang w:eastAsia="bg-BG"/>
        </w:rPr>
        <w:t xml:space="preserve">При дози под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и при пациенти, които не могат да поглъщат таблетки, трябва да се използва леветирацетам перорален разтвор.</w:t>
      </w:r>
    </w:p>
    <w:p w14:paraId="03559EB3" w14:textId="77777777" w:rsidR="00786747" w:rsidRPr="00786747" w:rsidRDefault="00786747" w:rsidP="00786747">
      <w:pPr>
        <w:pStyle w:val="ListParagraph"/>
        <w:numPr>
          <w:ilvl w:val="0"/>
          <w:numId w:val="33"/>
        </w:numPr>
        <w:spacing w:line="240" w:lineRule="auto"/>
        <w:rPr>
          <w:rFonts w:eastAsia="Times New Roman" w:cs="Arial"/>
          <w:sz w:val="28"/>
          <w:szCs w:val="24"/>
        </w:rPr>
      </w:pPr>
      <w:r w:rsidRPr="00786747">
        <w:rPr>
          <w:rFonts w:eastAsia="Times New Roman" w:cs="Arial"/>
          <w:color w:val="000000"/>
          <w:szCs w:val="20"/>
          <w:lang w:eastAsia="bg-BG"/>
        </w:rPr>
        <w:t xml:space="preserve">Препоръчва се натоварваща доза от 10,5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през първия </w:t>
      </w:r>
      <w:r>
        <w:rPr>
          <w:rFonts w:eastAsia="Times New Roman" w:cs="Arial"/>
          <w:color w:val="000000"/>
          <w:szCs w:val="20"/>
          <w:lang w:eastAsia="bg-BG"/>
        </w:rPr>
        <w:t>ден на лечение с леветирацетам.</w:t>
      </w:r>
    </w:p>
    <w:p w14:paraId="60FD2C06" w14:textId="77777777" w:rsidR="00786747" w:rsidRPr="00786747" w:rsidRDefault="00786747" w:rsidP="00786747">
      <w:pPr>
        <w:pStyle w:val="ListParagraph"/>
        <w:numPr>
          <w:ilvl w:val="0"/>
          <w:numId w:val="33"/>
        </w:numPr>
        <w:spacing w:line="240" w:lineRule="auto"/>
        <w:rPr>
          <w:rFonts w:eastAsia="Times New Roman" w:cs="Arial"/>
          <w:sz w:val="28"/>
          <w:szCs w:val="24"/>
        </w:rPr>
      </w:pPr>
      <w:r w:rsidRPr="00786747">
        <w:rPr>
          <w:rFonts w:eastAsia="Times New Roman" w:cs="Arial"/>
          <w:color w:val="000000"/>
          <w:szCs w:val="20"/>
          <w:lang w:eastAsia="bg-BG"/>
        </w:rPr>
        <w:t xml:space="preserve">Препоръчва се натоварваща доза от 15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през първия </w:t>
      </w:r>
      <w:r>
        <w:rPr>
          <w:rFonts w:eastAsia="Times New Roman" w:cs="Arial"/>
          <w:color w:val="000000"/>
          <w:szCs w:val="20"/>
          <w:lang w:eastAsia="bg-BG"/>
        </w:rPr>
        <w:t>ден на лечение с леветирацетам.</w:t>
      </w:r>
    </w:p>
    <w:p w14:paraId="15FDCF7C" w14:textId="77777777" w:rsidR="00786747" w:rsidRPr="00786747" w:rsidRDefault="00786747" w:rsidP="00786747">
      <w:pPr>
        <w:pStyle w:val="ListParagraph"/>
        <w:numPr>
          <w:ilvl w:val="0"/>
          <w:numId w:val="33"/>
        </w:numPr>
        <w:spacing w:line="240" w:lineRule="auto"/>
        <w:rPr>
          <w:rFonts w:eastAsia="Times New Roman" w:cs="Arial"/>
          <w:sz w:val="28"/>
          <w:szCs w:val="24"/>
        </w:rPr>
      </w:pPr>
      <w:r w:rsidRPr="00786747">
        <w:rPr>
          <w:rFonts w:eastAsia="Times New Roman" w:cs="Arial"/>
          <w:color w:val="000000"/>
          <w:szCs w:val="20"/>
          <w:lang w:eastAsia="bg-BG"/>
        </w:rPr>
        <w:t xml:space="preserve">След диализа се препоръчва допълнителна доза от 3,5 до 7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w:t>
      </w:r>
    </w:p>
    <w:p w14:paraId="2052777F" w14:textId="5C431EB4" w:rsidR="00786747" w:rsidRPr="00786747" w:rsidRDefault="00786747" w:rsidP="00786747">
      <w:pPr>
        <w:pStyle w:val="ListParagraph"/>
        <w:numPr>
          <w:ilvl w:val="0"/>
          <w:numId w:val="33"/>
        </w:numPr>
        <w:spacing w:line="240" w:lineRule="auto"/>
        <w:rPr>
          <w:rFonts w:eastAsia="Times New Roman" w:cs="Arial"/>
          <w:sz w:val="28"/>
          <w:szCs w:val="24"/>
        </w:rPr>
      </w:pPr>
      <w:r w:rsidRPr="00786747">
        <w:rPr>
          <w:rFonts w:eastAsia="Times New Roman" w:cs="Arial"/>
          <w:color w:val="000000"/>
          <w:szCs w:val="20"/>
          <w:lang w:eastAsia="bg-BG"/>
        </w:rPr>
        <w:t xml:space="preserve">След диализа се препоръчва допълнителна доза от 5,0 до 10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w:t>
      </w:r>
    </w:p>
    <w:p w14:paraId="27792176" w14:textId="1999328F" w:rsidR="00786747" w:rsidRDefault="00786747" w:rsidP="00786747">
      <w:pPr>
        <w:rPr>
          <w:rFonts w:cs="Arial"/>
          <w:sz w:val="28"/>
        </w:rPr>
      </w:pPr>
    </w:p>
    <w:p w14:paraId="577FF535" w14:textId="77777777"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Чернодробно увреждане</w:t>
      </w:r>
    </w:p>
    <w:p w14:paraId="31AB48B0" w14:textId="77777777" w:rsidR="00786747" w:rsidRPr="00786747" w:rsidRDefault="00786747" w:rsidP="00786747">
      <w:pPr>
        <w:spacing w:line="240" w:lineRule="auto"/>
        <w:rPr>
          <w:rFonts w:eastAsia="Times New Roman" w:cs="Arial"/>
          <w:color w:val="000000"/>
          <w:szCs w:val="20"/>
          <w:lang w:eastAsia="bg-BG"/>
        </w:rPr>
      </w:pPr>
    </w:p>
    <w:p w14:paraId="62EEE4E4" w14:textId="16ED88F1"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пациенти с лека до умерена степен на чернодробно увреждане не се налага адаптиране на дозата. При пациенти с тежко чернодробно увреждане е възможно стойностите на креатининовия клирънс да не дадат реална представа за бъбречната недостатъчност.</w:t>
      </w:r>
    </w:p>
    <w:p w14:paraId="01CFFB96"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По тази причина, при креатининов клирънс &lt;60 </w:t>
      </w:r>
      <w:r w:rsidRPr="00786747">
        <w:rPr>
          <w:rFonts w:eastAsia="Times New Roman" w:cs="Arial"/>
          <w:color w:val="000000"/>
          <w:szCs w:val="20"/>
          <w:lang w:val="en-US"/>
        </w:rPr>
        <w:t>ml</w:t>
      </w:r>
      <w:r w:rsidRPr="00786747">
        <w:rPr>
          <w:rFonts w:eastAsia="Times New Roman" w:cs="Arial"/>
          <w:color w:val="000000"/>
          <w:szCs w:val="20"/>
          <w:lang w:val="ru-RU"/>
        </w:rPr>
        <w:t>/</w:t>
      </w:r>
      <w:r w:rsidRPr="00786747">
        <w:rPr>
          <w:rFonts w:eastAsia="Times New Roman" w:cs="Arial"/>
          <w:color w:val="000000"/>
          <w:szCs w:val="20"/>
          <w:lang w:val="en-US"/>
        </w:rPr>
        <w:t>min</w:t>
      </w:r>
      <w:r w:rsidRPr="00786747">
        <w:rPr>
          <w:rFonts w:eastAsia="Times New Roman" w:cs="Arial"/>
          <w:color w:val="000000"/>
          <w:szCs w:val="20"/>
          <w:lang w:val="ru-RU"/>
        </w:rPr>
        <w:t xml:space="preserve">/1,73 </w:t>
      </w:r>
      <w:r w:rsidRPr="00786747">
        <w:rPr>
          <w:rFonts w:eastAsia="Times New Roman" w:cs="Arial"/>
          <w:color w:val="000000"/>
          <w:szCs w:val="20"/>
          <w:lang w:val="en-US"/>
        </w:rPr>
        <w:t>m</w:t>
      </w:r>
      <w:r w:rsidRPr="00786747">
        <w:rPr>
          <w:rFonts w:eastAsia="Times New Roman" w:cs="Arial"/>
          <w:color w:val="000000"/>
          <w:szCs w:val="20"/>
          <w:vertAlign w:val="superscript"/>
          <w:lang w:val="ru-RU"/>
        </w:rPr>
        <w:t>2</w:t>
      </w:r>
      <w:r w:rsidRPr="00786747">
        <w:rPr>
          <w:rFonts w:eastAsia="Times New Roman" w:cs="Arial"/>
          <w:color w:val="000000"/>
          <w:szCs w:val="20"/>
          <w:lang w:val="ru-RU"/>
        </w:rPr>
        <w:t xml:space="preserve"> </w:t>
      </w:r>
      <w:r w:rsidRPr="00786747">
        <w:rPr>
          <w:rFonts w:eastAsia="Times New Roman" w:cs="Arial"/>
          <w:color w:val="000000"/>
          <w:szCs w:val="20"/>
          <w:lang w:eastAsia="bg-BG"/>
        </w:rPr>
        <w:t>се препоръчва намаляване с 50% на дневната поддържаща доза.</w:t>
      </w:r>
    </w:p>
    <w:p w14:paraId="334270C8" w14:textId="77777777" w:rsidR="00786747" w:rsidRPr="00786747" w:rsidRDefault="00786747" w:rsidP="00786747">
      <w:pPr>
        <w:spacing w:line="240" w:lineRule="auto"/>
        <w:rPr>
          <w:rFonts w:eastAsia="Times New Roman" w:cs="Arial"/>
          <w:i/>
          <w:iCs/>
          <w:color w:val="000000"/>
          <w:szCs w:val="20"/>
          <w:lang w:eastAsia="bg-BG"/>
        </w:rPr>
      </w:pPr>
    </w:p>
    <w:p w14:paraId="22F36D87" w14:textId="045B07AF"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Педиатрична популация</w:t>
      </w:r>
    </w:p>
    <w:p w14:paraId="6A52C4F6" w14:textId="77777777" w:rsidR="00786747" w:rsidRPr="00786747" w:rsidRDefault="00786747" w:rsidP="00786747">
      <w:pPr>
        <w:spacing w:line="240" w:lineRule="auto"/>
        <w:rPr>
          <w:rFonts w:eastAsia="Times New Roman" w:cs="Arial"/>
          <w:color w:val="000000"/>
          <w:szCs w:val="20"/>
          <w:lang w:eastAsia="bg-BG"/>
        </w:rPr>
      </w:pPr>
    </w:p>
    <w:p w14:paraId="6FBDAB2F" w14:textId="18400028"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Лекарят трябва да предпише най-подходящата лекарствена форма, във форма и количество на активното вещество в дозова единица, в зависимост от възрастта, теглото и дозата.</w:t>
      </w:r>
    </w:p>
    <w:p w14:paraId="4FA56C7E" w14:textId="77777777" w:rsidR="00786747" w:rsidRPr="00786747" w:rsidRDefault="00786747" w:rsidP="00786747">
      <w:pPr>
        <w:spacing w:line="240" w:lineRule="auto"/>
        <w:rPr>
          <w:rFonts w:eastAsia="Times New Roman" w:cs="Arial"/>
          <w:color w:val="000000"/>
          <w:szCs w:val="20"/>
          <w:lang w:eastAsia="bg-BG"/>
        </w:rPr>
      </w:pPr>
    </w:p>
    <w:p w14:paraId="5A5D246E" w14:textId="37EE64FF"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Таблетната форма не е подходяща за приложение при кърмачета и деца под 6-годишна възраст. Предпочитаната лекарствена форма за употреба при пациентите от тази възрастова група е перорален разтвор. Освен това, наличните дозови форми на таблетките не са подходящи за начално лечение при деца с тегло под 25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за пациенти, които не могат да поглъщат таблетките или за прилагане на дози под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При всички посочени случаи трябва да се използва перорален разтвор на леветирацетам.</w:t>
      </w:r>
    </w:p>
    <w:p w14:paraId="176C5EC6" w14:textId="77777777" w:rsidR="00786747" w:rsidRPr="00786747" w:rsidRDefault="00786747" w:rsidP="00786747">
      <w:pPr>
        <w:spacing w:line="240" w:lineRule="auto"/>
        <w:rPr>
          <w:rFonts w:eastAsia="Times New Roman" w:cs="Arial"/>
          <w:i/>
          <w:iCs/>
          <w:color w:val="000000"/>
          <w:szCs w:val="20"/>
          <w:lang w:eastAsia="bg-BG"/>
        </w:rPr>
      </w:pPr>
    </w:p>
    <w:p w14:paraId="424B81A1" w14:textId="170434DA"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lastRenderedPageBreak/>
        <w:t>Монотерапия</w:t>
      </w:r>
    </w:p>
    <w:p w14:paraId="4A86FEEB" w14:textId="77777777" w:rsidR="00786747" w:rsidRPr="00786747" w:rsidRDefault="00786747" w:rsidP="00786747">
      <w:pPr>
        <w:spacing w:line="240" w:lineRule="auto"/>
        <w:rPr>
          <w:rFonts w:eastAsia="Times New Roman" w:cs="Arial"/>
          <w:color w:val="000000"/>
          <w:szCs w:val="20"/>
          <w:lang w:eastAsia="bg-BG"/>
        </w:rPr>
      </w:pPr>
    </w:p>
    <w:p w14:paraId="65B8C604" w14:textId="337C81A9"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Безопасността и ефикасността на леветирацетам при деца и юноши под 16 години като монотерапия не е установена.</w:t>
      </w:r>
    </w:p>
    <w:p w14:paraId="7C91810F" w14:textId="4B5856BC"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Няма налични данни.</w:t>
      </w:r>
    </w:p>
    <w:p w14:paraId="110AB414" w14:textId="77777777" w:rsidR="00786747" w:rsidRPr="00786747" w:rsidRDefault="00786747" w:rsidP="00786747">
      <w:pPr>
        <w:spacing w:line="240" w:lineRule="auto"/>
        <w:rPr>
          <w:rFonts w:eastAsia="Times New Roman" w:cs="Arial"/>
          <w:i/>
          <w:iCs/>
          <w:color w:val="000000"/>
          <w:szCs w:val="20"/>
          <w:lang w:eastAsia="bg-BG"/>
        </w:rPr>
      </w:pPr>
    </w:p>
    <w:p w14:paraId="75111515" w14:textId="15E1C336"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 xml:space="preserve">Допълващо лечение при новородени на възраст от 6 до 23 месеца, деца (от 2 до И години) и юноши (от 12 до 17години) с тегло под 50 </w:t>
      </w:r>
      <w:r w:rsidRPr="00786747">
        <w:rPr>
          <w:rFonts w:eastAsia="Times New Roman" w:cs="Arial"/>
          <w:i/>
          <w:iCs/>
          <w:color w:val="000000"/>
          <w:szCs w:val="20"/>
          <w:lang w:val="en-US"/>
        </w:rPr>
        <w:t>kg</w:t>
      </w:r>
      <w:r w:rsidRPr="00786747">
        <w:rPr>
          <w:rFonts w:eastAsia="Times New Roman" w:cs="Arial"/>
          <w:i/>
          <w:iCs/>
          <w:color w:val="000000"/>
          <w:szCs w:val="20"/>
          <w:lang w:val="ru-RU"/>
        </w:rPr>
        <w:t>,</w:t>
      </w:r>
    </w:p>
    <w:p w14:paraId="6104F2C1" w14:textId="77777777" w:rsidR="00786747" w:rsidRPr="00786747" w:rsidRDefault="00786747" w:rsidP="00786747">
      <w:pPr>
        <w:spacing w:line="240" w:lineRule="auto"/>
        <w:rPr>
          <w:rFonts w:eastAsia="Times New Roman" w:cs="Arial"/>
          <w:color w:val="000000"/>
          <w:szCs w:val="20"/>
          <w:lang w:eastAsia="bg-BG"/>
        </w:rPr>
      </w:pPr>
    </w:p>
    <w:p w14:paraId="2B62B18E" w14:textId="2D924F9D"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Пероралният разтвор е предпочитаната лекарствена форма за употреба при новородени и деца под 6 години.</w:t>
      </w:r>
    </w:p>
    <w:p w14:paraId="67DD3DA2" w14:textId="77777777" w:rsidR="00786747" w:rsidRPr="00786747" w:rsidRDefault="00786747" w:rsidP="00786747">
      <w:pPr>
        <w:spacing w:line="240" w:lineRule="auto"/>
        <w:rPr>
          <w:rFonts w:eastAsia="Times New Roman" w:cs="Arial"/>
          <w:color w:val="000000"/>
          <w:szCs w:val="20"/>
          <w:lang w:eastAsia="bg-BG"/>
        </w:rPr>
      </w:pPr>
    </w:p>
    <w:p w14:paraId="04424FDC" w14:textId="42CDAFC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При деца на и над 6 години пероралният разтвор трябва да се прилага при дози под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при дози различни от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когато препоръчаната доза не може да се достигне с прием на няколко таблетки и при пациенти, които не могат да поглъщат таблетките. Трябва да се използва най- ниската ефективна доза. Началната доза при деца и юноши с тегло под 25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трябва да бъде 250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два пъти дневно до максимална доза 750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два пъти дневно.</w:t>
      </w:r>
    </w:p>
    <w:p w14:paraId="7EFE5208"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Дозата при деца с тегло 50 </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или повече е същата както при възрастни.</w:t>
      </w:r>
    </w:p>
    <w:p w14:paraId="0ED06244" w14:textId="77777777" w:rsidR="00786747" w:rsidRPr="00786747" w:rsidRDefault="00786747" w:rsidP="00786747">
      <w:pPr>
        <w:spacing w:line="240" w:lineRule="auto"/>
        <w:rPr>
          <w:rFonts w:eastAsia="Times New Roman" w:cs="Arial"/>
          <w:i/>
          <w:iCs/>
          <w:color w:val="000000"/>
          <w:szCs w:val="20"/>
          <w:lang w:eastAsia="bg-BG"/>
        </w:rPr>
      </w:pPr>
    </w:p>
    <w:p w14:paraId="7D9DF610" w14:textId="3C93D7F3" w:rsidR="00786747" w:rsidRPr="00786747" w:rsidRDefault="00786747" w:rsidP="00786747">
      <w:pPr>
        <w:spacing w:line="240" w:lineRule="auto"/>
        <w:rPr>
          <w:rFonts w:eastAsia="Times New Roman" w:cs="Arial"/>
          <w:sz w:val="28"/>
          <w:szCs w:val="24"/>
        </w:rPr>
      </w:pPr>
      <w:r w:rsidRPr="00786747">
        <w:rPr>
          <w:rFonts w:eastAsia="Times New Roman" w:cs="Arial"/>
          <w:i/>
          <w:iCs/>
          <w:color w:val="000000"/>
          <w:szCs w:val="20"/>
          <w:lang w:eastAsia="bg-BG"/>
        </w:rPr>
        <w:t>Допълващо лечение при кърмачета на възраст от 1 до 6 месеца</w:t>
      </w:r>
    </w:p>
    <w:p w14:paraId="7297C0D5" w14:textId="77777777" w:rsidR="00786747" w:rsidRPr="00786747" w:rsidRDefault="00786747" w:rsidP="00786747">
      <w:pPr>
        <w:spacing w:line="240" w:lineRule="auto"/>
        <w:rPr>
          <w:rFonts w:eastAsia="Times New Roman" w:cs="Arial"/>
          <w:color w:val="000000"/>
          <w:szCs w:val="20"/>
          <w:lang w:eastAsia="bg-BG"/>
        </w:rPr>
      </w:pPr>
    </w:p>
    <w:p w14:paraId="2FF5B914" w14:textId="6B568E23"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новородени се прилага перорален разтвор.</w:t>
      </w:r>
    </w:p>
    <w:p w14:paraId="47E879C2" w14:textId="77777777" w:rsidR="00786747" w:rsidRPr="00786747" w:rsidRDefault="00786747" w:rsidP="00786747">
      <w:pPr>
        <w:spacing w:line="240" w:lineRule="auto"/>
        <w:rPr>
          <w:rFonts w:eastAsia="Times New Roman" w:cs="Arial"/>
          <w:color w:val="000000"/>
          <w:szCs w:val="20"/>
          <w:u w:val="single"/>
          <w:lang w:eastAsia="bg-BG"/>
        </w:rPr>
      </w:pPr>
    </w:p>
    <w:p w14:paraId="00C9F216" w14:textId="1329DBF8" w:rsidR="00786747" w:rsidRPr="00786747" w:rsidRDefault="00786747" w:rsidP="00786747">
      <w:pPr>
        <w:pStyle w:val="Heading3"/>
        <w:rPr>
          <w:rFonts w:eastAsia="Times New Roman"/>
          <w:sz w:val="28"/>
          <w:u w:val="single"/>
        </w:rPr>
      </w:pPr>
      <w:r w:rsidRPr="00786747">
        <w:rPr>
          <w:rFonts w:eastAsia="Times New Roman"/>
          <w:u w:val="single"/>
          <w:lang w:eastAsia="bg-BG"/>
        </w:rPr>
        <w:t>Начин на приложение</w:t>
      </w:r>
    </w:p>
    <w:p w14:paraId="5E58E3D9"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Филмираните таблетки трябва да се приемат през устата и да се поглъщат с достатъчно количество течност, със или без храна. След перорално приложение може да се усети горчивият вкус на леветирацетам. Дневната доза се приема разделена на две равни дози.</w:t>
      </w:r>
    </w:p>
    <w:p w14:paraId="2535643B" w14:textId="312D811D" w:rsidR="00786747" w:rsidRDefault="00786747" w:rsidP="00786747">
      <w:pPr>
        <w:rPr>
          <w:rFonts w:cs="Arial"/>
          <w:sz w:val="28"/>
        </w:rPr>
      </w:pPr>
    </w:p>
    <w:p w14:paraId="6EFA875C" w14:textId="53E7DF09" w:rsidR="00786747" w:rsidRDefault="00786747" w:rsidP="00786747">
      <w:pPr>
        <w:pStyle w:val="Heading2"/>
      </w:pPr>
      <w:r>
        <w:t>4.3. Противопоказания</w:t>
      </w:r>
    </w:p>
    <w:p w14:paraId="01643B82" w14:textId="7D4B9887" w:rsidR="00786747" w:rsidRDefault="00786747" w:rsidP="00786747"/>
    <w:p w14:paraId="58277CFC" w14:textId="108AC3CE" w:rsidR="00786747" w:rsidRPr="00786747" w:rsidRDefault="00786747" w:rsidP="00786747">
      <w:r>
        <w:t>Свръхчувствителност към активното вещество или към други пиролидонови производни, или към някое от помощните вещества, изброени в точка 6.1.</w:t>
      </w:r>
    </w:p>
    <w:p w14:paraId="39BEFCF1" w14:textId="77777777" w:rsidR="00786747" w:rsidRPr="00786747" w:rsidRDefault="00786747" w:rsidP="00786747">
      <w:pPr>
        <w:rPr>
          <w:rFonts w:cs="Arial"/>
          <w:sz w:val="28"/>
        </w:rPr>
      </w:pPr>
    </w:p>
    <w:p w14:paraId="5A4AC413" w14:textId="36867334" w:rsidR="00395555" w:rsidRDefault="002C50EE" w:rsidP="008A6AF2">
      <w:pPr>
        <w:pStyle w:val="Heading2"/>
      </w:pPr>
      <w:r>
        <w:t>4.4. Специални предупреждения и предпазни мерки при употреба</w:t>
      </w:r>
    </w:p>
    <w:p w14:paraId="5EFE62A9" w14:textId="601BE641" w:rsidR="00786747" w:rsidRDefault="00786747" w:rsidP="00786747"/>
    <w:p w14:paraId="192890DC"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Бъбречно увреждане</w:t>
      </w:r>
    </w:p>
    <w:p w14:paraId="444A13E6"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Прилагането на леветирацетам при пациенти с бъбречно увреждане може да наложи адаптиране на дозата. При пациенти с тежко нарушение на чернодробната функция се препоръчва оценка на бъбречната функция преди определяне на дозата (вж. точка 4.2).</w:t>
      </w:r>
    </w:p>
    <w:p w14:paraId="2EAB4068" w14:textId="77777777" w:rsidR="00786747" w:rsidRPr="00786747" w:rsidRDefault="00786747" w:rsidP="00786747">
      <w:pPr>
        <w:spacing w:line="240" w:lineRule="auto"/>
        <w:rPr>
          <w:rFonts w:eastAsia="Times New Roman" w:cs="Arial"/>
          <w:color w:val="000000"/>
          <w:szCs w:val="20"/>
          <w:u w:val="single"/>
          <w:lang w:eastAsia="bg-BG"/>
        </w:rPr>
      </w:pPr>
    </w:p>
    <w:p w14:paraId="68EA3F6F" w14:textId="3EAA8489"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Остра бъбречна недостатъчност</w:t>
      </w:r>
    </w:p>
    <w:p w14:paraId="7D908034"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Много рядко употребата на леветирацетам се свързва с остра бъбречна недостатъчност, като времето за нейното възникване варира от няколко дни до няколко месеца.</w:t>
      </w:r>
    </w:p>
    <w:p w14:paraId="083043ED" w14:textId="77777777" w:rsidR="00786747" w:rsidRPr="00786747" w:rsidRDefault="00786747" w:rsidP="00786747">
      <w:pPr>
        <w:spacing w:line="240" w:lineRule="auto"/>
        <w:rPr>
          <w:rFonts w:eastAsia="Times New Roman" w:cs="Arial"/>
          <w:color w:val="000000"/>
          <w:szCs w:val="20"/>
          <w:u w:val="single"/>
          <w:lang w:eastAsia="bg-BG"/>
        </w:rPr>
      </w:pPr>
    </w:p>
    <w:p w14:paraId="2B9346E6" w14:textId="21D51FC3"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Кръвна картина</w:t>
      </w:r>
    </w:p>
    <w:p w14:paraId="4C13B0B5"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Редки случаи на намален брой кръвни клетки (неутропения, агранулоцитоза, левкопения, тромбоцитопения и панцитопения) са описани във връзка с приложението на </w:t>
      </w:r>
      <w:r w:rsidRPr="00786747">
        <w:rPr>
          <w:rFonts w:eastAsia="Times New Roman" w:cs="Arial"/>
          <w:color w:val="000000"/>
          <w:szCs w:val="20"/>
          <w:lang w:eastAsia="bg-BG"/>
        </w:rPr>
        <w:lastRenderedPageBreak/>
        <w:t>леветирацетам, случващо се обикновено в началото на лечението. Пълната кръвна картина се препоръчва при пациенти, които получат значителна слабост, пирексия, повтарящи се инфекции или нарушения в кръвосъсирването (вж. точка 4.8).</w:t>
      </w:r>
    </w:p>
    <w:p w14:paraId="457B2F5F" w14:textId="77777777" w:rsidR="00786747" w:rsidRPr="00786747" w:rsidRDefault="00786747" w:rsidP="00786747">
      <w:pPr>
        <w:spacing w:line="240" w:lineRule="auto"/>
        <w:rPr>
          <w:rFonts w:eastAsia="Times New Roman" w:cs="Arial"/>
          <w:color w:val="000000"/>
          <w:szCs w:val="20"/>
          <w:u w:val="single"/>
          <w:lang w:eastAsia="bg-BG"/>
        </w:rPr>
      </w:pPr>
    </w:p>
    <w:p w14:paraId="2A6EF0B6" w14:textId="03D9616C"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Самоубийство</w:t>
      </w:r>
    </w:p>
    <w:p w14:paraId="7D15519A"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пациенти, лекувани с антиепилептични лекарствени продукти (включително Левебон) са съобщавани случаи на самоубийство, опити за самоубийство, суицидна идеация и поведение. Мета-анализ на рандомизирани, плацебо-контролирани изпитвания на антиепилептични лекарства показва слабо повишен риск от суицидна идеация и поведение. Механизмът на този риск не е известен.</w:t>
      </w:r>
    </w:p>
    <w:p w14:paraId="2FF5CD80" w14:textId="77777777" w:rsidR="00786747" w:rsidRPr="00786747" w:rsidRDefault="00786747" w:rsidP="00786747">
      <w:pPr>
        <w:spacing w:line="240" w:lineRule="auto"/>
        <w:rPr>
          <w:rFonts w:eastAsia="Times New Roman" w:cs="Arial"/>
          <w:color w:val="000000"/>
          <w:szCs w:val="20"/>
          <w:lang w:eastAsia="bg-BG"/>
        </w:rPr>
      </w:pPr>
    </w:p>
    <w:p w14:paraId="35E878D5" w14:textId="04E3BDD2"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Поради това пациентите трябва да бъдат проследявани за признаци на депресия и/или суицидна идеация и поведение и трябва да бъде обмислено подходящо лечение. Пациентите (и болногледачите) трябва да бъдат съветвани да търсят медицинска консултация, ако възникнат признаци на депресия и/или суицидна идеация или поведение.</w:t>
      </w:r>
    </w:p>
    <w:p w14:paraId="60284B75" w14:textId="77777777" w:rsidR="00786747" w:rsidRPr="00786747" w:rsidRDefault="00786747" w:rsidP="00786747">
      <w:pPr>
        <w:spacing w:line="240" w:lineRule="auto"/>
        <w:rPr>
          <w:rFonts w:eastAsia="Times New Roman" w:cs="Arial"/>
          <w:color w:val="000000"/>
          <w:szCs w:val="20"/>
          <w:u w:val="single"/>
          <w:lang w:eastAsia="bg-BG"/>
        </w:rPr>
      </w:pPr>
    </w:p>
    <w:p w14:paraId="32704ED5" w14:textId="722A69C3"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Абнормно и агресивно поведение</w:t>
      </w:r>
    </w:p>
    <w:p w14:paraId="198D17D9"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Леветирацетам може да причини психотични симптоми и поведенчески аномалии, включително раздразнителност и агресивност. Пациентите, лекувани с леветирацетам, трябва да бъдат наблюдавани за развитие на психиатрични прояви, насочващи към съществени промени в настроението и/или личността. Ако се забележат такива поведения, трябва да се обмисли коригиране или постепенно преустановяване на лечението. Ако се вземе предвид преустановяване на лечението, моля вижте точка 4.2.</w:t>
      </w:r>
    </w:p>
    <w:p w14:paraId="23118510" w14:textId="77777777" w:rsidR="00786747" w:rsidRPr="00786747" w:rsidRDefault="00786747" w:rsidP="00786747">
      <w:pPr>
        <w:spacing w:line="240" w:lineRule="auto"/>
        <w:rPr>
          <w:rFonts w:eastAsia="Times New Roman" w:cs="Arial"/>
          <w:color w:val="000000"/>
          <w:szCs w:val="20"/>
          <w:u w:val="single"/>
          <w:lang w:eastAsia="bg-BG"/>
        </w:rPr>
      </w:pPr>
    </w:p>
    <w:p w14:paraId="54D8AAD6" w14:textId="5B3533CF"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Педиатрична популация</w:t>
      </w:r>
    </w:p>
    <w:p w14:paraId="171EA6C4"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Таблетната форма не е подходяща за употреба при новородени и деца под 6 години.</w:t>
      </w:r>
    </w:p>
    <w:p w14:paraId="0DF06A93"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Наличните данни при деца не показват повлияване на растежа и пубертета. Въпреки това не са известни дългосрочни ефекти върху способността за заучаване, интелекта, растежа, ендокринните функции, пубертета и детеродния потенциал.</w:t>
      </w:r>
    </w:p>
    <w:p w14:paraId="295D24EE" w14:textId="77777777" w:rsidR="00786747" w:rsidRPr="00786747" w:rsidRDefault="00786747" w:rsidP="00786747"/>
    <w:p w14:paraId="1244F76A" w14:textId="549F1E6A" w:rsidR="00395555" w:rsidRDefault="002C50EE" w:rsidP="008A6AF2">
      <w:pPr>
        <w:pStyle w:val="Heading2"/>
      </w:pPr>
      <w:r>
        <w:t>4.5. Взаимодействие с други лекарствени продукти и други форми на взаимодействие</w:t>
      </w:r>
    </w:p>
    <w:p w14:paraId="775EA172" w14:textId="0464838F" w:rsidR="00786747" w:rsidRDefault="00786747" w:rsidP="00786747"/>
    <w:p w14:paraId="40009E78"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Антиепилептични лекарствени продукти</w:t>
      </w:r>
    </w:p>
    <w:p w14:paraId="72CC2C25"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Данните от клинични проучвания при възрастни преди пускане в продажба показват, че леветирацетам не повлиява серумните концентрации на съществуващите антиепилептични лекарствени продукти (фенитоин, карбамазепин, валпроева киселина, фенобарбитал, ламотригин, габапентин и, примидон), както и че тези антиепилептични лекарствени продукти не повлияват фармакокинетиката на леветирацетам.</w:t>
      </w:r>
    </w:p>
    <w:p w14:paraId="1F17C338" w14:textId="1DC67D62" w:rsidR="00786747" w:rsidRPr="00786747" w:rsidRDefault="00786747" w:rsidP="00786747">
      <w:pPr>
        <w:rPr>
          <w:rFonts w:cs="Arial"/>
          <w:sz w:val="24"/>
        </w:rPr>
      </w:pPr>
    </w:p>
    <w:p w14:paraId="5F48022E"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Няма данни за клинично значими лекарствени взаимодействия както при възрастни, така и при педиатрични пациенти, приемащи дневно до 60 </w:t>
      </w:r>
      <w:r w:rsidRPr="00786747">
        <w:rPr>
          <w:rFonts w:eastAsia="Times New Roman" w:cs="Arial"/>
          <w:color w:val="000000"/>
          <w:szCs w:val="20"/>
          <w:lang w:val="en-US"/>
        </w:rPr>
        <w:t>mg</w:t>
      </w:r>
      <w:r w:rsidRPr="00786747">
        <w:rPr>
          <w:rFonts w:eastAsia="Times New Roman" w:cs="Arial"/>
          <w:color w:val="000000"/>
          <w:szCs w:val="20"/>
          <w:lang w:val="ru-RU"/>
        </w:rPr>
        <w:t>/</w:t>
      </w:r>
      <w:r w:rsidRPr="00786747">
        <w:rPr>
          <w:rFonts w:eastAsia="Times New Roman" w:cs="Arial"/>
          <w:color w:val="000000"/>
          <w:szCs w:val="20"/>
          <w:lang w:val="en-US"/>
        </w:rPr>
        <w:t>kg</w:t>
      </w:r>
      <w:r w:rsidRPr="00786747">
        <w:rPr>
          <w:rFonts w:eastAsia="Times New Roman" w:cs="Arial"/>
          <w:color w:val="000000"/>
          <w:szCs w:val="20"/>
          <w:lang w:val="ru-RU"/>
        </w:rPr>
        <w:t xml:space="preserve"> </w:t>
      </w:r>
      <w:r w:rsidRPr="00786747">
        <w:rPr>
          <w:rFonts w:eastAsia="Times New Roman" w:cs="Arial"/>
          <w:color w:val="000000"/>
          <w:szCs w:val="20"/>
          <w:lang w:eastAsia="bg-BG"/>
        </w:rPr>
        <w:t>леветирацетам.</w:t>
      </w:r>
    </w:p>
    <w:p w14:paraId="6888801E"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Ретроспективната оценка на фармакокинетичните взаимодействия при деца и юноши с епилепсия (4 до 17 години) потвърждава, че добавъчното лечение с приеман перорално леветирацетам не повлиява стационарните серумни концентрации на едновременно прилаганите карбамазепин и валпроат. Въпреки това, данните предполагат 20% по-висок клирънс на леветирацетам при деца, приемащи ензим-индуциращи антиепилептични лекарствени продукти. Не се налага адаптиране на дозата.</w:t>
      </w:r>
    </w:p>
    <w:p w14:paraId="1DF89888" w14:textId="77777777" w:rsidR="00786747" w:rsidRPr="00786747" w:rsidRDefault="00786747" w:rsidP="00786747">
      <w:pPr>
        <w:spacing w:line="240" w:lineRule="auto"/>
        <w:rPr>
          <w:rFonts w:eastAsia="Times New Roman" w:cs="Arial"/>
          <w:color w:val="000000"/>
          <w:szCs w:val="20"/>
          <w:u w:val="single"/>
          <w:lang w:eastAsia="bg-BG"/>
        </w:rPr>
      </w:pPr>
    </w:p>
    <w:p w14:paraId="57A7DDD5" w14:textId="763302A0"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lastRenderedPageBreak/>
        <w:t>Пробенецид</w:t>
      </w:r>
    </w:p>
    <w:p w14:paraId="5DF61389"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Установено е, че Пробенецид (500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четири пъти дневно), блокер на бъбречната тубулна секреция, инхибира бъбречния клирънс на първичния метаболит, но не и на леветирацетам. Въпреки това концентрацията на този метаболит остава ниска.</w:t>
      </w:r>
    </w:p>
    <w:p w14:paraId="0758D6BF" w14:textId="77777777" w:rsidR="00786747" w:rsidRPr="00786747" w:rsidRDefault="00786747" w:rsidP="00786747">
      <w:pPr>
        <w:spacing w:line="240" w:lineRule="auto"/>
        <w:rPr>
          <w:rFonts w:eastAsia="Times New Roman" w:cs="Arial"/>
          <w:color w:val="000000"/>
          <w:szCs w:val="20"/>
          <w:u w:val="single"/>
          <w:lang w:eastAsia="bg-BG"/>
        </w:rPr>
      </w:pPr>
    </w:p>
    <w:p w14:paraId="445862D5" w14:textId="49CE3876"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Метотрексат</w:t>
      </w:r>
    </w:p>
    <w:p w14:paraId="0DD46D15"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Съобщено е, че едновременното приложение на леветирацетам и метотрексат намалява клирънса на метотрексат, което води до повишена концентрация/задьржане на метотрексат в кръвта до потенциално токсични нива. Нивата на метотрексат и леветирацетам в кръвта трябва да се проследяват внимателно при пациенти, лекувани едновременно с двете лекарства.</w:t>
      </w:r>
    </w:p>
    <w:p w14:paraId="188F3AC4" w14:textId="77777777" w:rsidR="00786747" w:rsidRPr="00786747" w:rsidRDefault="00786747" w:rsidP="00786747">
      <w:pPr>
        <w:spacing w:line="240" w:lineRule="auto"/>
        <w:rPr>
          <w:rFonts w:eastAsia="Times New Roman" w:cs="Arial"/>
          <w:color w:val="000000"/>
          <w:szCs w:val="20"/>
          <w:u w:val="single"/>
          <w:lang w:eastAsia="bg-BG"/>
        </w:rPr>
      </w:pPr>
    </w:p>
    <w:p w14:paraId="29698118" w14:textId="77D0991F"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Перорални контрацептиви и други фармакокинетични взаимодействия</w:t>
      </w:r>
    </w:p>
    <w:p w14:paraId="4F8A2D9D"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 xml:space="preserve">Леветирацетам 1 000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дневно не повлиява фармакокинетиката на пероралните контрацептиви (етинилестрадиол и левоноргестрел); ендокринните параметри (лутеинизиращ хормон и прогестерон) не се променят. Леветирацетам 2 000 </w:t>
      </w:r>
      <w:r w:rsidRPr="00786747">
        <w:rPr>
          <w:rFonts w:eastAsia="Times New Roman" w:cs="Arial"/>
          <w:color w:val="000000"/>
          <w:szCs w:val="20"/>
          <w:lang w:val="en-US"/>
        </w:rPr>
        <w:t>mg</w:t>
      </w:r>
      <w:r w:rsidRPr="00786747">
        <w:rPr>
          <w:rFonts w:eastAsia="Times New Roman" w:cs="Arial"/>
          <w:color w:val="000000"/>
          <w:szCs w:val="20"/>
          <w:lang w:val="ru-RU"/>
        </w:rPr>
        <w:t xml:space="preserve"> </w:t>
      </w:r>
      <w:r w:rsidRPr="00786747">
        <w:rPr>
          <w:rFonts w:eastAsia="Times New Roman" w:cs="Arial"/>
          <w:color w:val="000000"/>
          <w:szCs w:val="20"/>
          <w:lang w:eastAsia="bg-BG"/>
        </w:rPr>
        <w:t>дневно не повлиява фармакокинетиката на дигоксин и варфарин; протромбиновото време не се променя. Едновременният прием с дигоксин, перорални контрацептиви и варфарин не повлиява фармакокинетиката на леветирацетам.</w:t>
      </w:r>
    </w:p>
    <w:p w14:paraId="6FFA7E6A" w14:textId="77777777" w:rsidR="00786747" w:rsidRPr="00786747" w:rsidRDefault="00786747" w:rsidP="00786747">
      <w:pPr>
        <w:spacing w:line="240" w:lineRule="auto"/>
        <w:rPr>
          <w:rFonts w:eastAsia="Times New Roman" w:cs="Arial"/>
          <w:color w:val="000000"/>
          <w:szCs w:val="20"/>
          <w:u w:val="single"/>
          <w:lang w:eastAsia="bg-BG"/>
        </w:rPr>
      </w:pPr>
    </w:p>
    <w:p w14:paraId="0304CD36" w14:textId="775E1938"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Лаксативи</w:t>
      </w:r>
    </w:p>
    <w:p w14:paraId="6A4136AE"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Има единични съобщения за намалена ефективност на леветирацетам, когато се приема перорално едновременно с осмотичния лаксатив макрогол. Затова макрогол трябва да се приема един час преди или един час след перорален прием на леветирацетам.</w:t>
      </w:r>
    </w:p>
    <w:p w14:paraId="5F1D0538" w14:textId="77777777" w:rsidR="00786747" w:rsidRPr="00786747" w:rsidRDefault="00786747" w:rsidP="00786747">
      <w:pPr>
        <w:spacing w:line="240" w:lineRule="auto"/>
        <w:rPr>
          <w:rFonts w:eastAsia="Times New Roman" w:cs="Arial"/>
          <w:color w:val="000000"/>
          <w:szCs w:val="20"/>
          <w:u w:val="single"/>
          <w:lang w:eastAsia="bg-BG"/>
        </w:rPr>
      </w:pPr>
    </w:p>
    <w:p w14:paraId="62DB958A" w14:textId="0CFCF3AE"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Храна и алкохол</w:t>
      </w:r>
    </w:p>
    <w:p w14:paraId="1D04C84B"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Степента на абсорбция на леветирацетам не се променя от храната, но скоростта на абсорбция е слабо понижена.</w:t>
      </w:r>
    </w:p>
    <w:p w14:paraId="5B84B412"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Няма данни за взаимодействие на леветирацетам с алкохол.</w:t>
      </w:r>
    </w:p>
    <w:p w14:paraId="62C4C87B" w14:textId="77777777" w:rsidR="00786747" w:rsidRPr="00786747" w:rsidRDefault="00786747" w:rsidP="00786747"/>
    <w:p w14:paraId="6EADE4D6" w14:textId="028E2605" w:rsidR="00395555" w:rsidRDefault="002C50EE" w:rsidP="008A6AF2">
      <w:pPr>
        <w:pStyle w:val="Heading2"/>
      </w:pPr>
      <w:r>
        <w:t>4.6. Фертилитет, бременност и кърмене</w:t>
      </w:r>
    </w:p>
    <w:p w14:paraId="22553561" w14:textId="39EDA07C" w:rsidR="00786747" w:rsidRDefault="00786747" w:rsidP="00786747"/>
    <w:p w14:paraId="425C2442"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Жени с детероден потенциал</w:t>
      </w:r>
    </w:p>
    <w:p w14:paraId="63E7C7B3"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На жени с детероден потенциал трябва да се дава съвет от специалист. Лечението с леветирацетам трябва да се преразгледа, когато жената планира да забременее. Както при всички антиепилептични лекарства, трябва да се избягва внезапно спиране на леветирацетам, тъй като това може да доведе до поява на гърчове, които биха могли да имат сериозни последици за жената и нероденото дете. Трябва да се предпочете монотерапия, когато е възможно, тъй като лечението с множество антиепилептични лекарства (АЕЛ) може да е свързано с по-висок риск от вродени малформации, отколкото монотерапията, в зависимост от прилаганите антиепилептици.</w:t>
      </w:r>
    </w:p>
    <w:p w14:paraId="31D01E83" w14:textId="77777777" w:rsidR="00786747" w:rsidRPr="00786747" w:rsidRDefault="00786747" w:rsidP="00786747">
      <w:pPr>
        <w:spacing w:line="240" w:lineRule="auto"/>
        <w:rPr>
          <w:rFonts w:eastAsia="Times New Roman" w:cs="Arial"/>
          <w:color w:val="000000"/>
          <w:szCs w:val="20"/>
          <w:u w:val="single"/>
          <w:lang w:eastAsia="bg-BG"/>
        </w:rPr>
      </w:pPr>
    </w:p>
    <w:p w14:paraId="4DE5020E" w14:textId="63A4514F" w:rsidR="00786747" w:rsidRPr="00786747" w:rsidRDefault="00786747" w:rsidP="00786747">
      <w:pPr>
        <w:pStyle w:val="Heading3"/>
        <w:rPr>
          <w:rFonts w:eastAsia="Times New Roman"/>
          <w:sz w:val="28"/>
          <w:u w:val="single"/>
        </w:rPr>
      </w:pPr>
      <w:r w:rsidRPr="00786747">
        <w:rPr>
          <w:rFonts w:eastAsia="Times New Roman"/>
          <w:u w:val="single"/>
          <w:lang w:eastAsia="bg-BG"/>
        </w:rPr>
        <w:t>Бременност</w:t>
      </w:r>
    </w:p>
    <w:p w14:paraId="46B5F5CB" w14:textId="77777777" w:rsidR="00786747" w:rsidRPr="00786747" w:rsidRDefault="00786747" w:rsidP="00786747">
      <w:pPr>
        <w:rPr>
          <w:rFonts w:eastAsia="Times New Roman" w:cs="Arial"/>
          <w:sz w:val="28"/>
          <w:szCs w:val="24"/>
        </w:rPr>
      </w:pPr>
      <w:r w:rsidRPr="00786747">
        <w:rPr>
          <w:rFonts w:eastAsia="Times New Roman" w:cs="Arial"/>
          <w:color w:val="000000"/>
          <w:szCs w:val="20"/>
          <w:lang w:eastAsia="bg-BG"/>
        </w:rPr>
        <w:t xml:space="preserve">Големият брой постмаркетингови данни при бременни жени с експозиция на леветирацетам като монотерапия (над 1 </w:t>
      </w:r>
      <w:r w:rsidRPr="00786747">
        <w:rPr>
          <w:rFonts w:eastAsia="Times New Roman" w:cs="Arial"/>
          <w:i/>
          <w:iCs/>
          <w:color w:val="000000"/>
          <w:szCs w:val="20"/>
          <w:lang w:eastAsia="bg-BG"/>
        </w:rPr>
        <w:t>800,</w:t>
      </w:r>
      <w:r w:rsidRPr="00786747">
        <w:rPr>
          <w:rFonts w:eastAsia="Times New Roman" w:cs="Arial"/>
          <w:color w:val="000000"/>
          <w:szCs w:val="20"/>
          <w:lang w:eastAsia="bg-BG"/>
        </w:rPr>
        <w:t xml:space="preserve"> сред които при над </w:t>
      </w:r>
      <w:r w:rsidRPr="00786747">
        <w:rPr>
          <w:rFonts w:eastAsia="Times New Roman" w:cs="Arial"/>
          <w:i/>
          <w:iCs/>
          <w:color w:val="000000"/>
          <w:szCs w:val="20"/>
          <w:lang w:eastAsia="bg-BG"/>
        </w:rPr>
        <w:t>1 500</w:t>
      </w:r>
      <w:r w:rsidRPr="00786747">
        <w:rPr>
          <w:rFonts w:eastAsia="Times New Roman" w:cs="Arial"/>
          <w:color w:val="000000"/>
          <w:szCs w:val="20"/>
          <w:lang w:eastAsia="bg-BG"/>
        </w:rPr>
        <w:t xml:space="preserve"> експозицията възниква по време на първия триместър) не показват увеличаване на риска от основните вродени малформации Съществуват само ограничени доказателства за неврологичното развитие на деца, изложени на</w:t>
      </w:r>
      <w:r w:rsidRPr="00786747">
        <w:rPr>
          <w:rFonts w:eastAsia="Times New Roman" w:cs="Arial"/>
          <w:color w:val="000000"/>
          <w:szCs w:val="20"/>
          <w:lang w:val="ru-RU" w:eastAsia="bg-BG"/>
        </w:rPr>
        <w:t xml:space="preserve"> </w:t>
      </w:r>
      <w:r w:rsidRPr="00786747">
        <w:rPr>
          <w:rFonts w:eastAsia="Times New Roman" w:cs="Arial"/>
          <w:color w:val="000000"/>
          <w:szCs w:val="20"/>
          <w:lang w:eastAsia="bg-BG"/>
        </w:rPr>
        <w:t xml:space="preserve">монотерапия с леветирацетам </w:t>
      </w:r>
      <w:r w:rsidRPr="00786747">
        <w:rPr>
          <w:rFonts w:eastAsia="Times New Roman" w:cs="Arial"/>
          <w:i/>
          <w:iCs/>
          <w:color w:val="000000"/>
          <w:szCs w:val="20"/>
          <w:lang w:val="en-US"/>
        </w:rPr>
        <w:t>in</w:t>
      </w:r>
      <w:r w:rsidRPr="00786747">
        <w:rPr>
          <w:rFonts w:eastAsia="Times New Roman" w:cs="Arial"/>
          <w:i/>
          <w:iCs/>
          <w:color w:val="000000"/>
          <w:szCs w:val="20"/>
          <w:lang w:val="ru-RU"/>
        </w:rPr>
        <w:t xml:space="preserve"> </w:t>
      </w:r>
      <w:r w:rsidRPr="00786747">
        <w:rPr>
          <w:rFonts w:eastAsia="Times New Roman" w:cs="Arial"/>
          <w:i/>
          <w:iCs/>
          <w:color w:val="000000"/>
          <w:szCs w:val="20"/>
          <w:lang w:val="en-US"/>
        </w:rPr>
        <w:t>utero</w:t>
      </w:r>
      <w:r w:rsidRPr="00786747">
        <w:rPr>
          <w:rFonts w:eastAsia="Times New Roman" w:cs="Arial"/>
          <w:i/>
          <w:iCs/>
          <w:color w:val="000000"/>
          <w:szCs w:val="20"/>
          <w:lang w:val="ru-RU"/>
        </w:rPr>
        <w:t>.</w:t>
      </w:r>
      <w:r w:rsidRPr="00786747">
        <w:rPr>
          <w:rFonts w:eastAsia="Times New Roman" w:cs="Arial"/>
          <w:color w:val="000000"/>
          <w:szCs w:val="20"/>
          <w:lang w:val="ru-RU"/>
        </w:rPr>
        <w:t xml:space="preserve"> </w:t>
      </w:r>
      <w:r w:rsidRPr="00786747">
        <w:rPr>
          <w:rFonts w:eastAsia="Times New Roman" w:cs="Arial"/>
          <w:color w:val="000000"/>
          <w:szCs w:val="20"/>
          <w:lang w:eastAsia="bg-BG"/>
        </w:rPr>
        <w:t xml:space="preserve">Въпреки това </w:t>
      </w:r>
      <w:r w:rsidRPr="00786747">
        <w:rPr>
          <w:rFonts w:eastAsia="Times New Roman" w:cs="Arial"/>
          <w:color w:val="000000"/>
          <w:szCs w:val="20"/>
          <w:lang w:eastAsia="bg-BG"/>
        </w:rPr>
        <w:lastRenderedPageBreak/>
        <w:t>текущите епидемиологични проучвания (при около 100 деца) не показват повишен риск от нарушения или забавяне на неврологичното развитие.</w:t>
      </w:r>
    </w:p>
    <w:p w14:paraId="4DA357BE"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Леветирацетам може да се прилага по време на бременност, ако след внимателна оценка се счете, че е клинично необходимо. В такъв случай се препоръчва най-ниската ефективна доза.</w:t>
      </w:r>
    </w:p>
    <w:p w14:paraId="19A8756D" w14:textId="77777777" w:rsidR="00786747" w:rsidRPr="00786747" w:rsidRDefault="00786747" w:rsidP="00786747">
      <w:pPr>
        <w:spacing w:line="240" w:lineRule="auto"/>
        <w:rPr>
          <w:rFonts w:eastAsia="Times New Roman" w:cs="Arial"/>
          <w:color w:val="000000"/>
          <w:szCs w:val="20"/>
          <w:lang w:eastAsia="bg-BG"/>
        </w:rPr>
      </w:pPr>
    </w:p>
    <w:p w14:paraId="0E69FC8D" w14:textId="6B32DF2B"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Физиологичните промени по време на бременността могат да повлияят концентрацията на леветирацетам. По време на бременността се наблюдава понижаване на плазмените концентрации на леветирацетам. Понижаването е по-изразено през третия триместър (до 60% от изходното ниво преди бременността). На бременните жени, лекувани с леветирацетам, трябва да се осигурят подходящи медицински грижи.</w:t>
      </w:r>
    </w:p>
    <w:p w14:paraId="57DD9891" w14:textId="77777777" w:rsidR="00786747" w:rsidRPr="00786747" w:rsidRDefault="00786747" w:rsidP="00786747">
      <w:pPr>
        <w:spacing w:line="240" w:lineRule="auto"/>
        <w:rPr>
          <w:rFonts w:eastAsia="Times New Roman" w:cs="Arial"/>
          <w:color w:val="000000"/>
          <w:szCs w:val="20"/>
          <w:u w:val="single"/>
          <w:lang w:eastAsia="bg-BG"/>
        </w:rPr>
      </w:pPr>
    </w:p>
    <w:p w14:paraId="130A6F9D" w14:textId="048E0835" w:rsidR="00786747" w:rsidRPr="00786747" w:rsidRDefault="00786747" w:rsidP="00786747">
      <w:pPr>
        <w:pStyle w:val="Heading3"/>
        <w:rPr>
          <w:rFonts w:eastAsia="Times New Roman"/>
          <w:sz w:val="28"/>
          <w:u w:val="single"/>
        </w:rPr>
      </w:pPr>
      <w:r w:rsidRPr="00786747">
        <w:rPr>
          <w:rFonts w:eastAsia="Times New Roman"/>
          <w:u w:val="single"/>
          <w:lang w:eastAsia="bg-BG"/>
        </w:rPr>
        <w:t>Кърмене</w:t>
      </w:r>
    </w:p>
    <w:p w14:paraId="12688AF7"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Леветирацетам се отделя в кърмата. Затова кърменето не е препоръчително. Ако в периода на кърмене, обаче се налага провеждане на лечение с леветирацетам, трябва да се оцени съотношението полза/риск, като се вземе под внимание значението на кърменето.</w:t>
      </w:r>
    </w:p>
    <w:p w14:paraId="1122F141" w14:textId="77777777" w:rsidR="00786747" w:rsidRPr="00786747" w:rsidRDefault="00786747" w:rsidP="00786747">
      <w:pPr>
        <w:spacing w:line="240" w:lineRule="auto"/>
        <w:rPr>
          <w:rFonts w:eastAsia="Times New Roman" w:cs="Arial"/>
          <w:color w:val="000000"/>
          <w:szCs w:val="20"/>
          <w:u w:val="single"/>
          <w:lang w:eastAsia="bg-BG"/>
        </w:rPr>
      </w:pPr>
    </w:p>
    <w:p w14:paraId="4FA7F0A8" w14:textId="379CB044" w:rsidR="00786747" w:rsidRPr="00786747" w:rsidRDefault="00786747" w:rsidP="00786747">
      <w:pPr>
        <w:pStyle w:val="Heading3"/>
        <w:rPr>
          <w:rFonts w:eastAsia="Times New Roman"/>
          <w:sz w:val="28"/>
          <w:u w:val="single"/>
        </w:rPr>
      </w:pPr>
      <w:r w:rsidRPr="00786747">
        <w:rPr>
          <w:rFonts w:eastAsia="Times New Roman"/>
          <w:u w:val="single"/>
          <w:lang w:eastAsia="bg-BG"/>
        </w:rPr>
        <w:t>Фертилитет</w:t>
      </w:r>
    </w:p>
    <w:p w14:paraId="6C328225" w14:textId="284E4763" w:rsidR="00786747" w:rsidRDefault="00786747" w:rsidP="00786747">
      <w:pPr>
        <w:rPr>
          <w:rFonts w:eastAsia="Times New Roman" w:cs="Arial"/>
          <w:color w:val="000000"/>
          <w:szCs w:val="20"/>
          <w:lang w:eastAsia="bg-BG"/>
        </w:rPr>
      </w:pPr>
      <w:r w:rsidRPr="00786747">
        <w:rPr>
          <w:rFonts w:eastAsia="Times New Roman" w:cs="Arial"/>
          <w:color w:val="000000"/>
          <w:szCs w:val="20"/>
          <w:lang w:eastAsia="bg-BG"/>
        </w:rPr>
        <w:t>При проучвания при опитни животни не е установено влияние върху фертилитета (вж. точка 5.3). Няма клинични данни и потенциалният риск за хора не е известен.</w:t>
      </w:r>
    </w:p>
    <w:p w14:paraId="5E155EDB" w14:textId="77777777" w:rsidR="00786747" w:rsidRPr="00786747" w:rsidRDefault="00786747" w:rsidP="00786747">
      <w:pPr>
        <w:rPr>
          <w:rFonts w:cs="Arial"/>
          <w:sz w:val="24"/>
          <w:lang w:val="ru-RU"/>
        </w:rPr>
      </w:pPr>
    </w:p>
    <w:p w14:paraId="5766770B" w14:textId="74E4D2BE" w:rsidR="00395555" w:rsidRDefault="002C50EE" w:rsidP="008A6AF2">
      <w:pPr>
        <w:pStyle w:val="Heading2"/>
      </w:pPr>
      <w:r>
        <w:t>4.7. Ефекти върху способността за шофиране и работа с машини</w:t>
      </w:r>
    </w:p>
    <w:p w14:paraId="0975C567" w14:textId="0622B5FF" w:rsidR="00786747" w:rsidRDefault="00786747" w:rsidP="00786747"/>
    <w:p w14:paraId="7B7670E8" w14:textId="77777777" w:rsidR="00786747" w:rsidRPr="00786747" w:rsidRDefault="00786747" w:rsidP="00786747">
      <w:pPr>
        <w:rPr>
          <w:sz w:val="24"/>
          <w:szCs w:val="24"/>
        </w:rPr>
      </w:pPr>
      <w:r w:rsidRPr="00786747">
        <w:rPr>
          <w:lang w:eastAsia="bg-BG"/>
        </w:rPr>
        <w:t xml:space="preserve">Леветирацетам не повлиява или повлиява пренебрежимо способността за шофиране и работа с машини. Поради възможна различна индивидуална чувствителност при някои пациенти, особено в началото на лечението или при последващо увеличаване на дозата, е възможна поява на сънливост или други симптоми от страна на централната нервна система. Затова се препоръчва повишено внимание при пациенти, извършващи дейности, за които се изискват умения </w:t>
      </w:r>
      <w:r w:rsidRPr="00786747">
        <w:rPr>
          <w:i/>
          <w:iCs/>
          <w:lang w:eastAsia="bg-BG"/>
        </w:rPr>
        <w:t>напр.</w:t>
      </w:r>
      <w:r w:rsidRPr="00786747">
        <w:rPr>
          <w:lang w:eastAsia="bg-BG"/>
        </w:rPr>
        <w:t xml:space="preserve"> шофиране или работа с машини. Пациентите трябва да бъдат посъветвани да не шофират и да не работят с машини, докато се установи, че способността им за извършвани на такива дейности не се повлиява.</w:t>
      </w:r>
    </w:p>
    <w:p w14:paraId="7CACA63D" w14:textId="77777777" w:rsidR="00786747" w:rsidRPr="00786747" w:rsidRDefault="00786747" w:rsidP="00786747"/>
    <w:p w14:paraId="4FE16E21" w14:textId="09D67C0E" w:rsidR="00395555" w:rsidRDefault="002C50EE" w:rsidP="008A6AF2">
      <w:pPr>
        <w:pStyle w:val="Heading2"/>
      </w:pPr>
      <w:r>
        <w:t>4.8. Нежелани лекарствени реакции</w:t>
      </w:r>
    </w:p>
    <w:p w14:paraId="0461DDA9" w14:textId="39815531" w:rsidR="00786747" w:rsidRDefault="00786747" w:rsidP="00786747"/>
    <w:p w14:paraId="476B8B25"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Обобщение на профила за безопасност</w:t>
      </w:r>
    </w:p>
    <w:p w14:paraId="23F5B6C3" w14:textId="77777777" w:rsidR="00786747" w:rsidRPr="00786747" w:rsidRDefault="00786747" w:rsidP="00786747">
      <w:pPr>
        <w:spacing w:line="240" w:lineRule="auto"/>
        <w:rPr>
          <w:rFonts w:eastAsia="Times New Roman" w:cs="Arial"/>
          <w:color w:val="000000"/>
          <w:szCs w:val="20"/>
          <w:lang w:eastAsia="bg-BG"/>
        </w:rPr>
      </w:pPr>
    </w:p>
    <w:p w14:paraId="03C5EA6E" w14:textId="76D9FE1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Най-често съобщаваните нежелани реакции са назофарингит, сънливост, главоболие, умора и световъртеж. Профилът на нежеланите реакции, представени по-долу, се основава на анализа на сборни плацебо-контролирани клинични изпитвания за всички изследвани показания, включващи общо 3 416 пациенти, лекувани с леветирацетам. Тези данни са допълнени с употребата на леветирацетам в съответните отворени разширени проучвания, както и пост- маркетинговия опит. Профилът на безопасност на леветирацетам е като цяло подобен при различните възрастови групи (възрастни и педиатрични пациенти), както и в рамките на одобрените индикации свързани с епилепсията.</w:t>
      </w:r>
    </w:p>
    <w:p w14:paraId="47DD270D" w14:textId="77777777" w:rsidR="00786747" w:rsidRPr="00786747" w:rsidRDefault="00786747" w:rsidP="00786747">
      <w:pPr>
        <w:spacing w:line="240" w:lineRule="auto"/>
        <w:rPr>
          <w:rFonts w:eastAsia="Times New Roman" w:cs="Arial"/>
          <w:color w:val="000000"/>
          <w:szCs w:val="20"/>
          <w:u w:val="single"/>
          <w:lang w:eastAsia="bg-BG"/>
        </w:rPr>
      </w:pPr>
    </w:p>
    <w:p w14:paraId="5ABF2539" w14:textId="1F9590B5"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Таблица на нежеланите лекарствени реакпии</w:t>
      </w:r>
    </w:p>
    <w:p w14:paraId="6D83DD9F" w14:textId="77777777" w:rsidR="00786747" w:rsidRPr="00786747" w:rsidRDefault="00786747" w:rsidP="00786747">
      <w:pPr>
        <w:spacing w:line="240" w:lineRule="auto"/>
        <w:rPr>
          <w:rFonts w:eastAsia="Times New Roman" w:cs="Arial"/>
          <w:color w:val="000000"/>
          <w:szCs w:val="20"/>
          <w:lang w:eastAsia="bg-BG"/>
        </w:rPr>
      </w:pPr>
    </w:p>
    <w:p w14:paraId="7203DC70" w14:textId="7325736A" w:rsidR="00786747" w:rsidRDefault="00786747" w:rsidP="00786747">
      <w:pPr>
        <w:spacing w:line="240" w:lineRule="auto"/>
        <w:rPr>
          <w:rFonts w:eastAsia="Times New Roman" w:cs="Arial"/>
          <w:color w:val="000000"/>
          <w:szCs w:val="20"/>
          <w:lang w:eastAsia="bg-BG"/>
        </w:rPr>
      </w:pPr>
      <w:r w:rsidRPr="00786747">
        <w:rPr>
          <w:rFonts w:eastAsia="Times New Roman" w:cs="Arial"/>
          <w:color w:val="000000"/>
          <w:szCs w:val="20"/>
          <w:lang w:eastAsia="bg-BG"/>
        </w:rPr>
        <w:t>Съобщените нежелани лекарствени реакции при клиничните проучвания (при възрастни, юноши, деца и новородени &gt;1 месец) и от пост-маркетингов опит са изброени в следващата таблица по системно-органен клас и по честота. Нежеланите лекарствени реакции са представени в намаляваща степен на тяхната сериозност и честота, както следва: много чести (</w:t>
      </w:r>
      <w:r w:rsidRPr="00786747">
        <w:rPr>
          <w:rFonts w:eastAsia="Times New Roman" w:cs="Arial"/>
          <w:color w:val="000000"/>
          <w:szCs w:val="20"/>
          <w:lang w:val="ru-RU"/>
        </w:rPr>
        <w:t>≥</w:t>
      </w:r>
      <w:r w:rsidRPr="00786747">
        <w:rPr>
          <w:rFonts w:eastAsia="Times New Roman" w:cs="Arial"/>
          <w:color w:val="000000"/>
          <w:szCs w:val="20"/>
          <w:lang w:eastAsia="bg-BG"/>
        </w:rPr>
        <w:t>1/10), чести (</w:t>
      </w:r>
      <w:r w:rsidRPr="00786747">
        <w:rPr>
          <w:rFonts w:eastAsia="Times New Roman" w:cs="Arial"/>
          <w:color w:val="000000"/>
          <w:szCs w:val="20"/>
          <w:lang w:val="ru-RU"/>
        </w:rPr>
        <w:t>≥</w:t>
      </w:r>
      <w:r w:rsidRPr="00786747">
        <w:rPr>
          <w:rFonts w:eastAsia="Times New Roman" w:cs="Arial"/>
          <w:color w:val="000000"/>
          <w:szCs w:val="20"/>
          <w:lang w:eastAsia="bg-BG"/>
        </w:rPr>
        <w:t>1/100 до &lt;1/10), нечести (</w:t>
      </w:r>
      <w:r w:rsidRPr="00786747">
        <w:rPr>
          <w:rFonts w:eastAsia="Times New Roman" w:cs="Arial"/>
          <w:color w:val="000000"/>
          <w:szCs w:val="20"/>
          <w:lang w:val="ru-RU"/>
        </w:rPr>
        <w:t>≥</w:t>
      </w:r>
      <w:r w:rsidRPr="00786747">
        <w:rPr>
          <w:rFonts w:eastAsia="Times New Roman" w:cs="Arial"/>
          <w:color w:val="000000"/>
          <w:szCs w:val="20"/>
          <w:lang w:eastAsia="bg-BG"/>
        </w:rPr>
        <w:t>1/1 000 до &lt;1/100), редки (</w:t>
      </w:r>
      <w:r w:rsidRPr="00786747">
        <w:rPr>
          <w:rFonts w:eastAsia="Times New Roman" w:cs="Arial"/>
          <w:color w:val="000000"/>
          <w:szCs w:val="20"/>
          <w:lang w:val="ru-RU"/>
        </w:rPr>
        <w:t>≥</w:t>
      </w:r>
      <w:r w:rsidRPr="00786747">
        <w:rPr>
          <w:rFonts w:eastAsia="Times New Roman" w:cs="Arial"/>
          <w:color w:val="000000"/>
          <w:szCs w:val="20"/>
          <w:lang w:eastAsia="bg-BG"/>
        </w:rPr>
        <w:t>1/10 000 до &lt;1/1 000), много редки (&lt;1/10 000).</w:t>
      </w:r>
    </w:p>
    <w:p w14:paraId="7EC9A3CA" w14:textId="189D6702" w:rsidR="00786747" w:rsidRDefault="00786747" w:rsidP="00786747">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751"/>
        <w:gridCol w:w="1450"/>
        <w:gridCol w:w="2285"/>
        <w:gridCol w:w="1816"/>
        <w:gridCol w:w="2048"/>
      </w:tblGrid>
      <w:tr w:rsidR="00786747" w14:paraId="234EE83B" w14:textId="77777777" w:rsidTr="00786747">
        <w:tc>
          <w:tcPr>
            <w:tcW w:w="1792" w:type="dxa"/>
            <w:vAlign w:val="bottom"/>
          </w:tcPr>
          <w:p w14:paraId="09907F25" w14:textId="5C284D0A" w:rsidR="00786747" w:rsidRPr="00786747" w:rsidRDefault="00786747" w:rsidP="00786747">
            <w:pPr>
              <w:spacing w:line="240" w:lineRule="auto"/>
              <w:rPr>
                <w:rFonts w:eastAsia="Times New Roman" w:cs="Arial"/>
                <w:b/>
                <w:szCs w:val="24"/>
              </w:rPr>
            </w:pPr>
            <w:proofErr w:type="spellStart"/>
            <w:r w:rsidRPr="00786747">
              <w:rPr>
                <w:b/>
                <w:bCs/>
                <w:szCs w:val="17"/>
                <w:lang w:val="en-US"/>
              </w:rPr>
              <w:t>MedDRA</w:t>
            </w:r>
            <w:proofErr w:type="spellEnd"/>
            <w:r w:rsidRPr="00786747">
              <w:rPr>
                <w:b/>
                <w:bCs/>
                <w:szCs w:val="17"/>
                <w:lang w:val="en-US"/>
              </w:rPr>
              <w:t>-</w:t>
            </w:r>
          </w:p>
        </w:tc>
        <w:tc>
          <w:tcPr>
            <w:tcW w:w="7784" w:type="dxa"/>
            <w:gridSpan w:val="4"/>
            <w:vAlign w:val="bottom"/>
          </w:tcPr>
          <w:p w14:paraId="4A045573" w14:textId="11206F66" w:rsidR="00786747" w:rsidRPr="00786747" w:rsidRDefault="00786747" w:rsidP="00786747">
            <w:pPr>
              <w:spacing w:line="240" w:lineRule="auto"/>
              <w:rPr>
                <w:rFonts w:eastAsia="Times New Roman" w:cs="Arial"/>
                <w:b/>
                <w:szCs w:val="24"/>
              </w:rPr>
            </w:pPr>
            <w:r w:rsidRPr="00786747">
              <w:rPr>
                <w:b/>
                <w:bCs/>
                <w:szCs w:val="17"/>
              </w:rPr>
              <w:t>Честота</w:t>
            </w:r>
          </w:p>
        </w:tc>
      </w:tr>
      <w:tr w:rsidR="00786747" w14:paraId="7F6F6004" w14:textId="77777777" w:rsidTr="00786747">
        <w:tc>
          <w:tcPr>
            <w:tcW w:w="1792" w:type="dxa"/>
          </w:tcPr>
          <w:p w14:paraId="252FF5E7" w14:textId="1E40881C" w:rsidR="00786747" w:rsidRPr="00786747" w:rsidRDefault="00786747" w:rsidP="00786747">
            <w:pPr>
              <w:spacing w:line="240" w:lineRule="auto"/>
              <w:rPr>
                <w:rFonts w:eastAsia="Times New Roman" w:cs="Arial"/>
                <w:b/>
                <w:szCs w:val="24"/>
              </w:rPr>
            </w:pPr>
            <w:r w:rsidRPr="00786747">
              <w:rPr>
                <w:b/>
                <w:bCs/>
                <w:szCs w:val="17"/>
                <w:u w:val="single"/>
              </w:rPr>
              <w:t>Системно- органен клас</w:t>
            </w:r>
          </w:p>
        </w:tc>
        <w:tc>
          <w:tcPr>
            <w:tcW w:w="1484" w:type="dxa"/>
          </w:tcPr>
          <w:p w14:paraId="3BF969EC" w14:textId="2CB253A5" w:rsidR="00786747" w:rsidRPr="00786747" w:rsidRDefault="00786747" w:rsidP="00786747">
            <w:pPr>
              <w:spacing w:line="240" w:lineRule="auto"/>
              <w:rPr>
                <w:rFonts w:eastAsia="Times New Roman" w:cs="Arial"/>
                <w:szCs w:val="24"/>
              </w:rPr>
            </w:pPr>
            <w:r w:rsidRPr="00786747">
              <w:rPr>
                <w:bCs/>
                <w:szCs w:val="17"/>
                <w:u w:val="single"/>
              </w:rPr>
              <w:t>Много чести</w:t>
            </w:r>
          </w:p>
        </w:tc>
        <w:tc>
          <w:tcPr>
            <w:tcW w:w="2342" w:type="dxa"/>
          </w:tcPr>
          <w:p w14:paraId="6A6155C1" w14:textId="503FA0A1" w:rsidR="00786747" w:rsidRPr="00786747" w:rsidRDefault="00786747" w:rsidP="00786747">
            <w:pPr>
              <w:spacing w:line="240" w:lineRule="auto"/>
              <w:rPr>
                <w:rFonts w:eastAsia="Times New Roman" w:cs="Arial"/>
                <w:szCs w:val="24"/>
              </w:rPr>
            </w:pPr>
            <w:r w:rsidRPr="00786747">
              <w:rPr>
                <w:bCs/>
                <w:szCs w:val="17"/>
                <w:u w:val="single"/>
              </w:rPr>
              <w:t>Чести</w:t>
            </w:r>
          </w:p>
        </w:tc>
        <w:tc>
          <w:tcPr>
            <w:tcW w:w="1860" w:type="dxa"/>
          </w:tcPr>
          <w:p w14:paraId="3323B0D8" w14:textId="34022977" w:rsidR="00786747" w:rsidRPr="00786747" w:rsidRDefault="00786747" w:rsidP="00786747">
            <w:pPr>
              <w:spacing w:line="240" w:lineRule="auto"/>
              <w:rPr>
                <w:rFonts w:eastAsia="Times New Roman" w:cs="Arial"/>
                <w:szCs w:val="24"/>
              </w:rPr>
            </w:pPr>
            <w:r w:rsidRPr="00786747">
              <w:rPr>
                <w:bCs/>
                <w:szCs w:val="17"/>
                <w:u w:val="single"/>
              </w:rPr>
              <w:t>Нечести</w:t>
            </w:r>
          </w:p>
        </w:tc>
        <w:tc>
          <w:tcPr>
            <w:tcW w:w="2098" w:type="dxa"/>
          </w:tcPr>
          <w:p w14:paraId="7B441F3D" w14:textId="51FD8010" w:rsidR="00786747" w:rsidRPr="00786747" w:rsidRDefault="00786747" w:rsidP="00786747">
            <w:pPr>
              <w:spacing w:line="240" w:lineRule="auto"/>
              <w:rPr>
                <w:rFonts w:eastAsia="Times New Roman" w:cs="Arial"/>
                <w:szCs w:val="24"/>
              </w:rPr>
            </w:pPr>
            <w:r w:rsidRPr="00786747">
              <w:rPr>
                <w:bCs/>
                <w:szCs w:val="17"/>
                <w:u w:val="single"/>
              </w:rPr>
              <w:t>Редки</w:t>
            </w:r>
          </w:p>
        </w:tc>
      </w:tr>
      <w:tr w:rsidR="00786747" w14:paraId="25628BAC" w14:textId="77777777" w:rsidTr="00786747">
        <w:tc>
          <w:tcPr>
            <w:tcW w:w="1792" w:type="dxa"/>
          </w:tcPr>
          <w:p w14:paraId="6EC37934" w14:textId="0526CABF" w:rsidR="00786747" w:rsidRPr="00786747" w:rsidRDefault="00786747" w:rsidP="00786747">
            <w:pPr>
              <w:spacing w:line="240" w:lineRule="auto"/>
              <w:rPr>
                <w:rFonts w:eastAsia="Times New Roman" w:cs="Arial"/>
                <w:b/>
                <w:szCs w:val="24"/>
              </w:rPr>
            </w:pPr>
            <w:r w:rsidRPr="00786747">
              <w:rPr>
                <w:b/>
                <w:bCs/>
                <w:szCs w:val="17"/>
                <w:u w:val="single"/>
              </w:rPr>
              <w:t>Инфекпии и инФестации</w:t>
            </w:r>
          </w:p>
        </w:tc>
        <w:tc>
          <w:tcPr>
            <w:tcW w:w="1484" w:type="dxa"/>
          </w:tcPr>
          <w:p w14:paraId="5C0DB48D" w14:textId="3C3CA833" w:rsidR="00786747" w:rsidRPr="00786747" w:rsidRDefault="00786747" w:rsidP="00786747">
            <w:pPr>
              <w:spacing w:line="240" w:lineRule="auto"/>
              <w:rPr>
                <w:rFonts w:eastAsia="Times New Roman" w:cs="Arial"/>
                <w:szCs w:val="24"/>
              </w:rPr>
            </w:pPr>
            <w:r w:rsidRPr="00786747">
              <w:rPr>
                <w:bCs/>
                <w:szCs w:val="17"/>
              </w:rPr>
              <w:t>Назофарингит</w:t>
            </w:r>
          </w:p>
        </w:tc>
        <w:tc>
          <w:tcPr>
            <w:tcW w:w="2342" w:type="dxa"/>
          </w:tcPr>
          <w:p w14:paraId="14D47E62" w14:textId="77777777" w:rsidR="00786747" w:rsidRPr="00786747" w:rsidRDefault="00786747" w:rsidP="00786747">
            <w:pPr>
              <w:spacing w:line="240" w:lineRule="auto"/>
              <w:rPr>
                <w:rFonts w:eastAsia="Times New Roman" w:cs="Arial"/>
                <w:szCs w:val="24"/>
              </w:rPr>
            </w:pPr>
          </w:p>
        </w:tc>
        <w:tc>
          <w:tcPr>
            <w:tcW w:w="1860" w:type="dxa"/>
          </w:tcPr>
          <w:p w14:paraId="3701446D" w14:textId="77777777" w:rsidR="00786747" w:rsidRPr="00786747" w:rsidRDefault="00786747" w:rsidP="00786747">
            <w:pPr>
              <w:spacing w:line="240" w:lineRule="auto"/>
              <w:rPr>
                <w:rFonts w:eastAsia="Times New Roman" w:cs="Arial"/>
                <w:szCs w:val="24"/>
              </w:rPr>
            </w:pPr>
          </w:p>
        </w:tc>
        <w:tc>
          <w:tcPr>
            <w:tcW w:w="2098" w:type="dxa"/>
          </w:tcPr>
          <w:p w14:paraId="46AAE6BC" w14:textId="7E0D89CF" w:rsidR="00786747" w:rsidRPr="00786747" w:rsidRDefault="00786747" w:rsidP="00786747">
            <w:pPr>
              <w:spacing w:line="240" w:lineRule="auto"/>
              <w:rPr>
                <w:rFonts w:eastAsia="Times New Roman" w:cs="Arial"/>
                <w:szCs w:val="24"/>
              </w:rPr>
            </w:pPr>
            <w:r w:rsidRPr="00786747">
              <w:rPr>
                <w:bCs/>
                <w:szCs w:val="17"/>
              </w:rPr>
              <w:t>Инфекция</w:t>
            </w:r>
          </w:p>
        </w:tc>
      </w:tr>
      <w:tr w:rsidR="00786747" w14:paraId="5F1C8819" w14:textId="77777777" w:rsidTr="00786747">
        <w:tc>
          <w:tcPr>
            <w:tcW w:w="1792" w:type="dxa"/>
          </w:tcPr>
          <w:p w14:paraId="50950300" w14:textId="686CCFDF" w:rsidR="00786747" w:rsidRPr="00786747" w:rsidRDefault="00786747" w:rsidP="00786747">
            <w:pPr>
              <w:spacing w:line="240" w:lineRule="auto"/>
              <w:rPr>
                <w:rFonts w:eastAsia="Times New Roman" w:cs="Arial"/>
                <w:b/>
                <w:szCs w:val="24"/>
              </w:rPr>
            </w:pPr>
            <w:r w:rsidRPr="00786747">
              <w:rPr>
                <w:b/>
                <w:bCs/>
                <w:szCs w:val="17"/>
                <w:u w:val="single"/>
              </w:rPr>
              <w:t>Нарушения на кръвта и лимфната система</w:t>
            </w:r>
          </w:p>
        </w:tc>
        <w:tc>
          <w:tcPr>
            <w:tcW w:w="1484" w:type="dxa"/>
          </w:tcPr>
          <w:p w14:paraId="7FA0F5B5" w14:textId="77777777" w:rsidR="00786747" w:rsidRPr="00786747" w:rsidRDefault="00786747" w:rsidP="00786747">
            <w:pPr>
              <w:spacing w:line="240" w:lineRule="auto"/>
              <w:rPr>
                <w:rFonts w:eastAsia="Times New Roman" w:cs="Arial"/>
                <w:szCs w:val="24"/>
              </w:rPr>
            </w:pPr>
          </w:p>
        </w:tc>
        <w:tc>
          <w:tcPr>
            <w:tcW w:w="2342" w:type="dxa"/>
          </w:tcPr>
          <w:p w14:paraId="5CFF115F" w14:textId="77777777" w:rsidR="00786747" w:rsidRPr="00786747" w:rsidRDefault="00786747" w:rsidP="00786747">
            <w:pPr>
              <w:spacing w:line="240" w:lineRule="auto"/>
              <w:rPr>
                <w:rFonts w:eastAsia="Times New Roman" w:cs="Arial"/>
                <w:szCs w:val="24"/>
              </w:rPr>
            </w:pPr>
          </w:p>
        </w:tc>
        <w:tc>
          <w:tcPr>
            <w:tcW w:w="1860" w:type="dxa"/>
          </w:tcPr>
          <w:p w14:paraId="404A43A7" w14:textId="316F79A6" w:rsidR="00786747" w:rsidRPr="00786747" w:rsidRDefault="00786747" w:rsidP="00786747">
            <w:pPr>
              <w:spacing w:line="240" w:lineRule="auto"/>
              <w:rPr>
                <w:rFonts w:eastAsia="Times New Roman" w:cs="Arial"/>
                <w:szCs w:val="24"/>
              </w:rPr>
            </w:pPr>
            <w:r w:rsidRPr="00786747">
              <w:rPr>
                <w:bCs/>
                <w:szCs w:val="17"/>
              </w:rPr>
              <w:t>Тромбоцитопения, левкопения</w:t>
            </w:r>
          </w:p>
        </w:tc>
        <w:tc>
          <w:tcPr>
            <w:tcW w:w="2098" w:type="dxa"/>
          </w:tcPr>
          <w:p w14:paraId="7C1224D9" w14:textId="1C9AB4C4" w:rsidR="00786747" w:rsidRPr="00786747" w:rsidRDefault="00786747" w:rsidP="00786747">
            <w:pPr>
              <w:spacing w:line="240" w:lineRule="auto"/>
              <w:rPr>
                <w:rFonts w:eastAsia="Times New Roman" w:cs="Arial"/>
                <w:szCs w:val="24"/>
              </w:rPr>
            </w:pPr>
            <w:r w:rsidRPr="00786747">
              <w:rPr>
                <w:bCs/>
                <w:szCs w:val="17"/>
              </w:rPr>
              <w:t>Панцитопения, неутропения, агранулоцитоза</w:t>
            </w:r>
          </w:p>
        </w:tc>
      </w:tr>
      <w:tr w:rsidR="00786747" w14:paraId="7FB6EA32" w14:textId="77777777" w:rsidTr="00786747">
        <w:tc>
          <w:tcPr>
            <w:tcW w:w="1792" w:type="dxa"/>
          </w:tcPr>
          <w:p w14:paraId="649E1D3E" w14:textId="76158669" w:rsidR="00786747" w:rsidRPr="00786747" w:rsidRDefault="00786747" w:rsidP="00786747">
            <w:pPr>
              <w:spacing w:line="240" w:lineRule="auto"/>
              <w:rPr>
                <w:rFonts w:eastAsia="Times New Roman" w:cs="Arial"/>
                <w:b/>
                <w:szCs w:val="24"/>
              </w:rPr>
            </w:pPr>
            <w:r w:rsidRPr="00786747">
              <w:rPr>
                <w:b/>
                <w:bCs/>
                <w:szCs w:val="17"/>
                <w:u w:val="single"/>
              </w:rPr>
              <w:t>Нарушения на имунната система</w:t>
            </w:r>
          </w:p>
        </w:tc>
        <w:tc>
          <w:tcPr>
            <w:tcW w:w="1484" w:type="dxa"/>
          </w:tcPr>
          <w:p w14:paraId="20D4BE86" w14:textId="77777777" w:rsidR="00786747" w:rsidRPr="00786747" w:rsidRDefault="00786747" w:rsidP="00786747">
            <w:pPr>
              <w:spacing w:line="240" w:lineRule="auto"/>
              <w:rPr>
                <w:rFonts w:eastAsia="Times New Roman" w:cs="Arial"/>
                <w:szCs w:val="24"/>
              </w:rPr>
            </w:pPr>
          </w:p>
        </w:tc>
        <w:tc>
          <w:tcPr>
            <w:tcW w:w="2342" w:type="dxa"/>
          </w:tcPr>
          <w:p w14:paraId="1C9DDCD8" w14:textId="77777777" w:rsidR="00786747" w:rsidRPr="00786747" w:rsidRDefault="00786747" w:rsidP="00786747">
            <w:pPr>
              <w:spacing w:line="240" w:lineRule="auto"/>
              <w:rPr>
                <w:rFonts w:eastAsia="Times New Roman" w:cs="Arial"/>
                <w:szCs w:val="24"/>
              </w:rPr>
            </w:pPr>
          </w:p>
        </w:tc>
        <w:tc>
          <w:tcPr>
            <w:tcW w:w="1860" w:type="dxa"/>
          </w:tcPr>
          <w:p w14:paraId="6F2E0CDA" w14:textId="77777777" w:rsidR="00786747" w:rsidRPr="00786747" w:rsidRDefault="00786747" w:rsidP="00786747">
            <w:pPr>
              <w:spacing w:line="240" w:lineRule="auto"/>
              <w:rPr>
                <w:rFonts w:eastAsia="Times New Roman" w:cs="Arial"/>
                <w:szCs w:val="24"/>
              </w:rPr>
            </w:pPr>
          </w:p>
        </w:tc>
        <w:tc>
          <w:tcPr>
            <w:tcW w:w="2098" w:type="dxa"/>
            <w:vAlign w:val="bottom"/>
          </w:tcPr>
          <w:p w14:paraId="54B004D9" w14:textId="32D267BA" w:rsidR="00786747" w:rsidRPr="00786747" w:rsidRDefault="00786747" w:rsidP="00786747">
            <w:pPr>
              <w:spacing w:line="240" w:lineRule="auto"/>
              <w:rPr>
                <w:rFonts w:eastAsia="Times New Roman" w:cs="Arial"/>
                <w:szCs w:val="24"/>
              </w:rPr>
            </w:pPr>
            <w:r w:rsidRPr="00786747">
              <w:rPr>
                <w:bCs/>
                <w:szCs w:val="17"/>
              </w:rPr>
              <w:t xml:space="preserve">Лекарствена реакция с еозинофилия и системни симптоми </w:t>
            </w:r>
            <w:r w:rsidRPr="00786747">
              <w:rPr>
                <w:bCs/>
                <w:szCs w:val="17"/>
                <w:lang w:val="ru-RU"/>
              </w:rPr>
              <w:t>(</w:t>
            </w:r>
            <w:r w:rsidRPr="00786747">
              <w:rPr>
                <w:bCs/>
                <w:szCs w:val="17"/>
                <w:lang w:val="en-US"/>
              </w:rPr>
              <w:t>DRESS</w:t>
            </w:r>
            <w:r w:rsidRPr="00786747">
              <w:rPr>
                <w:bCs/>
                <w:szCs w:val="17"/>
                <w:lang w:val="ru-RU"/>
              </w:rPr>
              <w:t xml:space="preserve">), </w:t>
            </w:r>
            <w:r w:rsidRPr="00786747">
              <w:rPr>
                <w:bCs/>
                <w:szCs w:val="17"/>
              </w:rPr>
              <w:t>свръхчувствителност (включително ангиоедем и анафилаксия)</w:t>
            </w:r>
          </w:p>
        </w:tc>
      </w:tr>
      <w:tr w:rsidR="00786747" w14:paraId="2AA90B8B" w14:textId="77777777" w:rsidTr="00786747">
        <w:tc>
          <w:tcPr>
            <w:tcW w:w="1792" w:type="dxa"/>
          </w:tcPr>
          <w:p w14:paraId="4CE20E88" w14:textId="77777777" w:rsidR="00786747" w:rsidRPr="00786747" w:rsidRDefault="00786747" w:rsidP="00786747">
            <w:pPr>
              <w:rPr>
                <w:b/>
              </w:rPr>
            </w:pPr>
            <w:r w:rsidRPr="00786747">
              <w:rPr>
                <w:b/>
                <w:bCs/>
                <w:szCs w:val="17"/>
                <w:u w:val="single"/>
              </w:rPr>
              <w:t>Нарушения на метаболизма и</w:t>
            </w:r>
          </w:p>
          <w:p w14:paraId="2743798D" w14:textId="17544795" w:rsidR="00786747" w:rsidRPr="00786747" w:rsidRDefault="00786747" w:rsidP="00786747">
            <w:pPr>
              <w:spacing w:line="240" w:lineRule="auto"/>
              <w:rPr>
                <w:rFonts w:eastAsia="Times New Roman" w:cs="Arial"/>
                <w:b/>
                <w:szCs w:val="24"/>
              </w:rPr>
            </w:pPr>
            <w:r w:rsidRPr="00786747">
              <w:rPr>
                <w:b/>
                <w:bCs/>
                <w:szCs w:val="17"/>
                <w:u w:val="single"/>
              </w:rPr>
              <w:t>храненето</w:t>
            </w:r>
          </w:p>
        </w:tc>
        <w:tc>
          <w:tcPr>
            <w:tcW w:w="1484" w:type="dxa"/>
          </w:tcPr>
          <w:p w14:paraId="629AD396" w14:textId="77777777" w:rsidR="00786747" w:rsidRPr="00786747" w:rsidRDefault="00786747" w:rsidP="00786747">
            <w:pPr>
              <w:spacing w:line="240" w:lineRule="auto"/>
              <w:rPr>
                <w:rFonts w:eastAsia="Times New Roman" w:cs="Arial"/>
                <w:szCs w:val="24"/>
              </w:rPr>
            </w:pPr>
          </w:p>
        </w:tc>
        <w:tc>
          <w:tcPr>
            <w:tcW w:w="2342" w:type="dxa"/>
          </w:tcPr>
          <w:p w14:paraId="68B418A0" w14:textId="174AE03F" w:rsidR="00786747" w:rsidRPr="00786747" w:rsidRDefault="00786747" w:rsidP="00786747">
            <w:pPr>
              <w:spacing w:line="240" w:lineRule="auto"/>
              <w:rPr>
                <w:rFonts w:eastAsia="Times New Roman" w:cs="Arial"/>
                <w:szCs w:val="24"/>
              </w:rPr>
            </w:pPr>
            <w:r w:rsidRPr="00786747">
              <w:rPr>
                <w:bCs/>
                <w:szCs w:val="17"/>
              </w:rPr>
              <w:t>Анорексия</w:t>
            </w:r>
          </w:p>
        </w:tc>
        <w:tc>
          <w:tcPr>
            <w:tcW w:w="1860" w:type="dxa"/>
          </w:tcPr>
          <w:p w14:paraId="6021AAFC" w14:textId="2E897E72" w:rsidR="00786747" w:rsidRPr="00786747" w:rsidRDefault="00786747" w:rsidP="00786747">
            <w:pPr>
              <w:spacing w:line="240" w:lineRule="auto"/>
              <w:rPr>
                <w:rFonts w:eastAsia="Times New Roman" w:cs="Arial"/>
                <w:szCs w:val="24"/>
              </w:rPr>
            </w:pPr>
            <w:r w:rsidRPr="00786747">
              <w:rPr>
                <w:bCs/>
                <w:szCs w:val="17"/>
              </w:rPr>
              <w:t>Намаляване на телесното тегло, увеличаване на телесното тегло</w:t>
            </w:r>
          </w:p>
        </w:tc>
        <w:tc>
          <w:tcPr>
            <w:tcW w:w="2098" w:type="dxa"/>
          </w:tcPr>
          <w:p w14:paraId="06A95EDD" w14:textId="6BC49FAC" w:rsidR="00786747" w:rsidRPr="00786747" w:rsidRDefault="00786747" w:rsidP="00786747">
            <w:pPr>
              <w:spacing w:line="240" w:lineRule="auto"/>
              <w:rPr>
                <w:rFonts w:eastAsia="Times New Roman" w:cs="Arial"/>
                <w:szCs w:val="24"/>
              </w:rPr>
            </w:pPr>
            <w:r w:rsidRPr="00786747">
              <w:rPr>
                <w:bCs/>
                <w:szCs w:val="17"/>
              </w:rPr>
              <w:t>Хипонатриемия</w:t>
            </w:r>
          </w:p>
        </w:tc>
      </w:tr>
      <w:tr w:rsidR="00786747" w14:paraId="2959B2F0" w14:textId="77777777" w:rsidTr="00786747">
        <w:tc>
          <w:tcPr>
            <w:tcW w:w="1792" w:type="dxa"/>
          </w:tcPr>
          <w:p w14:paraId="322CA35F" w14:textId="48830254" w:rsidR="00786747" w:rsidRPr="00786747" w:rsidRDefault="00786747" w:rsidP="00786747">
            <w:pPr>
              <w:spacing w:line="240" w:lineRule="auto"/>
              <w:rPr>
                <w:rFonts w:eastAsia="Times New Roman" w:cs="Arial"/>
                <w:b/>
                <w:sz w:val="24"/>
                <w:szCs w:val="24"/>
              </w:rPr>
            </w:pPr>
            <w:r w:rsidRPr="00786747">
              <w:rPr>
                <w:b/>
                <w:bCs/>
                <w:sz w:val="24"/>
                <w:szCs w:val="17"/>
                <w:u w:val="single"/>
              </w:rPr>
              <w:t xml:space="preserve">Психични </w:t>
            </w:r>
            <w:r w:rsidRPr="00786747">
              <w:rPr>
                <w:b/>
                <w:bCs/>
                <w:sz w:val="24"/>
                <w:szCs w:val="17"/>
              </w:rPr>
              <w:t>на</w:t>
            </w:r>
            <w:r w:rsidRPr="00786747">
              <w:rPr>
                <w:b/>
                <w:bCs/>
                <w:sz w:val="24"/>
                <w:szCs w:val="17"/>
                <w:u w:val="single"/>
              </w:rPr>
              <w:t>рушения</w:t>
            </w:r>
          </w:p>
        </w:tc>
        <w:tc>
          <w:tcPr>
            <w:tcW w:w="1484" w:type="dxa"/>
          </w:tcPr>
          <w:p w14:paraId="75843F1D" w14:textId="77777777" w:rsidR="00786747" w:rsidRPr="00786747" w:rsidRDefault="00786747" w:rsidP="00786747">
            <w:pPr>
              <w:spacing w:line="240" w:lineRule="auto"/>
              <w:rPr>
                <w:rFonts w:eastAsia="Times New Roman" w:cs="Arial"/>
                <w:sz w:val="24"/>
                <w:szCs w:val="24"/>
              </w:rPr>
            </w:pPr>
          </w:p>
        </w:tc>
        <w:tc>
          <w:tcPr>
            <w:tcW w:w="2342" w:type="dxa"/>
          </w:tcPr>
          <w:p w14:paraId="6D761FF0" w14:textId="64FD3B10" w:rsidR="00786747" w:rsidRPr="00786747" w:rsidRDefault="00786747" w:rsidP="00786747">
            <w:pPr>
              <w:spacing w:line="240" w:lineRule="auto"/>
              <w:rPr>
                <w:rFonts w:eastAsia="Times New Roman" w:cs="Arial"/>
                <w:sz w:val="24"/>
                <w:szCs w:val="24"/>
              </w:rPr>
            </w:pPr>
            <w:r w:rsidRPr="00786747">
              <w:rPr>
                <w:bCs/>
                <w:sz w:val="24"/>
                <w:szCs w:val="17"/>
              </w:rPr>
              <w:t>Депресия, враждебност/агресив- ност, безпокойство, безсъние, нервност/раздразни- телност</w:t>
            </w:r>
          </w:p>
        </w:tc>
        <w:tc>
          <w:tcPr>
            <w:tcW w:w="1860" w:type="dxa"/>
          </w:tcPr>
          <w:p w14:paraId="67B4234F" w14:textId="61CFB9E4" w:rsidR="00786747" w:rsidRPr="00786747" w:rsidRDefault="00786747" w:rsidP="00786747">
            <w:pPr>
              <w:spacing w:line="240" w:lineRule="auto"/>
              <w:rPr>
                <w:rFonts w:eastAsia="Times New Roman" w:cs="Arial"/>
                <w:sz w:val="24"/>
                <w:szCs w:val="24"/>
              </w:rPr>
            </w:pPr>
            <w:r w:rsidRPr="00786747">
              <w:rPr>
                <w:bCs/>
                <w:sz w:val="24"/>
                <w:szCs w:val="17"/>
              </w:rPr>
              <w:t>Опит за самоубийство, суицидна идеация, психотично нарушение, необичайно поведение, халюцинации, гняв, обърканост, паническа атака, емоционална нестабилност</w:t>
            </w:r>
            <w:r w:rsidRPr="00786747">
              <w:rPr>
                <w:bCs/>
                <w:sz w:val="24"/>
                <w:szCs w:val="17"/>
              </w:rPr>
              <w:lastRenderedPageBreak/>
              <w:t>/ промени в настроението, ажитация</w:t>
            </w:r>
          </w:p>
        </w:tc>
        <w:tc>
          <w:tcPr>
            <w:tcW w:w="2098" w:type="dxa"/>
          </w:tcPr>
          <w:p w14:paraId="04BB87E9" w14:textId="791B3AF0" w:rsidR="00786747" w:rsidRPr="00786747" w:rsidRDefault="00786747" w:rsidP="00786747">
            <w:pPr>
              <w:spacing w:line="240" w:lineRule="auto"/>
              <w:rPr>
                <w:rFonts w:eastAsia="Times New Roman" w:cs="Arial"/>
                <w:sz w:val="24"/>
                <w:szCs w:val="24"/>
              </w:rPr>
            </w:pPr>
            <w:r w:rsidRPr="00786747">
              <w:rPr>
                <w:bCs/>
                <w:sz w:val="24"/>
                <w:szCs w:val="17"/>
              </w:rPr>
              <w:lastRenderedPageBreak/>
              <w:t>Самоубийство, личностни нарушения, абнормално мислене</w:t>
            </w:r>
          </w:p>
        </w:tc>
      </w:tr>
      <w:tr w:rsidR="00786747" w14:paraId="1BB71096" w14:textId="77777777" w:rsidTr="00786747">
        <w:tc>
          <w:tcPr>
            <w:tcW w:w="1792" w:type="dxa"/>
          </w:tcPr>
          <w:p w14:paraId="71326AFD" w14:textId="24B10499" w:rsidR="00786747" w:rsidRPr="00786747" w:rsidRDefault="00786747" w:rsidP="00786747">
            <w:pPr>
              <w:spacing w:line="240" w:lineRule="auto"/>
              <w:rPr>
                <w:rFonts w:eastAsia="Times New Roman" w:cs="Arial"/>
                <w:b/>
                <w:sz w:val="24"/>
                <w:szCs w:val="24"/>
              </w:rPr>
            </w:pPr>
            <w:r w:rsidRPr="00786747">
              <w:rPr>
                <w:b/>
                <w:bCs/>
                <w:sz w:val="24"/>
                <w:szCs w:val="17"/>
                <w:u w:val="single"/>
              </w:rPr>
              <w:t>Нарушения на нервната система</w:t>
            </w:r>
          </w:p>
        </w:tc>
        <w:tc>
          <w:tcPr>
            <w:tcW w:w="1484" w:type="dxa"/>
          </w:tcPr>
          <w:p w14:paraId="363F68E4" w14:textId="360A1B5A" w:rsidR="00786747" w:rsidRPr="00786747" w:rsidRDefault="00786747" w:rsidP="00786747">
            <w:pPr>
              <w:spacing w:line="240" w:lineRule="auto"/>
              <w:rPr>
                <w:rFonts w:eastAsia="Times New Roman" w:cs="Arial"/>
                <w:sz w:val="24"/>
                <w:szCs w:val="24"/>
              </w:rPr>
            </w:pPr>
            <w:r w:rsidRPr="00786747">
              <w:rPr>
                <w:bCs/>
                <w:sz w:val="24"/>
                <w:szCs w:val="17"/>
              </w:rPr>
              <w:t>Сънливост, главоболие</w:t>
            </w:r>
          </w:p>
        </w:tc>
        <w:tc>
          <w:tcPr>
            <w:tcW w:w="2342" w:type="dxa"/>
          </w:tcPr>
          <w:p w14:paraId="39A7CBC5" w14:textId="3CC82742" w:rsidR="00786747" w:rsidRPr="00786747" w:rsidRDefault="00786747" w:rsidP="00786747">
            <w:pPr>
              <w:spacing w:line="240" w:lineRule="auto"/>
              <w:rPr>
                <w:rFonts w:eastAsia="Times New Roman" w:cs="Arial"/>
                <w:sz w:val="24"/>
                <w:szCs w:val="24"/>
              </w:rPr>
            </w:pPr>
            <w:r w:rsidRPr="00786747">
              <w:rPr>
                <w:bCs/>
                <w:sz w:val="24"/>
                <w:szCs w:val="17"/>
              </w:rPr>
              <w:t>Конвулсии, нарушения на равновесието, замаяност, летаргия, тремор</w:t>
            </w:r>
          </w:p>
        </w:tc>
        <w:tc>
          <w:tcPr>
            <w:tcW w:w="1860" w:type="dxa"/>
          </w:tcPr>
          <w:p w14:paraId="75410F58" w14:textId="6596E777" w:rsidR="00786747" w:rsidRPr="00786747" w:rsidRDefault="00786747" w:rsidP="00786747">
            <w:pPr>
              <w:spacing w:line="240" w:lineRule="auto"/>
              <w:rPr>
                <w:rFonts w:eastAsia="Times New Roman" w:cs="Arial"/>
                <w:sz w:val="24"/>
                <w:szCs w:val="24"/>
              </w:rPr>
            </w:pPr>
            <w:r w:rsidRPr="00786747">
              <w:rPr>
                <w:bCs/>
                <w:sz w:val="24"/>
                <w:szCs w:val="17"/>
              </w:rPr>
              <w:t>Амнезия, нарушения на паметта, нарушения на координацията/ атаксия, парестезии, нарушение на вниманието внимание</w:t>
            </w:r>
          </w:p>
        </w:tc>
        <w:tc>
          <w:tcPr>
            <w:tcW w:w="2098" w:type="dxa"/>
          </w:tcPr>
          <w:p w14:paraId="5BF68772" w14:textId="693AADEC" w:rsidR="00786747" w:rsidRPr="00786747" w:rsidRDefault="00786747" w:rsidP="00786747">
            <w:pPr>
              <w:spacing w:line="240" w:lineRule="auto"/>
              <w:rPr>
                <w:rFonts w:eastAsia="Times New Roman" w:cs="Arial"/>
                <w:sz w:val="24"/>
                <w:szCs w:val="24"/>
              </w:rPr>
            </w:pPr>
            <w:r w:rsidRPr="00786747">
              <w:rPr>
                <w:bCs/>
                <w:sz w:val="24"/>
                <w:szCs w:val="17"/>
              </w:rPr>
              <w:t>Хореоатоза, дискинезия, хиперкинезия, нарушение на походката</w:t>
            </w:r>
          </w:p>
        </w:tc>
      </w:tr>
      <w:tr w:rsidR="00786747" w14:paraId="21F5D67F" w14:textId="77777777" w:rsidTr="00786747">
        <w:tc>
          <w:tcPr>
            <w:tcW w:w="1792" w:type="dxa"/>
          </w:tcPr>
          <w:p w14:paraId="5903FABF" w14:textId="0B2F33F1" w:rsidR="00786747" w:rsidRPr="00786747" w:rsidRDefault="00786747" w:rsidP="00786747">
            <w:pPr>
              <w:spacing w:line="240" w:lineRule="auto"/>
              <w:rPr>
                <w:rFonts w:eastAsia="Times New Roman" w:cs="Arial"/>
                <w:b/>
                <w:sz w:val="24"/>
                <w:szCs w:val="24"/>
              </w:rPr>
            </w:pPr>
            <w:r w:rsidRPr="00786747">
              <w:rPr>
                <w:b/>
                <w:bCs/>
                <w:sz w:val="24"/>
                <w:szCs w:val="17"/>
                <w:u w:val="single"/>
              </w:rPr>
              <w:t>Нарушения на очите</w:t>
            </w:r>
          </w:p>
        </w:tc>
        <w:tc>
          <w:tcPr>
            <w:tcW w:w="1484" w:type="dxa"/>
          </w:tcPr>
          <w:p w14:paraId="08B74A55" w14:textId="77777777" w:rsidR="00786747" w:rsidRPr="00786747" w:rsidRDefault="00786747" w:rsidP="00786747">
            <w:pPr>
              <w:spacing w:line="240" w:lineRule="auto"/>
              <w:rPr>
                <w:rFonts w:eastAsia="Times New Roman" w:cs="Arial"/>
                <w:sz w:val="24"/>
                <w:szCs w:val="24"/>
              </w:rPr>
            </w:pPr>
          </w:p>
        </w:tc>
        <w:tc>
          <w:tcPr>
            <w:tcW w:w="2342" w:type="dxa"/>
          </w:tcPr>
          <w:p w14:paraId="7AAB434A" w14:textId="77777777" w:rsidR="00786747" w:rsidRPr="00786747" w:rsidRDefault="00786747" w:rsidP="00786747">
            <w:pPr>
              <w:spacing w:line="240" w:lineRule="auto"/>
              <w:rPr>
                <w:rFonts w:eastAsia="Times New Roman" w:cs="Arial"/>
                <w:sz w:val="24"/>
                <w:szCs w:val="24"/>
              </w:rPr>
            </w:pPr>
          </w:p>
        </w:tc>
        <w:tc>
          <w:tcPr>
            <w:tcW w:w="1860" w:type="dxa"/>
          </w:tcPr>
          <w:p w14:paraId="174178BA" w14:textId="2CE86C09" w:rsidR="00786747" w:rsidRPr="00786747" w:rsidRDefault="00786747" w:rsidP="00786747">
            <w:pPr>
              <w:spacing w:line="240" w:lineRule="auto"/>
              <w:rPr>
                <w:rFonts w:eastAsia="Times New Roman" w:cs="Arial"/>
                <w:sz w:val="24"/>
                <w:szCs w:val="24"/>
              </w:rPr>
            </w:pPr>
            <w:r w:rsidRPr="00786747">
              <w:rPr>
                <w:bCs/>
                <w:sz w:val="24"/>
                <w:szCs w:val="17"/>
              </w:rPr>
              <w:t>Диплопия, замъглено зрение</w:t>
            </w:r>
          </w:p>
        </w:tc>
        <w:tc>
          <w:tcPr>
            <w:tcW w:w="2098" w:type="dxa"/>
          </w:tcPr>
          <w:p w14:paraId="45C14160" w14:textId="77777777" w:rsidR="00786747" w:rsidRPr="00786747" w:rsidRDefault="00786747" w:rsidP="00786747">
            <w:pPr>
              <w:spacing w:line="240" w:lineRule="auto"/>
              <w:rPr>
                <w:rFonts w:eastAsia="Times New Roman" w:cs="Arial"/>
                <w:sz w:val="24"/>
                <w:szCs w:val="24"/>
              </w:rPr>
            </w:pPr>
          </w:p>
        </w:tc>
      </w:tr>
      <w:tr w:rsidR="00786747" w14:paraId="762FBEC5" w14:textId="77777777" w:rsidTr="00786747">
        <w:tc>
          <w:tcPr>
            <w:tcW w:w="1792" w:type="dxa"/>
          </w:tcPr>
          <w:p w14:paraId="6F3278B6" w14:textId="6B8553AF" w:rsidR="00786747" w:rsidRPr="00786747" w:rsidRDefault="00786747" w:rsidP="00786747">
            <w:pPr>
              <w:spacing w:line="240" w:lineRule="auto"/>
              <w:rPr>
                <w:rFonts w:eastAsia="Times New Roman" w:cs="Arial"/>
                <w:b/>
                <w:sz w:val="24"/>
                <w:szCs w:val="24"/>
              </w:rPr>
            </w:pPr>
            <w:r w:rsidRPr="00786747">
              <w:rPr>
                <w:b/>
                <w:bCs/>
                <w:sz w:val="24"/>
                <w:szCs w:val="17"/>
                <w:u w:val="single"/>
              </w:rPr>
              <w:t>Нарушения на ухото и лабиринта</w:t>
            </w:r>
          </w:p>
        </w:tc>
        <w:tc>
          <w:tcPr>
            <w:tcW w:w="1484" w:type="dxa"/>
          </w:tcPr>
          <w:p w14:paraId="7E4DCF41" w14:textId="77777777" w:rsidR="00786747" w:rsidRPr="00786747" w:rsidRDefault="00786747" w:rsidP="00786747">
            <w:pPr>
              <w:spacing w:line="240" w:lineRule="auto"/>
              <w:rPr>
                <w:rFonts w:eastAsia="Times New Roman" w:cs="Arial"/>
                <w:sz w:val="24"/>
                <w:szCs w:val="24"/>
              </w:rPr>
            </w:pPr>
          </w:p>
        </w:tc>
        <w:tc>
          <w:tcPr>
            <w:tcW w:w="2342" w:type="dxa"/>
          </w:tcPr>
          <w:p w14:paraId="0A14FB9C" w14:textId="74E8462D" w:rsidR="00786747" w:rsidRPr="00786747" w:rsidRDefault="00786747" w:rsidP="00786747">
            <w:pPr>
              <w:spacing w:line="240" w:lineRule="auto"/>
              <w:rPr>
                <w:rFonts w:eastAsia="Times New Roman" w:cs="Arial"/>
                <w:sz w:val="24"/>
                <w:szCs w:val="24"/>
              </w:rPr>
            </w:pPr>
            <w:r w:rsidRPr="00786747">
              <w:rPr>
                <w:bCs/>
                <w:sz w:val="24"/>
                <w:szCs w:val="17"/>
              </w:rPr>
              <w:t>Световъртеж</w:t>
            </w:r>
          </w:p>
        </w:tc>
        <w:tc>
          <w:tcPr>
            <w:tcW w:w="1860" w:type="dxa"/>
          </w:tcPr>
          <w:p w14:paraId="6205410C" w14:textId="77777777" w:rsidR="00786747" w:rsidRPr="00786747" w:rsidRDefault="00786747" w:rsidP="00786747">
            <w:pPr>
              <w:spacing w:line="240" w:lineRule="auto"/>
              <w:rPr>
                <w:rFonts w:eastAsia="Times New Roman" w:cs="Arial"/>
                <w:sz w:val="24"/>
                <w:szCs w:val="24"/>
              </w:rPr>
            </w:pPr>
          </w:p>
        </w:tc>
        <w:tc>
          <w:tcPr>
            <w:tcW w:w="2098" w:type="dxa"/>
            <w:textDirection w:val="btLr"/>
          </w:tcPr>
          <w:p w14:paraId="7E9D5E18" w14:textId="77777777" w:rsidR="00786747" w:rsidRPr="00786747" w:rsidRDefault="00786747" w:rsidP="00786747">
            <w:pPr>
              <w:spacing w:line="240" w:lineRule="auto"/>
              <w:rPr>
                <w:rFonts w:eastAsia="Times New Roman" w:cs="Arial"/>
                <w:sz w:val="24"/>
                <w:szCs w:val="24"/>
              </w:rPr>
            </w:pPr>
          </w:p>
        </w:tc>
      </w:tr>
      <w:tr w:rsidR="00786747" w14:paraId="1B160743" w14:textId="77777777" w:rsidTr="00786747">
        <w:tc>
          <w:tcPr>
            <w:tcW w:w="1792" w:type="dxa"/>
          </w:tcPr>
          <w:p w14:paraId="20B675BE" w14:textId="7EC5A1FB" w:rsidR="00786747" w:rsidRPr="00786747" w:rsidRDefault="00786747" w:rsidP="00786747">
            <w:pPr>
              <w:spacing w:line="240" w:lineRule="auto"/>
              <w:rPr>
                <w:rFonts w:eastAsia="Times New Roman" w:cs="Arial"/>
                <w:b/>
                <w:szCs w:val="24"/>
              </w:rPr>
            </w:pPr>
            <w:r w:rsidRPr="00786747">
              <w:rPr>
                <w:b/>
                <w:bCs/>
                <w:szCs w:val="17"/>
                <w:u w:val="single"/>
              </w:rPr>
              <w:t xml:space="preserve">Респираторни, гръдни и медиастенални </w:t>
            </w:r>
            <w:r w:rsidRPr="00786747">
              <w:rPr>
                <w:b/>
                <w:bCs/>
                <w:szCs w:val="17"/>
              </w:rPr>
              <w:t>на</w:t>
            </w:r>
            <w:r w:rsidRPr="00786747">
              <w:rPr>
                <w:b/>
                <w:bCs/>
                <w:szCs w:val="17"/>
                <w:u w:val="single"/>
              </w:rPr>
              <w:t>рушения</w:t>
            </w:r>
          </w:p>
        </w:tc>
        <w:tc>
          <w:tcPr>
            <w:tcW w:w="1484" w:type="dxa"/>
          </w:tcPr>
          <w:p w14:paraId="12CFBC57" w14:textId="77777777" w:rsidR="00786747" w:rsidRPr="00786747" w:rsidRDefault="00786747" w:rsidP="00786747">
            <w:pPr>
              <w:spacing w:line="240" w:lineRule="auto"/>
              <w:rPr>
                <w:rFonts w:eastAsia="Times New Roman" w:cs="Arial"/>
                <w:szCs w:val="24"/>
              </w:rPr>
            </w:pPr>
          </w:p>
        </w:tc>
        <w:tc>
          <w:tcPr>
            <w:tcW w:w="2342" w:type="dxa"/>
          </w:tcPr>
          <w:p w14:paraId="4678FF91" w14:textId="7EE418BC" w:rsidR="00786747" w:rsidRPr="00786747" w:rsidRDefault="00786747" w:rsidP="00786747">
            <w:pPr>
              <w:spacing w:line="240" w:lineRule="auto"/>
              <w:rPr>
                <w:rFonts w:eastAsia="Times New Roman" w:cs="Arial"/>
                <w:szCs w:val="24"/>
              </w:rPr>
            </w:pPr>
            <w:r w:rsidRPr="00786747">
              <w:rPr>
                <w:bCs/>
                <w:szCs w:val="17"/>
              </w:rPr>
              <w:t>Кашлица</w:t>
            </w:r>
          </w:p>
        </w:tc>
        <w:tc>
          <w:tcPr>
            <w:tcW w:w="1860" w:type="dxa"/>
          </w:tcPr>
          <w:p w14:paraId="2AF12CBA" w14:textId="77777777" w:rsidR="00786747" w:rsidRPr="00786747" w:rsidRDefault="00786747" w:rsidP="00786747">
            <w:pPr>
              <w:spacing w:line="240" w:lineRule="auto"/>
              <w:rPr>
                <w:rFonts w:eastAsia="Times New Roman" w:cs="Arial"/>
                <w:szCs w:val="24"/>
              </w:rPr>
            </w:pPr>
          </w:p>
        </w:tc>
        <w:tc>
          <w:tcPr>
            <w:tcW w:w="2098" w:type="dxa"/>
          </w:tcPr>
          <w:p w14:paraId="014DA741" w14:textId="77777777" w:rsidR="00786747" w:rsidRPr="00786747" w:rsidRDefault="00786747" w:rsidP="00786747">
            <w:pPr>
              <w:spacing w:line="240" w:lineRule="auto"/>
              <w:rPr>
                <w:rFonts w:eastAsia="Times New Roman" w:cs="Arial"/>
                <w:szCs w:val="24"/>
              </w:rPr>
            </w:pPr>
          </w:p>
        </w:tc>
      </w:tr>
      <w:tr w:rsidR="00786747" w14:paraId="465016CB" w14:textId="77777777" w:rsidTr="00786747">
        <w:tc>
          <w:tcPr>
            <w:tcW w:w="1792" w:type="dxa"/>
          </w:tcPr>
          <w:p w14:paraId="372153FB" w14:textId="0F95DC8F" w:rsidR="00786747" w:rsidRPr="00786747" w:rsidRDefault="00786747" w:rsidP="00786747">
            <w:pPr>
              <w:spacing w:line="240" w:lineRule="auto"/>
              <w:rPr>
                <w:rFonts w:eastAsia="Times New Roman" w:cs="Arial"/>
                <w:b/>
                <w:szCs w:val="24"/>
              </w:rPr>
            </w:pPr>
            <w:r w:rsidRPr="00786747">
              <w:rPr>
                <w:b/>
                <w:bCs/>
                <w:szCs w:val="17"/>
                <w:u w:val="single"/>
              </w:rPr>
              <w:t>Стомашно- чревни нарушения</w:t>
            </w:r>
          </w:p>
        </w:tc>
        <w:tc>
          <w:tcPr>
            <w:tcW w:w="1484" w:type="dxa"/>
          </w:tcPr>
          <w:p w14:paraId="149FA3D5" w14:textId="77777777" w:rsidR="00786747" w:rsidRPr="00786747" w:rsidRDefault="00786747" w:rsidP="00786747">
            <w:pPr>
              <w:spacing w:line="240" w:lineRule="auto"/>
              <w:rPr>
                <w:rFonts w:eastAsia="Times New Roman" w:cs="Arial"/>
                <w:szCs w:val="24"/>
              </w:rPr>
            </w:pPr>
          </w:p>
        </w:tc>
        <w:tc>
          <w:tcPr>
            <w:tcW w:w="2342" w:type="dxa"/>
          </w:tcPr>
          <w:p w14:paraId="4B5CE3DE" w14:textId="033B21F6" w:rsidR="00786747" w:rsidRPr="00786747" w:rsidRDefault="00786747" w:rsidP="00786747">
            <w:pPr>
              <w:spacing w:line="240" w:lineRule="auto"/>
              <w:rPr>
                <w:rFonts w:eastAsia="Times New Roman" w:cs="Arial"/>
                <w:szCs w:val="24"/>
              </w:rPr>
            </w:pPr>
            <w:r w:rsidRPr="00786747">
              <w:rPr>
                <w:bCs/>
                <w:szCs w:val="17"/>
              </w:rPr>
              <w:t>Болки в корема, диария, диспепсия, гадене,повръщане</w:t>
            </w:r>
          </w:p>
        </w:tc>
        <w:tc>
          <w:tcPr>
            <w:tcW w:w="1860" w:type="dxa"/>
          </w:tcPr>
          <w:p w14:paraId="459E8C0C" w14:textId="77777777" w:rsidR="00786747" w:rsidRPr="00786747" w:rsidRDefault="00786747" w:rsidP="00786747">
            <w:pPr>
              <w:spacing w:line="240" w:lineRule="auto"/>
              <w:rPr>
                <w:rFonts w:eastAsia="Times New Roman" w:cs="Arial"/>
                <w:szCs w:val="24"/>
              </w:rPr>
            </w:pPr>
          </w:p>
        </w:tc>
        <w:tc>
          <w:tcPr>
            <w:tcW w:w="2098" w:type="dxa"/>
          </w:tcPr>
          <w:p w14:paraId="6E6F7E60" w14:textId="0E927CD6" w:rsidR="00786747" w:rsidRPr="00786747" w:rsidRDefault="00786747" w:rsidP="00786747">
            <w:pPr>
              <w:spacing w:line="240" w:lineRule="auto"/>
              <w:rPr>
                <w:rFonts w:eastAsia="Times New Roman" w:cs="Arial"/>
                <w:szCs w:val="24"/>
              </w:rPr>
            </w:pPr>
            <w:r w:rsidRPr="00786747">
              <w:rPr>
                <w:bCs/>
                <w:szCs w:val="17"/>
              </w:rPr>
              <w:t>Панкреатит</w:t>
            </w:r>
          </w:p>
        </w:tc>
      </w:tr>
      <w:tr w:rsidR="00786747" w14:paraId="6B0A686A" w14:textId="77777777" w:rsidTr="00786747">
        <w:tc>
          <w:tcPr>
            <w:tcW w:w="1792" w:type="dxa"/>
          </w:tcPr>
          <w:p w14:paraId="09875592" w14:textId="24CBE680" w:rsidR="00786747" w:rsidRPr="00786747" w:rsidRDefault="00786747" w:rsidP="00786747">
            <w:pPr>
              <w:spacing w:line="240" w:lineRule="auto"/>
              <w:rPr>
                <w:rFonts w:eastAsia="Times New Roman" w:cs="Arial"/>
                <w:b/>
                <w:szCs w:val="24"/>
              </w:rPr>
            </w:pPr>
            <w:r w:rsidRPr="00786747">
              <w:rPr>
                <w:b/>
                <w:bCs/>
                <w:szCs w:val="17"/>
                <w:u w:val="single"/>
              </w:rPr>
              <w:t>Хепатобилиарни нарушения</w:t>
            </w:r>
          </w:p>
        </w:tc>
        <w:tc>
          <w:tcPr>
            <w:tcW w:w="1484" w:type="dxa"/>
          </w:tcPr>
          <w:p w14:paraId="27EA8421" w14:textId="77777777" w:rsidR="00786747" w:rsidRPr="00786747" w:rsidRDefault="00786747" w:rsidP="00786747">
            <w:pPr>
              <w:spacing w:line="240" w:lineRule="auto"/>
              <w:rPr>
                <w:rFonts w:eastAsia="Times New Roman" w:cs="Arial"/>
                <w:szCs w:val="24"/>
              </w:rPr>
            </w:pPr>
          </w:p>
        </w:tc>
        <w:tc>
          <w:tcPr>
            <w:tcW w:w="2342" w:type="dxa"/>
          </w:tcPr>
          <w:p w14:paraId="6ADBA167" w14:textId="77777777" w:rsidR="00786747" w:rsidRPr="00786747" w:rsidRDefault="00786747" w:rsidP="00786747">
            <w:pPr>
              <w:spacing w:line="240" w:lineRule="auto"/>
              <w:rPr>
                <w:rFonts w:eastAsia="Times New Roman" w:cs="Arial"/>
                <w:szCs w:val="24"/>
              </w:rPr>
            </w:pPr>
          </w:p>
        </w:tc>
        <w:tc>
          <w:tcPr>
            <w:tcW w:w="1860" w:type="dxa"/>
          </w:tcPr>
          <w:p w14:paraId="06CBEE33" w14:textId="3D56954A" w:rsidR="00786747" w:rsidRPr="00786747" w:rsidRDefault="00786747" w:rsidP="00786747">
            <w:pPr>
              <w:spacing w:line="240" w:lineRule="auto"/>
              <w:rPr>
                <w:rFonts w:eastAsia="Times New Roman" w:cs="Arial"/>
                <w:szCs w:val="24"/>
              </w:rPr>
            </w:pPr>
            <w:r w:rsidRPr="00786747">
              <w:rPr>
                <w:bCs/>
                <w:szCs w:val="17"/>
              </w:rPr>
              <w:t>Абнормни резултати при изследвания на функцията на черния дроб</w:t>
            </w:r>
          </w:p>
        </w:tc>
        <w:tc>
          <w:tcPr>
            <w:tcW w:w="2098" w:type="dxa"/>
          </w:tcPr>
          <w:p w14:paraId="587DBEB7" w14:textId="3DAA1B17" w:rsidR="00786747" w:rsidRPr="00786747" w:rsidRDefault="00786747" w:rsidP="00786747">
            <w:pPr>
              <w:spacing w:line="240" w:lineRule="auto"/>
              <w:rPr>
                <w:rFonts w:eastAsia="Times New Roman" w:cs="Arial"/>
                <w:szCs w:val="24"/>
              </w:rPr>
            </w:pPr>
            <w:r w:rsidRPr="00786747">
              <w:rPr>
                <w:bCs/>
                <w:szCs w:val="17"/>
              </w:rPr>
              <w:t>Чернодробна недостатъчност, хепатит</w:t>
            </w:r>
          </w:p>
        </w:tc>
      </w:tr>
      <w:tr w:rsidR="00786747" w14:paraId="4E776D8B" w14:textId="77777777" w:rsidTr="00786747">
        <w:tc>
          <w:tcPr>
            <w:tcW w:w="1792" w:type="dxa"/>
          </w:tcPr>
          <w:p w14:paraId="0954A6F8" w14:textId="41DE07B7" w:rsidR="00786747" w:rsidRPr="00786747" w:rsidRDefault="00786747" w:rsidP="00786747">
            <w:pPr>
              <w:spacing w:line="240" w:lineRule="auto"/>
              <w:rPr>
                <w:rFonts w:eastAsia="Times New Roman" w:cs="Arial"/>
                <w:b/>
                <w:szCs w:val="24"/>
              </w:rPr>
            </w:pPr>
            <w:r w:rsidRPr="00786747">
              <w:rPr>
                <w:b/>
                <w:bCs/>
                <w:szCs w:val="17"/>
                <w:u w:val="single"/>
              </w:rPr>
              <w:t>Нарушения на бъбреците и пикочните пътища</w:t>
            </w:r>
          </w:p>
        </w:tc>
        <w:tc>
          <w:tcPr>
            <w:tcW w:w="1484" w:type="dxa"/>
          </w:tcPr>
          <w:p w14:paraId="0F962055" w14:textId="77777777" w:rsidR="00786747" w:rsidRPr="00786747" w:rsidRDefault="00786747" w:rsidP="00786747">
            <w:pPr>
              <w:spacing w:line="240" w:lineRule="auto"/>
              <w:rPr>
                <w:rFonts w:eastAsia="Times New Roman" w:cs="Arial"/>
                <w:szCs w:val="24"/>
              </w:rPr>
            </w:pPr>
          </w:p>
        </w:tc>
        <w:tc>
          <w:tcPr>
            <w:tcW w:w="2342" w:type="dxa"/>
          </w:tcPr>
          <w:p w14:paraId="0D63251D" w14:textId="77777777" w:rsidR="00786747" w:rsidRPr="00786747" w:rsidRDefault="00786747" w:rsidP="00786747">
            <w:pPr>
              <w:spacing w:line="240" w:lineRule="auto"/>
              <w:rPr>
                <w:rFonts w:eastAsia="Times New Roman" w:cs="Arial"/>
                <w:szCs w:val="24"/>
              </w:rPr>
            </w:pPr>
          </w:p>
        </w:tc>
        <w:tc>
          <w:tcPr>
            <w:tcW w:w="1860" w:type="dxa"/>
          </w:tcPr>
          <w:p w14:paraId="2F9380E9" w14:textId="77777777" w:rsidR="00786747" w:rsidRPr="00786747" w:rsidRDefault="00786747" w:rsidP="00786747">
            <w:pPr>
              <w:spacing w:line="240" w:lineRule="auto"/>
              <w:rPr>
                <w:rFonts w:eastAsia="Times New Roman" w:cs="Arial"/>
                <w:szCs w:val="24"/>
              </w:rPr>
            </w:pPr>
          </w:p>
        </w:tc>
        <w:tc>
          <w:tcPr>
            <w:tcW w:w="2098" w:type="dxa"/>
          </w:tcPr>
          <w:p w14:paraId="48C52709" w14:textId="7DDAC075" w:rsidR="00786747" w:rsidRPr="00786747" w:rsidRDefault="00786747" w:rsidP="00786747">
            <w:pPr>
              <w:spacing w:line="240" w:lineRule="auto"/>
              <w:rPr>
                <w:rFonts w:eastAsia="Times New Roman" w:cs="Arial"/>
                <w:szCs w:val="24"/>
              </w:rPr>
            </w:pPr>
            <w:r w:rsidRPr="00786747">
              <w:rPr>
                <w:bCs/>
                <w:szCs w:val="17"/>
                <w:u w:val="single"/>
              </w:rPr>
              <w:t>Остра бъбречна недостатъчност</w:t>
            </w:r>
          </w:p>
        </w:tc>
      </w:tr>
      <w:tr w:rsidR="00786747" w14:paraId="113098CD" w14:textId="77777777" w:rsidTr="00786747">
        <w:tc>
          <w:tcPr>
            <w:tcW w:w="1792" w:type="dxa"/>
          </w:tcPr>
          <w:p w14:paraId="56B24F34" w14:textId="52CFCE0A" w:rsidR="00786747" w:rsidRPr="00786747" w:rsidRDefault="00786747" w:rsidP="00786747">
            <w:pPr>
              <w:spacing w:line="240" w:lineRule="auto"/>
              <w:rPr>
                <w:rFonts w:eastAsia="Times New Roman" w:cs="Arial"/>
                <w:b/>
                <w:szCs w:val="24"/>
              </w:rPr>
            </w:pPr>
            <w:r w:rsidRPr="00786747">
              <w:rPr>
                <w:b/>
                <w:bCs/>
                <w:szCs w:val="17"/>
                <w:u w:val="single"/>
              </w:rPr>
              <w:t>Нарушения на кожата и подкожната тъкан</w:t>
            </w:r>
          </w:p>
        </w:tc>
        <w:tc>
          <w:tcPr>
            <w:tcW w:w="1484" w:type="dxa"/>
          </w:tcPr>
          <w:p w14:paraId="11955257" w14:textId="77777777" w:rsidR="00786747" w:rsidRPr="00786747" w:rsidRDefault="00786747" w:rsidP="00786747">
            <w:pPr>
              <w:spacing w:line="240" w:lineRule="auto"/>
              <w:rPr>
                <w:rFonts w:eastAsia="Times New Roman" w:cs="Arial"/>
                <w:szCs w:val="24"/>
              </w:rPr>
            </w:pPr>
          </w:p>
        </w:tc>
        <w:tc>
          <w:tcPr>
            <w:tcW w:w="2342" w:type="dxa"/>
          </w:tcPr>
          <w:p w14:paraId="28847BEB" w14:textId="0920468E" w:rsidR="00786747" w:rsidRPr="00786747" w:rsidRDefault="00786747" w:rsidP="00786747">
            <w:pPr>
              <w:spacing w:line="240" w:lineRule="auto"/>
              <w:rPr>
                <w:rFonts w:eastAsia="Times New Roman" w:cs="Arial"/>
                <w:szCs w:val="24"/>
              </w:rPr>
            </w:pPr>
            <w:r w:rsidRPr="00786747">
              <w:rPr>
                <w:bCs/>
                <w:szCs w:val="17"/>
              </w:rPr>
              <w:t>Обрив</w:t>
            </w:r>
          </w:p>
        </w:tc>
        <w:tc>
          <w:tcPr>
            <w:tcW w:w="1860" w:type="dxa"/>
          </w:tcPr>
          <w:p w14:paraId="7D92B591" w14:textId="363F5ECC" w:rsidR="00786747" w:rsidRPr="00786747" w:rsidRDefault="00786747" w:rsidP="00786747">
            <w:pPr>
              <w:spacing w:line="240" w:lineRule="auto"/>
              <w:rPr>
                <w:rFonts w:eastAsia="Times New Roman" w:cs="Arial"/>
                <w:szCs w:val="24"/>
              </w:rPr>
            </w:pPr>
            <w:r w:rsidRPr="00786747">
              <w:rPr>
                <w:bCs/>
                <w:szCs w:val="17"/>
              </w:rPr>
              <w:t>Алопеция, екзема, пруритус</w:t>
            </w:r>
          </w:p>
        </w:tc>
        <w:tc>
          <w:tcPr>
            <w:tcW w:w="2098" w:type="dxa"/>
          </w:tcPr>
          <w:p w14:paraId="004C7BA8" w14:textId="38248E34" w:rsidR="00786747" w:rsidRPr="00786747" w:rsidRDefault="00786747" w:rsidP="00786747">
            <w:pPr>
              <w:spacing w:line="240" w:lineRule="auto"/>
              <w:rPr>
                <w:rFonts w:eastAsia="Times New Roman" w:cs="Arial"/>
                <w:szCs w:val="24"/>
              </w:rPr>
            </w:pPr>
            <w:r w:rsidRPr="00786747">
              <w:rPr>
                <w:bCs/>
                <w:szCs w:val="17"/>
              </w:rPr>
              <w:t xml:space="preserve">Токсична епидермална некролиза, синдром на </w:t>
            </w:r>
            <w:r w:rsidRPr="00786747">
              <w:rPr>
                <w:bCs/>
                <w:szCs w:val="17"/>
                <w:lang w:val="en-US"/>
              </w:rPr>
              <w:t>Stevens</w:t>
            </w:r>
            <w:r w:rsidRPr="00786747">
              <w:rPr>
                <w:bCs/>
                <w:szCs w:val="17"/>
                <w:lang w:val="ru-RU"/>
              </w:rPr>
              <w:t>-</w:t>
            </w:r>
            <w:proofErr w:type="spellStart"/>
            <w:r w:rsidRPr="00786747">
              <w:rPr>
                <w:bCs/>
                <w:szCs w:val="17"/>
                <w:lang w:val="en-US"/>
              </w:rPr>
              <w:t>Johnsop</w:t>
            </w:r>
            <w:proofErr w:type="spellEnd"/>
            <w:r w:rsidRPr="00786747">
              <w:rPr>
                <w:bCs/>
                <w:szCs w:val="17"/>
                <w:lang w:val="ru-RU"/>
              </w:rPr>
              <w:t xml:space="preserve">, </w:t>
            </w:r>
            <w:r w:rsidRPr="00786747">
              <w:rPr>
                <w:bCs/>
                <w:szCs w:val="17"/>
              </w:rPr>
              <w:t>еритема мултиформе</w:t>
            </w:r>
          </w:p>
        </w:tc>
      </w:tr>
      <w:tr w:rsidR="00786747" w14:paraId="654CAA92" w14:textId="77777777" w:rsidTr="00786747">
        <w:tc>
          <w:tcPr>
            <w:tcW w:w="1792" w:type="dxa"/>
          </w:tcPr>
          <w:p w14:paraId="1062AFDE" w14:textId="6D702F6A" w:rsidR="00786747" w:rsidRPr="00786747" w:rsidRDefault="00786747" w:rsidP="00786747">
            <w:pPr>
              <w:spacing w:line="240" w:lineRule="auto"/>
              <w:rPr>
                <w:rFonts w:eastAsia="Times New Roman" w:cs="Arial"/>
                <w:b/>
                <w:szCs w:val="24"/>
              </w:rPr>
            </w:pPr>
            <w:r w:rsidRPr="00786747">
              <w:rPr>
                <w:b/>
                <w:bCs/>
                <w:szCs w:val="17"/>
                <w:u w:val="single"/>
              </w:rPr>
              <w:t>Нарушения на мускулно- скелетната система и съединителната тъкан</w:t>
            </w:r>
          </w:p>
        </w:tc>
        <w:tc>
          <w:tcPr>
            <w:tcW w:w="1484" w:type="dxa"/>
          </w:tcPr>
          <w:p w14:paraId="35018CC1" w14:textId="77777777" w:rsidR="00786747" w:rsidRPr="00786747" w:rsidRDefault="00786747" w:rsidP="00786747">
            <w:pPr>
              <w:spacing w:line="240" w:lineRule="auto"/>
              <w:rPr>
                <w:rFonts w:eastAsia="Times New Roman" w:cs="Arial"/>
                <w:szCs w:val="24"/>
              </w:rPr>
            </w:pPr>
          </w:p>
        </w:tc>
        <w:tc>
          <w:tcPr>
            <w:tcW w:w="2342" w:type="dxa"/>
          </w:tcPr>
          <w:p w14:paraId="1781A17D" w14:textId="77777777" w:rsidR="00786747" w:rsidRPr="00786747" w:rsidRDefault="00786747" w:rsidP="00786747">
            <w:pPr>
              <w:spacing w:line="240" w:lineRule="auto"/>
              <w:rPr>
                <w:rFonts w:eastAsia="Times New Roman" w:cs="Arial"/>
                <w:szCs w:val="24"/>
              </w:rPr>
            </w:pPr>
          </w:p>
        </w:tc>
        <w:tc>
          <w:tcPr>
            <w:tcW w:w="1860" w:type="dxa"/>
          </w:tcPr>
          <w:p w14:paraId="631CE823" w14:textId="03D7DD23" w:rsidR="00786747" w:rsidRPr="00786747" w:rsidRDefault="00786747" w:rsidP="00786747">
            <w:pPr>
              <w:spacing w:line="240" w:lineRule="auto"/>
              <w:rPr>
                <w:rFonts w:eastAsia="Times New Roman" w:cs="Arial"/>
                <w:szCs w:val="24"/>
              </w:rPr>
            </w:pPr>
            <w:r w:rsidRPr="00786747">
              <w:rPr>
                <w:bCs/>
                <w:szCs w:val="17"/>
              </w:rPr>
              <w:t>Мускулна слабост, миалгия</w:t>
            </w:r>
          </w:p>
        </w:tc>
        <w:tc>
          <w:tcPr>
            <w:tcW w:w="2098" w:type="dxa"/>
          </w:tcPr>
          <w:p w14:paraId="67027B9A" w14:textId="0B4B4349" w:rsidR="00786747" w:rsidRPr="00786747" w:rsidRDefault="00786747" w:rsidP="00786747">
            <w:pPr>
              <w:spacing w:line="240" w:lineRule="auto"/>
              <w:rPr>
                <w:rFonts w:eastAsia="Times New Roman" w:cs="Arial"/>
                <w:szCs w:val="24"/>
              </w:rPr>
            </w:pPr>
            <w:r w:rsidRPr="00786747">
              <w:rPr>
                <w:bCs/>
                <w:szCs w:val="17"/>
              </w:rPr>
              <w:t>Рабдомиолиза и повишена креатинин фосфокиназа в кръвта*</w:t>
            </w:r>
          </w:p>
        </w:tc>
      </w:tr>
      <w:tr w:rsidR="00786747" w14:paraId="6708C44B" w14:textId="77777777" w:rsidTr="00786747">
        <w:tc>
          <w:tcPr>
            <w:tcW w:w="1792" w:type="dxa"/>
          </w:tcPr>
          <w:p w14:paraId="493884E5" w14:textId="61610A81" w:rsidR="00786747" w:rsidRPr="00786747" w:rsidRDefault="00786747" w:rsidP="00786747">
            <w:pPr>
              <w:spacing w:line="240" w:lineRule="auto"/>
              <w:rPr>
                <w:rFonts w:eastAsia="Times New Roman" w:cs="Arial"/>
                <w:b/>
                <w:szCs w:val="24"/>
              </w:rPr>
            </w:pPr>
            <w:r w:rsidRPr="00786747">
              <w:rPr>
                <w:b/>
                <w:bCs/>
                <w:szCs w:val="17"/>
                <w:u w:val="single"/>
              </w:rPr>
              <w:lastRenderedPageBreak/>
              <w:t>Общи нарушения и ефекти на мястото на приложение</w:t>
            </w:r>
          </w:p>
        </w:tc>
        <w:tc>
          <w:tcPr>
            <w:tcW w:w="1484" w:type="dxa"/>
          </w:tcPr>
          <w:p w14:paraId="184F2793" w14:textId="77777777" w:rsidR="00786747" w:rsidRPr="00786747" w:rsidRDefault="00786747" w:rsidP="00786747">
            <w:pPr>
              <w:spacing w:line="240" w:lineRule="auto"/>
              <w:rPr>
                <w:rFonts w:eastAsia="Times New Roman" w:cs="Arial"/>
                <w:szCs w:val="24"/>
              </w:rPr>
            </w:pPr>
          </w:p>
        </w:tc>
        <w:tc>
          <w:tcPr>
            <w:tcW w:w="2342" w:type="dxa"/>
          </w:tcPr>
          <w:p w14:paraId="2FADF8D6" w14:textId="62DCDF89" w:rsidR="00786747" w:rsidRPr="00786747" w:rsidRDefault="00786747" w:rsidP="00786747">
            <w:pPr>
              <w:spacing w:line="240" w:lineRule="auto"/>
              <w:rPr>
                <w:rFonts w:eastAsia="Times New Roman" w:cs="Arial"/>
                <w:szCs w:val="24"/>
              </w:rPr>
            </w:pPr>
            <w:r w:rsidRPr="00786747">
              <w:rPr>
                <w:bCs/>
                <w:szCs w:val="17"/>
              </w:rPr>
              <w:t>Астения/умора</w:t>
            </w:r>
          </w:p>
        </w:tc>
        <w:tc>
          <w:tcPr>
            <w:tcW w:w="1860" w:type="dxa"/>
          </w:tcPr>
          <w:p w14:paraId="402FF9B1" w14:textId="77777777" w:rsidR="00786747" w:rsidRPr="00786747" w:rsidRDefault="00786747" w:rsidP="00786747">
            <w:pPr>
              <w:spacing w:line="240" w:lineRule="auto"/>
              <w:rPr>
                <w:rFonts w:eastAsia="Times New Roman" w:cs="Arial"/>
                <w:szCs w:val="24"/>
              </w:rPr>
            </w:pPr>
          </w:p>
        </w:tc>
        <w:tc>
          <w:tcPr>
            <w:tcW w:w="2098" w:type="dxa"/>
          </w:tcPr>
          <w:p w14:paraId="0B8ACDE0" w14:textId="77777777" w:rsidR="00786747" w:rsidRPr="00786747" w:rsidRDefault="00786747" w:rsidP="00786747">
            <w:pPr>
              <w:spacing w:line="240" w:lineRule="auto"/>
              <w:rPr>
                <w:rFonts w:eastAsia="Times New Roman" w:cs="Arial"/>
                <w:szCs w:val="24"/>
              </w:rPr>
            </w:pPr>
          </w:p>
        </w:tc>
      </w:tr>
      <w:tr w:rsidR="00786747" w14:paraId="092C1FB1" w14:textId="77777777" w:rsidTr="00786747">
        <w:tc>
          <w:tcPr>
            <w:tcW w:w="1792" w:type="dxa"/>
          </w:tcPr>
          <w:p w14:paraId="565F5ABE" w14:textId="4E788175" w:rsidR="00786747" w:rsidRPr="00786747" w:rsidRDefault="00786747" w:rsidP="00786747">
            <w:pPr>
              <w:spacing w:line="240" w:lineRule="auto"/>
              <w:rPr>
                <w:rFonts w:eastAsia="Times New Roman" w:cs="Arial"/>
                <w:b/>
                <w:szCs w:val="24"/>
              </w:rPr>
            </w:pPr>
            <w:r w:rsidRPr="00786747">
              <w:rPr>
                <w:b/>
                <w:bCs/>
                <w:szCs w:val="17"/>
                <w:u w:val="single"/>
              </w:rPr>
              <w:t>Наранявания, отравяния и усложнения, възникнали в резултат на интервенция</w:t>
            </w:r>
          </w:p>
        </w:tc>
        <w:tc>
          <w:tcPr>
            <w:tcW w:w="1484" w:type="dxa"/>
          </w:tcPr>
          <w:p w14:paraId="232921A3" w14:textId="77777777" w:rsidR="00786747" w:rsidRPr="00786747" w:rsidRDefault="00786747" w:rsidP="00786747">
            <w:pPr>
              <w:spacing w:line="240" w:lineRule="auto"/>
              <w:rPr>
                <w:rFonts w:eastAsia="Times New Roman" w:cs="Arial"/>
                <w:szCs w:val="24"/>
              </w:rPr>
            </w:pPr>
          </w:p>
        </w:tc>
        <w:tc>
          <w:tcPr>
            <w:tcW w:w="2342" w:type="dxa"/>
          </w:tcPr>
          <w:p w14:paraId="7BFC324B" w14:textId="77777777" w:rsidR="00786747" w:rsidRPr="00786747" w:rsidRDefault="00786747" w:rsidP="00786747">
            <w:pPr>
              <w:spacing w:line="240" w:lineRule="auto"/>
              <w:rPr>
                <w:rFonts w:eastAsia="Times New Roman" w:cs="Arial"/>
                <w:szCs w:val="24"/>
              </w:rPr>
            </w:pPr>
          </w:p>
        </w:tc>
        <w:tc>
          <w:tcPr>
            <w:tcW w:w="1860" w:type="dxa"/>
          </w:tcPr>
          <w:p w14:paraId="15225D69" w14:textId="000B348F" w:rsidR="00786747" w:rsidRPr="00786747" w:rsidRDefault="00786747" w:rsidP="00786747">
            <w:pPr>
              <w:spacing w:line="240" w:lineRule="auto"/>
              <w:rPr>
                <w:rFonts w:eastAsia="Times New Roman" w:cs="Arial"/>
                <w:szCs w:val="24"/>
              </w:rPr>
            </w:pPr>
            <w:r w:rsidRPr="00786747">
              <w:rPr>
                <w:bCs/>
                <w:szCs w:val="17"/>
              </w:rPr>
              <w:t>Нараняване</w:t>
            </w:r>
          </w:p>
        </w:tc>
        <w:tc>
          <w:tcPr>
            <w:tcW w:w="2098" w:type="dxa"/>
          </w:tcPr>
          <w:p w14:paraId="626649DA" w14:textId="77777777" w:rsidR="00786747" w:rsidRPr="00786747" w:rsidRDefault="00786747" w:rsidP="00786747">
            <w:pPr>
              <w:spacing w:line="240" w:lineRule="auto"/>
              <w:rPr>
                <w:rFonts w:eastAsia="Times New Roman" w:cs="Arial"/>
                <w:szCs w:val="24"/>
              </w:rPr>
            </w:pPr>
          </w:p>
        </w:tc>
      </w:tr>
    </w:tbl>
    <w:p w14:paraId="7327E85B"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val="ru-RU"/>
        </w:rPr>
        <w:t xml:space="preserve">* </w:t>
      </w:r>
      <w:r w:rsidRPr="00786747">
        <w:rPr>
          <w:rFonts w:eastAsia="Times New Roman" w:cs="Arial"/>
          <w:color w:val="000000"/>
          <w:szCs w:val="20"/>
          <w:lang w:eastAsia="bg-BG"/>
        </w:rPr>
        <w:t>Значително по-високо разпространение се наблюдава при пациенти от японски произход в сравнение с пациентите от неяпонски произход.</w:t>
      </w:r>
    </w:p>
    <w:p w14:paraId="4FEF9F21" w14:textId="77777777" w:rsidR="00786747" w:rsidRPr="00786747" w:rsidRDefault="00786747" w:rsidP="00786747">
      <w:pPr>
        <w:spacing w:line="240" w:lineRule="auto"/>
        <w:rPr>
          <w:rFonts w:eastAsia="Times New Roman" w:cs="Arial"/>
          <w:color w:val="000000"/>
          <w:szCs w:val="20"/>
          <w:lang w:eastAsia="bg-BG"/>
        </w:rPr>
      </w:pPr>
    </w:p>
    <w:p w14:paraId="5D09E378" w14:textId="36EA273A"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Рядко са наблюдавани случаи на енцефалопатия след приложение на леветирацетам. Тези нежелани реакции обикновено настъпват в началото на лечението (няколко дни до няколко месеца) и са обратими след спиране на лечението.</w:t>
      </w:r>
    </w:p>
    <w:p w14:paraId="0AAA00B7" w14:textId="77777777" w:rsidR="00786747" w:rsidRPr="00786747" w:rsidRDefault="00786747" w:rsidP="00786747">
      <w:pPr>
        <w:spacing w:line="240" w:lineRule="auto"/>
        <w:rPr>
          <w:rFonts w:eastAsia="Times New Roman" w:cs="Arial"/>
          <w:color w:val="000000"/>
          <w:szCs w:val="20"/>
          <w:u w:val="single"/>
          <w:lang w:eastAsia="bg-BG"/>
        </w:rPr>
      </w:pPr>
    </w:p>
    <w:p w14:paraId="5F684889" w14:textId="3EB396B9"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u w:val="single"/>
          <w:lang w:eastAsia="bg-BG"/>
        </w:rPr>
        <w:t>Описание на избрани нежелани лекарствени реакции</w:t>
      </w:r>
    </w:p>
    <w:p w14:paraId="7A266B4B" w14:textId="77777777" w:rsidR="00786747" w:rsidRPr="00786747" w:rsidRDefault="00786747" w:rsidP="00786747">
      <w:pPr>
        <w:spacing w:line="240" w:lineRule="auto"/>
        <w:rPr>
          <w:rFonts w:eastAsia="Times New Roman" w:cs="Arial"/>
        </w:rPr>
      </w:pPr>
      <w:r w:rsidRPr="00786747">
        <w:rPr>
          <w:rFonts w:eastAsia="Times New Roman" w:cs="Arial"/>
          <w:color w:val="000000"/>
          <w:lang w:eastAsia="bg-BG"/>
        </w:rPr>
        <w:t>Рискът от анорексия е по-висок, когато леветирацетам се прилага едновременно с топирамат. При няколко случая на алопеция е наблюдавано възстановяване след преустановяване на приема на леветирацетам.</w:t>
      </w:r>
    </w:p>
    <w:p w14:paraId="2EEF067F" w14:textId="77777777" w:rsidR="00786747" w:rsidRPr="00786747" w:rsidRDefault="00786747" w:rsidP="00786747">
      <w:pPr>
        <w:spacing w:line="240" w:lineRule="auto"/>
        <w:rPr>
          <w:rFonts w:eastAsia="Times New Roman" w:cs="Arial"/>
        </w:rPr>
      </w:pPr>
      <w:r w:rsidRPr="00786747">
        <w:rPr>
          <w:rFonts w:eastAsia="Times New Roman" w:cs="Arial"/>
          <w:color w:val="000000"/>
          <w:lang w:eastAsia="bg-BG"/>
        </w:rPr>
        <w:t>При някои от случаите на панцитопения е установено потискане на костния мозък.</w:t>
      </w:r>
    </w:p>
    <w:p w14:paraId="4B2E2010" w14:textId="77777777" w:rsidR="00786747" w:rsidRPr="00786747" w:rsidRDefault="00786747" w:rsidP="00786747">
      <w:pPr>
        <w:spacing w:line="240" w:lineRule="auto"/>
        <w:rPr>
          <w:rFonts w:eastAsia="Times New Roman" w:cs="Arial"/>
          <w:color w:val="000000"/>
          <w:u w:val="single"/>
          <w:lang w:eastAsia="bg-BG"/>
        </w:rPr>
      </w:pPr>
    </w:p>
    <w:p w14:paraId="22D8FF7E" w14:textId="61E5E279" w:rsidR="00786747" w:rsidRPr="00786747" w:rsidRDefault="00786747" w:rsidP="00786747">
      <w:pPr>
        <w:spacing w:line="240" w:lineRule="auto"/>
        <w:rPr>
          <w:rFonts w:eastAsia="Times New Roman" w:cs="Arial"/>
        </w:rPr>
      </w:pPr>
      <w:r w:rsidRPr="00786747">
        <w:rPr>
          <w:rFonts w:eastAsia="Times New Roman" w:cs="Arial"/>
          <w:color w:val="000000"/>
          <w:u w:val="single"/>
          <w:lang w:eastAsia="bg-BG"/>
        </w:rPr>
        <w:t>Педиатрична популация</w:t>
      </w:r>
    </w:p>
    <w:p w14:paraId="10D8A2B0" w14:textId="77777777" w:rsidR="00786747" w:rsidRPr="00786747" w:rsidRDefault="00786747" w:rsidP="00786747">
      <w:pPr>
        <w:spacing w:line="240" w:lineRule="auto"/>
        <w:rPr>
          <w:rFonts w:eastAsia="Times New Roman" w:cs="Arial"/>
          <w:color w:val="000000"/>
          <w:lang w:eastAsia="bg-BG"/>
        </w:rPr>
      </w:pPr>
    </w:p>
    <w:p w14:paraId="79CE57F1" w14:textId="2131DC2E" w:rsidR="00786747" w:rsidRPr="00786747" w:rsidRDefault="00786747" w:rsidP="00786747">
      <w:pPr>
        <w:spacing w:line="240" w:lineRule="auto"/>
        <w:rPr>
          <w:rFonts w:eastAsia="Times New Roman" w:cs="Arial"/>
        </w:rPr>
      </w:pPr>
      <w:r w:rsidRPr="00786747">
        <w:rPr>
          <w:rFonts w:eastAsia="Times New Roman" w:cs="Arial"/>
          <w:color w:val="000000"/>
          <w:lang w:eastAsia="bg-BG"/>
        </w:rPr>
        <w:t>В проучвания на пациенти на възраст между 1 месец и 4 години са включени общо 190 пациенти, лекувани с леветирацетам при плацебо-контролирани и открити разширени проучвания. Шестдесет (60) от тези пациенти са лекувани с леветирацетам при плацебо- контролирани проучвания. При пациентите на възраст 4-6 години, общо 645 пациента са третирани с леветирацетам при плацебо-контролирани и открити разширени проучвания. 233 от тях са лекувани с леветирацетам при плацебо-контролирани проучвания. Данните са допълнени с от пост-маркетинговия опит от приложението на леветирацетам и при двете групи на детска възраст.</w:t>
      </w:r>
    </w:p>
    <w:p w14:paraId="248F1BFF" w14:textId="77777777" w:rsidR="00786747" w:rsidRPr="00786747" w:rsidRDefault="00786747" w:rsidP="00786747">
      <w:pPr>
        <w:spacing w:line="240" w:lineRule="auto"/>
        <w:rPr>
          <w:rFonts w:eastAsia="Times New Roman" w:cs="Arial"/>
          <w:color w:val="000000"/>
          <w:lang w:eastAsia="bg-BG"/>
        </w:rPr>
      </w:pPr>
    </w:p>
    <w:p w14:paraId="7C10AA37" w14:textId="179404F6" w:rsidR="00786747" w:rsidRPr="00786747" w:rsidRDefault="00786747" w:rsidP="00786747">
      <w:pPr>
        <w:spacing w:line="240" w:lineRule="auto"/>
        <w:rPr>
          <w:rFonts w:eastAsia="Times New Roman" w:cs="Arial"/>
        </w:rPr>
      </w:pPr>
      <w:r w:rsidRPr="00786747">
        <w:rPr>
          <w:rFonts w:eastAsia="Times New Roman" w:cs="Arial"/>
          <w:color w:val="000000"/>
          <w:lang w:eastAsia="bg-BG"/>
        </w:rPr>
        <w:t>Освен това, 101 кърмачета на възраст под 12 месеца са били включени в постмаркетингово проучване за безопасност. Не са идентифицирани нови съображения за безопасност за леветирацетам при деца с епилепсия на възраст под 12 месеца.</w:t>
      </w:r>
    </w:p>
    <w:p w14:paraId="676E8FEA" w14:textId="77777777" w:rsidR="00786747" w:rsidRPr="00786747" w:rsidRDefault="00786747" w:rsidP="00786747">
      <w:pPr>
        <w:spacing w:line="240" w:lineRule="auto"/>
        <w:rPr>
          <w:rFonts w:eastAsia="Times New Roman" w:cs="Arial"/>
          <w:color w:val="000000"/>
          <w:lang w:eastAsia="bg-BG"/>
        </w:rPr>
      </w:pPr>
    </w:p>
    <w:p w14:paraId="265EEEF3" w14:textId="4FC5843A" w:rsidR="00786747" w:rsidRPr="00786747" w:rsidRDefault="00786747" w:rsidP="00786747">
      <w:pPr>
        <w:spacing w:line="240" w:lineRule="auto"/>
        <w:rPr>
          <w:rFonts w:eastAsia="Times New Roman" w:cs="Arial"/>
        </w:rPr>
      </w:pPr>
      <w:r w:rsidRPr="00786747">
        <w:rPr>
          <w:rFonts w:eastAsia="Times New Roman" w:cs="Arial"/>
          <w:color w:val="000000"/>
          <w:lang w:eastAsia="bg-BG"/>
        </w:rPr>
        <w:t xml:space="preserve">Профилът на нежеланите лекарствени реакции на леветирацетам е в общи линии сходен между различните възрастови групи и одобрените показания за лечение на епилепсия. Данните за безопасност при педиатричните пациенти при плацебо-контролирани клинични проучвани са сходни с профила на безопасност на леветирацетам при възрастни, с изключение на поведенческите и психични нежелани лекарствени реакции, които били по-чести при децата отколкото при възрастните. При деца и юноши на възраст между 4 и 16 години се съобщава по- често за повръщане (много често, 11,2%), ажитация (често, 3,4%), промени в настроението (често, 2,1%), лесна раздразнителност (често, 1,7%), агресивност (често, 8,2%), ненормално поведение (често, 5,6%) и летаргия (често, 3,9%) в сравнение с другите възрастови групи или общия профил на безопасност. При новородени и деца на възраст между 1 месец и 4 години, по-често се съобщава за в сравнение с другите възрастови групи или общия профил на безопасност били </w:t>
      </w:r>
      <w:r w:rsidRPr="00786747">
        <w:rPr>
          <w:rFonts w:eastAsia="Times New Roman" w:cs="Arial"/>
          <w:color w:val="000000"/>
          <w:lang w:eastAsia="bg-BG"/>
        </w:rPr>
        <w:lastRenderedPageBreak/>
        <w:t>отбелязани раздразнителност (много често, 11,7%) и нарушения на координацията (често, 3,3%) в сравнение с другите възрастови групи или общия профил на безопасност.</w:t>
      </w:r>
    </w:p>
    <w:p w14:paraId="60E1C167" w14:textId="77777777" w:rsidR="00786747" w:rsidRPr="00786747" w:rsidRDefault="00786747" w:rsidP="00786747">
      <w:pPr>
        <w:spacing w:line="240" w:lineRule="auto"/>
        <w:rPr>
          <w:rFonts w:eastAsia="Times New Roman" w:cs="Arial"/>
          <w:color w:val="000000"/>
          <w:lang w:eastAsia="bg-BG"/>
        </w:rPr>
      </w:pPr>
    </w:p>
    <w:p w14:paraId="2301BA91" w14:textId="7A491619" w:rsidR="00786747" w:rsidRPr="00786747" w:rsidRDefault="00786747" w:rsidP="00786747">
      <w:pPr>
        <w:spacing w:line="240" w:lineRule="auto"/>
        <w:rPr>
          <w:rFonts w:eastAsia="Times New Roman" w:cs="Arial"/>
        </w:rPr>
      </w:pPr>
      <w:r w:rsidRPr="00786747">
        <w:rPr>
          <w:rFonts w:eastAsia="Times New Roman" w:cs="Arial"/>
          <w:color w:val="000000"/>
          <w:lang w:eastAsia="bg-BG"/>
        </w:rPr>
        <w:t xml:space="preserve">При двойно-сляпо, плацебо-контролирано проучване за безопасност при деца с неинфериорен дизайн са преценени когнитивните и невропсихологични ефекти на леветирацетам при деца от 4 до 16 годишна възраст с парциални пристъпи. Установено е, че леветирацетам не се различава (не е по-лош) от плацебо по отношение на промяната спрямо изходното ниво на </w:t>
      </w:r>
      <w:r w:rsidRPr="00786747">
        <w:rPr>
          <w:rFonts w:eastAsia="Times New Roman" w:cs="Arial"/>
          <w:color w:val="000000"/>
          <w:lang w:val="en-US"/>
        </w:rPr>
        <w:t>Leiter</w:t>
      </w:r>
      <w:r w:rsidRPr="00786747">
        <w:rPr>
          <w:rFonts w:eastAsia="Times New Roman" w:cs="Arial"/>
          <w:color w:val="000000"/>
          <w:lang w:val="ru-RU"/>
        </w:rPr>
        <w:t>-</w:t>
      </w:r>
      <w:r w:rsidRPr="00786747">
        <w:rPr>
          <w:rFonts w:eastAsia="Times New Roman" w:cs="Arial"/>
          <w:color w:val="000000"/>
          <w:lang w:val="en-US"/>
        </w:rPr>
        <w:t>R</w:t>
      </w:r>
      <w:r w:rsidRPr="00786747">
        <w:rPr>
          <w:rFonts w:eastAsia="Times New Roman" w:cs="Arial"/>
          <w:color w:val="000000"/>
          <w:lang w:val="ru-RU"/>
        </w:rPr>
        <w:t xml:space="preserve"> </w:t>
      </w:r>
      <w:r w:rsidRPr="00786747">
        <w:rPr>
          <w:rFonts w:eastAsia="Times New Roman" w:cs="Arial"/>
          <w:color w:val="000000"/>
          <w:lang w:eastAsia="bg-BG"/>
        </w:rPr>
        <w:t xml:space="preserve">внимание и памет, комбиниран резултат за изследване на паметта в определената в протокола популация. Резултатите, свързани с поведенческата и емоционална функция показват влошаване при лекуваните с леветирацетам пациенти по отношение на агресивното поведение, измерено по стандартен и систематизиран метод чрез използване на валидиран способ </w:t>
      </w:r>
      <w:r w:rsidRPr="00786747">
        <w:rPr>
          <w:rFonts w:eastAsia="Times New Roman" w:cs="Arial"/>
          <w:color w:val="000000"/>
          <w:lang w:val="ru-RU"/>
        </w:rPr>
        <w:t>(</w:t>
      </w:r>
      <w:r w:rsidRPr="00786747">
        <w:rPr>
          <w:rFonts w:eastAsia="Times New Roman" w:cs="Arial"/>
          <w:color w:val="000000"/>
          <w:lang w:val="en-US"/>
        </w:rPr>
        <w:t>CBCL</w:t>
      </w:r>
      <w:r w:rsidRPr="00786747">
        <w:rPr>
          <w:rFonts w:eastAsia="Times New Roman" w:cs="Arial"/>
          <w:color w:val="000000"/>
          <w:lang w:val="ru-RU"/>
        </w:rPr>
        <w:t xml:space="preserve">- </w:t>
      </w:r>
      <w:r w:rsidRPr="00786747">
        <w:rPr>
          <w:rFonts w:eastAsia="Times New Roman" w:cs="Arial"/>
          <w:color w:val="000000"/>
          <w:lang w:val="en-US"/>
        </w:rPr>
        <w:t>Achenbach</w:t>
      </w:r>
      <w:r w:rsidRPr="00786747">
        <w:rPr>
          <w:rFonts w:eastAsia="Times New Roman" w:cs="Arial"/>
          <w:color w:val="000000"/>
          <w:lang w:val="ru-RU"/>
        </w:rPr>
        <w:t xml:space="preserve"> </w:t>
      </w:r>
      <w:r w:rsidRPr="00786747">
        <w:rPr>
          <w:rFonts w:eastAsia="Times New Roman" w:cs="Arial"/>
          <w:color w:val="000000"/>
          <w:lang w:eastAsia="bg-BG"/>
        </w:rPr>
        <w:t>въпросник за детско поведение).</w:t>
      </w:r>
    </w:p>
    <w:p w14:paraId="145F21CC" w14:textId="77777777" w:rsidR="00786747" w:rsidRPr="00786747" w:rsidRDefault="00786747" w:rsidP="00786747">
      <w:pPr>
        <w:spacing w:line="240" w:lineRule="auto"/>
        <w:rPr>
          <w:rFonts w:eastAsia="Times New Roman" w:cs="Arial"/>
        </w:rPr>
      </w:pPr>
      <w:r w:rsidRPr="00786747">
        <w:rPr>
          <w:rFonts w:eastAsia="Times New Roman" w:cs="Arial"/>
          <w:color w:val="000000"/>
          <w:lang w:eastAsia="bg-BG"/>
        </w:rPr>
        <w:t>Въпреки това, пациентите приемали леветирацетам по време на дългосрочно, открито проследяващо проучване, не са показали общо влошаване на тяхното поведение и емоционална функция; по-точно, при показателите за агресивно поведение няма влошаване спрямо изходните стойности.</w:t>
      </w:r>
    </w:p>
    <w:p w14:paraId="5B6CDC37" w14:textId="77777777" w:rsidR="00786747" w:rsidRPr="00786747" w:rsidRDefault="00786747" w:rsidP="00786747">
      <w:pPr>
        <w:spacing w:line="240" w:lineRule="auto"/>
        <w:rPr>
          <w:rFonts w:eastAsia="Times New Roman" w:cs="Arial"/>
          <w:color w:val="000000"/>
          <w:u w:val="single"/>
          <w:lang w:eastAsia="bg-BG"/>
        </w:rPr>
      </w:pPr>
    </w:p>
    <w:p w14:paraId="20A04FC6" w14:textId="31245F68" w:rsidR="00786747" w:rsidRPr="00786747" w:rsidRDefault="00786747" w:rsidP="00786747">
      <w:pPr>
        <w:spacing w:line="240" w:lineRule="auto"/>
        <w:rPr>
          <w:rFonts w:eastAsia="Times New Roman" w:cs="Arial"/>
        </w:rPr>
      </w:pPr>
      <w:r w:rsidRPr="00786747">
        <w:rPr>
          <w:rFonts w:eastAsia="Times New Roman" w:cs="Arial"/>
          <w:color w:val="000000"/>
          <w:u w:val="single"/>
          <w:lang w:eastAsia="bg-BG"/>
        </w:rPr>
        <w:t>Съобщаване на подозирани лекарствени реакции</w:t>
      </w:r>
    </w:p>
    <w:p w14:paraId="69857D7C" w14:textId="41212F67" w:rsidR="00786747" w:rsidRPr="00786747" w:rsidRDefault="00786747" w:rsidP="00786747">
      <w:pPr>
        <w:spacing w:line="240" w:lineRule="auto"/>
        <w:rPr>
          <w:rFonts w:eastAsia="Times New Roman" w:cs="Arial"/>
          <w:lang w:val="ru-RU"/>
        </w:rPr>
      </w:pPr>
      <w:r w:rsidRPr="0078674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 Изпълнителна агенция по лекарствата, ул.„Дамян Груев”№ 8, 1303 София, тел.: +35928903417, уебсайт </w:t>
      </w:r>
      <w:r w:rsidRPr="00786747">
        <w:rPr>
          <w:rFonts w:eastAsia="Times New Roman" w:cs="Arial"/>
        </w:rPr>
        <w:fldChar w:fldCharType="begin"/>
      </w:r>
      <w:r w:rsidRPr="00786747">
        <w:rPr>
          <w:rFonts w:eastAsia="Times New Roman" w:cs="Arial"/>
        </w:rPr>
        <w:instrText xml:space="preserve"> HYPERLINK "http://www.bda.bg" </w:instrText>
      </w:r>
      <w:r w:rsidRPr="00786747">
        <w:rPr>
          <w:rFonts w:eastAsia="Times New Roman" w:cs="Arial"/>
        </w:rPr>
      </w:r>
      <w:r w:rsidRPr="00786747">
        <w:rPr>
          <w:rFonts w:eastAsia="Times New Roman" w:cs="Arial"/>
        </w:rPr>
        <w:fldChar w:fldCharType="separate"/>
      </w:r>
      <w:r w:rsidRPr="00786747">
        <w:rPr>
          <w:rFonts w:eastAsia="Times New Roman" w:cs="Arial"/>
          <w:color w:val="000000"/>
          <w:u w:val="single"/>
          <w:lang w:val="en-US"/>
        </w:rPr>
        <w:t>www</w:t>
      </w:r>
      <w:r w:rsidRPr="00786747">
        <w:rPr>
          <w:rFonts w:eastAsia="Times New Roman" w:cs="Arial"/>
          <w:color w:val="000000"/>
          <w:u w:val="single"/>
          <w:lang w:val="ru-RU"/>
        </w:rPr>
        <w:t>.</w:t>
      </w:r>
      <w:proofErr w:type="spellStart"/>
      <w:r w:rsidRPr="00786747">
        <w:rPr>
          <w:rFonts w:eastAsia="Times New Roman" w:cs="Arial"/>
          <w:color w:val="000000"/>
          <w:u w:val="single"/>
          <w:lang w:val="en-US"/>
        </w:rPr>
        <w:t>bda</w:t>
      </w:r>
      <w:proofErr w:type="spellEnd"/>
      <w:r w:rsidRPr="00786747">
        <w:rPr>
          <w:rFonts w:eastAsia="Times New Roman" w:cs="Arial"/>
          <w:color w:val="000000"/>
          <w:u w:val="single"/>
          <w:lang w:val="ru-RU"/>
        </w:rPr>
        <w:t>.</w:t>
      </w:r>
      <w:proofErr w:type="spellStart"/>
      <w:r w:rsidRPr="00786747">
        <w:rPr>
          <w:rFonts w:eastAsia="Times New Roman" w:cs="Arial"/>
          <w:color w:val="000000"/>
          <w:u w:val="single"/>
          <w:lang w:val="en-US"/>
        </w:rPr>
        <w:t>bg</w:t>
      </w:r>
      <w:proofErr w:type="spellEnd"/>
      <w:r w:rsidRPr="00786747">
        <w:rPr>
          <w:rFonts w:eastAsia="Times New Roman" w:cs="Arial"/>
        </w:rPr>
        <w:fldChar w:fldCharType="end"/>
      </w:r>
      <w:r w:rsidRPr="00786747">
        <w:rPr>
          <w:rFonts w:eastAsia="Times New Roman" w:cs="Arial"/>
          <w:color w:val="000000"/>
          <w:u w:val="single"/>
          <w:lang w:val="ru-RU"/>
        </w:rPr>
        <w:t>.</w:t>
      </w:r>
    </w:p>
    <w:p w14:paraId="31AE0681" w14:textId="77777777" w:rsidR="00786747" w:rsidRPr="00786747" w:rsidRDefault="00786747" w:rsidP="00786747"/>
    <w:p w14:paraId="4ED30546" w14:textId="2A69C10C" w:rsidR="007C605B" w:rsidRDefault="002C50EE" w:rsidP="009F1313">
      <w:pPr>
        <w:pStyle w:val="Heading2"/>
      </w:pPr>
      <w:r>
        <w:t>4.9. Предозиране</w:t>
      </w:r>
    </w:p>
    <w:p w14:paraId="361FBE54" w14:textId="7AD5759A" w:rsidR="00786747" w:rsidRDefault="00786747" w:rsidP="00786747"/>
    <w:p w14:paraId="5CDB8BD6" w14:textId="77777777" w:rsidR="00786747" w:rsidRPr="00786747" w:rsidRDefault="00786747" w:rsidP="00786747">
      <w:pPr>
        <w:pStyle w:val="Heading3"/>
        <w:rPr>
          <w:rFonts w:eastAsia="Times New Roman"/>
          <w:sz w:val="28"/>
          <w:u w:val="single"/>
        </w:rPr>
      </w:pPr>
      <w:r w:rsidRPr="00786747">
        <w:rPr>
          <w:rFonts w:eastAsia="Times New Roman"/>
          <w:u w:val="single"/>
          <w:lang w:eastAsia="bg-BG"/>
        </w:rPr>
        <w:t>Симптоми</w:t>
      </w:r>
    </w:p>
    <w:p w14:paraId="706C8DE5" w14:textId="77777777" w:rsidR="00786747" w:rsidRPr="00786747" w:rsidRDefault="00786747" w:rsidP="00786747">
      <w:pPr>
        <w:spacing w:line="240" w:lineRule="auto"/>
        <w:rPr>
          <w:rFonts w:eastAsia="Times New Roman" w:cs="Arial"/>
          <w:color w:val="000000"/>
          <w:szCs w:val="20"/>
          <w:lang w:eastAsia="bg-BG"/>
        </w:rPr>
      </w:pPr>
    </w:p>
    <w:p w14:paraId="6D907E23" w14:textId="0BF9277D"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При предозиране с леветирацетам са наблюдавани сънливост, ажитираност, агресия, потиснато съзнание, потискане на дишането и кома.</w:t>
      </w:r>
    </w:p>
    <w:p w14:paraId="742893CD" w14:textId="77777777" w:rsidR="00786747" w:rsidRPr="00786747" w:rsidRDefault="00786747" w:rsidP="00786747">
      <w:pPr>
        <w:spacing w:line="240" w:lineRule="auto"/>
        <w:rPr>
          <w:rFonts w:eastAsia="Times New Roman" w:cs="Arial"/>
          <w:color w:val="000000"/>
          <w:szCs w:val="20"/>
          <w:u w:val="single"/>
          <w:lang w:eastAsia="bg-BG"/>
        </w:rPr>
      </w:pPr>
    </w:p>
    <w:p w14:paraId="5B43E60C" w14:textId="737F428A" w:rsidR="00786747" w:rsidRPr="00786747" w:rsidRDefault="00786747" w:rsidP="00786747">
      <w:pPr>
        <w:pStyle w:val="Heading3"/>
        <w:rPr>
          <w:rFonts w:eastAsia="Times New Roman"/>
          <w:sz w:val="28"/>
          <w:u w:val="single"/>
        </w:rPr>
      </w:pPr>
      <w:r w:rsidRPr="00786747">
        <w:rPr>
          <w:rFonts w:eastAsia="Times New Roman"/>
          <w:u w:val="single"/>
          <w:lang w:eastAsia="bg-BG"/>
        </w:rPr>
        <w:t>Мерки при предозиране</w:t>
      </w:r>
    </w:p>
    <w:p w14:paraId="4CD7C04D" w14:textId="77777777" w:rsidR="00786747" w:rsidRPr="00786747" w:rsidRDefault="00786747" w:rsidP="00786747">
      <w:pPr>
        <w:spacing w:line="240" w:lineRule="auto"/>
        <w:rPr>
          <w:rFonts w:eastAsia="Times New Roman" w:cs="Arial"/>
          <w:color w:val="000000"/>
          <w:szCs w:val="20"/>
          <w:lang w:eastAsia="bg-BG"/>
        </w:rPr>
      </w:pPr>
    </w:p>
    <w:p w14:paraId="56DD3266" w14:textId="53BB206C"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След остро предозиране е необходимо изпразване на стомаха чрез стомашна промивка или предизвикване на повръщане.</w:t>
      </w:r>
    </w:p>
    <w:p w14:paraId="7EE35D4D" w14:textId="77777777" w:rsidR="00786747" w:rsidRPr="00786747" w:rsidRDefault="00786747" w:rsidP="00786747">
      <w:pPr>
        <w:spacing w:line="240" w:lineRule="auto"/>
        <w:rPr>
          <w:rFonts w:eastAsia="Times New Roman" w:cs="Arial"/>
          <w:sz w:val="28"/>
          <w:szCs w:val="24"/>
        </w:rPr>
      </w:pPr>
      <w:r w:rsidRPr="00786747">
        <w:rPr>
          <w:rFonts w:eastAsia="Times New Roman" w:cs="Arial"/>
          <w:color w:val="000000"/>
          <w:szCs w:val="20"/>
          <w:lang w:eastAsia="bg-BG"/>
        </w:rPr>
        <w:t>Няма специфичен антидот на леветирацетам. Лечението при предозиране е симптоматично и може да включва хемодиализа. Ефектът на отстраняване посредством хемодиализа е 60% за леветирацетам и 74% за първичния метаболит.</w:t>
      </w:r>
    </w:p>
    <w:p w14:paraId="6A0D9405" w14:textId="77777777" w:rsidR="00786747" w:rsidRPr="00786747" w:rsidRDefault="00786747" w:rsidP="00786747"/>
    <w:p w14:paraId="02081B24" w14:textId="1F46E296" w:rsidR="00395555" w:rsidRPr="00395555" w:rsidRDefault="002C50EE" w:rsidP="008A6AF2">
      <w:pPr>
        <w:pStyle w:val="Heading1"/>
      </w:pPr>
      <w:r>
        <w:t>5. ФАРМАКОЛОГИЧНИ СВОЙСТВА</w:t>
      </w:r>
    </w:p>
    <w:p w14:paraId="5350637D" w14:textId="4AF23455" w:rsidR="00395555" w:rsidRDefault="002C50EE" w:rsidP="008A6AF2">
      <w:pPr>
        <w:pStyle w:val="Heading2"/>
      </w:pPr>
      <w:r>
        <w:t>5.1. Фармакодинамични свойства</w:t>
      </w:r>
    </w:p>
    <w:p w14:paraId="48CE7EC4" w14:textId="34E1EF88" w:rsidR="00786747" w:rsidRDefault="00786747" w:rsidP="00786747"/>
    <w:p w14:paraId="2AC7229E" w14:textId="77777777"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Фармакотерапевтична група: антиепилептици, други антиепилептици АТС код: </w:t>
      </w:r>
      <w:r w:rsidRPr="00FE66D7">
        <w:rPr>
          <w:rFonts w:eastAsia="Times New Roman" w:cs="Arial"/>
          <w:color w:val="000000"/>
          <w:szCs w:val="20"/>
          <w:lang w:val="en-US"/>
        </w:rPr>
        <w:t>N</w:t>
      </w:r>
      <w:r w:rsidRPr="00FE66D7">
        <w:rPr>
          <w:rFonts w:eastAsia="Times New Roman" w:cs="Arial"/>
          <w:color w:val="000000"/>
          <w:szCs w:val="20"/>
          <w:lang w:val="ru-RU"/>
        </w:rPr>
        <w:t>03</w:t>
      </w:r>
      <w:r w:rsidRPr="00FE66D7">
        <w:rPr>
          <w:rFonts w:eastAsia="Times New Roman" w:cs="Arial"/>
          <w:color w:val="000000"/>
          <w:szCs w:val="20"/>
          <w:lang w:val="en-US"/>
        </w:rPr>
        <w:t>AX</w:t>
      </w:r>
      <w:r w:rsidRPr="00FE66D7">
        <w:rPr>
          <w:rFonts w:eastAsia="Times New Roman" w:cs="Arial"/>
          <w:color w:val="000000"/>
          <w:szCs w:val="20"/>
          <w:lang w:val="ru-RU"/>
        </w:rPr>
        <w:t>14.</w:t>
      </w:r>
    </w:p>
    <w:p w14:paraId="374704D2" w14:textId="77777777" w:rsidR="00786747" w:rsidRPr="00FE66D7" w:rsidRDefault="00786747" w:rsidP="00786747">
      <w:pPr>
        <w:spacing w:line="240" w:lineRule="auto"/>
        <w:rPr>
          <w:rFonts w:eastAsia="Times New Roman" w:cs="Arial"/>
          <w:color w:val="000000"/>
          <w:szCs w:val="20"/>
          <w:lang w:eastAsia="bg-BG"/>
        </w:rPr>
      </w:pPr>
    </w:p>
    <w:p w14:paraId="3487D1BA" w14:textId="4A6C495B"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lastRenderedPageBreak/>
        <w:t xml:space="preserve">Активното вещество леветирацетам е пиролидоново производно </w:t>
      </w:r>
      <w:r w:rsidRPr="00FE66D7">
        <w:rPr>
          <w:rFonts w:eastAsia="Times New Roman" w:cs="Arial"/>
          <w:color w:val="000000"/>
          <w:szCs w:val="20"/>
          <w:lang w:val="ru-RU"/>
        </w:rPr>
        <w:t>(</w:t>
      </w:r>
      <w:r w:rsidRPr="00FE66D7">
        <w:rPr>
          <w:rFonts w:eastAsia="Times New Roman" w:cs="Arial"/>
          <w:color w:val="000000"/>
          <w:szCs w:val="20"/>
          <w:lang w:val="en-US"/>
        </w:rPr>
        <w:t>S</w:t>
      </w:r>
      <w:r w:rsidRPr="00FE66D7">
        <w:rPr>
          <w:rFonts w:eastAsia="Times New Roman" w:cs="Arial"/>
          <w:color w:val="000000"/>
          <w:szCs w:val="20"/>
          <w:lang w:eastAsia="bg-BG"/>
        </w:rPr>
        <w:t xml:space="preserve">-енантиомер на </w:t>
      </w:r>
      <w:r w:rsidRPr="00FE66D7">
        <w:rPr>
          <w:rFonts w:eastAsia="Times New Roman" w:cs="Arial"/>
          <w:color w:val="000000"/>
          <w:szCs w:val="20"/>
          <w:lang w:val="en-US"/>
        </w:rPr>
        <w:t>α</w:t>
      </w:r>
      <w:r w:rsidRPr="00FE66D7">
        <w:rPr>
          <w:rFonts w:eastAsia="Times New Roman" w:cs="Arial"/>
          <w:color w:val="000000"/>
          <w:szCs w:val="20"/>
          <w:lang w:eastAsia="bg-BG"/>
        </w:rPr>
        <w:t>-етил-2- оксо-1-пиролидин ацетамид), химически без връзка със съществуващите антиепилептични средства.</w:t>
      </w:r>
    </w:p>
    <w:p w14:paraId="612DF04D" w14:textId="77777777" w:rsidR="00786747" w:rsidRPr="00FE66D7" w:rsidRDefault="00786747" w:rsidP="00786747">
      <w:pPr>
        <w:spacing w:line="240" w:lineRule="auto"/>
        <w:rPr>
          <w:rFonts w:eastAsia="Times New Roman" w:cs="Arial"/>
          <w:color w:val="000000"/>
          <w:szCs w:val="20"/>
          <w:u w:val="single"/>
          <w:lang w:eastAsia="bg-BG"/>
        </w:rPr>
      </w:pPr>
    </w:p>
    <w:p w14:paraId="5985AD9A" w14:textId="2D4F95AE"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u w:val="single"/>
          <w:lang w:eastAsia="bg-BG"/>
        </w:rPr>
        <w:t>Механизъм на действие</w:t>
      </w:r>
    </w:p>
    <w:p w14:paraId="5CDDF77C" w14:textId="77777777" w:rsidR="00786747" w:rsidRPr="00FE66D7" w:rsidRDefault="00786747" w:rsidP="00786747">
      <w:pPr>
        <w:spacing w:line="240" w:lineRule="auto"/>
        <w:rPr>
          <w:rFonts w:eastAsia="Times New Roman" w:cs="Arial"/>
          <w:color w:val="000000"/>
          <w:szCs w:val="20"/>
          <w:lang w:eastAsia="bg-BG"/>
        </w:rPr>
      </w:pPr>
    </w:p>
    <w:p w14:paraId="7861CF66" w14:textId="3A68ADBD"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Механизмът на действие на леветирацетам все още не е напълно изяснен. Проведените </w:t>
      </w:r>
      <w:r w:rsidRPr="00FE66D7">
        <w:rPr>
          <w:rFonts w:eastAsia="Times New Roman" w:cs="Arial"/>
          <w:i/>
          <w:iCs/>
          <w:color w:val="000000"/>
          <w:szCs w:val="20"/>
          <w:lang w:val="en-US"/>
        </w:rPr>
        <w:t>in</w:t>
      </w:r>
      <w:r w:rsidRPr="00FE66D7">
        <w:rPr>
          <w:rFonts w:eastAsia="Times New Roman" w:cs="Arial"/>
          <w:i/>
          <w:iCs/>
          <w:color w:val="000000"/>
          <w:szCs w:val="20"/>
          <w:lang w:val="ru-RU"/>
        </w:rPr>
        <w:t xml:space="preserve"> </w:t>
      </w:r>
      <w:r w:rsidRPr="00FE66D7">
        <w:rPr>
          <w:rFonts w:eastAsia="Times New Roman" w:cs="Arial"/>
          <w:i/>
          <w:iCs/>
          <w:color w:val="000000"/>
          <w:szCs w:val="20"/>
          <w:lang w:val="en-US"/>
        </w:rPr>
        <w:t>vitro</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и </w:t>
      </w:r>
      <w:r w:rsidRPr="00FE66D7">
        <w:rPr>
          <w:rFonts w:eastAsia="Times New Roman" w:cs="Arial"/>
          <w:i/>
          <w:iCs/>
          <w:color w:val="000000"/>
          <w:szCs w:val="20"/>
          <w:lang w:val="en-US"/>
        </w:rPr>
        <w:t>in</w:t>
      </w:r>
      <w:r w:rsidRPr="00FE66D7">
        <w:rPr>
          <w:rFonts w:eastAsia="Times New Roman" w:cs="Arial"/>
          <w:i/>
          <w:iCs/>
          <w:color w:val="000000"/>
          <w:szCs w:val="20"/>
          <w:lang w:val="ru-RU"/>
        </w:rPr>
        <w:t xml:space="preserve"> </w:t>
      </w:r>
      <w:r w:rsidRPr="00FE66D7">
        <w:rPr>
          <w:rFonts w:eastAsia="Times New Roman" w:cs="Arial"/>
          <w:i/>
          <w:iCs/>
          <w:color w:val="000000"/>
          <w:szCs w:val="20"/>
          <w:lang w:val="en-US"/>
        </w:rPr>
        <w:t>vivo</w:t>
      </w:r>
      <w:r w:rsidRPr="00FE66D7">
        <w:rPr>
          <w:rFonts w:eastAsia="Times New Roman" w:cs="Arial"/>
          <w:color w:val="000000"/>
          <w:szCs w:val="20"/>
          <w:lang w:val="ru-RU"/>
        </w:rPr>
        <w:t xml:space="preserve"> </w:t>
      </w:r>
      <w:r w:rsidRPr="00FE66D7">
        <w:rPr>
          <w:rFonts w:eastAsia="Times New Roman" w:cs="Arial"/>
          <w:color w:val="000000"/>
          <w:szCs w:val="20"/>
          <w:lang w:eastAsia="bg-BG"/>
        </w:rPr>
        <w:t>опити показват, че леветирацетам не променя основните характеристики на клетката, както и нормалната невротрансмисия.</w:t>
      </w:r>
    </w:p>
    <w:p w14:paraId="5B5E6FD1" w14:textId="77777777" w:rsidR="00786747" w:rsidRPr="00FE66D7" w:rsidRDefault="00786747" w:rsidP="00786747">
      <w:pPr>
        <w:spacing w:line="240" w:lineRule="auto"/>
        <w:rPr>
          <w:rFonts w:eastAsia="Times New Roman" w:cs="Arial"/>
          <w:sz w:val="28"/>
          <w:szCs w:val="24"/>
        </w:rPr>
      </w:pPr>
      <w:r w:rsidRPr="00FE66D7">
        <w:rPr>
          <w:rFonts w:eastAsia="Times New Roman" w:cs="Arial"/>
          <w:i/>
          <w:iCs/>
          <w:color w:val="000000"/>
          <w:szCs w:val="20"/>
          <w:lang w:val="en-US"/>
        </w:rPr>
        <w:t>In</w:t>
      </w:r>
      <w:r w:rsidRPr="00FE66D7">
        <w:rPr>
          <w:rFonts w:eastAsia="Times New Roman" w:cs="Arial"/>
          <w:i/>
          <w:iCs/>
          <w:color w:val="000000"/>
          <w:szCs w:val="20"/>
          <w:lang w:val="ru-RU"/>
        </w:rPr>
        <w:t xml:space="preserve"> </w:t>
      </w:r>
      <w:r w:rsidRPr="00FE66D7">
        <w:rPr>
          <w:rFonts w:eastAsia="Times New Roman" w:cs="Arial"/>
          <w:i/>
          <w:iCs/>
          <w:color w:val="000000"/>
          <w:szCs w:val="20"/>
          <w:lang w:val="en-US"/>
        </w:rPr>
        <w:t>vitro</w:t>
      </w:r>
      <w:r w:rsidRPr="00FE66D7">
        <w:rPr>
          <w:rFonts w:eastAsia="Times New Roman" w:cs="Arial"/>
          <w:color w:val="000000"/>
          <w:szCs w:val="20"/>
          <w:lang w:val="ru-RU"/>
        </w:rPr>
        <w:t xml:space="preserve"> </w:t>
      </w:r>
      <w:r w:rsidRPr="00FE66D7">
        <w:rPr>
          <w:rFonts w:eastAsia="Times New Roman" w:cs="Arial"/>
          <w:color w:val="000000"/>
          <w:szCs w:val="20"/>
          <w:lang w:eastAsia="bg-BG"/>
        </w:rPr>
        <w:t>проучвания показват, че леветирацетам въздейства върху интраневронните нива на Са</w:t>
      </w:r>
      <w:r w:rsidRPr="00FE66D7">
        <w:rPr>
          <w:rFonts w:eastAsia="Times New Roman" w:cs="Arial"/>
          <w:color w:val="000000"/>
          <w:szCs w:val="20"/>
          <w:vertAlign w:val="superscript"/>
          <w:lang w:eastAsia="bg-BG"/>
        </w:rPr>
        <w:t xml:space="preserve">2+ </w:t>
      </w:r>
      <w:r w:rsidRPr="00FE66D7">
        <w:rPr>
          <w:rFonts w:eastAsia="Times New Roman" w:cs="Arial"/>
          <w:color w:val="000000"/>
          <w:szCs w:val="20"/>
          <w:lang w:eastAsia="bg-BG"/>
        </w:rPr>
        <w:t xml:space="preserve">чрез частично инхибиране на </w:t>
      </w:r>
      <w:r w:rsidRPr="00FE66D7">
        <w:rPr>
          <w:rFonts w:eastAsia="Times New Roman" w:cs="Arial"/>
          <w:color w:val="000000"/>
          <w:szCs w:val="20"/>
          <w:lang w:val="en-US"/>
        </w:rPr>
        <w:t>N</w:t>
      </w:r>
      <w:r w:rsidRPr="00FE66D7">
        <w:rPr>
          <w:rFonts w:eastAsia="Times New Roman" w:cs="Arial"/>
          <w:color w:val="000000"/>
          <w:szCs w:val="20"/>
          <w:lang w:eastAsia="bg-BG"/>
        </w:rPr>
        <w:t>-тип Са</w:t>
      </w:r>
      <w:r w:rsidRPr="00FE66D7">
        <w:rPr>
          <w:rFonts w:eastAsia="Times New Roman" w:cs="Arial"/>
          <w:color w:val="000000"/>
          <w:szCs w:val="20"/>
          <w:vertAlign w:val="superscript"/>
          <w:lang w:eastAsia="bg-BG"/>
        </w:rPr>
        <w:t>2+</w:t>
      </w:r>
      <w:r w:rsidRPr="00FE66D7">
        <w:rPr>
          <w:rFonts w:eastAsia="Times New Roman" w:cs="Arial"/>
          <w:color w:val="000000"/>
          <w:szCs w:val="20"/>
          <w:lang w:eastAsia="bg-BG"/>
        </w:rPr>
        <w:t xml:space="preserve"> канал чета, както и чрез редуциране освобождаването на Са</w:t>
      </w:r>
      <w:r w:rsidRPr="00FE66D7">
        <w:rPr>
          <w:rFonts w:eastAsia="Times New Roman" w:cs="Arial"/>
          <w:color w:val="000000"/>
          <w:szCs w:val="20"/>
          <w:vertAlign w:val="superscript"/>
          <w:lang w:eastAsia="bg-BG"/>
        </w:rPr>
        <w:t>2+</w:t>
      </w:r>
      <w:r w:rsidRPr="00FE66D7">
        <w:rPr>
          <w:rFonts w:eastAsia="Times New Roman" w:cs="Arial"/>
          <w:color w:val="000000"/>
          <w:szCs w:val="20"/>
          <w:lang w:eastAsia="bg-BG"/>
        </w:rPr>
        <w:t xml:space="preserve"> от интраневронните депа. Освен това, той частично намалява редукцията в потока в </w:t>
      </w:r>
      <w:r w:rsidRPr="00FE66D7">
        <w:rPr>
          <w:rFonts w:eastAsia="Times New Roman" w:cs="Arial"/>
          <w:color w:val="000000"/>
          <w:szCs w:val="20"/>
          <w:lang w:val="en-US"/>
        </w:rPr>
        <w:t>GABA</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и глицин-зависимите каналчета, индуцирани от цинк и </w:t>
      </w:r>
      <w:r w:rsidRPr="00FE66D7">
        <w:rPr>
          <w:rFonts w:eastAsia="Times New Roman" w:cs="Arial"/>
          <w:color w:val="000000"/>
          <w:szCs w:val="20"/>
          <w:lang w:val="en-US"/>
        </w:rPr>
        <w:t>β</w:t>
      </w:r>
      <w:r w:rsidRPr="00FE66D7">
        <w:rPr>
          <w:rFonts w:eastAsia="Times New Roman" w:cs="Arial"/>
          <w:color w:val="000000"/>
          <w:szCs w:val="20"/>
          <w:lang w:eastAsia="bg-BG"/>
        </w:rPr>
        <w:t xml:space="preserve">-карболини. Освен това, в </w:t>
      </w:r>
      <w:r w:rsidRPr="00FE66D7">
        <w:rPr>
          <w:rFonts w:eastAsia="Times New Roman" w:cs="Arial"/>
          <w:i/>
          <w:iCs/>
          <w:color w:val="000000"/>
          <w:szCs w:val="20"/>
          <w:lang w:val="en-US"/>
        </w:rPr>
        <w:t>in</w:t>
      </w:r>
      <w:r w:rsidRPr="00FE66D7">
        <w:rPr>
          <w:rFonts w:eastAsia="Times New Roman" w:cs="Arial"/>
          <w:i/>
          <w:iCs/>
          <w:color w:val="000000"/>
          <w:szCs w:val="20"/>
          <w:lang w:val="ru-RU"/>
        </w:rPr>
        <w:t xml:space="preserve"> </w:t>
      </w:r>
      <w:r w:rsidRPr="00FE66D7">
        <w:rPr>
          <w:rFonts w:eastAsia="Times New Roman" w:cs="Arial"/>
          <w:i/>
          <w:iCs/>
          <w:color w:val="000000"/>
          <w:szCs w:val="20"/>
          <w:lang w:val="en-US"/>
        </w:rPr>
        <w:t>vitro</w:t>
      </w:r>
      <w:r w:rsidRPr="00FE66D7">
        <w:rPr>
          <w:rFonts w:eastAsia="Times New Roman" w:cs="Arial"/>
          <w:color w:val="000000"/>
          <w:szCs w:val="20"/>
          <w:lang w:val="ru-RU"/>
        </w:rPr>
        <w:t xml:space="preserve"> </w:t>
      </w:r>
      <w:r w:rsidRPr="00FE66D7">
        <w:rPr>
          <w:rFonts w:eastAsia="Times New Roman" w:cs="Arial"/>
          <w:color w:val="000000"/>
          <w:szCs w:val="20"/>
          <w:lang w:eastAsia="bg-BG"/>
        </w:rPr>
        <w:t>проучвания, леветирацетам демонстрира свързване със специфично място в мозъчната тъкан на гризачи. Това място на свързване е намиращият се в синаптичните везикули протеин 2А, за който се счита, че участва във везикулната фузия и невротрансмитерната екзоцитоза. Леветирацетам и неговите аналози показват изявен афинитет за свързване с намиращия се в синаптичните везикули протеин 2А, което от своя страна съответства на тяхното действие срещу пристъпите в аудиогенни модели на епилепсия при мишки. Тези резултати предполагат, че взаимодействието между леветирацетам и намиращият се в синаптичните везикули протеин 2А подпомага антиепилептичния механизъм на действие на лекарствения продукт.</w:t>
      </w:r>
    </w:p>
    <w:p w14:paraId="53CE52E9" w14:textId="77777777" w:rsidR="00786747" w:rsidRPr="00FE66D7" w:rsidRDefault="00786747" w:rsidP="00786747">
      <w:pPr>
        <w:spacing w:line="240" w:lineRule="auto"/>
        <w:rPr>
          <w:rFonts w:eastAsia="Times New Roman" w:cs="Arial"/>
          <w:color w:val="000000"/>
          <w:szCs w:val="20"/>
          <w:u w:val="single"/>
          <w:lang w:eastAsia="bg-BG"/>
        </w:rPr>
      </w:pPr>
    </w:p>
    <w:p w14:paraId="50F49731" w14:textId="77C175BA"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u w:val="single"/>
          <w:lang w:eastAsia="bg-BG"/>
        </w:rPr>
        <w:t>Фармакодинамични ефекти</w:t>
      </w:r>
    </w:p>
    <w:p w14:paraId="225D7E42" w14:textId="77777777" w:rsidR="00786747" w:rsidRPr="00FE66D7" w:rsidRDefault="00786747" w:rsidP="00786747">
      <w:pPr>
        <w:spacing w:line="240" w:lineRule="auto"/>
        <w:rPr>
          <w:rFonts w:eastAsia="Times New Roman" w:cs="Arial"/>
          <w:color w:val="000000"/>
          <w:szCs w:val="20"/>
          <w:lang w:eastAsia="bg-BG"/>
        </w:rPr>
      </w:pPr>
    </w:p>
    <w:p w14:paraId="52590CB7" w14:textId="77375FA7"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Леветирацетам предпазва от парциални и първично генерализирани пристъпи при широк кръг животински модели, без да има про-конвулсивен ефект. Първичният метаболит е неактивен.</w:t>
      </w:r>
    </w:p>
    <w:p w14:paraId="4D13447D" w14:textId="77777777" w:rsidR="00786747" w:rsidRPr="00FE66D7" w:rsidRDefault="00786747" w:rsidP="00786747">
      <w:pPr>
        <w:spacing w:line="240" w:lineRule="auto"/>
        <w:rPr>
          <w:rFonts w:eastAsia="Times New Roman" w:cs="Arial"/>
          <w:color w:val="000000"/>
          <w:szCs w:val="20"/>
          <w:lang w:eastAsia="bg-BG"/>
        </w:rPr>
      </w:pPr>
    </w:p>
    <w:p w14:paraId="3D49A11F" w14:textId="02F35BBE"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При хора, активността по отношение както на парциалните, така и на генерализираните епилептични състояния (епилептиформени разряди/фотопароксизмален отговор) потвърждава</w:t>
      </w:r>
      <w:r w:rsidRPr="00FE66D7">
        <w:rPr>
          <w:rFonts w:eastAsia="Times New Roman" w:cs="Arial"/>
          <w:color w:val="000000"/>
          <w:szCs w:val="20"/>
          <w:u w:val="single"/>
          <w:lang w:eastAsia="bg-BG"/>
        </w:rPr>
        <w:t xml:space="preserve"> </w:t>
      </w:r>
      <w:r w:rsidRPr="00FE66D7">
        <w:rPr>
          <w:rFonts w:eastAsia="Times New Roman" w:cs="Arial"/>
          <w:color w:val="000000"/>
          <w:szCs w:val="20"/>
          <w:lang w:eastAsia="bg-BG"/>
        </w:rPr>
        <w:t>широкия фармакологичен спектър на леветирацетам.</w:t>
      </w:r>
    </w:p>
    <w:p w14:paraId="7C3E73F4" w14:textId="77777777" w:rsidR="00786747" w:rsidRPr="00FE66D7" w:rsidRDefault="00786747" w:rsidP="00786747">
      <w:pPr>
        <w:rPr>
          <w:rFonts w:eastAsia="Times New Roman" w:cs="Arial"/>
          <w:color w:val="000000"/>
          <w:szCs w:val="20"/>
          <w:u w:val="single"/>
          <w:lang w:eastAsia="bg-BG"/>
        </w:rPr>
      </w:pPr>
    </w:p>
    <w:p w14:paraId="5AAF1570" w14:textId="3A90C12F" w:rsidR="00786747" w:rsidRPr="00FE66D7" w:rsidRDefault="00786747" w:rsidP="00786747">
      <w:pPr>
        <w:rPr>
          <w:rFonts w:eastAsia="Times New Roman" w:cs="Arial"/>
          <w:color w:val="000000"/>
          <w:szCs w:val="20"/>
          <w:u w:val="single"/>
          <w:lang w:eastAsia="bg-BG"/>
        </w:rPr>
      </w:pPr>
      <w:r w:rsidRPr="00FE66D7">
        <w:rPr>
          <w:rFonts w:eastAsia="Times New Roman" w:cs="Arial"/>
          <w:color w:val="000000"/>
          <w:szCs w:val="20"/>
          <w:u w:val="single"/>
          <w:lang w:eastAsia="bg-BG"/>
        </w:rPr>
        <w:t>Клинична ефикасност и безопасност</w:t>
      </w:r>
    </w:p>
    <w:p w14:paraId="6FAC106B" w14:textId="77777777" w:rsidR="00786747" w:rsidRPr="00FE66D7" w:rsidRDefault="00786747" w:rsidP="00786747">
      <w:pPr>
        <w:spacing w:line="240" w:lineRule="auto"/>
        <w:rPr>
          <w:rFonts w:eastAsia="Times New Roman" w:cs="Arial"/>
          <w:i/>
          <w:iCs/>
          <w:color w:val="000000"/>
          <w:szCs w:val="20"/>
          <w:lang w:eastAsia="bg-BG"/>
        </w:rPr>
      </w:pPr>
    </w:p>
    <w:p w14:paraId="2045B375" w14:textId="5F66392B" w:rsidR="00786747" w:rsidRPr="00FE66D7" w:rsidRDefault="00786747" w:rsidP="00786747">
      <w:pPr>
        <w:spacing w:line="240" w:lineRule="auto"/>
        <w:rPr>
          <w:rFonts w:eastAsia="Times New Roman" w:cs="Arial"/>
          <w:sz w:val="28"/>
          <w:szCs w:val="24"/>
        </w:rPr>
      </w:pPr>
      <w:r w:rsidRPr="00FE66D7">
        <w:rPr>
          <w:rFonts w:eastAsia="Times New Roman" w:cs="Arial"/>
          <w:i/>
          <w:iCs/>
          <w:color w:val="000000"/>
          <w:szCs w:val="20"/>
          <w:lang w:eastAsia="bg-BG"/>
        </w:rPr>
        <w:t>Допълващо лечение на парциални пристъпи със или без вторична генерализация при възрастни, юноши, деца и новородени над 1 -месечна възраст с епилепсия.</w:t>
      </w:r>
    </w:p>
    <w:p w14:paraId="4BC9C485" w14:textId="77777777" w:rsidR="00FE66D7" w:rsidRPr="00FE66D7" w:rsidRDefault="00FE66D7" w:rsidP="00786747">
      <w:pPr>
        <w:spacing w:line="240" w:lineRule="auto"/>
        <w:rPr>
          <w:rFonts w:eastAsia="Times New Roman" w:cs="Arial"/>
          <w:color w:val="000000"/>
          <w:szCs w:val="20"/>
          <w:lang w:eastAsia="bg-BG"/>
        </w:rPr>
      </w:pPr>
    </w:p>
    <w:p w14:paraId="2D025C75" w14:textId="0CA908F8"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При възрастни, ефикасността на леветирацетам е доказана в 3 двойно-слепи, плацебо- контролирани проучвания с 1000 </w:t>
      </w:r>
      <w:r w:rsidRPr="00FE66D7">
        <w:rPr>
          <w:rFonts w:eastAsia="Times New Roman" w:cs="Arial"/>
          <w:color w:val="000000"/>
          <w:szCs w:val="20"/>
          <w:lang w:val="en-US"/>
        </w:rPr>
        <w:t>mg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2000 </w:t>
      </w:r>
      <w:r w:rsidRPr="00FE66D7">
        <w:rPr>
          <w:rFonts w:eastAsia="Times New Roman" w:cs="Arial"/>
          <w:color w:val="000000"/>
          <w:szCs w:val="20"/>
          <w:lang w:val="en-US"/>
        </w:rPr>
        <w:t>mg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и 3000 </w:t>
      </w:r>
      <w:r w:rsidRPr="00FE66D7">
        <w:rPr>
          <w:rFonts w:eastAsia="Times New Roman" w:cs="Arial"/>
          <w:color w:val="000000"/>
          <w:szCs w:val="20"/>
          <w:lang w:val="en-US"/>
        </w:rPr>
        <w:t>mg</w:t>
      </w:r>
      <w:r w:rsidRPr="00FE66D7">
        <w:rPr>
          <w:rFonts w:eastAsia="Times New Roman" w:cs="Arial"/>
          <w:color w:val="000000"/>
          <w:szCs w:val="20"/>
          <w:lang w:eastAsia="bg-BG"/>
        </w:rPr>
        <w:t xml:space="preserve">/ден, прилагани като 2 отделни дози с продължителност на лечението до 18 седмици. В обобщен анализ, процентът на пациентите достигнали 50% или по-голямо намаление спрямо изходното ниво на честотата на парциалните пристъпи за седмица при постоянна доза (12/14 седмици) е 27,7%, 31,6% и 41,3% при пациентите приемащи 1000 </w:t>
      </w:r>
      <w:r w:rsidRPr="00FE66D7">
        <w:rPr>
          <w:rFonts w:eastAsia="Times New Roman" w:cs="Arial"/>
          <w:color w:val="000000"/>
          <w:szCs w:val="20"/>
          <w:lang w:val="en-US"/>
        </w:rPr>
        <w:t>mg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2000 </w:t>
      </w:r>
      <w:r w:rsidRPr="00FE66D7">
        <w:rPr>
          <w:rFonts w:eastAsia="Times New Roman" w:cs="Arial"/>
          <w:color w:val="000000"/>
          <w:szCs w:val="20"/>
          <w:lang w:val="en-US"/>
        </w:rPr>
        <w:t>mg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или 3000 </w:t>
      </w:r>
      <w:r w:rsidRPr="00FE66D7">
        <w:rPr>
          <w:rFonts w:eastAsia="Times New Roman" w:cs="Arial"/>
          <w:color w:val="000000"/>
          <w:szCs w:val="20"/>
          <w:lang w:val="en-US"/>
        </w:rPr>
        <w:t>mg</w:t>
      </w:r>
      <w:r w:rsidRPr="00FE66D7">
        <w:rPr>
          <w:rFonts w:eastAsia="Times New Roman" w:cs="Arial"/>
          <w:color w:val="000000"/>
          <w:szCs w:val="20"/>
          <w:lang w:val="ru-RU"/>
        </w:rPr>
        <w:t xml:space="preserve"> </w:t>
      </w:r>
      <w:r w:rsidRPr="00FE66D7">
        <w:rPr>
          <w:rFonts w:eastAsia="Times New Roman" w:cs="Arial"/>
          <w:color w:val="000000"/>
          <w:szCs w:val="20"/>
          <w:lang w:eastAsia="bg-BG"/>
        </w:rPr>
        <w:t>леветирацетам и съответно 12,6% за пациентите, приемащи плацебо.</w:t>
      </w:r>
    </w:p>
    <w:p w14:paraId="5068CBFB" w14:textId="77777777" w:rsidR="00786747" w:rsidRPr="00FE66D7" w:rsidRDefault="00786747" w:rsidP="00786747">
      <w:pPr>
        <w:spacing w:line="240" w:lineRule="auto"/>
        <w:rPr>
          <w:rFonts w:eastAsia="Times New Roman" w:cs="Arial"/>
          <w:i/>
          <w:iCs/>
          <w:color w:val="000000"/>
          <w:szCs w:val="20"/>
          <w:lang w:eastAsia="bg-BG"/>
        </w:rPr>
      </w:pPr>
    </w:p>
    <w:p w14:paraId="4EA1BCE2" w14:textId="2C68ED6A" w:rsidR="00786747" w:rsidRPr="00FE66D7" w:rsidRDefault="00786747" w:rsidP="00786747">
      <w:pPr>
        <w:spacing w:line="240" w:lineRule="auto"/>
        <w:rPr>
          <w:rFonts w:eastAsia="Times New Roman" w:cs="Arial"/>
          <w:sz w:val="28"/>
          <w:szCs w:val="24"/>
        </w:rPr>
      </w:pPr>
      <w:r w:rsidRPr="00FE66D7">
        <w:rPr>
          <w:rFonts w:eastAsia="Times New Roman" w:cs="Arial"/>
          <w:i/>
          <w:iCs/>
          <w:color w:val="000000"/>
          <w:szCs w:val="20"/>
          <w:lang w:eastAsia="bg-BG"/>
        </w:rPr>
        <w:t>Педиатрична популация</w:t>
      </w:r>
    </w:p>
    <w:p w14:paraId="449893BF" w14:textId="77777777" w:rsidR="00786747" w:rsidRPr="00FE66D7" w:rsidRDefault="00786747" w:rsidP="00786747">
      <w:pPr>
        <w:spacing w:line="240" w:lineRule="auto"/>
        <w:rPr>
          <w:rFonts w:eastAsia="Times New Roman" w:cs="Arial"/>
          <w:color w:val="000000"/>
          <w:szCs w:val="20"/>
          <w:lang w:eastAsia="bg-BG"/>
        </w:rPr>
      </w:pPr>
    </w:p>
    <w:p w14:paraId="2DD815C6" w14:textId="24CF6D15"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При педиатрични пациенти (от 4 до 16 годишна възраст), ефикасността на леветирацетам е доказана в двойно-сляпо, плацебо-контролирано проучване, включващо 198 пациенти и </w:t>
      </w:r>
      <w:r w:rsidRPr="00FE66D7">
        <w:rPr>
          <w:rFonts w:eastAsia="Times New Roman" w:cs="Arial"/>
          <w:color w:val="000000"/>
          <w:szCs w:val="20"/>
          <w:lang w:eastAsia="bg-BG"/>
        </w:rPr>
        <w:lastRenderedPageBreak/>
        <w:t xml:space="preserve">с продължителност на лечението 14 седмици. В това проучване пациентите са получавали леветирацетам във фиксирана доза от 60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/ден (прием два пъти на ден).</w:t>
      </w:r>
    </w:p>
    <w:p w14:paraId="55C82771" w14:textId="77777777"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44,6% от пациентите, приемащи леветирацетам и 19,6% от пациентите, приемащи плацебо са имали 50% или по-голямо намаляване, спрямо изходното ниво, на честотата на парциалните пристъпи за седмица. При продължително дългосрочно лечение 11,4% от пациентите не са получавали пристъпи в продължение на поне 6 месеца и 7,2% за поне една година.</w:t>
      </w:r>
    </w:p>
    <w:p w14:paraId="255ABB48" w14:textId="77777777" w:rsidR="00786747" w:rsidRPr="00FE66D7" w:rsidRDefault="00786747" w:rsidP="00786747">
      <w:pPr>
        <w:spacing w:line="240" w:lineRule="auto"/>
        <w:rPr>
          <w:rFonts w:eastAsia="Times New Roman" w:cs="Arial"/>
          <w:color w:val="000000"/>
          <w:szCs w:val="20"/>
          <w:lang w:eastAsia="bg-BG"/>
        </w:rPr>
      </w:pPr>
    </w:p>
    <w:p w14:paraId="7A9E0412" w14:textId="576DAB8A"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При педиатрични пациенти (от 1-месечна до под 4-годишна възраст) ефикасността на леветирацетам е установена в двойно-сляпо, плацебо-контролирано проучване, включващо 116 пациенти и с продължителност на лечението 5 дни. В това проучване, на пациентите е предписана дневна доза от 20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25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40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или 50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дневно перорален разтвор в зависимост от тяхната възраст и схемата на титриране. В това проучване е използвана доза от 20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дневно, титрирана до 40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дневно при новородени от един месец до по- малко от 6 месеца и доза от 25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дневно, титрирана до 50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дневно при новородени и деца на възраст от 6 месеца до 4 години. Общата дневна доза е прилагана два пъти дневно. Първоначалната оценка на ефективността е нивото на отговор (процентът пациенти с &gt;50% намаление спрямо изходното ниво на средната дневна честота на парциалните пристъпи), определено от заслепен централен четец чрез 48-часово видео ЕЕГ наблюдение. Анализът на ефикасността обхваща 109 пациента, които са имали поне 24-часово видео ЕЕГ наблюдение през двата периода - на изходното ниво и на оценката. Като показали отговор се считат 43,6% от пациентите, лекувани с леветирацетам и 19,6% от пациентите, приемали плацебо. Резултатите отговарят на съответната възрастова група. При продължително дългосрочно лечение 8,6% от пациентите не са получавали пристъпи поне за 6 месеца и 7,8% поне за 1 година.</w:t>
      </w:r>
    </w:p>
    <w:p w14:paraId="1B0F2791" w14:textId="77777777"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В плацебоконтролирани клинични проучвания са включени 35 кърмачета с парциални пристъпи, на възраст под 1 година, от които само 13 са били на възраст &lt; 6 месеца.</w:t>
      </w:r>
    </w:p>
    <w:p w14:paraId="47A0E99D" w14:textId="77777777" w:rsidR="00786747" w:rsidRPr="00FE66D7" w:rsidRDefault="00786747" w:rsidP="00786747">
      <w:pPr>
        <w:spacing w:line="240" w:lineRule="auto"/>
        <w:rPr>
          <w:rFonts w:eastAsia="Times New Roman" w:cs="Arial"/>
          <w:i/>
          <w:iCs/>
          <w:color w:val="000000"/>
          <w:szCs w:val="20"/>
          <w:lang w:eastAsia="bg-BG"/>
        </w:rPr>
      </w:pPr>
    </w:p>
    <w:p w14:paraId="2F6DB76D" w14:textId="268B4348" w:rsidR="00786747" w:rsidRPr="00FE66D7" w:rsidRDefault="00786747" w:rsidP="00786747">
      <w:pPr>
        <w:spacing w:line="240" w:lineRule="auto"/>
        <w:rPr>
          <w:rFonts w:eastAsia="Times New Roman" w:cs="Arial"/>
          <w:sz w:val="28"/>
          <w:szCs w:val="24"/>
        </w:rPr>
      </w:pPr>
      <w:r w:rsidRPr="00FE66D7">
        <w:rPr>
          <w:rFonts w:eastAsia="Times New Roman" w:cs="Arial"/>
          <w:i/>
          <w:iCs/>
          <w:color w:val="000000"/>
          <w:szCs w:val="20"/>
          <w:lang w:eastAsia="bg-BG"/>
        </w:rPr>
        <w:t>Монотерапия при лечение на парциални пристъпи със или без вторична генерализация при пациенти над 16-годишна възраст с новодиагностицирана епилепсия.</w:t>
      </w:r>
    </w:p>
    <w:p w14:paraId="3BF8EB75" w14:textId="77777777" w:rsidR="00786747" w:rsidRPr="00FE66D7" w:rsidRDefault="00786747" w:rsidP="00786747">
      <w:pPr>
        <w:spacing w:line="240" w:lineRule="auto"/>
        <w:rPr>
          <w:rFonts w:eastAsia="Times New Roman" w:cs="Arial"/>
          <w:color w:val="000000"/>
          <w:szCs w:val="20"/>
          <w:lang w:eastAsia="bg-BG"/>
        </w:rPr>
      </w:pPr>
    </w:p>
    <w:p w14:paraId="1F228A98" w14:textId="032EF851" w:rsidR="00786747" w:rsidRPr="00FE66D7" w:rsidRDefault="00786747" w:rsidP="00786747">
      <w:pPr>
        <w:spacing w:line="240" w:lineRule="auto"/>
        <w:rPr>
          <w:rFonts w:eastAsia="Times New Roman" w:cs="Arial"/>
          <w:sz w:val="28"/>
          <w:szCs w:val="24"/>
        </w:rPr>
      </w:pPr>
      <w:r w:rsidRPr="00FE66D7">
        <w:rPr>
          <w:rFonts w:eastAsia="Times New Roman" w:cs="Arial"/>
          <w:color w:val="000000"/>
          <w:szCs w:val="20"/>
          <w:lang w:eastAsia="bg-BG"/>
        </w:rPr>
        <w:t xml:space="preserve">Ефикасността на леветирацетам като монотерапия е установена в двойно-сляпо, паралелно групово, неинфериорно сравнение с карбамазепин с контролирано освобождаване </w:t>
      </w:r>
      <w:r w:rsidRPr="00FE66D7">
        <w:rPr>
          <w:rFonts w:eastAsia="Times New Roman" w:cs="Arial"/>
          <w:color w:val="000000"/>
          <w:szCs w:val="20"/>
          <w:lang w:val="ru-RU"/>
        </w:rPr>
        <w:t>(</w:t>
      </w:r>
      <w:r w:rsidRPr="00FE66D7">
        <w:rPr>
          <w:rFonts w:eastAsia="Times New Roman" w:cs="Arial"/>
          <w:color w:val="000000"/>
          <w:szCs w:val="20"/>
          <w:lang w:val="en-US"/>
        </w:rPr>
        <w:t>CR</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при 576 пациента на 16-годишна възраст или по-възрастни с новодиагностицирана или наскоро диагностицирана епилепсия. Единственото условие е било пациентите да бъдат с непредизвикани парциални пристъпи или генерализирани тонично-клонични пристъпи. Пациентите са определени на случаен принцип да приемат карбамазепин </w:t>
      </w:r>
      <w:r w:rsidRPr="00FE66D7">
        <w:rPr>
          <w:rFonts w:eastAsia="Times New Roman" w:cs="Arial"/>
          <w:color w:val="000000"/>
          <w:szCs w:val="20"/>
          <w:lang w:val="en-US"/>
        </w:rPr>
        <w:t>CR</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400-1200 </w:t>
      </w:r>
      <w:r w:rsidRPr="00FE66D7">
        <w:rPr>
          <w:rFonts w:eastAsia="Times New Roman" w:cs="Arial"/>
          <w:color w:val="000000"/>
          <w:szCs w:val="20"/>
          <w:lang w:val="en-US"/>
        </w:rPr>
        <w:t>mg</w:t>
      </w:r>
      <w:r w:rsidRPr="00FE66D7">
        <w:rPr>
          <w:rFonts w:eastAsia="Times New Roman" w:cs="Arial"/>
          <w:color w:val="000000"/>
          <w:szCs w:val="20"/>
          <w:lang w:eastAsia="bg-BG"/>
        </w:rPr>
        <w:t xml:space="preserve">/ден или леветирацетам 1000-3000 </w:t>
      </w:r>
      <w:r w:rsidRPr="00FE66D7">
        <w:rPr>
          <w:rFonts w:eastAsia="Times New Roman" w:cs="Arial"/>
          <w:color w:val="000000"/>
          <w:szCs w:val="20"/>
          <w:lang w:val="en-US"/>
        </w:rPr>
        <w:t>mg</w:t>
      </w:r>
      <w:r w:rsidRPr="00FE66D7">
        <w:rPr>
          <w:rFonts w:eastAsia="Times New Roman" w:cs="Arial"/>
          <w:color w:val="000000"/>
          <w:szCs w:val="20"/>
          <w:lang w:eastAsia="bg-BG"/>
        </w:rPr>
        <w:t>/ден, като продължителността на лечението е била до 121 седмици в зависимост от отговора.</w:t>
      </w:r>
    </w:p>
    <w:p w14:paraId="4271226B" w14:textId="77777777" w:rsidR="00FE66D7" w:rsidRPr="00FE66D7" w:rsidRDefault="00786747" w:rsidP="00FE66D7">
      <w:pPr>
        <w:rPr>
          <w:rFonts w:eastAsia="Times New Roman" w:cs="Arial"/>
          <w:sz w:val="28"/>
          <w:szCs w:val="24"/>
        </w:rPr>
      </w:pPr>
      <w:r w:rsidRPr="00FE66D7">
        <w:rPr>
          <w:rFonts w:eastAsia="Times New Roman" w:cs="Arial"/>
          <w:color w:val="000000"/>
          <w:szCs w:val="20"/>
          <w:lang w:eastAsia="bg-BG"/>
        </w:rPr>
        <w:t xml:space="preserve">При 73,0% от пациентите, приемащи леветирацетам и при 72,8% от пациентие, приемащи карбамазепин е установено отсъствие на пристъпи в продължение на 6 месеца, а установената абсолютна разлика между терапиите е 0,2% (95% </w:t>
      </w:r>
      <w:r w:rsidRPr="00FE66D7">
        <w:rPr>
          <w:rFonts w:eastAsia="Times New Roman" w:cs="Arial"/>
          <w:color w:val="000000"/>
          <w:szCs w:val="20"/>
          <w:lang w:val="en-US"/>
        </w:rPr>
        <w:t>CI</w:t>
      </w:r>
      <w:r w:rsidRPr="00FE66D7">
        <w:rPr>
          <w:rFonts w:eastAsia="Times New Roman" w:cs="Arial"/>
          <w:color w:val="000000"/>
          <w:szCs w:val="20"/>
          <w:lang w:val="ru-RU"/>
        </w:rPr>
        <w:t xml:space="preserve">: </w:t>
      </w:r>
      <w:r w:rsidRPr="00FE66D7">
        <w:rPr>
          <w:rFonts w:eastAsia="Times New Roman" w:cs="Arial"/>
          <w:color w:val="000000"/>
          <w:szCs w:val="20"/>
          <w:lang w:eastAsia="bg-BG"/>
        </w:rPr>
        <w:t>-7,8 8,2). Повече от половината от</w:t>
      </w:r>
      <w:r w:rsidR="00FE66D7" w:rsidRPr="00FE66D7">
        <w:rPr>
          <w:rFonts w:eastAsia="Times New Roman" w:cs="Arial"/>
          <w:color w:val="000000"/>
          <w:szCs w:val="20"/>
          <w:lang w:val="ru-RU" w:eastAsia="bg-BG"/>
        </w:rPr>
        <w:t xml:space="preserve"> </w:t>
      </w:r>
      <w:r w:rsidR="00FE66D7" w:rsidRPr="00FE66D7">
        <w:rPr>
          <w:rFonts w:eastAsia="Times New Roman" w:cs="Arial"/>
          <w:color w:val="000000"/>
          <w:szCs w:val="20"/>
          <w:lang w:eastAsia="bg-BG"/>
        </w:rPr>
        <w:t xml:space="preserve">пациентите не са получавали пристъпи в продължение на 12 месеца (56,6% и 58% от пациентите, приемали съответно леветирацетам и карбамазепин </w:t>
      </w:r>
      <w:r w:rsidR="00FE66D7" w:rsidRPr="00FE66D7">
        <w:rPr>
          <w:rFonts w:eastAsia="Times New Roman" w:cs="Arial"/>
          <w:color w:val="000000"/>
          <w:szCs w:val="20"/>
          <w:lang w:val="en-US"/>
        </w:rPr>
        <w:t>CR</w:t>
      </w:r>
      <w:r w:rsidR="00FE66D7" w:rsidRPr="00FE66D7">
        <w:rPr>
          <w:rFonts w:eastAsia="Times New Roman" w:cs="Arial"/>
          <w:color w:val="000000"/>
          <w:szCs w:val="20"/>
          <w:lang w:val="ru-RU"/>
        </w:rPr>
        <w:t>).</w:t>
      </w:r>
    </w:p>
    <w:p w14:paraId="094238E5" w14:textId="77777777"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В проучване, отразяващо клиничната практика, съпътстващата антиепилептична терапия е могла да бъде прекъсната при ограничен брой пациенти, които са се повлияли от допълваща терапия с леветирацетам (36 възрастни пациенти от 69).</w:t>
      </w:r>
    </w:p>
    <w:p w14:paraId="640FD4AE" w14:textId="77777777" w:rsidR="00FE66D7" w:rsidRPr="00FE66D7" w:rsidRDefault="00FE66D7" w:rsidP="00FE66D7">
      <w:pPr>
        <w:spacing w:line="240" w:lineRule="auto"/>
        <w:rPr>
          <w:rFonts w:eastAsia="Times New Roman" w:cs="Arial"/>
          <w:i/>
          <w:iCs/>
          <w:color w:val="000000"/>
          <w:szCs w:val="20"/>
          <w:lang w:eastAsia="bg-BG"/>
        </w:rPr>
      </w:pPr>
    </w:p>
    <w:p w14:paraId="4C8D6163" w14:textId="22279870" w:rsidR="00FE66D7" w:rsidRPr="00FE66D7" w:rsidRDefault="00FE66D7" w:rsidP="00FE66D7">
      <w:pPr>
        <w:spacing w:line="240" w:lineRule="auto"/>
        <w:rPr>
          <w:rFonts w:eastAsia="Times New Roman" w:cs="Arial"/>
          <w:sz w:val="28"/>
          <w:szCs w:val="24"/>
        </w:rPr>
      </w:pPr>
      <w:r w:rsidRPr="00FE66D7">
        <w:rPr>
          <w:rFonts w:eastAsia="Times New Roman" w:cs="Arial"/>
          <w:i/>
          <w:iCs/>
          <w:color w:val="000000"/>
          <w:szCs w:val="20"/>
          <w:lang w:eastAsia="bg-BG"/>
        </w:rPr>
        <w:t>Допълващо лечение на миоклонични пристъпи при възрастни и юноши над 12-годишна възраст с ювенилна миоклонична епилепсия.</w:t>
      </w:r>
    </w:p>
    <w:p w14:paraId="2EE18866" w14:textId="77777777" w:rsidR="00FE66D7" w:rsidRPr="00FE66D7" w:rsidRDefault="00FE66D7" w:rsidP="00FE66D7">
      <w:pPr>
        <w:spacing w:line="240" w:lineRule="auto"/>
        <w:rPr>
          <w:rFonts w:eastAsia="Times New Roman" w:cs="Arial"/>
          <w:color w:val="000000"/>
          <w:szCs w:val="20"/>
          <w:lang w:eastAsia="bg-BG"/>
        </w:rPr>
      </w:pPr>
    </w:p>
    <w:p w14:paraId="66DDF5A5" w14:textId="4E5F08CD"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Ефикасността на леветирацетам е установена в двойно-сляпо, плацебо-контролирано проучване с продължителност 16 седмици при пациенти на 12-годишна възраст или по-възрастни, страдащи от идиопатична генерализирана епилепсия с миоклонични пристъпи от различни синдроми. Повечето пациенти са били с ювенилна миоклонична епилепсия.</w:t>
      </w:r>
    </w:p>
    <w:p w14:paraId="6C259D3F" w14:textId="77777777"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В това проучване дозата на леветирацетам е била 3 000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eastAsia="bg-BG"/>
        </w:rPr>
        <w:t>ден, разделена на 2 приема. 58,3% от пациентите, приемащи леветирацетам и 23,3% от пациентите на плацебо са имали поне 50% намаление на дните през седмицата с миоклонични пристъпи. При продължително дългосрочно лечение 28,6% от пациентите не са получавали миоклонични пристъпи в продължение на поне 6 месеца и 21,0% за поне една година.</w:t>
      </w:r>
    </w:p>
    <w:p w14:paraId="6EBD8361" w14:textId="77777777" w:rsidR="00FE66D7" w:rsidRPr="00FE66D7" w:rsidRDefault="00FE66D7" w:rsidP="00FE66D7">
      <w:pPr>
        <w:spacing w:line="240" w:lineRule="auto"/>
        <w:rPr>
          <w:rFonts w:eastAsia="Times New Roman" w:cs="Arial"/>
          <w:i/>
          <w:iCs/>
          <w:color w:val="000000"/>
          <w:szCs w:val="20"/>
          <w:lang w:eastAsia="bg-BG"/>
        </w:rPr>
      </w:pPr>
    </w:p>
    <w:p w14:paraId="7A0E5FB6" w14:textId="641E0548" w:rsidR="00FE66D7" w:rsidRPr="00FE66D7" w:rsidRDefault="00FE66D7" w:rsidP="00FE66D7">
      <w:pPr>
        <w:spacing w:line="240" w:lineRule="auto"/>
        <w:rPr>
          <w:rFonts w:eastAsia="Times New Roman" w:cs="Arial"/>
          <w:sz w:val="28"/>
          <w:szCs w:val="24"/>
        </w:rPr>
      </w:pPr>
      <w:r w:rsidRPr="00FE66D7">
        <w:rPr>
          <w:rFonts w:eastAsia="Times New Roman" w:cs="Arial"/>
          <w:i/>
          <w:iCs/>
          <w:color w:val="000000"/>
          <w:szCs w:val="20"/>
          <w:lang w:eastAsia="bg-BG"/>
        </w:rPr>
        <w:t>Допълващо лечение на първично генерализирани тонично-клонични пристъпи при възрастни и юноши над 12-годишна възраст с идиопатична генерализирана епилепсия.</w:t>
      </w:r>
    </w:p>
    <w:p w14:paraId="69906921" w14:textId="77777777" w:rsidR="00FE66D7" w:rsidRPr="00FE66D7" w:rsidRDefault="00FE66D7" w:rsidP="00FE66D7">
      <w:pPr>
        <w:spacing w:line="240" w:lineRule="auto"/>
        <w:rPr>
          <w:rFonts w:eastAsia="Times New Roman" w:cs="Arial"/>
          <w:color w:val="000000"/>
          <w:szCs w:val="20"/>
          <w:lang w:eastAsia="bg-BG"/>
        </w:rPr>
      </w:pPr>
    </w:p>
    <w:p w14:paraId="147AC3A1" w14:textId="1D3A886C"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Ефикасността на леветирацетам е доказана в двойно-сляпо, плацебо-контролирано проучване с продължителност 24 седмици включващо възрастни, юноши и ограничен брой деца, страдащи от идиопатична генерализирана епилепсия с първично генерализирани тонично-клонични </w:t>
      </w:r>
      <w:r w:rsidRPr="00FE66D7">
        <w:rPr>
          <w:rFonts w:eastAsia="Times New Roman" w:cs="Arial"/>
          <w:color w:val="000000"/>
          <w:szCs w:val="20"/>
          <w:lang w:val="ru-RU"/>
        </w:rPr>
        <w:t>(</w:t>
      </w:r>
      <w:r w:rsidRPr="00FE66D7">
        <w:rPr>
          <w:rFonts w:eastAsia="Times New Roman" w:cs="Arial"/>
          <w:color w:val="000000"/>
          <w:szCs w:val="20"/>
          <w:lang w:eastAsia="bg-BG"/>
        </w:rPr>
        <w:t>ПГТ</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К) пристъпи от различни синдроми (ювенилна миоклонична епилепсия, ювенилна абсанс епилепсия, детска абсанс епилепсия или епилепсия с </w:t>
      </w:r>
      <w:proofErr w:type="spellStart"/>
      <w:r w:rsidRPr="00FE66D7">
        <w:rPr>
          <w:rFonts w:eastAsia="Times New Roman" w:cs="Arial"/>
          <w:color w:val="000000"/>
          <w:szCs w:val="20"/>
          <w:lang w:val="en-US"/>
        </w:rPr>
        <w:t>GrandMal</w:t>
      </w:r>
      <w:proofErr w:type="spellEnd"/>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пристъпи при събуждане). В това проучване, дозата на леветирацетам е била 3 000 </w:t>
      </w:r>
      <w:r w:rsidRPr="00FE66D7">
        <w:rPr>
          <w:rFonts w:eastAsia="Times New Roman" w:cs="Arial"/>
          <w:color w:val="000000"/>
          <w:szCs w:val="20"/>
          <w:lang w:val="en-US"/>
        </w:rPr>
        <w:t>mg</w:t>
      </w:r>
      <w:r w:rsidRPr="00FE66D7">
        <w:rPr>
          <w:rFonts w:eastAsia="Times New Roman" w:cs="Arial"/>
          <w:color w:val="000000"/>
          <w:szCs w:val="20"/>
          <w:lang w:eastAsia="bg-BG"/>
        </w:rPr>
        <w:t xml:space="preserve">/ден при възрастни или 60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/ден при деца, приемани като 2 отделни дози.</w:t>
      </w:r>
    </w:p>
    <w:p w14:paraId="0B2BB354" w14:textId="44AFAA5D" w:rsidR="00786747" w:rsidRPr="00FE66D7" w:rsidRDefault="00FE66D7" w:rsidP="00FE66D7">
      <w:pPr>
        <w:spacing w:line="240" w:lineRule="auto"/>
        <w:rPr>
          <w:rFonts w:eastAsia="Times New Roman" w:cs="Arial"/>
          <w:sz w:val="28"/>
          <w:szCs w:val="24"/>
          <w:lang w:val="ru-RU"/>
        </w:rPr>
      </w:pPr>
      <w:r w:rsidRPr="00FE66D7">
        <w:rPr>
          <w:rFonts w:eastAsia="Times New Roman" w:cs="Arial"/>
          <w:color w:val="000000"/>
          <w:szCs w:val="20"/>
          <w:lang w:eastAsia="bg-BG"/>
        </w:rPr>
        <w:t>При 72,2% от пациентите, приемащи леветирацетам и 45,2% от пациентите, взимали плацебо е установено намаление на честотата на ПГТК пристъпи за седмица с 50% и повече. При продължително дългосрочно лечение 47,4% от пациентите не са получавали тонично-клонични пристъпи в продължение на поне 6 месеца и 31,5% най-малко за 1 година.</w:t>
      </w:r>
    </w:p>
    <w:p w14:paraId="5E4FFA32" w14:textId="77777777" w:rsidR="00786747" w:rsidRPr="00786747" w:rsidRDefault="00786747" w:rsidP="00786747"/>
    <w:p w14:paraId="26535098" w14:textId="5EB6A354" w:rsidR="00395555" w:rsidRDefault="002C50EE" w:rsidP="008A6AF2">
      <w:pPr>
        <w:pStyle w:val="Heading2"/>
      </w:pPr>
      <w:r>
        <w:t>5.2. Фармакокинетични свойства</w:t>
      </w:r>
    </w:p>
    <w:p w14:paraId="1FA4A662" w14:textId="0A8FC16A" w:rsidR="00FE66D7" w:rsidRDefault="00FE66D7" w:rsidP="00FE66D7"/>
    <w:p w14:paraId="4C3F13D3"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Леветирацетам има висока степен на разтворимост и проникване. Фармакокинетичният му профил е линеен с ниска интра- и интериндивидуална вариабилност. Няма промяна в клирънса след многократно приложение. Няма данни за съществена вариабилност по отношение на пола, расата и циркадния ритъм. Фармакокинетичният профил е сравним при здрави доброволци и пациенти с епилепсия.</w:t>
      </w:r>
    </w:p>
    <w:p w14:paraId="479ADB1B" w14:textId="77777777" w:rsidR="00FE66D7" w:rsidRPr="00FE66D7" w:rsidRDefault="00FE66D7" w:rsidP="00FE66D7">
      <w:pPr>
        <w:spacing w:line="240" w:lineRule="auto"/>
        <w:rPr>
          <w:rFonts w:eastAsia="Times New Roman" w:cs="Arial"/>
          <w:color w:val="000000"/>
          <w:lang w:eastAsia="bg-BG"/>
        </w:rPr>
      </w:pPr>
    </w:p>
    <w:p w14:paraId="2AE85A66" w14:textId="1A72F7D8"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Поради пълната линейна абсорбция, плазмените нива могат да бъдат предвидени в зависимост от оралната доза леветирацетам, изразени в </w:t>
      </w:r>
      <w:r w:rsidRPr="00FE66D7">
        <w:rPr>
          <w:rFonts w:eastAsia="Times New Roman" w:cs="Arial"/>
          <w:color w:val="000000"/>
          <w:lang w:val="en-US"/>
        </w:rPr>
        <w:t>mg</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телесно тегло. По тази причина не е необходимо проследяване на плазмените нива на леветирацетам.</w:t>
      </w:r>
    </w:p>
    <w:p w14:paraId="61732C2F" w14:textId="77777777" w:rsidR="00FE66D7" w:rsidRPr="00FE66D7" w:rsidRDefault="00FE66D7" w:rsidP="00FE66D7">
      <w:pPr>
        <w:spacing w:line="240" w:lineRule="auto"/>
        <w:rPr>
          <w:rFonts w:eastAsia="Times New Roman" w:cs="Arial"/>
          <w:color w:val="000000"/>
          <w:lang w:eastAsia="bg-BG"/>
        </w:rPr>
      </w:pPr>
    </w:p>
    <w:p w14:paraId="2EE0BF3E" w14:textId="7A2E68B0" w:rsidR="00FE66D7" w:rsidRPr="00FE66D7" w:rsidRDefault="00FE66D7" w:rsidP="00FE66D7">
      <w:pPr>
        <w:spacing w:line="240" w:lineRule="auto"/>
        <w:rPr>
          <w:rFonts w:eastAsia="Times New Roman" w:cs="Arial"/>
        </w:rPr>
      </w:pPr>
      <w:r w:rsidRPr="00FE66D7">
        <w:rPr>
          <w:rFonts w:eastAsia="Times New Roman" w:cs="Arial"/>
          <w:color w:val="000000"/>
          <w:lang w:eastAsia="bg-BG"/>
        </w:rPr>
        <w:t>При възрастни и деца е установена значима взаимовръзка между слюнчената и плазмената концентрация (съотношението слюнка/плазма по отношение на концентрацията варира от 1 до 1,7 при оралната таблетна форма и 4 часа след приема на пероралния разтвор).</w:t>
      </w:r>
    </w:p>
    <w:p w14:paraId="7F945FDC" w14:textId="77777777" w:rsidR="00FE66D7" w:rsidRPr="00FE66D7" w:rsidRDefault="00FE66D7" w:rsidP="00FE66D7">
      <w:pPr>
        <w:spacing w:line="240" w:lineRule="auto"/>
        <w:rPr>
          <w:rFonts w:eastAsia="Times New Roman" w:cs="Arial"/>
          <w:color w:val="000000"/>
          <w:u w:val="single"/>
          <w:lang w:eastAsia="bg-BG"/>
        </w:rPr>
      </w:pPr>
    </w:p>
    <w:p w14:paraId="7F156C3C" w14:textId="7D1090EA"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Възрастни и юноши</w:t>
      </w:r>
    </w:p>
    <w:p w14:paraId="67171F17" w14:textId="77777777" w:rsidR="00FE66D7" w:rsidRPr="00FE66D7" w:rsidRDefault="00FE66D7" w:rsidP="00FE66D7">
      <w:pPr>
        <w:rPr>
          <w:rFonts w:eastAsia="Times New Roman" w:cs="Arial"/>
          <w:color w:val="000000"/>
          <w:u w:val="single"/>
          <w:lang w:eastAsia="bg-BG"/>
        </w:rPr>
      </w:pPr>
    </w:p>
    <w:p w14:paraId="47FBC1BF" w14:textId="1AD47925" w:rsidR="00FE66D7" w:rsidRPr="00FE66D7" w:rsidRDefault="00FE66D7" w:rsidP="00FE66D7">
      <w:pPr>
        <w:pStyle w:val="Heading3"/>
        <w:rPr>
          <w:rFonts w:eastAsia="Times New Roman"/>
          <w:u w:val="single"/>
          <w:lang w:eastAsia="bg-BG"/>
        </w:rPr>
      </w:pPr>
      <w:r w:rsidRPr="00FE66D7">
        <w:rPr>
          <w:rFonts w:eastAsia="Times New Roman"/>
          <w:u w:val="single"/>
          <w:lang w:eastAsia="bg-BG"/>
        </w:rPr>
        <w:t>Абсорбция</w:t>
      </w:r>
    </w:p>
    <w:p w14:paraId="52D81630"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Леветирацетам се абсорбира бързо след перорално приложение. Абсолютната орална бионаличност е близо 100%.</w:t>
      </w:r>
    </w:p>
    <w:p w14:paraId="46D80681"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lastRenderedPageBreak/>
        <w:t>Пикови плазмени концентрации (Сшах) се достигат 1,3 часа след приема. Стационарно състояние се достига след два дни при схема на приемане два пъти дневно.</w:t>
      </w:r>
    </w:p>
    <w:p w14:paraId="687E5F3F"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Пиковите плазмени концентрации (Стах) са обичайно 31 </w:t>
      </w:r>
      <w:r w:rsidRPr="00FE66D7">
        <w:rPr>
          <w:rFonts w:eastAsia="Times New Roman" w:cs="Arial"/>
          <w:color w:val="000000"/>
          <w:lang w:val="en-US"/>
        </w:rPr>
        <w:t>gg</w:t>
      </w:r>
      <w:r w:rsidRPr="00FE66D7">
        <w:rPr>
          <w:rFonts w:eastAsia="Times New Roman" w:cs="Arial"/>
          <w:color w:val="000000"/>
          <w:lang w:val="ru-RU"/>
        </w:rPr>
        <w:t>/</w:t>
      </w:r>
      <w:r w:rsidRPr="00FE66D7">
        <w:rPr>
          <w:rFonts w:eastAsia="Times New Roman" w:cs="Arial"/>
          <w:color w:val="000000"/>
          <w:lang w:val="en-US"/>
        </w:rPr>
        <w:t>ml</w:t>
      </w:r>
      <w:r w:rsidRPr="00FE66D7">
        <w:rPr>
          <w:rFonts w:eastAsia="Times New Roman" w:cs="Arial"/>
          <w:color w:val="000000"/>
          <w:lang w:val="ru-RU"/>
        </w:rPr>
        <w:t xml:space="preserve"> </w:t>
      </w:r>
      <w:r w:rsidRPr="00FE66D7">
        <w:rPr>
          <w:rFonts w:eastAsia="Times New Roman" w:cs="Arial"/>
          <w:color w:val="000000"/>
          <w:lang w:eastAsia="bg-BG"/>
        </w:rPr>
        <w:t xml:space="preserve">и 43 </w:t>
      </w:r>
      <w:proofErr w:type="spellStart"/>
      <w:r w:rsidRPr="00FE66D7">
        <w:rPr>
          <w:rFonts w:eastAsia="Times New Roman" w:cs="Arial"/>
          <w:color w:val="000000"/>
          <w:lang w:val="en-US"/>
        </w:rPr>
        <w:t>pg</w:t>
      </w:r>
      <w:proofErr w:type="spellEnd"/>
      <w:r w:rsidRPr="00FE66D7">
        <w:rPr>
          <w:rFonts w:eastAsia="Times New Roman" w:cs="Arial"/>
          <w:color w:val="000000"/>
          <w:lang w:val="ru-RU"/>
        </w:rPr>
        <w:t>/</w:t>
      </w:r>
      <w:r w:rsidRPr="00FE66D7">
        <w:rPr>
          <w:rFonts w:eastAsia="Times New Roman" w:cs="Arial"/>
          <w:color w:val="000000"/>
          <w:lang w:val="en-US"/>
        </w:rPr>
        <w:t>ml</w:t>
      </w:r>
      <w:r w:rsidRPr="00FE66D7">
        <w:rPr>
          <w:rFonts w:eastAsia="Times New Roman" w:cs="Arial"/>
          <w:color w:val="000000"/>
          <w:lang w:val="ru-RU"/>
        </w:rPr>
        <w:t xml:space="preserve"> </w:t>
      </w:r>
      <w:r w:rsidRPr="00FE66D7">
        <w:rPr>
          <w:rFonts w:eastAsia="Times New Roman" w:cs="Arial"/>
          <w:color w:val="000000"/>
          <w:lang w:eastAsia="bg-BG"/>
        </w:rPr>
        <w:t xml:space="preserve">съответно след еднократна доза 1 000 </w:t>
      </w:r>
      <w:r w:rsidRPr="00FE66D7">
        <w:rPr>
          <w:rFonts w:eastAsia="Times New Roman" w:cs="Arial"/>
          <w:color w:val="000000"/>
          <w:lang w:val="en-US"/>
        </w:rPr>
        <w:t>mg</w:t>
      </w:r>
      <w:r w:rsidRPr="00FE66D7">
        <w:rPr>
          <w:rFonts w:eastAsia="Times New Roman" w:cs="Arial"/>
          <w:color w:val="000000"/>
          <w:lang w:val="ru-RU"/>
        </w:rPr>
        <w:t xml:space="preserve"> </w:t>
      </w:r>
      <w:r w:rsidRPr="00FE66D7">
        <w:rPr>
          <w:rFonts w:eastAsia="Times New Roman" w:cs="Arial"/>
          <w:color w:val="000000"/>
          <w:lang w:eastAsia="bg-BG"/>
        </w:rPr>
        <w:t xml:space="preserve">и многократна доза 1 000 </w:t>
      </w:r>
      <w:r w:rsidRPr="00FE66D7">
        <w:rPr>
          <w:rFonts w:eastAsia="Times New Roman" w:cs="Arial"/>
          <w:color w:val="000000"/>
          <w:lang w:val="en-US"/>
        </w:rPr>
        <w:t>mg</w:t>
      </w:r>
      <w:r w:rsidRPr="00FE66D7">
        <w:rPr>
          <w:rFonts w:eastAsia="Times New Roman" w:cs="Arial"/>
          <w:color w:val="000000"/>
          <w:lang w:val="ru-RU"/>
        </w:rPr>
        <w:t xml:space="preserve"> </w:t>
      </w:r>
      <w:r w:rsidRPr="00FE66D7">
        <w:rPr>
          <w:rFonts w:eastAsia="Times New Roman" w:cs="Arial"/>
          <w:color w:val="000000"/>
          <w:lang w:eastAsia="bg-BG"/>
        </w:rPr>
        <w:t>два пъти дневно.</w:t>
      </w:r>
    </w:p>
    <w:p w14:paraId="47B03A7C" w14:textId="77777777" w:rsidR="00FE66D7" w:rsidRPr="00FE66D7" w:rsidRDefault="00FE66D7" w:rsidP="00FE66D7">
      <w:pPr>
        <w:spacing w:line="240" w:lineRule="auto"/>
        <w:rPr>
          <w:rFonts w:eastAsia="Times New Roman" w:cs="Arial"/>
          <w:color w:val="000000"/>
          <w:lang w:eastAsia="bg-BG"/>
        </w:rPr>
      </w:pPr>
    </w:p>
    <w:p w14:paraId="5318F2AA" w14:textId="1243A226" w:rsidR="00FE66D7" w:rsidRPr="00FE66D7" w:rsidRDefault="00FE66D7" w:rsidP="00FE66D7">
      <w:pPr>
        <w:spacing w:line="240" w:lineRule="auto"/>
        <w:rPr>
          <w:rFonts w:eastAsia="Times New Roman" w:cs="Arial"/>
        </w:rPr>
      </w:pPr>
      <w:r w:rsidRPr="00FE66D7">
        <w:rPr>
          <w:rFonts w:eastAsia="Times New Roman" w:cs="Arial"/>
          <w:color w:val="000000"/>
          <w:lang w:eastAsia="bg-BG"/>
        </w:rPr>
        <w:t>Степента на абсорбция не зависи от дозата и не се влияе от храната.</w:t>
      </w:r>
    </w:p>
    <w:p w14:paraId="674662A8" w14:textId="77777777" w:rsidR="00FE66D7" w:rsidRPr="00FE66D7" w:rsidRDefault="00FE66D7" w:rsidP="00FE66D7">
      <w:pPr>
        <w:spacing w:line="240" w:lineRule="auto"/>
        <w:rPr>
          <w:rFonts w:eastAsia="Times New Roman" w:cs="Arial"/>
          <w:color w:val="000000"/>
          <w:u w:val="single"/>
          <w:lang w:eastAsia="bg-BG"/>
        </w:rPr>
      </w:pPr>
    </w:p>
    <w:p w14:paraId="7F224A7B" w14:textId="4436040E" w:rsidR="00FE66D7" w:rsidRPr="00FE66D7" w:rsidRDefault="00FE66D7" w:rsidP="00FE66D7">
      <w:pPr>
        <w:pStyle w:val="Heading3"/>
        <w:rPr>
          <w:rFonts w:eastAsia="Times New Roman"/>
          <w:u w:val="single"/>
        </w:rPr>
      </w:pPr>
      <w:r w:rsidRPr="00FE66D7">
        <w:rPr>
          <w:rFonts w:eastAsia="Times New Roman"/>
          <w:u w:val="single"/>
          <w:lang w:eastAsia="bg-BG"/>
        </w:rPr>
        <w:t>Разпределение</w:t>
      </w:r>
    </w:p>
    <w:p w14:paraId="01B2D22F" w14:textId="77777777" w:rsidR="00FE66D7" w:rsidRPr="00FE66D7" w:rsidRDefault="00FE66D7" w:rsidP="00FE66D7">
      <w:pPr>
        <w:spacing w:line="240" w:lineRule="auto"/>
        <w:rPr>
          <w:rFonts w:eastAsia="Times New Roman" w:cs="Arial"/>
          <w:color w:val="000000"/>
          <w:lang w:eastAsia="bg-BG"/>
        </w:rPr>
      </w:pPr>
    </w:p>
    <w:p w14:paraId="61905202" w14:textId="38B7E401" w:rsidR="00FE66D7" w:rsidRPr="00FE66D7" w:rsidRDefault="00FE66D7" w:rsidP="00FE66D7">
      <w:pPr>
        <w:spacing w:line="240" w:lineRule="auto"/>
        <w:rPr>
          <w:rFonts w:eastAsia="Times New Roman" w:cs="Arial"/>
        </w:rPr>
      </w:pPr>
      <w:r w:rsidRPr="00FE66D7">
        <w:rPr>
          <w:rFonts w:eastAsia="Times New Roman" w:cs="Arial"/>
          <w:color w:val="000000"/>
          <w:lang w:eastAsia="bg-BG"/>
        </w:rPr>
        <w:t>Няма данни за тъканното разпределение при хора.</w:t>
      </w:r>
    </w:p>
    <w:p w14:paraId="78A70458"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Пито леветирацетам, нито неговият първичен метаболит се свързват в значителна степен с плазмените протеини (&lt;10%).</w:t>
      </w:r>
    </w:p>
    <w:p w14:paraId="3A5E9A35"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Обемът на разпределение на леветирацетам е приблизително 0,5 до 0,7</w:t>
      </w:r>
      <w:r w:rsidRPr="00FE66D7">
        <w:rPr>
          <w:rFonts w:eastAsia="Times New Roman" w:cs="Arial"/>
          <w:color w:val="000000"/>
          <w:lang w:val="ru-RU"/>
        </w:rPr>
        <w:t>1/</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което е близо до общия воден обем на организма.</w:t>
      </w:r>
    </w:p>
    <w:p w14:paraId="5CD028BE" w14:textId="77777777" w:rsidR="00FE66D7" w:rsidRPr="00FE66D7" w:rsidRDefault="00FE66D7" w:rsidP="00FE66D7">
      <w:pPr>
        <w:spacing w:line="240" w:lineRule="auto"/>
        <w:rPr>
          <w:rFonts w:eastAsia="Times New Roman" w:cs="Arial"/>
          <w:color w:val="000000"/>
          <w:u w:val="single"/>
          <w:lang w:eastAsia="bg-BG"/>
        </w:rPr>
      </w:pPr>
    </w:p>
    <w:p w14:paraId="5A4EAF01" w14:textId="03E755B8" w:rsidR="00FE66D7" w:rsidRPr="00FE66D7" w:rsidRDefault="00FE66D7" w:rsidP="00FE66D7">
      <w:pPr>
        <w:pStyle w:val="Heading3"/>
        <w:rPr>
          <w:rFonts w:eastAsia="Times New Roman"/>
          <w:u w:val="single"/>
        </w:rPr>
      </w:pPr>
      <w:r w:rsidRPr="00FE66D7">
        <w:rPr>
          <w:rFonts w:eastAsia="Times New Roman"/>
          <w:u w:val="single"/>
          <w:lang w:eastAsia="bg-BG"/>
        </w:rPr>
        <w:t>Биотрансформация</w:t>
      </w:r>
    </w:p>
    <w:p w14:paraId="0AE164DE" w14:textId="77777777" w:rsidR="00FE66D7" w:rsidRPr="00FE66D7" w:rsidRDefault="00FE66D7" w:rsidP="00FE66D7">
      <w:pPr>
        <w:pStyle w:val="Heading3"/>
        <w:rPr>
          <w:rFonts w:eastAsia="Times New Roman"/>
          <w:u w:val="single"/>
          <w:lang w:eastAsia="bg-BG"/>
        </w:rPr>
      </w:pPr>
    </w:p>
    <w:p w14:paraId="179CABB5" w14:textId="6C33661D"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При хора, леветирацетам не се метаболизира екстензивно. Главният път на метаболизъм (24% от дозата) е ензимна хидролиза на ацетамидната група. В образуването на първичния метаболит, </w:t>
      </w:r>
      <w:proofErr w:type="spellStart"/>
      <w:r w:rsidRPr="00FE66D7">
        <w:rPr>
          <w:rFonts w:eastAsia="Times New Roman" w:cs="Arial"/>
          <w:color w:val="000000"/>
          <w:lang w:val="en-US"/>
        </w:rPr>
        <w:t>ucb</w:t>
      </w:r>
      <w:proofErr w:type="spellEnd"/>
      <w:r w:rsidRPr="00FE66D7">
        <w:rPr>
          <w:rFonts w:eastAsia="Times New Roman" w:cs="Arial"/>
          <w:color w:val="000000"/>
          <w:lang w:val="ru-RU"/>
        </w:rPr>
        <w:t xml:space="preserve"> </w:t>
      </w:r>
      <w:r w:rsidRPr="00FE66D7">
        <w:rPr>
          <w:rFonts w:eastAsia="Times New Roman" w:cs="Arial"/>
          <w:color w:val="000000"/>
          <w:lang w:val="en-US"/>
        </w:rPr>
        <w:t>L</w:t>
      </w:r>
      <w:r w:rsidRPr="00FE66D7">
        <w:rPr>
          <w:rFonts w:eastAsia="Times New Roman" w:cs="Arial"/>
          <w:color w:val="000000"/>
          <w:lang w:val="ru-RU"/>
        </w:rPr>
        <w:t xml:space="preserve">057, </w:t>
      </w:r>
      <w:r w:rsidRPr="00FE66D7">
        <w:rPr>
          <w:rFonts w:eastAsia="Times New Roman" w:cs="Arial"/>
          <w:color w:val="000000"/>
          <w:lang w:eastAsia="bg-BG"/>
        </w:rPr>
        <w:t>не участват изоформите на чернодробния цитохром Р450. Хидролизата на ацетамидната група е установена в голям брой тъкани, включително кръвни клетки.</w:t>
      </w:r>
    </w:p>
    <w:p w14:paraId="7073F945" w14:textId="45A00BDB"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Метаболитът </w:t>
      </w:r>
      <w:proofErr w:type="spellStart"/>
      <w:r w:rsidRPr="00FE66D7">
        <w:rPr>
          <w:rFonts w:eastAsia="Times New Roman" w:cs="Arial"/>
          <w:color w:val="000000"/>
          <w:lang w:val="en-US"/>
        </w:rPr>
        <w:t>ucb</w:t>
      </w:r>
      <w:proofErr w:type="spellEnd"/>
      <w:r w:rsidRPr="00FE66D7">
        <w:rPr>
          <w:rFonts w:eastAsia="Times New Roman" w:cs="Arial"/>
          <w:color w:val="000000"/>
          <w:lang w:val="ru-RU"/>
        </w:rPr>
        <w:t xml:space="preserve"> </w:t>
      </w:r>
      <w:r w:rsidRPr="00FE66D7">
        <w:rPr>
          <w:rFonts w:eastAsia="Times New Roman" w:cs="Arial"/>
          <w:color w:val="000000"/>
          <w:lang w:val="en-US"/>
        </w:rPr>
        <w:t>L</w:t>
      </w:r>
      <w:r w:rsidRPr="00FE66D7">
        <w:rPr>
          <w:rFonts w:eastAsia="Times New Roman" w:cs="Arial"/>
          <w:color w:val="000000"/>
          <w:lang w:val="ru-RU"/>
        </w:rPr>
        <w:t xml:space="preserve">057 </w:t>
      </w:r>
      <w:r w:rsidRPr="00FE66D7">
        <w:rPr>
          <w:rFonts w:eastAsia="Times New Roman" w:cs="Arial"/>
          <w:color w:val="000000"/>
          <w:lang w:eastAsia="bg-BG"/>
        </w:rPr>
        <w:t>е фармакологично неактивен.</w:t>
      </w:r>
    </w:p>
    <w:p w14:paraId="4A27995D" w14:textId="77777777" w:rsidR="00FE66D7" w:rsidRPr="00FE66D7" w:rsidRDefault="00FE66D7" w:rsidP="00FE66D7">
      <w:pPr>
        <w:spacing w:line="240" w:lineRule="auto"/>
        <w:rPr>
          <w:rFonts w:eastAsia="Times New Roman" w:cs="Arial"/>
          <w:color w:val="000000"/>
          <w:lang w:eastAsia="bg-BG"/>
        </w:rPr>
      </w:pPr>
    </w:p>
    <w:p w14:paraId="2C2EC6F3" w14:textId="27F3AC59" w:rsidR="00FE66D7" w:rsidRPr="00FE66D7" w:rsidRDefault="00FE66D7" w:rsidP="00FE66D7">
      <w:pPr>
        <w:spacing w:line="240" w:lineRule="auto"/>
        <w:rPr>
          <w:rFonts w:eastAsia="Times New Roman" w:cs="Arial"/>
        </w:rPr>
      </w:pPr>
      <w:r w:rsidRPr="00FE66D7">
        <w:rPr>
          <w:rFonts w:eastAsia="Times New Roman" w:cs="Arial"/>
          <w:color w:val="000000"/>
          <w:lang w:eastAsia="bg-BG"/>
        </w:rPr>
        <w:t>Установени са също два второстепенни метаболита. Единият се получава от хидроксилирането (1,6% от дозата), а другият от отварянето на пиролидоновия пръстен (0,9% от дозата).</w:t>
      </w:r>
    </w:p>
    <w:p w14:paraId="19932DEC"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Другите неидентифицирани компоненти са само 0,6% от дозата.</w:t>
      </w:r>
    </w:p>
    <w:p w14:paraId="6E776606" w14:textId="77777777" w:rsidR="00FE66D7" w:rsidRPr="00FE66D7" w:rsidRDefault="00FE66D7" w:rsidP="00FE66D7">
      <w:pPr>
        <w:spacing w:line="240" w:lineRule="auto"/>
        <w:rPr>
          <w:rFonts w:eastAsia="Times New Roman" w:cs="Arial"/>
          <w:color w:val="000000"/>
          <w:lang w:eastAsia="bg-BG"/>
        </w:rPr>
      </w:pPr>
    </w:p>
    <w:p w14:paraId="3E5581D0" w14:textId="64E98A9C"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Не е установена вътрешна конверсия на енантиомерите </w:t>
      </w:r>
      <w:r w:rsidRPr="00FE66D7">
        <w:rPr>
          <w:rFonts w:eastAsia="Times New Roman" w:cs="Arial"/>
          <w:i/>
          <w:iCs/>
          <w:color w:val="000000"/>
          <w:lang w:val="en-US"/>
        </w:rPr>
        <w:t>in</w:t>
      </w:r>
      <w:r w:rsidRPr="00FE66D7">
        <w:rPr>
          <w:rFonts w:eastAsia="Times New Roman" w:cs="Arial"/>
          <w:i/>
          <w:iCs/>
          <w:color w:val="000000"/>
          <w:lang w:val="ru-RU"/>
        </w:rPr>
        <w:t xml:space="preserve"> </w:t>
      </w:r>
      <w:r w:rsidRPr="00FE66D7">
        <w:rPr>
          <w:rFonts w:eastAsia="Times New Roman" w:cs="Arial"/>
          <w:i/>
          <w:iCs/>
          <w:color w:val="000000"/>
          <w:lang w:val="en-US"/>
        </w:rPr>
        <w:t>vivo</w:t>
      </w:r>
      <w:r w:rsidRPr="00FE66D7">
        <w:rPr>
          <w:rFonts w:eastAsia="Times New Roman" w:cs="Arial"/>
          <w:i/>
          <w:iCs/>
          <w:color w:val="000000"/>
          <w:lang w:val="ru-RU"/>
        </w:rPr>
        <w:t>,</w:t>
      </w:r>
      <w:r w:rsidRPr="00FE66D7">
        <w:rPr>
          <w:rFonts w:eastAsia="Times New Roman" w:cs="Arial"/>
          <w:color w:val="000000"/>
          <w:lang w:val="ru-RU"/>
        </w:rPr>
        <w:t xml:space="preserve"> </w:t>
      </w:r>
      <w:r w:rsidRPr="00FE66D7">
        <w:rPr>
          <w:rFonts w:eastAsia="Times New Roman" w:cs="Arial"/>
          <w:color w:val="000000"/>
          <w:lang w:eastAsia="bg-BG"/>
        </w:rPr>
        <w:t>както на леветирацетам, така и на неговия първичен метаболит.</w:t>
      </w:r>
    </w:p>
    <w:p w14:paraId="5B9E59D8" w14:textId="77777777" w:rsidR="00FE66D7" w:rsidRPr="00FE66D7" w:rsidRDefault="00FE66D7" w:rsidP="00FE66D7">
      <w:pPr>
        <w:spacing w:line="240" w:lineRule="auto"/>
        <w:rPr>
          <w:rFonts w:eastAsia="Times New Roman" w:cs="Arial"/>
          <w:i/>
          <w:iCs/>
          <w:color w:val="000000"/>
          <w:lang w:val="ru-RU"/>
        </w:rPr>
      </w:pPr>
    </w:p>
    <w:p w14:paraId="7161E28C" w14:textId="7B43303C" w:rsidR="00FE66D7" w:rsidRPr="00FE66D7" w:rsidRDefault="00FE66D7" w:rsidP="00FE66D7">
      <w:pPr>
        <w:spacing w:line="240" w:lineRule="auto"/>
        <w:rPr>
          <w:rFonts w:eastAsia="Times New Roman" w:cs="Arial"/>
        </w:rPr>
      </w:pPr>
      <w:r w:rsidRPr="00FE66D7">
        <w:rPr>
          <w:rFonts w:eastAsia="Times New Roman" w:cs="Arial"/>
          <w:i/>
          <w:iCs/>
          <w:color w:val="000000"/>
          <w:lang w:val="en-US"/>
        </w:rPr>
        <w:t>In</w:t>
      </w:r>
      <w:r w:rsidRPr="00FE66D7">
        <w:rPr>
          <w:rFonts w:eastAsia="Times New Roman" w:cs="Arial"/>
          <w:i/>
          <w:iCs/>
          <w:color w:val="000000"/>
          <w:lang w:val="ru-RU"/>
        </w:rPr>
        <w:t xml:space="preserve"> </w:t>
      </w:r>
      <w:r w:rsidRPr="00FE66D7">
        <w:rPr>
          <w:rFonts w:eastAsia="Times New Roman" w:cs="Arial"/>
          <w:i/>
          <w:iCs/>
          <w:color w:val="000000"/>
          <w:lang w:val="en-US"/>
        </w:rPr>
        <w:t>vitro</w:t>
      </w:r>
      <w:r w:rsidRPr="00FE66D7">
        <w:rPr>
          <w:rFonts w:eastAsia="Times New Roman" w:cs="Arial"/>
          <w:i/>
          <w:iCs/>
          <w:color w:val="000000"/>
          <w:lang w:val="ru-RU"/>
        </w:rPr>
        <w:t>,</w:t>
      </w:r>
      <w:r w:rsidRPr="00FE66D7">
        <w:rPr>
          <w:rFonts w:eastAsia="Times New Roman" w:cs="Arial"/>
          <w:color w:val="000000"/>
          <w:lang w:val="ru-RU"/>
        </w:rPr>
        <w:t xml:space="preserve"> </w:t>
      </w:r>
      <w:r w:rsidRPr="00FE66D7">
        <w:rPr>
          <w:rFonts w:eastAsia="Times New Roman" w:cs="Arial"/>
          <w:color w:val="000000"/>
          <w:lang w:eastAsia="bg-BG"/>
        </w:rPr>
        <w:t xml:space="preserve">леветирацетам и неговият първичен метаболит не инхибираг изоформите на главния чернодробен комплекс при хората - цитохром Р450 </w:t>
      </w:r>
      <w:r w:rsidRPr="00FE66D7">
        <w:rPr>
          <w:rFonts w:eastAsia="Times New Roman" w:cs="Arial"/>
          <w:color w:val="000000"/>
          <w:lang w:val="ru-RU"/>
        </w:rPr>
        <w:t>(</w:t>
      </w:r>
      <w:r w:rsidRPr="00FE66D7">
        <w:rPr>
          <w:rFonts w:eastAsia="Times New Roman" w:cs="Arial"/>
          <w:color w:val="000000"/>
          <w:lang w:val="en-US"/>
        </w:rPr>
        <w:t>CYP</w:t>
      </w:r>
      <w:r w:rsidRPr="00FE66D7">
        <w:rPr>
          <w:rFonts w:eastAsia="Times New Roman" w:cs="Arial"/>
          <w:color w:val="000000"/>
          <w:lang w:val="ru-RU"/>
        </w:rPr>
        <w:t>3</w:t>
      </w:r>
      <w:r w:rsidRPr="00FE66D7">
        <w:rPr>
          <w:rFonts w:eastAsia="Times New Roman" w:cs="Arial"/>
          <w:color w:val="000000"/>
          <w:lang w:val="en-US"/>
        </w:rPr>
        <w:t>A</w:t>
      </w:r>
      <w:r w:rsidRPr="00FE66D7">
        <w:rPr>
          <w:rFonts w:eastAsia="Times New Roman" w:cs="Arial"/>
          <w:color w:val="000000"/>
          <w:lang w:val="ru-RU"/>
        </w:rPr>
        <w:t xml:space="preserve">4, </w:t>
      </w:r>
      <w:r w:rsidRPr="00FE66D7">
        <w:rPr>
          <w:rFonts w:eastAsia="Times New Roman" w:cs="Arial"/>
          <w:color w:val="000000"/>
          <w:lang w:eastAsia="bg-BG"/>
        </w:rPr>
        <w:t>2А6, 2С9</w:t>
      </w:r>
      <w:proofErr w:type="gramStart"/>
      <w:r w:rsidRPr="00FE66D7">
        <w:rPr>
          <w:rFonts w:eastAsia="Times New Roman" w:cs="Arial"/>
          <w:color w:val="000000"/>
          <w:lang w:eastAsia="bg-BG"/>
        </w:rPr>
        <w:t>,2С19,</w:t>
      </w:r>
      <w:r w:rsidRPr="00FE66D7">
        <w:rPr>
          <w:rFonts w:eastAsia="Times New Roman" w:cs="Arial"/>
          <w:color w:val="000000"/>
          <w:lang w:val="ru-RU"/>
        </w:rPr>
        <w:t>2</w:t>
      </w:r>
      <w:r w:rsidRPr="00FE66D7">
        <w:rPr>
          <w:rFonts w:eastAsia="Times New Roman" w:cs="Arial"/>
          <w:color w:val="000000"/>
          <w:lang w:val="en-US"/>
        </w:rPr>
        <w:t>D</w:t>
      </w:r>
      <w:r w:rsidRPr="00FE66D7">
        <w:rPr>
          <w:rFonts w:eastAsia="Times New Roman" w:cs="Arial"/>
          <w:color w:val="000000"/>
          <w:lang w:val="ru-RU"/>
        </w:rPr>
        <w:t>6</w:t>
      </w:r>
      <w:proofErr w:type="gramEnd"/>
      <w:r w:rsidRPr="00FE66D7">
        <w:rPr>
          <w:rFonts w:eastAsia="Times New Roman" w:cs="Arial"/>
          <w:color w:val="000000"/>
          <w:lang w:val="ru-RU"/>
        </w:rPr>
        <w:t xml:space="preserve">, </w:t>
      </w:r>
      <w:r w:rsidRPr="00FE66D7">
        <w:rPr>
          <w:rFonts w:eastAsia="Times New Roman" w:cs="Arial"/>
          <w:color w:val="000000"/>
          <w:lang w:eastAsia="bg-BG"/>
        </w:rPr>
        <w:t xml:space="preserve">2Е1 и 1А2), глюкоронил трансферазата </w:t>
      </w:r>
      <w:r w:rsidRPr="00FE66D7">
        <w:rPr>
          <w:rFonts w:eastAsia="Times New Roman" w:cs="Arial"/>
          <w:color w:val="000000"/>
          <w:lang w:val="ru-RU"/>
        </w:rPr>
        <w:t>(</w:t>
      </w:r>
      <w:r w:rsidRPr="00FE66D7">
        <w:rPr>
          <w:rFonts w:eastAsia="Times New Roman" w:cs="Arial"/>
          <w:color w:val="000000"/>
          <w:lang w:val="en-US"/>
        </w:rPr>
        <w:t>UGT</w:t>
      </w:r>
      <w:r w:rsidRPr="00FE66D7">
        <w:rPr>
          <w:rFonts w:eastAsia="Times New Roman" w:cs="Arial"/>
          <w:color w:val="000000"/>
          <w:lang w:val="ru-RU"/>
        </w:rPr>
        <w:t>1</w:t>
      </w:r>
      <w:r w:rsidRPr="00FE66D7">
        <w:rPr>
          <w:rFonts w:eastAsia="Times New Roman" w:cs="Arial"/>
          <w:color w:val="000000"/>
          <w:lang w:eastAsia="bg-BG"/>
        </w:rPr>
        <w:t xml:space="preserve">А1 и </w:t>
      </w:r>
      <w:r w:rsidRPr="00FE66D7">
        <w:rPr>
          <w:rFonts w:eastAsia="Times New Roman" w:cs="Arial"/>
          <w:color w:val="000000"/>
          <w:lang w:val="en-US"/>
        </w:rPr>
        <w:t>UGT</w:t>
      </w:r>
      <w:r w:rsidRPr="00FE66D7">
        <w:rPr>
          <w:rFonts w:eastAsia="Times New Roman" w:cs="Arial"/>
          <w:color w:val="000000"/>
          <w:lang w:val="ru-RU"/>
        </w:rPr>
        <w:t>1</w:t>
      </w:r>
      <w:r w:rsidRPr="00FE66D7">
        <w:rPr>
          <w:rFonts w:eastAsia="Times New Roman" w:cs="Arial"/>
          <w:color w:val="000000"/>
          <w:lang w:eastAsia="bg-BG"/>
        </w:rPr>
        <w:t xml:space="preserve">А6) и епоксид хидроксилазната активност. В допълнение, леветирацетам не въздейства </w:t>
      </w:r>
      <w:r w:rsidRPr="00FE66D7">
        <w:rPr>
          <w:rFonts w:eastAsia="Times New Roman" w:cs="Arial"/>
          <w:i/>
          <w:iCs/>
          <w:color w:val="000000"/>
          <w:lang w:val="en-US"/>
        </w:rPr>
        <w:t>in</w:t>
      </w:r>
      <w:r w:rsidRPr="00FE66D7">
        <w:rPr>
          <w:rFonts w:eastAsia="Times New Roman" w:cs="Arial"/>
          <w:i/>
          <w:iCs/>
          <w:color w:val="000000"/>
          <w:lang w:val="ru-RU"/>
        </w:rPr>
        <w:t xml:space="preserve"> </w:t>
      </w:r>
      <w:r w:rsidRPr="00FE66D7">
        <w:rPr>
          <w:rFonts w:eastAsia="Times New Roman" w:cs="Arial"/>
          <w:i/>
          <w:iCs/>
          <w:color w:val="000000"/>
          <w:lang w:val="en-US"/>
        </w:rPr>
        <w:t>vitro</w:t>
      </w:r>
      <w:r w:rsidRPr="00FE66D7">
        <w:rPr>
          <w:rFonts w:eastAsia="Times New Roman" w:cs="Arial"/>
          <w:color w:val="000000"/>
          <w:lang w:val="ru-RU"/>
        </w:rPr>
        <w:t xml:space="preserve"> </w:t>
      </w:r>
      <w:r w:rsidRPr="00FE66D7">
        <w:rPr>
          <w:rFonts w:eastAsia="Times New Roman" w:cs="Arial"/>
          <w:color w:val="000000"/>
          <w:lang w:eastAsia="bg-BG"/>
        </w:rPr>
        <w:t>върху глюкорунирането на валпроевата киселина.</w:t>
      </w:r>
    </w:p>
    <w:p w14:paraId="533D1AD5"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В култури от човешки хепатоцити леветирацетам оказва слаб ефект или не повлиява </w:t>
      </w:r>
      <w:r w:rsidRPr="00FE66D7">
        <w:rPr>
          <w:rFonts w:eastAsia="Times New Roman" w:cs="Arial"/>
          <w:color w:val="000000"/>
          <w:lang w:val="en-US"/>
        </w:rPr>
        <w:t>CYP</w:t>
      </w:r>
      <w:r w:rsidRPr="00FE66D7">
        <w:rPr>
          <w:rFonts w:eastAsia="Times New Roman" w:cs="Arial"/>
          <w:color w:val="000000"/>
          <w:lang w:val="ru-RU"/>
        </w:rPr>
        <w:t xml:space="preserve"> </w:t>
      </w:r>
      <w:r w:rsidRPr="00FE66D7">
        <w:rPr>
          <w:rFonts w:eastAsia="Times New Roman" w:cs="Arial"/>
          <w:color w:val="000000"/>
          <w:lang w:eastAsia="bg-BG"/>
        </w:rPr>
        <w:t xml:space="preserve">1А2, </w:t>
      </w:r>
      <w:r w:rsidRPr="00FE66D7">
        <w:rPr>
          <w:rFonts w:eastAsia="Times New Roman" w:cs="Arial"/>
          <w:color w:val="000000"/>
          <w:lang w:val="en-US"/>
        </w:rPr>
        <w:t>SULT</w:t>
      </w:r>
      <w:r w:rsidRPr="00FE66D7">
        <w:rPr>
          <w:rFonts w:eastAsia="Times New Roman" w:cs="Arial"/>
          <w:color w:val="000000"/>
          <w:lang w:val="ru-RU"/>
        </w:rPr>
        <w:t>1</w:t>
      </w:r>
      <w:r w:rsidRPr="00FE66D7">
        <w:rPr>
          <w:rFonts w:eastAsia="Times New Roman" w:cs="Arial"/>
          <w:color w:val="000000"/>
          <w:lang w:val="en-US"/>
        </w:rPr>
        <w:t>E</w:t>
      </w:r>
      <w:r w:rsidRPr="00FE66D7">
        <w:rPr>
          <w:rFonts w:eastAsia="Times New Roman" w:cs="Arial"/>
          <w:color w:val="000000"/>
          <w:lang w:val="ru-RU"/>
        </w:rPr>
        <w:t xml:space="preserve">1 </w:t>
      </w:r>
      <w:r w:rsidRPr="00FE66D7">
        <w:rPr>
          <w:rFonts w:eastAsia="Times New Roman" w:cs="Arial"/>
          <w:color w:val="000000"/>
          <w:lang w:eastAsia="bg-BG"/>
        </w:rPr>
        <w:t xml:space="preserve">или </w:t>
      </w:r>
      <w:r w:rsidRPr="00FE66D7">
        <w:rPr>
          <w:rFonts w:eastAsia="Times New Roman" w:cs="Arial"/>
          <w:color w:val="000000"/>
          <w:lang w:val="en-US"/>
        </w:rPr>
        <w:t>UGT</w:t>
      </w:r>
      <w:r w:rsidRPr="00FE66D7">
        <w:rPr>
          <w:rFonts w:eastAsia="Times New Roman" w:cs="Arial"/>
          <w:color w:val="000000"/>
          <w:lang w:val="ru-RU"/>
        </w:rPr>
        <w:t>1</w:t>
      </w:r>
      <w:r w:rsidRPr="00FE66D7">
        <w:rPr>
          <w:rFonts w:eastAsia="Times New Roman" w:cs="Arial"/>
          <w:color w:val="000000"/>
          <w:lang w:eastAsia="bg-BG"/>
        </w:rPr>
        <w:t xml:space="preserve">А1. Леветирацетам слабо индуцира </w:t>
      </w:r>
      <w:r w:rsidRPr="00FE66D7">
        <w:rPr>
          <w:rFonts w:eastAsia="Times New Roman" w:cs="Arial"/>
          <w:color w:val="000000"/>
          <w:lang w:val="en-US"/>
        </w:rPr>
        <w:t>CYP</w:t>
      </w:r>
      <w:r w:rsidRPr="00FE66D7">
        <w:rPr>
          <w:rFonts w:eastAsia="Times New Roman" w:cs="Arial"/>
          <w:color w:val="000000"/>
          <w:lang w:val="ru-RU"/>
        </w:rPr>
        <w:t>2</w:t>
      </w:r>
      <w:r w:rsidRPr="00FE66D7">
        <w:rPr>
          <w:rFonts w:eastAsia="Times New Roman" w:cs="Arial"/>
          <w:color w:val="000000"/>
          <w:lang w:val="en-US"/>
        </w:rPr>
        <w:t>B</w:t>
      </w:r>
      <w:r w:rsidRPr="00FE66D7">
        <w:rPr>
          <w:rFonts w:eastAsia="Times New Roman" w:cs="Arial"/>
          <w:color w:val="000000"/>
          <w:lang w:val="ru-RU"/>
        </w:rPr>
        <w:t xml:space="preserve">6 </w:t>
      </w:r>
      <w:r w:rsidRPr="00FE66D7">
        <w:rPr>
          <w:rFonts w:eastAsia="Times New Roman" w:cs="Arial"/>
          <w:color w:val="000000"/>
          <w:lang w:eastAsia="bg-BG"/>
        </w:rPr>
        <w:t xml:space="preserve">и </w:t>
      </w:r>
      <w:r w:rsidRPr="00FE66D7">
        <w:rPr>
          <w:rFonts w:eastAsia="Times New Roman" w:cs="Arial"/>
          <w:color w:val="000000"/>
          <w:lang w:val="en-US"/>
        </w:rPr>
        <w:t>CYP</w:t>
      </w:r>
      <w:r w:rsidRPr="00FE66D7">
        <w:rPr>
          <w:rFonts w:eastAsia="Times New Roman" w:cs="Arial"/>
          <w:color w:val="000000"/>
          <w:lang w:val="ru-RU"/>
        </w:rPr>
        <w:t>3</w:t>
      </w:r>
      <w:r w:rsidRPr="00FE66D7">
        <w:rPr>
          <w:rFonts w:eastAsia="Times New Roman" w:cs="Arial"/>
          <w:color w:val="000000"/>
          <w:lang w:val="en-US"/>
        </w:rPr>
        <w:t>A</w:t>
      </w:r>
      <w:r w:rsidRPr="00FE66D7">
        <w:rPr>
          <w:rFonts w:eastAsia="Times New Roman" w:cs="Arial"/>
          <w:color w:val="000000"/>
          <w:lang w:val="ru-RU"/>
        </w:rPr>
        <w:t xml:space="preserve">4. </w:t>
      </w:r>
      <w:r w:rsidRPr="00FE66D7">
        <w:rPr>
          <w:rFonts w:eastAsia="Times New Roman" w:cs="Arial"/>
          <w:color w:val="000000"/>
          <w:lang w:eastAsia="bg-BG"/>
        </w:rPr>
        <w:t xml:space="preserve">Данните </w:t>
      </w:r>
      <w:r w:rsidRPr="00FE66D7">
        <w:rPr>
          <w:rFonts w:eastAsia="Times New Roman" w:cs="Arial"/>
          <w:color w:val="000000"/>
          <w:lang w:val="en-US"/>
        </w:rPr>
        <w:t>in</w:t>
      </w:r>
      <w:r w:rsidRPr="00FE66D7">
        <w:rPr>
          <w:rFonts w:eastAsia="Times New Roman" w:cs="Arial"/>
          <w:color w:val="000000"/>
          <w:lang w:val="ru-RU"/>
        </w:rPr>
        <w:t xml:space="preserve"> </w:t>
      </w:r>
      <w:r w:rsidRPr="00FE66D7">
        <w:rPr>
          <w:rFonts w:eastAsia="Times New Roman" w:cs="Arial"/>
          <w:color w:val="000000"/>
          <w:lang w:val="en-US"/>
        </w:rPr>
        <w:t>vitro</w:t>
      </w:r>
      <w:r w:rsidRPr="00FE66D7">
        <w:rPr>
          <w:rFonts w:eastAsia="Times New Roman" w:cs="Arial"/>
          <w:color w:val="000000"/>
          <w:lang w:val="ru-RU"/>
        </w:rPr>
        <w:t xml:space="preserve"> </w:t>
      </w:r>
      <w:r w:rsidRPr="00FE66D7">
        <w:rPr>
          <w:rFonts w:eastAsia="Times New Roman" w:cs="Arial"/>
          <w:color w:val="000000"/>
          <w:lang w:eastAsia="bg-BG"/>
        </w:rPr>
        <w:t xml:space="preserve">и </w:t>
      </w:r>
      <w:r w:rsidRPr="00FE66D7">
        <w:rPr>
          <w:rFonts w:eastAsia="Times New Roman" w:cs="Arial"/>
          <w:color w:val="000000"/>
          <w:lang w:val="en-US"/>
        </w:rPr>
        <w:t>in</w:t>
      </w:r>
      <w:r w:rsidRPr="00FE66D7">
        <w:rPr>
          <w:rFonts w:eastAsia="Times New Roman" w:cs="Arial"/>
          <w:color w:val="000000"/>
          <w:lang w:val="ru-RU"/>
        </w:rPr>
        <w:t xml:space="preserve"> </w:t>
      </w:r>
      <w:r w:rsidRPr="00FE66D7">
        <w:rPr>
          <w:rFonts w:eastAsia="Times New Roman" w:cs="Arial"/>
          <w:color w:val="000000"/>
          <w:lang w:val="en-US"/>
        </w:rPr>
        <w:t>vivo</w:t>
      </w:r>
      <w:r w:rsidRPr="00FE66D7">
        <w:rPr>
          <w:rFonts w:eastAsia="Times New Roman" w:cs="Arial"/>
          <w:color w:val="000000"/>
          <w:lang w:val="ru-RU"/>
        </w:rPr>
        <w:t xml:space="preserve"> </w:t>
      </w:r>
      <w:r w:rsidRPr="00FE66D7">
        <w:rPr>
          <w:rFonts w:eastAsia="Times New Roman" w:cs="Arial"/>
          <w:color w:val="000000"/>
          <w:lang w:eastAsia="bg-BG"/>
        </w:rPr>
        <w:t xml:space="preserve">данните за взаимодействие с пероралните контрацептиви, дигоксин и варфарин показват, че </w:t>
      </w:r>
      <w:r w:rsidRPr="00FE66D7">
        <w:rPr>
          <w:rFonts w:eastAsia="Times New Roman" w:cs="Arial"/>
          <w:color w:val="000000"/>
          <w:lang w:val="en-US"/>
        </w:rPr>
        <w:t>in</w:t>
      </w:r>
      <w:r w:rsidRPr="00FE66D7">
        <w:rPr>
          <w:rFonts w:eastAsia="Times New Roman" w:cs="Arial"/>
          <w:color w:val="000000"/>
          <w:lang w:val="ru-RU"/>
        </w:rPr>
        <w:t xml:space="preserve"> </w:t>
      </w:r>
      <w:r w:rsidRPr="00FE66D7">
        <w:rPr>
          <w:rFonts w:eastAsia="Times New Roman" w:cs="Arial"/>
          <w:color w:val="000000"/>
          <w:lang w:val="en-US"/>
        </w:rPr>
        <w:t>vivo</w:t>
      </w:r>
      <w:r w:rsidRPr="00FE66D7">
        <w:rPr>
          <w:rFonts w:eastAsia="Times New Roman" w:cs="Arial"/>
          <w:color w:val="000000"/>
          <w:lang w:val="ru-RU"/>
        </w:rPr>
        <w:t xml:space="preserve"> </w:t>
      </w:r>
      <w:r w:rsidRPr="00FE66D7">
        <w:rPr>
          <w:rFonts w:eastAsia="Times New Roman" w:cs="Arial"/>
          <w:color w:val="000000"/>
          <w:lang w:eastAsia="bg-BG"/>
        </w:rPr>
        <w:t>не се очаква значително индуциране на ензими. По тази причина, е малко вероятно взаимодействие на леветирацетам с други вещества.</w:t>
      </w:r>
    </w:p>
    <w:p w14:paraId="36762B13" w14:textId="77777777" w:rsidR="00FE66D7" w:rsidRPr="00FE66D7" w:rsidRDefault="00FE66D7" w:rsidP="00FE66D7">
      <w:pPr>
        <w:spacing w:line="240" w:lineRule="auto"/>
        <w:rPr>
          <w:rFonts w:eastAsia="Times New Roman" w:cs="Arial"/>
          <w:color w:val="000000"/>
          <w:u w:val="single"/>
          <w:lang w:eastAsia="bg-BG"/>
        </w:rPr>
      </w:pPr>
    </w:p>
    <w:p w14:paraId="6A3B2E86" w14:textId="12BB4C98" w:rsidR="00FE66D7" w:rsidRPr="00FE66D7" w:rsidRDefault="00FE66D7" w:rsidP="00FE66D7">
      <w:pPr>
        <w:pStyle w:val="Heading3"/>
        <w:rPr>
          <w:rFonts w:eastAsia="Times New Roman"/>
          <w:u w:val="single"/>
        </w:rPr>
      </w:pPr>
      <w:r w:rsidRPr="00FE66D7">
        <w:rPr>
          <w:rFonts w:eastAsia="Times New Roman"/>
          <w:u w:val="single"/>
          <w:lang w:eastAsia="bg-BG"/>
        </w:rPr>
        <w:t>Елиминиране</w:t>
      </w:r>
    </w:p>
    <w:p w14:paraId="04062842" w14:textId="77777777" w:rsidR="00FE66D7" w:rsidRPr="00FE66D7" w:rsidRDefault="00FE66D7" w:rsidP="00FE66D7">
      <w:pPr>
        <w:spacing w:line="240" w:lineRule="auto"/>
        <w:rPr>
          <w:rFonts w:eastAsia="Times New Roman" w:cs="Arial"/>
          <w:color w:val="000000"/>
          <w:lang w:eastAsia="bg-BG"/>
        </w:rPr>
      </w:pPr>
    </w:p>
    <w:p w14:paraId="7B74C004" w14:textId="3601F44E"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Плазменият полуживот при възрастни е 7±1 часа и не варира в зависимост от дозата, начина на приложение или многократния прием. Средният общ телесен клирънс е 0,96 </w:t>
      </w:r>
      <w:r w:rsidRPr="00FE66D7">
        <w:rPr>
          <w:rFonts w:eastAsia="Times New Roman" w:cs="Arial"/>
          <w:color w:val="000000"/>
          <w:lang w:val="en-US"/>
        </w:rPr>
        <w:t>ml</w:t>
      </w:r>
      <w:r w:rsidRPr="00FE66D7">
        <w:rPr>
          <w:rFonts w:eastAsia="Times New Roman" w:cs="Arial"/>
          <w:color w:val="000000"/>
          <w:lang w:val="ru-RU"/>
        </w:rPr>
        <w:t>/</w:t>
      </w:r>
      <w:r w:rsidRPr="00FE66D7">
        <w:rPr>
          <w:rFonts w:eastAsia="Times New Roman" w:cs="Arial"/>
          <w:color w:val="000000"/>
          <w:lang w:val="en-US"/>
        </w:rPr>
        <w:t>min</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w:t>
      </w:r>
    </w:p>
    <w:p w14:paraId="5AEC4AE4" w14:textId="77777777" w:rsidR="00FE66D7" w:rsidRPr="00FE66D7" w:rsidRDefault="00FE66D7" w:rsidP="00FE66D7">
      <w:pPr>
        <w:spacing w:line="240" w:lineRule="auto"/>
        <w:rPr>
          <w:rFonts w:eastAsia="Times New Roman" w:cs="Arial"/>
          <w:color w:val="000000"/>
          <w:lang w:eastAsia="bg-BG"/>
        </w:rPr>
      </w:pPr>
    </w:p>
    <w:p w14:paraId="48F74487" w14:textId="6E5F5928" w:rsidR="00FE66D7" w:rsidRPr="00FE66D7" w:rsidRDefault="00FE66D7" w:rsidP="00FE66D7">
      <w:pPr>
        <w:spacing w:line="240" w:lineRule="auto"/>
        <w:rPr>
          <w:rFonts w:eastAsia="Times New Roman" w:cs="Arial"/>
        </w:rPr>
      </w:pPr>
      <w:r w:rsidRPr="00FE66D7">
        <w:rPr>
          <w:rFonts w:eastAsia="Times New Roman" w:cs="Arial"/>
          <w:color w:val="000000"/>
          <w:lang w:eastAsia="bg-BG"/>
        </w:rPr>
        <w:lastRenderedPageBreak/>
        <w:t>Основният път на екскреция е чрез урината за средно 95% от дозата (приблизително 93% от приетата доза се отделят в рамките на 48 часа). Отделянето чрез изпражненията е само 0,3% от дозата.</w:t>
      </w:r>
    </w:p>
    <w:p w14:paraId="510CB83F"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Кумулативната уринна екскреция на леветирацетам и неговия първичен метаболит е съответно 66% и 24% от дозата през първите 48 часа.</w:t>
      </w:r>
    </w:p>
    <w:p w14:paraId="64384E37" w14:textId="4EC0871B" w:rsidR="00FE66D7" w:rsidRPr="00FE66D7" w:rsidRDefault="00FE66D7" w:rsidP="00FE66D7">
      <w:pPr>
        <w:rPr>
          <w:rFonts w:eastAsia="Times New Roman" w:cs="Arial"/>
          <w:color w:val="000000"/>
          <w:lang w:eastAsia="bg-BG"/>
        </w:rPr>
      </w:pPr>
      <w:r w:rsidRPr="00FE66D7">
        <w:rPr>
          <w:rFonts w:eastAsia="Times New Roman" w:cs="Arial"/>
          <w:color w:val="000000"/>
          <w:lang w:eastAsia="bg-BG"/>
        </w:rPr>
        <w:t xml:space="preserve">Бъбречният клирънс на леветирацетам и </w:t>
      </w:r>
      <w:proofErr w:type="spellStart"/>
      <w:r w:rsidRPr="00FE66D7">
        <w:rPr>
          <w:rFonts w:eastAsia="Times New Roman" w:cs="Arial"/>
          <w:color w:val="000000"/>
          <w:lang w:val="en-US"/>
        </w:rPr>
        <w:t>ucb</w:t>
      </w:r>
      <w:proofErr w:type="spellEnd"/>
      <w:r w:rsidRPr="00FE66D7">
        <w:rPr>
          <w:rFonts w:eastAsia="Times New Roman" w:cs="Arial"/>
          <w:color w:val="000000"/>
          <w:lang w:val="ru-RU"/>
        </w:rPr>
        <w:t xml:space="preserve"> </w:t>
      </w:r>
      <w:r w:rsidRPr="00FE66D7">
        <w:rPr>
          <w:rFonts w:eastAsia="Times New Roman" w:cs="Arial"/>
          <w:color w:val="000000"/>
          <w:lang w:val="en-US"/>
        </w:rPr>
        <w:t>L</w:t>
      </w:r>
      <w:r w:rsidRPr="00FE66D7">
        <w:rPr>
          <w:rFonts w:eastAsia="Times New Roman" w:cs="Arial"/>
          <w:color w:val="000000"/>
          <w:lang w:val="ru-RU"/>
        </w:rPr>
        <w:t xml:space="preserve">057 </w:t>
      </w:r>
      <w:r w:rsidRPr="00FE66D7">
        <w:rPr>
          <w:rFonts w:eastAsia="Times New Roman" w:cs="Arial"/>
          <w:color w:val="000000"/>
          <w:lang w:eastAsia="bg-BG"/>
        </w:rPr>
        <w:t xml:space="preserve">е съответно 0,6 и 4,2 </w:t>
      </w:r>
      <w:r w:rsidRPr="00FE66D7">
        <w:rPr>
          <w:rFonts w:eastAsia="Times New Roman" w:cs="Arial"/>
          <w:color w:val="000000"/>
          <w:lang w:val="en-US"/>
        </w:rPr>
        <w:t>ml</w:t>
      </w:r>
      <w:r w:rsidRPr="00FE66D7">
        <w:rPr>
          <w:rFonts w:eastAsia="Times New Roman" w:cs="Arial"/>
          <w:color w:val="000000"/>
          <w:lang w:val="ru-RU"/>
        </w:rPr>
        <w:t>/</w:t>
      </w:r>
      <w:r w:rsidRPr="00FE66D7">
        <w:rPr>
          <w:rFonts w:eastAsia="Times New Roman" w:cs="Arial"/>
          <w:color w:val="000000"/>
          <w:lang w:val="en-US"/>
        </w:rPr>
        <w:t>min</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което показва, че леветирацетам се отделя чрез гломерулна филтрация с последваща тубулна реабсорбция и че първичният метаболит също се отделя чрез тубулна секреция в допълнение на гломерулната филтрация.</w:t>
      </w:r>
    </w:p>
    <w:p w14:paraId="4B0BEB67" w14:textId="2352AB08" w:rsidR="00FE66D7" w:rsidRPr="00FE66D7" w:rsidRDefault="00FE66D7" w:rsidP="00FE66D7">
      <w:pPr>
        <w:rPr>
          <w:rFonts w:eastAsia="Times New Roman" w:cs="Arial"/>
          <w:color w:val="000000"/>
          <w:lang w:eastAsia="bg-BG"/>
        </w:rPr>
      </w:pPr>
    </w:p>
    <w:p w14:paraId="3F67F65B" w14:textId="77777777" w:rsidR="00FE66D7" w:rsidRPr="00FE66D7" w:rsidRDefault="00FE66D7" w:rsidP="00FE66D7">
      <w:pPr>
        <w:spacing w:line="240" w:lineRule="auto"/>
        <w:rPr>
          <w:rFonts w:eastAsia="Times New Roman" w:cs="Arial"/>
        </w:rPr>
      </w:pPr>
      <w:r w:rsidRPr="00FE66D7">
        <w:rPr>
          <w:rFonts w:eastAsia="Times New Roman" w:cs="Arial"/>
          <w:color w:val="000000"/>
          <w:lang w:eastAsia="bg-BG"/>
        </w:rPr>
        <w:t>Отделянето на леветирацетам корелира е креатининовия клирънс.</w:t>
      </w:r>
    </w:p>
    <w:p w14:paraId="55A4FFE4" w14:textId="77777777" w:rsidR="00FE66D7" w:rsidRPr="00FE66D7" w:rsidRDefault="00FE66D7" w:rsidP="00FE66D7">
      <w:pPr>
        <w:spacing w:line="240" w:lineRule="auto"/>
        <w:rPr>
          <w:rFonts w:eastAsia="Times New Roman" w:cs="Arial"/>
          <w:color w:val="000000"/>
          <w:u w:val="single"/>
          <w:lang w:eastAsia="bg-BG"/>
        </w:rPr>
      </w:pPr>
    </w:p>
    <w:p w14:paraId="1262E34B" w14:textId="11B7DCF9"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Пациенти в старческа възраст</w:t>
      </w:r>
    </w:p>
    <w:p w14:paraId="611F882C" w14:textId="77777777" w:rsidR="00FE66D7" w:rsidRPr="00FE66D7" w:rsidRDefault="00FE66D7" w:rsidP="00FE66D7">
      <w:pPr>
        <w:spacing w:line="240" w:lineRule="auto"/>
        <w:rPr>
          <w:rFonts w:eastAsia="Times New Roman" w:cs="Arial"/>
          <w:color w:val="000000"/>
          <w:lang w:eastAsia="bg-BG"/>
        </w:rPr>
      </w:pPr>
    </w:p>
    <w:p w14:paraId="76B66CBD" w14:textId="35D2554F" w:rsidR="00FE66D7" w:rsidRPr="00FE66D7" w:rsidRDefault="00FE66D7" w:rsidP="00FE66D7">
      <w:pPr>
        <w:spacing w:line="240" w:lineRule="auto"/>
        <w:rPr>
          <w:rFonts w:eastAsia="Times New Roman" w:cs="Arial"/>
        </w:rPr>
      </w:pPr>
      <w:r w:rsidRPr="00FE66D7">
        <w:rPr>
          <w:rFonts w:eastAsia="Times New Roman" w:cs="Arial"/>
          <w:color w:val="000000"/>
          <w:lang w:eastAsia="bg-BG"/>
        </w:rPr>
        <w:t>При пациенти в старческа възраст полуживотът е увеличен с около 40% (10 до 11 часа). Това е свързано с намаляване на бъбречната функция при тази популация (вж. точка 4.2).</w:t>
      </w:r>
    </w:p>
    <w:p w14:paraId="546EB2E8" w14:textId="77777777" w:rsidR="00FE66D7" w:rsidRPr="00FE66D7" w:rsidRDefault="00FE66D7" w:rsidP="00FE66D7">
      <w:pPr>
        <w:spacing w:line="240" w:lineRule="auto"/>
        <w:rPr>
          <w:rFonts w:eastAsia="Times New Roman" w:cs="Arial"/>
          <w:color w:val="000000"/>
          <w:u w:val="single"/>
          <w:lang w:eastAsia="bg-BG"/>
        </w:rPr>
      </w:pPr>
    </w:p>
    <w:p w14:paraId="4F768D37" w14:textId="53AAA452"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Бъбречно увреждане</w:t>
      </w:r>
    </w:p>
    <w:p w14:paraId="0F7341A9" w14:textId="77777777" w:rsidR="00FE66D7" w:rsidRPr="00FE66D7" w:rsidRDefault="00FE66D7" w:rsidP="00FE66D7">
      <w:pPr>
        <w:spacing w:line="240" w:lineRule="auto"/>
        <w:rPr>
          <w:rFonts w:eastAsia="Times New Roman" w:cs="Arial"/>
          <w:color w:val="000000"/>
          <w:lang w:eastAsia="bg-BG"/>
        </w:rPr>
      </w:pPr>
    </w:p>
    <w:p w14:paraId="121448E1" w14:textId="77FF1270" w:rsidR="00FE66D7" w:rsidRPr="00FE66D7" w:rsidRDefault="00FE66D7" w:rsidP="00FE66D7">
      <w:pPr>
        <w:spacing w:line="240" w:lineRule="auto"/>
        <w:rPr>
          <w:rFonts w:eastAsia="Times New Roman" w:cs="Arial"/>
        </w:rPr>
      </w:pPr>
      <w:r w:rsidRPr="00FE66D7">
        <w:rPr>
          <w:rFonts w:eastAsia="Times New Roman" w:cs="Arial"/>
          <w:color w:val="000000"/>
          <w:lang w:eastAsia="bg-BG"/>
        </w:rPr>
        <w:t>Реалният телесен клирънс на леветирацетам и неговия първичен метаболит корелира с креатининовия клирънс. По тази причина се препоръчва адаптиране на поддържащата дневна доза на леветирацетам на базата на креатининовия клирънс при пациенти със средно до тежко бъбречно увреждане (вж. точка 4.2).</w:t>
      </w:r>
    </w:p>
    <w:p w14:paraId="7A0A4B7E" w14:textId="77777777" w:rsidR="00FE66D7" w:rsidRPr="00FE66D7" w:rsidRDefault="00FE66D7" w:rsidP="00FE66D7">
      <w:pPr>
        <w:spacing w:line="240" w:lineRule="auto"/>
        <w:rPr>
          <w:rFonts w:eastAsia="Times New Roman" w:cs="Arial"/>
          <w:color w:val="000000"/>
          <w:lang w:eastAsia="bg-BG"/>
        </w:rPr>
      </w:pPr>
    </w:p>
    <w:p w14:paraId="2F3CA7AC" w14:textId="6366CE6E" w:rsidR="00FE66D7" w:rsidRPr="00FE66D7" w:rsidRDefault="00FE66D7" w:rsidP="00FE66D7">
      <w:pPr>
        <w:spacing w:line="240" w:lineRule="auto"/>
        <w:rPr>
          <w:rFonts w:eastAsia="Times New Roman" w:cs="Arial"/>
        </w:rPr>
      </w:pPr>
      <w:r w:rsidRPr="00FE66D7">
        <w:rPr>
          <w:rFonts w:eastAsia="Times New Roman" w:cs="Arial"/>
          <w:color w:val="000000"/>
          <w:lang w:eastAsia="bg-BG"/>
        </w:rPr>
        <w:t>При пациенти в краен стадий на бъбречна недостатъчност с анурия, полуживотът е приблизително 25 и 3,1 часа съответно през интердиапизния и интрадиализния период. По време на обичайна четиричасова диализна процедура фракционно се отделят 51% от приетия леветирацетам.</w:t>
      </w:r>
    </w:p>
    <w:p w14:paraId="671D2023" w14:textId="77777777" w:rsidR="00FE66D7" w:rsidRPr="00FE66D7" w:rsidRDefault="00FE66D7" w:rsidP="00FE66D7">
      <w:pPr>
        <w:spacing w:line="240" w:lineRule="auto"/>
        <w:rPr>
          <w:rFonts w:eastAsia="Times New Roman" w:cs="Arial"/>
          <w:color w:val="000000"/>
          <w:u w:val="single"/>
          <w:lang w:eastAsia="bg-BG"/>
        </w:rPr>
      </w:pPr>
    </w:p>
    <w:p w14:paraId="44F93359" w14:textId="59C14912"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Чернодробно увреждане</w:t>
      </w:r>
    </w:p>
    <w:p w14:paraId="32B1601F" w14:textId="77777777" w:rsidR="00FE66D7" w:rsidRPr="00FE66D7" w:rsidRDefault="00FE66D7" w:rsidP="00FE66D7">
      <w:pPr>
        <w:spacing w:line="240" w:lineRule="auto"/>
        <w:rPr>
          <w:rFonts w:eastAsia="Times New Roman" w:cs="Arial"/>
          <w:color w:val="000000"/>
          <w:lang w:eastAsia="bg-BG"/>
        </w:rPr>
      </w:pPr>
    </w:p>
    <w:p w14:paraId="2733AA36" w14:textId="1C598E36" w:rsidR="00FE66D7" w:rsidRPr="00FE66D7" w:rsidRDefault="00FE66D7" w:rsidP="00FE66D7">
      <w:pPr>
        <w:spacing w:line="240" w:lineRule="auto"/>
        <w:rPr>
          <w:rFonts w:eastAsia="Times New Roman" w:cs="Arial"/>
        </w:rPr>
      </w:pPr>
      <w:r w:rsidRPr="00FE66D7">
        <w:rPr>
          <w:rFonts w:eastAsia="Times New Roman" w:cs="Arial"/>
          <w:color w:val="000000"/>
          <w:lang w:eastAsia="bg-BG"/>
        </w:rPr>
        <w:t>При пациенти с лека до умерена степен на чернодробно увреждане не се наблюдава значителна промяна в клирънса на леветирацетам. При повечето пациенти с тежка степен на чернодробно увреждане, клирънсът на леветирацетам е намален с повече от 50% поради съпътстващо бъбречно увреждане (вж. точка 4.2).</w:t>
      </w:r>
    </w:p>
    <w:p w14:paraId="26761D94" w14:textId="77777777" w:rsidR="00FE66D7" w:rsidRPr="00FE66D7" w:rsidRDefault="00FE66D7" w:rsidP="00FE66D7">
      <w:pPr>
        <w:spacing w:line="240" w:lineRule="auto"/>
        <w:rPr>
          <w:rFonts w:eastAsia="Times New Roman" w:cs="Arial"/>
          <w:color w:val="000000"/>
          <w:u w:val="single"/>
          <w:lang w:eastAsia="bg-BG"/>
        </w:rPr>
      </w:pPr>
    </w:p>
    <w:p w14:paraId="04159B09" w14:textId="2EF274C3"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Педиатрична популапия</w:t>
      </w:r>
    </w:p>
    <w:p w14:paraId="63E04CE2" w14:textId="77777777" w:rsidR="00FE66D7" w:rsidRPr="00FE66D7" w:rsidRDefault="00FE66D7" w:rsidP="00FE66D7">
      <w:pPr>
        <w:spacing w:line="240" w:lineRule="auto"/>
        <w:rPr>
          <w:rFonts w:eastAsia="Times New Roman" w:cs="Arial"/>
          <w:color w:val="000000"/>
          <w:u w:val="single"/>
          <w:lang w:eastAsia="bg-BG"/>
        </w:rPr>
      </w:pPr>
    </w:p>
    <w:p w14:paraId="4BE94B56" w14:textId="0CF66729"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t>Деца (от 4 до 12 години)</w:t>
      </w:r>
    </w:p>
    <w:p w14:paraId="055E47D5" w14:textId="77777777" w:rsidR="00FE66D7" w:rsidRPr="00FE66D7" w:rsidRDefault="00FE66D7" w:rsidP="00FE66D7">
      <w:pPr>
        <w:spacing w:line="240" w:lineRule="auto"/>
        <w:rPr>
          <w:rFonts w:eastAsia="Times New Roman" w:cs="Arial"/>
          <w:color w:val="000000"/>
          <w:lang w:eastAsia="bg-BG"/>
        </w:rPr>
      </w:pPr>
    </w:p>
    <w:p w14:paraId="4FFBFC61" w14:textId="7EE07E68"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След прием на еднократна доза (20 </w:t>
      </w:r>
      <w:r w:rsidRPr="00FE66D7">
        <w:rPr>
          <w:rFonts w:eastAsia="Times New Roman" w:cs="Arial"/>
          <w:color w:val="000000"/>
          <w:lang w:val="en-US"/>
        </w:rPr>
        <w:t>mg</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от деца (6-12 години) с епилепсия, полуживотът на леветирацетам е 6,0 часа. Реалният коригиран спрямо телесното тегло клирънс е приблизително с 30% по-висок от този на възрастни с епилепсия.</w:t>
      </w:r>
    </w:p>
    <w:p w14:paraId="3EB9F45E" w14:textId="77777777" w:rsidR="00FE66D7" w:rsidRPr="00FE66D7" w:rsidRDefault="00FE66D7" w:rsidP="00FE66D7">
      <w:pPr>
        <w:spacing w:line="240" w:lineRule="auto"/>
        <w:rPr>
          <w:rFonts w:eastAsia="Times New Roman" w:cs="Arial"/>
          <w:color w:val="000000"/>
          <w:lang w:eastAsia="bg-BG"/>
        </w:rPr>
      </w:pPr>
    </w:p>
    <w:p w14:paraId="110E02C9" w14:textId="13E4771B"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След многократно перорално приложение (20 до 60 </w:t>
      </w:r>
      <w:r w:rsidRPr="00FE66D7">
        <w:rPr>
          <w:rFonts w:eastAsia="Times New Roman" w:cs="Arial"/>
          <w:color w:val="000000"/>
          <w:lang w:val="en-US"/>
        </w:rPr>
        <w:t>mg</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w:t>
      </w:r>
      <w:r w:rsidRPr="00FE66D7">
        <w:rPr>
          <w:rFonts w:eastAsia="Times New Roman" w:cs="Arial"/>
          <w:color w:val="000000"/>
          <w:lang w:eastAsia="bg-BG"/>
        </w:rPr>
        <w:t xml:space="preserve">ден) при деца с епилепсия (4-12 години), леветирацетам се абсорбира бързо. Пикови плазмени концентрации се достигат 0,5 до 1 час след приема. Наблюдавано е линейно и пропорционално на дозата повишаване за пиковите плазмени концентрации и площта под кривата. Полуживотът е около 5 часа. Реалният телесен клирънс е 1,1 </w:t>
      </w:r>
      <w:r w:rsidRPr="00FE66D7">
        <w:rPr>
          <w:rFonts w:eastAsia="Times New Roman" w:cs="Arial"/>
          <w:color w:val="000000"/>
          <w:lang w:val="en-US"/>
        </w:rPr>
        <w:t>ml</w:t>
      </w:r>
      <w:r w:rsidRPr="00FE66D7">
        <w:rPr>
          <w:rFonts w:eastAsia="Times New Roman" w:cs="Arial"/>
          <w:color w:val="000000"/>
          <w:lang w:val="ru-RU"/>
        </w:rPr>
        <w:t>/</w:t>
      </w:r>
      <w:r w:rsidRPr="00FE66D7">
        <w:rPr>
          <w:rFonts w:eastAsia="Times New Roman" w:cs="Arial"/>
          <w:color w:val="000000"/>
          <w:lang w:val="en-US"/>
        </w:rPr>
        <w:t>min</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w:t>
      </w:r>
    </w:p>
    <w:p w14:paraId="58E99420" w14:textId="77777777" w:rsidR="00FE66D7" w:rsidRPr="00FE66D7" w:rsidRDefault="00FE66D7" w:rsidP="00FE66D7">
      <w:pPr>
        <w:spacing w:line="240" w:lineRule="auto"/>
        <w:rPr>
          <w:rFonts w:eastAsia="Times New Roman" w:cs="Arial"/>
          <w:color w:val="000000"/>
          <w:u w:val="single"/>
          <w:lang w:eastAsia="bg-BG"/>
        </w:rPr>
      </w:pPr>
    </w:p>
    <w:p w14:paraId="618DA1EC" w14:textId="7BBB3B94" w:rsidR="00FE66D7" w:rsidRPr="00FE66D7" w:rsidRDefault="00FE66D7" w:rsidP="00FE66D7">
      <w:pPr>
        <w:spacing w:line="240" w:lineRule="auto"/>
        <w:rPr>
          <w:rFonts w:eastAsia="Times New Roman" w:cs="Arial"/>
        </w:rPr>
      </w:pPr>
      <w:r w:rsidRPr="00FE66D7">
        <w:rPr>
          <w:rFonts w:eastAsia="Times New Roman" w:cs="Arial"/>
          <w:color w:val="000000"/>
          <w:u w:val="single"/>
          <w:lang w:eastAsia="bg-BG"/>
        </w:rPr>
        <w:lastRenderedPageBreak/>
        <w:t>Новородени и деца (от 1 месец до 4 години)</w:t>
      </w:r>
    </w:p>
    <w:p w14:paraId="56C9186F" w14:textId="77777777" w:rsidR="00FE66D7" w:rsidRPr="00FE66D7" w:rsidRDefault="00FE66D7" w:rsidP="00FE66D7">
      <w:pPr>
        <w:spacing w:line="240" w:lineRule="auto"/>
        <w:rPr>
          <w:rFonts w:eastAsia="Times New Roman" w:cs="Arial"/>
          <w:color w:val="000000"/>
          <w:lang w:eastAsia="bg-BG"/>
        </w:rPr>
      </w:pPr>
    </w:p>
    <w:p w14:paraId="1189D0D3" w14:textId="0ADCE1A4" w:rsidR="00FE66D7" w:rsidRPr="00FE66D7" w:rsidRDefault="00FE66D7" w:rsidP="00FE66D7">
      <w:pPr>
        <w:spacing w:line="240" w:lineRule="auto"/>
        <w:rPr>
          <w:rFonts w:eastAsia="Times New Roman" w:cs="Arial"/>
        </w:rPr>
      </w:pPr>
      <w:r w:rsidRPr="00FE66D7">
        <w:rPr>
          <w:rFonts w:eastAsia="Times New Roman" w:cs="Arial"/>
          <w:color w:val="000000"/>
          <w:lang w:eastAsia="bg-BG"/>
        </w:rPr>
        <w:t xml:space="preserve">След прилагането на еднократна доза (20 </w:t>
      </w:r>
      <w:r w:rsidRPr="00FE66D7">
        <w:rPr>
          <w:rFonts w:eastAsia="Times New Roman" w:cs="Arial"/>
          <w:color w:val="000000"/>
          <w:lang w:val="en-US"/>
        </w:rPr>
        <w:t>mg</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 xml:space="preserve">от 100 </w:t>
      </w:r>
      <w:r w:rsidRPr="00FE66D7">
        <w:rPr>
          <w:rFonts w:eastAsia="Times New Roman" w:cs="Arial"/>
          <w:color w:val="000000"/>
          <w:lang w:val="en-US"/>
        </w:rPr>
        <w:t>mg</w:t>
      </w:r>
      <w:r w:rsidRPr="00FE66D7">
        <w:rPr>
          <w:rFonts w:eastAsia="Times New Roman" w:cs="Arial"/>
          <w:color w:val="000000"/>
          <w:lang w:val="ru-RU"/>
        </w:rPr>
        <w:t>/</w:t>
      </w:r>
      <w:r w:rsidRPr="00FE66D7">
        <w:rPr>
          <w:rFonts w:eastAsia="Times New Roman" w:cs="Arial"/>
          <w:color w:val="000000"/>
          <w:lang w:val="en-US"/>
        </w:rPr>
        <w:t>ml</w:t>
      </w:r>
      <w:r w:rsidRPr="00FE66D7">
        <w:rPr>
          <w:rFonts w:eastAsia="Times New Roman" w:cs="Arial"/>
          <w:color w:val="000000"/>
          <w:lang w:val="ru-RU"/>
        </w:rPr>
        <w:t xml:space="preserve"> </w:t>
      </w:r>
      <w:r w:rsidRPr="00FE66D7">
        <w:rPr>
          <w:rFonts w:eastAsia="Times New Roman" w:cs="Arial"/>
          <w:color w:val="000000"/>
          <w:lang w:eastAsia="bg-BG"/>
        </w:rPr>
        <w:t xml:space="preserve">перорален разтвор при деца (от 1 месец до 4 години) с епилепсия, леветирацетам се абсорбира бързо, като пикови плазмени концентрации се достигат 1 час след приема. Фармакокинетичните резултати показват, че полуживотът е по-кратък (5,3 часа) в сравнение с този при възрастни (7,2 часа), а реалният телесен клирънс е по-ускорен (1,5 </w:t>
      </w:r>
      <w:r w:rsidRPr="00FE66D7">
        <w:rPr>
          <w:rFonts w:eastAsia="Times New Roman" w:cs="Arial"/>
          <w:color w:val="000000"/>
          <w:lang w:val="en-US"/>
        </w:rPr>
        <w:t>ml</w:t>
      </w:r>
      <w:r w:rsidRPr="00FE66D7">
        <w:rPr>
          <w:rFonts w:eastAsia="Times New Roman" w:cs="Arial"/>
          <w:color w:val="000000"/>
          <w:lang w:val="ru-RU"/>
        </w:rPr>
        <w:t>/</w:t>
      </w:r>
      <w:r w:rsidRPr="00FE66D7">
        <w:rPr>
          <w:rFonts w:eastAsia="Times New Roman" w:cs="Arial"/>
          <w:color w:val="000000"/>
          <w:lang w:val="en-US"/>
        </w:rPr>
        <w:t>min</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 xml:space="preserve">) </w:t>
      </w:r>
      <w:r w:rsidRPr="00FE66D7">
        <w:rPr>
          <w:rFonts w:eastAsia="Times New Roman" w:cs="Arial"/>
          <w:color w:val="000000"/>
          <w:lang w:eastAsia="bg-BG"/>
        </w:rPr>
        <w:t xml:space="preserve">в сравнение с този при възрастни (0,96 </w:t>
      </w:r>
      <w:r w:rsidRPr="00FE66D7">
        <w:rPr>
          <w:rFonts w:eastAsia="Times New Roman" w:cs="Arial"/>
          <w:color w:val="000000"/>
          <w:lang w:val="en-US"/>
        </w:rPr>
        <w:t>ml</w:t>
      </w:r>
      <w:r w:rsidRPr="00FE66D7">
        <w:rPr>
          <w:rFonts w:eastAsia="Times New Roman" w:cs="Arial"/>
          <w:color w:val="000000"/>
          <w:lang w:val="ru-RU"/>
        </w:rPr>
        <w:t>/</w:t>
      </w:r>
      <w:r w:rsidRPr="00FE66D7">
        <w:rPr>
          <w:rFonts w:eastAsia="Times New Roman" w:cs="Arial"/>
          <w:color w:val="000000"/>
          <w:lang w:val="en-US"/>
        </w:rPr>
        <w:t>min</w:t>
      </w:r>
      <w:r w:rsidRPr="00FE66D7">
        <w:rPr>
          <w:rFonts w:eastAsia="Times New Roman" w:cs="Arial"/>
          <w:color w:val="000000"/>
          <w:lang w:val="ru-RU"/>
        </w:rPr>
        <w:t>/</w:t>
      </w:r>
      <w:r w:rsidRPr="00FE66D7">
        <w:rPr>
          <w:rFonts w:eastAsia="Times New Roman" w:cs="Arial"/>
          <w:color w:val="000000"/>
          <w:lang w:val="en-US"/>
        </w:rPr>
        <w:t>kg</w:t>
      </w:r>
      <w:r w:rsidRPr="00FE66D7">
        <w:rPr>
          <w:rFonts w:eastAsia="Times New Roman" w:cs="Arial"/>
          <w:color w:val="000000"/>
          <w:lang w:val="ru-RU"/>
        </w:rPr>
        <w:t>).</w:t>
      </w:r>
    </w:p>
    <w:p w14:paraId="6C8A25E6" w14:textId="77777777" w:rsidR="00FE66D7" w:rsidRPr="00FE66D7" w:rsidRDefault="00FE66D7" w:rsidP="00FE66D7">
      <w:pPr>
        <w:spacing w:line="240" w:lineRule="auto"/>
        <w:rPr>
          <w:rFonts w:eastAsia="Times New Roman" w:cs="Arial"/>
          <w:color w:val="000000"/>
          <w:lang w:eastAsia="bg-BG"/>
        </w:rPr>
      </w:pPr>
    </w:p>
    <w:p w14:paraId="57F2F005" w14:textId="1DEEC862" w:rsidR="00FE66D7" w:rsidRPr="00FE66D7" w:rsidRDefault="00FE66D7" w:rsidP="00FE66D7">
      <w:pPr>
        <w:spacing w:line="240" w:lineRule="auto"/>
        <w:rPr>
          <w:rFonts w:eastAsia="Times New Roman" w:cs="Arial"/>
          <w:color w:val="000000"/>
          <w:lang w:eastAsia="bg-BG"/>
        </w:rPr>
      </w:pPr>
      <w:r w:rsidRPr="00FE66D7">
        <w:rPr>
          <w:rFonts w:eastAsia="Times New Roman" w:cs="Arial"/>
          <w:color w:val="000000"/>
          <w:lang w:eastAsia="bg-BG"/>
        </w:rPr>
        <w:t xml:space="preserve">В популационния фармакокинетичен анализ, проведен при пациенти от 1-месечна до 16- годишна възраст, </w:t>
      </w:r>
    </w:p>
    <w:p w14:paraId="0183B53E" w14:textId="63448D70" w:rsidR="00FE66D7" w:rsidRPr="00FE66D7" w:rsidRDefault="00FE66D7" w:rsidP="00FE66D7">
      <w:pPr>
        <w:spacing w:line="240" w:lineRule="auto"/>
        <w:rPr>
          <w:rFonts w:eastAsia="Times New Roman" w:cs="Arial"/>
          <w:color w:val="000000"/>
          <w:lang w:eastAsia="bg-BG"/>
        </w:rPr>
      </w:pPr>
      <w:r w:rsidRPr="00FE66D7">
        <w:rPr>
          <w:rFonts w:eastAsia="Times New Roman" w:cs="Arial"/>
          <w:color w:val="000000"/>
          <w:lang w:eastAsia="bg-BG"/>
        </w:rPr>
        <w:t xml:space="preserve">телесното тегло е значимо свързано с реалния телесен клирънс (клирънсът се повишава с повишаване на телесното тегло) и телесния обем на разпределение. Възрастта също оказва влияние върху двата параметъра. </w:t>
      </w:r>
    </w:p>
    <w:p w14:paraId="6F1CEC51" w14:textId="31FD737F" w:rsidR="00FE66D7" w:rsidRPr="00FE66D7" w:rsidRDefault="00FE66D7" w:rsidP="00FE66D7">
      <w:pPr>
        <w:spacing w:line="240" w:lineRule="auto"/>
        <w:rPr>
          <w:rFonts w:eastAsia="Times New Roman" w:cs="Arial"/>
        </w:rPr>
      </w:pPr>
      <w:r w:rsidRPr="00FE66D7">
        <w:rPr>
          <w:rFonts w:eastAsia="Times New Roman" w:cs="Arial"/>
          <w:color w:val="000000"/>
          <w:lang w:eastAsia="bg-BG"/>
        </w:rPr>
        <w:t>Този ефект е изразен при новородените и намалява с увеличаване на възрастта, като става незначителен около 4-годишна възраст.</w:t>
      </w:r>
    </w:p>
    <w:p w14:paraId="402AC990" w14:textId="77777777" w:rsidR="00FE66D7" w:rsidRPr="00FE66D7" w:rsidRDefault="00FE66D7" w:rsidP="00FE66D7">
      <w:pPr>
        <w:rPr>
          <w:rFonts w:eastAsia="Times New Roman" w:cs="Arial"/>
          <w:color w:val="000000"/>
          <w:lang w:eastAsia="bg-BG"/>
        </w:rPr>
      </w:pPr>
    </w:p>
    <w:p w14:paraId="357818DD" w14:textId="21A93679" w:rsidR="00FE66D7" w:rsidRDefault="00FE66D7" w:rsidP="00FE66D7">
      <w:pPr>
        <w:rPr>
          <w:rFonts w:eastAsia="Times New Roman" w:cs="Arial"/>
          <w:color w:val="000000"/>
          <w:lang w:eastAsia="bg-BG"/>
        </w:rPr>
      </w:pPr>
      <w:r w:rsidRPr="00FE66D7">
        <w:rPr>
          <w:rFonts w:eastAsia="Times New Roman" w:cs="Arial"/>
          <w:color w:val="000000"/>
          <w:lang w:eastAsia="bg-BG"/>
        </w:rPr>
        <w:t>В двата популационни фармакокинетични анализа е отбелязано около 20% нарастване на реалния телесен клирънс на леветирацетам при съвместно прилагане с ензим-индуциращите</w:t>
      </w:r>
      <w:r w:rsidRPr="00FE66D7">
        <w:rPr>
          <w:rFonts w:eastAsia="Times New Roman" w:cs="Arial"/>
          <w:i/>
          <w:iCs/>
          <w:color w:val="000000"/>
          <w:lang w:eastAsia="bg-BG"/>
        </w:rPr>
        <w:t xml:space="preserve"> </w:t>
      </w:r>
      <w:r w:rsidRPr="00FE66D7">
        <w:rPr>
          <w:rFonts w:eastAsia="Times New Roman" w:cs="Arial"/>
          <w:color w:val="000000"/>
          <w:lang w:eastAsia="bg-BG"/>
        </w:rPr>
        <w:t>антиепилептични лекарства.</w:t>
      </w:r>
    </w:p>
    <w:p w14:paraId="739B918D" w14:textId="77777777" w:rsidR="00FE66D7" w:rsidRPr="00FE66D7" w:rsidRDefault="00FE66D7" w:rsidP="00FE66D7"/>
    <w:p w14:paraId="028E658A" w14:textId="322BC702" w:rsidR="00395555" w:rsidRDefault="002C50EE" w:rsidP="008A6AF2">
      <w:pPr>
        <w:pStyle w:val="Heading2"/>
      </w:pPr>
      <w:r>
        <w:t>5.3. Предклинични данни за безопасност</w:t>
      </w:r>
    </w:p>
    <w:p w14:paraId="547E6A12" w14:textId="10B82649" w:rsidR="00FE66D7" w:rsidRDefault="00FE66D7" w:rsidP="00FE66D7"/>
    <w:p w14:paraId="0906C68B" w14:textId="77777777"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генотоксичност и карциногенен потенциал. Нежелани лекарствени реакции, които не са наблюдавани при клиничните проучвания, но са установени при плъхове и в по-малка степен при мишки, при нива подобни на тези, прилагани при хора и с възможна връзка с клиничната употреба, са чернодробни промени, показващи адаптивния отговор като нарастване на теглото и центрилобуларна хипертрофия, мастна инфилтрация и повишаване на чернодробните ензими в плазмата.</w:t>
      </w:r>
    </w:p>
    <w:p w14:paraId="601C888C" w14:textId="77777777" w:rsidR="00FE66D7" w:rsidRPr="00FE66D7" w:rsidRDefault="00FE66D7" w:rsidP="00FE66D7">
      <w:pPr>
        <w:spacing w:line="240" w:lineRule="auto"/>
        <w:rPr>
          <w:rFonts w:eastAsia="Times New Roman" w:cs="Arial"/>
          <w:color w:val="000000"/>
          <w:szCs w:val="20"/>
          <w:lang w:eastAsia="bg-BG"/>
        </w:rPr>
      </w:pPr>
    </w:p>
    <w:p w14:paraId="63FB8149" w14:textId="6907823F"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Не са наблюдавани нежелани реакции по отношение на мъжкия и женския фертилитет или репродукционната способност при плъхове в дози до 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 xml:space="preserve">/ден (х 6 </w:t>
      </w:r>
      <w:r w:rsidRPr="00FE66D7">
        <w:rPr>
          <w:rFonts w:eastAsia="Times New Roman" w:cs="Arial"/>
          <w:color w:val="000000"/>
          <w:szCs w:val="20"/>
          <w:lang w:val="en-US"/>
        </w:rPr>
        <w:t>MRHD</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на 1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m</w:t>
      </w:r>
      <w:r w:rsidRPr="00FE66D7">
        <w:rPr>
          <w:rFonts w:eastAsia="Times New Roman" w:cs="Arial"/>
          <w:color w:val="000000"/>
          <w:szCs w:val="20"/>
          <w:vertAlign w:val="superscript"/>
          <w:lang w:val="ru-RU"/>
        </w:rPr>
        <w:t xml:space="preserve">2 </w:t>
      </w:r>
      <w:r w:rsidRPr="00FE66D7">
        <w:rPr>
          <w:rFonts w:eastAsia="Times New Roman" w:cs="Arial"/>
          <w:color w:val="000000"/>
          <w:szCs w:val="20"/>
          <w:lang w:eastAsia="bg-BG"/>
        </w:rPr>
        <w:t xml:space="preserve">или базата на експозицията) при родителите и </w:t>
      </w:r>
      <w:r w:rsidRPr="00FE66D7">
        <w:rPr>
          <w:rFonts w:eastAsia="Times New Roman" w:cs="Arial"/>
          <w:color w:val="000000"/>
          <w:szCs w:val="20"/>
          <w:lang w:val="en-US"/>
        </w:rPr>
        <w:t>F</w:t>
      </w:r>
      <w:r w:rsidRPr="00FE66D7">
        <w:rPr>
          <w:rFonts w:eastAsia="Times New Roman" w:cs="Arial"/>
          <w:color w:val="000000"/>
          <w:szCs w:val="20"/>
          <w:lang w:val="ru-RU"/>
        </w:rPr>
        <w:t xml:space="preserve">1 </w:t>
      </w:r>
      <w:r w:rsidRPr="00FE66D7">
        <w:rPr>
          <w:rFonts w:eastAsia="Times New Roman" w:cs="Arial"/>
          <w:color w:val="000000"/>
          <w:szCs w:val="20"/>
          <w:lang w:eastAsia="bg-BG"/>
        </w:rPr>
        <w:t>поколение.</w:t>
      </w:r>
    </w:p>
    <w:p w14:paraId="39E388E5" w14:textId="77777777" w:rsidR="00FE66D7" w:rsidRPr="00FE66D7" w:rsidRDefault="00FE66D7" w:rsidP="00FE66D7">
      <w:pPr>
        <w:spacing w:line="240" w:lineRule="auto"/>
        <w:rPr>
          <w:rFonts w:eastAsia="Times New Roman" w:cs="Arial"/>
          <w:color w:val="000000"/>
          <w:szCs w:val="20"/>
          <w:lang w:eastAsia="bg-BG"/>
        </w:rPr>
      </w:pPr>
    </w:p>
    <w:p w14:paraId="429BAF9A" w14:textId="720B630B"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Проведени са две ембрио-фетални развойни (ЕФР) проучвания при плъхове с 400,1200 и 3 600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 xml:space="preserve">/ден. При 3 600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 xml:space="preserve">/ден в само едно от 2 ЕФР проучвания е имало слабо намаление на теглото на зародиша, свързано с гранично повишение на малформациите. Липсват ефекти върху смъртността на ембрионите и повишение на честотата на малформациите. НННР (Нивото на ненаблюдавани нежелани реакции) при бременни женски плъхове е било 3 600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 xml:space="preserve">/ден (х 12 максималната препоръчана дневна доза при хора- МПДХ- на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m</w:t>
      </w:r>
      <w:r w:rsidRPr="00FE66D7">
        <w:rPr>
          <w:rFonts w:eastAsia="Times New Roman" w:cs="Arial"/>
          <w:color w:val="000000"/>
          <w:szCs w:val="20"/>
          <w:vertAlign w:val="superscript"/>
          <w:lang w:val="ru-RU"/>
        </w:rPr>
        <w:t>2</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база) и 1 200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/ден при зародишите.</w:t>
      </w:r>
    </w:p>
    <w:p w14:paraId="04169980" w14:textId="77777777" w:rsidR="00FE66D7" w:rsidRPr="00FE66D7" w:rsidRDefault="00FE66D7" w:rsidP="00FE66D7">
      <w:pPr>
        <w:spacing w:line="240" w:lineRule="auto"/>
        <w:rPr>
          <w:rFonts w:eastAsia="Times New Roman" w:cs="Arial"/>
          <w:color w:val="000000"/>
          <w:szCs w:val="20"/>
          <w:lang w:eastAsia="bg-BG"/>
        </w:rPr>
      </w:pPr>
    </w:p>
    <w:p w14:paraId="69AC77DE" w14:textId="4AB7B138"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Проведени са четири ембрио-фетални развойни проучвания при зайци, покриващи дози от 200, 600,800,1 200 </w:t>
      </w:r>
      <w:r w:rsidRPr="00FE66D7">
        <w:rPr>
          <w:rFonts w:eastAsia="Times New Roman" w:cs="Arial"/>
          <w:i/>
          <w:iCs/>
          <w:color w:val="000000"/>
          <w:szCs w:val="20"/>
          <w:lang w:eastAsia="bg-BG"/>
        </w:rPr>
        <w:t>и</w:t>
      </w:r>
      <w:r w:rsidRPr="00FE66D7">
        <w:rPr>
          <w:rFonts w:eastAsia="Times New Roman" w:cs="Arial"/>
          <w:color w:val="000000"/>
          <w:szCs w:val="20"/>
          <w:lang w:eastAsia="bg-BG"/>
        </w:rPr>
        <w:t xml:space="preserve"> 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eastAsia="bg-BG"/>
        </w:rPr>
        <w:t xml:space="preserve">/ден. Доза от 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е предизвикала забележима токсичност при майката и намаление на теглото на плода, свързано с повишен риск от плод със сърдечно- съдови/скелетни аномалии. НННР е било &lt;200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ден при майката и </w:t>
      </w:r>
      <w:r w:rsidRPr="00FE66D7">
        <w:rPr>
          <w:rFonts w:eastAsia="Times New Roman" w:cs="Arial"/>
          <w:color w:val="000000"/>
          <w:szCs w:val="20"/>
          <w:lang w:val="ru-RU"/>
        </w:rPr>
        <w:t>200/</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ден при плода (равно на МПДХ на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m</w:t>
      </w:r>
      <w:r w:rsidRPr="00FE66D7">
        <w:rPr>
          <w:rFonts w:eastAsia="Times New Roman" w:cs="Arial"/>
          <w:color w:val="000000"/>
          <w:szCs w:val="20"/>
          <w:vertAlign w:val="superscript"/>
          <w:lang w:val="ru-RU"/>
        </w:rPr>
        <w:t>2</w:t>
      </w:r>
      <w:r w:rsidRPr="00FE66D7">
        <w:rPr>
          <w:rFonts w:eastAsia="Times New Roman" w:cs="Arial"/>
          <w:color w:val="000000"/>
          <w:szCs w:val="20"/>
          <w:lang w:val="ru-RU"/>
        </w:rPr>
        <w:t xml:space="preserve"> </w:t>
      </w:r>
      <w:r w:rsidRPr="00FE66D7">
        <w:rPr>
          <w:rFonts w:eastAsia="Times New Roman" w:cs="Arial"/>
          <w:color w:val="000000"/>
          <w:szCs w:val="20"/>
          <w:lang w:eastAsia="bg-BG"/>
        </w:rPr>
        <w:t>база).</w:t>
      </w:r>
    </w:p>
    <w:p w14:paraId="187F6015" w14:textId="77777777" w:rsidR="00FE66D7" w:rsidRPr="00FE66D7" w:rsidRDefault="00FE66D7" w:rsidP="00FE66D7">
      <w:pPr>
        <w:spacing w:line="240" w:lineRule="auto"/>
        <w:rPr>
          <w:rFonts w:eastAsia="Times New Roman" w:cs="Arial"/>
          <w:sz w:val="28"/>
          <w:szCs w:val="24"/>
        </w:rPr>
      </w:pPr>
      <w:r w:rsidRPr="00FE66D7">
        <w:rPr>
          <w:rFonts w:eastAsia="Times New Roman" w:cs="Arial"/>
          <w:color w:val="000000"/>
          <w:szCs w:val="20"/>
          <w:lang w:eastAsia="bg-BG"/>
        </w:rPr>
        <w:t xml:space="preserve">Пери- и постнатално развойно проучване е проведено при плъхове с дози леветирацетам от 70, 350 и 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ден. НННР е </w:t>
      </w:r>
      <w:r w:rsidRPr="00FE66D7">
        <w:rPr>
          <w:rFonts w:eastAsia="Times New Roman" w:cs="Arial"/>
          <w:color w:val="000000"/>
          <w:szCs w:val="20"/>
          <w:lang w:val="ru-RU"/>
        </w:rPr>
        <w:t>≥</w:t>
      </w:r>
      <w:r w:rsidRPr="00FE66D7">
        <w:rPr>
          <w:rFonts w:eastAsia="Times New Roman" w:cs="Arial"/>
          <w:color w:val="000000"/>
          <w:szCs w:val="20"/>
          <w:lang w:eastAsia="bg-BG"/>
        </w:rPr>
        <w:t xml:space="preserve">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ден за </w:t>
      </w:r>
      <w:r w:rsidRPr="00FE66D7">
        <w:rPr>
          <w:rFonts w:eastAsia="Times New Roman" w:cs="Arial"/>
          <w:color w:val="000000"/>
          <w:szCs w:val="20"/>
          <w:lang w:val="en-US"/>
        </w:rPr>
        <w:t>F</w:t>
      </w:r>
      <w:r w:rsidRPr="00FE66D7">
        <w:rPr>
          <w:rFonts w:eastAsia="Times New Roman" w:cs="Arial"/>
          <w:color w:val="000000"/>
          <w:szCs w:val="20"/>
          <w:lang w:val="ru-RU"/>
        </w:rPr>
        <w:t xml:space="preserve">0 </w:t>
      </w:r>
      <w:r w:rsidRPr="00FE66D7">
        <w:rPr>
          <w:rFonts w:eastAsia="Times New Roman" w:cs="Arial"/>
          <w:color w:val="000000"/>
          <w:szCs w:val="20"/>
          <w:lang w:eastAsia="bg-BG"/>
        </w:rPr>
        <w:t xml:space="preserve">женски и за </w:t>
      </w:r>
      <w:r w:rsidRPr="00FE66D7">
        <w:rPr>
          <w:rFonts w:eastAsia="Times New Roman" w:cs="Arial"/>
          <w:color w:val="000000"/>
          <w:szCs w:val="20"/>
          <w:lang w:eastAsia="bg-BG"/>
        </w:rPr>
        <w:lastRenderedPageBreak/>
        <w:t xml:space="preserve">преживяемостта, растежа и развитието на </w:t>
      </w:r>
      <w:r w:rsidRPr="00FE66D7">
        <w:rPr>
          <w:rFonts w:eastAsia="Times New Roman" w:cs="Arial"/>
          <w:color w:val="000000"/>
          <w:szCs w:val="20"/>
          <w:lang w:val="en-US"/>
        </w:rPr>
        <w:t>F</w:t>
      </w:r>
      <w:r w:rsidRPr="00FE66D7">
        <w:rPr>
          <w:rFonts w:eastAsia="Times New Roman" w:cs="Arial"/>
          <w:color w:val="000000"/>
          <w:szCs w:val="20"/>
          <w:lang w:val="ru-RU"/>
        </w:rPr>
        <w:t xml:space="preserve">1 </w:t>
      </w:r>
      <w:r w:rsidRPr="00FE66D7">
        <w:rPr>
          <w:rFonts w:eastAsia="Times New Roman" w:cs="Arial"/>
          <w:color w:val="000000"/>
          <w:szCs w:val="20"/>
          <w:lang w:eastAsia="bg-BG"/>
        </w:rPr>
        <w:t xml:space="preserve">поколение до отбиването им (х 6 МПДХ на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m</w:t>
      </w:r>
      <w:r w:rsidRPr="00FE66D7">
        <w:rPr>
          <w:rFonts w:eastAsia="Times New Roman" w:cs="Arial"/>
          <w:color w:val="000000"/>
          <w:szCs w:val="20"/>
          <w:vertAlign w:val="superscript"/>
          <w:lang w:val="ru-RU"/>
        </w:rPr>
        <w:t>2</w:t>
      </w:r>
      <w:r w:rsidRPr="00FE66D7">
        <w:rPr>
          <w:rFonts w:eastAsia="Times New Roman" w:cs="Arial"/>
          <w:color w:val="000000"/>
          <w:szCs w:val="20"/>
          <w:lang w:val="ru-RU"/>
        </w:rPr>
        <w:t xml:space="preserve"> </w:t>
      </w:r>
      <w:r w:rsidRPr="00FE66D7">
        <w:rPr>
          <w:rFonts w:eastAsia="Times New Roman" w:cs="Arial"/>
          <w:color w:val="000000"/>
          <w:szCs w:val="20"/>
          <w:lang w:eastAsia="bg-BG"/>
        </w:rPr>
        <w:t>база).</w:t>
      </w:r>
    </w:p>
    <w:p w14:paraId="0ED634E3" w14:textId="77777777" w:rsidR="00FE66D7" w:rsidRPr="00FE66D7" w:rsidRDefault="00FE66D7" w:rsidP="00FE66D7">
      <w:pPr>
        <w:rPr>
          <w:rFonts w:eastAsia="Times New Roman" w:cs="Arial"/>
          <w:color w:val="000000"/>
          <w:szCs w:val="20"/>
          <w:lang w:eastAsia="bg-BG"/>
        </w:rPr>
      </w:pPr>
    </w:p>
    <w:p w14:paraId="03A167A9" w14:textId="345A7F66" w:rsidR="00FE66D7" w:rsidRPr="00FE66D7" w:rsidRDefault="00FE66D7" w:rsidP="00FE66D7">
      <w:pPr>
        <w:rPr>
          <w:rFonts w:cs="Arial"/>
          <w:sz w:val="24"/>
        </w:rPr>
      </w:pPr>
      <w:r w:rsidRPr="00FE66D7">
        <w:rPr>
          <w:rFonts w:eastAsia="Times New Roman" w:cs="Arial"/>
          <w:color w:val="000000"/>
          <w:szCs w:val="20"/>
          <w:lang w:eastAsia="bg-BG"/>
        </w:rPr>
        <w:t xml:space="preserve">Неонаталните и ювенилни проучвания при плъхове и кучета не показват нежелани реакции по отношение на стандартното развитие или съзряване при дози до 1 800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kg</w:t>
      </w:r>
      <w:r w:rsidRPr="00FE66D7">
        <w:rPr>
          <w:rFonts w:eastAsia="Times New Roman" w:cs="Arial"/>
          <w:color w:val="000000"/>
          <w:szCs w:val="20"/>
          <w:lang w:val="ru-RU"/>
        </w:rPr>
        <w:t xml:space="preserve">/ </w:t>
      </w:r>
      <w:r w:rsidRPr="00FE66D7">
        <w:rPr>
          <w:rFonts w:eastAsia="Times New Roman" w:cs="Arial"/>
          <w:color w:val="000000"/>
          <w:szCs w:val="20"/>
          <w:lang w:eastAsia="bg-BG"/>
        </w:rPr>
        <w:t xml:space="preserve">дневно (х 6-17 МПДХ на </w:t>
      </w:r>
      <w:r w:rsidRPr="00FE66D7">
        <w:rPr>
          <w:rFonts w:eastAsia="Times New Roman" w:cs="Arial"/>
          <w:color w:val="000000"/>
          <w:szCs w:val="20"/>
          <w:lang w:val="en-US"/>
        </w:rPr>
        <w:t>mg</w:t>
      </w:r>
      <w:r w:rsidRPr="00FE66D7">
        <w:rPr>
          <w:rFonts w:eastAsia="Times New Roman" w:cs="Arial"/>
          <w:color w:val="000000"/>
          <w:szCs w:val="20"/>
          <w:lang w:val="ru-RU"/>
        </w:rPr>
        <w:t>/</w:t>
      </w:r>
      <w:r w:rsidRPr="00FE66D7">
        <w:rPr>
          <w:rFonts w:eastAsia="Times New Roman" w:cs="Arial"/>
          <w:color w:val="000000"/>
          <w:szCs w:val="20"/>
          <w:lang w:val="en-US"/>
        </w:rPr>
        <w:t>m</w:t>
      </w:r>
      <w:r w:rsidRPr="00FE66D7">
        <w:rPr>
          <w:rFonts w:eastAsia="Times New Roman" w:cs="Arial"/>
          <w:color w:val="000000"/>
          <w:szCs w:val="20"/>
          <w:vertAlign w:val="superscript"/>
          <w:lang w:val="ru-RU"/>
        </w:rPr>
        <w:t>2</w:t>
      </w:r>
      <w:r w:rsidRPr="00FE66D7">
        <w:rPr>
          <w:rFonts w:eastAsia="Times New Roman" w:cs="Arial"/>
          <w:color w:val="000000"/>
          <w:szCs w:val="20"/>
          <w:lang w:val="ru-RU"/>
        </w:rPr>
        <w:t xml:space="preserve"> </w:t>
      </w:r>
      <w:r w:rsidRPr="00FE66D7">
        <w:rPr>
          <w:rFonts w:eastAsia="Times New Roman" w:cs="Arial"/>
          <w:color w:val="000000"/>
          <w:szCs w:val="20"/>
          <w:lang w:eastAsia="bg-BG"/>
        </w:rPr>
        <w:t>база).</w:t>
      </w:r>
    </w:p>
    <w:p w14:paraId="6A7820AB" w14:textId="43EF1D93" w:rsidR="008A6AF2" w:rsidRDefault="002C50EE" w:rsidP="00395555">
      <w:pPr>
        <w:pStyle w:val="Heading1"/>
      </w:pPr>
      <w:r>
        <w:t>7. ПРИТЕЖАТЕЛ НА РАЗРЕШЕНИЕТО ЗА УПОТРЕБА</w:t>
      </w:r>
    </w:p>
    <w:p w14:paraId="474E6871" w14:textId="2609A14D" w:rsidR="00FE66D7" w:rsidRDefault="00FE66D7" w:rsidP="00FE66D7"/>
    <w:p w14:paraId="48E01220" w14:textId="77777777" w:rsidR="00FE66D7" w:rsidRPr="00FE66D7" w:rsidRDefault="00FE66D7" w:rsidP="00FE66D7">
      <w:pPr>
        <w:rPr>
          <w:sz w:val="24"/>
          <w:szCs w:val="24"/>
          <w:lang w:val="en-US"/>
        </w:rPr>
      </w:pPr>
      <w:r w:rsidRPr="00FE66D7">
        <w:rPr>
          <w:lang w:val="en-US"/>
        </w:rPr>
        <w:t>G.L. Pharma GmbH</w:t>
      </w:r>
    </w:p>
    <w:p w14:paraId="57243695" w14:textId="77777777" w:rsidR="00FE66D7" w:rsidRPr="00FE66D7" w:rsidRDefault="00FE66D7" w:rsidP="00FE66D7">
      <w:pPr>
        <w:rPr>
          <w:sz w:val="24"/>
          <w:szCs w:val="24"/>
          <w:lang w:val="en-US"/>
        </w:rPr>
      </w:pPr>
      <w:proofErr w:type="spellStart"/>
      <w:r w:rsidRPr="00FE66D7">
        <w:rPr>
          <w:lang w:val="en-US"/>
        </w:rPr>
        <w:t>Schlossplatz</w:t>
      </w:r>
      <w:proofErr w:type="spellEnd"/>
      <w:r w:rsidRPr="00FE66D7">
        <w:rPr>
          <w:lang w:val="en-US"/>
        </w:rPr>
        <w:t xml:space="preserve"> </w:t>
      </w:r>
      <w:r w:rsidRPr="00FE66D7">
        <w:rPr>
          <w:lang w:eastAsia="bg-BG"/>
        </w:rPr>
        <w:t>1</w:t>
      </w:r>
    </w:p>
    <w:p w14:paraId="234ECD9E" w14:textId="77777777" w:rsidR="00FE66D7" w:rsidRPr="00FE66D7" w:rsidRDefault="00FE66D7" w:rsidP="00FE66D7">
      <w:pPr>
        <w:rPr>
          <w:sz w:val="24"/>
          <w:szCs w:val="24"/>
          <w:lang w:val="ru-RU"/>
        </w:rPr>
      </w:pPr>
      <w:r w:rsidRPr="00FE66D7">
        <w:rPr>
          <w:lang w:eastAsia="bg-BG"/>
        </w:rPr>
        <w:t xml:space="preserve">8502 </w:t>
      </w:r>
      <w:proofErr w:type="spellStart"/>
      <w:r w:rsidRPr="00FE66D7">
        <w:rPr>
          <w:lang w:val="en-US"/>
        </w:rPr>
        <w:t>Larmach</w:t>
      </w:r>
      <w:proofErr w:type="spellEnd"/>
    </w:p>
    <w:p w14:paraId="5A7DD02D" w14:textId="2132F7EC" w:rsidR="00FE66D7" w:rsidRPr="00FE66D7" w:rsidRDefault="00FE66D7" w:rsidP="00FE66D7">
      <w:r w:rsidRPr="00FE66D7">
        <w:rPr>
          <w:lang w:eastAsia="bg-BG"/>
        </w:rPr>
        <w:t>Австрия</w:t>
      </w:r>
    </w:p>
    <w:p w14:paraId="04840D59" w14:textId="3B5DE430" w:rsidR="002C50EE" w:rsidRDefault="002C50EE" w:rsidP="00395555">
      <w:pPr>
        <w:pStyle w:val="Heading1"/>
      </w:pPr>
      <w:r>
        <w:t>8. НОМЕР НА РАЗРЕШЕНИЕТО ЗА УПОТРЕБА</w:t>
      </w:r>
    </w:p>
    <w:p w14:paraId="1C07DBE8" w14:textId="748C1E48" w:rsidR="00FE66D7" w:rsidRDefault="00FE66D7" w:rsidP="00FE66D7"/>
    <w:p w14:paraId="3E72A98A" w14:textId="37546381" w:rsidR="00FE66D7" w:rsidRPr="00FE66D7" w:rsidRDefault="00FE66D7" w:rsidP="00FE66D7">
      <w:r>
        <w:t>20120297; 20120298</w:t>
      </w:r>
    </w:p>
    <w:p w14:paraId="2CCB5832" w14:textId="3B7A197D" w:rsidR="007C605B" w:rsidRDefault="002C50EE" w:rsidP="007C605B">
      <w:pPr>
        <w:pStyle w:val="Heading1"/>
      </w:pPr>
      <w:r>
        <w:t>9. ДАТА НА ПЪРВО РАЗРЕШАВАНЕ/ПОДНОВЯВАНЕ НА РАЗРЕШЕНИЕТО ЗА УПОТРЕБА</w:t>
      </w:r>
    </w:p>
    <w:p w14:paraId="5630B124" w14:textId="7D322D47" w:rsidR="00FE66D7" w:rsidRPr="00FE66D7" w:rsidRDefault="00FE66D7" w:rsidP="00FE66D7">
      <w:r>
        <w:t>12.06.2012</w:t>
      </w:r>
    </w:p>
    <w:p w14:paraId="0E9D0119" w14:textId="0245C6D7" w:rsidR="002C50EE" w:rsidRDefault="002C50EE" w:rsidP="002C50EE">
      <w:pPr>
        <w:pStyle w:val="Heading1"/>
      </w:pPr>
      <w:r>
        <w:t>10. ДАТА НА АКТУАЛИЗИРАНЕ НА ТЕКСТА</w:t>
      </w:r>
    </w:p>
    <w:bookmarkEnd w:id="0"/>
    <w:p w14:paraId="43FB38A2" w14:textId="1066D45F" w:rsidR="007C605B" w:rsidRPr="003E3126" w:rsidRDefault="00FE66D7" w:rsidP="00FE66D7">
      <w:r>
        <w:t>11/2019</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234F62"/>
    <w:multiLevelType w:val="hybridMultilevel"/>
    <w:tmpl w:val="42BC8F00"/>
    <w:lvl w:ilvl="0" w:tplc="29D8A5C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41A80"/>
    <w:multiLevelType w:val="hybridMultilevel"/>
    <w:tmpl w:val="9DD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5"/>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1"/>
  </w:num>
  <w:num w:numId="28">
    <w:abstractNumId w:val="7"/>
  </w:num>
  <w:num w:numId="29">
    <w:abstractNumId w:val="21"/>
  </w:num>
  <w:num w:numId="30">
    <w:abstractNumId w:val="32"/>
  </w:num>
  <w:num w:numId="31">
    <w:abstractNumId w:val="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86747"/>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 w:val="00FE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6312</Words>
  <Characters>35982</Characters>
  <Application>Microsoft Office Word</Application>
  <DocSecurity>0</DocSecurity>
  <Lines>299</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2021-11-22T16:49:00Z</dcterms:created>
  <dcterms:modified xsi:type="dcterms:W3CDTF">2021-11-22T16:49:00Z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