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bookmarkStart w:id="1" w:name="_GoBack"/>
      <w:bookmarkEnd w:id="1"/>
      <w:r>
        <w:t>КРАТКА ХАРАКТЕРИСТИКА НА ПРОДУКТА</w:t>
      </w:r>
    </w:p>
    <w:p w14:paraId="3320F4BE" w14:textId="113069E8" w:rsidR="00C40420" w:rsidRDefault="00DD466D" w:rsidP="004A448E">
      <w:pPr>
        <w:pStyle w:val="Heading1"/>
      </w:pPr>
      <w:r>
        <w:t>1.ИМЕ НА ЛЕКАРСТВЕНИЯ ПРОДУКТ</w:t>
      </w:r>
    </w:p>
    <w:p w14:paraId="095BA873" w14:textId="1C59FBFA" w:rsidR="00845687" w:rsidRDefault="00845687" w:rsidP="00845687"/>
    <w:p w14:paraId="7B5CBCA4"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250 </w:t>
      </w:r>
      <w:r w:rsidRPr="00845687">
        <w:rPr>
          <w:rFonts w:eastAsia="Times New Roman" w:cs="Arial"/>
          <w:color w:val="000000"/>
          <w:lang w:val="en-US"/>
        </w:rPr>
        <w:t xml:space="preserve">mg </w:t>
      </w:r>
      <w:r w:rsidRPr="00845687">
        <w:rPr>
          <w:rFonts w:eastAsia="Times New Roman" w:cs="Arial"/>
          <w:color w:val="000000"/>
          <w:lang w:eastAsia="bg-BG"/>
        </w:rPr>
        <w:t>филмирани таблетки</w:t>
      </w:r>
    </w:p>
    <w:p w14:paraId="2FBDCDF3"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500 </w:t>
      </w:r>
      <w:r w:rsidRPr="00845687">
        <w:rPr>
          <w:rFonts w:eastAsia="Times New Roman" w:cs="Arial"/>
          <w:color w:val="000000"/>
          <w:lang w:val="en-US"/>
        </w:rPr>
        <w:t xml:space="preserve">mg </w:t>
      </w:r>
      <w:r w:rsidRPr="00845687">
        <w:rPr>
          <w:rFonts w:eastAsia="Times New Roman" w:cs="Arial"/>
          <w:color w:val="000000"/>
          <w:lang w:eastAsia="bg-BG"/>
        </w:rPr>
        <w:t>филмирани таблетки</w:t>
      </w:r>
      <w:r w:rsidRPr="00845687">
        <w:rPr>
          <w:rFonts w:eastAsia="Times New Roman" w:cs="Arial"/>
          <w:color w:val="000000"/>
          <w:lang w:eastAsia="bg-BG"/>
        </w:rPr>
        <w:tab/>
      </w:r>
    </w:p>
    <w:p w14:paraId="1F92AC2F"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750 </w:t>
      </w:r>
      <w:r w:rsidRPr="00845687">
        <w:rPr>
          <w:rFonts w:eastAsia="Times New Roman" w:cs="Arial"/>
          <w:color w:val="000000"/>
          <w:lang w:val="en-US"/>
        </w:rPr>
        <w:t xml:space="preserve">mg </w:t>
      </w:r>
      <w:r w:rsidRPr="00845687">
        <w:rPr>
          <w:rFonts w:eastAsia="Times New Roman" w:cs="Arial"/>
          <w:color w:val="000000"/>
          <w:lang w:eastAsia="bg-BG"/>
        </w:rPr>
        <w:t>филмирани таблетки</w:t>
      </w:r>
      <w:r w:rsidRPr="00845687">
        <w:rPr>
          <w:rFonts w:eastAsia="Times New Roman" w:cs="Arial"/>
          <w:color w:val="000000"/>
          <w:lang w:eastAsia="bg-BG"/>
        </w:rPr>
        <w:tab/>
      </w:r>
      <w:r w:rsidRPr="00845687">
        <w:rPr>
          <w:rFonts w:eastAsia="Times New Roman" w:cs="Arial"/>
          <w:i/>
          <w:iCs/>
          <w:color w:val="000000"/>
          <w:lang w:val="en-US"/>
        </w:rPr>
        <w:tab/>
      </w:r>
    </w:p>
    <w:p w14:paraId="58E456CC"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 xml:space="preserve">Леветирацетам СТАДА 1000 </w:t>
      </w:r>
      <w:r w:rsidRPr="00845687">
        <w:rPr>
          <w:rFonts w:eastAsia="Times New Roman" w:cs="Arial"/>
          <w:color w:val="000000"/>
          <w:lang w:val="en-US"/>
        </w:rPr>
        <w:t xml:space="preserve">mg </w:t>
      </w:r>
      <w:r w:rsidRPr="00845687">
        <w:rPr>
          <w:rFonts w:eastAsia="Times New Roman" w:cs="Arial"/>
          <w:color w:val="000000"/>
          <w:lang w:eastAsia="bg-BG"/>
        </w:rPr>
        <w:t xml:space="preserve">филмирани таблетки </w:t>
      </w:r>
    </w:p>
    <w:p w14:paraId="4AE2B423" w14:textId="77777777" w:rsidR="00845687" w:rsidRPr="00845687" w:rsidRDefault="00845687" w:rsidP="00845687">
      <w:pPr>
        <w:spacing w:line="240" w:lineRule="auto"/>
        <w:rPr>
          <w:rFonts w:eastAsia="Times New Roman" w:cs="Arial"/>
          <w:lang w:val="en-US" w:eastAsia="bg-BG"/>
        </w:rPr>
      </w:pPr>
      <w:r w:rsidRPr="00845687">
        <w:rPr>
          <w:rFonts w:eastAsia="Times New Roman" w:cs="Arial"/>
          <w:color w:val="000000"/>
          <w:lang w:eastAsia="bg-BG"/>
        </w:rPr>
        <w:tab/>
      </w:r>
    </w:p>
    <w:p w14:paraId="76258F5C" w14:textId="77777777" w:rsidR="00845687" w:rsidRPr="00845687" w:rsidRDefault="00845687" w:rsidP="00845687">
      <w:pPr>
        <w:spacing w:line="240" w:lineRule="auto"/>
        <w:rPr>
          <w:rFonts w:eastAsia="Times New Roman" w:cs="Arial"/>
          <w:lang w:val="en-US" w:eastAsia="bg-BG"/>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 AD A 250 mg film-coated tablets</w:t>
      </w:r>
    </w:p>
    <w:p w14:paraId="19F9A4CD" w14:textId="77777777" w:rsidR="00845687" w:rsidRPr="00845687" w:rsidRDefault="00845687" w:rsidP="00845687">
      <w:pPr>
        <w:spacing w:line="240" w:lineRule="auto"/>
        <w:rPr>
          <w:rFonts w:eastAsia="Times New Roman" w:cs="Arial"/>
          <w:lang w:val="en-US" w:eastAsia="bg-BG"/>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STADA 500 mg film-coated tablets</w:t>
      </w:r>
      <w:r w:rsidRPr="00845687">
        <w:rPr>
          <w:rFonts w:eastAsia="Times New Roman" w:cs="Arial"/>
          <w:color w:val="000000"/>
          <w:lang w:val="en-US"/>
        </w:rPr>
        <w:tab/>
      </w:r>
    </w:p>
    <w:p w14:paraId="19340100" w14:textId="77777777" w:rsidR="00845687" w:rsidRPr="00845687" w:rsidRDefault="00845687" w:rsidP="00845687">
      <w:pPr>
        <w:spacing w:line="240" w:lineRule="auto"/>
        <w:rPr>
          <w:rFonts w:eastAsia="Times New Roman" w:cs="Arial"/>
          <w:lang w:val="en-US" w:eastAsia="bg-BG"/>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STADA 750 mg film-coated tablets</w:t>
      </w:r>
      <w:r w:rsidRPr="00845687">
        <w:rPr>
          <w:rFonts w:eastAsia="Times New Roman" w:cs="Arial"/>
          <w:color w:val="000000"/>
          <w:lang w:val="en-US"/>
        </w:rPr>
        <w:tab/>
      </w:r>
    </w:p>
    <w:p w14:paraId="43246223" w14:textId="7B171D23" w:rsidR="00845687" w:rsidRPr="00845687" w:rsidRDefault="00845687" w:rsidP="00845687">
      <w:pPr>
        <w:rPr>
          <w:rFonts w:cs="Arial"/>
        </w:rPr>
      </w:pPr>
      <w:proofErr w:type="spellStart"/>
      <w:r w:rsidRPr="00845687">
        <w:rPr>
          <w:rFonts w:eastAsia="Times New Roman" w:cs="Arial"/>
          <w:color w:val="000000"/>
          <w:lang w:val="en-US"/>
        </w:rPr>
        <w:t>Levetiracetam</w:t>
      </w:r>
      <w:proofErr w:type="spellEnd"/>
      <w:r w:rsidRPr="00845687">
        <w:rPr>
          <w:rFonts w:eastAsia="Times New Roman" w:cs="Arial"/>
          <w:color w:val="000000"/>
          <w:lang w:val="en-US"/>
        </w:rPr>
        <w:t xml:space="preserve"> STADA 1000 mg film-coated tablets</w:t>
      </w:r>
    </w:p>
    <w:p w14:paraId="6920A680" w14:textId="3447F879" w:rsidR="00C40420" w:rsidRDefault="00DD466D" w:rsidP="004A448E">
      <w:pPr>
        <w:pStyle w:val="Heading1"/>
      </w:pPr>
      <w:r>
        <w:t>2. КАЧЕСТВЕН И КОЛИЧЕСТВЕН СЪСТАВ</w:t>
      </w:r>
    </w:p>
    <w:p w14:paraId="481407A8" w14:textId="43769FBB" w:rsidR="00845687" w:rsidRDefault="00845687" w:rsidP="00845687"/>
    <w:p w14:paraId="315A8505" w14:textId="77777777"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250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78ADCC15"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250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6020AF0F" w14:textId="77777777" w:rsidR="00845687" w:rsidRDefault="00845687" w:rsidP="00845687">
      <w:pPr>
        <w:spacing w:line="240" w:lineRule="auto"/>
        <w:rPr>
          <w:rFonts w:eastAsia="Times New Roman" w:cs="Arial"/>
          <w:b/>
          <w:bCs/>
          <w:color w:val="000000"/>
          <w:lang w:eastAsia="bg-BG"/>
        </w:rPr>
      </w:pPr>
    </w:p>
    <w:p w14:paraId="3E7B3578" w14:textId="75EB54CA"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500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17BF0F8B"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500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0C60BACF" w14:textId="77777777" w:rsidR="00845687" w:rsidRDefault="00845687" w:rsidP="00845687">
      <w:pPr>
        <w:spacing w:line="240" w:lineRule="auto"/>
        <w:rPr>
          <w:rFonts w:eastAsia="Times New Roman" w:cs="Arial"/>
          <w:b/>
          <w:bCs/>
          <w:color w:val="000000"/>
          <w:lang w:eastAsia="bg-BG"/>
        </w:rPr>
      </w:pPr>
    </w:p>
    <w:p w14:paraId="17C3FDE6" w14:textId="308C2B2A"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750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54F00F16"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750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4F8B5D6E" w14:textId="77777777" w:rsidR="00845687" w:rsidRDefault="00845687" w:rsidP="00845687">
      <w:pPr>
        <w:spacing w:line="240" w:lineRule="auto"/>
        <w:rPr>
          <w:rFonts w:eastAsia="Times New Roman" w:cs="Arial"/>
          <w:b/>
          <w:bCs/>
          <w:color w:val="000000"/>
          <w:lang w:eastAsia="bg-BG"/>
        </w:rPr>
      </w:pPr>
    </w:p>
    <w:p w14:paraId="187F911E" w14:textId="34482A4B"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1000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70EEE25E"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1000 </w:t>
      </w:r>
      <w:r w:rsidRPr="00845687">
        <w:rPr>
          <w:rFonts w:eastAsia="Times New Roman" w:cs="Arial"/>
          <w:color w:val="000000"/>
          <w:lang w:val="en-US"/>
        </w:rPr>
        <w:t xml:space="preserve">mg </w:t>
      </w:r>
      <w:r w:rsidRPr="00845687">
        <w:rPr>
          <w:rFonts w:eastAsia="Times New Roman" w:cs="Arial"/>
          <w:color w:val="000000"/>
          <w:lang w:eastAsia="bg-BG"/>
        </w:rPr>
        <w:t xml:space="preserve">леветирацетам </w:t>
      </w:r>
      <w:r w:rsidRPr="00845687">
        <w:rPr>
          <w:rFonts w:eastAsia="Times New Roman" w:cs="Arial"/>
          <w:i/>
          <w:iCs/>
          <w:color w:val="000000"/>
          <w:lang w:val="en-US"/>
        </w:rPr>
        <w:t>(</w:t>
      </w:r>
      <w:proofErr w:type="spellStart"/>
      <w:r w:rsidRPr="00845687">
        <w:rPr>
          <w:rFonts w:eastAsia="Times New Roman" w:cs="Arial"/>
          <w:i/>
          <w:iCs/>
          <w:color w:val="000000"/>
          <w:lang w:val="en-US"/>
        </w:rPr>
        <w:t>levetiracetam</w:t>
      </w:r>
      <w:proofErr w:type="spellEnd"/>
      <w:r w:rsidRPr="00845687">
        <w:rPr>
          <w:rFonts w:eastAsia="Times New Roman" w:cs="Arial"/>
          <w:i/>
          <w:iCs/>
          <w:color w:val="000000"/>
          <w:lang w:val="en-US"/>
        </w:rPr>
        <w:t>).</w:t>
      </w:r>
    </w:p>
    <w:p w14:paraId="795E5DFA" w14:textId="77777777" w:rsidR="00845687" w:rsidRDefault="00845687" w:rsidP="00845687">
      <w:pPr>
        <w:spacing w:line="240" w:lineRule="auto"/>
        <w:rPr>
          <w:rFonts w:eastAsia="Times New Roman" w:cs="Arial"/>
          <w:color w:val="000000"/>
          <w:lang w:eastAsia="bg-BG"/>
        </w:rPr>
      </w:pPr>
    </w:p>
    <w:p w14:paraId="176F3260" w14:textId="72E9408D"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Помощно вещество с известно действие:</w:t>
      </w:r>
    </w:p>
    <w:p w14:paraId="1FEC5B07" w14:textId="77777777"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750 </w:t>
      </w:r>
      <w:r w:rsidRPr="00845687">
        <w:rPr>
          <w:rFonts w:eastAsia="Times New Roman" w:cs="Arial"/>
          <w:b/>
          <w:bCs/>
          <w:color w:val="000000"/>
          <w:lang w:val="en-US"/>
        </w:rPr>
        <w:t xml:space="preserve">mg </w:t>
      </w:r>
      <w:r w:rsidRPr="00845687">
        <w:rPr>
          <w:rFonts w:eastAsia="Times New Roman" w:cs="Arial"/>
          <w:b/>
          <w:bCs/>
          <w:color w:val="000000"/>
          <w:lang w:eastAsia="bg-BG"/>
        </w:rPr>
        <w:t>филмирани таблетки</w:t>
      </w:r>
    </w:p>
    <w:p w14:paraId="496CE054"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Всяка филмирана таблетка съдържа оцветител 0,228 </w:t>
      </w:r>
      <w:r w:rsidRPr="00845687">
        <w:rPr>
          <w:rFonts w:eastAsia="Times New Roman" w:cs="Arial"/>
          <w:color w:val="000000"/>
          <w:lang w:val="en-US"/>
        </w:rPr>
        <w:t xml:space="preserve">mg </w:t>
      </w:r>
      <w:r w:rsidRPr="00845687">
        <w:rPr>
          <w:rFonts w:eastAsia="Times New Roman" w:cs="Arial"/>
          <w:color w:val="000000"/>
          <w:lang w:eastAsia="bg-BG"/>
        </w:rPr>
        <w:t xml:space="preserve">Сънсет Жълто </w:t>
      </w:r>
      <w:r w:rsidRPr="00845687">
        <w:rPr>
          <w:rFonts w:eastAsia="Times New Roman" w:cs="Arial"/>
          <w:color w:val="000000"/>
          <w:lang w:val="en-US"/>
        </w:rPr>
        <w:t xml:space="preserve">FCF </w:t>
      </w:r>
      <w:r w:rsidRPr="00845687">
        <w:rPr>
          <w:rFonts w:eastAsia="Times New Roman" w:cs="Arial"/>
          <w:color w:val="000000"/>
          <w:lang w:eastAsia="bg-BG"/>
        </w:rPr>
        <w:t>алуминиева сол (Е110).</w:t>
      </w:r>
    </w:p>
    <w:p w14:paraId="38DAB1C2" w14:textId="70E6C69C" w:rsidR="00845687" w:rsidRPr="00845687" w:rsidRDefault="00845687" w:rsidP="00845687">
      <w:pPr>
        <w:rPr>
          <w:rFonts w:cs="Arial"/>
        </w:rPr>
      </w:pPr>
      <w:r w:rsidRPr="00845687">
        <w:rPr>
          <w:rFonts w:eastAsia="Times New Roman" w:cs="Arial"/>
          <w:color w:val="000000"/>
          <w:lang w:eastAsia="bg-BG"/>
        </w:rPr>
        <w:t>За пълния списък на помощните вещества вж. точка 6.1.</w:t>
      </w:r>
    </w:p>
    <w:p w14:paraId="614984C4" w14:textId="60E8BF05" w:rsidR="008A6AF2" w:rsidRDefault="00DD466D" w:rsidP="002C50EE">
      <w:pPr>
        <w:pStyle w:val="Heading1"/>
      </w:pPr>
      <w:r>
        <w:t>3. ЛЕКАРСТВЕНА ФОРМА</w:t>
      </w:r>
    </w:p>
    <w:p w14:paraId="5BF50439" w14:textId="61AFDDA4" w:rsidR="00845687" w:rsidRDefault="00845687" w:rsidP="00845687"/>
    <w:p w14:paraId="1907A799"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Филмирани таблетки</w:t>
      </w:r>
    </w:p>
    <w:p w14:paraId="6DE15405" w14:textId="77777777" w:rsidR="00845687" w:rsidRPr="00845687" w:rsidRDefault="00845687" w:rsidP="00845687">
      <w:pPr>
        <w:spacing w:line="240" w:lineRule="auto"/>
        <w:rPr>
          <w:rFonts w:eastAsia="Times New Roman" w:cs="Arial"/>
          <w:b/>
          <w:bCs/>
          <w:color w:val="000000"/>
          <w:lang w:eastAsia="bg-BG"/>
        </w:rPr>
      </w:pPr>
    </w:p>
    <w:p w14:paraId="55B55606" w14:textId="41261ADC"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250 </w:t>
      </w:r>
      <w:r w:rsidRPr="00845687">
        <w:rPr>
          <w:rFonts w:eastAsia="Times New Roman" w:cs="Arial"/>
          <w:b/>
          <w:bCs/>
          <w:color w:val="000000"/>
          <w:lang w:val="en-US"/>
        </w:rPr>
        <w:t xml:space="preserve">mg </w:t>
      </w:r>
      <w:r w:rsidRPr="00845687">
        <w:rPr>
          <w:rFonts w:eastAsia="Times New Roman" w:cs="Arial"/>
          <w:color w:val="000000"/>
          <w:lang w:eastAsia="bg-BG"/>
        </w:rPr>
        <w:t xml:space="preserve">са сини, продълговати, двойноизпъкнали филмирани таблетки с делителна черта от едната страна и дължина около 12,8 </w:t>
      </w:r>
      <w:r w:rsidRPr="00845687">
        <w:rPr>
          <w:rFonts w:eastAsia="Times New Roman" w:cs="Arial"/>
          <w:color w:val="000000"/>
          <w:lang w:val="en-US"/>
        </w:rPr>
        <w:t xml:space="preserve">mm. </w:t>
      </w:r>
      <w:r w:rsidRPr="00845687">
        <w:rPr>
          <w:rFonts w:eastAsia="Times New Roman" w:cs="Arial"/>
          <w:color w:val="000000"/>
          <w:lang w:eastAsia="bg-BG"/>
        </w:rPr>
        <w:t>Таблетката може да бъде разделена на две равни дози.</w:t>
      </w:r>
    </w:p>
    <w:p w14:paraId="6D2497FD" w14:textId="77777777" w:rsidR="00845687" w:rsidRPr="00845687" w:rsidRDefault="00845687" w:rsidP="00845687">
      <w:pPr>
        <w:spacing w:line="240" w:lineRule="auto"/>
        <w:rPr>
          <w:rFonts w:eastAsia="Times New Roman" w:cs="Arial"/>
          <w:b/>
          <w:bCs/>
          <w:color w:val="000000"/>
          <w:lang w:eastAsia="bg-BG"/>
        </w:rPr>
      </w:pPr>
    </w:p>
    <w:p w14:paraId="28B1FBEC" w14:textId="64B41F60" w:rsidR="00845687" w:rsidRPr="00845687" w:rsidRDefault="00845687" w:rsidP="00845687">
      <w:pPr>
        <w:spacing w:line="240" w:lineRule="auto"/>
        <w:rPr>
          <w:rFonts w:eastAsia="Times New Roman" w:cs="Arial"/>
          <w:lang w:eastAsia="bg-BG"/>
        </w:rPr>
      </w:pPr>
      <w:r w:rsidRPr="00845687">
        <w:rPr>
          <w:rFonts w:eastAsia="Times New Roman" w:cs="Arial"/>
          <w:b/>
          <w:bCs/>
          <w:color w:val="000000"/>
          <w:lang w:eastAsia="bg-BG"/>
        </w:rPr>
        <w:t xml:space="preserve">Леветирацетам СТАДА 500 </w:t>
      </w:r>
      <w:r w:rsidRPr="00845687">
        <w:rPr>
          <w:rFonts w:eastAsia="Times New Roman" w:cs="Arial"/>
          <w:b/>
          <w:bCs/>
          <w:color w:val="000000"/>
          <w:lang w:val="en-US"/>
        </w:rPr>
        <w:t xml:space="preserve">mg </w:t>
      </w:r>
      <w:r w:rsidRPr="00845687">
        <w:rPr>
          <w:rFonts w:eastAsia="Times New Roman" w:cs="Arial"/>
          <w:color w:val="000000"/>
          <w:lang w:eastAsia="bg-BG"/>
        </w:rPr>
        <w:t xml:space="preserve">са жълти продълговати, двойноизпъкнали филмирани таблетки с делителна черта от едната страна и дължина около 16,4 </w:t>
      </w:r>
      <w:r w:rsidRPr="00845687">
        <w:rPr>
          <w:rFonts w:eastAsia="Times New Roman" w:cs="Arial"/>
          <w:color w:val="000000"/>
          <w:lang w:val="en-US"/>
        </w:rPr>
        <w:t xml:space="preserve">mm. </w:t>
      </w:r>
      <w:r w:rsidRPr="00845687">
        <w:rPr>
          <w:rFonts w:eastAsia="Times New Roman" w:cs="Arial"/>
          <w:color w:val="000000"/>
          <w:lang w:eastAsia="bg-BG"/>
        </w:rPr>
        <w:t>Таблетката може да бъде разделена на две равни дози.</w:t>
      </w:r>
    </w:p>
    <w:p w14:paraId="676DF348" w14:textId="77777777" w:rsidR="00845687" w:rsidRPr="00845687" w:rsidRDefault="00845687" w:rsidP="00845687">
      <w:pPr>
        <w:rPr>
          <w:rFonts w:eastAsia="Times New Roman" w:cs="Arial"/>
          <w:b/>
          <w:bCs/>
          <w:color w:val="000000"/>
          <w:lang w:eastAsia="bg-BG"/>
        </w:rPr>
      </w:pPr>
    </w:p>
    <w:p w14:paraId="32D6BBBD" w14:textId="1B726396" w:rsidR="00845687" w:rsidRDefault="00845687" w:rsidP="00845687">
      <w:pPr>
        <w:rPr>
          <w:rFonts w:eastAsia="Times New Roman" w:cs="Arial"/>
          <w:color w:val="000000"/>
          <w:lang w:eastAsia="bg-BG"/>
        </w:rPr>
      </w:pPr>
      <w:r w:rsidRPr="00845687">
        <w:rPr>
          <w:rFonts w:eastAsia="Times New Roman" w:cs="Arial"/>
          <w:b/>
          <w:bCs/>
          <w:color w:val="000000"/>
          <w:lang w:eastAsia="bg-BG"/>
        </w:rPr>
        <w:lastRenderedPageBreak/>
        <w:t xml:space="preserve">Леветирацетам СТАДА 750 </w:t>
      </w:r>
      <w:r w:rsidRPr="00845687">
        <w:rPr>
          <w:rFonts w:eastAsia="Times New Roman" w:cs="Arial"/>
          <w:b/>
          <w:bCs/>
          <w:color w:val="000000"/>
          <w:lang w:val="en-US"/>
        </w:rPr>
        <w:t xml:space="preserve">mg </w:t>
      </w:r>
      <w:r w:rsidRPr="00845687">
        <w:rPr>
          <w:rFonts w:eastAsia="Times New Roman" w:cs="Arial"/>
          <w:color w:val="000000"/>
          <w:lang w:eastAsia="bg-BG"/>
        </w:rPr>
        <w:t xml:space="preserve">са розово-оранжеви продълговати, двойноизпъкнали филмирани таблетки с делителна черта от едната страна и дължина около 18,6 </w:t>
      </w:r>
      <w:r w:rsidRPr="00845687">
        <w:rPr>
          <w:rFonts w:eastAsia="Times New Roman" w:cs="Arial"/>
          <w:color w:val="000000"/>
          <w:lang w:val="en-US"/>
        </w:rPr>
        <w:t xml:space="preserve">mm. </w:t>
      </w:r>
      <w:r w:rsidRPr="00845687">
        <w:rPr>
          <w:rFonts w:eastAsia="Times New Roman" w:cs="Arial"/>
          <w:color w:val="000000"/>
          <w:lang w:eastAsia="bg-BG"/>
        </w:rPr>
        <w:t>Делителната черта е само за улесняване на счупването за по-лесно преглъщане, а не за да разделя таблетката на две равни дози.</w:t>
      </w:r>
    </w:p>
    <w:p w14:paraId="0E632E43" w14:textId="0DF27FBC" w:rsidR="00845687" w:rsidRDefault="00845687" w:rsidP="00845687">
      <w:pPr>
        <w:rPr>
          <w:rFonts w:eastAsia="Times New Roman" w:cs="Arial"/>
          <w:color w:val="000000"/>
          <w:lang w:eastAsia="bg-BG"/>
        </w:rPr>
      </w:pPr>
    </w:p>
    <w:p w14:paraId="2B1AF609" w14:textId="57164713" w:rsidR="00845687" w:rsidRPr="00845687" w:rsidRDefault="00845687" w:rsidP="00845687">
      <w:pPr>
        <w:rPr>
          <w:rFonts w:cs="Arial"/>
        </w:rPr>
      </w:pPr>
      <w:r w:rsidRPr="00845687">
        <w:rPr>
          <w:b/>
          <w:bCs/>
        </w:rPr>
        <w:t xml:space="preserve">Леветирацетам СТАДА 1000 </w:t>
      </w:r>
      <w:r w:rsidRPr="00845687">
        <w:rPr>
          <w:b/>
          <w:bCs/>
          <w:lang w:val="en-US"/>
        </w:rPr>
        <w:t xml:space="preserve">mg </w:t>
      </w:r>
      <w:r w:rsidRPr="00845687">
        <w:t xml:space="preserve">са бели, продълговати, двойноизпъкнали филмирани таблетки с делителна черта от едната страна, с дължина около 19,1 </w:t>
      </w:r>
      <w:r w:rsidRPr="00845687">
        <w:rPr>
          <w:lang w:val="en-US"/>
        </w:rPr>
        <w:t xml:space="preserve">mm. </w:t>
      </w:r>
      <w:r w:rsidRPr="00845687">
        <w:t>Делителната черта е само за улесняване на счупването за по-лесно преглъщане, а не за да разделя таблетката на две равни дози.</w:t>
      </w:r>
    </w:p>
    <w:p w14:paraId="490FC2C4" w14:textId="32682B15" w:rsidR="002C50EE" w:rsidRDefault="002C50EE" w:rsidP="002C50EE">
      <w:pPr>
        <w:pStyle w:val="Heading1"/>
      </w:pPr>
      <w:r>
        <w:t>4. КЛИНИЧНИ ДАННИ</w:t>
      </w:r>
    </w:p>
    <w:p w14:paraId="0C8E6903" w14:textId="3BFD0AAF" w:rsidR="008134C8" w:rsidRDefault="002C50EE" w:rsidP="004A448E">
      <w:pPr>
        <w:pStyle w:val="Heading2"/>
      </w:pPr>
      <w:r>
        <w:t>4.1. Терапевтични показания</w:t>
      </w:r>
    </w:p>
    <w:p w14:paraId="758FC25F" w14:textId="2720BECF" w:rsidR="00845687" w:rsidRDefault="00845687" w:rsidP="00845687"/>
    <w:p w14:paraId="76EEEDBD"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Леветирацетам СТАДА е показан като монотерапия при лечение на парциални пристъпи с или без вторична генерализация при възрастни пациенти и юноши над 16-годишна възраст с новодиагностицирана епилепсия.</w:t>
      </w:r>
    </w:p>
    <w:p w14:paraId="4CF7FFC8" w14:textId="77777777" w:rsidR="00845687" w:rsidRPr="00845687" w:rsidRDefault="00845687" w:rsidP="00845687">
      <w:pPr>
        <w:spacing w:line="240" w:lineRule="auto"/>
        <w:rPr>
          <w:rFonts w:eastAsia="Times New Roman" w:cs="Arial"/>
          <w:color w:val="000000"/>
          <w:lang w:eastAsia="bg-BG"/>
        </w:rPr>
      </w:pPr>
    </w:p>
    <w:p w14:paraId="472362F2" w14:textId="5C47E3B8"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Леветирацетам СТАДА е показан като допълващо лечение:</w:t>
      </w:r>
    </w:p>
    <w:p w14:paraId="3397BE59" w14:textId="77777777" w:rsidR="00845687" w:rsidRPr="00845687" w:rsidRDefault="00845687" w:rsidP="00845687">
      <w:pPr>
        <w:pStyle w:val="ListParagraph"/>
        <w:numPr>
          <w:ilvl w:val="0"/>
          <w:numId w:val="35"/>
        </w:numPr>
        <w:spacing w:line="240" w:lineRule="auto"/>
        <w:rPr>
          <w:rFonts w:eastAsia="Times New Roman" w:cs="Arial"/>
          <w:color w:val="000000"/>
          <w:lang w:eastAsia="bg-BG"/>
        </w:rPr>
      </w:pPr>
      <w:r w:rsidRPr="00845687">
        <w:rPr>
          <w:rFonts w:eastAsia="Times New Roman" w:cs="Arial"/>
          <w:color w:val="000000"/>
          <w:lang w:eastAsia="bg-BG"/>
        </w:rPr>
        <w:t>при парциални пристъпи с или без вторична генерализация при възрастни, юноши, деца и новородени над 1-месечна възраст с епилепсия.</w:t>
      </w:r>
    </w:p>
    <w:p w14:paraId="5F6E2D67" w14:textId="77777777" w:rsidR="00845687" w:rsidRPr="00845687" w:rsidRDefault="00845687" w:rsidP="00845687">
      <w:pPr>
        <w:pStyle w:val="ListParagraph"/>
        <w:numPr>
          <w:ilvl w:val="0"/>
          <w:numId w:val="35"/>
        </w:numPr>
        <w:spacing w:line="240" w:lineRule="auto"/>
        <w:rPr>
          <w:rFonts w:eastAsia="Times New Roman" w:cs="Arial"/>
          <w:color w:val="000000"/>
          <w:lang w:eastAsia="bg-BG"/>
        </w:rPr>
      </w:pPr>
      <w:r w:rsidRPr="00845687">
        <w:rPr>
          <w:rFonts w:eastAsia="Times New Roman" w:cs="Arial"/>
          <w:color w:val="000000"/>
          <w:lang w:eastAsia="bg-BG"/>
        </w:rPr>
        <w:t>при миоклонични пристъпи при възрастни и юноши над 12-годишна възраст с ювенилна миоклонична епилепсия.</w:t>
      </w:r>
    </w:p>
    <w:p w14:paraId="2E44CE43" w14:textId="20D0B6CA" w:rsidR="00845687" w:rsidRPr="00845687" w:rsidRDefault="00845687" w:rsidP="00845687">
      <w:pPr>
        <w:pStyle w:val="ListParagraph"/>
        <w:numPr>
          <w:ilvl w:val="0"/>
          <w:numId w:val="2"/>
        </w:numPr>
        <w:rPr>
          <w:rFonts w:cs="Arial"/>
        </w:rPr>
      </w:pPr>
      <w:r w:rsidRPr="00845687">
        <w:rPr>
          <w:rFonts w:eastAsia="Times New Roman" w:cs="Arial"/>
          <w:color w:val="000000"/>
          <w:lang w:eastAsia="bg-BG"/>
        </w:rPr>
        <w:t>при първично генерализирани тонично-клонични пристъпи при възрастни и юноши над 12- годишна възраст с идиопатична генерализирана епилепсия.</w:t>
      </w:r>
    </w:p>
    <w:p w14:paraId="30BE2C7B" w14:textId="0428033D" w:rsidR="008134C8" w:rsidRDefault="002C50EE" w:rsidP="004A448E">
      <w:pPr>
        <w:pStyle w:val="Heading2"/>
      </w:pPr>
      <w:r>
        <w:t>4.2. Дозировка и начин на приложение</w:t>
      </w:r>
    </w:p>
    <w:p w14:paraId="0E10EB58" w14:textId="3A213A94" w:rsidR="00845687" w:rsidRDefault="00845687" w:rsidP="00845687"/>
    <w:p w14:paraId="0A58D4F9" w14:textId="77777777" w:rsidR="00845687" w:rsidRPr="00193A01" w:rsidRDefault="00845687" w:rsidP="00193A01">
      <w:pPr>
        <w:pStyle w:val="Heading3"/>
        <w:rPr>
          <w:rFonts w:eastAsia="Times New Roman"/>
          <w:u w:val="single"/>
          <w:lang w:eastAsia="bg-BG"/>
        </w:rPr>
      </w:pPr>
      <w:bookmarkStart w:id="2" w:name="bookmark0"/>
      <w:r w:rsidRPr="00193A01">
        <w:rPr>
          <w:rFonts w:eastAsia="Times New Roman"/>
          <w:u w:val="single"/>
          <w:lang w:eastAsia="bg-BG"/>
        </w:rPr>
        <w:t>Дозировка</w:t>
      </w:r>
      <w:bookmarkEnd w:id="2"/>
    </w:p>
    <w:p w14:paraId="0CEF0D2E" w14:textId="77777777" w:rsidR="00845687" w:rsidRPr="00845687" w:rsidRDefault="00845687" w:rsidP="00845687">
      <w:pPr>
        <w:spacing w:line="240" w:lineRule="auto"/>
        <w:rPr>
          <w:rFonts w:eastAsia="Times New Roman" w:cs="Arial"/>
          <w:lang w:eastAsia="bg-BG"/>
        </w:rPr>
      </w:pPr>
      <w:r w:rsidRPr="00845687">
        <w:rPr>
          <w:rFonts w:eastAsia="Times New Roman" w:cs="Arial"/>
          <w:i/>
          <w:iCs/>
          <w:color w:val="000000"/>
          <w:lang w:eastAsia="bg-BG"/>
        </w:rPr>
        <w:t>Монотерапия при възрастни и юноши над 16-годишна възраст</w:t>
      </w:r>
    </w:p>
    <w:p w14:paraId="49D96471"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Препоръчителната начална доза е 250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която след две седмици да се повиши на първоначална терапевтична доза от 500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След това дозата може да се повишава с по 250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на всеки две седмици в зависимост от клиничния отговор. Максималната доза е 1 500 </w:t>
      </w:r>
      <w:r w:rsidRPr="00845687">
        <w:rPr>
          <w:rFonts w:eastAsia="Times New Roman" w:cs="Arial"/>
          <w:color w:val="000000"/>
          <w:lang w:val="en-US"/>
        </w:rPr>
        <w:t xml:space="preserve">mg </w:t>
      </w:r>
      <w:r w:rsidRPr="00845687">
        <w:rPr>
          <w:rFonts w:eastAsia="Times New Roman" w:cs="Arial"/>
          <w:color w:val="000000"/>
          <w:lang w:eastAsia="bg-BG"/>
        </w:rPr>
        <w:t>два пъти дневно.</w:t>
      </w:r>
    </w:p>
    <w:p w14:paraId="7FF86301" w14:textId="77777777" w:rsidR="00845687" w:rsidRDefault="00845687" w:rsidP="00845687">
      <w:pPr>
        <w:spacing w:line="240" w:lineRule="auto"/>
        <w:rPr>
          <w:rFonts w:eastAsia="Times New Roman" w:cs="Arial"/>
          <w:i/>
          <w:iCs/>
          <w:color w:val="000000"/>
          <w:lang w:eastAsia="bg-BG"/>
        </w:rPr>
      </w:pPr>
    </w:p>
    <w:p w14:paraId="33EF2EE0" w14:textId="514FDDAF" w:rsidR="00845687" w:rsidRPr="00845687" w:rsidRDefault="00845687" w:rsidP="00845687">
      <w:pPr>
        <w:spacing w:line="240" w:lineRule="auto"/>
        <w:rPr>
          <w:rFonts w:eastAsia="Times New Roman" w:cs="Arial"/>
          <w:lang w:eastAsia="bg-BG"/>
        </w:rPr>
      </w:pPr>
      <w:r w:rsidRPr="00845687">
        <w:rPr>
          <w:rFonts w:eastAsia="Times New Roman" w:cs="Arial"/>
          <w:i/>
          <w:iCs/>
          <w:color w:val="000000"/>
          <w:lang w:eastAsia="bg-BG"/>
        </w:rPr>
        <w:t xml:space="preserve">Допълващо лечение при възрастни (&gt; 18 години) и юноши (12-17 години) с тегло </w:t>
      </w:r>
      <w:r w:rsidRPr="00845687">
        <w:rPr>
          <w:rFonts w:eastAsia="Times New Roman" w:cs="Arial"/>
          <w:i/>
          <w:iCs/>
          <w:color w:val="000000"/>
          <w:lang w:val="en-US"/>
        </w:rPr>
        <w:t xml:space="preserve">50 kg </w:t>
      </w:r>
      <w:r w:rsidRPr="00845687">
        <w:rPr>
          <w:rFonts w:eastAsia="Times New Roman" w:cs="Arial"/>
          <w:i/>
          <w:iCs/>
          <w:color w:val="000000"/>
          <w:lang w:eastAsia="bg-BG"/>
        </w:rPr>
        <w:t>или повече</w:t>
      </w:r>
    </w:p>
    <w:p w14:paraId="79E60975"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Началната терапевтична доза е 500 </w:t>
      </w:r>
      <w:r w:rsidRPr="00845687">
        <w:rPr>
          <w:rFonts w:eastAsia="Times New Roman" w:cs="Arial"/>
          <w:color w:val="000000"/>
          <w:lang w:val="en-US"/>
        </w:rPr>
        <w:t xml:space="preserve">mg </w:t>
      </w:r>
      <w:r w:rsidRPr="00845687">
        <w:rPr>
          <w:rFonts w:eastAsia="Times New Roman" w:cs="Arial"/>
          <w:color w:val="000000"/>
          <w:lang w:eastAsia="bg-BG"/>
        </w:rPr>
        <w:t>два пъти дневно. Тази доза може да бъде започната от първия ден на лечението.</w:t>
      </w:r>
    </w:p>
    <w:p w14:paraId="0905D5A7"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В зависимост от клиничния отговор и поносимост дневната доза може да се увеличи до 1 500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Промяна в дозата, свързана с увеличаване или намаляване, може да се извършва на всеки 2 до 4 седмици с 500 </w:t>
      </w:r>
      <w:r w:rsidRPr="00845687">
        <w:rPr>
          <w:rFonts w:eastAsia="Times New Roman" w:cs="Arial"/>
          <w:color w:val="000000"/>
          <w:lang w:val="en-US"/>
        </w:rPr>
        <w:t xml:space="preserve">mg </w:t>
      </w:r>
      <w:r w:rsidRPr="00845687">
        <w:rPr>
          <w:rFonts w:eastAsia="Times New Roman" w:cs="Arial"/>
          <w:color w:val="000000"/>
          <w:lang w:eastAsia="bg-BG"/>
        </w:rPr>
        <w:t>два пъти дневно.</w:t>
      </w:r>
    </w:p>
    <w:p w14:paraId="1959C4A2" w14:textId="77777777" w:rsidR="00845687" w:rsidRDefault="00845687" w:rsidP="00845687">
      <w:pPr>
        <w:spacing w:line="240" w:lineRule="auto"/>
        <w:rPr>
          <w:rFonts w:eastAsia="Times New Roman" w:cs="Arial"/>
          <w:color w:val="000000"/>
          <w:u w:val="single"/>
          <w:lang w:eastAsia="bg-BG"/>
        </w:rPr>
      </w:pPr>
    </w:p>
    <w:p w14:paraId="3FE21CCB" w14:textId="76FB14CC" w:rsidR="00845687" w:rsidRPr="00193A01" w:rsidRDefault="00845687" w:rsidP="00193A01">
      <w:pPr>
        <w:pStyle w:val="Heading3"/>
        <w:rPr>
          <w:rFonts w:eastAsia="Times New Roman"/>
          <w:u w:val="single"/>
          <w:lang w:eastAsia="bg-BG"/>
        </w:rPr>
      </w:pPr>
      <w:r w:rsidRPr="00193A01">
        <w:rPr>
          <w:rFonts w:eastAsia="Times New Roman"/>
          <w:u w:val="single"/>
          <w:lang w:eastAsia="bg-BG"/>
        </w:rPr>
        <w:t>Спиране на лечението</w:t>
      </w:r>
    </w:p>
    <w:p w14:paraId="60776944"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 xml:space="preserve">Ако трябва да се спре лечението с леветирацетам, препоръчва се това да става постепенно (например при възрастни и юноши с тегло над 50 </w:t>
      </w:r>
      <w:r w:rsidRPr="00845687">
        <w:rPr>
          <w:rFonts w:eastAsia="Times New Roman" w:cs="Arial"/>
          <w:color w:val="000000"/>
          <w:lang w:val="en-US"/>
        </w:rPr>
        <w:t xml:space="preserve">kg: </w:t>
      </w:r>
      <w:r w:rsidRPr="00845687">
        <w:rPr>
          <w:rFonts w:eastAsia="Times New Roman" w:cs="Arial"/>
          <w:color w:val="000000"/>
          <w:lang w:eastAsia="bg-BG"/>
        </w:rPr>
        <w:t xml:space="preserve">дозата се намалява с 500 </w:t>
      </w:r>
      <w:r w:rsidRPr="00845687">
        <w:rPr>
          <w:rFonts w:eastAsia="Times New Roman" w:cs="Arial"/>
          <w:color w:val="000000"/>
          <w:lang w:val="en-US"/>
        </w:rPr>
        <w:t xml:space="preserve">mg </w:t>
      </w:r>
      <w:r w:rsidRPr="00845687">
        <w:rPr>
          <w:rFonts w:eastAsia="Times New Roman" w:cs="Arial"/>
          <w:color w:val="000000"/>
          <w:lang w:eastAsia="bg-BG"/>
        </w:rPr>
        <w:t xml:space="preserve">два пъти дневно на всеки две до четири седмици; при кърмачета над 6 месеца, деца и юноши с тегло под 50 </w:t>
      </w:r>
      <w:r w:rsidRPr="00845687">
        <w:rPr>
          <w:rFonts w:eastAsia="Times New Roman" w:cs="Arial"/>
          <w:color w:val="000000"/>
          <w:lang w:val="en-US"/>
        </w:rPr>
        <w:t xml:space="preserve">kg: </w:t>
      </w:r>
      <w:r w:rsidRPr="00845687">
        <w:rPr>
          <w:rFonts w:eastAsia="Times New Roman" w:cs="Arial"/>
          <w:color w:val="000000"/>
          <w:lang w:eastAsia="bg-BG"/>
        </w:rPr>
        <w:t xml:space="preserve">намаляването на дозата не трябва да превишава 10 </w:t>
      </w:r>
      <w:r w:rsidRPr="00845687">
        <w:rPr>
          <w:rFonts w:eastAsia="Times New Roman" w:cs="Arial"/>
          <w:color w:val="000000"/>
          <w:lang w:val="en-US"/>
        </w:rPr>
        <w:t xml:space="preserve">mg/kg </w:t>
      </w:r>
      <w:r w:rsidRPr="00845687">
        <w:rPr>
          <w:rFonts w:eastAsia="Times New Roman" w:cs="Arial"/>
          <w:color w:val="000000"/>
          <w:lang w:eastAsia="bg-BG"/>
        </w:rPr>
        <w:t xml:space="preserve">два пъти дневно на всеки две седмици; при кърмачета (под 6 месеца) </w:t>
      </w:r>
      <w:r w:rsidRPr="00845687">
        <w:rPr>
          <w:rFonts w:eastAsia="Times New Roman" w:cs="Arial"/>
          <w:color w:val="000000"/>
          <w:lang w:eastAsia="bg-BG"/>
        </w:rPr>
        <w:lastRenderedPageBreak/>
        <w:t xml:space="preserve">намаляването на дозата не трябва да надвишава 7 </w:t>
      </w:r>
      <w:r w:rsidRPr="00845687">
        <w:rPr>
          <w:rFonts w:eastAsia="Times New Roman" w:cs="Arial"/>
          <w:color w:val="000000"/>
          <w:lang w:val="en-US"/>
        </w:rPr>
        <w:t xml:space="preserve">mg/kg </w:t>
      </w:r>
      <w:r w:rsidRPr="00845687">
        <w:rPr>
          <w:rFonts w:eastAsia="Times New Roman" w:cs="Arial"/>
          <w:color w:val="000000"/>
          <w:lang w:eastAsia="bg-BG"/>
        </w:rPr>
        <w:t>два пъти дневно на всеки две седмици).</w:t>
      </w:r>
    </w:p>
    <w:p w14:paraId="50EC3B21" w14:textId="77777777" w:rsidR="00845687" w:rsidRDefault="00845687" w:rsidP="00845687">
      <w:pPr>
        <w:spacing w:line="240" w:lineRule="auto"/>
        <w:rPr>
          <w:rFonts w:eastAsia="Times New Roman" w:cs="Arial"/>
          <w:color w:val="000000"/>
          <w:u w:val="single"/>
          <w:lang w:val="en-US" w:eastAsia="bg-BG"/>
        </w:rPr>
      </w:pPr>
    </w:p>
    <w:p w14:paraId="600E4784" w14:textId="4C396533" w:rsidR="00845687" w:rsidRPr="00193A01" w:rsidRDefault="00845687" w:rsidP="00193A01">
      <w:pPr>
        <w:pStyle w:val="Heading3"/>
        <w:rPr>
          <w:rFonts w:eastAsia="Times New Roman"/>
          <w:u w:val="single"/>
          <w:lang w:eastAsia="bg-BG"/>
        </w:rPr>
      </w:pPr>
      <w:r w:rsidRPr="00193A01">
        <w:rPr>
          <w:rFonts w:eastAsia="Times New Roman"/>
          <w:u w:val="single"/>
          <w:lang w:eastAsia="bg-BG"/>
        </w:rPr>
        <w:t>Специални популации</w:t>
      </w:r>
    </w:p>
    <w:p w14:paraId="0C8F1484" w14:textId="77777777" w:rsidR="00845687" w:rsidRDefault="00845687" w:rsidP="00845687">
      <w:pPr>
        <w:spacing w:line="240" w:lineRule="auto"/>
        <w:rPr>
          <w:rFonts w:eastAsia="Times New Roman" w:cs="Arial"/>
          <w:i/>
          <w:iCs/>
          <w:color w:val="000000"/>
          <w:lang w:eastAsia="bg-BG"/>
        </w:rPr>
      </w:pPr>
    </w:p>
    <w:p w14:paraId="1EDA8FC9" w14:textId="11A54685" w:rsidR="00845687" w:rsidRPr="00845687" w:rsidRDefault="00845687" w:rsidP="00845687">
      <w:pPr>
        <w:spacing w:line="240" w:lineRule="auto"/>
        <w:rPr>
          <w:rFonts w:eastAsia="Times New Roman" w:cs="Arial"/>
          <w:lang w:eastAsia="bg-BG"/>
        </w:rPr>
      </w:pPr>
      <w:r w:rsidRPr="00845687">
        <w:rPr>
          <w:rFonts w:eastAsia="Times New Roman" w:cs="Arial"/>
          <w:i/>
          <w:iCs/>
          <w:color w:val="000000"/>
          <w:lang w:eastAsia="bg-BG"/>
        </w:rPr>
        <w:t>Старческа възраст (65 години и по-възрастни)</w:t>
      </w:r>
    </w:p>
    <w:p w14:paraId="78EFE0AC" w14:textId="77777777" w:rsidR="00845687" w:rsidRDefault="00845687" w:rsidP="00845687">
      <w:pPr>
        <w:spacing w:line="240" w:lineRule="auto"/>
        <w:rPr>
          <w:rFonts w:eastAsia="Times New Roman" w:cs="Arial"/>
          <w:color w:val="000000"/>
          <w:lang w:eastAsia="bg-BG"/>
        </w:rPr>
      </w:pPr>
    </w:p>
    <w:p w14:paraId="41CADD06" w14:textId="3167DF5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Препоръчва се адаптиране на дозата при пациенти в старческа възраст с нарушена бъбречна функция (вж. по-долу “Пациенти с бъбречно увреждане”).</w:t>
      </w:r>
    </w:p>
    <w:p w14:paraId="3399E160" w14:textId="77777777" w:rsidR="00845687" w:rsidRDefault="00845687" w:rsidP="00845687">
      <w:pPr>
        <w:rPr>
          <w:rFonts w:eastAsia="Times New Roman" w:cs="Arial"/>
          <w:i/>
          <w:iCs/>
          <w:color w:val="000000"/>
          <w:lang w:eastAsia="bg-BG"/>
        </w:rPr>
      </w:pPr>
    </w:p>
    <w:p w14:paraId="27D10EAB" w14:textId="258B1F0C" w:rsidR="00845687" w:rsidRDefault="00845687" w:rsidP="00845687">
      <w:pPr>
        <w:rPr>
          <w:rFonts w:eastAsia="Times New Roman" w:cs="Arial"/>
          <w:i/>
          <w:iCs/>
          <w:color w:val="000000"/>
          <w:lang w:eastAsia="bg-BG"/>
        </w:rPr>
      </w:pPr>
      <w:r w:rsidRPr="00845687">
        <w:rPr>
          <w:rFonts w:eastAsia="Times New Roman" w:cs="Arial"/>
          <w:i/>
          <w:iCs/>
          <w:color w:val="000000"/>
          <w:lang w:eastAsia="bg-BG"/>
        </w:rPr>
        <w:t>Бъбречно увреждане</w:t>
      </w:r>
    </w:p>
    <w:p w14:paraId="6532CCE0" w14:textId="68EA8C15" w:rsidR="00845687" w:rsidRDefault="00845687" w:rsidP="00845687">
      <w:pPr>
        <w:rPr>
          <w:rFonts w:eastAsia="Times New Roman" w:cs="Arial"/>
          <w:i/>
          <w:iCs/>
          <w:color w:val="000000"/>
          <w:lang w:eastAsia="bg-BG"/>
        </w:rPr>
      </w:pPr>
    </w:p>
    <w:p w14:paraId="747CE609" w14:textId="77777777" w:rsidR="00845687" w:rsidRPr="00845687" w:rsidRDefault="00845687" w:rsidP="00845687">
      <w:pPr>
        <w:spacing w:line="240" w:lineRule="auto"/>
        <w:rPr>
          <w:rFonts w:eastAsia="Times New Roman" w:cs="Arial"/>
          <w:lang w:eastAsia="bg-BG"/>
        </w:rPr>
      </w:pPr>
      <w:r w:rsidRPr="00845687">
        <w:rPr>
          <w:rFonts w:eastAsia="Times New Roman" w:cs="Arial"/>
          <w:color w:val="000000"/>
          <w:lang w:eastAsia="bg-BG"/>
        </w:rPr>
        <w:t>Дневната доза трябва да се индивидуализира в зависимост от бъбречната функция.</w:t>
      </w:r>
    </w:p>
    <w:p w14:paraId="5EE2E84C" w14:textId="77777777" w:rsidR="00845687" w:rsidRDefault="00845687" w:rsidP="00845687">
      <w:pPr>
        <w:spacing w:line="240" w:lineRule="auto"/>
        <w:rPr>
          <w:rFonts w:eastAsia="Times New Roman" w:cs="Arial"/>
          <w:color w:val="000000"/>
          <w:lang w:eastAsia="bg-BG"/>
        </w:rPr>
      </w:pPr>
    </w:p>
    <w:p w14:paraId="7691D1E4" w14:textId="4505D173" w:rsidR="00845687" w:rsidRPr="00845687" w:rsidRDefault="00845687" w:rsidP="00845687">
      <w:pPr>
        <w:spacing w:line="240" w:lineRule="auto"/>
        <w:rPr>
          <w:rFonts w:eastAsia="Times New Roman" w:cs="Arial"/>
          <w:color w:val="000000"/>
          <w:lang w:eastAsia="bg-BG"/>
        </w:rPr>
      </w:pPr>
      <w:r w:rsidRPr="00845687">
        <w:rPr>
          <w:rFonts w:eastAsia="Times New Roman" w:cs="Arial"/>
          <w:color w:val="000000"/>
          <w:lang w:eastAsia="bg-BG"/>
        </w:rPr>
        <w:t xml:space="preserve">При възрастни пациенти използвайте приложената по-долу таблица за адаптиране на дозата. За Прилагане на тази таблица е необходимо да се знае креатининовия клирънс на пациента, изразен в </w:t>
      </w:r>
      <w:r w:rsidRPr="00845687">
        <w:rPr>
          <w:rFonts w:eastAsia="Times New Roman" w:cs="Arial"/>
          <w:color w:val="000000"/>
          <w:lang w:val="en-US"/>
        </w:rPr>
        <w:t>ml/min (</w:t>
      </w: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w:t>
      </w:r>
      <w:r w:rsidRPr="00845687">
        <w:rPr>
          <w:rFonts w:eastAsia="Times New Roman" w:cs="Arial"/>
          <w:color w:val="000000"/>
          <w:lang w:eastAsia="bg-BG"/>
        </w:rPr>
        <w:t xml:space="preserve">При възрастни и юноши с тегло над 50 </w:t>
      </w:r>
      <w:r w:rsidRPr="00845687">
        <w:rPr>
          <w:rFonts w:eastAsia="Times New Roman" w:cs="Arial"/>
          <w:color w:val="000000"/>
          <w:lang w:val="en-US"/>
        </w:rPr>
        <w:t xml:space="preserve">kg </w:t>
      </w: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w:t>
      </w:r>
      <w:r w:rsidRPr="00845687">
        <w:rPr>
          <w:rFonts w:eastAsia="Times New Roman" w:cs="Arial"/>
          <w:color w:val="000000"/>
          <w:lang w:eastAsia="bg-BG"/>
        </w:rPr>
        <w:t xml:space="preserve">в </w:t>
      </w:r>
      <w:r w:rsidRPr="00845687">
        <w:rPr>
          <w:rFonts w:eastAsia="Times New Roman" w:cs="Arial"/>
          <w:color w:val="000000"/>
          <w:lang w:val="en-US"/>
        </w:rPr>
        <w:t xml:space="preserve">ml/min </w:t>
      </w:r>
      <w:r w:rsidRPr="00845687">
        <w:rPr>
          <w:rFonts w:eastAsia="Times New Roman" w:cs="Arial"/>
          <w:color w:val="000000"/>
          <w:lang w:eastAsia="bg-BG"/>
        </w:rPr>
        <w:t xml:space="preserve">може да се </w:t>
      </w:r>
      <w:r>
        <w:rPr>
          <w:rFonts w:eastAsia="Times New Roman" w:cs="Arial"/>
          <w:color w:val="000000"/>
          <w:lang w:eastAsia="bg-BG"/>
        </w:rPr>
        <w:t>о</w:t>
      </w:r>
      <w:r w:rsidRPr="00845687">
        <w:rPr>
          <w:rFonts w:eastAsia="Times New Roman" w:cs="Arial"/>
          <w:color w:val="000000"/>
          <w:lang w:eastAsia="bg-BG"/>
        </w:rPr>
        <w:t xml:space="preserve">предели от серумния креатинин </w:t>
      </w:r>
      <w:r w:rsidRPr="00845687">
        <w:rPr>
          <w:rFonts w:eastAsia="Times New Roman" w:cs="Arial"/>
          <w:color w:val="000000"/>
          <w:lang w:val="en-US"/>
        </w:rPr>
        <w:t xml:space="preserve">(mg/dl) </w:t>
      </w:r>
      <w:r w:rsidRPr="00845687">
        <w:rPr>
          <w:rFonts w:eastAsia="Times New Roman" w:cs="Arial"/>
          <w:color w:val="000000"/>
          <w:lang w:eastAsia="bg-BG"/>
        </w:rPr>
        <w:t>чрез следната формула:</w:t>
      </w:r>
    </w:p>
    <w:p w14:paraId="2933C0E8" w14:textId="77777777" w:rsidR="00845687" w:rsidRDefault="00845687" w:rsidP="00845687">
      <w:pPr>
        <w:spacing w:line="240" w:lineRule="auto"/>
        <w:jc w:val="center"/>
        <w:rPr>
          <w:rFonts w:eastAsia="Times New Roman" w:cs="Arial"/>
          <w:color w:val="000000"/>
          <w:lang w:eastAsia="bg-BG"/>
        </w:rPr>
      </w:pPr>
    </w:p>
    <w:p w14:paraId="532E03F3" w14:textId="41F68406" w:rsidR="00845687" w:rsidRPr="00845687" w:rsidRDefault="00845687" w:rsidP="00845687">
      <w:pPr>
        <w:spacing w:line="240" w:lineRule="auto"/>
        <w:jc w:val="center"/>
        <w:rPr>
          <w:rFonts w:eastAsia="Times New Roman" w:cs="Arial"/>
          <w:lang w:eastAsia="bg-BG"/>
        </w:rPr>
      </w:pPr>
      <w:r w:rsidRPr="00845687">
        <w:rPr>
          <w:rFonts w:eastAsia="Times New Roman" w:cs="Arial"/>
          <w:color w:val="000000"/>
          <w:lang w:eastAsia="bg-BG"/>
        </w:rPr>
        <w:t xml:space="preserve">[140-възрастта (години)] х тегло </w:t>
      </w:r>
      <w:r w:rsidRPr="00845687">
        <w:rPr>
          <w:rFonts w:eastAsia="Times New Roman" w:cs="Arial"/>
          <w:color w:val="000000"/>
          <w:lang w:val="en-US"/>
        </w:rPr>
        <w:t>(kg)</w:t>
      </w:r>
    </w:p>
    <w:p w14:paraId="5B5EBAFE" w14:textId="77777777" w:rsidR="00845687" w:rsidRDefault="00845687" w:rsidP="00845687">
      <w:pPr>
        <w:spacing w:line="240" w:lineRule="auto"/>
        <w:jc w:val="center"/>
        <w:rPr>
          <w:rFonts w:eastAsia="Times New Roman" w:cs="Arial"/>
          <w:color w:val="000000"/>
          <w:lang w:val="en-US"/>
        </w:rPr>
      </w:pPr>
    </w:p>
    <w:p w14:paraId="275A5F50" w14:textId="417C5F3F" w:rsidR="00845687" w:rsidRPr="00845687" w:rsidRDefault="00845687" w:rsidP="00845687">
      <w:pPr>
        <w:spacing w:line="240" w:lineRule="auto"/>
        <w:jc w:val="center"/>
        <w:rPr>
          <w:rFonts w:eastAsia="Times New Roman" w:cs="Arial"/>
          <w:lang w:eastAsia="bg-BG"/>
        </w:rPr>
      </w:pPr>
      <w:proofErr w:type="spellStart"/>
      <w:proofErr w:type="gramStart"/>
      <w:r w:rsidRPr="00845687">
        <w:rPr>
          <w:rFonts w:eastAsia="Times New Roman" w:cs="Arial"/>
          <w:color w:val="000000"/>
          <w:lang w:val="en-US"/>
        </w:rPr>
        <w:t>CLcr</w:t>
      </w:r>
      <w:proofErr w:type="spellEnd"/>
      <w:r w:rsidRPr="00845687">
        <w:rPr>
          <w:rFonts w:eastAsia="Times New Roman" w:cs="Arial"/>
          <w:color w:val="000000"/>
          <w:lang w:val="en-US"/>
        </w:rPr>
        <w:t>(</w:t>
      </w:r>
      <w:proofErr w:type="gramEnd"/>
      <w:r w:rsidRPr="00845687">
        <w:rPr>
          <w:rFonts w:eastAsia="Times New Roman" w:cs="Arial"/>
          <w:color w:val="000000"/>
          <w:lang w:val="en-US"/>
        </w:rPr>
        <w:t xml:space="preserve">ml/min) </w:t>
      </w:r>
      <w:r w:rsidRPr="00845687">
        <w:rPr>
          <w:rFonts w:eastAsia="Times New Roman" w:cs="Arial"/>
          <w:color w:val="000000"/>
          <w:lang w:eastAsia="bg-BG"/>
        </w:rPr>
        <w:t xml:space="preserve"> </w:t>
      </w:r>
      <w:r w:rsidRPr="00845687">
        <w:rPr>
          <w:rFonts w:eastAsia="Times New Roman" w:cs="Arial"/>
          <w:color w:val="000000"/>
          <w:lang w:eastAsia="bg-BG"/>
        </w:rPr>
        <w:tab/>
      </w:r>
      <w:r w:rsidRPr="00845687">
        <w:rPr>
          <w:rFonts w:eastAsia="Times New Roman" w:cs="Arial"/>
          <w:color w:val="000000"/>
          <w:lang w:eastAsia="bg-BG"/>
        </w:rPr>
        <w:tab/>
      </w:r>
      <w:r w:rsidRPr="00845687">
        <w:rPr>
          <w:rFonts w:eastAsia="Times New Roman" w:cs="Arial"/>
          <w:color w:val="000000"/>
          <w:lang w:eastAsia="bg-BG"/>
        </w:rPr>
        <w:tab/>
        <w:t>—</w:t>
      </w:r>
      <w:r w:rsidRPr="00845687">
        <w:rPr>
          <w:rFonts w:eastAsia="Times New Roman" w:cs="Arial"/>
          <w:color w:val="000000"/>
          <w:lang w:eastAsia="bg-BG"/>
        </w:rPr>
        <w:tab/>
        <w:t>—</w:t>
      </w:r>
      <w:r w:rsidRPr="00845687">
        <w:rPr>
          <w:rFonts w:eastAsia="Times New Roman" w:cs="Arial"/>
          <w:color w:val="000000"/>
          <w:lang w:eastAsia="bg-BG"/>
        </w:rPr>
        <w:tab/>
        <w:t>(х 0.85 при жени)</w:t>
      </w:r>
    </w:p>
    <w:p w14:paraId="0028FD40" w14:textId="77777777" w:rsidR="00845687" w:rsidRDefault="00845687" w:rsidP="00845687">
      <w:pPr>
        <w:spacing w:line="240" w:lineRule="auto"/>
        <w:jc w:val="center"/>
        <w:rPr>
          <w:rFonts w:eastAsia="Times New Roman" w:cs="Arial"/>
          <w:color w:val="000000"/>
          <w:lang w:eastAsia="bg-BG"/>
        </w:rPr>
      </w:pPr>
    </w:p>
    <w:p w14:paraId="51075854" w14:textId="5C388A92" w:rsidR="00845687" w:rsidRPr="00845687" w:rsidRDefault="00845687" w:rsidP="00845687">
      <w:pPr>
        <w:spacing w:line="240" w:lineRule="auto"/>
        <w:jc w:val="center"/>
        <w:rPr>
          <w:rFonts w:eastAsia="Times New Roman" w:cs="Arial"/>
          <w:lang w:eastAsia="bg-BG"/>
        </w:rPr>
      </w:pPr>
      <w:r w:rsidRPr="00845687">
        <w:rPr>
          <w:rFonts w:eastAsia="Times New Roman" w:cs="Arial"/>
          <w:color w:val="000000"/>
          <w:lang w:eastAsia="bg-BG"/>
        </w:rPr>
        <w:t xml:space="preserve">72 х серумен креатинин </w:t>
      </w:r>
      <w:r w:rsidRPr="00845687">
        <w:rPr>
          <w:rFonts w:eastAsia="Times New Roman" w:cs="Arial"/>
          <w:color w:val="000000"/>
          <w:lang w:val="en-US"/>
        </w:rPr>
        <w:t>(mg/dl)</w:t>
      </w:r>
    </w:p>
    <w:p w14:paraId="68ADC74D" w14:textId="77777777" w:rsidR="00845687" w:rsidRDefault="00845687" w:rsidP="00845687">
      <w:pPr>
        <w:spacing w:line="240" w:lineRule="auto"/>
        <w:jc w:val="center"/>
        <w:rPr>
          <w:rFonts w:eastAsia="Times New Roman" w:cs="Arial"/>
          <w:color w:val="000000"/>
          <w:lang w:eastAsia="bg-BG"/>
        </w:rPr>
      </w:pPr>
    </w:p>
    <w:p w14:paraId="21D4674F" w14:textId="3F883D8B" w:rsidR="00845687" w:rsidRPr="00845687" w:rsidRDefault="00845687" w:rsidP="00845687">
      <w:pPr>
        <w:spacing w:line="240" w:lineRule="auto"/>
        <w:jc w:val="center"/>
        <w:rPr>
          <w:rFonts w:eastAsia="Times New Roman" w:cs="Arial"/>
          <w:lang w:eastAsia="bg-BG"/>
        </w:rPr>
      </w:pPr>
      <w:r w:rsidRPr="00845687">
        <w:rPr>
          <w:rFonts w:eastAsia="Times New Roman" w:cs="Arial"/>
          <w:color w:val="000000"/>
          <w:lang w:eastAsia="bg-BG"/>
        </w:rPr>
        <w:t xml:space="preserve">Като </w:t>
      </w: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w:t>
      </w:r>
      <w:r w:rsidRPr="00845687">
        <w:rPr>
          <w:rFonts w:eastAsia="Times New Roman" w:cs="Arial"/>
          <w:color w:val="000000"/>
          <w:lang w:eastAsia="bg-BG"/>
        </w:rPr>
        <w:t xml:space="preserve">се адаптира спрямо телесната повърхност </w:t>
      </w:r>
      <w:r w:rsidRPr="00845687">
        <w:rPr>
          <w:rFonts w:eastAsia="Times New Roman" w:cs="Arial"/>
          <w:color w:val="000000"/>
          <w:lang w:val="en-US"/>
        </w:rPr>
        <w:t xml:space="preserve">(BSA) </w:t>
      </w:r>
      <w:r w:rsidRPr="00845687">
        <w:rPr>
          <w:rFonts w:eastAsia="Times New Roman" w:cs="Arial"/>
          <w:color w:val="000000"/>
          <w:lang w:eastAsia="bg-BG"/>
        </w:rPr>
        <w:t>както следва:</w:t>
      </w:r>
    </w:p>
    <w:p w14:paraId="08C27FF8" w14:textId="77777777" w:rsidR="00845687" w:rsidRDefault="00845687" w:rsidP="00845687">
      <w:pPr>
        <w:spacing w:line="240" w:lineRule="auto"/>
        <w:jc w:val="center"/>
        <w:rPr>
          <w:rFonts w:eastAsia="Times New Roman" w:cs="Arial"/>
          <w:color w:val="000000"/>
          <w:lang w:val="en-US"/>
        </w:rPr>
      </w:pPr>
    </w:p>
    <w:p w14:paraId="6C8BFE8A" w14:textId="6DC3B9F9" w:rsidR="00845687" w:rsidRPr="00845687" w:rsidRDefault="00845687" w:rsidP="00845687">
      <w:pPr>
        <w:spacing w:line="240" w:lineRule="auto"/>
        <w:jc w:val="center"/>
        <w:rPr>
          <w:rFonts w:eastAsia="Times New Roman" w:cs="Arial"/>
          <w:lang w:eastAsia="bg-BG"/>
        </w:rPr>
      </w:pP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(ml/min)</w:t>
      </w:r>
    </w:p>
    <w:p w14:paraId="1C6FB3BF" w14:textId="77777777" w:rsidR="00845687" w:rsidRDefault="00845687" w:rsidP="00845687">
      <w:pPr>
        <w:spacing w:line="240" w:lineRule="auto"/>
        <w:jc w:val="center"/>
        <w:rPr>
          <w:rFonts w:eastAsia="Times New Roman" w:cs="Arial"/>
          <w:color w:val="000000"/>
          <w:lang w:val="en-US"/>
        </w:rPr>
      </w:pPr>
    </w:p>
    <w:p w14:paraId="51B0E0DA" w14:textId="28B3FFF9" w:rsidR="00845687" w:rsidRPr="00845687" w:rsidRDefault="00845687" w:rsidP="00845687">
      <w:pPr>
        <w:spacing w:line="240" w:lineRule="auto"/>
        <w:jc w:val="center"/>
        <w:rPr>
          <w:rFonts w:eastAsia="Times New Roman" w:cs="Arial"/>
          <w:lang w:eastAsia="bg-BG"/>
        </w:rPr>
      </w:pPr>
      <w:proofErr w:type="spellStart"/>
      <w:r w:rsidRPr="00845687">
        <w:rPr>
          <w:rFonts w:eastAsia="Times New Roman" w:cs="Arial"/>
          <w:color w:val="000000"/>
          <w:lang w:val="en-US"/>
        </w:rPr>
        <w:t>CLcr</w:t>
      </w:r>
      <w:proofErr w:type="spellEnd"/>
      <w:r w:rsidRPr="00845687">
        <w:rPr>
          <w:rFonts w:eastAsia="Times New Roman" w:cs="Arial"/>
          <w:color w:val="000000"/>
          <w:lang w:val="en-US"/>
        </w:rPr>
        <w:t xml:space="preserve"> (ml/min/1.73 m</w:t>
      </w:r>
      <w:r w:rsidRPr="00845687">
        <w:rPr>
          <w:rFonts w:eastAsia="Times New Roman" w:cs="Arial"/>
          <w:color w:val="000000"/>
          <w:vertAlign w:val="superscript"/>
          <w:lang w:val="en-US"/>
        </w:rPr>
        <w:t>2</w:t>
      </w:r>
      <w:r w:rsidRPr="00845687">
        <w:rPr>
          <w:rFonts w:eastAsia="Times New Roman" w:cs="Arial"/>
          <w:color w:val="000000"/>
          <w:lang w:val="en-US"/>
        </w:rPr>
        <w:t>) =</w:t>
      </w:r>
      <w:r w:rsidRPr="00845687">
        <w:rPr>
          <w:rFonts w:eastAsia="Times New Roman" w:cs="Arial"/>
          <w:color w:val="000000"/>
          <w:lang w:val="en-US"/>
        </w:rPr>
        <w:tab/>
        <w:t>x 1.73</w:t>
      </w:r>
    </w:p>
    <w:p w14:paraId="7816CCD4" w14:textId="77777777" w:rsidR="00845687" w:rsidRDefault="00845687" w:rsidP="00845687">
      <w:pPr>
        <w:jc w:val="center"/>
        <w:rPr>
          <w:rFonts w:eastAsia="Times New Roman" w:cs="Arial"/>
          <w:color w:val="000000"/>
          <w:lang w:val="en-US"/>
        </w:rPr>
      </w:pPr>
    </w:p>
    <w:p w14:paraId="090CF240" w14:textId="0B40F907" w:rsidR="00845687" w:rsidRDefault="00845687" w:rsidP="00845687">
      <w:pPr>
        <w:jc w:val="center"/>
        <w:rPr>
          <w:rFonts w:eastAsia="Times New Roman" w:cs="Arial"/>
          <w:color w:val="000000"/>
          <w:lang w:val="en-US"/>
        </w:rPr>
      </w:pPr>
      <w:r w:rsidRPr="00845687">
        <w:rPr>
          <w:rFonts w:eastAsia="Times New Roman" w:cs="Arial"/>
          <w:color w:val="000000"/>
          <w:lang w:val="en-US"/>
        </w:rPr>
        <w:t xml:space="preserve">BSA </w:t>
      </w:r>
      <w:r w:rsidRPr="00845687">
        <w:rPr>
          <w:rFonts w:eastAsia="Times New Roman" w:cs="Arial"/>
          <w:color w:val="000000"/>
          <w:lang w:eastAsia="bg-BG"/>
        </w:rPr>
        <w:t xml:space="preserve">пациент </w:t>
      </w:r>
      <w:r w:rsidRPr="00845687">
        <w:rPr>
          <w:rFonts w:eastAsia="Times New Roman" w:cs="Arial"/>
          <w:color w:val="000000"/>
          <w:lang w:val="en-US"/>
        </w:rPr>
        <w:t>(m</w:t>
      </w:r>
      <w:r w:rsidRPr="00845687">
        <w:rPr>
          <w:rFonts w:eastAsia="Times New Roman" w:cs="Arial"/>
          <w:color w:val="000000"/>
          <w:vertAlign w:val="superscript"/>
          <w:lang w:val="en-US"/>
        </w:rPr>
        <w:t>2</w:t>
      </w:r>
      <w:r w:rsidRPr="00845687">
        <w:rPr>
          <w:rFonts w:eastAsia="Times New Roman" w:cs="Arial"/>
          <w:color w:val="000000"/>
          <w:lang w:val="en-US"/>
        </w:rPr>
        <w:t>)</w:t>
      </w:r>
    </w:p>
    <w:p w14:paraId="569E499F" w14:textId="117B4EED" w:rsidR="00845687" w:rsidRDefault="00845687" w:rsidP="00845687">
      <w:pPr>
        <w:jc w:val="center"/>
        <w:rPr>
          <w:rFonts w:eastAsia="Times New Roman" w:cs="Arial"/>
          <w:color w:val="000000"/>
          <w:lang w:val="en-US"/>
        </w:rPr>
      </w:pPr>
    </w:p>
    <w:p w14:paraId="428F9EBB" w14:textId="4A84E1F1" w:rsidR="00845687" w:rsidRDefault="00845687" w:rsidP="00845687">
      <w:r w:rsidRPr="00845687">
        <w:t xml:space="preserve">Адаптиране на дозата при възрастни и юноши с тегло над 50 </w:t>
      </w:r>
      <w:r w:rsidRPr="00845687">
        <w:rPr>
          <w:lang w:val="en-US"/>
        </w:rPr>
        <w:t xml:space="preserve">kg </w:t>
      </w:r>
      <w:r w:rsidRPr="00845687">
        <w:t>с нарушена бъбречна функция</w:t>
      </w:r>
    </w:p>
    <w:tbl>
      <w:tblPr>
        <w:tblStyle w:val="TableGrid"/>
        <w:tblW w:w="0" w:type="auto"/>
        <w:tblLook w:val="04A0" w:firstRow="1" w:lastRow="0" w:firstColumn="1" w:lastColumn="0" w:noHBand="0" w:noVBand="1"/>
      </w:tblPr>
      <w:tblGrid>
        <w:gridCol w:w="3111"/>
        <w:gridCol w:w="3126"/>
        <w:gridCol w:w="3113"/>
      </w:tblGrid>
      <w:tr w:rsidR="00845687" w14:paraId="3C2519FC" w14:textId="77777777" w:rsidTr="00845687">
        <w:tc>
          <w:tcPr>
            <w:tcW w:w="3166" w:type="dxa"/>
          </w:tcPr>
          <w:p w14:paraId="75546D4F" w14:textId="72625DAF" w:rsidR="00845687" w:rsidRPr="00CC7B2D" w:rsidRDefault="00845687" w:rsidP="00845687">
            <w:pPr>
              <w:rPr>
                <w:rFonts w:cs="Arial"/>
              </w:rPr>
            </w:pPr>
            <w:r w:rsidRPr="00CC7B2D">
              <w:t>Група</w:t>
            </w:r>
          </w:p>
        </w:tc>
        <w:tc>
          <w:tcPr>
            <w:tcW w:w="3167" w:type="dxa"/>
          </w:tcPr>
          <w:p w14:paraId="42F260EB" w14:textId="42B102A0" w:rsidR="00845687" w:rsidRPr="00CC7B2D" w:rsidRDefault="00845687" w:rsidP="00845687">
            <w:pPr>
              <w:jc w:val="center"/>
              <w:rPr>
                <w:rFonts w:cs="Arial"/>
              </w:rPr>
            </w:pPr>
            <w:r w:rsidRPr="00CC7B2D">
              <w:t xml:space="preserve">Креатининов клирънс </w:t>
            </w:r>
            <w:r w:rsidRPr="00CC7B2D">
              <w:rPr>
                <w:lang w:val="en-US"/>
              </w:rPr>
              <w:t>(ml/min/l,73m2)</w:t>
            </w:r>
          </w:p>
        </w:tc>
        <w:tc>
          <w:tcPr>
            <w:tcW w:w="3167" w:type="dxa"/>
          </w:tcPr>
          <w:p w14:paraId="677CDC87" w14:textId="1BBE9E4D" w:rsidR="00845687" w:rsidRPr="00CC7B2D" w:rsidRDefault="00845687" w:rsidP="00845687">
            <w:pPr>
              <w:jc w:val="center"/>
              <w:rPr>
                <w:rFonts w:cs="Arial"/>
              </w:rPr>
            </w:pPr>
            <w:r w:rsidRPr="00CC7B2D">
              <w:t>Доза и честота на прилагане</w:t>
            </w:r>
          </w:p>
        </w:tc>
      </w:tr>
      <w:tr w:rsidR="00845687" w14:paraId="079EC9D3" w14:textId="77777777" w:rsidTr="00845687">
        <w:tc>
          <w:tcPr>
            <w:tcW w:w="3166" w:type="dxa"/>
          </w:tcPr>
          <w:p w14:paraId="7662A472" w14:textId="7ACBB235" w:rsidR="00845687" w:rsidRPr="00845687" w:rsidRDefault="00845687" w:rsidP="00845687">
            <w:pPr>
              <w:rPr>
                <w:rFonts w:cs="Arial"/>
              </w:rPr>
            </w:pPr>
            <w:r w:rsidRPr="00845687">
              <w:t>Нормална</w:t>
            </w:r>
          </w:p>
        </w:tc>
        <w:tc>
          <w:tcPr>
            <w:tcW w:w="3167" w:type="dxa"/>
          </w:tcPr>
          <w:p w14:paraId="414BA9B1" w14:textId="73808AF8" w:rsidR="00845687" w:rsidRPr="00845687" w:rsidRDefault="00845687" w:rsidP="00845687">
            <w:pPr>
              <w:jc w:val="center"/>
              <w:rPr>
                <w:rFonts w:cs="Arial"/>
              </w:rPr>
            </w:pPr>
            <w:r w:rsidRPr="00845687">
              <w:t>≥80</w:t>
            </w:r>
          </w:p>
        </w:tc>
        <w:tc>
          <w:tcPr>
            <w:tcW w:w="3167" w:type="dxa"/>
          </w:tcPr>
          <w:p w14:paraId="0EB9C3F2" w14:textId="256045B4" w:rsidR="00845687" w:rsidRPr="00845687" w:rsidRDefault="00845687" w:rsidP="00845687">
            <w:pPr>
              <w:jc w:val="center"/>
              <w:rPr>
                <w:rFonts w:cs="Arial"/>
              </w:rPr>
            </w:pPr>
            <w:r w:rsidRPr="00845687">
              <w:t xml:space="preserve">500 до 1 500 </w:t>
            </w:r>
            <w:r w:rsidRPr="00845687">
              <w:rPr>
                <w:lang w:val="en-US"/>
              </w:rPr>
              <w:t xml:space="preserve">mg </w:t>
            </w:r>
            <w:r w:rsidRPr="00845687">
              <w:t>два пъти дневно</w:t>
            </w:r>
          </w:p>
        </w:tc>
      </w:tr>
      <w:tr w:rsidR="00845687" w14:paraId="0831B8D5" w14:textId="77777777" w:rsidTr="00845687">
        <w:tc>
          <w:tcPr>
            <w:tcW w:w="3166" w:type="dxa"/>
          </w:tcPr>
          <w:p w14:paraId="71B14BE3" w14:textId="795EDCBC" w:rsidR="00845687" w:rsidRPr="00845687" w:rsidRDefault="00845687" w:rsidP="00845687">
            <w:pPr>
              <w:rPr>
                <w:rFonts w:cs="Arial"/>
              </w:rPr>
            </w:pPr>
            <w:r w:rsidRPr="00845687">
              <w:t>Лека</w:t>
            </w:r>
          </w:p>
        </w:tc>
        <w:tc>
          <w:tcPr>
            <w:tcW w:w="3167" w:type="dxa"/>
          </w:tcPr>
          <w:p w14:paraId="39B9320F" w14:textId="47470A0A" w:rsidR="00845687" w:rsidRPr="00845687" w:rsidRDefault="00845687" w:rsidP="00845687">
            <w:pPr>
              <w:jc w:val="center"/>
              <w:rPr>
                <w:rFonts w:cs="Arial"/>
              </w:rPr>
            </w:pPr>
            <w:r w:rsidRPr="00845687">
              <w:t>50-79</w:t>
            </w:r>
          </w:p>
        </w:tc>
        <w:tc>
          <w:tcPr>
            <w:tcW w:w="3167" w:type="dxa"/>
          </w:tcPr>
          <w:p w14:paraId="10C24730" w14:textId="0B58F149" w:rsidR="00845687" w:rsidRPr="00845687" w:rsidRDefault="00845687" w:rsidP="00845687">
            <w:pPr>
              <w:jc w:val="center"/>
              <w:rPr>
                <w:rFonts w:cs="Arial"/>
              </w:rPr>
            </w:pPr>
            <w:r w:rsidRPr="00845687">
              <w:t xml:space="preserve">500 до 1 000 </w:t>
            </w:r>
            <w:r w:rsidRPr="00845687">
              <w:rPr>
                <w:lang w:val="en-US"/>
              </w:rPr>
              <w:t xml:space="preserve">mg </w:t>
            </w:r>
            <w:r w:rsidRPr="00845687">
              <w:t>два пъти дневно</w:t>
            </w:r>
          </w:p>
        </w:tc>
      </w:tr>
      <w:tr w:rsidR="00845687" w14:paraId="45B02FA6" w14:textId="77777777" w:rsidTr="00845687">
        <w:tc>
          <w:tcPr>
            <w:tcW w:w="3166" w:type="dxa"/>
          </w:tcPr>
          <w:p w14:paraId="768C8649" w14:textId="6E2D3437" w:rsidR="00845687" w:rsidRPr="00845687" w:rsidRDefault="00845687" w:rsidP="00845687">
            <w:pPr>
              <w:rPr>
                <w:rFonts w:cs="Arial"/>
              </w:rPr>
            </w:pPr>
            <w:r w:rsidRPr="00845687">
              <w:t>Умерена</w:t>
            </w:r>
          </w:p>
        </w:tc>
        <w:tc>
          <w:tcPr>
            <w:tcW w:w="3167" w:type="dxa"/>
          </w:tcPr>
          <w:p w14:paraId="0808A698" w14:textId="573912BF" w:rsidR="00845687" w:rsidRPr="00845687" w:rsidRDefault="00845687" w:rsidP="00845687">
            <w:pPr>
              <w:jc w:val="center"/>
              <w:rPr>
                <w:rFonts w:cs="Arial"/>
              </w:rPr>
            </w:pPr>
            <w:r w:rsidRPr="00845687">
              <w:t>30-49</w:t>
            </w:r>
          </w:p>
        </w:tc>
        <w:tc>
          <w:tcPr>
            <w:tcW w:w="3167" w:type="dxa"/>
          </w:tcPr>
          <w:p w14:paraId="4EEBC34D" w14:textId="3E0519AD" w:rsidR="00845687" w:rsidRPr="00845687" w:rsidRDefault="00845687" w:rsidP="00845687">
            <w:pPr>
              <w:jc w:val="center"/>
              <w:rPr>
                <w:rFonts w:cs="Arial"/>
              </w:rPr>
            </w:pPr>
            <w:r w:rsidRPr="00845687">
              <w:t xml:space="preserve">250 до 750 </w:t>
            </w:r>
            <w:r w:rsidRPr="00845687">
              <w:rPr>
                <w:lang w:val="en-US"/>
              </w:rPr>
              <w:t xml:space="preserve">mg </w:t>
            </w:r>
            <w:r w:rsidR="00CC7B2D">
              <w:t>два пъти дневно</w:t>
            </w:r>
          </w:p>
        </w:tc>
      </w:tr>
      <w:tr w:rsidR="00845687" w14:paraId="5340A89B" w14:textId="77777777" w:rsidTr="00845687">
        <w:tc>
          <w:tcPr>
            <w:tcW w:w="3166" w:type="dxa"/>
          </w:tcPr>
          <w:p w14:paraId="1320C282" w14:textId="2F57C12C" w:rsidR="00845687" w:rsidRPr="00845687" w:rsidRDefault="00845687" w:rsidP="00845687">
            <w:pPr>
              <w:rPr>
                <w:rFonts w:cs="Arial"/>
              </w:rPr>
            </w:pPr>
            <w:r w:rsidRPr="00845687">
              <w:t>Тежка</w:t>
            </w:r>
          </w:p>
        </w:tc>
        <w:tc>
          <w:tcPr>
            <w:tcW w:w="3167" w:type="dxa"/>
          </w:tcPr>
          <w:p w14:paraId="6AD2A87A" w14:textId="549A7EA3" w:rsidR="00845687" w:rsidRPr="00845687" w:rsidRDefault="00845687" w:rsidP="00845687">
            <w:pPr>
              <w:jc w:val="center"/>
              <w:rPr>
                <w:rFonts w:cs="Arial"/>
              </w:rPr>
            </w:pPr>
            <w:r w:rsidRPr="00845687">
              <w:t>&lt;30</w:t>
            </w:r>
          </w:p>
        </w:tc>
        <w:tc>
          <w:tcPr>
            <w:tcW w:w="3167" w:type="dxa"/>
          </w:tcPr>
          <w:p w14:paraId="2E963374" w14:textId="45F92242" w:rsidR="00845687" w:rsidRPr="00845687" w:rsidRDefault="00845687" w:rsidP="00845687">
            <w:pPr>
              <w:jc w:val="center"/>
              <w:rPr>
                <w:rFonts w:cs="Arial"/>
              </w:rPr>
            </w:pPr>
            <w:r w:rsidRPr="00845687">
              <w:t xml:space="preserve">250 до 500 </w:t>
            </w:r>
            <w:r w:rsidRPr="00845687">
              <w:rPr>
                <w:lang w:val="en-US"/>
              </w:rPr>
              <w:t xml:space="preserve">mg </w:t>
            </w:r>
            <w:r w:rsidRPr="00845687">
              <w:t>два пъти дневно</w:t>
            </w:r>
          </w:p>
        </w:tc>
      </w:tr>
    </w:tbl>
    <w:p w14:paraId="6D1328E6"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Пациенти в краен</w:t>
      </w:r>
    </w:p>
    <w:p w14:paraId="1314F7E5"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стадий</w:t>
      </w:r>
    </w:p>
    <w:p w14:paraId="2676B4E1"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на бъбречна недостатъчност</w:t>
      </w:r>
      <w:r w:rsidRPr="00CC7B2D">
        <w:rPr>
          <w:rFonts w:eastAsia="Times New Roman" w:cs="Arial"/>
          <w:color w:val="000000"/>
          <w:lang w:eastAsia="bg-BG"/>
        </w:rPr>
        <w:tab/>
        <w:t xml:space="preserve">500 до 1000 </w:t>
      </w:r>
      <w:r w:rsidRPr="00CC7B2D">
        <w:rPr>
          <w:rFonts w:eastAsia="Times New Roman" w:cs="Arial"/>
          <w:color w:val="000000"/>
          <w:lang w:val="en-US"/>
        </w:rPr>
        <w:t xml:space="preserve">mg </w:t>
      </w:r>
      <w:r w:rsidRPr="00CC7B2D">
        <w:rPr>
          <w:rFonts w:eastAsia="Times New Roman" w:cs="Arial"/>
          <w:color w:val="000000"/>
          <w:lang w:eastAsia="bg-BG"/>
        </w:rPr>
        <w:t>веднъж дневно (2)</w:t>
      </w:r>
    </w:p>
    <w:p w14:paraId="3305E76B" w14:textId="1C8FE38B" w:rsidR="00CC7B2D" w:rsidRPr="00CC7B2D" w:rsidRDefault="00CC7B2D" w:rsidP="00CC7B2D">
      <w:pPr>
        <w:spacing w:line="240" w:lineRule="auto"/>
        <w:rPr>
          <w:rFonts w:eastAsia="Times New Roman" w:cs="Arial"/>
          <w:lang w:eastAsia="bg-BG"/>
        </w:rPr>
      </w:pPr>
      <w:r>
        <w:rPr>
          <w:rFonts w:eastAsia="Times New Roman" w:cs="Arial"/>
          <w:color w:val="000000"/>
          <w:lang w:eastAsia="bg-BG"/>
        </w:rPr>
        <w:t>на диализа(1)</w:t>
      </w:r>
      <w:r>
        <w:rPr>
          <w:rFonts w:eastAsia="Times New Roman" w:cs="Arial"/>
          <w:color w:val="000000"/>
          <w:lang w:eastAsia="bg-BG"/>
        </w:rPr>
        <w:tab/>
      </w:r>
    </w:p>
    <w:p w14:paraId="0788790F" w14:textId="77777777" w:rsidR="00CC7B2D" w:rsidRDefault="00CC7B2D" w:rsidP="00CC7B2D">
      <w:pPr>
        <w:spacing w:line="240" w:lineRule="auto"/>
        <w:rPr>
          <w:rFonts w:eastAsia="Times New Roman" w:cs="Arial"/>
          <w:color w:val="000000"/>
          <w:lang w:eastAsia="bg-BG"/>
        </w:rPr>
      </w:pPr>
      <w:r w:rsidRPr="00CC7B2D">
        <w:rPr>
          <w:rFonts w:eastAsia="Times New Roman" w:cs="Arial"/>
          <w:color w:val="000000"/>
          <w:lang w:eastAsia="bg-BG"/>
        </w:rPr>
        <w:lastRenderedPageBreak/>
        <w:t xml:space="preserve">(1) През първия ден на лечението се препоръчва натоварваща доза от 750 </w:t>
      </w:r>
      <w:r w:rsidRPr="00CC7B2D">
        <w:rPr>
          <w:rFonts w:eastAsia="Times New Roman" w:cs="Arial"/>
          <w:color w:val="000000"/>
          <w:lang w:val="en-US"/>
        </w:rPr>
        <w:t xml:space="preserve">mg </w:t>
      </w:r>
      <w:r w:rsidRPr="00CC7B2D">
        <w:rPr>
          <w:rFonts w:eastAsia="Times New Roman" w:cs="Arial"/>
          <w:color w:val="000000"/>
          <w:lang w:eastAsia="bg-BG"/>
        </w:rPr>
        <w:t xml:space="preserve">леветирацетам </w:t>
      </w:r>
    </w:p>
    <w:p w14:paraId="048BB8E2" w14:textId="52FB235D"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(2) След диализа се препоръчва допълнителна доза от 250 до 500 </w:t>
      </w:r>
      <w:r w:rsidRPr="00CC7B2D">
        <w:rPr>
          <w:rFonts w:eastAsia="Times New Roman" w:cs="Arial"/>
          <w:color w:val="000000"/>
          <w:lang w:val="en-US"/>
        </w:rPr>
        <w:t>mg.</w:t>
      </w:r>
    </w:p>
    <w:p w14:paraId="4EC41017" w14:textId="77777777" w:rsidR="00CC7B2D" w:rsidRDefault="00CC7B2D" w:rsidP="00CC7B2D">
      <w:pPr>
        <w:spacing w:line="240" w:lineRule="auto"/>
        <w:rPr>
          <w:rFonts w:eastAsia="Times New Roman" w:cs="Arial"/>
          <w:color w:val="000000"/>
          <w:lang w:eastAsia="bg-BG"/>
        </w:rPr>
      </w:pPr>
    </w:p>
    <w:p w14:paraId="7F4074BD" w14:textId="3D6109DC"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При деца с бъбречни увреждания, дозата леветирацетам трябва да се адаптира въз основа на бъбречната функция, тъй като клирънсът на леветирацетам е свързан с бъбречната функция.</w:t>
      </w:r>
    </w:p>
    <w:p w14:paraId="1AB21875" w14:textId="77777777" w:rsidR="00CC7B2D" w:rsidRDefault="00CC7B2D" w:rsidP="00CC7B2D">
      <w:pPr>
        <w:spacing w:line="240" w:lineRule="auto"/>
        <w:rPr>
          <w:rFonts w:eastAsia="Times New Roman" w:cs="Arial"/>
          <w:color w:val="000000"/>
          <w:lang w:eastAsia="bg-BG"/>
        </w:rPr>
      </w:pPr>
    </w:p>
    <w:p w14:paraId="66CB712A" w14:textId="53E1DB9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Препоръката се основава на проучване при възрастни с бъбречни увреждания.</w:t>
      </w:r>
    </w:p>
    <w:p w14:paraId="66DCB4D6" w14:textId="22CE6A83" w:rsidR="00845687" w:rsidRDefault="00CC7B2D" w:rsidP="00CC7B2D">
      <w:pPr>
        <w:rPr>
          <w:rFonts w:eastAsia="Times New Roman" w:cs="Arial"/>
          <w:color w:val="000000"/>
          <w:lang w:val="en-US"/>
        </w:rPr>
      </w:pPr>
      <w:proofErr w:type="spellStart"/>
      <w:r w:rsidRPr="00CC7B2D">
        <w:rPr>
          <w:rFonts w:eastAsia="Times New Roman" w:cs="Arial"/>
          <w:color w:val="000000"/>
          <w:lang w:val="en-US"/>
        </w:rPr>
        <w:t>CLcr</w:t>
      </w:r>
      <w:proofErr w:type="spellEnd"/>
      <w:r w:rsidRPr="00CC7B2D">
        <w:rPr>
          <w:rFonts w:eastAsia="Times New Roman" w:cs="Arial"/>
          <w:color w:val="000000"/>
          <w:lang w:val="en-US"/>
        </w:rPr>
        <w:t xml:space="preserve"> </w:t>
      </w:r>
      <w:r w:rsidRPr="00CC7B2D">
        <w:rPr>
          <w:rFonts w:eastAsia="Times New Roman" w:cs="Arial"/>
          <w:color w:val="000000"/>
          <w:lang w:eastAsia="bg-BG"/>
        </w:rPr>
        <w:t xml:space="preserve">в </w:t>
      </w:r>
      <w:r w:rsidRPr="00CC7B2D">
        <w:rPr>
          <w:rFonts w:eastAsia="Times New Roman" w:cs="Arial"/>
          <w:color w:val="000000"/>
          <w:lang w:val="en-US"/>
        </w:rPr>
        <w:t>ml/min/1</w:t>
      </w:r>
      <w:proofErr w:type="gramStart"/>
      <w:r w:rsidRPr="00CC7B2D">
        <w:rPr>
          <w:rFonts w:eastAsia="Times New Roman" w:cs="Arial"/>
          <w:color w:val="000000"/>
          <w:lang w:val="en-US"/>
        </w:rPr>
        <w:t>,73</w:t>
      </w:r>
      <w:proofErr w:type="gramEnd"/>
      <w:r w:rsidRPr="00CC7B2D">
        <w:rPr>
          <w:rFonts w:eastAsia="Times New Roman" w:cs="Arial"/>
          <w:color w:val="000000"/>
          <w:lang w:val="en-US"/>
        </w:rPr>
        <w:t xml:space="preserve"> </w:t>
      </w:r>
      <w:r w:rsidRPr="00CC7B2D">
        <w:rPr>
          <w:rFonts w:eastAsia="Times New Roman" w:cs="Arial"/>
          <w:color w:val="000000"/>
          <w:lang w:eastAsia="bg-BG"/>
        </w:rPr>
        <w:t xml:space="preserve">m2 е възможно да се определи от изчисляването на серумния креатинин </w:t>
      </w:r>
      <w:r w:rsidRPr="00CC7B2D">
        <w:rPr>
          <w:rFonts w:eastAsia="Times New Roman" w:cs="Arial"/>
          <w:color w:val="000000"/>
          <w:lang w:val="en-US"/>
        </w:rPr>
        <w:t xml:space="preserve">(mg/dl) </w:t>
      </w:r>
      <w:r w:rsidRPr="00CC7B2D">
        <w:rPr>
          <w:rFonts w:eastAsia="Times New Roman" w:cs="Arial"/>
          <w:color w:val="000000"/>
          <w:lang w:eastAsia="bg-BG"/>
        </w:rPr>
        <w:t xml:space="preserve">за по-малки юноши, деца и новородени с помощта на следната формула (формула на </w:t>
      </w:r>
      <w:r w:rsidRPr="00CC7B2D">
        <w:rPr>
          <w:rFonts w:eastAsia="Times New Roman" w:cs="Arial"/>
          <w:color w:val="000000"/>
          <w:lang w:val="en-US"/>
        </w:rPr>
        <w:t>Schwartz):</w:t>
      </w:r>
    </w:p>
    <w:p w14:paraId="63D8DB42" w14:textId="1160719C" w:rsidR="00CC7B2D" w:rsidRDefault="00CC7B2D" w:rsidP="00CC7B2D">
      <w:pPr>
        <w:rPr>
          <w:rFonts w:eastAsia="Times New Roman" w:cs="Arial"/>
          <w:color w:val="000000"/>
          <w:lang w:val="en-US"/>
        </w:rPr>
      </w:pPr>
    </w:p>
    <w:p w14:paraId="422BCE27" w14:textId="77777777" w:rsidR="00CC7B2D" w:rsidRPr="00CC7B2D" w:rsidRDefault="00CC7B2D" w:rsidP="00CC7B2D">
      <w:pPr>
        <w:spacing w:line="240" w:lineRule="auto"/>
        <w:jc w:val="center"/>
        <w:rPr>
          <w:rFonts w:eastAsia="Times New Roman" w:cs="Arial"/>
          <w:lang w:eastAsia="bg-BG"/>
        </w:rPr>
      </w:pPr>
      <w:r w:rsidRPr="00CC7B2D">
        <w:rPr>
          <w:rFonts w:eastAsia="Times New Roman" w:cs="Arial"/>
          <w:color w:val="000000"/>
          <w:lang w:eastAsia="bg-BG"/>
        </w:rPr>
        <w:t xml:space="preserve">Височина </w:t>
      </w:r>
      <w:r w:rsidRPr="00CC7B2D">
        <w:rPr>
          <w:rFonts w:eastAsia="Times New Roman" w:cs="Arial"/>
          <w:color w:val="000000"/>
          <w:lang w:val="en-US"/>
        </w:rPr>
        <w:t xml:space="preserve">(cm) </w:t>
      </w:r>
      <w:r w:rsidRPr="00CC7B2D">
        <w:rPr>
          <w:rFonts w:eastAsia="Times New Roman" w:cs="Arial"/>
          <w:color w:val="000000"/>
          <w:lang w:eastAsia="bg-BG"/>
        </w:rPr>
        <w:t xml:space="preserve">х </w:t>
      </w:r>
      <w:proofErr w:type="spellStart"/>
      <w:r w:rsidRPr="00CC7B2D">
        <w:rPr>
          <w:rFonts w:eastAsia="Times New Roman" w:cs="Arial"/>
          <w:color w:val="000000"/>
          <w:lang w:val="en-US"/>
        </w:rPr>
        <w:t>ks</w:t>
      </w:r>
      <w:proofErr w:type="spellEnd"/>
    </w:p>
    <w:p w14:paraId="5A3A84B4" w14:textId="77777777" w:rsidR="00CC7B2D" w:rsidRDefault="00CC7B2D" w:rsidP="00CC7B2D">
      <w:pPr>
        <w:spacing w:line="240" w:lineRule="auto"/>
        <w:jc w:val="center"/>
        <w:rPr>
          <w:rFonts w:eastAsia="Times New Roman" w:cs="Arial"/>
          <w:color w:val="000000"/>
          <w:lang w:val="en-US"/>
        </w:rPr>
      </w:pPr>
    </w:p>
    <w:p w14:paraId="2590786D" w14:textId="35C509E3" w:rsidR="00CC7B2D" w:rsidRPr="00CC7B2D" w:rsidRDefault="00CC7B2D" w:rsidP="00CC7B2D">
      <w:pPr>
        <w:spacing w:line="240" w:lineRule="auto"/>
        <w:jc w:val="center"/>
        <w:rPr>
          <w:rFonts w:eastAsia="Times New Roman" w:cs="Arial"/>
          <w:lang w:eastAsia="bg-BG"/>
        </w:rPr>
      </w:pPr>
      <w:proofErr w:type="spellStart"/>
      <w:r w:rsidRPr="00CC7B2D">
        <w:rPr>
          <w:rFonts w:eastAsia="Times New Roman" w:cs="Arial"/>
          <w:color w:val="000000"/>
          <w:lang w:val="en-US"/>
        </w:rPr>
        <w:t>CLcr</w:t>
      </w:r>
      <w:proofErr w:type="spellEnd"/>
      <w:r w:rsidRPr="00CC7B2D">
        <w:rPr>
          <w:rFonts w:eastAsia="Times New Roman" w:cs="Arial"/>
          <w:color w:val="000000"/>
          <w:lang w:val="en-US"/>
        </w:rPr>
        <w:t xml:space="preserve"> (ml/min/ 1.73 m</w:t>
      </w:r>
      <w:r w:rsidRPr="00CC7B2D">
        <w:rPr>
          <w:rFonts w:eastAsia="Times New Roman" w:cs="Arial"/>
          <w:color w:val="000000"/>
          <w:vertAlign w:val="superscript"/>
          <w:lang w:val="en-US"/>
        </w:rPr>
        <w:t>2</w:t>
      </w:r>
      <w:r w:rsidRPr="00CC7B2D">
        <w:rPr>
          <w:rFonts w:eastAsia="Times New Roman" w:cs="Arial"/>
          <w:color w:val="000000"/>
          <w:lang w:val="en-US"/>
        </w:rPr>
        <w:t>) =</w:t>
      </w:r>
      <w:r>
        <w:rPr>
          <w:rFonts w:eastAsia="Times New Roman" w:cs="Arial"/>
          <w:color w:val="000000"/>
        </w:rPr>
        <w:t xml:space="preserve"> -------------------------------</w:t>
      </w:r>
    </w:p>
    <w:p w14:paraId="6C5E5069" w14:textId="77777777" w:rsidR="00CC7B2D" w:rsidRDefault="00CC7B2D" w:rsidP="00CC7B2D">
      <w:pPr>
        <w:spacing w:line="240" w:lineRule="auto"/>
        <w:jc w:val="center"/>
        <w:rPr>
          <w:rFonts w:eastAsia="Times New Roman" w:cs="Arial"/>
          <w:color w:val="000000"/>
          <w:lang w:eastAsia="bg-BG"/>
        </w:rPr>
      </w:pPr>
    </w:p>
    <w:p w14:paraId="3268A14D" w14:textId="1201DBEA" w:rsidR="00CC7B2D" w:rsidRPr="00CC7B2D" w:rsidRDefault="00CC7B2D" w:rsidP="00CC7B2D">
      <w:pPr>
        <w:spacing w:line="240" w:lineRule="auto"/>
        <w:jc w:val="center"/>
        <w:rPr>
          <w:rFonts w:eastAsia="Times New Roman" w:cs="Arial"/>
          <w:lang w:eastAsia="bg-BG"/>
        </w:rPr>
      </w:pPr>
      <w:r w:rsidRPr="00CC7B2D">
        <w:rPr>
          <w:rFonts w:eastAsia="Times New Roman" w:cs="Arial"/>
          <w:color w:val="000000"/>
          <w:lang w:eastAsia="bg-BG"/>
        </w:rPr>
        <w:t xml:space="preserve">Серумен креатинин </w:t>
      </w:r>
      <w:r w:rsidRPr="00CC7B2D">
        <w:rPr>
          <w:rFonts w:eastAsia="Times New Roman" w:cs="Arial"/>
          <w:color w:val="000000"/>
          <w:lang w:val="en-US"/>
        </w:rPr>
        <w:t>(mg/dl)</w:t>
      </w:r>
    </w:p>
    <w:p w14:paraId="1BC3AFCB" w14:textId="77777777" w:rsidR="00CC7B2D" w:rsidRDefault="00CC7B2D" w:rsidP="00CC7B2D">
      <w:pPr>
        <w:spacing w:line="240" w:lineRule="auto"/>
        <w:rPr>
          <w:rFonts w:eastAsia="Times New Roman" w:cs="Arial"/>
          <w:color w:val="000000"/>
          <w:lang w:val="en-US"/>
        </w:rPr>
      </w:pPr>
    </w:p>
    <w:p w14:paraId="38F42691" w14:textId="77777777" w:rsidR="00CC7B2D" w:rsidRDefault="00CC7B2D" w:rsidP="00CC7B2D">
      <w:pPr>
        <w:spacing w:line="240" w:lineRule="auto"/>
        <w:rPr>
          <w:rFonts w:eastAsia="Times New Roman" w:cs="Arial"/>
          <w:color w:val="000000"/>
          <w:lang w:val="en-US"/>
        </w:rPr>
      </w:pPr>
    </w:p>
    <w:p w14:paraId="7FE64976" w14:textId="67E45098" w:rsidR="00CC7B2D" w:rsidRPr="00CC7B2D" w:rsidRDefault="00CC7B2D" w:rsidP="00CC7B2D">
      <w:pPr>
        <w:spacing w:line="240" w:lineRule="auto"/>
        <w:rPr>
          <w:rFonts w:eastAsia="Times New Roman" w:cs="Arial"/>
          <w:lang w:eastAsia="bg-BG"/>
        </w:rPr>
      </w:pPr>
      <w:proofErr w:type="spellStart"/>
      <w:r w:rsidRPr="00CC7B2D">
        <w:rPr>
          <w:rFonts w:eastAsia="Times New Roman" w:cs="Arial"/>
          <w:color w:val="000000"/>
          <w:lang w:val="en-US"/>
        </w:rPr>
        <w:t>ks</w:t>
      </w:r>
      <w:proofErr w:type="spellEnd"/>
      <w:r w:rsidRPr="00CC7B2D">
        <w:rPr>
          <w:rFonts w:eastAsia="Times New Roman" w:cs="Arial"/>
          <w:color w:val="000000"/>
          <w:lang w:val="en-US"/>
        </w:rPr>
        <w:t>- 0</w:t>
      </w:r>
      <w:proofErr w:type="gramStart"/>
      <w:r w:rsidRPr="00CC7B2D">
        <w:rPr>
          <w:rFonts w:eastAsia="Times New Roman" w:cs="Arial"/>
          <w:color w:val="000000"/>
          <w:lang w:val="en-US"/>
        </w:rPr>
        <w:t>,45</w:t>
      </w:r>
      <w:proofErr w:type="gramEnd"/>
      <w:r w:rsidRPr="00CC7B2D">
        <w:rPr>
          <w:rFonts w:eastAsia="Times New Roman" w:cs="Arial"/>
          <w:color w:val="000000"/>
          <w:lang w:val="en-US"/>
        </w:rPr>
        <w:t xml:space="preserve"> </w:t>
      </w:r>
      <w:r w:rsidRPr="00CC7B2D">
        <w:rPr>
          <w:rFonts w:eastAsia="Times New Roman" w:cs="Arial"/>
          <w:color w:val="000000"/>
          <w:lang w:eastAsia="bg-BG"/>
        </w:rPr>
        <w:t xml:space="preserve">при кърмачета до 1-годишна възраст; </w:t>
      </w:r>
      <w:proofErr w:type="spellStart"/>
      <w:r w:rsidRPr="00CC7B2D">
        <w:rPr>
          <w:rFonts w:eastAsia="Times New Roman" w:cs="Arial"/>
          <w:color w:val="000000"/>
          <w:lang w:val="en-US"/>
        </w:rPr>
        <w:t>ks</w:t>
      </w:r>
      <w:proofErr w:type="spellEnd"/>
      <w:r w:rsidRPr="00CC7B2D">
        <w:rPr>
          <w:rFonts w:eastAsia="Times New Roman" w:cs="Arial"/>
          <w:color w:val="000000"/>
          <w:lang w:val="en-US"/>
        </w:rPr>
        <w:t xml:space="preserve">= </w:t>
      </w:r>
      <w:r w:rsidRPr="00CC7B2D">
        <w:rPr>
          <w:rFonts w:eastAsia="Times New Roman" w:cs="Arial"/>
          <w:color w:val="000000"/>
          <w:lang w:eastAsia="bg-BG"/>
        </w:rPr>
        <w:t xml:space="preserve">0,55 при деца под 13 години и девойки; </w:t>
      </w:r>
      <w:proofErr w:type="spellStart"/>
      <w:r w:rsidRPr="00CC7B2D">
        <w:rPr>
          <w:rFonts w:eastAsia="Times New Roman" w:cs="Arial"/>
          <w:color w:val="000000"/>
          <w:lang w:val="en-US"/>
        </w:rPr>
        <w:t>ks</w:t>
      </w:r>
      <w:proofErr w:type="spellEnd"/>
      <w:r w:rsidRPr="00CC7B2D">
        <w:rPr>
          <w:rFonts w:eastAsia="Times New Roman" w:cs="Arial"/>
          <w:color w:val="000000"/>
          <w:lang w:val="en-US"/>
        </w:rPr>
        <w:t>=</w:t>
      </w:r>
      <w:r w:rsidRPr="00CC7B2D">
        <w:rPr>
          <w:rFonts w:eastAsia="Times New Roman" w:cs="Arial"/>
          <w:color w:val="000000"/>
          <w:lang w:eastAsia="bg-BG"/>
        </w:rPr>
        <w:t>0,7 при юноши от мъжки пол.</w:t>
      </w:r>
    </w:p>
    <w:p w14:paraId="12841AC3" w14:textId="77777777" w:rsidR="00CC7B2D" w:rsidRDefault="00CC7B2D" w:rsidP="00CC7B2D">
      <w:pPr>
        <w:spacing w:line="240" w:lineRule="auto"/>
        <w:rPr>
          <w:rFonts w:eastAsia="Times New Roman" w:cs="Arial"/>
          <w:color w:val="000000"/>
          <w:lang w:eastAsia="bg-BG"/>
        </w:rPr>
      </w:pPr>
    </w:p>
    <w:p w14:paraId="409D2994" w14:textId="3CF4B302"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Адаптиране на дозата при новородени, деца и юноши с тегло под 50 </w:t>
      </w:r>
      <w:r w:rsidRPr="00CC7B2D">
        <w:rPr>
          <w:rFonts w:eastAsia="Times New Roman" w:cs="Arial"/>
          <w:color w:val="000000"/>
          <w:lang w:val="en-US"/>
        </w:rPr>
        <w:t xml:space="preserve">kg </w:t>
      </w:r>
      <w:r w:rsidRPr="00CC7B2D">
        <w:rPr>
          <w:rFonts w:eastAsia="Times New Roman" w:cs="Arial"/>
          <w:color w:val="000000"/>
          <w:lang w:eastAsia="bg-BG"/>
        </w:rPr>
        <w:t>с увреждане на</w:t>
      </w:r>
    </w:p>
    <w:p w14:paraId="3BF32019" w14:textId="6850FA64" w:rsidR="00CC7B2D" w:rsidRPr="00CC7B2D" w:rsidRDefault="00CC7B2D" w:rsidP="00CC7B2D">
      <w:pPr>
        <w:rPr>
          <w:rFonts w:eastAsia="Times New Roman" w:cs="Arial"/>
          <w:color w:val="000000"/>
          <w:lang w:val="en-US"/>
        </w:rPr>
      </w:pPr>
      <w:r w:rsidRPr="00CC7B2D">
        <w:rPr>
          <w:rFonts w:eastAsia="Times New Roman" w:cs="Arial"/>
          <w:color w:val="000000"/>
          <w:lang w:eastAsia="bg-BG"/>
        </w:rPr>
        <w:t>бъбречната функция</w:t>
      </w:r>
    </w:p>
    <w:tbl>
      <w:tblPr>
        <w:tblStyle w:val="TableGrid"/>
        <w:tblW w:w="0" w:type="auto"/>
        <w:tblLook w:val="04A0" w:firstRow="1" w:lastRow="0" w:firstColumn="1" w:lastColumn="0" w:noHBand="0" w:noVBand="1"/>
      </w:tblPr>
      <w:tblGrid>
        <w:gridCol w:w="2353"/>
        <w:gridCol w:w="2345"/>
        <w:gridCol w:w="2326"/>
        <w:gridCol w:w="2326"/>
      </w:tblGrid>
      <w:tr w:rsidR="00CC7B2D" w14:paraId="6771DC2D" w14:textId="77777777" w:rsidTr="00260022">
        <w:tc>
          <w:tcPr>
            <w:tcW w:w="2375" w:type="dxa"/>
          </w:tcPr>
          <w:p w14:paraId="60473839" w14:textId="287BB6C5" w:rsidR="00CC7B2D" w:rsidRPr="00CC7B2D" w:rsidRDefault="00CC7B2D" w:rsidP="00CC7B2D">
            <w:pPr>
              <w:rPr>
                <w:rFonts w:cs="Arial"/>
              </w:rPr>
            </w:pPr>
            <w:r w:rsidRPr="00CC7B2D">
              <w:t>Група</w:t>
            </w:r>
          </w:p>
        </w:tc>
        <w:tc>
          <w:tcPr>
            <w:tcW w:w="2375" w:type="dxa"/>
          </w:tcPr>
          <w:p w14:paraId="2744C324" w14:textId="2D1F704B" w:rsidR="00CC7B2D" w:rsidRPr="00CC7B2D" w:rsidRDefault="00CC7B2D" w:rsidP="00CC7B2D">
            <w:pPr>
              <w:rPr>
                <w:rFonts w:cs="Arial"/>
              </w:rPr>
            </w:pPr>
            <w:r w:rsidRPr="00CC7B2D">
              <w:t xml:space="preserve">Креатининов клирънс </w:t>
            </w:r>
            <w:r w:rsidRPr="00CC7B2D">
              <w:rPr>
                <w:lang w:val="en-US"/>
              </w:rPr>
              <w:t>(ml/min/l,73m2)</w:t>
            </w:r>
          </w:p>
        </w:tc>
        <w:tc>
          <w:tcPr>
            <w:tcW w:w="4750" w:type="dxa"/>
            <w:gridSpan w:val="2"/>
          </w:tcPr>
          <w:p w14:paraId="3AA8592D" w14:textId="51C05BB9" w:rsidR="00CC7B2D" w:rsidRPr="00CC7B2D" w:rsidRDefault="00CC7B2D" w:rsidP="00CC7B2D">
            <w:pPr>
              <w:jc w:val="center"/>
              <w:rPr>
                <w:rFonts w:cs="Arial"/>
              </w:rPr>
            </w:pPr>
            <w:r w:rsidRPr="00CC7B2D">
              <w:t>Доза и честота на дозиране</w:t>
            </w:r>
          </w:p>
        </w:tc>
      </w:tr>
      <w:tr w:rsidR="00CC7B2D" w14:paraId="7FF676AD" w14:textId="77777777" w:rsidTr="00CC7B2D">
        <w:tc>
          <w:tcPr>
            <w:tcW w:w="2375" w:type="dxa"/>
          </w:tcPr>
          <w:p w14:paraId="16189978" w14:textId="77777777" w:rsidR="00CC7B2D" w:rsidRPr="00CC7B2D" w:rsidRDefault="00CC7B2D" w:rsidP="00CC7B2D">
            <w:pPr>
              <w:rPr>
                <w:rFonts w:cs="Arial"/>
              </w:rPr>
            </w:pPr>
          </w:p>
        </w:tc>
        <w:tc>
          <w:tcPr>
            <w:tcW w:w="2375" w:type="dxa"/>
          </w:tcPr>
          <w:p w14:paraId="48C45261" w14:textId="77777777" w:rsidR="00CC7B2D" w:rsidRPr="00CC7B2D" w:rsidRDefault="00CC7B2D" w:rsidP="00CC7B2D">
            <w:pPr>
              <w:rPr>
                <w:rFonts w:cs="Arial"/>
              </w:rPr>
            </w:pPr>
          </w:p>
        </w:tc>
        <w:tc>
          <w:tcPr>
            <w:tcW w:w="2375" w:type="dxa"/>
          </w:tcPr>
          <w:p w14:paraId="2E993F83" w14:textId="5E2D813D" w:rsidR="00CC7B2D" w:rsidRPr="00CC7B2D" w:rsidRDefault="00CC7B2D" w:rsidP="00CC7B2D">
            <w:pPr>
              <w:rPr>
                <w:rFonts w:cs="Arial"/>
              </w:rPr>
            </w:pPr>
            <w:r w:rsidRPr="00CC7B2D">
              <w:t>Кърмачета от 1 до 6 месеца</w:t>
            </w:r>
          </w:p>
        </w:tc>
        <w:tc>
          <w:tcPr>
            <w:tcW w:w="2375" w:type="dxa"/>
          </w:tcPr>
          <w:p w14:paraId="12C3EBDD" w14:textId="77777777" w:rsidR="00CC7B2D" w:rsidRPr="00CC7B2D" w:rsidRDefault="00CC7B2D" w:rsidP="00CC7B2D">
            <w:r w:rsidRPr="00CC7B2D">
              <w:t>Кърмачета от 6 до 23 месеца, деца и юноши с</w:t>
            </w:r>
          </w:p>
          <w:p w14:paraId="48264A20" w14:textId="013C3A95" w:rsidR="00CC7B2D" w:rsidRPr="00CC7B2D" w:rsidRDefault="00CC7B2D" w:rsidP="00CC7B2D">
            <w:pPr>
              <w:rPr>
                <w:rFonts w:cs="Arial"/>
              </w:rPr>
            </w:pPr>
            <w:r w:rsidRPr="00CC7B2D">
              <w:t xml:space="preserve">тегло под 50 </w:t>
            </w:r>
            <w:r w:rsidRPr="00CC7B2D">
              <w:rPr>
                <w:lang w:val="en-US"/>
              </w:rPr>
              <w:t>kg</w:t>
            </w:r>
          </w:p>
        </w:tc>
      </w:tr>
      <w:tr w:rsidR="00CC7B2D" w14:paraId="5712D789" w14:textId="77777777" w:rsidTr="00CC7B2D">
        <w:tc>
          <w:tcPr>
            <w:tcW w:w="2375" w:type="dxa"/>
          </w:tcPr>
          <w:p w14:paraId="2D33CEDF" w14:textId="2A23C716" w:rsidR="00CC7B2D" w:rsidRPr="00CC7B2D" w:rsidRDefault="00CC7B2D" w:rsidP="00CC7B2D">
            <w:pPr>
              <w:rPr>
                <w:rFonts w:cs="Arial"/>
              </w:rPr>
            </w:pPr>
            <w:r w:rsidRPr="00CC7B2D">
              <w:t>Нормална</w:t>
            </w:r>
          </w:p>
        </w:tc>
        <w:tc>
          <w:tcPr>
            <w:tcW w:w="2375" w:type="dxa"/>
          </w:tcPr>
          <w:p w14:paraId="37941CF3" w14:textId="399968AA" w:rsidR="00CC7B2D" w:rsidRPr="00CC7B2D" w:rsidRDefault="00CC7B2D" w:rsidP="00CC7B2D">
            <w:pPr>
              <w:rPr>
                <w:rFonts w:cs="Arial"/>
              </w:rPr>
            </w:pPr>
            <w:r w:rsidRPr="00CC7B2D">
              <w:t>&gt;80</w:t>
            </w:r>
          </w:p>
        </w:tc>
        <w:tc>
          <w:tcPr>
            <w:tcW w:w="2375" w:type="dxa"/>
          </w:tcPr>
          <w:p w14:paraId="48276B3F" w14:textId="7EA00991" w:rsidR="00CC7B2D" w:rsidRPr="00CC7B2D" w:rsidRDefault="00CC7B2D" w:rsidP="00CC7B2D">
            <w:pPr>
              <w:rPr>
                <w:rFonts w:cs="Arial"/>
              </w:rPr>
            </w:pPr>
            <w:r w:rsidRPr="00CC7B2D">
              <w:t xml:space="preserve">7 до 21 </w:t>
            </w:r>
            <w:r w:rsidRPr="00CC7B2D">
              <w:rPr>
                <w:lang w:val="en-US"/>
              </w:rPr>
              <w:t xml:space="preserve">mg/kg </w:t>
            </w:r>
            <w:r w:rsidRPr="00CC7B2D">
              <w:t xml:space="preserve">(0,07 до 0,21 </w:t>
            </w:r>
            <w:r w:rsidRPr="00CC7B2D">
              <w:rPr>
                <w:lang w:val="en-US"/>
              </w:rPr>
              <w:t xml:space="preserve">ml/kg) </w:t>
            </w:r>
            <w:r w:rsidRPr="00CC7B2D">
              <w:t>два пъти дневно</w:t>
            </w:r>
          </w:p>
        </w:tc>
        <w:tc>
          <w:tcPr>
            <w:tcW w:w="2375" w:type="dxa"/>
          </w:tcPr>
          <w:p w14:paraId="2B4A28FA" w14:textId="5C9BFCA8" w:rsidR="00CC7B2D" w:rsidRPr="00CC7B2D" w:rsidRDefault="00CC7B2D" w:rsidP="00CC7B2D">
            <w:pPr>
              <w:rPr>
                <w:rFonts w:cs="Arial"/>
              </w:rPr>
            </w:pPr>
            <w:r w:rsidRPr="00CC7B2D">
              <w:t xml:space="preserve">10 до 30 </w:t>
            </w:r>
            <w:r w:rsidRPr="00CC7B2D">
              <w:rPr>
                <w:lang w:val="en-US"/>
              </w:rPr>
              <w:t xml:space="preserve">mg/kg </w:t>
            </w:r>
            <w:r w:rsidRPr="00CC7B2D">
              <w:t xml:space="preserve">(0,10 до 0,30 </w:t>
            </w:r>
            <w:r w:rsidRPr="00CC7B2D">
              <w:rPr>
                <w:lang w:val="en-US"/>
              </w:rPr>
              <w:t xml:space="preserve">ml/kg) </w:t>
            </w:r>
            <w:r w:rsidRPr="00CC7B2D">
              <w:t>два пъти дневно</w:t>
            </w:r>
          </w:p>
        </w:tc>
      </w:tr>
      <w:tr w:rsidR="00CC7B2D" w14:paraId="3ECAB9DE" w14:textId="77777777" w:rsidTr="00CC7B2D">
        <w:tc>
          <w:tcPr>
            <w:tcW w:w="2375" w:type="dxa"/>
          </w:tcPr>
          <w:p w14:paraId="08E37F03" w14:textId="4D511B26" w:rsidR="00CC7B2D" w:rsidRPr="00CC7B2D" w:rsidRDefault="00CC7B2D" w:rsidP="00CC7B2D">
            <w:pPr>
              <w:rPr>
                <w:rFonts w:cs="Arial"/>
              </w:rPr>
            </w:pPr>
            <w:r w:rsidRPr="00CC7B2D">
              <w:t>Лека</w:t>
            </w:r>
          </w:p>
        </w:tc>
        <w:tc>
          <w:tcPr>
            <w:tcW w:w="2375" w:type="dxa"/>
          </w:tcPr>
          <w:p w14:paraId="1A8C3A35" w14:textId="3B8B4F08" w:rsidR="00CC7B2D" w:rsidRPr="00CC7B2D" w:rsidRDefault="00CC7B2D" w:rsidP="00CC7B2D">
            <w:pPr>
              <w:rPr>
                <w:rFonts w:cs="Arial"/>
              </w:rPr>
            </w:pPr>
            <w:r w:rsidRPr="00CC7B2D">
              <w:t>50-79</w:t>
            </w:r>
          </w:p>
        </w:tc>
        <w:tc>
          <w:tcPr>
            <w:tcW w:w="2375" w:type="dxa"/>
          </w:tcPr>
          <w:p w14:paraId="10A1CBDD" w14:textId="67389D82" w:rsidR="00CC7B2D" w:rsidRPr="00CC7B2D" w:rsidRDefault="00CC7B2D" w:rsidP="00CC7B2D">
            <w:pPr>
              <w:rPr>
                <w:rFonts w:cs="Arial"/>
              </w:rPr>
            </w:pPr>
            <w:r w:rsidRPr="00CC7B2D">
              <w:t xml:space="preserve">7 до 14 </w:t>
            </w:r>
            <w:r w:rsidRPr="00CC7B2D">
              <w:rPr>
                <w:lang w:val="en-US"/>
              </w:rPr>
              <w:t xml:space="preserve">mg/kg </w:t>
            </w:r>
            <w:r w:rsidRPr="00CC7B2D">
              <w:t xml:space="preserve">(0,07 до 0,14 </w:t>
            </w:r>
            <w:r w:rsidRPr="00CC7B2D">
              <w:rPr>
                <w:lang w:val="en-US"/>
              </w:rPr>
              <w:t xml:space="preserve">ml/kg) </w:t>
            </w:r>
            <w:r w:rsidRPr="00CC7B2D">
              <w:t>два пъти дневно</w:t>
            </w:r>
          </w:p>
        </w:tc>
        <w:tc>
          <w:tcPr>
            <w:tcW w:w="2375" w:type="dxa"/>
          </w:tcPr>
          <w:p w14:paraId="01FF7453" w14:textId="77777777" w:rsidR="00CC7B2D" w:rsidRPr="00CC7B2D" w:rsidRDefault="00CC7B2D" w:rsidP="00CC7B2D">
            <w:r w:rsidRPr="00CC7B2D">
              <w:t xml:space="preserve">10 до 20 </w:t>
            </w:r>
            <w:r w:rsidRPr="00CC7B2D">
              <w:rPr>
                <w:lang w:val="en-US"/>
              </w:rPr>
              <w:t xml:space="preserve">mg/kg </w:t>
            </w:r>
            <w:r w:rsidRPr="00CC7B2D">
              <w:t xml:space="preserve">(0,10 до 0,20 </w:t>
            </w:r>
            <w:r w:rsidRPr="00CC7B2D">
              <w:rPr>
                <w:lang w:val="en-US"/>
              </w:rPr>
              <w:t>ml/kg)</w:t>
            </w:r>
          </w:p>
          <w:p w14:paraId="2A169123" w14:textId="401E3D70" w:rsidR="00CC7B2D" w:rsidRPr="00CC7B2D" w:rsidRDefault="00CC7B2D" w:rsidP="00CC7B2D">
            <w:pPr>
              <w:rPr>
                <w:rFonts w:cs="Arial"/>
              </w:rPr>
            </w:pPr>
            <w:r w:rsidRPr="00CC7B2D">
              <w:t>два пъти дневно</w:t>
            </w:r>
          </w:p>
        </w:tc>
      </w:tr>
      <w:tr w:rsidR="00CC7B2D" w14:paraId="21CED483" w14:textId="77777777" w:rsidTr="00CC7B2D">
        <w:tc>
          <w:tcPr>
            <w:tcW w:w="2375" w:type="dxa"/>
          </w:tcPr>
          <w:p w14:paraId="02493E70" w14:textId="6A63B1A8" w:rsidR="00CC7B2D" w:rsidRPr="00CC7B2D" w:rsidRDefault="00CC7B2D" w:rsidP="00CC7B2D">
            <w:pPr>
              <w:rPr>
                <w:rFonts w:cs="Arial"/>
              </w:rPr>
            </w:pPr>
            <w:r w:rsidRPr="00CC7B2D">
              <w:t>Умерена</w:t>
            </w:r>
          </w:p>
        </w:tc>
        <w:tc>
          <w:tcPr>
            <w:tcW w:w="2375" w:type="dxa"/>
          </w:tcPr>
          <w:p w14:paraId="4EECF86C" w14:textId="0DA36C60" w:rsidR="00CC7B2D" w:rsidRPr="00CC7B2D" w:rsidRDefault="00CC7B2D" w:rsidP="00CC7B2D">
            <w:pPr>
              <w:rPr>
                <w:rFonts w:cs="Arial"/>
              </w:rPr>
            </w:pPr>
            <w:r w:rsidRPr="00CC7B2D">
              <w:t>30-49</w:t>
            </w:r>
          </w:p>
        </w:tc>
        <w:tc>
          <w:tcPr>
            <w:tcW w:w="2375" w:type="dxa"/>
          </w:tcPr>
          <w:p w14:paraId="6327CEC0" w14:textId="77777777" w:rsidR="00CC7B2D" w:rsidRPr="00CC7B2D" w:rsidRDefault="00CC7B2D" w:rsidP="00CC7B2D">
            <w:r w:rsidRPr="00CC7B2D">
              <w:t xml:space="preserve">3,5 до 10.5 </w:t>
            </w:r>
            <w:r w:rsidRPr="00CC7B2D">
              <w:rPr>
                <w:lang w:val="en-US"/>
              </w:rPr>
              <w:t xml:space="preserve">mg/kg </w:t>
            </w:r>
            <w:r w:rsidRPr="00CC7B2D">
              <w:t xml:space="preserve">(0,035 до 0,105 </w:t>
            </w:r>
            <w:r w:rsidRPr="00CC7B2D">
              <w:rPr>
                <w:lang w:val="en-US"/>
              </w:rPr>
              <w:t>ml/kg)</w:t>
            </w:r>
          </w:p>
          <w:p w14:paraId="09337D29" w14:textId="77777777" w:rsidR="00CC7B2D" w:rsidRPr="00CC7B2D" w:rsidRDefault="00CC7B2D" w:rsidP="00CC7B2D">
            <w:r w:rsidRPr="00CC7B2D">
              <w:t>два пъти</w:t>
            </w:r>
          </w:p>
          <w:p w14:paraId="740327BE" w14:textId="17554678" w:rsidR="00CC7B2D" w:rsidRPr="00CC7B2D" w:rsidRDefault="00CC7B2D" w:rsidP="00CC7B2D">
            <w:pPr>
              <w:rPr>
                <w:rFonts w:cs="Arial"/>
              </w:rPr>
            </w:pPr>
            <w:r w:rsidRPr="00CC7B2D">
              <w:t>дневно</w:t>
            </w:r>
          </w:p>
        </w:tc>
        <w:tc>
          <w:tcPr>
            <w:tcW w:w="2375" w:type="dxa"/>
          </w:tcPr>
          <w:p w14:paraId="3D7D2264" w14:textId="77777777" w:rsidR="00CC7B2D" w:rsidRPr="00CC7B2D" w:rsidRDefault="00CC7B2D" w:rsidP="00CC7B2D">
            <w:r w:rsidRPr="00CC7B2D">
              <w:t xml:space="preserve">5 до 15 </w:t>
            </w:r>
            <w:r w:rsidRPr="00CC7B2D">
              <w:rPr>
                <w:lang w:val="en-US"/>
              </w:rPr>
              <w:t xml:space="preserve">mg/kg </w:t>
            </w:r>
            <w:r w:rsidRPr="00CC7B2D">
              <w:t xml:space="preserve">(0,05 до 0,15 </w:t>
            </w:r>
            <w:r w:rsidRPr="00CC7B2D">
              <w:rPr>
                <w:lang w:val="en-US"/>
              </w:rPr>
              <w:t>ml/kg)</w:t>
            </w:r>
          </w:p>
          <w:p w14:paraId="38189311" w14:textId="049D2408" w:rsidR="00CC7B2D" w:rsidRPr="00CC7B2D" w:rsidRDefault="00CC7B2D" w:rsidP="00CC7B2D">
            <w:pPr>
              <w:rPr>
                <w:rFonts w:cs="Arial"/>
              </w:rPr>
            </w:pPr>
            <w:r w:rsidRPr="00CC7B2D">
              <w:t>два пъти дневно</w:t>
            </w:r>
          </w:p>
        </w:tc>
      </w:tr>
      <w:tr w:rsidR="00CC7B2D" w14:paraId="2D08D45A" w14:textId="77777777" w:rsidTr="00CC7B2D">
        <w:tc>
          <w:tcPr>
            <w:tcW w:w="2375" w:type="dxa"/>
          </w:tcPr>
          <w:p w14:paraId="16BB5732" w14:textId="51815965" w:rsidR="00CC7B2D" w:rsidRPr="00CC7B2D" w:rsidRDefault="00CC7B2D" w:rsidP="00CC7B2D">
            <w:pPr>
              <w:rPr>
                <w:rFonts w:cs="Arial"/>
              </w:rPr>
            </w:pPr>
            <w:r w:rsidRPr="00CC7B2D">
              <w:t>Тежка</w:t>
            </w:r>
          </w:p>
        </w:tc>
        <w:tc>
          <w:tcPr>
            <w:tcW w:w="2375" w:type="dxa"/>
          </w:tcPr>
          <w:p w14:paraId="2C0CD615" w14:textId="6A4F4C35" w:rsidR="00CC7B2D" w:rsidRPr="00CC7B2D" w:rsidRDefault="00CC7B2D" w:rsidP="00CC7B2D">
            <w:pPr>
              <w:rPr>
                <w:rFonts w:cs="Arial"/>
              </w:rPr>
            </w:pPr>
            <w:r w:rsidRPr="00CC7B2D">
              <w:t>&lt;30</w:t>
            </w:r>
          </w:p>
        </w:tc>
        <w:tc>
          <w:tcPr>
            <w:tcW w:w="2375" w:type="dxa"/>
          </w:tcPr>
          <w:p w14:paraId="1B7C083F" w14:textId="77777777" w:rsidR="00CC7B2D" w:rsidRPr="00CC7B2D" w:rsidRDefault="00CC7B2D" w:rsidP="00CC7B2D">
            <w:r w:rsidRPr="00CC7B2D">
              <w:t xml:space="preserve">3,5 до 7 </w:t>
            </w:r>
            <w:r w:rsidRPr="00CC7B2D">
              <w:rPr>
                <w:lang w:val="en-US"/>
              </w:rPr>
              <w:t xml:space="preserve">mg/kg </w:t>
            </w:r>
            <w:r w:rsidRPr="00CC7B2D">
              <w:t xml:space="preserve">(0,035 до 0,07 </w:t>
            </w:r>
            <w:r w:rsidRPr="00CC7B2D">
              <w:rPr>
                <w:lang w:val="en-US"/>
              </w:rPr>
              <w:t>ml/kg)</w:t>
            </w:r>
          </w:p>
          <w:p w14:paraId="037DB0F5" w14:textId="00551B5A" w:rsidR="00CC7B2D" w:rsidRPr="00CC7B2D" w:rsidRDefault="00CC7B2D" w:rsidP="00CC7B2D">
            <w:pPr>
              <w:rPr>
                <w:rFonts w:cs="Arial"/>
              </w:rPr>
            </w:pPr>
            <w:r w:rsidRPr="00CC7B2D">
              <w:t>два пъти дневно</w:t>
            </w:r>
          </w:p>
        </w:tc>
        <w:tc>
          <w:tcPr>
            <w:tcW w:w="2375" w:type="dxa"/>
          </w:tcPr>
          <w:p w14:paraId="07FA6BDE" w14:textId="5C070397" w:rsidR="00CC7B2D" w:rsidRPr="00CC7B2D" w:rsidRDefault="00CC7B2D" w:rsidP="00CC7B2D">
            <w:pPr>
              <w:rPr>
                <w:rFonts w:cs="Arial"/>
              </w:rPr>
            </w:pPr>
            <w:r w:rsidRPr="00CC7B2D">
              <w:t xml:space="preserve">5 до 10 </w:t>
            </w:r>
            <w:r w:rsidRPr="00CC7B2D">
              <w:rPr>
                <w:lang w:val="en-US"/>
              </w:rPr>
              <w:t xml:space="preserve">mg/kg </w:t>
            </w:r>
            <w:r w:rsidRPr="00CC7B2D">
              <w:t xml:space="preserve">(0,05 до 0,10 </w:t>
            </w:r>
            <w:r w:rsidRPr="00CC7B2D">
              <w:rPr>
                <w:lang w:val="en-US"/>
              </w:rPr>
              <w:t xml:space="preserve">ml/kg) </w:t>
            </w:r>
            <w:r w:rsidRPr="00CC7B2D">
              <w:t>два пъти дневно</w:t>
            </w:r>
          </w:p>
        </w:tc>
      </w:tr>
      <w:tr w:rsidR="00CC7B2D" w14:paraId="6D7EF23D" w14:textId="77777777" w:rsidTr="00CC7B2D">
        <w:tc>
          <w:tcPr>
            <w:tcW w:w="2375" w:type="dxa"/>
          </w:tcPr>
          <w:p w14:paraId="46C75D15" w14:textId="7F2B8942" w:rsidR="00CC7B2D" w:rsidRPr="00CC7B2D" w:rsidRDefault="00CC7B2D" w:rsidP="00CC7B2D">
            <w:pPr>
              <w:rPr>
                <w:rFonts w:cs="Arial"/>
              </w:rPr>
            </w:pPr>
            <w:r w:rsidRPr="00CC7B2D">
              <w:t xml:space="preserve">Пациенти в краен стадий на бъбречна </w:t>
            </w:r>
            <w:r w:rsidRPr="00CC7B2D">
              <w:lastRenderedPageBreak/>
              <w:t>недостатъчност, провеждащи диализа</w:t>
            </w:r>
          </w:p>
        </w:tc>
        <w:tc>
          <w:tcPr>
            <w:tcW w:w="2375" w:type="dxa"/>
          </w:tcPr>
          <w:p w14:paraId="694AC70B" w14:textId="443D9A6B" w:rsidR="00CC7B2D" w:rsidRPr="00CC7B2D" w:rsidRDefault="00CC7B2D" w:rsidP="00CC7B2D">
            <w:pPr>
              <w:rPr>
                <w:rFonts w:cs="Arial"/>
              </w:rPr>
            </w:pPr>
            <w:r w:rsidRPr="00CC7B2D">
              <w:lastRenderedPageBreak/>
              <w:t xml:space="preserve"> ------</w:t>
            </w:r>
          </w:p>
        </w:tc>
        <w:tc>
          <w:tcPr>
            <w:tcW w:w="2375" w:type="dxa"/>
          </w:tcPr>
          <w:p w14:paraId="1421A508" w14:textId="77777777" w:rsidR="00CC7B2D" w:rsidRPr="00CC7B2D" w:rsidRDefault="00CC7B2D" w:rsidP="00CC7B2D">
            <w:r w:rsidRPr="00CC7B2D">
              <w:t xml:space="preserve">7 до 14 </w:t>
            </w:r>
            <w:r w:rsidRPr="00CC7B2D">
              <w:rPr>
                <w:lang w:val="en-US"/>
              </w:rPr>
              <w:t xml:space="preserve">mg/kg </w:t>
            </w:r>
            <w:r w:rsidRPr="00CC7B2D">
              <w:t xml:space="preserve">(0,07 до 0,14 </w:t>
            </w:r>
            <w:r w:rsidRPr="00CC7B2D">
              <w:rPr>
                <w:lang w:val="en-US"/>
              </w:rPr>
              <w:t>ml/kg)</w:t>
            </w:r>
          </w:p>
          <w:p w14:paraId="74C2D7B8" w14:textId="69C4D85B" w:rsidR="00CC7B2D" w:rsidRPr="00CC7B2D" w:rsidRDefault="00CC7B2D" w:rsidP="00CC7B2D">
            <w:pPr>
              <w:rPr>
                <w:rFonts w:cs="Arial"/>
              </w:rPr>
            </w:pPr>
            <w:r w:rsidRPr="00CC7B2D">
              <w:lastRenderedPageBreak/>
              <w:t>веднъж дневно (2),(4)</w:t>
            </w:r>
          </w:p>
        </w:tc>
        <w:tc>
          <w:tcPr>
            <w:tcW w:w="2375" w:type="dxa"/>
          </w:tcPr>
          <w:p w14:paraId="3FACFA98" w14:textId="77777777" w:rsidR="00CC7B2D" w:rsidRPr="00CC7B2D" w:rsidRDefault="00CC7B2D" w:rsidP="00CC7B2D">
            <w:r w:rsidRPr="00CC7B2D">
              <w:lastRenderedPageBreak/>
              <w:t xml:space="preserve">10 до 20 </w:t>
            </w:r>
            <w:r w:rsidRPr="00CC7B2D">
              <w:rPr>
                <w:lang w:val="en-US"/>
              </w:rPr>
              <w:t xml:space="preserve">mg/kg </w:t>
            </w:r>
            <w:r w:rsidRPr="00CC7B2D">
              <w:t xml:space="preserve">(0,10 до 0,20 </w:t>
            </w:r>
            <w:r w:rsidRPr="00CC7B2D">
              <w:rPr>
                <w:lang w:val="en-US"/>
              </w:rPr>
              <w:t>ml/kg)</w:t>
            </w:r>
          </w:p>
          <w:p w14:paraId="71DAAF2B" w14:textId="6A166365" w:rsidR="00CC7B2D" w:rsidRPr="00CC7B2D" w:rsidRDefault="00CC7B2D" w:rsidP="00CC7B2D">
            <w:pPr>
              <w:rPr>
                <w:rFonts w:cs="Arial"/>
              </w:rPr>
            </w:pPr>
            <w:r w:rsidRPr="00CC7B2D">
              <w:lastRenderedPageBreak/>
              <w:t>веднъж дневно (3) (5)</w:t>
            </w:r>
          </w:p>
        </w:tc>
      </w:tr>
    </w:tbl>
    <w:p w14:paraId="1B60CE0D" w14:textId="6DFB8B80" w:rsidR="00CC7B2D" w:rsidRPr="0098490F" w:rsidRDefault="0098490F" w:rsidP="0098490F">
      <w:pPr>
        <w:spacing w:line="240" w:lineRule="auto"/>
        <w:rPr>
          <w:rFonts w:eastAsia="Times New Roman" w:cs="Arial"/>
          <w:color w:val="000000"/>
          <w:lang w:eastAsia="bg-BG"/>
        </w:rPr>
      </w:pPr>
      <w:r>
        <w:rPr>
          <w:rFonts w:eastAsia="Times New Roman" w:cs="Arial"/>
          <w:color w:val="000000"/>
          <w:lang w:val="en-US" w:eastAsia="bg-BG"/>
        </w:rPr>
        <w:lastRenderedPageBreak/>
        <w:t>(1)</w:t>
      </w:r>
      <w:r w:rsidR="00CC7B2D" w:rsidRPr="0098490F">
        <w:rPr>
          <w:rFonts w:eastAsia="Times New Roman" w:cs="Arial"/>
          <w:color w:val="000000"/>
          <w:lang w:eastAsia="bg-BG"/>
        </w:rPr>
        <w:t xml:space="preserve">Перорален разтвор трябва да се използва при дози под 125 </w:t>
      </w:r>
      <w:r w:rsidR="00CC7B2D" w:rsidRPr="0098490F">
        <w:rPr>
          <w:rFonts w:eastAsia="Times New Roman" w:cs="Arial"/>
          <w:color w:val="000000"/>
          <w:lang w:val="en-US"/>
        </w:rPr>
        <w:t xml:space="preserve">mg, </w:t>
      </w:r>
      <w:r w:rsidR="00CC7B2D" w:rsidRPr="0098490F">
        <w:rPr>
          <w:rFonts w:eastAsia="Times New Roman" w:cs="Arial"/>
          <w:color w:val="000000"/>
          <w:lang w:eastAsia="bg-BG"/>
        </w:rPr>
        <w:t xml:space="preserve">които не са кратни на 125 </w:t>
      </w:r>
      <w:r w:rsidR="00CC7B2D" w:rsidRPr="0098490F">
        <w:rPr>
          <w:rFonts w:eastAsia="Times New Roman" w:cs="Arial"/>
          <w:color w:val="000000"/>
          <w:lang w:val="en-US"/>
        </w:rPr>
        <w:t xml:space="preserve">mg, </w:t>
      </w:r>
      <w:r w:rsidR="00CC7B2D" w:rsidRPr="0098490F">
        <w:rPr>
          <w:rFonts w:eastAsia="Times New Roman" w:cs="Arial"/>
          <w:color w:val="000000"/>
          <w:lang w:eastAsia="bg-BG"/>
        </w:rPr>
        <w:t xml:space="preserve">когато препоръчваната доза не може да се постигне с приемането на няколко таблетки, както и при </w:t>
      </w:r>
      <w:r w:rsidR="00CC7B2D" w:rsidRPr="0098490F">
        <w:rPr>
          <w:rFonts w:eastAsia="Times New Roman" w:cs="Arial"/>
          <w:color w:val="000000"/>
          <w:u w:val="single"/>
          <w:lang w:eastAsia="bg-BG"/>
        </w:rPr>
        <w:t xml:space="preserve"> </w:t>
      </w:r>
      <w:r w:rsidR="00CC7B2D" w:rsidRPr="0098490F">
        <w:rPr>
          <w:rFonts w:eastAsia="Times New Roman" w:cs="Arial"/>
          <w:color w:val="000000"/>
          <w:lang w:eastAsia="bg-BG"/>
        </w:rPr>
        <w:t>пациенти, които не могат да преглъщат таблетки;</w:t>
      </w:r>
      <w:r w:rsidR="00CC7B2D" w:rsidRPr="0098490F">
        <w:rPr>
          <w:rFonts w:eastAsia="Times New Roman" w:cs="Arial"/>
          <w:color w:val="000000"/>
          <w:lang w:eastAsia="bg-BG"/>
        </w:rPr>
        <w:tab/>
      </w:r>
    </w:p>
    <w:p w14:paraId="7306A563" w14:textId="77777777" w:rsidR="00CC7B2D" w:rsidRPr="00CC7B2D" w:rsidRDefault="00CC7B2D" w:rsidP="00CC7B2D">
      <w:pPr>
        <w:rPr>
          <w:rFonts w:eastAsia="Times New Roman" w:cs="Arial"/>
          <w:color w:val="000000"/>
          <w:lang w:eastAsia="bg-BG"/>
        </w:rPr>
      </w:pPr>
    </w:p>
    <w:p w14:paraId="4C233D84" w14:textId="44440C8A" w:rsidR="00CC7B2D" w:rsidRPr="00CC7B2D" w:rsidRDefault="0098490F" w:rsidP="00CC7B2D">
      <w:pPr>
        <w:rPr>
          <w:rFonts w:eastAsia="Times New Roman" w:cs="Arial"/>
          <w:lang w:eastAsia="bg-BG"/>
        </w:rPr>
      </w:pPr>
      <w:r>
        <w:rPr>
          <w:rFonts w:eastAsia="Times New Roman" w:cs="Arial"/>
          <w:color w:val="000000"/>
          <w:lang w:val="en-US" w:eastAsia="bg-BG"/>
        </w:rPr>
        <w:t>(</w:t>
      </w:r>
      <w:proofErr w:type="gramStart"/>
      <w:r>
        <w:rPr>
          <w:rFonts w:eastAsia="Times New Roman" w:cs="Arial"/>
          <w:color w:val="000000"/>
          <w:lang w:val="en-US" w:eastAsia="bg-BG"/>
        </w:rPr>
        <w:t>2 )</w:t>
      </w:r>
      <w:proofErr w:type="gramEnd"/>
      <w:r w:rsidR="00CC7B2D" w:rsidRPr="00CC7B2D">
        <w:rPr>
          <w:rFonts w:eastAsia="Times New Roman" w:cs="Arial"/>
          <w:color w:val="000000"/>
          <w:lang w:eastAsia="bg-BG"/>
        </w:rPr>
        <w:t xml:space="preserve">Препоръчва се натоварваща доза от 10,5 </w:t>
      </w:r>
      <w:r w:rsidR="00CC7B2D" w:rsidRPr="00CC7B2D">
        <w:rPr>
          <w:rFonts w:eastAsia="Times New Roman" w:cs="Arial"/>
          <w:color w:val="000000"/>
          <w:lang w:val="en-US"/>
        </w:rPr>
        <w:t xml:space="preserve">mg/kg </w:t>
      </w:r>
      <w:r w:rsidR="00CC7B2D" w:rsidRPr="00CC7B2D">
        <w:rPr>
          <w:rFonts w:eastAsia="Times New Roman" w:cs="Arial"/>
          <w:color w:val="000000"/>
          <w:lang w:eastAsia="bg-BG"/>
        </w:rPr>
        <w:t xml:space="preserve">(0.105 </w:t>
      </w:r>
      <w:r w:rsidR="00CC7B2D" w:rsidRPr="00CC7B2D">
        <w:rPr>
          <w:rFonts w:eastAsia="Times New Roman" w:cs="Arial"/>
          <w:color w:val="000000"/>
          <w:lang w:val="en-US"/>
        </w:rPr>
        <w:t xml:space="preserve">ml/kg) </w:t>
      </w:r>
      <w:r w:rsidR="00CC7B2D" w:rsidRPr="00CC7B2D">
        <w:rPr>
          <w:rFonts w:eastAsia="Times New Roman" w:cs="Arial"/>
          <w:color w:val="000000"/>
          <w:lang w:eastAsia="bg-BG"/>
        </w:rPr>
        <w:t>през първия ден на  лечение с</w:t>
      </w:r>
      <w:r w:rsidR="00CC7B2D">
        <w:rPr>
          <w:rFonts w:eastAsia="Times New Roman" w:cs="Arial"/>
          <w:color w:val="000000"/>
          <w:lang w:eastAsia="bg-BG"/>
        </w:rPr>
        <w:t xml:space="preserve"> </w:t>
      </w:r>
      <w:r w:rsidR="00CC7B2D" w:rsidRPr="00CC7B2D">
        <w:rPr>
          <w:rFonts w:eastAsia="Times New Roman" w:cs="Arial"/>
          <w:color w:val="000000"/>
          <w:lang w:eastAsia="bg-BG"/>
        </w:rPr>
        <w:t>леветирацетам,</w:t>
      </w:r>
    </w:p>
    <w:p w14:paraId="7EFBDB0C"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(3)</w:t>
      </w:r>
      <w:r w:rsidRPr="00CC7B2D">
        <w:rPr>
          <w:rFonts w:eastAsia="Times New Roman" w:cs="Arial"/>
          <w:color w:val="000000"/>
          <w:lang w:eastAsia="bg-BG"/>
        </w:rPr>
        <w:tab/>
        <w:t xml:space="preserve">Препоръчва се натоварваща доза от 15 </w:t>
      </w:r>
      <w:r w:rsidRPr="00CC7B2D">
        <w:rPr>
          <w:rFonts w:eastAsia="Times New Roman" w:cs="Arial"/>
          <w:color w:val="000000"/>
          <w:lang w:val="en-US"/>
        </w:rPr>
        <w:t xml:space="preserve">mg/kg </w:t>
      </w:r>
      <w:r w:rsidRPr="00CC7B2D">
        <w:rPr>
          <w:rFonts w:eastAsia="Times New Roman" w:cs="Arial"/>
          <w:color w:val="000000"/>
          <w:lang w:eastAsia="bg-BG"/>
        </w:rPr>
        <w:t xml:space="preserve">(0.15 </w:t>
      </w:r>
      <w:r w:rsidRPr="00CC7B2D">
        <w:rPr>
          <w:rFonts w:eastAsia="Times New Roman" w:cs="Arial"/>
          <w:color w:val="000000"/>
          <w:lang w:val="en-US"/>
        </w:rPr>
        <w:t xml:space="preserve">ml/kg) </w:t>
      </w:r>
      <w:r w:rsidRPr="00CC7B2D">
        <w:rPr>
          <w:rFonts w:eastAsia="Times New Roman" w:cs="Arial"/>
          <w:color w:val="000000"/>
          <w:lang w:eastAsia="bg-BG"/>
        </w:rPr>
        <w:t>през първия ден на лечение с леветирацетам.</w:t>
      </w:r>
    </w:p>
    <w:p w14:paraId="1F0F635B"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(4)</w:t>
      </w:r>
      <w:r w:rsidRPr="00CC7B2D">
        <w:rPr>
          <w:rFonts w:eastAsia="Times New Roman" w:cs="Arial"/>
          <w:color w:val="000000"/>
          <w:lang w:eastAsia="bg-BG"/>
        </w:rPr>
        <w:tab/>
        <w:t xml:space="preserve">След диализа се препоръчва допълнителна доза от 3,5 до 7 </w:t>
      </w:r>
      <w:r w:rsidRPr="00CC7B2D">
        <w:rPr>
          <w:rFonts w:eastAsia="Times New Roman" w:cs="Arial"/>
          <w:color w:val="000000"/>
          <w:lang w:val="en-US"/>
        </w:rPr>
        <w:t xml:space="preserve">mg/kg </w:t>
      </w:r>
      <w:r w:rsidRPr="00CC7B2D">
        <w:rPr>
          <w:rFonts w:eastAsia="Times New Roman" w:cs="Arial"/>
          <w:color w:val="000000"/>
          <w:lang w:eastAsia="bg-BG"/>
        </w:rPr>
        <w:t xml:space="preserve">(0,035 до 0,07 </w:t>
      </w:r>
      <w:r w:rsidRPr="00CC7B2D">
        <w:rPr>
          <w:rFonts w:eastAsia="Times New Roman" w:cs="Arial"/>
          <w:color w:val="000000"/>
          <w:lang w:val="en-US"/>
        </w:rPr>
        <w:t>ml/kg)</w:t>
      </w:r>
    </w:p>
    <w:p w14:paraId="2C63679C"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(5)</w:t>
      </w:r>
      <w:r w:rsidRPr="00CC7B2D">
        <w:rPr>
          <w:rFonts w:eastAsia="Times New Roman" w:cs="Arial"/>
          <w:color w:val="000000"/>
          <w:lang w:eastAsia="bg-BG"/>
        </w:rPr>
        <w:tab/>
        <w:t xml:space="preserve">След диализа се препоръчва допълнителна доза от 5 до 10 </w:t>
      </w:r>
      <w:r w:rsidRPr="00CC7B2D">
        <w:rPr>
          <w:rFonts w:eastAsia="Times New Roman" w:cs="Arial"/>
          <w:color w:val="000000"/>
          <w:lang w:val="en-US"/>
        </w:rPr>
        <w:t xml:space="preserve">mg/kg </w:t>
      </w:r>
      <w:r w:rsidRPr="00CC7B2D">
        <w:rPr>
          <w:rFonts w:eastAsia="Times New Roman" w:cs="Arial"/>
          <w:color w:val="000000"/>
          <w:lang w:eastAsia="bg-BG"/>
        </w:rPr>
        <w:t xml:space="preserve">(0,05 до 0,10 </w:t>
      </w:r>
      <w:r w:rsidRPr="00CC7B2D">
        <w:rPr>
          <w:rFonts w:eastAsia="Times New Roman" w:cs="Arial"/>
          <w:color w:val="000000"/>
          <w:lang w:val="en-US"/>
        </w:rPr>
        <w:t>ml/kg)</w:t>
      </w:r>
    </w:p>
    <w:p w14:paraId="7EA6C858" w14:textId="77777777" w:rsidR="0098490F" w:rsidRDefault="0098490F" w:rsidP="00CC7B2D">
      <w:pPr>
        <w:spacing w:line="240" w:lineRule="auto"/>
        <w:rPr>
          <w:rFonts w:eastAsia="Times New Roman" w:cs="Arial"/>
          <w:i/>
          <w:iCs/>
          <w:color w:val="000000"/>
          <w:lang w:eastAsia="bg-BG"/>
        </w:rPr>
      </w:pPr>
    </w:p>
    <w:p w14:paraId="7C8AA56F" w14:textId="662398B8"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Чернодробно увреждане</w:t>
      </w:r>
    </w:p>
    <w:p w14:paraId="6DF98463"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При пациенти с лека до умерена степен на чернодробно увреждане не се налага адаптиране на дозата. При пациенти с тежко чернодробно увреждане стойностите на креатининовия клирънс могат да не дадат реална представа за бъбречната недостатъчност. По тази причина при креатининов клирънс &lt; 60 </w:t>
      </w:r>
      <w:r w:rsidRPr="00CC7B2D">
        <w:rPr>
          <w:rFonts w:eastAsia="Times New Roman" w:cs="Arial"/>
          <w:color w:val="000000"/>
          <w:lang w:val="en-US"/>
        </w:rPr>
        <w:t>ml/min/l,73m</w:t>
      </w:r>
      <w:r w:rsidRPr="00CC7B2D">
        <w:rPr>
          <w:rFonts w:eastAsia="Times New Roman" w:cs="Arial"/>
          <w:color w:val="000000"/>
          <w:vertAlign w:val="superscript"/>
          <w:lang w:val="en-US"/>
        </w:rPr>
        <w:t>2</w:t>
      </w:r>
      <w:r w:rsidRPr="00CC7B2D">
        <w:rPr>
          <w:rFonts w:eastAsia="Times New Roman" w:cs="Arial"/>
          <w:color w:val="000000"/>
          <w:lang w:val="en-US"/>
        </w:rPr>
        <w:t xml:space="preserve"> </w:t>
      </w:r>
      <w:r w:rsidRPr="00CC7B2D">
        <w:rPr>
          <w:rFonts w:eastAsia="Times New Roman" w:cs="Arial"/>
          <w:color w:val="000000"/>
          <w:lang w:eastAsia="bg-BG"/>
        </w:rPr>
        <w:t>се препоръчва 50% намаление на дневната поддържаща доза.</w:t>
      </w:r>
    </w:p>
    <w:p w14:paraId="22BEF162" w14:textId="77777777" w:rsidR="0098490F" w:rsidRDefault="0098490F" w:rsidP="00CC7B2D">
      <w:pPr>
        <w:spacing w:line="240" w:lineRule="auto"/>
        <w:rPr>
          <w:rFonts w:eastAsia="Times New Roman" w:cs="Arial"/>
          <w:color w:val="000000"/>
          <w:u w:val="single"/>
          <w:lang w:eastAsia="bg-BG"/>
        </w:rPr>
      </w:pPr>
    </w:p>
    <w:p w14:paraId="1858CDEB" w14:textId="2ADFBDF9" w:rsidR="00CC7B2D" w:rsidRPr="00193A01" w:rsidRDefault="00CC7B2D" w:rsidP="00193A01">
      <w:pPr>
        <w:pStyle w:val="Heading3"/>
        <w:rPr>
          <w:rFonts w:eastAsia="Times New Roman"/>
          <w:u w:val="single"/>
          <w:lang w:eastAsia="bg-BG"/>
        </w:rPr>
      </w:pPr>
      <w:r w:rsidRPr="00193A01">
        <w:rPr>
          <w:rFonts w:eastAsia="Times New Roman"/>
          <w:u w:val="single"/>
          <w:lang w:eastAsia="bg-BG"/>
        </w:rPr>
        <w:t>Педиатрична популация</w:t>
      </w:r>
    </w:p>
    <w:p w14:paraId="21E05EE7"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Лекарят трябва да предпише най-подходящата лекарствена форма, количество в опаковка и количество на активното вещество в дозова единица в зависимост от теглото и дозата.</w:t>
      </w:r>
    </w:p>
    <w:p w14:paraId="4990FE7B" w14:textId="77777777" w:rsidR="0098490F" w:rsidRDefault="0098490F" w:rsidP="00CC7B2D">
      <w:pPr>
        <w:spacing w:line="240" w:lineRule="auto"/>
        <w:rPr>
          <w:rFonts w:eastAsia="Times New Roman" w:cs="Arial"/>
          <w:color w:val="000000"/>
          <w:lang w:eastAsia="bg-BG"/>
        </w:rPr>
      </w:pPr>
    </w:p>
    <w:p w14:paraId="37A5960A" w14:textId="6487D205"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Таблетната форма не е адаптирана за употреба при деца под 6 години. За предпочитане е перорален разтвор при тази популация. Още повече, че наличните концентрации на таблетките не са подходящи за начално лечение при деца, с тегло под 25 </w:t>
      </w:r>
      <w:r w:rsidRPr="00CC7B2D">
        <w:rPr>
          <w:rFonts w:eastAsia="Times New Roman" w:cs="Arial"/>
          <w:color w:val="000000"/>
          <w:lang w:val="en-US"/>
        </w:rPr>
        <w:t xml:space="preserve">kg, </w:t>
      </w:r>
      <w:r w:rsidRPr="00CC7B2D">
        <w:rPr>
          <w:rFonts w:eastAsia="Times New Roman" w:cs="Arial"/>
          <w:color w:val="000000"/>
          <w:lang w:eastAsia="bg-BG"/>
        </w:rPr>
        <w:t xml:space="preserve">цри пациенти, неспособни да преглъщат таблетките или за прилагане на дози под 125 </w:t>
      </w:r>
      <w:r w:rsidRPr="00CC7B2D">
        <w:rPr>
          <w:rFonts w:eastAsia="Times New Roman" w:cs="Arial"/>
          <w:color w:val="000000"/>
          <w:lang w:val="en-US"/>
        </w:rPr>
        <w:t xml:space="preserve">mg </w:t>
      </w:r>
      <w:r w:rsidRPr="00CC7B2D">
        <w:rPr>
          <w:rFonts w:eastAsia="Times New Roman" w:cs="Arial"/>
          <w:color w:val="000000"/>
          <w:lang w:eastAsia="bg-BG"/>
        </w:rPr>
        <w:t xml:space="preserve">(половината на таблетка от 250 </w:t>
      </w:r>
      <w:r w:rsidRPr="00CC7B2D">
        <w:rPr>
          <w:rFonts w:eastAsia="Times New Roman" w:cs="Arial"/>
          <w:color w:val="000000"/>
          <w:lang w:val="en-US"/>
        </w:rPr>
        <w:t xml:space="preserve">mg). </w:t>
      </w:r>
      <w:r w:rsidRPr="00CC7B2D">
        <w:rPr>
          <w:rFonts w:eastAsia="Times New Roman" w:cs="Arial"/>
          <w:color w:val="000000"/>
          <w:lang w:eastAsia="bg-BG"/>
        </w:rPr>
        <w:t>Във всички тези случаи трябва да се използва перорален разтвор.</w:t>
      </w:r>
    </w:p>
    <w:p w14:paraId="697A68A3" w14:textId="77777777" w:rsidR="0098490F" w:rsidRDefault="0098490F" w:rsidP="00CC7B2D">
      <w:pPr>
        <w:spacing w:line="240" w:lineRule="auto"/>
        <w:rPr>
          <w:rFonts w:eastAsia="Times New Roman" w:cs="Arial"/>
          <w:i/>
          <w:iCs/>
          <w:color w:val="000000"/>
          <w:lang w:eastAsia="bg-BG"/>
        </w:rPr>
      </w:pPr>
    </w:p>
    <w:p w14:paraId="6679DA78" w14:textId="5A7F8767"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Монотерапия</w:t>
      </w:r>
    </w:p>
    <w:p w14:paraId="6BBF0974"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Безопасността и ефективността на Леветирацетам Стада при деца и юноши под 16 години като монотерапия не е установена.</w:t>
      </w:r>
    </w:p>
    <w:p w14:paraId="1ADA9B82"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Няма налични данни,</w:t>
      </w:r>
    </w:p>
    <w:p w14:paraId="4923F0F4" w14:textId="77777777" w:rsidR="0098490F" w:rsidRDefault="0098490F" w:rsidP="00CC7B2D">
      <w:pPr>
        <w:spacing w:line="240" w:lineRule="auto"/>
        <w:rPr>
          <w:rFonts w:eastAsia="Times New Roman" w:cs="Arial"/>
          <w:i/>
          <w:iCs/>
          <w:color w:val="000000"/>
          <w:lang w:eastAsia="bg-BG"/>
        </w:rPr>
      </w:pPr>
    </w:p>
    <w:p w14:paraId="4F8C8126" w14:textId="180D1679"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 xml:space="preserve">Допълващо лечение при кърмачета на възраст от 6 до 23 месеца, деца (2-11 години) и юноши (12-17 години) с тегло под 50 </w:t>
      </w:r>
      <w:r w:rsidRPr="00CC7B2D">
        <w:rPr>
          <w:rFonts w:eastAsia="Times New Roman" w:cs="Arial"/>
          <w:i/>
          <w:iCs/>
          <w:color w:val="000000"/>
          <w:lang w:val="en-US"/>
        </w:rPr>
        <w:t>kg</w:t>
      </w:r>
    </w:p>
    <w:p w14:paraId="5C436E1D" w14:textId="77777777"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Препоръчва се перорален разтвор като лекарствена форма при кърмачета и деца под 6 години.</w:t>
      </w:r>
    </w:p>
    <w:p w14:paraId="593E7AF2" w14:textId="77777777" w:rsidR="0098490F" w:rsidRDefault="0098490F" w:rsidP="00CC7B2D">
      <w:pPr>
        <w:spacing w:line="240" w:lineRule="auto"/>
        <w:rPr>
          <w:rFonts w:eastAsia="Times New Roman" w:cs="Arial"/>
          <w:color w:val="000000"/>
          <w:lang w:eastAsia="bg-BG"/>
        </w:rPr>
      </w:pPr>
    </w:p>
    <w:p w14:paraId="21E42A2D" w14:textId="02DFA80C"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При деца на и над 6 години, перорален разтвор трябва да се използва при дози под 125 </w:t>
      </w:r>
      <w:r w:rsidRPr="00CC7B2D">
        <w:rPr>
          <w:rFonts w:eastAsia="Times New Roman" w:cs="Arial"/>
          <w:color w:val="000000"/>
          <w:lang w:val="en-US"/>
        </w:rPr>
        <w:t xml:space="preserve">mg, </w:t>
      </w:r>
      <w:r w:rsidRPr="00CC7B2D">
        <w:rPr>
          <w:rFonts w:eastAsia="Times New Roman" w:cs="Arial"/>
          <w:color w:val="000000"/>
          <w:lang w:eastAsia="bg-BG"/>
        </w:rPr>
        <w:t xml:space="preserve">при дози, които не са кратни на 125 </w:t>
      </w:r>
      <w:r w:rsidRPr="00CC7B2D">
        <w:rPr>
          <w:rFonts w:eastAsia="Times New Roman" w:cs="Arial"/>
          <w:color w:val="000000"/>
          <w:lang w:val="en-US"/>
        </w:rPr>
        <w:t xml:space="preserve">mg, </w:t>
      </w:r>
      <w:r w:rsidRPr="00CC7B2D">
        <w:rPr>
          <w:rFonts w:eastAsia="Times New Roman" w:cs="Arial"/>
          <w:color w:val="000000"/>
          <w:lang w:eastAsia="bg-BG"/>
        </w:rPr>
        <w:t>когато препоръчваната доза не може да се постигне с Приемането на няколко таблетки, както и при пациенти, които не могат да преглъщат таблетки.</w:t>
      </w:r>
    </w:p>
    <w:p w14:paraId="019123B6" w14:textId="77777777" w:rsidR="0098490F" w:rsidRDefault="0098490F" w:rsidP="00CC7B2D">
      <w:pPr>
        <w:spacing w:line="240" w:lineRule="auto"/>
        <w:rPr>
          <w:rFonts w:eastAsia="Times New Roman" w:cs="Arial"/>
          <w:color w:val="000000"/>
          <w:lang w:eastAsia="bg-BG"/>
        </w:rPr>
      </w:pPr>
    </w:p>
    <w:p w14:paraId="4932B971" w14:textId="4CFF84A9"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lastRenderedPageBreak/>
        <w:t xml:space="preserve">Трябва да се използва най-ниската ефективна доза. Началната доза при дете или юноша с тегло 25 </w:t>
      </w:r>
      <w:r w:rsidRPr="00CC7B2D">
        <w:rPr>
          <w:rFonts w:eastAsia="Times New Roman" w:cs="Arial"/>
          <w:color w:val="000000"/>
          <w:lang w:val="en-US"/>
        </w:rPr>
        <w:t xml:space="preserve">kg </w:t>
      </w:r>
      <w:r w:rsidRPr="00CC7B2D">
        <w:rPr>
          <w:rFonts w:eastAsia="Times New Roman" w:cs="Arial"/>
          <w:color w:val="000000"/>
          <w:lang w:eastAsia="bg-BG"/>
        </w:rPr>
        <w:t xml:space="preserve">трябва да е 250 </w:t>
      </w:r>
      <w:r w:rsidRPr="00CC7B2D">
        <w:rPr>
          <w:rFonts w:eastAsia="Times New Roman" w:cs="Arial"/>
          <w:color w:val="000000"/>
          <w:lang w:val="en-US"/>
        </w:rPr>
        <w:t xml:space="preserve">mg </w:t>
      </w:r>
      <w:r w:rsidRPr="00CC7B2D">
        <w:rPr>
          <w:rFonts w:eastAsia="Times New Roman" w:cs="Arial"/>
          <w:color w:val="000000"/>
          <w:lang w:eastAsia="bg-BG"/>
        </w:rPr>
        <w:t xml:space="preserve">два пъти дневно, като максималната доза е 750 </w:t>
      </w:r>
      <w:r w:rsidRPr="00CC7B2D">
        <w:rPr>
          <w:rFonts w:eastAsia="Times New Roman" w:cs="Arial"/>
          <w:color w:val="000000"/>
          <w:lang w:val="en-US"/>
        </w:rPr>
        <w:t xml:space="preserve">mg </w:t>
      </w:r>
      <w:r w:rsidRPr="00CC7B2D">
        <w:rPr>
          <w:rFonts w:eastAsia="Times New Roman" w:cs="Arial"/>
          <w:color w:val="000000"/>
          <w:lang w:eastAsia="bg-BG"/>
        </w:rPr>
        <w:t>два пъти дневно.</w:t>
      </w:r>
    </w:p>
    <w:p w14:paraId="65289760" w14:textId="77777777" w:rsidR="0098490F" w:rsidRDefault="0098490F" w:rsidP="00CC7B2D">
      <w:pPr>
        <w:spacing w:line="240" w:lineRule="auto"/>
        <w:rPr>
          <w:rFonts w:eastAsia="Times New Roman" w:cs="Arial"/>
          <w:color w:val="000000"/>
          <w:lang w:eastAsia="bg-BG"/>
        </w:rPr>
      </w:pPr>
    </w:p>
    <w:p w14:paraId="3A010DA0" w14:textId="3813A834" w:rsidR="00CC7B2D" w:rsidRPr="00CC7B2D" w:rsidRDefault="00CC7B2D" w:rsidP="00CC7B2D">
      <w:pPr>
        <w:spacing w:line="240" w:lineRule="auto"/>
        <w:rPr>
          <w:rFonts w:eastAsia="Times New Roman" w:cs="Arial"/>
          <w:lang w:eastAsia="bg-BG"/>
        </w:rPr>
      </w:pPr>
      <w:r w:rsidRPr="00CC7B2D">
        <w:rPr>
          <w:rFonts w:eastAsia="Times New Roman" w:cs="Arial"/>
          <w:color w:val="000000"/>
          <w:lang w:eastAsia="bg-BG"/>
        </w:rPr>
        <w:t xml:space="preserve">Дозата при деца с тегло 50 </w:t>
      </w:r>
      <w:r w:rsidRPr="00CC7B2D">
        <w:rPr>
          <w:rFonts w:eastAsia="Times New Roman" w:cs="Arial"/>
          <w:color w:val="000000"/>
          <w:lang w:val="en-US"/>
        </w:rPr>
        <w:t xml:space="preserve">kg </w:t>
      </w:r>
      <w:r w:rsidRPr="00CC7B2D">
        <w:rPr>
          <w:rFonts w:eastAsia="Times New Roman" w:cs="Arial"/>
          <w:color w:val="000000"/>
          <w:lang w:eastAsia="bg-BG"/>
        </w:rPr>
        <w:t>или повече е същата както при възрастни.</w:t>
      </w:r>
    </w:p>
    <w:p w14:paraId="0E232413" w14:textId="77777777" w:rsidR="0098490F" w:rsidRDefault="0098490F" w:rsidP="00CC7B2D">
      <w:pPr>
        <w:spacing w:line="240" w:lineRule="auto"/>
        <w:rPr>
          <w:rFonts w:eastAsia="Times New Roman" w:cs="Arial"/>
          <w:i/>
          <w:iCs/>
          <w:color w:val="000000"/>
          <w:lang w:eastAsia="bg-BG"/>
        </w:rPr>
      </w:pPr>
    </w:p>
    <w:p w14:paraId="55748A57" w14:textId="614423ED" w:rsidR="00CC7B2D" w:rsidRPr="00CC7B2D" w:rsidRDefault="00CC7B2D" w:rsidP="00CC7B2D">
      <w:pPr>
        <w:spacing w:line="240" w:lineRule="auto"/>
        <w:rPr>
          <w:rFonts w:eastAsia="Times New Roman" w:cs="Arial"/>
          <w:lang w:eastAsia="bg-BG"/>
        </w:rPr>
      </w:pPr>
      <w:r w:rsidRPr="00CC7B2D">
        <w:rPr>
          <w:rFonts w:eastAsia="Times New Roman" w:cs="Arial"/>
          <w:i/>
          <w:iCs/>
          <w:color w:val="000000"/>
          <w:lang w:eastAsia="bg-BG"/>
        </w:rPr>
        <w:t xml:space="preserve">Допълнително лечение при кърмачета на възраст от 1 до 6 месеца </w:t>
      </w:r>
      <w:r w:rsidRPr="00CC7B2D">
        <w:rPr>
          <w:rFonts w:eastAsia="Times New Roman" w:cs="Arial"/>
          <w:color w:val="000000"/>
          <w:lang w:eastAsia="bg-BG"/>
        </w:rPr>
        <w:t>При кърмачета се прилага перорален разтвор.</w:t>
      </w:r>
    </w:p>
    <w:p w14:paraId="2874BB3A" w14:textId="77777777" w:rsidR="0098490F" w:rsidRDefault="0098490F" w:rsidP="00CC7B2D">
      <w:pPr>
        <w:spacing w:line="240" w:lineRule="auto"/>
        <w:rPr>
          <w:rFonts w:eastAsia="Times New Roman" w:cs="Arial"/>
          <w:color w:val="000000"/>
          <w:lang w:eastAsia="bg-BG"/>
        </w:rPr>
      </w:pPr>
    </w:p>
    <w:p w14:paraId="72EC15ED" w14:textId="752BB2BC" w:rsidR="00CC7B2D" w:rsidRPr="00193A01" w:rsidRDefault="00CC7B2D" w:rsidP="00193A01">
      <w:pPr>
        <w:pStyle w:val="Heading3"/>
        <w:rPr>
          <w:rFonts w:eastAsia="Times New Roman"/>
          <w:u w:val="single"/>
          <w:lang w:eastAsia="bg-BG"/>
        </w:rPr>
      </w:pPr>
      <w:r w:rsidRPr="00193A01">
        <w:rPr>
          <w:rFonts w:eastAsia="Times New Roman"/>
          <w:u w:val="single"/>
          <w:lang w:eastAsia="bg-BG"/>
        </w:rPr>
        <w:t>Начин на приложение</w:t>
      </w:r>
    </w:p>
    <w:p w14:paraId="669A92B5" w14:textId="66121BA2" w:rsidR="00CC7B2D" w:rsidRPr="00CC7B2D" w:rsidRDefault="00CC7B2D" w:rsidP="00CC7B2D">
      <w:pPr>
        <w:rPr>
          <w:rFonts w:eastAsia="Times New Roman" w:cs="Arial"/>
          <w:color w:val="000000"/>
          <w:lang w:eastAsia="bg-BG"/>
        </w:rPr>
      </w:pPr>
      <w:r w:rsidRPr="00CC7B2D">
        <w:rPr>
          <w:rFonts w:eastAsia="Times New Roman" w:cs="Arial"/>
          <w:color w:val="000000"/>
          <w:lang w:eastAsia="bg-BG"/>
        </w:rPr>
        <w:t>Филмирани таблетки трябва да се приемат през устата, поглъщат се с достатъчно количество течност и може да се приемат със или без храна. След перорално приложение може да се усети горчивият вкус на леветирацетам. Дневната доза се прилага като се разделя на две равни дози.</w:t>
      </w:r>
    </w:p>
    <w:p w14:paraId="65C9534C" w14:textId="77777777" w:rsidR="00CC7B2D" w:rsidRPr="00CC7B2D" w:rsidRDefault="00CC7B2D" w:rsidP="00CC7B2D">
      <w:pPr>
        <w:rPr>
          <w:rFonts w:cs="Arial"/>
        </w:rPr>
      </w:pPr>
    </w:p>
    <w:p w14:paraId="28C984E8" w14:textId="213F6D53" w:rsidR="008134C8" w:rsidRDefault="002C50EE" w:rsidP="004A448E">
      <w:pPr>
        <w:pStyle w:val="Heading2"/>
      </w:pPr>
      <w:r>
        <w:t>4.3. Противопоказания</w:t>
      </w:r>
    </w:p>
    <w:p w14:paraId="1951C70C" w14:textId="714DCC2E" w:rsidR="0098490F" w:rsidRDefault="0098490F" w:rsidP="0098490F"/>
    <w:p w14:paraId="509F0316" w14:textId="130BF79E" w:rsidR="0098490F" w:rsidRDefault="0098490F" w:rsidP="0098490F">
      <w:r w:rsidRPr="0098490F">
        <w:t>Свръхчувствителност към активното вещество или към други пиролидонови производни или към някое от помощните вещества, изброени в точка 6.1.</w:t>
      </w:r>
    </w:p>
    <w:p w14:paraId="4D2733B3" w14:textId="77777777" w:rsidR="0098490F" w:rsidRPr="0098490F" w:rsidRDefault="0098490F" w:rsidP="0098490F"/>
    <w:p w14:paraId="212F509C" w14:textId="73F748EB" w:rsidR="004F498A" w:rsidRDefault="002C50EE" w:rsidP="004A448E">
      <w:pPr>
        <w:pStyle w:val="Heading2"/>
      </w:pPr>
      <w:r>
        <w:t>4.4. Специални предупреждения и предпазни мерки при употреба</w:t>
      </w:r>
    </w:p>
    <w:p w14:paraId="70B558FA" w14:textId="78236787" w:rsidR="0098490F" w:rsidRDefault="0098490F" w:rsidP="0098490F"/>
    <w:p w14:paraId="72C5920B"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Бъбречно увреждане</w:t>
      </w:r>
    </w:p>
    <w:p w14:paraId="2080A26A"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Прилагането на Леветирацетам Стада при пациенти с бъбречно увреждане изисква адаптиране на дозата. При пациенти с тежко нарушение на чернодробната функция се препоръчва оценка на бъбречната функция преди определяне на дозата (вж. точка 4.2).</w:t>
      </w:r>
    </w:p>
    <w:p w14:paraId="4EDAEB89" w14:textId="77777777" w:rsidR="0098490F" w:rsidRDefault="0098490F" w:rsidP="0098490F">
      <w:pPr>
        <w:spacing w:line="240" w:lineRule="auto"/>
        <w:rPr>
          <w:rFonts w:eastAsia="Times New Roman" w:cs="Arial"/>
          <w:color w:val="000000"/>
          <w:u w:val="single"/>
          <w:lang w:eastAsia="bg-BG"/>
        </w:rPr>
      </w:pPr>
    </w:p>
    <w:p w14:paraId="01E37E13" w14:textId="5B93C434"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Остра бъбречна недостатъчност</w:t>
      </w:r>
    </w:p>
    <w:p w14:paraId="0F684FE9"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Много рядко употребата на леветирацетам се свързва с остра бъбречна недостатъчност, като времето за нейното възникване варира от няколко дни до няколко месеца.</w:t>
      </w:r>
    </w:p>
    <w:p w14:paraId="4B399941" w14:textId="77777777" w:rsidR="0098490F" w:rsidRDefault="0098490F" w:rsidP="0098490F">
      <w:pPr>
        <w:spacing w:line="240" w:lineRule="auto"/>
        <w:rPr>
          <w:rFonts w:eastAsia="Times New Roman" w:cs="Arial"/>
          <w:color w:val="000000"/>
          <w:u w:val="single"/>
          <w:lang w:eastAsia="bg-BG"/>
        </w:rPr>
      </w:pPr>
    </w:p>
    <w:p w14:paraId="2FCE492E" w14:textId="3F8ACF25"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Кръвна картина</w:t>
      </w:r>
    </w:p>
    <w:p w14:paraId="17DA48A6"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При прилагането на леветирацетам, обикновено при започване на лечението, са описани редки случаи на намален брой кръвни клетки (неутропения, агранулоцитоза, левкопения, тромбоцитопения и панцитопения). Пълната кръвна картина се препоръчва при пациенти с изразена слабост, пирексия, рецидивиращи инфекции или коагулационни нарушения (точка 4.8).</w:t>
      </w:r>
    </w:p>
    <w:p w14:paraId="0AC5A5FD" w14:textId="77777777" w:rsidR="0098490F" w:rsidRDefault="0098490F" w:rsidP="0098490F">
      <w:pPr>
        <w:spacing w:line="240" w:lineRule="auto"/>
        <w:rPr>
          <w:rFonts w:eastAsia="Times New Roman" w:cs="Arial"/>
          <w:color w:val="000000"/>
          <w:u w:val="single"/>
          <w:lang w:eastAsia="bg-BG"/>
        </w:rPr>
      </w:pPr>
    </w:p>
    <w:p w14:paraId="2C21C11A" w14:textId="7BB93225"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Самоубийство</w:t>
      </w:r>
    </w:p>
    <w:p w14:paraId="25F9D026"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При пациенти, лекувани с антиепилептични лекарства (включително леветирацетам) са съобщавани самоубийство, опит за самоубийство, суицидна идеация и поведение. Мета анализ на рандомизирани, плацебо контролирани изпитвания на антиепилептични лекарствени продукти показва малък, но повишен риск от поява на суицидни мисли и поведение.</w:t>
      </w:r>
    </w:p>
    <w:p w14:paraId="7BB30324"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Механизмът на този риск не е известен.</w:t>
      </w:r>
    </w:p>
    <w:p w14:paraId="79CF4904" w14:textId="77777777" w:rsidR="0098490F" w:rsidRDefault="0098490F" w:rsidP="0098490F">
      <w:pPr>
        <w:spacing w:line="240" w:lineRule="auto"/>
        <w:rPr>
          <w:rFonts w:eastAsia="Times New Roman" w:cs="Arial"/>
          <w:color w:val="000000"/>
          <w:lang w:eastAsia="bg-BG"/>
        </w:rPr>
      </w:pPr>
    </w:p>
    <w:p w14:paraId="1D8C64E8" w14:textId="5B7D87CA"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Затова пациентите трябва да бъдат проследявани за признаци на депресия и/или суицидна идеация и поведение и трябва да се предприеме съответното лечение. Пациентите (и хората, които се грижат за тях) трябва да бъдат посъветвани да потърсят </w:t>
      </w:r>
      <w:r w:rsidRPr="0098490F">
        <w:rPr>
          <w:rFonts w:eastAsia="Times New Roman" w:cs="Arial"/>
          <w:color w:val="000000"/>
          <w:lang w:eastAsia="bg-BG"/>
        </w:rPr>
        <w:lastRenderedPageBreak/>
        <w:t>лекарски съвет, в случай, че се появят признаци на депресия и/или суицидна идеация или поведение.</w:t>
      </w:r>
    </w:p>
    <w:p w14:paraId="143BC9C5" w14:textId="77777777" w:rsidR="0098490F" w:rsidRDefault="0098490F" w:rsidP="0098490F">
      <w:pPr>
        <w:spacing w:line="240" w:lineRule="auto"/>
        <w:rPr>
          <w:rFonts w:eastAsia="Times New Roman" w:cs="Arial"/>
          <w:color w:val="000000"/>
          <w:u w:val="single"/>
          <w:lang w:eastAsia="bg-BG"/>
        </w:rPr>
      </w:pPr>
    </w:p>
    <w:p w14:paraId="2E07D041" w14:textId="2031093A"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Абнормно и агресивно поведение</w:t>
      </w:r>
    </w:p>
    <w:p w14:paraId="7CCD1B63"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Леветирацетам може да причини психотични симптоми и поведенчески аномалии, включително раздразнителност и агресивност. Пациентите, лекувани с леветирацетам, трябва да бъдат наблюдавани за развитие на психиатрични прояви, насочващи към съществени промени в настроението и/или личността. Ако се забележат такива поведения, трябва да се обмисли коригиране или постепенно преустановяване на лечението. Ако се вземе решение за преустановяване, моля вижте точка 4.2.</w:t>
      </w:r>
    </w:p>
    <w:p w14:paraId="3A92E4C8" w14:textId="77777777" w:rsidR="0098490F" w:rsidRDefault="0098490F" w:rsidP="0098490F">
      <w:pPr>
        <w:spacing w:line="240" w:lineRule="auto"/>
        <w:rPr>
          <w:rFonts w:eastAsia="Times New Roman" w:cs="Arial"/>
          <w:color w:val="000000"/>
          <w:u w:val="single"/>
          <w:lang w:eastAsia="bg-BG"/>
        </w:rPr>
      </w:pPr>
    </w:p>
    <w:p w14:paraId="63A093A2" w14:textId="54B839EC"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Педиатрична популация</w:t>
      </w:r>
    </w:p>
    <w:p w14:paraId="224C92A2"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Таблетната форма не е подходяща за приемане от новородени и деца под 6-години.</w:t>
      </w:r>
    </w:p>
    <w:p w14:paraId="6EA21017"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Наличните данни при деца не показват повлияване на растежа и пубертета. Въпреки това не са известни дълготрайните ефекти върху способността за заучаване, интелекта, растежа, ендокринните функции, пубертета и възпроизводствения потенциал.</w:t>
      </w:r>
    </w:p>
    <w:p w14:paraId="5FEACEA9" w14:textId="77777777" w:rsidR="0098490F" w:rsidRDefault="0098490F" w:rsidP="0098490F">
      <w:pPr>
        <w:spacing w:line="240" w:lineRule="auto"/>
        <w:rPr>
          <w:rFonts w:eastAsia="Times New Roman" w:cs="Arial"/>
          <w:color w:val="000000"/>
          <w:u w:val="single"/>
          <w:lang w:eastAsia="bg-BG"/>
        </w:rPr>
      </w:pPr>
    </w:p>
    <w:p w14:paraId="5A5027E2" w14:textId="305FA286"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Помощни вещества</w:t>
      </w:r>
    </w:p>
    <w:p w14:paraId="014797DD" w14:textId="4E071D62" w:rsidR="0098490F" w:rsidRDefault="0098490F" w:rsidP="0098490F">
      <w:pPr>
        <w:rPr>
          <w:rFonts w:eastAsia="Times New Roman" w:cs="Arial"/>
          <w:color w:val="000000"/>
          <w:lang w:eastAsia="bg-BG"/>
        </w:rPr>
      </w:pPr>
      <w:r w:rsidRPr="0098490F">
        <w:rPr>
          <w:rFonts w:eastAsia="Times New Roman" w:cs="Arial"/>
          <w:color w:val="000000"/>
          <w:lang w:eastAsia="bg-BG"/>
        </w:rPr>
        <w:t xml:space="preserve">Леветирацетам СТАДА 750 </w:t>
      </w:r>
      <w:r w:rsidRPr="0098490F">
        <w:rPr>
          <w:rFonts w:eastAsia="Times New Roman" w:cs="Arial"/>
          <w:color w:val="000000"/>
          <w:lang w:val="en-US"/>
        </w:rPr>
        <w:t xml:space="preserve">mg </w:t>
      </w:r>
      <w:r w:rsidRPr="0098490F">
        <w:rPr>
          <w:rFonts w:eastAsia="Times New Roman" w:cs="Arial"/>
          <w:color w:val="000000"/>
          <w:lang w:eastAsia="bg-BG"/>
        </w:rPr>
        <w:t xml:space="preserve">филмирани таблетки съдържа багрилото Сънсет жълто </w:t>
      </w:r>
      <w:r w:rsidRPr="0098490F">
        <w:rPr>
          <w:rFonts w:eastAsia="Times New Roman" w:cs="Arial"/>
          <w:color w:val="000000"/>
          <w:lang w:val="en-US"/>
        </w:rPr>
        <w:t xml:space="preserve">FCF </w:t>
      </w:r>
      <w:r w:rsidRPr="0098490F">
        <w:rPr>
          <w:rFonts w:eastAsia="Times New Roman" w:cs="Arial"/>
          <w:color w:val="000000"/>
          <w:lang w:eastAsia="bg-BG"/>
        </w:rPr>
        <w:t>(Е 110) алуминиева сол, което може да причини алергични реакции.</w:t>
      </w:r>
    </w:p>
    <w:p w14:paraId="01FF1957" w14:textId="77777777" w:rsidR="0098490F" w:rsidRPr="0098490F" w:rsidRDefault="0098490F" w:rsidP="0098490F">
      <w:pPr>
        <w:rPr>
          <w:rFonts w:cs="Arial"/>
        </w:rPr>
      </w:pPr>
    </w:p>
    <w:p w14:paraId="619DED1E" w14:textId="327BBED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054828A" w14:textId="5520C977" w:rsidR="0098490F" w:rsidRDefault="0098490F" w:rsidP="0098490F"/>
    <w:p w14:paraId="76E7DC2F"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Антиепилептични лекарствени продукти</w:t>
      </w:r>
      <w:r w:rsidRPr="0098490F">
        <w:rPr>
          <w:rFonts w:eastAsia="Times New Roman" w:cs="Arial"/>
          <w:color w:val="000000"/>
          <w:lang w:eastAsia="bg-BG"/>
        </w:rPr>
        <w:tab/>
      </w:r>
    </w:p>
    <w:p w14:paraId="37F700A5"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Данните от клинични проучвания при възрастни, преди пускане на пазара показват, че Леветирацетам не оказва влияние върху серумните концентрации на съществуващите</w:t>
      </w:r>
    </w:p>
    <w:p w14:paraId="19E0804D" w14:textId="69C09C2B" w:rsidR="0098490F" w:rsidRDefault="0098490F" w:rsidP="0098490F">
      <w:pPr>
        <w:spacing w:line="240" w:lineRule="auto"/>
        <w:rPr>
          <w:rFonts w:eastAsia="Times New Roman" w:cs="Arial"/>
          <w:color w:val="000000"/>
          <w:lang w:eastAsia="bg-BG"/>
        </w:rPr>
      </w:pPr>
      <w:r w:rsidRPr="0098490F">
        <w:rPr>
          <w:rFonts w:eastAsia="Times New Roman" w:cs="Arial"/>
          <w:color w:val="000000"/>
          <w:lang w:eastAsia="bg-BG"/>
        </w:rPr>
        <w:t>антиепилептични лекарствени средства (фенитоин, карбамазепин, валпроева киселина,</w:t>
      </w:r>
    </w:p>
    <w:p w14:paraId="52F329B2"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фенобарбитал, ламотригин, габапентин, примидон), както и че тези антиепилептични лекарства не влияят върху фармакокинетиката на леветирацетам.</w:t>
      </w:r>
    </w:p>
    <w:p w14:paraId="0E2D9B45" w14:textId="77777777" w:rsidR="0098490F" w:rsidRDefault="0098490F" w:rsidP="0098490F">
      <w:pPr>
        <w:spacing w:line="240" w:lineRule="auto"/>
        <w:rPr>
          <w:rFonts w:eastAsia="Times New Roman" w:cs="Arial"/>
          <w:color w:val="000000"/>
          <w:lang w:eastAsia="bg-BG"/>
        </w:rPr>
      </w:pPr>
    </w:p>
    <w:p w14:paraId="55937219" w14:textId="5571EA12"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Не съществуват категорични данни за клинично значими лекарствени взаимодействия както при възрастни, така и при педиатрични пациенти, приемащи до 60 </w:t>
      </w:r>
      <w:r w:rsidRPr="0098490F">
        <w:rPr>
          <w:rFonts w:eastAsia="Times New Roman" w:cs="Arial"/>
          <w:color w:val="000000"/>
          <w:lang w:val="en-US"/>
        </w:rPr>
        <w:t>mg/kg</w:t>
      </w:r>
      <w:r w:rsidRPr="0098490F">
        <w:rPr>
          <w:rFonts w:eastAsia="Times New Roman" w:cs="Arial"/>
          <w:color w:val="000000"/>
          <w:lang w:eastAsia="bg-BG"/>
        </w:rPr>
        <w:t>/дневно леветирацетам.</w:t>
      </w:r>
    </w:p>
    <w:p w14:paraId="5065193A" w14:textId="77777777" w:rsidR="0098490F" w:rsidRDefault="0098490F" w:rsidP="0098490F">
      <w:pPr>
        <w:spacing w:line="240" w:lineRule="auto"/>
        <w:rPr>
          <w:rFonts w:eastAsia="Times New Roman" w:cs="Arial"/>
          <w:color w:val="000000"/>
          <w:lang w:eastAsia="bg-BG"/>
        </w:rPr>
      </w:pPr>
    </w:p>
    <w:p w14:paraId="148CFA28" w14:textId="06AA5AAB"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Ретроспективната оценка на фармакокинетичните взаимодействия при деца и юноши с епилепсия (4 до 17 години), потвърждава, че допълващото лечение с перорално приложен леветирацетам не повлиява стационарните серумни концентрации на едновременно прилаганите карбамазепин и валпроат. Въпреки това данните предполагат 20% по-висок клирьнс на леветирацетам при деца, приемащи ензим-индуциращи антиепилептични лекарствени продукти. Не се налага адаптиране на дозата.</w:t>
      </w:r>
    </w:p>
    <w:p w14:paraId="107F465C" w14:textId="77777777" w:rsidR="0098490F" w:rsidRDefault="0098490F" w:rsidP="0098490F">
      <w:pPr>
        <w:spacing w:line="240" w:lineRule="auto"/>
        <w:rPr>
          <w:rFonts w:eastAsia="Times New Roman" w:cs="Arial"/>
          <w:color w:val="000000"/>
          <w:u w:val="single"/>
          <w:lang w:eastAsia="bg-BG"/>
        </w:rPr>
      </w:pPr>
    </w:p>
    <w:p w14:paraId="7F659889" w14:textId="5185AE5F"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Пробенецид</w:t>
      </w:r>
    </w:p>
    <w:p w14:paraId="7799AEF6"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Установено е, че пробенецид (500 </w:t>
      </w:r>
      <w:r w:rsidRPr="0098490F">
        <w:rPr>
          <w:rFonts w:eastAsia="Times New Roman" w:cs="Arial"/>
          <w:color w:val="000000"/>
          <w:lang w:val="en-US"/>
        </w:rPr>
        <w:t xml:space="preserve">mg </w:t>
      </w:r>
      <w:r w:rsidRPr="0098490F">
        <w:rPr>
          <w:rFonts w:eastAsia="Times New Roman" w:cs="Arial"/>
          <w:color w:val="000000"/>
          <w:lang w:eastAsia="bg-BG"/>
        </w:rPr>
        <w:t>четири пъти дневно), блокер на бъбречната тубулна секреция, инхибира реналния клирънс на първичния метаболит, но не и на леветирацетам. Въпреки това концентрацията на този метаболит остава ниска.</w:t>
      </w:r>
    </w:p>
    <w:p w14:paraId="084ADA4A" w14:textId="77777777" w:rsidR="0098490F" w:rsidRDefault="0098490F" w:rsidP="0098490F">
      <w:pPr>
        <w:spacing w:line="240" w:lineRule="auto"/>
        <w:rPr>
          <w:rFonts w:eastAsia="Times New Roman" w:cs="Arial"/>
          <w:color w:val="000000"/>
          <w:u w:val="single"/>
          <w:lang w:eastAsia="bg-BG"/>
        </w:rPr>
      </w:pPr>
    </w:p>
    <w:p w14:paraId="5DDA027C" w14:textId="7DBAF4B6"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Метотрексат</w:t>
      </w:r>
    </w:p>
    <w:p w14:paraId="0F9E3747"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Съобщено е, че едновременното приемане на леветирацетам и метотрексат намалява клирънса на метотрексат, което води до повишена концентрация/задържане на </w:t>
      </w:r>
      <w:r w:rsidRPr="0098490F">
        <w:rPr>
          <w:rFonts w:eastAsia="Times New Roman" w:cs="Arial"/>
          <w:color w:val="000000"/>
          <w:lang w:eastAsia="bg-BG"/>
        </w:rPr>
        <w:lastRenderedPageBreak/>
        <w:t>метотрексат в кръвта до потенциално токсични нива. Нивата на метотрексат и леветирацетам в кръвта трябва да се проследяват внимателно при пациенти, лекувани едновременно с двете лекарства.</w:t>
      </w:r>
    </w:p>
    <w:p w14:paraId="65F96C86" w14:textId="77777777" w:rsidR="0098490F" w:rsidRDefault="0098490F" w:rsidP="0098490F">
      <w:pPr>
        <w:spacing w:line="240" w:lineRule="auto"/>
        <w:rPr>
          <w:rFonts w:eastAsia="Times New Roman" w:cs="Arial"/>
          <w:color w:val="000000"/>
          <w:u w:val="single"/>
          <w:lang w:eastAsia="bg-BG"/>
        </w:rPr>
      </w:pPr>
    </w:p>
    <w:p w14:paraId="43BB454E" w14:textId="3AA4F936"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Перорални контрацептиви и други фармакокинетични взаимодействия</w:t>
      </w:r>
    </w:p>
    <w:p w14:paraId="025EA91E"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Леветирацетам 1000 </w:t>
      </w:r>
      <w:r w:rsidRPr="0098490F">
        <w:rPr>
          <w:rFonts w:eastAsia="Times New Roman" w:cs="Arial"/>
          <w:color w:val="000000"/>
          <w:lang w:val="en-US"/>
        </w:rPr>
        <w:t xml:space="preserve">mg </w:t>
      </w:r>
      <w:r w:rsidRPr="0098490F">
        <w:rPr>
          <w:rFonts w:eastAsia="Times New Roman" w:cs="Arial"/>
          <w:color w:val="000000"/>
          <w:lang w:eastAsia="bg-BG"/>
        </w:rPr>
        <w:t xml:space="preserve">дневно не повлиява фармакокинетиката на оралните контрацептиви (етинилестрадиол и левоноргестрел); ендокринните параметри (лутеинизиращ хормон и прогестерон) не се променят. Леветирацетам 2000 </w:t>
      </w:r>
      <w:r w:rsidRPr="0098490F">
        <w:rPr>
          <w:rFonts w:eastAsia="Times New Roman" w:cs="Arial"/>
          <w:color w:val="000000"/>
          <w:lang w:val="en-US"/>
        </w:rPr>
        <w:t xml:space="preserve">mg </w:t>
      </w:r>
      <w:r w:rsidRPr="0098490F">
        <w:rPr>
          <w:rFonts w:eastAsia="Times New Roman" w:cs="Arial"/>
          <w:color w:val="000000"/>
          <w:lang w:eastAsia="bg-BG"/>
        </w:rPr>
        <w:t>дневно не повлиява фармакокинетиката на дигоксин и варфарин; протромбиновото време не се променя. Едновременното приемане с дигоксин, орални контрацептиви и варфарин не повлиява фармакокинетиката на леветирацетам.</w:t>
      </w:r>
    </w:p>
    <w:p w14:paraId="25DCE0E2" w14:textId="77777777" w:rsidR="0098490F" w:rsidRDefault="0098490F" w:rsidP="0098490F">
      <w:pPr>
        <w:spacing w:line="240" w:lineRule="auto"/>
        <w:rPr>
          <w:rFonts w:eastAsia="Times New Roman" w:cs="Arial"/>
          <w:color w:val="000000"/>
          <w:u w:val="single"/>
          <w:lang w:eastAsia="bg-BG"/>
        </w:rPr>
      </w:pPr>
    </w:p>
    <w:p w14:paraId="048A86F8" w14:textId="2CC53DB4"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Лаксативи</w:t>
      </w:r>
    </w:p>
    <w:p w14:paraId="51688BDF"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Има изолирани съобщения за намаление на ефикасността на леветирацетам, когато осмотичното слабително макрогол се прилага едновременно с перорален леветирацетам. Следователно, макрогол не трябва да се приема през устата в продължение на един час преди и един час след приема на леветирацетам.</w:t>
      </w:r>
    </w:p>
    <w:p w14:paraId="532E2C1B" w14:textId="77777777" w:rsidR="0098490F" w:rsidRDefault="0098490F" w:rsidP="0098490F">
      <w:pPr>
        <w:spacing w:line="240" w:lineRule="auto"/>
        <w:rPr>
          <w:rFonts w:eastAsia="Times New Roman" w:cs="Arial"/>
          <w:color w:val="000000"/>
          <w:u w:val="single"/>
          <w:lang w:eastAsia="bg-BG"/>
        </w:rPr>
      </w:pPr>
    </w:p>
    <w:p w14:paraId="32CAC830" w14:textId="25AC0450" w:rsidR="0098490F" w:rsidRPr="0098490F" w:rsidRDefault="0098490F" w:rsidP="0098490F">
      <w:pPr>
        <w:spacing w:line="240" w:lineRule="auto"/>
        <w:rPr>
          <w:rFonts w:eastAsia="Times New Roman" w:cs="Arial"/>
          <w:lang w:eastAsia="bg-BG"/>
        </w:rPr>
      </w:pPr>
      <w:r w:rsidRPr="0098490F">
        <w:rPr>
          <w:rFonts w:eastAsia="Times New Roman" w:cs="Arial"/>
          <w:color w:val="000000"/>
          <w:u w:val="single"/>
          <w:lang w:eastAsia="bg-BG"/>
        </w:rPr>
        <w:t>Храна и алкохол</w:t>
      </w:r>
    </w:p>
    <w:p w14:paraId="286EB05B"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Степента на абсорбция на леветирацетам не се променя от храната, но скоростта на абсорбция е слабо понижена.</w:t>
      </w:r>
    </w:p>
    <w:p w14:paraId="1D3418F5" w14:textId="39706182"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Няма данни за взаимодействие на леветирацетам с алкохол.</w:t>
      </w:r>
    </w:p>
    <w:p w14:paraId="65DDB232" w14:textId="77777777" w:rsidR="0098490F" w:rsidRPr="0098490F" w:rsidRDefault="0098490F" w:rsidP="0098490F"/>
    <w:p w14:paraId="394A7584" w14:textId="2D5EE6BF" w:rsidR="004F498A" w:rsidRDefault="002C50EE" w:rsidP="004A448E">
      <w:pPr>
        <w:pStyle w:val="Heading2"/>
      </w:pPr>
      <w:r>
        <w:t>4.6. Фертилитет, бременност и кърмене</w:t>
      </w:r>
    </w:p>
    <w:p w14:paraId="2CC6E62F" w14:textId="657966C6" w:rsidR="0098490F" w:rsidRDefault="0098490F" w:rsidP="0098490F"/>
    <w:p w14:paraId="06F2F27D" w14:textId="77777777" w:rsidR="0098490F" w:rsidRPr="00193A01" w:rsidRDefault="0098490F" w:rsidP="00193A01">
      <w:pPr>
        <w:pStyle w:val="Heading3"/>
        <w:rPr>
          <w:rFonts w:eastAsia="Times New Roman"/>
          <w:sz w:val="28"/>
          <w:u w:val="single"/>
          <w:lang w:eastAsia="bg-BG"/>
        </w:rPr>
      </w:pPr>
      <w:r w:rsidRPr="00193A01">
        <w:rPr>
          <w:rFonts w:eastAsia="Times New Roman"/>
          <w:u w:val="single"/>
          <w:lang w:eastAsia="bg-BG"/>
        </w:rPr>
        <w:t>Жени с детероден потенциал</w:t>
      </w:r>
    </w:p>
    <w:p w14:paraId="4770D0C6" w14:textId="77777777" w:rsidR="0098490F" w:rsidRPr="0098490F" w:rsidRDefault="0098490F" w:rsidP="0098490F">
      <w:pPr>
        <w:rPr>
          <w:rFonts w:eastAsia="Times New Roman" w:cs="Arial"/>
          <w:lang w:eastAsia="bg-BG"/>
        </w:rPr>
      </w:pPr>
      <w:r w:rsidRPr="0098490F">
        <w:rPr>
          <w:rFonts w:eastAsia="Times New Roman" w:cs="Arial"/>
          <w:color w:val="000000"/>
          <w:szCs w:val="20"/>
          <w:lang w:eastAsia="bg-BG"/>
        </w:rPr>
        <w:t>На жени с детероден потенциал трябва да се дава съвет от специалист. Лечението с леветирацетам трябва да се преразгледа, когато жената планира да забременее. Както при всички антиепилептични лекарства, трябва да се избягва внезапно спиране на леветирацетам, тъй като това може да доведе до поява на гърчове, които биха могли да имат сериозни последици за жената и нероденото дете. Трябва да се предпочете монотерапия, когато е възможно, тъй като лечението с</w:t>
      </w:r>
      <w:r>
        <w:rPr>
          <w:rFonts w:eastAsia="Times New Roman" w:cs="Arial"/>
          <w:color w:val="000000"/>
          <w:szCs w:val="20"/>
          <w:lang w:val="en-US" w:eastAsia="bg-BG"/>
        </w:rPr>
        <w:t xml:space="preserve"> </w:t>
      </w:r>
      <w:r w:rsidRPr="0098490F">
        <w:rPr>
          <w:rFonts w:eastAsia="Times New Roman" w:cs="Arial"/>
          <w:color w:val="000000"/>
          <w:lang w:eastAsia="bg-BG"/>
        </w:rPr>
        <w:t>множество антиепилептични лекарства (АЕЛ) може да е свързано с по-висок риск от вродени малформации, отколкото монотерапията, в зависимост от прилаганите антиепилептици.</w:t>
      </w:r>
    </w:p>
    <w:p w14:paraId="16619DB5" w14:textId="77777777" w:rsidR="0098490F" w:rsidRDefault="0098490F" w:rsidP="0098490F">
      <w:pPr>
        <w:spacing w:line="240" w:lineRule="auto"/>
        <w:rPr>
          <w:rFonts w:eastAsia="Times New Roman" w:cs="Arial"/>
          <w:color w:val="000000"/>
          <w:u w:val="single"/>
          <w:lang w:eastAsia="bg-BG"/>
        </w:rPr>
      </w:pPr>
    </w:p>
    <w:p w14:paraId="4E062581" w14:textId="7E3019FB" w:rsidR="0098490F" w:rsidRPr="00193A01" w:rsidRDefault="0098490F" w:rsidP="00193A01">
      <w:pPr>
        <w:pStyle w:val="Heading3"/>
        <w:rPr>
          <w:rFonts w:eastAsia="Times New Roman"/>
          <w:u w:val="single"/>
          <w:lang w:eastAsia="bg-BG"/>
        </w:rPr>
      </w:pPr>
      <w:r w:rsidRPr="00193A01">
        <w:rPr>
          <w:rFonts w:eastAsia="Times New Roman"/>
          <w:u w:val="single"/>
          <w:lang w:eastAsia="bg-BG"/>
        </w:rPr>
        <w:t>Бременност</w:t>
      </w:r>
    </w:p>
    <w:p w14:paraId="5CD99D14"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Големият брой постмаркетингови данни при бременни жени с експозиция на леветирацетам като монотерапия (над 1 800, сред които при над 1 500 експозицията възниква по време на първия триместър) не показват увеличаване на риска от основните вродени малформации. Съществуват само ограничени доказателства за неврологичното развитие на деца, изложени на монотерапия с леветирацетам </w:t>
      </w:r>
      <w:r w:rsidRPr="0098490F">
        <w:rPr>
          <w:rFonts w:eastAsia="Times New Roman" w:cs="Arial"/>
          <w:color w:val="000000"/>
          <w:lang w:val="en-US"/>
        </w:rPr>
        <w:t xml:space="preserve">in utero. </w:t>
      </w:r>
      <w:r w:rsidRPr="0098490F">
        <w:rPr>
          <w:rFonts w:eastAsia="Times New Roman" w:cs="Arial"/>
          <w:color w:val="000000"/>
          <w:lang w:eastAsia="bg-BG"/>
        </w:rPr>
        <w:t>Въпреки това текущите епидемиологични проучвания (при около 100 деца) не показват повишен риск от нарушения или забавяне на неврологичното развитие. Леветирацетам може да се прилага по време на бременност, ако след внимателна оценка се счете, че е клинично необходимо. В такъв случай се препоръчва най-ниската ефективна доза.</w:t>
      </w:r>
    </w:p>
    <w:p w14:paraId="236BF297"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 xml:space="preserve">Физиологичните промени по време на бременността може да повлияят концентрацията на леветирацетам. По време на бременността се наблюдава понижаване на плазмените концентрации на леветирацетам. Понижаването е по-изразено през третия триместър (до </w:t>
      </w:r>
      <w:r w:rsidRPr="0098490F">
        <w:rPr>
          <w:rFonts w:eastAsia="Times New Roman" w:cs="Arial"/>
          <w:color w:val="000000"/>
          <w:lang w:eastAsia="bg-BG"/>
        </w:rPr>
        <w:lastRenderedPageBreak/>
        <w:t>60% от изходното ниво преди бременността). Затова на бременните жени, лекувани с леветирацетам трябва да се осигурят подходящи медицински грижи.</w:t>
      </w:r>
    </w:p>
    <w:p w14:paraId="2C3269A7" w14:textId="77777777" w:rsidR="0098490F" w:rsidRDefault="0098490F" w:rsidP="0098490F">
      <w:pPr>
        <w:spacing w:line="240" w:lineRule="auto"/>
        <w:rPr>
          <w:rFonts w:eastAsia="Times New Roman" w:cs="Arial"/>
          <w:color w:val="000000"/>
          <w:u w:val="single"/>
          <w:lang w:eastAsia="bg-BG"/>
        </w:rPr>
      </w:pPr>
    </w:p>
    <w:p w14:paraId="7F465B06" w14:textId="39EBF568" w:rsidR="0098490F" w:rsidRPr="00193A01" w:rsidRDefault="0098490F" w:rsidP="00193A01">
      <w:pPr>
        <w:pStyle w:val="Heading3"/>
        <w:rPr>
          <w:rFonts w:eastAsia="Times New Roman"/>
          <w:u w:val="single"/>
          <w:lang w:eastAsia="bg-BG"/>
        </w:rPr>
      </w:pPr>
      <w:r w:rsidRPr="00193A01">
        <w:rPr>
          <w:rFonts w:eastAsia="Times New Roman"/>
          <w:u w:val="single"/>
          <w:lang w:eastAsia="bg-BG"/>
        </w:rPr>
        <w:t>Кърмене</w:t>
      </w:r>
    </w:p>
    <w:p w14:paraId="491F0305"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Леветирацетам се отделя в кърмата, затова кърменето не е препоръчително.</w:t>
      </w:r>
    </w:p>
    <w:p w14:paraId="45C3AAD0" w14:textId="77777777" w:rsidR="0098490F" w:rsidRPr="0098490F" w:rsidRDefault="0098490F" w:rsidP="0098490F">
      <w:pPr>
        <w:spacing w:line="240" w:lineRule="auto"/>
        <w:rPr>
          <w:rFonts w:eastAsia="Times New Roman" w:cs="Arial"/>
          <w:lang w:eastAsia="bg-BG"/>
        </w:rPr>
      </w:pPr>
      <w:r w:rsidRPr="0098490F">
        <w:rPr>
          <w:rFonts w:eastAsia="Times New Roman" w:cs="Arial"/>
          <w:color w:val="000000"/>
          <w:lang w:eastAsia="bg-BG"/>
        </w:rPr>
        <w:t>Ако обаче лечението с леветирацетам е наложително в периода на кърмене, съотношението полза/риск трябва да бъде оценено при отчитане на значението на кърменето.</w:t>
      </w:r>
    </w:p>
    <w:p w14:paraId="58A0E4E1" w14:textId="77777777" w:rsidR="0098490F" w:rsidRDefault="0098490F" w:rsidP="0098490F">
      <w:pPr>
        <w:spacing w:line="240" w:lineRule="auto"/>
        <w:rPr>
          <w:rFonts w:eastAsia="Times New Roman" w:cs="Arial"/>
          <w:color w:val="000000"/>
          <w:u w:val="single"/>
          <w:lang w:eastAsia="bg-BG"/>
        </w:rPr>
      </w:pPr>
    </w:p>
    <w:p w14:paraId="7E7CB8C9" w14:textId="250C0176" w:rsidR="0098490F" w:rsidRPr="00193A01" w:rsidRDefault="0098490F" w:rsidP="00193A01">
      <w:pPr>
        <w:pStyle w:val="Heading3"/>
        <w:rPr>
          <w:rFonts w:eastAsia="Times New Roman"/>
          <w:u w:val="single"/>
          <w:lang w:eastAsia="bg-BG"/>
        </w:rPr>
      </w:pPr>
      <w:r w:rsidRPr="00193A01">
        <w:rPr>
          <w:rFonts w:eastAsia="Times New Roman"/>
          <w:u w:val="single"/>
          <w:lang w:eastAsia="bg-BG"/>
        </w:rPr>
        <w:t>Фертилитет</w:t>
      </w:r>
    </w:p>
    <w:p w14:paraId="7D68A1A1" w14:textId="0E3A7F25" w:rsidR="0098490F" w:rsidRPr="0098490F" w:rsidRDefault="0098490F" w:rsidP="0098490F">
      <w:pPr>
        <w:rPr>
          <w:rFonts w:eastAsia="Times New Roman" w:cs="Arial"/>
          <w:color w:val="000000"/>
          <w:lang w:eastAsia="bg-BG"/>
        </w:rPr>
      </w:pPr>
      <w:r w:rsidRPr="0098490F">
        <w:rPr>
          <w:rFonts w:eastAsia="Times New Roman" w:cs="Arial"/>
          <w:color w:val="000000"/>
          <w:lang w:eastAsia="bg-BG"/>
        </w:rPr>
        <w:t>Не са открити данни за влиянието върху фертилитета при проучвания върху животни (вж. точка 5.3). Няма клинични данни, потенциалния риск за хора не е известен.</w:t>
      </w:r>
    </w:p>
    <w:p w14:paraId="752C60F1" w14:textId="77777777" w:rsidR="0098490F" w:rsidRPr="0098490F" w:rsidRDefault="0098490F" w:rsidP="0098490F">
      <w:pPr>
        <w:rPr>
          <w:rFonts w:cs="Arial"/>
          <w:sz w:val="24"/>
          <w:lang w:val="en-US"/>
        </w:rPr>
      </w:pPr>
    </w:p>
    <w:p w14:paraId="064DF1DE" w14:textId="70AEADE7" w:rsidR="00CF77F7" w:rsidRDefault="002C50EE" w:rsidP="004A448E">
      <w:pPr>
        <w:pStyle w:val="Heading2"/>
      </w:pPr>
      <w:r>
        <w:t>4.7. Ефекти върху способността за шофиране и работа с машини</w:t>
      </w:r>
    </w:p>
    <w:p w14:paraId="78526968" w14:textId="0CA2A99B" w:rsidR="0098490F" w:rsidRDefault="0098490F" w:rsidP="0098490F"/>
    <w:p w14:paraId="5751454C" w14:textId="17319297" w:rsidR="0098490F" w:rsidRDefault="0098490F" w:rsidP="0098490F">
      <w:pPr>
        <w:rPr>
          <w:szCs w:val="20"/>
        </w:rPr>
      </w:pPr>
      <w:r w:rsidRPr="0098490F">
        <w:rPr>
          <w:szCs w:val="20"/>
        </w:rPr>
        <w:t>Леветирацетам има леко до умерено въздействие върху способността за шофиране и работа с машини. Поради възможна различна индивидуална чувствителност при някои пациенти, в началото на лечението или при последващо увеличаване на дозата, може да се появи сънливост или други симптоми от страна на централната нервна система. Ето защо се препоръчва повишено внимание при пациенти, извършващи определени задачи, като шофиране или работа с машини. Пациентите трябва да бъдат предупредени да не използват каквато и да е техника или машини докато не установят, че възможността им за това не се е повлияла.</w:t>
      </w:r>
    </w:p>
    <w:p w14:paraId="63D1581C" w14:textId="77777777" w:rsidR="0098490F" w:rsidRPr="0098490F" w:rsidRDefault="0098490F" w:rsidP="0098490F">
      <w:pPr>
        <w:rPr>
          <w:sz w:val="24"/>
        </w:rPr>
      </w:pPr>
    </w:p>
    <w:p w14:paraId="37A3FD9F" w14:textId="712E1F48" w:rsidR="00CF77F7" w:rsidRDefault="002C50EE" w:rsidP="004A448E">
      <w:pPr>
        <w:pStyle w:val="Heading2"/>
      </w:pPr>
      <w:r>
        <w:t>4.8. Нежелани лекарствени реакции</w:t>
      </w:r>
    </w:p>
    <w:p w14:paraId="117309B1" w14:textId="05477A96" w:rsidR="0098490F" w:rsidRDefault="0098490F" w:rsidP="0098490F"/>
    <w:p w14:paraId="6018155B" w14:textId="77777777" w:rsidR="0098490F" w:rsidRPr="0098490F" w:rsidRDefault="0098490F" w:rsidP="0098490F">
      <w:pPr>
        <w:spacing w:line="240" w:lineRule="auto"/>
        <w:rPr>
          <w:rFonts w:eastAsia="Times New Roman" w:cs="Arial"/>
          <w:sz w:val="28"/>
          <w:szCs w:val="24"/>
          <w:lang w:eastAsia="bg-BG"/>
        </w:rPr>
      </w:pPr>
      <w:r w:rsidRPr="0098490F">
        <w:rPr>
          <w:rFonts w:eastAsia="Times New Roman" w:cs="Arial"/>
          <w:i/>
          <w:iCs/>
          <w:color w:val="000000"/>
          <w:szCs w:val="20"/>
          <w:u w:val="single"/>
          <w:lang w:eastAsia="bg-BG"/>
        </w:rPr>
        <w:t>Обобщение на профила на безопасност</w:t>
      </w:r>
    </w:p>
    <w:p w14:paraId="16F823BF" w14:textId="77777777" w:rsidR="0098490F" w:rsidRPr="0098490F" w:rsidRDefault="0098490F" w:rsidP="0098490F">
      <w:pPr>
        <w:spacing w:line="240" w:lineRule="auto"/>
        <w:rPr>
          <w:rFonts w:eastAsia="Times New Roman" w:cs="Arial"/>
          <w:sz w:val="28"/>
          <w:szCs w:val="24"/>
          <w:lang w:eastAsia="bg-BG"/>
        </w:rPr>
      </w:pPr>
      <w:r w:rsidRPr="0098490F">
        <w:rPr>
          <w:rFonts w:eastAsia="Times New Roman" w:cs="Arial"/>
          <w:color w:val="000000"/>
          <w:szCs w:val="20"/>
          <w:lang w:eastAsia="bg-BG"/>
        </w:rPr>
        <w:t>Най-често съобщаваните нежелани реакции са назофарингит, сънливост, главоболие, умора и замаяност. Профилът на нежеланите реакции, представени по-долу, се основава на анализа на сборни плацебо-контролирани клинични изпитвания за всички проучвани показания, включващи общо 3 416 пациенти, лекувани с леветирацетам. Тези данни са допълнени с употребата на леветирацетам в съответните открити разширени проучвания, както и от постмаркетинговия опит. Профилът на безопасност на леветирацетам е като цяло подобен при различните възрастови групи (възрастни и педиатрични пациенти), както и в рамките на одобрените индикации свързани с епилепсията.</w:t>
      </w:r>
    </w:p>
    <w:p w14:paraId="26C4F15C" w14:textId="77777777" w:rsidR="0098490F" w:rsidRDefault="0098490F" w:rsidP="0098490F">
      <w:pPr>
        <w:spacing w:line="240" w:lineRule="auto"/>
        <w:rPr>
          <w:rFonts w:eastAsia="Times New Roman" w:cs="Arial"/>
          <w:color w:val="000000"/>
          <w:szCs w:val="20"/>
          <w:u w:val="single"/>
          <w:lang w:eastAsia="bg-BG"/>
        </w:rPr>
      </w:pPr>
    </w:p>
    <w:p w14:paraId="48800824" w14:textId="4E6228D2" w:rsidR="0098490F" w:rsidRPr="0098490F" w:rsidRDefault="0098490F" w:rsidP="0098490F">
      <w:pPr>
        <w:spacing w:line="240" w:lineRule="auto"/>
        <w:rPr>
          <w:rFonts w:eastAsia="Times New Roman" w:cs="Arial"/>
          <w:sz w:val="28"/>
          <w:szCs w:val="24"/>
          <w:lang w:eastAsia="bg-BG"/>
        </w:rPr>
      </w:pPr>
      <w:r w:rsidRPr="0098490F">
        <w:rPr>
          <w:rFonts w:eastAsia="Times New Roman" w:cs="Arial"/>
          <w:color w:val="000000"/>
          <w:szCs w:val="20"/>
          <w:u w:val="single"/>
          <w:lang w:eastAsia="bg-BG"/>
        </w:rPr>
        <w:t>Табличен списък на нежеланите лекарствени реакции</w:t>
      </w:r>
    </w:p>
    <w:p w14:paraId="0F539072" w14:textId="0506D240" w:rsidR="0098490F" w:rsidRDefault="0098490F" w:rsidP="0098490F">
      <w:pPr>
        <w:spacing w:line="240" w:lineRule="auto"/>
        <w:rPr>
          <w:rFonts w:eastAsia="Times New Roman" w:cs="Arial"/>
          <w:color w:val="000000"/>
          <w:szCs w:val="20"/>
          <w:lang w:eastAsia="bg-BG"/>
        </w:rPr>
      </w:pPr>
      <w:r w:rsidRPr="0098490F">
        <w:rPr>
          <w:rFonts w:eastAsia="Times New Roman" w:cs="Arial"/>
          <w:color w:val="000000"/>
          <w:szCs w:val="20"/>
          <w:lang w:eastAsia="bg-BG"/>
        </w:rPr>
        <w:t>Докладваните нежелани лекарствени реакции при клинични изпитвания (при възрастни, юноши, деца и новородени над 1 месец) или от пост-маркетингов опит са изброени по системо - орган</w:t>
      </w:r>
      <w:r w:rsidRPr="0098490F">
        <w:rPr>
          <w:rFonts w:eastAsia="Times New Roman" w:cs="Arial"/>
          <w:color w:val="000000"/>
          <w:szCs w:val="20"/>
          <w:u w:val="single"/>
          <w:lang w:eastAsia="bg-BG"/>
        </w:rPr>
        <w:t xml:space="preserve">на </w:t>
      </w:r>
      <w:r w:rsidRPr="0098490F">
        <w:rPr>
          <w:rFonts w:eastAsia="Times New Roman" w:cs="Arial"/>
          <w:color w:val="000000"/>
          <w:szCs w:val="20"/>
          <w:lang w:eastAsia="bg-BG"/>
        </w:rPr>
        <w:t>класификация и по честота в таблицата по-долу. Честотата им е дефинирана, както следва: много чести (≥1/10), чести (≥1/100, &lt;1/10), нечести (≥1/1 000, &lt;1/100), редки (≥1/10 000, &lt;</w:t>
      </w:r>
      <w:r w:rsidRPr="0098490F">
        <w:rPr>
          <w:rFonts w:eastAsia="Times New Roman" w:cs="Arial"/>
          <w:color w:val="000000"/>
          <w:szCs w:val="20"/>
          <w:lang w:val="en-US"/>
        </w:rPr>
        <w:t xml:space="preserve"> 1/1000) </w:t>
      </w:r>
      <w:r w:rsidRPr="0098490F">
        <w:rPr>
          <w:rFonts w:eastAsia="Times New Roman" w:cs="Arial"/>
          <w:color w:val="000000"/>
          <w:szCs w:val="20"/>
          <w:lang w:eastAsia="bg-BG"/>
        </w:rPr>
        <w:t>и</w:t>
      </w:r>
      <w:r>
        <w:rPr>
          <w:rFonts w:eastAsia="Times New Roman" w:cs="Arial"/>
          <w:sz w:val="28"/>
          <w:szCs w:val="24"/>
          <w:lang w:val="en-US" w:eastAsia="bg-BG"/>
        </w:rPr>
        <w:t xml:space="preserve"> </w:t>
      </w:r>
      <w:r w:rsidRPr="0098490F">
        <w:rPr>
          <w:rFonts w:eastAsia="Times New Roman" w:cs="Arial"/>
          <w:color w:val="000000"/>
          <w:szCs w:val="20"/>
          <w:lang w:eastAsia="bg-BG"/>
        </w:rPr>
        <w:t>много редки (&lt;1/10 000).</w:t>
      </w:r>
    </w:p>
    <w:p w14:paraId="39761A86" w14:textId="0BFC7807" w:rsidR="0098490F" w:rsidRDefault="0098490F" w:rsidP="0098490F">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788"/>
        <w:gridCol w:w="1725"/>
        <w:gridCol w:w="1625"/>
        <w:gridCol w:w="2412"/>
        <w:gridCol w:w="1800"/>
      </w:tblGrid>
      <w:tr w:rsidR="00260022" w14:paraId="3365ABEB" w14:textId="77777777" w:rsidTr="00260022">
        <w:tc>
          <w:tcPr>
            <w:tcW w:w="1835" w:type="dxa"/>
            <w:vMerge w:val="restart"/>
          </w:tcPr>
          <w:p w14:paraId="258D01E0" w14:textId="3EBBC3E7" w:rsidR="00260022" w:rsidRDefault="00260022" w:rsidP="0098490F">
            <w:pPr>
              <w:spacing w:line="240" w:lineRule="auto"/>
              <w:rPr>
                <w:rFonts w:eastAsia="Times New Roman" w:cs="Arial"/>
                <w:color w:val="000000"/>
                <w:szCs w:val="20"/>
                <w:lang w:eastAsia="bg-BG"/>
              </w:rPr>
            </w:pPr>
            <w:proofErr w:type="spellStart"/>
            <w:r w:rsidRPr="00260022">
              <w:rPr>
                <w:b/>
                <w:bCs/>
                <w:szCs w:val="20"/>
                <w:lang w:val="en-US"/>
              </w:rPr>
              <w:t>MedDRA</w:t>
            </w:r>
            <w:proofErr w:type="spellEnd"/>
            <w:r w:rsidRPr="00260022">
              <w:rPr>
                <w:b/>
                <w:bCs/>
                <w:szCs w:val="20"/>
                <w:lang w:val="en-US"/>
              </w:rPr>
              <w:t xml:space="preserve"> </w:t>
            </w:r>
            <w:r w:rsidRPr="00260022">
              <w:rPr>
                <w:b/>
                <w:bCs/>
                <w:szCs w:val="20"/>
              </w:rPr>
              <w:t>Системо- органен клас</w:t>
            </w:r>
          </w:p>
        </w:tc>
        <w:tc>
          <w:tcPr>
            <w:tcW w:w="7741" w:type="dxa"/>
            <w:gridSpan w:val="4"/>
          </w:tcPr>
          <w:p w14:paraId="6797535B" w14:textId="1CBA0F16" w:rsidR="00260022" w:rsidRPr="00260022" w:rsidRDefault="00260022" w:rsidP="0098490F">
            <w:pPr>
              <w:spacing w:line="240" w:lineRule="auto"/>
              <w:rPr>
                <w:rFonts w:eastAsia="Times New Roman" w:cs="Arial"/>
                <w:color w:val="000000"/>
                <w:szCs w:val="20"/>
                <w:lang w:eastAsia="bg-BG"/>
              </w:rPr>
            </w:pPr>
            <w:r w:rsidRPr="00260022">
              <w:rPr>
                <w:b/>
                <w:bCs/>
                <w:szCs w:val="20"/>
              </w:rPr>
              <w:t>Категории на честота</w:t>
            </w:r>
          </w:p>
        </w:tc>
      </w:tr>
      <w:tr w:rsidR="00260022" w14:paraId="261AF9FA" w14:textId="77777777" w:rsidTr="00260022">
        <w:tc>
          <w:tcPr>
            <w:tcW w:w="1835" w:type="dxa"/>
            <w:vMerge/>
          </w:tcPr>
          <w:p w14:paraId="5E811263" w14:textId="77777777" w:rsidR="00260022" w:rsidRDefault="00260022" w:rsidP="00260022">
            <w:pPr>
              <w:spacing w:line="240" w:lineRule="auto"/>
              <w:rPr>
                <w:rFonts w:eastAsia="Times New Roman" w:cs="Arial"/>
                <w:color w:val="000000"/>
                <w:szCs w:val="20"/>
                <w:lang w:eastAsia="bg-BG"/>
              </w:rPr>
            </w:pPr>
          </w:p>
        </w:tc>
        <w:tc>
          <w:tcPr>
            <w:tcW w:w="1770" w:type="dxa"/>
          </w:tcPr>
          <w:p w14:paraId="18AB4CC3" w14:textId="3B3311B6" w:rsidR="00260022" w:rsidRPr="00260022" w:rsidRDefault="00260022" w:rsidP="00260022">
            <w:pPr>
              <w:spacing w:line="240" w:lineRule="auto"/>
              <w:rPr>
                <w:rFonts w:eastAsia="Times New Roman" w:cs="Arial"/>
                <w:color w:val="000000"/>
                <w:szCs w:val="20"/>
                <w:lang w:eastAsia="bg-BG"/>
              </w:rPr>
            </w:pPr>
            <w:r w:rsidRPr="00260022">
              <w:rPr>
                <w:szCs w:val="20"/>
              </w:rPr>
              <w:t>Много чести</w:t>
            </w:r>
          </w:p>
        </w:tc>
        <w:tc>
          <w:tcPr>
            <w:tcW w:w="1647" w:type="dxa"/>
          </w:tcPr>
          <w:p w14:paraId="7EACA4C9" w14:textId="313B34AE" w:rsidR="00260022" w:rsidRPr="00260022" w:rsidRDefault="00260022" w:rsidP="00260022">
            <w:pPr>
              <w:spacing w:line="240" w:lineRule="auto"/>
              <w:rPr>
                <w:rFonts w:eastAsia="Times New Roman" w:cs="Arial"/>
                <w:color w:val="000000"/>
                <w:szCs w:val="20"/>
                <w:lang w:eastAsia="bg-BG"/>
              </w:rPr>
            </w:pPr>
            <w:r w:rsidRPr="00260022">
              <w:rPr>
                <w:szCs w:val="20"/>
              </w:rPr>
              <w:t>Чести</w:t>
            </w:r>
          </w:p>
        </w:tc>
        <w:tc>
          <w:tcPr>
            <w:tcW w:w="2477" w:type="dxa"/>
          </w:tcPr>
          <w:p w14:paraId="403AABF4" w14:textId="4760CE94" w:rsidR="00260022" w:rsidRPr="00260022" w:rsidRDefault="00260022" w:rsidP="00260022">
            <w:pPr>
              <w:spacing w:line="240" w:lineRule="auto"/>
              <w:rPr>
                <w:rFonts w:eastAsia="Times New Roman" w:cs="Arial"/>
                <w:color w:val="000000"/>
                <w:szCs w:val="20"/>
                <w:lang w:eastAsia="bg-BG"/>
              </w:rPr>
            </w:pPr>
            <w:r w:rsidRPr="00260022">
              <w:rPr>
                <w:szCs w:val="20"/>
              </w:rPr>
              <w:t>Нечести</w:t>
            </w:r>
          </w:p>
        </w:tc>
        <w:tc>
          <w:tcPr>
            <w:tcW w:w="1847" w:type="dxa"/>
          </w:tcPr>
          <w:p w14:paraId="25E39013" w14:textId="67E1D5A9" w:rsidR="00260022" w:rsidRPr="00260022" w:rsidRDefault="00260022" w:rsidP="00260022">
            <w:pPr>
              <w:spacing w:line="240" w:lineRule="auto"/>
              <w:rPr>
                <w:rFonts w:eastAsia="Times New Roman" w:cs="Arial"/>
                <w:color w:val="000000"/>
                <w:szCs w:val="20"/>
                <w:lang w:eastAsia="bg-BG"/>
              </w:rPr>
            </w:pPr>
            <w:r w:rsidRPr="00260022">
              <w:rPr>
                <w:szCs w:val="20"/>
              </w:rPr>
              <w:t>Редки</w:t>
            </w:r>
          </w:p>
        </w:tc>
      </w:tr>
      <w:tr w:rsidR="00260022" w14:paraId="6AEADABA" w14:textId="77777777" w:rsidTr="00260022">
        <w:tc>
          <w:tcPr>
            <w:tcW w:w="1835" w:type="dxa"/>
          </w:tcPr>
          <w:p w14:paraId="73F4B3D3" w14:textId="4F6AD2C5" w:rsidR="00260022" w:rsidRPr="00260022" w:rsidRDefault="00260022" w:rsidP="00260022">
            <w:pPr>
              <w:spacing w:line="240" w:lineRule="auto"/>
              <w:rPr>
                <w:rFonts w:eastAsia="Times New Roman" w:cs="Arial"/>
                <w:color w:val="000000"/>
                <w:szCs w:val="20"/>
                <w:lang w:eastAsia="bg-BG"/>
              </w:rPr>
            </w:pPr>
            <w:r w:rsidRPr="00260022">
              <w:rPr>
                <w:szCs w:val="20"/>
              </w:rPr>
              <w:t>Инфекции и инфестации</w:t>
            </w:r>
          </w:p>
        </w:tc>
        <w:tc>
          <w:tcPr>
            <w:tcW w:w="1770" w:type="dxa"/>
          </w:tcPr>
          <w:p w14:paraId="0DA394D9" w14:textId="5024B013" w:rsidR="00260022" w:rsidRPr="00260022" w:rsidRDefault="00260022" w:rsidP="00260022">
            <w:pPr>
              <w:spacing w:line="240" w:lineRule="auto"/>
              <w:rPr>
                <w:rFonts w:eastAsia="Times New Roman" w:cs="Arial"/>
                <w:color w:val="000000"/>
                <w:szCs w:val="20"/>
                <w:lang w:eastAsia="bg-BG"/>
              </w:rPr>
            </w:pPr>
            <w:r w:rsidRPr="00260022">
              <w:rPr>
                <w:szCs w:val="20"/>
              </w:rPr>
              <w:t>назофарингит</w:t>
            </w:r>
          </w:p>
        </w:tc>
        <w:tc>
          <w:tcPr>
            <w:tcW w:w="1647" w:type="dxa"/>
          </w:tcPr>
          <w:p w14:paraId="57921196"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9B98FA5"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7EC872D9" w14:textId="2A83A0F2" w:rsidR="00260022" w:rsidRPr="00260022" w:rsidRDefault="00260022" w:rsidP="00260022">
            <w:pPr>
              <w:spacing w:line="240" w:lineRule="auto"/>
              <w:rPr>
                <w:rFonts w:eastAsia="Times New Roman" w:cs="Arial"/>
                <w:color w:val="000000"/>
                <w:szCs w:val="20"/>
                <w:lang w:eastAsia="bg-BG"/>
              </w:rPr>
            </w:pPr>
            <w:r w:rsidRPr="00260022">
              <w:rPr>
                <w:szCs w:val="20"/>
              </w:rPr>
              <w:t>инфекции</w:t>
            </w:r>
          </w:p>
        </w:tc>
      </w:tr>
      <w:tr w:rsidR="00260022" w14:paraId="19C495EF" w14:textId="77777777" w:rsidTr="00260022">
        <w:tc>
          <w:tcPr>
            <w:tcW w:w="1835" w:type="dxa"/>
          </w:tcPr>
          <w:p w14:paraId="4ED600FD" w14:textId="16C227CD" w:rsidR="00260022" w:rsidRPr="00260022" w:rsidRDefault="00260022" w:rsidP="00260022">
            <w:pPr>
              <w:spacing w:line="240" w:lineRule="auto"/>
              <w:rPr>
                <w:rFonts w:eastAsia="Times New Roman" w:cs="Arial"/>
                <w:color w:val="000000"/>
                <w:szCs w:val="20"/>
                <w:lang w:eastAsia="bg-BG"/>
              </w:rPr>
            </w:pPr>
            <w:r w:rsidRPr="00260022">
              <w:rPr>
                <w:szCs w:val="20"/>
              </w:rPr>
              <w:lastRenderedPageBreak/>
              <w:t>Нарушения на кръвта и лимфната система</w:t>
            </w:r>
          </w:p>
        </w:tc>
        <w:tc>
          <w:tcPr>
            <w:tcW w:w="1770" w:type="dxa"/>
          </w:tcPr>
          <w:p w14:paraId="02F0C7A6"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6A27E7B2"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7F080F2" w14:textId="317DACAE" w:rsidR="00260022" w:rsidRPr="00260022" w:rsidRDefault="00260022" w:rsidP="00260022">
            <w:pPr>
              <w:spacing w:line="240" w:lineRule="auto"/>
              <w:rPr>
                <w:rFonts w:eastAsia="Times New Roman" w:cs="Arial"/>
                <w:color w:val="000000"/>
                <w:szCs w:val="20"/>
                <w:lang w:eastAsia="bg-BG"/>
              </w:rPr>
            </w:pPr>
            <w:r w:rsidRPr="00260022">
              <w:rPr>
                <w:szCs w:val="20"/>
              </w:rPr>
              <w:t>Тромбоцитопения, левкопения</w:t>
            </w:r>
          </w:p>
        </w:tc>
        <w:tc>
          <w:tcPr>
            <w:tcW w:w="1847" w:type="dxa"/>
          </w:tcPr>
          <w:p w14:paraId="008F6FE7" w14:textId="3D565472" w:rsidR="00260022" w:rsidRPr="00260022" w:rsidRDefault="00260022" w:rsidP="00260022">
            <w:pPr>
              <w:spacing w:line="240" w:lineRule="auto"/>
              <w:rPr>
                <w:rFonts w:eastAsia="Times New Roman" w:cs="Arial"/>
                <w:color w:val="000000"/>
                <w:szCs w:val="20"/>
                <w:lang w:eastAsia="bg-BG"/>
              </w:rPr>
            </w:pPr>
            <w:r w:rsidRPr="00260022">
              <w:rPr>
                <w:szCs w:val="20"/>
              </w:rPr>
              <w:t>Панцитопения, неутропения, агранулоцитоза</w:t>
            </w:r>
          </w:p>
        </w:tc>
      </w:tr>
      <w:tr w:rsidR="00260022" w14:paraId="4001A063" w14:textId="77777777" w:rsidTr="00260022">
        <w:tc>
          <w:tcPr>
            <w:tcW w:w="1835" w:type="dxa"/>
          </w:tcPr>
          <w:p w14:paraId="25B8C154" w14:textId="33F26CF6"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имунната система</w:t>
            </w:r>
          </w:p>
        </w:tc>
        <w:tc>
          <w:tcPr>
            <w:tcW w:w="1770" w:type="dxa"/>
          </w:tcPr>
          <w:p w14:paraId="3BDD67C7"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37E31E97"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F194832"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27F368A1" w14:textId="764AE125" w:rsidR="00260022" w:rsidRPr="00260022" w:rsidRDefault="00260022" w:rsidP="00260022">
            <w:pPr>
              <w:spacing w:line="240" w:lineRule="auto"/>
              <w:rPr>
                <w:rFonts w:eastAsia="Times New Roman" w:cs="Arial"/>
                <w:color w:val="000000"/>
                <w:szCs w:val="20"/>
                <w:lang w:eastAsia="bg-BG"/>
              </w:rPr>
            </w:pPr>
            <w:r w:rsidRPr="00260022">
              <w:rPr>
                <w:szCs w:val="20"/>
              </w:rPr>
              <w:t xml:space="preserve">Лекарствена реакция с еозинофилия и системни симптоми </w:t>
            </w:r>
            <w:r w:rsidRPr="00260022">
              <w:rPr>
                <w:szCs w:val="20"/>
                <w:lang w:val="en-US"/>
              </w:rPr>
              <w:t xml:space="preserve">(DRESS) </w:t>
            </w:r>
            <w:r w:rsidRPr="00260022">
              <w:rPr>
                <w:szCs w:val="20"/>
              </w:rPr>
              <w:t>свръх</w:t>
            </w:r>
            <w:r w:rsidRPr="00260022">
              <w:rPr>
                <w:szCs w:val="20"/>
              </w:rPr>
              <w:softHyphen/>
              <w:t>чувствителност (включително ангиоедем и анафилаксия)</w:t>
            </w:r>
          </w:p>
        </w:tc>
      </w:tr>
      <w:tr w:rsidR="00260022" w14:paraId="73CF3C7A" w14:textId="77777777" w:rsidTr="00260022">
        <w:tc>
          <w:tcPr>
            <w:tcW w:w="1835" w:type="dxa"/>
          </w:tcPr>
          <w:p w14:paraId="1972BCC6" w14:textId="5F428925"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метаболизма и храненето</w:t>
            </w:r>
          </w:p>
        </w:tc>
        <w:tc>
          <w:tcPr>
            <w:tcW w:w="1770" w:type="dxa"/>
          </w:tcPr>
          <w:p w14:paraId="61C0C45B"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3B39BB63" w14:textId="1694300E" w:rsidR="00260022" w:rsidRPr="00260022" w:rsidRDefault="00260022" w:rsidP="00260022">
            <w:pPr>
              <w:spacing w:line="240" w:lineRule="auto"/>
              <w:rPr>
                <w:rFonts w:eastAsia="Times New Roman" w:cs="Arial"/>
                <w:color w:val="000000"/>
                <w:szCs w:val="20"/>
                <w:lang w:eastAsia="bg-BG"/>
              </w:rPr>
            </w:pPr>
            <w:r w:rsidRPr="00260022">
              <w:rPr>
                <w:szCs w:val="20"/>
              </w:rPr>
              <w:t>анорексия</w:t>
            </w:r>
          </w:p>
        </w:tc>
        <w:tc>
          <w:tcPr>
            <w:tcW w:w="2477" w:type="dxa"/>
          </w:tcPr>
          <w:p w14:paraId="30D6A71F" w14:textId="4E0433DF" w:rsidR="00260022" w:rsidRPr="00260022" w:rsidRDefault="00260022" w:rsidP="00260022">
            <w:pPr>
              <w:spacing w:line="240" w:lineRule="auto"/>
              <w:rPr>
                <w:rFonts w:eastAsia="Times New Roman" w:cs="Arial"/>
                <w:color w:val="000000"/>
                <w:szCs w:val="20"/>
                <w:lang w:eastAsia="bg-BG"/>
              </w:rPr>
            </w:pPr>
            <w:r w:rsidRPr="00260022">
              <w:rPr>
                <w:szCs w:val="20"/>
              </w:rPr>
              <w:t>Понижаване на теглото, повишаване на теглото</w:t>
            </w:r>
          </w:p>
        </w:tc>
        <w:tc>
          <w:tcPr>
            <w:tcW w:w="1847" w:type="dxa"/>
          </w:tcPr>
          <w:p w14:paraId="35D62827" w14:textId="1246C0FD" w:rsidR="00260022" w:rsidRPr="00260022" w:rsidRDefault="00260022" w:rsidP="00260022">
            <w:pPr>
              <w:spacing w:line="240" w:lineRule="auto"/>
              <w:rPr>
                <w:rFonts w:eastAsia="Times New Roman" w:cs="Arial"/>
                <w:color w:val="000000"/>
                <w:szCs w:val="20"/>
                <w:lang w:eastAsia="bg-BG"/>
              </w:rPr>
            </w:pPr>
            <w:r w:rsidRPr="00260022">
              <w:rPr>
                <w:szCs w:val="20"/>
              </w:rPr>
              <w:t>хипонатриемия</w:t>
            </w:r>
          </w:p>
        </w:tc>
      </w:tr>
      <w:tr w:rsidR="00260022" w14:paraId="7CD53F1B" w14:textId="77777777" w:rsidTr="00260022">
        <w:tc>
          <w:tcPr>
            <w:tcW w:w="1835" w:type="dxa"/>
          </w:tcPr>
          <w:p w14:paraId="70500C21" w14:textId="3F666E9F" w:rsidR="00260022" w:rsidRPr="00260022" w:rsidRDefault="00260022" w:rsidP="00260022">
            <w:pPr>
              <w:spacing w:line="240" w:lineRule="auto"/>
              <w:rPr>
                <w:rFonts w:eastAsia="Times New Roman" w:cs="Arial"/>
                <w:color w:val="000000"/>
                <w:szCs w:val="20"/>
                <w:lang w:eastAsia="bg-BG"/>
              </w:rPr>
            </w:pPr>
            <w:r w:rsidRPr="00260022">
              <w:rPr>
                <w:szCs w:val="20"/>
              </w:rPr>
              <w:t>Психични нарушения</w:t>
            </w:r>
          </w:p>
        </w:tc>
        <w:tc>
          <w:tcPr>
            <w:tcW w:w="1770" w:type="dxa"/>
          </w:tcPr>
          <w:p w14:paraId="49EE38E9"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57AE92E4" w14:textId="77777777" w:rsidR="00260022" w:rsidRPr="00260022" w:rsidRDefault="00260022" w:rsidP="00260022">
            <w:r w:rsidRPr="00260022">
              <w:rPr>
                <w:szCs w:val="20"/>
              </w:rPr>
              <w:t>депресия, враждебност/</w:t>
            </w:r>
          </w:p>
          <w:p w14:paraId="530A2446" w14:textId="5F461975" w:rsidR="00260022" w:rsidRPr="00260022" w:rsidRDefault="00260022" w:rsidP="00260022">
            <w:pPr>
              <w:spacing w:line="240" w:lineRule="auto"/>
              <w:rPr>
                <w:rFonts w:eastAsia="Times New Roman" w:cs="Arial"/>
                <w:color w:val="000000"/>
                <w:szCs w:val="20"/>
                <w:lang w:eastAsia="bg-BG"/>
              </w:rPr>
            </w:pPr>
            <w:r w:rsidRPr="00260022">
              <w:rPr>
                <w:szCs w:val="20"/>
              </w:rPr>
              <w:t>агресивност, безпокойство, безсъние, нервност/ раздразнител</w:t>
            </w:r>
            <w:r w:rsidRPr="00260022">
              <w:rPr>
                <w:szCs w:val="20"/>
              </w:rPr>
              <w:softHyphen/>
              <w:t>ност</w:t>
            </w:r>
          </w:p>
        </w:tc>
        <w:tc>
          <w:tcPr>
            <w:tcW w:w="2477" w:type="dxa"/>
            <w:vAlign w:val="bottom"/>
          </w:tcPr>
          <w:p w14:paraId="471E8545" w14:textId="1F4B752C" w:rsidR="00260022" w:rsidRPr="00260022" w:rsidRDefault="00260022" w:rsidP="00260022">
            <w:pPr>
              <w:spacing w:line="240" w:lineRule="auto"/>
              <w:rPr>
                <w:rFonts w:eastAsia="Times New Roman" w:cs="Arial"/>
                <w:color w:val="000000"/>
                <w:szCs w:val="20"/>
                <w:lang w:eastAsia="bg-BG"/>
              </w:rPr>
            </w:pPr>
            <w:r w:rsidRPr="00260022">
              <w:rPr>
                <w:szCs w:val="20"/>
              </w:rPr>
              <w:t>опит за самоубийство, суицидна идеация, психотично разстройство, необичайно поведение, халюцинации, гняв, състояние на объркване, паническа атака, емоционална нестабилност/промени в настроението, тревожност</w:t>
            </w:r>
          </w:p>
        </w:tc>
        <w:tc>
          <w:tcPr>
            <w:tcW w:w="1847" w:type="dxa"/>
          </w:tcPr>
          <w:p w14:paraId="2CDAE064" w14:textId="77777777" w:rsidR="00260022" w:rsidRPr="00260022" w:rsidRDefault="00260022" w:rsidP="00260022">
            <w:r w:rsidRPr="00260022">
              <w:rPr>
                <w:szCs w:val="20"/>
              </w:rPr>
              <w:t>извършено самоубийство, личностни</w:t>
            </w:r>
          </w:p>
          <w:p w14:paraId="78EB7ADC" w14:textId="63DF3A23"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абнормно мислене, делириум</w:t>
            </w:r>
          </w:p>
        </w:tc>
      </w:tr>
      <w:tr w:rsidR="00260022" w14:paraId="61C499D0" w14:textId="77777777" w:rsidTr="00260022">
        <w:tc>
          <w:tcPr>
            <w:tcW w:w="1835" w:type="dxa"/>
          </w:tcPr>
          <w:p w14:paraId="1BE2F24F" w14:textId="05C63A71"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нервната система</w:t>
            </w:r>
          </w:p>
        </w:tc>
        <w:tc>
          <w:tcPr>
            <w:tcW w:w="1770" w:type="dxa"/>
          </w:tcPr>
          <w:p w14:paraId="6C769225" w14:textId="20BCBFD8" w:rsidR="00260022" w:rsidRPr="00260022" w:rsidRDefault="00260022" w:rsidP="00260022">
            <w:pPr>
              <w:spacing w:line="240" w:lineRule="auto"/>
              <w:rPr>
                <w:rFonts w:eastAsia="Times New Roman" w:cs="Arial"/>
                <w:color w:val="000000"/>
                <w:szCs w:val="20"/>
                <w:lang w:eastAsia="bg-BG"/>
              </w:rPr>
            </w:pPr>
            <w:r w:rsidRPr="00260022">
              <w:rPr>
                <w:szCs w:val="20"/>
              </w:rPr>
              <w:t>сомнолентност, главоболие</w:t>
            </w:r>
          </w:p>
        </w:tc>
        <w:tc>
          <w:tcPr>
            <w:tcW w:w="1647" w:type="dxa"/>
          </w:tcPr>
          <w:p w14:paraId="1BD1804B" w14:textId="04187D31" w:rsidR="00260022" w:rsidRPr="00260022" w:rsidRDefault="00260022" w:rsidP="00260022">
            <w:pPr>
              <w:spacing w:line="240" w:lineRule="auto"/>
              <w:rPr>
                <w:rFonts w:eastAsia="Times New Roman" w:cs="Arial"/>
                <w:color w:val="000000"/>
                <w:szCs w:val="20"/>
                <w:lang w:eastAsia="bg-BG"/>
              </w:rPr>
            </w:pPr>
            <w:r w:rsidRPr="00260022">
              <w:rPr>
                <w:szCs w:val="20"/>
              </w:rPr>
              <w:t>конвулсии, нарушение на равновесието, замаяност, летаргия, тремор</w:t>
            </w:r>
          </w:p>
        </w:tc>
        <w:tc>
          <w:tcPr>
            <w:tcW w:w="2477" w:type="dxa"/>
          </w:tcPr>
          <w:p w14:paraId="4F33719F" w14:textId="3A876B5C" w:rsidR="00260022" w:rsidRPr="00260022" w:rsidRDefault="00260022" w:rsidP="00260022">
            <w:pPr>
              <w:spacing w:line="240" w:lineRule="auto"/>
              <w:rPr>
                <w:rFonts w:eastAsia="Times New Roman" w:cs="Arial"/>
                <w:color w:val="000000"/>
                <w:szCs w:val="20"/>
                <w:lang w:eastAsia="bg-BG"/>
              </w:rPr>
            </w:pPr>
            <w:r w:rsidRPr="00260022">
              <w:rPr>
                <w:szCs w:val="20"/>
              </w:rPr>
              <w:t>амнезия, нарушение на паметта, нарушена координация/ атаксия, парестезия, нарушение на вниманието</w:t>
            </w:r>
          </w:p>
        </w:tc>
        <w:tc>
          <w:tcPr>
            <w:tcW w:w="1847" w:type="dxa"/>
            <w:vAlign w:val="bottom"/>
          </w:tcPr>
          <w:p w14:paraId="782E88DA" w14:textId="77777777" w:rsidR="00260022" w:rsidRPr="00260022" w:rsidRDefault="00260022" w:rsidP="00260022">
            <w:r w:rsidRPr="00260022">
              <w:rPr>
                <w:szCs w:val="20"/>
              </w:rPr>
              <w:t>хореоатетоза,</w:t>
            </w:r>
          </w:p>
          <w:p w14:paraId="039AB955" w14:textId="2C450AA2" w:rsidR="00260022" w:rsidRPr="00260022" w:rsidRDefault="00260022" w:rsidP="00260022">
            <w:pPr>
              <w:spacing w:line="240" w:lineRule="auto"/>
              <w:rPr>
                <w:rFonts w:eastAsia="Times New Roman" w:cs="Arial"/>
                <w:color w:val="000000"/>
                <w:szCs w:val="20"/>
                <w:lang w:eastAsia="bg-BG"/>
              </w:rPr>
            </w:pPr>
            <w:r w:rsidRPr="00260022">
              <w:rPr>
                <w:szCs w:val="20"/>
              </w:rPr>
              <w:t>дискинезия, хиперкинезия</w:t>
            </w:r>
          </w:p>
        </w:tc>
      </w:tr>
      <w:tr w:rsidR="00260022" w14:paraId="602F664A" w14:textId="77777777" w:rsidTr="00260022">
        <w:tc>
          <w:tcPr>
            <w:tcW w:w="1835" w:type="dxa"/>
          </w:tcPr>
          <w:p w14:paraId="4E4DB9A5" w14:textId="77777777" w:rsidR="00260022" w:rsidRPr="00260022" w:rsidRDefault="00260022" w:rsidP="00260022">
            <w:pPr>
              <w:spacing w:line="240" w:lineRule="auto"/>
              <w:rPr>
                <w:rFonts w:eastAsia="Times New Roman" w:cs="Arial"/>
                <w:color w:val="000000"/>
                <w:szCs w:val="20"/>
                <w:lang w:eastAsia="bg-BG"/>
              </w:rPr>
            </w:pPr>
          </w:p>
        </w:tc>
        <w:tc>
          <w:tcPr>
            <w:tcW w:w="1770" w:type="dxa"/>
          </w:tcPr>
          <w:p w14:paraId="16D7DD2A"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724C4F26"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74855C2A" w14:textId="77777777" w:rsidR="00260022" w:rsidRPr="00260022" w:rsidRDefault="00260022" w:rsidP="00260022">
            <w:pPr>
              <w:spacing w:line="240" w:lineRule="auto"/>
              <w:rPr>
                <w:rFonts w:eastAsia="Times New Roman" w:cs="Arial"/>
                <w:color w:val="000000"/>
                <w:szCs w:val="20"/>
                <w:lang w:eastAsia="bg-BG"/>
              </w:rPr>
            </w:pPr>
          </w:p>
        </w:tc>
        <w:tc>
          <w:tcPr>
            <w:tcW w:w="1847" w:type="dxa"/>
            <w:vAlign w:val="bottom"/>
          </w:tcPr>
          <w:p w14:paraId="3B2D9EBC" w14:textId="3CD11827" w:rsidR="00260022" w:rsidRPr="00260022" w:rsidRDefault="00260022" w:rsidP="00260022">
            <w:pPr>
              <w:spacing w:line="240" w:lineRule="auto"/>
              <w:rPr>
                <w:rFonts w:eastAsia="Times New Roman" w:cs="Arial"/>
                <w:color w:val="000000"/>
                <w:szCs w:val="20"/>
                <w:lang w:eastAsia="bg-BG"/>
              </w:rPr>
            </w:pPr>
            <w:r w:rsidRPr="00260022">
              <w:rPr>
                <w:szCs w:val="20"/>
              </w:rPr>
              <w:t>нарушение на походката, енцефалопатия</w:t>
            </w:r>
          </w:p>
        </w:tc>
      </w:tr>
      <w:tr w:rsidR="00260022" w14:paraId="2A2D7B9E" w14:textId="77777777" w:rsidTr="00260022">
        <w:tc>
          <w:tcPr>
            <w:tcW w:w="1835" w:type="dxa"/>
          </w:tcPr>
          <w:p w14:paraId="1574167A" w14:textId="3C987792"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очите</w:t>
            </w:r>
          </w:p>
        </w:tc>
        <w:tc>
          <w:tcPr>
            <w:tcW w:w="1770" w:type="dxa"/>
          </w:tcPr>
          <w:p w14:paraId="218F07E2"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72E4079"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146C0D7E" w14:textId="402FE8FE" w:rsidR="00260022" w:rsidRPr="00260022" w:rsidRDefault="00260022" w:rsidP="00260022">
            <w:pPr>
              <w:spacing w:line="240" w:lineRule="auto"/>
              <w:rPr>
                <w:rFonts w:eastAsia="Times New Roman" w:cs="Arial"/>
                <w:color w:val="000000"/>
                <w:szCs w:val="20"/>
                <w:lang w:eastAsia="bg-BG"/>
              </w:rPr>
            </w:pPr>
            <w:r w:rsidRPr="00260022">
              <w:rPr>
                <w:szCs w:val="20"/>
              </w:rPr>
              <w:t>диплопия, замъглено зрение</w:t>
            </w:r>
          </w:p>
        </w:tc>
        <w:tc>
          <w:tcPr>
            <w:tcW w:w="1847" w:type="dxa"/>
          </w:tcPr>
          <w:p w14:paraId="104E62B5" w14:textId="77777777" w:rsidR="00260022" w:rsidRPr="00260022" w:rsidRDefault="00260022" w:rsidP="00260022">
            <w:pPr>
              <w:spacing w:line="240" w:lineRule="auto"/>
              <w:rPr>
                <w:rFonts w:eastAsia="Times New Roman" w:cs="Arial"/>
                <w:color w:val="000000"/>
                <w:szCs w:val="20"/>
                <w:lang w:eastAsia="bg-BG"/>
              </w:rPr>
            </w:pPr>
          </w:p>
        </w:tc>
      </w:tr>
      <w:tr w:rsidR="00260022" w14:paraId="463CA089" w14:textId="77777777" w:rsidTr="00260022">
        <w:tc>
          <w:tcPr>
            <w:tcW w:w="1835" w:type="dxa"/>
          </w:tcPr>
          <w:p w14:paraId="2DEC2947" w14:textId="090A20A8"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ухото и лабиринта</w:t>
            </w:r>
          </w:p>
        </w:tc>
        <w:tc>
          <w:tcPr>
            <w:tcW w:w="1770" w:type="dxa"/>
          </w:tcPr>
          <w:p w14:paraId="57F84A34"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6B439CAE" w14:textId="64939257" w:rsidR="00260022" w:rsidRPr="00260022" w:rsidRDefault="00260022" w:rsidP="00260022">
            <w:pPr>
              <w:spacing w:line="240" w:lineRule="auto"/>
              <w:rPr>
                <w:rFonts w:eastAsia="Times New Roman" w:cs="Arial"/>
                <w:color w:val="000000"/>
                <w:szCs w:val="20"/>
                <w:lang w:eastAsia="bg-BG"/>
              </w:rPr>
            </w:pPr>
            <w:r w:rsidRPr="00260022">
              <w:rPr>
                <w:szCs w:val="20"/>
              </w:rPr>
              <w:t>вертиго</w:t>
            </w:r>
          </w:p>
        </w:tc>
        <w:tc>
          <w:tcPr>
            <w:tcW w:w="2477" w:type="dxa"/>
          </w:tcPr>
          <w:p w14:paraId="1BDEBFB7"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4B6D96BD" w14:textId="77777777" w:rsidR="00260022" w:rsidRPr="00260022" w:rsidRDefault="00260022" w:rsidP="00260022">
            <w:pPr>
              <w:spacing w:line="240" w:lineRule="auto"/>
              <w:rPr>
                <w:rFonts w:eastAsia="Times New Roman" w:cs="Arial"/>
                <w:color w:val="000000"/>
                <w:szCs w:val="20"/>
                <w:lang w:eastAsia="bg-BG"/>
              </w:rPr>
            </w:pPr>
          </w:p>
        </w:tc>
      </w:tr>
      <w:tr w:rsidR="00260022" w14:paraId="75059A04" w14:textId="77777777" w:rsidTr="00260022">
        <w:tc>
          <w:tcPr>
            <w:tcW w:w="1835" w:type="dxa"/>
            <w:vAlign w:val="bottom"/>
          </w:tcPr>
          <w:p w14:paraId="1EE77360" w14:textId="2CD986D0" w:rsidR="00260022" w:rsidRPr="00260022" w:rsidRDefault="00260022" w:rsidP="00260022">
            <w:pPr>
              <w:spacing w:line="240" w:lineRule="auto"/>
              <w:rPr>
                <w:rFonts w:eastAsia="Times New Roman" w:cs="Arial"/>
                <w:color w:val="000000"/>
                <w:szCs w:val="20"/>
                <w:lang w:eastAsia="bg-BG"/>
              </w:rPr>
            </w:pPr>
            <w:r w:rsidRPr="00260022">
              <w:rPr>
                <w:szCs w:val="20"/>
              </w:rPr>
              <w:lastRenderedPageBreak/>
              <w:t>Респираторни, гръдни и медиастинални нарушения</w:t>
            </w:r>
          </w:p>
        </w:tc>
        <w:tc>
          <w:tcPr>
            <w:tcW w:w="1770" w:type="dxa"/>
          </w:tcPr>
          <w:p w14:paraId="3041E7EB"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6B6AE521" w14:textId="3015AF48" w:rsidR="00260022" w:rsidRPr="00260022" w:rsidRDefault="00260022" w:rsidP="00260022">
            <w:pPr>
              <w:spacing w:line="240" w:lineRule="auto"/>
              <w:rPr>
                <w:rFonts w:eastAsia="Times New Roman" w:cs="Arial"/>
                <w:color w:val="000000"/>
                <w:szCs w:val="20"/>
                <w:lang w:eastAsia="bg-BG"/>
              </w:rPr>
            </w:pPr>
            <w:r w:rsidRPr="00260022">
              <w:rPr>
                <w:szCs w:val="20"/>
              </w:rPr>
              <w:t>кашлица</w:t>
            </w:r>
          </w:p>
        </w:tc>
        <w:tc>
          <w:tcPr>
            <w:tcW w:w="2477" w:type="dxa"/>
          </w:tcPr>
          <w:p w14:paraId="7EE51D1E"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369B0B19" w14:textId="77777777" w:rsidR="00260022" w:rsidRPr="00260022" w:rsidRDefault="00260022" w:rsidP="00260022">
            <w:pPr>
              <w:spacing w:line="240" w:lineRule="auto"/>
              <w:rPr>
                <w:rFonts w:eastAsia="Times New Roman" w:cs="Arial"/>
                <w:color w:val="000000"/>
                <w:szCs w:val="20"/>
                <w:lang w:eastAsia="bg-BG"/>
              </w:rPr>
            </w:pPr>
          </w:p>
        </w:tc>
      </w:tr>
      <w:tr w:rsidR="00260022" w14:paraId="293DA18F" w14:textId="77777777" w:rsidTr="00260022">
        <w:tc>
          <w:tcPr>
            <w:tcW w:w="1835" w:type="dxa"/>
          </w:tcPr>
          <w:p w14:paraId="4AF22F34" w14:textId="77777777" w:rsidR="00260022" w:rsidRPr="00260022" w:rsidRDefault="00260022" w:rsidP="00260022">
            <w:r w:rsidRPr="00260022">
              <w:rPr>
                <w:szCs w:val="20"/>
              </w:rPr>
              <w:t>Стомашно- чревни</w:t>
            </w:r>
          </w:p>
          <w:p w14:paraId="72F286C8" w14:textId="4809B3C2" w:rsidR="00260022" w:rsidRPr="00260022" w:rsidRDefault="00260022" w:rsidP="00260022">
            <w:pPr>
              <w:spacing w:line="240" w:lineRule="auto"/>
              <w:rPr>
                <w:rFonts w:eastAsia="Times New Roman" w:cs="Arial"/>
                <w:color w:val="000000"/>
                <w:szCs w:val="20"/>
                <w:lang w:eastAsia="bg-BG"/>
              </w:rPr>
            </w:pPr>
            <w:r w:rsidRPr="00260022">
              <w:rPr>
                <w:szCs w:val="20"/>
              </w:rPr>
              <w:t>нарушения</w:t>
            </w:r>
          </w:p>
        </w:tc>
        <w:tc>
          <w:tcPr>
            <w:tcW w:w="1770" w:type="dxa"/>
          </w:tcPr>
          <w:p w14:paraId="5D29A642" w14:textId="77777777" w:rsidR="00260022" w:rsidRPr="00260022" w:rsidRDefault="00260022" w:rsidP="00260022">
            <w:pPr>
              <w:spacing w:line="240" w:lineRule="auto"/>
              <w:rPr>
                <w:rFonts w:eastAsia="Times New Roman" w:cs="Arial"/>
                <w:color w:val="000000"/>
                <w:szCs w:val="20"/>
                <w:lang w:eastAsia="bg-BG"/>
              </w:rPr>
            </w:pPr>
          </w:p>
        </w:tc>
        <w:tc>
          <w:tcPr>
            <w:tcW w:w="1647" w:type="dxa"/>
            <w:vAlign w:val="bottom"/>
          </w:tcPr>
          <w:p w14:paraId="21DC18B5" w14:textId="3741F976" w:rsidR="00260022" w:rsidRPr="00260022" w:rsidRDefault="00260022" w:rsidP="00260022">
            <w:pPr>
              <w:spacing w:line="240" w:lineRule="auto"/>
              <w:rPr>
                <w:rFonts w:eastAsia="Times New Roman" w:cs="Arial"/>
                <w:color w:val="000000"/>
                <w:szCs w:val="20"/>
                <w:lang w:eastAsia="bg-BG"/>
              </w:rPr>
            </w:pPr>
            <w:r w:rsidRPr="00260022">
              <w:rPr>
                <w:szCs w:val="20"/>
              </w:rPr>
              <w:t>болки в корема, диария, диспепсия, повръщане, гадене</w:t>
            </w:r>
          </w:p>
        </w:tc>
        <w:tc>
          <w:tcPr>
            <w:tcW w:w="2477" w:type="dxa"/>
          </w:tcPr>
          <w:p w14:paraId="13AC8C5B"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5D91462A" w14:textId="790BF17D" w:rsidR="00260022" w:rsidRPr="00260022" w:rsidRDefault="00260022" w:rsidP="00260022">
            <w:pPr>
              <w:spacing w:line="240" w:lineRule="auto"/>
              <w:rPr>
                <w:rFonts w:eastAsia="Times New Roman" w:cs="Arial"/>
                <w:color w:val="000000"/>
                <w:szCs w:val="20"/>
                <w:lang w:eastAsia="bg-BG"/>
              </w:rPr>
            </w:pPr>
            <w:r w:rsidRPr="00260022">
              <w:rPr>
                <w:szCs w:val="20"/>
              </w:rPr>
              <w:t>панкреатит</w:t>
            </w:r>
          </w:p>
        </w:tc>
      </w:tr>
      <w:tr w:rsidR="00260022" w14:paraId="5CFC937F" w14:textId="77777777" w:rsidTr="00260022">
        <w:tc>
          <w:tcPr>
            <w:tcW w:w="1835" w:type="dxa"/>
          </w:tcPr>
          <w:p w14:paraId="3C6BBECB" w14:textId="5A3C4F81" w:rsidR="00260022" w:rsidRPr="00260022" w:rsidRDefault="00260022" w:rsidP="00260022">
            <w:pPr>
              <w:spacing w:line="240" w:lineRule="auto"/>
              <w:rPr>
                <w:rFonts w:eastAsia="Times New Roman" w:cs="Arial"/>
                <w:color w:val="000000"/>
                <w:szCs w:val="20"/>
                <w:lang w:eastAsia="bg-BG"/>
              </w:rPr>
            </w:pPr>
            <w:r w:rsidRPr="00260022">
              <w:rPr>
                <w:szCs w:val="20"/>
              </w:rPr>
              <w:t>Хепато- билиарни нарушения</w:t>
            </w:r>
          </w:p>
        </w:tc>
        <w:tc>
          <w:tcPr>
            <w:tcW w:w="1770" w:type="dxa"/>
          </w:tcPr>
          <w:p w14:paraId="0C835567"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25701A39"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58AAD353" w14:textId="56C2F4E2" w:rsidR="00260022" w:rsidRPr="00260022" w:rsidRDefault="00260022" w:rsidP="00260022">
            <w:pPr>
              <w:spacing w:line="240" w:lineRule="auto"/>
              <w:rPr>
                <w:rFonts w:eastAsia="Times New Roman" w:cs="Arial"/>
                <w:color w:val="000000"/>
                <w:szCs w:val="20"/>
                <w:lang w:eastAsia="bg-BG"/>
              </w:rPr>
            </w:pPr>
            <w:r w:rsidRPr="00260022">
              <w:rPr>
                <w:szCs w:val="20"/>
              </w:rPr>
              <w:t>абнормни резултати при функционални чернодробни тестове</w:t>
            </w:r>
          </w:p>
        </w:tc>
        <w:tc>
          <w:tcPr>
            <w:tcW w:w="1847" w:type="dxa"/>
          </w:tcPr>
          <w:p w14:paraId="2C79F018" w14:textId="103966F5" w:rsidR="00260022" w:rsidRPr="00260022" w:rsidRDefault="00260022" w:rsidP="00260022">
            <w:pPr>
              <w:spacing w:line="240" w:lineRule="auto"/>
              <w:rPr>
                <w:rFonts w:eastAsia="Times New Roman" w:cs="Arial"/>
                <w:color w:val="000000"/>
                <w:szCs w:val="20"/>
                <w:lang w:eastAsia="bg-BG"/>
              </w:rPr>
            </w:pPr>
            <w:r w:rsidRPr="00260022">
              <w:rPr>
                <w:szCs w:val="20"/>
              </w:rPr>
              <w:t>чернодробна недостатъчност, хепатит</w:t>
            </w:r>
          </w:p>
        </w:tc>
      </w:tr>
      <w:tr w:rsidR="00260022" w14:paraId="4993393D" w14:textId="77777777" w:rsidTr="00260022">
        <w:tc>
          <w:tcPr>
            <w:tcW w:w="1835" w:type="dxa"/>
          </w:tcPr>
          <w:p w14:paraId="60B3539D" w14:textId="3513F568"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кожата и подкожната тъкан</w:t>
            </w:r>
          </w:p>
        </w:tc>
        <w:tc>
          <w:tcPr>
            <w:tcW w:w="1770" w:type="dxa"/>
          </w:tcPr>
          <w:p w14:paraId="5A9B9E20"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1F0E27A4" w14:textId="59BA6574" w:rsidR="00260022" w:rsidRPr="00260022" w:rsidRDefault="00260022" w:rsidP="00260022">
            <w:pPr>
              <w:spacing w:line="240" w:lineRule="auto"/>
              <w:rPr>
                <w:rFonts w:eastAsia="Times New Roman" w:cs="Arial"/>
                <w:color w:val="000000"/>
                <w:szCs w:val="20"/>
                <w:lang w:eastAsia="bg-BG"/>
              </w:rPr>
            </w:pPr>
            <w:r w:rsidRPr="00260022">
              <w:rPr>
                <w:szCs w:val="20"/>
              </w:rPr>
              <w:t>обрив</w:t>
            </w:r>
          </w:p>
        </w:tc>
        <w:tc>
          <w:tcPr>
            <w:tcW w:w="2477" w:type="dxa"/>
          </w:tcPr>
          <w:p w14:paraId="5ED308B4" w14:textId="77777777" w:rsidR="00260022" w:rsidRPr="00260022" w:rsidRDefault="00260022" w:rsidP="00260022">
            <w:r w:rsidRPr="00260022">
              <w:rPr>
                <w:szCs w:val="20"/>
              </w:rPr>
              <w:t>алопеция, екзема,</w:t>
            </w:r>
          </w:p>
          <w:p w14:paraId="7D137546" w14:textId="6101BB01" w:rsidR="00260022" w:rsidRPr="00260022" w:rsidRDefault="00260022" w:rsidP="00260022">
            <w:pPr>
              <w:spacing w:line="240" w:lineRule="auto"/>
              <w:rPr>
                <w:rFonts w:eastAsia="Times New Roman" w:cs="Arial"/>
                <w:color w:val="000000"/>
                <w:szCs w:val="20"/>
                <w:lang w:eastAsia="bg-BG"/>
              </w:rPr>
            </w:pPr>
            <w:r w:rsidRPr="00260022">
              <w:rPr>
                <w:szCs w:val="20"/>
              </w:rPr>
              <w:t>пруритус</w:t>
            </w:r>
          </w:p>
        </w:tc>
        <w:tc>
          <w:tcPr>
            <w:tcW w:w="1847" w:type="dxa"/>
            <w:vAlign w:val="bottom"/>
          </w:tcPr>
          <w:p w14:paraId="6E86EF32" w14:textId="1A6FF87F" w:rsidR="00260022" w:rsidRPr="00260022" w:rsidRDefault="00260022" w:rsidP="00260022">
            <w:pPr>
              <w:spacing w:line="240" w:lineRule="auto"/>
              <w:rPr>
                <w:rFonts w:eastAsia="Times New Roman" w:cs="Arial"/>
                <w:color w:val="000000"/>
                <w:szCs w:val="20"/>
                <w:lang w:eastAsia="bg-BG"/>
              </w:rPr>
            </w:pPr>
            <w:r w:rsidRPr="00260022">
              <w:rPr>
                <w:szCs w:val="20"/>
              </w:rPr>
              <w:t xml:space="preserve">токсична епидермалиа некролиза, синдром на </w:t>
            </w:r>
            <w:r w:rsidRPr="00260022">
              <w:rPr>
                <w:szCs w:val="20"/>
                <w:lang w:val="en-US"/>
              </w:rPr>
              <w:t xml:space="preserve">Stevens-Johnson, </w:t>
            </w:r>
            <w:r w:rsidRPr="00260022">
              <w:rPr>
                <w:szCs w:val="20"/>
              </w:rPr>
              <w:t>еритема мултиформе</w:t>
            </w:r>
          </w:p>
        </w:tc>
      </w:tr>
      <w:tr w:rsidR="00260022" w14:paraId="3374EB99" w14:textId="77777777" w:rsidTr="00260022">
        <w:tc>
          <w:tcPr>
            <w:tcW w:w="1835" w:type="dxa"/>
          </w:tcPr>
          <w:p w14:paraId="3007BE8A" w14:textId="549CDF86"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мускулно- скелетната система и съединителната тъкан</w:t>
            </w:r>
          </w:p>
        </w:tc>
        <w:tc>
          <w:tcPr>
            <w:tcW w:w="1770" w:type="dxa"/>
          </w:tcPr>
          <w:p w14:paraId="342584C2"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1E62CB0A"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4F13F9D3" w14:textId="21380B25" w:rsidR="00260022" w:rsidRPr="00260022" w:rsidRDefault="00260022" w:rsidP="00260022">
            <w:pPr>
              <w:spacing w:line="240" w:lineRule="auto"/>
              <w:rPr>
                <w:rFonts w:eastAsia="Times New Roman" w:cs="Arial"/>
                <w:color w:val="000000"/>
                <w:szCs w:val="20"/>
                <w:lang w:eastAsia="bg-BG"/>
              </w:rPr>
            </w:pPr>
            <w:r w:rsidRPr="00260022">
              <w:rPr>
                <w:szCs w:val="20"/>
              </w:rPr>
              <w:t>мускулна слабост, миалгия</w:t>
            </w:r>
          </w:p>
        </w:tc>
        <w:tc>
          <w:tcPr>
            <w:tcW w:w="1847" w:type="dxa"/>
          </w:tcPr>
          <w:p w14:paraId="4C640086" w14:textId="7E1060C1" w:rsidR="00260022" w:rsidRPr="00260022" w:rsidRDefault="00260022" w:rsidP="00260022">
            <w:pPr>
              <w:spacing w:line="240" w:lineRule="auto"/>
              <w:rPr>
                <w:rFonts w:eastAsia="Times New Roman" w:cs="Arial"/>
                <w:color w:val="000000"/>
                <w:szCs w:val="20"/>
                <w:lang w:eastAsia="bg-BG"/>
              </w:rPr>
            </w:pPr>
            <w:r w:rsidRPr="00260022">
              <w:rPr>
                <w:szCs w:val="20"/>
              </w:rPr>
              <w:t>Рабдомиолиза и повишена креатинин фосфокиназа в кръвта*</w:t>
            </w:r>
          </w:p>
        </w:tc>
      </w:tr>
      <w:tr w:rsidR="00260022" w14:paraId="5AFA1D35" w14:textId="77777777" w:rsidTr="00260022">
        <w:tc>
          <w:tcPr>
            <w:tcW w:w="1835" w:type="dxa"/>
          </w:tcPr>
          <w:p w14:paraId="277F1B09" w14:textId="555CD5E8" w:rsidR="00260022" w:rsidRPr="00260022" w:rsidRDefault="00260022" w:rsidP="00260022">
            <w:pPr>
              <w:spacing w:line="240" w:lineRule="auto"/>
              <w:rPr>
                <w:rFonts w:eastAsia="Times New Roman" w:cs="Arial"/>
                <w:color w:val="000000"/>
                <w:szCs w:val="20"/>
                <w:lang w:eastAsia="bg-BG"/>
              </w:rPr>
            </w:pPr>
            <w:r w:rsidRPr="00260022">
              <w:rPr>
                <w:szCs w:val="20"/>
              </w:rPr>
              <w:t>Нарушения на бъбреците и пикочните пътища</w:t>
            </w:r>
          </w:p>
        </w:tc>
        <w:tc>
          <w:tcPr>
            <w:tcW w:w="1770" w:type="dxa"/>
          </w:tcPr>
          <w:p w14:paraId="523CE290"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4CC944B"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3761BCE4"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3B9840C8" w14:textId="6587009E" w:rsidR="00260022" w:rsidRPr="00260022" w:rsidRDefault="00260022" w:rsidP="00260022">
            <w:pPr>
              <w:spacing w:line="240" w:lineRule="auto"/>
              <w:rPr>
                <w:rFonts w:eastAsia="Times New Roman" w:cs="Arial"/>
                <w:color w:val="000000"/>
                <w:szCs w:val="20"/>
                <w:lang w:eastAsia="bg-BG"/>
              </w:rPr>
            </w:pPr>
            <w:r w:rsidRPr="00260022">
              <w:rPr>
                <w:szCs w:val="20"/>
              </w:rPr>
              <w:t>остра бъбречна недостатъчност</w:t>
            </w:r>
          </w:p>
        </w:tc>
      </w:tr>
      <w:tr w:rsidR="00260022" w14:paraId="4DD85CBC" w14:textId="77777777" w:rsidTr="00260022">
        <w:tc>
          <w:tcPr>
            <w:tcW w:w="1835" w:type="dxa"/>
          </w:tcPr>
          <w:p w14:paraId="483F7151" w14:textId="138A746B" w:rsidR="00260022" w:rsidRPr="00260022" w:rsidRDefault="00260022" w:rsidP="00260022">
            <w:pPr>
              <w:spacing w:line="240" w:lineRule="auto"/>
              <w:rPr>
                <w:rFonts w:eastAsia="Times New Roman" w:cs="Arial"/>
                <w:color w:val="000000"/>
                <w:szCs w:val="20"/>
                <w:lang w:eastAsia="bg-BG"/>
              </w:rPr>
            </w:pPr>
            <w:r w:rsidRPr="00260022">
              <w:rPr>
                <w:szCs w:val="20"/>
              </w:rPr>
              <w:t>Общи нарушения и ефекти на мястото на приложение</w:t>
            </w:r>
          </w:p>
        </w:tc>
        <w:tc>
          <w:tcPr>
            <w:tcW w:w="1770" w:type="dxa"/>
          </w:tcPr>
          <w:p w14:paraId="44EAFBF4"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5D09D15" w14:textId="41A0D69B" w:rsidR="00260022" w:rsidRPr="00260022" w:rsidRDefault="00260022" w:rsidP="00260022">
            <w:pPr>
              <w:spacing w:line="240" w:lineRule="auto"/>
              <w:rPr>
                <w:rFonts w:eastAsia="Times New Roman" w:cs="Arial"/>
                <w:color w:val="000000"/>
                <w:szCs w:val="20"/>
                <w:lang w:eastAsia="bg-BG"/>
              </w:rPr>
            </w:pPr>
            <w:r w:rsidRPr="00260022">
              <w:rPr>
                <w:szCs w:val="20"/>
              </w:rPr>
              <w:t>астения/умора</w:t>
            </w:r>
          </w:p>
        </w:tc>
        <w:tc>
          <w:tcPr>
            <w:tcW w:w="2477" w:type="dxa"/>
          </w:tcPr>
          <w:p w14:paraId="2F26CF26" w14:textId="77777777" w:rsidR="00260022" w:rsidRPr="00260022" w:rsidRDefault="00260022" w:rsidP="00260022">
            <w:pPr>
              <w:spacing w:line="240" w:lineRule="auto"/>
              <w:rPr>
                <w:rFonts w:eastAsia="Times New Roman" w:cs="Arial"/>
                <w:color w:val="000000"/>
                <w:szCs w:val="20"/>
                <w:lang w:eastAsia="bg-BG"/>
              </w:rPr>
            </w:pPr>
          </w:p>
        </w:tc>
        <w:tc>
          <w:tcPr>
            <w:tcW w:w="1847" w:type="dxa"/>
          </w:tcPr>
          <w:p w14:paraId="7EE5B832" w14:textId="77777777" w:rsidR="00260022" w:rsidRPr="00260022" w:rsidRDefault="00260022" w:rsidP="00260022">
            <w:pPr>
              <w:spacing w:line="240" w:lineRule="auto"/>
              <w:rPr>
                <w:rFonts w:eastAsia="Times New Roman" w:cs="Arial"/>
                <w:color w:val="000000"/>
                <w:szCs w:val="20"/>
                <w:lang w:eastAsia="bg-BG"/>
              </w:rPr>
            </w:pPr>
          </w:p>
        </w:tc>
      </w:tr>
      <w:tr w:rsidR="00260022" w14:paraId="501222CF" w14:textId="77777777" w:rsidTr="00260022">
        <w:tc>
          <w:tcPr>
            <w:tcW w:w="1835" w:type="dxa"/>
          </w:tcPr>
          <w:p w14:paraId="006A7AD5" w14:textId="5255D8D1" w:rsidR="00260022" w:rsidRPr="00260022" w:rsidRDefault="00260022" w:rsidP="00260022">
            <w:pPr>
              <w:spacing w:line="240" w:lineRule="auto"/>
              <w:rPr>
                <w:rFonts w:eastAsia="Times New Roman" w:cs="Arial"/>
                <w:color w:val="000000"/>
                <w:szCs w:val="20"/>
                <w:lang w:eastAsia="bg-BG"/>
              </w:rPr>
            </w:pPr>
            <w:r w:rsidRPr="00260022">
              <w:rPr>
                <w:szCs w:val="20"/>
              </w:rPr>
              <w:t>Наранявания, отравяния и усложнения, възникнали в резултат на интервенции</w:t>
            </w:r>
          </w:p>
        </w:tc>
        <w:tc>
          <w:tcPr>
            <w:tcW w:w="1770" w:type="dxa"/>
          </w:tcPr>
          <w:p w14:paraId="0FF6EB63" w14:textId="77777777" w:rsidR="00260022" w:rsidRPr="00260022" w:rsidRDefault="00260022" w:rsidP="00260022">
            <w:pPr>
              <w:spacing w:line="240" w:lineRule="auto"/>
              <w:rPr>
                <w:rFonts w:eastAsia="Times New Roman" w:cs="Arial"/>
                <w:color w:val="000000"/>
                <w:szCs w:val="20"/>
                <w:lang w:eastAsia="bg-BG"/>
              </w:rPr>
            </w:pPr>
          </w:p>
        </w:tc>
        <w:tc>
          <w:tcPr>
            <w:tcW w:w="1647" w:type="dxa"/>
          </w:tcPr>
          <w:p w14:paraId="0EB0FCAD" w14:textId="77777777" w:rsidR="00260022" w:rsidRPr="00260022" w:rsidRDefault="00260022" w:rsidP="00260022">
            <w:pPr>
              <w:spacing w:line="240" w:lineRule="auto"/>
              <w:rPr>
                <w:rFonts w:eastAsia="Times New Roman" w:cs="Arial"/>
                <w:color w:val="000000"/>
                <w:szCs w:val="20"/>
                <w:lang w:eastAsia="bg-BG"/>
              </w:rPr>
            </w:pPr>
          </w:p>
        </w:tc>
        <w:tc>
          <w:tcPr>
            <w:tcW w:w="2477" w:type="dxa"/>
          </w:tcPr>
          <w:p w14:paraId="36DA314F" w14:textId="426BA1F7" w:rsidR="00260022" w:rsidRPr="00260022" w:rsidRDefault="00260022" w:rsidP="00260022">
            <w:pPr>
              <w:spacing w:line="240" w:lineRule="auto"/>
              <w:rPr>
                <w:rFonts w:eastAsia="Times New Roman" w:cs="Arial"/>
                <w:color w:val="000000"/>
                <w:szCs w:val="20"/>
                <w:lang w:eastAsia="bg-BG"/>
              </w:rPr>
            </w:pPr>
            <w:r w:rsidRPr="00260022">
              <w:rPr>
                <w:szCs w:val="20"/>
              </w:rPr>
              <w:t>случайно нараняване</w:t>
            </w:r>
          </w:p>
        </w:tc>
        <w:tc>
          <w:tcPr>
            <w:tcW w:w="1847" w:type="dxa"/>
          </w:tcPr>
          <w:p w14:paraId="6BA26539" w14:textId="77777777" w:rsidR="00260022" w:rsidRPr="00260022" w:rsidRDefault="00260022" w:rsidP="00260022">
            <w:pPr>
              <w:spacing w:line="240" w:lineRule="auto"/>
              <w:rPr>
                <w:rFonts w:eastAsia="Times New Roman" w:cs="Arial"/>
                <w:color w:val="000000"/>
                <w:szCs w:val="20"/>
                <w:lang w:eastAsia="bg-BG"/>
              </w:rPr>
            </w:pPr>
          </w:p>
        </w:tc>
      </w:tr>
    </w:tbl>
    <w:p w14:paraId="0E859DEC" w14:textId="6D099990" w:rsidR="0098490F" w:rsidRDefault="0098490F" w:rsidP="0098490F">
      <w:pPr>
        <w:spacing w:line="240" w:lineRule="auto"/>
        <w:rPr>
          <w:rFonts w:eastAsia="Times New Roman" w:cs="Arial"/>
          <w:color w:val="000000"/>
          <w:szCs w:val="20"/>
          <w:lang w:eastAsia="bg-BG"/>
        </w:rPr>
      </w:pPr>
    </w:p>
    <w:p w14:paraId="32B5F562" w14:textId="77777777" w:rsidR="00260022" w:rsidRPr="00260022" w:rsidRDefault="00260022" w:rsidP="00260022">
      <w:pPr>
        <w:rPr>
          <w:sz w:val="24"/>
        </w:rPr>
      </w:pPr>
      <w:r w:rsidRPr="00260022">
        <w:rPr>
          <w:szCs w:val="20"/>
        </w:rPr>
        <w:t>* Значително по-високо разпространение се наблюдава при пациенти от японски произход в сравнение при пациенти от неяпонски произход.</w:t>
      </w:r>
    </w:p>
    <w:p w14:paraId="244DA675" w14:textId="77777777" w:rsidR="00260022" w:rsidRDefault="00260022" w:rsidP="00260022">
      <w:pPr>
        <w:rPr>
          <w:szCs w:val="20"/>
          <w:u w:val="single"/>
        </w:rPr>
      </w:pPr>
    </w:p>
    <w:p w14:paraId="09936FC5" w14:textId="1364FD14" w:rsidR="00260022" w:rsidRPr="00260022" w:rsidRDefault="00260022" w:rsidP="00260022">
      <w:pPr>
        <w:rPr>
          <w:sz w:val="24"/>
        </w:rPr>
      </w:pPr>
      <w:r w:rsidRPr="00260022">
        <w:rPr>
          <w:szCs w:val="20"/>
          <w:u w:val="single"/>
        </w:rPr>
        <w:t>Описание на избрани нежелани реакции</w:t>
      </w:r>
    </w:p>
    <w:p w14:paraId="783390C2" w14:textId="77777777" w:rsidR="00260022" w:rsidRPr="00260022" w:rsidRDefault="00260022" w:rsidP="00260022">
      <w:pPr>
        <w:rPr>
          <w:sz w:val="24"/>
        </w:rPr>
      </w:pPr>
      <w:r w:rsidRPr="00260022">
        <w:rPr>
          <w:szCs w:val="20"/>
        </w:rPr>
        <w:lastRenderedPageBreak/>
        <w:t>Рискът от анорексия е по-висок, когато леветирацетам се прилага едновременно с топирамат. При няколко случая на алопеция се наблюдава възстановяване след преустановяване на леветирацетам.</w:t>
      </w:r>
    </w:p>
    <w:p w14:paraId="6D456B85" w14:textId="77777777" w:rsidR="00260022" w:rsidRPr="00260022" w:rsidRDefault="00260022" w:rsidP="00260022">
      <w:pPr>
        <w:rPr>
          <w:sz w:val="24"/>
        </w:rPr>
      </w:pPr>
      <w:r w:rsidRPr="00260022">
        <w:rPr>
          <w:szCs w:val="20"/>
        </w:rPr>
        <w:t>При някои от случаите на панцитопения е установено подтискане на костния мозък.</w:t>
      </w:r>
    </w:p>
    <w:p w14:paraId="57F23495" w14:textId="77777777" w:rsidR="00260022" w:rsidRDefault="00260022" w:rsidP="00260022">
      <w:pPr>
        <w:rPr>
          <w:szCs w:val="20"/>
        </w:rPr>
      </w:pPr>
    </w:p>
    <w:p w14:paraId="1B3AAFB3" w14:textId="4A98834E" w:rsidR="00260022" w:rsidRPr="00260022" w:rsidRDefault="00260022" w:rsidP="00260022">
      <w:pPr>
        <w:rPr>
          <w:sz w:val="24"/>
        </w:rPr>
      </w:pPr>
      <w:r w:rsidRPr="00260022">
        <w:rPr>
          <w:szCs w:val="20"/>
        </w:rPr>
        <w:t>Случаи на енцефалопатия обикновено настъпват в началото на лечението (от няколко дни до няколко месеца) и са обратими след спиране на лечението.</w:t>
      </w:r>
    </w:p>
    <w:p w14:paraId="24D6416C" w14:textId="77777777" w:rsidR="00260022" w:rsidRDefault="00260022" w:rsidP="00260022">
      <w:pPr>
        <w:rPr>
          <w:i/>
          <w:iCs/>
          <w:szCs w:val="20"/>
          <w:u w:val="single"/>
        </w:rPr>
      </w:pPr>
    </w:p>
    <w:p w14:paraId="35732C89" w14:textId="51F7A733" w:rsidR="00260022" w:rsidRPr="00260022" w:rsidRDefault="00260022" w:rsidP="00260022">
      <w:pPr>
        <w:rPr>
          <w:sz w:val="24"/>
        </w:rPr>
      </w:pPr>
      <w:r w:rsidRPr="00260022">
        <w:rPr>
          <w:i/>
          <w:iCs/>
          <w:szCs w:val="20"/>
          <w:u w:val="single"/>
        </w:rPr>
        <w:t>Педиатрична популация</w:t>
      </w:r>
    </w:p>
    <w:p w14:paraId="1E805AB0" w14:textId="77777777" w:rsidR="00260022" w:rsidRPr="00260022" w:rsidRDefault="00260022" w:rsidP="00260022">
      <w:pPr>
        <w:rPr>
          <w:sz w:val="24"/>
        </w:rPr>
      </w:pPr>
      <w:r w:rsidRPr="00260022">
        <w:rPr>
          <w:szCs w:val="20"/>
        </w:rPr>
        <w:t>При пациенти на възраст от 1 месец до под 4 години, общо 190 пациенти са били лекувани с леветирацетам в плацебо-контролирани и отворени разширени проучвания. Шестдесет (60) от тези пациенти са били лекувани с леветирацетам в плацебо-контролирани проучвания. При пациенти на възраст 4-16 години, общо 645 пациенти са били лекувани с леветирацетам в плацебо-контролирани и отворени разширени проучвания. В плацебо-контролирани проучвания 233 от тези пациенти са били лекувани с леветирацетам. В тези две педиатрични възрастови групи, тези данни са допълнени с пост-маркетингов опит за употреба на леветирацетам.</w:t>
      </w:r>
    </w:p>
    <w:p w14:paraId="583EF3E3" w14:textId="77777777" w:rsidR="00260022" w:rsidRDefault="00260022" w:rsidP="00260022">
      <w:pPr>
        <w:rPr>
          <w:szCs w:val="20"/>
        </w:rPr>
      </w:pPr>
    </w:p>
    <w:p w14:paraId="3D23E063" w14:textId="01D80B87" w:rsidR="00260022" w:rsidRPr="00260022" w:rsidRDefault="00260022" w:rsidP="00260022">
      <w:pPr>
        <w:rPr>
          <w:sz w:val="24"/>
        </w:rPr>
      </w:pPr>
      <w:r w:rsidRPr="00260022">
        <w:rPr>
          <w:szCs w:val="20"/>
        </w:rPr>
        <w:t>Освен това 101 кърмачета на възраст под 12 месеца са били с експозиция в постмаркетингово проучване за безопасност. Не са идентифицирани нови съображения за безопасност за леветирацетам при деца с епилепсия на възраст под 12 месеца.</w:t>
      </w:r>
    </w:p>
    <w:p w14:paraId="01347B03" w14:textId="77777777" w:rsidR="00260022" w:rsidRDefault="00260022" w:rsidP="00260022">
      <w:pPr>
        <w:spacing w:line="240" w:lineRule="auto"/>
        <w:rPr>
          <w:szCs w:val="20"/>
        </w:rPr>
      </w:pPr>
    </w:p>
    <w:p w14:paraId="258CC9D1" w14:textId="77777777" w:rsidR="00260022" w:rsidRPr="00260022" w:rsidRDefault="00260022" w:rsidP="00260022">
      <w:pPr>
        <w:rPr>
          <w:rFonts w:eastAsia="Times New Roman" w:cs="Arial"/>
          <w:lang w:eastAsia="bg-BG"/>
        </w:rPr>
      </w:pPr>
      <w:r w:rsidRPr="00260022">
        <w:rPr>
          <w:szCs w:val="20"/>
        </w:rPr>
        <w:t>Профилът на нежеланите събития на леветирацетам е по принцип подобен при различните възрастови групи и в рамките на одобрените показания, свързани с епилепсията. Безопасността при педиатрични пациенти в плацебо-контролирани клинични проучвания са в съответствие с профила на безопасност на леветирацетам при възрастни, с изключение на поведенческите и психиатрични нежелани реакции, които са по-чести при деца отколкото при възрастни. При деца и юноши на възраст от 4 до 16 години, повръщане (много чести 11,2%), възбуда (чести 3,4%), промени в</w:t>
      </w:r>
      <w:r>
        <w:rPr>
          <w:szCs w:val="20"/>
          <w:lang w:val="en-US"/>
        </w:rPr>
        <w:t xml:space="preserve"> </w:t>
      </w:r>
      <w:r w:rsidRPr="00260022">
        <w:rPr>
          <w:rFonts w:eastAsia="Times New Roman" w:cs="Arial"/>
          <w:color w:val="000000"/>
          <w:lang w:eastAsia="bg-BG"/>
        </w:rPr>
        <w:t>настроението (чести 2,1%), емоционална нестабилност (чести 1,7%), агресия (чести 8,2 %), необичайно поведение (обща 5,6%) и летаргия (общи, 3,9%) са съобщавани по-често, отколкото в другите възрастови групи или в общия профил на безопасност. При кърмачета и деца на възраст от 1 месец до под 4 години, раздразнителност (много чести 11,7%) и нарушена координация (чести 3,3%) са съобщавани по-често, отколкото при другите възрастови групи, или в общия профил на безопасност.</w:t>
      </w:r>
    </w:p>
    <w:p w14:paraId="5233FBBF" w14:textId="77777777" w:rsidR="00260022" w:rsidRDefault="00260022" w:rsidP="00260022">
      <w:pPr>
        <w:spacing w:line="240" w:lineRule="auto"/>
        <w:rPr>
          <w:rFonts w:eastAsia="Times New Roman" w:cs="Arial"/>
          <w:color w:val="000000"/>
          <w:lang w:eastAsia="bg-BG"/>
        </w:rPr>
      </w:pPr>
    </w:p>
    <w:p w14:paraId="25273018" w14:textId="5A538C23" w:rsidR="00260022" w:rsidRPr="00260022" w:rsidRDefault="00260022" w:rsidP="00260022">
      <w:pPr>
        <w:spacing w:line="240" w:lineRule="auto"/>
        <w:rPr>
          <w:rFonts w:eastAsia="Times New Roman" w:cs="Arial"/>
          <w:lang w:eastAsia="bg-BG"/>
        </w:rPr>
      </w:pPr>
      <w:r w:rsidRPr="00260022">
        <w:rPr>
          <w:rFonts w:eastAsia="Times New Roman" w:cs="Arial"/>
          <w:color w:val="000000"/>
          <w:lang w:eastAsia="bg-BG"/>
        </w:rPr>
        <w:t xml:space="preserve">Двойно-сляпо, плацебо контролирано проучване за безопасност при деца с неинфериорен дизайн е оценило когнитивното и невропсихологичното действие на леветирацетам при деца от 4 до 16- годишна възраст с парциални пристъпи. Установено е, че леветирацетам не се различава (не е по- лоша) спрямо плацебо по отношение на промяната спрямо изходното ниво на </w:t>
      </w:r>
      <w:proofErr w:type="spellStart"/>
      <w:r w:rsidRPr="00260022">
        <w:rPr>
          <w:rFonts w:eastAsia="Times New Roman" w:cs="Arial"/>
          <w:i/>
          <w:iCs/>
          <w:color w:val="000000"/>
          <w:lang w:val="en-US"/>
        </w:rPr>
        <w:t>Leiter~R</w:t>
      </w:r>
      <w:proofErr w:type="spellEnd"/>
      <w:r w:rsidRPr="00260022">
        <w:rPr>
          <w:rFonts w:eastAsia="Times New Roman" w:cs="Arial"/>
          <w:color w:val="000000"/>
          <w:lang w:val="en-US"/>
        </w:rPr>
        <w:t xml:space="preserve"> </w:t>
      </w:r>
      <w:r w:rsidRPr="00260022">
        <w:rPr>
          <w:rFonts w:eastAsia="Times New Roman" w:cs="Arial"/>
          <w:color w:val="000000"/>
          <w:lang w:eastAsia="bg-BG"/>
        </w:rPr>
        <w:t xml:space="preserve">внимание и памет, комбиниран скор за изследване на паметта в определената в протокола популация. Резултатите, свързани с поведенческата и емоционална функция, са показали влошаване при лекуваните с Леветирацетам Стада пациенти по отношение на агресивно поведение, измерено по стандартен и систематизиран метод чрез използване на валидиран способ </w:t>
      </w:r>
      <w:r w:rsidRPr="00260022">
        <w:rPr>
          <w:rFonts w:eastAsia="Times New Roman" w:cs="Arial"/>
          <w:color w:val="000000"/>
          <w:lang w:val="en-US"/>
        </w:rPr>
        <w:t xml:space="preserve">(CBCL </w:t>
      </w:r>
      <w:r w:rsidRPr="00260022">
        <w:rPr>
          <w:rFonts w:eastAsia="Times New Roman" w:cs="Arial"/>
          <w:i/>
          <w:iCs/>
          <w:color w:val="000000"/>
          <w:lang w:val="en-US"/>
        </w:rPr>
        <w:t xml:space="preserve">-Achenbach </w:t>
      </w:r>
      <w:r w:rsidRPr="00260022">
        <w:rPr>
          <w:rFonts w:eastAsia="Times New Roman" w:cs="Arial"/>
          <w:color w:val="000000"/>
          <w:lang w:eastAsia="bg-BG"/>
        </w:rPr>
        <w:t xml:space="preserve">въпросник за детско поведение). Въпреки това пациентите, приемали Леветирацетам Стада по време на продължително,отворено проследяващо проучване, не са показали общо влошаване по отношение наповедението или емоционалната </w:t>
      </w:r>
      <w:r w:rsidRPr="00260022">
        <w:rPr>
          <w:rFonts w:eastAsia="Times New Roman" w:cs="Arial"/>
          <w:color w:val="000000"/>
          <w:lang w:eastAsia="bg-BG"/>
        </w:rPr>
        <w:lastRenderedPageBreak/>
        <w:t>функция; нещо повече, показателите за агресивно поведение не са показали влошаване спрямо изходните стойности.</w:t>
      </w:r>
    </w:p>
    <w:p w14:paraId="52861BDE" w14:textId="77777777" w:rsidR="00260022" w:rsidRDefault="00260022" w:rsidP="00260022">
      <w:pPr>
        <w:spacing w:line="240" w:lineRule="auto"/>
        <w:rPr>
          <w:rFonts w:eastAsia="Times New Roman" w:cs="Arial"/>
          <w:color w:val="000000"/>
          <w:u w:val="single"/>
          <w:lang w:eastAsia="bg-BG"/>
        </w:rPr>
      </w:pPr>
    </w:p>
    <w:p w14:paraId="6B6CC209" w14:textId="2F4DB0D8" w:rsidR="00260022" w:rsidRPr="00260022" w:rsidRDefault="00260022" w:rsidP="00260022">
      <w:pPr>
        <w:spacing w:line="240" w:lineRule="auto"/>
        <w:rPr>
          <w:rFonts w:eastAsia="Times New Roman" w:cs="Arial"/>
          <w:lang w:eastAsia="bg-BG"/>
        </w:rPr>
      </w:pPr>
      <w:r w:rsidRPr="00260022">
        <w:rPr>
          <w:rFonts w:eastAsia="Times New Roman" w:cs="Arial"/>
          <w:color w:val="000000"/>
          <w:u w:val="single"/>
          <w:lang w:eastAsia="bg-BG"/>
        </w:rPr>
        <w:t>Съобщаване на подозирани нежелани реакции</w:t>
      </w:r>
    </w:p>
    <w:p w14:paraId="24552984" w14:textId="465CD1C0" w:rsidR="009103E2" w:rsidRPr="00260022" w:rsidRDefault="00260022" w:rsidP="00260022">
      <w:pPr>
        <w:spacing w:line="240" w:lineRule="auto"/>
        <w:rPr>
          <w:rFonts w:cs="Arial"/>
          <w:lang w:val="en-US"/>
        </w:rPr>
      </w:pPr>
      <w:r w:rsidRPr="0026002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тел.:+3592 8903417 уебсайт: </w:t>
      </w:r>
      <w:r w:rsidRPr="00260022">
        <w:rPr>
          <w:rFonts w:eastAsia="Times New Roman" w:cs="Arial"/>
          <w:lang w:eastAsia="bg-BG"/>
        </w:rPr>
        <w:fldChar w:fldCharType="begin"/>
      </w:r>
      <w:r w:rsidRPr="00260022">
        <w:rPr>
          <w:rFonts w:eastAsia="Times New Roman" w:cs="Arial"/>
          <w:lang w:eastAsia="bg-BG"/>
        </w:rPr>
        <w:instrText xml:space="preserve"> HYPERLINK "http://www.bda.bg" </w:instrText>
      </w:r>
      <w:r w:rsidRPr="00260022">
        <w:rPr>
          <w:rFonts w:eastAsia="Times New Roman" w:cs="Arial"/>
          <w:lang w:eastAsia="bg-BG"/>
        </w:rPr>
        <w:fldChar w:fldCharType="separate"/>
      </w:r>
      <w:r w:rsidRPr="00260022">
        <w:rPr>
          <w:rFonts w:eastAsia="Times New Roman" w:cs="Arial"/>
          <w:color w:val="000000"/>
          <w:u w:val="single"/>
          <w:lang w:val="en-US"/>
        </w:rPr>
        <w:t>www.bda.bg</w:t>
      </w:r>
      <w:r w:rsidRPr="00260022">
        <w:rPr>
          <w:rFonts w:eastAsia="Times New Roman" w:cs="Arial"/>
          <w:lang w:eastAsia="bg-BG"/>
        </w:rPr>
        <w:fldChar w:fldCharType="end"/>
      </w:r>
    </w:p>
    <w:p w14:paraId="4BC9AFAA" w14:textId="77777777" w:rsidR="00260022" w:rsidRPr="0098490F" w:rsidRDefault="00260022" w:rsidP="00260022">
      <w:pPr>
        <w:spacing w:line="240" w:lineRule="auto"/>
        <w:rPr>
          <w:rFonts w:eastAsia="Times New Roman" w:cs="Arial"/>
          <w:color w:val="000000"/>
          <w:szCs w:val="20"/>
          <w:lang w:eastAsia="bg-BG"/>
        </w:rPr>
      </w:pPr>
    </w:p>
    <w:p w14:paraId="0A023CE0" w14:textId="7DE805D6" w:rsidR="00CF77F7" w:rsidRDefault="002C50EE" w:rsidP="004A448E">
      <w:pPr>
        <w:pStyle w:val="Heading2"/>
      </w:pPr>
      <w:r>
        <w:t>4.9. Предозиране</w:t>
      </w:r>
    </w:p>
    <w:p w14:paraId="4934DC0D" w14:textId="0BEABB90" w:rsidR="00260022" w:rsidRDefault="00260022" w:rsidP="00260022"/>
    <w:p w14:paraId="0650FC4D" w14:textId="77777777" w:rsidR="00260022" w:rsidRPr="00260022" w:rsidRDefault="00260022" w:rsidP="00260022">
      <w:pPr>
        <w:spacing w:line="240" w:lineRule="auto"/>
        <w:rPr>
          <w:rFonts w:eastAsia="Times New Roman" w:cs="Arial"/>
          <w:lang w:eastAsia="bg-BG"/>
        </w:rPr>
      </w:pPr>
      <w:r w:rsidRPr="00260022">
        <w:rPr>
          <w:rFonts w:eastAsia="Times New Roman" w:cs="Arial"/>
          <w:color w:val="000000"/>
          <w:u w:val="single"/>
          <w:lang w:eastAsia="bg-BG"/>
        </w:rPr>
        <w:t>Симптоми</w:t>
      </w:r>
    </w:p>
    <w:p w14:paraId="6BEBC5ED" w14:textId="77777777" w:rsidR="00260022" w:rsidRPr="00260022" w:rsidRDefault="00260022" w:rsidP="00260022">
      <w:pPr>
        <w:spacing w:line="240" w:lineRule="auto"/>
        <w:rPr>
          <w:rFonts w:eastAsia="Times New Roman" w:cs="Arial"/>
          <w:lang w:eastAsia="bg-BG"/>
        </w:rPr>
      </w:pPr>
      <w:r w:rsidRPr="00260022">
        <w:rPr>
          <w:rFonts w:eastAsia="Times New Roman" w:cs="Arial"/>
          <w:color w:val="000000"/>
          <w:lang w:eastAsia="bg-BG"/>
        </w:rPr>
        <w:t>Сомнолентност, тревожност, агресия, понижена степен на съзнание, потискане на дишането и кома са били наблюдавани при предозиране на леветирацетам.</w:t>
      </w:r>
    </w:p>
    <w:p w14:paraId="007FEA49" w14:textId="77777777" w:rsidR="00260022" w:rsidRPr="00260022" w:rsidRDefault="00260022" w:rsidP="00260022">
      <w:pPr>
        <w:spacing w:line="240" w:lineRule="auto"/>
        <w:rPr>
          <w:rFonts w:eastAsia="Times New Roman" w:cs="Arial"/>
          <w:color w:val="000000"/>
          <w:u w:val="single"/>
          <w:lang w:eastAsia="bg-BG"/>
        </w:rPr>
      </w:pPr>
    </w:p>
    <w:p w14:paraId="4F14F887" w14:textId="79F3292F" w:rsidR="00260022" w:rsidRPr="00260022" w:rsidRDefault="00260022" w:rsidP="00260022">
      <w:pPr>
        <w:spacing w:line="240" w:lineRule="auto"/>
        <w:rPr>
          <w:rFonts w:eastAsia="Times New Roman" w:cs="Arial"/>
          <w:lang w:eastAsia="bg-BG"/>
        </w:rPr>
      </w:pPr>
      <w:r w:rsidRPr="00260022">
        <w:rPr>
          <w:rFonts w:eastAsia="Times New Roman" w:cs="Arial"/>
          <w:color w:val="000000"/>
          <w:u w:val="single"/>
          <w:lang w:eastAsia="bg-BG"/>
        </w:rPr>
        <w:t>Мерки при предозиране</w:t>
      </w:r>
    </w:p>
    <w:p w14:paraId="472A38D0" w14:textId="728F2E61" w:rsidR="00260022" w:rsidRPr="00260022" w:rsidRDefault="00260022" w:rsidP="00260022">
      <w:pPr>
        <w:rPr>
          <w:rFonts w:cs="Arial"/>
        </w:rPr>
      </w:pPr>
      <w:r w:rsidRPr="00260022">
        <w:rPr>
          <w:rFonts w:eastAsia="Times New Roman" w:cs="Arial"/>
          <w:color w:val="000000"/>
          <w:lang w:eastAsia="bg-BG"/>
        </w:rPr>
        <w:t>След остро предозиране е необходимо изпразване на стомаха чрез стомашна промивка или предизвикване на повръщане. Няма специфичен антидот на леветирацетам. Лечението при предозиране е симптоматично и може да включва хемодиализа. Ефекта на отделяне при диализа е 60% за леветирацетам и 74% за първичния метаболит.</w:t>
      </w:r>
    </w:p>
    <w:p w14:paraId="02081B24" w14:textId="1F46E296" w:rsidR="00395555" w:rsidRPr="00395555" w:rsidRDefault="002C50EE" w:rsidP="008A6AF2">
      <w:pPr>
        <w:pStyle w:val="Heading1"/>
      </w:pPr>
      <w:r>
        <w:t>5. ФАРМАКОЛОГИЧНИ СВОЙСТВА</w:t>
      </w:r>
    </w:p>
    <w:p w14:paraId="32B6DE66" w14:textId="254380AD" w:rsidR="00CF77F7" w:rsidRDefault="002C50EE" w:rsidP="004A448E">
      <w:pPr>
        <w:pStyle w:val="Heading2"/>
      </w:pPr>
      <w:r>
        <w:t>5.1. Фармакодинамични свойства</w:t>
      </w:r>
    </w:p>
    <w:p w14:paraId="700156B9" w14:textId="1775FC1B" w:rsidR="00260022" w:rsidRDefault="00260022" w:rsidP="00260022"/>
    <w:p w14:paraId="509C944B"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Фармакотерапевтична група: Антиепилептични лекарства, други антиепилептични лекарства АТС код:</w:t>
      </w:r>
      <w:r w:rsidRPr="00260022">
        <w:rPr>
          <w:rFonts w:eastAsia="Times New Roman" w:cs="Arial"/>
          <w:color w:val="000000"/>
          <w:szCs w:val="20"/>
          <w:lang w:val="en-US"/>
        </w:rPr>
        <w:t>N</w:t>
      </w:r>
      <w:r w:rsidRPr="00260022">
        <w:rPr>
          <w:rFonts w:eastAsia="Times New Roman" w:cs="Arial"/>
          <w:color w:val="000000"/>
          <w:szCs w:val="20"/>
          <w:lang w:eastAsia="bg-BG"/>
        </w:rPr>
        <w:t>03АХ14.</w:t>
      </w:r>
    </w:p>
    <w:p w14:paraId="2455668F" w14:textId="49641E04" w:rsidR="00260022" w:rsidRDefault="00260022" w:rsidP="00260022">
      <w:pPr>
        <w:rPr>
          <w:rFonts w:eastAsia="Times New Roman" w:cs="Arial"/>
          <w:color w:val="000000"/>
          <w:szCs w:val="20"/>
          <w:lang w:eastAsia="bg-BG"/>
        </w:rPr>
      </w:pPr>
      <w:r w:rsidRPr="00260022">
        <w:rPr>
          <w:rFonts w:eastAsia="Times New Roman" w:cs="Arial"/>
          <w:color w:val="000000"/>
          <w:szCs w:val="20"/>
          <w:lang w:eastAsia="bg-BG"/>
        </w:rPr>
        <w:t xml:space="preserve">Активното вещество леветирацетам е пиролидоново производно </w:t>
      </w:r>
      <w:r w:rsidRPr="00260022">
        <w:rPr>
          <w:rFonts w:eastAsia="Times New Roman" w:cs="Arial"/>
          <w:color w:val="000000"/>
          <w:szCs w:val="20"/>
          <w:lang w:val="en-US"/>
        </w:rPr>
        <w:t>(S</w:t>
      </w:r>
      <w:r w:rsidRPr="00260022">
        <w:rPr>
          <w:rFonts w:eastAsia="Times New Roman" w:cs="Arial"/>
          <w:color w:val="000000"/>
          <w:szCs w:val="20"/>
          <w:lang w:eastAsia="bg-BG"/>
        </w:rPr>
        <w:t>-енантиомер на α</w:t>
      </w:r>
      <w:r w:rsidRPr="00260022">
        <w:rPr>
          <w:rFonts w:eastAsia="Times New Roman" w:cs="Arial"/>
          <w:color w:val="000000"/>
          <w:szCs w:val="20"/>
          <w:lang w:val="en-US"/>
        </w:rPr>
        <w:t xml:space="preserve">-ethyl-2- </w:t>
      </w:r>
      <w:r w:rsidRPr="00260022">
        <w:rPr>
          <w:rFonts w:eastAsia="Times New Roman" w:cs="Arial"/>
          <w:color w:val="000000"/>
          <w:szCs w:val="20"/>
          <w:lang w:eastAsia="bg-BG"/>
        </w:rPr>
        <w:t>охо-1</w:t>
      </w:r>
      <w:r w:rsidRPr="00260022">
        <w:rPr>
          <w:rFonts w:eastAsia="Times New Roman" w:cs="Arial"/>
          <w:color w:val="000000"/>
          <w:szCs w:val="20"/>
          <w:lang w:val="en-US"/>
        </w:rPr>
        <w:t>-</w:t>
      </w:r>
      <w:proofErr w:type="spellStart"/>
      <w:r w:rsidRPr="00260022">
        <w:rPr>
          <w:rFonts w:eastAsia="Times New Roman" w:cs="Arial"/>
          <w:color w:val="000000"/>
          <w:szCs w:val="20"/>
          <w:lang w:val="en-US"/>
        </w:rPr>
        <w:t>pyrrolidine</w:t>
      </w:r>
      <w:proofErr w:type="spellEnd"/>
      <w:r w:rsidRPr="00260022">
        <w:rPr>
          <w:rFonts w:eastAsia="Times New Roman" w:cs="Arial"/>
          <w:color w:val="000000"/>
          <w:szCs w:val="20"/>
          <w:lang w:val="en-US"/>
        </w:rPr>
        <w:t xml:space="preserve"> </w:t>
      </w:r>
      <w:proofErr w:type="spellStart"/>
      <w:r w:rsidRPr="00260022">
        <w:rPr>
          <w:rFonts w:eastAsia="Times New Roman" w:cs="Arial"/>
          <w:color w:val="000000"/>
          <w:szCs w:val="20"/>
          <w:lang w:val="en-US"/>
        </w:rPr>
        <w:t>acetamide</w:t>
      </w:r>
      <w:proofErr w:type="spellEnd"/>
      <w:r w:rsidRPr="00260022">
        <w:rPr>
          <w:rFonts w:eastAsia="Times New Roman" w:cs="Arial"/>
          <w:color w:val="000000"/>
          <w:szCs w:val="20"/>
          <w:lang w:val="en-US"/>
        </w:rPr>
        <w:t xml:space="preserve">), </w:t>
      </w:r>
      <w:r w:rsidRPr="00260022">
        <w:rPr>
          <w:rFonts w:eastAsia="Times New Roman" w:cs="Arial"/>
          <w:color w:val="000000"/>
          <w:szCs w:val="20"/>
          <w:lang w:eastAsia="bg-BG"/>
        </w:rPr>
        <w:t>химически без връзка със съществуващите антиепилептични средства.</w:t>
      </w:r>
    </w:p>
    <w:p w14:paraId="20E05FE3" w14:textId="5ACB5889" w:rsidR="00260022" w:rsidRDefault="00260022" w:rsidP="00260022">
      <w:pPr>
        <w:rPr>
          <w:rFonts w:eastAsia="Times New Roman" w:cs="Arial"/>
          <w:color w:val="000000"/>
          <w:szCs w:val="20"/>
          <w:lang w:eastAsia="bg-BG"/>
        </w:rPr>
      </w:pPr>
    </w:p>
    <w:p w14:paraId="4459AEA7"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u w:val="single"/>
          <w:lang w:eastAsia="bg-BG"/>
        </w:rPr>
        <w:t>Механизъм на действие</w:t>
      </w:r>
    </w:p>
    <w:p w14:paraId="3F8E274B"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 xml:space="preserve">Механизмът на действие на леветирацетам все още не е напълно изяснен. </w:t>
      </w:r>
      <w:r w:rsidRPr="00260022">
        <w:rPr>
          <w:rFonts w:eastAsia="Times New Roman" w:cs="Arial"/>
          <w:i/>
          <w:iCs/>
          <w:color w:val="000000"/>
          <w:szCs w:val="20"/>
          <w:lang w:val="en-US"/>
        </w:rPr>
        <w:t>In vitro</w:t>
      </w:r>
      <w:r w:rsidRPr="00260022">
        <w:rPr>
          <w:rFonts w:eastAsia="Times New Roman" w:cs="Arial"/>
          <w:color w:val="000000"/>
          <w:szCs w:val="20"/>
          <w:lang w:val="en-US"/>
        </w:rPr>
        <w:t xml:space="preserve"> </w:t>
      </w:r>
      <w:r w:rsidRPr="00260022">
        <w:rPr>
          <w:rFonts w:eastAsia="Times New Roman" w:cs="Arial"/>
          <w:color w:val="000000"/>
          <w:szCs w:val="20"/>
          <w:lang w:eastAsia="bg-BG"/>
        </w:rPr>
        <w:t xml:space="preserve">и </w:t>
      </w:r>
      <w:r w:rsidRPr="00260022">
        <w:rPr>
          <w:rFonts w:eastAsia="Times New Roman" w:cs="Arial"/>
          <w:i/>
          <w:iCs/>
          <w:color w:val="000000"/>
          <w:szCs w:val="20"/>
          <w:lang w:val="en-US"/>
        </w:rPr>
        <w:t>in vivo</w:t>
      </w:r>
      <w:r w:rsidRPr="00260022">
        <w:rPr>
          <w:rFonts w:eastAsia="Times New Roman" w:cs="Arial"/>
          <w:color w:val="000000"/>
          <w:szCs w:val="20"/>
          <w:lang w:val="en-US"/>
        </w:rPr>
        <w:t xml:space="preserve"> </w:t>
      </w:r>
      <w:r w:rsidRPr="00260022">
        <w:rPr>
          <w:rFonts w:eastAsia="Times New Roman" w:cs="Arial"/>
          <w:color w:val="000000"/>
          <w:szCs w:val="20"/>
          <w:lang w:eastAsia="bg-BG"/>
        </w:rPr>
        <w:t>опитите показват, че леветирацетам не променя основните характеристики на клетката, както и нормалната невротрансмисия.</w:t>
      </w:r>
    </w:p>
    <w:p w14:paraId="4B862DEE"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i/>
          <w:iCs/>
          <w:color w:val="000000"/>
          <w:szCs w:val="20"/>
          <w:lang w:val="en-US"/>
        </w:rPr>
        <w:t>In vitro</w:t>
      </w:r>
      <w:r w:rsidRPr="00260022">
        <w:rPr>
          <w:rFonts w:eastAsia="Times New Roman" w:cs="Arial"/>
          <w:color w:val="000000"/>
          <w:szCs w:val="20"/>
          <w:lang w:val="en-US"/>
        </w:rPr>
        <w:t xml:space="preserve"> </w:t>
      </w:r>
      <w:r w:rsidRPr="00260022">
        <w:rPr>
          <w:rFonts w:eastAsia="Times New Roman" w:cs="Arial"/>
          <w:color w:val="000000"/>
          <w:szCs w:val="20"/>
          <w:lang w:eastAsia="bg-BG"/>
        </w:rPr>
        <w:t>проучвания показват, че леветирацетам въздейства върху интраневронните нива на Са</w:t>
      </w:r>
      <w:r w:rsidRPr="00260022">
        <w:rPr>
          <w:rFonts w:eastAsia="Times New Roman" w:cs="Arial"/>
          <w:color w:val="000000"/>
          <w:szCs w:val="20"/>
          <w:vertAlign w:val="superscript"/>
          <w:lang w:eastAsia="bg-BG"/>
        </w:rPr>
        <w:t xml:space="preserve">2+ </w:t>
      </w:r>
      <w:r w:rsidRPr="00260022">
        <w:rPr>
          <w:rFonts w:eastAsia="Times New Roman" w:cs="Arial"/>
          <w:color w:val="000000"/>
          <w:szCs w:val="20"/>
          <w:lang w:eastAsia="bg-BG"/>
        </w:rPr>
        <w:t xml:space="preserve">чрез частично инхибиране на </w:t>
      </w:r>
      <w:r w:rsidRPr="00260022">
        <w:rPr>
          <w:rFonts w:eastAsia="Times New Roman" w:cs="Arial"/>
          <w:color w:val="000000"/>
          <w:szCs w:val="20"/>
          <w:lang w:val="en-US"/>
        </w:rPr>
        <w:t>N</w:t>
      </w:r>
      <w:r w:rsidRPr="00260022">
        <w:rPr>
          <w:rFonts w:eastAsia="Times New Roman" w:cs="Arial"/>
          <w:color w:val="000000"/>
          <w:szCs w:val="20"/>
          <w:lang w:eastAsia="bg-BG"/>
        </w:rPr>
        <w:t>-тип Са</w:t>
      </w:r>
      <w:r w:rsidRPr="00260022">
        <w:rPr>
          <w:rFonts w:eastAsia="Times New Roman" w:cs="Arial"/>
          <w:color w:val="000000"/>
          <w:szCs w:val="20"/>
          <w:vertAlign w:val="superscript"/>
          <w:lang w:eastAsia="bg-BG"/>
        </w:rPr>
        <w:t>2+</w:t>
      </w:r>
      <w:r w:rsidRPr="00260022">
        <w:rPr>
          <w:rFonts w:eastAsia="Times New Roman" w:cs="Arial"/>
          <w:color w:val="000000"/>
          <w:szCs w:val="20"/>
          <w:lang w:eastAsia="bg-BG"/>
        </w:rPr>
        <w:t xml:space="preserve"> каналчета, както и чрез редуциране освобождаването на Са</w:t>
      </w:r>
      <w:r w:rsidRPr="00260022">
        <w:rPr>
          <w:rFonts w:eastAsia="Times New Roman" w:cs="Arial"/>
          <w:color w:val="000000"/>
          <w:szCs w:val="20"/>
          <w:vertAlign w:val="superscript"/>
          <w:lang w:eastAsia="bg-BG"/>
        </w:rPr>
        <w:t>2+</w:t>
      </w:r>
      <w:r w:rsidRPr="00260022">
        <w:rPr>
          <w:rFonts w:eastAsia="Times New Roman" w:cs="Arial"/>
          <w:color w:val="000000"/>
          <w:szCs w:val="20"/>
          <w:lang w:eastAsia="bg-BG"/>
        </w:rPr>
        <w:t xml:space="preserve"> от интраневронните депа. В допълнение, той частично намалява редукцията в потока в </w:t>
      </w:r>
      <w:r w:rsidRPr="00260022">
        <w:rPr>
          <w:rFonts w:eastAsia="Times New Roman" w:cs="Arial"/>
          <w:color w:val="000000"/>
          <w:szCs w:val="20"/>
          <w:lang w:val="en-US"/>
        </w:rPr>
        <w:t xml:space="preserve">GABA- </w:t>
      </w:r>
      <w:r w:rsidRPr="00260022">
        <w:rPr>
          <w:rFonts w:eastAsia="Times New Roman" w:cs="Arial"/>
          <w:color w:val="000000"/>
          <w:szCs w:val="20"/>
          <w:lang w:eastAsia="bg-BG"/>
        </w:rPr>
        <w:t xml:space="preserve">и глицин- зависимите каналчета, индуцирани от цинк и </w:t>
      </w:r>
      <w:r w:rsidRPr="00260022">
        <w:rPr>
          <w:rFonts w:eastAsia="Times New Roman" w:cs="Arial"/>
          <w:color w:val="000000"/>
          <w:szCs w:val="20"/>
          <w:lang w:val="en-US"/>
        </w:rPr>
        <w:t>p</w:t>
      </w:r>
      <w:r w:rsidRPr="00260022">
        <w:rPr>
          <w:rFonts w:eastAsia="Times New Roman" w:cs="Arial"/>
          <w:color w:val="000000"/>
          <w:szCs w:val="20"/>
          <w:lang w:eastAsia="bg-BG"/>
        </w:rPr>
        <w:t xml:space="preserve">-карболини. Нещо повече, в </w:t>
      </w:r>
      <w:r w:rsidRPr="00260022">
        <w:rPr>
          <w:rFonts w:eastAsia="Times New Roman" w:cs="Arial"/>
          <w:i/>
          <w:iCs/>
          <w:color w:val="000000"/>
          <w:szCs w:val="20"/>
          <w:lang w:val="en-US"/>
        </w:rPr>
        <w:t>in vitro</w:t>
      </w:r>
      <w:r w:rsidRPr="00260022">
        <w:rPr>
          <w:rFonts w:eastAsia="Times New Roman" w:cs="Arial"/>
          <w:color w:val="000000"/>
          <w:szCs w:val="20"/>
          <w:lang w:val="en-US"/>
        </w:rPr>
        <w:t xml:space="preserve"> </w:t>
      </w:r>
      <w:r w:rsidRPr="00260022">
        <w:rPr>
          <w:rFonts w:eastAsia="Times New Roman" w:cs="Arial"/>
          <w:color w:val="000000"/>
          <w:szCs w:val="20"/>
          <w:lang w:eastAsia="bg-BG"/>
        </w:rPr>
        <w:t xml:space="preserve">проучвания, леветирацетам демонстрира свързване към специфични места в мозъчната тъкан на гризачи. Това място на свързване е намиращия се в синаптичните везикули протеин 2А, за който се смята, че участва в везикулната фузия и невротрансмитерната екзоцитоза. Леветирацетам и неговите аналози показват изявен афинитет към свързване с намиращия се в синаптичните везикули протеин 2А, което от своя страна е във връзка с тяхното действие срещу пристъпите в аудиогенни модели на епилепсия при мишки. Тези резултати предполагат, че взаимодействието между леветирацетам и намиращия се в синаптичните везикули </w:t>
      </w:r>
      <w:r w:rsidRPr="00260022">
        <w:rPr>
          <w:rFonts w:eastAsia="Times New Roman" w:cs="Arial"/>
          <w:color w:val="000000"/>
          <w:szCs w:val="20"/>
          <w:lang w:eastAsia="bg-BG"/>
        </w:rPr>
        <w:lastRenderedPageBreak/>
        <w:t>протеин 2А подпомага антиепилептичния механизъм на действие на лекарствения продукт.</w:t>
      </w:r>
    </w:p>
    <w:p w14:paraId="35332BE9" w14:textId="77777777" w:rsidR="00260022" w:rsidRDefault="00260022" w:rsidP="00260022">
      <w:pPr>
        <w:spacing w:line="240" w:lineRule="auto"/>
        <w:rPr>
          <w:rFonts w:eastAsia="Times New Roman" w:cs="Arial"/>
          <w:color w:val="000000"/>
          <w:szCs w:val="20"/>
          <w:u w:val="single"/>
          <w:lang w:eastAsia="bg-BG"/>
        </w:rPr>
      </w:pPr>
    </w:p>
    <w:p w14:paraId="759CDA73" w14:textId="1A65246D"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u w:val="single"/>
          <w:lang w:eastAsia="bg-BG"/>
        </w:rPr>
        <w:t>Фармакодинамични ефекти</w:t>
      </w:r>
    </w:p>
    <w:p w14:paraId="1D756990"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Леветирацетам предпазва от парциални и първично генерализирани пристъпи при широк кръг животински модели без да има про-конвулсивен ефект. Първичният метаболит е неактивен. При хора активността по отношение, както на парциалните, така и на генерализираните епилептични състояния (епилептиформно освобождаване /фотопароксизмален отговор) потвърждава широкия фармакологичен спектър на леветирацетам.</w:t>
      </w:r>
    </w:p>
    <w:p w14:paraId="32104E25" w14:textId="77777777" w:rsidR="00260022" w:rsidRDefault="00260022" w:rsidP="00260022">
      <w:pPr>
        <w:spacing w:line="240" w:lineRule="auto"/>
        <w:rPr>
          <w:rFonts w:eastAsia="Times New Roman" w:cs="Arial"/>
          <w:color w:val="000000"/>
          <w:szCs w:val="20"/>
          <w:u w:val="single"/>
          <w:lang w:eastAsia="bg-BG"/>
        </w:rPr>
      </w:pPr>
    </w:p>
    <w:p w14:paraId="3C5F6F7C" w14:textId="072859F9"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u w:val="single"/>
          <w:lang w:eastAsia="bg-BG"/>
        </w:rPr>
        <w:t>Клинична ефикасност и безопасност</w:t>
      </w:r>
    </w:p>
    <w:p w14:paraId="3444CE66"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i/>
          <w:iCs/>
          <w:color w:val="000000"/>
          <w:szCs w:val="20"/>
          <w:lang w:eastAsia="bg-BG"/>
        </w:rPr>
        <w:t xml:space="preserve">Допълващо лечение на парциални пристъпи с или без вторична генерализация при възрастни, юноши, деца и новородени над </w:t>
      </w:r>
      <w:r w:rsidRPr="00260022">
        <w:rPr>
          <w:rFonts w:eastAsia="Times New Roman" w:cs="Arial"/>
          <w:i/>
          <w:iCs/>
          <w:color w:val="000000"/>
          <w:szCs w:val="20"/>
          <w:lang w:val="en-US"/>
        </w:rPr>
        <w:t>I</w:t>
      </w:r>
      <w:r w:rsidRPr="00260022">
        <w:rPr>
          <w:rFonts w:eastAsia="Times New Roman" w:cs="Arial"/>
          <w:i/>
          <w:iCs/>
          <w:color w:val="000000"/>
          <w:szCs w:val="20"/>
          <w:lang w:eastAsia="bg-BG"/>
        </w:rPr>
        <w:t>-месечна възраст с епилепсия</w:t>
      </w:r>
    </w:p>
    <w:p w14:paraId="34084346" w14:textId="77777777" w:rsidR="00260022" w:rsidRDefault="00260022" w:rsidP="00260022">
      <w:pPr>
        <w:rPr>
          <w:rFonts w:eastAsia="Times New Roman" w:cs="Arial"/>
          <w:color w:val="000000"/>
          <w:szCs w:val="20"/>
          <w:lang w:eastAsia="bg-BG"/>
        </w:rPr>
      </w:pPr>
    </w:p>
    <w:p w14:paraId="46106E24" w14:textId="3C099312" w:rsidR="00260022" w:rsidRDefault="00260022" w:rsidP="00260022">
      <w:pPr>
        <w:rPr>
          <w:rFonts w:eastAsia="Times New Roman" w:cs="Arial"/>
          <w:color w:val="000000"/>
          <w:szCs w:val="20"/>
          <w:lang w:eastAsia="bg-BG"/>
        </w:rPr>
      </w:pPr>
      <w:r w:rsidRPr="00260022">
        <w:rPr>
          <w:rFonts w:eastAsia="Times New Roman" w:cs="Arial"/>
          <w:color w:val="000000"/>
          <w:szCs w:val="20"/>
          <w:lang w:eastAsia="bg-BG"/>
        </w:rPr>
        <w:t xml:space="preserve">При възрастни, ефикасността на леветирацетам е доказана в 3 двойно-слепи, плацебо- контролирани проучвания с 1 000 </w:t>
      </w:r>
      <w:r w:rsidRPr="00260022">
        <w:rPr>
          <w:rFonts w:eastAsia="Times New Roman" w:cs="Arial"/>
          <w:color w:val="000000"/>
          <w:szCs w:val="20"/>
          <w:lang w:val="en-US"/>
        </w:rPr>
        <w:t xml:space="preserve">mg, </w:t>
      </w:r>
      <w:r w:rsidRPr="00260022">
        <w:rPr>
          <w:rFonts w:eastAsia="Times New Roman" w:cs="Arial"/>
          <w:color w:val="000000"/>
          <w:szCs w:val="20"/>
          <w:lang w:eastAsia="bg-BG"/>
        </w:rPr>
        <w:t xml:space="preserve">2 000 </w:t>
      </w:r>
      <w:r w:rsidRPr="00260022">
        <w:rPr>
          <w:rFonts w:eastAsia="Times New Roman" w:cs="Arial"/>
          <w:color w:val="000000"/>
          <w:szCs w:val="20"/>
          <w:lang w:val="en-US"/>
        </w:rPr>
        <w:t xml:space="preserve">mg </w:t>
      </w:r>
      <w:r w:rsidRPr="00260022">
        <w:rPr>
          <w:rFonts w:eastAsia="Times New Roman" w:cs="Arial"/>
          <w:color w:val="000000"/>
          <w:szCs w:val="20"/>
          <w:lang w:eastAsia="bg-BG"/>
        </w:rPr>
        <w:t xml:space="preserve">или 3 000 </w:t>
      </w:r>
      <w:r w:rsidRPr="00260022">
        <w:rPr>
          <w:rFonts w:eastAsia="Times New Roman" w:cs="Arial"/>
          <w:color w:val="000000"/>
          <w:szCs w:val="20"/>
          <w:lang w:val="en-US"/>
        </w:rPr>
        <w:t>mg</w:t>
      </w:r>
      <w:r w:rsidRPr="00260022">
        <w:rPr>
          <w:rFonts w:eastAsia="Times New Roman" w:cs="Arial"/>
          <w:color w:val="000000"/>
          <w:szCs w:val="20"/>
          <w:lang w:eastAsia="bg-BG"/>
        </w:rPr>
        <w:t xml:space="preserve">/ден прилагани като 2 отделни дози с продължителност на лечението до 18 седмици. При сборния анализ, процента на пациентите достигнали 50% или по-високо намаление, спрямо изходното ниво, на честотата на парциалните пристъпи за седмица при постоянна доза (12/14 седмици) е 27,7%, 31,6% и 41,3% при пациенти приемащи 1 000, 2 000 или 3 000 </w:t>
      </w:r>
      <w:r w:rsidRPr="00260022">
        <w:rPr>
          <w:rFonts w:eastAsia="Times New Roman" w:cs="Arial"/>
          <w:color w:val="000000"/>
          <w:szCs w:val="20"/>
          <w:lang w:val="en-US"/>
        </w:rPr>
        <w:t xml:space="preserve">mg </w:t>
      </w:r>
      <w:r w:rsidRPr="00260022">
        <w:rPr>
          <w:rFonts w:eastAsia="Times New Roman" w:cs="Arial"/>
          <w:color w:val="000000"/>
          <w:szCs w:val="20"/>
          <w:lang w:eastAsia="bg-BG"/>
        </w:rPr>
        <w:t>леветирацетам и съответно 12,6% за пациентите приемащи плацебо.</w:t>
      </w:r>
    </w:p>
    <w:p w14:paraId="565BEDAF" w14:textId="1FBA2BBE" w:rsidR="00260022" w:rsidRDefault="00260022" w:rsidP="00260022">
      <w:pPr>
        <w:rPr>
          <w:rFonts w:cs="Arial"/>
          <w:sz w:val="28"/>
        </w:rPr>
      </w:pPr>
    </w:p>
    <w:p w14:paraId="69F490EC" w14:textId="77777777" w:rsidR="00260022" w:rsidRPr="00260022" w:rsidRDefault="00260022" w:rsidP="00260022">
      <w:pPr>
        <w:rPr>
          <w:sz w:val="24"/>
        </w:rPr>
      </w:pPr>
      <w:r w:rsidRPr="00260022">
        <w:rPr>
          <w:szCs w:val="20"/>
          <w:u w:val="single"/>
        </w:rPr>
        <w:t>Педиатрична популация</w:t>
      </w:r>
    </w:p>
    <w:p w14:paraId="6668A505" w14:textId="77777777" w:rsidR="00260022" w:rsidRPr="00260022" w:rsidRDefault="00260022" w:rsidP="00260022">
      <w:pPr>
        <w:rPr>
          <w:sz w:val="24"/>
        </w:rPr>
      </w:pPr>
      <w:r w:rsidRPr="00260022">
        <w:rPr>
          <w:szCs w:val="20"/>
        </w:rPr>
        <w:t xml:space="preserve">При педиатрични пациенти (от 4 до 16-годишна възраст), ефикасността на леветирацетам е доказана в двойно-сляпо, плацебо-контролирано проучване включващо 198 пациенти и с продължителност на лечението 14 седмици. В това проучване, пациентите получавали леветирацетам като постоянна доза от 60 </w:t>
      </w:r>
      <w:r w:rsidRPr="00260022">
        <w:rPr>
          <w:szCs w:val="20"/>
          <w:lang w:val="en-US"/>
        </w:rPr>
        <w:t>mg/kg</w:t>
      </w:r>
      <w:r w:rsidRPr="00260022">
        <w:rPr>
          <w:szCs w:val="20"/>
        </w:rPr>
        <w:t>/дневно (прием два пъти на ден).</w:t>
      </w:r>
    </w:p>
    <w:p w14:paraId="578F913F" w14:textId="77777777" w:rsidR="00260022" w:rsidRPr="00260022" w:rsidRDefault="00260022" w:rsidP="00260022">
      <w:pPr>
        <w:rPr>
          <w:sz w:val="24"/>
        </w:rPr>
      </w:pPr>
      <w:r w:rsidRPr="00260022">
        <w:rPr>
          <w:szCs w:val="20"/>
        </w:rPr>
        <w:t>44,6% от пациентите приемащи леветирацетам и 19,6% от пациентите приемащи плацебо са имали 50% или по-високо намаление, спрямо изходното ниво, на честотата на парциалните пристъпи за седмица. При продължително дългосрочно лечение 11,4% от пациентите не са получавали пристъпи поне за 6 месеца и 7,2% за поне 1 година.</w:t>
      </w:r>
    </w:p>
    <w:p w14:paraId="2C4451FF" w14:textId="77777777" w:rsidR="009C5C3F" w:rsidRDefault="009C5C3F" w:rsidP="00260022">
      <w:pPr>
        <w:rPr>
          <w:szCs w:val="20"/>
        </w:rPr>
      </w:pPr>
    </w:p>
    <w:p w14:paraId="1FDAEEC6" w14:textId="5832B486" w:rsidR="00260022" w:rsidRPr="00260022" w:rsidRDefault="00260022" w:rsidP="00260022">
      <w:pPr>
        <w:rPr>
          <w:rFonts w:eastAsia="Times New Roman" w:cs="Arial"/>
          <w:sz w:val="28"/>
          <w:szCs w:val="24"/>
          <w:lang w:eastAsia="bg-BG"/>
        </w:rPr>
      </w:pPr>
      <w:r w:rsidRPr="00260022">
        <w:rPr>
          <w:szCs w:val="20"/>
        </w:rPr>
        <w:t xml:space="preserve">При педиатрични пациенти (от 1-месечна до 4-годишна възраст), ефикасността на леветирацетам е установена в двойно-сляпо, плацебо контролирано проучване, включващо 116 пациенти и с продължителност на лечението 5 дни, В това проучване на пациентите е предписана дневна доза от 20 </w:t>
      </w:r>
      <w:r w:rsidRPr="00260022">
        <w:rPr>
          <w:szCs w:val="20"/>
          <w:lang w:val="en-US"/>
        </w:rPr>
        <w:t xml:space="preserve">mg/kg, </w:t>
      </w:r>
      <w:r w:rsidRPr="00260022">
        <w:rPr>
          <w:szCs w:val="20"/>
        </w:rPr>
        <w:t xml:space="preserve">25 </w:t>
      </w:r>
      <w:r w:rsidRPr="00260022">
        <w:rPr>
          <w:szCs w:val="20"/>
          <w:lang w:val="en-US"/>
        </w:rPr>
        <w:t xml:space="preserve">mg/kg, </w:t>
      </w:r>
      <w:r w:rsidRPr="00260022">
        <w:rPr>
          <w:szCs w:val="20"/>
        </w:rPr>
        <w:t xml:space="preserve">40 </w:t>
      </w:r>
      <w:r w:rsidRPr="00260022">
        <w:rPr>
          <w:szCs w:val="20"/>
          <w:lang w:val="en-US"/>
        </w:rPr>
        <w:t xml:space="preserve">mg/kg </w:t>
      </w:r>
      <w:r w:rsidRPr="00260022">
        <w:rPr>
          <w:szCs w:val="20"/>
        </w:rPr>
        <w:t xml:space="preserve">или 50 </w:t>
      </w:r>
      <w:r w:rsidRPr="00260022">
        <w:rPr>
          <w:szCs w:val="20"/>
          <w:lang w:val="en-US"/>
        </w:rPr>
        <w:t xml:space="preserve">mg/kg </w:t>
      </w:r>
      <w:r w:rsidRPr="00260022">
        <w:rPr>
          <w:szCs w:val="20"/>
        </w:rPr>
        <w:t xml:space="preserve">перорален разтвор, в зависимост от тяхната възраст. В това проучване е използвана доза от 20 </w:t>
      </w:r>
      <w:r w:rsidRPr="00260022">
        <w:rPr>
          <w:szCs w:val="20"/>
          <w:lang w:val="en-US"/>
        </w:rPr>
        <w:t>mg/kg/</w:t>
      </w:r>
      <w:r w:rsidRPr="00260022">
        <w:rPr>
          <w:szCs w:val="20"/>
        </w:rPr>
        <w:t xml:space="preserve">дневно, титрирана до 40 </w:t>
      </w:r>
      <w:r w:rsidRPr="00260022">
        <w:rPr>
          <w:szCs w:val="20"/>
          <w:lang w:val="en-US"/>
        </w:rPr>
        <w:t>mg/kg</w:t>
      </w:r>
      <w:r w:rsidRPr="00260022">
        <w:rPr>
          <w:szCs w:val="20"/>
        </w:rPr>
        <w:t xml:space="preserve">/дневно при новородени от един месец до 6 месеца и доза от 25 </w:t>
      </w:r>
      <w:r w:rsidRPr="00260022">
        <w:rPr>
          <w:szCs w:val="20"/>
          <w:lang w:val="en-US"/>
        </w:rPr>
        <w:t>mg/kg</w:t>
      </w:r>
      <w:r w:rsidRPr="00260022">
        <w:rPr>
          <w:szCs w:val="20"/>
        </w:rPr>
        <w:t xml:space="preserve">/дневно, титрирана до 50 </w:t>
      </w:r>
      <w:r w:rsidRPr="00260022">
        <w:rPr>
          <w:szCs w:val="20"/>
          <w:lang w:val="en-US"/>
        </w:rPr>
        <w:t>mg/kg</w:t>
      </w:r>
      <w:r w:rsidRPr="00260022">
        <w:rPr>
          <w:szCs w:val="20"/>
        </w:rPr>
        <w:t>/дневно при новородени и деца на възраст от 6 месеца до 4</w:t>
      </w:r>
      <w:r>
        <w:rPr>
          <w:szCs w:val="20"/>
          <w:lang w:val="en-US"/>
        </w:rPr>
        <w:t xml:space="preserve"> </w:t>
      </w:r>
      <w:r w:rsidRPr="00260022">
        <w:rPr>
          <w:rFonts w:eastAsia="Times New Roman" w:cs="Arial"/>
          <w:color w:val="000000"/>
          <w:szCs w:val="20"/>
          <w:lang w:eastAsia="bg-BG"/>
        </w:rPr>
        <w:t>години. Общата дневна доза е прилагана два пъти дневно.</w:t>
      </w:r>
    </w:p>
    <w:p w14:paraId="2D06DC13"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 xml:space="preserve">Първоначалната оценка на ефективността е нивото на отговор (процентът пациенти с ≥ 50% намаление, спрямо изходното ниво, на дневната честота на парциалните пристъпи), определена от заслепен централен четец чрез 48-часово видео ЕЕГ наблюдение. Анализът на ефикасността обхваща 109 пациенти, които са имали поне 24-часово видео ЕЕГ наблюдение през двата периода - на изходното ниво и на оценката. Пациентите, показали отговор, са 43,6% от лекуваните с леветирацетам и 19,6% от пациентите, приемащи плацебо. Резултатите отговарят на съответната възрастова група. При </w:t>
      </w:r>
      <w:r w:rsidRPr="00260022">
        <w:rPr>
          <w:rFonts w:eastAsia="Times New Roman" w:cs="Arial"/>
          <w:color w:val="000000"/>
          <w:szCs w:val="20"/>
          <w:lang w:eastAsia="bg-BG"/>
        </w:rPr>
        <w:lastRenderedPageBreak/>
        <w:t>продължително дългосрочно лечение 8,6% от пациентите не са получавали пристъпи поне за 6 месеца и 7,8% за поне 1 година.</w:t>
      </w:r>
    </w:p>
    <w:p w14:paraId="3C838EC7" w14:textId="77777777" w:rsidR="009C5C3F" w:rsidRDefault="009C5C3F" w:rsidP="00260022">
      <w:pPr>
        <w:spacing w:line="240" w:lineRule="auto"/>
        <w:rPr>
          <w:rFonts w:eastAsia="Times New Roman" w:cs="Arial"/>
          <w:color w:val="000000"/>
          <w:szCs w:val="20"/>
          <w:lang w:eastAsia="bg-BG"/>
        </w:rPr>
      </w:pPr>
    </w:p>
    <w:p w14:paraId="7B359CF1" w14:textId="2EB3A311"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В плацебо-контролирани клинични проучвания, с екпозиция са били 35 кърмачета с парциални пристъпи, на възраст под 1 година, от които само 13 са били на възраст &lt; 6 месеца.</w:t>
      </w:r>
    </w:p>
    <w:p w14:paraId="65D031C9" w14:textId="77777777" w:rsidR="009C5C3F" w:rsidRDefault="009C5C3F" w:rsidP="00260022">
      <w:pPr>
        <w:spacing w:line="240" w:lineRule="auto"/>
        <w:rPr>
          <w:rFonts w:eastAsia="Times New Roman" w:cs="Arial"/>
          <w:i/>
          <w:iCs/>
          <w:color w:val="000000"/>
          <w:szCs w:val="20"/>
          <w:lang w:eastAsia="bg-BG"/>
        </w:rPr>
      </w:pPr>
    </w:p>
    <w:p w14:paraId="52D2B3CC" w14:textId="1E094CB3" w:rsidR="00260022" w:rsidRPr="00260022" w:rsidRDefault="00260022" w:rsidP="00260022">
      <w:pPr>
        <w:spacing w:line="240" w:lineRule="auto"/>
        <w:rPr>
          <w:rFonts w:eastAsia="Times New Roman" w:cs="Arial"/>
          <w:sz w:val="28"/>
          <w:szCs w:val="24"/>
          <w:lang w:eastAsia="bg-BG"/>
        </w:rPr>
      </w:pPr>
      <w:r w:rsidRPr="00260022">
        <w:rPr>
          <w:rFonts w:eastAsia="Times New Roman" w:cs="Arial"/>
          <w:i/>
          <w:iCs/>
          <w:color w:val="000000"/>
          <w:szCs w:val="20"/>
          <w:lang w:eastAsia="bg-BG"/>
        </w:rPr>
        <w:t>Монотерапия при лечение на парциални пристъпи с или без вторична генерализация при пациенти над 16-годишна възраст с новодиагностицирана епилепсия</w:t>
      </w:r>
    </w:p>
    <w:p w14:paraId="784888D3" w14:textId="77777777" w:rsidR="00260022" w:rsidRPr="00260022" w:rsidRDefault="00260022" w:rsidP="00260022">
      <w:pPr>
        <w:spacing w:line="240" w:lineRule="auto"/>
        <w:rPr>
          <w:rFonts w:eastAsia="Times New Roman" w:cs="Arial"/>
          <w:sz w:val="28"/>
          <w:szCs w:val="24"/>
          <w:lang w:eastAsia="bg-BG"/>
        </w:rPr>
      </w:pPr>
      <w:r w:rsidRPr="00260022">
        <w:rPr>
          <w:rFonts w:eastAsia="Times New Roman" w:cs="Arial"/>
          <w:color w:val="000000"/>
          <w:szCs w:val="20"/>
          <w:lang w:eastAsia="bg-BG"/>
        </w:rPr>
        <w:t xml:space="preserve">Ефикасността на леветирацетам като монотерапия е установена в двойно-сляпо, паралелно- групово, неинфериорно сравнение с карбамазепин с контролирано освобождаване </w:t>
      </w:r>
      <w:r w:rsidRPr="00260022">
        <w:rPr>
          <w:rFonts w:eastAsia="Times New Roman" w:cs="Arial"/>
          <w:color w:val="000000"/>
          <w:szCs w:val="20"/>
          <w:lang w:val="en-US"/>
        </w:rPr>
        <w:t xml:space="preserve">(CR) </w:t>
      </w:r>
      <w:r w:rsidRPr="00260022">
        <w:rPr>
          <w:rFonts w:eastAsia="Times New Roman" w:cs="Arial"/>
          <w:color w:val="000000"/>
          <w:szCs w:val="20"/>
          <w:lang w:eastAsia="bg-BG"/>
        </w:rPr>
        <w:t xml:space="preserve">при 576 пациента на 16-годишна възраст или по-възрастни с новодиагностицирана или наскоро диагностицирана епилепсия. Пациентите е трябвало да бъдат единствено с непредизвикани парциални пристъпи или генерализирани тонично-клонични пристъпи. Пациентите са определени по случаен начин да приемат карбамазепин </w:t>
      </w:r>
      <w:r w:rsidRPr="00260022">
        <w:rPr>
          <w:rFonts w:eastAsia="Times New Roman" w:cs="Arial"/>
          <w:color w:val="000000"/>
          <w:szCs w:val="20"/>
          <w:lang w:val="en-US"/>
        </w:rPr>
        <w:t xml:space="preserve">CR </w:t>
      </w:r>
      <w:r w:rsidRPr="00260022">
        <w:rPr>
          <w:rFonts w:eastAsia="Times New Roman" w:cs="Arial"/>
          <w:color w:val="000000"/>
          <w:szCs w:val="20"/>
          <w:lang w:eastAsia="bg-BG"/>
        </w:rPr>
        <w:t xml:space="preserve">400 - 1 200 </w:t>
      </w:r>
      <w:r w:rsidRPr="00260022">
        <w:rPr>
          <w:rFonts w:eastAsia="Times New Roman" w:cs="Arial"/>
          <w:color w:val="000000"/>
          <w:szCs w:val="20"/>
          <w:lang w:val="en-US"/>
        </w:rPr>
        <w:t>mg</w:t>
      </w:r>
      <w:r w:rsidRPr="00260022">
        <w:rPr>
          <w:rFonts w:eastAsia="Times New Roman" w:cs="Arial"/>
          <w:color w:val="000000"/>
          <w:szCs w:val="20"/>
          <w:lang w:eastAsia="bg-BG"/>
        </w:rPr>
        <w:t xml:space="preserve">/ден или леветирацетам 1 000 - 3 000 </w:t>
      </w:r>
      <w:r w:rsidRPr="00260022">
        <w:rPr>
          <w:rFonts w:eastAsia="Times New Roman" w:cs="Arial"/>
          <w:color w:val="000000"/>
          <w:szCs w:val="20"/>
          <w:lang w:val="en-US"/>
        </w:rPr>
        <w:t>mg</w:t>
      </w:r>
      <w:r w:rsidRPr="00260022">
        <w:rPr>
          <w:rFonts w:eastAsia="Times New Roman" w:cs="Arial"/>
          <w:color w:val="000000"/>
          <w:szCs w:val="20"/>
          <w:lang w:eastAsia="bg-BG"/>
        </w:rPr>
        <w:t>/ден, като продължителността на лечението е до 121 седмици в зависимост от отговора.</w:t>
      </w:r>
    </w:p>
    <w:p w14:paraId="131442DB" w14:textId="77777777" w:rsidR="009C5C3F" w:rsidRDefault="009C5C3F" w:rsidP="00260022">
      <w:pPr>
        <w:rPr>
          <w:rFonts w:eastAsia="Times New Roman" w:cs="Arial"/>
          <w:color w:val="000000"/>
          <w:szCs w:val="20"/>
          <w:lang w:eastAsia="bg-BG"/>
        </w:rPr>
      </w:pPr>
    </w:p>
    <w:p w14:paraId="442CD158" w14:textId="0B559990" w:rsidR="00260022" w:rsidRDefault="00260022" w:rsidP="00260022">
      <w:pPr>
        <w:rPr>
          <w:rFonts w:eastAsia="Times New Roman" w:cs="Arial"/>
          <w:color w:val="000000"/>
          <w:szCs w:val="20"/>
          <w:lang w:val="en-US"/>
        </w:rPr>
      </w:pPr>
      <w:r w:rsidRPr="00260022">
        <w:rPr>
          <w:rFonts w:eastAsia="Times New Roman" w:cs="Arial"/>
          <w:color w:val="000000"/>
          <w:szCs w:val="20"/>
          <w:lang w:eastAsia="bg-BG"/>
        </w:rPr>
        <w:t xml:space="preserve">Липса на пристъпи за 6 месеца е достигната при 73,0% от пациентите приемащи леветирацетам и при 72,8% от пациентите приемащи карбамазепин, установената абсолютна разлика между терапиите е 0,2% (95% </w:t>
      </w:r>
      <w:r w:rsidRPr="00260022">
        <w:rPr>
          <w:rFonts w:eastAsia="Times New Roman" w:cs="Arial"/>
          <w:color w:val="000000"/>
          <w:szCs w:val="20"/>
          <w:lang w:val="en-US"/>
        </w:rPr>
        <w:t xml:space="preserve">CI: </w:t>
      </w:r>
      <w:r w:rsidRPr="00260022">
        <w:rPr>
          <w:rFonts w:eastAsia="Times New Roman" w:cs="Arial"/>
          <w:color w:val="000000"/>
          <w:szCs w:val="20"/>
          <w:lang w:eastAsia="bg-BG"/>
        </w:rPr>
        <w:t xml:space="preserve">-7,8 8,2). Повече от половината от пациентите остават без да получават пристъпи за 12 месеца (56,6% и 58,5% съответно от пациентите на леветирацетам и карбамазепин </w:t>
      </w:r>
      <w:r w:rsidRPr="00260022">
        <w:rPr>
          <w:rFonts w:eastAsia="Times New Roman" w:cs="Arial"/>
          <w:color w:val="000000"/>
          <w:szCs w:val="20"/>
          <w:lang w:val="en-US"/>
        </w:rPr>
        <w:t>CR).</w:t>
      </w:r>
    </w:p>
    <w:p w14:paraId="6DF0E028" w14:textId="4CD45D3C" w:rsidR="009C5C3F" w:rsidRDefault="009C5C3F" w:rsidP="00260022">
      <w:pPr>
        <w:rPr>
          <w:rFonts w:eastAsia="Times New Roman" w:cs="Arial"/>
          <w:color w:val="000000"/>
          <w:szCs w:val="20"/>
          <w:lang w:val="en-US"/>
        </w:rPr>
      </w:pPr>
    </w:p>
    <w:p w14:paraId="78459A25"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В проучване, отразяващо клиничната практика, съпътстващата антиепилептична терапия може да се прекъсне при ограничен брой пациенти, който са се повлияли от допълваща терапия с леветирацетам (36 възрастни пациента от 69).</w:t>
      </w:r>
    </w:p>
    <w:p w14:paraId="482C8390" w14:textId="77777777" w:rsidR="009C5C3F" w:rsidRDefault="009C5C3F" w:rsidP="009C5C3F">
      <w:pPr>
        <w:spacing w:line="240" w:lineRule="auto"/>
        <w:rPr>
          <w:rFonts w:eastAsia="Times New Roman" w:cs="Arial"/>
          <w:i/>
          <w:iCs/>
          <w:color w:val="000000"/>
          <w:szCs w:val="20"/>
          <w:lang w:eastAsia="bg-BG"/>
        </w:rPr>
      </w:pPr>
    </w:p>
    <w:p w14:paraId="213767C4" w14:textId="22EBB932"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eastAsia="bg-BG"/>
        </w:rPr>
        <w:t>Допълващо лечение на миоклонични пристъпи при възрастни и юноши над 12-годишна възраст с ювенилна миоклонична епилепсия.</w:t>
      </w:r>
    </w:p>
    <w:p w14:paraId="65949A73"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Ефикасността на леветирацетам е установена в двойно-сляпо, плацебо-контролирано проучване с продължителност 16 седмици при пациенти на 12-годишна възраст или по-възрастни страдащи от идиопатична генерализирана епилепсия с миоклонични пристъпи от различни синдроми. Повечето пациенти са били с ювенилна миоклонична епилепсия.</w:t>
      </w:r>
    </w:p>
    <w:p w14:paraId="10F61C3A"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В това проучване дозата на леветирацетам е била 3 000 </w:t>
      </w:r>
      <w:r w:rsidRPr="009C5C3F">
        <w:rPr>
          <w:rFonts w:eastAsia="Times New Roman" w:cs="Arial"/>
          <w:color w:val="000000"/>
          <w:szCs w:val="20"/>
          <w:lang w:val="en-US"/>
        </w:rPr>
        <w:t>mg</w:t>
      </w:r>
      <w:r w:rsidRPr="009C5C3F">
        <w:rPr>
          <w:rFonts w:eastAsia="Times New Roman" w:cs="Arial"/>
          <w:color w:val="000000"/>
          <w:szCs w:val="20"/>
          <w:lang w:eastAsia="bg-BG"/>
        </w:rPr>
        <w:t>/ден разделена на 2 приема. 58,3% от пациентите приемащи леветирацетам и 23,3% от пациентите на плацебо са с поне 50% намаление на дните през седмицата с миоклонични пристъпи. При продължително дългосрочно лечение 28,6% от пациентите не са получавали миоклонични пристъпи за поне 6 месеца и 21,0% за поне 1 година.</w:t>
      </w:r>
    </w:p>
    <w:p w14:paraId="56FFE16F" w14:textId="77777777" w:rsidR="009C5C3F" w:rsidRDefault="009C5C3F" w:rsidP="009C5C3F">
      <w:pPr>
        <w:spacing w:line="240" w:lineRule="auto"/>
        <w:rPr>
          <w:rFonts w:eastAsia="Times New Roman" w:cs="Arial"/>
          <w:i/>
          <w:iCs/>
          <w:color w:val="000000"/>
          <w:szCs w:val="20"/>
          <w:lang w:eastAsia="bg-BG"/>
        </w:rPr>
      </w:pPr>
    </w:p>
    <w:p w14:paraId="4CA58681" w14:textId="6EC00154"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eastAsia="bg-BG"/>
        </w:rPr>
        <w:t>Допълващо лечение на първично генерализирани тонично-клонични пристъпи при възрастни и юноши над 12-годишна възраст с идиопатична генерализирана епилепсия.</w:t>
      </w:r>
    </w:p>
    <w:p w14:paraId="0525EDDD"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Ефикасността на леветирацетам е доказана в 24 седмично двойно-сляпо, плацебо-контролирано проучване включващо възрастни, юноши и ограничен брой деца страдащи от идиопатична </w:t>
      </w:r>
    </w:p>
    <w:p w14:paraId="718BD1EB" w14:textId="77777777" w:rsidR="009C5C3F" w:rsidRPr="009C5C3F" w:rsidRDefault="009C5C3F" w:rsidP="009C5C3F">
      <w:pPr>
        <w:rPr>
          <w:rFonts w:eastAsia="Times New Roman" w:cs="Arial"/>
          <w:sz w:val="28"/>
          <w:szCs w:val="24"/>
          <w:lang w:eastAsia="bg-BG"/>
        </w:rPr>
      </w:pPr>
      <w:r w:rsidRPr="009C5C3F">
        <w:rPr>
          <w:rFonts w:eastAsia="Times New Roman" w:cs="Arial"/>
          <w:color w:val="000000"/>
          <w:szCs w:val="20"/>
          <w:lang w:eastAsia="bg-BG"/>
        </w:rPr>
        <w:t xml:space="preserve">генерализирана епилепсия с първично генерализирани тонично-клонични (ПГТК) пристъпи от различни синдроми (ювенилна миоклонична епилепсия, ювенилна абсанс епилепсия, детска абсанс епилепсия или епилепсия с </w:t>
      </w:r>
      <w:r w:rsidRPr="009C5C3F">
        <w:rPr>
          <w:rFonts w:eastAsia="Times New Roman" w:cs="Arial"/>
          <w:color w:val="000000"/>
          <w:szCs w:val="20"/>
          <w:lang w:val="en-US"/>
        </w:rPr>
        <w:t xml:space="preserve">grand mal </w:t>
      </w:r>
      <w:r w:rsidRPr="009C5C3F">
        <w:rPr>
          <w:rFonts w:eastAsia="Times New Roman" w:cs="Arial"/>
          <w:color w:val="000000"/>
          <w:szCs w:val="20"/>
          <w:lang w:eastAsia="bg-BG"/>
        </w:rPr>
        <w:t>пристъпи при събуждане). В това проучване,</w:t>
      </w:r>
      <w:r>
        <w:rPr>
          <w:rFonts w:eastAsia="Times New Roman" w:cs="Arial"/>
          <w:color w:val="000000"/>
          <w:szCs w:val="20"/>
          <w:lang w:val="en-US" w:eastAsia="bg-BG"/>
        </w:rPr>
        <w:t xml:space="preserve"> </w:t>
      </w:r>
      <w:r w:rsidRPr="009C5C3F">
        <w:rPr>
          <w:rFonts w:eastAsia="Times New Roman" w:cs="Arial"/>
          <w:color w:val="000000"/>
          <w:szCs w:val="20"/>
          <w:lang w:eastAsia="bg-BG"/>
        </w:rPr>
        <w:t xml:space="preserve">дозата на леветирацетам е била 3 000 </w:t>
      </w:r>
      <w:r w:rsidRPr="009C5C3F">
        <w:rPr>
          <w:rFonts w:eastAsia="Times New Roman" w:cs="Arial"/>
          <w:color w:val="000000"/>
          <w:szCs w:val="20"/>
          <w:lang w:val="en-US"/>
        </w:rPr>
        <w:t>mg</w:t>
      </w:r>
      <w:r w:rsidRPr="009C5C3F">
        <w:rPr>
          <w:rFonts w:eastAsia="Times New Roman" w:cs="Arial"/>
          <w:color w:val="000000"/>
          <w:szCs w:val="20"/>
          <w:lang w:eastAsia="bg-BG"/>
        </w:rPr>
        <w:t xml:space="preserve">/ден при възрастни или 60 </w:t>
      </w:r>
      <w:r w:rsidRPr="009C5C3F">
        <w:rPr>
          <w:rFonts w:eastAsia="Times New Roman" w:cs="Arial"/>
          <w:color w:val="000000"/>
          <w:szCs w:val="20"/>
          <w:lang w:val="en-US"/>
        </w:rPr>
        <w:t>mg/kg</w:t>
      </w:r>
      <w:r w:rsidRPr="009C5C3F">
        <w:rPr>
          <w:rFonts w:eastAsia="Times New Roman" w:cs="Arial"/>
          <w:color w:val="000000"/>
          <w:szCs w:val="20"/>
          <w:lang w:eastAsia="bg-BG"/>
        </w:rPr>
        <w:t>/ден при деца, приемани като 2 отделни дози.</w:t>
      </w:r>
    </w:p>
    <w:p w14:paraId="0A09A6A2" w14:textId="710202E0" w:rsidR="009C5C3F" w:rsidRPr="009C5C3F" w:rsidRDefault="009C5C3F" w:rsidP="009C5C3F">
      <w:pPr>
        <w:rPr>
          <w:rFonts w:eastAsia="Times New Roman" w:cs="Arial"/>
          <w:color w:val="000000"/>
          <w:szCs w:val="20"/>
          <w:lang w:eastAsia="bg-BG"/>
        </w:rPr>
      </w:pPr>
      <w:r w:rsidRPr="009C5C3F">
        <w:rPr>
          <w:rFonts w:eastAsia="Times New Roman" w:cs="Arial"/>
          <w:color w:val="000000"/>
          <w:szCs w:val="20"/>
          <w:lang w:eastAsia="bg-BG"/>
        </w:rPr>
        <w:lastRenderedPageBreak/>
        <w:t>72,2% от пациентите приемащи леветирацетам и 45,2% от пациентите на плацебо са с 50% или по-голямо намаление на честотата на ПГТК пристъпи за седмица. При продължително дългосрочно лечение 47,4% от пациентите не са получавали тонично-клонични пристъпи за поне 6 месеца и 31,5% не са получавали тонично-клонични пристъпи за поне 1 година.</w:t>
      </w:r>
    </w:p>
    <w:p w14:paraId="75352D87" w14:textId="77777777" w:rsidR="009C5C3F" w:rsidRPr="009C5C3F" w:rsidRDefault="009C5C3F" w:rsidP="009C5C3F">
      <w:pPr>
        <w:rPr>
          <w:rFonts w:cs="Arial"/>
          <w:sz w:val="40"/>
          <w:lang w:val="en-US"/>
        </w:rPr>
      </w:pPr>
    </w:p>
    <w:p w14:paraId="35F84B81" w14:textId="1E2ACE7B" w:rsidR="00CF77F7" w:rsidRDefault="002C50EE" w:rsidP="004A448E">
      <w:pPr>
        <w:pStyle w:val="Heading2"/>
      </w:pPr>
      <w:r>
        <w:t>5.2. Фармакокинетични свойства</w:t>
      </w:r>
    </w:p>
    <w:p w14:paraId="6B4008F1" w14:textId="12A3F19A" w:rsidR="009C5C3F" w:rsidRDefault="009C5C3F" w:rsidP="009C5C3F"/>
    <w:p w14:paraId="7E21A4D5"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Леветирацетам има висока степен на разтворимост и проникване. Фармакокинетичният му профил е линеен с ниска интра-индивидуална и интер-индивидуална вариабилност. Няма промяна в клирънса след многократно приложение. Няма данни за съществена вариабилност по отношение на пола, расата и циркадния ритъм. Фармакокинетичният профил е сравним при здрави доброволци и пациенти с епилепсия.</w:t>
      </w:r>
    </w:p>
    <w:p w14:paraId="6BBD6A99"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Поради пълната и линейна абсорбция, плазмените нива могат да бъдат предвидени в зависимост от оралната доза леветирацетам изразени в </w:t>
      </w:r>
      <w:r w:rsidRPr="009C5C3F">
        <w:rPr>
          <w:rFonts w:eastAsia="Times New Roman" w:cs="Arial"/>
          <w:color w:val="000000"/>
          <w:szCs w:val="20"/>
          <w:lang w:val="en-US"/>
        </w:rPr>
        <w:t xml:space="preserve">mg/kg </w:t>
      </w:r>
      <w:r w:rsidRPr="009C5C3F">
        <w:rPr>
          <w:rFonts w:eastAsia="Times New Roman" w:cs="Arial"/>
          <w:color w:val="000000"/>
          <w:szCs w:val="20"/>
          <w:lang w:eastAsia="bg-BG"/>
        </w:rPr>
        <w:t>телесна маса. Ето защо не е необходимо следене на плазмените нива леветирацетам.</w:t>
      </w:r>
    </w:p>
    <w:p w14:paraId="5CAF6D16"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възрастни и деца е установена значима взаимовръзка между слюнчената и плазмена концентрация (съотношението слюнка/плазма по отношение на концентрацията варира от 1 до 1,7 при оралната таблетна форма и 4 часа след приема на пероралния разтвор).</w:t>
      </w:r>
    </w:p>
    <w:p w14:paraId="72C3D24D" w14:textId="77777777" w:rsidR="009C5C3F" w:rsidRDefault="009C5C3F" w:rsidP="009C5C3F">
      <w:pPr>
        <w:spacing w:line="240" w:lineRule="auto"/>
        <w:rPr>
          <w:rFonts w:eastAsia="Times New Roman" w:cs="Arial"/>
          <w:i/>
          <w:iCs/>
          <w:color w:val="000000"/>
          <w:szCs w:val="20"/>
          <w:u w:val="single"/>
          <w:lang w:eastAsia="bg-BG"/>
        </w:rPr>
      </w:pPr>
    </w:p>
    <w:p w14:paraId="50F8C86C" w14:textId="61FAEF86"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u w:val="single"/>
          <w:lang w:eastAsia="bg-BG"/>
        </w:rPr>
        <w:t>Възрастни и юноши</w:t>
      </w:r>
    </w:p>
    <w:p w14:paraId="732DB27F" w14:textId="229AD85C"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Абсорбция</w:t>
      </w:r>
    </w:p>
    <w:p w14:paraId="3B25951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Леветирацетам се абсорбира бързо след перорално приложение. Абсолютната орална бионаличност е близка до 100%. Пикови плазмени концентрации (С</w:t>
      </w:r>
      <w:r w:rsidRPr="009C5C3F">
        <w:rPr>
          <w:rFonts w:eastAsia="Times New Roman" w:cs="Arial"/>
          <w:color w:val="000000"/>
          <w:szCs w:val="20"/>
          <w:lang w:val="en-US"/>
        </w:rPr>
        <w:t>max</w:t>
      </w:r>
      <w:r w:rsidRPr="009C5C3F">
        <w:rPr>
          <w:rFonts w:eastAsia="Times New Roman" w:cs="Arial"/>
          <w:color w:val="000000"/>
          <w:szCs w:val="20"/>
          <w:lang w:eastAsia="bg-BG"/>
        </w:rPr>
        <w:t>) се достигат 1,3 часа след приема. Стационарно състояние се достига след два дни при схема на приемане 2 пъти дневно.</w:t>
      </w:r>
    </w:p>
    <w:p w14:paraId="0C32B454" w14:textId="77777777" w:rsidR="009C5C3F" w:rsidRDefault="009C5C3F" w:rsidP="009C5C3F">
      <w:pPr>
        <w:spacing w:line="240" w:lineRule="auto"/>
        <w:rPr>
          <w:rFonts w:eastAsia="Times New Roman" w:cs="Arial"/>
          <w:color w:val="000000"/>
          <w:szCs w:val="20"/>
          <w:lang w:eastAsia="bg-BG"/>
        </w:rPr>
      </w:pPr>
    </w:p>
    <w:p w14:paraId="2BD677CA" w14:textId="296B15DE"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Пиковите концентрации (Стах) са обичайно 31 μ</w:t>
      </w:r>
      <w:r w:rsidRPr="009C5C3F">
        <w:rPr>
          <w:rFonts w:eastAsia="Times New Roman" w:cs="Arial"/>
          <w:color w:val="000000"/>
          <w:szCs w:val="20"/>
          <w:lang w:val="en-US"/>
        </w:rPr>
        <w:t xml:space="preserve">g/ml </w:t>
      </w:r>
      <w:r w:rsidRPr="009C5C3F">
        <w:rPr>
          <w:rFonts w:eastAsia="Times New Roman" w:cs="Arial"/>
          <w:color w:val="000000"/>
          <w:szCs w:val="20"/>
          <w:lang w:eastAsia="bg-BG"/>
        </w:rPr>
        <w:t>и 43 μ</w:t>
      </w:r>
      <w:r w:rsidRPr="009C5C3F">
        <w:rPr>
          <w:rFonts w:eastAsia="Times New Roman" w:cs="Arial"/>
          <w:color w:val="000000"/>
          <w:szCs w:val="20"/>
          <w:lang w:val="en-US"/>
        </w:rPr>
        <w:t xml:space="preserve">g/ml </w:t>
      </w:r>
      <w:r w:rsidRPr="009C5C3F">
        <w:rPr>
          <w:rFonts w:eastAsia="Times New Roman" w:cs="Arial"/>
          <w:color w:val="000000"/>
          <w:szCs w:val="20"/>
          <w:lang w:eastAsia="bg-BG"/>
        </w:rPr>
        <w:t xml:space="preserve">съответно след еднократна доза 1 000 </w:t>
      </w:r>
      <w:r w:rsidRPr="009C5C3F">
        <w:rPr>
          <w:rFonts w:eastAsia="Times New Roman" w:cs="Arial"/>
          <w:color w:val="000000"/>
          <w:szCs w:val="20"/>
          <w:lang w:val="en-US"/>
        </w:rPr>
        <w:t xml:space="preserve">mg </w:t>
      </w:r>
      <w:r w:rsidRPr="009C5C3F">
        <w:rPr>
          <w:rFonts w:eastAsia="Times New Roman" w:cs="Arial"/>
          <w:color w:val="000000"/>
          <w:szCs w:val="20"/>
          <w:lang w:eastAsia="bg-BG"/>
        </w:rPr>
        <w:t xml:space="preserve">и многократно, два пъти дневно приложение на 1 000 </w:t>
      </w:r>
      <w:r w:rsidRPr="009C5C3F">
        <w:rPr>
          <w:rFonts w:eastAsia="Times New Roman" w:cs="Arial"/>
          <w:color w:val="000000"/>
          <w:szCs w:val="20"/>
          <w:lang w:val="en-US"/>
        </w:rPr>
        <w:t>mg.</w:t>
      </w:r>
    </w:p>
    <w:p w14:paraId="5DBE5CB1"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Степента на абсорбция не зависи от дозата и не се влияе от храната.</w:t>
      </w:r>
    </w:p>
    <w:p w14:paraId="01538D50" w14:textId="77777777" w:rsidR="009C5C3F" w:rsidRDefault="009C5C3F" w:rsidP="009C5C3F">
      <w:pPr>
        <w:spacing w:line="240" w:lineRule="auto"/>
        <w:rPr>
          <w:rFonts w:eastAsia="Times New Roman" w:cs="Arial"/>
          <w:color w:val="000000"/>
          <w:szCs w:val="20"/>
          <w:u w:val="single"/>
          <w:lang w:eastAsia="bg-BG"/>
        </w:rPr>
      </w:pPr>
    </w:p>
    <w:p w14:paraId="6AF6EA1C" w14:textId="103CA35B"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Разпределение</w:t>
      </w:r>
    </w:p>
    <w:p w14:paraId="1D801F06"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Няма данни за тъканното разпределение при хора.</w:t>
      </w:r>
    </w:p>
    <w:p w14:paraId="5732DD8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Нито леветирацетам, нито неговия първичен метаболит се свързват в значителна степен с плазмените протеини (&lt; 10%). Обема на разпределение на леветирацетам е приблизително 0,5 до 0,7</w:t>
      </w:r>
      <w:r w:rsidRPr="009C5C3F">
        <w:rPr>
          <w:rFonts w:eastAsia="Times New Roman" w:cs="Arial"/>
          <w:color w:val="000000"/>
          <w:szCs w:val="20"/>
          <w:lang w:val="en-US"/>
        </w:rPr>
        <w:t xml:space="preserve">1/kg, </w:t>
      </w:r>
      <w:r w:rsidRPr="009C5C3F">
        <w:rPr>
          <w:rFonts w:eastAsia="Times New Roman" w:cs="Arial"/>
          <w:color w:val="000000"/>
          <w:szCs w:val="20"/>
          <w:lang w:eastAsia="bg-BG"/>
        </w:rPr>
        <w:t>което е близо до общия воден обем на организма.</w:t>
      </w:r>
    </w:p>
    <w:p w14:paraId="556A6926" w14:textId="77777777"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Биотрансформация</w:t>
      </w:r>
    </w:p>
    <w:p w14:paraId="6E50CB7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не се метаболизира екстензивно при хора. Главният път на метаболизъм (24% от дозата) е ензимна хидролиза на ацетамидната група. В образуването на първичния метаболит, </w:t>
      </w:r>
      <w:proofErr w:type="spellStart"/>
      <w:r w:rsidRPr="009C5C3F">
        <w:rPr>
          <w:rFonts w:eastAsia="Times New Roman" w:cs="Arial"/>
          <w:color w:val="000000"/>
          <w:szCs w:val="20"/>
          <w:lang w:val="en-US"/>
        </w:rPr>
        <w:t>ucb</w:t>
      </w:r>
      <w:proofErr w:type="spellEnd"/>
      <w:r w:rsidRPr="009C5C3F">
        <w:rPr>
          <w:rFonts w:eastAsia="Times New Roman" w:cs="Arial"/>
          <w:color w:val="000000"/>
          <w:szCs w:val="20"/>
          <w:lang w:val="en-US"/>
        </w:rPr>
        <w:t xml:space="preserve"> L057, </w:t>
      </w:r>
      <w:r w:rsidRPr="009C5C3F">
        <w:rPr>
          <w:rFonts w:eastAsia="Times New Roman" w:cs="Arial"/>
          <w:color w:val="000000"/>
          <w:szCs w:val="20"/>
          <w:lang w:eastAsia="bg-BG"/>
        </w:rPr>
        <w:t xml:space="preserve">не участват чернодробните цитохром Р450 изоформи. Хидролизата на ацетамидната група е установена в голям брой тъкани, включително кръвни клетки. Метаболитът </w:t>
      </w:r>
      <w:proofErr w:type="spellStart"/>
      <w:r w:rsidRPr="009C5C3F">
        <w:rPr>
          <w:rFonts w:eastAsia="Times New Roman" w:cs="Arial"/>
          <w:color w:val="000000"/>
          <w:szCs w:val="20"/>
          <w:lang w:val="en-US"/>
        </w:rPr>
        <w:t>ucb</w:t>
      </w:r>
      <w:proofErr w:type="spellEnd"/>
      <w:r w:rsidRPr="009C5C3F">
        <w:rPr>
          <w:rFonts w:eastAsia="Times New Roman" w:cs="Arial"/>
          <w:color w:val="000000"/>
          <w:szCs w:val="20"/>
          <w:lang w:val="en-US"/>
        </w:rPr>
        <w:t xml:space="preserve"> L057 </w:t>
      </w:r>
      <w:r w:rsidRPr="009C5C3F">
        <w:rPr>
          <w:rFonts w:eastAsia="Times New Roman" w:cs="Arial"/>
          <w:color w:val="000000"/>
          <w:szCs w:val="20"/>
          <w:lang w:eastAsia="bg-BG"/>
        </w:rPr>
        <w:t>е фармакологично неактивен.</w:t>
      </w:r>
    </w:p>
    <w:p w14:paraId="0B5094C6" w14:textId="77777777" w:rsidR="009C5C3F" w:rsidRDefault="009C5C3F" w:rsidP="009C5C3F">
      <w:pPr>
        <w:spacing w:line="240" w:lineRule="auto"/>
        <w:rPr>
          <w:rFonts w:eastAsia="Times New Roman" w:cs="Arial"/>
          <w:color w:val="000000"/>
          <w:szCs w:val="20"/>
          <w:lang w:eastAsia="bg-BG"/>
        </w:rPr>
      </w:pPr>
    </w:p>
    <w:p w14:paraId="2C9A8D51" w14:textId="7D60F2D3"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Установени са също и два второстепенни метаболита. Единият се получава от хидроксилирането (1,6% от дозата), а другият от отварянето на пиролидоновия пръстен (0,9% от дозата). Другите неидентифицирани компоненти са само 0,6% от дозата.</w:t>
      </w:r>
    </w:p>
    <w:p w14:paraId="402C2448"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val="en-US"/>
        </w:rPr>
        <w:t>In vivo</w:t>
      </w:r>
      <w:r w:rsidRPr="009C5C3F">
        <w:rPr>
          <w:rFonts w:eastAsia="Times New Roman" w:cs="Arial"/>
          <w:color w:val="000000"/>
          <w:szCs w:val="20"/>
          <w:lang w:val="en-US"/>
        </w:rPr>
        <w:t xml:space="preserve"> </w:t>
      </w:r>
      <w:r w:rsidRPr="009C5C3F">
        <w:rPr>
          <w:rFonts w:eastAsia="Times New Roman" w:cs="Arial"/>
          <w:color w:val="000000"/>
          <w:szCs w:val="20"/>
          <w:lang w:eastAsia="bg-BG"/>
        </w:rPr>
        <w:t>не е установена вътрешна конверсия на енантиомерите както на леветирацетам, така и на неговия първичен метаболит.</w:t>
      </w:r>
    </w:p>
    <w:p w14:paraId="0EF52087" w14:textId="77777777" w:rsidR="009C5C3F" w:rsidRDefault="009C5C3F" w:rsidP="009C5C3F">
      <w:pPr>
        <w:rPr>
          <w:rFonts w:eastAsia="Times New Roman" w:cs="Arial"/>
          <w:i/>
          <w:iCs/>
          <w:color w:val="000000"/>
          <w:szCs w:val="20"/>
          <w:lang w:val="en-US"/>
        </w:rPr>
      </w:pPr>
    </w:p>
    <w:p w14:paraId="4B81DACD" w14:textId="77777777" w:rsidR="009C5C3F" w:rsidRDefault="009C5C3F" w:rsidP="009C5C3F">
      <w:pPr>
        <w:rPr>
          <w:rFonts w:eastAsia="Times New Roman" w:cs="Arial"/>
          <w:color w:val="000000"/>
          <w:szCs w:val="20"/>
          <w:lang w:eastAsia="bg-BG"/>
        </w:rPr>
      </w:pPr>
      <w:r w:rsidRPr="009C5C3F">
        <w:rPr>
          <w:rFonts w:eastAsia="Times New Roman" w:cs="Arial"/>
          <w:i/>
          <w:iCs/>
          <w:color w:val="000000"/>
          <w:szCs w:val="20"/>
          <w:lang w:val="en-US"/>
        </w:rPr>
        <w:t>In vitro,</w:t>
      </w:r>
      <w:r w:rsidRPr="009C5C3F">
        <w:rPr>
          <w:rFonts w:eastAsia="Times New Roman" w:cs="Arial"/>
          <w:color w:val="000000"/>
          <w:szCs w:val="20"/>
          <w:lang w:val="en-US"/>
        </w:rPr>
        <w:t xml:space="preserve"> </w:t>
      </w:r>
      <w:r w:rsidRPr="009C5C3F">
        <w:rPr>
          <w:rFonts w:eastAsia="Times New Roman" w:cs="Arial"/>
          <w:color w:val="000000"/>
          <w:szCs w:val="20"/>
          <w:lang w:eastAsia="bg-BG"/>
        </w:rPr>
        <w:t xml:space="preserve">леветирацетам и неговият първичен метаболит не инхибират изоформите на главния чернодробен комплекс у хората - цитохром Р450 </w:t>
      </w:r>
      <w:r w:rsidRPr="009C5C3F">
        <w:rPr>
          <w:rFonts w:eastAsia="Times New Roman" w:cs="Arial"/>
          <w:color w:val="000000"/>
          <w:szCs w:val="20"/>
          <w:lang w:val="en-US"/>
        </w:rPr>
        <w:t xml:space="preserve">(CYP3A4, </w:t>
      </w:r>
      <w:r w:rsidRPr="009C5C3F">
        <w:rPr>
          <w:rFonts w:eastAsia="Times New Roman" w:cs="Arial"/>
          <w:color w:val="000000"/>
          <w:szCs w:val="20"/>
          <w:lang w:eastAsia="bg-BG"/>
        </w:rPr>
        <w:t>2А6, 2С9, 2С19,</w:t>
      </w:r>
    </w:p>
    <w:p w14:paraId="699A1379" w14:textId="77777777" w:rsidR="009C5C3F" w:rsidRPr="009C5C3F" w:rsidRDefault="009C5C3F" w:rsidP="009C5C3F">
      <w:pPr>
        <w:rPr>
          <w:rFonts w:eastAsia="Times New Roman" w:cs="Arial"/>
          <w:sz w:val="28"/>
          <w:szCs w:val="24"/>
          <w:lang w:eastAsia="bg-BG"/>
        </w:rPr>
      </w:pPr>
      <w:r w:rsidRPr="009C5C3F">
        <w:rPr>
          <w:rFonts w:eastAsia="Times New Roman" w:cs="Arial"/>
          <w:color w:val="000000"/>
          <w:szCs w:val="20"/>
          <w:lang w:val="en-US"/>
        </w:rPr>
        <w:t>2D6</w:t>
      </w:r>
      <w:proofErr w:type="gramStart"/>
      <w:r w:rsidRPr="009C5C3F">
        <w:rPr>
          <w:rFonts w:eastAsia="Times New Roman" w:cs="Arial"/>
          <w:color w:val="000000"/>
          <w:szCs w:val="20"/>
          <w:lang w:val="en-US"/>
        </w:rPr>
        <w:t>,</w:t>
      </w:r>
      <w:r w:rsidRPr="009C5C3F">
        <w:rPr>
          <w:rFonts w:eastAsia="Times New Roman" w:cs="Arial"/>
          <w:color w:val="000000"/>
          <w:szCs w:val="20"/>
          <w:lang w:eastAsia="bg-BG"/>
        </w:rPr>
        <w:t>2Е1</w:t>
      </w:r>
      <w:proofErr w:type="gramEnd"/>
      <w:r w:rsidRPr="009C5C3F">
        <w:rPr>
          <w:rFonts w:eastAsia="Times New Roman" w:cs="Arial"/>
          <w:color w:val="000000"/>
          <w:szCs w:val="20"/>
          <w:lang w:eastAsia="bg-BG"/>
        </w:rPr>
        <w:t xml:space="preserve"> и 1А2),</w:t>
      </w:r>
      <w:r w:rsidRPr="009C5C3F">
        <w:rPr>
          <w:rFonts w:eastAsia="Times New Roman" w:cs="Arial"/>
          <w:i/>
          <w:iCs/>
          <w:color w:val="000000"/>
          <w:szCs w:val="20"/>
          <w:lang w:eastAsia="bg-BG"/>
        </w:rPr>
        <w:t xml:space="preserve"> </w:t>
      </w:r>
      <w:r w:rsidRPr="009C5C3F">
        <w:rPr>
          <w:rFonts w:eastAsia="Times New Roman" w:cs="Arial"/>
          <w:color w:val="000000"/>
          <w:szCs w:val="20"/>
          <w:lang w:eastAsia="bg-BG"/>
        </w:rPr>
        <w:t>глюкоронил трансферазата(</w:t>
      </w:r>
      <w:r w:rsidRPr="009C5C3F">
        <w:rPr>
          <w:rFonts w:eastAsia="Times New Roman" w:cs="Arial"/>
          <w:color w:val="000000"/>
          <w:szCs w:val="20"/>
          <w:lang w:val="en-US"/>
        </w:rPr>
        <w:t>UG</w:t>
      </w:r>
      <w:r w:rsidRPr="009C5C3F">
        <w:rPr>
          <w:rFonts w:eastAsia="Times New Roman" w:cs="Arial"/>
          <w:color w:val="000000"/>
          <w:szCs w:val="20"/>
          <w:lang w:eastAsia="bg-BG"/>
        </w:rPr>
        <w:t xml:space="preserve">Т1А1 и </w:t>
      </w:r>
      <w:r w:rsidRPr="009C5C3F">
        <w:rPr>
          <w:rFonts w:eastAsia="Times New Roman" w:cs="Arial"/>
          <w:color w:val="000000"/>
          <w:szCs w:val="20"/>
          <w:lang w:val="en-US"/>
        </w:rPr>
        <w:t xml:space="preserve">UGT1A6) </w:t>
      </w:r>
      <w:r w:rsidRPr="009C5C3F">
        <w:rPr>
          <w:rFonts w:eastAsia="Times New Roman" w:cs="Arial"/>
          <w:color w:val="000000"/>
          <w:szCs w:val="20"/>
          <w:lang w:eastAsia="bg-BG"/>
        </w:rPr>
        <w:t>и епоксид хидроксилазната активност. В</w:t>
      </w:r>
      <w:r>
        <w:rPr>
          <w:rFonts w:eastAsia="Times New Roman" w:cs="Arial"/>
          <w:color w:val="000000"/>
          <w:szCs w:val="20"/>
          <w:lang w:val="en-US" w:eastAsia="bg-BG"/>
        </w:rPr>
        <w:t xml:space="preserve"> </w:t>
      </w:r>
      <w:r w:rsidRPr="009C5C3F">
        <w:rPr>
          <w:rFonts w:eastAsia="Times New Roman" w:cs="Arial"/>
          <w:color w:val="000000"/>
          <w:szCs w:val="20"/>
          <w:lang w:eastAsia="bg-BG"/>
        </w:rPr>
        <w:t xml:space="preserve">допълнение, леветирацетам не въздейства </w:t>
      </w:r>
      <w:r w:rsidRPr="009C5C3F">
        <w:rPr>
          <w:rFonts w:eastAsia="Times New Roman" w:cs="Arial"/>
          <w:i/>
          <w:iCs/>
          <w:color w:val="000000"/>
          <w:szCs w:val="20"/>
          <w:lang w:val="en-US"/>
        </w:rPr>
        <w:t>in vitro</w:t>
      </w:r>
      <w:r w:rsidRPr="009C5C3F">
        <w:rPr>
          <w:rFonts w:eastAsia="Times New Roman" w:cs="Arial"/>
          <w:color w:val="000000"/>
          <w:szCs w:val="20"/>
          <w:lang w:val="en-US"/>
        </w:rPr>
        <w:t xml:space="preserve"> </w:t>
      </w:r>
      <w:r w:rsidRPr="009C5C3F">
        <w:rPr>
          <w:rFonts w:eastAsia="Times New Roman" w:cs="Arial"/>
          <w:color w:val="000000"/>
          <w:szCs w:val="20"/>
          <w:lang w:eastAsia="bg-BG"/>
        </w:rPr>
        <w:t>върху глюкуронирането на валпроева киселина.</w:t>
      </w:r>
    </w:p>
    <w:p w14:paraId="40F9E393" w14:textId="77777777" w:rsidR="009C5C3F" w:rsidRDefault="009C5C3F" w:rsidP="009C5C3F">
      <w:pPr>
        <w:spacing w:line="240" w:lineRule="auto"/>
        <w:rPr>
          <w:rFonts w:eastAsia="Times New Roman" w:cs="Arial"/>
          <w:color w:val="000000"/>
          <w:szCs w:val="20"/>
          <w:lang w:eastAsia="bg-BG"/>
        </w:rPr>
      </w:pPr>
    </w:p>
    <w:p w14:paraId="56E9F587" w14:textId="36FDC84C"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В култури от човешки хепатоцити леветирацетам оказва слаб или никакъв ефект върху </w:t>
      </w:r>
      <w:r w:rsidRPr="009C5C3F">
        <w:rPr>
          <w:rFonts w:eastAsia="Times New Roman" w:cs="Arial"/>
          <w:color w:val="000000"/>
          <w:szCs w:val="20"/>
          <w:lang w:val="en-US"/>
        </w:rPr>
        <w:t xml:space="preserve">CYP1A2, SULT1E1 </w:t>
      </w:r>
      <w:r w:rsidRPr="009C5C3F">
        <w:rPr>
          <w:rFonts w:eastAsia="Times New Roman" w:cs="Arial"/>
          <w:color w:val="000000"/>
          <w:szCs w:val="20"/>
          <w:lang w:eastAsia="bg-BG"/>
        </w:rPr>
        <w:t xml:space="preserve">или </w:t>
      </w:r>
      <w:r w:rsidRPr="009C5C3F">
        <w:rPr>
          <w:rFonts w:eastAsia="Times New Roman" w:cs="Arial"/>
          <w:color w:val="000000"/>
          <w:szCs w:val="20"/>
          <w:lang w:val="en-US"/>
        </w:rPr>
        <w:t xml:space="preserve">UGT1A1. </w:t>
      </w:r>
      <w:r w:rsidRPr="009C5C3F">
        <w:rPr>
          <w:rFonts w:eastAsia="Times New Roman" w:cs="Arial"/>
          <w:color w:val="000000"/>
          <w:szCs w:val="20"/>
          <w:lang w:eastAsia="bg-BG"/>
        </w:rPr>
        <w:t xml:space="preserve">Леветирацетам слабо индуцира </w:t>
      </w:r>
      <w:r w:rsidRPr="009C5C3F">
        <w:rPr>
          <w:rFonts w:eastAsia="Times New Roman" w:cs="Arial"/>
          <w:color w:val="000000"/>
          <w:szCs w:val="20"/>
          <w:lang w:val="en-US"/>
        </w:rPr>
        <w:t xml:space="preserve">CYP2B6 </w:t>
      </w:r>
      <w:r w:rsidRPr="009C5C3F">
        <w:rPr>
          <w:rFonts w:eastAsia="Times New Roman" w:cs="Arial"/>
          <w:color w:val="000000"/>
          <w:szCs w:val="20"/>
          <w:lang w:eastAsia="bg-BG"/>
        </w:rPr>
        <w:t xml:space="preserve">и </w:t>
      </w:r>
      <w:r w:rsidRPr="009C5C3F">
        <w:rPr>
          <w:rFonts w:eastAsia="Times New Roman" w:cs="Arial"/>
          <w:color w:val="000000"/>
          <w:szCs w:val="20"/>
          <w:lang w:val="en-US"/>
        </w:rPr>
        <w:t xml:space="preserve">CYP3A4. </w:t>
      </w:r>
      <w:r w:rsidRPr="009C5C3F">
        <w:rPr>
          <w:rFonts w:eastAsia="Times New Roman" w:cs="Arial"/>
          <w:i/>
          <w:iCs/>
          <w:color w:val="000000"/>
          <w:szCs w:val="20"/>
          <w:lang w:val="en-US"/>
        </w:rPr>
        <w:t xml:space="preserve">In vitro </w:t>
      </w:r>
      <w:r w:rsidRPr="009C5C3F">
        <w:rPr>
          <w:rFonts w:eastAsia="Times New Roman" w:cs="Arial"/>
          <w:color w:val="000000"/>
          <w:szCs w:val="20"/>
          <w:lang w:eastAsia="bg-BG"/>
        </w:rPr>
        <w:t xml:space="preserve">данните и </w:t>
      </w:r>
      <w:r w:rsidRPr="009C5C3F">
        <w:rPr>
          <w:rFonts w:eastAsia="Times New Roman" w:cs="Arial"/>
          <w:i/>
          <w:iCs/>
          <w:color w:val="000000"/>
          <w:szCs w:val="20"/>
          <w:lang w:val="en-US"/>
        </w:rPr>
        <w:t>in vivo</w:t>
      </w:r>
      <w:r w:rsidRPr="009C5C3F">
        <w:rPr>
          <w:rFonts w:eastAsia="Times New Roman" w:cs="Arial"/>
          <w:color w:val="000000"/>
          <w:szCs w:val="20"/>
          <w:lang w:val="en-US"/>
        </w:rPr>
        <w:t xml:space="preserve"> </w:t>
      </w:r>
      <w:r w:rsidRPr="009C5C3F">
        <w:rPr>
          <w:rFonts w:eastAsia="Times New Roman" w:cs="Arial"/>
          <w:color w:val="000000"/>
          <w:szCs w:val="20"/>
          <w:lang w:eastAsia="bg-BG"/>
        </w:rPr>
        <w:t xml:space="preserve">данните за взаимодействия с пероралните контрацептиви, дигоксин и варфарин показват, че </w:t>
      </w:r>
      <w:r w:rsidRPr="009C5C3F">
        <w:rPr>
          <w:rFonts w:eastAsia="Times New Roman" w:cs="Arial"/>
          <w:i/>
          <w:iCs/>
          <w:color w:val="000000"/>
          <w:szCs w:val="20"/>
          <w:lang w:val="en-US"/>
        </w:rPr>
        <w:t>in vivo</w:t>
      </w:r>
      <w:r w:rsidRPr="009C5C3F">
        <w:rPr>
          <w:rFonts w:eastAsia="Times New Roman" w:cs="Arial"/>
          <w:color w:val="000000"/>
          <w:szCs w:val="20"/>
          <w:lang w:val="en-US"/>
        </w:rPr>
        <w:t xml:space="preserve"> </w:t>
      </w:r>
      <w:r w:rsidRPr="009C5C3F">
        <w:rPr>
          <w:rFonts w:eastAsia="Times New Roman" w:cs="Arial"/>
          <w:color w:val="000000"/>
          <w:szCs w:val="20"/>
          <w:lang w:eastAsia="bg-BG"/>
        </w:rPr>
        <w:t>не се очаква значимо индуциране на ензими. Затова малко вероятно е взаимодействие на леветирацетам с други вещества.</w:t>
      </w:r>
    </w:p>
    <w:p w14:paraId="035C43E7" w14:textId="77777777" w:rsidR="009C5C3F" w:rsidRDefault="009C5C3F" w:rsidP="009C5C3F">
      <w:pPr>
        <w:spacing w:line="240" w:lineRule="auto"/>
        <w:rPr>
          <w:rFonts w:eastAsia="Times New Roman" w:cs="Arial"/>
          <w:color w:val="000000"/>
          <w:szCs w:val="20"/>
          <w:u w:val="single"/>
          <w:lang w:eastAsia="bg-BG"/>
        </w:rPr>
      </w:pPr>
    </w:p>
    <w:p w14:paraId="687D1D73" w14:textId="4D9C61AF" w:rsidR="009C5C3F" w:rsidRPr="00193A01" w:rsidRDefault="009C5C3F" w:rsidP="00193A01">
      <w:pPr>
        <w:pStyle w:val="Heading3"/>
        <w:rPr>
          <w:rFonts w:eastAsia="Times New Roman"/>
          <w:sz w:val="28"/>
          <w:u w:val="single"/>
          <w:lang w:eastAsia="bg-BG"/>
        </w:rPr>
      </w:pPr>
      <w:r w:rsidRPr="00193A01">
        <w:rPr>
          <w:rFonts w:eastAsia="Times New Roman"/>
          <w:u w:val="single"/>
          <w:lang w:eastAsia="bg-BG"/>
        </w:rPr>
        <w:t>Елиминиране</w:t>
      </w:r>
    </w:p>
    <w:p w14:paraId="22DFA3B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Плазменият полуживот при възрастни е 7±1 часа и не варира в зависимост от дозата, пътя на прилагане и многократния прием. Средният общ телесен клирънс е 0,96 </w:t>
      </w:r>
      <w:r w:rsidRPr="009C5C3F">
        <w:rPr>
          <w:rFonts w:eastAsia="Times New Roman" w:cs="Arial"/>
          <w:color w:val="000000"/>
          <w:szCs w:val="20"/>
          <w:lang w:val="en-US"/>
        </w:rPr>
        <w:t>ml/min/kg.</w:t>
      </w:r>
    </w:p>
    <w:p w14:paraId="41D4DE5C" w14:textId="77777777" w:rsidR="009C5C3F" w:rsidRDefault="009C5C3F" w:rsidP="009C5C3F">
      <w:pPr>
        <w:spacing w:line="240" w:lineRule="auto"/>
        <w:rPr>
          <w:rFonts w:eastAsia="Times New Roman" w:cs="Arial"/>
          <w:color w:val="000000"/>
          <w:szCs w:val="20"/>
          <w:lang w:eastAsia="bg-BG"/>
        </w:rPr>
      </w:pPr>
    </w:p>
    <w:p w14:paraId="78985C46" w14:textId="05A5B9C8"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Главният път на екскреция е чрез урината за средно 95% от дозата (приблизително 93% от приетата доза се отделят в рамките на 48 часа). Отделянето чрез изпражненията </w:t>
      </w:r>
      <w:r w:rsidRPr="009C5C3F">
        <w:rPr>
          <w:rFonts w:eastAsia="Times New Roman" w:cs="Arial"/>
          <w:i/>
          <w:iCs/>
          <w:color w:val="000000"/>
          <w:szCs w:val="20"/>
          <w:lang w:eastAsia="bg-BG"/>
        </w:rPr>
        <w:t>е</w:t>
      </w:r>
      <w:r w:rsidRPr="009C5C3F">
        <w:rPr>
          <w:rFonts w:eastAsia="Times New Roman" w:cs="Arial"/>
          <w:color w:val="000000"/>
          <w:szCs w:val="20"/>
          <w:lang w:eastAsia="bg-BG"/>
        </w:rPr>
        <w:t xml:space="preserve"> само за 0,3% от дозата.</w:t>
      </w:r>
    </w:p>
    <w:p w14:paraId="62601C9D" w14:textId="77777777" w:rsidR="009C5C3F" w:rsidRDefault="009C5C3F" w:rsidP="009C5C3F">
      <w:pPr>
        <w:spacing w:line="240" w:lineRule="auto"/>
        <w:rPr>
          <w:rFonts w:eastAsia="Times New Roman" w:cs="Arial"/>
          <w:color w:val="000000"/>
          <w:szCs w:val="20"/>
          <w:lang w:eastAsia="bg-BG"/>
        </w:rPr>
      </w:pPr>
    </w:p>
    <w:p w14:paraId="0818DD7F" w14:textId="1E634BD0"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Кумулативната екскреция чрез урината на леветирацетам и неговия първичен метаболит е съответно 66% и 24% през първите 48 часа.</w:t>
      </w:r>
    </w:p>
    <w:p w14:paraId="3CF6128D"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Реналният клирънс на леветирацетам и </w:t>
      </w:r>
      <w:proofErr w:type="spellStart"/>
      <w:r w:rsidRPr="009C5C3F">
        <w:rPr>
          <w:rFonts w:eastAsia="Times New Roman" w:cs="Arial"/>
          <w:color w:val="000000"/>
          <w:szCs w:val="20"/>
          <w:lang w:val="en-US"/>
        </w:rPr>
        <w:t>ucb</w:t>
      </w:r>
      <w:proofErr w:type="spellEnd"/>
      <w:r w:rsidRPr="009C5C3F">
        <w:rPr>
          <w:rFonts w:eastAsia="Times New Roman" w:cs="Arial"/>
          <w:color w:val="000000"/>
          <w:szCs w:val="20"/>
          <w:lang w:val="en-US"/>
        </w:rPr>
        <w:t xml:space="preserve"> L057 </w:t>
      </w:r>
      <w:r w:rsidRPr="009C5C3F">
        <w:rPr>
          <w:rFonts w:eastAsia="Times New Roman" w:cs="Arial"/>
          <w:color w:val="000000"/>
          <w:szCs w:val="20"/>
          <w:lang w:eastAsia="bg-BG"/>
        </w:rPr>
        <w:t xml:space="preserve">е съответно 0,6 и 4,2 </w:t>
      </w:r>
      <w:r w:rsidRPr="009C5C3F">
        <w:rPr>
          <w:rFonts w:eastAsia="Times New Roman" w:cs="Arial"/>
          <w:color w:val="000000"/>
          <w:szCs w:val="20"/>
          <w:lang w:val="en-US"/>
        </w:rPr>
        <w:t xml:space="preserve">ml/min/kg </w:t>
      </w:r>
      <w:r w:rsidRPr="009C5C3F">
        <w:rPr>
          <w:rFonts w:eastAsia="Times New Roman" w:cs="Arial"/>
          <w:color w:val="000000"/>
          <w:szCs w:val="20"/>
          <w:lang w:eastAsia="bg-BG"/>
        </w:rPr>
        <w:t>и показва, че леветирацетам се отделя чрез гломерулна филтрация с последваща тубулна реабсорбция, и че първичният метаболит също се отделя чрез тубулна секреция в допълнение на гломерулната филтрация.</w:t>
      </w:r>
    </w:p>
    <w:p w14:paraId="473274A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Отделянето на леветирацетам корелира с креатининовия клирънс.</w:t>
      </w:r>
    </w:p>
    <w:p w14:paraId="75B5A8CD" w14:textId="77777777" w:rsidR="009C5C3F" w:rsidRDefault="009C5C3F" w:rsidP="009C5C3F">
      <w:pPr>
        <w:spacing w:line="240" w:lineRule="auto"/>
        <w:rPr>
          <w:rFonts w:eastAsia="Times New Roman" w:cs="Arial"/>
          <w:color w:val="000000"/>
          <w:szCs w:val="20"/>
          <w:u w:val="single"/>
          <w:lang w:eastAsia="bg-BG"/>
        </w:rPr>
      </w:pPr>
    </w:p>
    <w:p w14:paraId="75B204CE" w14:textId="1C3699C4"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Старческа възраст</w:t>
      </w:r>
    </w:p>
    <w:p w14:paraId="496F4062"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пациенти в старческа възраст полуживотът е увеличен с около 40% (10 до 11 часа). Това е свързано с намаляване на бъбречната функция при тази популация (вж. точка 4.2).</w:t>
      </w:r>
    </w:p>
    <w:p w14:paraId="5532DEED" w14:textId="77777777" w:rsidR="009C5C3F" w:rsidRDefault="009C5C3F" w:rsidP="009C5C3F">
      <w:pPr>
        <w:spacing w:line="240" w:lineRule="auto"/>
        <w:rPr>
          <w:rFonts w:eastAsia="Times New Roman" w:cs="Arial"/>
          <w:color w:val="000000"/>
          <w:szCs w:val="20"/>
          <w:u w:val="single"/>
          <w:lang w:eastAsia="bg-BG"/>
        </w:rPr>
      </w:pPr>
    </w:p>
    <w:p w14:paraId="4C05B8A8" w14:textId="5519ADF1"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Бъбречно увреждане</w:t>
      </w:r>
    </w:p>
    <w:p w14:paraId="367851B9" w14:textId="1B9F04EA" w:rsidR="009C5C3F" w:rsidRDefault="009C5C3F" w:rsidP="009C5C3F">
      <w:pPr>
        <w:rPr>
          <w:rFonts w:eastAsia="Times New Roman" w:cs="Arial"/>
          <w:color w:val="000000"/>
          <w:szCs w:val="20"/>
          <w:lang w:eastAsia="bg-BG"/>
        </w:rPr>
      </w:pPr>
      <w:r w:rsidRPr="009C5C3F">
        <w:rPr>
          <w:rFonts w:eastAsia="Times New Roman" w:cs="Arial"/>
          <w:color w:val="000000"/>
          <w:szCs w:val="20"/>
          <w:lang w:eastAsia="bg-BG"/>
        </w:rPr>
        <w:t>Привидният телесен клирънс на леветирацетам и неговия първичен метаболит корелира с креатининовия клирънс. Ето защо се препоръчва адаптиране на поддържащата дневна доза на Леветирацетам Стада на базата на креатининовия клирънс при пациенти със средно до тежко бъбречно увреждане (вж. точка 4.2).</w:t>
      </w:r>
    </w:p>
    <w:p w14:paraId="450BE1EC" w14:textId="00C83FFB" w:rsidR="009C5C3F" w:rsidRDefault="009C5C3F" w:rsidP="009C5C3F">
      <w:pPr>
        <w:rPr>
          <w:rFonts w:eastAsia="Times New Roman" w:cs="Arial"/>
          <w:color w:val="000000"/>
          <w:szCs w:val="20"/>
          <w:lang w:eastAsia="bg-BG"/>
        </w:rPr>
      </w:pPr>
    </w:p>
    <w:p w14:paraId="1FF386D8"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пациенти в краен стадий на бъбречна недостатъчност с анурия, полуживотът е приблизително 25 и 3,1 часа съответно през интердиализния и интрадиализния период.</w:t>
      </w:r>
    </w:p>
    <w:p w14:paraId="5C88BDD9"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По време на обичайната 4-ри часова диализна процедура фракционно се отделят 51% от леветирацетам.</w:t>
      </w:r>
    </w:p>
    <w:p w14:paraId="7F1BA6FF" w14:textId="77777777" w:rsidR="009C5C3F" w:rsidRDefault="009C5C3F" w:rsidP="009C5C3F">
      <w:pPr>
        <w:spacing w:line="240" w:lineRule="auto"/>
        <w:rPr>
          <w:rFonts w:eastAsia="Times New Roman" w:cs="Arial"/>
          <w:color w:val="000000"/>
          <w:szCs w:val="20"/>
          <w:u w:val="single"/>
          <w:lang w:eastAsia="bg-BG"/>
        </w:rPr>
      </w:pPr>
    </w:p>
    <w:p w14:paraId="04E807B6" w14:textId="6FE35408"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Чернодробно увреждане</w:t>
      </w:r>
    </w:p>
    <w:p w14:paraId="547C930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При пациенти с лека до умерена степен на чернодробно увреждане не се наблюдава значителна промяна в клирънса на леветирацетам. При повечето пациенти с тежка степен на чернодробно увреждане клирънсът на леветирацетам е намален с повече от 50% поради съпътстващо бъбречно увреждане (вж. точка 4.2).</w:t>
      </w:r>
    </w:p>
    <w:p w14:paraId="25880F71" w14:textId="77777777" w:rsidR="009C5C3F" w:rsidRDefault="009C5C3F" w:rsidP="009C5C3F">
      <w:pPr>
        <w:spacing w:line="240" w:lineRule="auto"/>
        <w:rPr>
          <w:rFonts w:eastAsia="Times New Roman" w:cs="Arial"/>
          <w:color w:val="000000"/>
          <w:szCs w:val="20"/>
          <w:u w:val="single"/>
          <w:lang w:eastAsia="bg-BG"/>
        </w:rPr>
      </w:pPr>
    </w:p>
    <w:p w14:paraId="4A2253EE" w14:textId="62E27AA6"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Педиатрична популация</w:t>
      </w:r>
    </w:p>
    <w:p w14:paraId="21FAB51E"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i/>
          <w:iCs/>
          <w:color w:val="000000"/>
          <w:szCs w:val="20"/>
          <w:lang w:eastAsia="bg-BG"/>
        </w:rPr>
        <w:t>Деца (4 до 12 години)</w:t>
      </w:r>
    </w:p>
    <w:p w14:paraId="2A0309B4"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След приемане на единична доза (20 </w:t>
      </w:r>
      <w:r w:rsidRPr="009C5C3F">
        <w:rPr>
          <w:rFonts w:eastAsia="Times New Roman" w:cs="Arial"/>
          <w:color w:val="000000"/>
          <w:szCs w:val="20"/>
          <w:lang w:val="en-US"/>
        </w:rPr>
        <w:t xml:space="preserve">mg/kg) </w:t>
      </w:r>
      <w:r w:rsidRPr="009C5C3F">
        <w:rPr>
          <w:rFonts w:eastAsia="Times New Roman" w:cs="Arial"/>
          <w:color w:val="000000"/>
          <w:szCs w:val="20"/>
          <w:lang w:eastAsia="bg-BG"/>
        </w:rPr>
        <w:t>от деца (6-12 години) с епилепсия, полуживотът на леветирацетам е 6,0 часа. Привидният коригиран към телесното тегло клирънс е приблизително с 30% по-висок от този на възрастни с епилепсия.</w:t>
      </w:r>
    </w:p>
    <w:p w14:paraId="701C2C17" w14:textId="77777777" w:rsidR="009C5C3F" w:rsidRPr="009C5C3F" w:rsidRDefault="009C5C3F" w:rsidP="009C5C3F">
      <w:pPr>
        <w:rPr>
          <w:rFonts w:eastAsia="Times New Roman" w:cs="Arial"/>
          <w:sz w:val="28"/>
          <w:szCs w:val="24"/>
          <w:lang w:eastAsia="bg-BG"/>
        </w:rPr>
      </w:pPr>
      <w:r w:rsidRPr="009C5C3F">
        <w:rPr>
          <w:rFonts w:eastAsia="Times New Roman" w:cs="Arial"/>
          <w:color w:val="000000"/>
          <w:szCs w:val="20"/>
          <w:lang w:eastAsia="bg-BG"/>
        </w:rPr>
        <w:t xml:space="preserve">След многократно перорално приложение (20 до 60 </w:t>
      </w:r>
      <w:r w:rsidRPr="009C5C3F">
        <w:rPr>
          <w:rFonts w:eastAsia="Times New Roman" w:cs="Arial"/>
          <w:color w:val="000000"/>
          <w:szCs w:val="20"/>
          <w:lang w:val="en-US"/>
        </w:rPr>
        <w:t>mg/kg</w:t>
      </w:r>
      <w:r w:rsidRPr="009C5C3F">
        <w:rPr>
          <w:rFonts w:eastAsia="Times New Roman" w:cs="Arial"/>
          <w:color w:val="000000"/>
          <w:szCs w:val="20"/>
          <w:lang w:eastAsia="bg-BG"/>
        </w:rPr>
        <w:t>/дневно) при деца с епилепсия</w:t>
      </w:r>
      <w:r w:rsidRPr="009C5C3F">
        <w:rPr>
          <w:rFonts w:eastAsia="Times New Roman" w:cs="Arial"/>
          <w:color w:val="000000"/>
          <w:szCs w:val="20"/>
          <w:lang w:val="en-US"/>
        </w:rPr>
        <w:t xml:space="preserve"> (4-12</w:t>
      </w:r>
      <w:r w:rsidRPr="009C5C3F">
        <w:rPr>
          <w:rFonts w:eastAsia="Times New Roman" w:cs="Arial"/>
          <w:color w:val="000000"/>
          <w:szCs w:val="20"/>
          <w:lang w:eastAsia="bg-BG"/>
        </w:rPr>
        <w:t xml:space="preserve"> години), леветирацетам се абсорбира бързо. Пикови плазмени концентрации се достигат 0,5 до</w:t>
      </w:r>
      <w:r>
        <w:rPr>
          <w:rFonts w:eastAsia="Times New Roman" w:cs="Arial"/>
          <w:color w:val="000000"/>
          <w:szCs w:val="20"/>
          <w:lang w:val="en-US" w:eastAsia="bg-BG"/>
        </w:rPr>
        <w:t xml:space="preserve"> </w:t>
      </w:r>
      <w:r w:rsidRPr="009C5C3F">
        <w:rPr>
          <w:rFonts w:eastAsia="Times New Roman" w:cs="Arial"/>
          <w:color w:val="000000"/>
          <w:szCs w:val="20"/>
          <w:lang w:eastAsia="bg-BG"/>
        </w:rPr>
        <w:t xml:space="preserve">1 час след приема. Наблюдавано е линейно и пропорционално на дозата повишаване за пиковите плазмени концентрации и площта под кривата. Полуживотът е около 5 часа. Привидният телесен клирънс е 1,1 </w:t>
      </w:r>
      <w:r w:rsidRPr="009C5C3F">
        <w:rPr>
          <w:rFonts w:eastAsia="Times New Roman" w:cs="Arial"/>
          <w:color w:val="000000"/>
          <w:szCs w:val="20"/>
          <w:lang w:val="en-US"/>
        </w:rPr>
        <w:t>ml/min/kg.</w:t>
      </w:r>
    </w:p>
    <w:p w14:paraId="348AC6A4" w14:textId="77777777" w:rsidR="009C5C3F" w:rsidRDefault="009C5C3F" w:rsidP="009C5C3F">
      <w:pPr>
        <w:spacing w:line="240" w:lineRule="auto"/>
        <w:rPr>
          <w:rFonts w:eastAsia="Times New Roman" w:cs="Arial"/>
          <w:color w:val="000000"/>
          <w:szCs w:val="20"/>
          <w:u w:val="single"/>
          <w:lang w:eastAsia="bg-BG"/>
        </w:rPr>
      </w:pPr>
    </w:p>
    <w:p w14:paraId="03D45516" w14:textId="48CE7C7E"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u w:val="single"/>
          <w:lang w:eastAsia="bg-BG"/>
        </w:rPr>
        <w:t>Кърмачета и деца (от 1 месец до 4 години)</w:t>
      </w:r>
    </w:p>
    <w:p w14:paraId="03D0E1AC"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След приложението на единична доза (20 </w:t>
      </w:r>
      <w:r w:rsidRPr="009C5C3F">
        <w:rPr>
          <w:rFonts w:eastAsia="Times New Roman" w:cs="Arial"/>
          <w:color w:val="000000"/>
          <w:szCs w:val="20"/>
          <w:lang w:val="en-US"/>
        </w:rPr>
        <w:t xml:space="preserve">mg/kg) </w:t>
      </w:r>
      <w:r w:rsidRPr="009C5C3F">
        <w:rPr>
          <w:rFonts w:eastAsia="Times New Roman" w:cs="Arial"/>
          <w:color w:val="000000"/>
          <w:szCs w:val="20"/>
          <w:lang w:eastAsia="bg-BG"/>
        </w:rPr>
        <w:t xml:space="preserve">на 100 </w:t>
      </w:r>
      <w:r w:rsidRPr="009C5C3F">
        <w:rPr>
          <w:rFonts w:eastAsia="Times New Roman" w:cs="Arial"/>
          <w:color w:val="000000"/>
          <w:szCs w:val="20"/>
          <w:lang w:val="en-US"/>
        </w:rPr>
        <w:t xml:space="preserve">mg/ml </w:t>
      </w:r>
      <w:r w:rsidRPr="009C5C3F">
        <w:rPr>
          <w:rFonts w:eastAsia="Times New Roman" w:cs="Arial"/>
          <w:color w:val="000000"/>
          <w:szCs w:val="20"/>
          <w:lang w:eastAsia="bg-BG"/>
        </w:rPr>
        <w:t xml:space="preserve">перорален разтвор при деца (от 1 месец до 4 години) с епилепсия, леветирацетам се абсорбира бързо, като пикови плазмени концентрации се достигат 1 час след приема. Фармакокинетичните резултати показват, че полуживотьт е по-кратък (5,3 часа), в сравнение с това при възрастни (7,2 часа), а привидният телесен клирънс е по-ускорен (1,5 </w:t>
      </w:r>
      <w:r w:rsidRPr="009C5C3F">
        <w:rPr>
          <w:rFonts w:eastAsia="Times New Roman" w:cs="Arial"/>
          <w:color w:val="000000"/>
          <w:szCs w:val="20"/>
          <w:lang w:val="en-US"/>
        </w:rPr>
        <w:t xml:space="preserve">ml/min/kg), </w:t>
      </w:r>
      <w:r w:rsidRPr="009C5C3F">
        <w:rPr>
          <w:rFonts w:eastAsia="Times New Roman" w:cs="Arial"/>
          <w:color w:val="000000"/>
          <w:szCs w:val="20"/>
          <w:lang w:eastAsia="bg-BG"/>
        </w:rPr>
        <w:t xml:space="preserve">в сравнение с този при възрастни (0,96 </w:t>
      </w:r>
      <w:r w:rsidRPr="009C5C3F">
        <w:rPr>
          <w:rFonts w:eastAsia="Times New Roman" w:cs="Arial"/>
          <w:color w:val="000000"/>
          <w:szCs w:val="20"/>
          <w:lang w:val="en-US"/>
        </w:rPr>
        <w:t>ml/min/kg).</w:t>
      </w:r>
    </w:p>
    <w:p w14:paraId="7F6E2B31"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В популационния фармакокинетичен анализ, проведен при пациенти от 1-месечна до 16- годишна възраст, телесното тегло е значимо свързано с привидния телесен клирънс (клирънсът се повишава с повишаването на телесното тегло) и телесния обем на разпределение. Възрастта също влияе върху двата параметъра. Този ефект е изразен при по-скоро новородените и намалява при увеличение на възрастта, като става незначителен около 4-годишна възраст.</w:t>
      </w:r>
    </w:p>
    <w:p w14:paraId="1D4B2CC5" w14:textId="4AF34563" w:rsidR="009C5C3F" w:rsidRDefault="009C5C3F" w:rsidP="009C5C3F">
      <w:pPr>
        <w:rPr>
          <w:rFonts w:eastAsia="Times New Roman" w:cs="Arial"/>
          <w:color w:val="000000"/>
          <w:szCs w:val="20"/>
          <w:lang w:eastAsia="bg-BG"/>
        </w:rPr>
      </w:pPr>
      <w:r w:rsidRPr="009C5C3F">
        <w:rPr>
          <w:rFonts w:eastAsia="Times New Roman" w:cs="Arial"/>
          <w:color w:val="000000"/>
          <w:szCs w:val="20"/>
          <w:lang w:eastAsia="bg-BG"/>
        </w:rPr>
        <w:t>В двата популационни фармакокинетични анализа се наблюдава около 20% нарастване на привидният телесен клирънс на леветирацетам, когато се прилага съвместно с ензим-индуциращите антиепилептични лекарствени продукти.</w:t>
      </w:r>
    </w:p>
    <w:p w14:paraId="71B9CF90" w14:textId="77777777" w:rsidR="009C5C3F" w:rsidRPr="009C5C3F" w:rsidRDefault="009C5C3F" w:rsidP="009C5C3F">
      <w:pPr>
        <w:rPr>
          <w:rFonts w:cs="Arial"/>
          <w:sz w:val="36"/>
          <w:lang w:val="en-US"/>
        </w:rPr>
      </w:pPr>
    </w:p>
    <w:p w14:paraId="648E39DA" w14:textId="005CB709" w:rsidR="00CF77F7" w:rsidRDefault="002C50EE" w:rsidP="004A448E">
      <w:pPr>
        <w:pStyle w:val="Heading2"/>
      </w:pPr>
      <w:r>
        <w:t>5.3. Предклинични данни за безопасност</w:t>
      </w:r>
    </w:p>
    <w:p w14:paraId="7FE68126" w14:textId="48F58771" w:rsidR="009C5C3F" w:rsidRDefault="009C5C3F" w:rsidP="009C5C3F"/>
    <w:p w14:paraId="7F9B8810"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Предклиничните данни, съгласно общоприетите изследвания на безопасността, фармакологията, генотоксичността и карциногенността, не показват извънреден риск при човека.</w:t>
      </w:r>
    </w:p>
    <w:p w14:paraId="1A77F2A9" w14:textId="77777777" w:rsidR="009C5C3F" w:rsidRDefault="009C5C3F" w:rsidP="009C5C3F">
      <w:pPr>
        <w:spacing w:line="240" w:lineRule="auto"/>
        <w:rPr>
          <w:rFonts w:eastAsia="Times New Roman" w:cs="Arial"/>
          <w:color w:val="000000"/>
          <w:szCs w:val="20"/>
          <w:lang w:eastAsia="bg-BG"/>
        </w:rPr>
      </w:pPr>
    </w:p>
    <w:p w14:paraId="0CBFBDAF" w14:textId="6FD6B202"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Нежелани лекарствени реакции, които не са наблюдавани по време на клиничните проучвания, но установени при плъхове и в по-малка степен при мишки, при нива на прилагане подобни на тези при човека и с възможна връзка с клиничната употреба, са чернодробните промени, показващи адаптивния отговор, като нарастване на теглото и центрилобуларна хипертрофия, мастна инфилтрация и повишаване на чернодробните ензими в плазмата.</w:t>
      </w:r>
    </w:p>
    <w:p w14:paraId="32DC9D65"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Не са наблюдавани нежелани ефекти върху мъжката и женската фертилност или репродукционната способност при плъхове в дози до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(х 6 </w:t>
      </w:r>
      <w:r w:rsidRPr="009C5C3F">
        <w:rPr>
          <w:rFonts w:eastAsia="Times New Roman" w:cs="Arial"/>
          <w:color w:val="000000"/>
          <w:szCs w:val="20"/>
          <w:lang w:val="en-US"/>
        </w:rPr>
        <w:t xml:space="preserve">MRHD </w:t>
      </w:r>
      <w:r w:rsidRPr="009C5C3F">
        <w:rPr>
          <w:rFonts w:eastAsia="Times New Roman" w:cs="Arial"/>
          <w:color w:val="000000"/>
          <w:szCs w:val="20"/>
          <w:lang w:eastAsia="bg-BG"/>
        </w:rPr>
        <w:t xml:space="preserve">на </w:t>
      </w:r>
      <w:r w:rsidRPr="009C5C3F">
        <w:rPr>
          <w:rFonts w:eastAsia="Times New Roman" w:cs="Arial"/>
          <w:color w:val="000000"/>
          <w:szCs w:val="20"/>
          <w:lang w:val="en-US"/>
        </w:rPr>
        <w:t xml:space="preserve">mg/m2 </w:t>
      </w:r>
      <w:r w:rsidRPr="009C5C3F">
        <w:rPr>
          <w:rFonts w:eastAsia="Times New Roman" w:cs="Arial"/>
          <w:color w:val="000000"/>
          <w:szCs w:val="20"/>
          <w:lang w:eastAsia="bg-BG"/>
        </w:rPr>
        <w:t xml:space="preserve">или базата на експозицията) при родителите и </w:t>
      </w:r>
      <w:r w:rsidRPr="009C5C3F">
        <w:rPr>
          <w:rFonts w:eastAsia="Times New Roman" w:cs="Arial"/>
          <w:color w:val="000000"/>
          <w:szCs w:val="20"/>
          <w:lang w:val="en-US"/>
        </w:rPr>
        <w:t xml:space="preserve">F1 </w:t>
      </w:r>
      <w:r w:rsidRPr="009C5C3F">
        <w:rPr>
          <w:rFonts w:eastAsia="Times New Roman" w:cs="Arial"/>
          <w:color w:val="000000"/>
          <w:szCs w:val="20"/>
          <w:lang w:eastAsia="bg-BG"/>
        </w:rPr>
        <w:t>поколение.</w:t>
      </w:r>
    </w:p>
    <w:p w14:paraId="033D4FB8" w14:textId="77777777" w:rsidR="009C5C3F" w:rsidRDefault="009C5C3F" w:rsidP="009C5C3F">
      <w:pPr>
        <w:spacing w:line="240" w:lineRule="auto"/>
        <w:rPr>
          <w:rFonts w:eastAsia="Times New Roman" w:cs="Arial"/>
          <w:color w:val="000000"/>
          <w:szCs w:val="20"/>
          <w:lang w:eastAsia="bg-BG"/>
        </w:rPr>
      </w:pPr>
    </w:p>
    <w:p w14:paraId="548EF5B8" w14:textId="06A501A8"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Проведени са две ембрио-фетални развойни (ЕФР) проучвания при плъхове с 400,1200 и 3600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3600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в само едно от 2 ЕФР проучвания е имало слабо намаление в теглото на зародиша, свързано с гранично повишение на малформациите. Липсва ефект върху смъртността на ембрионите и липсва повишение на честотата на </w:t>
      </w:r>
      <w:r w:rsidRPr="009C5C3F">
        <w:rPr>
          <w:rFonts w:eastAsia="Times New Roman" w:cs="Arial"/>
          <w:color w:val="000000"/>
          <w:szCs w:val="20"/>
          <w:lang w:eastAsia="bg-BG"/>
        </w:rPr>
        <w:lastRenderedPageBreak/>
        <w:t xml:space="preserve">малформациите ННННР (Ниво на ненаблюдавани нежелани реакции) е 3600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бременни женски плъхове (х 12 максималната препоръчана дневна доза при хора МПДХ, на </w:t>
      </w:r>
      <w:r w:rsidRPr="009C5C3F">
        <w:rPr>
          <w:rFonts w:eastAsia="Times New Roman" w:cs="Arial"/>
          <w:color w:val="000000"/>
          <w:szCs w:val="20"/>
          <w:lang w:val="en-US"/>
        </w:rPr>
        <w:t xml:space="preserve">mg/m2 </w:t>
      </w:r>
      <w:r w:rsidRPr="009C5C3F">
        <w:rPr>
          <w:rFonts w:eastAsia="Times New Roman" w:cs="Arial"/>
          <w:color w:val="000000"/>
          <w:szCs w:val="20"/>
          <w:lang w:eastAsia="bg-BG"/>
        </w:rPr>
        <w:t xml:space="preserve">база) и 1200 </w:t>
      </w:r>
      <w:r w:rsidRPr="009C5C3F">
        <w:rPr>
          <w:rFonts w:eastAsia="Times New Roman" w:cs="Arial"/>
          <w:color w:val="000000"/>
          <w:szCs w:val="20"/>
          <w:lang w:val="en-US"/>
        </w:rPr>
        <w:t>mg/kg</w:t>
      </w:r>
      <w:r w:rsidRPr="009C5C3F">
        <w:rPr>
          <w:rFonts w:eastAsia="Times New Roman" w:cs="Arial"/>
          <w:color w:val="000000"/>
          <w:szCs w:val="20"/>
          <w:lang w:eastAsia="bg-BG"/>
        </w:rPr>
        <w:t>/ден при зародишите.</w:t>
      </w:r>
    </w:p>
    <w:p w14:paraId="0B757F5F"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Проведени са четири ембрио-фетални развойни проучвания при зайци, покриващи дози от 200, 400, 800,1200 и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Доза от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е предизвикала забележима токсичност при майката и намаление на теглото на плода, свързано с повишен риск от плод със сърдечно- съдови/скелетни аномалии. ННННР е &lt;200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майката и 200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при плода (равно на МПДХ на </w:t>
      </w:r>
      <w:r w:rsidRPr="009C5C3F">
        <w:rPr>
          <w:rFonts w:eastAsia="Times New Roman" w:cs="Arial"/>
          <w:color w:val="000000"/>
          <w:szCs w:val="20"/>
          <w:lang w:val="en-US"/>
        </w:rPr>
        <w:t>mg/m</w:t>
      </w:r>
      <w:r w:rsidRPr="009C5C3F">
        <w:rPr>
          <w:rFonts w:eastAsia="Times New Roman" w:cs="Arial"/>
          <w:color w:val="000000"/>
          <w:szCs w:val="20"/>
          <w:vertAlign w:val="superscript"/>
          <w:lang w:val="en-US"/>
        </w:rPr>
        <w:t>2</w:t>
      </w:r>
      <w:r w:rsidRPr="009C5C3F">
        <w:rPr>
          <w:rFonts w:eastAsia="Times New Roman" w:cs="Arial"/>
          <w:color w:val="000000"/>
          <w:szCs w:val="20"/>
          <w:lang w:val="en-US"/>
        </w:rPr>
        <w:t xml:space="preserve"> </w:t>
      </w:r>
      <w:r w:rsidRPr="009C5C3F">
        <w:rPr>
          <w:rFonts w:eastAsia="Times New Roman" w:cs="Arial"/>
          <w:color w:val="000000"/>
          <w:szCs w:val="20"/>
          <w:lang w:eastAsia="bg-BG"/>
        </w:rPr>
        <w:t>база).</w:t>
      </w:r>
    </w:p>
    <w:p w14:paraId="35A405BA"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Пери- и постнатално развойно проучване е проведено при плъхове с дози леветирацетам от 70, 350 и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ННННР е ≥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/ден за </w:t>
      </w:r>
      <w:r w:rsidRPr="009C5C3F">
        <w:rPr>
          <w:rFonts w:eastAsia="Times New Roman" w:cs="Arial"/>
          <w:color w:val="000000"/>
          <w:szCs w:val="20"/>
          <w:lang w:val="en-US"/>
        </w:rPr>
        <w:t xml:space="preserve">F0 </w:t>
      </w:r>
      <w:r w:rsidRPr="009C5C3F">
        <w:rPr>
          <w:rFonts w:eastAsia="Times New Roman" w:cs="Arial"/>
          <w:color w:val="000000"/>
          <w:szCs w:val="20"/>
          <w:lang w:eastAsia="bg-BG"/>
        </w:rPr>
        <w:t xml:space="preserve">женски и за преживаемостта, растежа и развитието на </w:t>
      </w:r>
      <w:r w:rsidRPr="009C5C3F">
        <w:rPr>
          <w:rFonts w:eastAsia="Times New Roman" w:cs="Arial"/>
          <w:color w:val="000000"/>
          <w:szCs w:val="20"/>
          <w:lang w:val="en-US"/>
        </w:rPr>
        <w:t xml:space="preserve">F1 </w:t>
      </w:r>
      <w:r w:rsidRPr="009C5C3F">
        <w:rPr>
          <w:rFonts w:eastAsia="Times New Roman" w:cs="Arial"/>
          <w:color w:val="000000"/>
          <w:szCs w:val="20"/>
          <w:lang w:eastAsia="bg-BG"/>
        </w:rPr>
        <w:t xml:space="preserve">поколение до отбиването им (х 6 МПДХ на </w:t>
      </w:r>
      <w:r w:rsidRPr="009C5C3F">
        <w:rPr>
          <w:rFonts w:eastAsia="Times New Roman" w:cs="Arial"/>
          <w:color w:val="000000"/>
          <w:szCs w:val="20"/>
          <w:lang w:val="en-US"/>
        </w:rPr>
        <w:t>mg/m</w:t>
      </w:r>
      <w:r w:rsidRPr="009C5C3F">
        <w:rPr>
          <w:rFonts w:eastAsia="Times New Roman" w:cs="Arial"/>
          <w:color w:val="000000"/>
          <w:szCs w:val="20"/>
          <w:vertAlign w:val="superscript"/>
          <w:lang w:val="en-US"/>
        </w:rPr>
        <w:t>2</w:t>
      </w:r>
      <w:r w:rsidRPr="009C5C3F">
        <w:rPr>
          <w:rFonts w:eastAsia="Times New Roman" w:cs="Arial"/>
          <w:color w:val="000000"/>
          <w:szCs w:val="20"/>
          <w:vertAlign w:val="superscript"/>
          <w:lang w:eastAsia="bg-BG"/>
        </w:rPr>
        <w:t xml:space="preserve"> </w:t>
      </w:r>
      <w:r w:rsidRPr="009C5C3F">
        <w:rPr>
          <w:rFonts w:eastAsia="Times New Roman" w:cs="Arial"/>
          <w:color w:val="000000"/>
          <w:szCs w:val="20"/>
          <w:lang w:eastAsia="bg-BG"/>
        </w:rPr>
        <w:t>база).</w:t>
      </w:r>
    </w:p>
    <w:p w14:paraId="0E59CCDA" w14:textId="707C7C78" w:rsidR="009C5C3F" w:rsidRPr="009C5C3F" w:rsidRDefault="009C5C3F" w:rsidP="009C5C3F">
      <w:pPr>
        <w:rPr>
          <w:rFonts w:cs="Arial"/>
          <w:sz w:val="24"/>
        </w:rPr>
      </w:pPr>
      <w:r w:rsidRPr="009C5C3F">
        <w:rPr>
          <w:rFonts w:eastAsia="Times New Roman" w:cs="Arial"/>
          <w:color w:val="000000"/>
          <w:szCs w:val="20"/>
          <w:lang w:eastAsia="bg-BG"/>
        </w:rPr>
        <w:t xml:space="preserve">Неонаталните и ювенилни проучвания при животни (плъхове и кучета) не показват нежелани ефекти по отношение на стандартното развитие или съзряване при дози до 1800 </w:t>
      </w:r>
      <w:r w:rsidRPr="009C5C3F">
        <w:rPr>
          <w:rFonts w:eastAsia="Times New Roman" w:cs="Arial"/>
          <w:color w:val="000000"/>
          <w:szCs w:val="20"/>
          <w:lang w:val="en-US"/>
        </w:rPr>
        <w:t>mg/kg/</w:t>
      </w:r>
      <w:r w:rsidRPr="009C5C3F">
        <w:rPr>
          <w:rFonts w:eastAsia="Times New Roman" w:cs="Arial"/>
          <w:color w:val="000000"/>
          <w:szCs w:val="20"/>
          <w:lang w:eastAsia="bg-BG"/>
        </w:rPr>
        <w:t xml:space="preserve">дневно (х 6 - х 17 МПДХ на </w:t>
      </w:r>
      <w:r w:rsidRPr="009C5C3F">
        <w:rPr>
          <w:rFonts w:eastAsia="Times New Roman" w:cs="Arial"/>
          <w:color w:val="000000"/>
          <w:szCs w:val="20"/>
          <w:lang w:val="en-US"/>
        </w:rPr>
        <w:t>mg/m</w:t>
      </w:r>
      <w:r w:rsidRPr="009C5C3F">
        <w:rPr>
          <w:rFonts w:eastAsia="Times New Roman" w:cs="Arial"/>
          <w:color w:val="000000"/>
          <w:szCs w:val="20"/>
          <w:vertAlign w:val="superscript"/>
          <w:lang w:val="en-US"/>
        </w:rPr>
        <w:t>2</w:t>
      </w:r>
      <w:r w:rsidRPr="009C5C3F">
        <w:rPr>
          <w:rFonts w:eastAsia="Times New Roman" w:cs="Arial"/>
          <w:color w:val="000000"/>
          <w:szCs w:val="20"/>
          <w:lang w:val="en-US"/>
        </w:rPr>
        <w:t xml:space="preserve"> </w:t>
      </w:r>
      <w:r w:rsidRPr="009C5C3F">
        <w:rPr>
          <w:rFonts w:eastAsia="Times New Roman" w:cs="Arial"/>
          <w:color w:val="000000"/>
          <w:szCs w:val="20"/>
          <w:lang w:eastAsia="bg-BG"/>
        </w:rPr>
        <w:t>база).</w:t>
      </w:r>
    </w:p>
    <w:p w14:paraId="6A7820AB" w14:textId="6227F678" w:rsidR="008A6AF2" w:rsidRDefault="002C50EE" w:rsidP="00395555">
      <w:pPr>
        <w:pStyle w:val="Heading1"/>
      </w:pPr>
      <w:r>
        <w:t>7. ПРИТЕЖАТЕЛ НА РАЗРЕШЕНИЕТО ЗА УПОТРЕБА</w:t>
      </w:r>
    </w:p>
    <w:p w14:paraId="32275561" w14:textId="2A03376B" w:rsidR="009C5C3F" w:rsidRDefault="009C5C3F" w:rsidP="009C5C3F"/>
    <w:p w14:paraId="04E15DDC" w14:textId="77777777" w:rsidR="009C5C3F" w:rsidRPr="009C5C3F" w:rsidRDefault="009C5C3F" w:rsidP="009C5C3F">
      <w:pPr>
        <w:spacing w:line="240" w:lineRule="auto"/>
        <w:rPr>
          <w:rFonts w:eastAsia="Times New Roman" w:cs="Arial"/>
          <w:sz w:val="28"/>
          <w:szCs w:val="24"/>
          <w:lang w:val="en-US" w:eastAsia="bg-BG"/>
        </w:rPr>
      </w:pPr>
      <w:proofErr w:type="spellStart"/>
      <w:r w:rsidRPr="009C5C3F">
        <w:rPr>
          <w:rFonts w:eastAsia="Times New Roman" w:cs="Arial"/>
          <w:color w:val="000000"/>
          <w:szCs w:val="20"/>
          <w:lang w:val="en-US"/>
        </w:rPr>
        <w:t>Stada</w:t>
      </w:r>
      <w:proofErr w:type="spellEnd"/>
      <w:r w:rsidRPr="009C5C3F">
        <w:rPr>
          <w:rFonts w:eastAsia="Times New Roman" w:cs="Arial"/>
          <w:color w:val="000000"/>
          <w:szCs w:val="20"/>
          <w:lang w:val="en-US"/>
        </w:rPr>
        <w:t xml:space="preserve"> </w:t>
      </w:r>
      <w:proofErr w:type="spellStart"/>
      <w:r w:rsidRPr="009C5C3F">
        <w:rPr>
          <w:rFonts w:eastAsia="Times New Roman" w:cs="Arial"/>
          <w:color w:val="000000"/>
          <w:szCs w:val="20"/>
          <w:lang w:val="en-US"/>
        </w:rPr>
        <w:t>Arzneimittel</w:t>
      </w:r>
      <w:proofErr w:type="spellEnd"/>
      <w:r w:rsidRPr="009C5C3F">
        <w:rPr>
          <w:rFonts w:eastAsia="Times New Roman" w:cs="Arial"/>
          <w:color w:val="000000"/>
          <w:szCs w:val="20"/>
          <w:lang w:val="en-US"/>
        </w:rPr>
        <w:t xml:space="preserve"> AG</w:t>
      </w:r>
    </w:p>
    <w:p w14:paraId="54DA63B0" w14:textId="77777777" w:rsidR="009C5C3F" w:rsidRPr="009C5C3F" w:rsidRDefault="009C5C3F" w:rsidP="009C5C3F">
      <w:pPr>
        <w:spacing w:line="240" w:lineRule="auto"/>
        <w:rPr>
          <w:rFonts w:eastAsia="Times New Roman" w:cs="Arial"/>
          <w:sz w:val="28"/>
          <w:szCs w:val="24"/>
          <w:lang w:val="en-US" w:eastAsia="bg-BG"/>
        </w:rPr>
      </w:pPr>
      <w:proofErr w:type="spellStart"/>
      <w:r w:rsidRPr="009C5C3F">
        <w:rPr>
          <w:rFonts w:eastAsia="Times New Roman" w:cs="Arial"/>
          <w:color w:val="000000"/>
          <w:szCs w:val="20"/>
          <w:lang w:val="en-US"/>
        </w:rPr>
        <w:t>Stadastrasse</w:t>
      </w:r>
      <w:proofErr w:type="spellEnd"/>
      <w:r w:rsidRPr="009C5C3F">
        <w:rPr>
          <w:rFonts w:eastAsia="Times New Roman" w:cs="Arial"/>
          <w:color w:val="000000"/>
          <w:szCs w:val="20"/>
          <w:lang w:val="en-US"/>
        </w:rPr>
        <w:t xml:space="preserve"> 2-18</w:t>
      </w:r>
    </w:p>
    <w:p w14:paraId="592F3B91" w14:textId="77777777" w:rsidR="009C5C3F" w:rsidRPr="009C5C3F" w:rsidRDefault="009C5C3F" w:rsidP="009C5C3F">
      <w:pPr>
        <w:spacing w:line="240" w:lineRule="auto"/>
        <w:rPr>
          <w:rFonts w:eastAsia="Times New Roman" w:cs="Arial"/>
          <w:sz w:val="28"/>
          <w:szCs w:val="24"/>
          <w:lang w:val="en-US" w:eastAsia="bg-BG"/>
        </w:rPr>
      </w:pPr>
      <w:r w:rsidRPr="009C5C3F">
        <w:rPr>
          <w:rFonts w:eastAsia="Times New Roman" w:cs="Arial"/>
          <w:color w:val="000000"/>
          <w:szCs w:val="20"/>
          <w:lang w:val="en-US"/>
        </w:rPr>
        <w:t>6111</w:t>
      </w:r>
      <w:r w:rsidRPr="009C5C3F">
        <w:rPr>
          <w:rFonts w:eastAsia="Times New Roman" w:cs="Arial"/>
          <w:color w:val="000000"/>
          <w:szCs w:val="20"/>
          <w:lang w:eastAsia="bg-BG"/>
        </w:rPr>
        <w:t xml:space="preserve">8 </w:t>
      </w:r>
      <w:r w:rsidRPr="009C5C3F">
        <w:rPr>
          <w:rFonts w:eastAsia="Times New Roman" w:cs="Arial"/>
          <w:color w:val="000000"/>
          <w:szCs w:val="20"/>
          <w:lang w:val="en-US"/>
        </w:rPr>
        <w:t xml:space="preserve">Bad </w:t>
      </w:r>
      <w:proofErr w:type="spellStart"/>
      <w:r w:rsidRPr="009C5C3F">
        <w:rPr>
          <w:rFonts w:eastAsia="Times New Roman" w:cs="Arial"/>
          <w:color w:val="000000"/>
          <w:szCs w:val="20"/>
          <w:lang w:val="en-US"/>
        </w:rPr>
        <w:t>Vilbel</w:t>
      </w:r>
      <w:proofErr w:type="spellEnd"/>
    </w:p>
    <w:p w14:paraId="5871BACB" w14:textId="040D0159" w:rsidR="009C5C3F" w:rsidRPr="009C5C3F" w:rsidRDefault="009C5C3F" w:rsidP="009C5C3F">
      <w:pPr>
        <w:rPr>
          <w:rFonts w:cs="Arial"/>
          <w:sz w:val="24"/>
        </w:rPr>
      </w:pPr>
      <w:r w:rsidRPr="009C5C3F">
        <w:rPr>
          <w:rFonts w:eastAsia="Times New Roman" w:cs="Arial"/>
          <w:color w:val="000000"/>
          <w:szCs w:val="20"/>
          <w:lang w:eastAsia="bg-BG"/>
        </w:rPr>
        <w:t>Германия</w:t>
      </w:r>
    </w:p>
    <w:p w14:paraId="7BA1BA64" w14:textId="01F95461" w:rsidR="00CF77F7" w:rsidRDefault="002C50EE" w:rsidP="004A448E">
      <w:pPr>
        <w:pStyle w:val="Heading1"/>
      </w:pPr>
      <w:r>
        <w:t>8. НОМЕР НА РАЗРЕШЕНИЕТО ЗА УПОТРЕБА</w:t>
      </w:r>
    </w:p>
    <w:p w14:paraId="5526C4AF" w14:textId="4B54574D" w:rsidR="009C5C3F" w:rsidRDefault="009C5C3F" w:rsidP="009C5C3F"/>
    <w:p w14:paraId="49FF3AD9"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Регистрационен номер:</w:t>
      </w:r>
    </w:p>
    <w:p w14:paraId="5F816821"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Стада 250 </w:t>
      </w:r>
      <w:r w:rsidRPr="009C5C3F">
        <w:rPr>
          <w:rFonts w:eastAsia="Times New Roman" w:cs="Arial"/>
          <w:color w:val="000000"/>
          <w:szCs w:val="20"/>
          <w:lang w:val="en-US"/>
        </w:rPr>
        <w:t xml:space="preserve">mg: </w:t>
      </w:r>
      <w:r w:rsidRPr="009C5C3F">
        <w:rPr>
          <w:rFonts w:eastAsia="Times New Roman" w:cs="Arial"/>
          <w:color w:val="000000"/>
          <w:szCs w:val="20"/>
          <w:lang w:eastAsia="bg-BG"/>
        </w:rPr>
        <w:t>20110735</w:t>
      </w:r>
    </w:p>
    <w:p w14:paraId="028496E7"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Стада 500 </w:t>
      </w:r>
      <w:r w:rsidRPr="009C5C3F">
        <w:rPr>
          <w:rFonts w:eastAsia="Times New Roman" w:cs="Arial"/>
          <w:color w:val="000000"/>
          <w:szCs w:val="20"/>
          <w:lang w:val="en-US"/>
        </w:rPr>
        <w:t>mg</w:t>
      </w:r>
      <w:r w:rsidRPr="009C5C3F">
        <w:rPr>
          <w:rFonts w:eastAsia="Times New Roman" w:cs="Arial"/>
          <w:color w:val="000000"/>
          <w:szCs w:val="20"/>
          <w:lang w:eastAsia="bg-BG"/>
        </w:rPr>
        <w:t>: 20110736</w:t>
      </w:r>
    </w:p>
    <w:p w14:paraId="339DD863" w14:textId="77777777" w:rsidR="009C5C3F" w:rsidRPr="009C5C3F" w:rsidRDefault="009C5C3F" w:rsidP="009C5C3F">
      <w:pPr>
        <w:spacing w:line="240" w:lineRule="auto"/>
        <w:rPr>
          <w:rFonts w:eastAsia="Times New Roman" w:cs="Arial"/>
          <w:sz w:val="28"/>
          <w:szCs w:val="24"/>
          <w:lang w:eastAsia="bg-BG"/>
        </w:rPr>
      </w:pPr>
      <w:r w:rsidRPr="009C5C3F">
        <w:rPr>
          <w:rFonts w:eastAsia="Times New Roman" w:cs="Arial"/>
          <w:color w:val="000000"/>
          <w:szCs w:val="20"/>
          <w:lang w:eastAsia="bg-BG"/>
        </w:rPr>
        <w:t xml:space="preserve">Леветирацетам Стада 750 </w:t>
      </w:r>
      <w:r w:rsidRPr="009C5C3F">
        <w:rPr>
          <w:rFonts w:eastAsia="Times New Roman" w:cs="Arial"/>
          <w:color w:val="000000"/>
          <w:szCs w:val="20"/>
          <w:lang w:val="en-US"/>
        </w:rPr>
        <w:t>mg</w:t>
      </w:r>
      <w:r w:rsidRPr="009C5C3F">
        <w:rPr>
          <w:rFonts w:eastAsia="Times New Roman" w:cs="Arial"/>
          <w:color w:val="000000"/>
          <w:szCs w:val="20"/>
          <w:lang w:eastAsia="bg-BG"/>
        </w:rPr>
        <w:t>: 20110737</w:t>
      </w:r>
    </w:p>
    <w:p w14:paraId="7DA5FAC3" w14:textId="498317D9" w:rsidR="009C5C3F" w:rsidRPr="009C5C3F" w:rsidRDefault="009C5C3F" w:rsidP="009C5C3F">
      <w:pPr>
        <w:rPr>
          <w:rFonts w:cs="Arial"/>
          <w:sz w:val="24"/>
        </w:rPr>
      </w:pPr>
      <w:r w:rsidRPr="009C5C3F">
        <w:rPr>
          <w:rFonts w:eastAsia="Times New Roman" w:cs="Arial"/>
          <w:color w:val="000000"/>
          <w:szCs w:val="20"/>
          <w:lang w:eastAsia="bg-BG"/>
        </w:rPr>
        <w:t xml:space="preserve">Леветирацетам Стада 1000 </w:t>
      </w:r>
      <w:r w:rsidRPr="009C5C3F">
        <w:rPr>
          <w:rFonts w:eastAsia="Times New Roman" w:cs="Arial"/>
          <w:color w:val="000000"/>
          <w:szCs w:val="20"/>
          <w:lang w:val="en-US"/>
        </w:rPr>
        <w:t xml:space="preserve">mg: </w:t>
      </w:r>
      <w:r w:rsidRPr="009C5C3F">
        <w:rPr>
          <w:rFonts w:eastAsia="Times New Roman" w:cs="Arial"/>
          <w:color w:val="000000"/>
          <w:szCs w:val="20"/>
          <w:lang w:eastAsia="bg-BG"/>
        </w:rPr>
        <w:t>20110738</w:t>
      </w:r>
    </w:p>
    <w:p w14:paraId="2CCB5832" w14:textId="4536AE0F" w:rsidR="007C605B" w:rsidRDefault="002C50EE" w:rsidP="007C605B">
      <w:pPr>
        <w:pStyle w:val="Heading1"/>
      </w:pPr>
      <w:r>
        <w:t>9. ДАТА НА ПЪРВО РАЗРЕШАВАНЕ/ПОДНОВЯВАНЕ НА РАЗРЕШЕНИЕТО ЗА УПОТРЕБА</w:t>
      </w:r>
    </w:p>
    <w:p w14:paraId="5DC04133" w14:textId="339233DE" w:rsidR="009C5C3F" w:rsidRDefault="009C5C3F" w:rsidP="009C5C3F"/>
    <w:p w14:paraId="0ADCAC89" w14:textId="40695EFC" w:rsidR="009C5C3F" w:rsidRPr="009C5C3F" w:rsidRDefault="009C5C3F" w:rsidP="009C5C3F">
      <w:pPr>
        <w:rPr>
          <w:rFonts w:cs="Arial"/>
          <w:sz w:val="24"/>
        </w:rPr>
      </w:pPr>
      <w:r w:rsidRPr="009C5C3F">
        <w:rPr>
          <w:rFonts w:cs="Arial"/>
          <w:szCs w:val="20"/>
        </w:rPr>
        <w:t>13.12.2011/05.01.2016</w:t>
      </w:r>
    </w:p>
    <w:p w14:paraId="0E9D0119" w14:textId="5B7D81BB" w:rsidR="002C50EE" w:rsidRDefault="002C50EE" w:rsidP="002C50EE">
      <w:pPr>
        <w:pStyle w:val="Heading1"/>
      </w:pPr>
      <w:r>
        <w:t>10. ДАТА НА АКТУАЛИЗИРАНЕ НА ТЕКСТА</w:t>
      </w:r>
    </w:p>
    <w:p w14:paraId="78E6D831" w14:textId="4B00DA45" w:rsidR="009C5C3F" w:rsidRDefault="009C5C3F" w:rsidP="009C5C3F"/>
    <w:p w14:paraId="7AC25650" w14:textId="6B27167E" w:rsidR="009C5C3F" w:rsidRPr="009C5C3F" w:rsidRDefault="009C5C3F" w:rsidP="009C5C3F">
      <w:pPr>
        <w:rPr>
          <w:rFonts w:cs="Arial"/>
          <w:sz w:val="24"/>
        </w:rPr>
      </w:pPr>
      <w:r w:rsidRPr="009C5C3F">
        <w:rPr>
          <w:rFonts w:cs="Arial"/>
          <w:szCs w:val="20"/>
        </w:rPr>
        <w:t>04/2020</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746D7A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9C2A3F"/>
    <w:multiLevelType w:val="hybridMultilevel"/>
    <w:tmpl w:val="A82E67DC"/>
    <w:lvl w:ilvl="0" w:tplc="E504489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A4634"/>
    <w:multiLevelType w:val="hybridMultilevel"/>
    <w:tmpl w:val="697AD94E"/>
    <w:lvl w:ilvl="0" w:tplc="7CF0634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F08DE"/>
    <w:multiLevelType w:val="multilevel"/>
    <w:tmpl w:val="4746D7A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2"/>
  </w:num>
  <w:num w:numId="12">
    <w:abstractNumId w:val="14"/>
  </w:num>
  <w:num w:numId="13">
    <w:abstractNumId w:val="20"/>
  </w:num>
  <w:num w:numId="14">
    <w:abstractNumId w:val="12"/>
  </w:num>
  <w:num w:numId="15">
    <w:abstractNumId w:val="31"/>
  </w:num>
  <w:num w:numId="16">
    <w:abstractNumId w:val="9"/>
  </w:num>
  <w:num w:numId="17">
    <w:abstractNumId w:val="25"/>
  </w:num>
  <w:num w:numId="18">
    <w:abstractNumId w:val="7"/>
  </w:num>
  <w:num w:numId="19">
    <w:abstractNumId w:val="28"/>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27"/>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93A01"/>
    <w:rsid w:val="001D1B23"/>
    <w:rsid w:val="00260022"/>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45687"/>
    <w:rsid w:val="00871A17"/>
    <w:rsid w:val="00893B92"/>
    <w:rsid w:val="008A6AF2"/>
    <w:rsid w:val="008C70A2"/>
    <w:rsid w:val="009103E2"/>
    <w:rsid w:val="009773E4"/>
    <w:rsid w:val="0098490F"/>
    <w:rsid w:val="009B171C"/>
    <w:rsid w:val="009C5C3F"/>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C7B2D"/>
    <w:rsid w:val="00CF77F7"/>
    <w:rsid w:val="00D328CC"/>
    <w:rsid w:val="00D86297"/>
    <w:rsid w:val="00DD466D"/>
    <w:rsid w:val="00EB6364"/>
    <w:rsid w:val="00F37B64"/>
    <w:rsid w:val="00F936B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6602</Words>
  <Characters>37632</Characters>
  <Application>Microsoft Office Word</Application>
  <DocSecurity>0</DocSecurity>
  <Lines>313</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2022-05-09T01:33:00Z</dcterms:created>
  <dcterms:modified xsi:type="dcterms:W3CDTF">2022-05-09T01:33:00Z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