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82CCCAC" w:rsidR="007122AD" w:rsidRDefault="00DD466D" w:rsidP="00936AD0">
      <w:pPr>
        <w:pStyle w:val="Heading1"/>
      </w:pPr>
      <w:r>
        <w:t>1.ИМЕ НА ЛЕКАРСТВЕНИЯ ПРОДУКТ</w:t>
      </w:r>
    </w:p>
    <w:p w14:paraId="29B4BF06" w14:textId="1611092C" w:rsidR="00C37F7C" w:rsidRDefault="00C37F7C" w:rsidP="00C37F7C"/>
    <w:p w14:paraId="28428441" w14:textId="77777777" w:rsidR="00C37F7C" w:rsidRPr="00C37F7C" w:rsidRDefault="00C37F7C" w:rsidP="00C37F7C">
      <w:pPr>
        <w:rPr>
          <w:rFonts w:ascii="Times New Roman" w:hAnsi="Times New Roman" w:cs="Times New Roman"/>
          <w:sz w:val="24"/>
          <w:szCs w:val="24"/>
        </w:rPr>
      </w:pPr>
      <w:r w:rsidRPr="00C37F7C">
        <w:rPr>
          <w:lang w:eastAsia="bg-BG"/>
        </w:rPr>
        <w:t xml:space="preserve">Леветиракон 100 </w:t>
      </w:r>
      <w:r w:rsidRPr="00C37F7C">
        <w:rPr>
          <w:lang w:val="en-US"/>
        </w:rPr>
        <w:t>mg</w:t>
      </w:r>
      <w:r w:rsidRPr="00C37F7C">
        <w:t>/</w:t>
      </w:r>
      <w:r w:rsidRPr="00C37F7C">
        <w:rPr>
          <w:lang w:val="en-US"/>
        </w:rPr>
        <w:t>ml</w:t>
      </w:r>
      <w:r w:rsidRPr="00C37F7C">
        <w:t xml:space="preserve"> </w:t>
      </w:r>
      <w:r w:rsidRPr="00C37F7C">
        <w:rPr>
          <w:lang w:eastAsia="bg-BG"/>
        </w:rPr>
        <w:t>перорален разтвор</w:t>
      </w:r>
    </w:p>
    <w:p w14:paraId="2699951C" w14:textId="1AD86F35" w:rsidR="00C37F7C" w:rsidRPr="00C37F7C" w:rsidRDefault="00C37F7C" w:rsidP="00C37F7C">
      <w:proofErr w:type="spellStart"/>
      <w:r w:rsidRPr="00C37F7C">
        <w:rPr>
          <w:lang w:val="en-US"/>
        </w:rPr>
        <w:t>Levetiracon</w:t>
      </w:r>
      <w:proofErr w:type="spellEnd"/>
      <w:r w:rsidRPr="00C37F7C">
        <w:t xml:space="preserve"> </w:t>
      </w:r>
      <w:r w:rsidRPr="00C37F7C">
        <w:rPr>
          <w:lang w:eastAsia="bg-BG"/>
        </w:rPr>
        <w:t xml:space="preserve">100 </w:t>
      </w:r>
      <w:r w:rsidRPr="00C37F7C">
        <w:rPr>
          <w:lang w:val="en-US"/>
        </w:rPr>
        <w:t>mg</w:t>
      </w:r>
      <w:r w:rsidRPr="00C37F7C">
        <w:t>/</w:t>
      </w:r>
      <w:r w:rsidRPr="00C37F7C">
        <w:rPr>
          <w:lang w:val="en-US"/>
        </w:rPr>
        <w:t>ml</w:t>
      </w:r>
      <w:r w:rsidRPr="00C37F7C">
        <w:t xml:space="preserve"> </w:t>
      </w:r>
      <w:r w:rsidRPr="00C37F7C">
        <w:rPr>
          <w:lang w:val="en-US"/>
        </w:rPr>
        <w:t>oral</w:t>
      </w:r>
      <w:r w:rsidRPr="00C37F7C">
        <w:t xml:space="preserve"> </w:t>
      </w:r>
      <w:r w:rsidRPr="00C37F7C">
        <w:rPr>
          <w:lang w:val="en-US"/>
        </w:rPr>
        <w:t>solution</w:t>
      </w:r>
    </w:p>
    <w:p w14:paraId="6920A680" w14:textId="7C2F0391" w:rsidR="00C40420" w:rsidRDefault="00DD466D" w:rsidP="004A448E">
      <w:pPr>
        <w:pStyle w:val="Heading1"/>
      </w:pPr>
      <w:r>
        <w:t>2. КАЧЕСТВЕН И КОЛИЧЕСТВЕН СЪСТАВ</w:t>
      </w:r>
    </w:p>
    <w:p w14:paraId="32A8BE2C" w14:textId="0E94786D" w:rsidR="00C37F7C" w:rsidRDefault="00C37F7C" w:rsidP="00C37F7C"/>
    <w:p w14:paraId="712AC9A0"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Всеки </w:t>
      </w:r>
      <w:r w:rsidRPr="00C37F7C">
        <w:rPr>
          <w:rFonts w:eastAsia="Times New Roman" w:cs="Arial"/>
          <w:color w:val="000000"/>
          <w:szCs w:val="19"/>
          <w:lang w:val="en-US"/>
        </w:rPr>
        <w:t>ml</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от пероралния разтвор съдържа 100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леветирацетам </w:t>
      </w:r>
      <w:r w:rsidRPr="00C37F7C">
        <w:rPr>
          <w:rFonts w:eastAsia="Times New Roman" w:cs="Arial"/>
          <w:i/>
          <w:iCs/>
          <w:color w:val="000000"/>
          <w:szCs w:val="19"/>
          <w:lang w:val="ru-RU"/>
        </w:rPr>
        <w:t>(</w:t>
      </w:r>
      <w:proofErr w:type="spellStart"/>
      <w:r w:rsidRPr="00C37F7C">
        <w:rPr>
          <w:rFonts w:eastAsia="Times New Roman" w:cs="Arial"/>
          <w:i/>
          <w:iCs/>
          <w:color w:val="000000"/>
          <w:szCs w:val="19"/>
          <w:lang w:val="en-US"/>
        </w:rPr>
        <w:t>levetiracetam</w:t>
      </w:r>
      <w:proofErr w:type="spellEnd"/>
      <w:r w:rsidRPr="00C37F7C">
        <w:rPr>
          <w:rFonts w:eastAsia="Times New Roman" w:cs="Arial"/>
          <w:i/>
          <w:iCs/>
          <w:color w:val="000000"/>
          <w:szCs w:val="19"/>
          <w:lang w:val="ru-RU"/>
        </w:rPr>
        <w:t>).</w:t>
      </w:r>
    </w:p>
    <w:p w14:paraId="5ECAF5ED" w14:textId="77777777" w:rsidR="00C37F7C" w:rsidRPr="00C37F7C" w:rsidRDefault="00C37F7C" w:rsidP="00C37F7C">
      <w:pPr>
        <w:spacing w:line="240" w:lineRule="auto"/>
        <w:rPr>
          <w:rFonts w:eastAsia="Times New Roman" w:cs="Arial"/>
          <w:color w:val="000000"/>
          <w:szCs w:val="19"/>
          <w:u w:val="single"/>
          <w:lang w:eastAsia="bg-BG"/>
        </w:rPr>
      </w:pPr>
    </w:p>
    <w:p w14:paraId="1185EEFF" w14:textId="4143BD89"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Помощни вещества с известно действие</w:t>
      </w:r>
      <w:r w:rsidRPr="00C37F7C">
        <w:rPr>
          <w:rFonts w:eastAsia="Times New Roman" w:cs="Arial"/>
          <w:color w:val="000000"/>
          <w:szCs w:val="19"/>
          <w:lang w:eastAsia="bg-BG"/>
        </w:rPr>
        <w:t>:</w:t>
      </w:r>
    </w:p>
    <w:p w14:paraId="5A2E6774"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Всеки </w:t>
      </w:r>
      <w:r w:rsidRPr="00C37F7C">
        <w:rPr>
          <w:rFonts w:eastAsia="Times New Roman" w:cs="Arial"/>
          <w:color w:val="000000"/>
          <w:szCs w:val="19"/>
          <w:lang w:val="en-US"/>
        </w:rPr>
        <w:t>ml</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от пероралния разтвор съдържа 1,5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метил парахидроксибензоат (Е218), 0,18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пропил парахидроксибензоат (Е216) и 300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малтитол, течен.</w:t>
      </w:r>
    </w:p>
    <w:p w14:paraId="70DCAA49" w14:textId="77777777" w:rsidR="00C37F7C" w:rsidRPr="00C37F7C" w:rsidRDefault="00C37F7C" w:rsidP="00C37F7C"/>
    <w:p w14:paraId="614984C4" w14:textId="2B49780A" w:rsidR="008A6AF2" w:rsidRDefault="00DD466D" w:rsidP="002C50EE">
      <w:pPr>
        <w:pStyle w:val="Heading1"/>
      </w:pPr>
      <w:r>
        <w:t>3. ЛЕКАРСТВЕНА ФОРМА</w:t>
      </w:r>
    </w:p>
    <w:p w14:paraId="3C8EE389" w14:textId="50BBD8AF" w:rsidR="00C37F7C" w:rsidRDefault="00C37F7C" w:rsidP="00C37F7C"/>
    <w:p w14:paraId="305FF25D" w14:textId="77777777" w:rsidR="00C37F7C" w:rsidRPr="00C37F7C" w:rsidRDefault="00C37F7C" w:rsidP="00C37F7C">
      <w:pPr>
        <w:rPr>
          <w:rFonts w:ascii="Times New Roman" w:hAnsi="Times New Roman" w:cs="Times New Roman"/>
          <w:sz w:val="24"/>
          <w:szCs w:val="24"/>
        </w:rPr>
      </w:pPr>
      <w:r w:rsidRPr="00C37F7C">
        <w:rPr>
          <w:lang w:eastAsia="bg-BG"/>
        </w:rPr>
        <w:t>Перорален разтвор</w:t>
      </w:r>
    </w:p>
    <w:p w14:paraId="51748A37" w14:textId="6BE1B2A6" w:rsidR="00C37F7C" w:rsidRPr="00C37F7C" w:rsidRDefault="00C37F7C" w:rsidP="00C37F7C">
      <w:r w:rsidRPr="00C37F7C">
        <w:rPr>
          <w:lang w:eastAsia="bg-BG"/>
        </w:rPr>
        <w:t>Прозрачна, безцветна течност с аромат на грозде.</w:t>
      </w:r>
    </w:p>
    <w:p w14:paraId="490FC2C4" w14:textId="0F4A4A75" w:rsidR="002C50EE" w:rsidRDefault="002C50EE" w:rsidP="002C50EE">
      <w:pPr>
        <w:pStyle w:val="Heading1"/>
      </w:pPr>
      <w:r>
        <w:t>4. КЛИНИЧНИ ДАННИ</w:t>
      </w:r>
    </w:p>
    <w:p w14:paraId="74330405" w14:textId="4C8F747A" w:rsidR="007122AD" w:rsidRDefault="002C50EE" w:rsidP="00936AD0">
      <w:pPr>
        <w:pStyle w:val="Heading2"/>
      </w:pPr>
      <w:r>
        <w:t>4.1. Терапевтични показания</w:t>
      </w:r>
    </w:p>
    <w:p w14:paraId="367454FF" w14:textId="27ED8AF6" w:rsidR="00C37F7C" w:rsidRDefault="00C37F7C" w:rsidP="00C37F7C"/>
    <w:p w14:paraId="55D2757E"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Леветиракон е показан за монотерапия при лечение на парциални пристъпи с или без вторична генерализация при възрастни и юноши на 16 и повече години с новодиагностицирана епилепсия.</w:t>
      </w:r>
    </w:p>
    <w:p w14:paraId="1D714905" w14:textId="77777777" w:rsidR="00C37F7C" w:rsidRPr="00C37F7C" w:rsidRDefault="00C37F7C" w:rsidP="00C37F7C">
      <w:pPr>
        <w:spacing w:line="240" w:lineRule="auto"/>
        <w:rPr>
          <w:rFonts w:eastAsia="Times New Roman" w:cs="Arial"/>
          <w:color w:val="000000"/>
          <w:szCs w:val="19"/>
          <w:lang w:eastAsia="bg-BG"/>
        </w:rPr>
      </w:pPr>
    </w:p>
    <w:p w14:paraId="05F2581D" w14:textId="0C2FB64C"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Леветиракон е показана за допълващо лечение на:</w:t>
      </w:r>
    </w:p>
    <w:p w14:paraId="16240A62" w14:textId="77777777" w:rsidR="00C37F7C" w:rsidRPr="00C37F7C" w:rsidRDefault="00C37F7C" w:rsidP="00C37F7C">
      <w:pPr>
        <w:pStyle w:val="ListParagraph"/>
        <w:numPr>
          <w:ilvl w:val="0"/>
          <w:numId w:val="37"/>
        </w:numPr>
        <w:spacing w:line="240" w:lineRule="auto"/>
        <w:rPr>
          <w:rFonts w:eastAsia="Times New Roman" w:cs="Arial"/>
          <w:color w:val="000000"/>
          <w:szCs w:val="19"/>
          <w:lang w:eastAsia="bg-BG"/>
        </w:rPr>
      </w:pPr>
      <w:r w:rsidRPr="00C37F7C">
        <w:rPr>
          <w:rFonts w:eastAsia="Times New Roman" w:cs="Arial"/>
          <w:color w:val="000000"/>
          <w:szCs w:val="19"/>
          <w:lang w:eastAsia="bg-BG"/>
        </w:rPr>
        <w:t>парциални пристъпи с или без вторична генерализация при възрастни, юноши, деца и новородени на 1 и повече месеца с епилепсия.</w:t>
      </w:r>
    </w:p>
    <w:p w14:paraId="73FC0280" w14:textId="77777777" w:rsidR="00C37F7C" w:rsidRPr="00C37F7C" w:rsidRDefault="00C37F7C" w:rsidP="00C37F7C">
      <w:pPr>
        <w:pStyle w:val="ListParagraph"/>
        <w:numPr>
          <w:ilvl w:val="0"/>
          <w:numId w:val="37"/>
        </w:numPr>
        <w:spacing w:line="240" w:lineRule="auto"/>
        <w:rPr>
          <w:rFonts w:eastAsia="Times New Roman" w:cs="Arial"/>
          <w:color w:val="000000"/>
          <w:szCs w:val="19"/>
          <w:lang w:eastAsia="bg-BG"/>
        </w:rPr>
      </w:pPr>
      <w:r w:rsidRPr="00C37F7C">
        <w:rPr>
          <w:rFonts w:eastAsia="Times New Roman" w:cs="Arial"/>
          <w:color w:val="000000"/>
          <w:szCs w:val="19"/>
          <w:lang w:eastAsia="bg-BG"/>
        </w:rPr>
        <w:t>миоклонични пристъпи при възрастни и юноши на 12 и повече години с ювенилна миоклонична епилепсия.</w:t>
      </w:r>
    </w:p>
    <w:p w14:paraId="3F110D15" w14:textId="59859041" w:rsidR="00C37F7C" w:rsidRPr="00C37F7C" w:rsidRDefault="00C37F7C" w:rsidP="00C37F7C">
      <w:pPr>
        <w:pStyle w:val="ListParagraph"/>
        <w:numPr>
          <w:ilvl w:val="0"/>
          <w:numId w:val="37"/>
        </w:numPr>
        <w:spacing w:line="240" w:lineRule="auto"/>
        <w:rPr>
          <w:rFonts w:eastAsia="Times New Roman" w:cs="Arial"/>
          <w:color w:val="000000"/>
          <w:szCs w:val="19"/>
          <w:lang w:eastAsia="bg-BG"/>
        </w:rPr>
      </w:pPr>
      <w:r w:rsidRPr="00C37F7C">
        <w:rPr>
          <w:rFonts w:eastAsia="Times New Roman" w:cs="Arial"/>
          <w:color w:val="000000"/>
          <w:szCs w:val="19"/>
          <w:lang w:eastAsia="bg-BG"/>
        </w:rPr>
        <w:t>първично генерализирани тонично-клонични пристъпи при възрастни и юноши на 12 и повече години с идиопатична генерализирана епилепсия.</w:t>
      </w:r>
    </w:p>
    <w:p w14:paraId="5EF8CE6A" w14:textId="77777777" w:rsidR="00C37F7C" w:rsidRPr="00C37F7C" w:rsidRDefault="00C37F7C" w:rsidP="00C37F7C"/>
    <w:p w14:paraId="53F5B866" w14:textId="25F8D021" w:rsidR="007122AD" w:rsidRDefault="002C50EE" w:rsidP="00936AD0">
      <w:pPr>
        <w:pStyle w:val="Heading2"/>
      </w:pPr>
      <w:r>
        <w:t>4.2. Дозировка и начин на приложение</w:t>
      </w:r>
    </w:p>
    <w:p w14:paraId="55553D8E" w14:textId="422759EF" w:rsidR="00C37F7C" w:rsidRDefault="00C37F7C" w:rsidP="00C37F7C"/>
    <w:p w14:paraId="1CBD4E3C" w14:textId="77777777" w:rsidR="00C37F7C" w:rsidRPr="00C37F7C" w:rsidRDefault="00C37F7C" w:rsidP="00C37F7C">
      <w:pPr>
        <w:pStyle w:val="Heading3"/>
        <w:rPr>
          <w:rFonts w:ascii="Times New Roman" w:eastAsia="Times New Roman" w:hAnsi="Times New Roman" w:cs="Times New Roman"/>
          <w:sz w:val="32"/>
          <w:u w:val="single"/>
        </w:rPr>
      </w:pPr>
      <w:r w:rsidRPr="00C37F7C">
        <w:rPr>
          <w:rFonts w:eastAsia="Times New Roman"/>
          <w:u w:val="single"/>
          <w:lang w:eastAsia="bg-BG"/>
        </w:rPr>
        <w:t>Дозировка</w:t>
      </w:r>
    </w:p>
    <w:p w14:paraId="4D73F216" w14:textId="77777777" w:rsidR="00C37F7C" w:rsidRPr="00C37F7C" w:rsidRDefault="00C37F7C" w:rsidP="00C37F7C">
      <w:pPr>
        <w:spacing w:line="240" w:lineRule="auto"/>
        <w:rPr>
          <w:rFonts w:eastAsia="Times New Roman" w:cs="Arial"/>
          <w:i/>
          <w:iCs/>
          <w:color w:val="000000"/>
          <w:szCs w:val="19"/>
          <w:lang w:eastAsia="bg-BG"/>
        </w:rPr>
      </w:pPr>
    </w:p>
    <w:p w14:paraId="256F259F" w14:textId="72FF768D"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i/>
          <w:iCs/>
          <w:color w:val="000000"/>
          <w:szCs w:val="19"/>
          <w:lang w:eastAsia="bg-BG"/>
        </w:rPr>
        <w:t>Монотерапия при възрастни и юноши на 16 и повече години</w:t>
      </w:r>
    </w:p>
    <w:p w14:paraId="340305BA"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Препоръчителната начална доза е 250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два пъти дневно, която след две седмици да се повиши на първоначална терапевтична доза от 500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два пъти дневно. След това дозата може да се повишава с по 250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два пъти дневно на всеки две седмици в зависимост от клиничния отговор. Максималната доза е 1 500 </w:t>
      </w:r>
      <w:r w:rsidRPr="00C37F7C">
        <w:rPr>
          <w:rFonts w:eastAsia="Times New Roman" w:cs="Arial"/>
          <w:color w:val="000000"/>
          <w:szCs w:val="19"/>
          <w:lang w:val="en-US"/>
        </w:rPr>
        <w:t xml:space="preserve">mg </w:t>
      </w:r>
      <w:r w:rsidRPr="00C37F7C">
        <w:rPr>
          <w:rFonts w:eastAsia="Times New Roman" w:cs="Arial"/>
          <w:color w:val="000000"/>
          <w:szCs w:val="19"/>
          <w:lang w:eastAsia="bg-BG"/>
        </w:rPr>
        <w:t>два пъти дневно.</w:t>
      </w:r>
    </w:p>
    <w:p w14:paraId="7AB20E7F" w14:textId="741B215D" w:rsidR="00C37F7C" w:rsidRPr="00C37F7C" w:rsidRDefault="00C37F7C" w:rsidP="00C37F7C">
      <w:pPr>
        <w:rPr>
          <w:sz w:val="28"/>
        </w:rPr>
      </w:pPr>
    </w:p>
    <w:p w14:paraId="37502F6C"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i/>
          <w:iCs/>
          <w:color w:val="000000"/>
          <w:szCs w:val="19"/>
          <w:lang w:eastAsia="bg-BG"/>
        </w:rPr>
        <w:t>Допълващо лечение при възрастни (&gt; 18 години) и юноши (12-17 години) с тегло</w:t>
      </w:r>
      <w:r w:rsidRPr="00C37F7C">
        <w:rPr>
          <w:rFonts w:eastAsia="Times New Roman" w:cs="Arial"/>
          <w:color w:val="000000"/>
          <w:szCs w:val="19"/>
          <w:lang w:eastAsia="bg-BG"/>
        </w:rPr>
        <w:t xml:space="preserve"> 50 </w:t>
      </w:r>
      <w:r w:rsidRPr="00C37F7C">
        <w:rPr>
          <w:rFonts w:eastAsia="Times New Roman" w:cs="Arial"/>
          <w:i/>
          <w:iCs/>
          <w:color w:val="000000"/>
          <w:szCs w:val="19"/>
          <w:lang w:val="en-US"/>
        </w:rPr>
        <w:t>kg</w:t>
      </w:r>
      <w:r w:rsidRPr="00C37F7C">
        <w:rPr>
          <w:rFonts w:eastAsia="Times New Roman" w:cs="Arial"/>
          <w:i/>
          <w:iCs/>
          <w:color w:val="000000"/>
          <w:szCs w:val="19"/>
          <w:lang w:val="ru-RU"/>
        </w:rPr>
        <w:t xml:space="preserve"> </w:t>
      </w:r>
      <w:r w:rsidRPr="00C37F7C">
        <w:rPr>
          <w:rFonts w:eastAsia="Times New Roman" w:cs="Arial"/>
          <w:i/>
          <w:iCs/>
          <w:color w:val="000000"/>
          <w:szCs w:val="19"/>
          <w:lang w:eastAsia="bg-BG"/>
        </w:rPr>
        <w:t>или повече</w:t>
      </w:r>
    </w:p>
    <w:p w14:paraId="1A3819D4"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Началната терапевтична доза е 500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два пъти дневно. Тази доза може да бъде започната от първия ден на лечението.</w:t>
      </w:r>
    </w:p>
    <w:p w14:paraId="75439A73"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В зависимост от клиничния отговор и поносимост дневната доза може да се увеличи до I 500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два пъти дневно. Промяна в дозата, свързана с увеличаване или намаляване, може да се извършва на всеки 2 до 4 седмици с 500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два пъти дневно.</w:t>
      </w:r>
    </w:p>
    <w:p w14:paraId="11931BD9" w14:textId="77777777" w:rsidR="00C37F7C" w:rsidRPr="00C37F7C" w:rsidRDefault="00C37F7C" w:rsidP="00C37F7C">
      <w:pPr>
        <w:spacing w:line="240" w:lineRule="auto"/>
        <w:rPr>
          <w:rFonts w:eastAsia="Times New Roman" w:cs="Arial"/>
          <w:color w:val="000000"/>
          <w:szCs w:val="19"/>
          <w:u w:val="single"/>
          <w:lang w:eastAsia="bg-BG"/>
        </w:rPr>
      </w:pPr>
    </w:p>
    <w:p w14:paraId="3D893613" w14:textId="4022C958"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Специални популации</w:t>
      </w:r>
    </w:p>
    <w:p w14:paraId="3F86F960" w14:textId="77777777" w:rsidR="00C37F7C" w:rsidRPr="00C37F7C" w:rsidRDefault="00C37F7C" w:rsidP="00C37F7C">
      <w:pPr>
        <w:spacing w:line="240" w:lineRule="auto"/>
        <w:rPr>
          <w:rFonts w:eastAsia="Times New Roman" w:cs="Arial"/>
          <w:i/>
          <w:iCs/>
          <w:color w:val="000000"/>
          <w:szCs w:val="19"/>
          <w:lang w:eastAsia="bg-BG"/>
        </w:rPr>
      </w:pPr>
    </w:p>
    <w:p w14:paraId="53EC39F6" w14:textId="53A0165E"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i/>
          <w:iCs/>
          <w:color w:val="000000"/>
          <w:szCs w:val="19"/>
          <w:lang w:eastAsia="bg-BG"/>
        </w:rPr>
        <w:t>Старческа възраст (65 години и по-възрастни)</w:t>
      </w:r>
    </w:p>
    <w:p w14:paraId="28788203"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Препоръчва се адаптиране на дозата при пациенти в старческа възраст с нарушена бъбречна функция (вж. по-долу "Бъбречно увреждане").</w:t>
      </w:r>
    </w:p>
    <w:p w14:paraId="4F0B10E6" w14:textId="77777777" w:rsidR="00C37F7C" w:rsidRPr="00C37F7C" w:rsidRDefault="00C37F7C" w:rsidP="00C37F7C">
      <w:pPr>
        <w:spacing w:line="240" w:lineRule="auto"/>
        <w:rPr>
          <w:rFonts w:eastAsia="Times New Roman" w:cs="Arial"/>
          <w:i/>
          <w:iCs/>
          <w:color w:val="000000"/>
          <w:szCs w:val="19"/>
          <w:lang w:eastAsia="bg-BG"/>
        </w:rPr>
      </w:pPr>
    </w:p>
    <w:p w14:paraId="3220794B" w14:textId="3819C0ED"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i/>
          <w:iCs/>
          <w:color w:val="000000"/>
          <w:szCs w:val="19"/>
          <w:lang w:eastAsia="bg-BG"/>
        </w:rPr>
        <w:t>Бъбречно увреждане</w:t>
      </w:r>
    </w:p>
    <w:p w14:paraId="22DA01AC"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Дневната доза трябва да се индивидуализира в зависимост от бъбречната функция.</w:t>
      </w:r>
    </w:p>
    <w:p w14:paraId="2CDD4556" w14:textId="77777777" w:rsidR="00C37F7C" w:rsidRPr="00C37F7C" w:rsidRDefault="00C37F7C" w:rsidP="00C37F7C">
      <w:pPr>
        <w:spacing w:line="240" w:lineRule="auto"/>
        <w:rPr>
          <w:rFonts w:eastAsia="Times New Roman" w:cs="Arial"/>
          <w:color w:val="000000"/>
          <w:szCs w:val="19"/>
          <w:lang w:eastAsia="bg-BG"/>
        </w:rPr>
      </w:pPr>
    </w:p>
    <w:p w14:paraId="207EEBA4" w14:textId="465493B9" w:rsidR="00C37F7C" w:rsidRDefault="00C37F7C" w:rsidP="00C37F7C">
      <w:pPr>
        <w:spacing w:line="240" w:lineRule="auto"/>
        <w:rPr>
          <w:rFonts w:eastAsia="Times New Roman" w:cs="Arial"/>
          <w:color w:val="000000"/>
          <w:szCs w:val="19"/>
          <w:lang w:eastAsia="bg-BG"/>
        </w:rPr>
      </w:pPr>
      <w:r w:rsidRPr="00C37F7C">
        <w:rPr>
          <w:rFonts w:eastAsia="Times New Roman" w:cs="Arial"/>
          <w:color w:val="000000"/>
          <w:szCs w:val="19"/>
          <w:lang w:eastAsia="bg-BG"/>
        </w:rPr>
        <w:t xml:space="preserve">При възрастни пациенти използвайте приложената по-долу таблица за адаптиране на дозата. За прилагане на тази таблица е необходимо да се знае креатининовия клирънс на пациента, изразен в </w:t>
      </w:r>
      <w:r w:rsidRPr="00C37F7C">
        <w:rPr>
          <w:rFonts w:eastAsia="Times New Roman" w:cs="Arial"/>
          <w:color w:val="000000"/>
          <w:szCs w:val="19"/>
          <w:lang w:val="en-US"/>
        </w:rPr>
        <w:t>ml</w:t>
      </w:r>
      <w:r w:rsidRPr="00C37F7C">
        <w:rPr>
          <w:rFonts w:eastAsia="Times New Roman" w:cs="Arial"/>
          <w:color w:val="000000"/>
          <w:szCs w:val="19"/>
          <w:lang w:val="ru-RU"/>
        </w:rPr>
        <w:t>/</w:t>
      </w:r>
      <w:r w:rsidRPr="00C37F7C">
        <w:rPr>
          <w:rFonts w:eastAsia="Times New Roman" w:cs="Arial"/>
          <w:color w:val="000000"/>
          <w:szCs w:val="19"/>
          <w:lang w:val="en-US"/>
        </w:rPr>
        <w:t>min</w:t>
      </w:r>
      <w:r w:rsidRPr="00C37F7C">
        <w:rPr>
          <w:rFonts w:eastAsia="Times New Roman" w:cs="Arial"/>
          <w:color w:val="000000"/>
          <w:szCs w:val="19"/>
          <w:lang w:val="ru-RU"/>
        </w:rPr>
        <w:t xml:space="preserve"> (</w:t>
      </w:r>
      <w:proofErr w:type="spellStart"/>
      <w:r w:rsidRPr="00C37F7C">
        <w:rPr>
          <w:rFonts w:eastAsia="Times New Roman" w:cs="Arial"/>
          <w:color w:val="000000"/>
          <w:szCs w:val="19"/>
          <w:lang w:val="en-US"/>
        </w:rPr>
        <w:t>CLcr</w:t>
      </w:r>
      <w:proofErr w:type="spellEnd"/>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При възрастни и юноши с тегло над 50 </w:t>
      </w:r>
      <w:r w:rsidRPr="00C37F7C">
        <w:rPr>
          <w:rFonts w:eastAsia="Times New Roman" w:cs="Arial"/>
          <w:color w:val="000000"/>
          <w:szCs w:val="19"/>
          <w:lang w:val="en-US"/>
        </w:rPr>
        <w:t>kg</w:t>
      </w:r>
      <w:r w:rsidRPr="00C37F7C">
        <w:rPr>
          <w:rFonts w:eastAsia="Times New Roman" w:cs="Arial"/>
          <w:color w:val="000000"/>
          <w:szCs w:val="19"/>
          <w:lang w:val="ru-RU"/>
        </w:rPr>
        <w:t xml:space="preserve"> </w:t>
      </w:r>
      <w:proofErr w:type="spellStart"/>
      <w:r w:rsidRPr="00C37F7C">
        <w:rPr>
          <w:rFonts w:eastAsia="Times New Roman" w:cs="Arial"/>
          <w:color w:val="000000"/>
          <w:szCs w:val="19"/>
          <w:lang w:val="en-US"/>
        </w:rPr>
        <w:t>CLcr</w:t>
      </w:r>
      <w:proofErr w:type="spellEnd"/>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в </w:t>
      </w:r>
      <w:r w:rsidRPr="00C37F7C">
        <w:rPr>
          <w:rFonts w:eastAsia="Times New Roman" w:cs="Arial"/>
          <w:color w:val="000000"/>
          <w:szCs w:val="19"/>
          <w:lang w:val="en-US"/>
        </w:rPr>
        <w:t>ml</w:t>
      </w:r>
      <w:r w:rsidRPr="00C37F7C">
        <w:rPr>
          <w:rFonts w:eastAsia="Times New Roman" w:cs="Arial"/>
          <w:color w:val="000000"/>
          <w:szCs w:val="19"/>
          <w:lang w:val="ru-RU"/>
        </w:rPr>
        <w:t>/</w:t>
      </w:r>
      <w:r w:rsidRPr="00C37F7C">
        <w:rPr>
          <w:rFonts w:eastAsia="Times New Roman" w:cs="Arial"/>
          <w:color w:val="000000"/>
          <w:szCs w:val="19"/>
          <w:lang w:val="en-US"/>
        </w:rPr>
        <w:t>min</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може да се определи от серумния креатинин </w:t>
      </w:r>
      <w:r w:rsidRPr="00C37F7C">
        <w:rPr>
          <w:rFonts w:eastAsia="Times New Roman" w:cs="Arial"/>
          <w:color w:val="000000"/>
          <w:szCs w:val="19"/>
          <w:lang w:val="ru-RU"/>
        </w:rPr>
        <w:t>(</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dl</w:t>
      </w:r>
      <w:r w:rsidRPr="00C37F7C">
        <w:rPr>
          <w:rFonts w:eastAsia="Times New Roman" w:cs="Arial"/>
          <w:color w:val="000000"/>
          <w:szCs w:val="19"/>
          <w:lang w:val="ru-RU"/>
        </w:rPr>
        <w:t xml:space="preserve">) </w:t>
      </w:r>
      <w:r w:rsidRPr="00C37F7C">
        <w:rPr>
          <w:rFonts w:eastAsia="Times New Roman" w:cs="Arial"/>
          <w:color w:val="000000"/>
          <w:szCs w:val="19"/>
          <w:lang w:eastAsia="bg-BG"/>
        </w:rPr>
        <w:t>чрез следната формула:</w:t>
      </w:r>
    </w:p>
    <w:p w14:paraId="35B3ED76" w14:textId="77777777" w:rsidR="00C37F7C" w:rsidRPr="00C37F7C" w:rsidRDefault="00C37F7C" w:rsidP="00C37F7C">
      <w:pPr>
        <w:spacing w:line="240" w:lineRule="auto"/>
        <w:rPr>
          <w:rFonts w:ascii="Times New Roman" w:eastAsia="Times New Roman" w:hAnsi="Times New Roman" w:cs="Times New Roman"/>
          <w:sz w:val="24"/>
          <w:szCs w:val="24"/>
        </w:rPr>
      </w:pPr>
    </w:p>
    <w:p w14:paraId="4FDBD1CA" w14:textId="195A1657" w:rsidR="00C37F7C" w:rsidRPr="00C37F7C" w:rsidRDefault="00C37F7C" w:rsidP="00C37F7C">
      <w:pPr>
        <w:rPr>
          <w:rFonts w:eastAsiaTheme="minorEastAsia" w:cs="Arial"/>
          <w:i/>
          <w:szCs w:val="19"/>
        </w:rPr>
      </w:pPr>
      <m:oMathPara>
        <m:oMathParaPr>
          <m:jc m:val="left"/>
        </m:oMathParaPr>
        <m:oMath>
          <m:r>
            <m:rPr>
              <m:sty m:val="p"/>
            </m:rPr>
            <w:rPr>
              <w:rFonts w:ascii="Cambria Math" w:hAnsi="Cambria Math" w:cs="Arial"/>
              <w:szCs w:val="19"/>
            </w:rPr>
            <m:t>CLcr (ml/min)=</m:t>
          </m:r>
          <m:f>
            <m:fPr>
              <m:ctrlPr>
                <w:rPr>
                  <w:rFonts w:ascii="Cambria Math" w:hAnsi="Cambria Math" w:cs="Arial"/>
                  <w:szCs w:val="19"/>
                </w:rPr>
              </m:ctrlPr>
            </m:fPr>
            <m:num>
              <m:d>
                <m:dPr>
                  <m:begChr m:val="["/>
                  <m:endChr m:val="]"/>
                  <m:ctrlPr>
                    <w:rPr>
                      <w:rFonts w:ascii="Cambria Math" w:hAnsi="Cambria Math" w:cs="Arial"/>
                      <w:szCs w:val="19"/>
                    </w:rPr>
                  </m:ctrlPr>
                </m:dPr>
                <m:e>
                  <m:r>
                    <m:rPr>
                      <m:sty m:val="p"/>
                    </m:rPr>
                    <w:rPr>
                      <w:rFonts w:ascii="Cambria Math" w:hAnsi="Cambria Math" w:cs="Arial"/>
                      <w:szCs w:val="19"/>
                    </w:rPr>
                    <m:t xml:space="preserve">140 - възрастта </m:t>
                  </m:r>
                  <m:d>
                    <m:dPr>
                      <m:ctrlPr>
                        <w:rPr>
                          <w:rFonts w:ascii="Cambria Math" w:hAnsi="Cambria Math" w:cs="Arial"/>
                          <w:szCs w:val="19"/>
                        </w:rPr>
                      </m:ctrlPr>
                    </m:dPr>
                    <m:e>
                      <m:r>
                        <m:rPr>
                          <m:sty m:val="p"/>
                        </m:rPr>
                        <w:rPr>
                          <w:rFonts w:ascii="Cambria Math" w:hAnsi="Cambria Math" w:cs="Arial"/>
                          <w:szCs w:val="19"/>
                        </w:rPr>
                        <m:t>години</m:t>
                      </m:r>
                    </m:e>
                  </m:d>
                </m:e>
              </m:d>
              <m:r>
                <m:rPr>
                  <m:sty m:val="p"/>
                </m:rPr>
                <w:rPr>
                  <w:rFonts w:ascii="Cambria Math" w:hAnsi="Cambria Math" w:cs="Arial"/>
                  <w:szCs w:val="19"/>
                </w:rPr>
                <m:t xml:space="preserve">х теглото </m:t>
              </m:r>
              <m:d>
                <m:dPr>
                  <m:ctrlPr>
                    <w:rPr>
                      <w:rFonts w:ascii="Cambria Math" w:hAnsi="Cambria Math" w:cs="Arial"/>
                      <w:szCs w:val="19"/>
                      <w:lang w:val="en-US"/>
                    </w:rPr>
                  </m:ctrlPr>
                </m:dPr>
                <m:e>
                  <m:r>
                    <m:rPr>
                      <m:sty m:val="p"/>
                    </m:rPr>
                    <w:rPr>
                      <w:rFonts w:ascii="Cambria Math" w:hAnsi="Cambria Math" w:cs="Arial"/>
                      <w:szCs w:val="19"/>
                      <w:lang w:val="en-US"/>
                    </w:rPr>
                    <m:t>kg</m:t>
                  </m:r>
                </m:e>
              </m:d>
            </m:num>
            <m:den>
              <m:r>
                <m:rPr>
                  <m:sty m:val="p"/>
                </m:rPr>
                <w:rPr>
                  <w:rFonts w:ascii="Cambria Math" w:hAnsi="Cambria Math" w:cs="Arial"/>
                  <w:szCs w:val="19"/>
                </w:rPr>
                <m:t xml:space="preserve">72 х серумен креатинин </m:t>
              </m:r>
              <m:d>
                <m:dPr>
                  <m:ctrlPr>
                    <w:rPr>
                      <w:rFonts w:ascii="Cambria Math" w:hAnsi="Cambria Math" w:cs="Arial"/>
                      <w:szCs w:val="19"/>
                      <w:lang w:val="en-US"/>
                    </w:rPr>
                  </m:ctrlPr>
                </m:dPr>
                <m:e>
                  <m:f>
                    <m:fPr>
                      <m:ctrlPr>
                        <w:rPr>
                          <w:rFonts w:ascii="Cambria Math" w:hAnsi="Cambria Math" w:cs="Arial"/>
                          <w:szCs w:val="19"/>
                          <w:lang w:val="en-US"/>
                        </w:rPr>
                      </m:ctrlPr>
                    </m:fPr>
                    <m:num>
                      <m:r>
                        <m:rPr>
                          <m:sty m:val="p"/>
                        </m:rPr>
                        <w:rPr>
                          <w:rFonts w:ascii="Cambria Math" w:hAnsi="Cambria Math" w:cs="Arial"/>
                          <w:szCs w:val="19"/>
                          <w:lang w:val="en-US"/>
                        </w:rPr>
                        <m:t>mg</m:t>
                      </m:r>
                    </m:num>
                    <m:den>
                      <m:r>
                        <m:rPr>
                          <m:sty m:val="p"/>
                        </m:rPr>
                        <w:rPr>
                          <w:rFonts w:ascii="Cambria Math" w:hAnsi="Cambria Math" w:cs="Arial"/>
                          <w:szCs w:val="19"/>
                          <w:lang w:val="en-US"/>
                        </w:rPr>
                        <m:t>dl</m:t>
                      </m:r>
                    </m:den>
                  </m:f>
                </m:e>
              </m:d>
            </m:den>
          </m:f>
          <m:r>
            <w:rPr>
              <w:rFonts w:ascii="Cambria Math" w:hAnsi="Cambria Math" w:cs="Arial"/>
              <w:szCs w:val="19"/>
            </w:rPr>
            <m:t xml:space="preserve"> (x при жени</m:t>
          </m:r>
          <m:r>
            <w:rPr>
              <w:rFonts w:ascii="Cambria Math" w:hAnsi="Cambria Math" w:cs="Arial"/>
              <w:szCs w:val="19"/>
            </w:rPr>
            <m:t>)</m:t>
          </m:r>
        </m:oMath>
      </m:oMathPara>
    </w:p>
    <w:p w14:paraId="4C035A07" w14:textId="4E2BD017" w:rsidR="00C37F7C" w:rsidRDefault="00C37F7C" w:rsidP="00C37F7C">
      <w:pPr>
        <w:rPr>
          <w:rFonts w:eastAsiaTheme="minorEastAsia" w:cs="Arial"/>
          <w:i/>
          <w:szCs w:val="19"/>
        </w:rPr>
      </w:pPr>
    </w:p>
    <w:p w14:paraId="01DAEA0F" w14:textId="5678ADEA" w:rsidR="00C37F7C" w:rsidRDefault="00C37F7C" w:rsidP="00C37F7C">
      <w:r>
        <w:t xml:space="preserve">Като </w:t>
      </w:r>
      <w:proofErr w:type="spellStart"/>
      <w:r>
        <w:rPr>
          <w:lang w:val="en-US"/>
        </w:rPr>
        <w:t>CLcr</w:t>
      </w:r>
      <w:proofErr w:type="spellEnd"/>
      <w:r w:rsidRPr="00C37F7C">
        <w:rPr>
          <w:lang w:val="ru-RU"/>
        </w:rPr>
        <w:t xml:space="preserve"> </w:t>
      </w:r>
      <w:r>
        <w:t xml:space="preserve">се адаптира спрямо телесната повърхност </w:t>
      </w:r>
      <w:r w:rsidRPr="00C37F7C">
        <w:rPr>
          <w:lang w:val="ru-RU"/>
        </w:rPr>
        <w:t>(</w:t>
      </w:r>
      <w:r>
        <w:rPr>
          <w:lang w:val="en-US"/>
        </w:rPr>
        <w:t>BSA</w:t>
      </w:r>
      <w:r w:rsidRPr="00C37F7C">
        <w:rPr>
          <w:lang w:val="ru-RU"/>
        </w:rPr>
        <w:t xml:space="preserve">) </w:t>
      </w:r>
      <w:r>
        <w:t>както следва:</w:t>
      </w:r>
    </w:p>
    <w:p w14:paraId="6EB4C711" w14:textId="2845C7F2" w:rsidR="00C37F7C" w:rsidRDefault="00C37F7C" w:rsidP="00C37F7C"/>
    <w:p w14:paraId="181450A1" w14:textId="2CB7E933" w:rsidR="00C37F7C" w:rsidRPr="00C37F7C" w:rsidRDefault="00C37F7C" w:rsidP="00C37F7C">
      <w:pPr>
        <w:rPr>
          <w:rFonts w:eastAsiaTheme="minorEastAsia" w:cs="Arial"/>
          <w:szCs w:val="19"/>
        </w:rPr>
      </w:pPr>
      <m:oMathPara>
        <m:oMathParaPr>
          <m:jc m:val="left"/>
        </m:oMathParaPr>
        <m:oMath>
          <m:r>
            <m:rPr>
              <m:sty m:val="p"/>
            </m:rPr>
            <w:rPr>
              <w:rFonts w:ascii="Cambria Math" w:hAnsi="Cambria Math" w:cs="Arial"/>
              <w:szCs w:val="19"/>
            </w:rPr>
            <m:t>CLcr (ml/min/1,73 m</m:t>
          </m:r>
          <m:r>
            <m:rPr>
              <m:sty m:val="p"/>
            </m:rPr>
            <w:rPr>
              <w:rFonts w:ascii="Cambria Math" w:hAnsi="Cambria Math" w:cs="Arial"/>
              <w:szCs w:val="19"/>
              <w:vertAlign w:val="superscript"/>
            </w:rPr>
            <m:t>2</m:t>
          </m:r>
          <m:r>
            <m:rPr>
              <m:sty m:val="p"/>
            </m:rPr>
            <w:rPr>
              <w:rFonts w:ascii="Cambria Math" w:hAnsi="Cambria Math" w:cs="Arial"/>
              <w:szCs w:val="19"/>
            </w:rPr>
            <m:t>) =</m:t>
          </m:r>
          <m:f>
            <m:fPr>
              <m:ctrlPr>
                <w:rPr>
                  <w:rFonts w:ascii="Cambria Math" w:hAnsi="Cambria Math" w:cs="Arial"/>
                  <w:szCs w:val="19"/>
                </w:rPr>
              </m:ctrlPr>
            </m:fPr>
            <m:num>
              <m:r>
                <m:rPr>
                  <m:sty m:val="p"/>
                </m:rPr>
                <w:rPr>
                  <w:rFonts w:ascii="Cambria Math" w:hAnsi="Cambria Math" w:cs="Arial"/>
                  <w:szCs w:val="19"/>
                </w:rPr>
                <m:t>CLcr (ml/min)</m:t>
              </m:r>
            </m:num>
            <m:den>
              <m:r>
                <m:rPr>
                  <m:sty m:val="p"/>
                </m:rPr>
                <w:rPr>
                  <w:rFonts w:ascii="Cambria Math" w:hAnsi="Cambria Math" w:cs="Arial"/>
                  <w:szCs w:val="19"/>
                  <w:lang w:val="en-US"/>
                </w:rPr>
                <m:t xml:space="preserve">BSA </m:t>
              </m:r>
              <m:r>
                <m:rPr>
                  <m:sty m:val="p"/>
                </m:rPr>
                <w:rPr>
                  <w:rFonts w:ascii="Cambria Math" w:hAnsi="Cambria Math" w:cs="Arial"/>
                  <w:szCs w:val="19"/>
                </w:rPr>
                <m:t xml:space="preserve">пациент </m:t>
              </m:r>
              <m:r>
                <m:rPr>
                  <m:sty m:val="p"/>
                </m:rPr>
                <w:rPr>
                  <w:rFonts w:ascii="Cambria Math" w:hAnsi="Cambria Math" w:cs="Arial"/>
                  <w:szCs w:val="19"/>
                  <w:lang w:val="en-US"/>
                </w:rPr>
                <m:t>(m</m:t>
              </m:r>
              <m:r>
                <m:rPr>
                  <m:sty m:val="p"/>
                </m:rPr>
                <w:rPr>
                  <w:rFonts w:ascii="Cambria Math" w:hAnsi="Cambria Math" w:cs="Arial"/>
                  <w:szCs w:val="19"/>
                  <w:vertAlign w:val="superscript"/>
                  <w:lang w:val="en-US"/>
                </w:rPr>
                <m:t>2</m:t>
              </m:r>
              <m:r>
                <m:rPr>
                  <m:sty m:val="p"/>
                </m:rPr>
                <w:rPr>
                  <w:rFonts w:ascii="Cambria Math" w:hAnsi="Cambria Math" w:cs="Arial"/>
                  <w:szCs w:val="19"/>
                  <w:lang w:val="en-US"/>
                </w:rPr>
                <m:t>)</m:t>
              </m:r>
            </m:den>
          </m:f>
          <m:r>
            <m:rPr>
              <m:sty m:val="p"/>
            </m:rPr>
            <w:rPr>
              <w:rFonts w:ascii="Cambria Math" w:hAnsi="Cambria Math" w:cs="Arial"/>
              <w:szCs w:val="19"/>
            </w:rPr>
            <m:t>х 1,73</m:t>
          </m:r>
        </m:oMath>
      </m:oMathPara>
    </w:p>
    <w:p w14:paraId="267A02A0" w14:textId="31C37756" w:rsidR="00C37F7C" w:rsidRDefault="00C37F7C" w:rsidP="00C37F7C">
      <w:pPr>
        <w:rPr>
          <w:rFonts w:eastAsiaTheme="minorEastAsia" w:cs="Arial"/>
          <w:szCs w:val="19"/>
        </w:rPr>
      </w:pPr>
    </w:p>
    <w:p w14:paraId="32C5F576" w14:textId="0FD1B9B2" w:rsidR="00C37F7C" w:rsidRDefault="00C37F7C" w:rsidP="00C37F7C">
      <w:pPr>
        <w:rPr>
          <w:rFonts w:cs="Arial"/>
          <w:szCs w:val="19"/>
          <w:u w:val="single"/>
        </w:rPr>
      </w:pPr>
      <w:r w:rsidRPr="00C37F7C">
        <w:rPr>
          <w:rFonts w:cs="Arial"/>
          <w:szCs w:val="19"/>
          <w:u w:val="single"/>
        </w:rPr>
        <w:t xml:space="preserve">Адаптиране на дозата при възрастни и юноши с тегло над 50 </w:t>
      </w:r>
      <w:r w:rsidRPr="00C37F7C">
        <w:rPr>
          <w:rFonts w:cs="Arial"/>
          <w:szCs w:val="19"/>
          <w:u w:val="single"/>
          <w:lang w:val="en-US"/>
        </w:rPr>
        <w:t>kg</w:t>
      </w:r>
      <w:r w:rsidRPr="00C37F7C">
        <w:rPr>
          <w:rFonts w:cs="Arial"/>
          <w:szCs w:val="19"/>
          <w:u w:val="single"/>
          <w:lang w:val="ru-RU"/>
        </w:rPr>
        <w:t xml:space="preserve"> </w:t>
      </w:r>
      <w:r w:rsidRPr="00C37F7C">
        <w:rPr>
          <w:rFonts w:cs="Arial"/>
          <w:szCs w:val="19"/>
          <w:u w:val="single"/>
        </w:rPr>
        <w:t>с нарушена бъбречна функция:</w:t>
      </w:r>
    </w:p>
    <w:tbl>
      <w:tblPr>
        <w:tblStyle w:val="TableGrid"/>
        <w:tblW w:w="0" w:type="auto"/>
        <w:tblLook w:val="04A0" w:firstRow="1" w:lastRow="0" w:firstColumn="1" w:lastColumn="0" w:noHBand="0" w:noVBand="1"/>
      </w:tblPr>
      <w:tblGrid>
        <w:gridCol w:w="3127"/>
        <w:gridCol w:w="3124"/>
        <w:gridCol w:w="3099"/>
      </w:tblGrid>
      <w:tr w:rsidR="00C37F7C" w14:paraId="397625D9" w14:textId="77777777" w:rsidTr="00C37F7C">
        <w:tc>
          <w:tcPr>
            <w:tcW w:w="3192" w:type="dxa"/>
          </w:tcPr>
          <w:p w14:paraId="36AAA60F" w14:textId="55F76F41" w:rsidR="00C37F7C" w:rsidRPr="00C37F7C" w:rsidRDefault="00C37F7C" w:rsidP="00C37F7C">
            <w:pPr>
              <w:rPr>
                <w:rFonts w:cs="Arial"/>
              </w:rPr>
            </w:pPr>
            <w:r w:rsidRPr="00C37F7C">
              <w:rPr>
                <w:rFonts w:cs="Arial"/>
                <w:szCs w:val="19"/>
              </w:rPr>
              <w:t>Група</w:t>
            </w:r>
          </w:p>
        </w:tc>
        <w:tc>
          <w:tcPr>
            <w:tcW w:w="3192" w:type="dxa"/>
          </w:tcPr>
          <w:p w14:paraId="1074056E" w14:textId="77777777" w:rsidR="00C37F7C" w:rsidRPr="00C37F7C" w:rsidRDefault="00C37F7C" w:rsidP="00C37F7C">
            <w:r w:rsidRPr="00C37F7C">
              <w:rPr>
                <w:rFonts w:cs="Arial"/>
                <w:szCs w:val="19"/>
              </w:rPr>
              <w:t>Креатининов</w:t>
            </w:r>
            <w:r w:rsidRPr="00C37F7C">
              <w:rPr>
                <w:rFonts w:cs="Arial"/>
                <w:szCs w:val="19"/>
              </w:rPr>
              <w:tab/>
              <w:t>клирънс</w:t>
            </w:r>
          </w:p>
          <w:p w14:paraId="4BB1703E" w14:textId="4E0112B8" w:rsidR="00C37F7C" w:rsidRPr="00C37F7C" w:rsidRDefault="00C37F7C" w:rsidP="00C37F7C">
            <w:pPr>
              <w:rPr>
                <w:rFonts w:cs="Arial"/>
              </w:rPr>
            </w:pPr>
            <w:r w:rsidRPr="00C37F7C">
              <w:rPr>
                <w:rFonts w:cs="Arial"/>
                <w:szCs w:val="19"/>
                <w:lang w:val="ru-RU"/>
              </w:rPr>
              <w:t>(</w:t>
            </w:r>
            <w:r w:rsidRPr="00C37F7C">
              <w:rPr>
                <w:rFonts w:cs="Arial"/>
                <w:szCs w:val="19"/>
                <w:lang w:val="en-US"/>
              </w:rPr>
              <w:t>ml</w:t>
            </w:r>
            <w:r w:rsidRPr="00C37F7C">
              <w:rPr>
                <w:rFonts w:cs="Arial"/>
                <w:szCs w:val="19"/>
                <w:lang w:val="ru-RU"/>
              </w:rPr>
              <w:t>/</w:t>
            </w:r>
            <w:r w:rsidRPr="00C37F7C">
              <w:rPr>
                <w:rFonts w:cs="Arial"/>
                <w:szCs w:val="19"/>
                <w:lang w:val="en-US"/>
              </w:rPr>
              <w:t>min</w:t>
            </w:r>
            <w:r w:rsidRPr="00C37F7C">
              <w:rPr>
                <w:rFonts w:cs="Arial"/>
                <w:szCs w:val="19"/>
                <w:lang w:val="ru-RU"/>
              </w:rPr>
              <w:t>/1,73</w:t>
            </w:r>
            <w:r w:rsidRPr="00C37F7C">
              <w:rPr>
                <w:rFonts w:cs="Arial"/>
                <w:szCs w:val="19"/>
                <w:lang w:val="en-US"/>
              </w:rPr>
              <w:t>m</w:t>
            </w:r>
            <w:r w:rsidRPr="00C37F7C">
              <w:rPr>
                <w:rFonts w:cs="Arial"/>
                <w:szCs w:val="19"/>
                <w:lang w:val="ru-RU"/>
              </w:rPr>
              <w:t>2)</w:t>
            </w:r>
          </w:p>
        </w:tc>
        <w:tc>
          <w:tcPr>
            <w:tcW w:w="3192" w:type="dxa"/>
          </w:tcPr>
          <w:p w14:paraId="712BD423" w14:textId="1A37FACE" w:rsidR="00C37F7C" w:rsidRPr="00C37F7C" w:rsidRDefault="00C37F7C" w:rsidP="00C37F7C">
            <w:pPr>
              <w:rPr>
                <w:rFonts w:cs="Arial"/>
              </w:rPr>
            </w:pPr>
            <w:r w:rsidRPr="00C37F7C">
              <w:rPr>
                <w:rFonts w:cs="Arial"/>
                <w:szCs w:val="19"/>
              </w:rPr>
              <w:t>Доза и честота на прилагане</w:t>
            </w:r>
          </w:p>
        </w:tc>
      </w:tr>
      <w:tr w:rsidR="00C37F7C" w14:paraId="71336295" w14:textId="77777777" w:rsidTr="00C37F7C">
        <w:tc>
          <w:tcPr>
            <w:tcW w:w="3192" w:type="dxa"/>
          </w:tcPr>
          <w:p w14:paraId="0496B54D" w14:textId="709D8221" w:rsidR="00C37F7C" w:rsidRPr="00C37F7C" w:rsidRDefault="00C37F7C" w:rsidP="00C37F7C">
            <w:pPr>
              <w:rPr>
                <w:rFonts w:cs="Arial"/>
              </w:rPr>
            </w:pPr>
            <w:r w:rsidRPr="00C37F7C">
              <w:rPr>
                <w:rFonts w:cs="Arial"/>
                <w:szCs w:val="19"/>
              </w:rPr>
              <w:t>Нормална функция</w:t>
            </w:r>
          </w:p>
        </w:tc>
        <w:tc>
          <w:tcPr>
            <w:tcW w:w="3192" w:type="dxa"/>
          </w:tcPr>
          <w:p w14:paraId="24B5F8AE" w14:textId="65962F43" w:rsidR="00C37F7C" w:rsidRPr="00C37F7C" w:rsidRDefault="00C37F7C" w:rsidP="00C37F7C">
            <w:pPr>
              <w:rPr>
                <w:rFonts w:cs="Arial"/>
              </w:rPr>
            </w:pPr>
            <w:r w:rsidRPr="00C37F7C">
              <w:rPr>
                <w:rFonts w:cs="Arial"/>
                <w:szCs w:val="19"/>
              </w:rPr>
              <w:t>≥80</w:t>
            </w:r>
          </w:p>
        </w:tc>
        <w:tc>
          <w:tcPr>
            <w:tcW w:w="3192" w:type="dxa"/>
          </w:tcPr>
          <w:p w14:paraId="7411FD68" w14:textId="4DA0002B" w:rsidR="00C37F7C" w:rsidRPr="00C37F7C" w:rsidRDefault="00C37F7C" w:rsidP="00C37F7C">
            <w:pPr>
              <w:rPr>
                <w:rFonts w:cs="Arial"/>
              </w:rPr>
            </w:pPr>
            <w:r w:rsidRPr="00C37F7C">
              <w:rPr>
                <w:rFonts w:cs="Arial"/>
                <w:szCs w:val="19"/>
              </w:rPr>
              <w:t xml:space="preserve">500 до 1 500 </w:t>
            </w:r>
            <w:r w:rsidRPr="00C37F7C">
              <w:rPr>
                <w:rFonts w:cs="Arial"/>
                <w:szCs w:val="19"/>
                <w:lang w:val="en-US"/>
              </w:rPr>
              <w:t>mg</w:t>
            </w:r>
            <w:r w:rsidRPr="00C37F7C">
              <w:rPr>
                <w:rFonts w:cs="Arial"/>
                <w:szCs w:val="19"/>
                <w:lang w:val="ru-RU"/>
              </w:rPr>
              <w:t xml:space="preserve"> </w:t>
            </w:r>
            <w:r w:rsidRPr="00C37F7C">
              <w:rPr>
                <w:rFonts w:cs="Arial"/>
                <w:szCs w:val="19"/>
              </w:rPr>
              <w:t>два пъти дневно</w:t>
            </w:r>
          </w:p>
        </w:tc>
      </w:tr>
      <w:tr w:rsidR="00C37F7C" w14:paraId="5F1DEF79" w14:textId="77777777" w:rsidTr="00C37F7C">
        <w:tc>
          <w:tcPr>
            <w:tcW w:w="3192" w:type="dxa"/>
          </w:tcPr>
          <w:p w14:paraId="5B59EC3B" w14:textId="0E3361DE" w:rsidR="00C37F7C" w:rsidRPr="00C37F7C" w:rsidRDefault="00C37F7C" w:rsidP="00C37F7C">
            <w:pPr>
              <w:rPr>
                <w:rFonts w:cs="Arial"/>
              </w:rPr>
            </w:pPr>
            <w:r w:rsidRPr="00C37F7C">
              <w:rPr>
                <w:rFonts w:cs="Arial"/>
                <w:szCs w:val="19"/>
              </w:rPr>
              <w:t>Лека степен на нарушена функция</w:t>
            </w:r>
          </w:p>
        </w:tc>
        <w:tc>
          <w:tcPr>
            <w:tcW w:w="3192" w:type="dxa"/>
          </w:tcPr>
          <w:p w14:paraId="23C88840" w14:textId="643E38DE" w:rsidR="00C37F7C" w:rsidRPr="00C37F7C" w:rsidRDefault="00C37F7C" w:rsidP="00C37F7C">
            <w:pPr>
              <w:rPr>
                <w:rFonts w:cs="Arial"/>
              </w:rPr>
            </w:pPr>
            <w:r w:rsidRPr="00C37F7C">
              <w:rPr>
                <w:rFonts w:cs="Arial"/>
                <w:szCs w:val="19"/>
              </w:rPr>
              <w:t>50-79</w:t>
            </w:r>
          </w:p>
        </w:tc>
        <w:tc>
          <w:tcPr>
            <w:tcW w:w="3192" w:type="dxa"/>
          </w:tcPr>
          <w:p w14:paraId="5F1FB98B" w14:textId="421897D5" w:rsidR="00C37F7C" w:rsidRPr="00C37F7C" w:rsidRDefault="00C37F7C" w:rsidP="00C37F7C">
            <w:pPr>
              <w:rPr>
                <w:rFonts w:cs="Arial"/>
              </w:rPr>
            </w:pPr>
            <w:r w:rsidRPr="00C37F7C">
              <w:rPr>
                <w:rFonts w:cs="Arial"/>
                <w:szCs w:val="19"/>
              </w:rPr>
              <w:t xml:space="preserve">500 до 1 000 </w:t>
            </w:r>
            <w:r w:rsidRPr="00C37F7C">
              <w:rPr>
                <w:rFonts w:cs="Arial"/>
                <w:szCs w:val="19"/>
                <w:lang w:val="en-US"/>
              </w:rPr>
              <w:t>mg</w:t>
            </w:r>
            <w:r w:rsidRPr="00C37F7C">
              <w:rPr>
                <w:rFonts w:cs="Arial"/>
                <w:szCs w:val="19"/>
                <w:lang w:val="ru-RU"/>
              </w:rPr>
              <w:t xml:space="preserve"> </w:t>
            </w:r>
            <w:r w:rsidRPr="00C37F7C">
              <w:rPr>
                <w:rFonts w:cs="Arial"/>
                <w:szCs w:val="19"/>
              </w:rPr>
              <w:t>два пъти дневно</w:t>
            </w:r>
          </w:p>
        </w:tc>
      </w:tr>
      <w:tr w:rsidR="00C37F7C" w14:paraId="25BACBB0" w14:textId="77777777" w:rsidTr="00C37F7C">
        <w:tc>
          <w:tcPr>
            <w:tcW w:w="3192" w:type="dxa"/>
          </w:tcPr>
          <w:p w14:paraId="1A78D6F7" w14:textId="44859188" w:rsidR="00C37F7C" w:rsidRPr="00C37F7C" w:rsidRDefault="00C37F7C" w:rsidP="00C37F7C">
            <w:pPr>
              <w:rPr>
                <w:rFonts w:cs="Arial"/>
              </w:rPr>
            </w:pPr>
            <w:r w:rsidRPr="00C37F7C">
              <w:rPr>
                <w:rFonts w:cs="Arial"/>
                <w:szCs w:val="19"/>
              </w:rPr>
              <w:t>Умерена степен на нарушена функция</w:t>
            </w:r>
          </w:p>
        </w:tc>
        <w:tc>
          <w:tcPr>
            <w:tcW w:w="3192" w:type="dxa"/>
          </w:tcPr>
          <w:p w14:paraId="28DB8BB0" w14:textId="532CEF5D" w:rsidR="00C37F7C" w:rsidRPr="00C37F7C" w:rsidRDefault="00C37F7C" w:rsidP="00C37F7C">
            <w:pPr>
              <w:rPr>
                <w:rFonts w:cs="Arial"/>
              </w:rPr>
            </w:pPr>
            <w:r w:rsidRPr="00C37F7C">
              <w:rPr>
                <w:rFonts w:cs="Arial"/>
                <w:szCs w:val="19"/>
              </w:rPr>
              <w:t>30-49</w:t>
            </w:r>
          </w:p>
        </w:tc>
        <w:tc>
          <w:tcPr>
            <w:tcW w:w="3192" w:type="dxa"/>
          </w:tcPr>
          <w:p w14:paraId="098A9D22" w14:textId="7DE79E45" w:rsidR="00C37F7C" w:rsidRPr="00C37F7C" w:rsidRDefault="00C37F7C" w:rsidP="00C37F7C">
            <w:pPr>
              <w:rPr>
                <w:rFonts w:cs="Arial"/>
              </w:rPr>
            </w:pPr>
            <w:r w:rsidRPr="00C37F7C">
              <w:rPr>
                <w:rFonts w:cs="Arial"/>
                <w:szCs w:val="19"/>
              </w:rPr>
              <w:t xml:space="preserve">250 до 750 </w:t>
            </w:r>
            <w:r w:rsidRPr="00C37F7C">
              <w:rPr>
                <w:rFonts w:cs="Arial"/>
                <w:szCs w:val="19"/>
                <w:lang w:val="en-US"/>
              </w:rPr>
              <w:t>mg</w:t>
            </w:r>
            <w:r w:rsidRPr="00C37F7C">
              <w:rPr>
                <w:rFonts w:cs="Arial"/>
                <w:szCs w:val="19"/>
                <w:lang w:val="ru-RU"/>
              </w:rPr>
              <w:t xml:space="preserve"> </w:t>
            </w:r>
            <w:r w:rsidRPr="00C37F7C">
              <w:rPr>
                <w:rFonts w:cs="Arial"/>
                <w:szCs w:val="19"/>
              </w:rPr>
              <w:t>два пъти дневно</w:t>
            </w:r>
          </w:p>
        </w:tc>
      </w:tr>
      <w:tr w:rsidR="00C37F7C" w14:paraId="5556B8C2" w14:textId="77777777" w:rsidTr="00C37F7C">
        <w:tc>
          <w:tcPr>
            <w:tcW w:w="3192" w:type="dxa"/>
          </w:tcPr>
          <w:p w14:paraId="0A24EA78" w14:textId="39AFB4F4" w:rsidR="00C37F7C" w:rsidRPr="00C37F7C" w:rsidRDefault="00C37F7C" w:rsidP="00C37F7C">
            <w:pPr>
              <w:rPr>
                <w:rFonts w:cs="Arial"/>
              </w:rPr>
            </w:pPr>
            <w:r w:rsidRPr="00C37F7C">
              <w:rPr>
                <w:rFonts w:cs="Arial"/>
                <w:szCs w:val="19"/>
              </w:rPr>
              <w:t>Тежка степен на нарушена функция</w:t>
            </w:r>
          </w:p>
        </w:tc>
        <w:tc>
          <w:tcPr>
            <w:tcW w:w="3192" w:type="dxa"/>
          </w:tcPr>
          <w:p w14:paraId="4543B4AB" w14:textId="24BDC018" w:rsidR="00C37F7C" w:rsidRPr="00C37F7C" w:rsidRDefault="00C37F7C" w:rsidP="00C37F7C">
            <w:pPr>
              <w:rPr>
                <w:rFonts w:cs="Arial"/>
              </w:rPr>
            </w:pPr>
            <w:r w:rsidRPr="00C37F7C">
              <w:rPr>
                <w:rFonts w:cs="Arial"/>
                <w:szCs w:val="19"/>
              </w:rPr>
              <w:t>&lt;30</w:t>
            </w:r>
          </w:p>
        </w:tc>
        <w:tc>
          <w:tcPr>
            <w:tcW w:w="3192" w:type="dxa"/>
          </w:tcPr>
          <w:p w14:paraId="5176CB01" w14:textId="1E7F2F30" w:rsidR="00C37F7C" w:rsidRPr="00C37F7C" w:rsidRDefault="00C37F7C" w:rsidP="00C37F7C">
            <w:pPr>
              <w:rPr>
                <w:rFonts w:cs="Arial"/>
              </w:rPr>
            </w:pPr>
            <w:r w:rsidRPr="00C37F7C">
              <w:rPr>
                <w:rFonts w:cs="Arial"/>
                <w:szCs w:val="19"/>
              </w:rPr>
              <w:t xml:space="preserve">250 до 500 </w:t>
            </w:r>
            <w:r w:rsidRPr="00C37F7C">
              <w:rPr>
                <w:rFonts w:cs="Arial"/>
                <w:szCs w:val="19"/>
                <w:lang w:val="en-US"/>
              </w:rPr>
              <w:t>mg</w:t>
            </w:r>
            <w:r w:rsidRPr="00C37F7C">
              <w:rPr>
                <w:rFonts w:cs="Arial"/>
                <w:szCs w:val="19"/>
                <w:lang w:val="ru-RU"/>
              </w:rPr>
              <w:t xml:space="preserve"> </w:t>
            </w:r>
            <w:r w:rsidRPr="00C37F7C">
              <w:rPr>
                <w:rFonts w:cs="Arial"/>
                <w:szCs w:val="19"/>
              </w:rPr>
              <w:t>два пъти дневно</w:t>
            </w:r>
          </w:p>
        </w:tc>
      </w:tr>
      <w:tr w:rsidR="00C37F7C" w14:paraId="598EDA4A" w14:textId="77777777" w:rsidTr="00C37F7C">
        <w:tc>
          <w:tcPr>
            <w:tcW w:w="3192" w:type="dxa"/>
          </w:tcPr>
          <w:p w14:paraId="7AFACAAE" w14:textId="10420F72" w:rsidR="00C37F7C" w:rsidRPr="00C37F7C" w:rsidRDefault="00C37F7C" w:rsidP="00C37F7C">
            <w:pPr>
              <w:rPr>
                <w:rFonts w:cs="Arial"/>
              </w:rPr>
            </w:pPr>
            <w:r w:rsidRPr="00C37F7C">
              <w:rPr>
                <w:rFonts w:cs="Arial"/>
                <w:szCs w:val="19"/>
              </w:rPr>
              <w:t>Пациенти в краен стадий на бъбречна недостатъчност подлежащи надиализа(1)</w:t>
            </w:r>
          </w:p>
        </w:tc>
        <w:tc>
          <w:tcPr>
            <w:tcW w:w="3192" w:type="dxa"/>
          </w:tcPr>
          <w:p w14:paraId="023E7E1C" w14:textId="77777777" w:rsidR="00C37F7C" w:rsidRPr="00C37F7C" w:rsidRDefault="00C37F7C" w:rsidP="00C37F7C">
            <w:pPr>
              <w:rPr>
                <w:rFonts w:cs="Arial"/>
              </w:rPr>
            </w:pPr>
          </w:p>
        </w:tc>
        <w:tc>
          <w:tcPr>
            <w:tcW w:w="3192" w:type="dxa"/>
          </w:tcPr>
          <w:p w14:paraId="3278A641" w14:textId="51573512" w:rsidR="00C37F7C" w:rsidRPr="00C37F7C" w:rsidRDefault="00C37F7C" w:rsidP="00C37F7C">
            <w:pPr>
              <w:rPr>
                <w:rFonts w:cs="Arial"/>
              </w:rPr>
            </w:pPr>
            <w:r w:rsidRPr="00C37F7C">
              <w:rPr>
                <w:rFonts w:cs="Arial"/>
                <w:szCs w:val="19"/>
              </w:rPr>
              <w:t xml:space="preserve">500 до 1 000 </w:t>
            </w:r>
            <w:r w:rsidRPr="00C37F7C">
              <w:rPr>
                <w:rFonts w:cs="Arial"/>
                <w:szCs w:val="19"/>
                <w:lang w:val="en-US"/>
              </w:rPr>
              <w:t xml:space="preserve">mg </w:t>
            </w:r>
            <w:r w:rsidRPr="00C37F7C">
              <w:rPr>
                <w:rFonts w:cs="Arial"/>
                <w:szCs w:val="19"/>
              </w:rPr>
              <w:t>веднъж дневно (2)</w:t>
            </w:r>
          </w:p>
        </w:tc>
      </w:tr>
    </w:tbl>
    <w:p w14:paraId="5521FC8D" w14:textId="77777777" w:rsidR="00C37F7C" w:rsidRPr="00C37F7C" w:rsidRDefault="00C37F7C" w:rsidP="00C37F7C">
      <w:pPr>
        <w:spacing w:line="240" w:lineRule="auto"/>
        <w:rPr>
          <w:rFonts w:eastAsia="Times New Roman" w:cs="Arial"/>
          <w:color w:val="000000"/>
          <w:szCs w:val="19"/>
          <w:lang w:eastAsia="bg-BG"/>
        </w:rPr>
      </w:pPr>
      <w:r w:rsidRPr="00C37F7C">
        <w:rPr>
          <w:rFonts w:eastAsia="Times New Roman" w:cs="Arial"/>
          <w:color w:val="000000"/>
          <w:szCs w:val="19"/>
          <w:lang w:eastAsia="bg-BG"/>
        </w:rPr>
        <w:t xml:space="preserve">(1) През първия ден на лечението се препоръчва натоварваща доза от 750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леветирацетам </w:t>
      </w:r>
    </w:p>
    <w:p w14:paraId="795DA79D" w14:textId="6CC4CE0F"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lastRenderedPageBreak/>
        <w:t xml:space="preserve">(2) След диализа се препоръчва допълнителна доза от 250 до 500 </w:t>
      </w:r>
      <w:r w:rsidRPr="00C37F7C">
        <w:rPr>
          <w:rFonts w:eastAsia="Times New Roman" w:cs="Arial"/>
          <w:color w:val="000000"/>
          <w:szCs w:val="19"/>
          <w:lang w:val="en-US"/>
        </w:rPr>
        <w:t>mg</w:t>
      </w:r>
      <w:r w:rsidRPr="00C37F7C">
        <w:rPr>
          <w:rFonts w:eastAsia="Times New Roman" w:cs="Arial"/>
          <w:color w:val="000000"/>
          <w:szCs w:val="19"/>
          <w:lang w:val="ru-RU"/>
        </w:rPr>
        <w:t>.</w:t>
      </w:r>
    </w:p>
    <w:p w14:paraId="7408469F" w14:textId="77777777" w:rsidR="00C37F7C" w:rsidRPr="00C37F7C" w:rsidRDefault="00C37F7C" w:rsidP="00C37F7C">
      <w:pPr>
        <w:rPr>
          <w:rFonts w:eastAsia="Times New Roman" w:cs="Arial"/>
          <w:color w:val="000000"/>
          <w:szCs w:val="19"/>
          <w:lang w:eastAsia="bg-BG"/>
        </w:rPr>
      </w:pPr>
    </w:p>
    <w:p w14:paraId="7BCD9C8E" w14:textId="7C8A2BEF" w:rsidR="00C37F7C" w:rsidRPr="00C37F7C" w:rsidRDefault="00C37F7C" w:rsidP="00C37F7C">
      <w:pPr>
        <w:rPr>
          <w:rFonts w:eastAsia="Times New Roman" w:cs="Arial"/>
          <w:color w:val="000000"/>
          <w:szCs w:val="19"/>
          <w:lang w:eastAsia="bg-BG"/>
        </w:rPr>
      </w:pPr>
      <w:r w:rsidRPr="00C37F7C">
        <w:rPr>
          <w:rFonts w:eastAsia="Times New Roman" w:cs="Arial"/>
          <w:color w:val="000000"/>
          <w:szCs w:val="19"/>
          <w:lang w:eastAsia="bg-BG"/>
        </w:rPr>
        <w:t>При деца с бъбречни увреждания, дозата леветирацетам трябва да се адаптира въз основа на бъбречната функция, тъй като клирънсът на леветирацетам е свързан с бъбречната функция. Препоръката се основава на проучване при възрастни с бъбречни увреждания.</w:t>
      </w:r>
    </w:p>
    <w:p w14:paraId="5BC4587F" w14:textId="1683F6E7" w:rsidR="00C37F7C" w:rsidRPr="00C37F7C" w:rsidRDefault="00C37F7C" w:rsidP="00C37F7C">
      <w:pPr>
        <w:rPr>
          <w:rFonts w:eastAsia="Times New Roman" w:cs="Arial"/>
          <w:color w:val="000000"/>
          <w:szCs w:val="19"/>
          <w:lang w:eastAsia="bg-BG"/>
        </w:rPr>
      </w:pPr>
    </w:p>
    <w:p w14:paraId="5FA3AB92" w14:textId="496DAE88" w:rsidR="00C37F7C" w:rsidRPr="00C37F7C" w:rsidRDefault="00C37F7C" w:rsidP="00C37F7C">
      <w:pPr>
        <w:rPr>
          <w:rFonts w:cs="Arial"/>
          <w:szCs w:val="19"/>
          <w:lang w:val="ru-RU"/>
        </w:rPr>
      </w:pPr>
      <w:proofErr w:type="spellStart"/>
      <w:r w:rsidRPr="00C37F7C">
        <w:rPr>
          <w:rFonts w:cs="Arial"/>
          <w:szCs w:val="19"/>
          <w:lang w:val="en-US"/>
        </w:rPr>
        <w:t>CLcr</w:t>
      </w:r>
      <w:proofErr w:type="spellEnd"/>
      <w:r w:rsidRPr="00C37F7C">
        <w:rPr>
          <w:rFonts w:cs="Arial"/>
          <w:szCs w:val="19"/>
          <w:lang w:val="ru-RU"/>
        </w:rPr>
        <w:t xml:space="preserve"> </w:t>
      </w:r>
      <w:r w:rsidRPr="00C37F7C">
        <w:rPr>
          <w:rFonts w:cs="Arial"/>
          <w:szCs w:val="19"/>
        </w:rPr>
        <w:t xml:space="preserve">в </w:t>
      </w:r>
      <w:r w:rsidRPr="00C37F7C">
        <w:rPr>
          <w:rFonts w:cs="Arial"/>
          <w:szCs w:val="19"/>
          <w:lang w:val="en-US"/>
        </w:rPr>
        <w:t>ml</w:t>
      </w:r>
      <w:r w:rsidRPr="00C37F7C">
        <w:rPr>
          <w:rFonts w:cs="Arial"/>
          <w:szCs w:val="19"/>
          <w:lang w:val="ru-RU"/>
        </w:rPr>
        <w:t>/</w:t>
      </w:r>
      <w:r w:rsidRPr="00C37F7C">
        <w:rPr>
          <w:rFonts w:cs="Arial"/>
          <w:szCs w:val="19"/>
          <w:lang w:val="en-US"/>
        </w:rPr>
        <w:t>min</w:t>
      </w:r>
      <w:r>
        <w:rPr>
          <w:rFonts w:cs="Arial"/>
          <w:szCs w:val="19"/>
          <w:lang w:val="ru-RU"/>
        </w:rPr>
        <w:t>/1,73</w:t>
      </w:r>
      <w:r w:rsidRPr="00C37F7C">
        <w:rPr>
          <w:rFonts w:cs="Arial"/>
          <w:szCs w:val="19"/>
          <w:lang w:val="en-US"/>
        </w:rPr>
        <w:t>m</w:t>
      </w:r>
      <w:r w:rsidRPr="00C37F7C">
        <w:rPr>
          <w:rFonts w:cs="Arial"/>
          <w:szCs w:val="19"/>
          <w:lang w:val="ru-RU"/>
        </w:rPr>
        <w:t xml:space="preserve">2 </w:t>
      </w:r>
      <w:r w:rsidRPr="00C37F7C">
        <w:rPr>
          <w:rFonts w:cs="Arial"/>
          <w:szCs w:val="19"/>
        </w:rPr>
        <w:t xml:space="preserve">е възможно да се определи от изчисляването на серумния креатинин </w:t>
      </w:r>
      <w:r w:rsidRPr="00C37F7C">
        <w:rPr>
          <w:rFonts w:cs="Arial"/>
          <w:szCs w:val="19"/>
          <w:lang w:val="ru-RU"/>
        </w:rPr>
        <w:t>(</w:t>
      </w:r>
      <w:r w:rsidRPr="00C37F7C">
        <w:rPr>
          <w:rFonts w:cs="Arial"/>
          <w:szCs w:val="19"/>
          <w:lang w:val="en-US"/>
        </w:rPr>
        <w:t>mg</w:t>
      </w:r>
      <w:r w:rsidRPr="00C37F7C">
        <w:rPr>
          <w:rFonts w:cs="Arial"/>
          <w:szCs w:val="19"/>
          <w:lang w:val="ru-RU"/>
        </w:rPr>
        <w:t>/</w:t>
      </w:r>
      <w:r w:rsidRPr="00C37F7C">
        <w:rPr>
          <w:rFonts w:cs="Arial"/>
          <w:szCs w:val="19"/>
          <w:lang w:val="en-US"/>
        </w:rPr>
        <w:t>dl</w:t>
      </w:r>
      <w:r w:rsidRPr="00C37F7C">
        <w:rPr>
          <w:rFonts w:cs="Arial"/>
          <w:szCs w:val="19"/>
          <w:lang w:val="ru-RU"/>
        </w:rPr>
        <w:t xml:space="preserve">) </w:t>
      </w:r>
      <w:r w:rsidRPr="00C37F7C">
        <w:rPr>
          <w:rFonts w:cs="Arial"/>
          <w:szCs w:val="19"/>
        </w:rPr>
        <w:t xml:space="preserve">за по-малки юноши, деца и новородени с помощта на следната формула (формула на </w:t>
      </w:r>
      <w:r w:rsidRPr="00C37F7C">
        <w:rPr>
          <w:rFonts w:cs="Arial"/>
          <w:szCs w:val="19"/>
          <w:lang w:val="en-US"/>
        </w:rPr>
        <w:t>Schwartz</w:t>
      </w:r>
      <w:r w:rsidRPr="00C37F7C">
        <w:rPr>
          <w:rFonts w:cs="Arial"/>
          <w:szCs w:val="19"/>
          <w:lang w:val="ru-RU"/>
        </w:rPr>
        <w:t>):</w:t>
      </w:r>
    </w:p>
    <w:p w14:paraId="26944F7A" w14:textId="0FCD6389" w:rsidR="00C37F7C" w:rsidRDefault="00C37F7C" w:rsidP="00C37F7C">
      <w:pPr>
        <w:rPr>
          <w:rFonts w:cs="Arial"/>
          <w:sz w:val="36"/>
          <w:lang w:val="ru-RU"/>
        </w:rPr>
      </w:pPr>
    </w:p>
    <w:p w14:paraId="55704739" w14:textId="29544467" w:rsidR="00C37F7C" w:rsidRPr="00C37F7C" w:rsidRDefault="00C37F7C" w:rsidP="00C37F7C">
      <w:pPr>
        <w:rPr>
          <w:rFonts w:eastAsiaTheme="minorEastAsia" w:cs="Arial"/>
          <w:szCs w:val="19"/>
        </w:rPr>
      </w:pPr>
      <m:oMathPara>
        <m:oMathParaPr>
          <m:jc m:val="left"/>
        </m:oMathParaPr>
        <m:oMath>
          <m:r>
            <m:rPr>
              <m:sty m:val="p"/>
            </m:rPr>
            <w:rPr>
              <w:rFonts w:ascii="Cambria Math" w:hAnsi="Cambria Math" w:cs="Arial"/>
              <w:szCs w:val="19"/>
            </w:rPr>
            <m:t>CLcr (ml/min/1,73 m</m:t>
          </m:r>
          <m:r>
            <m:rPr>
              <m:sty m:val="p"/>
            </m:rPr>
            <w:rPr>
              <w:rFonts w:ascii="Cambria Math" w:hAnsi="Cambria Math" w:cs="Arial"/>
              <w:szCs w:val="19"/>
              <w:vertAlign w:val="superscript"/>
            </w:rPr>
            <m:t>1</m:t>
          </m:r>
          <m:r>
            <m:rPr>
              <m:sty m:val="p"/>
            </m:rPr>
            <w:rPr>
              <w:rFonts w:ascii="Cambria Math" w:hAnsi="Cambria Math" w:cs="Arial"/>
              <w:szCs w:val="19"/>
            </w:rPr>
            <m:t>)=</m:t>
          </m:r>
          <m:f>
            <m:fPr>
              <m:ctrlPr>
                <w:rPr>
                  <w:rFonts w:ascii="Cambria Math" w:hAnsi="Cambria Math" w:cs="Arial"/>
                  <w:szCs w:val="19"/>
                </w:rPr>
              </m:ctrlPr>
            </m:fPr>
            <m:num>
              <m:r>
                <w:rPr>
                  <w:rFonts w:ascii="Cambria Math" w:hAnsi="Cambria Math" w:cs="Arial"/>
                  <w:szCs w:val="19"/>
                </w:rPr>
                <m:t xml:space="preserve">Височина </m:t>
              </m:r>
              <m:d>
                <m:dPr>
                  <m:ctrlPr>
                    <w:rPr>
                      <w:rFonts w:ascii="Cambria Math" w:hAnsi="Cambria Math" w:cs="Arial"/>
                      <w:i/>
                      <w:szCs w:val="19"/>
                    </w:rPr>
                  </m:ctrlPr>
                </m:dPr>
                <m:e>
                  <m:r>
                    <w:rPr>
                      <w:rFonts w:ascii="Cambria Math" w:hAnsi="Cambria Math" w:cs="Arial"/>
                      <w:szCs w:val="19"/>
                      <w:lang w:val="en-US"/>
                    </w:rPr>
                    <m:t>cm</m:t>
                  </m:r>
                  <m:ctrlPr>
                    <w:rPr>
                      <w:rFonts w:ascii="Cambria Math" w:hAnsi="Cambria Math" w:cs="Arial"/>
                      <w:i/>
                      <w:szCs w:val="19"/>
                      <w:lang w:val="en-US"/>
                    </w:rPr>
                  </m:ctrlPr>
                </m:e>
              </m:d>
              <m:r>
                <w:rPr>
                  <w:rFonts w:ascii="Cambria Math" w:hAnsi="Cambria Math" w:cs="Arial"/>
                  <w:szCs w:val="19"/>
                  <w:lang w:val="en-US"/>
                </w:rPr>
                <m:t>x ks</m:t>
              </m:r>
            </m:num>
            <m:den>
              <m:r>
                <m:rPr>
                  <m:sty m:val="p"/>
                </m:rPr>
                <w:rPr>
                  <w:rFonts w:ascii="Cambria Math" w:hAnsi="Cambria Math" w:cs="Arial"/>
                  <w:szCs w:val="19"/>
                </w:rPr>
                <m:t xml:space="preserve">Серумен креатинин </m:t>
              </m:r>
              <m:r>
                <m:rPr>
                  <m:sty m:val="p"/>
                </m:rPr>
                <w:rPr>
                  <w:rFonts w:ascii="Cambria Math" w:hAnsi="Cambria Math" w:cs="Arial"/>
                  <w:szCs w:val="19"/>
                  <w:lang w:val="en-US"/>
                </w:rPr>
                <m:t>(mg/dl)</m:t>
              </m:r>
            </m:den>
          </m:f>
        </m:oMath>
      </m:oMathPara>
    </w:p>
    <w:p w14:paraId="20D0F5D7" w14:textId="0B740B75" w:rsidR="00C37F7C" w:rsidRDefault="00C37F7C" w:rsidP="00C37F7C">
      <w:pPr>
        <w:rPr>
          <w:rFonts w:eastAsiaTheme="minorEastAsia" w:cs="Arial"/>
          <w:szCs w:val="19"/>
        </w:rPr>
      </w:pPr>
    </w:p>
    <w:p w14:paraId="4D5F72C5" w14:textId="77777777" w:rsidR="00C37F7C" w:rsidRPr="00C37F7C" w:rsidRDefault="00C37F7C" w:rsidP="00C37F7C">
      <w:pPr>
        <w:spacing w:line="240" w:lineRule="auto"/>
        <w:rPr>
          <w:rFonts w:ascii="Times New Roman" w:eastAsia="Times New Roman" w:hAnsi="Times New Roman" w:cs="Times New Roman"/>
          <w:sz w:val="32"/>
          <w:szCs w:val="24"/>
        </w:rPr>
      </w:pPr>
      <w:proofErr w:type="spellStart"/>
      <w:proofErr w:type="gramStart"/>
      <w:r w:rsidRPr="00C37F7C">
        <w:rPr>
          <w:rFonts w:eastAsia="Times New Roman" w:cs="Arial"/>
          <w:color w:val="000000"/>
          <w:szCs w:val="19"/>
          <w:lang w:val="en-US"/>
        </w:rPr>
        <w:t>ks</w:t>
      </w:r>
      <w:proofErr w:type="spellEnd"/>
      <w:proofErr w:type="gramEnd"/>
      <w:r w:rsidRPr="00C37F7C">
        <w:rPr>
          <w:rFonts w:eastAsia="Times New Roman" w:cs="Arial"/>
          <w:color w:val="000000"/>
          <w:szCs w:val="19"/>
          <w:lang w:val="ru-RU"/>
        </w:rPr>
        <w:t xml:space="preserve">= 0,45 </w:t>
      </w:r>
      <w:r w:rsidRPr="00C37F7C">
        <w:rPr>
          <w:rFonts w:eastAsia="Times New Roman" w:cs="Arial"/>
          <w:color w:val="000000"/>
          <w:szCs w:val="19"/>
          <w:lang w:eastAsia="bg-BG"/>
        </w:rPr>
        <w:t xml:space="preserve">при новородени до 1-годишна възраст; </w:t>
      </w:r>
      <w:proofErr w:type="spellStart"/>
      <w:r w:rsidRPr="00C37F7C">
        <w:rPr>
          <w:rFonts w:eastAsia="Times New Roman" w:cs="Arial"/>
          <w:color w:val="000000"/>
          <w:szCs w:val="19"/>
          <w:lang w:val="en-US"/>
        </w:rPr>
        <w:t>ks</w:t>
      </w:r>
      <w:proofErr w:type="spellEnd"/>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0,55 при деца под 13 години и девойки; </w:t>
      </w:r>
      <w:proofErr w:type="spellStart"/>
      <w:r w:rsidRPr="00C37F7C">
        <w:rPr>
          <w:rFonts w:eastAsia="Times New Roman" w:cs="Arial"/>
          <w:color w:val="000000"/>
          <w:szCs w:val="19"/>
          <w:lang w:val="en-US"/>
        </w:rPr>
        <w:t>ks</w:t>
      </w:r>
      <w:proofErr w:type="spellEnd"/>
      <w:r w:rsidRPr="00C37F7C">
        <w:rPr>
          <w:rFonts w:eastAsia="Times New Roman" w:cs="Arial"/>
          <w:color w:val="000000"/>
          <w:szCs w:val="19"/>
          <w:lang w:val="ru-RU"/>
        </w:rPr>
        <w:t xml:space="preserve">- </w:t>
      </w:r>
      <w:r w:rsidRPr="00C37F7C">
        <w:rPr>
          <w:rFonts w:eastAsia="Times New Roman" w:cs="Arial"/>
          <w:color w:val="000000"/>
          <w:szCs w:val="19"/>
          <w:lang w:eastAsia="bg-BG"/>
        </w:rPr>
        <w:t>0,7 при юноши от мъжки пол.</w:t>
      </w:r>
    </w:p>
    <w:p w14:paraId="2D3AAE3C" w14:textId="77777777" w:rsidR="00C37F7C" w:rsidRPr="00C37F7C" w:rsidRDefault="00C37F7C" w:rsidP="00C37F7C">
      <w:pPr>
        <w:spacing w:line="240" w:lineRule="auto"/>
        <w:rPr>
          <w:rFonts w:eastAsia="Times New Roman" w:cs="Arial"/>
          <w:color w:val="000000"/>
          <w:szCs w:val="19"/>
          <w:lang w:eastAsia="bg-BG"/>
        </w:rPr>
      </w:pPr>
    </w:p>
    <w:p w14:paraId="61C2C62F" w14:textId="0839D205"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Адаптиране на дозата при новородени, деца и юноши с тегло под 50 </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с нарушена бъбречна функция:</w:t>
      </w:r>
    </w:p>
    <w:tbl>
      <w:tblPr>
        <w:tblStyle w:val="TableGrid"/>
        <w:tblW w:w="0" w:type="auto"/>
        <w:tblLook w:val="04A0" w:firstRow="1" w:lastRow="0" w:firstColumn="1" w:lastColumn="0" w:noHBand="0" w:noVBand="1"/>
      </w:tblPr>
      <w:tblGrid>
        <w:gridCol w:w="2364"/>
        <w:gridCol w:w="2360"/>
        <w:gridCol w:w="2313"/>
        <w:gridCol w:w="2313"/>
      </w:tblGrid>
      <w:tr w:rsidR="00C37F7C" w14:paraId="1A8A9ABB" w14:textId="77777777" w:rsidTr="00C37F7C">
        <w:tc>
          <w:tcPr>
            <w:tcW w:w="2394" w:type="dxa"/>
          </w:tcPr>
          <w:p w14:paraId="6BD864C7" w14:textId="4827E989" w:rsidR="00C37F7C" w:rsidRPr="00C37F7C" w:rsidRDefault="00C37F7C" w:rsidP="00C37F7C">
            <w:pPr>
              <w:rPr>
                <w:rFonts w:cs="Arial"/>
              </w:rPr>
            </w:pPr>
            <w:r w:rsidRPr="00C37F7C">
              <w:rPr>
                <w:rFonts w:cs="Arial"/>
              </w:rPr>
              <w:t>Група</w:t>
            </w:r>
          </w:p>
        </w:tc>
        <w:tc>
          <w:tcPr>
            <w:tcW w:w="2394" w:type="dxa"/>
          </w:tcPr>
          <w:p w14:paraId="679F254B" w14:textId="3E370F60" w:rsidR="00C37F7C" w:rsidRPr="00C37F7C" w:rsidRDefault="00C37F7C" w:rsidP="00C37F7C">
            <w:pPr>
              <w:rPr>
                <w:rFonts w:cs="Arial"/>
              </w:rPr>
            </w:pPr>
            <w:r w:rsidRPr="00C37F7C">
              <w:rPr>
                <w:rFonts w:cs="Arial"/>
              </w:rPr>
              <w:t xml:space="preserve">Креатининов клирънс </w:t>
            </w:r>
            <w:r w:rsidRPr="00C37F7C">
              <w:rPr>
                <w:rFonts w:cs="Arial"/>
                <w:lang w:val="ru-RU"/>
              </w:rPr>
              <w:t>(</w:t>
            </w:r>
            <w:r w:rsidRPr="00C37F7C">
              <w:rPr>
                <w:rFonts w:cs="Arial"/>
                <w:lang w:val="en-US"/>
              </w:rPr>
              <w:t>ml</w:t>
            </w:r>
            <w:r w:rsidRPr="00C37F7C">
              <w:rPr>
                <w:rFonts w:cs="Arial"/>
                <w:lang w:val="ru-RU"/>
              </w:rPr>
              <w:t>/</w:t>
            </w:r>
            <w:r w:rsidRPr="00C37F7C">
              <w:rPr>
                <w:rFonts w:cs="Arial"/>
                <w:lang w:val="en-US"/>
              </w:rPr>
              <w:t>min</w:t>
            </w:r>
            <w:r w:rsidRPr="00C37F7C">
              <w:rPr>
                <w:rFonts w:cs="Arial"/>
                <w:lang w:val="ru-RU"/>
              </w:rPr>
              <w:t>/1,73</w:t>
            </w:r>
            <w:r w:rsidRPr="00C37F7C">
              <w:rPr>
                <w:rFonts w:cs="Arial"/>
                <w:lang w:val="en-US"/>
              </w:rPr>
              <w:t>m</w:t>
            </w:r>
            <w:r w:rsidRPr="00C37F7C">
              <w:rPr>
                <w:rFonts w:cs="Arial"/>
                <w:lang w:val="ru-RU"/>
              </w:rPr>
              <w:t>2)</w:t>
            </w:r>
          </w:p>
        </w:tc>
        <w:tc>
          <w:tcPr>
            <w:tcW w:w="4788" w:type="dxa"/>
            <w:gridSpan w:val="2"/>
          </w:tcPr>
          <w:p w14:paraId="0092CB37" w14:textId="6155B136" w:rsidR="00C37F7C" w:rsidRPr="00C37F7C" w:rsidRDefault="00C37F7C" w:rsidP="00C37F7C">
            <w:pPr>
              <w:rPr>
                <w:rFonts w:cs="Arial"/>
              </w:rPr>
            </w:pPr>
            <w:r w:rsidRPr="00C37F7C">
              <w:rPr>
                <w:rFonts w:cs="Arial"/>
              </w:rPr>
              <w:t>Доза и честота на дозиране (1)</w:t>
            </w:r>
          </w:p>
        </w:tc>
      </w:tr>
      <w:tr w:rsidR="00C37F7C" w14:paraId="5B6ABE86" w14:textId="77777777" w:rsidTr="00C37F7C">
        <w:tc>
          <w:tcPr>
            <w:tcW w:w="2394" w:type="dxa"/>
          </w:tcPr>
          <w:p w14:paraId="525EAFAE" w14:textId="77777777" w:rsidR="00C37F7C" w:rsidRPr="00C37F7C" w:rsidRDefault="00C37F7C" w:rsidP="00C37F7C">
            <w:pPr>
              <w:rPr>
                <w:rFonts w:cs="Arial"/>
              </w:rPr>
            </w:pPr>
          </w:p>
        </w:tc>
        <w:tc>
          <w:tcPr>
            <w:tcW w:w="2394" w:type="dxa"/>
          </w:tcPr>
          <w:p w14:paraId="158690F3" w14:textId="77777777" w:rsidR="00C37F7C" w:rsidRPr="00C37F7C" w:rsidRDefault="00C37F7C" w:rsidP="00C37F7C">
            <w:pPr>
              <w:rPr>
                <w:rFonts w:cs="Arial"/>
              </w:rPr>
            </w:pPr>
          </w:p>
        </w:tc>
        <w:tc>
          <w:tcPr>
            <w:tcW w:w="4788" w:type="dxa"/>
            <w:gridSpan w:val="2"/>
          </w:tcPr>
          <w:p w14:paraId="76B3665C" w14:textId="2F7C4E91" w:rsidR="00C37F7C" w:rsidRPr="00C37F7C" w:rsidRDefault="00C37F7C" w:rsidP="00C37F7C">
            <w:pPr>
              <w:rPr>
                <w:rFonts w:cs="Arial"/>
              </w:rPr>
            </w:pPr>
            <w:r w:rsidRPr="00C37F7C">
              <w:rPr>
                <w:rFonts w:cs="Arial"/>
              </w:rPr>
              <w:t xml:space="preserve">Новородени от 1 до 6 месеца Новородени от 6 до 23 месеца, деца и юноши с тегло под 50 </w:t>
            </w:r>
            <w:r w:rsidRPr="00C37F7C">
              <w:rPr>
                <w:rFonts w:cs="Arial"/>
                <w:lang w:val="en-US"/>
              </w:rPr>
              <w:t>kg</w:t>
            </w:r>
          </w:p>
        </w:tc>
      </w:tr>
      <w:tr w:rsidR="00C37F7C" w14:paraId="668D8678" w14:textId="77777777" w:rsidTr="00C37F7C">
        <w:tc>
          <w:tcPr>
            <w:tcW w:w="2394" w:type="dxa"/>
          </w:tcPr>
          <w:p w14:paraId="291BF21F" w14:textId="637C57A6" w:rsidR="00C37F7C" w:rsidRPr="00C37F7C" w:rsidRDefault="00C37F7C" w:rsidP="00C37F7C">
            <w:pPr>
              <w:rPr>
                <w:rFonts w:cs="Arial"/>
              </w:rPr>
            </w:pPr>
            <w:r w:rsidRPr="00C37F7C">
              <w:rPr>
                <w:rFonts w:cs="Arial"/>
              </w:rPr>
              <w:t>Нормална</w:t>
            </w:r>
          </w:p>
        </w:tc>
        <w:tc>
          <w:tcPr>
            <w:tcW w:w="2394" w:type="dxa"/>
          </w:tcPr>
          <w:p w14:paraId="30246821" w14:textId="343B69E6" w:rsidR="00C37F7C" w:rsidRPr="00C37F7C" w:rsidRDefault="00C37F7C" w:rsidP="00C37F7C">
            <w:pPr>
              <w:rPr>
                <w:rFonts w:cs="Arial"/>
              </w:rPr>
            </w:pPr>
            <w:r w:rsidRPr="00C37F7C">
              <w:rPr>
                <w:rFonts w:cs="Arial"/>
              </w:rPr>
              <w:t>&gt;80</w:t>
            </w:r>
          </w:p>
        </w:tc>
        <w:tc>
          <w:tcPr>
            <w:tcW w:w="2394" w:type="dxa"/>
          </w:tcPr>
          <w:p w14:paraId="7FBB7DCB" w14:textId="665A7A4A" w:rsidR="00C37F7C" w:rsidRPr="00C37F7C" w:rsidRDefault="00C37F7C" w:rsidP="00C37F7C">
            <w:pPr>
              <w:rPr>
                <w:rFonts w:cs="Arial"/>
              </w:rPr>
            </w:pPr>
            <w:r w:rsidRPr="00C37F7C">
              <w:rPr>
                <w:rFonts w:cs="Arial"/>
              </w:rPr>
              <w:t xml:space="preserve">7 до 21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(0,07 до 0,21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два пъти дневно</w:t>
            </w:r>
          </w:p>
        </w:tc>
        <w:tc>
          <w:tcPr>
            <w:tcW w:w="2394" w:type="dxa"/>
          </w:tcPr>
          <w:p w14:paraId="56D5E3B5" w14:textId="38124BA4" w:rsidR="00C37F7C" w:rsidRPr="00C37F7C" w:rsidRDefault="00C37F7C" w:rsidP="00C37F7C">
            <w:pPr>
              <w:rPr>
                <w:rFonts w:cs="Arial"/>
              </w:rPr>
            </w:pPr>
            <w:r w:rsidRPr="00C37F7C">
              <w:rPr>
                <w:rFonts w:cs="Arial"/>
              </w:rPr>
              <w:t xml:space="preserve">10 до 30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(0,10 до 0,30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два пъти дневно</w:t>
            </w:r>
          </w:p>
        </w:tc>
      </w:tr>
      <w:tr w:rsidR="00C37F7C" w14:paraId="60F12267" w14:textId="77777777" w:rsidTr="00C37F7C">
        <w:tc>
          <w:tcPr>
            <w:tcW w:w="2394" w:type="dxa"/>
          </w:tcPr>
          <w:p w14:paraId="5E6CA320" w14:textId="30EC957E" w:rsidR="00C37F7C" w:rsidRPr="00C37F7C" w:rsidRDefault="00C37F7C" w:rsidP="00C37F7C">
            <w:pPr>
              <w:rPr>
                <w:rFonts w:cs="Arial"/>
              </w:rPr>
            </w:pPr>
            <w:r w:rsidRPr="00C37F7C">
              <w:rPr>
                <w:rFonts w:cs="Arial"/>
              </w:rPr>
              <w:t>Лека</w:t>
            </w:r>
          </w:p>
        </w:tc>
        <w:tc>
          <w:tcPr>
            <w:tcW w:w="2394" w:type="dxa"/>
          </w:tcPr>
          <w:p w14:paraId="08BAF44B" w14:textId="7F2FBE1D" w:rsidR="00C37F7C" w:rsidRPr="00C37F7C" w:rsidRDefault="00C37F7C" w:rsidP="00C37F7C">
            <w:pPr>
              <w:rPr>
                <w:rFonts w:cs="Arial"/>
              </w:rPr>
            </w:pPr>
            <w:r w:rsidRPr="00C37F7C">
              <w:rPr>
                <w:rFonts w:cs="Arial"/>
              </w:rPr>
              <w:t>50-79</w:t>
            </w:r>
          </w:p>
        </w:tc>
        <w:tc>
          <w:tcPr>
            <w:tcW w:w="2394" w:type="dxa"/>
          </w:tcPr>
          <w:p w14:paraId="073AA9C8" w14:textId="659D5957" w:rsidR="00C37F7C" w:rsidRPr="00C37F7C" w:rsidRDefault="00C37F7C" w:rsidP="00C37F7C">
            <w:pPr>
              <w:rPr>
                <w:rFonts w:cs="Arial"/>
              </w:rPr>
            </w:pPr>
            <w:r w:rsidRPr="00C37F7C">
              <w:rPr>
                <w:rFonts w:cs="Arial"/>
              </w:rPr>
              <w:t xml:space="preserve">7 до 14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(0,07 до 0,14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два пъти дневно</w:t>
            </w:r>
          </w:p>
        </w:tc>
        <w:tc>
          <w:tcPr>
            <w:tcW w:w="2394" w:type="dxa"/>
          </w:tcPr>
          <w:p w14:paraId="70900A89" w14:textId="607953B7" w:rsidR="00C37F7C" w:rsidRPr="00C37F7C" w:rsidRDefault="00C37F7C" w:rsidP="00C37F7C">
            <w:pPr>
              <w:rPr>
                <w:rFonts w:cs="Arial"/>
              </w:rPr>
            </w:pPr>
            <w:r w:rsidRPr="00C37F7C">
              <w:rPr>
                <w:rFonts w:cs="Arial"/>
              </w:rPr>
              <w:t xml:space="preserve">10 до 20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(0.10 до 0,20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два пъти дневно</w:t>
            </w:r>
          </w:p>
        </w:tc>
      </w:tr>
      <w:tr w:rsidR="00C37F7C" w14:paraId="7499F5B5" w14:textId="77777777" w:rsidTr="00C37F7C">
        <w:tc>
          <w:tcPr>
            <w:tcW w:w="2394" w:type="dxa"/>
          </w:tcPr>
          <w:p w14:paraId="1DC1B458" w14:textId="298D9003" w:rsidR="00C37F7C" w:rsidRPr="00C37F7C" w:rsidRDefault="00C37F7C" w:rsidP="00C37F7C">
            <w:pPr>
              <w:rPr>
                <w:rFonts w:cs="Arial"/>
              </w:rPr>
            </w:pPr>
            <w:r w:rsidRPr="00C37F7C">
              <w:rPr>
                <w:rFonts w:cs="Arial"/>
              </w:rPr>
              <w:t>Умерена</w:t>
            </w:r>
          </w:p>
        </w:tc>
        <w:tc>
          <w:tcPr>
            <w:tcW w:w="2394" w:type="dxa"/>
          </w:tcPr>
          <w:p w14:paraId="2B304F2A" w14:textId="36DA9895" w:rsidR="00C37F7C" w:rsidRPr="00C37F7C" w:rsidRDefault="00C37F7C" w:rsidP="00C37F7C">
            <w:pPr>
              <w:rPr>
                <w:rFonts w:cs="Arial"/>
              </w:rPr>
            </w:pPr>
            <w:r w:rsidRPr="00C37F7C">
              <w:rPr>
                <w:rFonts w:cs="Arial"/>
              </w:rPr>
              <w:t>30-49</w:t>
            </w:r>
          </w:p>
        </w:tc>
        <w:tc>
          <w:tcPr>
            <w:tcW w:w="2394" w:type="dxa"/>
          </w:tcPr>
          <w:p w14:paraId="7759C4C3" w14:textId="7B1C6FA1" w:rsidR="00C37F7C" w:rsidRPr="00C37F7C" w:rsidRDefault="00C37F7C" w:rsidP="00C37F7C">
            <w:pPr>
              <w:rPr>
                <w:rFonts w:cs="Arial"/>
              </w:rPr>
            </w:pPr>
            <w:r w:rsidRPr="00C37F7C">
              <w:rPr>
                <w:rFonts w:cs="Arial"/>
              </w:rPr>
              <w:t xml:space="preserve">3,5 до 10,5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(0,035 до 0,105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два пъти дневно</w:t>
            </w:r>
          </w:p>
        </w:tc>
        <w:tc>
          <w:tcPr>
            <w:tcW w:w="2394" w:type="dxa"/>
          </w:tcPr>
          <w:p w14:paraId="49DE6A1F" w14:textId="0CF37C16" w:rsidR="00C37F7C" w:rsidRPr="00C37F7C" w:rsidRDefault="00C37F7C" w:rsidP="00C37F7C">
            <w:pPr>
              <w:rPr>
                <w:rFonts w:cs="Arial"/>
              </w:rPr>
            </w:pPr>
            <w:r w:rsidRPr="00C37F7C">
              <w:rPr>
                <w:rFonts w:cs="Arial"/>
              </w:rPr>
              <w:t xml:space="preserve">5 до 15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(0.05 до 0,15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два пъти дневно</w:t>
            </w:r>
          </w:p>
        </w:tc>
      </w:tr>
      <w:tr w:rsidR="00C37F7C" w14:paraId="4C50B871" w14:textId="77777777" w:rsidTr="00C37F7C">
        <w:tc>
          <w:tcPr>
            <w:tcW w:w="2394" w:type="dxa"/>
          </w:tcPr>
          <w:p w14:paraId="517427C6" w14:textId="73EC108F" w:rsidR="00C37F7C" w:rsidRPr="00C37F7C" w:rsidRDefault="00C37F7C" w:rsidP="00C37F7C">
            <w:pPr>
              <w:rPr>
                <w:rFonts w:cs="Arial"/>
              </w:rPr>
            </w:pPr>
            <w:r w:rsidRPr="00C37F7C">
              <w:rPr>
                <w:rFonts w:cs="Arial"/>
              </w:rPr>
              <w:t>Тежка</w:t>
            </w:r>
          </w:p>
        </w:tc>
        <w:tc>
          <w:tcPr>
            <w:tcW w:w="2394" w:type="dxa"/>
          </w:tcPr>
          <w:p w14:paraId="7026BD0E" w14:textId="42444379" w:rsidR="00C37F7C" w:rsidRPr="00C37F7C" w:rsidRDefault="00C37F7C" w:rsidP="00C37F7C">
            <w:pPr>
              <w:rPr>
                <w:rFonts w:cs="Arial"/>
              </w:rPr>
            </w:pPr>
            <w:r w:rsidRPr="00C37F7C">
              <w:rPr>
                <w:rFonts w:cs="Arial"/>
              </w:rPr>
              <w:t>&lt;30</w:t>
            </w:r>
          </w:p>
        </w:tc>
        <w:tc>
          <w:tcPr>
            <w:tcW w:w="2394" w:type="dxa"/>
          </w:tcPr>
          <w:p w14:paraId="192FB208" w14:textId="4FDD46CF" w:rsidR="00C37F7C" w:rsidRPr="00C37F7C" w:rsidRDefault="00C37F7C" w:rsidP="00C37F7C">
            <w:pPr>
              <w:rPr>
                <w:rFonts w:cs="Arial"/>
              </w:rPr>
            </w:pPr>
            <w:r w:rsidRPr="00C37F7C">
              <w:rPr>
                <w:rFonts w:cs="Arial"/>
              </w:rPr>
              <w:t xml:space="preserve">3,5 до 7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(0,035 до 0,07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два пъти дневно</w:t>
            </w:r>
          </w:p>
        </w:tc>
        <w:tc>
          <w:tcPr>
            <w:tcW w:w="2394" w:type="dxa"/>
          </w:tcPr>
          <w:p w14:paraId="55CD9EC4" w14:textId="76F24278" w:rsidR="00C37F7C" w:rsidRPr="00C37F7C" w:rsidRDefault="00C37F7C" w:rsidP="00C37F7C">
            <w:pPr>
              <w:rPr>
                <w:rFonts w:cs="Arial"/>
              </w:rPr>
            </w:pPr>
            <w:r w:rsidRPr="00C37F7C">
              <w:rPr>
                <w:rFonts w:cs="Arial"/>
              </w:rPr>
              <w:t xml:space="preserve">5 до 10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(0,05 до 0,10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два пъти дневно</w:t>
            </w:r>
          </w:p>
        </w:tc>
      </w:tr>
      <w:tr w:rsidR="00C37F7C" w14:paraId="7CAFDF78" w14:textId="77777777" w:rsidTr="00C37F7C">
        <w:tc>
          <w:tcPr>
            <w:tcW w:w="2394" w:type="dxa"/>
          </w:tcPr>
          <w:p w14:paraId="4FC0AED3" w14:textId="46ECFC8A" w:rsidR="00C37F7C" w:rsidRPr="00C37F7C" w:rsidRDefault="00C37F7C" w:rsidP="00C37F7C">
            <w:pPr>
              <w:rPr>
                <w:rFonts w:cs="Arial"/>
              </w:rPr>
            </w:pPr>
            <w:r w:rsidRPr="00C37F7C">
              <w:rPr>
                <w:rFonts w:cs="Arial"/>
              </w:rPr>
              <w:t>Пациенти в краен стадий на бъбречна недостатъчност провеждащи диализа</w:t>
            </w:r>
          </w:p>
        </w:tc>
        <w:tc>
          <w:tcPr>
            <w:tcW w:w="2394" w:type="dxa"/>
          </w:tcPr>
          <w:p w14:paraId="2DFFC472" w14:textId="0CA11938" w:rsidR="00C37F7C" w:rsidRPr="00C37F7C" w:rsidRDefault="00C37F7C" w:rsidP="00C37F7C">
            <w:pPr>
              <w:rPr>
                <w:rFonts w:cs="Arial"/>
              </w:rPr>
            </w:pPr>
            <w:r w:rsidRPr="00C37F7C">
              <w:rPr>
                <w:rFonts w:cs="Arial"/>
                <w:i/>
                <w:iCs/>
              </w:rPr>
              <w:t>-</w:t>
            </w:r>
          </w:p>
        </w:tc>
        <w:tc>
          <w:tcPr>
            <w:tcW w:w="2394" w:type="dxa"/>
          </w:tcPr>
          <w:p w14:paraId="4820238D" w14:textId="1B514014" w:rsidR="00C37F7C" w:rsidRPr="00C37F7C" w:rsidRDefault="00C37F7C" w:rsidP="00C37F7C">
            <w:pPr>
              <w:rPr>
                <w:rFonts w:cs="Arial"/>
              </w:rPr>
            </w:pPr>
            <w:r w:rsidRPr="00C37F7C">
              <w:rPr>
                <w:rFonts w:cs="Arial"/>
              </w:rPr>
              <w:t xml:space="preserve">7 до 14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(0,07 до 0,14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веднъж дневно (2)(4)</w:t>
            </w:r>
          </w:p>
        </w:tc>
        <w:tc>
          <w:tcPr>
            <w:tcW w:w="2394" w:type="dxa"/>
          </w:tcPr>
          <w:p w14:paraId="1400C5C5" w14:textId="171404BA" w:rsidR="00C37F7C" w:rsidRPr="00C37F7C" w:rsidRDefault="00C37F7C" w:rsidP="00C37F7C">
            <w:pPr>
              <w:rPr>
                <w:rFonts w:cs="Arial"/>
              </w:rPr>
            </w:pPr>
            <w:r w:rsidRPr="00C37F7C">
              <w:rPr>
                <w:rFonts w:cs="Arial"/>
              </w:rPr>
              <w:t xml:space="preserve">10 до 20 </w:t>
            </w:r>
            <w:r w:rsidRPr="00C37F7C">
              <w:rPr>
                <w:rFonts w:cs="Arial"/>
                <w:lang w:val="en-US"/>
              </w:rPr>
              <w:t>mg</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 xml:space="preserve">(0,10 до 0,20 </w:t>
            </w:r>
            <w:r w:rsidRPr="00C37F7C">
              <w:rPr>
                <w:rFonts w:cs="Arial"/>
                <w:lang w:val="en-US"/>
              </w:rPr>
              <w:t>ml</w:t>
            </w:r>
            <w:r w:rsidRPr="00C37F7C">
              <w:rPr>
                <w:rFonts w:cs="Arial"/>
                <w:lang w:val="ru-RU"/>
              </w:rPr>
              <w:t>/</w:t>
            </w:r>
            <w:r w:rsidRPr="00C37F7C">
              <w:rPr>
                <w:rFonts w:cs="Arial"/>
                <w:lang w:val="en-US"/>
              </w:rPr>
              <w:t>kg</w:t>
            </w:r>
            <w:r w:rsidRPr="00C37F7C">
              <w:rPr>
                <w:rFonts w:cs="Arial"/>
                <w:lang w:val="ru-RU"/>
              </w:rPr>
              <w:t xml:space="preserve">) </w:t>
            </w:r>
            <w:r w:rsidRPr="00C37F7C">
              <w:rPr>
                <w:rFonts w:cs="Arial"/>
              </w:rPr>
              <w:t>веднъж дневно (3)(5)</w:t>
            </w:r>
          </w:p>
        </w:tc>
      </w:tr>
    </w:tbl>
    <w:p w14:paraId="7172F49C" w14:textId="5E0D7B99" w:rsidR="00C37F7C" w:rsidRPr="00C37F7C" w:rsidRDefault="00C37F7C" w:rsidP="00C37F7C">
      <w:pPr>
        <w:spacing w:line="240" w:lineRule="auto"/>
        <w:rPr>
          <w:rFonts w:ascii="Times New Roman" w:eastAsia="Times New Roman" w:hAnsi="Times New Roman" w:cs="Times New Roman"/>
        </w:rPr>
      </w:pPr>
      <w:r w:rsidRPr="00C37F7C">
        <w:rPr>
          <w:rFonts w:eastAsia="Times New Roman" w:cs="Arial"/>
          <w:color w:val="000000"/>
          <w:lang w:eastAsia="bg-BG"/>
        </w:rPr>
        <w:t xml:space="preserve">(1) Перорален разтвор трябва да се използва при дози под 250 </w:t>
      </w:r>
      <w:r w:rsidRPr="00C37F7C">
        <w:rPr>
          <w:rFonts w:eastAsia="Times New Roman" w:cs="Arial"/>
          <w:color w:val="000000"/>
          <w:lang w:val="en-US"/>
        </w:rPr>
        <w:t>mg</w:t>
      </w:r>
      <w:r w:rsidRPr="00C37F7C">
        <w:rPr>
          <w:rFonts w:eastAsia="Times New Roman" w:cs="Arial"/>
          <w:color w:val="000000"/>
          <w:lang w:val="ru-RU"/>
        </w:rPr>
        <w:t xml:space="preserve"> </w:t>
      </w:r>
      <w:r w:rsidRPr="00C37F7C">
        <w:rPr>
          <w:rFonts w:eastAsia="Times New Roman" w:cs="Arial"/>
          <w:color w:val="000000"/>
          <w:lang w:eastAsia="bg-BG"/>
        </w:rPr>
        <w:t>и при пациенти , които не могат да преглъщат таблетки.</w:t>
      </w:r>
    </w:p>
    <w:p w14:paraId="621F004D" w14:textId="77777777" w:rsidR="00C37F7C" w:rsidRPr="00C37F7C" w:rsidRDefault="00C37F7C" w:rsidP="00C37F7C">
      <w:pPr>
        <w:spacing w:line="240" w:lineRule="auto"/>
        <w:rPr>
          <w:rFonts w:ascii="Times New Roman" w:eastAsia="Times New Roman" w:hAnsi="Times New Roman" w:cs="Times New Roman"/>
        </w:rPr>
      </w:pPr>
      <w:r w:rsidRPr="00C37F7C">
        <w:rPr>
          <w:rFonts w:eastAsia="Times New Roman" w:cs="Arial"/>
          <w:color w:val="000000"/>
          <w:lang w:eastAsia="bg-BG"/>
        </w:rPr>
        <w:t xml:space="preserve">(2) Препоръчва се натоварваща доза от 10,5 </w:t>
      </w:r>
      <w:r w:rsidRPr="00C37F7C">
        <w:rPr>
          <w:rFonts w:eastAsia="Times New Roman" w:cs="Arial"/>
          <w:color w:val="000000"/>
          <w:lang w:val="en-US"/>
        </w:rPr>
        <w:t>mg</w:t>
      </w:r>
      <w:r w:rsidRPr="00C37F7C">
        <w:rPr>
          <w:rFonts w:eastAsia="Times New Roman" w:cs="Arial"/>
          <w:color w:val="000000"/>
          <w:lang w:val="ru-RU"/>
        </w:rPr>
        <w:t>/</w:t>
      </w:r>
      <w:r w:rsidRPr="00C37F7C">
        <w:rPr>
          <w:rFonts w:eastAsia="Times New Roman" w:cs="Arial"/>
          <w:color w:val="000000"/>
          <w:lang w:val="en-US"/>
        </w:rPr>
        <w:t>kg</w:t>
      </w:r>
      <w:r w:rsidRPr="00C37F7C">
        <w:rPr>
          <w:rFonts w:eastAsia="Times New Roman" w:cs="Arial"/>
          <w:color w:val="000000"/>
          <w:lang w:val="ru-RU"/>
        </w:rPr>
        <w:t xml:space="preserve"> </w:t>
      </w:r>
      <w:r w:rsidRPr="00C37F7C">
        <w:rPr>
          <w:rFonts w:eastAsia="Times New Roman" w:cs="Arial"/>
          <w:color w:val="000000"/>
          <w:lang w:eastAsia="bg-BG"/>
        </w:rPr>
        <w:t xml:space="preserve">(0,105 </w:t>
      </w:r>
      <w:r w:rsidRPr="00C37F7C">
        <w:rPr>
          <w:rFonts w:eastAsia="Times New Roman" w:cs="Arial"/>
          <w:color w:val="000000"/>
          <w:lang w:val="en-US"/>
        </w:rPr>
        <w:t>ml</w:t>
      </w:r>
      <w:r w:rsidRPr="00C37F7C">
        <w:rPr>
          <w:rFonts w:eastAsia="Times New Roman" w:cs="Arial"/>
          <w:color w:val="000000"/>
          <w:lang w:val="ru-RU"/>
        </w:rPr>
        <w:t>/</w:t>
      </w:r>
      <w:r w:rsidRPr="00C37F7C">
        <w:rPr>
          <w:rFonts w:eastAsia="Times New Roman" w:cs="Arial"/>
          <w:color w:val="000000"/>
          <w:lang w:val="en-US"/>
        </w:rPr>
        <w:t>kg</w:t>
      </w:r>
      <w:r w:rsidRPr="00C37F7C">
        <w:rPr>
          <w:rFonts w:eastAsia="Times New Roman" w:cs="Arial"/>
          <w:color w:val="000000"/>
          <w:lang w:val="ru-RU"/>
        </w:rPr>
        <w:t xml:space="preserve">) </w:t>
      </w:r>
      <w:r w:rsidRPr="00C37F7C">
        <w:rPr>
          <w:rFonts w:eastAsia="Times New Roman" w:cs="Arial"/>
          <w:color w:val="000000"/>
          <w:lang w:eastAsia="bg-BG"/>
        </w:rPr>
        <w:t>през първия ден на лечение с леветирацетам.</w:t>
      </w:r>
    </w:p>
    <w:p w14:paraId="5A5B7F16" w14:textId="77777777" w:rsidR="00C37F7C" w:rsidRPr="00C37F7C" w:rsidRDefault="00C37F7C" w:rsidP="00C37F7C">
      <w:pPr>
        <w:spacing w:line="240" w:lineRule="auto"/>
        <w:rPr>
          <w:rFonts w:ascii="Times New Roman" w:eastAsia="Times New Roman" w:hAnsi="Times New Roman" w:cs="Times New Roman"/>
        </w:rPr>
      </w:pPr>
      <w:r w:rsidRPr="00C37F7C">
        <w:rPr>
          <w:rFonts w:eastAsia="Times New Roman" w:cs="Arial"/>
          <w:color w:val="000000"/>
          <w:lang w:eastAsia="bg-BG"/>
        </w:rPr>
        <w:lastRenderedPageBreak/>
        <w:t xml:space="preserve">(3) Препоръчва се натоварваща доза от 15 </w:t>
      </w:r>
      <w:r w:rsidRPr="00C37F7C">
        <w:rPr>
          <w:rFonts w:eastAsia="Times New Roman" w:cs="Arial"/>
          <w:color w:val="000000"/>
          <w:lang w:val="en-US"/>
        </w:rPr>
        <w:t>mg</w:t>
      </w:r>
      <w:r w:rsidRPr="00C37F7C">
        <w:rPr>
          <w:rFonts w:eastAsia="Times New Roman" w:cs="Arial"/>
          <w:color w:val="000000"/>
          <w:lang w:val="ru-RU"/>
        </w:rPr>
        <w:t>/</w:t>
      </w:r>
      <w:r w:rsidRPr="00C37F7C">
        <w:rPr>
          <w:rFonts w:eastAsia="Times New Roman" w:cs="Arial"/>
          <w:color w:val="000000"/>
          <w:lang w:val="en-US"/>
        </w:rPr>
        <w:t>kg</w:t>
      </w:r>
      <w:r w:rsidRPr="00C37F7C">
        <w:rPr>
          <w:rFonts w:eastAsia="Times New Roman" w:cs="Arial"/>
          <w:color w:val="000000"/>
          <w:lang w:val="ru-RU"/>
        </w:rPr>
        <w:t xml:space="preserve"> </w:t>
      </w:r>
      <w:r w:rsidRPr="00C37F7C">
        <w:rPr>
          <w:rFonts w:eastAsia="Times New Roman" w:cs="Arial"/>
          <w:color w:val="000000"/>
          <w:lang w:eastAsia="bg-BG"/>
        </w:rPr>
        <w:t xml:space="preserve">(0,15 </w:t>
      </w:r>
      <w:r w:rsidRPr="00C37F7C">
        <w:rPr>
          <w:rFonts w:eastAsia="Times New Roman" w:cs="Arial"/>
          <w:color w:val="000000"/>
          <w:lang w:val="en-US"/>
        </w:rPr>
        <w:t>ml</w:t>
      </w:r>
      <w:r w:rsidRPr="00C37F7C">
        <w:rPr>
          <w:rFonts w:eastAsia="Times New Roman" w:cs="Arial"/>
          <w:color w:val="000000"/>
          <w:lang w:val="ru-RU"/>
        </w:rPr>
        <w:t>/</w:t>
      </w:r>
      <w:r w:rsidRPr="00C37F7C">
        <w:rPr>
          <w:rFonts w:eastAsia="Times New Roman" w:cs="Arial"/>
          <w:color w:val="000000"/>
          <w:lang w:val="en-US"/>
        </w:rPr>
        <w:t>kg</w:t>
      </w:r>
      <w:r w:rsidRPr="00C37F7C">
        <w:rPr>
          <w:rFonts w:eastAsia="Times New Roman" w:cs="Arial"/>
          <w:color w:val="000000"/>
          <w:lang w:val="ru-RU"/>
        </w:rPr>
        <w:t xml:space="preserve">) </w:t>
      </w:r>
      <w:r w:rsidRPr="00C37F7C">
        <w:rPr>
          <w:rFonts w:eastAsia="Times New Roman" w:cs="Arial"/>
          <w:color w:val="000000"/>
          <w:lang w:eastAsia="bg-BG"/>
        </w:rPr>
        <w:t>през първия ден на лечение с леветирацетам.</w:t>
      </w:r>
    </w:p>
    <w:p w14:paraId="0327452A" w14:textId="77777777" w:rsidR="00C37F7C" w:rsidRPr="00C37F7C" w:rsidRDefault="00C37F7C" w:rsidP="00C37F7C">
      <w:pPr>
        <w:spacing w:line="240" w:lineRule="auto"/>
        <w:rPr>
          <w:rFonts w:ascii="Times New Roman" w:eastAsia="Times New Roman" w:hAnsi="Times New Roman" w:cs="Times New Roman"/>
        </w:rPr>
      </w:pPr>
      <w:r w:rsidRPr="00C37F7C">
        <w:rPr>
          <w:rFonts w:eastAsia="Times New Roman" w:cs="Arial"/>
          <w:color w:val="000000"/>
          <w:lang w:eastAsia="bg-BG"/>
        </w:rPr>
        <w:t xml:space="preserve">(4) След диализа се препоръчва допълнителна доза от 3,5 до 7 </w:t>
      </w:r>
      <w:r w:rsidRPr="00C37F7C">
        <w:rPr>
          <w:rFonts w:eastAsia="Times New Roman" w:cs="Arial"/>
          <w:color w:val="000000"/>
          <w:lang w:val="en-US"/>
        </w:rPr>
        <w:t>mg</w:t>
      </w:r>
      <w:r w:rsidRPr="00C37F7C">
        <w:rPr>
          <w:rFonts w:eastAsia="Times New Roman" w:cs="Arial"/>
          <w:color w:val="000000"/>
          <w:lang w:val="ru-RU"/>
        </w:rPr>
        <w:t>/</w:t>
      </w:r>
      <w:r w:rsidRPr="00C37F7C">
        <w:rPr>
          <w:rFonts w:eastAsia="Times New Roman" w:cs="Arial"/>
          <w:color w:val="000000"/>
          <w:lang w:val="en-US"/>
        </w:rPr>
        <w:t>kg</w:t>
      </w:r>
      <w:r w:rsidRPr="00C37F7C">
        <w:rPr>
          <w:rFonts w:eastAsia="Times New Roman" w:cs="Arial"/>
          <w:color w:val="000000"/>
          <w:lang w:val="ru-RU"/>
        </w:rPr>
        <w:t xml:space="preserve"> </w:t>
      </w:r>
      <w:r w:rsidRPr="00C37F7C">
        <w:rPr>
          <w:rFonts w:eastAsia="Times New Roman" w:cs="Arial"/>
          <w:color w:val="000000"/>
          <w:lang w:eastAsia="bg-BG"/>
        </w:rPr>
        <w:t xml:space="preserve">(0,035 до 0,07 </w:t>
      </w:r>
      <w:r w:rsidRPr="00C37F7C">
        <w:rPr>
          <w:rFonts w:eastAsia="Times New Roman" w:cs="Arial"/>
          <w:color w:val="000000"/>
          <w:lang w:val="en-US"/>
        </w:rPr>
        <w:t>ml</w:t>
      </w:r>
      <w:r w:rsidRPr="00C37F7C">
        <w:rPr>
          <w:rFonts w:eastAsia="Times New Roman" w:cs="Arial"/>
          <w:color w:val="000000"/>
          <w:lang w:val="ru-RU"/>
        </w:rPr>
        <w:t>/</w:t>
      </w:r>
      <w:r w:rsidRPr="00C37F7C">
        <w:rPr>
          <w:rFonts w:eastAsia="Times New Roman" w:cs="Arial"/>
          <w:color w:val="000000"/>
          <w:lang w:val="en-US"/>
        </w:rPr>
        <w:t>kg</w:t>
      </w:r>
      <w:r w:rsidRPr="00C37F7C">
        <w:rPr>
          <w:rFonts w:eastAsia="Times New Roman" w:cs="Arial"/>
          <w:color w:val="000000"/>
          <w:lang w:val="ru-RU"/>
        </w:rPr>
        <w:t>).</w:t>
      </w:r>
    </w:p>
    <w:p w14:paraId="14950B64" w14:textId="77777777" w:rsidR="00C37F7C" w:rsidRPr="00C37F7C" w:rsidRDefault="00C37F7C" w:rsidP="00C37F7C">
      <w:pPr>
        <w:spacing w:line="240" w:lineRule="auto"/>
        <w:rPr>
          <w:rFonts w:ascii="Times New Roman" w:eastAsia="Times New Roman" w:hAnsi="Times New Roman" w:cs="Times New Roman"/>
        </w:rPr>
      </w:pPr>
      <w:r w:rsidRPr="00C37F7C">
        <w:rPr>
          <w:rFonts w:eastAsia="Times New Roman" w:cs="Arial"/>
          <w:color w:val="000000"/>
          <w:lang w:eastAsia="bg-BG"/>
        </w:rPr>
        <w:t xml:space="preserve">(5) След диализа се препоръчва допълнителна доза от 5 до 10 </w:t>
      </w:r>
      <w:r w:rsidRPr="00C37F7C">
        <w:rPr>
          <w:rFonts w:eastAsia="Times New Roman" w:cs="Arial"/>
          <w:color w:val="000000"/>
          <w:lang w:val="en-US"/>
        </w:rPr>
        <w:t>mg</w:t>
      </w:r>
      <w:r w:rsidRPr="00C37F7C">
        <w:rPr>
          <w:rFonts w:eastAsia="Times New Roman" w:cs="Arial"/>
          <w:color w:val="000000"/>
          <w:lang w:val="ru-RU"/>
        </w:rPr>
        <w:t>/</w:t>
      </w:r>
      <w:r w:rsidRPr="00C37F7C">
        <w:rPr>
          <w:rFonts w:eastAsia="Times New Roman" w:cs="Arial"/>
          <w:color w:val="000000"/>
          <w:lang w:val="en-US"/>
        </w:rPr>
        <w:t>kg</w:t>
      </w:r>
      <w:r w:rsidRPr="00C37F7C">
        <w:rPr>
          <w:rFonts w:eastAsia="Times New Roman" w:cs="Arial"/>
          <w:color w:val="000000"/>
          <w:lang w:val="ru-RU"/>
        </w:rPr>
        <w:t xml:space="preserve"> </w:t>
      </w:r>
      <w:r w:rsidRPr="00C37F7C">
        <w:rPr>
          <w:rFonts w:eastAsia="Times New Roman" w:cs="Arial"/>
          <w:color w:val="000000"/>
          <w:lang w:eastAsia="bg-BG"/>
        </w:rPr>
        <w:t xml:space="preserve">(0,05 до 0,10 </w:t>
      </w:r>
      <w:r w:rsidRPr="00C37F7C">
        <w:rPr>
          <w:rFonts w:eastAsia="Times New Roman" w:cs="Arial"/>
          <w:color w:val="000000"/>
          <w:lang w:val="en-US"/>
        </w:rPr>
        <w:t>ml</w:t>
      </w:r>
      <w:r w:rsidRPr="00C37F7C">
        <w:rPr>
          <w:rFonts w:eastAsia="Times New Roman" w:cs="Arial"/>
          <w:color w:val="000000"/>
          <w:lang w:val="ru-RU"/>
        </w:rPr>
        <w:t>/</w:t>
      </w:r>
      <w:r w:rsidRPr="00C37F7C">
        <w:rPr>
          <w:rFonts w:eastAsia="Times New Roman" w:cs="Arial"/>
          <w:color w:val="000000"/>
          <w:lang w:val="en-US"/>
        </w:rPr>
        <w:t>kg</w:t>
      </w:r>
      <w:r w:rsidRPr="00C37F7C">
        <w:rPr>
          <w:rFonts w:eastAsia="Times New Roman" w:cs="Arial"/>
          <w:color w:val="000000"/>
          <w:lang w:val="ru-RU"/>
        </w:rPr>
        <w:t>).</w:t>
      </w:r>
    </w:p>
    <w:p w14:paraId="1ADAFC4B" w14:textId="77777777" w:rsidR="00C37F7C" w:rsidRPr="00C37F7C" w:rsidRDefault="00C37F7C" w:rsidP="00C37F7C">
      <w:pPr>
        <w:spacing w:line="240" w:lineRule="auto"/>
        <w:rPr>
          <w:rFonts w:eastAsia="Times New Roman" w:cs="Arial"/>
          <w:i/>
          <w:iCs/>
          <w:color w:val="000000"/>
          <w:lang w:eastAsia="bg-BG"/>
        </w:rPr>
      </w:pPr>
    </w:p>
    <w:p w14:paraId="34E2B879" w14:textId="3D7DB6CF" w:rsidR="00C37F7C" w:rsidRPr="00C37F7C" w:rsidRDefault="00C37F7C" w:rsidP="00C37F7C">
      <w:pPr>
        <w:spacing w:line="240" w:lineRule="auto"/>
        <w:rPr>
          <w:rFonts w:ascii="Times New Roman" w:eastAsia="Times New Roman" w:hAnsi="Times New Roman" w:cs="Times New Roman"/>
        </w:rPr>
      </w:pPr>
      <w:r w:rsidRPr="00C37F7C">
        <w:rPr>
          <w:rFonts w:eastAsia="Times New Roman" w:cs="Arial"/>
          <w:i/>
          <w:iCs/>
          <w:color w:val="000000"/>
          <w:lang w:eastAsia="bg-BG"/>
        </w:rPr>
        <w:t>Чернодробно увреждане</w:t>
      </w:r>
    </w:p>
    <w:p w14:paraId="78CBCCD3" w14:textId="77777777" w:rsidR="00C37F7C" w:rsidRPr="00C37F7C" w:rsidRDefault="00C37F7C" w:rsidP="00C37F7C">
      <w:pPr>
        <w:spacing w:line="240" w:lineRule="auto"/>
        <w:rPr>
          <w:rFonts w:ascii="Times New Roman" w:eastAsia="Times New Roman" w:hAnsi="Times New Roman" w:cs="Times New Roman"/>
        </w:rPr>
      </w:pPr>
      <w:r w:rsidRPr="00C37F7C">
        <w:rPr>
          <w:rFonts w:eastAsia="Times New Roman" w:cs="Arial"/>
          <w:color w:val="000000"/>
          <w:lang w:eastAsia="bg-BG"/>
        </w:rPr>
        <w:t xml:space="preserve">При пациенти с лека до умерена степен на чернодробно увреждане не се налага адаптиране на дозата. При пациенти с тежко чернодробно увреждане стойностите на креатининовия клирънс могат да не дадат реална представа за бъбречната недостатъчност. По тази причина при креатининов клирънс &lt; 60 </w:t>
      </w:r>
      <w:r w:rsidRPr="00C37F7C">
        <w:rPr>
          <w:rFonts w:eastAsia="Times New Roman" w:cs="Arial"/>
          <w:color w:val="000000"/>
          <w:lang w:val="en-US"/>
        </w:rPr>
        <w:t>ml</w:t>
      </w:r>
      <w:r w:rsidRPr="00C37F7C">
        <w:rPr>
          <w:rFonts w:eastAsia="Times New Roman" w:cs="Arial"/>
          <w:color w:val="000000"/>
          <w:lang w:val="ru-RU"/>
        </w:rPr>
        <w:t>/</w:t>
      </w:r>
      <w:r w:rsidRPr="00C37F7C">
        <w:rPr>
          <w:rFonts w:eastAsia="Times New Roman" w:cs="Arial"/>
          <w:color w:val="000000"/>
          <w:lang w:val="en-US"/>
        </w:rPr>
        <w:t>min</w:t>
      </w:r>
      <w:r w:rsidRPr="00C37F7C">
        <w:rPr>
          <w:rFonts w:eastAsia="Times New Roman" w:cs="Arial"/>
          <w:color w:val="000000"/>
          <w:lang w:val="ru-RU"/>
        </w:rPr>
        <w:t>/</w:t>
      </w:r>
      <w:r w:rsidRPr="00C37F7C">
        <w:rPr>
          <w:rFonts w:eastAsia="Times New Roman" w:cs="Arial"/>
          <w:color w:val="000000"/>
          <w:lang w:val="en-US"/>
        </w:rPr>
        <w:t>l</w:t>
      </w:r>
      <w:r w:rsidRPr="00C37F7C">
        <w:rPr>
          <w:rFonts w:eastAsia="Times New Roman" w:cs="Arial"/>
          <w:color w:val="000000"/>
          <w:lang w:val="ru-RU"/>
        </w:rPr>
        <w:t>,73</w:t>
      </w:r>
      <w:r w:rsidRPr="00C37F7C">
        <w:rPr>
          <w:rFonts w:eastAsia="Times New Roman" w:cs="Arial"/>
          <w:color w:val="000000"/>
          <w:lang w:val="en-US"/>
        </w:rPr>
        <w:t>m</w:t>
      </w:r>
      <w:r w:rsidRPr="00C37F7C">
        <w:rPr>
          <w:rFonts w:eastAsia="Times New Roman" w:cs="Arial"/>
          <w:color w:val="000000"/>
          <w:lang w:val="ru-RU"/>
        </w:rPr>
        <w:t xml:space="preserve">2 </w:t>
      </w:r>
      <w:r w:rsidRPr="00C37F7C">
        <w:rPr>
          <w:rFonts w:eastAsia="Times New Roman" w:cs="Arial"/>
          <w:color w:val="000000"/>
          <w:lang w:eastAsia="bg-BG"/>
        </w:rPr>
        <w:t>се препоръчва 50% намаление на дневната поддържаща доза.</w:t>
      </w:r>
    </w:p>
    <w:p w14:paraId="6279AFD0" w14:textId="1A9417E1" w:rsidR="00C37F7C" w:rsidRDefault="00C37F7C" w:rsidP="00C37F7C">
      <w:pPr>
        <w:rPr>
          <w:rFonts w:cs="Arial"/>
          <w:sz w:val="28"/>
        </w:rPr>
      </w:pPr>
    </w:p>
    <w:p w14:paraId="3DB54731"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Педиатрична популация</w:t>
      </w:r>
    </w:p>
    <w:p w14:paraId="6E78FD89"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Лекарят трябва да предпише най-подходящата лекарствена форма, във форма и количество на активното вещество в дозова единица, в зависимост от възрастта, теглото и дозата.</w:t>
      </w:r>
    </w:p>
    <w:p w14:paraId="32A36FB3"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Леветиракон перорален разтвор е предпочитаната форма за употреба при новородени и дена на възраст под 6 години. В допълнение, наличните дозови форми на таблетките не са подходящи за начална терапия при деца с телесно тегло под 25 </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при пациенти, които не могат да преглъщат таблетки или при приложение на дози под 250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При всички горепосочени случаи трябва да се използва леветирацетам перорален разтвор.</w:t>
      </w:r>
    </w:p>
    <w:p w14:paraId="48976DA4" w14:textId="77777777" w:rsidR="00C37F7C" w:rsidRPr="00C37F7C" w:rsidRDefault="00C37F7C" w:rsidP="00C37F7C">
      <w:pPr>
        <w:spacing w:line="240" w:lineRule="auto"/>
        <w:rPr>
          <w:rFonts w:eastAsia="Times New Roman" w:cs="Arial"/>
          <w:i/>
          <w:iCs/>
          <w:color w:val="000000"/>
          <w:szCs w:val="19"/>
          <w:lang w:eastAsia="bg-BG"/>
        </w:rPr>
      </w:pPr>
    </w:p>
    <w:p w14:paraId="4300F47A" w14:textId="13AC0062"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i/>
          <w:iCs/>
          <w:color w:val="000000"/>
          <w:szCs w:val="19"/>
          <w:lang w:eastAsia="bg-BG"/>
        </w:rPr>
        <w:t>Монотерапия</w:t>
      </w:r>
    </w:p>
    <w:p w14:paraId="16AFCCFB"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Безопасността и ефективността на Леветиракон при деца и юноши под 16 години като монотерапия не е установена. Няма налични данни.</w:t>
      </w:r>
    </w:p>
    <w:p w14:paraId="258B6E2A" w14:textId="77777777" w:rsidR="00C37F7C" w:rsidRPr="00C37F7C" w:rsidRDefault="00C37F7C" w:rsidP="00C37F7C">
      <w:pPr>
        <w:spacing w:line="240" w:lineRule="auto"/>
        <w:rPr>
          <w:rFonts w:eastAsia="Times New Roman" w:cs="Arial"/>
          <w:i/>
          <w:iCs/>
          <w:color w:val="000000"/>
          <w:szCs w:val="19"/>
          <w:lang w:eastAsia="bg-BG"/>
        </w:rPr>
      </w:pPr>
    </w:p>
    <w:p w14:paraId="715778CC" w14:textId="745615B3"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i/>
          <w:iCs/>
          <w:color w:val="000000"/>
          <w:szCs w:val="19"/>
          <w:lang w:eastAsia="bg-BG"/>
        </w:rPr>
        <w:t xml:space="preserve">Допълващо лечение при новородени на възраст от 6 до 23 месеца, деца (2-11 години) и юноши (12-17 години) с тегло под 50 </w:t>
      </w:r>
      <w:r w:rsidRPr="00C37F7C">
        <w:rPr>
          <w:rFonts w:eastAsia="Times New Roman" w:cs="Arial"/>
          <w:i/>
          <w:iCs/>
          <w:color w:val="000000"/>
          <w:szCs w:val="19"/>
          <w:lang w:val="en-US"/>
        </w:rPr>
        <w:t>kg</w:t>
      </w:r>
    </w:p>
    <w:p w14:paraId="43C20C1E"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Началната терапевтична доза е 10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два пъти дневно.</w:t>
      </w:r>
    </w:p>
    <w:p w14:paraId="0657A4DB"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В зависимост от клиничния отговор и поносимост, дозата може да бъде увеличена до 30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два пъти дневно. Промяната в дозата не трябва да надвишава понижаване или повишаване с повече от 10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два пъти дневно на всеки две седмици. Трябва да се използва най-ниската ефективна доза.</w:t>
      </w:r>
    </w:p>
    <w:p w14:paraId="6B5C23BF"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Дозата при деца с тегло 50 </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или повече е същата както при възрастни.</w:t>
      </w:r>
    </w:p>
    <w:p w14:paraId="3FE59CCC" w14:textId="77777777" w:rsidR="00C37F7C" w:rsidRPr="00C37F7C" w:rsidRDefault="00C37F7C" w:rsidP="00C37F7C">
      <w:pPr>
        <w:spacing w:line="240" w:lineRule="auto"/>
        <w:rPr>
          <w:rFonts w:eastAsia="Times New Roman" w:cs="Arial"/>
          <w:color w:val="000000"/>
          <w:szCs w:val="19"/>
          <w:u w:val="single"/>
          <w:lang w:eastAsia="bg-BG"/>
        </w:rPr>
      </w:pPr>
    </w:p>
    <w:p w14:paraId="48D44D73" w14:textId="710DF7BA"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Препоръчителна доза при новородени на 6 и повече месеца, деца и юноши:</w:t>
      </w:r>
    </w:p>
    <w:tbl>
      <w:tblPr>
        <w:tblStyle w:val="TableGrid"/>
        <w:tblW w:w="0" w:type="auto"/>
        <w:tblLook w:val="04A0" w:firstRow="1" w:lastRow="0" w:firstColumn="1" w:lastColumn="0" w:noHBand="0" w:noVBand="1"/>
      </w:tblPr>
      <w:tblGrid>
        <w:gridCol w:w="3104"/>
        <w:gridCol w:w="3116"/>
        <w:gridCol w:w="3130"/>
      </w:tblGrid>
      <w:tr w:rsidR="00C37F7C" w14:paraId="4FD6DF83" w14:textId="77777777" w:rsidTr="00C37F7C">
        <w:tc>
          <w:tcPr>
            <w:tcW w:w="3192" w:type="dxa"/>
          </w:tcPr>
          <w:p w14:paraId="2C6902C0" w14:textId="62CF2109" w:rsidR="00C37F7C" w:rsidRPr="00C37F7C" w:rsidRDefault="00C37F7C" w:rsidP="00C37F7C">
            <w:r w:rsidRPr="00C37F7C">
              <w:rPr>
                <w:rFonts w:cs="Arial"/>
                <w:szCs w:val="19"/>
              </w:rPr>
              <w:t>Тегло</w:t>
            </w:r>
          </w:p>
        </w:tc>
        <w:tc>
          <w:tcPr>
            <w:tcW w:w="3192" w:type="dxa"/>
          </w:tcPr>
          <w:p w14:paraId="3F3342FE" w14:textId="77777777" w:rsidR="00C37F7C" w:rsidRPr="00C37F7C" w:rsidRDefault="00C37F7C" w:rsidP="00C37F7C">
            <w:r w:rsidRPr="00C37F7C">
              <w:rPr>
                <w:rFonts w:cs="Arial"/>
                <w:szCs w:val="19"/>
              </w:rPr>
              <w:t>Начална доза</w:t>
            </w:r>
          </w:p>
          <w:p w14:paraId="539B40DD" w14:textId="2C9DD341" w:rsidR="00C37F7C" w:rsidRPr="00C37F7C" w:rsidRDefault="00C37F7C" w:rsidP="00C37F7C">
            <w:r w:rsidRPr="00C37F7C">
              <w:rPr>
                <w:rFonts w:cs="Arial"/>
                <w:szCs w:val="19"/>
                <w:lang w:val="ru-RU"/>
              </w:rPr>
              <w:t xml:space="preserve">10 </w:t>
            </w:r>
            <w:r w:rsidRPr="00C37F7C">
              <w:rPr>
                <w:rFonts w:cs="Arial"/>
                <w:szCs w:val="19"/>
                <w:lang w:val="en-US"/>
              </w:rPr>
              <w:t>mg</w:t>
            </w:r>
            <w:r w:rsidRPr="00C37F7C">
              <w:rPr>
                <w:rFonts w:cs="Arial"/>
                <w:szCs w:val="19"/>
                <w:lang w:val="ru-RU"/>
              </w:rPr>
              <w:t>/</w:t>
            </w:r>
            <w:r w:rsidRPr="00C37F7C">
              <w:rPr>
                <w:rFonts w:cs="Arial"/>
                <w:szCs w:val="19"/>
                <w:lang w:val="en-US"/>
              </w:rPr>
              <w:t>kg</w:t>
            </w:r>
            <w:r w:rsidRPr="00C37F7C">
              <w:rPr>
                <w:rFonts w:cs="Arial"/>
                <w:szCs w:val="19"/>
                <w:lang w:val="ru-RU"/>
              </w:rPr>
              <w:t xml:space="preserve"> </w:t>
            </w:r>
            <w:r w:rsidRPr="00C37F7C">
              <w:rPr>
                <w:rFonts w:cs="Arial"/>
                <w:szCs w:val="19"/>
              </w:rPr>
              <w:t>два пъти дневно</w:t>
            </w:r>
          </w:p>
        </w:tc>
        <w:tc>
          <w:tcPr>
            <w:tcW w:w="3192" w:type="dxa"/>
          </w:tcPr>
          <w:p w14:paraId="3DBE3B4E" w14:textId="77777777" w:rsidR="00C37F7C" w:rsidRPr="00C37F7C" w:rsidRDefault="00C37F7C" w:rsidP="00C37F7C">
            <w:r w:rsidRPr="00C37F7C">
              <w:rPr>
                <w:rFonts w:cs="Arial"/>
                <w:szCs w:val="19"/>
              </w:rPr>
              <w:t>Максимална доза</w:t>
            </w:r>
          </w:p>
          <w:p w14:paraId="06143235" w14:textId="45F5FF3E" w:rsidR="00C37F7C" w:rsidRPr="00C37F7C" w:rsidRDefault="00C37F7C" w:rsidP="00C37F7C">
            <w:r w:rsidRPr="00C37F7C">
              <w:rPr>
                <w:rFonts w:cs="Arial"/>
                <w:szCs w:val="19"/>
              </w:rPr>
              <w:t xml:space="preserve">30 </w:t>
            </w:r>
            <w:r w:rsidRPr="00C37F7C">
              <w:rPr>
                <w:rFonts w:cs="Arial"/>
                <w:szCs w:val="19"/>
                <w:lang w:val="en-US"/>
              </w:rPr>
              <w:t>mg</w:t>
            </w:r>
            <w:r w:rsidRPr="00C37F7C">
              <w:rPr>
                <w:rFonts w:cs="Arial"/>
                <w:szCs w:val="19"/>
                <w:lang w:val="ru-RU"/>
              </w:rPr>
              <w:t>/</w:t>
            </w:r>
            <w:r w:rsidRPr="00C37F7C">
              <w:rPr>
                <w:rFonts w:cs="Arial"/>
                <w:szCs w:val="19"/>
                <w:lang w:val="en-US"/>
              </w:rPr>
              <w:t>kg</w:t>
            </w:r>
            <w:r w:rsidRPr="00C37F7C">
              <w:rPr>
                <w:rFonts w:cs="Arial"/>
                <w:szCs w:val="19"/>
                <w:lang w:val="ru-RU"/>
              </w:rPr>
              <w:t xml:space="preserve"> </w:t>
            </w:r>
            <w:r w:rsidRPr="00C37F7C">
              <w:rPr>
                <w:rFonts w:cs="Arial"/>
                <w:szCs w:val="19"/>
              </w:rPr>
              <w:t>два пъти дневно</w:t>
            </w:r>
          </w:p>
        </w:tc>
      </w:tr>
      <w:tr w:rsidR="00C37F7C" w14:paraId="457CD08F" w14:textId="77777777" w:rsidTr="00C37F7C">
        <w:tc>
          <w:tcPr>
            <w:tcW w:w="3192" w:type="dxa"/>
          </w:tcPr>
          <w:p w14:paraId="014990A4" w14:textId="094DDA8C" w:rsidR="00C37F7C" w:rsidRPr="00C37F7C" w:rsidRDefault="00C37F7C" w:rsidP="00C37F7C">
            <w:r w:rsidRPr="00C37F7C">
              <w:rPr>
                <w:rFonts w:cs="Arial"/>
                <w:szCs w:val="19"/>
                <w:lang w:val="en-US"/>
              </w:rPr>
              <w:t>6 kg</w:t>
            </w:r>
            <w:r w:rsidRPr="00C37F7C">
              <w:rPr>
                <w:rFonts w:cs="Arial"/>
                <w:szCs w:val="19"/>
                <w:vertAlign w:val="superscript"/>
                <w:lang w:val="en-US"/>
              </w:rPr>
              <w:t>(1)</w:t>
            </w:r>
          </w:p>
        </w:tc>
        <w:tc>
          <w:tcPr>
            <w:tcW w:w="3192" w:type="dxa"/>
          </w:tcPr>
          <w:p w14:paraId="7E3E9434" w14:textId="0AC5EB5A" w:rsidR="00C37F7C" w:rsidRPr="00C37F7C" w:rsidRDefault="00C37F7C" w:rsidP="00C37F7C">
            <w:r w:rsidRPr="00C37F7C">
              <w:rPr>
                <w:rFonts w:cs="Arial"/>
                <w:szCs w:val="19"/>
              </w:rPr>
              <w:t xml:space="preserve">60 </w:t>
            </w:r>
            <w:r w:rsidRPr="00C37F7C">
              <w:rPr>
                <w:rFonts w:cs="Arial"/>
                <w:szCs w:val="19"/>
                <w:lang w:val="en-US"/>
              </w:rPr>
              <w:t>mg</w:t>
            </w:r>
            <w:r w:rsidRPr="00C37F7C">
              <w:rPr>
                <w:rFonts w:cs="Arial"/>
                <w:szCs w:val="19"/>
                <w:lang w:val="ru-RU"/>
              </w:rPr>
              <w:t xml:space="preserve"> </w:t>
            </w:r>
            <w:r w:rsidRPr="00C37F7C">
              <w:rPr>
                <w:rFonts w:cs="Arial"/>
                <w:szCs w:val="19"/>
              </w:rPr>
              <w:t xml:space="preserve">(0,6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c>
          <w:tcPr>
            <w:tcW w:w="3192" w:type="dxa"/>
          </w:tcPr>
          <w:p w14:paraId="41C88AAC" w14:textId="65E2A1E7" w:rsidR="00C37F7C" w:rsidRPr="00C37F7C" w:rsidRDefault="00C37F7C" w:rsidP="00C37F7C">
            <w:r w:rsidRPr="00C37F7C">
              <w:rPr>
                <w:rFonts w:cs="Arial"/>
                <w:szCs w:val="19"/>
              </w:rPr>
              <w:t xml:space="preserve">180 </w:t>
            </w:r>
            <w:r w:rsidRPr="00C37F7C">
              <w:rPr>
                <w:rFonts w:cs="Arial"/>
                <w:szCs w:val="19"/>
                <w:lang w:val="en-US"/>
              </w:rPr>
              <w:t>mg</w:t>
            </w:r>
            <w:r w:rsidRPr="00C37F7C">
              <w:rPr>
                <w:rFonts w:cs="Arial"/>
                <w:szCs w:val="19"/>
                <w:lang w:val="ru-RU"/>
              </w:rPr>
              <w:t xml:space="preserve"> </w:t>
            </w:r>
            <w:r w:rsidRPr="00C37F7C">
              <w:rPr>
                <w:rFonts w:cs="Arial"/>
                <w:szCs w:val="19"/>
              </w:rPr>
              <w:t xml:space="preserve">(1,8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r>
      <w:tr w:rsidR="00C37F7C" w14:paraId="349E31B8" w14:textId="77777777" w:rsidTr="00C37F7C">
        <w:tc>
          <w:tcPr>
            <w:tcW w:w="3192" w:type="dxa"/>
          </w:tcPr>
          <w:p w14:paraId="6059E340" w14:textId="4269FC53" w:rsidR="00C37F7C" w:rsidRPr="00C37F7C" w:rsidRDefault="00C37F7C" w:rsidP="00C37F7C">
            <w:r w:rsidRPr="00C37F7C">
              <w:rPr>
                <w:rFonts w:cs="Arial"/>
                <w:szCs w:val="19"/>
              </w:rPr>
              <w:t xml:space="preserve">10 </w:t>
            </w:r>
            <w:r w:rsidRPr="00C37F7C">
              <w:rPr>
                <w:rFonts w:cs="Arial"/>
                <w:szCs w:val="19"/>
                <w:lang w:val="en-US"/>
              </w:rPr>
              <w:t>kg</w:t>
            </w:r>
            <w:r w:rsidRPr="00C37F7C">
              <w:rPr>
                <w:rFonts w:cs="Arial"/>
                <w:szCs w:val="19"/>
                <w:vertAlign w:val="superscript"/>
                <w:lang w:val="en-US"/>
              </w:rPr>
              <w:t>(1)</w:t>
            </w:r>
          </w:p>
        </w:tc>
        <w:tc>
          <w:tcPr>
            <w:tcW w:w="3192" w:type="dxa"/>
          </w:tcPr>
          <w:p w14:paraId="736FFE44" w14:textId="7701DB15" w:rsidR="00C37F7C" w:rsidRPr="00C37F7C" w:rsidRDefault="00C37F7C" w:rsidP="00C37F7C">
            <w:r w:rsidRPr="00C37F7C">
              <w:rPr>
                <w:rFonts w:cs="Arial"/>
                <w:szCs w:val="19"/>
              </w:rPr>
              <w:t xml:space="preserve">100 </w:t>
            </w:r>
            <w:r w:rsidRPr="00C37F7C">
              <w:rPr>
                <w:rFonts w:cs="Arial"/>
                <w:szCs w:val="19"/>
                <w:lang w:val="en-US"/>
              </w:rPr>
              <w:t>mg</w:t>
            </w:r>
            <w:r w:rsidRPr="00C37F7C">
              <w:rPr>
                <w:rFonts w:cs="Arial"/>
                <w:szCs w:val="19"/>
                <w:lang w:val="ru-RU"/>
              </w:rPr>
              <w:t xml:space="preserve"> </w:t>
            </w:r>
            <w:r w:rsidRPr="00C37F7C">
              <w:rPr>
                <w:rFonts w:cs="Arial"/>
                <w:szCs w:val="19"/>
              </w:rPr>
              <w:t xml:space="preserve">(1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c>
          <w:tcPr>
            <w:tcW w:w="3192" w:type="dxa"/>
          </w:tcPr>
          <w:p w14:paraId="2A7A65C0" w14:textId="1D3EBA27" w:rsidR="00C37F7C" w:rsidRPr="00C37F7C" w:rsidRDefault="00C37F7C" w:rsidP="00C37F7C">
            <w:r w:rsidRPr="00C37F7C">
              <w:rPr>
                <w:rFonts w:cs="Arial"/>
                <w:szCs w:val="19"/>
              </w:rPr>
              <w:t xml:space="preserve">300 </w:t>
            </w:r>
            <w:r w:rsidRPr="00C37F7C">
              <w:rPr>
                <w:rFonts w:cs="Arial"/>
                <w:szCs w:val="19"/>
                <w:lang w:val="en-US"/>
              </w:rPr>
              <w:t>mg</w:t>
            </w:r>
            <w:r w:rsidRPr="00C37F7C">
              <w:rPr>
                <w:rFonts w:cs="Arial"/>
                <w:szCs w:val="19"/>
                <w:lang w:val="ru-RU"/>
              </w:rPr>
              <w:t xml:space="preserve"> </w:t>
            </w:r>
            <w:r w:rsidRPr="00C37F7C">
              <w:rPr>
                <w:rFonts w:cs="Arial"/>
                <w:szCs w:val="19"/>
              </w:rPr>
              <w:t xml:space="preserve">(3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r>
      <w:tr w:rsidR="00C37F7C" w14:paraId="23863EF3" w14:textId="77777777" w:rsidTr="00C37F7C">
        <w:tc>
          <w:tcPr>
            <w:tcW w:w="3192" w:type="dxa"/>
          </w:tcPr>
          <w:p w14:paraId="33E637D0" w14:textId="0A783806" w:rsidR="00C37F7C" w:rsidRPr="00C37F7C" w:rsidRDefault="00C37F7C" w:rsidP="00C37F7C">
            <w:r w:rsidRPr="00C37F7C">
              <w:rPr>
                <w:rFonts w:cs="Arial"/>
                <w:szCs w:val="19"/>
                <w:lang w:val="en-US"/>
              </w:rPr>
              <w:t>15 kg</w:t>
            </w:r>
            <w:r w:rsidRPr="00C37F7C">
              <w:rPr>
                <w:rFonts w:cs="Arial"/>
                <w:szCs w:val="19"/>
                <w:vertAlign w:val="superscript"/>
                <w:lang w:val="en-US"/>
              </w:rPr>
              <w:t>(1)</w:t>
            </w:r>
          </w:p>
        </w:tc>
        <w:tc>
          <w:tcPr>
            <w:tcW w:w="3192" w:type="dxa"/>
          </w:tcPr>
          <w:p w14:paraId="21F7E37B" w14:textId="4109E717" w:rsidR="00C37F7C" w:rsidRPr="00C37F7C" w:rsidRDefault="00C37F7C" w:rsidP="00C37F7C">
            <w:r w:rsidRPr="00C37F7C">
              <w:rPr>
                <w:rFonts w:cs="Arial"/>
                <w:szCs w:val="19"/>
              </w:rPr>
              <w:t xml:space="preserve">150 </w:t>
            </w:r>
            <w:r w:rsidRPr="00C37F7C">
              <w:rPr>
                <w:rFonts w:cs="Arial"/>
                <w:szCs w:val="19"/>
                <w:lang w:val="en-US"/>
              </w:rPr>
              <w:t>mg</w:t>
            </w:r>
            <w:r w:rsidRPr="00C37F7C">
              <w:rPr>
                <w:rFonts w:cs="Arial"/>
                <w:szCs w:val="19"/>
                <w:lang w:val="ru-RU"/>
              </w:rPr>
              <w:t xml:space="preserve"> </w:t>
            </w:r>
            <w:r w:rsidRPr="00C37F7C">
              <w:rPr>
                <w:rFonts w:cs="Arial"/>
                <w:szCs w:val="19"/>
              </w:rPr>
              <w:t xml:space="preserve">(1,5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c>
          <w:tcPr>
            <w:tcW w:w="3192" w:type="dxa"/>
          </w:tcPr>
          <w:p w14:paraId="3DDEB303" w14:textId="33F33DF0" w:rsidR="00C37F7C" w:rsidRPr="00C37F7C" w:rsidRDefault="00C37F7C" w:rsidP="00C37F7C">
            <w:r w:rsidRPr="00C37F7C">
              <w:rPr>
                <w:rFonts w:cs="Arial"/>
                <w:szCs w:val="19"/>
              </w:rPr>
              <w:t xml:space="preserve">450 </w:t>
            </w:r>
            <w:r w:rsidRPr="00C37F7C">
              <w:rPr>
                <w:rFonts w:cs="Arial"/>
                <w:szCs w:val="19"/>
                <w:lang w:val="en-US"/>
              </w:rPr>
              <w:t>mg</w:t>
            </w:r>
            <w:r w:rsidRPr="00C37F7C">
              <w:rPr>
                <w:rFonts w:cs="Arial"/>
                <w:szCs w:val="19"/>
                <w:lang w:val="ru-RU"/>
              </w:rPr>
              <w:t xml:space="preserve"> </w:t>
            </w:r>
            <w:r w:rsidRPr="00C37F7C">
              <w:rPr>
                <w:rFonts w:cs="Arial"/>
                <w:szCs w:val="19"/>
              </w:rPr>
              <w:t xml:space="preserve">(4,5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r>
      <w:tr w:rsidR="00C37F7C" w14:paraId="319AE68E" w14:textId="77777777" w:rsidTr="00C37F7C">
        <w:tc>
          <w:tcPr>
            <w:tcW w:w="3192" w:type="dxa"/>
          </w:tcPr>
          <w:p w14:paraId="7029C757" w14:textId="159BFF33" w:rsidR="00C37F7C" w:rsidRPr="00C37F7C" w:rsidRDefault="00C37F7C" w:rsidP="00C37F7C">
            <w:r w:rsidRPr="00C37F7C">
              <w:rPr>
                <w:rFonts w:cs="Arial"/>
                <w:szCs w:val="19"/>
                <w:lang w:val="en-US"/>
              </w:rPr>
              <w:t>20 kg</w:t>
            </w:r>
            <w:r w:rsidRPr="00C37F7C">
              <w:rPr>
                <w:rFonts w:cs="Arial"/>
                <w:szCs w:val="19"/>
                <w:vertAlign w:val="superscript"/>
                <w:lang w:val="en-US"/>
              </w:rPr>
              <w:t>(1)</w:t>
            </w:r>
          </w:p>
        </w:tc>
        <w:tc>
          <w:tcPr>
            <w:tcW w:w="3192" w:type="dxa"/>
          </w:tcPr>
          <w:p w14:paraId="0DD1575C" w14:textId="1C9A074B" w:rsidR="00C37F7C" w:rsidRPr="00C37F7C" w:rsidRDefault="00C37F7C" w:rsidP="00C37F7C">
            <w:r w:rsidRPr="00C37F7C">
              <w:rPr>
                <w:rFonts w:cs="Arial"/>
                <w:szCs w:val="19"/>
              </w:rPr>
              <w:t xml:space="preserve">200 </w:t>
            </w:r>
            <w:r w:rsidRPr="00C37F7C">
              <w:rPr>
                <w:rFonts w:cs="Arial"/>
                <w:szCs w:val="19"/>
                <w:lang w:val="en-US"/>
              </w:rPr>
              <w:t>mg</w:t>
            </w:r>
            <w:r w:rsidRPr="00C37F7C">
              <w:rPr>
                <w:rFonts w:cs="Arial"/>
                <w:szCs w:val="19"/>
                <w:lang w:val="ru-RU"/>
              </w:rPr>
              <w:t xml:space="preserve"> </w:t>
            </w:r>
            <w:r w:rsidRPr="00C37F7C">
              <w:rPr>
                <w:rFonts w:cs="Arial"/>
                <w:szCs w:val="19"/>
              </w:rPr>
              <w:t xml:space="preserve">(2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c>
          <w:tcPr>
            <w:tcW w:w="3192" w:type="dxa"/>
          </w:tcPr>
          <w:p w14:paraId="3311168D" w14:textId="5C1691D3" w:rsidR="00C37F7C" w:rsidRPr="00C37F7C" w:rsidRDefault="00C37F7C" w:rsidP="00C37F7C">
            <w:r w:rsidRPr="00C37F7C">
              <w:rPr>
                <w:rFonts w:cs="Arial"/>
                <w:szCs w:val="19"/>
              </w:rPr>
              <w:t xml:space="preserve">600 </w:t>
            </w:r>
            <w:r w:rsidRPr="00C37F7C">
              <w:rPr>
                <w:rFonts w:cs="Arial"/>
                <w:szCs w:val="19"/>
                <w:lang w:val="en-US"/>
              </w:rPr>
              <w:t>mg</w:t>
            </w:r>
            <w:r w:rsidRPr="00C37F7C">
              <w:rPr>
                <w:rFonts w:cs="Arial"/>
                <w:szCs w:val="19"/>
                <w:lang w:val="ru-RU"/>
              </w:rPr>
              <w:t xml:space="preserve"> </w:t>
            </w:r>
            <w:r w:rsidRPr="00C37F7C">
              <w:rPr>
                <w:rFonts w:cs="Arial"/>
                <w:szCs w:val="19"/>
              </w:rPr>
              <w:t xml:space="preserve">(6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r>
      <w:tr w:rsidR="00C37F7C" w14:paraId="3EDF48B2" w14:textId="77777777" w:rsidTr="00C37F7C">
        <w:tc>
          <w:tcPr>
            <w:tcW w:w="3192" w:type="dxa"/>
          </w:tcPr>
          <w:p w14:paraId="1E8BAC6E" w14:textId="68E533BA" w:rsidR="00C37F7C" w:rsidRPr="00C37F7C" w:rsidRDefault="00C37F7C" w:rsidP="00C37F7C">
            <w:r w:rsidRPr="00C37F7C">
              <w:rPr>
                <w:rFonts w:cs="Arial"/>
                <w:szCs w:val="19"/>
                <w:lang w:val="en-US"/>
              </w:rPr>
              <w:t>25 kg</w:t>
            </w:r>
          </w:p>
        </w:tc>
        <w:tc>
          <w:tcPr>
            <w:tcW w:w="3192" w:type="dxa"/>
          </w:tcPr>
          <w:p w14:paraId="6F62BF71" w14:textId="3BFE4BE0" w:rsidR="00C37F7C" w:rsidRPr="00C37F7C" w:rsidRDefault="00C37F7C" w:rsidP="00C37F7C">
            <w:r w:rsidRPr="00C37F7C">
              <w:rPr>
                <w:rFonts w:cs="Arial"/>
                <w:szCs w:val="19"/>
              </w:rPr>
              <w:t xml:space="preserve">250 </w:t>
            </w:r>
            <w:r w:rsidRPr="00C37F7C">
              <w:rPr>
                <w:rFonts w:cs="Arial"/>
                <w:szCs w:val="19"/>
                <w:lang w:val="en-US"/>
              </w:rPr>
              <w:t xml:space="preserve">mg </w:t>
            </w:r>
            <w:r w:rsidRPr="00C37F7C">
              <w:rPr>
                <w:rFonts w:cs="Arial"/>
                <w:szCs w:val="19"/>
              </w:rPr>
              <w:t>два пъти дневно</w:t>
            </w:r>
          </w:p>
        </w:tc>
        <w:tc>
          <w:tcPr>
            <w:tcW w:w="3192" w:type="dxa"/>
          </w:tcPr>
          <w:p w14:paraId="3A5736D4" w14:textId="25B19A08" w:rsidR="00C37F7C" w:rsidRPr="00C37F7C" w:rsidRDefault="00C37F7C" w:rsidP="00C37F7C">
            <w:r w:rsidRPr="00C37F7C">
              <w:rPr>
                <w:rFonts w:cs="Arial"/>
                <w:szCs w:val="19"/>
              </w:rPr>
              <w:t xml:space="preserve">750 </w:t>
            </w:r>
            <w:r w:rsidRPr="00C37F7C">
              <w:rPr>
                <w:rFonts w:cs="Arial"/>
                <w:szCs w:val="19"/>
                <w:lang w:val="en-US"/>
              </w:rPr>
              <w:t xml:space="preserve">mg </w:t>
            </w:r>
            <w:r w:rsidRPr="00C37F7C">
              <w:rPr>
                <w:rFonts w:cs="Arial"/>
                <w:szCs w:val="19"/>
              </w:rPr>
              <w:t>два пъти дневно</w:t>
            </w:r>
          </w:p>
        </w:tc>
      </w:tr>
      <w:tr w:rsidR="00C37F7C" w14:paraId="6E3606CA" w14:textId="77777777" w:rsidTr="00C37F7C">
        <w:tc>
          <w:tcPr>
            <w:tcW w:w="3192" w:type="dxa"/>
          </w:tcPr>
          <w:p w14:paraId="16F49ACD" w14:textId="0DCF79FA" w:rsidR="00C37F7C" w:rsidRPr="00C37F7C" w:rsidRDefault="00C37F7C" w:rsidP="00C37F7C">
            <w:pPr>
              <w:rPr>
                <w:rFonts w:cs="Arial"/>
                <w:szCs w:val="19"/>
                <w:vertAlign w:val="superscript"/>
                <w:lang w:val="en-US"/>
              </w:rPr>
            </w:pPr>
            <w:r w:rsidRPr="00C37F7C">
              <w:rPr>
                <w:rFonts w:cs="Arial"/>
                <w:szCs w:val="19"/>
              </w:rPr>
              <w:t xml:space="preserve">над </w:t>
            </w:r>
            <w:r w:rsidRPr="00C37F7C">
              <w:rPr>
                <w:rFonts w:cs="Arial"/>
                <w:szCs w:val="19"/>
                <w:lang w:val="en-US"/>
              </w:rPr>
              <w:t>50 kg</w:t>
            </w:r>
            <w:r w:rsidRPr="00C37F7C">
              <w:rPr>
                <w:rFonts w:cs="Arial"/>
                <w:szCs w:val="19"/>
                <w:vertAlign w:val="superscript"/>
                <w:lang w:val="en-US"/>
              </w:rPr>
              <w:t>(2)</w:t>
            </w:r>
          </w:p>
        </w:tc>
        <w:tc>
          <w:tcPr>
            <w:tcW w:w="3192" w:type="dxa"/>
          </w:tcPr>
          <w:p w14:paraId="40E35E8C" w14:textId="1F9D74AD" w:rsidR="00C37F7C" w:rsidRPr="00C37F7C" w:rsidRDefault="00C37F7C" w:rsidP="00C37F7C">
            <w:r w:rsidRPr="00C37F7C">
              <w:rPr>
                <w:rFonts w:cs="Arial"/>
                <w:szCs w:val="19"/>
              </w:rPr>
              <w:t xml:space="preserve">500 </w:t>
            </w:r>
            <w:r w:rsidRPr="00C37F7C">
              <w:rPr>
                <w:rFonts w:cs="Arial"/>
                <w:szCs w:val="19"/>
                <w:lang w:val="en-US"/>
              </w:rPr>
              <w:t xml:space="preserve">mg </w:t>
            </w:r>
            <w:r w:rsidRPr="00C37F7C">
              <w:rPr>
                <w:rFonts w:cs="Arial"/>
                <w:szCs w:val="19"/>
              </w:rPr>
              <w:t>два пъти дневно</w:t>
            </w:r>
          </w:p>
        </w:tc>
        <w:tc>
          <w:tcPr>
            <w:tcW w:w="3192" w:type="dxa"/>
          </w:tcPr>
          <w:p w14:paraId="6DAF03EA" w14:textId="1D8D1621" w:rsidR="00C37F7C" w:rsidRPr="00C37F7C" w:rsidRDefault="00C37F7C" w:rsidP="00C37F7C">
            <w:r w:rsidRPr="00C37F7C">
              <w:rPr>
                <w:rFonts w:cs="Arial"/>
                <w:szCs w:val="19"/>
              </w:rPr>
              <w:t xml:space="preserve">1 500 </w:t>
            </w:r>
            <w:r w:rsidRPr="00C37F7C">
              <w:rPr>
                <w:rFonts w:cs="Arial"/>
                <w:szCs w:val="19"/>
                <w:lang w:val="en-US"/>
              </w:rPr>
              <w:t>mg</w:t>
            </w:r>
            <w:r w:rsidRPr="00C37F7C">
              <w:rPr>
                <w:rFonts w:cs="Arial"/>
                <w:szCs w:val="19"/>
                <w:lang w:val="ru-RU"/>
              </w:rPr>
              <w:t xml:space="preserve"> </w:t>
            </w:r>
            <w:r w:rsidRPr="00C37F7C">
              <w:rPr>
                <w:rFonts w:cs="Arial"/>
                <w:szCs w:val="19"/>
              </w:rPr>
              <w:t>два пъти дневно</w:t>
            </w:r>
          </w:p>
        </w:tc>
      </w:tr>
    </w:tbl>
    <w:p w14:paraId="431FE103"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vertAlign w:val="superscript"/>
          <w:lang w:eastAsia="bg-BG"/>
        </w:rPr>
        <w:lastRenderedPageBreak/>
        <w:t>(1)</w:t>
      </w:r>
      <w:r w:rsidRPr="00C37F7C">
        <w:rPr>
          <w:rFonts w:eastAsia="Times New Roman" w:cs="Arial"/>
          <w:color w:val="000000"/>
          <w:szCs w:val="19"/>
          <w:lang w:eastAsia="bg-BG"/>
        </w:rPr>
        <w:t xml:space="preserve">При деца с телесно тегло 25 </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или по-малко се препоръчва лечението да започне с Леветиракон 100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ml</w:t>
      </w:r>
      <w:r w:rsidRPr="00C37F7C">
        <w:rPr>
          <w:rFonts w:eastAsia="Times New Roman" w:cs="Arial"/>
          <w:color w:val="000000"/>
          <w:szCs w:val="19"/>
          <w:lang w:val="ru-RU"/>
        </w:rPr>
        <w:t xml:space="preserve"> </w:t>
      </w:r>
      <w:r w:rsidRPr="00C37F7C">
        <w:rPr>
          <w:rFonts w:eastAsia="Times New Roman" w:cs="Arial"/>
          <w:color w:val="000000"/>
          <w:szCs w:val="19"/>
          <w:lang w:eastAsia="bg-BG"/>
        </w:rPr>
        <w:t>перорален разтвор</w:t>
      </w:r>
    </w:p>
    <w:p w14:paraId="39080E47" w14:textId="19369D79"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vertAlign w:val="superscript"/>
          <w:lang w:eastAsia="bg-BG"/>
        </w:rPr>
        <w:t>(2)</w:t>
      </w:r>
      <w:r w:rsidRPr="00C37F7C">
        <w:rPr>
          <w:rFonts w:eastAsia="Times New Roman" w:cs="Arial"/>
          <w:color w:val="000000"/>
          <w:szCs w:val="19"/>
          <w:lang w:eastAsia="bg-BG"/>
        </w:rPr>
        <w:t xml:space="preserve">Дозата при деца и юноши над 50 </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е като тази при възрастни.</w:t>
      </w:r>
    </w:p>
    <w:p w14:paraId="4A7C9134" w14:textId="77777777" w:rsidR="00C37F7C" w:rsidRPr="00C37F7C" w:rsidRDefault="00C37F7C" w:rsidP="00C37F7C">
      <w:pPr>
        <w:spacing w:line="240" w:lineRule="auto"/>
        <w:rPr>
          <w:rFonts w:eastAsia="Times New Roman" w:cs="Arial"/>
          <w:i/>
          <w:iCs/>
          <w:color w:val="000000"/>
          <w:szCs w:val="19"/>
          <w:lang w:eastAsia="bg-BG"/>
        </w:rPr>
      </w:pPr>
    </w:p>
    <w:p w14:paraId="051879A3" w14:textId="5F43E38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i/>
          <w:iCs/>
          <w:color w:val="000000"/>
          <w:szCs w:val="19"/>
          <w:lang w:eastAsia="bg-BG"/>
        </w:rPr>
        <w:t>Допълващо лечение при новородени на възраст от 1 месец до 6 месеца</w:t>
      </w:r>
    </w:p>
    <w:p w14:paraId="16FF0C67"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Началната терапевтична доза е 7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два пъти дневно.</w:t>
      </w:r>
    </w:p>
    <w:p w14:paraId="518B8902"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В зависимост от клиничния отговор и поносимостта, дозата може да бъде увеличена до 21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два пъти дневно. Промените на дозата не трябва да превишават увеличения или намаления над 7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два пъти дневно на всеки две седмици. Трябва да се използва най- ниската ефективна доза.</w:t>
      </w:r>
    </w:p>
    <w:p w14:paraId="7113F767"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Новородените трябва да започнат лечението с Леветиракон 100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ml</w:t>
      </w:r>
      <w:r w:rsidRPr="00C37F7C">
        <w:rPr>
          <w:rFonts w:eastAsia="Times New Roman" w:cs="Arial"/>
          <w:color w:val="000000"/>
          <w:szCs w:val="19"/>
          <w:lang w:val="ru-RU"/>
        </w:rPr>
        <w:t xml:space="preserve"> </w:t>
      </w:r>
      <w:r w:rsidRPr="00C37F7C">
        <w:rPr>
          <w:rFonts w:eastAsia="Times New Roman" w:cs="Arial"/>
          <w:color w:val="000000"/>
          <w:szCs w:val="19"/>
          <w:lang w:eastAsia="bg-BG"/>
        </w:rPr>
        <w:t>перорален разтвор.</w:t>
      </w:r>
    </w:p>
    <w:p w14:paraId="2209998F" w14:textId="77777777" w:rsidR="00C37F7C" w:rsidRPr="00C37F7C" w:rsidRDefault="00C37F7C" w:rsidP="00C37F7C">
      <w:pPr>
        <w:spacing w:line="240" w:lineRule="auto"/>
        <w:rPr>
          <w:rFonts w:eastAsia="Times New Roman" w:cs="Arial"/>
          <w:color w:val="000000"/>
          <w:szCs w:val="19"/>
          <w:lang w:eastAsia="bg-BG"/>
        </w:rPr>
      </w:pPr>
    </w:p>
    <w:p w14:paraId="260716EB" w14:textId="6554C569" w:rsidR="00C37F7C" w:rsidRDefault="00C37F7C" w:rsidP="00C37F7C">
      <w:pPr>
        <w:spacing w:line="240" w:lineRule="auto"/>
        <w:rPr>
          <w:rFonts w:eastAsia="Times New Roman" w:cs="Arial"/>
          <w:color w:val="000000"/>
          <w:szCs w:val="19"/>
          <w:lang w:eastAsia="bg-BG"/>
        </w:rPr>
      </w:pPr>
      <w:r w:rsidRPr="00C37F7C">
        <w:rPr>
          <w:rFonts w:eastAsia="Times New Roman" w:cs="Arial"/>
          <w:color w:val="000000"/>
          <w:szCs w:val="19"/>
          <w:lang w:eastAsia="bg-BG"/>
        </w:rPr>
        <w:t xml:space="preserve">Препоръчителна доза при новородени </w:t>
      </w:r>
      <w:r w:rsidRPr="00C37F7C">
        <w:rPr>
          <w:rFonts w:eastAsia="Times New Roman" w:cs="Arial"/>
          <w:color w:val="000000"/>
          <w:szCs w:val="19"/>
          <w:u w:val="single"/>
          <w:lang w:eastAsia="bg-BG"/>
        </w:rPr>
        <w:t>на възраст от 1 месец до под 6 месеца</w:t>
      </w:r>
      <w:r w:rsidRPr="00C37F7C">
        <w:rPr>
          <w:rFonts w:eastAsia="Times New Roman" w:cs="Arial"/>
          <w:color w:val="000000"/>
          <w:szCs w:val="19"/>
          <w:lang w:eastAsia="bg-BG"/>
        </w:rPr>
        <w:t>:</w:t>
      </w:r>
    </w:p>
    <w:p w14:paraId="00262B69" w14:textId="535BFB96" w:rsidR="00C37F7C" w:rsidRDefault="00C37F7C" w:rsidP="00C37F7C">
      <w:pPr>
        <w:spacing w:line="240" w:lineRule="auto"/>
        <w:rPr>
          <w:rFonts w:eastAsia="Times New Roman" w:cs="Arial"/>
          <w:color w:val="000000"/>
          <w:szCs w:val="19"/>
          <w:lang w:eastAsia="bg-BG"/>
        </w:rPr>
      </w:pPr>
    </w:p>
    <w:tbl>
      <w:tblPr>
        <w:tblStyle w:val="TableGrid"/>
        <w:tblW w:w="0" w:type="auto"/>
        <w:tblLook w:val="04A0" w:firstRow="1" w:lastRow="0" w:firstColumn="1" w:lastColumn="0" w:noHBand="0" w:noVBand="1"/>
      </w:tblPr>
      <w:tblGrid>
        <w:gridCol w:w="3104"/>
        <w:gridCol w:w="3116"/>
        <w:gridCol w:w="3130"/>
      </w:tblGrid>
      <w:tr w:rsidR="00C37F7C" w14:paraId="2F8DBB7C" w14:textId="77777777" w:rsidTr="00C37F7C">
        <w:tc>
          <w:tcPr>
            <w:tcW w:w="3192" w:type="dxa"/>
          </w:tcPr>
          <w:p w14:paraId="542C7BA2" w14:textId="797F0FF2"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Тегло</w:t>
            </w:r>
          </w:p>
        </w:tc>
        <w:tc>
          <w:tcPr>
            <w:tcW w:w="3192" w:type="dxa"/>
          </w:tcPr>
          <w:p w14:paraId="1A93A6C9" w14:textId="77777777" w:rsidR="00C37F7C" w:rsidRPr="00C37F7C" w:rsidRDefault="00C37F7C" w:rsidP="00C37F7C">
            <w:r w:rsidRPr="00C37F7C">
              <w:rPr>
                <w:rFonts w:cs="Arial"/>
                <w:szCs w:val="19"/>
              </w:rPr>
              <w:t>Начална доза:</w:t>
            </w:r>
          </w:p>
          <w:p w14:paraId="498FE5DE" w14:textId="2D7227D7"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7 </w:t>
            </w:r>
            <w:r w:rsidRPr="00C37F7C">
              <w:rPr>
                <w:rFonts w:cs="Arial"/>
                <w:szCs w:val="19"/>
                <w:lang w:val="en-US"/>
              </w:rPr>
              <w:t>mg</w:t>
            </w:r>
            <w:r w:rsidRPr="00C37F7C">
              <w:rPr>
                <w:rFonts w:cs="Arial"/>
                <w:szCs w:val="19"/>
                <w:lang w:val="ru-RU"/>
              </w:rPr>
              <w:t>/</w:t>
            </w:r>
            <w:r w:rsidRPr="00C37F7C">
              <w:rPr>
                <w:rFonts w:cs="Arial"/>
                <w:szCs w:val="19"/>
                <w:lang w:val="en-US"/>
              </w:rPr>
              <w:t>kg</w:t>
            </w:r>
            <w:r w:rsidRPr="00C37F7C">
              <w:rPr>
                <w:rFonts w:cs="Arial"/>
                <w:szCs w:val="19"/>
                <w:lang w:val="ru-RU"/>
              </w:rPr>
              <w:t xml:space="preserve"> </w:t>
            </w:r>
            <w:r w:rsidRPr="00C37F7C">
              <w:rPr>
                <w:rFonts w:cs="Arial"/>
                <w:szCs w:val="19"/>
              </w:rPr>
              <w:t>два пъти дневно</w:t>
            </w:r>
          </w:p>
        </w:tc>
        <w:tc>
          <w:tcPr>
            <w:tcW w:w="3192" w:type="dxa"/>
          </w:tcPr>
          <w:p w14:paraId="0F6F2D23" w14:textId="77777777" w:rsidR="00C37F7C" w:rsidRPr="00C37F7C" w:rsidRDefault="00C37F7C" w:rsidP="00C37F7C">
            <w:r w:rsidRPr="00C37F7C">
              <w:rPr>
                <w:rFonts w:cs="Arial"/>
                <w:szCs w:val="19"/>
              </w:rPr>
              <w:t>Максимална доза:</w:t>
            </w:r>
          </w:p>
          <w:p w14:paraId="307264B2" w14:textId="37235CE0"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21 </w:t>
            </w:r>
            <w:r w:rsidRPr="00C37F7C">
              <w:rPr>
                <w:rFonts w:cs="Arial"/>
                <w:szCs w:val="19"/>
                <w:lang w:val="en-US"/>
              </w:rPr>
              <w:t>mg</w:t>
            </w:r>
            <w:r w:rsidRPr="00C37F7C">
              <w:rPr>
                <w:rFonts w:cs="Arial"/>
                <w:szCs w:val="19"/>
                <w:lang w:val="ru-RU"/>
              </w:rPr>
              <w:t>/</w:t>
            </w:r>
            <w:r w:rsidRPr="00C37F7C">
              <w:rPr>
                <w:rFonts w:cs="Arial"/>
                <w:szCs w:val="19"/>
                <w:lang w:val="en-US"/>
              </w:rPr>
              <w:t>kg</w:t>
            </w:r>
            <w:r w:rsidRPr="00C37F7C">
              <w:rPr>
                <w:rFonts w:cs="Arial"/>
                <w:szCs w:val="19"/>
                <w:lang w:val="ru-RU"/>
              </w:rPr>
              <w:t xml:space="preserve"> </w:t>
            </w:r>
            <w:r w:rsidRPr="00C37F7C">
              <w:rPr>
                <w:rFonts w:cs="Arial"/>
                <w:szCs w:val="19"/>
              </w:rPr>
              <w:t>два пъти дневно</w:t>
            </w:r>
          </w:p>
        </w:tc>
      </w:tr>
      <w:tr w:rsidR="00C37F7C" w14:paraId="76942E1E" w14:textId="77777777" w:rsidTr="00C37F7C">
        <w:tc>
          <w:tcPr>
            <w:tcW w:w="3192" w:type="dxa"/>
          </w:tcPr>
          <w:p w14:paraId="6B5E4E13" w14:textId="62AEC9F3"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lang w:val="en-US"/>
              </w:rPr>
              <w:t>4 kg</w:t>
            </w:r>
          </w:p>
        </w:tc>
        <w:tc>
          <w:tcPr>
            <w:tcW w:w="3192" w:type="dxa"/>
          </w:tcPr>
          <w:p w14:paraId="1BE61A6D" w14:textId="6686618A"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28 </w:t>
            </w:r>
            <w:r w:rsidRPr="00C37F7C">
              <w:rPr>
                <w:rFonts w:cs="Arial"/>
                <w:szCs w:val="19"/>
                <w:lang w:val="en-US"/>
              </w:rPr>
              <w:t>mg</w:t>
            </w:r>
            <w:r w:rsidRPr="00C37F7C">
              <w:rPr>
                <w:rFonts w:cs="Arial"/>
                <w:szCs w:val="19"/>
                <w:lang w:val="ru-RU"/>
              </w:rPr>
              <w:t xml:space="preserve"> </w:t>
            </w:r>
            <w:r w:rsidRPr="00C37F7C">
              <w:rPr>
                <w:rFonts w:cs="Arial"/>
                <w:szCs w:val="19"/>
              </w:rPr>
              <w:t xml:space="preserve">(0,3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c>
          <w:tcPr>
            <w:tcW w:w="3192" w:type="dxa"/>
          </w:tcPr>
          <w:p w14:paraId="6590943F" w14:textId="4C58EB69"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84 </w:t>
            </w:r>
            <w:r w:rsidRPr="00C37F7C">
              <w:rPr>
                <w:rFonts w:cs="Arial"/>
                <w:szCs w:val="19"/>
                <w:lang w:val="en-US"/>
              </w:rPr>
              <w:t>mg</w:t>
            </w:r>
            <w:r w:rsidRPr="00C37F7C">
              <w:rPr>
                <w:rFonts w:cs="Arial"/>
                <w:szCs w:val="19"/>
                <w:lang w:val="ru-RU"/>
              </w:rPr>
              <w:t xml:space="preserve"> </w:t>
            </w:r>
            <w:r w:rsidRPr="00C37F7C">
              <w:rPr>
                <w:rFonts w:cs="Arial"/>
                <w:szCs w:val="19"/>
              </w:rPr>
              <w:t xml:space="preserve">(0,85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r>
      <w:tr w:rsidR="00C37F7C" w14:paraId="6CE8140C" w14:textId="77777777" w:rsidTr="00C37F7C">
        <w:tc>
          <w:tcPr>
            <w:tcW w:w="3192" w:type="dxa"/>
          </w:tcPr>
          <w:p w14:paraId="2DBA310E" w14:textId="0A4BF3CA"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5 </w:t>
            </w:r>
            <w:r w:rsidRPr="00C37F7C">
              <w:rPr>
                <w:rFonts w:cs="Arial"/>
                <w:szCs w:val="19"/>
                <w:lang w:val="en-US"/>
              </w:rPr>
              <w:t>kg</w:t>
            </w:r>
          </w:p>
        </w:tc>
        <w:tc>
          <w:tcPr>
            <w:tcW w:w="3192" w:type="dxa"/>
          </w:tcPr>
          <w:p w14:paraId="5AF8BF2D" w14:textId="1ED43B4A"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35 </w:t>
            </w:r>
            <w:r w:rsidRPr="00C37F7C">
              <w:rPr>
                <w:rFonts w:cs="Arial"/>
                <w:szCs w:val="19"/>
                <w:lang w:val="en-US"/>
              </w:rPr>
              <w:t>mg</w:t>
            </w:r>
            <w:r w:rsidRPr="00C37F7C">
              <w:rPr>
                <w:rFonts w:cs="Arial"/>
                <w:szCs w:val="19"/>
                <w:lang w:val="ru-RU"/>
              </w:rPr>
              <w:t xml:space="preserve"> </w:t>
            </w:r>
            <w:r w:rsidRPr="00C37F7C">
              <w:rPr>
                <w:rFonts w:cs="Arial"/>
                <w:szCs w:val="19"/>
              </w:rPr>
              <w:t xml:space="preserve">(0,35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c>
          <w:tcPr>
            <w:tcW w:w="3192" w:type="dxa"/>
          </w:tcPr>
          <w:p w14:paraId="13CAFA11" w14:textId="4EF3547B"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105 </w:t>
            </w:r>
            <w:r w:rsidRPr="00C37F7C">
              <w:rPr>
                <w:rFonts w:cs="Arial"/>
                <w:szCs w:val="19"/>
                <w:lang w:val="en-US"/>
              </w:rPr>
              <w:t>mg</w:t>
            </w:r>
            <w:r w:rsidRPr="00C37F7C">
              <w:rPr>
                <w:rFonts w:cs="Arial"/>
                <w:szCs w:val="19"/>
                <w:lang w:val="ru-RU"/>
              </w:rPr>
              <w:t xml:space="preserve"> </w:t>
            </w:r>
            <w:r w:rsidRPr="00C37F7C">
              <w:rPr>
                <w:rFonts w:cs="Arial"/>
                <w:szCs w:val="19"/>
              </w:rPr>
              <w:t xml:space="preserve">(1,05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r>
      <w:tr w:rsidR="00C37F7C" w14:paraId="49ECA8A0" w14:textId="77777777" w:rsidTr="00C37F7C">
        <w:tc>
          <w:tcPr>
            <w:tcW w:w="3192" w:type="dxa"/>
          </w:tcPr>
          <w:p w14:paraId="1E560134" w14:textId="67FCE147"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7</w:t>
            </w:r>
            <w:r w:rsidRPr="00C37F7C">
              <w:rPr>
                <w:rFonts w:cs="Arial"/>
                <w:szCs w:val="19"/>
                <w:lang w:val="en-US"/>
              </w:rPr>
              <w:t>kg</w:t>
            </w:r>
          </w:p>
        </w:tc>
        <w:tc>
          <w:tcPr>
            <w:tcW w:w="3192" w:type="dxa"/>
          </w:tcPr>
          <w:p w14:paraId="6478F0A5" w14:textId="6B5B3E87"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49 </w:t>
            </w:r>
            <w:r w:rsidRPr="00C37F7C">
              <w:rPr>
                <w:rFonts w:cs="Arial"/>
                <w:szCs w:val="19"/>
                <w:lang w:val="en-US"/>
              </w:rPr>
              <w:t>mg</w:t>
            </w:r>
            <w:r w:rsidRPr="00C37F7C">
              <w:rPr>
                <w:rFonts w:cs="Arial"/>
                <w:szCs w:val="19"/>
                <w:lang w:val="ru-RU"/>
              </w:rPr>
              <w:t xml:space="preserve"> </w:t>
            </w:r>
            <w:r w:rsidRPr="00C37F7C">
              <w:rPr>
                <w:rFonts w:cs="Arial"/>
                <w:szCs w:val="19"/>
              </w:rPr>
              <w:t xml:space="preserve">(0,5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c>
          <w:tcPr>
            <w:tcW w:w="3192" w:type="dxa"/>
          </w:tcPr>
          <w:p w14:paraId="0EB4D218" w14:textId="267AA3CD" w:rsidR="00C37F7C" w:rsidRPr="00C37F7C" w:rsidRDefault="00C37F7C" w:rsidP="00C37F7C">
            <w:pPr>
              <w:spacing w:line="240" w:lineRule="auto"/>
              <w:rPr>
                <w:rFonts w:ascii="Times New Roman" w:eastAsia="Times New Roman" w:hAnsi="Times New Roman" w:cs="Times New Roman"/>
                <w:szCs w:val="24"/>
              </w:rPr>
            </w:pPr>
            <w:r w:rsidRPr="00C37F7C">
              <w:rPr>
                <w:rFonts w:cs="Arial"/>
                <w:szCs w:val="19"/>
              </w:rPr>
              <w:t xml:space="preserve">147 </w:t>
            </w:r>
            <w:r w:rsidRPr="00C37F7C">
              <w:rPr>
                <w:rFonts w:cs="Arial"/>
                <w:szCs w:val="19"/>
                <w:lang w:val="en-US"/>
              </w:rPr>
              <w:t>mg</w:t>
            </w:r>
            <w:r w:rsidRPr="00C37F7C">
              <w:rPr>
                <w:rFonts w:cs="Arial"/>
                <w:szCs w:val="19"/>
                <w:lang w:val="ru-RU"/>
              </w:rPr>
              <w:t xml:space="preserve"> </w:t>
            </w:r>
            <w:r w:rsidRPr="00C37F7C">
              <w:rPr>
                <w:rFonts w:cs="Arial"/>
                <w:szCs w:val="19"/>
              </w:rPr>
              <w:t xml:space="preserve">(1,5 </w:t>
            </w:r>
            <w:r w:rsidRPr="00C37F7C">
              <w:rPr>
                <w:rFonts w:cs="Arial"/>
                <w:szCs w:val="19"/>
                <w:lang w:val="en-US"/>
              </w:rPr>
              <w:t>ml</w:t>
            </w:r>
            <w:r w:rsidRPr="00C37F7C">
              <w:rPr>
                <w:rFonts w:cs="Arial"/>
                <w:szCs w:val="19"/>
                <w:lang w:val="ru-RU"/>
              </w:rPr>
              <w:t xml:space="preserve">) </w:t>
            </w:r>
            <w:r w:rsidRPr="00C37F7C">
              <w:rPr>
                <w:rFonts w:cs="Arial"/>
                <w:szCs w:val="19"/>
              </w:rPr>
              <w:t>два пъти дневно</w:t>
            </w:r>
          </w:p>
        </w:tc>
      </w:tr>
    </w:tbl>
    <w:p w14:paraId="0ACF9C4A" w14:textId="77777777" w:rsidR="00C37F7C" w:rsidRPr="00C37F7C" w:rsidRDefault="00C37F7C" w:rsidP="00C37F7C">
      <w:pPr>
        <w:spacing w:line="240" w:lineRule="auto"/>
        <w:rPr>
          <w:rFonts w:ascii="Times New Roman" w:eastAsia="Times New Roman" w:hAnsi="Times New Roman" w:cs="Times New Roman"/>
          <w:sz w:val="32"/>
          <w:szCs w:val="24"/>
        </w:rPr>
      </w:pPr>
    </w:p>
    <w:p w14:paraId="64A7B008" w14:textId="77777777" w:rsidR="00C37F7C" w:rsidRPr="00C37F7C" w:rsidRDefault="00C37F7C" w:rsidP="00C37F7C">
      <w:pPr>
        <w:pStyle w:val="Heading3"/>
        <w:rPr>
          <w:rFonts w:ascii="Times New Roman" w:eastAsia="Times New Roman" w:hAnsi="Times New Roman" w:cs="Times New Roman"/>
          <w:sz w:val="32"/>
          <w:u w:val="single"/>
        </w:rPr>
      </w:pPr>
      <w:r w:rsidRPr="00C37F7C">
        <w:rPr>
          <w:rFonts w:eastAsia="Times New Roman"/>
          <w:u w:val="single"/>
          <w:lang w:eastAsia="bg-BG"/>
        </w:rPr>
        <w:t>Начин на приложение</w:t>
      </w:r>
    </w:p>
    <w:p w14:paraId="66C0DC97" w14:textId="77777777" w:rsidR="00C37F7C" w:rsidRPr="00C37F7C" w:rsidRDefault="00C37F7C" w:rsidP="00C37F7C">
      <w:pPr>
        <w:rPr>
          <w:rFonts w:eastAsia="Times New Roman" w:cs="Arial"/>
          <w:color w:val="000000"/>
          <w:szCs w:val="19"/>
          <w:lang w:eastAsia="bg-BG"/>
        </w:rPr>
      </w:pPr>
    </w:p>
    <w:p w14:paraId="5A3D0169" w14:textId="77777777" w:rsidR="00C37F7C" w:rsidRPr="00C37F7C" w:rsidRDefault="00C37F7C" w:rsidP="00C37F7C">
      <w:pPr>
        <w:rPr>
          <w:rFonts w:ascii="Times New Roman" w:eastAsia="Times New Roman" w:hAnsi="Times New Roman" w:cs="Times New Roman"/>
          <w:sz w:val="32"/>
          <w:szCs w:val="24"/>
        </w:rPr>
      </w:pPr>
      <w:r w:rsidRPr="00C37F7C">
        <w:rPr>
          <w:rFonts w:eastAsia="Times New Roman" w:cs="Arial"/>
          <w:color w:val="000000"/>
          <w:szCs w:val="19"/>
          <w:lang w:eastAsia="bg-BG"/>
        </w:rPr>
        <w:t>Пероралният разтвор може да се разреди в чаша вода или бутилка за бебета</w:t>
      </w:r>
      <w:r w:rsidRPr="00C37F7C">
        <w:rPr>
          <w:rFonts w:eastAsia="Times New Roman" w:cs="Arial"/>
          <w:color w:val="000000"/>
          <w:szCs w:val="19"/>
          <w:lang w:val="ru-RU"/>
        </w:rPr>
        <w:t xml:space="preserve"> </w:t>
      </w:r>
      <w:r w:rsidRPr="00C37F7C">
        <w:rPr>
          <w:rFonts w:eastAsia="Times New Roman" w:cs="Arial"/>
          <w:color w:val="000000"/>
          <w:szCs w:val="19"/>
          <w:lang w:eastAsia="bg-BG"/>
        </w:rPr>
        <w:t>като приемът му може да става с или без храна. Към Леветиракон са приложени градуирани спринцовка за</w:t>
      </w:r>
      <w:r w:rsidRPr="00C37F7C">
        <w:rPr>
          <w:rFonts w:eastAsia="Times New Roman" w:cs="Arial"/>
          <w:color w:val="000000"/>
          <w:szCs w:val="19"/>
          <w:lang w:val="ru-RU" w:eastAsia="bg-BG"/>
        </w:rPr>
        <w:t xml:space="preserve"> </w:t>
      </w:r>
      <w:r w:rsidRPr="00C37F7C">
        <w:rPr>
          <w:rFonts w:eastAsia="Times New Roman" w:cs="Arial"/>
          <w:color w:val="000000"/>
          <w:szCs w:val="19"/>
          <w:lang w:eastAsia="bg-BG"/>
        </w:rPr>
        <w:t>перорално дозиране, адаптор към спринцовката и листовка с информация за потребителя. Дневната доза се назначава като две отделни равни дози.</w:t>
      </w:r>
    </w:p>
    <w:p w14:paraId="05905F1E" w14:textId="0FDB6D11" w:rsidR="00C37F7C" w:rsidRPr="00C37F7C" w:rsidRDefault="00C37F7C" w:rsidP="00C37F7C">
      <w:pPr>
        <w:rPr>
          <w:lang w:val="en-US"/>
        </w:rPr>
      </w:pPr>
    </w:p>
    <w:p w14:paraId="0F253247" w14:textId="716C1140" w:rsidR="007122AD" w:rsidRDefault="002C50EE" w:rsidP="00936AD0">
      <w:pPr>
        <w:pStyle w:val="Heading2"/>
      </w:pPr>
      <w:r>
        <w:t>4.3. Противопоказания</w:t>
      </w:r>
    </w:p>
    <w:p w14:paraId="59DECAF8" w14:textId="531D7CB6" w:rsidR="00C37F7C" w:rsidRDefault="00C37F7C" w:rsidP="00C37F7C"/>
    <w:p w14:paraId="4A8A99D7" w14:textId="2C5EBDC5" w:rsidR="00C37F7C" w:rsidRPr="00C37F7C" w:rsidRDefault="00C37F7C" w:rsidP="00C37F7C">
      <w:pPr>
        <w:rPr>
          <w:rFonts w:ascii="Times New Roman" w:hAnsi="Times New Roman" w:cs="Times New Roman"/>
          <w:sz w:val="24"/>
          <w:szCs w:val="24"/>
        </w:rPr>
      </w:pPr>
      <w:r w:rsidRPr="00C37F7C">
        <w:rPr>
          <w:lang w:eastAsia="bg-BG"/>
        </w:rPr>
        <w:t>Свръхчувствителност към активното вещество или към други пиролидонови производни, или към някое от помощните вещества, изброени в точка 6.1.</w:t>
      </w:r>
    </w:p>
    <w:p w14:paraId="2D462C2F" w14:textId="77777777" w:rsidR="00C37F7C" w:rsidRPr="00C37F7C" w:rsidRDefault="00C37F7C" w:rsidP="00C37F7C"/>
    <w:p w14:paraId="0E0BDCC7" w14:textId="49A2E7F6" w:rsidR="007122AD" w:rsidRDefault="002C50EE" w:rsidP="00936AD0">
      <w:pPr>
        <w:pStyle w:val="Heading2"/>
      </w:pPr>
      <w:r>
        <w:t>4.4. Специални предупреждения и предпазни мерки при употреба</w:t>
      </w:r>
    </w:p>
    <w:p w14:paraId="09A9A774" w14:textId="4C89D3DF" w:rsidR="00C37F7C" w:rsidRDefault="00C37F7C" w:rsidP="00C37F7C"/>
    <w:p w14:paraId="6EE6D026"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Спиране на лечението</w:t>
      </w:r>
    </w:p>
    <w:p w14:paraId="27CC4169"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Според съвременната клинична практика, ако се налага спиране на лечението с Леветиракон, то това трябва да става постепенно (например при възрастни и юноши над 50 </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дозата се намалява с по 500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два пъти дневно, всеки 2 до 4 седмици; при новородени над 6 месеца, деца и юноши с тегло под 50 </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намаляване на дозата с не повече от 10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два пъти дневно, всеки две седмици; при новородени (под 6 месеца): намаляване на дозата с не повече от 7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val="ru-RU"/>
        </w:rPr>
        <w:t xml:space="preserve"> </w:t>
      </w:r>
      <w:r w:rsidRPr="00C37F7C">
        <w:rPr>
          <w:rFonts w:eastAsia="Times New Roman" w:cs="Arial"/>
          <w:color w:val="000000"/>
          <w:szCs w:val="19"/>
          <w:lang w:eastAsia="bg-BG"/>
        </w:rPr>
        <w:t>два пъти дневно, всеки две седмици).</w:t>
      </w:r>
    </w:p>
    <w:p w14:paraId="7466DE90" w14:textId="77777777" w:rsidR="00C37F7C" w:rsidRPr="00C37F7C" w:rsidRDefault="00C37F7C" w:rsidP="00C37F7C">
      <w:pPr>
        <w:spacing w:line="240" w:lineRule="auto"/>
        <w:rPr>
          <w:rFonts w:eastAsia="Times New Roman" w:cs="Arial"/>
          <w:color w:val="000000"/>
          <w:szCs w:val="19"/>
          <w:u w:val="single"/>
          <w:lang w:eastAsia="bg-BG"/>
        </w:rPr>
      </w:pPr>
    </w:p>
    <w:p w14:paraId="61F61982" w14:textId="0F9C25E8"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Бъбречна недостатъчност</w:t>
      </w:r>
    </w:p>
    <w:p w14:paraId="393D6B31"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lastRenderedPageBreak/>
        <w:t>Прилагането на Леветиракон при пациенти с бъбречно увреждане изисква адаптиране на дозата. При пациенти с тежко нарушение на чернодробната функция се препоръчва оценка на бъбречната функция преди определяне на дозата (вж. точка 4.2).</w:t>
      </w:r>
    </w:p>
    <w:p w14:paraId="11CE4638" w14:textId="77777777" w:rsidR="00C37F7C" w:rsidRPr="00C37F7C" w:rsidRDefault="00C37F7C" w:rsidP="00C37F7C">
      <w:pPr>
        <w:spacing w:line="240" w:lineRule="auto"/>
        <w:rPr>
          <w:rFonts w:eastAsia="Times New Roman" w:cs="Arial"/>
          <w:color w:val="000000"/>
          <w:szCs w:val="19"/>
          <w:u w:val="single"/>
          <w:lang w:eastAsia="bg-BG"/>
        </w:rPr>
      </w:pPr>
    </w:p>
    <w:p w14:paraId="0445FDE9" w14:textId="29753DBD"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Самоубийство</w:t>
      </w:r>
    </w:p>
    <w:p w14:paraId="0C2A9596"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При пациенти, лекувани с антиепилептични лекарства (включително леветирацетам) са съобщавани самоубийство, опит за самоубийство, суицидна идеация и поведение. Мета анализ на рандомизирани, плацебо контролирани изпитвания на антиепилептични лекарствени продукти показва малък, но повишен риск от поява на суицидни мисли и поведение. Механизмът на този риск не е известен.</w:t>
      </w:r>
    </w:p>
    <w:p w14:paraId="6568423C" w14:textId="77777777" w:rsidR="00C37F7C" w:rsidRPr="00C37F7C" w:rsidRDefault="00C37F7C" w:rsidP="00C37F7C">
      <w:pPr>
        <w:spacing w:line="240" w:lineRule="auto"/>
        <w:rPr>
          <w:rFonts w:eastAsia="Times New Roman" w:cs="Arial"/>
          <w:color w:val="000000"/>
          <w:szCs w:val="19"/>
          <w:lang w:eastAsia="bg-BG"/>
        </w:rPr>
      </w:pPr>
    </w:p>
    <w:p w14:paraId="1058CCAF" w14:textId="4BADCB97" w:rsidR="00C37F7C" w:rsidRPr="00C37F7C" w:rsidRDefault="00C37F7C" w:rsidP="00C37F7C">
      <w:pPr>
        <w:spacing w:line="240" w:lineRule="auto"/>
        <w:rPr>
          <w:rFonts w:eastAsia="Times New Roman" w:cs="Arial"/>
          <w:color w:val="000000"/>
          <w:szCs w:val="19"/>
          <w:lang w:eastAsia="bg-BG"/>
        </w:rPr>
      </w:pPr>
      <w:r w:rsidRPr="00C37F7C">
        <w:rPr>
          <w:rFonts w:eastAsia="Times New Roman" w:cs="Arial"/>
          <w:color w:val="000000"/>
          <w:szCs w:val="19"/>
          <w:lang w:eastAsia="bg-BG"/>
        </w:rPr>
        <w:t xml:space="preserve">Затова пациентите трябва да бъдат проследявани за признаци на депресия и/или суицидна идеация и поведение и трябва да се предприеме съответното лечение. Пациентите (и хората, които се грижат за тях) трябва да бъдат посъветвани да потърсят лекарски съвет, в случай, че се появят признаци на </w:t>
      </w:r>
    </w:p>
    <w:p w14:paraId="58B948F9" w14:textId="31687B8E"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депресия и/или суицидна идеация или поведение.</w:t>
      </w:r>
    </w:p>
    <w:p w14:paraId="5602FCEC" w14:textId="77777777" w:rsidR="00C37F7C" w:rsidRPr="00C37F7C" w:rsidRDefault="00C37F7C" w:rsidP="00C37F7C">
      <w:pPr>
        <w:spacing w:line="240" w:lineRule="auto"/>
        <w:rPr>
          <w:rFonts w:eastAsia="Times New Roman" w:cs="Arial"/>
          <w:color w:val="000000"/>
          <w:szCs w:val="19"/>
          <w:u w:val="single"/>
          <w:lang w:eastAsia="bg-BG"/>
        </w:rPr>
      </w:pPr>
    </w:p>
    <w:p w14:paraId="57315C1C" w14:textId="39B0FDBD"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Педиатрична популация</w:t>
      </w:r>
    </w:p>
    <w:p w14:paraId="1BA78E58"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Наличните данни при деца не показват повлияване на растежа и пубертета. Въпреки това не са известни дълготрайните ефекти върху способността за заучаване, интелекта, растежа, ендокринните функции, пубертета и възпроизводствения потенциал.</w:t>
      </w:r>
    </w:p>
    <w:p w14:paraId="060C763A"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Безопасността и ефикасността на леветирацетам не е напълно установена при новородени с епилепсия под 1 година. Само 35 новородени с парциални пристъпи под 1 година са били включени в клинични проучвания, от които само 13 са били на възраст &lt; 6 месеца.</w:t>
      </w:r>
    </w:p>
    <w:p w14:paraId="086B6B2C" w14:textId="77777777" w:rsidR="00C37F7C" w:rsidRPr="00C37F7C" w:rsidRDefault="00C37F7C" w:rsidP="00C37F7C">
      <w:pPr>
        <w:spacing w:line="240" w:lineRule="auto"/>
        <w:rPr>
          <w:rFonts w:eastAsia="Times New Roman" w:cs="Arial"/>
          <w:color w:val="000000"/>
          <w:szCs w:val="19"/>
          <w:u w:val="single"/>
          <w:lang w:eastAsia="bg-BG"/>
        </w:rPr>
      </w:pPr>
    </w:p>
    <w:p w14:paraId="272041A6" w14:textId="6BC1E49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Помощни вещества</w:t>
      </w:r>
    </w:p>
    <w:p w14:paraId="1B834816"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Леветиракон 100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ml</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перорален разтвор съдържа метилпарахидроксибензоат </w:t>
      </w:r>
      <w:r w:rsidRPr="00C37F7C">
        <w:rPr>
          <w:rFonts w:eastAsia="Times New Roman" w:cs="Arial"/>
          <w:color w:val="000000"/>
          <w:szCs w:val="19"/>
          <w:lang w:val="ru-RU"/>
        </w:rPr>
        <w:t>(</w:t>
      </w:r>
      <w:r w:rsidRPr="00C37F7C">
        <w:rPr>
          <w:rFonts w:eastAsia="Times New Roman" w:cs="Arial"/>
          <w:color w:val="000000"/>
          <w:szCs w:val="19"/>
          <w:lang w:val="en-US"/>
        </w:rPr>
        <w:t>E</w:t>
      </w:r>
      <w:r w:rsidRPr="00C37F7C">
        <w:rPr>
          <w:rFonts w:eastAsia="Times New Roman" w:cs="Arial"/>
          <w:color w:val="000000"/>
          <w:szCs w:val="19"/>
          <w:lang w:val="ru-RU"/>
        </w:rPr>
        <w:t xml:space="preserve">218), </w:t>
      </w:r>
      <w:r w:rsidRPr="00C37F7C">
        <w:rPr>
          <w:rFonts w:eastAsia="Times New Roman" w:cs="Arial"/>
          <w:color w:val="000000"/>
          <w:szCs w:val="19"/>
          <w:lang w:eastAsia="bg-BG"/>
        </w:rPr>
        <w:t>пропил парахидроксибензоат (Е216), които могат да предизвикат алергични реакции (вероятно от забавен тип).</w:t>
      </w:r>
    </w:p>
    <w:p w14:paraId="1671321C"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Съдържа малтитол, течен. Пациенти с рядката наследствена обремененост на непоносимост към фруктоза не трябва да приемат това лекарство.</w:t>
      </w:r>
    </w:p>
    <w:p w14:paraId="5E91FDD5" w14:textId="77777777" w:rsidR="00C37F7C" w:rsidRPr="00C37F7C" w:rsidRDefault="00C37F7C" w:rsidP="00C37F7C"/>
    <w:p w14:paraId="0734264C" w14:textId="1BFB2345"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C84CEF5" w14:textId="5E044C04" w:rsidR="00C37F7C" w:rsidRDefault="00C37F7C" w:rsidP="00C37F7C"/>
    <w:p w14:paraId="399E40EE"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Антиепилептични лекарствени продукти</w:t>
      </w:r>
    </w:p>
    <w:p w14:paraId="20119668" w14:textId="77777777" w:rsidR="00C37F7C" w:rsidRPr="00C37F7C" w:rsidRDefault="00C37F7C" w:rsidP="00C37F7C">
      <w:pPr>
        <w:rPr>
          <w:rFonts w:ascii="Times New Roman" w:eastAsia="Times New Roman" w:hAnsi="Times New Roman" w:cs="Times New Roman"/>
          <w:sz w:val="32"/>
          <w:szCs w:val="24"/>
        </w:rPr>
      </w:pPr>
      <w:r w:rsidRPr="00C37F7C">
        <w:rPr>
          <w:rFonts w:eastAsia="Times New Roman" w:cs="Arial"/>
          <w:color w:val="000000"/>
          <w:szCs w:val="19"/>
          <w:lang w:eastAsia="bg-BG"/>
        </w:rPr>
        <w:t>Данните от клинични проучвания при възрастни, преди пускане в продажба показват, че Леветиракон не оказва влияние върху серумните концентрации на съществуващите антиепилептични лекарствени средства (фенитоин, карбамазепин, валпроена киселина, фенобарбитал, ламотрижин, габапентин, примидон), както и че тези антиепилептични лекарства не влияят върху фармакокинетиката на Леветиракон.</w:t>
      </w:r>
    </w:p>
    <w:p w14:paraId="6826F04A" w14:textId="77777777" w:rsidR="00C37F7C" w:rsidRPr="00C37F7C" w:rsidRDefault="00C37F7C" w:rsidP="00C37F7C">
      <w:pPr>
        <w:spacing w:line="240" w:lineRule="auto"/>
        <w:rPr>
          <w:rFonts w:eastAsia="Times New Roman" w:cs="Arial"/>
          <w:color w:val="000000"/>
          <w:szCs w:val="19"/>
          <w:lang w:eastAsia="bg-BG"/>
        </w:rPr>
      </w:pPr>
    </w:p>
    <w:p w14:paraId="5DC3D438" w14:textId="543AA05D"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Не съществуват категорични данни за клинично значими лекарствени взаимодействия както при възрастни, така и при педиатрични пациенти, приемаши до 60 </w:t>
      </w:r>
      <w:r w:rsidRPr="00C37F7C">
        <w:rPr>
          <w:rFonts w:eastAsia="Times New Roman" w:cs="Arial"/>
          <w:color w:val="000000"/>
          <w:szCs w:val="19"/>
          <w:lang w:val="en-US"/>
        </w:rPr>
        <w:t>mg</w:t>
      </w:r>
      <w:r w:rsidRPr="00C37F7C">
        <w:rPr>
          <w:rFonts w:eastAsia="Times New Roman" w:cs="Arial"/>
          <w:color w:val="000000"/>
          <w:szCs w:val="19"/>
          <w:lang w:val="ru-RU"/>
        </w:rPr>
        <w:t>/</w:t>
      </w:r>
      <w:r w:rsidRPr="00C37F7C">
        <w:rPr>
          <w:rFonts w:eastAsia="Times New Roman" w:cs="Arial"/>
          <w:color w:val="000000"/>
          <w:szCs w:val="19"/>
          <w:lang w:val="en-US"/>
        </w:rPr>
        <w:t>kg</w:t>
      </w:r>
      <w:r w:rsidRPr="00C37F7C">
        <w:rPr>
          <w:rFonts w:eastAsia="Times New Roman" w:cs="Arial"/>
          <w:color w:val="000000"/>
          <w:szCs w:val="19"/>
          <w:lang w:eastAsia="bg-BG"/>
        </w:rPr>
        <w:t>/дневно леветирацетам.</w:t>
      </w:r>
    </w:p>
    <w:p w14:paraId="3CB14A47"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Ретроспективната оценка на фармакокинетичните взаимодействия при деца и юноши с епилепсия (4 до 17 години), потвърждава, че допълващото лечение с перорално приложен леветирацетам не повлиява стационарните серумни концентрации на едновременно прилаганите карбамазепин и валпроат. Въпреки това данните предполагат </w:t>
      </w:r>
      <w:r w:rsidRPr="00C37F7C">
        <w:rPr>
          <w:rFonts w:eastAsia="Times New Roman" w:cs="Arial"/>
          <w:color w:val="000000"/>
          <w:szCs w:val="19"/>
          <w:lang w:eastAsia="bg-BG"/>
        </w:rPr>
        <w:lastRenderedPageBreak/>
        <w:t>20% по-висок клирънс на леветирацетам при деца, приемащи ензим-индуциращи антиепилептични лекарствени продукти. Не се налага адаптиране на дозата.</w:t>
      </w:r>
    </w:p>
    <w:p w14:paraId="1BB7EBC5" w14:textId="77777777" w:rsidR="00C37F7C" w:rsidRPr="00C37F7C" w:rsidRDefault="00C37F7C" w:rsidP="00C37F7C">
      <w:pPr>
        <w:spacing w:line="240" w:lineRule="auto"/>
        <w:rPr>
          <w:rFonts w:eastAsia="Times New Roman" w:cs="Arial"/>
          <w:color w:val="000000"/>
          <w:szCs w:val="19"/>
          <w:u w:val="single"/>
          <w:lang w:eastAsia="bg-BG"/>
        </w:rPr>
      </w:pPr>
    </w:p>
    <w:p w14:paraId="787B48C7" w14:textId="38DD454A"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Пробенецид</w:t>
      </w:r>
    </w:p>
    <w:p w14:paraId="2CA3E2F8"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Установено с, че пробенецид (500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четири пъти дневно), блокер на бъбречната тубулна секреция, инхибира реналния клирънс на първичния метаболит, но не и на леветирацетам. Въпреки това концентрацията на този метаболит остава ниска. Очаква се, че други лекарства, екскретиращи се чрез активна тубулна секреция могат също да намалят реналния клирънс на метаболита. Ефектът на леветирацетам върху пробенецид не е проучен, както не е установен и ефектът му върху други активно секретирани лекарства, като НСПВЛ, сулфонамиди и метотрексат.</w:t>
      </w:r>
    </w:p>
    <w:p w14:paraId="22034A2A" w14:textId="77777777" w:rsidR="00C37F7C" w:rsidRPr="00C37F7C" w:rsidRDefault="00C37F7C" w:rsidP="00C37F7C">
      <w:pPr>
        <w:spacing w:line="240" w:lineRule="auto"/>
        <w:rPr>
          <w:rFonts w:eastAsia="Times New Roman" w:cs="Arial"/>
          <w:color w:val="000000"/>
          <w:szCs w:val="19"/>
          <w:u w:val="single"/>
          <w:lang w:eastAsia="bg-BG"/>
        </w:rPr>
      </w:pPr>
    </w:p>
    <w:p w14:paraId="2647147E" w14:textId="79DCADC5"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Орални контрацептиви и други фармакокинетични взаимодействия</w:t>
      </w:r>
    </w:p>
    <w:p w14:paraId="0FE9FBCB"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 xml:space="preserve">Леветирацетам 1 000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 xml:space="preserve">дневно не повлиява фармакокинетиката на оралните контрацептиви (етинилестрадиол и левоноргестрел); ендокринните параметри (лутеинизиращ хормон и прогестерон) не се променят. Леветирацетам 2 000 </w:t>
      </w:r>
      <w:r w:rsidRPr="00C37F7C">
        <w:rPr>
          <w:rFonts w:eastAsia="Times New Roman" w:cs="Arial"/>
          <w:color w:val="000000"/>
          <w:szCs w:val="19"/>
          <w:lang w:val="en-US"/>
        </w:rPr>
        <w:t>mg</w:t>
      </w:r>
      <w:r w:rsidRPr="00C37F7C">
        <w:rPr>
          <w:rFonts w:eastAsia="Times New Roman" w:cs="Arial"/>
          <w:color w:val="000000"/>
          <w:szCs w:val="19"/>
          <w:lang w:val="ru-RU"/>
        </w:rPr>
        <w:t xml:space="preserve"> </w:t>
      </w:r>
      <w:r w:rsidRPr="00C37F7C">
        <w:rPr>
          <w:rFonts w:eastAsia="Times New Roman" w:cs="Arial"/>
          <w:color w:val="000000"/>
          <w:szCs w:val="19"/>
          <w:lang w:eastAsia="bg-BG"/>
        </w:rPr>
        <w:t>дневно не повлиява фармакокинетиката на дигоксин и варфарин; протромб и новото време не се променя. Едновременното приемане с дигоксин, орални контрацептиви и варфарин не повлиява фармакокинетиката на леветирацетам.</w:t>
      </w:r>
    </w:p>
    <w:p w14:paraId="59AC520B" w14:textId="77777777" w:rsidR="00C37F7C" w:rsidRPr="00C37F7C" w:rsidRDefault="00C37F7C" w:rsidP="00C37F7C">
      <w:pPr>
        <w:spacing w:line="240" w:lineRule="auto"/>
        <w:rPr>
          <w:rFonts w:eastAsia="Times New Roman" w:cs="Arial"/>
          <w:color w:val="000000"/>
          <w:szCs w:val="19"/>
          <w:u w:val="single"/>
          <w:lang w:eastAsia="bg-BG"/>
        </w:rPr>
      </w:pPr>
    </w:p>
    <w:p w14:paraId="1E6D624E" w14:textId="549455CC"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Антиациди</w:t>
      </w:r>
    </w:p>
    <w:p w14:paraId="65610FB8" w14:textId="6FACD5D6"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Няма данни за влияние на антиацидните средства върху абсорбцията на леветирацетам.</w:t>
      </w:r>
    </w:p>
    <w:p w14:paraId="65ED7F3B" w14:textId="77777777" w:rsidR="00C37F7C" w:rsidRPr="00C37F7C" w:rsidRDefault="00C37F7C" w:rsidP="00C37F7C">
      <w:pPr>
        <w:spacing w:line="240" w:lineRule="auto"/>
        <w:rPr>
          <w:rFonts w:eastAsia="Times New Roman" w:cs="Arial"/>
          <w:color w:val="000000"/>
          <w:szCs w:val="19"/>
          <w:u w:val="single"/>
          <w:lang w:eastAsia="bg-BG"/>
        </w:rPr>
      </w:pPr>
    </w:p>
    <w:p w14:paraId="57A4E753" w14:textId="42D44F28"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Слабителни</w:t>
      </w:r>
    </w:p>
    <w:p w14:paraId="6C4B410D"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Има изолирани съобщения за намаление на ефикасността на леветирацетам, когато осмотичното слабително макрогол се прилага едновременно с перорален леветирацетам. Следователно, макрогол не трябва да се приема през устата в продължение на един час преди и един час след приема на леветирацетам.</w:t>
      </w:r>
    </w:p>
    <w:p w14:paraId="4B8E1B2D" w14:textId="77777777" w:rsidR="00C37F7C" w:rsidRPr="00C37F7C" w:rsidRDefault="00C37F7C" w:rsidP="00C37F7C">
      <w:pPr>
        <w:spacing w:line="240" w:lineRule="auto"/>
        <w:rPr>
          <w:rFonts w:eastAsia="Times New Roman" w:cs="Arial"/>
          <w:color w:val="000000"/>
          <w:szCs w:val="19"/>
          <w:u w:val="single"/>
          <w:lang w:eastAsia="bg-BG"/>
        </w:rPr>
      </w:pPr>
    </w:p>
    <w:p w14:paraId="1E0B9120" w14:textId="6336E222"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Храна и алкохол</w:t>
      </w:r>
    </w:p>
    <w:p w14:paraId="3CCB46C7"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Степента на абсорбция на леветирацетам не се променя от храната, но скоростта на абсорбция е слабо понижена.</w:t>
      </w:r>
    </w:p>
    <w:p w14:paraId="5D670513"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Няма данни за взаимодействие на леветирацетам с алкохол.</w:t>
      </w:r>
    </w:p>
    <w:p w14:paraId="3BEE067B" w14:textId="6B037FA7" w:rsidR="00C37F7C" w:rsidRPr="00C37F7C" w:rsidRDefault="00C37F7C" w:rsidP="00C37F7C">
      <w:pPr>
        <w:rPr>
          <w:rFonts w:eastAsia="Times New Roman" w:cs="Arial"/>
          <w:color w:val="000000"/>
          <w:sz w:val="19"/>
          <w:szCs w:val="19"/>
          <w:lang w:eastAsia="bg-BG"/>
        </w:rPr>
      </w:pPr>
    </w:p>
    <w:p w14:paraId="5D9F40EA" w14:textId="357B691D" w:rsidR="007122AD" w:rsidRDefault="002C50EE" w:rsidP="00936AD0">
      <w:pPr>
        <w:pStyle w:val="Heading2"/>
      </w:pPr>
      <w:r>
        <w:t>4.6. Фертилитет, бременност и кърмене</w:t>
      </w:r>
    </w:p>
    <w:p w14:paraId="5A7C3B80" w14:textId="004527ED" w:rsidR="00C37F7C" w:rsidRDefault="00C37F7C" w:rsidP="00C37F7C"/>
    <w:p w14:paraId="13EAF060" w14:textId="77777777" w:rsidR="00C37F7C" w:rsidRPr="00C37F7C" w:rsidRDefault="00C37F7C" w:rsidP="00C37F7C">
      <w:pPr>
        <w:pStyle w:val="Heading3"/>
        <w:rPr>
          <w:rFonts w:ascii="Times New Roman" w:eastAsia="Times New Roman" w:hAnsi="Times New Roman" w:cs="Times New Roman"/>
          <w:sz w:val="32"/>
          <w:u w:val="single"/>
        </w:rPr>
      </w:pPr>
      <w:r w:rsidRPr="00C37F7C">
        <w:rPr>
          <w:rFonts w:eastAsia="Times New Roman"/>
          <w:u w:val="single"/>
          <w:lang w:eastAsia="bg-BG"/>
        </w:rPr>
        <w:t>Бременност</w:t>
      </w:r>
    </w:p>
    <w:p w14:paraId="37144B26"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Пост-маркетинговите данни от няколко проспективни регистри за бременност са документирали резултати от над 1000 жени, приемащи като монотерапия леветирацетам, по време на първия триместър на бременността. Като цяло, тези данни не показват значително увеличаване на риска от основните вродени малформации, въпреки че тератогенния риск не</w:t>
      </w:r>
      <w:r w:rsidRPr="00C37F7C">
        <w:rPr>
          <w:rFonts w:eastAsia="Times New Roman" w:cs="Arial"/>
          <w:smallCaps/>
          <w:color w:val="000000"/>
          <w:szCs w:val="19"/>
          <w:u w:val="single"/>
          <w:lang w:eastAsia="bg-BG"/>
        </w:rPr>
        <w:t xml:space="preserve"> </w:t>
      </w:r>
      <w:r w:rsidRPr="00C37F7C">
        <w:rPr>
          <w:rFonts w:eastAsia="Times New Roman" w:cs="Arial"/>
          <w:color w:val="000000"/>
          <w:szCs w:val="19"/>
          <w:lang w:eastAsia="bg-BG"/>
        </w:rPr>
        <w:t>може да се изключи напълно. Лечението с множество антиепилептични лекарствени продукти е свързано с по-висок риск от вродени малформации, отколкото монотерапията и затова трябва да се помисли за монотерапия. Проучванията при животни показват репродуктивна токсичност (вж. точка 5.3). Потенциалният риск при хора не е известен.</w:t>
      </w:r>
    </w:p>
    <w:p w14:paraId="2093B418"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Леветиракон не се препоръчва по време на бременност и при жени с детероден потенциал неползващи контрацепция, освен в случаите на клинична необходимост.</w:t>
      </w:r>
    </w:p>
    <w:p w14:paraId="7819651E" w14:textId="5D70B48A" w:rsidR="00C37F7C" w:rsidRPr="00C37F7C" w:rsidRDefault="00C37F7C" w:rsidP="00C37F7C">
      <w:pPr>
        <w:rPr>
          <w:sz w:val="28"/>
        </w:rPr>
      </w:pPr>
    </w:p>
    <w:p w14:paraId="6BDFF04C"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lastRenderedPageBreak/>
        <w:t>Както при други антиепилептични лекарствени продукти, физиологичните промени по време на бременността може да повлияят концентрацията на леветираиетам. По време на бременността се наблюдава понижаване на плазмените концентрации на леветираиетам. Понижаването е по-изразено през третия триместър (до 60% от изходното ниво преди бременността). Затова на бременните жени трябва да се осигурят подходящи медицински грижи. Прекъсването на антиепилептичното лечение може да доведе до влошаване на заболяването, което може да причини увреждане на майката и плода.</w:t>
      </w:r>
    </w:p>
    <w:p w14:paraId="7A51F0C3" w14:textId="77777777" w:rsidR="00C37F7C" w:rsidRPr="00C37F7C" w:rsidRDefault="00C37F7C" w:rsidP="00C37F7C">
      <w:pPr>
        <w:spacing w:line="240" w:lineRule="auto"/>
        <w:rPr>
          <w:rFonts w:eastAsia="Times New Roman" w:cs="Arial"/>
          <w:color w:val="000000"/>
          <w:szCs w:val="19"/>
          <w:u w:val="single"/>
          <w:lang w:eastAsia="bg-BG"/>
        </w:rPr>
      </w:pPr>
    </w:p>
    <w:p w14:paraId="091285E1" w14:textId="7DC499EC" w:rsidR="00C37F7C" w:rsidRPr="00C37F7C" w:rsidRDefault="00C37F7C" w:rsidP="00C37F7C">
      <w:pPr>
        <w:pStyle w:val="Heading3"/>
        <w:rPr>
          <w:rFonts w:ascii="Times New Roman" w:eastAsia="Times New Roman" w:hAnsi="Times New Roman" w:cs="Times New Roman"/>
          <w:sz w:val="32"/>
          <w:u w:val="single"/>
        </w:rPr>
      </w:pPr>
      <w:r w:rsidRPr="00C37F7C">
        <w:rPr>
          <w:rFonts w:eastAsia="Times New Roman"/>
          <w:u w:val="single"/>
          <w:lang w:eastAsia="bg-BG"/>
        </w:rPr>
        <w:t>Кърмене</w:t>
      </w:r>
    </w:p>
    <w:p w14:paraId="26A6BC5E"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Леветираиетам се отделя в кърмата, затова кърменето не е препоръчително.</w:t>
      </w:r>
    </w:p>
    <w:p w14:paraId="65951B64"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Ако обаче лечението с леветираиетам е наложително в периода на кърмене, съотношението полза/риск трябва да бъде оценено при отчитане на значението на кърменето.</w:t>
      </w:r>
    </w:p>
    <w:p w14:paraId="0D1F1DBD" w14:textId="77777777" w:rsidR="00C37F7C" w:rsidRPr="00C37F7C" w:rsidRDefault="00C37F7C" w:rsidP="00C37F7C">
      <w:pPr>
        <w:spacing w:line="240" w:lineRule="auto"/>
        <w:rPr>
          <w:rFonts w:eastAsia="Times New Roman" w:cs="Arial"/>
          <w:color w:val="000000"/>
          <w:szCs w:val="19"/>
          <w:u w:val="single"/>
          <w:lang w:eastAsia="bg-BG"/>
        </w:rPr>
      </w:pPr>
    </w:p>
    <w:p w14:paraId="2448C2D7" w14:textId="1BCFC757" w:rsidR="00C37F7C" w:rsidRPr="00C37F7C" w:rsidRDefault="00C37F7C" w:rsidP="00C37F7C">
      <w:pPr>
        <w:pStyle w:val="Heading3"/>
        <w:rPr>
          <w:rFonts w:ascii="Times New Roman" w:eastAsia="Times New Roman" w:hAnsi="Times New Roman" w:cs="Times New Roman"/>
          <w:sz w:val="32"/>
          <w:u w:val="single"/>
        </w:rPr>
      </w:pPr>
      <w:r w:rsidRPr="00C37F7C">
        <w:rPr>
          <w:rFonts w:eastAsia="Times New Roman"/>
          <w:u w:val="single"/>
          <w:lang w:eastAsia="bg-BG"/>
        </w:rPr>
        <w:t>Фертилитет</w:t>
      </w:r>
    </w:p>
    <w:p w14:paraId="16678115" w14:textId="77777777" w:rsidR="00C37F7C" w:rsidRPr="00C37F7C" w:rsidRDefault="00C37F7C" w:rsidP="00C37F7C">
      <w:pPr>
        <w:spacing w:line="240" w:lineRule="auto"/>
        <w:rPr>
          <w:rFonts w:ascii="Times New Roman" w:eastAsia="Times New Roman" w:hAnsi="Times New Roman" w:cs="Times New Roman"/>
          <w:sz w:val="24"/>
          <w:szCs w:val="24"/>
        </w:rPr>
      </w:pPr>
      <w:r w:rsidRPr="00C37F7C">
        <w:rPr>
          <w:rFonts w:eastAsia="Times New Roman" w:cs="Arial"/>
          <w:color w:val="000000"/>
          <w:szCs w:val="19"/>
          <w:lang w:eastAsia="bg-BG"/>
        </w:rPr>
        <w:t>Не са открити данни за влиянието върху фертилитета при проучвания върху животни (вж. точка 5.3). Няма клинични данни, потенциалния риск за хора не е известен.</w:t>
      </w:r>
    </w:p>
    <w:p w14:paraId="47CAF856" w14:textId="77777777" w:rsidR="00C37F7C" w:rsidRPr="00C37F7C" w:rsidRDefault="00C37F7C" w:rsidP="00C37F7C"/>
    <w:p w14:paraId="5DD7A76D" w14:textId="348E56C3" w:rsidR="007122AD" w:rsidRDefault="002C50EE" w:rsidP="00936AD0">
      <w:pPr>
        <w:pStyle w:val="Heading2"/>
      </w:pPr>
      <w:r>
        <w:t>4.7. Ефекти върху способността за шофиране и работа с машини</w:t>
      </w:r>
    </w:p>
    <w:p w14:paraId="53A33C4C" w14:textId="384D180F" w:rsidR="00C37F7C" w:rsidRDefault="00C37F7C" w:rsidP="00C37F7C"/>
    <w:p w14:paraId="56EA349C" w14:textId="77777777" w:rsidR="00C37F7C" w:rsidRPr="00C37F7C" w:rsidRDefault="00C37F7C" w:rsidP="00C37F7C">
      <w:pPr>
        <w:rPr>
          <w:rFonts w:ascii="Times New Roman" w:hAnsi="Times New Roman" w:cs="Times New Roman"/>
          <w:sz w:val="24"/>
          <w:szCs w:val="24"/>
        </w:rPr>
      </w:pPr>
      <w:r w:rsidRPr="00C37F7C">
        <w:rPr>
          <w:lang w:eastAsia="bg-BG"/>
        </w:rPr>
        <w:t>Няма проучвания за ефектите върху способността за шофиране и работа с машини. Поради възможна различна индивидуална чувствителност при някои пациенти, в началото на лечението или при последващо увеличаване на дозата, може да се появи сънливост или други симптоми от страна на централната нервна система. Пациентите трябва да бъдат предупредени да не използват каквато и да е техника или машини докато не установят, че възможността им за това не се е повлияла.</w:t>
      </w:r>
    </w:p>
    <w:p w14:paraId="00A0D93C" w14:textId="77777777" w:rsidR="00C37F7C" w:rsidRPr="00C37F7C" w:rsidRDefault="00C37F7C" w:rsidP="00C37F7C"/>
    <w:p w14:paraId="44CE30A3" w14:textId="71F12B65" w:rsidR="007122AD" w:rsidRDefault="002C50EE" w:rsidP="00936AD0">
      <w:pPr>
        <w:pStyle w:val="Heading2"/>
      </w:pPr>
      <w:r>
        <w:t>4.8. Нежелани лекарствени реакции</w:t>
      </w:r>
    </w:p>
    <w:p w14:paraId="4C1AC304" w14:textId="39B85E13" w:rsidR="00C37F7C" w:rsidRDefault="00C37F7C" w:rsidP="00C37F7C"/>
    <w:p w14:paraId="530B29C8"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Обобщение на профила на безопасност</w:t>
      </w:r>
    </w:p>
    <w:p w14:paraId="1915A9DF" w14:textId="77777777" w:rsidR="00C37F7C" w:rsidRPr="00C37F7C" w:rsidRDefault="00C37F7C" w:rsidP="00C37F7C">
      <w:pPr>
        <w:spacing w:line="240" w:lineRule="auto"/>
        <w:rPr>
          <w:rFonts w:eastAsia="Times New Roman" w:cs="Arial"/>
          <w:color w:val="000000"/>
          <w:szCs w:val="19"/>
          <w:lang w:eastAsia="bg-BG"/>
        </w:rPr>
      </w:pPr>
    </w:p>
    <w:p w14:paraId="6E4EBEC3" w14:textId="345AC3C8"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Профилът на нежеланите събития, представени по-долу, се основава на анализа на сборни плацебо-контролирани клинични изследвания за всички изследвани показания, включващи общо 3416 пациенти, лекувани с леветираиетам. Тези данни са допълнени с употребата на леветираиетам в съответните отворени разширени проучвания, както и пост-маркетинговия опит. Най-често съобщаваните нежелани реакции са назофарингит, сънливост, главоболие, умора и световъртеж. Профилът на безопасност на леветираиетам е като цяло подобен при различните възрастови групи (възрастни и педиатрични пациенти), както и в рамките на одобрените индикации свързани с епилепсията.</w:t>
      </w:r>
    </w:p>
    <w:p w14:paraId="63043B10" w14:textId="77777777" w:rsidR="00C37F7C" w:rsidRPr="00C37F7C" w:rsidRDefault="00C37F7C" w:rsidP="00C37F7C">
      <w:pPr>
        <w:spacing w:line="240" w:lineRule="auto"/>
        <w:rPr>
          <w:rFonts w:eastAsia="Times New Roman" w:cs="Arial"/>
          <w:color w:val="000000"/>
          <w:szCs w:val="19"/>
          <w:u w:val="single"/>
          <w:lang w:eastAsia="bg-BG"/>
        </w:rPr>
      </w:pPr>
    </w:p>
    <w:p w14:paraId="5DF92843" w14:textId="6EAC4C9E"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u w:val="single"/>
          <w:lang w:eastAsia="bg-BG"/>
        </w:rPr>
        <w:t>Табличен списък на нежеланите лекарствени реакции</w:t>
      </w:r>
    </w:p>
    <w:p w14:paraId="3A8A820F" w14:textId="77777777" w:rsidR="00C37F7C" w:rsidRPr="00C37F7C" w:rsidRDefault="00C37F7C" w:rsidP="00C37F7C">
      <w:pPr>
        <w:spacing w:line="240" w:lineRule="auto"/>
        <w:rPr>
          <w:rFonts w:ascii="Times New Roman" w:eastAsia="Times New Roman" w:hAnsi="Times New Roman" w:cs="Times New Roman"/>
          <w:sz w:val="32"/>
          <w:szCs w:val="24"/>
        </w:rPr>
      </w:pPr>
      <w:r w:rsidRPr="00C37F7C">
        <w:rPr>
          <w:rFonts w:eastAsia="Times New Roman" w:cs="Arial"/>
          <w:color w:val="000000"/>
          <w:szCs w:val="19"/>
          <w:lang w:eastAsia="bg-BG"/>
        </w:rPr>
        <w:t>Проявените нежелани лекарствени реакции при клинични изпитвания (при възрастни, юноши, деца и новородени над 1 месец) или от пост-маркетингов опит са изброени по системо -органна класификация и по честота. Честотата е дефинирана, както следва: много чести (&gt; 1 /10), чести (&gt;1/100, &lt; 1/10), нечести (&gt; 1/1 000, &lt;1/100), редки (&gt;1/10 000, &lt;1/1 000) и много редки (&lt;1/10 000).</w:t>
      </w:r>
    </w:p>
    <w:p w14:paraId="70FDCEC6" w14:textId="6F229E29" w:rsidR="00C37F7C" w:rsidRDefault="00C37F7C" w:rsidP="00C37F7C"/>
    <w:tbl>
      <w:tblPr>
        <w:tblStyle w:val="TableGrid"/>
        <w:tblW w:w="0" w:type="auto"/>
        <w:tblLook w:val="04A0" w:firstRow="1" w:lastRow="0" w:firstColumn="1" w:lastColumn="0" w:noHBand="0" w:noVBand="1"/>
      </w:tblPr>
      <w:tblGrid>
        <w:gridCol w:w="1869"/>
        <w:gridCol w:w="1790"/>
        <w:gridCol w:w="1697"/>
        <w:gridCol w:w="2065"/>
        <w:gridCol w:w="1929"/>
      </w:tblGrid>
      <w:tr w:rsidR="002E4ABF" w14:paraId="3B3B0C0E" w14:textId="77777777" w:rsidTr="00961B3F">
        <w:tc>
          <w:tcPr>
            <w:tcW w:w="1915" w:type="dxa"/>
            <w:vMerge w:val="restart"/>
          </w:tcPr>
          <w:p w14:paraId="0DBDF99F" w14:textId="7DD888C2" w:rsidR="002E4ABF" w:rsidRPr="002E4ABF" w:rsidRDefault="002E4ABF" w:rsidP="00C37F7C">
            <w:pPr>
              <w:rPr>
                <w:rFonts w:cs="Arial"/>
              </w:rPr>
            </w:pPr>
            <w:r w:rsidRPr="002E4ABF">
              <w:rPr>
                <w:rFonts w:cs="Arial"/>
                <w:b/>
                <w:bCs/>
              </w:rPr>
              <w:lastRenderedPageBreak/>
              <w:t>MedDRA SOC</w:t>
            </w:r>
          </w:p>
        </w:tc>
        <w:tc>
          <w:tcPr>
            <w:tcW w:w="7661" w:type="dxa"/>
            <w:gridSpan w:val="4"/>
          </w:tcPr>
          <w:p w14:paraId="4827D59F" w14:textId="6DB775C6" w:rsidR="002E4ABF" w:rsidRPr="002E4ABF" w:rsidRDefault="002E4ABF" w:rsidP="00C37F7C">
            <w:pPr>
              <w:rPr>
                <w:rFonts w:cs="Arial"/>
              </w:rPr>
            </w:pPr>
            <w:r w:rsidRPr="002E4ABF">
              <w:rPr>
                <w:rFonts w:cs="Arial"/>
                <w:b/>
                <w:bCs/>
              </w:rPr>
              <w:t>Категории на честота</w:t>
            </w:r>
          </w:p>
        </w:tc>
      </w:tr>
      <w:tr w:rsidR="002E4ABF" w14:paraId="65B7EFFA" w14:textId="77777777" w:rsidTr="002E4ABF">
        <w:tc>
          <w:tcPr>
            <w:tcW w:w="1915" w:type="dxa"/>
            <w:vMerge/>
          </w:tcPr>
          <w:p w14:paraId="634A4003" w14:textId="77777777" w:rsidR="002E4ABF" w:rsidRPr="002E4ABF" w:rsidRDefault="002E4ABF" w:rsidP="002E4ABF">
            <w:pPr>
              <w:rPr>
                <w:rFonts w:cs="Arial"/>
              </w:rPr>
            </w:pPr>
          </w:p>
        </w:tc>
        <w:tc>
          <w:tcPr>
            <w:tcW w:w="1915" w:type="dxa"/>
          </w:tcPr>
          <w:p w14:paraId="3286A582" w14:textId="2323723A" w:rsidR="002E4ABF" w:rsidRPr="002E4ABF" w:rsidRDefault="002E4ABF" w:rsidP="002E4ABF">
            <w:pPr>
              <w:rPr>
                <w:rFonts w:cs="Arial"/>
              </w:rPr>
            </w:pPr>
            <w:r w:rsidRPr="002E4ABF">
              <w:rPr>
                <w:rFonts w:cs="Arial"/>
                <w:b/>
                <w:bCs/>
              </w:rPr>
              <w:t>Много чести</w:t>
            </w:r>
          </w:p>
        </w:tc>
        <w:tc>
          <w:tcPr>
            <w:tcW w:w="1915" w:type="dxa"/>
          </w:tcPr>
          <w:p w14:paraId="72882DB6" w14:textId="21E1E660" w:rsidR="002E4ABF" w:rsidRPr="002E4ABF" w:rsidRDefault="002E4ABF" w:rsidP="002E4ABF">
            <w:pPr>
              <w:rPr>
                <w:rFonts w:cs="Arial"/>
              </w:rPr>
            </w:pPr>
            <w:r w:rsidRPr="002E4ABF">
              <w:rPr>
                <w:rFonts w:cs="Arial"/>
                <w:b/>
                <w:bCs/>
              </w:rPr>
              <w:t>Чести</w:t>
            </w:r>
          </w:p>
        </w:tc>
        <w:tc>
          <w:tcPr>
            <w:tcW w:w="1915" w:type="dxa"/>
          </w:tcPr>
          <w:p w14:paraId="6D4E95E0" w14:textId="724FB967" w:rsidR="002E4ABF" w:rsidRPr="002E4ABF" w:rsidRDefault="002E4ABF" w:rsidP="002E4ABF">
            <w:pPr>
              <w:rPr>
                <w:rFonts w:cs="Arial"/>
              </w:rPr>
            </w:pPr>
            <w:r w:rsidRPr="002E4ABF">
              <w:rPr>
                <w:rFonts w:cs="Arial"/>
                <w:b/>
                <w:bCs/>
              </w:rPr>
              <w:t>Нечести</w:t>
            </w:r>
          </w:p>
        </w:tc>
        <w:tc>
          <w:tcPr>
            <w:tcW w:w="1916" w:type="dxa"/>
          </w:tcPr>
          <w:p w14:paraId="7AD8AED4" w14:textId="77889E06" w:rsidR="002E4ABF" w:rsidRPr="002E4ABF" w:rsidRDefault="002E4ABF" w:rsidP="002E4ABF">
            <w:pPr>
              <w:rPr>
                <w:rFonts w:cs="Arial"/>
              </w:rPr>
            </w:pPr>
            <w:r w:rsidRPr="002E4ABF">
              <w:rPr>
                <w:rFonts w:cs="Arial"/>
                <w:b/>
                <w:bCs/>
              </w:rPr>
              <w:t>Редки</w:t>
            </w:r>
          </w:p>
        </w:tc>
      </w:tr>
      <w:tr w:rsidR="002E4ABF" w14:paraId="53842658" w14:textId="77777777" w:rsidTr="00BA76CF">
        <w:tc>
          <w:tcPr>
            <w:tcW w:w="1915" w:type="dxa"/>
            <w:vAlign w:val="bottom"/>
          </w:tcPr>
          <w:p w14:paraId="5C7E387D" w14:textId="30A7280C" w:rsidR="002E4ABF" w:rsidRPr="002E4ABF" w:rsidRDefault="002E4ABF" w:rsidP="002E4ABF">
            <w:pPr>
              <w:rPr>
                <w:rFonts w:cs="Arial"/>
              </w:rPr>
            </w:pPr>
            <w:r w:rsidRPr="002E4ABF">
              <w:rPr>
                <w:rFonts w:cs="Arial"/>
              </w:rPr>
              <w:t>Инфекции и инфестации</w:t>
            </w:r>
          </w:p>
        </w:tc>
        <w:tc>
          <w:tcPr>
            <w:tcW w:w="1915" w:type="dxa"/>
          </w:tcPr>
          <w:p w14:paraId="7149F81C" w14:textId="17B81360" w:rsidR="002E4ABF" w:rsidRPr="002E4ABF" w:rsidRDefault="002E4ABF" w:rsidP="002E4ABF">
            <w:pPr>
              <w:rPr>
                <w:rFonts w:cs="Arial"/>
              </w:rPr>
            </w:pPr>
            <w:r w:rsidRPr="002E4ABF">
              <w:rPr>
                <w:rFonts w:cs="Arial"/>
              </w:rPr>
              <w:t>назофарингити</w:t>
            </w:r>
          </w:p>
        </w:tc>
        <w:tc>
          <w:tcPr>
            <w:tcW w:w="1915" w:type="dxa"/>
          </w:tcPr>
          <w:p w14:paraId="3DC04F2C" w14:textId="77777777" w:rsidR="002E4ABF" w:rsidRPr="002E4ABF" w:rsidRDefault="002E4ABF" w:rsidP="002E4ABF">
            <w:pPr>
              <w:rPr>
                <w:rFonts w:cs="Arial"/>
              </w:rPr>
            </w:pPr>
          </w:p>
        </w:tc>
        <w:tc>
          <w:tcPr>
            <w:tcW w:w="1915" w:type="dxa"/>
          </w:tcPr>
          <w:p w14:paraId="15AA0E59" w14:textId="77777777" w:rsidR="002E4ABF" w:rsidRPr="002E4ABF" w:rsidRDefault="002E4ABF" w:rsidP="002E4ABF">
            <w:pPr>
              <w:rPr>
                <w:rFonts w:cs="Arial"/>
              </w:rPr>
            </w:pPr>
          </w:p>
        </w:tc>
        <w:tc>
          <w:tcPr>
            <w:tcW w:w="1916" w:type="dxa"/>
          </w:tcPr>
          <w:p w14:paraId="37F52B1F" w14:textId="0BCC1A80" w:rsidR="002E4ABF" w:rsidRPr="002E4ABF" w:rsidRDefault="002E4ABF" w:rsidP="002E4ABF">
            <w:pPr>
              <w:rPr>
                <w:rFonts w:cs="Arial"/>
              </w:rPr>
            </w:pPr>
            <w:r w:rsidRPr="002E4ABF">
              <w:rPr>
                <w:rFonts w:cs="Arial"/>
                <w:b/>
                <w:bCs/>
              </w:rPr>
              <w:t>инфе</w:t>
            </w:r>
            <w:r w:rsidRPr="002E4ABF">
              <w:rPr>
                <w:rFonts w:cs="Arial"/>
                <w:b/>
                <w:bCs/>
                <w:u w:val="single"/>
              </w:rPr>
              <w:t>кции</w:t>
            </w:r>
          </w:p>
        </w:tc>
      </w:tr>
      <w:tr w:rsidR="002E4ABF" w14:paraId="6A9BA9C6" w14:textId="77777777" w:rsidTr="002E4ABF">
        <w:tc>
          <w:tcPr>
            <w:tcW w:w="1915" w:type="dxa"/>
          </w:tcPr>
          <w:p w14:paraId="30216510" w14:textId="77777777" w:rsidR="002E4ABF" w:rsidRPr="002E4ABF" w:rsidRDefault="002E4ABF" w:rsidP="002E4ABF">
            <w:pPr>
              <w:rPr>
                <w:rFonts w:cs="Arial"/>
              </w:rPr>
            </w:pPr>
            <w:r w:rsidRPr="002E4ABF">
              <w:rPr>
                <w:rFonts w:cs="Arial"/>
              </w:rPr>
              <w:t>Нарушения на кръвта</w:t>
            </w:r>
            <w:r w:rsidRPr="002E4ABF">
              <w:rPr>
                <w:rFonts w:cs="Arial"/>
              </w:rPr>
              <w:tab/>
              <w:t>и</w:t>
            </w:r>
          </w:p>
          <w:p w14:paraId="0FBFCEE5" w14:textId="0C2ED202" w:rsidR="002E4ABF" w:rsidRPr="002E4ABF" w:rsidRDefault="002E4ABF" w:rsidP="002E4ABF">
            <w:pPr>
              <w:rPr>
                <w:rFonts w:cs="Arial"/>
              </w:rPr>
            </w:pPr>
            <w:r w:rsidRPr="002E4ABF">
              <w:rPr>
                <w:rFonts w:cs="Arial"/>
              </w:rPr>
              <w:t>лимфната система</w:t>
            </w:r>
          </w:p>
        </w:tc>
        <w:tc>
          <w:tcPr>
            <w:tcW w:w="1915" w:type="dxa"/>
          </w:tcPr>
          <w:p w14:paraId="4C70E143" w14:textId="77777777" w:rsidR="002E4ABF" w:rsidRPr="002E4ABF" w:rsidRDefault="002E4ABF" w:rsidP="002E4ABF">
            <w:pPr>
              <w:rPr>
                <w:rFonts w:cs="Arial"/>
              </w:rPr>
            </w:pPr>
          </w:p>
        </w:tc>
        <w:tc>
          <w:tcPr>
            <w:tcW w:w="1915" w:type="dxa"/>
          </w:tcPr>
          <w:p w14:paraId="217E986A" w14:textId="77777777" w:rsidR="002E4ABF" w:rsidRPr="002E4ABF" w:rsidRDefault="002E4ABF" w:rsidP="002E4ABF">
            <w:pPr>
              <w:rPr>
                <w:rFonts w:cs="Arial"/>
              </w:rPr>
            </w:pPr>
          </w:p>
        </w:tc>
        <w:tc>
          <w:tcPr>
            <w:tcW w:w="1915" w:type="dxa"/>
          </w:tcPr>
          <w:p w14:paraId="10A9E284" w14:textId="7B3B5D3B" w:rsidR="002E4ABF" w:rsidRPr="002E4ABF" w:rsidRDefault="002E4ABF" w:rsidP="002E4ABF">
            <w:pPr>
              <w:rPr>
                <w:rFonts w:cs="Arial"/>
              </w:rPr>
            </w:pPr>
            <w:r w:rsidRPr="002E4ABF">
              <w:rPr>
                <w:rFonts w:cs="Arial"/>
              </w:rPr>
              <w:t>тромбоцитопения, левкопения</w:t>
            </w:r>
            <w:r w:rsidRPr="002E4ABF">
              <w:rPr>
                <w:rFonts w:cs="Arial"/>
              </w:rPr>
              <w:tab/>
            </w:r>
          </w:p>
        </w:tc>
        <w:tc>
          <w:tcPr>
            <w:tcW w:w="1916" w:type="dxa"/>
          </w:tcPr>
          <w:p w14:paraId="2F749DB7" w14:textId="77777777" w:rsidR="002E4ABF" w:rsidRPr="002E4ABF" w:rsidRDefault="002E4ABF" w:rsidP="002E4ABF">
            <w:pPr>
              <w:rPr>
                <w:rFonts w:cs="Arial"/>
              </w:rPr>
            </w:pPr>
            <w:r w:rsidRPr="002E4ABF">
              <w:rPr>
                <w:rFonts w:cs="Arial"/>
                <w:b/>
                <w:bCs/>
              </w:rPr>
              <w:t>панцитопения</w:t>
            </w:r>
          </w:p>
          <w:p w14:paraId="27D343EF" w14:textId="77777777" w:rsidR="002E4ABF" w:rsidRPr="002E4ABF" w:rsidRDefault="002E4ABF" w:rsidP="002E4ABF">
            <w:pPr>
              <w:rPr>
                <w:rFonts w:cs="Arial"/>
              </w:rPr>
            </w:pPr>
            <w:r w:rsidRPr="002E4ABF">
              <w:rPr>
                <w:rFonts w:cs="Arial"/>
                <w:b/>
                <w:bCs/>
              </w:rPr>
              <w:t>неутропения</w:t>
            </w:r>
          </w:p>
          <w:p w14:paraId="6063AAC8" w14:textId="6EE1E21E" w:rsidR="002E4ABF" w:rsidRPr="002E4ABF" w:rsidRDefault="002E4ABF" w:rsidP="002E4ABF">
            <w:pPr>
              <w:rPr>
                <w:rFonts w:cs="Arial"/>
              </w:rPr>
            </w:pPr>
            <w:r w:rsidRPr="002E4ABF">
              <w:rPr>
                <w:rFonts w:cs="Arial"/>
                <w:b/>
                <w:bCs/>
              </w:rPr>
              <w:t>агранулоцитоза</w:t>
            </w:r>
          </w:p>
        </w:tc>
      </w:tr>
      <w:tr w:rsidR="002E4ABF" w14:paraId="696D8CE2" w14:textId="77777777" w:rsidTr="00EC0D01">
        <w:tc>
          <w:tcPr>
            <w:tcW w:w="1915" w:type="dxa"/>
          </w:tcPr>
          <w:p w14:paraId="70CCF914" w14:textId="1D9C31E0" w:rsidR="002E4ABF" w:rsidRPr="002E4ABF" w:rsidRDefault="002E4ABF" w:rsidP="002E4ABF">
            <w:pPr>
              <w:rPr>
                <w:rFonts w:cs="Arial"/>
              </w:rPr>
            </w:pPr>
            <w:r w:rsidRPr="002E4ABF">
              <w:rPr>
                <w:rFonts w:cs="Arial"/>
              </w:rPr>
              <w:t>Нарушения на имунната система</w:t>
            </w:r>
          </w:p>
        </w:tc>
        <w:tc>
          <w:tcPr>
            <w:tcW w:w="1915" w:type="dxa"/>
          </w:tcPr>
          <w:p w14:paraId="027C608B" w14:textId="77777777" w:rsidR="002E4ABF" w:rsidRPr="002E4ABF" w:rsidRDefault="002E4ABF" w:rsidP="002E4ABF">
            <w:pPr>
              <w:rPr>
                <w:rFonts w:cs="Arial"/>
              </w:rPr>
            </w:pPr>
          </w:p>
        </w:tc>
        <w:tc>
          <w:tcPr>
            <w:tcW w:w="1915" w:type="dxa"/>
          </w:tcPr>
          <w:p w14:paraId="789053BD" w14:textId="77777777" w:rsidR="002E4ABF" w:rsidRPr="002E4ABF" w:rsidRDefault="002E4ABF" w:rsidP="002E4ABF">
            <w:pPr>
              <w:rPr>
                <w:rFonts w:cs="Arial"/>
              </w:rPr>
            </w:pPr>
          </w:p>
        </w:tc>
        <w:tc>
          <w:tcPr>
            <w:tcW w:w="1915" w:type="dxa"/>
          </w:tcPr>
          <w:p w14:paraId="53E9700C" w14:textId="77777777" w:rsidR="002E4ABF" w:rsidRPr="002E4ABF" w:rsidRDefault="002E4ABF" w:rsidP="002E4ABF">
            <w:pPr>
              <w:rPr>
                <w:rFonts w:cs="Arial"/>
              </w:rPr>
            </w:pPr>
          </w:p>
        </w:tc>
        <w:tc>
          <w:tcPr>
            <w:tcW w:w="1916" w:type="dxa"/>
            <w:vAlign w:val="bottom"/>
          </w:tcPr>
          <w:p w14:paraId="0C320F15" w14:textId="77777777" w:rsidR="002E4ABF" w:rsidRPr="002E4ABF" w:rsidRDefault="002E4ABF" w:rsidP="002E4ABF">
            <w:pPr>
              <w:rPr>
                <w:rFonts w:cs="Arial"/>
              </w:rPr>
            </w:pPr>
            <w:r w:rsidRPr="002E4ABF">
              <w:rPr>
                <w:rFonts w:cs="Arial"/>
              </w:rPr>
              <w:t>Лекарствена реакция</w:t>
            </w:r>
            <w:r w:rsidRPr="002E4ABF">
              <w:rPr>
                <w:rFonts w:cs="Arial"/>
              </w:rPr>
              <w:tab/>
              <w:t>с</w:t>
            </w:r>
          </w:p>
          <w:p w14:paraId="77794EA6" w14:textId="77777777" w:rsidR="002E4ABF" w:rsidRPr="002E4ABF" w:rsidRDefault="002E4ABF" w:rsidP="002E4ABF">
            <w:pPr>
              <w:rPr>
                <w:rFonts w:cs="Arial"/>
              </w:rPr>
            </w:pPr>
            <w:r w:rsidRPr="002E4ABF">
              <w:rPr>
                <w:rFonts w:cs="Arial"/>
              </w:rPr>
              <w:t>еозинофилия и</w:t>
            </w:r>
          </w:p>
          <w:p w14:paraId="03CB3516" w14:textId="77777777" w:rsidR="002E4ABF" w:rsidRPr="002E4ABF" w:rsidRDefault="002E4ABF" w:rsidP="002E4ABF">
            <w:pPr>
              <w:rPr>
                <w:rFonts w:cs="Arial"/>
              </w:rPr>
            </w:pPr>
            <w:r w:rsidRPr="002E4ABF">
              <w:rPr>
                <w:rFonts w:cs="Arial"/>
              </w:rPr>
              <w:t>системни симптоми</w:t>
            </w:r>
          </w:p>
          <w:p w14:paraId="3D7C6CFA" w14:textId="25C04D5C" w:rsidR="002E4ABF" w:rsidRPr="002E4ABF" w:rsidRDefault="002E4ABF" w:rsidP="002E4ABF">
            <w:pPr>
              <w:rPr>
                <w:rFonts w:cs="Arial"/>
              </w:rPr>
            </w:pPr>
            <w:r w:rsidRPr="002E4ABF">
              <w:rPr>
                <w:rFonts w:cs="Arial"/>
                <w:lang w:val="en-US"/>
              </w:rPr>
              <w:t>(DRESS)</w:t>
            </w:r>
          </w:p>
        </w:tc>
      </w:tr>
      <w:tr w:rsidR="002E4ABF" w14:paraId="2ADA5537" w14:textId="77777777" w:rsidTr="00EC0D01">
        <w:tc>
          <w:tcPr>
            <w:tcW w:w="1915" w:type="dxa"/>
          </w:tcPr>
          <w:p w14:paraId="2AC2A0AE" w14:textId="5D647705" w:rsidR="002E4ABF" w:rsidRPr="002E4ABF" w:rsidRDefault="002E4ABF" w:rsidP="002E4ABF">
            <w:pPr>
              <w:rPr>
                <w:rFonts w:cs="Arial"/>
              </w:rPr>
            </w:pPr>
            <w:r w:rsidRPr="002E4ABF">
              <w:rPr>
                <w:rFonts w:cs="Arial"/>
              </w:rPr>
              <w:t>Нарушения на метаболизма и храненето</w:t>
            </w:r>
          </w:p>
        </w:tc>
        <w:tc>
          <w:tcPr>
            <w:tcW w:w="1915" w:type="dxa"/>
          </w:tcPr>
          <w:p w14:paraId="079B003E" w14:textId="77777777" w:rsidR="002E4ABF" w:rsidRPr="002E4ABF" w:rsidRDefault="002E4ABF" w:rsidP="002E4ABF">
            <w:pPr>
              <w:rPr>
                <w:rFonts w:cs="Arial"/>
              </w:rPr>
            </w:pPr>
          </w:p>
        </w:tc>
        <w:tc>
          <w:tcPr>
            <w:tcW w:w="1915" w:type="dxa"/>
          </w:tcPr>
          <w:p w14:paraId="6064F382" w14:textId="7236E849" w:rsidR="002E4ABF" w:rsidRPr="002E4ABF" w:rsidRDefault="002E4ABF" w:rsidP="002E4ABF">
            <w:pPr>
              <w:rPr>
                <w:rFonts w:cs="Arial"/>
              </w:rPr>
            </w:pPr>
            <w:r w:rsidRPr="002E4ABF">
              <w:rPr>
                <w:rFonts w:cs="Arial"/>
              </w:rPr>
              <w:t>анорексия</w:t>
            </w:r>
          </w:p>
        </w:tc>
        <w:tc>
          <w:tcPr>
            <w:tcW w:w="1915" w:type="dxa"/>
            <w:vAlign w:val="bottom"/>
          </w:tcPr>
          <w:p w14:paraId="3F7A20D2" w14:textId="77777777" w:rsidR="002E4ABF" w:rsidRPr="002E4ABF" w:rsidRDefault="002E4ABF" w:rsidP="002E4ABF">
            <w:pPr>
              <w:rPr>
                <w:rFonts w:cs="Arial"/>
              </w:rPr>
            </w:pPr>
            <w:r w:rsidRPr="002E4ABF">
              <w:rPr>
                <w:rFonts w:cs="Arial"/>
              </w:rPr>
              <w:t>намаляване</w:t>
            </w:r>
            <w:r w:rsidRPr="002E4ABF">
              <w:rPr>
                <w:rFonts w:cs="Arial"/>
              </w:rPr>
              <w:tab/>
              <w:t>на</w:t>
            </w:r>
          </w:p>
          <w:p w14:paraId="4B49EC22" w14:textId="77777777" w:rsidR="002E4ABF" w:rsidRPr="002E4ABF" w:rsidRDefault="002E4ABF" w:rsidP="002E4ABF">
            <w:pPr>
              <w:rPr>
                <w:rFonts w:cs="Arial"/>
              </w:rPr>
            </w:pPr>
            <w:r w:rsidRPr="002E4ABF">
              <w:rPr>
                <w:rFonts w:cs="Arial"/>
              </w:rPr>
              <w:t>теглото, повишаване</w:t>
            </w:r>
            <w:r w:rsidRPr="002E4ABF">
              <w:rPr>
                <w:rFonts w:cs="Arial"/>
              </w:rPr>
              <w:tab/>
              <w:t>на</w:t>
            </w:r>
          </w:p>
          <w:p w14:paraId="1BDEA9C8" w14:textId="6DF4B801" w:rsidR="002E4ABF" w:rsidRPr="002E4ABF" w:rsidRDefault="002E4ABF" w:rsidP="002E4ABF">
            <w:pPr>
              <w:rPr>
                <w:rFonts w:cs="Arial"/>
              </w:rPr>
            </w:pPr>
            <w:r w:rsidRPr="002E4ABF">
              <w:rPr>
                <w:rFonts w:cs="Arial"/>
              </w:rPr>
              <w:t>теглото</w:t>
            </w:r>
          </w:p>
        </w:tc>
        <w:tc>
          <w:tcPr>
            <w:tcW w:w="1916" w:type="dxa"/>
          </w:tcPr>
          <w:p w14:paraId="4824122E" w14:textId="6043EE87" w:rsidR="002E4ABF" w:rsidRPr="002E4ABF" w:rsidRDefault="002E4ABF" w:rsidP="002E4ABF">
            <w:pPr>
              <w:rPr>
                <w:rFonts w:cs="Arial"/>
              </w:rPr>
            </w:pPr>
            <w:r w:rsidRPr="002E4ABF">
              <w:rPr>
                <w:rFonts w:cs="Arial"/>
              </w:rPr>
              <w:t>хипонатриемия</w:t>
            </w:r>
          </w:p>
        </w:tc>
      </w:tr>
      <w:tr w:rsidR="002E4ABF" w14:paraId="040A881F" w14:textId="77777777" w:rsidTr="00EC0D01">
        <w:tc>
          <w:tcPr>
            <w:tcW w:w="1915" w:type="dxa"/>
          </w:tcPr>
          <w:p w14:paraId="1503E50B" w14:textId="2922AE1A" w:rsidR="002E4ABF" w:rsidRPr="002E4ABF" w:rsidRDefault="002E4ABF" w:rsidP="002E4ABF">
            <w:pPr>
              <w:rPr>
                <w:rFonts w:cs="Arial"/>
              </w:rPr>
            </w:pPr>
            <w:r w:rsidRPr="002E4ABF">
              <w:rPr>
                <w:rFonts w:cs="Arial"/>
              </w:rPr>
              <w:t>Психични нарушения</w:t>
            </w:r>
          </w:p>
        </w:tc>
        <w:tc>
          <w:tcPr>
            <w:tcW w:w="1915" w:type="dxa"/>
          </w:tcPr>
          <w:p w14:paraId="5176841A" w14:textId="77777777" w:rsidR="002E4ABF" w:rsidRPr="002E4ABF" w:rsidRDefault="002E4ABF" w:rsidP="002E4ABF">
            <w:pPr>
              <w:rPr>
                <w:rFonts w:cs="Arial"/>
              </w:rPr>
            </w:pPr>
          </w:p>
        </w:tc>
        <w:tc>
          <w:tcPr>
            <w:tcW w:w="1915" w:type="dxa"/>
          </w:tcPr>
          <w:p w14:paraId="4AB6C09F" w14:textId="327DD4FE" w:rsidR="002E4ABF" w:rsidRPr="002E4ABF" w:rsidRDefault="002E4ABF" w:rsidP="002E4ABF">
            <w:pPr>
              <w:rPr>
                <w:rFonts w:cs="Arial"/>
              </w:rPr>
            </w:pPr>
            <w:r w:rsidRPr="002E4ABF">
              <w:rPr>
                <w:rFonts w:cs="Arial"/>
              </w:rPr>
              <w:t>депресия, враждебност/ агресивност, безпокойство, безсъние, нервност/ раздразнител ност</w:t>
            </w:r>
          </w:p>
        </w:tc>
        <w:tc>
          <w:tcPr>
            <w:tcW w:w="1915" w:type="dxa"/>
            <w:vAlign w:val="bottom"/>
          </w:tcPr>
          <w:p w14:paraId="2060DAEF" w14:textId="77777777" w:rsidR="002E4ABF" w:rsidRPr="002E4ABF" w:rsidRDefault="002E4ABF" w:rsidP="002E4ABF">
            <w:pPr>
              <w:rPr>
                <w:rFonts w:cs="Arial"/>
              </w:rPr>
            </w:pPr>
            <w:r w:rsidRPr="002E4ABF">
              <w:rPr>
                <w:rFonts w:cs="Arial"/>
              </w:rPr>
              <w:t>опит</w:t>
            </w:r>
            <w:r w:rsidRPr="002E4ABF">
              <w:rPr>
                <w:rFonts w:cs="Arial"/>
              </w:rPr>
              <w:tab/>
              <w:t>за</w:t>
            </w:r>
          </w:p>
          <w:p w14:paraId="3EBBC151" w14:textId="77777777" w:rsidR="002E4ABF" w:rsidRPr="002E4ABF" w:rsidRDefault="002E4ABF" w:rsidP="002E4ABF">
            <w:pPr>
              <w:rPr>
                <w:rFonts w:cs="Arial"/>
              </w:rPr>
            </w:pPr>
            <w:r w:rsidRPr="002E4ABF">
              <w:rPr>
                <w:rFonts w:cs="Arial"/>
              </w:rPr>
              <w:t>самоубийство, суицидна</w:t>
            </w:r>
            <w:r w:rsidRPr="002E4ABF">
              <w:rPr>
                <w:rFonts w:cs="Arial"/>
              </w:rPr>
              <w:tab/>
              <w:t>идеация,</w:t>
            </w:r>
          </w:p>
          <w:p w14:paraId="43F406A2" w14:textId="77777777" w:rsidR="002E4ABF" w:rsidRPr="002E4ABF" w:rsidRDefault="002E4ABF" w:rsidP="002E4ABF">
            <w:pPr>
              <w:rPr>
                <w:rFonts w:cs="Arial"/>
              </w:rPr>
            </w:pPr>
            <w:r w:rsidRPr="002E4ABF">
              <w:rPr>
                <w:rFonts w:cs="Arial"/>
              </w:rPr>
              <w:t>психотично разстройство, необичайно поведение, халюцинации, гняв, състояние</w:t>
            </w:r>
            <w:r w:rsidRPr="002E4ABF">
              <w:rPr>
                <w:rFonts w:cs="Arial"/>
              </w:rPr>
              <w:tab/>
              <w:t>на</w:t>
            </w:r>
          </w:p>
          <w:p w14:paraId="6008722B" w14:textId="03AF5643" w:rsidR="002E4ABF" w:rsidRPr="002E4ABF" w:rsidRDefault="002E4ABF" w:rsidP="002E4ABF">
            <w:pPr>
              <w:rPr>
                <w:rFonts w:cs="Arial"/>
              </w:rPr>
            </w:pPr>
            <w:r w:rsidRPr="002E4ABF">
              <w:rPr>
                <w:rFonts w:cs="Arial"/>
              </w:rPr>
              <w:t>объркване, паническа атака, емоционална нестабил ност/ п ромен и в настроението, тревожност</w:t>
            </w:r>
          </w:p>
        </w:tc>
        <w:tc>
          <w:tcPr>
            <w:tcW w:w="1916" w:type="dxa"/>
          </w:tcPr>
          <w:p w14:paraId="788D00E8" w14:textId="77777777" w:rsidR="002E4ABF" w:rsidRPr="002E4ABF" w:rsidRDefault="002E4ABF" w:rsidP="002E4ABF">
            <w:pPr>
              <w:rPr>
                <w:rFonts w:cs="Arial"/>
              </w:rPr>
            </w:pPr>
            <w:r w:rsidRPr="002E4ABF">
              <w:rPr>
                <w:rFonts w:cs="Arial"/>
              </w:rPr>
              <w:t>извършено самоубийство, личностни</w:t>
            </w:r>
          </w:p>
          <w:p w14:paraId="5468C9CD" w14:textId="77777777" w:rsidR="002E4ABF" w:rsidRPr="002E4ABF" w:rsidRDefault="002E4ABF" w:rsidP="002E4ABF">
            <w:pPr>
              <w:rPr>
                <w:rFonts w:cs="Arial"/>
              </w:rPr>
            </w:pPr>
            <w:r w:rsidRPr="002E4ABF">
              <w:rPr>
                <w:rFonts w:cs="Arial"/>
              </w:rPr>
              <w:t>нарушения, абнормно</w:t>
            </w:r>
          </w:p>
          <w:p w14:paraId="3F10D6BB" w14:textId="5312B1B0" w:rsidR="002E4ABF" w:rsidRPr="002E4ABF" w:rsidRDefault="002E4ABF" w:rsidP="002E4ABF">
            <w:pPr>
              <w:rPr>
                <w:rFonts w:cs="Arial"/>
              </w:rPr>
            </w:pPr>
            <w:r w:rsidRPr="002E4ABF">
              <w:rPr>
                <w:rFonts w:cs="Arial"/>
              </w:rPr>
              <w:t>мислене</w:t>
            </w:r>
          </w:p>
        </w:tc>
      </w:tr>
      <w:tr w:rsidR="002E4ABF" w14:paraId="6CC4CDD5" w14:textId="77777777" w:rsidTr="00EC0D01">
        <w:tc>
          <w:tcPr>
            <w:tcW w:w="1915" w:type="dxa"/>
          </w:tcPr>
          <w:p w14:paraId="2314CBFB" w14:textId="0F377C37" w:rsidR="002E4ABF" w:rsidRPr="002E4ABF" w:rsidRDefault="002E4ABF" w:rsidP="002E4ABF">
            <w:pPr>
              <w:rPr>
                <w:rFonts w:cs="Arial"/>
              </w:rPr>
            </w:pPr>
            <w:r w:rsidRPr="002E4ABF">
              <w:rPr>
                <w:rFonts w:cs="Arial"/>
              </w:rPr>
              <w:t>Нарушения на нервната система</w:t>
            </w:r>
          </w:p>
        </w:tc>
        <w:tc>
          <w:tcPr>
            <w:tcW w:w="1915" w:type="dxa"/>
          </w:tcPr>
          <w:p w14:paraId="6FE210EE" w14:textId="5EA50433" w:rsidR="002E4ABF" w:rsidRPr="002E4ABF" w:rsidRDefault="002E4ABF" w:rsidP="002E4ABF">
            <w:pPr>
              <w:rPr>
                <w:rFonts w:cs="Arial"/>
              </w:rPr>
            </w:pPr>
            <w:r w:rsidRPr="002E4ABF">
              <w:rPr>
                <w:rFonts w:cs="Arial"/>
              </w:rPr>
              <w:t>Сомнолентност , главоболие</w:t>
            </w:r>
          </w:p>
        </w:tc>
        <w:tc>
          <w:tcPr>
            <w:tcW w:w="1915" w:type="dxa"/>
          </w:tcPr>
          <w:p w14:paraId="4EB075DE" w14:textId="7B9EF788" w:rsidR="002E4ABF" w:rsidRPr="002E4ABF" w:rsidRDefault="002E4ABF" w:rsidP="002E4ABF">
            <w:pPr>
              <w:rPr>
                <w:rFonts w:cs="Arial"/>
              </w:rPr>
            </w:pPr>
            <w:r w:rsidRPr="002E4ABF">
              <w:rPr>
                <w:rFonts w:cs="Arial"/>
              </w:rPr>
              <w:t>конвулсии, нарушение на равновесието, замаяност, летаргия, тремор</w:t>
            </w:r>
          </w:p>
        </w:tc>
        <w:tc>
          <w:tcPr>
            <w:tcW w:w="1915" w:type="dxa"/>
            <w:vAlign w:val="bottom"/>
          </w:tcPr>
          <w:p w14:paraId="1C8B28E6" w14:textId="77777777" w:rsidR="002E4ABF" w:rsidRPr="002E4ABF" w:rsidRDefault="002E4ABF" w:rsidP="002E4ABF">
            <w:pPr>
              <w:rPr>
                <w:rFonts w:cs="Arial"/>
              </w:rPr>
            </w:pPr>
            <w:r w:rsidRPr="002E4ABF">
              <w:rPr>
                <w:rFonts w:cs="Arial"/>
              </w:rPr>
              <w:t>амнезия, нарушение на</w:t>
            </w:r>
            <w:r w:rsidRPr="002E4ABF">
              <w:rPr>
                <w:rFonts w:cs="Arial"/>
              </w:rPr>
              <w:tab/>
              <w:t>паметта,</w:t>
            </w:r>
          </w:p>
          <w:p w14:paraId="21ACC936" w14:textId="77777777" w:rsidR="002E4ABF" w:rsidRPr="002E4ABF" w:rsidRDefault="002E4ABF" w:rsidP="002E4ABF">
            <w:pPr>
              <w:rPr>
                <w:rFonts w:cs="Arial"/>
              </w:rPr>
            </w:pPr>
            <w:r w:rsidRPr="002E4ABF">
              <w:rPr>
                <w:rFonts w:cs="Arial"/>
              </w:rPr>
              <w:t>нарушена координация/ атаксия, парестезия, нарушение</w:t>
            </w:r>
            <w:r w:rsidRPr="002E4ABF">
              <w:rPr>
                <w:rFonts w:cs="Arial"/>
              </w:rPr>
              <w:tab/>
              <w:t>на</w:t>
            </w:r>
          </w:p>
          <w:p w14:paraId="62A6A5C8" w14:textId="7CAFE54B" w:rsidR="002E4ABF" w:rsidRPr="002E4ABF" w:rsidRDefault="002E4ABF" w:rsidP="002E4ABF">
            <w:pPr>
              <w:rPr>
                <w:rFonts w:cs="Arial"/>
              </w:rPr>
            </w:pPr>
            <w:r w:rsidRPr="002E4ABF">
              <w:rPr>
                <w:rFonts w:cs="Arial"/>
              </w:rPr>
              <w:t>вниманието</w:t>
            </w:r>
          </w:p>
        </w:tc>
        <w:tc>
          <w:tcPr>
            <w:tcW w:w="1916" w:type="dxa"/>
          </w:tcPr>
          <w:p w14:paraId="2E32C538" w14:textId="02FC75CC" w:rsidR="002E4ABF" w:rsidRPr="002E4ABF" w:rsidRDefault="002E4ABF" w:rsidP="002E4ABF">
            <w:pPr>
              <w:rPr>
                <w:rFonts w:cs="Arial"/>
              </w:rPr>
            </w:pPr>
            <w:r w:rsidRPr="002E4ABF">
              <w:rPr>
                <w:rFonts w:cs="Arial"/>
              </w:rPr>
              <w:t>хореоатетоза, дискинезия, хиперкинезия</w:t>
            </w:r>
          </w:p>
        </w:tc>
      </w:tr>
      <w:tr w:rsidR="002E4ABF" w14:paraId="2359D0EE" w14:textId="77777777" w:rsidTr="00EC0D01">
        <w:tc>
          <w:tcPr>
            <w:tcW w:w="1915" w:type="dxa"/>
            <w:vAlign w:val="bottom"/>
          </w:tcPr>
          <w:p w14:paraId="55195213" w14:textId="2A3FB6DA" w:rsidR="002E4ABF" w:rsidRPr="002E4ABF" w:rsidRDefault="002E4ABF" w:rsidP="002E4ABF">
            <w:pPr>
              <w:rPr>
                <w:rFonts w:cs="Arial"/>
              </w:rPr>
            </w:pPr>
            <w:r w:rsidRPr="002E4ABF">
              <w:rPr>
                <w:rFonts w:cs="Arial"/>
              </w:rPr>
              <w:lastRenderedPageBreak/>
              <w:t>Нарушения на очите</w:t>
            </w:r>
          </w:p>
        </w:tc>
        <w:tc>
          <w:tcPr>
            <w:tcW w:w="1915" w:type="dxa"/>
          </w:tcPr>
          <w:p w14:paraId="476E79BE" w14:textId="77777777" w:rsidR="002E4ABF" w:rsidRPr="002E4ABF" w:rsidRDefault="002E4ABF" w:rsidP="002E4ABF">
            <w:pPr>
              <w:rPr>
                <w:rFonts w:cs="Arial"/>
              </w:rPr>
            </w:pPr>
          </w:p>
        </w:tc>
        <w:tc>
          <w:tcPr>
            <w:tcW w:w="1915" w:type="dxa"/>
          </w:tcPr>
          <w:p w14:paraId="74415BDE" w14:textId="77777777" w:rsidR="002E4ABF" w:rsidRPr="002E4ABF" w:rsidRDefault="002E4ABF" w:rsidP="002E4ABF">
            <w:pPr>
              <w:rPr>
                <w:rFonts w:cs="Arial"/>
              </w:rPr>
            </w:pPr>
          </w:p>
        </w:tc>
        <w:tc>
          <w:tcPr>
            <w:tcW w:w="1915" w:type="dxa"/>
            <w:vAlign w:val="bottom"/>
          </w:tcPr>
          <w:p w14:paraId="0A6E386E" w14:textId="69569553" w:rsidR="002E4ABF" w:rsidRPr="002E4ABF" w:rsidRDefault="002E4ABF" w:rsidP="002E4ABF">
            <w:pPr>
              <w:rPr>
                <w:rFonts w:cs="Arial"/>
              </w:rPr>
            </w:pPr>
            <w:r w:rsidRPr="002E4ABF">
              <w:rPr>
                <w:rFonts w:cs="Arial"/>
              </w:rPr>
              <w:t>диплопия, замъглено зрение</w:t>
            </w:r>
          </w:p>
        </w:tc>
        <w:tc>
          <w:tcPr>
            <w:tcW w:w="1916" w:type="dxa"/>
          </w:tcPr>
          <w:p w14:paraId="41779347" w14:textId="77777777" w:rsidR="002E4ABF" w:rsidRPr="002E4ABF" w:rsidRDefault="002E4ABF" w:rsidP="002E4ABF">
            <w:pPr>
              <w:rPr>
                <w:rFonts w:cs="Arial"/>
              </w:rPr>
            </w:pPr>
          </w:p>
        </w:tc>
      </w:tr>
      <w:tr w:rsidR="002E4ABF" w14:paraId="17369385" w14:textId="77777777" w:rsidTr="00EC0D01">
        <w:tc>
          <w:tcPr>
            <w:tcW w:w="1915" w:type="dxa"/>
            <w:vAlign w:val="bottom"/>
          </w:tcPr>
          <w:p w14:paraId="39AB709D" w14:textId="77777777" w:rsidR="002E4ABF" w:rsidRPr="002E4ABF" w:rsidRDefault="002E4ABF" w:rsidP="002E4ABF">
            <w:pPr>
              <w:rPr>
                <w:rFonts w:cs="Arial"/>
              </w:rPr>
            </w:pPr>
            <w:r w:rsidRPr="002E4ABF">
              <w:rPr>
                <w:rFonts w:cs="Arial"/>
              </w:rPr>
              <w:t>Нарушения</w:t>
            </w:r>
            <w:r w:rsidRPr="002E4ABF">
              <w:rPr>
                <w:rFonts w:cs="Arial"/>
              </w:rPr>
              <w:tab/>
              <w:t>на</w:t>
            </w:r>
          </w:p>
          <w:p w14:paraId="47B0EE89" w14:textId="010BFA40" w:rsidR="002E4ABF" w:rsidRPr="002E4ABF" w:rsidRDefault="002E4ABF" w:rsidP="002E4ABF">
            <w:pPr>
              <w:rPr>
                <w:rFonts w:cs="Arial"/>
              </w:rPr>
            </w:pPr>
            <w:r w:rsidRPr="002E4ABF">
              <w:rPr>
                <w:rFonts w:cs="Arial"/>
              </w:rPr>
              <w:t>ухото и лабиринта</w:t>
            </w:r>
          </w:p>
        </w:tc>
        <w:tc>
          <w:tcPr>
            <w:tcW w:w="1915" w:type="dxa"/>
          </w:tcPr>
          <w:p w14:paraId="69BBE0D3" w14:textId="77777777" w:rsidR="002E4ABF" w:rsidRPr="002E4ABF" w:rsidRDefault="002E4ABF" w:rsidP="002E4ABF">
            <w:pPr>
              <w:rPr>
                <w:rFonts w:cs="Arial"/>
              </w:rPr>
            </w:pPr>
          </w:p>
        </w:tc>
        <w:tc>
          <w:tcPr>
            <w:tcW w:w="1915" w:type="dxa"/>
          </w:tcPr>
          <w:p w14:paraId="67ACDD6F" w14:textId="438C1A1A" w:rsidR="002E4ABF" w:rsidRPr="002E4ABF" w:rsidRDefault="002E4ABF" w:rsidP="002E4ABF">
            <w:pPr>
              <w:rPr>
                <w:rFonts w:cs="Arial"/>
              </w:rPr>
            </w:pPr>
            <w:r w:rsidRPr="002E4ABF">
              <w:rPr>
                <w:rFonts w:cs="Arial"/>
              </w:rPr>
              <w:t>вертиго</w:t>
            </w:r>
          </w:p>
        </w:tc>
        <w:tc>
          <w:tcPr>
            <w:tcW w:w="1915" w:type="dxa"/>
          </w:tcPr>
          <w:p w14:paraId="6DB7E2E8" w14:textId="77777777" w:rsidR="002E4ABF" w:rsidRPr="002E4ABF" w:rsidRDefault="002E4ABF" w:rsidP="002E4ABF">
            <w:pPr>
              <w:rPr>
                <w:rFonts w:cs="Arial"/>
              </w:rPr>
            </w:pPr>
          </w:p>
        </w:tc>
        <w:tc>
          <w:tcPr>
            <w:tcW w:w="1916" w:type="dxa"/>
          </w:tcPr>
          <w:p w14:paraId="4288DA96" w14:textId="77777777" w:rsidR="002E4ABF" w:rsidRPr="002E4ABF" w:rsidRDefault="002E4ABF" w:rsidP="002E4ABF">
            <w:pPr>
              <w:rPr>
                <w:rFonts w:cs="Arial"/>
              </w:rPr>
            </w:pPr>
          </w:p>
        </w:tc>
      </w:tr>
      <w:tr w:rsidR="002E4ABF" w14:paraId="61B851E1" w14:textId="77777777" w:rsidTr="00EC0D01">
        <w:tc>
          <w:tcPr>
            <w:tcW w:w="1915" w:type="dxa"/>
            <w:vAlign w:val="bottom"/>
          </w:tcPr>
          <w:p w14:paraId="23C625CB" w14:textId="70D241C4" w:rsidR="002E4ABF" w:rsidRPr="002E4ABF" w:rsidRDefault="002E4ABF" w:rsidP="002E4ABF">
            <w:pPr>
              <w:rPr>
                <w:rFonts w:cs="Arial"/>
              </w:rPr>
            </w:pPr>
            <w:r w:rsidRPr="002E4ABF">
              <w:rPr>
                <w:rFonts w:cs="Arial"/>
              </w:rPr>
              <w:t>Респираторни, гръдни и медиастинални нарушения</w:t>
            </w:r>
          </w:p>
        </w:tc>
        <w:tc>
          <w:tcPr>
            <w:tcW w:w="1915" w:type="dxa"/>
          </w:tcPr>
          <w:p w14:paraId="03A4935F" w14:textId="77777777" w:rsidR="002E4ABF" w:rsidRPr="002E4ABF" w:rsidRDefault="002E4ABF" w:rsidP="002E4ABF">
            <w:pPr>
              <w:rPr>
                <w:rFonts w:cs="Arial"/>
              </w:rPr>
            </w:pPr>
          </w:p>
        </w:tc>
        <w:tc>
          <w:tcPr>
            <w:tcW w:w="1915" w:type="dxa"/>
          </w:tcPr>
          <w:p w14:paraId="5BB666F2" w14:textId="4D31FE34" w:rsidR="002E4ABF" w:rsidRPr="002E4ABF" w:rsidRDefault="002E4ABF" w:rsidP="002E4ABF">
            <w:pPr>
              <w:rPr>
                <w:rFonts w:cs="Arial"/>
              </w:rPr>
            </w:pPr>
            <w:r w:rsidRPr="002E4ABF">
              <w:rPr>
                <w:rFonts w:cs="Arial"/>
              </w:rPr>
              <w:t>кашлица</w:t>
            </w:r>
          </w:p>
        </w:tc>
        <w:tc>
          <w:tcPr>
            <w:tcW w:w="1915" w:type="dxa"/>
          </w:tcPr>
          <w:p w14:paraId="7F983E08" w14:textId="77777777" w:rsidR="002E4ABF" w:rsidRPr="002E4ABF" w:rsidRDefault="002E4ABF" w:rsidP="002E4ABF">
            <w:pPr>
              <w:rPr>
                <w:rFonts w:cs="Arial"/>
              </w:rPr>
            </w:pPr>
          </w:p>
        </w:tc>
        <w:tc>
          <w:tcPr>
            <w:tcW w:w="1916" w:type="dxa"/>
          </w:tcPr>
          <w:p w14:paraId="0E90BD3C" w14:textId="77777777" w:rsidR="002E4ABF" w:rsidRPr="002E4ABF" w:rsidRDefault="002E4ABF" w:rsidP="002E4ABF">
            <w:pPr>
              <w:rPr>
                <w:rFonts w:cs="Arial"/>
              </w:rPr>
            </w:pPr>
          </w:p>
        </w:tc>
      </w:tr>
      <w:tr w:rsidR="002E4ABF" w14:paraId="58C2F7FC" w14:textId="77777777" w:rsidTr="00EC0D01">
        <w:tc>
          <w:tcPr>
            <w:tcW w:w="1915" w:type="dxa"/>
          </w:tcPr>
          <w:p w14:paraId="772A0F95" w14:textId="11F1F06D" w:rsidR="002E4ABF" w:rsidRPr="002E4ABF" w:rsidRDefault="002E4ABF" w:rsidP="002E4ABF">
            <w:pPr>
              <w:rPr>
                <w:rFonts w:cs="Arial"/>
              </w:rPr>
            </w:pPr>
            <w:r w:rsidRPr="002E4ABF">
              <w:rPr>
                <w:rFonts w:cs="Arial"/>
              </w:rPr>
              <w:t>Стомашно-чревни нарушения</w:t>
            </w:r>
          </w:p>
        </w:tc>
        <w:tc>
          <w:tcPr>
            <w:tcW w:w="1915" w:type="dxa"/>
          </w:tcPr>
          <w:p w14:paraId="23A4C815" w14:textId="77777777" w:rsidR="002E4ABF" w:rsidRPr="002E4ABF" w:rsidRDefault="002E4ABF" w:rsidP="002E4ABF">
            <w:pPr>
              <w:rPr>
                <w:rFonts w:cs="Arial"/>
              </w:rPr>
            </w:pPr>
          </w:p>
        </w:tc>
        <w:tc>
          <w:tcPr>
            <w:tcW w:w="1915" w:type="dxa"/>
            <w:vAlign w:val="bottom"/>
          </w:tcPr>
          <w:p w14:paraId="039C9856" w14:textId="09A14FC8" w:rsidR="002E4ABF" w:rsidRPr="002E4ABF" w:rsidRDefault="002E4ABF" w:rsidP="002E4ABF">
            <w:pPr>
              <w:rPr>
                <w:rFonts w:cs="Arial"/>
              </w:rPr>
            </w:pPr>
            <w:r w:rsidRPr="002E4ABF">
              <w:rPr>
                <w:rFonts w:cs="Arial"/>
              </w:rPr>
              <w:t>болки в корема, диария, диспепсия, повръщане, гадене</w:t>
            </w:r>
          </w:p>
        </w:tc>
        <w:tc>
          <w:tcPr>
            <w:tcW w:w="1915" w:type="dxa"/>
          </w:tcPr>
          <w:p w14:paraId="298CD264" w14:textId="77777777" w:rsidR="002E4ABF" w:rsidRPr="002E4ABF" w:rsidRDefault="002E4ABF" w:rsidP="002E4ABF">
            <w:pPr>
              <w:rPr>
                <w:rFonts w:cs="Arial"/>
              </w:rPr>
            </w:pPr>
          </w:p>
        </w:tc>
        <w:tc>
          <w:tcPr>
            <w:tcW w:w="1916" w:type="dxa"/>
          </w:tcPr>
          <w:p w14:paraId="1A70142E" w14:textId="0C7E5864" w:rsidR="002E4ABF" w:rsidRPr="002E4ABF" w:rsidRDefault="002E4ABF" w:rsidP="002E4ABF">
            <w:pPr>
              <w:rPr>
                <w:rFonts w:cs="Arial"/>
              </w:rPr>
            </w:pPr>
            <w:r w:rsidRPr="002E4ABF">
              <w:rPr>
                <w:rFonts w:cs="Arial"/>
              </w:rPr>
              <w:t>панкреатит</w:t>
            </w:r>
          </w:p>
        </w:tc>
      </w:tr>
      <w:tr w:rsidR="002E4ABF" w14:paraId="1C0A6C21" w14:textId="77777777" w:rsidTr="002E4ABF">
        <w:tc>
          <w:tcPr>
            <w:tcW w:w="1915" w:type="dxa"/>
          </w:tcPr>
          <w:p w14:paraId="4AB05F21" w14:textId="6611B8A9" w:rsidR="002E4ABF" w:rsidRPr="002E4ABF" w:rsidRDefault="002E4ABF" w:rsidP="002E4ABF">
            <w:pPr>
              <w:rPr>
                <w:rFonts w:cs="Arial"/>
              </w:rPr>
            </w:pPr>
            <w:r w:rsidRPr="002E4ABF">
              <w:rPr>
                <w:rFonts w:cs="Arial"/>
              </w:rPr>
              <w:t>Хепато- билиарни нарушения</w:t>
            </w:r>
          </w:p>
        </w:tc>
        <w:tc>
          <w:tcPr>
            <w:tcW w:w="1915" w:type="dxa"/>
          </w:tcPr>
          <w:p w14:paraId="6B3E53FF" w14:textId="77777777" w:rsidR="002E4ABF" w:rsidRPr="002E4ABF" w:rsidRDefault="002E4ABF" w:rsidP="002E4ABF">
            <w:pPr>
              <w:rPr>
                <w:rFonts w:cs="Arial"/>
              </w:rPr>
            </w:pPr>
          </w:p>
        </w:tc>
        <w:tc>
          <w:tcPr>
            <w:tcW w:w="1915" w:type="dxa"/>
          </w:tcPr>
          <w:p w14:paraId="512943C3" w14:textId="77777777" w:rsidR="002E4ABF" w:rsidRPr="002E4ABF" w:rsidRDefault="002E4ABF" w:rsidP="002E4ABF">
            <w:pPr>
              <w:rPr>
                <w:rFonts w:cs="Arial"/>
              </w:rPr>
            </w:pPr>
          </w:p>
        </w:tc>
        <w:tc>
          <w:tcPr>
            <w:tcW w:w="1915" w:type="dxa"/>
          </w:tcPr>
          <w:p w14:paraId="37197FDC" w14:textId="50E61E69" w:rsidR="002E4ABF" w:rsidRPr="002E4ABF" w:rsidRDefault="002E4ABF" w:rsidP="002E4ABF">
            <w:pPr>
              <w:rPr>
                <w:rFonts w:cs="Arial"/>
              </w:rPr>
            </w:pPr>
            <w:r w:rsidRPr="002E4ABF">
              <w:rPr>
                <w:rFonts w:cs="Arial"/>
              </w:rPr>
              <w:t>абнормни резултати при функционални чернодробни тестове</w:t>
            </w:r>
          </w:p>
        </w:tc>
        <w:tc>
          <w:tcPr>
            <w:tcW w:w="1916" w:type="dxa"/>
          </w:tcPr>
          <w:p w14:paraId="684AE39A" w14:textId="27297504" w:rsidR="002E4ABF" w:rsidRPr="002E4ABF" w:rsidRDefault="002E4ABF" w:rsidP="002E4ABF">
            <w:pPr>
              <w:rPr>
                <w:rFonts w:cs="Arial"/>
              </w:rPr>
            </w:pPr>
            <w:r w:rsidRPr="002E4ABF">
              <w:rPr>
                <w:rFonts w:cs="Arial"/>
              </w:rPr>
              <w:t>чернодробна недостатъчност, хепатит</w:t>
            </w:r>
          </w:p>
        </w:tc>
      </w:tr>
      <w:tr w:rsidR="002E4ABF" w14:paraId="0118BF04" w14:textId="77777777" w:rsidTr="00EC0D01">
        <w:tc>
          <w:tcPr>
            <w:tcW w:w="1915" w:type="dxa"/>
          </w:tcPr>
          <w:p w14:paraId="56E2F804" w14:textId="7C7AF03E" w:rsidR="002E4ABF" w:rsidRPr="002E4ABF" w:rsidRDefault="002E4ABF" w:rsidP="002E4ABF">
            <w:pPr>
              <w:rPr>
                <w:rFonts w:cs="Arial"/>
              </w:rPr>
            </w:pPr>
            <w:r w:rsidRPr="002E4ABF">
              <w:rPr>
                <w:rFonts w:cs="Arial"/>
              </w:rPr>
              <w:t>Нарушения на кожата и подкожната тъкан</w:t>
            </w:r>
          </w:p>
        </w:tc>
        <w:tc>
          <w:tcPr>
            <w:tcW w:w="1915" w:type="dxa"/>
          </w:tcPr>
          <w:p w14:paraId="5C519CF9" w14:textId="77777777" w:rsidR="002E4ABF" w:rsidRPr="002E4ABF" w:rsidRDefault="002E4ABF" w:rsidP="002E4ABF">
            <w:pPr>
              <w:rPr>
                <w:rFonts w:cs="Arial"/>
              </w:rPr>
            </w:pPr>
          </w:p>
        </w:tc>
        <w:tc>
          <w:tcPr>
            <w:tcW w:w="1915" w:type="dxa"/>
          </w:tcPr>
          <w:p w14:paraId="41FFEF66" w14:textId="135F79E8" w:rsidR="002E4ABF" w:rsidRPr="002E4ABF" w:rsidRDefault="002E4ABF" w:rsidP="002E4ABF">
            <w:pPr>
              <w:rPr>
                <w:rFonts w:cs="Arial"/>
              </w:rPr>
            </w:pPr>
            <w:r w:rsidRPr="002E4ABF">
              <w:rPr>
                <w:rFonts w:cs="Arial"/>
              </w:rPr>
              <w:t>обрив</w:t>
            </w:r>
          </w:p>
        </w:tc>
        <w:tc>
          <w:tcPr>
            <w:tcW w:w="1915" w:type="dxa"/>
            <w:vAlign w:val="bottom"/>
          </w:tcPr>
          <w:p w14:paraId="128FE7F6" w14:textId="50D464AA" w:rsidR="002E4ABF" w:rsidRPr="002E4ABF" w:rsidRDefault="002E4ABF" w:rsidP="002E4ABF">
            <w:pPr>
              <w:rPr>
                <w:rFonts w:cs="Arial"/>
              </w:rPr>
            </w:pPr>
            <w:r w:rsidRPr="002E4ABF">
              <w:rPr>
                <w:rFonts w:cs="Arial"/>
              </w:rPr>
              <w:t>алопеция, екзема, пруритус</w:t>
            </w:r>
          </w:p>
        </w:tc>
        <w:tc>
          <w:tcPr>
            <w:tcW w:w="1916" w:type="dxa"/>
          </w:tcPr>
          <w:p w14:paraId="7F26AE1D" w14:textId="77777777" w:rsidR="002E4ABF" w:rsidRPr="002E4ABF" w:rsidRDefault="002E4ABF" w:rsidP="002E4ABF">
            <w:pPr>
              <w:rPr>
                <w:rFonts w:cs="Arial"/>
              </w:rPr>
            </w:pPr>
            <w:r w:rsidRPr="002E4ABF">
              <w:rPr>
                <w:rFonts w:cs="Arial"/>
              </w:rPr>
              <w:t>токсична епидермална некро</w:t>
            </w:r>
            <w:r w:rsidRPr="002E4ABF">
              <w:rPr>
                <w:rFonts w:cs="Arial"/>
                <w:u w:val="single"/>
              </w:rPr>
              <w:t>лиза</w:t>
            </w:r>
          </w:p>
          <w:p w14:paraId="09F27F02" w14:textId="77777777" w:rsidR="002E4ABF" w:rsidRPr="002E4ABF" w:rsidRDefault="002E4ABF" w:rsidP="002E4ABF">
            <w:pPr>
              <w:rPr>
                <w:rFonts w:cs="Arial"/>
              </w:rPr>
            </w:pPr>
            <w:r w:rsidRPr="002E4ABF">
              <w:rPr>
                <w:rFonts w:cs="Arial"/>
                <w:u w:val="single"/>
              </w:rPr>
              <w:t>синдром на</w:t>
            </w:r>
          </w:p>
          <w:p w14:paraId="36FF1591" w14:textId="77777777" w:rsidR="002E4ABF" w:rsidRPr="002E4ABF" w:rsidRDefault="002E4ABF" w:rsidP="002E4ABF">
            <w:pPr>
              <w:rPr>
                <w:rFonts w:cs="Arial"/>
              </w:rPr>
            </w:pPr>
            <w:r w:rsidRPr="002E4ABF">
              <w:rPr>
                <w:rFonts w:cs="Arial"/>
                <w:lang w:val="en-US"/>
              </w:rPr>
              <w:t>S</w:t>
            </w:r>
            <w:r w:rsidRPr="002E4ABF">
              <w:rPr>
                <w:rFonts w:cs="Arial"/>
              </w:rPr>
              <w:t>teven-</w:t>
            </w:r>
            <w:r w:rsidRPr="002E4ABF">
              <w:rPr>
                <w:rFonts w:cs="Arial"/>
                <w:lang w:val="en-US"/>
              </w:rPr>
              <w:t>J</w:t>
            </w:r>
            <w:r w:rsidRPr="002E4ABF">
              <w:rPr>
                <w:rFonts w:cs="Arial"/>
              </w:rPr>
              <w:t>ohnson</w:t>
            </w:r>
          </w:p>
          <w:p w14:paraId="72EB2B19" w14:textId="77777777" w:rsidR="002E4ABF" w:rsidRPr="002E4ABF" w:rsidRDefault="002E4ABF" w:rsidP="002E4ABF">
            <w:pPr>
              <w:rPr>
                <w:rFonts w:cs="Arial"/>
              </w:rPr>
            </w:pPr>
            <w:r w:rsidRPr="002E4ABF">
              <w:rPr>
                <w:rFonts w:cs="Arial"/>
              </w:rPr>
              <w:t>еритема</w:t>
            </w:r>
          </w:p>
          <w:p w14:paraId="35C27BEB" w14:textId="42E14C9A" w:rsidR="002E4ABF" w:rsidRPr="002E4ABF" w:rsidRDefault="002E4ABF" w:rsidP="002E4ABF">
            <w:pPr>
              <w:rPr>
                <w:rFonts w:cs="Arial"/>
              </w:rPr>
            </w:pPr>
            <w:r w:rsidRPr="002E4ABF">
              <w:rPr>
                <w:rFonts w:cs="Arial"/>
              </w:rPr>
              <w:t>мултиформе</w:t>
            </w:r>
          </w:p>
        </w:tc>
      </w:tr>
      <w:tr w:rsidR="002E4ABF" w14:paraId="507211FA" w14:textId="77777777" w:rsidTr="002E4ABF">
        <w:tc>
          <w:tcPr>
            <w:tcW w:w="1915" w:type="dxa"/>
          </w:tcPr>
          <w:p w14:paraId="2D64AB5C" w14:textId="55FF3FAA" w:rsidR="002E4ABF" w:rsidRPr="002E4ABF" w:rsidRDefault="002E4ABF" w:rsidP="002E4ABF">
            <w:pPr>
              <w:rPr>
                <w:rFonts w:cs="Arial"/>
              </w:rPr>
            </w:pPr>
            <w:r w:rsidRPr="002E4ABF">
              <w:rPr>
                <w:rFonts w:cs="Arial"/>
              </w:rPr>
              <w:t>Нарушения на мускулно- скелетната система и съединителната тъкан</w:t>
            </w:r>
          </w:p>
        </w:tc>
        <w:tc>
          <w:tcPr>
            <w:tcW w:w="1915" w:type="dxa"/>
          </w:tcPr>
          <w:p w14:paraId="0A0EB707" w14:textId="77777777" w:rsidR="002E4ABF" w:rsidRPr="002E4ABF" w:rsidRDefault="002E4ABF" w:rsidP="002E4ABF">
            <w:pPr>
              <w:rPr>
                <w:rFonts w:cs="Arial"/>
              </w:rPr>
            </w:pPr>
          </w:p>
        </w:tc>
        <w:tc>
          <w:tcPr>
            <w:tcW w:w="1915" w:type="dxa"/>
          </w:tcPr>
          <w:p w14:paraId="719034E9" w14:textId="77777777" w:rsidR="002E4ABF" w:rsidRPr="002E4ABF" w:rsidRDefault="002E4ABF" w:rsidP="002E4ABF">
            <w:pPr>
              <w:rPr>
                <w:rFonts w:cs="Arial"/>
              </w:rPr>
            </w:pPr>
          </w:p>
        </w:tc>
        <w:tc>
          <w:tcPr>
            <w:tcW w:w="1915" w:type="dxa"/>
          </w:tcPr>
          <w:p w14:paraId="444ABB07" w14:textId="3C3A4F79" w:rsidR="002E4ABF" w:rsidRPr="002E4ABF" w:rsidRDefault="002E4ABF" w:rsidP="002E4ABF">
            <w:pPr>
              <w:rPr>
                <w:rFonts w:cs="Arial"/>
              </w:rPr>
            </w:pPr>
            <w:r w:rsidRPr="002E4ABF">
              <w:rPr>
                <w:rFonts w:cs="Arial"/>
              </w:rPr>
              <w:t>мускулна слабост, миалгия</w:t>
            </w:r>
          </w:p>
        </w:tc>
        <w:tc>
          <w:tcPr>
            <w:tcW w:w="1916" w:type="dxa"/>
          </w:tcPr>
          <w:p w14:paraId="01F5DED4" w14:textId="77777777" w:rsidR="002E4ABF" w:rsidRPr="002E4ABF" w:rsidRDefault="002E4ABF" w:rsidP="002E4ABF">
            <w:pPr>
              <w:rPr>
                <w:rFonts w:cs="Arial"/>
              </w:rPr>
            </w:pPr>
          </w:p>
        </w:tc>
      </w:tr>
      <w:tr w:rsidR="002E4ABF" w14:paraId="27902EEA" w14:textId="77777777" w:rsidTr="002E4ABF">
        <w:tc>
          <w:tcPr>
            <w:tcW w:w="1915" w:type="dxa"/>
          </w:tcPr>
          <w:p w14:paraId="2407B252" w14:textId="77777777" w:rsidR="002E4ABF" w:rsidRPr="002E4ABF" w:rsidRDefault="002E4ABF" w:rsidP="002E4ABF">
            <w:pPr>
              <w:rPr>
                <w:rFonts w:cs="Arial"/>
              </w:rPr>
            </w:pPr>
            <w:r w:rsidRPr="002E4ABF">
              <w:rPr>
                <w:rFonts w:cs="Arial"/>
              </w:rPr>
              <w:t>Общи нарушения и</w:t>
            </w:r>
          </w:p>
          <w:p w14:paraId="43288F0C" w14:textId="5650B3B4" w:rsidR="002E4ABF" w:rsidRPr="002E4ABF" w:rsidRDefault="002E4ABF" w:rsidP="002E4ABF">
            <w:pPr>
              <w:rPr>
                <w:rFonts w:cs="Arial"/>
              </w:rPr>
            </w:pPr>
            <w:r w:rsidRPr="002E4ABF">
              <w:rPr>
                <w:rFonts w:cs="Arial"/>
              </w:rPr>
              <w:t>ефекти на мястото на приложение</w:t>
            </w:r>
          </w:p>
        </w:tc>
        <w:tc>
          <w:tcPr>
            <w:tcW w:w="1915" w:type="dxa"/>
          </w:tcPr>
          <w:p w14:paraId="06048712" w14:textId="77777777" w:rsidR="002E4ABF" w:rsidRPr="002E4ABF" w:rsidRDefault="002E4ABF" w:rsidP="002E4ABF">
            <w:pPr>
              <w:rPr>
                <w:rFonts w:cs="Arial"/>
              </w:rPr>
            </w:pPr>
          </w:p>
        </w:tc>
        <w:tc>
          <w:tcPr>
            <w:tcW w:w="1915" w:type="dxa"/>
          </w:tcPr>
          <w:p w14:paraId="76BE6A7E" w14:textId="710AD7E7" w:rsidR="002E4ABF" w:rsidRPr="002E4ABF" w:rsidRDefault="002E4ABF" w:rsidP="002E4ABF">
            <w:pPr>
              <w:rPr>
                <w:rFonts w:cs="Arial"/>
              </w:rPr>
            </w:pPr>
            <w:r w:rsidRPr="002E4ABF">
              <w:rPr>
                <w:rFonts w:cs="Arial"/>
              </w:rPr>
              <w:t>астения/умора</w:t>
            </w:r>
          </w:p>
        </w:tc>
        <w:tc>
          <w:tcPr>
            <w:tcW w:w="1915" w:type="dxa"/>
          </w:tcPr>
          <w:p w14:paraId="02086361" w14:textId="77777777" w:rsidR="002E4ABF" w:rsidRPr="002E4ABF" w:rsidRDefault="002E4ABF" w:rsidP="002E4ABF">
            <w:pPr>
              <w:rPr>
                <w:rFonts w:cs="Arial"/>
              </w:rPr>
            </w:pPr>
          </w:p>
        </w:tc>
        <w:tc>
          <w:tcPr>
            <w:tcW w:w="1916" w:type="dxa"/>
          </w:tcPr>
          <w:p w14:paraId="16D9409B" w14:textId="77777777" w:rsidR="002E4ABF" w:rsidRPr="002E4ABF" w:rsidRDefault="002E4ABF" w:rsidP="002E4ABF">
            <w:pPr>
              <w:rPr>
                <w:rFonts w:cs="Arial"/>
              </w:rPr>
            </w:pPr>
          </w:p>
        </w:tc>
      </w:tr>
      <w:tr w:rsidR="002E4ABF" w14:paraId="2C614F78" w14:textId="77777777" w:rsidTr="002E4ABF">
        <w:tc>
          <w:tcPr>
            <w:tcW w:w="1915" w:type="dxa"/>
          </w:tcPr>
          <w:p w14:paraId="61647EC1" w14:textId="4809BF1D" w:rsidR="002E4ABF" w:rsidRPr="002E4ABF" w:rsidRDefault="002E4ABF" w:rsidP="002E4ABF">
            <w:pPr>
              <w:rPr>
                <w:rFonts w:cs="Arial"/>
              </w:rPr>
            </w:pPr>
            <w:r w:rsidRPr="002E4ABF">
              <w:rPr>
                <w:rFonts w:cs="Arial"/>
              </w:rPr>
              <w:t>Наранявания, отравяния и усложнения, възникнали в резултат на интервенции</w:t>
            </w:r>
          </w:p>
        </w:tc>
        <w:tc>
          <w:tcPr>
            <w:tcW w:w="1915" w:type="dxa"/>
          </w:tcPr>
          <w:p w14:paraId="675F9158" w14:textId="77777777" w:rsidR="002E4ABF" w:rsidRPr="002E4ABF" w:rsidRDefault="002E4ABF" w:rsidP="002E4ABF">
            <w:pPr>
              <w:rPr>
                <w:rFonts w:cs="Arial"/>
              </w:rPr>
            </w:pPr>
          </w:p>
        </w:tc>
        <w:tc>
          <w:tcPr>
            <w:tcW w:w="1915" w:type="dxa"/>
          </w:tcPr>
          <w:p w14:paraId="5857D800" w14:textId="77777777" w:rsidR="002E4ABF" w:rsidRPr="002E4ABF" w:rsidRDefault="002E4ABF" w:rsidP="002E4ABF">
            <w:pPr>
              <w:rPr>
                <w:rFonts w:cs="Arial"/>
              </w:rPr>
            </w:pPr>
          </w:p>
        </w:tc>
        <w:tc>
          <w:tcPr>
            <w:tcW w:w="1915" w:type="dxa"/>
          </w:tcPr>
          <w:p w14:paraId="3D065B95" w14:textId="38F5A1AA" w:rsidR="002E4ABF" w:rsidRPr="002E4ABF" w:rsidRDefault="002E4ABF" w:rsidP="002E4ABF">
            <w:pPr>
              <w:rPr>
                <w:rFonts w:cs="Arial"/>
              </w:rPr>
            </w:pPr>
            <w:r w:rsidRPr="002E4ABF">
              <w:rPr>
                <w:rFonts w:cs="Arial"/>
              </w:rPr>
              <w:t>нараняване</w:t>
            </w:r>
          </w:p>
        </w:tc>
        <w:tc>
          <w:tcPr>
            <w:tcW w:w="1916" w:type="dxa"/>
          </w:tcPr>
          <w:p w14:paraId="37F425F7" w14:textId="77777777" w:rsidR="002E4ABF" w:rsidRPr="002E4ABF" w:rsidRDefault="002E4ABF" w:rsidP="002E4ABF">
            <w:pPr>
              <w:rPr>
                <w:rFonts w:cs="Arial"/>
              </w:rPr>
            </w:pPr>
          </w:p>
        </w:tc>
      </w:tr>
    </w:tbl>
    <w:p w14:paraId="1E1A760B" w14:textId="0AAF87BB" w:rsidR="00C37F7C" w:rsidRDefault="00C37F7C" w:rsidP="00C37F7C"/>
    <w:p w14:paraId="1F32608F" w14:textId="77777777" w:rsidR="002E4ABF" w:rsidRPr="002E4ABF" w:rsidRDefault="002E4ABF" w:rsidP="002E4ABF">
      <w:pPr>
        <w:spacing w:line="240" w:lineRule="auto"/>
        <w:rPr>
          <w:rFonts w:eastAsia="Times New Roman" w:cs="Arial"/>
        </w:rPr>
      </w:pPr>
      <w:r w:rsidRPr="002E4ABF">
        <w:rPr>
          <w:rFonts w:eastAsia="Times New Roman" w:cs="Arial"/>
          <w:color w:val="000000"/>
          <w:u w:val="single"/>
          <w:lang w:eastAsia="bg-BG"/>
        </w:rPr>
        <w:lastRenderedPageBreak/>
        <w:t>Описание на избрани нежелани реакции</w:t>
      </w:r>
    </w:p>
    <w:p w14:paraId="5B6C25BE" w14:textId="77777777" w:rsidR="002E4ABF" w:rsidRPr="002E4ABF" w:rsidRDefault="002E4ABF" w:rsidP="002E4ABF">
      <w:pPr>
        <w:spacing w:line="240" w:lineRule="auto"/>
        <w:rPr>
          <w:rFonts w:eastAsia="Times New Roman" w:cs="Arial"/>
          <w:color w:val="000000"/>
          <w:lang w:eastAsia="bg-BG"/>
        </w:rPr>
      </w:pPr>
    </w:p>
    <w:p w14:paraId="6AAF0DF0" w14:textId="791FFE4F" w:rsidR="002E4ABF" w:rsidRPr="002E4ABF" w:rsidRDefault="002E4ABF" w:rsidP="002E4ABF">
      <w:pPr>
        <w:spacing w:line="240" w:lineRule="auto"/>
        <w:rPr>
          <w:rFonts w:eastAsia="Times New Roman" w:cs="Arial"/>
        </w:rPr>
      </w:pPr>
      <w:r w:rsidRPr="002E4ABF">
        <w:rPr>
          <w:rFonts w:eastAsia="Times New Roman" w:cs="Arial"/>
          <w:color w:val="000000"/>
          <w:lang w:eastAsia="bg-BG"/>
        </w:rPr>
        <w:t>Рискът от анорексия е по-висок, когато се прилага топирамат едновременно с леветиранетам. При няколко случая на алопеция се наблюдава възстановяване след преустановяване на Леветиракон. При някои от случаите на панцитопения е установено подтискане на костния мозък.</w:t>
      </w:r>
    </w:p>
    <w:p w14:paraId="0D086E09" w14:textId="77777777" w:rsidR="002E4ABF" w:rsidRPr="002E4ABF" w:rsidRDefault="002E4ABF" w:rsidP="002E4ABF">
      <w:pPr>
        <w:spacing w:line="240" w:lineRule="auto"/>
        <w:rPr>
          <w:rFonts w:eastAsia="Times New Roman" w:cs="Arial"/>
          <w:color w:val="000000"/>
          <w:u w:val="single"/>
          <w:lang w:eastAsia="bg-BG"/>
        </w:rPr>
      </w:pPr>
    </w:p>
    <w:p w14:paraId="58B6A5AD" w14:textId="2FB6A5EE" w:rsidR="002E4ABF" w:rsidRPr="002E4ABF" w:rsidRDefault="002E4ABF" w:rsidP="002E4ABF">
      <w:pPr>
        <w:spacing w:line="240" w:lineRule="auto"/>
        <w:rPr>
          <w:rFonts w:eastAsia="Times New Roman" w:cs="Arial"/>
        </w:rPr>
      </w:pPr>
      <w:r w:rsidRPr="002E4ABF">
        <w:rPr>
          <w:rFonts w:eastAsia="Times New Roman" w:cs="Arial"/>
          <w:color w:val="000000"/>
          <w:u w:val="single"/>
          <w:lang w:eastAsia="bg-BG"/>
        </w:rPr>
        <w:t>Педиатрична популация</w:t>
      </w:r>
    </w:p>
    <w:p w14:paraId="56DE7836" w14:textId="77777777" w:rsidR="002E4ABF" w:rsidRPr="002E4ABF" w:rsidRDefault="002E4ABF" w:rsidP="002E4ABF">
      <w:pPr>
        <w:spacing w:line="240" w:lineRule="auto"/>
        <w:rPr>
          <w:rFonts w:eastAsia="Times New Roman" w:cs="Arial"/>
          <w:color w:val="000000"/>
          <w:lang w:eastAsia="bg-BG"/>
        </w:rPr>
      </w:pPr>
    </w:p>
    <w:p w14:paraId="71FEB07E" w14:textId="5EF0CC67" w:rsidR="002E4ABF" w:rsidRPr="002E4ABF" w:rsidRDefault="002E4ABF" w:rsidP="002E4ABF">
      <w:pPr>
        <w:spacing w:line="240" w:lineRule="auto"/>
        <w:rPr>
          <w:rFonts w:eastAsia="Times New Roman" w:cs="Arial"/>
        </w:rPr>
      </w:pPr>
      <w:r w:rsidRPr="002E4ABF">
        <w:rPr>
          <w:rFonts w:eastAsia="Times New Roman" w:cs="Arial"/>
          <w:color w:val="000000"/>
          <w:lang w:eastAsia="bg-BG"/>
        </w:rPr>
        <w:t>При пациенти на възраст от 1 месец до под 4 години, общо 190 пациенти са били лекувани с леветирацетам в плацебо-контролиран и и отворени разширени проучвания. Шестдесет (60) от тези пациенти са били лекувани с леветирацетам в плацебо-контролирани проучвания. При пациенти на възраст 4-16 години, общо 645 пациенти са били лекувани с леветирацетам в плацебо-контролирани и отворени разширени проучвания. В плацебо-контролирани проучвания 233 от тези пациенти са били лекувани с леветирацетам. В тези две педиатрични възрастови групи, тези данни са допълнени с пост-маркетингов опит за употреба на леветирацетам.</w:t>
      </w:r>
    </w:p>
    <w:p w14:paraId="0CD75FF1" w14:textId="77777777" w:rsidR="002E4ABF" w:rsidRPr="002E4ABF" w:rsidRDefault="002E4ABF" w:rsidP="002E4ABF">
      <w:pPr>
        <w:spacing w:line="240" w:lineRule="auto"/>
        <w:rPr>
          <w:rFonts w:eastAsia="Times New Roman" w:cs="Arial"/>
          <w:color w:val="000000"/>
          <w:lang w:eastAsia="bg-BG"/>
        </w:rPr>
      </w:pPr>
    </w:p>
    <w:p w14:paraId="52C5B906" w14:textId="17720931" w:rsidR="002E4ABF" w:rsidRPr="002E4ABF" w:rsidRDefault="002E4ABF" w:rsidP="002E4ABF">
      <w:pPr>
        <w:spacing w:line="240" w:lineRule="auto"/>
        <w:rPr>
          <w:rFonts w:eastAsia="Times New Roman" w:cs="Arial"/>
        </w:rPr>
      </w:pPr>
      <w:r w:rsidRPr="002E4ABF">
        <w:rPr>
          <w:rFonts w:eastAsia="Times New Roman" w:cs="Arial"/>
          <w:color w:val="000000"/>
          <w:lang w:eastAsia="bg-BG"/>
        </w:rPr>
        <w:t>Профилът на нежеланите събития на леветирацетам е по принцип подобен при различните възрастови групи и в рамките на одобрените показания, свързани с епилепсията. Безопасността при педиатрични пациенти в плацебо-контролирани клинични проучвания са в съответствие с профила на безопасност на леветирацетам при възрастни, с изключение на поведенческите и психиатрични нежелани реакции, които са по-чести при деца отколкото при възрастни. При деца и юноши на възраст от 4 до 16 години, повръщане (много чести 11,2%). възбуда (чести 3,4%), промени в настроението (чести 2,1%), емоционална нестабилност (чести 1.7%). агресия (чести 8,2 %), необичайно поведение (обща 5,6%) и летаргия (общи, 3,9%) са съобщавани по- често, отколкото в другите възрастови групи или в общия профил на безопасност. При кърмачета и деца на възраст от 1 месец до под 4 години, раздразнителност (много чести 11,7%) и нарушена координация (чести 3,3%) са съобщавани по-често, отколкото при другите възрастови групи, или в общия профил на безопасност.</w:t>
      </w:r>
    </w:p>
    <w:p w14:paraId="309C72C5" w14:textId="77777777" w:rsidR="002E4ABF" w:rsidRPr="002E4ABF" w:rsidRDefault="002E4ABF" w:rsidP="002E4ABF">
      <w:pPr>
        <w:rPr>
          <w:rFonts w:eastAsia="Times New Roman" w:cs="Arial"/>
          <w:color w:val="000000"/>
          <w:lang w:eastAsia="bg-BG"/>
        </w:rPr>
      </w:pPr>
    </w:p>
    <w:p w14:paraId="0D3EB7CE" w14:textId="77777777" w:rsidR="002E4ABF" w:rsidRPr="002E4ABF" w:rsidRDefault="002E4ABF" w:rsidP="002E4ABF">
      <w:pPr>
        <w:rPr>
          <w:rFonts w:eastAsia="Times New Roman" w:cs="Arial"/>
        </w:rPr>
      </w:pPr>
      <w:r w:rsidRPr="002E4ABF">
        <w:rPr>
          <w:rFonts w:eastAsia="Times New Roman" w:cs="Arial"/>
          <w:color w:val="000000"/>
          <w:lang w:eastAsia="bg-BG"/>
        </w:rPr>
        <w:t xml:space="preserve">Двойно-сляпо, плацебо контролирано проучване за безопасност при деца с неинфериорен дизайн е оценило когнитивното и невропсихологичното действие на Леветиракон при деца от 4 до 16-годишна възраст с парциални пристъпи. Установено е, че Леветиракон не се различава (не е по-лоша) спрямо плацебо по отношение на промяната спрямо изходното ниво на </w:t>
      </w:r>
      <w:r w:rsidRPr="002E4ABF">
        <w:rPr>
          <w:rFonts w:eastAsia="Times New Roman" w:cs="Arial"/>
          <w:color w:val="000000"/>
          <w:lang w:val="en-US"/>
        </w:rPr>
        <w:t>Leiter</w:t>
      </w:r>
      <w:r w:rsidRPr="002E4ABF">
        <w:rPr>
          <w:rFonts w:eastAsia="Times New Roman" w:cs="Arial"/>
          <w:color w:val="000000"/>
          <w:lang w:val="ru-RU"/>
        </w:rPr>
        <w:t>-</w:t>
      </w:r>
      <w:r w:rsidRPr="002E4ABF">
        <w:rPr>
          <w:rFonts w:eastAsia="Times New Roman" w:cs="Arial"/>
          <w:color w:val="000000"/>
          <w:lang w:val="en-US"/>
        </w:rPr>
        <w:t>R</w:t>
      </w:r>
      <w:r w:rsidRPr="002E4ABF">
        <w:rPr>
          <w:rFonts w:eastAsia="Times New Roman" w:cs="Arial"/>
          <w:color w:val="000000"/>
          <w:lang w:eastAsia="bg-BG"/>
        </w:rPr>
        <w:t xml:space="preserve"> внимание и памет, комбиниран скор за изследване на паметта в определената в портокала популация. Резултатите, свързани с поведенческата и емоционална функция са показали влошаване при лекуваните с Леветиракон пациенти по отношение на агресивно поведение измерено по стандартен и систематизиран метод чрез използване на валидиран сбособ (</w:t>
      </w:r>
      <w:r w:rsidRPr="002E4ABF">
        <w:rPr>
          <w:rFonts w:eastAsia="Times New Roman" w:cs="Arial"/>
          <w:color w:val="000000"/>
          <w:lang w:val="en-US"/>
        </w:rPr>
        <w:t>CBCL</w:t>
      </w:r>
      <w:r w:rsidRPr="002E4ABF">
        <w:rPr>
          <w:rFonts w:eastAsia="Times New Roman" w:cs="Arial"/>
          <w:color w:val="000000"/>
          <w:lang w:val="ru-RU"/>
        </w:rPr>
        <w:t xml:space="preserve"> </w:t>
      </w:r>
      <w:r w:rsidRPr="002E4ABF">
        <w:rPr>
          <w:rFonts w:eastAsia="Times New Roman" w:cs="Arial"/>
          <w:i/>
          <w:iCs/>
          <w:color w:val="000000"/>
          <w:lang w:val="en-US"/>
        </w:rPr>
        <w:t>Achenbach</w:t>
      </w:r>
      <w:r w:rsidRPr="002E4ABF">
        <w:rPr>
          <w:rFonts w:eastAsia="Times New Roman" w:cs="Arial"/>
          <w:color w:val="000000"/>
          <w:lang w:val="ru-RU"/>
        </w:rPr>
        <w:t xml:space="preserve"> </w:t>
      </w:r>
      <w:r w:rsidRPr="002E4ABF">
        <w:rPr>
          <w:rFonts w:eastAsia="Times New Roman" w:cs="Arial"/>
          <w:color w:val="000000"/>
          <w:lang w:eastAsia="bg-BG"/>
        </w:rPr>
        <w:t>въпросник за детско поведение). Въпреки това пациентите, приемали Леветиракон по време на продължително, отворено проследяващо проучване, не са показали общо влошаване по отношение на поведението или емоционалната функция; нещо повече, показателите за агресивно поведение не са показали влошаване спрямо изходните стойности.</w:t>
      </w:r>
    </w:p>
    <w:p w14:paraId="282D760E" w14:textId="77777777" w:rsidR="002E4ABF" w:rsidRPr="002E4ABF" w:rsidRDefault="002E4ABF" w:rsidP="002E4ABF">
      <w:pPr>
        <w:spacing w:line="240" w:lineRule="auto"/>
        <w:rPr>
          <w:rFonts w:eastAsia="Times New Roman" w:cs="Arial"/>
          <w:color w:val="000000"/>
          <w:u w:val="single"/>
          <w:lang w:eastAsia="bg-BG"/>
        </w:rPr>
      </w:pPr>
    </w:p>
    <w:p w14:paraId="3A1E0A51" w14:textId="6AF0850F" w:rsidR="002E4ABF" w:rsidRPr="002E4ABF" w:rsidRDefault="002E4ABF" w:rsidP="002E4ABF">
      <w:pPr>
        <w:spacing w:line="240" w:lineRule="auto"/>
        <w:rPr>
          <w:rFonts w:eastAsia="Times New Roman" w:cs="Arial"/>
        </w:rPr>
      </w:pPr>
      <w:r w:rsidRPr="002E4ABF">
        <w:rPr>
          <w:rFonts w:eastAsia="Times New Roman" w:cs="Arial"/>
          <w:color w:val="000000"/>
          <w:u w:val="single"/>
          <w:lang w:eastAsia="bg-BG"/>
        </w:rPr>
        <w:t>Съобщаване на подозирани нежелани реакции</w:t>
      </w:r>
    </w:p>
    <w:p w14:paraId="2D7E8CE9"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2E4ABF">
        <w:rPr>
          <w:rFonts w:eastAsia="Times New Roman" w:cs="Arial"/>
          <w:color w:val="000000"/>
          <w:lang w:eastAsia="bg-BG"/>
        </w:rPr>
        <w:lastRenderedPageBreak/>
        <w:t xml:space="preserve">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тел.:+35928903417, уебсайт: </w:t>
      </w:r>
      <w:r w:rsidRPr="002E4ABF">
        <w:rPr>
          <w:rFonts w:eastAsia="Times New Roman" w:cs="Arial"/>
        </w:rPr>
        <w:fldChar w:fldCharType="begin"/>
      </w:r>
      <w:r w:rsidRPr="002E4ABF">
        <w:rPr>
          <w:rFonts w:eastAsia="Times New Roman" w:cs="Arial"/>
        </w:rPr>
        <w:instrText xml:space="preserve"> HYPERLINK "http://www.bda.bg" </w:instrText>
      </w:r>
      <w:r w:rsidRPr="002E4ABF">
        <w:rPr>
          <w:rFonts w:eastAsia="Times New Roman" w:cs="Arial"/>
        </w:rPr>
      </w:r>
      <w:r w:rsidRPr="002E4ABF">
        <w:rPr>
          <w:rFonts w:eastAsia="Times New Roman" w:cs="Arial"/>
        </w:rPr>
        <w:fldChar w:fldCharType="separate"/>
      </w:r>
      <w:r w:rsidRPr="002E4ABF">
        <w:rPr>
          <w:rFonts w:eastAsia="Times New Roman" w:cs="Arial"/>
          <w:color w:val="000000"/>
          <w:lang w:val="en-US"/>
        </w:rPr>
        <w:t>www.bda.bg</w:t>
      </w:r>
      <w:r w:rsidRPr="002E4ABF">
        <w:rPr>
          <w:rFonts w:eastAsia="Times New Roman" w:cs="Arial"/>
        </w:rPr>
        <w:fldChar w:fldCharType="end"/>
      </w:r>
      <w:r w:rsidRPr="002E4ABF">
        <w:rPr>
          <w:rFonts w:eastAsia="Times New Roman" w:cs="Arial"/>
          <w:color w:val="000000"/>
          <w:lang w:val="en-US"/>
        </w:rPr>
        <w:t>.</w:t>
      </w:r>
    </w:p>
    <w:p w14:paraId="0AF6DA97" w14:textId="7CEBBF5D" w:rsidR="002E4ABF" w:rsidRPr="002E4ABF" w:rsidRDefault="002E4ABF" w:rsidP="002E4ABF">
      <w:pPr>
        <w:rPr>
          <w:lang w:val="ru-RU"/>
        </w:rPr>
      </w:pPr>
    </w:p>
    <w:p w14:paraId="5A87DBA3" w14:textId="35058F9B" w:rsidR="007122AD" w:rsidRDefault="002C50EE" w:rsidP="00936AD0">
      <w:pPr>
        <w:pStyle w:val="Heading2"/>
      </w:pPr>
      <w:r>
        <w:t>4.9. Предозиране</w:t>
      </w:r>
    </w:p>
    <w:p w14:paraId="31630221" w14:textId="3E557724" w:rsidR="002E4ABF" w:rsidRDefault="002E4ABF" w:rsidP="002E4ABF"/>
    <w:p w14:paraId="1810BBA5" w14:textId="77777777" w:rsidR="002E4ABF" w:rsidRPr="002E4ABF" w:rsidRDefault="002E4ABF" w:rsidP="002E4ABF">
      <w:pPr>
        <w:pStyle w:val="Heading3"/>
        <w:rPr>
          <w:rFonts w:ascii="Times New Roman" w:eastAsia="Times New Roman" w:hAnsi="Times New Roman" w:cs="Times New Roman"/>
          <w:sz w:val="32"/>
          <w:u w:val="single"/>
        </w:rPr>
      </w:pPr>
      <w:r w:rsidRPr="002E4ABF">
        <w:rPr>
          <w:rFonts w:eastAsia="Times New Roman"/>
          <w:u w:val="single"/>
          <w:lang w:eastAsia="bg-BG"/>
        </w:rPr>
        <w:t>Симптоми</w:t>
      </w:r>
    </w:p>
    <w:p w14:paraId="54FB75E4" w14:textId="7777777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Сомнолентност, тревожност, агресия, понижена степен на съзнание, потискане на дишането и кома са били наблюдавани при предозиране на Леветиракон.</w:t>
      </w:r>
    </w:p>
    <w:p w14:paraId="3C37D883" w14:textId="77777777" w:rsidR="002E4ABF" w:rsidRPr="002E4ABF" w:rsidRDefault="002E4ABF" w:rsidP="002E4ABF">
      <w:pPr>
        <w:spacing w:line="240" w:lineRule="auto"/>
        <w:rPr>
          <w:rFonts w:eastAsia="Times New Roman" w:cs="Arial"/>
          <w:color w:val="000000"/>
          <w:szCs w:val="19"/>
          <w:u w:val="single"/>
          <w:lang w:eastAsia="bg-BG"/>
        </w:rPr>
      </w:pPr>
    </w:p>
    <w:p w14:paraId="4DE69A92" w14:textId="73DCA69B" w:rsidR="002E4ABF" w:rsidRPr="002E4ABF" w:rsidRDefault="002E4ABF" w:rsidP="002E4ABF">
      <w:pPr>
        <w:pStyle w:val="Heading3"/>
        <w:rPr>
          <w:rFonts w:ascii="Times New Roman" w:eastAsia="Times New Roman" w:hAnsi="Times New Roman" w:cs="Times New Roman"/>
          <w:sz w:val="32"/>
          <w:u w:val="single"/>
        </w:rPr>
      </w:pPr>
      <w:r w:rsidRPr="002E4ABF">
        <w:rPr>
          <w:rFonts w:eastAsia="Times New Roman"/>
          <w:u w:val="single"/>
          <w:lang w:eastAsia="bg-BG"/>
        </w:rPr>
        <w:t>Мерки при предозиране</w:t>
      </w:r>
    </w:p>
    <w:p w14:paraId="6FC88108" w14:textId="22C4BEB7" w:rsidR="002E4ABF" w:rsidRPr="002E4ABF" w:rsidRDefault="002E4ABF" w:rsidP="002E4ABF">
      <w:pPr>
        <w:rPr>
          <w:sz w:val="28"/>
        </w:rPr>
      </w:pPr>
      <w:r w:rsidRPr="002E4ABF">
        <w:rPr>
          <w:rFonts w:eastAsia="Times New Roman" w:cs="Arial"/>
          <w:color w:val="000000"/>
          <w:szCs w:val="19"/>
          <w:lang w:eastAsia="bg-BG"/>
        </w:rPr>
        <w:t>След остро предозиране е необходимо изпразване на стомаха чрез стомашна промивка или предизвикване на повръщане. Няма специфичен антидот на леветирацетам. Лечението при предозиране е симптоматично и може да включва хемодиализа. Ефекта на отделяне при диализа е 60% за леветирацетам и 74% за първичния метаболит.</w:t>
      </w:r>
    </w:p>
    <w:p w14:paraId="02081B24" w14:textId="1F46E296" w:rsidR="00395555" w:rsidRPr="00395555" w:rsidRDefault="002C50EE" w:rsidP="008A6AF2">
      <w:pPr>
        <w:pStyle w:val="Heading1"/>
      </w:pPr>
      <w:r>
        <w:t>5. ФАРМАКОЛОГИЧНИ СВОЙСТВА</w:t>
      </w:r>
    </w:p>
    <w:p w14:paraId="7DE36AC8" w14:textId="72F0800B" w:rsidR="00B6672E" w:rsidRDefault="002C50EE" w:rsidP="00936AD0">
      <w:pPr>
        <w:pStyle w:val="Heading2"/>
      </w:pPr>
      <w:r>
        <w:t>5.1. Фармакодинамични свойства</w:t>
      </w:r>
    </w:p>
    <w:p w14:paraId="0F6D0A07" w14:textId="652674E6" w:rsidR="002E4ABF" w:rsidRDefault="002E4ABF" w:rsidP="002E4ABF"/>
    <w:p w14:paraId="4F8BDCAD" w14:textId="7777777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Фармакотерапевтична група: Антиепилептични лекарства, други антиепилептични лекарства, АТС код: </w:t>
      </w:r>
      <w:r w:rsidRPr="002E4ABF">
        <w:rPr>
          <w:rFonts w:eastAsia="Times New Roman" w:cs="Arial"/>
          <w:color w:val="000000"/>
          <w:szCs w:val="19"/>
          <w:lang w:val="en-US"/>
        </w:rPr>
        <w:t>N</w:t>
      </w:r>
      <w:r w:rsidRPr="002E4ABF">
        <w:rPr>
          <w:rFonts w:eastAsia="Times New Roman" w:cs="Arial"/>
          <w:color w:val="000000"/>
          <w:szCs w:val="19"/>
          <w:lang w:val="ru-RU"/>
        </w:rPr>
        <w:t>03</w:t>
      </w:r>
      <w:r w:rsidRPr="002E4ABF">
        <w:rPr>
          <w:rFonts w:eastAsia="Times New Roman" w:cs="Arial"/>
          <w:color w:val="000000"/>
          <w:szCs w:val="19"/>
          <w:lang w:val="en-US"/>
        </w:rPr>
        <w:t>AX</w:t>
      </w:r>
      <w:r w:rsidRPr="002E4ABF">
        <w:rPr>
          <w:rFonts w:eastAsia="Times New Roman" w:cs="Arial"/>
          <w:color w:val="000000"/>
          <w:szCs w:val="19"/>
          <w:lang w:val="ru-RU"/>
        </w:rPr>
        <w:t>14.</w:t>
      </w:r>
    </w:p>
    <w:p w14:paraId="35F9F5D9" w14:textId="77777777" w:rsidR="002E4ABF" w:rsidRPr="002E4ABF" w:rsidRDefault="002E4ABF" w:rsidP="002E4ABF">
      <w:pPr>
        <w:spacing w:line="240" w:lineRule="auto"/>
        <w:rPr>
          <w:rFonts w:eastAsia="Times New Roman" w:cs="Arial"/>
          <w:color w:val="000000"/>
          <w:szCs w:val="19"/>
          <w:lang w:eastAsia="bg-BG"/>
        </w:rPr>
      </w:pPr>
    </w:p>
    <w:p w14:paraId="439DBC6D" w14:textId="7D620F82"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Активното вещество леветирацетам е пиролидоново производно </w:t>
      </w:r>
      <w:r w:rsidRPr="002E4ABF">
        <w:rPr>
          <w:rFonts w:eastAsia="Times New Roman" w:cs="Arial"/>
          <w:color w:val="000000"/>
          <w:szCs w:val="19"/>
        </w:rPr>
        <w:t>(</w:t>
      </w:r>
      <w:r w:rsidRPr="002E4ABF">
        <w:rPr>
          <w:rFonts w:eastAsia="Times New Roman" w:cs="Arial"/>
          <w:color w:val="000000"/>
          <w:szCs w:val="19"/>
          <w:lang w:val="en-US"/>
        </w:rPr>
        <w:t>S</w:t>
      </w:r>
      <w:r w:rsidRPr="002E4ABF">
        <w:rPr>
          <w:rFonts w:eastAsia="Times New Roman" w:cs="Arial"/>
          <w:color w:val="000000"/>
          <w:szCs w:val="19"/>
          <w:lang w:eastAsia="bg-BG"/>
        </w:rPr>
        <w:t xml:space="preserve">-енантиомер на </w:t>
      </w:r>
      <w:r w:rsidRPr="002E4ABF">
        <w:rPr>
          <w:rFonts w:eastAsia="Times New Roman" w:cs="Arial"/>
          <w:color w:val="000000"/>
          <w:szCs w:val="19"/>
          <w:lang w:val="en-US"/>
        </w:rPr>
        <w:t>a</w:t>
      </w:r>
      <w:r w:rsidRPr="002E4ABF">
        <w:rPr>
          <w:rFonts w:eastAsia="Times New Roman" w:cs="Arial"/>
          <w:color w:val="000000"/>
          <w:szCs w:val="19"/>
        </w:rPr>
        <w:t>-</w:t>
      </w:r>
      <w:r w:rsidRPr="002E4ABF">
        <w:rPr>
          <w:rFonts w:eastAsia="Times New Roman" w:cs="Arial"/>
          <w:color w:val="000000"/>
          <w:szCs w:val="19"/>
          <w:lang w:val="en-US"/>
        </w:rPr>
        <w:t>ethyl</w:t>
      </w:r>
      <w:r w:rsidRPr="002E4ABF">
        <w:rPr>
          <w:rFonts w:eastAsia="Times New Roman" w:cs="Arial"/>
          <w:color w:val="000000"/>
          <w:szCs w:val="19"/>
        </w:rPr>
        <w:t xml:space="preserve">-2- </w:t>
      </w:r>
      <w:r w:rsidRPr="002E4ABF">
        <w:rPr>
          <w:rFonts w:eastAsia="Times New Roman" w:cs="Arial"/>
          <w:color w:val="000000"/>
          <w:szCs w:val="19"/>
          <w:lang w:eastAsia="bg-BG"/>
        </w:rPr>
        <w:t>охо-1</w:t>
      </w:r>
      <w:r w:rsidRPr="002E4ABF">
        <w:rPr>
          <w:rFonts w:eastAsia="Times New Roman" w:cs="Arial"/>
          <w:color w:val="000000"/>
          <w:szCs w:val="19"/>
        </w:rPr>
        <w:t>-</w:t>
      </w:r>
      <w:proofErr w:type="spellStart"/>
      <w:r w:rsidRPr="002E4ABF">
        <w:rPr>
          <w:rFonts w:eastAsia="Times New Roman" w:cs="Arial"/>
          <w:color w:val="000000"/>
          <w:szCs w:val="19"/>
          <w:lang w:val="en-US"/>
        </w:rPr>
        <w:t>pyrrolidine</w:t>
      </w:r>
      <w:proofErr w:type="spellEnd"/>
      <w:r w:rsidRPr="002E4ABF">
        <w:rPr>
          <w:rFonts w:eastAsia="Times New Roman" w:cs="Arial"/>
          <w:color w:val="000000"/>
          <w:szCs w:val="19"/>
        </w:rPr>
        <w:t xml:space="preserve"> </w:t>
      </w:r>
      <w:proofErr w:type="spellStart"/>
      <w:r w:rsidRPr="002E4ABF">
        <w:rPr>
          <w:rFonts w:eastAsia="Times New Roman" w:cs="Arial"/>
          <w:color w:val="000000"/>
          <w:szCs w:val="19"/>
          <w:lang w:val="en-US"/>
        </w:rPr>
        <w:t>acetamide</w:t>
      </w:r>
      <w:proofErr w:type="spellEnd"/>
      <w:r w:rsidRPr="002E4ABF">
        <w:rPr>
          <w:rFonts w:eastAsia="Times New Roman" w:cs="Arial"/>
          <w:color w:val="000000"/>
          <w:szCs w:val="19"/>
        </w:rPr>
        <w:t xml:space="preserve">), </w:t>
      </w:r>
      <w:r w:rsidRPr="002E4ABF">
        <w:rPr>
          <w:rFonts w:eastAsia="Times New Roman" w:cs="Arial"/>
          <w:color w:val="000000"/>
          <w:szCs w:val="19"/>
          <w:lang w:eastAsia="bg-BG"/>
        </w:rPr>
        <w:t>химически без връзка със съществуващите антиепилептични средства.</w:t>
      </w:r>
    </w:p>
    <w:p w14:paraId="2D219BC8" w14:textId="77777777" w:rsidR="002E4ABF" w:rsidRPr="002E4ABF" w:rsidRDefault="002E4ABF" w:rsidP="002E4ABF">
      <w:pPr>
        <w:spacing w:line="240" w:lineRule="auto"/>
        <w:rPr>
          <w:rFonts w:eastAsia="Times New Roman" w:cs="Arial"/>
          <w:color w:val="000000"/>
          <w:szCs w:val="19"/>
          <w:u w:val="single"/>
          <w:lang w:eastAsia="bg-BG"/>
        </w:rPr>
      </w:pPr>
    </w:p>
    <w:p w14:paraId="15528ACD" w14:textId="52A55E5B"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u w:val="single"/>
          <w:lang w:eastAsia="bg-BG"/>
        </w:rPr>
        <w:t>Механизъм на действие</w:t>
      </w:r>
    </w:p>
    <w:p w14:paraId="6B6AAA28" w14:textId="77777777" w:rsidR="002E4ABF" w:rsidRPr="002E4ABF" w:rsidRDefault="002E4ABF" w:rsidP="002E4ABF">
      <w:pPr>
        <w:spacing w:line="240" w:lineRule="auto"/>
        <w:rPr>
          <w:rFonts w:eastAsia="Times New Roman" w:cs="Arial"/>
          <w:color w:val="000000"/>
          <w:szCs w:val="19"/>
          <w:lang w:eastAsia="bg-BG"/>
        </w:rPr>
      </w:pPr>
    </w:p>
    <w:p w14:paraId="1AA38EDA" w14:textId="515956FB"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Механизмът на действие на леветирацетам все още не е напълно изяснен, но той явно се отличава от механизмите на действие на останалите съвременни антиепилептични лекарствени продукти. </w:t>
      </w:r>
      <w:r w:rsidRPr="002E4ABF">
        <w:rPr>
          <w:rFonts w:eastAsia="Times New Roman" w:cs="Arial"/>
          <w:i/>
          <w:iCs/>
          <w:color w:val="000000"/>
          <w:szCs w:val="19"/>
          <w:lang w:val="en-US"/>
        </w:rPr>
        <w:t>In</w:t>
      </w:r>
      <w:r w:rsidRPr="002E4ABF">
        <w:rPr>
          <w:rFonts w:eastAsia="Times New Roman" w:cs="Arial"/>
          <w:i/>
          <w:iCs/>
          <w:color w:val="000000"/>
          <w:szCs w:val="19"/>
          <w:lang w:val="ru-RU"/>
        </w:rPr>
        <w:t xml:space="preserve"> </w:t>
      </w:r>
      <w:r w:rsidRPr="002E4ABF">
        <w:rPr>
          <w:rFonts w:eastAsia="Times New Roman" w:cs="Arial"/>
          <w:i/>
          <w:iCs/>
          <w:color w:val="000000"/>
          <w:szCs w:val="19"/>
          <w:lang w:val="en-US"/>
        </w:rPr>
        <w:t>vitro</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и </w:t>
      </w:r>
      <w:r w:rsidRPr="002E4ABF">
        <w:rPr>
          <w:rFonts w:eastAsia="Times New Roman" w:cs="Arial"/>
          <w:i/>
          <w:iCs/>
          <w:color w:val="000000"/>
          <w:szCs w:val="19"/>
          <w:lang w:val="en-US"/>
        </w:rPr>
        <w:t>in</w:t>
      </w:r>
      <w:r w:rsidRPr="002E4ABF">
        <w:rPr>
          <w:rFonts w:eastAsia="Times New Roman" w:cs="Arial"/>
          <w:i/>
          <w:iCs/>
          <w:color w:val="000000"/>
          <w:szCs w:val="19"/>
          <w:lang w:val="ru-RU"/>
        </w:rPr>
        <w:t xml:space="preserve"> </w:t>
      </w:r>
      <w:r w:rsidRPr="002E4ABF">
        <w:rPr>
          <w:rFonts w:eastAsia="Times New Roman" w:cs="Arial"/>
          <w:i/>
          <w:iCs/>
          <w:color w:val="000000"/>
          <w:szCs w:val="19"/>
          <w:lang w:val="en-US"/>
        </w:rPr>
        <w:t>vivo</w:t>
      </w:r>
      <w:r w:rsidRPr="002E4ABF">
        <w:rPr>
          <w:rFonts w:eastAsia="Times New Roman" w:cs="Arial"/>
          <w:color w:val="000000"/>
          <w:szCs w:val="19"/>
          <w:lang w:val="ru-RU"/>
        </w:rPr>
        <w:t xml:space="preserve"> </w:t>
      </w:r>
      <w:r w:rsidRPr="002E4ABF">
        <w:rPr>
          <w:rFonts w:eastAsia="Times New Roman" w:cs="Arial"/>
          <w:color w:val="000000"/>
          <w:szCs w:val="19"/>
          <w:lang w:eastAsia="bg-BG"/>
        </w:rPr>
        <w:t>опитите показват, че леветирацетам не променя основните характеристики на клетката, както и нормалната невротрансмисия.</w:t>
      </w:r>
    </w:p>
    <w:p w14:paraId="0F5F8AE7" w14:textId="2BDA2284" w:rsidR="002E4ABF" w:rsidRPr="002E4ABF" w:rsidRDefault="002E4ABF" w:rsidP="002E4ABF">
      <w:pPr>
        <w:rPr>
          <w:rFonts w:eastAsia="Times New Roman" w:cs="Arial"/>
          <w:color w:val="000000"/>
          <w:szCs w:val="19"/>
          <w:lang w:eastAsia="bg-BG"/>
        </w:rPr>
      </w:pPr>
      <w:r w:rsidRPr="002E4ABF">
        <w:rPr>
          <w:rFonts w:eastAsia="Times New Roman" w:cs="Arial"/>
          <w:i/>
          <w:iCs/>
          <w:color w:val="000000"/>
          <w:szCs w:val="19"/>
          <w:lang w:val="en-US"/>
        </w:rPr>
        <w:t>In</w:t>
      </w:r>
      <w:r w:rsidRPr="002E4ABF">
        <w:rPr>
          <w:rFonts w:eastAsia="Times New Roman" w:cs="Arial"/>
          <w:i/>
          <w:iCs/>
          <w:color w:val="000000"/>
          <w:szCs w:val="19"/>
          <w:lang w:val="ru-RU"/>
        </w:rPr>
        <w:t xml:space="preserve"> </w:t>
      </w:r>
      <w:r w:rsidRPr="002E4ABF">
        <w:rPr>
          <w:rFonts w:eastAsia="Times New Roman" w:cs="Arial"/>
          <w:i/>
          <w:iCs/>
          <w:color w:val="000000"/>
          <w:szCs w:val="19"/>
          <w:lang w:val="en-US"/>
        </w:rPr>
        <w:t>vitro</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проучвания показват, че леветирацетам въздейства върху интраневронните нива на Са2+ чрез частично инхибиране на </w:t>
      </w:r>
      <w:r w:rsidRPr="002E4ABF">
        <w:rPr>
          <w:rFonts w:eastAsia="Times New Roman" w:cs="Arial"/>
          <w:color w:val="000000"/>
          <w:szCs w:val="19"/>
          <w:lang w:val="en-US"/>
        </w:rPr>
        <w:t>N</w:t>
      </w:r>
      <w:r w:rsidRPr="002E4ABF">
        <w:rPr>
          <w:rFonts w:eastAsia="Times New Roman" w:cs="Arial"/>
          <w:color w:val="000000"/>
          <w:szCs w:val="19"/>
          <w:lang w:eastAsia="bg-BG"/>
        </w:rPr>
        <w:t xml:space="preserve">-тип Са2+ каналчета, както и чрез редуциране освобождаването на Са2+ от интраневронните депа. В допълнение, той частично намалява редукцията в потока в </w:t>
      </w:r>
      <w:r w:rsidRPr="002E4ABF">
        <w:rPr>
          <w:rFonts w:eastAsia="Times New Roman" w:cs="Arial"/>
          <w:color w:val="000000"/>
          <w:szCs w:val="19"/>
          <w:lang w:val="en-US"/>
        </w:rPr>
        <w:t>GABA</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и глицин- зависимите каналчета, индуцирани от цинк и </w:t>
      </w:r>
      <w:r w:rsidRPr="002E4ABF">
        <w:rPr>
          <w:rFonts w:eastAsia="Times New Roman" w:cs="Arial"/>
          <w:color w:val="000000"/>
          <w:szCs w:val="19"/>
          <w:lang w:val="en-US"/>
        </w:rPr>
        <w:t>b</w:t>
      </w:r>
      <w:r w:rsidRPr="002E4ABF">
        <w:rPr>
          <w:rFonts w:eastAsia="Times New Roman" w:cs="Arial"/>
          <w:color w:val="000000"/>
          <w:szCs w:val="19"/>
          <w:lang w:eastAsia="bg-BG"/>
        </w:rPr>
        <w:t xml:space="preserve">- карболини. Нещо повече, в </w:t>
      </w:r>
      <w:r w:rsidRPr="002E4ABF">
        <w:rPr>
          <w:rFonts w:eastAsia="Times New Roman" w:cs="Arial"/>
          <w:i/>
          <w:iCs/>
          <w:color w:val="000000"/>
          <w:szCs w:val="19"/>
          <w:lang w:val="en-US"/>
        </w:rPr>
        <w:t>in</w:t>
      </w:r>
      <w:r w:rsidRPr="002E4ABF">
        <w:rPr>
          <w:rFonts w:eastAsia="Times New Roman" w:cs="Arial"/>
          <w:i/>
          <w:iCs/>
          <w:color w:val="000000"/>
          <w:szCs w:val="19"/>
          <w:lang w:val="ru-RU"/>
        </w:rPr>
        <w:t xml:space="preserve"> </w:t>
      </w:r>
      <w:r w:rsidRPr="002E4ABF">
        <w:rPr>
          <w:rFonts w:eastAsia="Times New Roman" w:cs="Arial"/>
          <w:i/>
          <w:iCs/>
          <w:color w:val="000000"/>
          <w:szCs w:val="19"/>
          <w:lang w:val="en-US"/>
        </w:rPr>
        <w:t>vitro</w:t>
      </w:r>
      <w:r w:rsidRPr="002E4ABF">
        <w:rPr>
          <w:rFonts w:eastAsia="Times New Roman" w:cs="Arial"/>
          <w:color w:val="000000"/>
          <w:szCs w:val="19"/>
          <w:lang w:val="ru-RU"/>
        </w:rPr>
        <w:t xml:space="preserve"> </w:t>
      </w:r>
      <w:r w:rsidRPr="002E4ABF">
        <w:rPr>
          <w:rFonts w:eastAsia="Times New Roman" w:cs="Arial"/>
          <w:color w:val="000000"/>
          <w:szCs w:val="19"/>
          <w:lang w:eastAsia="bg-BG"/>
        </w:rPr>
        <w:t>проучвания, леветирацетам демонстрира свързване към</w:t>
      </w:r>
      <w:r w:rsidRPr="002E4ABF">
        <w:rPr>
          <w:rFonts w:eastAsia="Times New Roman" w:cs="Arial"/>
          <w:color w:val="000000"/>
          <w:szCs w:val="19"/>
          <w:u w:val="single"/>
          <w:lang w:eastAsia="bg-BG"/>
        </w:rPr>
        <w:t xml:space="preserve"> </w:t>
      </w:r>
      <w:r w:rsidRPr="002E4ABF">
        <w:rPr>
          <w:rFonts w:eastAsia="Times New Roman" w:cs="Arial"/>
          <w:color w:val="000000"/>
          <w:szCs w:val="19"/>
          <w:lang w:eastAsia="bg-BG"/>
        </w:rPr>
        <w:t>специфични места в мозъчната тъкан на гризачи. Това място на свързване е намиращия се в синаптичните везикули протеин 2А, за който се смята, че участва в везикулната фузия и невротрансмитерната екзоцитоза. Леветирацетам и неговите аналози показват изявен афинитет към свързване с намиращия се в синаптичните везикули протеин 2А, което от своя страна е във</w:t>
      </w:r>
      <w:r w:rsidRPr="002E4ABF">
        <w:rPr>
          <w:rFonts w:eastAsia="Times New Roman" w:cs="Arial"/>
          <w:i/>
          <w:iCs/>
          <w:color w:val="000000"/>
          <w:szCs w:val="19"/>
          <w:lang w:eastAsia="bg-BG"/>
        </w:rPr>
        <w:t xml:space="preserve"> </w:t>
      </w:r>
      <w:r w:rsidRPr="002E4ABF">
        <w:rPr>
          <w:rFonts w:eastAsia="Times New Roman" w:cs="Arial"/>
          <w:color w:val="000000"/>
          <w:szCs w:val="19"/>
          <w:lang w:eastAsia="bg-BG"/>
        </w:rPr>
        <w:t>връзка с тяхното действие срещу пристъпите в аудиогенни модели на епилепсия при мишки.</w:t>
      </w:r>
    </w:p>
    <w:p w14:paraId="6A6AE742" w14:textId="2236CFDB" w:rsidR="002E4ABF" w:rsidRPr="002E4ABF" w:rsidRDefault="002E4ABF" w:rsidP="002E4ABF">
      <w:pPr>
        <w:rPr>
          <w:rFonts w:eastAsia="Times New Roman" w:cs="Arial"/>
          <w:color w:val="000000"/>
          <w:szCs w:val="19"/>
          <w:lang w:eastAsia="bg-BG"/>
        </w:rPr>
      </w:pPr>
    </w:p>
    <w:p w14:paraId="69E9887E" w14:textId="7777777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lastRenderedPageBreak/>
        <w:t>Тези резултати предполагат, че взаимодействието между леветирацетам и намиращия се в синаптичните везикули протеин 2А подпомага антиепилептичния механизъм на действие на лекарствения продукт.</w:t>
      </w:r>
    </w:p>
    <w:p w14:paraId="11434863" w14:textId="77777777" w:rsidR="002E4ABF" w:rsidRPr="002E4ABF" w:rsidRDefault="002E4ABF" w:rsidP="002E4ABF">
      <w:pPr>
        <w:spacing w:line="240" w:lineRule="auto"/>
        <w:rPr>
          <w:rFonts w:eastAsia="Times New Roman" w:cs="Arial"/>
          <w:color w:val="000000"/>
          <w:szCs w:val="19"/>
          <w:u w:val="single"/>
          <w:lang w:eastAsia="bg-BG"/>
        </w:rPr>
      </w:pPr>
    </w:p>
    <w:p w14:paraId="3F262E54" w14:textId="39807CDF"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u w:val="single"/>
          <w:lang w:eastAsia="bg-BG"/>
        </w:rPr>
        <w:t>Фармакодинамични ефекти</w:t>
      </w:r>
    </w:p>
    <w:p w14:paraId="7DF13C64" w14:textId="77777777" w:rsidR="002E4ABF" w:rsidRPr="002E4ABF" w:rsidRDefault="002E4ABF" w:rsidP="002E4ABF">
      <w:pPr>
        <w:spacing w:line="240" w:lineRule="auto"/>
        <w:rPr>
          <w:rFonts w:eastAsia="Times New Roman" w:cs="Arial"/>
          <w:color w:val="000000"/>
          <w:szCs w:val="19"/>
          <w:lang w:eastAsia="bg-BG"/>
        </w:rPr>
      </w:pPr>
    </w:p>
    <w:p w14:paraId="36CC1D37" w14:textId="5D3CBB7B"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Леветирацетам предпазва от парциални и първично генерализирани пристъпи при широк кръг животински модели без да има про-конвулсивен ефект. Първичният метаболит е неактивен. При хора активността по отношение, както на парциалните, така и на генерализираните епилептични състояния (епилептиформно освобождаване /фотопароксизмален отговор) потвърждава широкия фармакологичен спектър на леветирацетам.</w:t>
      </w:r>
    </w:p>
    <w:p w14:paraId="5911F60D" w14:textId="77777777" w:rsidR="002E4ABF" w:rsidRPr="002E4ABF" w:rsidRDefault="002E4ABF" w:rsidP="002E4ABF">
      <w:pPr>
        <w:spacing w:line="240" w:lineRule="auto"/>
        <w:rPr>
          <w:rFonts w:eastAsia="Times New Roman" w:cs="Arial"/>
          <w:color w:val="000000"/>
          <w:szCs w:val="19"/>
          <w:u w:val="single"/>
          <w:lang w:eastAsia="bg-BG"/>
        </w:rPr>
      </w:pPr>
    </w:p>
    <w:p w14:paraId="4F899282" w14:textId="2AA6B8F2"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u w:val="single"/>
          <w:lang w:eastAsia="bg-BG"/>
        </w:rPr>
        <w:t>Клинична ефикасност и безопасност</w:t>
      </w:r>
    </w:p>
    <w:p w14:paraId="6076A5F8" w14:textId="77777777" w:rsidR="002E4ABF" w:rsidRPr="002E4ABF" w:rsidRDefault="002E4ABF" w:rsidP="002E4ABF">
      <w:pPr>
        <w:spacing w:line="240" w:lineRule="auto"/>
        <w:rPr>
          <w:rFonts w:eastAsia="Times New Roman" w:cs="Arial"/>
          <w:i/>
          <w:iCs/>
          <w:color w:val="000000"/>
          <w:szCs w:val="19"/>
          <w:lang w:eastAsia="bg-BG"/>
        </w:rPr>
      </w:pPr>
    </w:p>
    <w:p w14:paraId="6BC662A9" w14:textId="21193E45"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i/>
          <w:iCs/>
          <w:color w:val="000000"/>
          <w:szCs w:val="19"/>
          <w:lang w:eastAsia="bg-BG"/>
        </w:rPr>
        <w:t>Допълващо лечение на парциални пристъпи с или без вторична генерализация при възрастни, юноши, деца и новородени на I и повече месеца с епилепсия.</w:t>
      </w:r>
    </w:p>
    <w:p w14:paraId="5D01F5BD" w14:textId="77777777" w:rsidR="002E4ABF" w:rsidRPr="002E4ABF" w:rsidRDefault="002E4ABF" w:rsidP="002E4ABF">
      <w:pPr>
        <w:spacing w:line="240" w:lineRule="auto"/>
        <w:rPr>
          <w:rFonts w:eastAsia="Times New Roman" w:cs="Arial"/>
          <w:color w:val="000000"/>
          <w:szCs w:val="19"/>
          <w:lang w:eastAsia="bg-BG"/>
        </w:rPr>
      </w:pPr>
    </w:p>
    <w:p w14:paraId="34C3DAA4" w14:textId="42CA112E"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При възрастни, ефикасността на леветирацетам е доказана в 3 двойно-слепи, плацебо- контролирани проучвания с 1 000 </w:t>
      </w:r>
      <w:r w:rsidRPr="002E4ABF">
        <w:rPr>
          <w:rFonts w:eastAsia="Times New Roman" w:cs="Arial"/>
          <w:color w:val="000000"/>
          <w:szCs w:val="19"/>
          <w:lang w:val="en-US"/>
        </w:rPr>
        <w:t>mg</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2 000 </w:t>
      </w:r>
      <w:r w:rsidRPr="002E4ABF">
        <w:rPr>
          <w:rFonts w:eastAsia="Times New Roman" w:cs="Arial"/>
          <w:color w:val="000000"/>
          <w:szCs w:val="19"/>
          <w:lang w:val="en-US"/>
        </w:rPr>
        <w:t>mg</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или 3 000 </w:t>
      </w:r>
      <w:r w:rsidRPr="002E4ABF">
        <w:rPr>
          <w:rFonts w:eastAsia="Times New Roman" w:cs="Arial"/>
          <w:color w:val="000000"/>
          <w:szCs w:val="19"/>
          <w:lang w:val="en-US"/>
        </w:rPr>
        <w:t>mg</w:t>
      </w:r>
      <w:r w:rsidRPr="002E4ABF">
        <w:rPr>
          <w:rFonts w:eastAsia="Times New Roman" w:cs="Arial"/>
          <w:color w:val="000000"/>
          <w:szCs w:val="19"/>
          <w:lang w:eastAsia="bg-BG"/>
        </w:rPr>
        <w:t xml:space="preserve">/ден прилагани като 2 отделни дози с продължителност на лечението до 18 седмици. При сборно-груповия анализ, процента на пациентите достигнали 50% или по-високо намаление, спрямо изходното ниво на честотата на парциалните пристъпи за седмица при постоянна доза (12/14 седмици) е 27,7%. 3 1.6% и 41.3% при пациенти приемащи 1 000, 2 000 или 3 000 </w:t>
      </w:r>
      <w:r w:rsidRPr="002E4ABF">
        <w:rPr>
          <w:rFonts w:eastAsia="Times New Roman" w:cs="Arial"/>
          <w:color w:val="000000"/>
          <w:szCs w:val="19"/>
          <w:lang w:val="en-US"/>
        </w:rPr>
        <w:t>mg</w:t>
      </w:r>
      <w:r w:rsidRPr="002E4ABF">
        <w:rPr>
          <w:rFonts w:eastAsia="Times New Roman" w:cs="Arial"/>
          <w:color w:val="000000"/>
          <w:szCs w:val="19"/>
          <w:lang w:val="ru-RU"/>
        </w:rPr>
        <w:t xml:space="preserve"> </w:t>
      </w:r>
      <w:r w:rsidRPr="002E4ABF">
        <w:rPr>
          <w:rFonts w:eastAsia="Times New Roman" w:cs="Arial"/>
          <w:color w:val="000000"/>
          <w:szCs w:val="19"/>
          <w:lang w:eastAsia="bg-BG"/>
        </w:rPr>
        <w:t>леветирацетам и съответно 12,6% за пациентите приемащи плацебо.</w:t>
      </w:r>
    </w:p>
    <w:p w14:paraId="5BD8D8B6" w14:textId="77777777" w:rsidR="002E4ABF" w:rsidRPr="002E4ABF" w:rsidRDefault="002E4ABF" w:rsidP="002E4ABF">
      <w:pPr>
        <w:spacing w:line="240" w:lineRule="auto"/>
        <w:rPr>
          <w:rFonts w:eastAsia="Times New Roman" w:cs="Arial"/>
          <w:color w:val="000000"/>
          <w:szCs w:val="19"/>
          <w:u w:val="single"/>
          <w:lang w:eastAsia="bg-BG"/>
        </w:rPr>
      </w:pPr>
    </w:p>
    <w:p w14:paraId="58A7991F" w14:textId="2F3D404F"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u w:val="single"/>
          <w:lang w:eastAsia="bg-BG"/>
        </w:rPr>
        <w:t>Педиатрична популация</w:t>
      </w:r>
    </w:p>
    <w:p w14:paraId="4A3DC1FF" w14:textId="77777777" w:rsidR="002E4ABF" w:rsidRPr="002E4ABF" w:rsidRDefault="002E4ABF" w:rsidP="002E4ABF">
      <w:pPr>
        <w:spacing w:line="240" w:lineRule="auto"/>
        <w:rPr>
          <w:rFonts w:eastAsia="Times New Roman" w:cs="Arial"/>
          <w:color w:val="000000"/>
          <w:szCs w:val="19"/>
          <w:lang w:eastAsia="bg-BG"/>
        </w:rPr>
      </w:pPr>
    </w:p>
    <w:p w14:paraId="30AA2868" w14:textId="28FE98EF"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При педиатрични пациенти (от 4 до 16-годишна възраст), ефикасността на леветирацетам е доказана в двойно-сляпо, плацебо-контролирано проучване включващо 198 пациенти и с продължителност на лечението 14 седмици. В това проучване, пациентите получавали леветирацетам като постоянна доза от 60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/дневно (прием два пъти на ден). 44,6% от пациентите приемащи леветирацетам и 19,6% от пациентите приемащи плацебо са достигнали 50% или по-високо намаление, спрямо изходното ниво на честотата на парциалните пристъпи за седмица. При продължително дългосрочно лечение 11,4% от пациентите не са получавали пристъпи поне за 6 месеца и 7,2% за поне 1 година.</w:t>
      </w:r>
    </w:p>
    <w:p w14:paraId="6FACAE05" w14:textId="77777777" w:rsidR="002E4ABF" w:rsidRPr="002E4ABF" w:rsidRDefault="002E4ABF" w:rsidP="002E4ABF">
      <w:pPr>
        <w:spacing w:line="240" w:lineRule="auto"/>
        <w:rPr>
          <w:rFonts w:eastAsia="Times New Roman" w:cs="Arial"/>
          <w:color w:val="000000"/>
          <w:szCs w:val="19"/>
          <w:lang w:eastAsia="bg-BG"/>
        </w:rPr>
      </w:pPr>
    </w:p>
    <w:p w14:paraId="0ADCF813" w14:textId="3E481DD1"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При педиатрични пациенти (от 1-месечна до 4-годишна възраст), ефикасността на леветирацетам е установена в двойно-сляпо, плацебо-контролирано проучване включващо 116 пациенти и с продължителност на лечението 5 дни. В това проучване на пациентите е предписана дневна доза от 20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25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40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или 50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перорален разтвор, в зависимост от тяхната възраст. В това проучване е използвана доза от 20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/дневно, титрирана до 40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/дневно при новородени от един месец до 6 месеца и доза от 25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/дневно, титрирана до 50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/дневно при новородени и деца на възраст от 6 месеца до 4 години. Общата дневна доза е прилагана два пъти дневно.</w:t>
      </w:r>
    </w:p>
    <w:p w14:paraId="5A259FA8" w14:textId="7777777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Първоначалната оценка на ефективността е нивото на отговор (процентът пациенти с &gt; 50% намаление, спрямо изходното ниво, на дневната честота на парциалните пристъпи), определена от заслепен централен четец чрез 48-часово видео ЕЕГ наблюдение. Анализът на ефикасността обхваща 109 пациенти, които са имали поне 24-часово видео ЕЕГ наблюдение през двата периода - на изходното ниво и на оценката. Пациентите показали отговор са 43,6% от лекуваните с леветирацетам и 19,6% от пациентите </w:t>
      </w:r>
      <w:r w:rsidRPr="002E4ABF">
        <w:rPr>
          <w:rFonts w:eastAsia="Times New Roman" w:cs="Arial"/>
          <w:color w:val="000000"/>
          <w:szCs w:val="19"/>
          <w:lang w:eastAsia="bg-BG"/>
        </w:rPr>
        <w:lastRenderedPageBreak/>
        <w:t>приемащи плацебо. Резултатите отговарят на съответната възрастова група. При продължително дългосрочно лечение 8,6% от пациентите не са получавали пристъпи поне за 6 месеца и 7,8% за поне 1 година.</w:t>
      </w:r>
    </w:p>
    <w:p w14:paraId="735DF49A" w14:textId="77777777" w:rsidR="002E4ABF" w:rsidRPr="002E4ABF" w:rsidRDefault="002E4ABF" w:rsidP="002E4ABF">
      <w:pPr>
        <w:spacing w:line="240" w:lineRule="auto"/>
        <w:rPr>
          <w:rFonts w:eastAsia="Times New Roman" w:cs="Arial"/>
          <w:i/>
          <w:iCs/>
          <w:color w:val="000000"/>
          <w:szCs w:val="19"/>
          <w:lang w:eastAsia="bg-BG"/>
        </w:rPr>
      </w:pPr>
    </w:p>
    <w:p w14:paraId="706AD70E" w14:textId="4E9CE084"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i/>
          <w:iCs/>
          <w:color w:val="000000"/>
          <w:szCs w:val="19"/>
          <w:lang w:eastAsia="bg-BG"/>
        </w:rPr>
        <w:t>Монотерапия при лечение на парциални пристъпи с или без вторична генерализация при пациенти на 16 и повече години с новодиагностицирана епилепсия.</w:t>
      </w:r>
    </w:p>
    <w:p w14:paraId="7AAFDA80" w14:textId="77777777" w:rsidR="002E4ABF" w:rsidRPr="002E4ABF" w:rsidRDefault="002E4ABF" w:rsidP="002E4ABF">
      <w:pPr>
        <w:rPr>
          <w:rFonts w:ascii="Times New Roman" w:eastAsia="Times New Roman" w:hAnsi="Times New Roman" w:cs="Times New Roman"/>
          <w:sz w:val="32"/>
          <w:szCs w:val="24"/>
        </w:rPr>
      </w:pPr>
      <w:r w:rsidRPr="002E4ABF">
        <w:rPr>
          <w:rFonts w:eastAsia="Times New Roman" w:cs="Arial"/>
          <w:color w:val="000000"/>
          <w:szCs w:val="19"/>
          <w:lang w:eastAsia="bg-BG"/>
        </w:rPr>
        <w:t xml:space="preserve">Ефикасността на леветирацетам като монотерапия е установена в двойно сляпо паралелно групово, неинфериорно сравнение с карбамазепин с контролирано освобождване на </w:t>
      </w:r>
      <w:r w:rsidRPr="002E4ABF">
        <w:rPr>
          <w:rFonts w:eastAsia="Times New Roman" w:cs="Arial"/>
          <w:color w:val="000000"/>
          <w:szCs w:val="19"/>
          <w:lang w:val="en-US"/>
        </w:rPr>
        <w:t>R</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при 576 пациента на 16-годишна възраст или по-възрастни с новодиагностицирана или наскоро диагностицирана епилепсия. Пациентите е трябвало да бъдат единствено с непредизвикани парциални пристъпи или генерализирани тонично-клонични пристъпи. Пациентите са определени по случаен начин да приемат карбамазепин </w:t>
      </w:r>
      <w:r w:rsidRPr="002E4ABF">
        <w:rPr>
          <w:rFonts w:eastAsia="Times New Roman" w:cs="Arial"/>
          <w:color w:val="000000"/>
          <w:szCs w:val="19"/>
          <w:lang w:val="en-US"/>
        </w:rPr>
        <w:t>CR</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400 - 1 200 </w:t>
      </w:r>
      <w:r w:rsidRPr="002E4ABF">
        <w:rPr>
          <w:rFonts w:eastAsia="Times New Roman" w:cs="Arial"/>
          <w:color w:val="000000"/>
          <w:szCs w:val="19"/>
          <w:lang w:val="en-US"/>
        </w:rPr>
        <w:t>mg</w:t>
      </w:r>
      <w:r w:rsidRPr="002E4ABF">
        <w:rPr>
          <w:rFonts w:eastAsia="Times New Roman" w:cs="Arial"/>
          <w:color w:val="000000"/>
          <w:szCs w:val="19"/>
          <w:lang w:eastAsia="bg-BG"/>
        </w:rPr>
        <w:t xml:space="preserve">/ден или леветираиетам 1 000 - 3 000 </w:t>
      </w:r>
      <w:r w:rsidRPr="002E4ABF">
        <w:rPr>
          <w:rFonts w:eastAsia="Times New Roman" w:cs="Arial"/>
          <w:color w:val="000000"/>
          <w:szCs w:val="19"/>
          <w:lang w:val="en-US"/>
        </w:rPr>
        <w:t>mg</w:t>
      </w:r>
      <w:r w:rsidRPr="002E4ABF">
        <w:rPr>
          <w:rFonts w:eastAsia="Times New Roman" w:cs="Arial"/>
          <w:color w:val="000000"/>
          <w:szCs w:val="19"/>
          <w:lang w:eastAsia="bg-BG"/>
        </w:rPr>
        <w:t>/ден, като продължителността на лечението е до 121 седмици в зависимост от отговора.</w:t>
      </w:r>
    </w:p>
    <w:p w14:paraId="475E67F8" w14:textId="7777777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Липса на пристъпи за 6 месеца е достигната при 73,0% от пациентите приемащи леветираиетам и при 72,8% от пациентите приемащи карбамазепин, установената абсолютна разлика между терапиите е 0,2% (95% </w:t>
      </w:r>
      <w:r w:rsidRPr="002E4ABF">
        <w:rPr>
          <w:rFonts w:eastAsia="Times New Roman" w:cs="Arial"/>
          <w:color w:val="000000"/>
          <w:szCs w:val="19"/>
          <w:lang w:val="en-US"/>
        </w:rPr>
        <w:t>CI</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-7,8 8,2). Повече от половината от пациентите остават без да получават пристъпи за 12 месеца (56,6% и 58,5% съответно от пациентите на леветираиетам и карбамазепин </w:t>
      </w:r>
      <w:r w:rsidRPr="002E4ABF">
        <w:rPr>
          <w:rFonts w:eastAsia="Times New Roman" w:cs="Arial"/>
          <w:color w:val="000000"/>
          <w:szCs w:val="19"/>
          <w:lang w:val="en-US"/>
        </w:rPr>
        <w:t>CR</w:t>
      </w:r>
      <w:r w:rsidRPr="002E4ABF">
        <w:rPr>
          <w:rFonts w:eastAsia="Times New Roman" w:cs="Arial"/>
          <w:color w:val="000000"/>
          <w:szCs w:val="19"/>
          <w:lang w:val="ru-RU"/>
        </w:rPr>
        <w:t>).</w:t>
      </w:r>
    </w:p>
    <w:p w14:paraId="76C27DEA" w14:textId="77777777" w:rsidR="002E4ABF" w:rsidRPr="002E4ABF" w:rsidRDefault="002E4ABF" w:rsidP="002E4ABF">
      <w:pPr>
        <w:spacing w:line="240" w:lineRule="auto"/>
        <w:rPr>
          <w:rFonts w:eastAsia="Times New Roman" w:cs="Arial"/>
          <w:color w:val="000000"/>
          <w:szCs w:val="19"/>
          <w:lang w:eastAsia="bg-BG"/>
        </w:rPr>
      </w:pPr>
    </w:p>
    <w:p w14:paraId="0BC77E85" w14:textId="1143F2B3"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В проучване, отразяващо клиничната практика, съпътстващата антиепилептична терапия може да се прекъсне при ограничен брой пациенти, който са се повлияли от допълваща терапия с леветирацетам (36 възрастни пациента от 69).</w:t>
      </w:r>
    </w:p>
    <w:p w14:paraId="320929AA" w14:textId="77777777" w:rsidR="002E4ABF" w:rsidRPr="002E4ABF" w:rsidRDefault="002E4ABF" w:rsidP="002E4ABF">
      <w:pPr>
        <w:spacing w:line="240" w:lineRule="auto"/>
        <w:rPr>
          <w:rFonts w:eastAsia="Times New Roman" w:cs="Arial"/>
          <w:i/>
          <w:iCs/>
          <w:color w:val="000000"/>
          <w:szCs w:val="19"/>
          <w:lang w:eastAsia="bg-BG"/>
        </w:rPr>
      </w:pPr>
    </w:p>
    <w:p w14:paraId="7F4D7D98" w14:textId="1E655F63"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i/>
          <w:iCs/>
          <w:color w:val="000000"/>
          <w:szCs w:val="19"/>
          <w:lang w:eastAsia="bg-BG"/>
        </w:rPr>
        <w:t>Допълващо лечение на миоклонични пристъпи при възрастни и юноши на 12 и повече години с ювенилна миоклонична епилепсия.</w:t>
      </w:r>
    </w:p>
    <w:p w14:paraId="49B30FF4" w14:textId="77777777" w:rsidR="002E4ABF" w:rsidRPr="002E4ABF" w:rsidRDefault="002E4ABF" w:rsidP="002E4ABF">
      <w:pPr>
        <w:spacing w:line="240" w:lineRule="auto"/>
        <w:rPr>
          <w:rFonts w:eastAsia="Times New Roman" w:cs="Arial"/>
          <w:color w:val="000000"/>
          <w:szCs w:val="19"/>
          <w:lang w:eastAsia="bg-BG"/>
        </w:rPr>
      </w:pPr>
    </w:p>
    <w:p w14:paraId="5AD822C8" w14:textId="24902A4A"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Ефикасността на леветирацетам е установена в двойно-сляпо, плацебо-контролирано проучване с продължителност 16 седмици при пациенти на 12-годишна възраст или по-възрастни страдащи от идиопатична генерализирана епилепсия с миоклонични пристъпи от различни синдроми. Повечето пациенти са били с ювенилна миоклонична епилепсия. В това проучване дозата на леветираиетам е била 3 000 </w:t>
      </w:r>
      <w:r w:rsidRPr="002E4ABF">
        <w:rPr>
          <w:rFonts w:eastAsia="Times New Roman" w:cs="Arial"/>
          <w:color w:val="000000"/>
          <w:szCs w:val="19"/>
          <w:lang w:val="en-US"/>
        </w:rPr>
        <w:t>mg</w:t>
      </w:r>
      <w:r w:rsidRPr="002E4ABF">
        <w:rPr>
          <w:rFonts w:eastAsia="Times New Roman" w:cs="Arial"/>
          <w:color w:val="000000"/>
          <w:szCs w:val="19"/>
          <w:lang w:eastAsia="bg-BG"/>
        </w:rPr>
        <w:t xml:space="preserve">/ден разделена на 2 приема. 58,3% от пациентите приемащи леветираиетам и 23,3% от пациентите на плацебо са с поне 50% намаление на дните през седмицата с миоклонични пристъпи. При продължително дългосрочно лечение 28,6% от пациентите не са получавали миоклонични пристъпи за поне 6 месеца и 21,0% за поне I година. </w:t>
      </w:r>
      <w:r w:rsidRPr="002E4ABF">
        <w:rPr>
          <w:rFonts w:eastAsia="Times New Roman" w:cs="Arial"/>
          <w:i/>
          <w:iCs/>
          <w:color w:val="000000"/>
          <w:szCs w:val="19"/>
          <w:lang w:eastAsia="bg-BG"/>
        </w:rPr>
        <w:t>Допълващо лечение на първично генерализирани тонично-клонични пристъпи при възрастни и юноши на 12 и повече години с идиопатична генерализирана епилепсия.</w:t>
      </w:r>
    </w:p>
    <w:p w14:paraId="156107DD" w14:textId="77777777" w:rsidR="002E4ABF" w:rsidRPr="002E4ABF" w:rsidRDefault="002E4ABF" w:rsidP="002E4ABF">
      <w:pPr>
        <w:spacing w:line="240" w:lineRule="auto"/>
        <w:rPr>
          <w:rFonts w:eastAsia="Times New Roman" w:cs="Arial"/>
          <w:color w:val="000000"/>
          <w:szCs w:val="19"/>
          <w:lang w:eastAsia="bg-BG"/>
        </w:rPr>
      </w:pPr>
    </w:p>
    <w:p w14:paraId="30BB4885" w14:textId="7577F0E2"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Ефикасността на леветираиетам е доказана в 24 седмично двойно-сляпо, плацебо-контролирано проучване включващо възрастни, юноши и ограничен брой деца страдащи от идиопатична генерализирана епилепсия с първично генерализирани тонично-клонични пристъпи (ПГТК) от различни синдроми (ювенилна миоклонична епилепсия, ювенилна абсанс епилепсия, детска абсанс епилепсия или епилепсия с </w:t>
      </w:r>
      <w:r w:rsidRPr="002E4ABF">
        <w:rPr>
          <w:rFonts w:eastAsia="Times New Roman" w:cs="Arial"/>
          <w:color w:val="000000"/>
          <w:szCs w:val="19"/>
          <w:lang w:val="en-US"/>
        </w:rPr>
        <w:t>grand</w:t>
      </w:r>
      <w:r w:rsidRPr="002E4ABF">
        <w:rPr>
          <w:rFonts w:eastAsia="Times New Roman" w:cs="Arial"/>
          <w:color w:val="000000"/>
          <w:szCs w:val="19"/>
          <w:lang w:val="ru-RU"/>
        </w:rPr>
        <w:t xml:space="preserve"> </w:t>
      </w:r>
      <w:r w:rsidRPr="002E4ABF">
        <w:rPr>
          <w:rFonts w:eastAsia="Times New Roman" w:cs="Arial"/>
          <w:color w:val="000000"/>
          <w:szCs w:val="19"/>
          <w:lang w:val="en-US"/>
        </w:rPr>
        <w:t>mal</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пристъпи при събуждане). В това проучване, дозата на леветираиетам е била 3 000 </w:t>
      </w:r>
      <w:r w:rsidRPr="002E4ABF">
        <w:rPr>
          <w:rFonts w:eastAsia="Times New Roman" w:cs="Arial"/>
          <w:color w:val="000000"/>
          <w:szCs w:val="19"/>
          <w:lang w:val="en-US"/>
        </w:rPr>
        <w:t>mg</w:t>
      </w:r>
      <w:r w:rsidRPr="002E4ABF">
        <w:rPr>
          <w:rFonts w:eastAsia="Times New Roman" w:cs="Arial"/>
          <w:color w:val="000000"/>
          <w:szCs w:val="19"/>
          <w:lang w:eastAsia="bg-BG"/>
        </w:rPr>
        <w:t xml:space="preserve">/ден при възрастни или 60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/ден при деца, приемани като 2 отделни дози.</w:t>
      </w:r>
    </w:p>
    <w:p w14:paraId="2BD0C838" w14:textId="46776334" w:rsidR="002E4ABF" w:rsidRPr="002E4ABF" w:rsidRDefault="002E4ABF" w:rsidP="002E4ABF">
      <w:pPr>
        <w:rPr>
          <w:rFonts w:eastAsia="Times New Roman" w:cs="Arial"/>
          <w:color w:val="000000"/>
          <w:szCs w:val="19"/>
          <w:lang w:eastAsia="bg-BG"/>
        </w:rPr>
      </w:pPr>
      <w:r w:rsidRPr="002E4ABF">
        <w:rPr>
          <w:rFonts w:eastAsia="Times New Roman" w:cs="Arial"/>
          <w:color w:val="000000"/>
          <w:szCs w:val="19"/>
          <w:lang w:eastAsia="bg-BG"/>
        </w:rPr>
        <w:t>72,2% от пациентите приемащи леветираиетам и 45,2% от пациентите на плацебо са с 50% или по-голямо намаление на честотата на ПГТК пристъпи за седмица. При продължително дългосрочно лечение 47,4% от пациентите не са получавали тонично-</w:t>
      </w:r>
      <w:r w:rsidRPr="002E4ABF">
        <w:rPr>
          <w:rFonts w:eastAsia="Times New Roman" w:cs="Arial"/>
          <w:color w:val="000000"/>
          <w:szCs w:val="19"/>
          <w:lang w:eastAsia="bg-BG"/>
        </w:rPr>
        <w:lastRenderedPageBreak/>
        <w:t>клонични пристъпи за поне 6 месеца и 31,5% не са получавали тонично-клонични пристъпи за поне 1 година.</w:t>
      </w:r>
    </w:p>
    <w:p w14:paraId="6D25AB63" w14:textId="77777777" w:rsidR="002E4ABF" w:rsidRPr="002E4ABF" w:rsidRDefault="002E4ABF" w:rsidP="002E4ABF"/>
    <w:p w14:paraId="78DD93AA" w14:textId="592CEB93" w:rsidR="00B6672E" w:rsidRDefault="002C50EE" w:rsidP="00936AD0">
      <w:pPr>
        <w:pStyle w:val="Heading2"/>
      </w:pPr>
      <w:r>
        <w:t>5.2. Фармакокинетични свойства</w:t>
      </w:r>
    </w:p>
    <w:p w14:paraId="2B5654EC" w14:textId="2A04B881" w:rsidR="002E4ABF" w:rsidRDefault="002E4ABF" w:rsidP="002E4ABF"/>
    <w:p w14:paraId="6860AB27"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Леветирацетам има висока степен на разтворимост и проникване. Фармакокинетичният му профил е линеен с ниска интра-индивидуална и интер-индивидуална вариабилност. Няма промяна в клирънса след многократно приложение. Няма данни за съществена вариабилност по отношение на пола, расата и циркадния ритъм. Фармакокинетичният профил е сравним при здрави доброволци и пациенти с епилепсия.</w:t>
      </w:r>
    </w:p>
    <w:p w14:paraId="7E2D190E" w14:textId="77777777" w:rsidR="002E4ABF" w:rsidRPr="002E4ABF" w:rsidRDefault="002E4ABF" w:rsidP="002E4ABF">
      <w:pPr>
        <w:spacing w:line="240" w:lineRule="auto"/>
        <w:rPr>
          <w:rFonts w:eastAsia="Times New Roman" w:cs="Arial"/>
          <w:color w:val="000000"/>
          <w:lang w:eastAsia="bg-BG"/>
        </w:rPr>
      </w:pPr>
    </w:p>
    <w:p w14:paraId="5F92D4D4" w14:textId="2780403D"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Поради пълната и линейна абсорбция, плазмените нива могат да бъдат предвидени в зависимост от оралната доза леветираиетам изразени в </w:t>
      </w:r>
      <w:r w:rsidRPr="002E4ABF">
        <w:rPr>
          <w:rFonts w:eastAsia="Times New Roman" w:cs="Arial"/>
          <w:color w:val="000000"/>
          <w:lang w:val="en-US"/>
        </w:rPr>
        <w:t>mg</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 xml:space="preserve"> </w:t>
      </w:r>
      <w:r w:rsidRPr="002E4ABF">
        <w:rPr>
          <w:rFonts w:eastAsia="Times New Roman" w:cs="Arial"/>
          <w:color w:val="000000"/>
          <w:lang w:eastAsia="bg-BG"/>
        </w:rPr>
        <w:t>телесна маса. Ето защо не е необходимо следене на плазмените нива леветираиетам.</w:t>
      </w:r>
    </w:p>
    <w:p w14:paraId="5C93A726" w14:textId="77777777" w:rsidR="002E4ABF" w:rsidRPr="002E4ABF" w:rsidRDefault="002E4ABF" w:rsidP="002E4ABF">
      <w:pPr>
        <w:spacing w:line="240" w:lineRule="auto"/>
        <w:rPr>
          <w:rFonts w:eastAsia="Times New Roman" w:cs="Arial"/>
          <w:color w:val="000000"/>
          <w:lang w:eastAsia="bg-BG"/>
        </w:rPr>
      </w:pPr>
    </w:p>
    <w:p w14:paraId="1EFBA4CE" w14:textId="6C2EDAFA" w:rsidR="002E4ABF" w:rsidRPr="002E4ABF" w:rsidRDefault="002E4ABF" w:rsidP="002E4ABF">
      <w:pPr>
        <w:spacing w:line="240" w:lineRule="auto"/>
        <w:rPr>
          <w:rFonts w:eastAsia="Times New Roman" w:cs="Arial"/>
        </w:rPr>
      </w:pPr>
      <w:r w:rsidRPr="002E4ABF">
        <w:rPr>
          <w:rFonts w:eastAsia="Times New Roman" w:cs="Arial"/>
          <w:color w:val="000000"/>
          <w:lang w:eastAsia="bg-BG"/>
        </w:rPr>
        <w:t>При възрастни и деца е установена значима взаимовръзка между слюнчестата и плазмена концентрация (съотношението слюнка/плазма по отношение на концентрацията варира от 1 до</w:t>
      </w:r>
    </w:p>
    <w:p w14:paraId="36EE39DE" w14:textId="2327376E" w:rsidR="002E4ABF" w:rsidRPr="002E4ABF" w:rsidRDefault="002E4ABF" w:rsidP="002E4ABF">
      <w:pPr>
        <w:spacing w:line="240" w:lineRule="auto"/>
        <w:rPr>
          <w:rFonts w:eastAsia="Times New Roman" w:cs="Arial"/>
          <w:color w:val="000000"/>
          <w:lang w:eastAsia="bg-BG"/>
        </w:rPr>
      </w:pPr>
      <w:r w:rsidRPr="002E4ABF">
        <w:rPr>
          <w:rFonts w:eastAsia="Times New Roman" w:cs="Arial"/>
          <w:color w:val="000000"/>
          <w:lang w:eastAsia="bg-BG"/>
        </w:rPr>
        <w:t>1,7 при оралната таблетна форма и 4 часа след приема на пероралния разтвор.</w:t>
      </w:r>
    </w:p>
    <w:p w14:paraId="32864EDA" w14:textId="658BDD81" w:rsidR="002E4ABF" w:rsidRPr="002E4ABF" w:rsidRDefault="002E4ABF" w:rsidP="002E4ABF">
      <w:pPr>
        <w:spacing w:line="240" w:lineRule="auto"/>
        <w:rPr>
          <w:rFonts w:eastAsia="Times New Roman" w:cs="Arial"/>
          <w:color w:val="000000"/>
          <w:lang w:eastAsia="bg-BG"/>
        </w:rPr>
      </w:pPr>
    </w:p>
    <w:p w14:paraId="3F400A82" w14:textId="77777777" w:rsidR="002E4ABF" w:rsidRPr="002E4ABF" w:rsidRDefault="002E4ABF" w:rsidP="002E4ABF">
      <w:pPr>
        <w:spacing w:line="240" w:lineRule="auto"/>
        <w:rPr>
          <w:rFonts w:eastAsia="Times New Roman" w:cs="Arial"/>
        </w:rPr>
      </w:pPr>
      <w:r w:rsidRPr="002E4ABF">
        <w:rPr>
          <w:rFonts w:eastAsia="Times New Roman" w:cs="Arial"/>
          <w:color w:val="000000"/>
          <w:u w:val="single"/>
          <w:lang w:eastAsia="bg-BG"/>
        </w:rPr>
        <w:t>Възрастни и юноши</w:t>
      </w:r>
    </w:p>
    <w:p w14:paraId="424E0C87" w14:textId="77777777" w:rsidR="002E4ABF" w:rsidRPr="002E4ABF" w:rsidRDefault="002E4ABF" w:rsidP="002E4ABF">
      <w:pPr>
        <w:spacing w:line="240" w:lineRule="auto"/>
        <w:rPr>
          <w:rFonts w:eastAsia="Times New Roman" w:cs="Arial"/>
          <w:color w:val="000000"/>
          <w:u w:val="single"/>
          <w:lang w:eastAsia="bg-BG"/>
        </w:rPr>
      </w:pPr>
    </w:p>
    <w:p w14:paraId="16DFEC6E" w14:textId="564C25AC" w:rsidR="002E4ABF" w:rsidRPr="002E4ABF" w:rsidRDefault="002E4ABF" w:rsidP="002E4ABF">
      <w:pPr>
        <w:pStyle w:val="Heading3"/>
        <w:rPr>
          <w:rFonts w:eastAsia="Times New Roman"/>
          <w:u w:val="single"/>
        </w:rPr>
      </w:pPr>
      <w:r w:rsidRPr="002E4ABF">
        <w:rPr>
          <w:rFonts w:eastAsia="Times New Roman"/>
          <w:u w:val="single"/>
          <w:lang w:eastAsia="bg-BG"/>
        </w:rPr>
        <w:t>Абсорбция</w:t>
      </w:r>
    </w:p>
    <w:p w14:paraId="023CF50B" w14:textId="77777777" w:rsidR="002E4ABF" w:rsidRPr="002E4ABF" w:rsidRDefault="002E4ABF" w:rsidP="002E4ABF">
      <w:pPr>
        <w:spacing w:line="240" w:lineRule="auto"/>
        <w:rPr>
          <w:rFonts w:eastAsia="Times New Roman" w:cs="Arial"/>
          <w:color w:val="000000"/>
          <w:lang w:eastAsia="bg-BG"/>
        </w:rPr>
      </w:pPr>
    </w:p>
    <w:p w14:paraId="277DEB37" w14:textId="4743771A" w:rsidR="002E4ABF" w:rsidRPr="002E4ABF" w:rsidRDefault="002E4ABF" w:rsidP="002E4ABF">
      <w:pPr>
        <w:spacing w:line="240" w:lineRule="auto"/>
        <w:rPr>
          <w:rFonts w:eastAsia="Times New Roman" w:cs="Arial"/>
        </w:rPr>
      </w:pPr>
      <w:r w:rsidRPr="002E4ABF">
        <w:rPr>
          <w:rFonts w:eastAsia="Times New Roman" w:cs="Arial"/>
          <w:color w:val="000000"/>
          <w:lang w:eastAsia="bg-BG"/>
        </w:rPr>
        <w:t>Леветирацетам се абсорбира бързо след перорално приложение. Абсолютната перорална бионаличност е близка до 100%.</w:t>
      </w:r>
    </w:p>
    <w:p w14:paraId="24B559C0"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Пикови плазмени концентрации (С</w:t>
      </w:r>
      <w:r w:rsidRPr="002E4ABF">
        <w:rPr>
          <w:rFonts w:eastAsia="Times New Roman" w:cs="Arial"/>
          <w:color w:val="000000"/>
          <w:vertAlign w:val="subscript"/>
          <w:lang w:val="en-US"/>
        </w:rPr>
        <w:t>max</w:t>
      </w:r>
      <w:r w:rsidRPr="002E4ABF">
        <w:rPr>
          <w:rFonts w:eastAsia="Times New Roman" w:cs="Arial"/>
          <w:color w:val="000000"/>
          <w:lang w:eastAsia="bg-BG"/>
        </w:rPr>
        <w:t>) се достигат 1,3 часа след приема. Стационарно състояние се достига след два дни при схема на приемане 2 пъти дневно. Пиковите концентрации (С</w:t>
      </w:r>
      <w:r w:rsidRPr="002E4ABF">
        <w:rPr>
          <w:rFonts w:eastAsia="Times New Roman" w:cs="Arial"/>
          <w:color w:val="000000"/>
          <w:vertAlign w:val="subscript"/>
          <w:lang w:val="en-US"/>
        </w:rPr>
        <w:t>max</w:t>
      </w:r>
      <w:r w:rsidRPr="002E4ABF">
        <w:rPr>
          <w:rFonts w:eastAsia="Times New Roman" w:cs="Arial"/>
          <w:color w:val="000000"/>
          <w:lang w:eastAsia="bg-BG"/>
        </w:rPr>
        <w:t xml:space="preserve">) са обичайно 31 </w:t>
      </w:r>
      <w:proofErr w:type="spellStart"/>
      <w:r w:rsidRPr="002E4ABF">
        <w:rPr>
          <w:rFonts w:eastAsia="Times New Roman" w:cs="Arial"/>
          <w:color w:val="000000"/>
          <w:lang w:val="en-US"/>
        </w:rPr>
        <w:t>ug</w:t>
      </w:r>
      <w:proofErr w:type="spellEnd"/>
      <w:r w:rsidRPr="002E4ABF">
        <w:rPr>
          <w:rFonts w:eastAsia="Times New Roman" w:cs="Arial"/>
          <w:color w:val="000000"/>
          <w:lang w:val="ru-RU"/>
        </w:rPr>
        <w:t>/</w:t>
      </w:r>
      <w:r w:rsidRPr="002E4ABF">
        <w:rPr>
          <w:rFonts w:eastAsia="Times New Roman" w:cs="Arial"/>
          <w:color w:val="000000"/>
          <w:lang w:val="en-US"/>
        </w:rPr>
        <w:t>ml</w:t>
      </w:r>
      <w:r w:rsidRPr="002E4ABF">
        <w:rPr>
          <w:rFonts w:eastAsia="Times New Roman" w:cs="Arial"/>
          <w:color w:val="000000"/>
          <w:lang w:val="ru-RU"/>
        </w:rPr>
        <w:t xml:space="preserve"> </w:t>
      </w:r>
      <w:r w:rsidRPr="002E4ABF">
        <w:rPr>
          <w:rFonts w:eastAsia="Times New Roman" w:cs="Arial"/>
          <w:color w:val="000000"/>
          <w:lang w:eastAsia="bg-BG"/>
        </w:rPr>
        <w:t xml:space="preserve">и 43 </w:t>
      </w:r>
      <w:proofErr w:type="spellStart"/>
      <w:r w:rsidRPr="002E4ABF">
        <w:rPr>
          <w:rFonts w:eastAsia="Times New Roman" w:cs="Arial"/>
          <w:color w:val="000000"/>
          <w:lang w:val="en-US"/>
        </w:rPr>
        <w:t>ug</w:t>
      </w:r>
      <w:proofErr w:type="spellEnd"/>
      <w:r w:rsidRPr="002E4ABF">
        <w:rPr>
          <w:rFonts w:eastAsia="Times New Roman" w:cs="Arial"/>
          <w:color w:val="000000"/>
          <w:lang w:val="ru-RU"/>
        </w:rPr>
        <w:t>/</w:t>
      </w:r>
      <w:r w:rsidRPr="002E4ABF">
        <w:rPr>
          <w:rFonts w:eastAsia="Times New Roman" w:cs="Arial"/>
          <w:color w:val="000000"/>
          <w:lang w:val="en-US"/>
        </w:rPr>
        <w:t>ml</w:t>
      </w:r>
      <w:r w:rsidRPr="002E4ABF">
        <w:rPr>
          <w:rFonts w:eastAsia="Times New Roman" w:cs="Arial"/>
          <w:color w:val="000000"/>
          <w:lang w:val="ru-RU"/>
        </w:rPr>
        <w:t xml:space="preserve"> </w:t>
      </w:r>
      <w:r w:rsidRPr="002E4ABF">
        <w:rPr>
          <w:rFonts w:eastAsia="Times New Roman" w:cs="Arial"/>
          <w:color w:val="000000"/>
          <w:lang w:eastAsia="bg-BG"/>
        </w:rPr>
        <w:t xml:space="preserve">съответно след еднократна доза 1 000 </w:t>
      </w:r>
      <w:r w:rsidRPr="002E4ABF">
        <w:rPr>
          <w:rFonts w:eastAsia="Times New Roman" w:cs="Arial"/>
          <w:color w:val="000000"/>
          <w:lang w:val="en-US"/>
        </w:rPr>
        <w:t>mg</w:t>
      </w:r>
      <w:r w:rsidRPr="002E4ABF">
        <w:rPr>
          <w:rFonts w:eastAsia="Times New Roman" w:cs="Arial"/>
          <w:color w:val="000000"/>
          <w:lang w:val="ru-RU"/>
        </w:rPr>
        <w:t xml:space="preserve"> </w:t>
      </w:r>
      <w:r w:rsidRPr="002E4ABF">
        <w:rPr>
          <w:rFonts w:eastAsia="Times New Roman" w:cs="Arial"/>
          <w:color w:val="000000"/>
          <w:lang w:eastAsia="bg-BG"/>
        </w:rPr>
        <w:t xml:space="preserve">и многократно, два пъти дневно приложение на 1 000 </w:t>
      </w:r>
      <w:r w:rsidRPr="002E4ABF">
        <w:rPr>
          <w:rFonts w:eastAsia="Times New Roman" w:cs="Arial"/>
          <w:color w:val="000000"/>
          <w:lang w:val="en-US"/>
        </w:rPr>
        <w:t>mg</w:t>
      </w:r>
      <w:r w:rsidRPr="002E4ABF">
        <w:rPr>
          <w:rFonts w:eastAsia="Times New Roman" w:cs="Arial"/>
          <w:color w:val="000000"/>
          <w:lang w:val="ru-RU"/>
        </w:rPr>
        <w:t xml:space="preserve">. </w:t>
      </w:r>
      <w:r w:rsidRPr="002E4ABF">
        <w:rPr>
          <w:rFonts w:eastAsia="Times New Roman" w:cs="Arial"/>
          <w:color w:val="000000"/>
          <w:lang w:eastAsia="bg-BG"/>
        </w:rPr>
        <w:t>Степента на абсорбция не зависи от дозата и не се влияе от храната.</w:t>
      </w:r>
    </w:p>
    <w:p w14:paraId="1EB300D9" w14:textId="77777777" w:rsidR="002E4ABF" w:rsidRPr="002E4ABF" w:rsidRDefault="002E4ABF" w:rsidP="002E4ABF">
      <w:pPr>
        <w:spacing w:line="240" w:lineRule="auto"/>
        <w:rPr>
          <w:rFonts w:eastAsia="Times New Roman" w:cs="Arial"/>
          <w:color w:val="000000"/>
          <w:u w:val="single"/>
          <w:lang w:eastAsia="bg-BG"/>
        </w:rPr>
      </w:pPr>
    </w:p>
    <w:p w14:paraId="5C40DA23" w14:textId="77915D3E" w:rsidR="002E4ABF" w:rsidRPr="002E4ABF" w:rsidRDefault="002E4ABF" w:rsidP="002E4ABF">
      <w:pPr>
        <w:pStyle w:val="Heading3"/>
        <w:rPr>
          <w:u w:val="single"/>
        </w:rPr>
      </w:pPr>
      <w:r w:rsidRPr="002E4ABF">
        <w:rPr>
          <w:rFonts w:eastAsia="Times New Roman"/>
          <w:u w:val="single"/>
          <w:lang w:eastAsia="bg-BG"/>
        </w:rPr>
        <w:t>Разпределение</w:t>
      </w:r>
    </w:p>
    <w:p w14:paraId="75E797C3" w14:textId="77777777" w:rsidR="002E4ABF" w:rsidRPr="002E4ABF" w:rsidRDefault="002E4ABF" w:rsidP="002E4ABF">
      <w:pPr>
        <w:spacing w:line="240" w:lineRule="auto"/>
        <w:rPr>
          <w:rFonts w:eastAsia="Times New Roman" w:cs="Arial"/>
          <w:i/>
          <w:iCs/>
          <w:color w:val="000000"/>
          <w:lang w:eastAsia="bg-BG"/>
        </w:rPr>
      </w:pPr>
    </w:p>
    <w:p w14:paraId="3EFD642E" w14:textId="54344FD6" w:rsidR="002E4ABF" w:rsidRPr="002E4ABF" w:rsidRDefault="002E4ABF" w:rsidP="002E4ABF">
      <w:pPr>
        <w:spacing w:line="240" w:lineRule="auto"/>
        <w:rPr>
          <w:rFonts w:eastAsia="Times New Roman" w:cs="Arial"/>
        </w:rPr>
      </w:pPr>
      <w:r w:rsidRPr="002E4ABF">
        <w:rPr>
          <w:rFonts w:eastAsia="Times New Roman" w:cs="Arial"/>
          <w:i/>
          <w:iCs/>
          <w:color w:val="000000"/>
          <w:lang w:eastAsia="bg-BG"/>
        </w:rPr>
        <w:t>Няма данни за птьканнопю разпределение при хора.</w:t>
      </w:r>
    </w:p>
    <w:p w14:paraId="19F90F08"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Нито леветирацетам, нито неговия първичен метаболит се свързват в значителна степен с плазмените протеини (&lt; 10%). Обема на разпределение на леветирацетам е приблизително 0,5 до 0,7 </w:t>
      </w:r>
      <w:r w:rsidRPr="002E4ABF">
        <w:rPr>
          <w:rFonts w:eastAsia="Times New Roman" w:cs="Arial"/>
          <w:color w:val="000000"/>
          <w:lang w:val="en-US"/>
        </w:rPr>
        <w:t>l</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 xml:space="preserve">, </w:t>
      </w:r>
      <w:r w:rsidRPr="002E4ABF">
        <w:rPr>
          <w:rFonts w:eastAsia="Times New Roman" w:cs="Arial"/>
          <w:color w:val="000000"/>
          <w:lang w:eastAsia="bg-BG"/>
        </w:rPr>
        <w:t>което е близо до общия воден обем на организма.</w:t>
      </w:r>
    </w:p>
    <w:p w14:paraId="6FE76CE2" w14:textId="77777777" w:rsidR="002E4ABF" w:rsidRPr="002E4ABF" w:rsidRDefault="002E4ABF" w:rsidP="002E4ABF">
      <w:pPr>
        <w:spacing w:line="240" w:lineRule="auto"/>
        <w:rPr>
          <w:rFonts w:eastAsia="Times New Roman" w:cs="Arial"/>
          <w:color w:val="000000"/>
          <w:u w:val="single"/>
          <w:lang w:eastAsia="bg-BG"/>
        </w:rPr>
      </w:pPr>
    </w:p>
    <w:p w14:paraId="02C262FA" w14:textId="50B5F792" w:rsidR="002E4ABF" w:rsidRPr="002E4ABF" w:rsidRDefault="002E4ABF" w:rsidP="002E4ABF">
      <w:pPr>
        <w:pStyle w:val="Heading3"/>
        <w:rPr>
          <w:rFonts w:eastAsia="Times New Roman"/>
          <w:u w:val="single"/>
        </w:rPr>
      </w:pPr>
      <w:r w:rsidRPr="002E4ABF">
        <w:rPr>
          <w:rFonts w:eastAsia="Times New Roman"/>
          <w:u w:val="single"/>
          <w:lang w:eastAsia="bg-BG"/>
        </w:rPr>
        <w:t>Биотрансформация</w:t>
      </w:r>
    </w:p>
    <w:p w14:paraId="2280F1E5" w14:textId="77777777" w:rsidR="002E4ABF" w:rsidRPr="002E4ABF" w:rsidRDefault="002E4ABF" w:rsidP="002E4ABF">
      <w:pPr>
        <w:spacing w:line="240" w:lineRule="auto"/>
        <w:rPr>
          <w:rFonts w:eastAsia="Times New Roman" w:cs="Arial"/>
          <w:color w:val="000000"/>
          <w:lang w:eastAsia="bg-BG"/>
        </w:rPr>
      </w:pPr>
    </w:p>
    <w:p w14:paraId="765BC5B7" w14:textId="3DA2EAC2" w:rsidR="002E4ABF" w:rsidRPr="002E4ABF" w:rsidRDefault="002E4ABF" w:rsidP="002E4ABF">
      <w:pPr>
        <w:spacing w:line="240" w:lineRule="auto"/>
        <w:rPr>
          <w:rFonts w:eastAsia="Times New Roman" w:cs="Arial"/>
          <w:color w:val="000000"/>
          <w:lang w:eastAsia="bg-BG"/>
        </w:rPr>
      </w:pPr>
      <w:r w:rsidRPr="002E4ABF">
        <w:rPr>
          <w:rFonts w:eastAsia="Times New Roman" w:cs="Arial"/>
          <w:color w:val="000000"/>
          <w:lang w:eastAsia="bg-BG"/>
        </w:rPr>
        <w:t>Леветирацетам не се метаболизира екстензивно при хора. Глав</w:t>
      </w:r>
      <w:r>
        <w:rPr>
          <w:rFonts w:eastAsia="Times New Roman" w:cs="Arial"/>
          <w:color w:val="000000"/>
          <w:lang w:eastAsia="bg-BG"/>
        </w:rPr>
        <w:t xml:space="preserve">ният път на метаболизъм (24% от </w:t>
      </w:r>
      <w:r w:rsidRPr="002E4ABF">
        <w:rPr>
          <w:rFonts w:eastAsia="Times New Roman" w:cs="Arial"/>
          <w:color w:val="000000"/>
          <w:lang w:eastAsia="bg-BG"/>
        </w:rPr>
        <w:t xml:space="preserve">дозата) е ензимна хидролиза на ацетамидната група. В образуването на първичния метаболит, </w:t>
      </w:r>
      <w:proofErr w:type="spellStart"/>
      <w:r w:rsidRPr="002E4ABF">
        <w:rPr>
          <w:rFonts w:eastAsia="Times New Roman" w:cs="Arial"/>
          <w:color w:val="000000"/>
          <w:lang w:val="en-US"/>
        </w:rPr>
        <w:t>ucb</w:t>
      </w:r>
      <w:proofErr w:type="spellEnd"/>
      <w:r w:rsidRPr="002E4ABF">
        <w:rPr>
          <w:rFonts w:eastAsia="Times New Roman" w:cs="Arial"/>
          <w:color w:val="000000"/>
          <w:lang w:val="ru-RU"/>
        </w:rPr>
        <w:t xml:space="preserve"> </w:t>
      </w:r>
      <w:r w:rsidRPr="002E4ABF">
        <w:rPr>
          <w:rFonts w:eastAsia="Times New Roman" w:cs="Arial"/>
          <w:color w:val="000000"/>
          <w:lang w:val="en-US"/>
        </w:rPr>
        <w:t>L</w:t>
      </w:r>
      <w:r w:rsidRPr="002E4ABF">
        <w:rPr>
          <w:rFonts w:eastAsia="Times New Roman" w:cs="Arial"/>
          <w:color w:val="000000"/>
          <w:lang w:val="ru-RU"/>
        </w:rPr>
        <w:t xml:space="preserve">057, </w:t>
      </w:r>
      <w:r w:rsidRPr="002E4ABF">
        <w:rPr>
          <w:rFonts w:eastAsia="Times New Roman" w:cs="Arial"/>
          <w:color w:val="000000"/>
          <w:lang w:eastAsia="bg-BG"/>
        </w:rPr>
        <w:t xml:space="preserve">не участват чернодробните цитохром Р450 изоформи. Хидролизата на ацетамидната група е установена в голям брой тъкани, включително кръвни клетки. Метаболитьт </w:t>
      </w:r>
      <w:proofErr w:type="spellStart"/>
      <w:r w:rsidRPr="002E4ABF">
        <w:rPr>
          <w:rFonts w:eastAsia="Times New Roman" w:cs="Arial"/>
          <w:color w:val="000000"/>
          <w:lang w:val="en-US"/>
        </w:rPr>
        <w:t>ucb</w:t>
      </w:r>
      <w:proofErr w:type="spellEnd"/>
      <w:r w:rsidRPr="002E4ABF">
        <w:rPr>
          <w:rFonts w:eastAsia="Times New Roman" w:cs="Arial"/>
          <w:color w:val="000000"/>
          <w:lang w:val="ru-RU"/>
        </w:rPr>
        <w:t xml:space="preserve"> </w:t>
      </w:r>
      <w:r w:rsidRPr="002E4ABF">
        <w:rPr>
          <w:rFonts w:eastAsia="Times New Roman" w:cs="Arial"/>
          <w:color w:val="000000"/>
          <w:lang w:val="en-US"/>
        </w:rPr>
        <w:t>L</w:t>
      </w:r>
      <w:r w:rsidRPr="002E4ABF">
        <w:rPr>
          <w:rFonts w:eastAsia="Times New Roman" w:cs="Arial"/>
          <w:color w:val="000000"/>
          <w:lang w:val="ru-RU"/>
        </w:rPr>
        <w:t xml:space="preserve">057 </w:t>
      </w:r>
      <w:r w:rsidRPr="002E4ABF">
        <w:rPr>
          <w:rFonts w:eastAsia="Times New Roman" w:cs="Arial"/>
          <w:color w:val="000000"/>
          <w:lang w:eastAsia="bg-BG"/>
        </w:rPr>
        <w:t>е фармакологично неактивен.</w:t>
      </w:r>
    </w:p>
    <w:p w14:paraId="0E272A97" w14:textId="77777777" w:rsidR="002E4ABF" w:rsidRPr="002E4ABF" w:rsidRDefault="002E4ABF" w:rsidP="002E4ABF">
      <w:pPr>
        <w:spacing w:line="240" w:lineRule="auto"/>
        <w:rPr>
          <w:rFonts w:eastAsia="Times New Roman" w:cs="Arial"/>
          <w:color w:val="000000"/>
          <w:lang w:eastAsia="bg-BG"/>
        </w:rPr>
      </w:pPr>
    </w:p>
    <w:p w14:paraId="39BD06D4" w14:textId="1D5983EF" w:rsidR="002E4ABF" w:rsidRPr="002E4ABF" w:rsidRDefault="002E4ABF" w:rsidP="002E4ABF">
      <w:pPr>
        <w:spacing w:line="240" w:lineRule="auto"/>
        <w:rPr>
          <w:rFonts w:eastAsia="Times New Roman" w:cs="Arial"/>
        </w:rPr>
      </w:pPr>
      <w:r w:rsidRPr="002E4ABF">
        <w:rPr>
          <w:rFonts w:eastAsia="Times New Roman" w:cs="Arial"/>
          <w:color w:val="000000"/>
          <w:lang w:eastAsia="bg-BG"/>
        </w:rPr>
        <w:lastRenderedPageBreak/>
        <w:t>Установени са също и два второстепенни метаболита. Единият се получава от хидроксилирането (1,6% от дозата), а другият от отварянето на пиролидоновия пръстен (0,9% от дозата). Другите неидентифицирани компоненти са само 0,6% от дозата.</w:t>
      </w:r>
    </w:p>
    <w:p w14:paraId="23BBBB79" w14:textId="77777777" w:rsidR="002E4ABF" w:rsidRPr="002E4ABF" w:rsidRDefault="002E4ABF" w:rsidP="002E4ABF">
      <w:pPr>
        <w:spacing w:line="240" w:lineRule="auto"/>
        <w:rPr>
          <w:rFonts w:eastAsia="Times New Roman" w:cs="Arial"/>
        </w:rPr>
      </w:pPr>
      <w:r w:rsidRPr="002E4ABF">
        <w:rPr>
          <w:rFonts w:eastAsia="Times New Roman" w:cs="Arial"/>
          <w:i/>
          <w:iCs/>
          <w:color w:val="000000"/>
          <w:lang w:val="en-US"/>
        </w:rPr>
        <w:t>In</w:t>
      </w:r>
      <w:r w:rsidRPr="002E4ABF">
        <w:rPr>
          <w:rFonts w:eastAsia="Times New Roman" w:cs="Arial"/>
          <w:i/>
          <w:iCs/>
          <w:color w:val="000000"/>
          <w:lang w:val="ru-RU"/>
        </w:rPr>
        <w:t xml:space="preserve"> </w:t>
      </w:r>
      <w:r w:rsidRPr="002E4ABF">
        <w:rPr>
          <w:rFonts w:eastAsia="Times New Roman" w:cs="Arial"/>
          <w:i/>
          <w:iCs/>
          <w:color w:val="000000"/>
          <w:lang w:val="en-US"/>
        </w:rPr>
        <w:t>vivo</w:t>
      </w:r>
      <w:r w:rsidRPr="002E4ABF">
        <w:rPr>
          <w:rFonts w:eastAsia="Times New Roman" w:cs="Arial"/>
          <w:color w:val="000000"/>
          <w:lang w:val="ru-RU"/>
        </w:rPr>
        <w:t xml:space="preserve"> </w:t>
      </w:r>
      <w:r w:rsidRPr="002E4ABF">
        <w:rPr>
          <w:rFonts w:eastAsia="Times New Roman" w:cs="Arial"/>
          <w:color w:val="000000"/>
          <w:lang w:eastAsia="bg-BG"/>
        </w:rPr>
        <w:t>не е установена вътрешна конверсия на енантиомерите както на леветирацетам, така и на неговия първичен метаболит.</w:t>
      </w:r>
    </w:p>
    <w:p w14:paraId="7413DD3B" w14:textId="77777777" w:rsidR="002E4ABF" w:rsidRPr="002E4ABF" w:rsidRDefault="002E4ABF" w:rsidP="002E4ABF">
      <w:pPr>
        <w:spacing w:line="240" w:lineRule="auto"/>
        <w:rPr>
          <w:rFonts w:eastAsia="Times New Roman" w:cs="Arial"/>
        </w:rPr>
      </w:pPr>
      <w:r w:rsidRPr="002E4ABF">
        <w:rPr>
          <w:rFonts w:eastAsia="Times New Roman" w:cs="Arial"/>
          <w:i/>
          <w:iCs/>
          <w:color w:val="000000"/>
          <w:lang w:val="en-US"/>
        </w:rPr>
        <w:t>In</w:t>
      </w:r>
      <w:r w:rsidRPr="002E4ABF">
        <w:rPr>
          <w:rFonts w:eastAsia="Times New Roman" w:cs="Arial"/>
          <w:i/>
          <w:iCs/>
          <w:color w:val="000000"/>
          <w:lang w:val="ru-RU"/>
        </w:rPr>
        <w:t xml:space="preserve"> </w:t>
      </w:r>
      <w:r w:rsidRPr="002E4ABF">
        <w:rPr>
          <w:rFonts w:eastAsia="Times New Roman" w:cs="Arial"/>
          <w:i/>
          <w:iCs/>
          <w:color w:val="000000"/>
          <w:lang w:val="en-US"/>
        </w:rPr>
        <w:t>vitro</w:t>
      </w:r>
      <w:r w:rsidRPr="002E4ABF">
        <w:rPr>
          <w:rFonts w:eastAsia="Times New Roman" w:cs="Arial"/>
          <w:i/>
          <w:iCs/>
          <w:color w:val="000000"/>
          <w:lang w:val="ru-RU"/>
        </w:rPr>
        <w:t>,</w:t>
      </w:r>
      <w:r w:rsidRPr="002E4ABF">
        <w:rPr>
          <w:rFonts w:eastAsia="Times New Roman" w:cs="Arial"/>
          <w:color w:val="000000"/>
          <w:lang w:val="ru-RU"/>
        </w:rPr>
        <w:t xml:space="preserve"> </w:t>
      </w:r>
      <w:r w:rsidRPr="002E4ABF">
        <w:rPr>
          <w:rFonts w:eastAsia="Times New Roman" w:cs="Arial"/>
          <w:color w:val="000000"/>
          <w:lang w:eastAsia="bg-BG"/>
        </w:rPr>
        <w:t>леветирацетам и неговият първичен метаболит не инхибират изоформите на главния чернодробен комплекс у хората - цитохром Р</w:t>
      </w:r>
      <w:r w:rsidRPr="002E4ABF">
        <w:rPr>
          <w:rFonts w:eastAsia="Times New Roman" w:cs="Arial"/>
          <w:color w:val="000000"/>
          <w:vertAlign w:val="subscript"/>
          <w:lang w:eastAsia="bg-BG"/>
        </w:rPr>
        <w:t>450</w:t>
      </w:r>
      <w:r w:rsidRPr="002E4ABF">
        <w:rPr>
          <w:rFonts w:eastAsia="Times New Roman" w:cs="Arial"/>
          <w:color w:val="000000"/>
          <w:lang w:eastAsia="bg-BG"/>
        </w:rPr>
        <w:t xml:space="preserve"> </w:t>
      </w:r>
      <w:r w:rsidRPr="002E4ABF">
        <w:rPr>
          <w:rFonts w:eastAsia="Times New Roman" w:cs="Arial"/>
          <w:color w:val="000000"/>
          <w:lang w:val="ru-RU"/>
        </w:rPr>
        <w:t>(</w:t>
      </w:r>
      <w:r w:rsidRPr="002E4ABF">
        <w:rPr>
          <w:rFonts w:eastAsia="Times New Roman" w:cs="Arial"/>
          <w:color w:val="000000"/>
          <w:lang w:val="en-US"/>
        </w:rPr>
        <w:t>CYP</w:t>
      </w:r>
      <w:r w:rsidRPr="002E4ABF">
        <w:rPr>
          <w:rFonts w:eastAsia="Times New Roman" w:cs="Arial"/>
          <w:color w:val="000000"/>
          <w:lang w:val="ru-RU"/>
        </w:rPr>
        <w:t>3</w:t>
      </w:r>
      <w:r w:rsidRPr="002E4ABF">
        <w:rPr>
          <w:rFonts w:eastAsia="Times New Roman" w:cs="Arial"/>
          <w:color w:val="000000"/>
          <w:lang w:val="en-US"/>
        </w:rPr>
        <w:t>A</w:t>
      </w:r>
      <w:r w:rsidRPr="002E4ABF">
        <w:rPr>
          <w:rFonts w:eastAsia="Times New Roman" w:cs="Arial"/>
          <w:color w:val="000000"/>
          <w:lang w:val="ru-RU"/>
        </w:rPr>
        <w:t xml:space="preserve">4, </w:t>
      </w:r>
      <w:r w:rsidRPr="002E4ABF">
        <w:rPr>
          <w:rFonts w:eastAsia="Times New Roman" w:cs="Arial"/>
          <w:color w:val="000000"/>
          <w:lang w:eastAsia="bg-BG"/>
        </w:rPr>
        <w:t xml:space="preserve">2А6, 2С9, 2С19, </w:t>
      </w:r>
      <w:r w:rsidRPr="002E4ABF">
        <w:rPr>
          <w:rFonts w:eastAsia="Times New Roman" w:cs="Arial"/>
          <w:color w:val="000000"/>
          <w:lang w:val="ru-RU"/>
        </w:rPr>
        <w:t>2</w:t>
      </w:r>
      <w:r w:rsidRPr="002E4ABF">
        <w:rPr>
          <w:rFonts w:eastAsia="Times New Roman" w:cs="Arial"/>
          <w:color w:val="000000"/>
          <w:lang w:val="en-US"/>
        </w:rPr>
        <w:t>D</w:t>
      </w:r>
      <w:r w:rsidRPr="002E4ABF">
        <w:rPr>
          <w:rFonts w:eastAsia="Times New Roman" w:cs="Arial"/>
          <w:color w:val="000000"/>
          <w:lang w:val="ru-RU"/>
        </w:rPr>
        <w:t xml:space="preserve">6, </w:t>
      </w:r>
      <w:r w:rsidRPr="002E4ABF">
        <w:rPr>
          <w:rFonts w:eastAsia="Times New Roman" w:cs="Arial"/>
          <w:color w:val="000000"/>
          <w:lang w:eastAsia="bg-BG"/>
        </w:rPr>
        <w:t xml:space="preserve">2Е1 и 1А2), глюкоронил трансферазата </w:t>
      </w:r>
      <w:r w:rsidRPr="002E4ABF">
        <w:rPr>
          <w:rFonts w:eastAsia="Times New Roman" w:cs="Arial"/>
          <w:color w:val="000000"/>
          <w:lang w:val="ru-RU"/>
        </w:rPr>
        <w:t>(</w:t>
      </w:r>
      <w:r w:rsidRPr="002E4ABF">
        <w:rPr>
          <w:rFonts w:eastAsia="Times New Roman" w:cs="Arial"/>
          <w:color w:val="000000"/>
          <w:lang w:val="en-US"/>
        </w:rPr>
        <w:t>UGT</w:t>
      </w:r>
      <w:r w:rsidRPr="002E4ABF">
        <w:rPr>
          <w:rFonts w:eastAsia="Times New Roman" w:cs="Arial"/>
          <w:color w:val="000000"/>
          <w:lang w:val="ru-RU"/>
        </w:rPr>
        <w:t>1</w:t>
      </w:r>
      <w:r w:rsidRPr="002E4ABF">
        <w:rPr>
          <w:rFonts w:eastAsia="Times New Roman" w:cs="Arial"/>
          <w:color w:val="000000"/>
          <w:lang w:val="en-US"/>
        </w:rPr>
        <w:t>A</w:t>
      </w:r>
      <w:r w:rsidRPr="002E4ABF">
        <w:rPr>
          <w:rFonts w:eastAsia="Times New Roman" w:cs="Arial"/>
          <w:color w:val="000000"/>
          <w:lang w:val="ru-RU"/>
        </w:rPr>
        <w:t xml:space="preserve">1 </w:t>
      </w:r>
      <w:r w:rsidRPr="002E4ABF">
        <w:rPr>
          <w:rFonts w:eastAsia="Times New Roman" w:cs="Arial"/>
          <w:color w:val="000000"/>
          <w:lang w:val="en-US"/>
        </w:rPr>
        <w:t>AND</w:t>
      </w:r>
      <w:r w:rsidRPr="002E4ABF">
        <w:rPr>
          <w:rFonts w:eastAsia="Times New Roman" w:cs="Arial"/>
          <w:color w:val="000000"/>
          <w:lang w:val="ru-RU"/>
        </w:rPr>
        <w:t xml:space="preserve"> </w:t>
      </w:r>
      <w:r w:rsidRPr="002E4ABF">
        <w:rPr>
          <w:rFonts w:eastAsia="Times New Roman" w:cs="Arial"/>
          <w:color w:val="000000"/>
          <w:lang w:val="en-US"/>
        </w:rPr>
        <w:t>UGT</w:t>
      </w:r>
      <w:r w:rsidRPr="002E4ABF">
        <w:rPr>
          <w:rFonts w:eastAsia="Times New Roman" w:cs="Arial"/>
          <w:color w:val="000000"/>
          <w:lang w:val="ru-RU"/>
        </w:rPr>
        <w:t>1</w:t>
      </w:r>
      <w:r w:rsidRPr="002E4ABF">
        <w:rPr>
          <w:rFonts w:eastAsia="Times New Roman" w:cs="Arial"/>
          <w:color w:val="000000"/>
          <w:lang w:val="en-US"/>
        </w:rPr>
        <w:t>A</w:t>
      </w:r>
      <w:r w:rsidRPr="002E4ABF">
        <w:rPr>
          <w:rFonts w:eastAsia="Times New Roman" w:cs="Arial"/>
          <w:color w:val="000000"/>
          <w:lang w:val="ru-RU"/>
        </w:rPr>
        <w:t xml:space="preserve">6) </w:t>
      </w:r>
      <w:r w:rsidRPr="002E4ABF">
        <w:rPr>
          <w:rFonts w:eastAsia="Times New Roman" w:cs="Arial"/>
          <w:color w:val="000000"/>
          <w:lang w:eastAsia="bg-BG"/>
        </w:rPr>
        <w:t xml:space="preserve">и епоксид хидроксилазната активност. В допълнение, леветирацетам не въздейства </w:t>
      </w:r>
      <w:r w:rsidRPr="002E4ABF">
        <w:rPr>
          <w:rFonts w:eastAsia="Times New Roman" w:cs="Arial"/>
          <w:i/>
          <w:iCs/>
          <w:color w:val="000000"/>
          <w:lang w:val="en-US"/>
        </w:rPr>
        <w:t>in</w:t>
      </w:r>
      <w:r w:rsidRPr="002E4ABF">
        <w:rPr>
          <w:rFonts w:eastAsia="Times New Roman" w:cs="Arial"/>
          <w:i/>
          <w:iCs/>
          <w:color w:val="000000"/>
          <w:lang w:val="ru-RU"/>
        </w:rPr>
        <w:t xml:space="preserve"> </w:t>
      </w:r>
      <w:r w:rsidRPr="002E4ABF">
        <w:rPr>
          <w:rFonts w:eastAsia="Times New Roman" w:cs="Arial"/>
          <w:i/>
          <w:iCs/>
          <w:color w:val="000000"/>
          <w:lang w:val="en-US"/>
        </w:rPr>
        <w:t>vitro</w:t>
      </w:r>
      <w:r w:rsidRPr="002E4ABF">
        <w:rPr>
          <w:rFonts w:eastAsia="Times New Roman" w:cs="Arial"/>
          <w:color w:val="000000"/>
          <w:lang w:val="ru-RU"/>
        </w:rPr>
        <w:t xml:space="preserve"> </w:t>
      </w:r>
      <w:r w:rsidRPr="002E4ABF">
        <w:rPr>
          <w:rFonts w:eastAsia="Times New Roman" w:cs="Arial"/>
          <w:color w:val="000000"/>
          <w:lang w:eastAsia="bg-BG"/>
        </w:rPr>
        <w:t>върху глюкуронирането на вал просва киселина.</w:t>
      </w:r>
    </w:p>
    <w:p w14:paraId="391B1D31"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В култури от човешки хепатоцити леветирацетам оказва слаб или е без ефект върху </w:t>
      </w:r>
      <w:r w:rsidRPr="002E4ABF">
        <w:rPr>
          <w:rFonts w:eastAsia="Times New Roman" w:cs="Arial"/>
          <w:color w:val="000000"/>
          <w:lang w:val="en-US"/>
        </w:rPr>
        <w:t>CYP</w:t>
      </w:r>
      <w:r w:rsidRPr="002E4ABF">
        <w:rPr>
          <w:rFonts w:eastAsia="Times New Roman" w:cs="Arial"/>
          <w:color w:val="000000"/>
          <w:lang w:val="ru-RU"/>
        </w:rPr>
        <w:t>1</w:t>
      </w:r>
      <w:r w:rsidRPr="002E4ABF">
        <w:rPr>
          <w:rFonts w:eastAsia="Times New Roman" w:cs="Arial"/>
          <w:color w:val="000000"/>
          <w:lang w:eastAsia="bg-BG"/>
        </w:rPr>
        <w:t xml:space="preserve">А2. </w:t>
      </w:r>
      <w:r w:rsidRPr="002E4ABF">
        <w:rPr>
          <w:rFonts w:eastAsia="Times New Roman" w:cs="Arial"/>
          <w:color w:val="000000"/>
          <w:lang w:val="en-US"/>
        </w:rPr>
        <w:t>SULT</w:t>
      </w:r>
      <w:r w:rsidRPr="002E4ABF">
        <w:rPr>
          <w:rFonts w:eastAsia="Times New Roman" w:cs="Arial"/>
          <w:color w:val="000000"/>
        </w:rPr>
        <w:t>1</w:t>
      </w:r>
      <w:r w:rsidRPr="002E4ABF">
        <w:rPr>
          <w:rFonts w:eastAsia="Times New Roman" w:cs="Arial"/>
          <w:color w:val="000000"/>
          <w:lang w:val="en-US"/>
        </w:rPr>
        <w:t>E</w:t>
      </w:r>
      <w:r w:rsidRPr="002E4ABF">
        <w:rPr>
          <w:rFonts w:eastAsia="Times New Roman" w:cs="Arial"/>
          <w:color w:val="000000"/>
        </w:rPr>
        <w:t xml:space="preserve">1 </w:t>
      </w:r>
      <w:r w:rsidRPr="002E4ABF">
        <w:rPr>
          <w:rFonts w:eastAsia="Times New Roman" w:cs="Arial"/>
          <w:color w:val="000000"/>
          <w:lang w:eastAsia="bg-BG"/>
        </w:rPr>
        <w:t xml:space="preserve">или </w:t>
      </w:r>
      <w:r w:rsidRPr="002E4ABF">
        <w:rPr>
          <w:rFonts w:eastAsia="Times New Roman" w:cs="Arial"/>
          <w:color w:val="000000"/>
          <w:lang w:val="en-US"/>
        </w:rPr>
        <w:t>UGT</w:t>
      </w:r>
      <w:r w:rsidRPr="002E4ABF">
        <w:rPr>
          <w:rFonts w:eastAsia="Times New Roman" w:cs="Arial"/>
          <w:color w:val="000000"/>
        </w:rPr>
        <w:t>1</w:t>
      </w:r>
      <w:r w:rsidRPr="002E4ABF">
        <w:rPr>
          <w:rFonts w:eastAsia="Times New Roman" w:cs="Arial"/>
          <w:color w:val="000000"/>
          <w:lang w:val="en-US"/>
        </w:rPr>
        <w:t>A</w:t>
      </w:r>
      <w:r w:rsidRPr="002E4ABF">
        <w:rPr>
          <w:rFonts w:eastAsia="Times New Roman" w:cs="Arial"/>
          <w:color w:val="000000"/>
        </w:rPr>
        <w:t xml:space="preserve">1. </w:t>
      </w:r>
      <w:r w:rsidRPr="002E4ABF">
        <w:rPr>
          <w:rFonts w:eastAsia="Times New Roman" w:cs="Arial"/>
          <w:color w:val="000000"/>
          <w:lang w:eastAsia="bg-BG"/>
        </w:rPr>
        <w:t xml:space="preserve">Леветирацетам умерено индуцира </w:t>
      </w:r>
      <w:r w:rsidRPr="002E4ABF">
        <w:rPr>
          <w:rFonts w:eastAsia="Times New Roman" w:cs="Arial"/>
          <w:color w:val="000000"/>
          <w:lang w:val="en-US"/>
        </w:rPr>
        <w:t>CYP</w:t>
      </w:r>
      <w:r w:rsidRPr="002E4ABF">
        <w:rPr>
          <w:rFonts w:eastAsia="Times New Roman" w:cs="Arial"/>
          <w:color w:val="000000"/>
        </w:rPr>
        <w:t>2</w:t>
      </w:r>
      <w:r w:rsidRPr="002E4ABF">
        <w:rPr>
          <w:rFonts w:eastAsia="Times New Roman" w:cs="Arial"/>
          <w:color w:val="000000"/>
          <w:lang w:val="en-US"/>
        </w:rPr>
        <w:t>B</w:t>
      </w:r>
      <w:r w:rsidRPr="002E4ABF">
        <w:rPr>
          <w:rFonts w:eastAsia="Times New Roman" w:cs="Arial"/>
          <w:color w:val="000000"/>
        </w:rPr>
        <w:t xml:space="preserve">6 </w:t>
      </w:r>
      <w:r w:rsidRPr="002E4ABF">
        <w:rPr>
          <w:rFonts w:eastAsia="Times New Roman" w:cs="Arial"/>
          <w:color w:val="000000"/>
          <w:lang w:eastAsia="bg-BG"/>
        </w:rPr>
        <w:t xml:space="preserve">и </w:t>
      </w:r>
      <w:r w:rsidRPr="002E4ABF">
        <w:rPr>
          <w:rFonts w:eastAsia="Times New Roman" w:cs="Arial"/>
          <w:color w:val="000000"/>
          <w:lang w:val="en-US"/>
        </w:rPr>
        <w:t>CYP</w:t>
      </w:r>
      <w:r w:rsidRPr="002E4ABF">
        <w:rPr>
          <w:rFonts w:eastAsia="Times New Roman" w:cs="Arial"/>
          <w:color w:val="000000"/>
        </w:rPr>
        <w:t>3</w:t>
      </w:r>
      <w:r w:rsidRPr="002E4ABF">
        <w:rPr>
          <w:rFonts w:eastAsia="Times New Roman" w:cs="Arial"/>
          <w:color w:val="000000"/>
          <w:lang w:val="en-US"/>
        </w:rPr>
        <w:t>A</w:t>
      </w:r>
      <w:r w:rsidRPr="002E4ABF">
        <w:rPr>
          <w:rFonts w:eastAsia="Times New Roman" w:cs="Arial"/>
          <w:color w:val="000000"/>
        </w:rPr>
        <w:t xml:space="preserve">4. </w:t>
      </w:r>
      <w:r w:rsidRPr="002E4ABF">
        <w:rPr>
          <w:rFonts w:eastAsia="Times New Roman" w:cs="Arial"/>
          <w:color w:val="000000"/>
          <w:lang w:val="en-US"/>
        </w:rPr>
        <w:t>In</w:t>
      </w:r>
      <w:r w:rsidRPr="002E4ABF">
        <w:rPr>
          <w:rFonts w:eastAsia="Times New Roman" w:cs="Arial"/>
          <w:color w:val="000000"/>
        </w:rPr>
        <w:t xml:space="preserve"> </w:t>
      </w:r>
      <w:r w:rsidRPr="002E4ABF">
        <w:rPr>
          <w:rFonts w:eastAsia="Times New Roman" w:cs="Arial"/>
          <w:color w:val="000000"/>
          <w:lang w:val="en-US"/>
        </w:rPr>
        <w:t>vitro</w:t>
      </w:r>
      <w:r w:rsidRPr="002E4ABF">
        <w:rPr>
          <w:rFonts w:eastAsia="Times New Roman" w:cs="Arial"/>
          <w:color w:val="000000"/>
        </w:rPr>
        <w:t xml:space="preserve"> </w:t>
      </w:r>
      <w:r w:rsidRPr="002E4ABF">
        <w:rPr>
          <w:rFonts w:eastAsia="Times New Roman" w:cs="Arial"/>
          <w:color w:val="000000"/>
          <w:lang w:eastAsia="bg-BG"/>
        </w:rPr>
        <w:t xml:space="preserve">данните и </w:t>
      </w:r>
      <w:r w:rsidRPr="002E4ABF">
        <w:rPr>
          <w:rFonts w:eastAsia="Times New Roman" w:cs="Arial"/>
          <w:color w:val="000000"/>
          <w:lang w:val="en-US"/>
        </w:rPr>
        <w:t>in</w:t>
      </w:r>
      <w:r w:rsidRPr="002E4ABF">
        <w:rPr>
          <w:rFonts w:eastAsia="Times New Roman" w:cs="Arial"/>
          <w:color w:val="000000"/>
        </w:rPr>
        <w:t xml:space="preserve"> </w:t>
      </w:r>
      <w:r w:rsidRPr="002E4ABF">
        <w:rPr>
          <w:rFonts w:eastAsia="Times New Roman" w:cs="Arial"/>
          <w:color w:val="000000"/>
          <w:lang w:val="en-US"/>
        </w:rPr>
        <w:t>vivo</w:t>
      </w:r>
      <w:r w:rsidRPr="002E4ABF">
        <w:rPr>
          <w:rFonts w:eastAsia="Times New Roman" w:cs="Arial"/>
          <w:color w:val="000000"/>
        </w:rPr>
        <w:t xml:space="preserve"> </w:t>
      </w:r>
      <w:r w:rsidRPr="002E4ABF">
        <w:rPr>
          <w:rFonts w:eastAsia="Times New Roman" w:cs="Arial"/>
          <w:color w:val="000000"/>
          <w:lang w:eastAsia="bg-BG"/>
        </w:rPr>
        <w:t xml:space="preserve">данните за взаимодействия върху оралните контрацептиви, дигоксин и варфарин показват, че </w:t>
      </w:r>
      <w:r w:rsidRPr="002E4ABF">
        <w:rPr>
          <w:rFonts w:eastAsia="Times New Roman" w:cs="Arial"/>
          <w:i/>
          <w:iCs/>
          <w:color w:val="000000"/>
          <w:lang w:val="en-US"/>
        </w:rPr>
        <w:t>in</w:t>
      </w:r>
      <w:r w:rsidRPr="002E4ABF">
        <w:rPr>
          <w:rFonts w:eastAsia="Times New Roman" w:cs="Arial"/>
          <w:i/>
          <w:iCs/>
          <w:color w:val="000000"/>
        </w:rPr>
        <w:t xml:space="preserve"> </w:t>
      </w:r>
      <w:r w:rsidRPr="002E4ABF">
        <w:rPr>
          <w:rFonts w:eastAsia="Times New Roman" w:cs="Arial"/>
          <w:i/>
          <w:iCs/>
          <w:color w:val="000000"/>
          <w:lang w:val="en-US"/>
        </w:rPr>
        <w:t>vivo</w:t>
      </w:r>
      <w:r w:rsidRPr="002E4ABF">
        <w:rPr>
          <w:rFonts w:eastAsia="Times New Roman" w:cs="Arial"/>
          <w:color w:val="000000"/>
        </w:rPr>
        <w:t xml:space="preserve"> </w:t>
      </w:r>
      <w:r w:rsidRPr="002E4ABF">
        <w:rPr>
          <w:rFonts w:eastAsia="Times New Roman" w:cs="Arial"/>
          <w:color w:val="000000"/>
          <w:lang w:eastAsia="bg-BG"/>
        </w:rPr>
        <w:t>не се очаква значимо индуциране на ензими. Затова малко вероятно е взаимодействие на Леветиракон с други вещества.</w:t>
      </w:r>
    </w:p>
    <w:p w14:paraId="11403708" w14:textId="77777777" w:rsidR="002E4ABF" w:rsidRPr="002E4ABF" w:rsidRDefault="002E4ABF" w:rsidP="002E4ABF">
      <w:pPr>
        <w:spacing w:line="240" w:lineRule="auto"/>
        <w:rPr>
          <w:rFonts w:eastAsia="Times New Roman" w:cs="Arial"/>
          <w:color w:val="000000"/>
          <w:u w:val="single"/>
          <w:lang w:eastAsia="bg-BG"/>
        </w:rPr>
      </w:pPr>
    </w:p>
    <w:p w14:paraId="603BA4E9" w14:textId="0F999044" w:rsidR="002E4ABF" w:rsidRPr="002E4ABF" w:rsidRDefault="002E4ABF" w:rsidP="002E4ABF">
      <w:pPr>
        <w:pStyle w:val="Heading3"/>
        <w:rPr>
          <w:rFonts w:eastAsia="Times New Roman"/>
          <w:u w:val="single"/>
        </w:rPr>
      </w:pPr>
      <w:r w:rsidRPr="002E4ABF">
        <w:rPr>
          <w:rFonts w:eastAsia="Times New Roman"/>
          <w:u w:val="single"/>
          <w:lang w:eastAsia="bg-BG"/>
        </w:rPr>
        <w:t>Елиминиране</w:t>
      </w:r>
    </w:p>
    <w:p w14:paraId="7A8932D5" w14:textId="77777777" w:rsidR="002E4ABF" w:rsidRPr="002E4ABF" w:rsidRDefault="002E4ABF" w:rsidP="002E4ABF">
      <w:pPr>
        <w:spacing w:line="240" w:lineRule="auto"/>
        <w:rPr>
          <w:rFonts w:eastAsia="Times New Roman" w:cs="Arial"/>
          <w:color w:val="000000"/>
          <w:lang w:eastAsia="bg-BG"/>
        </w:rPr>
      </w:pPr>
    </w:p>
    <w:p w14:paraId="6B325CC1" w14:textId="678BD577"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Плазменият полуживот при възрастни е 7±1 часа и не варира в зависимост от дозата, пътя на прилагане и многократния прием. Средният общ телесен клирънс е 0,96 </w:t>
      </w:r>
      <w:r w:rsidRPr="002E4ABF">
        <w:rPr>
          <w:rFonts w:eastAsia="Times New Roman" w:cs="Arial"/>
          <w:color w:val="000000"/>
          <w:lang w:val="en-US"/>
        </w:rPr>
        <w:t>ml</w:t>
      </w:r>
      <w:r w:rsidRPr="002E4ABF">
        <w:rPr>
          <w:rFonts w:eastAsia="Times New Roman" w:cs="Arial"/>
          <w:color w:val="000000"/>
          <w:lang w:val="ru-RU"/>
        </w:rPr>
        <w:t>/</w:t>
      </w:r>
      <w:r w:rsidRPr="002E4ABF">
        <w:rPr>
          <w:rFonts w:eastAsia="Times New Roman" w:cs="Arial"/>
          <w:color w:val="000000"/>
          <w:lang w:val="en-US"/>
        </w:rPr>
        <w:t>min</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w:t>
      </w:r>
    </w:p>
    <w:p w14:paraId="454CE654" w14:textId="77777777" w:rsidR="002E4ABF" w:rsidRPr="002E4ABF" w:rsidRDefault="002E4ABF" w:rsidP="002E4ABF">
      <w:pPr>
        <w:spacing w:line="240" w:lineRule="auto"/>
        <w:rPr>
          <w:rFonts w:eastAsia="Times New Roman" w:cs="Arial"/>
          <w:color w:val="000000"/>
          <w:lang w:eastAsia="bg-BG"/>
        </w:rPr>
      </w:pPr>
    </w:p>
    <w:p w14:paraId="735D626C" w14:textId="460EEAA7" w:rsidR="002E4ABF" w:rsidRPr="002E4ABF" w:rsidRDefault="002E4ABF" w:rsidP="002E4ABF">
      <w:pPr>
        <w:spacing w:line="240" w:lineRule="auto"/>
        <w:rPr>
          <w:rFonts w:eastAsia="Times New Roman" w:cs="Arial"/>
          <w:color w:val="000000"/>
          <w:lang w:eastAsia="bg-BG"/>
        </w:rPr>
      </w:pPr>
      <w:r w:rsidRPr="002E4ABF">
        <w:rPr>
          <w:rFonts w:eastAsia="Times New Roman" w:cs="Arial"/>
          <w:color w:val="000000"/>
          <w:lang w:eastAsia="bg-BG"/>
        </w:rPr>
        <w:t xml:space="preserve">Главният път на екскреция е чрез урината за средно 95% от дозата (приблизително 93% от приетата </w:t>
      </w:r>
    </w:p>
    <w:p w14:paraId="061D375A" w14:textId="22843C6D" w:rsidR="002E4ABF" w:rsidRPr="002E4ABF" w:rsidRDefault="002E4ABF" w:rsidP="002E4ABF">
      <w:pPr>
        <w:spacing w:line="240" w:lineRule="auto"/>
        <w:rPr>
          <w:rFonts w:eastAsia="Times New Roman" w:cs="Arial"/>
        </w:rPr>
      </w:pPr>
      <w:r w:rsidRPr="002E4ABF">
        <w:rPr>
          <w:rFonts w:eastAsia="Times New Roman" w:cs="Arial"/>
          <w:color w:val="000000"/>
          <w:lang w:eastAsia="bg-BG"/>
        </w:rPr>
        <w:t>доза се отделят в рамките на 48 часа). Отделянето чрез изпражненията е само за 0,3% от дозата.</w:t>
      </w:r>
    </w:p>
    <w:p w14:paraId="29E12614"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Кумулативната екскреция чрез урината на леветирацетам и неговия първичен метаболит е съответно 66% и 24% през първите 48 часа.</w:t>
      </w:r>
    </w:p>
    <w:p w14:paraId="3D7E9173"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Реналният клирънс на леветирацетам и </w:t>
      </w:r>
      <w:proofErr w:type="spellStart"/>
      <w:r w:rsidRPr="002E4ABF">
        <w:rPr>
          <w:rFonts w:eastAsia="Times New Roman" w:cs="Arial"/>
          <w:color w:val="000000"/>
          <w:lang w:val="en-US"/>
        </w:rPr>
        <w:t>ucb</w:t>
      </w:r>
      <w:proofErr w:type="spellEnd"/>
      <w:r w:rsidRPr="002E4ABF">
        <w:rPr>
          <w:rFonts w:eastAsia="Times New Roman" w:cs="Arial"/>
          <w:color w:val="000000"/>
          <w:lang w:val="ru-RU"/>
        </w:rPr>
        <w:t xml:space="preserve"> </w:t>
      </w:r>
      <w:r w:rsidRPr="002E4ABF">
        <w:rPr>
          <w:rFonts w:eastAsia="Times New Roman" w:cs="Arial"/>
          <w:color w:val="000000"/>
          <w:lang w:val="en-US"/>
        </w:rPr>
        <w:t>L</w:t>
      </w:r>
      <w:r w:rsidRPr="002E4ABF">
        <w:rPr>
          <w:rFonts w:eastAsia="Times New Roman" w:cs="Arial"/>
          <w:color w:val="000000"/>
          <w:lang w:val="ru-RU"/>
        </w:rPr>
        <w:t xml:space="preserve">057 </w:t>
      </w:r>
      <w:r w:rsidRPr="002E4ABF">
        <w:rPr>
          <w:rFonts w:eastAsia="Times New Roman" w:cs="Arial"/>
          <w:color w:val="000000"/>
          <w:lang w:eastAsia="bg-BG"/>
        </w:rPr>
        <w:t xml:space="preserve">е съответно 0.6 и 4,2 </w:t>
      </w:r>
      <w:r w:rsidRPr="002E4ABF">
        <w:rPr>
          <w:rFonts w:eastAsia="Times New Roman" w:cs="Arial"/>
          <w:color w:val="000000"/>
          <w:lang w:val="en-US"/>
        </w:rPr>
        <w:t>ml</w:t>
      </w:r>
      <w:r w:rsidRPr="002E4ABF">
        <w:rPr>
          <w:rFonts w:eastAsia="Times New Roman" w:cs="Arial"/>
          <w:color w:val="000000"/>
          <w:lang w:val="ru-RU"/>
        </w:rPr>
        <w:t>/</w:t>
      </w:r>
      <w:r w:rsidRPr="002E4ABF">
        <w:rPr>
          <w:rFonts w:eastAsia="Times New Roman" w:cs="Arial"/>
          <w:color w:val="000000"/>
          <w:lang w:val="en-US"/>
        </w:rPr>
        <w:t>min</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 xml:space="preserve"> </w:t>
      </w:r>
      <w:r w:rsidRPr="002E4ABF">
        <w:rPr>
          <w:rFonts w:eastAsia="Times New Roman" w:cs="Arial"/>
          <w:color w:val="000000"/>
          <w:lang w:eastAsia="bg-BG"/>
        </w:rPr>
        <w:t>и показва, че леветирацетам се отделя чрез гломерулна филтрация с последваща тубулна реабсорбция и че първичният метаболит също се отделя чрез тубулна секреция в допълнение на гломерулната</w:t>
      </w:r>
    </w:p>
    <w:p w14:paraId="41BD95AD" w14:textId="322D004E" w:rsidR="002E4ABF" w:rsidRPr="002E4ABF" w:rsidRDefault="002E4ABF" w:rsidP="002E4ABF">
      <w:pPr>
        <w:spacing w:line="240" w:lineRule="auto"/>
        <w:rPr>
          <w:rFonts w:eastAsia="Times New Roman" w:cs="Arial"/>
          <w:color w:val="000000"/>
          <w:lang w:eastAsia="bg-BG"/>
        </w:rPr>
      </w:pPr>
      <w:r w:rsidRPr="002E4ABF">
        <w:rPr>
          <w:rFonts w:eastAsia="Times New Roman" w:cs="Arial"/>
          <w:color w:val="000000"/>
          <w:lang w:eastAsia="bg-BG"/>
        </w:rPr>
        <w:t>филтрация.</w:t>
      </w:r>
    </w:p>
    <w:p w14:paraId="0371775F" w14:textId="32FD327B" w:rsidR="002E4ABF" w:rsidRPr="002E4ABF" w:rsidRDefault="002E4ABF" w:rsidP="002E4ABF">
      <w:pPr>
        <w:spacing w:line="240" w:lineRule="auto"/>
        <w:rPr>
          <w:rFonts w:eastAsia="Times New Roman" w:cs="Arial"/>
          <w:color w:val="000000"/>
          <w:lang w:eastAsia="bg-BG"/>
        </w:rPr>
      </w:pPr>
    </w:p>
    <w:p w14:paraId="0C88357E"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Елиминирането на леветирацетам корелира с креатининовия клирънс.</w:t>
      </w:r>
    </w:p>
    <w:p w14:paraId="0693CC88" w14:textId="77777777" w:rsidR="002E4ABF" w:rsidRPr="002E4ABF" w:rsidRDefault="002E4ABF" w:rsidP="002E4ABF">
      <w:pPr>
        <w:spacing w:line="240" w:lineRule="auto"/>
        <w:rPr>
          <w:rFonts w:eastAsia="Times New Roman" w:cs="Arial"/>
          <w:i/>
          <w:iCs/>
          <w:color w:val="000000"/>
          <w:u w:val="single"/>
          <w:lang w:eastAsia="bg-BG"/>
        </w:rPr>
      </w:pPr>
    </w:p>
    <w:p w14:paraId="6078DDF7" w14:textId="7F8E0647" w:rsidR="002E4ABF" w:rsidRPr="002E4ABF" w:rsidRDefault="002E4ABF" w:rsidP="002E4ABF">
      <w:pPr>
        <w:spacing w:line="240" w:lineRule="auto"/>
        <w:rPr>
          <w:rFonts w:eastAsia="Times New Roman" w:cs="Arial"/>
        </w:rPr>
      </w:pPr>
      <w:r w:rsidRPr="002E4ABF">
        <w:rPr>
          <w:rFonts w:eastAsia="Times New Roman" w:cs="Arial"/>
          <w:i/>
          <w:iCs/>
          <w:color w:val="000000"/>
          <w:u w:val="single"/>
          <w:lang w:eastAsia="bg-BG"/>
        </w:rPr>
        <w:t>Хора в старческа възраст</w:t>
      </w:r>
    </w:p>
    <w:p w14:paraId="17E8399B"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При пациенти в старческа възраст полуживотът е увеличен с около 40% (10 до II часа). Това е свързано с намаляване на бъбречната функция при тази популация (вж. точка 4.2).</w:t>
      </w:r>
    </w:p>
    <w:p w14:paraId="58203ECF" w14:textId="77777777" w:rsidR="002E4ABF" w:rsidRPr="002E4ABF" w:rsidRDefault="002E4ABF" w:rsidP="002E4ABF">
      <w:pPr>
        <w:spacing w:line="240" w:lineRule="auto"/>
        <w:rPr>
          <w:rFonts w:eastAsia="Times New Roman" w:cs="Arial"/>
          <w:i/>
          <w:iCs/>
          <w:color w:val="000000"/>
          <w:u w:val="single"/>
          <w:lang w:eastAsia="bg-BG"/>
        </w:rPr>
      </w:pPr>
    </w:p>
    <w:p w14:paraId="42F69FDD" w14:textId="6F1A1EE6" w:rsidR="002E4ABF" w:rsidRPr="002E4ABF" w:rsidRDefault="002E4ABF" w:rsidP="002E4ABF">
      <w:pPr>
        <w:spacing w:line="240" w:lineRule="auto"/>
        <w:rPr>
          <w:rFonts w:eastAsia="Times New Roman" w:cs="Arial"/>
        </w:rPr>
      </w:pPr>
      <w:r w:rsidRPr="002E4ABF">
        <w:rPr>
          <w:rFonts w:eastAsia="Times New Roman" w:cs="Arial"/>
          <w:i/>
          <w:iCs/>
          <w:color w:val="000000"/>
          <w:u w:val="single"/>
          <w:lang w:eastAsia="bg-BG"/>
        </w:rPr>
        <w:t>Бъбречно увреждане</w:t>
      </w:r>
    </w:p>
    <w:p w14:paraId="0A5FAFBD"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Привидният телесен клирънс на леветирацетам и неговия първичен метаболит корелира с креатининовия клирънс. Ето защо се препоръчва адаптиране на поддържащата дневна доза на Леветиракон на базата на креатининовия клирънс при пациенти със средно до тежко бъбречно увреждане (вж. точка 4.2).</w:t>
      </w:r>
    </w:p>
    <w:p w14:paraId="61465636" w14:textId="77777777" w:rsidR="002E4ABF" w:rsidRPr="002E4ABF" w:rsidRDefault="002E4ABF" w:rsidP="002E4ABF">
      <w:pPr>
        <w:spacing w:line="240" w:lineRule="auto"/>
        <w:rPr>
          <w:rFonts w:eastAsia="Times New Roman" w:cs="Arial"/>
          <w:color w:val="000000"/>
          <w:lang w:eastAsia="bg-BG"/>
        </w:rPr>
      </w:pPr>
    </w:p>
    <w:p w14:paraId="13E59FF5" w14:textId="7450F7FB" w:rsidR="002E4ABF" w:rsidRPr="002E4ABF" w:rsidRDefault="002E4ABF" w:rsidP="002E4ABF">
      <w:pPr>
        <w:spacing w:line="240" w:lineRule="auto"/>
        <w:rPr>
          <w:rFonts w:eastAsia="Times New Roman" w:cs="Arial"/>
        </w:rPr>
      </w:pPr>
      <w:r w:rsidRPr="002E4ABF">
        <w:rPr>
          <w:rFonts w:eastAsia="Times New Roman" w:cs="Arial"/>
          <w:color w:val="000000"/>
          <w:lang w:eastAsia="bg-BG"/>
        </w:rPr>
        <w:t>При пациенти в краен стадий на бъбречна недостатъчност с анурия, полуживотът е приблизително 25 и 3,1 часа съответно през интердиализния и интрадиализния период. По време на обичайната 4-ри часова диализна процедура фракционно се отделят 51% от леветирацетам.</w:t>
      </w:r>
    </w:p>
    <w:p w14:paraId="42A14F17" w14:textId="77777777" w:rsidR="002E4ABF" w:rsidRPr="002E4ABF" w:rsidRDefault="002E4ABF" w:rsidP="002E4ABF">
      <w:pPr>
        <w:spacing w:line="240" w:lineRule="auto"/>
        <w:rPr>
          <w:rFonts w:eastAsia="Times New Roman" w:cs="Arial"/>
          <w:i/>
          <w:iCs/>
          <w:color w:val="000000"/>
          <w:u w:val="single"/>
          <w:lang w:eastAsia="bg-BG"/>
        </w:rPr>
      </w:pPr>
    </w:p>
    <w:p w14:paraId="6B36399E" w14:textId="681682B5" w:rsidR="002E4ABF" w:rsidRPr="002E4ABF" w:rsidRDefault="002E4ABF" w:rsidP="002E4ABF">
      <w:pPr>
        <w:spacing w:line="240" w:lineRule="auto"/>
        <w:rPr>
          <w:rFonts w:eastAsia="Times New Roman" w:cs="Arial"/>
        </w:rPr>
      </w:pPr>
      <w:r w:rsidRPr="002E4ABF">
        <w:rPr>
          <w:rFonts w:eastAsia="Times New Roman" w:cs="Arial"/>
          <w:i/>
          <w:iCs/>
          <w:color w:val="000000"/>
          <w:u w:val="single"/>
          <w:lang w:eastAsia="bg-BG"/>
        </w:rPr>
        <w:t>Чернодробно увреждане</w:t>
      </w:r>
    </w:p>
    <w:p w14:paraId="1A4D4468"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При пациенти с лека до умерена степен на чернодробно увреждане не се наблюдава значителна промяна в клирънса на леветирацетам. При повечето пациенти с тежка степен на чернодробно увреждане клирънсът на леветирацетам е намален с повече от 50% поради съпътстващо бъбречно увреждане (вж. точка 4.2).</w:t>
      </w:r>
    </w:p>
    <w:p w14:paraId="36D71518" w14:textId="77777777" w:rsidR="002E4ABF" w:rsidRPr="002E4ABF" w:rsidRDefault="002E4ABF" w:rsidP="002E4ABF">
      <w:pPr>
        <w:spacing w:line="240" w:lineRule="auto"/>
        <w:rPr>
          <w:rFonts w:eastAsia="Times New Roman" w:cs="Arial"/>
          <w:i/>
          <w:iCs/>
          <w:color w:val="000000"/>
          <w:u w:val="single"/>
          <w:lang w:eastAsia="bg-BG"/>
        </w:rPr>
      </w:pPr>
    </w:p>
    <w:p w14:paraId="214613BD" w14:textId="4164106E" w:rsidR="002E4ABF" w:rsidRPr="002E4ABF" w:rsidRDefault="002E4ABF" w:rsidP="002E4ABF">
      <w:pPr>
        <w:spacing w:line="240" w:lineRule="auto"/>
        <w:rPr>
          <w:rFonts w:eastAsia="Times New Roman" w:cs="Arial"/>
        </w:rPr>
      </w:pPr>
      <w:r w:rsidRPr="002E4ABF">
        <w:rPr>
          <w:rFonts w:eastAsia="Times New Roman" w:cs="Arial"/>
          <w:i/>
          <w:iCs/>
          <w:color w:val="000000"/>
          <w:u w:val="single"/>
          <w:lang w:eastAsia="bg-BG"/>
        </w:rPr>
        <w:t>Педиатрична популация</w:t>
      </w:r>
    </w:p>
    <w:p w14:paraId="0839CA85" w14:textId="77777777" w:rsidR="002E4ABF" w:rsidRPr="002E4ABF" w:rsidRDefault="002E4ABF" w:rsidP="002E4ABF">
      <w:pPr>
        <w:spacing w:line="240" w:lineRule="auto"/>
        <w:rPr>
          <w:rFonts w:eastAsia="Times New Roman" w:cs="Arial"/>
          <w:i/>
          <w:iCs/>
          <w:color w:val="000000"/>
          <w:lang w:eastAsia="bg-BG"/>
        </w:rPr>
      </w:pPr>
    </w:p>
    <w:p w14:paraId="186FF7DA" w14:textId="62664389" w:rsidR="002E4ABF" w:rsidRPr="002E4ABF" w:rsidRDefault="002E4ABF" w:rsidP="002E4ABF">
      <w:pPr>
        <w:spacing w:line="240" w:lineRule="auto"/>
        <w:rPr>
          <w:rFonts w:eastAsia="Times New Roman" w:cs="Arial"/>
        </w:rPr>
      </w:pPr>
      <w:r w:rsidRPr="002E4ABF">
        <w:rPr>
          <w:rFonts w:eastAsia="Times New Roman" w:cs="Arial"/>
          <w:i/>
          <w:iCs/>
          <w:color w:val="000000"/>
          <w:lang w:eastAsia="bg-BG"/>
        </w:rPr>
        <w:t>Деца (4 до 12 години)</w:t>
      </w:r>
    </w:p>
    <w:p w14:paraId="1A8436E5"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След приемане на единична доза (20 </w:t>
      </w:r>
      <w:r w:rsidRPr="002E4ABF">
        <w:rPr>
          <w:rFonts w:eastAsia="Times New Roman" w:cs="Arial"/>
          <w:color w:val="000000"/>
          <w:lang w:val="en-US"/>
        </w:rPr>
        <w:t>mg</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 xml:space="preserve">) </w:t>
      </w:r>
      <w:r w:rsidRPr="002E4ABF">
        <w:rPr>
          <w:rFonts w:eastAsia="Times New Roman" w:cs="Arial"/>
          <w:color w:val="000000"/>
          <w:lang w:eastAsia="bg-BG"/>
        </w:rPr>
        <w:t>от деца (6-12 години) с епилепсия, полуживотът на леветирацетам е 6,0 часа. Привидният коригиран към телесното тегло клирънс е приблизително с 30% по-висок от този на възрастни с епилепсия.</w:t>
      </w:r>
    </w:p>
    <w:p w14:paraId="5D3ABAB8"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След многократно перорално приложение (20 до 60 </w:t>
      </w:r>
      <w:r w:rsidRPr="002E4ABF">
        <w:rPr>
          <w:rFonts w:eastAsia="Times New Roman" w:cs="Arial"/>
          <w:color w:val="000000"/>
          <w:lang w:val="en-US"/>
        </w:rPr>
        <w:t>mg</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eastAsia="bg-BG"/>
        </w:rPr>
        <w:t xml:space="preserve">/дневно) при деца с епилепсия (4-12 години), леветирацетам се абсорбира бързо. Пикови плазмени концентрации се достигат 0,5 до 1 час след приема. Наблюдавано е линейно и пропорционално на дозата повишаване за пиковите плазмени концентрации и площта под кривата. Полуживотът е около 5 часа. Привидният телесен клирънс е 1,1 </w:t>
      </w:r>
      <w:r w:rsidRPr="002E4ABF">
        <w:rPr>
          <w:rFonts w:eastAsia="Times New Roman" w:cs="Arial"/>
          <w:color w:val="000000"/>
          <w:lang w:val="en-US"/>
        </w:rPr>
        <w:t>ml</w:t>
      </w:r>
      <w:r w:rsidRPr="002E4ABF">
        <w:rPr>
          <w:rFonts w:eastAsia="Times New Roman" w:cs="Arial"/>
          <w:color w:val="000000"/>
          <w:lang w:val="ru-RU"/>
        </w:rPr>
        <w:t>/</w:t>
      </w:r>
      <w:r w:rsidRPr="002E4ABF">
        <w:rPr>
          <w:rFonts w:eastAsia="Times New Roman" w:cs="Arial"/>
          <w:color w:val="000000"/>
          <w:lang w:val="en-US"/>
        </w:rPr>
        <w:t>min</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w:t>
      </w:r>
    </w:p>
    <w:p w14:paraId="2492873B" w14:textId="77777777" w:rsidR="002E4ABF" w:rsidRPr="002E4ABF" w:rsidRDefault="002E4ABF" w:rsidP="002E4ABF">
      <w:pPr>
        <w:spacing w:line="240" w:lineRule="auto"/>
        <w:rPr>
          <w:rFonts w:eastAsia="Times New Roman" w:cs="Arial"/>
          <w:i/>
          <w:iCs/>
          <w:color w:val="000000"/>
          <w:lang w:eastAsia="bg-BG"/>
        </w:rPr>
      </w:pPr>
    </w:p>
    <w:p w14:paraId="311A0248" w14:textId="2C1B0B70" w:rsidR="002E4ABF" w:rsidRPr="002E4ABF" w:rsidRDefault="002E4ABF" w:rsidP="002E4ABF">
      <w:pPr>
        <w:spacing w:line="240" w:lineRule="auto"/>
        <w:rPr>
          <w:rFonts w:eastAsia="Times New Roman" w:cs="Arial"/>
        </w:rPr>
      </w:pPr>
      <w:r w:rsidRPr="002E4ABF">
        <w:rPr>
          <w:rFonts w:eastAsia="Times New Roman" w:cs="Arial"/>
          <w:i/>
          <w:iCs/>
          <w:color w:val="000000"/>
          <w:lang w:eastAsia="bg-BG"/>
        </w:rPr>
        <w:t>Новородени и деца (от 1 месец до 4 години)</w:t>
      </w:r>
    </w:p>
    <w:p w14:paraId="4DD64B0A" w14:textId="77777777" w:rsidR="002E4ABF" w:rsidRPr="002E4ABF" w:rsidRDefault="002E4ABF" w:rsidP="002E4ABF">
      <w:pPr>
        <w:spacing w:line="240" w:lineRule="auto"/>
        <w:rPr>
          <w:rFonts w:eastAsia="Times New Roman" w:cs="Arial"/>
        </w:rPr>
      </w:pPr>
      <w:r w:rsidRPr="002E4ABF">
        <w:rPr>
          <w:rFonts w:eastAsia="Times New Roman" w:cs="Arial"/>
          <w:color w:val="000000"/>
          <w:lang w:eastAsia="bg-BG"/>
        </w:rPr>
        <w:t xml:space="preserve">След приложението на единична доза (20 </w:t>
      </w:r>
      <w:r w:rsidRPr="002E4ABF">
        <w:rPr>
          <w:rFonts w:eastAsia="Times New Roman" w:cs="Arial"/>
          <w:color w:val="000000"/>
          <w:lang w:val="en-US"/>
        </w:rPr>
        <w:t>mg</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 xml:space="preserve">) </w:t>
      </w:r>
      <w:r w:rsidRPr="002E4ABF">
        <w:rPr>
          <w:rFonts w:eastAsia="Times New Roman" w:cs="Arial"/>
          <w:color w:val="000000"/>
          <w:lang w:eastAsia="bg-BG"/>
        </w:rPr>
        <w:t xml:space="preserve">на 100 </w:t>
      </w:r>
      <w:r w:rsidRPr="002E4ABF">
        <w:rPr>
          <w:rFonts w:eastAsia="Times New Roman" w:cs="Arial"/>
          <w:color w:val="000000"/>
          <w:lang w:val="en-US"/>
        </w:rPr>
        <w:t>mg</w:t>
      </w:r>
      <w:r w:rsidRPr="002E4ABF">
        <w:rPr>
          <w:rFonts w:eastAsia="Times New Roman" w:cs="Arial"/>
          <w:color w:val="000000"/>
          <w:lang w:val="ru-RU"/>
        </w:rPr>
        <w:t>/</w:t>
      </w:r>
      <w:r w:rsidRPr="002E4ABF">
        <w:rPr>
          <w:rFonts w:eastAsia="Times New Roman" w:cs="Arial"/>
          <w:color w:val="000000"/>
          <w:lang w:val="en-US"/>
        </w:rPr>
        <w:t>ml</w:t>
      </w:r>
      <w:r w:rsidRPr="002E4ABF">
        <w:rPr>
          <w:rFonts w:eastAsia="Times New Roman" w:cs="Arial"/>
          <w:color w:val="000000"/>
          <w:lang w:val="ru-RU"/>
        </w:rPr>
        <w:t xml:space="preserve"> </w:t>
      </w:r>
      <w:r w:rsidRPr="002E4ABF">
        <w:rPr>
          <w:rFonts w:eastAsia="Times New Roman" w:cs="Arial"/>
          <w:color w:val="000000"/>
          <w:lang w:eastAsia="bg-BG"/>
        </w:rPr>
        <w:t xml:space="preserve">перорален разтвор при деца (от 1 месец до 4 години) е епилепсия, леветирацетам се абсорбира бързо, като пикови плазмени концентрации се достигат 1 час след приема, Фармакокинетичните резултати показват, че полуживотът е по-кратък (5,3 часа), в сравнение с това при възрастни (7,2 часа), а привидният телесен клирънс е по-ускорен (1,5 </w:t>
      </w:r>
      <w:r w:rsidRPr="002E4ABF">
        <w:rPr>
          <w:rFonts w:eastAsia="Times New Roman" w:cs="Arial"/>
          <w:color w:val="000000"/>
          <w:lang w:val="en-US"/>
        </w:rPr>
        <w:t>ml</w:t>
      </w:r>
      <w:r w:rsidRPr="002E4ABF">
        <w:rPr>
          <w:rFonts w:eastAsia="Times New Roman" w:cs="Arial"/>
          <w:color w:val="000000"/>
          <w:lang w:val="ru-RU"/>
        </w:rPr>
        <w:t>/</w:t>
      </w:r>
      <w:r w:rsidRPr="002E4ABF">
        <w:rPr>
          <w:rFonts w:eastAsia="Times New Roman" w:cs="Arial"/>
          <w:color w:val="000000"/>
          <w:lang w:val="en-US"/>
        </w:rPr>
        <w:t>min</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 xml:space="preserve">), </w:t>
      </w:r>
      <w:r w:rsidRPr="002E4ABF">
        <w:rPr>
          <w:rFonts w:eastAsia="Times New Roman" w:cs="Arial"/>
          <w:color w:val="000000"/>
          <w:lang w:eastAsia="bg-BG"/>
        </w:rPr>
        <w:t xml:space="preserve">в сравнение с този при възрастни (0.96 </w:t>
      </w:r>
      <w:r w:rsidRPr="002E4ABF">
        <w:rPr>
          <w:rFonts w:eastAsia="Times New Roman" w:cs="Arial"/>
          <w:color w:val="000000"/>
          <w:lang w:val="en-US"/>
        </w:rPr>
        <w:t>ml</w:t>
      </w:r>
      <w:r w:rsidRPr="002E4ABF">
        <w:rPr>
          <w:rFonts w:eastAsia="Times New Roman" w:cs="Arial"/>
          <w:color w:val="000000"/>
          <w:lang w:val="ru-RU"/>
        </w:rPr>
        <w:t>/</w:t>
      </w:r>
      <w:r w:rsidRPr="002E4ABF">
        <w:rPr>
          <w:rFonts w:eastAsia="Times New Roman" w:cs="Arial"/>
          <w:color w:val="000000"/>
          <w:lang w:val="en-US"/>
        </w:rPr>
        <w:t>min</w:t>
      </w:r>
      <w:r w:rsidRPr="002E4ABF">
        <w:rPr>
          <w:rFonts w:eastAsia="Times New Roman" w:cs="Arial"/>
          <w:color w:val="000000"/>
          <w:lang w:val="ru-RU"/>
        </w:rPr>
        <w:t>/</w:t>
      </w:r>
      <w:r w:rsidRPr="002E4ABF">
        <w:rPr>
          <w:rFonts w:eastAsia="Times New Roman" w:cs="Arial"/>
          <w:color w:val="000000"/>
          <w:lang w:val="en-US"/>
        </w:rPr>
        <w:t>kg</w:t>
      </w:r>
      <w:r w:rsidRPr="002E4ABF">
        <w:rPr>
          <w:rFonts w:eastAsia="Times New Roman" w:cs="Arial"/>
          <w:color w:val="000000"/>
          <w:lang w:val="ru-RU"/>
        </w:rPr>
        <w:t>).</w:t>
      </w:r>
    </w:p>
    <w:p w14:paraId="4263DB3F" w14:textId="77777777" w:rsidR="002E4ABF" w:rsidRPr="002E4ABF" w:rsidRDefault="002E4ABF" w:rsidP="002E4ABF">
      <w:pPr>
        <w:spacing w:line="240" w:lineRule="auto"/>
        <w:rPr>
          <w:rFonts w:eastAsia="Times New Roman" w:cs="Arial"/>
          <w:color w:val="000000"/>
          <w:lang w:eastAsia="bg-BG"/>
        </w:rPr>
      </w:pPr>
    </w:p>
    <w:p w14:paraId="31099207" w14:textId="245A971C" w:rsidR="002E4ABF" w:rsidRPr="002E4ABF" w:rsidRDefault="002E4ABF" w:rsidP="002E4ABF">
      <w:pPr>
        <w:spacing w:line="240" w:lineRule="auto"/>
        <w:rPr>
          <w:rFonts w:eastAsia="Times New Roman" w:cs="Arial"/>
        </w:rPr>
      </w:pPr>
      <w:r w:rsidRPr="002E4ABF">
        <w:rPr>
          <w:rFonts w:eastAsia="Times New Roman" w:cs="Arial"/>
          <w:color w:val="000000"/>
          <w:lang w:eastAsia="bg-BG"/>
        </w:rPr>
        <w:t>В популационния фармакокинетичен анализ, проведен при пациенти от I-месечна до 16- годишна възраст, телесното тегло е значимо свързано с привидния телесен клирънс (клирънсът се повишава с повишаването на телесното тегло) и телесния обем на разпределение. Възрастта също влияе върху двата параметъра. Този ефект е изразен при по-скоро новородените и намалява при увеличение на възрастта, като става незначителен около 4-годишна възраст.</w:t>
      </w:r>
    </w:p>
    <w:p w14:paraId="00E03466" w14:textId="77777777" w:rsidR="002E4ABF" w:rsidRPr="002E4ABF" w:rsidRDefault="002E4ABF" w:rsidP="002E4ABF">
      <w:pPr>
        <w:spacing w:line="240" w:lineRule="auto"/>
        <w:rPr>
          <w:rFonts w:eastAsia="Times New Roman" w:cs="Arial"/>
          <w:color w:val="000000"/>
          <w:lang w:eastAsia="bg-BG"/>
        </w:rPr>
      </w:pPr>
    </w:p>
    <w:p w14:paraId="5733F6C0" w14:textId="0BDEE412" w:rsidR="002E4ABF" w:rsidRPr="002E4ABF" w:rsidRDefault="002E4ABF" w:rsidP="002E4ABF">
      <w:pPr>
        <w:spacing w:line="240" w:lineRule="auto"/>
        <w:rPr>
          <w:rFonts w:eastAsia="Times New Roman" w:cs="Arial"/>
        </w:rPr>
      </w:pPr>
      <w:r w:rsidRPr="002E4ABF">
        <w:rPr>
          <w:rFonts w:eastAsia="Times New Roman" w:cs="Arial"/>
          <w:color w:val="000000"/>
          <w:lang w:eastAsia="bg-BG"/>
        </w:rPr>
        <w:t>В двата популационни фармакокинетични анализа се наблюдава около 20% нарастване на привидният телесен клирънс на леветирацетам, когато се прилага съвместно с ензим- индуциращите антиепилептични лекарства.</w:t>
      </w:r>
    </w:p>
    <w:p w14:paraId="1226ED61" w14:textId="2E14E015" w:rsidR="002E4ABF" w:rsidRPr="002E4ABF" w:rsidRDefault="002E4ABF" w:rsidP="002E4ABF"/>
    <w:p w14:paraId="4FB791BE" w14:textId="71E543AB" w:rsidR="00B6672E" w:rsidRDefault="002C50EE" w:rsidP="00936AD0">
      <w:pPr>
        <w:pStyle w:val="Heading2"/>
      </w:pPr>
      <w:r>
        <w:t>5.3. Предклинични данни за безопасност</w:t>
      </w:r>
    </w:p>
    <w:p w14:paraId="0361E040" w14:textId="5CE4A4BB" w:rsidR="002E4ABF" w:rsidRDefault="002E4ABF" w:rsidP="002E4ABF"/>
    <w:p w14:paraId="6CFA468A" w14:textId="7777777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Предклиничните данни, съгласно общоприетите изследвания на безопасността, фармакологията, генотоксичността и карциногенността, не показват извънреден риск при човека.</w:t>
      </w:r>
    </w:p>
    <w:p w14:paraId="58711225" w14:textId="7777777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Нежелани лекарствени реакции, които не са наблюдавани по време на клиничните проучвания но установени при плъхове и в по-малка степен при мишки, при нива на прилагане подобни на тези при човека и с възможна връзка с клиничната употреба, са чернодробните промени, показващи адаптивния отговор, като нарастване на теглото и центрилобуларна хипертрофия, мастна инфилтрация и повишаване на чернодробните ензими в плазмата.</w:t>
      </w:r>
    </w:p>
    <w:p w14:paraId="0C835398" w14:textId="77777777" w:rsidR="002E4ABF" w:rsidRPr="002E4ABF" w:rsidRDefault="002E4ABF" w:rsidP="002E4ABF">
      <w:pPr>
        <w:spacing w:line="240" w:lineRule="auto"/>
        <w:rPr>
          <w:rFonts w:eastAsia="Times New Roman" w:cs="Arial"/>
          <w:color w:val="000000"/>
          <w:szCs w:val="19"/>
          <w:lang w:eastAsia="bg-BG"/>
        </w:rPr>
      </w:pPr>
    </w:p>
    <w:p w14:paraId="04D1F295" w14:textId="1AB77EAC"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lastRenderedPageBreak/>
        <w:t xml:space="preserve">Не са наблюдавани нежелани ефекти върху мъжката и женската фертилност или репродукционната способност при плъхове в дози до 1800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(х 6 </w:t>
      </w:r>
      <w:r w:rsidRPr="002E4ABF">
        <w:rPr>
          <w:rFonts w:eastAsia="Times New Roman" w:cs="Arial"/>
          <w:color w:val="000000"/>
          <w:szCs w:val="19"/>
          <w:lang w:val="en-US"/>
        </w:rPr>
        <w:t>MRHD</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на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m</w:t>
      </w:r>
      <w:r w:rsidRPr="002E4ABF">
        <w:rPr>
          <w:rFonts w:eastAsia="Times New Roman" w:cs="Arial"/>
          <w:color w:val="000000"/>
          <w:szCs w:val="19"/>
          <w:lang w:val="ru-RU"/>
        </w:rPr>
        <w:t xml:space="preserve">2 </w:t>
      </w:r>
      <w:r w:rsidRPr="002E4ABF">
        <w:rPr>
          <w:rFonts w:eastAsia="Times New Roman" w:cs="Arial"/>
          <w:color w:val="000000"/>
          <w:szCs w:val="19"/>
          <w:lang w:eastAsia="bg-BG"/>
        </w:rPr>
        <w:t xml:space="preserve">или базата на експозицията) при родителите и </w:t>
      </w:r>
      <w:r w:rsidRPr="002E4ABF">
        <w:rPr>
          <w:rFonts w:eastAsia="Times New Roman" w:cs="Arial"/>
          <w:color w:val="000000"/>
          <w:szCs w:val="19"/>
          <w:lang w:val="en-US"/>
        </w:rPr>
        <w:t>F</w:t>
      </w:r>
      <w:r w:rsidRPr="002E4ABF">
        <w:rPr>
          <w:rFonts w:eastAsia="Times New Roman" w:cs="Arial"/>
          <w:color w:val="000000"/>
          <w:szCs w:val="19"/>
          <w:lang w:val="ru-RU"/>
        </w:rPr>
        <w:t xml:space="preserve">1 </w:t>
      </w:r>
      <w:r w:rsidRPr="002E4ABF">
        <w:rPr>
          <w:rFonts w:eastAsia="Times New Roman" w:cs="Arial"/>
          <w:color w:val="000000"/>
          <w:szCs w:val="19"/>
          <w:lang w:eastAsia="bg-BG"/>
        </w:rPr>
        <w:t>поколение.</w:t>
      </w:r>
    </w:p>
    <w:p w14:paraId="71B4C260" w14:textId="77777777" w:rsidR="002E4ABF" w:rsidRPr="002E4ABF" w:rsidRDefault="002E4ABF" w:rsidP="002E4ABF">
      <w:pPr>
        <w:spacing w:line="240" w:lineRule="auto"/>
        <w:rPr>
          <w:rFonts w:eastAsia="Times New Roman" w:cs="Arial"/>
          <w:color w:val="000000"/>
          <w:szCs w:val="19"/>
          <w:lang w:eastAsia="bg-BG"/>
        </w:rPr>
      </w:pPr>
    </w:p>
    <w:p w14:paraId="0553E924" w14:textId="252AB028"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Проведени са две ембрио-феталното (ЕФР) развитие при плъхове с 400, 1 200 и 3 600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При 3 600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в само едно от 2 ЕФР проучвания е имало слабо намаление в теглото на зародиша, свързано с гранично повишение на промени в скелета/малки аномалии. Липсва ефект върху смъртността на ембрионите и липсва повишение на честотата на малформациите . </w:t>
      </w:r>
      <w:r w:rsidRPr="002E4ABF">
        <w:rPr>
          <w:rFonts w:eastAsia="Times New Roman" w:cs="Arial"/>
          <w:color w:val="000000"/>
          <w:szCs w:val="19"/>
          <w:lang w:val="en-US"/>
        </w:rPr>
        <w:t>NOAEL</w:t>
      </w:r>
      <w:r w:rsidRPr="002E4ABF">
        <w:rPr>
          <w:rFonts w:eastAsia="Times New Roman" w:cs="Arial"/>
          <w:color w:val="000000"/>
          <w:szCs w:val="19"/>
        </w:rPr>
        <w:t xml:space="preserve"> (</w:t>
      </w:r>
      <w:r w:rsidRPr="002E4ABF">
        <w:rPr>
          <w:rFonts w:eastAsia="Times New Roman" w:cs="Arial"/>
          <w:color w:val="000000"/>
          <w:szCs w:val="19"/>
          <w:lang w:val="en-US"/>
        </w:rPr>
        <w:t>No</w:t>
      </w:r>
      <w:r w:rsidRPr="002E4ABF">
        <w:rPr>
          <w:rFonts w:eastAsia="Times New Roman" w:cs="Arial"/>
          <w:color w:val="000000"/>
          <w:szCs w:val="19"/>
        </w:rPr>
        <w:t xml:space="preserve"> </w:t>
      </w:r>
      <w:r w:rsidRPr="002E4ABF">
        <w:rPr>
          <w:rFonts w:eastAsia="Times New Roman" w:cs="Arial"/>
          <w:color w:val="000000"/>
          <w:szCs w:val="19"/>
          <w:lang w:val="en-US"/>
        </w:rPr>
        <w:t>Observed</w:t>
      </w:r>
      <w:r w:rsidRPr="002E4ABF">
        <w:rPr>
          <w:rFonts w:eastAsia="Times New Roman" w:cs="Arial"/>
          <w:color w:val="000000"/>
          <w:szCs w:val="19"/>
        </w:rPr>
        <w:t xml:space="preserve"> </w:t>
      </w:r>
      <w:r w:rsidRPr="002E4ABF">
        <w:rPr>
          <w:rFonts w:eastAsia="Times New Roman" w:cs="Arial"/>
          <w:color w:val="000000"/>
          <w:szCs w:val="19"/>
          <w:lang w:val="en-US"/>
        </w:rPr>
        <w:t>Adverse</w:t>
      </w:r>
      <w:r w:rsidRPr="002E4ABF">
        <w:rPr>
          <w:rFonts w:eastAsia="Times New Roman" w:cs="Arial"/>
          <w:color w:val="000000"/>
          <w:szCs w:val="19"/>
        </w:rPr>
        <w:t xml:space="preserve"> </w:t>
      </w:r>
      <w:r w:rsidRPr="002E4ABF">
        <w:rPr>
          <w:rFonts w:eastAsia="Times New Roman" w:cs="Arial"/>
          <w:color w:val="000000"/>
          <w:szCs w:val="19"/>
          <w:lang w:val="en-US"/>
        </w:rPr>
        <w:t>Effect</w:t>
      </w:r>
      <w:r w:rsidRPr="002E4ABF">
        <w:rPr>
          <w:rFonts w:eastAsia="Times New Roman" w:cs="Arial"/>
          <w:color w:val="000000"/>
          <w:szCs w:val="19"/>
        </w:rPr>
        <w:t xml:space="preserve"> </w:t>
      </w:r>
      <w:r w:rsidRPr="002E4ABF">
        <w:rPr>
          <w:rFonts w:eastAsia="Times New Roman" w:cs="Arial"/>
          <w:color w:val="000000"/>
          <w:szCs w:val="19"/>
          <w:lang w:val="en-US"/>
        </w:rPr>
        <w:t>Level</w:t>
      </w:r>
      <w:r w:rsidRPr="002E4ABF">
        <w:rPr>
          <w:rFonts w:eastAsia="Times New Roman" w:cs="Arial"/>
          <w:color w:val="000000"/>
          <w:szCs w:val="19"/>
        </w:rPr>
        <w:t xml:space="preserve">, </w:t>
      </w:r>
      <w:r w:rsidRPr="002E4ABF">
        <w:rPr>
          <w:rFonts w:eastAsia="Times New Roman" w:cs="Arial"/>
          <w:color w:val="000000"/>
          <w:szCs w:val="19"/>
          <w:lang w:eastAsia="bg-BG"/>
        </w:rPr>
        <w:t xml:space="preserve">Ниво, при което не се наблюдават нежелани реакции) е 3 600 </w:t>
      </w:r>
      <w:r w:rsidRPr="002E4ABF">
        <w:rPr>
          <w:rFonts w:eastAsia="Times New Roman" w:cs="Arial"/>
          <w:color w:val="000000"/>
          <w:szCs w:val="19"/>
          <w:lang w:val="en-US"/>
        </w:rPr>
        <w:t>mg</w:t>
      </w:r>
      <w:r w:rsidRPr="002E4ABF">
        <w:rPr>
          <w:rFonts w:eastAsia="Times New Roman" w:cs="Arial"/>
          <w:color w:val="000000"/>
          <w:szCs w:val="19"/>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при бременни женски плъхове (х 12 максималната препоръчана дневна доза при хора МПДХ, на </w:t>
      </w:r>
      <w:r w:rsidRPr="002E4ABF">
        <w:rPr>
          <w:rFonts w:eastAsia="Times New Roman" w:cs="Arial"/>
          <w:color w:val="000000"/>
          <w:szCs w:val="19"/>
          <w:lang w:val="en-US"/>
        </w:rPr>
        <w:t>mg</w:t>
      </w:r>
      <w:r w:rsidRPr="002E4ABF">
        <w:rPr>
          <w:rFonts w:eastAsia="Times New Roman" w:cs="Arial"/>
          <w:color w:val="000000"/>
          <w:szCs w:val="19"/>
        </w:rPr>
        <w:t>/</w:t>
      </w:r>
      <w:r w:rsidRPr="002E4ABF">
        <w:rPr>
          <w:rFonts w:eastAsia="Times New Roman" w:cs="Arial"/>
          <w:color w:val="000000"/>
          <w:szCs w:val="19"/>
          <w:lang w:val="en-US"/>
        </w:rPr>
        <w:t>m</w:t>
      </w:r>
      <w:r w:rsidRPr="002E4ABF">
        <w:rPr>
          <w:rFonts w:eastAsia="Times New Roman" w:cs="Arial"/>
          <w:color w:val="000000"/>
          <w:szCs w:val="19"/>
          <w:vertAlign w:val="superscript"/>
        </w:rPr>
        <w:t>2</w:t>
      </w:r>
      <w:r w:rsidRPr="002E4ABF">
        <w:rPr>
          <w:rFonts w:eastAsia="Times New Roman" w:cs="Arial"/>
          <w:color w:val="000000"/>
          <w:szCs w:val="19"/>
        </w:rPr>
        <w:t xml:space="preserve"> </w:t>
      </w:r>
      <w:r w:rsidRPr="002E4ABF">
        <w:rPr>
          <w:rFonts w:eastAsia="Times New Roman" w:cs="Arial"/>
          <w:color w:val="000000"/>
          <w:szCs w:val="19"/>
          <w:lang w:eastAsia="bg-BG"/>
        </w:rPr>
        <w:t xml:space="preserve">база) и 1 200 </w:t>
      </w:r>
      <w:r w:rsidRPr="002E4ABF">
        <w:rPr>
          <w:rFonts w:eastAsia="Times New Roman" w:cs="Arial"/>
          <w:color w:val="000000"/>
          <w:szCs w:val="19"/>
          <w:lang w:val="en-US"/>
        </w:rPr>
        <w:t>mg</w:t>
      </w:r>
      <w:r w:rsidRPr="002E4ABF">
        <w:rPr>
          <w:rFonts w:eastAsia="Times New Roman" w:cs="Arial"/>
          <w:color w:val="000000"/>
          <w:szCs w:val="19"/>
        </w:rPr>
        <w:t>/</w:t>
      </w:r>
      <w:r w:rsidRPr="002E4ABF">
        <w:rPr>
          <w:rFonts w:eastAsia="Times New Roman" w:cs="Arial"/>
          <w:color w:val="000000"/>
          <w:szCs w:val="19"/>
          <w:lang w:val="en-US"/>
        </w:rPr>
        <w:t>kg</w:t>
      </w:r>
      <w:r w:rsidRPr="002E4ABF">
        <w:rPr>
          <w:rFonts w:eastAsia="Times New Roman" w:cs="Arial"/>
          <w:color w:val="000000"/>
          <w:szCs w:val="19"/>
          <w:lang w:eastAsia="bg-BG"/>
        </w:rPr>
        <w:t>/ден при фетусите.</w:t>
      </w:r>
    </w:p>
    <w:p w14:paraId="7893EB5B" w14:textId="77777777" w:rsidR="002E4ABF" w:rsidRPr="002E4ABF" w:rsidRDefault="002E4ABF" w:rsidP="002E4ABF">
      <w:pPr>
        <w:spacing w:line="240" w:lineRule="auto"/>
        <w:rPr>
          <w:rFonts w:eastAsia="Times New Roman" w:cs="Arial"/>
          <w:color w:val="000000"/>
          <w:szCs w:val="19"/>
          <w:lang w:eastAsia="bg-BG"/>
        </w:rPr>
      </w:pPr>
    </w:p>
    <w:p w14:paraId="7F23C797" w14:textId="3E91C088"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Проведени са четири проучвания на ембрио-феталното развитие при зайци, покриващи дози от 200, 600, 800, 1 200 и 1 800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Доза от 1 800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е предизвикала забележима токсичност при майката и намаление на теглото на плода, свързано с повишен риск от плод със сърдечно-съдови/скелетни аномалии. </w:t>
      </w:r>
      <w:r w:rsidRPr="002E4ABF">
        <w:rPr>
          <w:rFonts w:eastAsia="Times New Roman" w:cs="Arial"/>
          <w:color w:val="000000"/>
          <w:szCs w:val="19"/>
          <w:lang w:val="en-US"/>
        </w:rPr>
        <w:t>NOAEL</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е &lt; 200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при майката и 200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при плода (равно на МПДХ на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m</w:t>
      </w:r>
      <w:r w:rsidRPr="002E4ABF">
        <w:rPr>
          <w:rFonts w:eastAsia="Times New Roman" w:cs="Arial"/>
          <w:color w:val="000000"/>
          <w:szCs w:val="19"/>
          <w:vertAlign w:val="superscript"/>
          <w:lang w:val="ru-RU"/>
        </w:rPr>
        <w:t>2</w:t>
      </w:r>
      <w:r w:rsidRPr="002E4ABF">
        <w:rPr>
          <w:rFonts w:eastAsia="Times New Roman" w:cs="Arial"/>
          <w:color w:val="000000"/>
          <w:szCs w:val="19"/>
          <w:lang w:val="ru-RU"/>
        </w:rPr>
        <w:t xml:space="preserve"> </w:t>
      </w:r>
      <w:r w:rsidRPr="002E4ABF">
        <w:rPr>
          <w:rFonts w:eastAsia="Times New Roman" w:cs="Arial"/>
          <w:color w:val="000000"/>
          <w:szCs w:val="19"/>
          <w:lang w:eastAsia="bg-BG"/>
        </w:rPr>
        <w:t>база).</w:t>
      </w:r>
    </w:p>
    <w:p w14:paraId="1AACF0EE" w14:textId="7777777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Пери- и постнатално проучване на развитието при плъхове с дози леветирацетам от 70. 350 и 1 800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w:t>
      </w:r>
      <w:r w:rsidRPr="002E4ABF">
        <w:rPr>
          <w:rFonts w:eastAsia="Times New Roman" w:cs="Arial"/>
          <w:color w:val="000000"/>
          <w:szCs w:val="19"/>
          <w:lang w:val="en-US"/>
        </w:rPr>
        <w:t>NOAEL</w:t>
      </w:r>
      <w:r w:rsidRPr="002E4ABF">
        <w:rPr>
          <w:rFonts w:eastAsia="Times New Roman" w:cs="Arial"/>
          <w:color w:val="000000"/>
          <w:szCs w:val="19"/>
          <w:lang w:val="ru-RU"/>
        </w:rPr>
        <w:t xml:space="preserve"> </w:t>
      </w:r>
      <w:r w:rsidRPr="002E4ABF">
        <w:rPr>
          <w:rFonts w:eastAsia="Times New Roman" w:cs="Arial"/>
          <w:color w:val="000000"/>
          <w:szCs w:val="19"/>
          <w:lang w:eastAsia="bg-BG"/>
        </w:rPr>
        <w:t xml:space="preserve">е &gt; 1800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/ден за </w:t>
      </w:r>
      <w:r w:rsidRPr="002E4ABF">
        <w:rPr>
          <w:rFonts w:eastAsia="Times New Roman" w:cs="Arial"/>
          <w:color w:val="000000"/>
          <w:szCs w:val="19"/>
          <w:lang w:val="en-US"/>
        </w:rPr>
        <w:t>F</w:t>
      </w:r>
      <w:r w:rsidRPr="002E4ABF">
        <w:rPr>
          <w:rFonts w:eastAsia="Times New Roman" w:cs="Arial"/>
          <w:color w:val="000000"/>
          <w:szCs w:val="19"/>
          <w:lang w:val="ru-RU"/>
        </w:rPr>
        <w:t xml:space="preserve">0 </w:t>
      </w:r>
      <w:r w:rsidRPr="002E4ABF">
        <w:rPr>
          <w:rFonts w:eastAsia="Times New Roman" w:cs="Arial"/>
          <w:color w:val="000000"/>
          <w:szCs w:val="19"/>
          <w:lang w:eastAsia="bg-BG"/>
        </w:rPr>
        <w:t xml:space="preserve">женски и за преживаемостта, растежа и развитието на </w:t>
      </w:r>
      <w:r w:rsidRPr="002E4ABF">
        <w:rPr>
          <w:rFonts w:eastAsia="Times New Roman" w:cs="Arial"/>
          <w:color w:val="000000"/>
          <w:szCs w:val="19"/>
          <w:lang w:val="en-US"/>
        </w:rPr>
        <w:t>F</w:t>
      </w:r>
      <w:r w:rsidRPr="002E4ABF">
        <w:rPr>
          <w:rFonts w:eastAsia="Times New Roman" w:cs="Arial"/>
          <w:color w:val="000000"/>
          <w:szCs w:val="19"/>
          <w:lang w:val="ru-RU"/>
        </w:rPr>
        <w:t xml:space="preserve">1 </w:t>
      </w:r>
      <w:r w:rsidRPr="002E4ABF">
        <w:rPr>
          <w:rFonts w:eastAsia="Times New Roman" w:cs="Arial"/>
          <w:color w:val="000000"/>
          <w:szCs w:val="19"/>
          <w:lang w:eastAsia="bg-BG"/>
        </w:rPr>
        <w:t xml:space="preserve">поколение до отбиването им (х 6 МПДХ на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m</w:t>
      </w:r>
      <w:r w:rsidRPr="002E4ABF">
        <w:rPr>
          <w:rFonts w:eastAsia="Times New Roman" w:cs="Arial"/>
          <w:color w:val="000000"/>
          <w:szCs w:val="19"/>
          <w:vertAlign w:val="superscript"/>
          <w:lang w:val="ru-RU"/>
        </w:rPr>
        <w:t>2</w:t>
      </w:r>
      <w:r w:rsidRPr="002E4ABF">
        <w:rPr>
          <w:rFonts w:eastAsia="Times New Roman" w:cs="Arial"/>
          <w:color w:val="000000"/>
          <w:szCs w:val="19"/>
          <w:lang w:val="ru-RU"/>
        </w:rPr>
        <w:t xml:space="preserve"> </w:t>
      </w:r>
      <w:r w:rsidRPr="002E4ABF">
        <w:rPr>
          <w:rFonts w:eastAsia="Times New Roman" w:cs="Arial"/>
          <w:color w:val="000000"/>
          <w:szCs w:val="19"/>
          <w:lang w:eastAsia="bg-BG"/>
        </w:rPr>
        <w:t>база).</w:t>
      </w:r>
    </w:p>
    <w:p w14:paraId="1F33A3AC" w14:textId="77777777" w:rsidR="002E4ABF" w:rsidRPr="002E4ABF" w:rsidRDefault="002E4ABF" w:rsidP="002E4ABF">
      <w:pPr>
        <w:spacing w:line="240" w:lineRule="auto"/>
        <w:rPr>
          <w:rFonts w:eastAsia="Times New Roman" w:cs="Arial"/>
          <w:color w:val="000000"/>
          <w:szCs w:val="19"/>
          <w:lang w:eastAsia="bg-BG"/>
        </w:rPr>
      </w:pPr>
    </w:p>
    <w:p w14:paraId="77A3A4B6" w14:textId="5DB90CF9"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 xml:space="preserve">Проучвания на развитието в неонатална и млада възраст при животни (плъхове и кучета) не показват нежелани ефекти по отношение на стандартното развитие или съзряване при дози до 1800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kg</w:t>
      </w:r>
      <w:r w:rsidRPr="002E4ABF">
        <w:rPr>
          <w:rFonts w:eastAsia="Times New Roman" w:cs="Arial"/>
          <w:color w:val="000000"/>
          <w:szCs w:val="19"/>
          <w:lang w:eastAsia="bg-BG"/>
        </w:rPr>
        <w:t xml:space="preserve">/дневно (х 6 - х 17 МПДХ на </w:t>
      </w:r>
      <w:r w:rsidRPr="002E4ABF">
        <w:rPr>
          <w:rFonts w:eastAsia="Times New Roman" w:cs="Arial"/>
          <w:color w:val="000000"/>
          <w:szCs w:val="19"/>
          <w:lang w:val="en-US"/>
        </w:rPr>
        <w:t>mg</w:t>
      </w:r>
      <w:r w:rsidRPr="002E4ABF">
        <w:rPr>
          <w:rFonts w:eastAsia="Times New Roman" w:cs="Arial"/>
          <w:color w:val="000000"/>
          <w:szCs w:val="19"/>
          <w:lang w:val="ru-RU"/>
        </w:rPr>
        <w:t>/</w:t>
      </w:r>
      <w:r w:rsidRPr="002E4ABF">
        <w:rPr>
          <w:rFonts w:eastAsia="Times New Roman" w:cs="Arial"/>
          <w:color w:val="000000"/>
          <w:szCs w:val="19"/>
          <w:lang w:val="en-US"/>
        </w:rPr>
        <w:t>m</w:t>
      </w:r>
      <w:r w:rsidRPr="002E4ABF">
        <w:rPr>
          <w:rFonts w:eastAsia="Times New Roman" w:cs="Arial"/>
          <w:color w:val="000000"/>
          <w:szCs w:val="19"/>
          <w:vertAlign w:val="superscript"/>
          <w:lang w:val="ru-RU"/>
        </w:rPr>
        <w:t>2</w:t>
      </w:r>
      <w:r w:rsidRPr="002E4ABF">
        <w:rPr>
          <w:rFonts w:eastAsia="Times New Roman" w:cs="Arial"/>
          <w:color w:val="000000"/>
          <w:szCs w:val="19"/>
          <w:lang w:val="ru-RU"/>
        </w:rPr>
        <w:t xml:space="preserve"> </w:t>
      </w:r>
      <w:r w:rsidRPr="002E4ABF">
        <w:rPr>
          <w:rFonts w:eastAsia="Times New Roman" w:cs="Arial"/>
          <w:color w:val="000000"/>
          <w:szCs w:val="19"/>
          <w:lang w:eastAsia="bg-BG"/>
        </w:rPr>
        <w:t>база).</w:t>
      </w:r>
    </w:p>
    <w:p w14:paraId="69F53FAF" w14:textId="77777777" w:rsidR="002E4ABF" w:rsidRPr="002E4ABF" w:rsidRDefault="002E4ABF" w:rsidP="002E4ABF">
      <w:pPr>
        <w:spacing w:line="240" w:lineRule="auto"/>
        <w:rPr>
          <w:rFonts w:eastAsia="Times New Roman" w:cs="Arial"/>
          <w:color w:val="000000"/>
          <w:szCs w:val="19"/>
          <w:u w:val="single"/>
          <w:lang w:eastAsia="bg-BG"/>
        </w:rPr>
      </w:pPr>
    </w:p>
    <w:p w14:paraId="5BF2DA8B" w14:textId="1B1AB097"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u w:val="single"/>
          <w:lang w:eastAsia="bg-BG"/>
        </w:rPr>
        <w:t>Оценка на риска за околната среда (Е</w:t>
      </w:r>
      <w:r w:rsidRPr="002E4ABF">
        <w:rPr>
          <w:rFonts w:eastAsia="Times New Roman" w:cs="Arial"/>
          <w:color w:val="000000"/>
          <w:szCs w:val="19"/>
          <w:u w:val="single"/>
          <w:lang w:val="en-US"/>
        </w:rPr>
        <w:t>R</w:t>
      </w:r>
      <w:r w:rsidRPr="002E4ABF">
        <w:rPr>
          <w:rFonts w:eastAsia="Times New Roman" w:cs="Arial"/>
          <w:color w:val="000000"/>
          <w:szCs w:val="19"/>
          <w:u w:val="single"/>
          <w:lang w:eastAsia="bg-BG"/>
        </w:rPr>
        <w:t>А)</w:t>
      </w:r>
    </w:p>
    <w:p w14:paraId="0A374F65" w14:textId="77777777" w:rsidR="002E4ABF" w:rsidRPr="002E4ABF" w:rsidRDefault="002E4ABF" w:rsidP="002E4ABF">
      <w:pPr>
        <w:spacing w:line="240" w:lineRule="auto"/>
        <w:rPr>
          <w:rFonts w:eastAsia="Times New Roman" w:cs="Arial"/>
          <w:color w:val="000000"/>
          <w:szCs w:val="19"/>
          <w:lang w:eastAsia="bg-BG"/>
        </w:rPr>
      </w:pPr>
    </w:p>
    <w:p w14:paraId="0EB6ED3A" w14:textId="00990A93" w:rsidR="002E4ABF" w:rsidRPr="002E4ABF" w:rsidRDefault="002E4ABF" w:rsidP="002E4ABF">
      <w:pPr>
        <w:spacing w:line="240" w:lineRule="auto"/>
        <w:rPr>
          <w:rFonts w:ascii="Times New Roman" w:eastAsia="Times New Roman" w:hAnsi="Times New Roman" w:cs="Times New Roman"/>
          <w:sz w:val="32"/>
          <w:szCs w:val="24"/>
        </w:rPr>
      </w:pPr>
      <w:r w:rsidRPr="002E4ABF">
        <w:rPr>
          <w:rFonts w:eastAsia="Times New Roman" w:cs="Arial"/>
          <w:color w:val="000000"/>
          <w:szCs w:val="19"/>
          <w:lang w:eastAsia="bg-BG"/>
        </w:rPr>
        <w:t>Малко вероятно е употребата на Леветиракон в съответствие с продуктовата информация да доведе до нежелателно въздействие върху околната среда (вж. точка 6.6).</w:t>
      </w:r>
    </w:p>
    <w:p w14:paraId="4A907D97" w14:textId="77777777" w:rsidR="002E4ABF" w:rsidRPr="002E4ABF" w:rsidRDefault="002E4ABF" w:rsidP="002E4ABF"/>
    <w:p w14:paraId="1BA6531D" w14:textId="06ED8CB2" w:rsidR="00B6672E" w:rsidRDefault="002C50EE" w:rsidP="00936AD0">
      <w:pPr>
        <w:pStyle w:val="Heading1"/>
      </w:pPr>
      <w:r>
        <w:t>7. ПРИТЕЖАТЕЛ НА РАЗРЕШЕНИЕТО ЗА УПОТРЕБА</w:t>
      </w:r>
    </w:p>
    <w:p w14:paraId="623B2DB7" w14:textId="1355ABA6" w:rsidR="002E4ABF" w:rsidRDefault="002E4ABF" w:rsidP="002E4ABF"/>
    <w:p w14:paraId="4EB06BB1" w14:textId="77777777" w:rsidR="002E4ABF" w:rsidRPr="002E4ABF" w:rsidRDefault="002E4ABF" w:rsidP="002E4ABF">
      <w:pPr>
        <w:rPr>
          <w:rFonts w:ascii="Times New Roman" w:hAnsi="Times New Roman" w:cs="Times New Roman"/>
          <w:sz w:val="24"/>
          <w:szCs w:val="24"/>
        </w:rPr>
      </w:pPr>
      <w:bookmarkStart w:id="1" w:name="bookmark0"/>
      <w:r w:rsidRPr="002E4ABF">
        <w:rPr>
          <w:lang w:eastAsia="bg-BG"/>
        </w:rPr>
        <w:t>ФАРМАКОНС АД</w:t>
      </w:r>
      <w:bookmarkEnd w:id="1"/>
    </w:p>
    <w:p w14:paraId="61204309" w14:textId="77777777" w:rsidR="002E4ABF" w:rsidRPr="002E4ABF" w:rsidRDefault="002E4ABF" w:rsidP="002E4ABF">
      <w:pPr>
        <w:rPr>
          <w:rFonts w:ascii="Times New Roman" w:hAnsi="Times New Roman" w:cs="Times New Roman"/>
          <w:sz w:val="24"/>
          <w:szCs w:val="24"/>
        </w:rPr>
      </w:pPr>
      <w:r w:rsidRPr="002E4ABF">
        <w:rPr>
          <w:lang w:eastAsia="bg-BG"/>
        </w:rPr>
        <w:t>бул. „Пейо К. Яворов” № 44 ет. 1</w:t>
      </w:r>
    </w:p>
    <w:p w14:paraId="2DB89307" w14:textId="77777777" w:rsidR="002E4ABF" w:rsidRPr="002E4ABF" w:rsidRDefault="002E4ABF" w:rsidP="002E4ABF">
      <w:pPr>
        <w:rPr>
          <w:rFonts w:ascii="Times New Roman" w:hAnsi="Times New Roman" w:cs="Times New Roman"/>
          <w:sz w:val="24"/>
          <w:szCs w:val="24"/>
        </w:rPr>
      </w:pPr>
      <w:r w:rsidRPr="002E4ABF">
        <w:rPr>
          <w:lang w:val="ru-RU"/>
        </w:rPr>
        <w:t>1</w:t>
      </w:r>
      <w:r w:rsidRPr="002E4ABF">
        <w:rPr>
          <w:lang w:eastAsia="bg-BG"/>
        </w:rPr>
        <w:t>164 гр. София</w:t>
      </w:r>
    </w:p>
    <w:p w14:paraId="58A6B926" w14:textId="1CED3675" w:rsidR="002E4ABF" w:rsidRPr="002E4ABF" w:rsidRDefault="002E4ABF" w:rsidP="002E4ABF">
      <w:r w:rsidRPr="002E4ABF">
        <w:rPr>
          <w:lang w:eastAsia="bg-BG"/>
        </w:rPr>
        <w:t>България</w:t>
      </w:r>
    </w:p>
    <w:p w14:paraId="508F3A54" w14:textId="534EE1D9" w:rsidR="00B6672E" w:rsidRDefault="00936AD0" w:rsidP="00936AD0">
      <w:pPr>
        <w:pStyle w:val="Heading1"/>
      </w:pPr>
      <w:r>
        <w:t>8.</w:t>
      </w:r>
      <w:r w:rsidR="002C50EE">
        <w:t>НОМЕР НА РАЗРЕШЕНИЕТО ЗА УПОТРЕБА</w:t>
      </w:r>
    </w:p>
    <w:p w14:paraId="143B1647" w14:textId="39D27078" w:rsidR="002E4ABF" w:rsidRDefault="002E4ABF" w:rsidP="002E4ABF"/>
    <w:p w14:paraId="3F995BB5" w14:textId="71F1DB03" w:rsidR="002E4ABF" w:rsidRPr="002E4ABF" w:rsidRDefault="002E4ABF" w:rsidP="002E4ABF">
      <w:pPr>
        <w:rPr>
          <w:lang w:eastAsia="bg-BG"/>
        </w:rPr>
      </w:pPr>
      <w:r w:rsidRPr="002E4ABF">
        <w:rPr>
          <w:lang w:val="en-US"/>
        </w:rPr>
        <w:t>Per</w:t>
      </w:r>
      <w:r w:rsidRPr="002E4ABF">
        <w:rPr>
          <w:lang w:val="ru-RU"/>
        </w:rPr>
        <w:t xml:space="preserve">. </w:t>
      </w:r>
      <w:r w:rsidRPr="002E4ABF">
        <w:rPr>
          <w:lang w:eastAsia="bg-BG"/>
        </w:rPr>
        <w:t>№20160338</w:t>
      </w:r>
    </w:p>
    <w:p w14:paraId="2CCB5832" w14:textId="666BF64D" w:rsidR="007C605B" w:rsidRDefault="002C50EE" w:rsidP="007C605B">
      <w:pPr>
        <w:pStyle w:val="Heading1"/>
      </w:pPr>
      <w:r>
        <w:t>9. ДАТА НА ПЪРВО РАЗРЕШАВАНЕ/ПОДНОВЯВАНЕ НА РАЗРЕШЕНИЕТО ЗА УПОТРЕБА</w:t>
      </w:r>
    </w:p>
    <w:p w14:paraId="56D4DDAF" w14:textId="3F496A20" w:rsidR="002E4ABF" w:rsidRDefault="002E4ABF" w:rsidP="002E4ABF"/>
    <w:p w14:paraId="2CF7402D" w14:textId="77777777" w:rsidR="002E4ABF" w:rsidRPr="002E4ABF" w:rsidRDefault="002E4ABF" w:rsidP="002E4ABF">
      <w:pPr>
        <w:rPr>
          <w:rFonts w:ascii="Times New Roman" w:hAnsi="Times New Roman" w:cs="Times New Roman"/>
          <w:sz w:val="24"/>
          <w:szCs w:val="24"/>
        </w:rPr>
      </w:pPr>
      <w:r w:rsidRPr="002E4ABF">
        <w:rPr>
          <w:lang w:eastAsia="bg-BG"/>
        </w:rPr>
        <w:t>Дата на първо разрешаване: 04 ноември 2016</w:t>
      </w:r>
    </w:p>
    <w:p w14:paraId="2465BAE4" w14:textId="77777777" w:rsidR="002E4ABF" w:rsidRPr="002E4ABF" w:rsidRDefault="002E4ABF" w:rsidP="002E4ABF">
      <w:pPr>
        <w:rPr>
          <w:rFonts w:ascii="Times New Roman" w:hAnsi="Times New Roman" w:cs="Times New Roman"/>
          <w:sz w:val="24"/>
          <w:szCs w:val="24"/>
        </w:rPr>
      </w:pPr>
      <w:r w:rsidRPr="002E4ABF">
        <w:rPr>
          <w:lang w:eastAsia="bg-BG"/>
        </w:rPr>
        <w:lastRenderedPageBreak/>
        <w:t>Дата на последно подновяване:</w:t>
      </w:r>
    </w:p>
    <w:p w14:paraId="7E792882" w14:textId="77777777" w:rsidR="002E4ABF" w:rsidRPr="002E4ABF" w:rsidRDefault="002E4ABF" w:rsidP="002E4ABF"/>
    <w:p w14:paraId="0E9D0119" w14:textId="0245C6D7" w:rsidR="002C50EE" w:rsidRDefault="002C50EE" w:rsidP="002C50EE">
      <w:pPr>
        <w:pStyle w:val="Heading1"/>
      </w:pPr>
      <w:r>
        <w:t>10. ДАТА НА АКТУАЛИЗИРАНЕ НА ТЕКСТА</w:t>
      </w:r>
    </w:p>
    <w:bookmarkEnd w:id="0"/>
    <w:p w14:paraId="43FB38A2" w14:textId="28897059" w:rsidR="007C605B" w:rsidRPr="003E3126" w:rsidRDefault="002E4ABF" w:rsidP="002E4ABF">
      <w:r>
        <w:t>05/2021</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A267C"/>
    <w:multiLevelType w:val="hybridMultilevel"/>
    <w:tmpl w:val="2292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E4ABF"/>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C7A24"/>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37F7C"/>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7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6256</Words>
  <Characters>35663</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2022-10-24T11:58:00Z</dcterms:created>
  <dcterms:modified xsi:type="dcterms:W3CDTF">2022-10-24T11:58:00Z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