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28BFB509" w14:textId="77777777" w:rsidR="009A2D27" w:rsidRPr="009A2D27" w:rsidRDefault="009A2D27" w:rsidP="0091385D">
      <w:pPr>
        <w:rPr>
          <w:rFonts w:cs="Arial"/>
        </w:rPr>
      </w:pPr>
      <w:r w:rsidRPr="009A2D27">
        <w:rPr>
          <w:rFonts w:cs="Arial"/>
        </w:rPr>
        <w:t xml:space="preserve">ЛЕВОФЛОКСАЦИН АКОРД 500 </w:t>
      </w:r>
      <w:r w:rsidRPr="009A2D27">
        <w:rPr>
          <w:rFonts w:cs="Arial"/>
          <w:lang w:val="en-US"/>
        </w:rPr>
        <w:t xml:space="preserve">mg </w:t>
      </w:r>
      <w:r w:rsidRPr="009A2D27">
        <w:rPr>
          <w:rFonts w:cs="Arial"/>
        </w:rPr>
        <w:t xml:space="preserve">филмирани таблетки </w:t>
      </w:r>
    </w:p>
    <w:p w14:paraId="69AC8148" w14:textId="552287C7" w:rsidR="00EC41ED" w:rsidRPr="009A2D27" w:rsidRDefault="009A2D27" w:rsidP="0091385D">
      <w:pPr>
        <w:rPr>
          <w:rFonts w:cs="Arial"/>
        </w:rPr>
      </w:pPr>
      <w:r w:rsidRPr="009A2D27">
        <w:rPr>
          <w:rFonts w:cs="Arial"/>
          <w:lang w:val="en-US"/>
        </w:rPr>
        <w:t xml:space="preserve">LEVOFLOXACIN ACCORD </w:t>
      </w:r>
      <w:r w:rsidRPr="009A2D27">
        <w:rPr>
          <w:rFonts w:cs="Arial"/>
        </w:rPr>
        <w:t xml:space="preserve">500 </w:t>
      </w:r>
      <w:r w:rsidRPr="009A2D27">
        <w:rPr>
          <w:rFonts w:cs="Arial"/>
          <w:lang w:val="en-US"/>
        </w:rPr>
        <w:t>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54632B43" w14:textId="77F24100" w:rsidR="00EC41ED" w:rsidRPr="009A2D27" w:rsidRDefault="009A2D27" w:rsidP="0091385D">
      <w:pPr>
        <w:rPr>
          <w:rFonts w:cs="Arial"/>
        </w:rPr>
      </w:pPr>
      <w:r w:rsidRPr="009A2D27">
        <w:rPr>
          <w:rFonts w:cs="Arial"/>
        </w:rPr>
        <w:t xml:space="preserve">Всяка филмирана таблетка съдържа 500 </w:t>
      </w:r>
      <w:r w:rsidRPr="009A2D27">
        <w:rPr>
          <w:rFonts w:cs="Arial"/>
          <w:lang w:val="en-US"/>
        </w:rPr>
        <w:t xml:space="preserve">mg </w:t>
      </w:r>
      <w:r w:rsidRPr="009A2D27">
        <w:rPr>
          <w:rFonts w:cs="Arial"/>
        </w:rPr>
        <w:t xml:space="preserve">левофлоксацин </w:t>
      </w:r>
      <w:r w:rsidRPr="009A2D27">
        <w:rPr>
          <w:rFonts w:cs="Arial"/>
          <w:i/>
          <w:iCs/>
          <w:lang w:val="en-US"/>
        </w:rPr>
        <w:t>(levofloxacin)</w:t>
      </w:r>
      <w:r w:rsidRPr="009A2D27">
        <w:rPr>
          <w:rFonts w:cs="Arial"/>
          <w:lang w:val="en-US"/>
        </w:rPr>
        <w:t xml:space="preserve"> </w:t>
      </w:r>
      <w:r w:rsidRPr="009A2D27">
        <w:rPr>
          <w:rFonts w:cs="Arial"/>
        </w:rPr>
        <w:t xml:space="preserve">като активно вещество, еквивалентен на 512,46 </w:t>
      </w:r>
      <w:r w:rsidRPr="009A2D27">
        <w:rPr>
          <w:rFonts w:cs="Arial"/>
          <w:lang w:val="en-US"/>
        </w:rPr>
        <w:t xml:space="preserve">mg </w:t>
      </w:r>
      <w:r w:rsidRPr="009A2D27">
        <w:rPr>
          <w:rFonts w:cs="Arial"/>
        </w:rPr>
        <w:t xml:space="preserve">левофлоксацинов хемихидрат </w:t>
      </w:r>
      <w:r w:rsidRPr="009A2D27">
        <w:rPr>
          <w:rFonts w:cs="Arial"/>
          <w:i/>
          <w:iCs/>
          <w:lang w:val="en-US"/>
        </w:rPr>
        <w:t xml:space="preserve">(levofloxacin hemihydrate). </w:t>
      </w:r>
      <w:r w:rsidRPr="009A2D27">
        <w:rPr>
          <w:rFonts w:cs="Arial"/>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4CEC45BB"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Филмирана таблетка</w:t>
      </w:r>
    </w:p>
    <w:p w14:paraId="7087D68B" w14:textId="77777777" w:rsidR="009A2D27" w:rsidRPr="009A2D27" w:rsidRDefault="009A2D27" w:rsidP="009A2D27">
      <w:pPr>
        <w:spacing w:line="240" w:lineRule="auto"/>
        <w:rPr>
          <w:rFonts w:eastAsia="Times New Roman" w:cs="Arial"/>
          <w:color w:val="000000"/>
          <w:lang w:eastAsia="bg-BG"/>
        </w:rPr>
      </w:pPr>
    </w:p>
    <w:p w14:paraId="1F3BED7A" w14:textId="2A469326"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 xml:space="preserve">Розова, с форма на капсула, двойноизпъкнала филмирана таблетка с делителна черта от двете страни. Релефно означение </w:t>
      </w:r>
      <w:r w:rsidRPr="009A2D27">
        <w:rPr>
          <w:rFonts w:eastAsia="Times New Roman" w:cs="Arial"/>
          <w:color w:val="000000"/>
          <w:lang w:val="en-US"/>
        </w:rPr>
        <w:t xml:space="preserve">„L” </w:t>
      </w:r>
      <w:r w:rsidRPr="009A2D27">
        <w:rPr>
          <w:rFonts w:eastAsia="Times New Roman" w:cs="Arial"/>
          <w:color w:val="000000"/>
          <w:lang w:eastAsia="bg-BG"/>
        </w:rPr>
        <w:t>и „V” от двете страни на делителната черта, от едната страна на таблетката.</w:t>
      </w:r>
    </w:p>
    <w:p w14:paraId="743244F0" w14:textId="5912334A" w:rsidR="00EC41ED" w:rsidRPr="009A2D27" w:rsidRDefault="009A2D27" w:rsidP="009A2D27">
      <w:pPr>
        <w:rPr>
          <w:rFonts w:cs="Arial"/>
        </w:rPr>
      </w:pPr>
      <w:r w:rsidRPr="009A2D27">
        <w:rPr>
          <w:rFonts w:eastAsia="Times New Roman" w:cs="Arial"/>
          <w:color w:val="000000"/>
          <w:lang w:eastAsia="bg-BG"/>
        </w:rPr>
        <w:t>Таблетката може да бъде разделена на две равни дози.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5D4918BA"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Левофлоксацин Акорд е показан при възрастни за лечение на следните инфекции (вижте точки 4.4 и 5.1):</w:t>
      </w:r>
    </w:p>
    <w:p w14:paraId="612C72F0" w14:textId="77777777" w:rsidR="009A2D27" w:rsidRPr="009A2D27" w:rsidRDefault="009A2D27" w:rsidP="009A2D27">
      <w:pPr>
        <w:pStyle w:val="ListParagraph"/>
        <w:numPr>
          <w:ilvl w:val="0"/>
          <w:numId w:val="36"/>
        </w:numPr>
        <w:spacing w:line="240" w:lineRule="auto"/>
        <w:rPr>
          <w:rFonts w:eastAsia="Times New Roman" w:cs="Arial"/>
          <w:color w:val="000000"/>
          <w:lang w:eastAsia="bg-BG"/>
        </w:rPr>
      </w:pPr>
      <w:r w:rsidRPr="009A2D27">
        <w:rPr>
          <w:rFonts w:eastAsia="Times New Roman" w:cs="Arial"/>
          <w:color w:val="000000"/>
          <w:lang w:eastAsia="bg-BG"/>
        </w:rPr>
        <w:t>Остър бактериален синузит</w:t>
      </w:r>
    </w:p>
    <w:p w14:paraId="4E718B27" w14:textId="77777777" w:rsidR="009A2D27" w:rsidRPr="009A2D27" w:rsidRDefault="009A2D27" w:rsidP="009A2D27">
      <w:pPr>
        <w:pStyle w:val="ListParagraph"/>
        <w:numPr>
          <w:ilvl w:val="0"/>
          <w:numId w:val="36"/>
        </w:numPr>
        <w:spacing w:line="240" w:lineRule="auto"/>
        <w:rPr>
          <w:rFonts w:eastAsia="Times New Roman" w:cs="Arial"/>
          <w:color w:val="000000"/>
          <w:lang w:eastAsia="bg-BG"/>
        </w:rPr>
      </w:pPr>
      <w:r w:rsidRPr="009A2D27">
        <w:rPr>
          <w:rFonts w:eastAsia="Times New Roman" w:cs="Arial"/>
          <w:color w:val="000000"/>
          <w:lang w:eastAsia="bg-BG"/>
        </w:rPr>
        <w:t>Остра екзацербация на хронична обструктивна белодробна болест, включително бронхит</w:t>
      </w:r>
    </w:p>
    <w:p w14:paraId="1BEF7B17" w14:textId="77777777" w:rsidR="009A2D27" w:rsidRPr="009A2D27" w:rsidRDefault="009A2D27" w:rsidP="009A2D27">
      <w:pPr>
        <w:pStyle w:val="ListParagraph"/>
        <w:numPr>
          <w:ilvl w:val="0"/>
          <w:numId w:val="36"/>
        </w:numPr>
        <w:spacing w:line="240" w:lineRule="auto"/>
        <w:rPr>
          <w:rFonts w:eastAsia="Times New Roman" w:cs="Arial"/>
          <w:color w:val="000000"/>
          <w:lang w:eastAsia="bg-BG"/>
        </w:rPr>
      </w:pPr>
      <w:r w:rsidRPr="009A2D27">
        <w:rPr>
          <w:rFonts w:eastAsia="Times New Roman" w:cs="Arial"/>
          <w:color w:val="000000"/>
          <w:lang w:eastAsia="bg-BG"/>
        </w:rPr>
        <w:t>Неусложнен цистит (вижте точка 4.4)</w:t>
      </w:r>
    </w:p>
    <w:p w14:paraId="12B8AF3E" w14:textId="77777777" w:rsidR="009A2D27" w:rsidRPr="009A2D27" w:rsidRDefault="009A2D27" w:rsidP="009A2D27">
      <w:pPr>
        <w:pStyle w:val="ListParagraph"/>
        <w:numPr>
          <w:ilvl w:val="0"/>
          <w:numId w:val="36"/>
        </w:numPr>
        <w:spacing w:line="240" w:lineRule="auto"/>
        <w:rPr>
          <w:rFonts w:eastAsia="Times New Roman" w:cs="Arial"/>
          <w:color w:val="000000"/>
          <w:lang w:eastAsia="bg-BG"/>
        </w:rPr>
      </w:pPr>
      <w:r w:rsidRPr="009A2D27">
        <w:rPr>
          <w:rFonts w:eastAsia="Times New Roman" w:cs="Arial"/>
          <w:color w:val="000000"/>
          <w:lang w:eastAsia="bg-BG"/>
        </w:rPr>
        <w:t>Придобита в обществото пневмония</w:t>
      </w:r>
    </w:p>
    <w:p w14:paraId="05848322" w14:textId="08CF45E2" w:rsidR="009A2D27" w:rsidRPr="009A2D27" w:rsidRDefault="009A2D27" w:rsidP="009A2D27">
      <w:pPr>
        <w:pStyle w:val="ListParagraph"/>
        <w:numPr>
          <w:ilvl w:val="0"/>
          <w:numId w:val="36"/>
        </w:numPr>
        <w:spacing w:line="240" w:lineRule="auto"/>
        <w:rPr>
          <w:rFonts w:eastAsia="Times New Roman" w:cs="Arial"/>
          <w:color w:val="000000"/>
          <w:lang w:eastAsia="bg-BG"/>
        </w:rPr>
      </w:pPr>
      <w:r w:rsidRPr="009A2D27">
        <w:rPr>
          <w:rFonts w:eastAsia="Times New Roman" w:cs="Arial"/>
          <w:color w:val="000000"/>
          <w:lang w:eastAsia="bg-BG"/>
        </w:rPr>
        <w:t>Усложнени инфекции на кожата и меките тъкани</w:t>
      </w:r>
    </w:p>
    <w:p w14:paraId="0F28C2E4"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За горепосочените инфекции, Левофлоксацин Акорд трябва да се използва само когато употребата на антибактериални средства, които обичайно се препоръчват за лечение на тези инфекции, се смята за неподходяща.</w:t>
      </w:r>
    </w:p>
    <w:p w14:paraId="4738C014" w14:textId="77777777" w:rsidR="009A2D27" w:rsidRPr="009A2D27" w:rsidRDefault="009A2D27" w:rsidP="009A2D27">
      <w:pPr>
        <w:pStyle w:val="ListParagraph"/>
        <w:numPr>
          <w:ilvl w:val="0"/>
          <w:numId w:val="37"/>
        </w:numPr>
        <w:spacing w:line="240" w:lineRule="auto"/>
        <w:rPr>
          <w:rFonts w:eastAsia="Times New Roman" w:cs="Arial"/>
          <w:lang w:eastAsia="bg-BG"/>
        </w:rPr>
      </w:pPr>
      <w:r w:rsidRPr="009A2D27">
        <w:rPr>
          <w:rFonts w:eastAsia="Times New Roman" w:cs="Arial"/>
          <w:color w:val="000000"/>
          <w:lang w:eastAsia="bg-BG"/>
        </w:rPr>
        <w:t>Остър пиелонефрит и усложнени инфекции на пикочните пътища (вижте точка 4.4)</w:t>
      </w:r>
    </w:p>
    <w:p w14:paraId="25EF10D5" w14:textId="77777777" w:rsidR="009A2D27" w:rsidRPr="009A2D27" w:rsidRDefault="009A2D27" w:rsidP="009A2D27">
      <w:pPr>
        <w:pStyle w:val="ListParagraph"/>
        <w:numPr>
          <w:ilvl w:val="0"/>
          <w:numId w:val="37"/>
        </w:numPr>
        <w:spacing w:line="240" w:lineRule="auto"/>
        <w:rPr>
          <w:rFonts w:eastAsia="Times New Roman" w:cs="Arial"/>
          <w:lang w:eastAsia="bg-BG"/>
        </w:rPr>
      </w:pPr>
      <w:r w:rsidRPr="009A2D27">
        <w:rPr>
          <w:rFonts w:eastAsia="Times New Roman" w:cs="Arial"/>
          <w:color w:val="000000"/>
          <w:lang w:eastAsia="bg-BG"/>
        </w:rPr>
        <w:t>Хроничен бактериален простатит</w:t>
      </w:r>
    </w:p>
    <w:p w14:paraId="624C090A" w14:textId="3EB0F68B" w:rsidR="009A2D27" w:rsidRPr="009A2D27" w:rsidRDefault="009A2D27" w:rsidP="009A2D27">
      <w:pPr>
        <w:pStyle w:val="ListParagraph"/>
        <w:numPr>
          <w:ilvl w:val="0"/>
          <w:numId w:val="37"/>
        </w:numPr>
        <w:spacing w:line="240" w:lineRule="auto"/>
        <w:rPr>
          <w:rFonts w:eastAsia="Times New Roman" w:cs="Arial"/>
          <w:lang w:eastAsia="bg-BG"/>
        </w:rPr>
      </w:pPr>
      <w:r w:rsidRPr="009A2D27">
        <w:rPr>
          <w:rFonts w:eastAsia="Times New Roman" w:cs="Arial"/>
          <w:color w:val="000000"/>
          <w:lang w:eastAsia="bg-BG"/>
        </w:rPr>
        <w:t>Инхалационен антракс: профилактика след експозиция и лечение (вижте точка 4.4)</w:t>
      </w:r>
    </w:p>
    <w:p w14:paraId="1A03B879"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lastRenderedPageBreak/>
        <w:t>Левофлоксацин Акорд може да се използва и за завършване на курс на лечение при пациенти, които са показали подобрение по време на първоначалното лечение с интравенозно приложение на левофлоксацин.</w:t>
      </w:r>
    </w:p>
    <w:p w14:paraId="6E399252" w14:textId="77777777" w:rsidR="009A2D27" w:rsidRPr="009A2D27" w:rsidRDefault="009A2D27" w:rsidP="009A2D27">
      <w:pPr>
        <w:rPr>
          <w:rFonts w:eastAsia="Times New Roman" w:cs="Arial"/>
          <w:color w:val="000000"/>
          <w:lang w:eastAsia="bg-BG"/>
        </w:rPr>
      </w:pPr>
    </w:p>
    <w:p w14:paraId="6DFA4B9D" w14:textId="0163D6F1" w:rsidR="0091385D" w:rsidRPr="009A2D27" w:rsidRDefault="009A2D27" w:rsidP="009A2D27">
      <w:pPr>
        <w:rPr>
          <w:rFonts w:cs="Arial"/>
        </w:rPr>
      </w:pPr>
      <w:r w:rsidRPr="009A2D27">
        <w:rPr>
          <w:rFonts w:eastAsia="Times New Roman" w:cs="Arial"/>
          <w:color w:val="000000"/>
          <w:lang w:eastAsia="bg-BG"/>
        </w:rPr>
        <w:t>Трябва да се има предвид официалното ръководство за подходящо използване на антибактериални средства.</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7D11AF52"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Левофлоксацин Акорд се прилага веднъж или два пъти дневно. Дозировката зависи от вида и тежестта на инфекцията и чувствителността на предполагаемия патогенен причинител.</w:t>
      </w:r>
    </w:p>
    <w:p w14:paraId="463E65A2" w14:textId="77777777" w:rsidR="009A2D27" w:rsidRPr="009A2D27" w:rsidRDefault="009A2D27" w:rsidP="009A2D27">
      <w:pPr>
        <w:spacing w:line="240" w:lineRule="auto"/>
        <w:rPr>
          <w:rFonts w:eastAsia="Times New Roman" w:cs="Arial"/>
          <w:i/>
          <w:iCs/>
          <w:color w:val="000000"/>
          <w:u w:val="single"/>
          <w:lang w:eastAsia="bg-BG"/>
        </w:rPr>
      </w:pPr>
    </w:p>
    <w:p w14:paraId="2A7FD9B2" w14:textId="7E9571DF"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Продължителност на лечението</w:t>
      </w:r>
    </w:p>
    <w:p w14:paraId="05CF53B7"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Продължителността на лечението варира в зависимост от хода на заболяването (вижте таблицата по- долу). Както при всяка антибиотична терапия, приложението на Левофлоксацин Акорд трябва да продължи най-малко 48 до 72 часа след като пациентът стане афебрилен или се получат доказателства за бактериална ерадикация.</w:t>
      </w:r>
    </w:p>
    <w:p w14:paraId="79D59D87" w14:textId="7CF282EB"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ab/>
      </w:r>
    </w:p>
    <w:p w14:paraId="7FBF1BCE" w14:textId="62CDC7CC" w:rsidR="00EC41ED" w:rsidRPr="009A2D27" w:rsidRDefault="009A2D27" w:rsidP="009A2D27">
      <w:pPr>
        <w:rPr>
          <w:rFonts w:eastAsia="Times New Roman" w:cs="Arial"/>
          <w:color w:val="000000"/>
          <w:lang w:eastAsia="bg-BG"/>
        </w:rPr>
      </w:pPr>
      <w:r w:rsidRPr="009A2D27">
        <w:rPr>
          <w:rFonts w:eastAsia="Times New Roman" w:cs="Arial"/>
          <w:color w:val="000000"/>
          <w:lang w:eastAsia="bg-BG"/>
        </w:rPr>
        <w:t>За Левофлоксацин Акорд могат да се дадат следните препоръки за дозиране:</w:t>
      </w:r>
    </w:p>
    <w:p w14:paraId="0CD69178" w14:textId="77777777" w:rsidR="009A2D27" w:rsidRPr="009A2D27" w:rsidRDefault="009A2D27" w:rsidP="009A2D27">
      <w:pPr>
        <w:rPr>
          <w:rFonts w:cs="Arial"/>
          <w:i/>
          <w:iCs/>
          <w:u w:val="single"/>
        </w:rPr>
      </w:pPr>
    </w:p>
    <w:p w14:paraId="0B76D60C" w14:textId="6BED6207" w:rsidR="009A2D27" w:rsidRPr="00001DBB" w:rsidRDefault="009A2D27" w:rsidP="00001DBB">
      <w:pPr>
        <w:pStyle w:val="Heading3"/>
        <w:rPr>
          <w:u w:val="single"/>
        </w:rPr>
      </w:pPr>
      <w:r w:rsidRPr="00001DBB">
        <w:rPr>
          <w:u w:val="single"/>
        </w:rPr>
        <w:t xml:space="preserve">Дозировка при пациенти с нормална бъбречна функция (креатинов клирънс &gt;50 </w:t>
      </w:r>
      <w:r w:rsidRPr="00001DBB">
        <w:rPr>
          <w:u w:val="single"/>
          <w:lang w:val="en-US"/>
        </w:rPr>
        <w:t>ml/min)</w:t>
      </w:r>
    </w:p>
    <w:p w14:paraId="132F3111" w14:textId="1E9763DD" w:rsidR="005B0F27" w:rsidRPr="009A2D27" w:rsidRDefault="005B0F27" w:rsidP="0091385D">
      <w:pPr>
        <w:rPr>
          <w:rFonts w:cs="Arial"/>
        </w:rPr>
      </w:pPr>
    </w:p>
    <w:tbl>
      <w:tblPr>
        <w:tblStyle w:val="TableGrid"/>
        <w:tblW w:w="0" w:type="auto"/>
        <w:tblLook w:val="04A0" w:firstRow="1" w:lastRow="0" w:firstColumn="1" w:lastColumn="0" w:noHBand="0" w:noVBand="1"/>
      </w:tblPr>
      <w:tblGrid>
        <w:gridCol w:w="3116"/>
        <w:gridCol w:w="3117"/>
        <w:gridCol w:w="3117"/>
      </w:tblGrid>
      <w:tr w:rsidR="009A2D27" w:rsidRPr="009A2D27" w14:paraId="6224DC2C" w14:textId="77777777" w:rsidTr="009A2D27">
        <w:tc>
          <w:tcPr>
            <w:tcW w:w="3116" w:type="dxa"/>
          </w:tcPr>
          <w:p w14:paraId="55B0695E" w14:textId="0A90F272" w:rsidR="009A2D27" w:rsidRPr="009A2D27" w:rsidRDefault="009A2D27" w:rsidP="009A2D27">
            <w:pPr>
              <w:rPr>
                <w:rFonts w:cs="Arial"/>
              </w:rPr>
            </w:pPr>
            <w:r w:rsidRPr="009A2D27">
              <w:rPr>
                <w:rFonts w:cs="Arial"/>
                <w:b/>
                <w:bCs/>
              </w:rPr>
              <w:t>Показание</w:t>
            </w:r>
          </w:p>
        </w:tc>
        <w:tc>
          <w:tcPr>
            <w:tcW w:w="3117" w:type="dxa"/>
          </w:tcPr>
          <w:p w14:paraId="6BC70FBD" w14:textId="75B1BE93" w:rsidR="009A2D27" w:rsidRPr="009A2D27" w:rsidRDefault="009A2D27" w:rsidP="009A2D27">
            <w:pPr>
              <w:rPr>
                <w:rFonts w:cs="Arial"/>
              </w:rPr>
            </w:pPr>
            <w:r w:rsidRPr="009A2D27">
              <w:rPr>
                <w:rFonts w:cs="Arial"/>
                <w:b/>
                <w:bCs/>
              </w:rPr>
              <w:t>Дневен режим на дозиране (в зависимост от тежестта)</w:t>
            </w:r>
          </w:p>
        </w:tc>
        <w:tc>
          <w:tcPr>
            <w:tcW w:w="3117" w:type="dxa"/>
          </w:tcPr>
          <w:p w14:paraId="4EB3C8A2" w14:textId="3EE91253" w:rsidR="009A2D27" w:rsidRPr="009A2D27" w:rsidRDefault="009A2D27" w:rsidP="009A2D27">
            <w:pPr>
              <w:rPr>
                <w:rFonts w:cs="Arial"/>
              </w:rPr>
            </w:pPr>
            <w:r w:rsidRPr="009A2D27">
              <w:rPr>
                <w:rFonts w:cs="Arial"/>
                <w:b/>
                <w:bCs/>
              </w:rPr>
              <w:t xml:space="preserve">Продължителност на лечение </w:t>
            </w:r>
            <w:r w:rsidRPr="009A2D27">
              <w:rPr>
                <w:rFonts w:cs="Arial"/>
                <w:i/>
                <w:iCs/>
              </w:rPr>
              <w:t>(в зависимост от тежестта)</w:t>
            </w:r>
          </w:p>
        </w:tc>
      </w:tr>
      <w:tr w:rsidR="009A2D27" w:rsidRPr="009A2D27" w14:paraId="4F161A24" w14:textId="77777777" w:rsidTr="009A2D27">
        <w:tc>
          <w:tcPr>
            <w:tcW w:w="3116" w:type="dxa"/>
          </w:tcPr>
          <w:p w14:paraId="3B1F5E59" w14:textId="0E70DCFC" w:rsidR="009A2D27" w:rsidRPr="009A2D27" w:rsidRDefault="009A2D27" w:rsidP="009A2D27">
            <w:pPr>
              <w:rPr>
                <w:rFonts w:cs="Arial"/>
              </w:rPr>
            </w:pPr>
            <w:r w:rsidRPr="009A2D27">
              <w:rPr>
                <w:rFonts w:cs="Arial"/>
              </w:rPr>
              <w:t>Остър бактериален синузит</w:t>
            </w:r>
          </w:p>
        </w:tc>
        <w:tc>
          <w:tcPr>
            <w:tcW w:w="3117" w:type="dxa"/>
          </w:tcPr>
          <w:p w14:paraId="3D73586B" w14:textId="1ADA796E" w:rsidR="009A2D27" w:rsidRPr="009A2D27" w:rsidRDefault="009A2D27" w:rsidP="009A2D27">
            <w:pPr>
              <w:rPr>
                <w:rFonts w:cs="Arial"/>
              </w:rPr>
            </w:pPr>
            <w:r w:rsidRPr="009A2D27">
              <w:rPr>
                <w:rFonts w:cs="Arial"/>
              </w:rPr>
              <w:t xml:space="preserve">500 </w:t>
            </w:r>
            <w:r w:rsidRPr="009A2D27">
              <w:rPr>
                <w:rFonts w:cs="Arial"/>
                <w:lang w:val="en-US"/>
              </w:rPr>
              <w:t xml:space="preserve">mg </w:t>
            </w:r>
            <w:r w:rsidRPr="009A2D27">
              <w:rPr>
                <w:rFonts w:cs="Arial"/>
              </w:rPr>
              <w:t>веднъж дневно</w:t>
            </w:r>
          </w:p>
        </w:tc>
        <w:tc>
          <w:tcPr>
            <w:tcW w:w="3117" w:type="dxa"/>
          </w:tcPr>
          <w:p w14:paraId="0D13E3C8" w14:textId="4A71282F" w:rsidR="009A2D27" w:rsidRPr="009A2D27" w:rsidRDefault="009A2D27" w:rsidP="009A2D27">
            <w:pPr>
              <w:rPr>
                <w:rFonts w:cs="Arial"/>
              </w:rPr>
            </w:pPr>
            <w:r w:rsidRPr="009A2D27">
              <w:rPr>
                <w:rFonts w:cs="Arial"/>
              </w:rPr>
              <w:t>10 - 14 дни</w:t>
            </w:r>
          </w:p>
        </w:tc>
      </w:tr>
      <w:tr w:rsidR="009A2D27" w:rsidRPr="009A2D27" w14:paraId="2364B72E" w14:textId="77777777" w:rsidTr="009A2D27">
        <w:tc>
          <w:tcPr>
            <w:tcW w:w="3116" w:type="dxa"/>
          </w:tcPr>
          <w:p w14:paraId="1DF5B08B" w14:textId="721F67E4" w:rsidR="009A2D27" w:rsidRPr="009A2D27" w:rsidRDefault="009A2D27" w:rsidP="009A2D27">
            <w:pPr>
              <w:rPr>
                <w:rFonts w:cs="Arial"/>
              </w:rPr>
            </w:pPr>
            <w:r w:rsidRPr="009A2D27">
              <w:rPr>
                <w:rFonts w:cs="Arial"/>
              </w:rPr>
              <w:t>Остри екзацербации на хронична обструктивна белодробна бронхит, включително бронхит</w:t>
            </w:r>
          </w:p>
        </w:tc>
        <w:tc>
          <w:tcPr>
            <w:tcW w:w="3117" w:type="dxa"/>
          </w:tcPr>
          <w:p w14:paraId="758299B0" w14:textId="39E18758" w:rsidR="009A2D27" w:rsidRPr="009A2D27" w:rsidRDefault="009A2D27" w:rsidP="009A2D27">
            <w:pPr>
              <w:rPr>
                <w:rFonts w:cs="Arial"/>
              </w:rPr>
            </w:pPr>
            <w:r w:rsidRPr="009A2D27">
              <w:rPr>
                <w:rFonts w:cs="Arial"/>
              </w:rPr>
              <w:t xml:space="preserve">500 </w:t>
            </w:r>
            <w:r w:rsidRPr="009A2D27">
              <w:rPr>
                <w:rFonts w:cs="Arial"/>
                <w:lang w:val="en-US"/>
              </w:rPr>
              <w:t xml:space="preserve">mg </w:t>
            </w:r>
            <w:r w:rsidRPr="009A2D27">
              <w:rPr>
                <w:rFonts w:cs="Arial"/>
              </w:rPr>
              <w:t>веднъж дневно</w:t>
            </w:r>
          </w:p>
        </w:tc>
        <w:tc>
          <w:tcPr>
            <w:tcW w:w="3117" w:type="dxa"/>
          </w:tcPr>
          <w:p w14:paraId="2E4EE2EF" w14:textId="1C121C01" w:rsidR="009A2D27" w:rsidRPr="009A2D27" w:rsidRDefault="009A2D27" w:rsidP="009A2D27">
            <w:pPr>
              <w:rPr>
                <w:rFonts w:cs="Arial"/>
              </w:rPr>
            </w:pPr>
            <w:r w:rsidRPr="009A2D27">
              <w:rPr>
                <w:rFonts w:cs="Arial"/>
              </w:rPr>
              <w:t>7-10 дни</w:t>
            </w:r>
          </w:p>
        </w:tc>
      </w:tr>
      <w:tr w:rsidR="009A2D27" w:rsidRPr="009A2D27" w14:paraId="41E1D511" w14:textId="77777777" w:rsidTr="009A2D27">
        <w:tc>
          <w:tcPr>
            <w:tcW w:w="3116" w:type="dxa"/>
          </w:tcPr>
          <w:p w14:paraId="69D416B5" w14:textId="7DC90E74" w:rsidR="009A2D27" w:rsidRPr="009A2D27" w:rsidRDefault="009A2D27" w:rsidP="009A2D27">
            <w:pPr>
              <w:rPr>
                <w:rFonts w:cs="Arial"/>
              </w:rPr>
            </w:pPr>
            <w:r w:rsidRPr="009A2D27">
              <w:rPr>
                <w:rFonts w:cs="Arial"/>
              </w:rPr>
              <w:t>Придобита в обществото пневмония</w:t>
            </w:r>
          </w:p>
        </w:tc>
        <w:tc>
          <w:tcPr>
            <w:tcW w:w="3117" w:type="dxa"/>
          </w:tcPr>
          <w:p w14:paraId="08780409" w14:textId="253C6BE8" w:rsidR="009A2D27" w:rsidRPr="009A2D27" w:rsidRDefault="009A2D27" w:rsidP="009A2D27">
            <w:pPr>
              <w:rPr>
                <w:rFonts w:cs="Arial"/>
              </w:rPr>
            </w:pPr>
            <w:r w:rsidRPr="009A2D27">
              <w:rPr>
                <w:rFonts w:cs="Arial"/>
              </w:rPr>
              <w:t xml:space="preserve">500 </w:t>
            </w:r>
            <w:r w:rsidRPr="009A2D27">
              <w:rPr>
                <w:rFonts w:cs="Arial"/>
                <w:lang w:val="en-US"/>
              </w:rPr>
              <w:t xml:space="preserve">mg </w:t>
            </w:r>
            <w:r w:rsidRPr="009A2D27">
              <w:rPr>
                <w:rFonts w:cs="Arial"/>
              </w:rPr>
              <w:t>веднъж или два пъти дневно</w:t>
            </w:r>
          </w:p>
        </w:tc>
        <w:tc>
          <w:tcPr>
            <w:tcW w:w="3117" w:type="dxa"/>
          </w:tcPr>
          <w:p w14:paraId="7F3F7E6B" w14:textId="1A046F30" w:rsidR="009A2D27" w:rsidRPr="009A2D27" w:rsidRDefault="009A2D27" w:rsidP="009A2D27">
            <w:pPr>
              <w:rPr>
                <w:rFonts w:cs="Arial"/>
              </w:rPr>
            </w:pPr>
            <w:r w:rsidRPr="009A2D27">
              <w:rPr>
                <w:rFonts w:cs="Arial"/>
              </w:rPr>
              <w:t>7 - 14 дни</w:t>
            </w:r>
          </w:p>
        </w:tc>
      </w:tr>
      <w:tr w:rsidR="009A2D27" w:rsidRPr="009A2D27" w14:paraId="0D6E9FEF" w14:textId="77777777" w:rsidTr="009A2D27">
        <w:tc>
          <w:tcPr>
            <w:tcW w:w="3116" w:type="dxa"/>
          </w:tcPr>
          <w:p w14:paraId="0FB7D34E" w14:textId="372A37FD" w:rsidR="009A2D27" w:rsidRPr="009A2D27" w:rsidRDefault="009A2D27" w:rsidP="009A2D27">
            <w:pPr>
              <w:rPr>
                <w:rFonts w:cs="Arial"/>
              </w:rPr>
            </w:pPr>
            <w:r w:rsidRPr="009A2D27">
              <w:rPr>
                <w:rFonts w:cs="Arial"/>
              </w:rPr>
              <w:t>Остър пелонефрит</w:t>
            </w:r>
          </w:p>
        </w:tc>
        <w:tc>
          <w:tcPr>
            <w:tcW w:w="3117" w:type="dxa"/>
          </w:tcPr>
          <w:p w14:paraId="1A3220EB" w14:textId="69B2BD8C" w:rsidR="009A2D27" w:rsidRPr="009A2D27" w:rsidRDefault="009A2D27" w:rsidP="009A2D27">
            <w:pPr>
              <w:rPr>
                <w:rFonts w:cs="Arial"/>
              </w:rPr>
            </w:pPr>
            <w:r w:rsidRPr="009A2D27">
              <w:rPr>
                <w:rFonts w:cs="Arial"/>
              </w:rPr>
              <w:t xml:space="preserve">500 </w:t>
            </w:r>
            <w:r w:rsidRPr="009A2D27">
              <w:rPr>
                <w:rFonts w:cs="Arial"/>
                <w:lang w:val="en-US"/>
              </w:rPr>
              <w:t xml:space="preserve">mg </w:t>
            </w:r>
            <w:r w:rsidRPr="009A2D27">
              <w:rPr>
                <w:rFonts w:cs="Arial"/>
              </w:rPr>
              <w:t>веднъж дневно</w:t>
            </w:r>
          </w:p>
        </w:tc>
        <w:tc>
          <w:tcPr>
            <w:tcW w:w="3117" w:type="dxa"/>
          </w:tcPr>
          <w:p w14:paraId="10259916" w14:textId="091E9F7F" w:rsidR="009A2D27" w:rsidRPr="009A2D27" w:rsidRDefault="009A2D27" w:rsidP="009A2D27">
            <w:pPr>
              <w:rPr>
                <w:rFonts w:cs="Arial"/>
              </w:rPr>
            </w:pPr>
            <w:r w:rsidRPr="009A2D27">
              <w:rPr>
                <w:rFonts w:cs="Arial"/>
              </w:rPr>
              <w:t>7-10 дни</w:t>
            </w:r>
          </w:p>
        </w:tc>
      </w:tr>
      <w:tr w:rsidR="009A2D27" w:rsidRPr="009A2D27" w14:paraId="16788420" w14:textId="77777777" w:rsidTr="009A2D27">
        <w:tc>
          <w:tcPr>
            <w:tcW w:w="3116" w:type="dxa"/>
          </w:tcPr>
          <w:p w14:paraId="67FA5D7A" w14:textId="76D9735F" w:rsidR="009A2D27" w:rsidRPr="009A2D27" w:rsidRDefault="009A2D27" w:rsidP="009A2D27">
            <w:pPr>
              <w:rPr>
                <w:rFonts w:cs="Arial"/>
              </w:rPr>
            </w:pPr>
            <w:r w:rsidRPr="009A2D27">
              <w:rPr>
                <w:rFonts w:cs="Arial"/>
              </w:rPr>
              <w:t>Усложнени инфекции на уринарния тракт</w:t>
            </w:r>
          </w:p>
        </w:tc>
        <w:tc>
          <w:tcPr>
            <w:tcW w:w="3117" w:type="dxa"/>
          </w:tcPr>
          <w:p w14:paraId="0AE1005E" w14:textId="0F2BF21C" w:rsidR="009A2D27" w:rsidRPr="009A2D27" w:rsidRDefault="009A2D27" w:rsidP="009A2D27">
            <w:pPr>
              <w:rPr>
                <w:rFonts w:cs="Arial"/>
              </w:rPr>
            </w:pPr>
            <w:r w:rsidRPr="009A2D27">
              <w:rPr>
                <w:rFonts w:cs="Arial"/>
              </w:rPr>
              <w:t xml:space="preserve">500 </w:t>
            </w:r>
            <w:r w:rsidRPr="009A2D27">
              <w:rPr>
                <w:rFonts w:cs="Arial"/>
                <w:lang w:val="en-US"/>
              </w:rPr>
              <w:t xml:space="preserve">mg </w:t>
            </w:r>
            <w:r w:rsidRPr="009A2D27">
              <w:rPr>
                <w:rFonts w:cs="Arial"/>
              </w:rPr>
              <w:t>веднъж дневно</w:t>
            </w:r>
          </w:p>
        </w:tc>
        <w:tc>
          <w:tcPr>
            <w:tcW w:w="3117" w:type="dxa"/>
          </w:tcPr>
          <w:p w14:paraId="74D7D0F7" w14:textId="23F3D38C" w:rsidR="009A2D27" w:rsidRPr="009A2D27" w:rsidRDefault="009A2D27" w:rsidP="009A2D27">
            <w:pPr>
              <w:rPr>
                <w:rFonts w:cs="Arial"/>
              </w:rPr>
            </w:pPr>
            <w:r w:rsidRPr="009A2D27">
              <w:rPr>
                <w:rFonts w:cs="Arial"/>
              </w:rPr>
              <w:t>7-14 дни</w:t>
            </w:r>
          </w:p>
        </w:tc>
      </w:tr>
      <w:tr w:rsidR="009A2D27" w:rsidRPr="009A2D27" w14:paraId="6318BAF6" w14:textId="77777777" w:rsidTr="009A2D27">
        <w:tc>
          <w:tcPr>
            <w:tcW w:w="3116" w:type="dxa"/>
          </w:tcPr>
          <w:p w14:paraId="287184C9" w14:textId="5C075E40" w:rsidR="009A2D27" w:rsidRPr="009A2D27" w:rsidRDefault="009A2D27" w:rsidP="009A2D27">
            <w:pPr>
              <w:rPr>
                <w:rFonts w:cs="Arial"/>
              </w:rPr>
            </w:pPr>
            <w:r w:rsidRPr="009A2D27">
              <w:rPr>
                <w:rFonts w:cs="Arial"/>
              </w:rPr>
              <w:t>Неусложнен цистит</w:t>
            </w:r>
          </w:p>
        </w:tc>
        <w:tc>
          <w:tcPr>
            <w:tcW w:w="3117" w:type="dxa"/>
          </w:tcPr>
          <w:p w14:paraId="25FFDF99" w14:textId="21B7A687" w:rsidR="009A2D27" w:rsidRPr="009A2D27" w:rsidRDefault="009A2D27" w:rsidP="009A2D27">
            <w:pPr>
              <w:rPr>
                <w:rFonts w:cs="Arial"/>
              </w:rPr>
            </w:pPr>
            <w:r w:rsidRPr="009A2D27">
              <w:rPr>
                <w:rFonts w:cs="Arial"/>
              </w:rPr>
              <w:t xml:space="preserve">250 </w:t>
            </w:r>
            <w:r w:rsidRPr="009A2D27">
              <w:rPr>
                <w:rFonts w:cs="Arial"/>
                <w:lang w:val="en-US"/>
              </w:rPr>
              <w:t xml:space="preserve">mg </w:t>
            </w:r>
            <w:r w:rsidRPr="009A2D27">
              <w:rPr>
                <w:rFonts w:cs="Arial"/>
              </w:rPr>
              <w:t>веднъж дневно</w:t>
            </w:r>
          </w:p>
        </w:tc>
        <w:tc>
          <w:tcPr>
            <w:tcW w:w="3117" w:type="dxa"/>
          </w:tcPr>
          <w:p w14:paraId="6431BC7C" w14:textId="1D7C4463" w:rsidR="009A2D27" w:rsidRPr="009A2D27" w:rsidRDefault="009A2D27" w:rsidP="009A2D27">
            <w:pPr>
              <w:rPr>
                <w:rFonts w:cs="Arial"/>
              </w:rPr>
            </w:pPr>
            <w:r w:rsidRPr="009A2D27">
              <w:rPr>
                <w:rFonts w:cs="Arial"/>
              </w:rPr>
              <w:t>3 дни</w:t>
            </w:r>
          </w:p>
        </w:tc>
      </w:tr>
      <w:tr w:rsidR="009A2D27" w:rsidRPr="009A2D27" w14:paraId="17370E65" w14:textId="77777777" w:rsidTr="009A2D27">
        <w:tc>
          <w:tcPr>
            <w:tcW w:w="3116" w:type="dxa"/>
          </w:tcPr>
          <w:p w14:paraId="46C94802" w14:textId="43585E69" w:rsidR="009A2D27" w:rsidRPr="009A2D27" w:rsidRDefault="009A2D27" w:rsidP="009A2D27">
            <w:pPr>
              <w:rPr>
                <w:rFonts w:cs="Arial"/>
              </w:rPr>
            </w:pPr>
            <w:r w:rsidRPr="009A2D27">
              <w:rPr>
                <w:rFonts w:cs="Arial"/>
              </w:rPr>
              <w:t>Хроничен бактериален простатит</w:t>
            </w:r>
          </w:p>
        </w:tc>
        <w:tc>
          <w:tcPr>
            <w:tcW w:w="3117" w:type="dxa"/>
          </w:tcPr>
          <w:p w14:paraId="32DC49FF" w14:textId="302AB0D2" w:rsidR="009A2D27" w:rsidRPr="009A2D27" w:rsidRDefault="009A2D27" w:rsidP="009A2D27">
            <w:pPr>
              <w:rPr>
                <w:rFonts w:cs="Arial"/>
              </w:rPr>
            </w:pPr>
            <w:r w:rsidRPr="009A2D27">
              <w:rPr>
                <w:rFonts w:cs="Arial"/>
              </w:rPr>
              <w:t xml:space="preserve">500 </w:t>
            </w:r>
            <w:r w:rsidRPr="009A2D27">
              <w:rPr>
                <w:rFonts w:cs="Arial"/>
                <w:lang w:val="en-US"/>
              </w:rPr>
              <w:t xml:space="preserve">mg </w:t>
            </w:r>
            <w:r w:rsidRPr="009A2D27">
              <w:rPr>
                <w:rFonts w:cs="Arial"/>
              </w:rPr>
              <w:t>веднъж дневно</w:t>
            </w:r>
          </w:p>
        </w:tc>
        <w:tc>
          <w:tcPr>
            <w:tcW w:w="3117" w:type="dxa"/>
          </w:tcPr>
          <w:p w14:paraId="480F8A3D" w14:textId="70CE377C" w:rsidR="009A2D27" w:rsidRPr="009A2D27" w:rsidRDefault="009A2D27" w:rsidP="009A2D27">
            <w:pPr>
              <w:rPr>
                <w:rFonts w:cs="Arial"/>
              </w:rPr>
            </w:pPr>
            <w:r w:rsidRPr="009A2D27">
              <w:rPr>
                <w:rFonts w:cs="Arial"/>
              </w:rPr>
              <w:t>28 дни</w:t>
            </w:r>
          </w:p>
        </w:tc>
      </w:tr>
      <w:tr w:rsidR="009A2D27" w:rsidRPr="009A2D27" w14:paraId="2C8FBAFC" w14:textId="77777777" w:rsidTr="009A2D27">
        <w:tc>
          <w:tcPr>
            <w:tcW w:w="3116" w:type="dxa"/>
          </w:tcPr>
          <w:p w14:paraId="362FF010" w14:textId="32339007" w:rsidR="009A2D27" w:rsidRPr="009A2D27" w:rsidRDefault="009A2D27" w:rsidP="009A2D27">
            <w:pPr>
              <w:rPr>
                <w:rFonts w:cs="Arial"/>
              </w:rPr>
            </w:pPr>
            <w:r w:rsidRPr="009A2D27">
              <w:rPr>
                <w:rFonts w:cs="Arial"/>
              </w:rPr>
              <w:t>Усложнени инфекции на кожата и меките тъкани</w:t>
            </w:r>
          </w:p>
        </w:tc>
        <w:tc>
          <w:tcPr>
            <w:tcW w:w="3117" w:type="dxa"/>
          </w:tcPr>
          <w:p w14:paraId="68197891" w14:textId="7F29194E" w:rsidR="009A2D27" w:rsidRPr="009A2D27" w:rsidRDefault="009A2D27" w:rsidP="009A2D27">
            <w:pPr>
              <w:rPr>
                <w:rFonts w:cs="Arial"/>
              </w:rPr>
            </w:pPr>
            <w:r w:rsidRPr="009A2D27">
              <w:rPr>
                <w:rFonts w:cs="Arial"/>
              </w:rPr>
              <w:t xml:space="preserve">500 </w:t>
            </w:r>
            <w:r w:rsidRPr="009A2D27">
              <w:rPr>
                <w:rFonts w:cs="Arial"/>
                <w:lang w:val="en-US"/>
              </w:rPr>
              <w:t xml:space="preserve">mg </w:t>
            </w:r>
            <w:r w:rsidRPr="009A2D27">
              <w:rPr>
                <w:rFonts w:cs="Arial"/>
              </w:rPr>
              <w:t>веднъж или два пъти дневно</w:t>
            </w:r>
          </w:p>
        </w:tc>
        <w:tc>
          <w:tcPr>
            <w:tcW w:w="3117" w:type="dxa"/>
          </w:tcPr>
          <w:p w14:paraId="34333BF3" w14:textId="66BCD173" w:rsidR="009A2D27" w:rsidRPr="009A2D27" w:rsidRDefault="009A2D27" w:rsidP="009A2D27">
            <w:pPr>
              <w:rPr>
                <w:rFonts w:cs="Arial"/>
              </w:rPr>
            </w:pPr>
            <w:r w:rsidRPr="009A2D27">
              <w:rPr>
                <w:rFonts w:cs="Arial"/>
              </w:rPr>
              <w:t>7-14 дни</w:t>
            </w:r>
          </w:p>
        </w:tc>
      </w:tr>
      <w:tr w:rsidR="009A2D27" w:rsidRPr="009A2D27" w14:paraId="4D6EF1EF" w14:textId="77777777" w:rsidTr="009A2D27">
        <w:tc>
          <w:tcPr>
            <w:tcW w:w="3116" w:type="dxa"/>
          </w:tcPr>
          <w:p w14:paraId="210529FE" w14:textId="74BC1C64" w:rsidR="009A2D27" w:rsidRPr="009A2D27" w:rsidRDefault="009A2D27" w:rsidP="009A2D27">
            <w:pPr>
              <w:rPr>
                <w:rFonts w:cs="Arial"/>
              </w:rPr>
            </w:pPr>
            <w:r w:rsidRPr="009A2D27">
              <w:rPr>
                <w:rFonts w:cs="Arial"/>
              </w:rPr>
              <w:t>Инхалационен антракс</w:t>
            </w:r>
          </w:p>
        </w:tc>
        <w:tc>
          <w:tcPr>
            <w:tcW w:w="3117" w:type="dxa"/>
          </w:tcPr>
          <w:p w14:paraId="5E28C3F2" w14:textId="6F9A0C94" w:rsidR="009A2D27" w:rsidRPr="009A2D27" w:rsidRDefault="009A2D27" w:rsidP="009A2D27">
            <w:pPr>
              <w:rPr>
                <w:rFonts w:cs="Arial"/>
              </w:rPr>
            </w:pPr>
            <w:r w:rsidRPr="009A2D27">
              <w:rPr>
                <w:rFonts w:cs="Arial"/>
              </w:rPr>
              <w:t xml:space="preserve">500 </w:t>
            </w:r>
            <w:r w:rsidRPr="009A2D27">
              <w:rPr>
                <w:rFonts w:cs="Arial"/>
                <w:lang w:val="en-US"/>
              </w:rPr>
              <w:t xml:space="preserve">mg </w:t>
            </w:r>
            <w:r w:rsidRPr="009A2D27">
              <w:rPr>
                <w:rFonts w:cs="Arial"/>
              </w:rPr>
              <w:t>веднъж дневно</w:t>
            </w:r>
          </w:p>
        </w:tc>
        <w:tc>
          <w:tcPr>
            <w:tcW w:w="3117" w:type="dxa"/>
          </w:tcPr>
          <w:p w14:paraId="5CF2107A" w14:textId="03E18B78" w:rsidR="009A2D27" w:rsidRPr="009A2D27" w:rsidRDefault="009A2D27" w:rsidP="009A2D27">
            <w:pPr>
              <w:rPr>
                <w:rFonts w:cs="Arial"/>
              </w:rPr>
            </w:pPr>
            <w:r w:rsidRPr="009A2D27">
              <w:rPr>
                <w:rFonts w:cs="Arial"/>
              </w:rPr>
              <w:t>8 седмици</w:t>
            </w:r>
          </w:p>
        </w:tc>
      </w:tr>
    </w:tbl>
    <w:p w14:paraId="30DEE2C3" w14:textId="71AE25A2" w:rsidR="009A2D27" w:rsidRPr="009A2D27" w:rsidRDefault="009A2D27" w:rsidP="0091385D">
      <w:pPr>
        <w:rPr>
          <w:rFonts w:cs="Arial"/>
        </w:rPr>
      </w:pPr>
    </w:p>
    <w:p w14:paraId="0FFDDD98" w14:textId="77777777"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Специални популации</w:t>
      </w:r>
    </w:p>
    <w:p w14:paraId="6F0165B4" w14:textId="77777777" w:rsidR="009A2D27" w:rsidRPr="009A2D27" w:rsidRDefault="009A2D27" w:rsidP="009A2D27">
      <w:pPr>
        <w:rPr>
          <w:rFonts w:eastAsia="Times New Roman" w:cs="Arial"/>
          <w:b/>
          <w:bCs/>
          <w:i/>
          <w:iCs/>
          <w:color w:val="000000"/>
          <w:u w:val="single"/>
          <w:lang w:eastAsia="bg-BG"/>
        </w:rPr>
      </w:pPr>
    </w:p>
    <w:p w14:paraId="40E6AD0A" w14:textId="23A79949" w:rsidR="009A2D27" w:rsidRPr="009A2D27" w:rsidRDefault="009A2D27" w:rsidP="009A2D27">
      <w:pPr>
        <w:rPr>
          <w:rFonts w:eastAsia="Times New Roman" w:cs="Arial"/>
          <w:b/>
          <w:bCs/>
          <w:i/>
          <w:iCs/>
          <w:color w:val="000000"/>
          <w:u w:val="single"/>
          <w:lang w:val="en-US"/>
        </w:rPr>
      </w:pPr>
      <w:r w:rsidRPr="009A2D27">
        <w:rPr>
          <w:rFonts w:eastAsia="Times New Roman" w:cs="Arial"/>
          <w:b/>
          <w:bCs/>
          <w:i/>
          <w:iCs/>
          <w:color w:val="000000"/>
          <w:u w:val="single"/>
          <w:lang w:eastAsia="bg-BG"/>
        </w:rPr>
        <w:t xml:space="preserve">Увредена бъбречна функция (креатинов клирънс ≤ 50 </w:t>
      </w:r>
      <w:r w:rsidRPr="009A2D27">
        <w:rPr>
          <w:rFonts w:eastAsia="Times New Roman" w:cs="Arial"/>
          <w:b/>
          <w:bCs/>
          <w:i/>
          <w:iCs/>
          <w:color w:val="000000"/>
          <w:u w:val="single"/>
          <w:lang w:val="en-US"/>
        </w:rPr>
        <w:t>ml/min)</w:t>
      </w:r>
    </w:p>
    <w:p w14:paraId="6FB058C3" w14:textId="5B4A2979" w:rsidR="009A2D27" w:rsidRPr="009A2D27" w:rsidRDefault="009A2D27" w:rsidP="009A2D27">
      <w:pPr>
        <w:rPr>
          <w:rFonts w:eastAsia="Times New Roman" w:cs="Arial"/>
          <w:b/>
          <w:bCs/>
          <w:i/>
          <w:iCs/>
          <w:color w:val="000000"/>
          <w:u w:val="single"/>
          <w:lang w:val="en-US"/>
        </w:rPr>
      </w:pPr>
    </w:p>
    <w:tbl>
      <w:tblPr>
        <w:tblStyle w:val="TableGrid"/>
        <w:tblW w:w="0" w:type="auto"/>
        <w:tblLook w:val="04A0" w:firstRow="1" w:lastRow="0" w:firstColumn="1" w:lastColumn="0" w:noHBand="0" w:noVBand="1"/>
      </w:tblPr>
      <w:tblGrid>
        <w:gridCol w:w="2337"/>
        <w:gridCol w:w="2337"/>
        <w:gridCol w:w="2338"/>
        <w:gridCol w:w="2338"/>
      </w:tblGrid>
      <w:tr w:rsidR="009A2D27" w:rsidRPr="009A2D27" w14:paraId="7481A6FF" w14:textId="77777777" w:rsidTr="00001DBB">
        <w:tc>
          <w:tcPr>
            <w:tcW w:w="2337" w:type="dxa"/>
            <w:vMerge w:val="restart"/>
          </w:tcPr>
          <w:p w14:paraId="3462F693" w14:textId="77777777" w:rsidR="009A2D27" w:rsidRPr="009A2D27" w:rsidRDefault="009A2D27" w:rsidP="009A2D27">
            <w:pPr>
              <w:rPr>
                <w:rFonts w:cs="Arial"/>
              </w:rPr>
            </w:pPr>
          </w:p>
        </w:tc>
        <w:tc>
          <w:tcPr>
            <w:tcW w:w="7013" w:type="dxa"/>
            <w:gridSpan w:val="3"/>
          </w:tcPr>
          <w:p w14:paraId="06C952FF" w14:textId="4B583A41" w:rsidR="009A2D27" w:rsidRPr="009A2D27" w:rsidRDefault="009A2D27" w:rsidP="009A2D27">
            <w:pPr>
              <w:rPr>
                <w:rFonts w:cs="Arial"/>
              </w:rPr>
            </w:pPr>
            <w:r w:rsidRPr="009A2D27">
              <w:rPr>
                <w:rFonts w:cs="Arial"/>
                <w:b/>
                <w:bCs/>
              </w:rPr>
              <w:t>Режим на дозиране</w:t>
            </w:r>
          </w:p>
        </w:tc>
      </w:tr>
      <w:tr w:rsidR="009A2D27" w:rsidRPr="009A2D27" w14:paraId="47CF936E" w14:textId="77777777" w:rsidTr="009A2D27">
        <w:tc>
          <w:tcPr>
            <w:tcW w:w="2337" w:type="dxa"/>
            <w:vMerge/>
          </w:tcPr>
          <w:p w14:paraId="2CF084D7" w14:textId="77777777" w:rsidR="009A2D27" w:rsidRPr="009A2D27" w:rsidRDefault="009A2D27" w:rsidP="009A2D27">
            <w:pPr>
              <w:rPr>
                <w:rFonts w:cs="Arial"/>
              </w:rPr>
            </w:pPr>
          </w:p>
        </w:tc>
        <w:tc>
          <w:tcPr>
            <w:tcW w:w="2337" w:type="dxa"/>
          </w:tcPr>
          <w:p w14:paraId="2224FDDB" w14:textId="68A4C2D4" w:rsidR="009A2D27" w:rsidRPr="009A2D27" w:rsidRDefault="009A2D27" w:rsidP="009A2D27">
            <w:pPr>
              <w:rPr>
                <w:rFonts w:cs="Arial"/>
              </w:rPr>
            </w:pPr>
            <w:r w:rsidRPr="009A2D27">
              <w:rPr>
                <w:rFonts w:cs="Arial"/>
              </w:rPr>
              <w:t xml:space="preserve">250 </w:t>
            </w:r>
            <w:r w:rsidRPr="009A2D27">
              <w:rPr>
                <w:rFonts w:cs="Arial"/>
                <w:lang w:val="en-US"/>
              </w:rPr>
              <w:t xml:space="preserve">mg/24 </w:t>
            </w:r>
            <w:r w:rsidRPr="009A2D27">
              <w:rPr>
                <w:rFonts w:cs="Arial"/>
              </w:rPr>
              <w:t>часа</w:t>
            </w:r>
          </w:p>
        </w:tc>
        <w:tc>
          <w:tcPr>
            <w:tcW w:w="2338" w:type="dxa"/>
          </w:tcPr>
          <w:p w14:paraId="002B748F" w14:textId="13D33F85" w:rsidR="009A2D27" w:rsidRPr="009A2D27" w:rsidRDefault="009A2D27" w:rsidP="009A2D27">
            <w:pPr>
              <w:rPr>
                <w:rFonts w:cs="Arial"/>
              </w:rPr>
            </w:pPr>
            <w:r w:rsidRPr="009A2D27">
              <w:rPr>
                <w:rFonts w:cs="Arial"/>
              </w:rPr>
              <w:t xml:space="preserve">500 </w:t>
            </w:r>
            <w:r w:rsidRPr="009A2D27">
              <w:rPr>
                <w:rFonts w:cs="Arial"/>
                <w:lang w:val="en-US"/>
              </w:rPr>
              <w:t xml:space="preserve">mg/24 </w:t>
            </w:r>
            <w:r w:rsidRPr="009A2D27">
              <w:rPr>
                <w:rFonts w:cs="Arial"/>
              </w:rPr>
              <w:t>часа</w:t>
            </w:r>
          </w:p>
        </w:tc>
        <w:tc>
          <w:tcPr>
            <w:tcW w:w="2338" w:type="dxa"/>
          </w:tcPr>
          <w:p w14:paraId="1E2335B1" w14:textId="2A389880" w:rsidR="009A2D27" w:rsidRPr="009A2D27" w:rsidRDefault="009A2D27" w:rsidP="009A2D27">
            <w:pPr>
              <w:rPr>
                <w:rFonts w:cs="Arial"/>
              </w:rPr>
            </w:pPr>
            <w:r w:rsidRPr="009A2D27">
              <w:rPr>
                <w:rFonts w:cs="Arial"/>
              </w:rPr>
              <w:t xml:space="preserve">500 </w:t>
            </w:r>
            <w:r w:rsidRPr="009A2D27">
              <w:rPr>
                <w:rFonts w:cs="Arial"/>
                <w:lang w:val="en-US"/>
              </w:rPr>
              <w:t>mg/</w:t>
            </w:r>
            <w:r w:rsidRPr="009A2D27">
              <w:rPr>
                <w:rFonts w:cs="Arial"/>
              </w:rPr>
              <w:t>12 часа</w:t>
            </w:r>
          </w:p>
        </w:tc>
      </w:tr>
      <w:tr w:rsidR="009A2D27" w:rsidRPr="009A2D27" w14:paraId="36A3826A" w14:textId="77777777" w:rsidTr="009A2D27">
        <w:tc>
          <w:tcPr>
            <w:tcW w:w="2337" w:type="dxa"/>
            <w:vMerge/>
          </w:tcPr>
          <w:p w14:paraId="0157B9CF" w14:textId="77777777" w:rsidR="009A2D27" w:rsidRPr="009A2D27" w:rsidRDefault="009A2D27" w:rsidP="009A2D27">
            <w:pPr>
              <w:rPr>
                <w:rFonts w:cs="Arial"/>
              </w:rPr>
            </w:pPr>
          </w:p>
        </w:tc>
        <w:tc>
          <w:tcPr>
            <w:tcW w:w="2337" w:type="dxa"/>
          </w:tcPr>
          <w:p w14:paraId="1D7FDB52" w14:textId="583F2F67" w:rsidR="009A2D27" w:rsidRPr="009A2D27" w:rsidRDefault="009A2D27" w:rsidP="009A2D27">
            <w:pPr>
              <w:rPr>
                <w:rFonts w:cs="Arial"/>
              </w:rPr>
            </w:pPr>
            <w:r w:rsidRPr="009A2D27">
              <w:rPr>
                <w:rFonts w:cs="Arial"/>
              </w:rPr>
              <w:t xml:space="preserve">Първа доза 250 </w:t>
            </w:r>
            <w:r w:rsidRPr="009A2D27">
              <w:rPr>
                <w:rFonts w:cs="Arial"/>
                <w:lang w:val="en-US"/>
              </w:rPr>
              <w:t>mg</w:t>
            </w:r>
          </w:p>
        </w:tc>
        <w:tc>
          <w:tcPr>
            <w:tcW w:w="2338" w:type="dxa"/>
          </w:tcPr>
          <w:p w14:paraId="4D0D9734" w14:textId="0B0A7882" w:rsidR="009A2D27" w:rsidRPr="009A2D27" w:rsidRDefault="009A2D27" w:rsidP="009A2D27">
            <w:pPr>
              <w:rPr>
                <w:rFonts w:cs="Arial"/>
              </w:rPr>
            </w:pPr>
            <w:r w:rsidRPr="009A2D27">
              <w:rPr>
                <w:rFonts w:cs="Arial"/>
              </w:rPr>
              <w:t xml:space="preserve">Първа доза 500 </w:t>
            </w:r>
            <w:r w:rsidRPr="009A2D27">
              <w:rPr>
                <w:rFonts w:cs="Arial"/>
                <w:lang w:val="en-US"/>
              </w:rPr>
              <w:t>mg</w:t>
            </w:r>
          </w:p>
        </w:tc>
        <w:tc>
          <w:tcPr>
            <w:tcW w:w="2338" w:type="dxa"/>
          </w:tcPr>
          <w:p w14:paraId="1D6E96FF" w14:textId="2BBDD0E5" w:rsidR="009A2D27" w:rsidRPr="009A2D27" w:rsidRDefault="009A2D27" w:rsidP="009A2D27">
            <w:pPr>
              <w:rPr>
                <w:rFonts w:cs="Arial"/>
              </w:rPr>
            </w:pPr>
            <w:r w:rsidRPr="009A2D27">
              <w:rPr>
                <w:rFonts w:cs="Arial"/>
              </w:rPr>
              <w:t xml:space="preserve">Първа доза 500 </w:t>
            </w:r>
            <w:r w:rsidRPr="009A2D27">
              <w:rPr>
                <w:rFonts w:cs="Arial"/>
                <w:lang w:val="en-US"/>
              </w:rPr>
              <w:t>mg</w:t>
            </w:r>
          </w:p>
        </w:tc>
      </w:tr>
      <w:tr w:rsidR="009A2D27" w:rsidRPr="009A2D27" w14:paraId="58046003" w14:textId="77777777" w:rsidTr="009A2D27">
        <w:tc>
          <w:tcPr>
            <w:tcW w:w="2337" w:type="dxa"/>
          </w:tcPr>
          <w:p w14:paraId="39CEE4D0" w14:textId="0DA6DC6E" w:rsidR="009A2D27" w:rsidRPr="009A2D27" w:rsidRDefault="009A2D27" w:rsidP="009A2D27">
            <w:pPr>
              <w:rPr>
                <w:rFonts w:cs="Arial"/>
              </w:rPr>
            </w:pPr>
            <w:r w:rsidRPr="009A2D27">
              <w:rPr>
                <w:rFonts w:cs="Arial"/>
              </w:rPr>
              <w:t xml:space="preserve">50-20 </w:t>
            </w:r>
            <w:r w:rsidRPr="009A2D27">
              <w:rPr>
                <w:rFonts w:cs="Arial"/>
                <w:lang w:val="en-US"/>
              </w:rPr>
              <w:t>ml/min</w:t>
            </w:r>
          </w:p>
        </w:tc>
        <w:tc>
          <w:tcPr>
            <w:tcW w:w="2337" w:type="dxa"/>
          </w:tcPr>
          <w:p w14:paraId="512CE444" w14:textId="55630F13" w:rsidR="009A2D27" w:rsidRPr="009A2D27" w:rsidRDefault="009A2D27" w:rsidP="009A2D27">
            <w:pPr>
              <w:rPr>
                <w:rFonts w:cs="Arial"/>
              </w:rPr>
            </w:pPr>
            <w:r w:rsidRPr="009A2D27">
              <w:rPr>
                <w:rFonts w:cs="Arial"/>
              </w:rPr>
              <w:t xml:space="preserve">След което: 125 </w:t>
            </w:r>
            <w:r w:rsidRPr="009A2D27">
              <w:rPr>
                <w:rFonts w:cs="Arial"/>
                <w:lang w:val="en-US"/>
              </w:rPr>
              <w:t xml:space="preserve">mg/24 </w:t>
            </w:r>
            <w:r w:rsidRPr="009A2D27">
              <w:rPr>
                <w:rFonts w:cs="Arial"/>
              </w:rPr>
              <w:t>часа</w:t>
            </w:r>
          </w:p>
        </w:tc>
        <w:tc>
          <w:tcPr>
            <w:tcW w:w="2338" w:type="dxa"/>
          </w:tcPr>
          <w:p w14:paraId="423DE356" w14:textId="54461EB2" w:rsidR="009A2D27" w:rsidRPr="009A2D27" w:rsidRDefault="009A2D27" w:rsidP="009A2D27">
            <w:pPr>
              <w:rPr>
                <w:rFonts w:cs="Arial"/>
              </w:rPr>
            </w:pPr>
            <w:r w:rsidRPr="009A2D27">
              <w:rPr>
                <w:rFonts w:cs="Arial"/>
              </w:rPr>
              <w:t xml:space="preserve">След което: 250 </w:t>
            </w:r>
            <w:r w:rsidRPr="009A2D27">
              <w:rPr>
                <w:rFonts w:cs="Arial"/>
                <w:lang w:val="en-US"/>
              </w:rPr>
              <w:t xml:space="preserve">mg/24 </w:t>
            </w:r>
            <w:r w:rsidRPr="009A2D27">
              <w:rPr>
                <w:rFonts w:cs="Arial"/>
              </w:rPr>
              <w:t>часа</w:t>
            </w:r>
          </w:p>
        </w:tc>
        <w:tc>
          <w:tcPr>
            <w:tcW w:w="2338" w:type="dxa"/>
          </w:tcPr>
          <w:p w14:paraId="5B4743E4" w14:textId="211487DB" w:rsidR="009A2D27" w:rsidRPr="009A2D27" w:rsidRDefault="009A2D27" w:rsidP="009A2D27">
            <w:pPr>
              <w:rPr>
                <w:rFonts w:cs="Arial"/>
              </w:rPr>
            </w:pPr>
            <w:r w:rsidRPr="009A2D27">
              <w:rPr>
                <w:rFonts w:cs="Arial"/>
              </w:rPr>
              <w:t xml:space="preserve">След което: 250 </w:t>
            </w:r>
            <w:r w:rsidRPr="009A2D27">
              <w:rPr>
                <w:rFonts w:cs="Arial"/>
                <w:lang w:val="en-US"/>
              </w:rPr>
              <w:t xml:space="preserve">mg/12 </w:t>
            </w:r>
            <w:r w:rsidRPr="009A2D27">
              <w:rPr>
                <w:rFonts w:cs="Arial"/>
              </w:rPr>
              <w:t>часа</w:t>
            </w:r>
          </w:p>
        </w:tc>
      </w:tr>
      <w:tr w:rsidR="009A2D27" w:rsidRPr="009A2D27" w14:paraId="2D1B8EE3" w14:textId="77777777" w:rsidTr="009A2D27">
        <w:tc>
          <w:tcPr>
            <w:tcW w:w="2337" w:type="dxa"/>
          </w:tcPr>
          <w:p w14:paraId="3AE4394B" w14:textId="2BAC9355" w:rsidR="009A2D27" w:rsidRPr="009A2D27" w:rsidRDefault="009A2D27" w:rsidP="009A2D27">
            <w:pPr>
              <w:rPr>
                <w:rFonts w:cs="Arial"/>
              </w:rPr>
            </w:pPr>
            <w:r w:rsidRPr="009A2D27">
              <w:rPr>
                <w:rFonts w:cs="Arial"/>
              </w:rPr>
              <w:t xml:space="preserve">19-10 </w:t>
            </w:r>
            <w:r w:rsidRPr="009A2D27">
              <w:rPr>
                <w:rFonts w:cs="Arial"/>
                <w:lang w:val="en-US"/>
              </w:rPr>
              <w:t>ml/min</w:t>
            </w:r>
          </w:p>
        </w:tc>
        <w:tc>
          <w:tcPr>
            <w:tcW w:w="2337" w:type="dxa"/>
          </w:tcPr>
          <w:p w14:paraId="6076C2CB" w14:textId="169CF541" w:rsidR="009A2D27" w:rsidRPr="009A2D27" w:rsidRDefault="009A2D27" w:rsidP="009A2D27">
            <w:pPr>
              <w:rPr>
                <w:rFonts w:cs="Arial"/>
              </w:rPr>
            </w:pPr>
            <w:r w:rsidRPr="009A2D27">
              <w:rPr>
                <w:rFonts w:cs="Arial"/>
              </w:rPr>
              <w:t xml:space="preserve">След което: 125 </w:t>
            </w:r>
            <w:r w:rsidRPr="009A2D27">
              <w:rPr>
                <w:rFonts w:cs="Arial"/>
                <w:lang w:val="en-US"/>
              </w:rPr>
              <w:t xml:space="preserve">mg/48 </w:t>
            </w:r>
            <w:r w:rsidRPr="009A2D27">
              <w:rPr>
                <w:rFonts w:cs="Arial"/>
              </w:rPr>
              <w:t>часа</w:t>
            </w:r>
          </w:p>
        </w:tc>
        <w:tc>
          <w:tcPr>
            <w:tcW w:w="2338" w:type="dxa"/>
          </w:tcPr>
          <w:p w14:paraId="471BC9B3" w14:textId="1E797C22" w:rsidR="009A2D27" w:rsidRPr="009A2D27" w:rsidRDefault="009A2D27" w:rsidP="009A2D27">
            <w:pPr>
              <w:rPr>
                <w:rFonts w:cs="Arial"/>
              </w:rPr>
            </w:pPr>
            <w:r w:rsidRPr="009A2D27">
              <w:rPr>
                <w:rFonts w:cs="Arial"/>
              </w:rPr>
              <w:t xml:space="preserve">След което: 125 </w:t>
            </w:r>
            <w:r w:rsidRPr="009A2D27">
              <w:rPr>
                <w:rFonts w:cs="Arial"/>
                <w:lang w:val="en-US"/>
              </w:rPr>
              <w:t xml:space="preserve">mg/24 </w:t>
            </w:r>
            <w:r w:rsidRPr="009A2D27">
              <w:rPr>
                <w:rFonts w:cs="Arial"/>
              </w:rPr>
              <w:t>часа</w:t>
            </w:r>
          </w:p>
        </w:tc>
        <w:tc>
          <w:tcPr>
            <w:tcW w:w="2338" w:type="dxa"/>
          </w:tcPr>
          <w:p w14:paraId="1015BDB5" w14:textId="359BDCB3" w:rsidR="009A2D27" w:rsidRPr="009A2D27" w:rsidRDefault="009A2D27" w:rsidP="009A2D27">
            <w:pPr>
              <w:rPr>
                <w:rFonts w:cs="Arial"/>
              </w:rPr>
            </w:pPr>
            <w:r w:rsidRPr="009A2D27">
              <w:rPr>
                <w:rFonts w:cs="Arial"/>
              </w:rPr>
              <w:t xml:space="preserve">След което: 125 </w:t>
            </w:r>
            <w:r w:rsidRPr="009A2D27">
              <w:rPr>
                <w:rFonts w:cs="Arial"/>
                <w:lang w:val="en-US"/>
              </w:rPr>
              <w:t xml:space="preserve">mg/12 </w:t>
            </w:r>
            <w:r w:rsidRPr="009A2D27">
              <w:rPr>
                <w:rFonts w:cs="Arial"/>
              </w:rPr>
              <w:t>часа</w:t>
            </w:r>
          </w:p>
        </w:tc>
      </w:tr>
      <w:tr w:rsidR="009A2D27" w:rsidRPr="009A2D27" w14:paraId="259A5F55" w14:textId="77777777" w:rsidTr="009A2D27">
        <w:tc>
          <w:tcPr>
            <w:tcW w:w="2337" w:type="dxa"/>
          </w:tcPr>
          <w:p w14:paraId="154574E8" w14:textId="376E8948" w:rsidR="009A2D27" w:rsidRPr="009A2D27" w:rsidRDefault="009A2D27" w:rsidP="009A2D27">
            <w:pPr>
              <w:rPr>
                <w:rFonts w:cs="Arial"/>
              </w:rPr>
            </w:pPr>
            <w:r w:rsidRPr="009A2D27">
              <w:rPr>
                <w:rFonts w:cs="Arial"/>
              </w:rPr>
              <w:t xml:space="preserve">&lt; 10 </w:t>
            </w:r>
            <w:r w:rsidRPr="009A2D27">
              <w:rPr>
                <w:rFonts w:cs="Arial"/>
                <w:lang w:val="en-US"/>
              </w:rPr>
              <w:t xml:space="preserve">ml/min </w:t>
            </w:r>
            <w:r w:rsidRPr="009A2D27">
              <w:rPr>
                <w:rFonts w:cs="Arial"/>
              </w:rPr>
              <w:t xml:space="preserve">(включително хемодиализа и </w:t>
            </w:r>
            <w:r w:rsidRPr="009A2D27">
              <w:rPr>
                <w:rFonts w:cs="Arial"/>
                <w:lang w:val="en-US"/>
              </w:rPr>
              <w:t>CAPD)</w:t>
            </w:r>
            <w:r w:rsidRPr="009A2D27">
              <w:rPr>
                <w:rFonts w:cs="Arial"/>
                <w:vertAlign w:val="superscript"/>
                <w:lang w:val="en-US"/>
              </w:rPr>
              <w:t>1</w:t>
            </w:r>
          </w:p>
        </w:tc>
        <w:tc>
          <w:tcPr>
            <w:tcW w:w="2337" w:type="dxa"/>
          </w:tcPr>
          <w:p w14:paraId="24A2A4FA" w14:textId="26956939" w:rsidR="009A2D27" w:rsidRPr="009A2D27" w:rsidRDefault="009A2D27" w:rsidP="009A2D27">
            <w:pPr>
              <w:rPr>
                <w:rFonts w:cs="Arial"/>
              </w:rPr>
            </w:pPr>
            <w:r w:rsidRPr="009A2D27">
              <w:rPr>
                <w:rFonts w:cs="Arial"/>
              </w:rPr>
              <w:t xml:space="preserve">След което: 125 </w:t>
            </w:r>
            <w:r w:rsidRPr="009A2D27">
              <w:rPr>
                <w:rFonts w:cs="Arial"/>
                <w:lang w:val="en-US"/>
              </w:rPr>
              <w:t xml:space="preserve">mg/48 </w:t>
            </w:r>
            <w:r w:rsidRPr="009A2D27">
              <w:rPr>
                <w:rFonts w:cs="Arial"/>
              </w:rPr>
              <w:t>часа</w:t>
            </w:r>
          </w:p>
        </w:tc>
        <w:tc>
          <w:tcPr>
            <w:tcW w:w="2338" w:type="dxa"/>
          </w:tcPr>
          <w:p w14:paraId="0E9FC33F" w14:textId="4CF26FEC" w:rsidR="009A2D27" w:rsidRPr="009A2D27" w:rsidRDefault="009A2D27" w:rsidP="009A2D27">
            <w:pPr>
              <w:rPr>
                <w:rFonts w:cs="Arial"/>
              </w:rPr>
            </w:pPr>
            <w:r w:rsidRPr="009A2D27">
              <w:rPr>
                <w:rFonts w:cs="Arial"/>
              </w:rPr>
              <w:t xml:space="preserve">След което: 125 </w:t>
            </w:r>
            <w:r w:rsidRPr="009A2D27">
              <w:rPr>
                <w:rFonts w:cs="Arial"/>
                <w:lang w:val="en-US"/>
              </w:rPr>
              <w:t xml:space="preserve">mg/24 </w:t>
            </w:r>
            <w:r w:rsidRPr="009A2D27">
              <w:rPr>
                <w:rFonts w:cs="Arial"/>
              </w:rPr>
              <w:t>часа</w:t>
            </w:r>
          </w:p>
        </w:tc>
        <w:tc>
          <w:tcPr>
            <w:tcW w:w="2338" w:type="dxa"/>
          </w:tcPr>
          <w:p w14:paraId="2211F2BF" w14:textId="0BBC7DC4" w:rsidR="009A2D27" w:rsidRPr="009A2D27" w:rsidRDefault="009A2D27" w:rsidP="009A2D27">
            <w:pPr>
              <w:rPr>
                <w:rFonts w:cs="Arial"/>
              </w:rPr>
            </w:pPr>
            <w:r w:rsidRPr="009A2D27">
              <w:rPr>
                <w:rFonts w:cs="Arial"/>
              </w:rPr>
              <w:t xml:space="preserve">След което: 125 </w:t>
            </w:r>
            <w:r w:rsidRPr="009A2D27">
              <w:rPr>
                <w:rFonts w:cs="Arial"/>
                <w:lang w:val="en-US"/>
              </w:rPr>
              <w:t xml:space="preserve">mg/24 </w:t>
            </w:r>
            <w:r w:rsidRPr="009A2D27">
              <w:rPr>
                <w:rFonts w:cs="Arial"/>
              </w:rPr>
              <w:t>часа</w:t>
            </w:r>
          </w:p>
        </w:tc>
      </w:tr>
    </w:tbl>
    <w:p w14:paraId="4725F1E1" w14:textId="12BFB345" w:rsidR="009A2D27" w:rsidRPr="009A2D27" w:rsidRDefault="009A2D27" w:rsidP="009A2D27">
      <w:pPr>
        <w:rPr>
          <w:rFonts w:cs="Arial"/>
        </w:rPr>
      </w:pPr>
    </w:p>
    <w:p w14:paraId="4063F6F8"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Не се налагат допълнителни дози след хемодиализа или непрекъсната амбулаторна перитонеална диализа (С</w:t>
      </w:r>
      <w:r w:rsidRPr="009A2D27">
        <w:rPr>
          <w:rFonts w:eastAsia="Times New Roman" w:cs="Arial"/>
          <w:color w:val="000000"/>
          <w:lang w:val="en-US"/>
        </w:rPr>
        <w:t>APD).</w:t>
      </w:r>
    </w:p>
    <w:p w14:paraId="508B96BD" w14:textId="77777777" w:rsidR="009A2D27" w:rsidRPr="009A2D27" w:rsidRDefault="009A2D27" w:rsidP="009A2D27">
      <w:pPr>
        <w:spacing w:line="240" w:lineRule="auto"/>
        <w:rPr>
          <w:rFonts w:eastAsia="Times New Roman" w:cs="Arial"/>
          <w:i/>
          <w:iCs/>
          <w:color w:val="000000"/>
          <w:u w:val="single"/>
          <w:lang w:eastAsia="bg-BG"/>
        </w:rPr>
      </w:pPr>
    </w:p>
    <w:p w14:paraId="56066F45" w14:textId="49EE2844"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Нарушена чернодробна функция</w:t>
      </w:r>
    </w:p>
    <w:p w14:paraId="4FE7887A"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Не е необходимо коригиране на дозата, тъй като левофлоксацин не се метаболизира в значителна степен от черния дроб и се екскретира основно чрез бъбреците.</w:t>
      </w:r>
    </w:p>
    <w:p w14:paraId="4D297158" w14:textId="77777777" w:rsidR="009A2D27" w:rsidRPr="009A2D27" w:rsidRDefault="009A2D27" w:rsidP="009A2D27">
      <w:pPr>
        <w:spacing w:line="240" w:lineRule="auto"/>
        <w:rPr>
          <w:rFonts w:eastAsia="Times New Roman" w:cs="Arial"/>
          <w:i/>
          <w:iCs/>
          <w:color w:val="000000"/>
          <w:u w:val="single"/>
          <w:lang w:eastAsia="bg-BG"/>
        </w:rPr>
      </w:pPr>
    </w:p>
    <w:p w14:paraId="006B8512" w14:textId="19903AB8"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Популация в старческа възраст</w:t>
      </w:r>
    </w:p>
    <w:p w14:paraId="37DCA15D"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 xml:space="preserve">При пациенти в старческа възраст не е необходимо коригиране на дозата, освен ако не съществуват данни за нарушена бъбречната функция (вижте точка 4.4 „Тендинит и руптури на сухожилията“ и „Удължаване на </w:t>
      </w:r>
      <w:r w:rsidRPr="009A2D27">
        <w:rPr>
          <w:rFonts w:eastAsia="Times New Roman" w:cs="Arial"/>
          <w:color w:val="000000"/>
          <w:lang w:val="en-US"/>
        </w:rPr>
        <w:t xml:space="preserve">QT </w:t>
      </w:r>
      <w:r w:rsidRPr="009A2D27">
        <w:rPr>
          <w:rFonts w:eastAsia="Times New Roman" w:cs="Arial"/>
          <w:color w:val="000000"/>
          <w:lang w:eastAsia="bg-BG"/>
        </w:rPr>
        <w:t>интервала“).</w:t>
      </w:r>
    </w:p>
    <w:p w14:paraId="1CD103EC" w14:textId="77777777" w:rsidR="009A2D27" w:rsidRPr="009A2D27" w:rsidRDefault="009A2D27" w:rsidP="009A2D27">
      <w:pPr>
        <w:spacing w:line="240" w:lineRule="auto"/>
        <w:rPr>
          <w:rFonts w:eastAsia="Times New Roman" w:cs="Arial"/>
          <w:i/>
          <w:iCs/>
          <w:color w:val="000000"/>
          <w:u w:val="single"/>
          <w:lang w:eastAsia="bg-BG"/>
        </w:rPr>
      </w:pPr>
    </w:p>
    <w:p w14:paraId="26272B81" w14:textId="66F69578"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Педиатрична популация</w:t>
      </w:r>
    </w:p>
    <w:p w14:paraId="47BCB414"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Левофлоксацин е противопоказан при деца и юноши (вижте точка 4.3).</w:t>
      </w:r>
    </w:p>
    <w:p w14:paraId="7530A9FF" w14:textId="77777777" w:rsidR="009A2D27" w:rsidRPr="009A2D27" w:rsidRDefault="009A2D27" w:rsidP="009A2D27">
      <w:pPr>
        <w:spacing w:line="240" w:lineRule="auto"/>
        <w:rPr>
          <w:rFonts w:eastAsia="Times New Roman" w:cs="Arial"/>
          <w:i/>
          <w:iCs/>
          <w:color w:val="000000"/>
          <w:u w:val="single"/>
          <w:lang w:eastAsia="bg-BG"/>
        </w:rPr>
      </w:pPr>
    </w:p>
    <w:p w14:paraId="2D55304B" w14:textId="39F132A5" w:rsidR="009A2D27" w:rsidRPr="00001DBB" w:rsidRDefault="009A2D27" w:rsidP="00001DBB">
      <w:pPr>
        <w:pStyle w:val="Heading3"/>
        <w:rPr>
          <w:rFonts w:eastAsia="Times New Roman"/>
          <w:u w:val="single"/>
          <w:lang w:eastAsia="bg-BG"/>
        </w:rPr>
      </w:pPr>
      <w:r w:rsidRPr="00001DBB">
        <w:rPr>
          <w:rFonts w:eastAsia="Times New Roman"/>
          <w:u w:val="single"/>
          <w:lang w:eastAsia="bg-BG"/>
        </w:rPr>
        <w:t>Начин на приложение</w:t>
      </w:r>
    </w:p>
    <w:p w14:paraId="5F4D27DF" w14:textId="1AE5F4D0"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Таблетките Левофлоксацин Акорд трябва да се поглъщат, без да се разтрошават и с достатъчно количество течност. Те могат да бъдат разделени на мястото на делителната черта с цел адаптиране на</w:t>
      </w:r>
      <w:r>
        <w:rPr>
          <w:rFonts w:eastAsia="Times New Roman" w:cs="Arial"/>
          <w:lang w:eastAsia="bg-BG"/>
        </w:rPr>
        <w:t xml:space="preserve"> </w:t>
      </w:r>
      <w:r w:rsidRPr="009A2D27">
        <w:rPr>
          <w:rFonts w:eastAsia="Times New Roman" w:cs="Arial"/>
          <w:color w:val="000000"/>
          <w:lang w:eastAsia="bg-BG"/>
        </w:rPr>
        <w:t>дозата. Таблетките могат да се приемат по време на хранене или между храненията. Таблетките Левофлоксацин Акорд трябва да се приемат поне два часа преди или след приложението на железни</w:t>
      </w:r>
      <w:r>
        <w:rPr>
          <w:rFonts w:eastAsia="Times New Roman" w:cs="Arial"/>
          <w:lang w:eastAsia="bg-BG"/>
        </w:rPr>
        <w:t xml:space="preserve"> </w:t>
      </w:r>
      <w:r w:rsidRPr="009A2D27">
        <w:rPr>
          <w:rFonts w:eastAsia="Times New Roman" w:cs="Arial"/>
          <w:color w:val="000000"/>
          <w:lang w:eastAsia="bg-BG"/>
        </w:rPr>
        <w:t>соли, цинкови соли, антиациди, съдържащи алуминий или магнезий, или диданозин (</w:t>
      </w:r>
      <w:r w:rsidRPr="009A2D27">
        <w:rPr>
          <w:rFonts w:eastAsia="Times New Roman" w:cs="Arial"/>
          <w:i/>
          <w:iCs/>
          <w:color w:val="000000"/>
          <w:lang w:eastAsia="bg-BG"/>
        </w:rPr>
        <w:t xml:space="preserve">само комбинации </w:t>
      </w:r>
      <w:r w:rsidRPr="009A2D27">
        <w:rPr>
          <w:rFonts w:cs="Arial"/>
          <w:i/>
          <w:iCs/>
        </w:rPr>
        <w:t>на диданозин с буферни агенти, съдържащи алуминий или магнезий)</w:t>
      </w:r>
      <w:r w:rsidRPr="009A2D27">
        <w:rPr>
          <w:rFonts w:cs="Arial"/>
        </w:rPr>
        <w:t xml:space="preserve"> и сукралфат, тъй като може да настъпи намаляване на на абсорбцията му (вижте точка 4.5).</w:t>
      </w:r>
    </w:p>
    <w:p w14:paraId="4A511E47" w14:textId="77777777" w:rsidR="009A2D27" w:rsidRPr="0091385D" w:rsidRDefault="009A2D27"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163254DF"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Левофлоксацин Акорд не трябва да се прилага:</w:t>
      </w:r>
    </w:p>
    <w:p w14:paraId="23EEA39D"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w:t>
      </w:r>
      <w:r w:rsidRPr="009A2D27">
        <w:rPr>
          <w:rFonts w:eastAsia="Times New Roman" w:cs="Arial"/>
          <w:color w:val="000000"/>
          <w:lang w:eastAsia="bg-BG"/>
        </w:rPr>
        <w:tab/>
        <w:t>при пациенти, свръхчувствителни към левофлоксацин или други хинолони, или към някое от помощните вещества, изброени в точка 6.1;</w:t>
      </w:r>
    </w:p>
    <w:p w14:paraId="15078525"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w:t>
      </w:r>
      <w:r w:rsidRPr="009A2D27">
        <w:rPr>
          <w:rFonts w:eastAsia="Times New Roman" w:cs="Arial"/>
          <w:color w:val="000000"/>
          <w:lang w:eastAsia="bg-BG"/>
        </w:rPr>
        <w:tab/>
        <w:t>при пациенти с епилепсия;</w:t>
      </w:r>
    </w:p>
    <w:p w14:paraId="5C8B9E60"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w:t>
      </w:r>
      <w:r w:rsidRPr="009A2D27">
        <w:rPr>
          <w:rFonts w:eastAsia="Times New Roman" w:cs="Arial"/>
          <w:color w:val="000000"/>
          <w:lang w:eastAsia="bg-BG"/>
        </w:rPr>
        <w:tab/>
        <w:t>при пациенти с анамнеза за нарушения на сухожилията, свързани с приложение на флуорохинолони;</w:t>
      </w:r>
    </w:p>
    <w:p w14:paraId="7347C315"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w:t>
      </w:r>
      <w:r w:rsidRPr="009A2D27">
        <w:rPr>
          <w:rFonts w:eastAsia="Times New Roman" w:cs="Arial"/>
          <w:color w:val="000000"/>
          <w:lang w:eastAsia="bg-BG"/>
        </w:rPr>
        <w:tab/>
        <w:t>при деца или юноши;</w:t>
      </w:r>
    </w:p>
    <w:p w14:paraId="2313E049"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w:t>
      </w:r>
      <w:r w:rsidRPr="009A2D27">
        <w:rPr>
          <w:rFonts w:eastAsia="Times New Roman" w:cs="Arial"/>
          <w:color w:val="000000"/>
          <w:lang w:eastAsia="bg-BG"/>
        </w:rPr>
        <w:tab/>
        <w:t>по време на бременност;</w:t>
      </w:r>
    </w:p>
    <w:p w14:paraId="030B6A4D" w14:textId="4C901A79" w:rsidR="00EC41ED" w:rsidRPr="009A2D27" w:rsidRDefault="009A2D27" w:rsidP="009A2D27">
      <w:pPr>
        <w:rPr>
          <w:rFonts w:cs="Arial"/>
        </w:rPr>
      </w:pPr>
      <w:r w:rsidRPr="009A2D27">
        <w:rPr>
          <w:rFonts w:eastAsia="Times New Roman" w:cs="Arial"/>
          <w:color w:val="000000"/>
          <w:lang w:eastAsia="bg-BG"/>
        </w:rPr>
        <w:t>•</w:t>
      </w:r>
      <w:r w:rsidRPr="009A2D27">
        <w:rPr>
          <w:rFonts w:eastAsia="Times New Roman" w:cs="Arial"/>
          <w:color w:val="000000"/>
          <w:lang w:eastAsia="bg-BG"/>
        </w:rPr>
        <w:tab/>
        <w:t>при кърмачки.</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1D5DE4B2"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Употребата на левофлоксацин трябва да се избягва при пациенти, които са имали сериозни нежелани реакции в миналото при употреба на продукти, съдържащи хинолони или флуорохинолони (вж. точка 4.8). Лечението на тези пациенти с левофлоксацин трябва да се започва само при липса на алтернативни възможности за лечение и след внимателна оценка на съотношението полза/риск (вж. също точка 4.3).</w:t>
      </w:r>
    </w:p>
    <w:p w14:paraId="74D58AD8" w14:textId="77777777" w:rsidR="009A2D27" w:rsidRPr="009A2D27" w:rsidRDefault="009A2D27" w:rsidP="009A2D27">
      <w:pPr>
        <w:spacing w:line="240" w:lineRule="auto"/>
        <w:rPr>
          <w:rFonts w:eastAsia="Times New Roman" w:cs="Arial"/>
          <w:color w:val="000000"/>
          <w:lang w:eastAsia="bg-BG"/>
        </w:rPr>
      </w:pPr>
    </w:p>
    <w:p w14:paraId="361B32F1" w14:textId="21C099B5"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Аневризма и дисекация на аортата и регургитация/недостатъчност на сърдечните клапи</w:t>
      </w:r>
    </w:p>
    <w:p w14:paraId="0D6F0BB0" w14:textId="77777777" w:rsidR="009A2D27" w:rsidRPr="009A2D27" w:rsidRDefault="009A2D27" w:rsidP="009A2D27">
      <w:pPr>
        <w:spacing w:line="240" w:lineRule="auto"/>
        <w:rPr>
          <w:rFonts w:eastAsia="Times New Roman" w:cs="Arial"/>
          <w:color w:val="000000"/>
          <w:lang w:eastAsia="bg-BG"/>
        </w:rPr>
      </w:pPr>
    </w:p>
    <w:p w14:paraId="4C7E1CD2" w14:textId="3F3C755B"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Епидемиологичните проучвания показват повишен риск от аневризма и дисекация на аортата, особено при пациенти в старческа възраст, както и от регургитация на аортната и митралната клапа след употреба на флуорохинолони. Съобщени са случаи на аневризма и дисекация на аортата, понякога усложнени поради разкъсване (включително с летален изход) и регургитация/недостатъчност на някои от сърдечните клапи при пациенти, приемащи флуорохинолони (вж. точка 4.8).</w:t>
      </w:r>
    </w:p>
    <w:p w14:paraId="02A2D059" w14:textId="77777777" w:rsidR="009A2D27" w:rsidRPr="009A2D27" w:rsidRDefault="009A2D27" w:rsidP="009A2D27">
      <w:pPr>
        <w:spacing w:line="240" w:lineRule="auto"/>
        <w:rPr>
          <w:rFonts w:eastAsia="Times New Roman" w:cs="Arial"/>
          <w:color w:val="000000"/>
          <w:lang w:eastAsia="bg-BG"/>
        </w:rPr>
      </w:pPr>
    </w:p>
    <w:p w14:paraId="1D2472E4" w14:textId="78201A6D"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Следователно флуорохинолоните трябва да се използват само след внимателна оценка на съотношението полза/риск и след обмисляне на други терапевтични възможности при пациенти с положителна фамилна анамнеза за аневризма или вродено заболяване на сърдечните клапи, или при пациенти, диагностицирани с предшестваща аневризма и/или дисекация на аортата или при наличие на други рискови фактори или заболявания, предразполагащи към аневризма и дисекация на аортата или заболяване на сърдечните клапи, и, или при наличие на други рискови фактори или заболявания предразполагащи</w:t>
      </w:r>
    </w:p>
    <w:p w14:paraId="14C2AFC5" w14:textId="77777777" w:rsidR="009A2D27" w:rsidRPr="009A2D27" w:rsidRDefault="009A2D27" w:rsidP="009A2D27">
      <w:pPr>
        <w:pStyle w:val="ListParagraph"/>
        <w:numPr>
          <w:ilvl w:val="0"/>
          <w:numId w:val="39"/>
        </w:numPr>
        <w:spacing w:line="240" w:lineRule="auto"/>
        <w:rPr>
          <w:rFonts w:eastAsia="Times New Roman" w:cs="Arial"/>
          <w:lang w:eastAsia="bg-BG"/>
        </w:rPr>
      </w:pPr>
      <w:r w:rsidRPr="009A2D27">
        <w:rPr>
          <w:rFonts w:eastAsia="Times New Roman" w:cs="Arial"/>
          <w:color w:val="000000"/>
          <w:lang w:eastAsia="bg-BG"/>
        </w:rPr>
        <w:t xml:space="preserve">както за аневризма, така и за дисекация на аортата и за регургитация/недостатъчност на сърдечните клапи (напр. нарушения на съединителната тъкан, напр. синдром на </w:t>
      </w:r>
      <w:proofErr w:type="spellStart"/>
      <w:r w:rsidRPr="009A2D27">
        <w:rPr>
          <w:rFonts w:eastAsia="Times New Roman" w:cs="Arial"/>
          <w:color w:val="000000"/>
          <w:lang w:val="en-US"/>
        </w:rPr>
        <w:t>Marfan</w:t>
      </w:r>
      <w:proofErr w:type="spellEnd"/>
      <w:r w:rsidRPr="009A2D27">
        <w:rPr>
          <w:rFonts w:eastAsia="Times New Roman" w:cs="Arial"/>
          <w:color w:val="000000"/>
          <w:lang w:val="en-US"/>
        </w:rPr>
        <w:t xml:space="preserve"> </w:t>
      </w:r>
      <w:r w:rsidRPr="009A2D27">
        <w:rPr>
          <w:rFonts w:eastAsia="Times New Roman" w:cs="Arial"/>
          <w:color w:val="000000"/>
          <w:lang w:eastAsia="bg-BG"/>
        </w:rPr>
        <w:t xml:space="preserve">или синдром на </w:t>
      </w:r>
      <w:r w:rsidRPr="009A2D27">
        <w:rPr>
          <w:rFonts w:eastAsia="Times New Roman" w:cs="Arial"/>
          <w:color w:val="000000"/>
          <w:lang w:val="en-US"/>
        </w:rPr>
        <w:t>Ehlers-</w:t>
      </w:r>
      <w:proofErr w:type="spellStart"/>
      <w:r w:rsidRPr="009A2D27">
        <w:rPr>
          <w:rFonts w:eastAsia="Times New Roman" w:cs="Arial"/>
          <w:color w:val="000000"/>
          <w:lang w:val="en-US"/>
        </w:rPr>
        <w:t>Danlos</w:t>
      </w:r>
      <w:proofErr w:type="spellEnd"/>
      <w:r w:rsidRPr="009A2D27">
        <w:rPr>
          <w:rFonts w:eastAsia="Times New Roman" w:cs="Arial"/>
          <w:color w:val="000000"/>
          <w:lang w:val="en-US"/>
        </w:rPr>
        <w:t xml:space="preserve">, </w:t>
      </w:r>
      <w:r w:rsidRPr="009A2D27">
        <w:rPr>
          <w:rFonts w:eastAsia="Times New Roman" w:cs="Arial"/>
          <w:color w:val="000000"/>
          <w:lang w:eastAsia="bg-BG"/>
        </w:rPr>
        <w:t xml:space="preserve">синдром на </w:t>
      </w:r>
      <w:r w:rsidRPr="009A2D27">
        <w:rPr>
          <w:rFonts w:eastAsia="Times New Roman" w:cs="Arial"/>
          <w:color w:val="000000"/>
          <w:lang w:val="en-US"/>
        </w:rPr>
        <w:t xml:space="preserve">Turner, </w:t>
      </w:r>
      <w:r w:rsidRPr="009A2D27">
        <w:rPr>
          <w:rFonts w:eastAsia="Times New Roman" w:cs="Arial"/>
          <w:color w:val="000000"/>
          <w:lang w:eastAsia="bg-BG"/>
        </w:rPr>
        <w:t xml:space="preserve">болест на </w:t>
      </w:r>
      <w:proofErr w:type="spellStart"/>
      <w:r w:rsidRPr="009A2D27">
        <w:rPr>
          <w:rFonts w:eastAsia="Times New Roman" w:cs="Arial"/>
          <w:color w:val="000000"/>
          <w:lang w:val="en-US"/>
        </w:rPr>
        <w:t>Behcet</w:t>
      </w:r>
      <w:proofErr w:type="spellEnd"/>
      <w:r w:rsidRPr="009A2D27">
        <w:rPr>
          <w:rFonts w:eastAsia="Times New Roman" w:cs="Arial"/>
          <w:color w:val="000000"/>
          <w:lang w:val="en-US"/>
        </w:rPr>
        <w:t xml:space="preserve">, </w:t>
      </w:r>
      <w:r w:rsidRPr="009A2D27">
        <w:rPr>
          <w:rFonts w:eastAsia="Times New Roman" w:cs="Arial"/>
          <w:color w:val="000000"/>
          <w:lang w:eastAsia="bg-BG"/>
        </w:rPr>
        <w:t>хипертония, ревматоиден артрит) или допълнително</w:t>
      </w:r>
    </w:p>
    <w:p w14:paraId="7E6272F3" w14:textId="77777777" w:rsidR="009A2D27" w:rsidRPr="009A2D27" w:rsidRDefault="009A2D27" w:rsidP="009A2D27">
      <w:pPr>
        <w:pStyle w:val="ListParagraph"/>
        <w:numPr>
          <w:ilvl w:val="0"/>
          <w:numId w:val="39"/>
        </w:numPr>
        <w:spacing w:line="240" w:lineRule="auto"/>
        <w:rPr>
          <w:rFonts w:eastAsia="Times New Roman" w:cs="Arial"/>
          <w:lang w:eastAsia="bg-BG"/>
        </w:rPr>
      </w:pPr>
      <w:r w:rsidRPr="009A2D27">
        <w:rPr>
          <w:rFonts w:eastAsia="Times New Roman" w:cs="Arial"/>
          <w:color w:val="000000"/>
          <w:lang w:eastAsia="bg-BG"/>
        </w:rPr>
        <w:t xml:space="preserve">при аневризма и дисекация на аортата (напр. съдови нарушения, напр. артериит на </w:t>
      </w:r>
      <w:proofErr w:type="spellStart"/>
      <w:r w:rsidRPr="009A2D27">
        <w:rPr>
          <w:rFonts w:eastAsia="Times New Roman" w:cs="Arial"/>
          <w:color w:val="000000"/>
          <w:lang w:val="en-US"/>
        </w:rPr>
        <w:t>Takayasu</w:t>
      </w:r>
      <w:proofErr w:type="spellEnd"/>
      <w:r w:rsidRPr="009A2D27">
        <w:rPr>
          <w:rFonts w:eastAsia="Times New Roman" w:cs="Arial"/>
          <w:color w:val="000000"/>
          <w:lang w:val="en-US"/>
        </w:rPr>
        <w:t xml:space="preserve">, </w:t>
      </w:r>
      <w:r w:rsidRPr="009A2D27">
        <w:rPr>
          <w:rFonts w:eastAsia="Times New Roman" w:cs="Arial"/>
          <w:color w:val="000000"/>
          <w:lang w:eastAsia="bg-BG"/>
        </w:rPr>
        <w:t>гигантоклетъчен артериит, или известна атеросклероза или синдром на Sjögren</w:t>
      </w:r>
      <w:r w:rsidRPr="009A2D27">
        <w:rPr>
          <w:rFonts w:eastAsia="Times New Roman" w:cs="Arial"/>
          <w:color w:val="000000"/>
          <w:lang w:val="en-US"/>
        </w:rPr>
        <w:t xml:space="preserve">), </w:t>
      </w:r>
      <w:r w:rsidRPr="009A2D27">
        <w:rPr>
          <w:rFonts w:eastAsia="Times New Roman" w:cs="Arial"/>
          <w:color w:val="000000"/>
          <w:lang w:eastAsia="bg-BG"/>
        </w:rPr>
        <w:t>или допълнително</w:t>
      </w:r>
    </w:p>
    <w:p w14:paraId="7CE97BD4" w14:textId="0FC47252" w:rsidR="009A2D27" w:rsidRPr="009A2D27" w:rsidRDefault="009A2D27" w:rsidP="009A2D27">
      <w:pPr>
        <w:pStyle w:val="ListParagraph"/>
        <w:numPr>
          <w:ilvl w:val="0"/>
          <w:numId w:val="39"/>
        </w:numPr>
        <w:spacing w:line="240" w:lineRule="auto"/>
        <w:rPr>
          <w:rFonts w:eastAsia="Times New Roman" w:cs="Arial"/>
          <w:lang w:eastAsia="bg-BG"/>
        </w:rPr>
      </w:pPr>
      <w:r w:rsidRPr="009A2D27">
        <w:rPr>
          <w:rFonts w:eastAsia="Times New Roman" w:cs="Arial"/>
          <w:color w:val="000000"/>
          <w:lang w:eastAsia="bg-BG"/>
        </w:rPr>
        <w:t>при регургитация/недостатъчност на сърдечните клапи (напр. инфекциозен ендокардит).</w:t>
      </w:r>
    </w:p>
    <w:p w14:paraId="4376CD3D" w14:textId="77777777" w:rsidR="009A2D27" w:rsidRPr="009A2D27" w:rsidRDefault="009A2D27" w:rsidP="009A2D27">
      <w:pPr>
        <w:spacing w:line="240" w:lineRule="auto"/>
        <w:rPr>
          <w:rFonts w:eastAsia="Times New Roman" w:cs="Arial"/>
          <w:color w:val="000000"/>
          <w:lang w:eastAsia="bg-BG"/>
        </w:rPr>
      </w:pPr>
    </w:p>
    <w:p w14:paraId="24405D4B" w14:textId="3B1F867A"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Рискът от аневризма и дисекация на аортата и тяхното разкъсване може също да се повиши при пациенти, лекувани едновременно със системни кортикостероиди.</w:t>
      </w:r>
    </w:p>
    <w:p w14:paraId="581B98A0" w14:textId="77777777" w:rsidR="009A2D27" w:rsidRPr="009A2D27" w:rsidRDefault="009A2D27" w:rsidP="009A2D27">
      <w:pPr>
        <w:spacing w:line="240" w:lineRule="auto"/>
        <w:rPr>
          <w:rFonts w:eastAsia="Times New Roman" w:cs="Arial"/>
          <w:color w:val="000000"/>
          <w:lang w:eastAsia="bg-BG"/>
        </w:rPr>
      </w:pPr>
    </w:p>
    <w:p w14:paraId="5447C1AA" w14:textId="3FAC829D"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При внезапна болка в корема, гръдния кош или гърба пациентите трябва да бъдат посъветвани да се консултират незабавно с лекар в спешно отделение.</w:t>
      </w:r>
    </w:p>
    <w:p w14:paraId="5FDD722B" w14:textId="77777777" w:rsidR="009A2D27" w:rsidRPr="009A2D27" w:rsidRDefault="009A2D27" w:rsidP="009A2D27">
      <w:pPr>
        <w:spacing w:line="240" w:lineRule="auto"/>
        <w:rPr>
          <w:rFonts w:eastAsia="Times New Roman" w:cs="Arial"/>
          <w:lang w:eastAsia="bg-BG"/>
        </w:rPr>
      </w:pPr>
    </w:p>
    <w:p w14:paraId="4D71CC8A"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Пациентите трябва да бъдат посъветвани да потърсят незабавно медицинска помощ  в случай на остра диспнея, поява на сърцебиене (палпитации) или развитие на оток на корема или долните крайници.</w:t>
      </w:r>
    </w:p>
    <w:p w14:paraId="0E28BBDE" w14:textId="77777777" w:rsidR="007A2185" w:rsidRPr="009A2D27" w:rsidRDefault="007A2185" w:rsidP="0091385D">
      <w:pPr>
        <w:rPr>
          <w:rFonts w:cs="Arial"/>
        </w:rPr>
      </w:pPr>
    </w:p>
    <w:p w14:paraId="3E2DE96A" w14:textId="77777777"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 xml:space="preserve">Метицилин-резистентни </w:t>
      </w:r>
      <w:r w:rsidRPr="009A2D27">
        <w:rPr>
          <w:rFonts w:eastAsia="Times New Roman" w:cs="Arial"/>
          <w:i/>
          <w:iCs/>
          <w:color w:val="000000"/>
          <w:u w:val="single"/>
          <w:lang w:val="en-US"/>
        </w:rPr>
        <w:t>Staphylococcus aureus (MRSA)</w:t>
      </w:r>
    </w:p>
    <w:p w14:paraId="02605404"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 xml:space="preserve">Много е вероятно метицилин-резистентните щамове на </w:t>
      </w:r>
      <w:r w:rsidRPr="009A2D27">
        <w:rPr>
          <w:rFonts w:eastAsia="Times New Roman" w:cs="Arial"/>
          <w:color w:val="000000"/>
          <w:lang w:val="en-US"/>
        </w:rPr>
        <w:t xml:space="preserve">S. </w:t>
      </w:r>
      <w:proofErr w:type="gramStart"/>
      <w:r w:rsidRPr="009A2D27">
        <w:rPr>
          <w:rFonts w:eastAsia="Times New Roman" w:cs="Arial"/>
          <w:color w:val="000000"/>
          <w:lang w:val="en-US"/>
        </w:rPr>
        <w:t>aureus</w:t>
      </w:r>
      <w:proofErr w:type="gramEnd"/>
      <w:r w:rsidRPr="009A2D27">
        <w:rPr>
          <w:rFonts w:eastAsia="Times New Roman" w:cs="Arial"/>
          <w:color w:val="000000"/>
          <w:lang w:val="en-US"/>
        </w:rPr>
        <w:t xml:space="preserve"> </w:t>
      </w:r>
      <w:r w:rsidRPr="009A2D27">
        <w:rPr>
          <w:rFonts w:eastAsia="Times New Roman" w:cs="Arial"/>
          <w:color w:val="000000"/>
          <w:lang w:eastAsia="bg-BG"/>
        </w:rPr>
        <w:t xml:space="preserve">е да притежават ко-резистентност към флуорохинолони, включително левофлоксацин. Ето защо, левофлоксацин не се препоръчва за лечение на известни или подозирани </w:t>
      </w:r>
      <w:r w:rsidRPr="009A2D27">
        <w:rPr>
          <w:rFonts w:eastAsia="Times New Roman" w:cs="Arial"/>
          <w:color w:val="000000"/>
          <w:lang w:val="en-US"/>
        </w:rPr>
        <w:t xml:space="preserve">MRSA </w:t>
      </w:r>
      <w:r w:rsidRPr="009A2D27">
        <w:rPr>
          <w:rFonts w:eastAsia="Times New Roman" w:cs="Arial"/>
          <w:color w:val="000000"/>
          <w:lang w:eastAsia="bg-BG"/>
        </w:rPr>
        <w:lastRenderedPageBreak/>
        <w:t xml:space="preserve">инфекции, освен ако лабораторните резултати са потвърдили чувствителността на организма към левофлоксацин (и обикновено препоръчваните антибактериални агенти за лечение на </w:t>
      </w:r>
      <w:r w:rsidRPr="009A2D27">
        <w:rPr>
          <w:rFonts w:eastAsia="Times New Roman" w:cs="Arial"/>
          <w:color w:val="000000"/>
          <w:lang w:val="en-US"/>
        </w:rPr>
        <w:t xml:space="preserve">MRSA </w:t>
      </w:r>
      <w:r w:rsidRPr="009A2D27">
        <w:rPr>
          <w:rFonts w:eastAsia="Times New Roman" w:cs="Arial"/>
          <w:color w:val="000000"/>
          <w:lang w:eastAsia="bg-BG"/>
        </w:rPr>
        <w:t>инфекции се считат за неподходящи).</w:t>
      </w:r>
    </w:p>
    <w:p w14:paraId="00B1EAD5" w14:textId="77777777" w:rsidR="009A2D27" w:rsidRPr="009A2D27" w:rsidRDefault="009A2D27" w:rsidP="009A2D27">
      <w:pPr>
        <w:spacing w:line="240" w:lineRule="auto"/>
        <w:rPr>
          <w:rFonts w:eastAsia="Times New Roman" w:cs="Arial"/>
          <w:color w:val="000000"/>
          <w:lang w:eastAsia="bg-BG"/>
        </w:rPr>
      </w:pPr>
    </w:p>
    <w:p w14:paraId="4483BC06" w14:textId="45950371"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Левофлоксацин може да се използва за лечение на остър бактериален синузит и остра екзацербация на хроничен бронхит, когато тези инфекции са били адекватно диагностицирани.</w:t>
      </w:r>
    </w:p>
    <w:p w14:paraId="170D0EEE" w14:textId="77777777" w:rsidR="009A2D27" w:rsidRPr="009A2D27" w:rsidRDefault="009A2D27" w:rsidP="009A2D27">
      <w:pPr>
        <w:spacing w:line="240" w:lineRule="auto"/>
        <w:rPr>
          <w:rFonts w:eastAsia="Times New Roman" w:cs="Arial"/>
          <w:color w:val="000000"/>
          <w:lang w:eastAsia="bg-BG"/>
        </w:rPr>
      </w:pPr>
    </w:p>
    <w:p w14:paraId="0CD11038" w14:textId="448AAC9E"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 xml:space="preserve">Резистентността към флуорохинолони на </w:t>
      </w:r>
      <w:r w:rsidRPr="009A2D27">
        <w:rPr>
          <w:rFonts w:eastAsia="Times New Roman" w:cs="Arial"/>
          <w:i/>
          <w:iCs/>
          <w:color w:val="000000"/>
          <w:lang w:val="en-US"/>
        </w:rPr>
        <w:t>E.coli,</w:t>
      </w:r>
      <w:r w:rsidRPr="009A2D27">
        <w:rPr>
          <w:rFonts w:eastAsia="Times New Roman" w:cs="Arial"/>
          <w:color w:val="000000"/>
          <w:lang w:val="en-US"/>
        </w:rPr>
        <w:t xml:space="preserve"> </w:t>
      </w:r>
      <w:r w:rsidRPr="009A2D27">
        <w:rPr>
          <w:rFonts w:eastAsia="Times New Roman" w:cs="Arial"/>
          <w:color w:val="000000"/>
          <w:lang w:eastAsia="bg-BG"/>
        </w:rPr>
        <w:t xml:space="preserve">най-често срещания патоген при инфекции на пикочните пътища, варира в рамките на Европейския съюз. На лекарите, предписващи това лекарство, се препоръчва да вземат предвид локалната честота на резистентност на </w:t>
      </w:r>
      <w:r w:rsidRPr="009A2D27">
        <w:rPr>
          <w:rFonts w:eastAsia="Times New Roman" w:cs="Arial"/>
          <w:i/>
          <w:iCs/>
          <w:color w:val="000000"/>
          <w:lang w:eastAsia="bg-BG"/>
        </w:rPr>
        <w:t xml:space="preserve">Е. </w:t>
      </w:r>
      <w:proofErr w:type="gramStart"/>
      <w:r w:rsidRPr="009A2D27">
        <w:rPr>
          <w:rFonts w:eastAsia="Times New Roman" w:cs="Arial"/>
          <w:i/>
          <w:iCs/>
          <w:color w:val="000000"/>
          <w:lang w:val="en-US"/>
        </w:rPr>
        <w:t>coli</w:t>
      </w:r>
      <w:proofErr w:type="gramEnd"/>
      <w:r w:rsidRPr="009A2D27">
        <w:rPr>
          <w:rFonts w:eastAsia="Times New Roman" w:cs="Arial"/>
          <w:color w:val="000000"/>
          <w:lang w:val="en-US"/>
        </w:rPr>
        <w:t xml:space="preserve"> </w:t>
      </w:r>
      <w:r w:rsidRPr="009A2D27">
        <w:rPr>
          <w:rFonts w:eastAsia="Times New Roman" w:cs="Arial"/>
          <w:color w:val="000000"/>
          <w:lang w:eastAsia="bg-BG"/>
        </w:rPr>
        <w:t xml:space="preserve">към флуорохинолони. Инхалационен антракс: приложението при хора се основава на </w:t>
      </w:r>
      <w:r w:rsidRPr="009A2D27">
        <w:rPr>
          <w:rFonts w:eastAsia="Times New Roman" w:cs="Arial"/>
          <w:i/>
          <w:iCs/>
          <w:color w:val="000000"/>
          <w:lang w:val="en-US"/>
        </w:rPr>
        <w:t>in vitro</w:t>
      </w:r>
      <w:r w:rsidRPr="009A2D27">
        <w:rPr>
          <w:rFonts w:eastAsia="Times New Roman" w:cs="Arial"/>
          <w:color w:val="000000"/>
          <w:lang w:val="en-US"/>
        </w:rPr>
        <w:t xml:space="preserve"> </w:t>
      </w:r>
      <w:r w:rsidRPr="009A2D27">
        <w:rPr>
          <w:rFonts w:eastAsia="Times New Roman" w:cs="Arial"/>
          <w:color w:val="000000"/>
          <w:lang w:eastAsia="bg-BG"/>
        </w:rPr>
        <w:t xml:space="preserve">данните за чувствителност на </w:t>
      </w:r>
      <w:r w:rsidRPr="009A2D27">
        <w:rPr>
          <w:rFonts w:eastAsia="Times New Roman" w:cs="Arial"/>
          <w:i/>
          <w:iCs/>
          <w:color w:val="000000"/>
          <w:lang w:val="en-US"/>
        </w:rPr>
        <w:t xml:space="preserve">Bacillus </w:t>
      </w:r>
      <w:proofErr w:type="spellStart"/>
      <w:r w:rsidRPr="009A2D27">
        <w:rPr>
          <w:rFonts w:eastAsia="Times New Roman" w:cs="Arial"/>
          <w:i/>
          <w:iCs/>
          <w:color w:val="000000"/>
          <w:lang w:val="en-US"/>
        </w:rPr>
        <w:t>anthracis</w:t>
      </w:r>
      <w:proofErr w:type="spellEnd"/>
      <w:r w:rsidRPr="009A2D27">
        <w:rPr>
          <w:rFonts w:eastAsia="Times New Roman" w:cs="Arial"/>
          <w:i/>
          <w:iCs/>
          <w:color w:val="000000"/>
          <w:lang w:val="en-US"/>
        </w:rPr>
        <w:t>,</w:t>
      </w:r>
      <w:r w:rsidRPr="009A2D27">
        <w:rPr>
          <w:rFonts w:eastAsia="Times New Roman" w:cs="Arial"/>
          <w:color w:val="000000"/>
          <w:lang w:val="en-US"/>
        </w:rPr>
        <w:t xml:space="preserve"> </w:t>
      </w:r>
      <w:r w:rsidRPr="009A2D27">
        <w:rPr>
          <w:rFonts w:eastAsia="Times New Roman" w:cs="Arial"/>
          <w:color w:val="000000"/>
          <w:lang w:eastAsia="bg-BG"/>
        </w:rPr>
        <w:t>както и на експерименталните данни при животни, заедно с ограничени данни при хора. Лекуващите лекари трябва да се съобразят с националните и/или международни консенсусни документи по отношение на лечението на антракс.</w:t>
      </w:r>
    </w:p>
    <w:p w14:paraId="5A9373EC" w14:textId="77777777" w:rsidR="009A2D27" w:rsidRPr="009A2D27" w:rsidRDefault="009A2D27" w:rsidP="009A2D27">
      <w:pPr>
        <w:spacing w:line="240" w:lineRule="auto"/>
        <w:rPr>
          <w:rFonts w:eastAsia="Times New Roman" w:cs="Arial"/>
          <w:i/>
          <w:iCs/>
          <w:color w:val="000000"/>
          <w:u w:val="single"/>
          <w:lang w:eastAsia="bg-BG"/>
        </w:rPr>
      </w:pPr>
    </w:p>
    <w:p w14:paraId="4B67FD40" w14:textId="6B02841E"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Тендинит и разкъсване на сухожилие</w:t>
      </w:r>
    </w:p>
    <w:p w14:paraId="6F6B4FF9"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 xml:space="preserve">Тендинит и разкъсване на сухожилие (по-специално ахилесово сухожилие, но без да се ограничава само до него), понякога двустранно, може да се получи още в рамките на 48 часа от започване на лечението с хинолони и флуорохинолони като има съобщения за такива, развили се дори до няколко месеца след прекратяване на лечението при пациенти, приемащи дневни дози от 1000 </w:t>
      </w:r>
      <w:r w:rsidRPr="009A2D27">
        <w:rPr>
          <w:rFonts w:eastAsia="Times New Roman" w:cs="Arial"/>
          <w:color w:val="000000"/>
          <w:lang w:val="en-US"/>
        </w:rPr>
        <w:t xml:space="preserve">mg </w:t>
      </w:r>
      <w:r w:rsidRPr="009A2D27">
        <w:rPr>
          <w:rFonts w:eastAsia="Times New Roman" w:cs="Arial"/>
          <w:color w:val="000000"/>
          <w:lang w:eastAsia="bg-BG"/>
        </w:rPr>
        <w:t>левофлоксацин. Рискът от тендинит и разкъсване на сухожилие се повишава при по-възрастни пациенти, пациенти с бъбречно увреждане, пациенти с трансплантиран солиден орган и такива, лекувани съпътстващо с кортикостероиди. По тази причина съпътстващата употреба на кортикостероиди трябва да се избягва. При пациенти в старческа възраст, дневната доза трябва да се адаптира въз основа на креатининовия клирънс (вж. точка 4.2).</w:t>
      </w:r>
    </w:p>
    <w:p w14:paraId="6F066AD3" w14:textId="77777777" w:rsidR="009A2D27" w:rsidRPr="009A2D27" w:rsidRDefault="009A2D27" w:rsidP="009A2D27">
      <w:pPr>
        <w:spacing w:line="240" w:lineRule="auto"/>
        <w:rPr>
          <w:rFonts w:eastAsia="Times New Roman" w:cs="Arial"/>
          <w:color w:val="000000"/>
          <w:lang w:eastAsia="bg-BG"/>
        </w:rPr>
      </w:pPr>
    </w:p>
    <w:p w14:paraId="02E7E77E" w14:textId="65D31CD8"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При първия признак на тендинит (напр. болезнено подуване, възпаление) лечението с левофлоксацин трябва да се прекрати и да се обмисли алтернативно лечение. Засегнатият(те) крайник(ци) трябва да бъде(ат) лекуван(и) по подходящ начин (напр. обездвижване). Не трябва да се използват кортикостероиди, ако се появят признаци на тендинопатия.</w:t>
      </w:r>
    </w:p>
    <w:p w14:paraId="15C69E77" w14:textId="77777777" w:rsidR="009A2D27" w:rsidRPr="009A2D27" w:rsidRDefault="009A2D27" w:rsidP="009A2D27">
      <w:pPr>
        <w:spacing w:line="240" w:lineRule="auto"/>
        <w:rPr>
          <w:rFonts w:eastAsia="Times New Roman" w:cs="Arial"/>
          <w:i/>
          <w:iCs/>
          <w:color w:val="000000"/>
          <w:u w:val="single"/>
          <w:lang w:eastAsia="bg-BG"/>
        </w:rPr>
      </w:pPr>
    </w:p>
    <w:p w14:paraId="15A86CC5" w14:textId="643D111E"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 xml:space="preserve">Заболявания, свързани с </w:t>
      </w:r>
      <w:r w:rsidRPr="009A2D27">
        <w:rPr>
          <w:rFonts w:eastAsia="Times New Roman" w:cs="Arial"/>
          <w:i/>
          <w:iCs/>
          <w:color w:val="000000"/>
          <w:u w:val="single"/>
          <w:lang w:val="en-US"/>
        </w:rPr>
        <w:t>Clostridium difficile</w:t>
      </w:r>
    </w:p>
    <w:p w14:paraId="79618A8C"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 xml:space="preserve">Диария, особено ако е тежка, персистираща и/или кървава, по време на или след лечението с левофлоксацин (включително няколко седмици след лечението) може да бъде симптоматична за заболяване, свързано с </w:t>
      </w:r>
      <w:r w:rsidRPr="009A2D27">
        <w:rPr>
          <w:rFonts w:eastAsia="Times New Roman" w:cs="Arial"/>
          <w:i/>
          <w:iCs/>
          <w:color w:val="000000"/>
          <w:lang w:val="en-US"/>
        </w:rPr>
        <w:t>Clostridium difficile</w:t>
      </w:r>
      <w:r w:rsidRPr="009A2D27">
        <w:rPr>
          <w:rFonts w:eastAsia="Times New Roman" w:cs="Arial"/>
          <w:color w:val="000000"/>
          <w:lang w:val="en-US"/>
        </w:rPr>
        <w:t xml:space="preserve"> (CDAD). CDAD </w:t>
      </w:r>
      <w:r w:rsidRPr="009A2D27">
        <w:rPr>
          <w:rFonts w:eastAsia="Times New Roman" w:cs="Arial"/>
          <w:color w:val="000000"/>
          <w:lang w:eastAsia="bg-BG"/>
        </w:rPr>
        <w:t xml:space="preserve">може да варира по тежест от леко до животозастрашаващо, като най-тежката форма е псевдомембранозен колит (вижте точка 4.8). Ето защо е важно тази диагноза да се има предвид при пациенти, които развиват тежка диария по време на или след лечение с левофлоксацин. Ако се подозира или потвърждава </w:t>
      </w:r>
      <w:r w:rsidRPr="009A2D27">
        <w:rPr>
          <w:rFonts w:eastAsia="Times New Roman" w:cs="Arial"/>
          <w:color w:val="000000"/>
          <w:lang w:val="en-US"/>
        </w:rPr>
        <w:t xml:space="preserve">CDAD, </w:t>
      </w:r>
      <w:r w:rsidRPr="009A2D27">
        <w:rPr>
          <w:rFonts w:eastAsia="Times New Roman" w:cs="Arial"/>
          <w:color w:val="000000"/>
          <w:lang w:eastAsia="bg-BG"/>
        </w:rPr>
        <w:t>левофлоксацин трябва незабавно да бъде спрян и веднага да се започне подходяща терапия (напр. перорално метронидазол или ванкомицин). Лекарствени продукти, инхибиращи перисталтиката, са противопоказани в тази клинична ситуация.</w:t>
      </w:r>
    </w:p>
    <w:p w14:paraId="1F379731" w14:textId="77777777" w:rsidR="009A2D27" w:rsidRPr="009A2D27" w:rsidRDefault="009A2D27" w:rsidP="009A2D27">
      <w:pPr>
        <w:spacing w:line="240" w:lineRule="auto"/>
        <w:rPr>
          <w:rFonts w:eastAsia="Times New Roman" w:cs="Arial"/>
          <w:i/>
          <w:iCs/>
          <w:color w:val="000000"/>
          <w:u w:val="single"/>
          <w:lang w:eastAsia="bg-BG"/>
        </w:rPr>
      </w:pPr>
    </w:p>
    <w:p w14:paraId="2E0D0A8E" w14:textId="7FBA0AA7"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Пациенти, предразположени към гърчове</w:t>
      </w:r>
    </w:p>
    <w:p w14:paraId="24E3E82F" w14:textId="455AC06E" w:rsidR="0091385D" w:rsidRPr="009A2D27" w:rsidRDefault="009A2D27" w:rsidP="009A2D27">
      <w:pPr>
        <w:rPr>
          <w:rFonts w:cs="Arial"/>
        </w:rPr>
      </w:pPr>
      <w:r w:rsidRPr="009A2D27">
        <w:rPr>
          <w:rFonts w:eastAsia="Times New Roman" w:cs="Arial"/>
          <w:color w:val="000000"/>
          <w:lang w:eastAsia="bg-BG"/>
        </w:rPr>
        <w:t xml:space="preserve">Хинолоните могат да понижат гърчовия праг и могат да доведат до припадъци. Левофлоксацин е противопоказан при пациенти с анамнеза за епилепсия (вижте точка 4.3), и както останалите хинолони, трябва да се прилага с повишено внимание при </w:t>
      </w:r>
      <w:r w:rsidRPr="009A2D27">
        <w:rPr>
          <w:rFonts w:eastAsia="Times New Roman" w:cs="Arial"/>
          <w:color w:val="000000"/>
          <w:lang w:eastAsia="bg-BG"/>
        </w:rPr>
        <w:lastRenderedPageBreak/>
        <w:t>пациенти, предразположени към гърчове или на съпътстващо лечение с активни вещества, които понижават церебралния гърчов праг, като теофилин (вижте точка 4.5). В случай на конвулсивни припадъци (вижте точка 4.8), лечението с левофлоксацин трябва да бъде прекратено.</w:t>
      </w:r>
    </w:p>
    <w:p w14:paraId="37470A8F" w14:textId="32AFE348" w:rsidR="009A2D27" w:rsidRPr="009A2D27" w:rsidRDefault="009A2D27" w:rsidP="0091385D">
      <w:pPr>
        <w:rPr>
          <w:rFonts w:cs="Arial"/>
        </w:rPr>
      </w:pPr>
    </w:p>
    <w:p w14:paraId="29B96F27" w14:textId="77777777"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Пациенти с глюкозо -6-фосфат дехидрогеназна недостатъчност</w:t>
      </w:r>
    </w:p>
    <w:p w14:paraId="49E9EC35"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Пациенти с латентен или изявен дефект на глюкозо-6-фосфат дехидрогеназна активност могат да бъдат предразположени към хемолитични реакции, когато са лекувани с хинолонови антибактериални средства. Ето защо, ако левофлоксацин трябва да се използва при тези пациенти, те трябва да бъдат наблюдавани за потенциална поява на хемолиза.</w:t>
      </w:r>
    </w:p>
    <w:p w14:paraId="627C82E7" w14:textId="77777777" w:rsidR="00001DBB" w:rsidRDefault="00001DBB" w:rsidP="009A2D27">
      <w:pPr>
        <w:spacing w:line="240" w:lineRule="auto"/>
        <w:rPr>
          <w:rFonts w:eastAsia="Times New Roman" w:cs="Arial"/>
          <w:i/>
          <w:iCs/>
          <w:color w:val="000000"/>
          <w:u w:val="single"/>
          <w:lang w:eastAsia="bg-BG"/>
        </w:rPr>
      </w:pPr>
    </w:p>
    <w:p w14:paraId="2E177A35" w14:textId="56FA7C39"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Пациенти с бъбречно увреждане</w:t>
      </w:r>
    </w:p>
    <w:p w14:paraId="55B80BA2"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Тъй като левофлоксацин се екскретира главно чрез бъбреците, дозата на Левофлоксацин Акорд трябва да се коригира при пациенти с бъбречно увреждане (вижте точка 4.2).</w:t>
      </w:r>
    </w:p>
    <w:p w14:paraId="6CD2F84F" w14:textId="77777777" w:rsidR="009A2D27" w:rsidRPr="009A2D27" w:rsidRDefault="009A2D27" w:rsidP="009A2D27">
      <w:pPr>
        <w:spacing w:line="240" w:lineRule="auto"/>
        <w:rPr>
          <w:rFonts w:eastAsia="Times New Roman" w:cs="Arial"/>
          <w:i/>
          <w:iCs/>
          <w:color w:val="000000"/>
          <w:u w:val="single"/>
          <w:lang w:eastAsia="bg-BG"/>
        </w:rPr>
      </w:pPr>
    </w:p>
    <w:p w14:paraId="10A33187" w14:textId="2E14BE3D"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Реакции на свръхчувствителност</w:t>
      </w:r>
    </w:p>
    <w:p w14:paraId="7E6593E4" w14:textId="77777777" w:rsidR="009A2D27" w:rsidRPr="009A2D27" w:rsidRDefault="009A2D27" w:rsidP="009A2D27">
      <w:pPr>
        <w:spacing w:line="240" w:lineRule="auto"/>
        <w:rPr>
          <w:rFonts w:eastAsia="Times New Roman" w:cs="Arial"/>
          <w:color w:val="000000"/>
          <w:lang w:eastAsia="bg-BG"/>
        </w:rPr>
      </w:pPr>
      <w:r w:rsidRPr="009A2D27">
        <w:rPr>
          <w:rFonts w:eastAsia="Times New Roman" w:cs="Arial"/>
          <w:color w:val="000000"/>
          <w:lang w:eastAsia="bg-BG"/>
        </w:rPr>
        <w:t xml:space="preserve">Левофлоксацин може да причини сериозни, потенциално фатални реакции на свръхчувствителност (напр. ангиоедем до анафил античен шок), понякога последващи началната доза (вижте точка 4,8). Пациентите трябва незабавно да прекратят лечението и да се свържат със своя лекар или с лекар от спешна помощ, </w:t>
      </w:r>
    </w:p>
    <w:p w14:paraId="5FAFBC31" w14:textId="0FE9260E"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който да предприеме подходящи спешни мерки.</w:t>
      </w:r>
    </w:p>
    <w:p w14:paraId="61AC67BE" w14:textId="77777777" w:rsidR="009A2D27" w:rsidRPr="009A2D27" w:rsidRDefault="009A2D27" w:rsidP="009A2D27">
      <w:pPr>
        <w:spacing w:line="240" w:lineRule="auto"/>
        <w:rPr>
          <w:rFonts w:eastAsia="Times New Roman" w:cs="Arial"/>
          <w:i/>
          <w:iCs/>
          <w:color w:val="000000"/>
          <w:u w:val="single"/>
          <w:lang w:eastAsia="bg-BG"/>
        </w:rPr>
      </w:pPr>
    </w:p>
    <w:p w14:paraId="73D38DD2" w14:textId="19E7837F"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Тежки кожни нежелани реакции</w:t>
      </w:r>
    </w:p>
    <w:p w14:paraId="15F4B252"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 xml:space="preserve">Тежки кожни нежелани реакции </w:t>
      </w:r>
      <w:r w:rsidRPr="009A2D27">
        <w:rPr>
          <w:rFonts w:eastAsia="Times New Roman" w:cs="Arial"/>
          <w:color w:val="000000"/>
          <w:lang w:val="en-US"/>
        </w:rPr>
        <w:t xml:space="preserve">(SCARs), </w:t>
      </w:r>
      <w:r w:rsidRPr="009A2D27">
        <w:rPr>
          <w:rFonts w:eastAsia="Times New Roman" w:cs="Arial"/>
          <w:color w:val="000000"/>
          <w:lang w:eastAsia="bg-BG"/>
        </w:rPr>
        <w:t xml:space="preserve">включващи токсична епидермална некролиза </w:t>
      </w:r>
      <w:r w:rsidRPr="009A2D27">
        <w:rPr>
          <w:rFonts w:eastAsia="Times New Roman" w:cs="Arial"/>
          <w:color w:val="000000"/>
          <w:lang w:val="en-US"/>
        </w:rPr>
        <w:t xml:space="preserve">(TEN: </w:t>
      </w:r>
      <w:r w:rsidRPr="009A2D27">
        <w:rPr>
          <w:rFonts w:eastAsia="Times New Roman" w:cs="Arial"/>
          <w:color w:val="000000"/>
          <w:lang w:eastAsia="bg-BG"/>
        </w:rPr>
        <w:t xml:space="preserve">известна още като синдром на </w:t>
      </w:r>
      <w:r w:rsidRPr="009A2D27">
        <w:rPr>
          <w:rFonts w:eastAsia="Times New Roman" w:cs="Arial"/>
          <w:color w:val="000000"/>
          <w:lang w:val="en-US"/>
        </w:rPr>
        <w:t xml:space="preserve">Lyell), </w:t>
      </w:r>
      <w:r w:rsidRPr="009A2D27">
        <w:rPr>
          <w:rFonts w:eastAsia="Times New Roman" w:cs="Arial"/>
          <w:color w:val="000000"/>
          <w:lang w:eastAsia="bg-BG"/>
        </w:rPr>
        <w:t xml:space="preserve">синдром на </w:t>
      </w:r>
      <w:r w:rsidRPr="009A2D27">
        <w:rPr>
          <w:rFonts w:eastAsia="Times New Roman" w:cs="Arial"/>
          <w:color w:val="000000"/>
          <w:lang w:val="en-US"/>
        </w:rPr>
        <w:t xml:space="preserve">Stevens Johnson (SJS) </w:t>
      </w:r>
      <w:r w:rsidRPr="009A2D27">
        <w:rPr>
          <w:rFonts w:eastAsia="Times New Roman" w:cs="Arial"/>
          <w:color w:val="000000"/>
          <w:lang w:eastAsia="bg-BG"/>
        </w:rPr>
        <w:t xml:space="preserve">и лекарствена реакция с еозинофилия и системни симптоми </w:t>
      </w:r>
      <w:r w:rsidRPr="009A2D27">
        <w:rPr>
          <w:rFonts w:eastAsia="Times New Roman" w:cs="Arial"/>
          <w:color w:val="000000"/>
          <w:lang w:val="en-US"/>
        </w:rPr>
        <w:t xml:space="preserve">(DRESS), </w:t>
      </w:r>
      <w:r w:rsidRPr="009A2D27">
        <w:rPr>
          <w:rFonts w:eastAsia="Times New Roman" w:cs="Arial"/>
          <w:color w:val="000000"/>
          <w:lang w:eastAsia="bg-BG"/>
        </w:rPr>
        <w:t xml:space="preserve">които може да са животозастрашаващи или с летален изход, се съобщават във връзка с употребата на левофлоксацин (вж. точка 4.8). При предписването на лекарствения продукт, пациентите трябва да бъдат информирани за признаците и симптомите на тежки кожни реакции и да бъдат наблюдавани с повишено внимание. Ако се появят признаци и симптоми, показателни за тези реакции, приложението на левофлоксацин трябва незабавно да се преустанови и да се обмисли алтернативно лечение. Ако пациентът е развил сериозна реакция, като например </w:t>
      </w:r>
      <w:r w:rsidRPr="009A2D27">
        <w:rPr>
          <w:rFonts w:eastAsia="Times New Roman" w:cs="Arial"/>
          <w:color w:val="000000"/>
          <w:lang w:val="en-US"/>
        </w:rPr>
        <w:t xml:space="preserve">SJS, TEN </w:t>
      </w:r>
      <w:r w:rsidRPr="009A2D27">
        <w:rPr>
          <w:rFonts w:eastAsia="Times New Roman" w:cs="Arial"/>
          <w:color w:val="000000"/>
          <w:lang w:eastAsia="bg-BG"/>
        </w:rPr>
        <w:t xml:space="preserve">или </w:t>
      </w:r>
      <w:r w:rsidRPr="009A2D27">
        <w:rPr>
          <w:rFonts w:eastAsia="Times New Roman" w:cs="Arial"/>
          <w:color w:val="000000"/>
          <w:lang w:val="en-US"/>
        </w:rPr>
        <w:t xml:space="preserve">DRESS </w:t>
      </w:r>
      <w:r w:rsidRPr="009A2D27">
        <w:rPr>
          <w:rFonts w:eastAsia="Times New Roman" w:cs="Arial"/>
          <w:color w:val="000000"/>
          <w:lang w:eastAsia="bg-BG"/>
        </w:rPr>
        <w:t>при употребата на левофлоксацин, лечение с левофлоксацин не трябва да се започва отново при този пациент.</w:t>
      </w:r>
    </w:p>
    <w:p w14:paraId="415C605A" w14:textId="77777777" w:rsidR="009A2D27" w:rsidRPr="009A2D27" w:rsidRDefault="009A2D27" w:rsidP="009A2D27">
      <w:pPr>
        <w:spacing w:line="240" w:lineRule="auto"/>
        <w:rPr>
          <w:rFonts w:eastAsia="Times New Roman" w:cs="Arial"/>
          <w:i/>
          <w:iCs/>
          <w:color w:val="000000"/>
          <w:u w:val="single"/>
          <w:lang w:eastAsia="bg-BG"/>
        </w:rPr>
      </w:pPr>
    </w:p>
    <w:p w14:paraId="67699F2C" w14:textId="442E5AC0"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Дисгликемия</w:t>
      </w:r>
    </w:p>
    <w:p w14:paraId="5A0C3B57"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Както при всички хинолони, са съобщавани нарушения в кръвната глюкоза, включително хипогликемия и хипергликемия, обикновено при пациенти с диабет, които са подложени на съпътстващо лечение с перорапно хипогликемично средство (напр. глибенкламид) или с инсулин. Съобщават се случаи на хипогликемична кома. При пациенти с диабет, се препоръчва внимателното проследяване на кръвната глюкоза (вижте точка 4.2).</w:t>
      </w:r>
    </w:p>
    <w:p w14:paraId="294481A5" w14:textId="77777777" w:rsidR="009A2D27" w:rsidRPr="009A2D27" w:rsidRDefault="009A2D27" w:rsidP="009A2D27">
      <w:pPr>
        <w:spacing w:line="240" w:lineRule="auto"/>
        <w:rPr>
          <w:rFonts w:eastAsia="Times New Roman" w:cs="Arial"/>
          <w:i/>
          <w:iCs/>
          <w:color w:val="000000"/>
          <w:u w:val="single"/>
          <w:lang w:eastAsia="bg-BG"/>
        </w:rPr>
      </w:pPr>
    </w:p>
    <w:p w14:paraId="224D6913" w14:textId="03DF5174"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Превенция на фотосенсибилизация</w:t>
      </w:r>
    </w:p>
    <w:p w14:paraId="0EC4CA08"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 xml:space="preserve">При лечение с левофлоксацин се съобщава за фотосенсибилизация (вижте точка 4.8). На пациентите се препоръчва да не се излагат излишно на силна слънчева светлина или на изкуствени </w:t>
      </w:r>
      <w:r w:rsidRPr="009A2D27">
        <w:rPr>
          <w:rFonts w:eastAsia="Times New Roman" w:cs="Arial"/>
          <w:color w:val="000000"/>
          <w:lang w:val="en-US"/>
        </w:rPr>
        <w:t xml:space="preserve">UV </w:t>
      </w:r>
      <w:r w:rsidRPr="009A2D27">
        <w:rPr>
          <w:rFonts w:eastAsia="Times New Roman" w:cs="Arial"/>
          <w:color w:val="000000"/>
          <w:lang w:eastAsia="bg-BG"/>
        </w:rPr>
        <w:t>лъчи (напр. кварцова лампа, солариум) по време на лечението или в продължение на 48 часа след спиране на лечението, за да се предотврати фотосенсибилизация.</w:t>
      </w:r>
    </w:p>
    <w:p w14:paraId="66847DE9" w14:textId="77777777" w:rsidR="009A2D27" w:rsidRPr="009A2D27" w:rsidRDefault="009A2D27" w:rsidP="009A2D27">
      <w:pPr>
        <w:spacing w:line="240" w:lineRule="auto"/>
        <w:rPr>
          <w:rFonts w:eastAsia="Times New Roman" w:cs="Arial"/>
          <w:i/>
          <w:iCs/>
          <w:color w:val="000000"/>
          <w:u w:val="single"/>
          <w:lang w:eastAsia="bg-BG"/>
        </w:rPr>
      </w:pPr>
    </w:p>
    <w:p w14:paraId="2E875D5D" w14:textId="7374E510"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lastRenderedPageBreak/>
        <w:t>Пациенти, провеждащи лечение с антагонисти на витамин К</w:t>
      </w:r>
    </w:p>
    <w:p w14:paraId="1A158511"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 xml:space="preserve">Поради възможно повишаване на стойностите на коагулационните тестове </w:t>
      </w:r>
      <w:r w:rsidRPr="009A2D27">
        <w:rPr>
          <w:rFonts w:eastAsia="Times New Roman" w:cs="Arial"/>
          <w:color w:val="000000"/>
          <w:lang w:val="en-US"/>
        </w:rPr>
        <w:t xml:space="preserve">(PT/INR) </w:t>
      </w:r>
      <w:r w:rsidRPr="009A2D27">
        <w:rPr>
          <w:rFonts w:eastAsia="Times New Roman" w:cs="Arial"/>
          <w:color w:val="000000"/>
          <w:lang w:eastAsia="bg-BG"/>
        </w:rPr>
        <w:t>и/или кървене при пациенти, лекувани с левофлоксацин в комбинация с антагонисти на витамин К (напр. варфарин), коагулационните тестове трябва да бъдат проследявани, когато тези лекарствени продукти се прилагат едновременно (вижте точка 4.5).</w:t>
      </w:r>
    </w:p>
    <w:p w14:paraId="0E371D8A" w14:textId="77777777" w:rsidR="009A2D27" w:rsidRPr="009A2D27" w:rsidRDefault="009A2D27" w:rsidP="009A2D27">
      <w:pPr>
        <w:spacing w:line="240" w:lineRule="auto"/>
        <w:rPr>
          <w:rFonts w:eastAsia="Times New Roman" w:cs="Arial"/>
          <w:i/>
          <w:iCs/>
          <w:color w:val="000000"/>
          <w:u w:val="single"/>
          <w:lang w:eastAsia="bg-BG"/>
        </w:rPr>
      </w:pPr>
    </w:p>
    <w:p w14:paraId="469E8D34" w14:textId="38116406"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Психотични реакции</w:t>
      </w:r>
    </w:p>
    <w:p w14:paraId="20AF08A4" w14:textId="4B9BEE4A" w:rsidR="009A2D27" w:rsidRPr="009A2D27" w:rsidRDefault="009A2D27" w:rsidP="009A2D27">
      <w:pPr>
        <w:rPr>
          <w:rFonts w:cs="Arial"/>
        </w:rPr>
      </w:pPr>
      <w:r w:rsidRPr="009A2D27">
        <w:rPr>
          <w:rFonts w:eastAsia="Times New Roman" w:cs="Arial"/>
          <w:color w:val="000000"/>
          <w:lang w:eastAsia="bg-BG"/>
        </w:rPr>
        <w:t>Съобщава се за психотични реакции при пациенти, приемащи хинолони, включително левофлоксацин. В много редки случаи тези реакции прогресират до мисли за самоубийство и самонараняващо поведение - понякога само след еднократна доза левофлоксацин (вижте точка 4.8).</w:t>
      </w:r>
      <w:r w:rsidRPr="009A2D27">
        <w:rPr>
          <w:rFonts w:eastAsia="Times New Roman" w:cs="Arial"/>
          <w:color w:val="000000"/>
          <w:lang w:val="en-US"/>
        </w:rPr>
        <w:t xml:space="preserve"> </w:t>
      </w:r>
      <w:r w:rsidRPr="009A2D27">
        <w:rPr>
          <w:rFonts w:eastAsia="Times New Roman" w:cs="Arial"/>
          <w:color w:val="000000"/>
          <w:lang w:eastAsia="bg-BG"/>
        </w:rPr>
        <w:t>В случай че пациентът развие тези реакции, левофлоксацин трябва да се прекрати и да се приложат подходящи мерки. Препоръчва се повишено внимание, ако левофлоксацин ще се прила при психотични пациенти или при пациенти с анамнеза за психично заболяване.</w:t>
      </w:r>
    </w:p>
    <w:p w14:paraId="5C1CAAE0" w14:textId="748CD9D8" w:rsidR="009A2D27" w:rsidRPr="009A2D27" w:rsidRDefault="009A2D27" w:rsidP="0091385D">
      <w:pPr>
        <w:rPr>
          <w:rFonts w:cs="Arial"/>
        </w:rPr>
      </w:pPr>
    </w:p>
    <w:p w14:paraId="67E81C8E" w14:textId="77777777" w:rsidR="009A2D27" w:rsidRPr="009A2D27" w:rsidRDefault="009A2D27" w:rsidP="009A2D27">
      <w:pPr>
        <w:spacing w:line="240" w:lineRule="auto"/>
        <w:rPr>
          <w:rFonts w:eastAsia="Times New Roman" w:cs="Arial"/>
          <w:lang w:eastAsia="bg-BG"/>
        </w:rPr>
      </w:pPr>
      <w:r w:rsidRPr="009A2D27">
        <w:rPr>
          <w:rFonts w:eastAsia="Times New Roman" w:cs="Arial"/>
          <w:b/>
          <w:bCs/>
          <w:i/>
          <w:iCs/>
          <w:color w:val="000000"/>
          <w:lang w:eastAsia="bg-BG"/>
        </w:rPr>
        <w:t xml:space="preserve">Удължаване на </w:t>
      </w:r>
      <w:r w:rsidRPr="009A2D27">
        <w:rPr>
          <w:rFonts w:eastAsia="Times New Roman" w:cs="Arial"/>
          <w:b/>
          <w:bCs/>
          <w:i/>
          <w:iCs/>
          <w:color w:val="000000"/>
          <w:lang w:val="en-US"/>
        </w:rPr>
        <w:t>QT</w:t>
      </w:r>
      <w:r w:rsidRPr="009A2D27">
        <w:rPr>
          <w:rFonts w:eastAsia="Times New Roman" w:cs="Arial"/>
          <w:b/>
          <w:bCs/>
          <w:i/>
          <w:iCs/>
          <w:color w:val="000000"/>
          <w:lang w:eastAsia="bg-BG"/>
        </w:rPr>
        <w:t>-интервала</w:t>
      </w:r>
    </w:p>
    <w:p w14:paraId="4E9C52AB"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 xml:space="preserve">Необходимо е повишено внимание, когато флуорохинолони, включително левофлоксацин, се прилагат при пациенти с известни рискови фактори за удължаване на </w:t>
      </w:r>
      <w:r w:rsidRPr="009A2D27">
        <w:rPr>
          <w:rFonts w:eastAsia="Times New Roman" w:cs="Arial"/>
          <w:color w:val="000000"/>
          <w:lang w:val="en-US"/>
        </w:rPr>
        <w:t xml:space="preserve">QT </w:t>
      </w:r>
      <w:r w:rsidRPr="009A2D27">
        <w:rPr>
          <w:rFonts w:eastAsia="Times New Roman" w:cs="Arial"/>
          <w:color w:val="000000"/>
          <w:lang w:eastAsia="bg-BG"/>
        </w:rPr>
        <w:t>интервала като например:</w:t>
      </w:r>
    </w:p>
    <w:p w14:paraId="1817C21D" w14:textId="77777777" w:rsidR="009A2D27" w:rsidRPr="009A2D27" w:rsidRDefault="009A2D27" w:rsidP="009A2D27">
      <w:pPr>
        <w:pStyle w:val="ListParagraph"/>
        <w:numPr>
          <w:ilvl w:val="0"/>
          <w:numId w:val="41"/>
        </w:numPr>
        <w:spacing w:line="240" w:lineRule="auto"/>
        <w:rPr>
          <w:rFonts w:eastAsia="Times New Roman" w:cs="Arial"/>
          <w:lang w:eastAsia="bg-BG"/>
        </w:rPr>
      </w:pPr>
      <w:r w:rsidRPr="009A2D27">
        <w:rPr>
          <w:rFonts w:eastAsia="Times New Roman" w:cs="Arial"/>
          <w:color w:val="000000"/>
          <w:lang w:eastAsia="bg-BG"/>
        </w:rPr>
        <w:t xml:space="preserve">синдром на вродено удължаване на </w:t>
      </w:r>
      <w:r w:rsidRPr="009A2D27">
        <w:rPr>
          <w:rFonts w:eastAsia="Times New Roman" w:cs="Arial"/>
          <w:color w:val="000000"/>
          <w:lang w:val="en-US"/>
        </w:rPr>
        <w:t>QT</w:t>
      </w:r>
      <w:r w:rsidRPr="009A2D27">
        <w:rPr>
          <w:rFonts w:eastAsia="Times New Roman" w:cs="Arial"/>
          <w:color w:val="000000"/>
          <w:lang w:eastAsia="bg-BG"/>
        </w:rPr>
        <w:t>-интервала;</w:t>
      </w:r>
    </w:p>
    <w:p w14:paraId="2E9C1318" w14:textId="77777777" w:rsidR="009A2D27" w:rsidRPr="009A2D27" w:rsidRDefault="009A2D27" w:rsidP="009A2D27">
      <w:pPr>
        <w:pStyle w:val="ListParagraph"/>
        <w:numPr>
          <w:ilvl w:val="0"/>
          <w:numId w:val="41"/>
        </w:numPr>
        <w:spacing w:line="240" w:lineRule="auto"/>
        <w:rPr>
          <w:rFonts w:eastAsia="Times New Roman" w:cs="Arial"/>
          <w:lang w:eastAsia="bg-BG"/>
        </w:rPr>
      </w:pPr>
      <w:r w:rsidRPr="009A2D27">
        <w:rPr>
          <w:rFonts w:eastAsia="Times New Roman" w:cs="Arial"/>
          <w:color w:val="000000"/>
          <w:lang w:eastAsia="bg-BG"/>
        </w:rPr>
        <w:t xml:space="preserve">едновременна употреба на лекарствени продукти, за които е известно, че удължават </w:t>
      </w:r>
      <w:r w:rsidRPr="009A2D27">
        <w:rPr>
          <w:rFonts w:eastAsia="Times New Roman" w:cs="Arial"/>
          <w:color w:val="000000"/>
          <w:lang w:val="en-US"/>
        </w:rPr>
        <w:t xml:space="preserve">QT </w:t>
      </w:r>
      <w:r w:rsidRPr="009A2D27">
        <w:rPr>
          <w:rFonts w:eastAsia="Times New Roman" w:cs="Arial"/>
          <w:color w:val="000000"/>
          <w:lang w:eastAsia="bg-BG"/>
        </w:rPr>
        <w:t xml:space="preserve">интервала (напр. клас </w:t>
      </w:r>
      <w:r w:rsidRPr="009A2D27">
        <w:rPr>
          <w:rFonts w:eastAsia="Times New Roman" w:cs="Arial"/>
          <w:color w:val="000000"/>
          <w:lang w:val="en-US"/>
        </w:rPr>
        <w:t xml:space="preserve">IA </w:t>
      </w:r>
      <w:r w:rsidRPr="009A2D27">
        <w:rPr>
          <w:rFonts w:eastAsia="Times New Roman" w:cs="Arial"/>
          <w:color w:val="000000"/>
          <w:lang w:eastAsia="bg-BG"/>
        </w:rPr>
        <w:t>и III антиаритмици, трициклични антидепресанти, макролиди, антипсихотици);</w:t>
      </w:r>
    </w:p>
    <w:p w14:paraId="3B52A541" w14:textId="77777777" w:rsidR="009A2D27" w:rsidRPr="009A2D27" w:rsidRDefault="009A2D27" w:rsidP="009A2D27">
      <w:pPr>
        <w:pStyle w:val="ListParagraph"/>
        <w:numPr>
          <w:ilvl w:val="0"/>
          <w:numId w:val="41"/>
        </w:numPr>
        <w:spacing w:line="240" w:lineRule="auto"/>
        <w:rPr>
          <w:rFonts w:eastAsia="Times New Roman" w:cs="Arial"/>
          <w:lang w:eastAsia="bg-BG"/>
        </w:rPr>
      </w:pPr>
      <w:r w:rsidRPr="009A2D27">
        <w:rPr>
          <w:rFonts w:eastAsia="Times New Roman" w:cs="Arial"/>
          <w:color w:val="000000"/>
          <w:lang w:eastAsia="bg-BG"/>
        </w:rPr>
        <w:t>некоригиран електролитен дисбаланс (напр. хипокалиемия, хипомагнезиемия);</w:t>
      </w:r>
    </w:p>
    <w:p w14:paraId="1D314385" w14:textId="1705246A" w:rsidR="009A2D27" w:rsidRPr="009A2D27" w:rsidRDefault="009A2D27" w:rsidP="009A2D27">
      <w:pPr>
        <w:pStyle w:val="ListParagraph"/>
        <w:numPr>
          <w:ilvl w:val="0"/>
          <w:numId w:val="41"/>
        </w:numPr>
        <w:spacing w:line="240" w:lineRule="auto"/>
        <w:rPr>
          <w:rFonts w:eastAsia="Times New Roman" w:cs="Arial"/>
          <w:lang w:eastAsia="bg-BG"/>
        </w:rPr>
      </w:pPr>
      <w:r w:rsidRPr="009A2D27">
        <w:rPr>
          <w:rFonts w:eastAsia="Times New Roman" w:cs="Arial"/>
          <w:color w:val="000000"/>
          <w:lang w:eastAsia="bg-BG"/>
        </w:rPr>
        <w:t>сърдечно заболяване (напр. сърдечна недостатъчност, инфаркт на миокарда, брадикардия).</w:t>
      </w:r>
    </w:p>
    <w:p w14:paraId="60CC1ABA" w14:textId="77777777" w:rsidR="009A2D27" w:rsidRPr="009A2D27" w:rsidRDefault="009A2D27" w:rsidP="009A2D27">
      <w:pPr>
        <w:spacing w:line="240" w:lineRule="auto"/>
        <w:rPr>
          <w:rFonts w:eastAsia="Times New Roman" w:cs="Arial"/>
          <w:color w:val="000000"/>
          <w:lang w:eastAsia="bg-BG"/>
        </w:rPr>
      </w:pPr>
    </w:p>
    <w:p w14:paraId="05F808C1" w14:textId="636CD249" w:rsidR="009A2D27" w:rsidRPr="009A2D27" w:rsidRDefault="009A2D27" w:rsidP="009A2D27">
      <w:pPr>
        <w:pStyle w:val="ListParagraph"/>
        <w:spacing w:line="240" w:lineRule="auto"/>
        <w:rPr>
          <w:rFonts w:eastAsia="Times New Roman" w:cs="Arial"/>
          <w:lang w:eastAsia="bg-BG"/>
        </w:rPr>
      </w:pPr>
      <w:r w:rsidRPr="009A2D27">
        <w:rPr>
          <w:rFonts w:eastAsia="Times New Roman" w:cs="Arial"/>
          <w:color w:val="000000"/>
          <w:lang w:eastAsia="bg-BG"/>
        </w:rPr>
        <w:t xml:space="preserve">Пациентите в старческа възраст и жените могат да бъдат по-чувствителни към удължаващите </w:t>
      </w:r>
      <w:r w:rsidRPr="009A2D27">
        <w:rPr>
          <w:rFonts w:eastAsia="Times New Roman" w:cs="Arial"/>
          <w:color w:val="000000"/>
          <w:lang w:val="en-US"/>
        </w:rPr>
        <w:t xml:space="preserve">QT </w:t>
      </w:r>
      <w:r w:rsidRPr="009A2D27">
        <w:rPr>
          <w:rFonts w:eastAsia="Times New Roman" w:cs="Arial"/>
          <w:color w:val="000000"/>
          <w:lang w:eastAsia="bg-BG"/>
        </w:rPr>
        <w:t xml:space="preserve">интервала лекарства. Следователно, при тези популации е необходимо повишено внимание при използване на флуорохинолони, включително левофлоксацин (вижте точка 4.2 </w:t>
      </w:r>
      <w:r w:rsidRPr="009A2D27">
        <w:rPr>
          <w:rFonts w:eastAsia="Times New Roman" w:cs="Arial"/>
          <w:i/>
          <w:iCs/>
          <w:color w:val="000000"/>
          <w:lang w:eastAsia="bg-BG"/>
        </w:rPr>
        <w:t>Популация в старческа възраст,</w:t>
      </w:r>
      <w:r w:rsidRPr="009A2D27">
        <w:rPr>
          <w:rFonts w:eastAsia="Times New Roman" w:cs="Arial"/>
          <w:color w:val="000000"/>
          <w:lang w:eastAsia="bg-BG"/>
        </w:rPr>
        <w:t xml:space="preserve"> точка 4.5, точка 4.8, точка 4.9). Периферна невропатия</w:t>
      </w:r>
    </w:p>
    <w:p w14:paraId="154DC435" w14:textId="77777777" w:rsidR="009A2D27" w:rsidRPr="009A2D27" w:rsidRDefault="009A2D27" w:rsidP="009A2D27">
      <w:pPr>
        <w:spacing w:line="240" w:lineRule="auto"/>
        <w:rPr>
          <w:rFonts w:eastAsia="Times New Roman" w:cs="Arial"/>
          <w:color w:val="000000"/>
          <w:lang w:eastAsia="bg-BG"/>
        </w:rPr>
      </w:pPr>
    </w:p>
    <w:p w14:paraId="177499E0" w14:textId="55F43979"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Съобщава се за случаи на сензорна или сензомоторна полиневропатия, водещи до парестезии, хипоестезия, дизестезия или слабост при пациенти, приемащи хинолони и флуорохинолони. Пациентите, които приемат левофлоксацин, трябва да бъдат посъветвани да информират своя лекар, преди да продължат лечението, ако се появят симптоми на невропатия, като болка, усещане за парене, мравучкане, изтръпване или слабост, за да се предотврати развитието на потенциално необратимо заболяване, (вж. точка 4.8).</w:t>
      </w:r>
    </w:p>
    <w:p w14:paraId="3CA9B792" w14:textId="77777777" w:rsidR="009A2D27" w:rsidRPr="009A2D27" w:rsidRDefault="009A2D27" w:rsidP="009A2D27">
      <w:pPr>
        <w:spacing w:line="240" w:lineRule="auto"/>
        <w:rPr>
          <w:rFonts w:eastAsia="Times New Roman" w:cs="Arial"/>
          <w:i/>
          <w:iCs/>
          <w:color w:val="000000"/>
          <w:u w:val="single"/>
          <w:lang w:eastAsia="bg-BG"/>
        </w:rPr>
      </w:pPr>
    </w:p>
    <w:p w14:paraId="6F3FDDF8" w14:textId="299E6587"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Хепатобилиарни нарушения</w:t>
      </w:r>
    </w:p>
    <w:p w14:paraId="00336AC2"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При лечение с левофлоксацин са съобщавани случаи на чернодробна некроза до фатална чернодробна недостатъчност, главно при пациенти с тежки подлежащи заболявания, напр. сепсис (вижте точка 4.8). Пациентите трябва да бъдат посъветвани да прекратят лечението и да се свържат със своя лекар, ако се развият признаци и симптоми на чернодробно заболяване, като анорексия, жълтеница, тъмна урина, сърбеж или болезнен корем.</w:t>
      </w:r>
    </w:p>
    <w:p w14:paraId="292272E4" w14:textId="77777777" w:rsidR="009A2D27" w:rsidRPr="009A2D27" w:rsidRDefault="009A2D27" w:rsidP="009A2D27">
      <w:pPr>
        <w:spacing w:line="240" w:lineRule="auto"/>
        <w:rPr>
          <w:rFonts w:eastAsia="Times New Roman" w:cs="Arial"/>
          <w:i/>
          <w:iCs/>
          <w:color w:val="000000"/>
          <w:u w:val="single"/>
          <w:lang w:eastAsia="bg-BG"/>
        </w:rPr>
      </w:pPr>
    </w:p>
    <w:p w14:paraId="4F934B19" w14:textId="6EED855F"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Екзаиербаиия на миастения. гравис</w:t>
      </w:r>
    </w:p>
    <w:p w14:paraId="4D9AD536" w14:textId="77777777" w:rsidR="009A2D27" w:rsidRPr="009A2D27" w:rsidRDefault="009A2D27" w:rsidP="009A2D27">
      <w:pPr>
        <w:spacing w:line="240" w:lineRule="auto"/>
        <w:rPr>
          <w:rFonts w:eastAsia="Times New Roman" w:cs="Arial"/>
          <w:color w:val="000000"/>
          <w:lang w:eastAsia="bg-BG"/>
        </w:rPr>
      </w:pPr>
      <w:r w:rsidRPr="009A2D27">
        <w:rPr>
          <w:rFonts w:eastAsia="Times New Roman" w:cs="Arial"/>
          <w:color w:val="000000"/>
          <w:lang w:eastAsia="bg-BG"/>
        </w:rPr>
        <w:lastRenderedPageBreak/>
        <w:t xml:space="preserve">Флуорохинолоните, включително левофлоксацин, имат нервно-мускулно блокиращо действие и могат да изострят мускулната слабост при пациенти с миастения гравис. Постмаркетингови сериозни нежелани реакции, включително смъртни случаи и необходимост от поддържане на дишането, са свързани с приложението на флуорохинолони при пациенти с миастения гравис. Левофлоксацин не се препоръчва при </w:t>
      </w:r>
    </w:p>
    <w:p w14:paraId="60B4E7E1" w14:textId="03CF952F"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пациенти с анамнеза на миастения гравис.</w:t>
      </w:r>
    </w:p>
    <w:p w14:paraId="34B716AC" w14:textId="77777777" w:rsidR="009A2D27" w:rsidRPr="009A2D27" w:rsidRDefault="009A2D27" w:rsidP="009A2D27">
      <w:pPr>
        <w:spacing w:line="240" w:lineRule="auto"/>
        <w:rPr>
          <w:rFonts w:eastAsia="Times New Roman" w:cs="Arial"/>
          <w:i/>
          <w:iCs/>
          <w:color w:val="000000"/>
          <w:u w:val="single"/>
          <w:lang w:eastAsia="bg-BG"/>
        </w:rPr>
      </w:pPr>
    </w:p>
    <w:p w14:paraId="17309D40" w14:textId="47F247BE"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Нарушения на зрението</w:t>
      </w:r>
    </w:p>
    <w:p w14:paraId="3F0D530D"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Ако настъпи нарушение на зрението или се появят каквито и да е ефекти върху очите, трябва незабавно да се направи консултация с очен специалист (вижте точки 4.7 и 4.8).</w:t>
      </w:r>
    </w:p>
    <w:p w14:paraId="3ECE1A31" w14:textId="77777777" w:rsidR="009A2D27" w:rsidRPr="009A2D27" w:rsidRDefault="009A2D27" w:rsidP="009A2D27">
      <w:pPr>
        <w:spacing w:line="240" w:lineRule="auto"/>
        <w:rPr>
          <w:rFonts w:eastAsia="Times New Roman" w:cs="Arial"/>
          <w:i/>
          <w:iCs/>
          <w:color w:val="000000"/>
          <w:u w:val="single"/>
          <w:lang w:eastAsia="bg-BG"/>
        </w:rPr>
      </w:pPr>
    </w:p>
    <w:p w14:paraId="7D37F967" w14:textId="3FD739B8"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Суперинфекиия</w:t>
      </w:r>
    </w:p>
    <w:p w14:paraId="6767E2E5"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Приложението на левофлоксацин, особено ако е продължително, може да доведе до свръхрастеж на нечувствителни микроорганизми. Ако по време на лечението възникне суперинфекция, трябва да се предприемат подходящи мерки.</w:t>
      </w:r>
    </w:p>
    <w:p w14:paraId="5EAD77BB" w14:textId="77777777" w:rsidR="009A2D27" w:rsidRPr="009A2D27" w:rsidRDefault="009A2D27" w:rsidP="009A2D27">
      <w:pPr>
        <w:spacing w:line="240" w:lineRule="auto"/>
        <w:rPr>
          <w:rFonts w:eastAsia="Times New Roman" w:cs="Arial"/>
          <w:i/>
          <w:iCs/>
          <w:color w:val="000000"/>
          <w:u w:val="single"/>
          <w:lang w:eastAsia="bg-BG"/>
        </w:rPr>
      </w:pPr>
    </w:p>
    <w:p w14:paraId="17785C69" w14:textId="45EE367F"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Влияние върху лабораторни изследвания</w:t>
      </w:r>
    </w:p>
    <w:p w14:paraId="7F7DED3A"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При пациенти, лекувани с левофлоксацин, определянето на опиати в урината може да даде фалшиво положителни резултати. Може да е необходимо положителните резултати за опиати да се потвърдят с по-специфичен метод.</w:t>
      </w:r>
    </w:p>
    <w:p w14:paraId="7F228F54" w14:textId="77777777" w:rsidR="009A2D27" w:rsidRPr="009A2D27" w:rsidRDefault="009A2D27" w:rsidP="009A2D27">
      <w:pPr>
        <w:spacing w:line="240" w:lineRule="auto"/>
        <w:rPr>
          <w:rFonts w:eastAsia="Times New Roman" w:cs="Arial"/>
          <w:color w:val="000000"/>
          <w:lang w:eastAsia="bg-BG"/>
        </w:rPr>
      </w:pPr>
    </w:p>
    <w:p w14:paraId="1C53425D" w14:textId="6C9A8664"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 xml:space="preserve">Левофлоксацин може да инхибира растежа на </w:t>
      </w:r>
      <w:r w:rsidRPr="009A2D27">
        <w:rPr>
          <w:rFonts w:eastAsia="Times New Roman" w:cs="Arial"/>
          <w:i/>
          <w:iCs/>
          <w:color w:val="000000"/>
          <w:lang w:val="en-US"/>
        </w:rPr>
        <w:t>Mycobacterium tuberculosis</w:t>
      </w:r>
      <w:r w:rsidRPr="009A2D27">
        <w:rPr>
          <w:rFonts w:eastAsia="Times New Roman" w:cs="Arial"/>
          <w:color w:val="000000"/>
          <w:lang w:val="en-US"/>
        </w:rPr>
        <w:t xml:space="preserve"> </w:t>
      </w:r>
      <w:r w:rsidRPr="009A2D27">
        <w:rPr>
          <w:rFonts w:eastAsia="Times New Roman" w:cs="Arial"/>
          <w:color w:val="000000"/>
          <w:lang w:eastAsia="bg-BG"/>
        </w:rPr>
        <w:t>и следователно, може да даде фалшиво отрицателни резултати при бактериологичната диагноза на туберкулоза.</w:t>
      </w:r>
    </w:p>
    <w:p w14:paraId="5B28C3D9" w14:textId="77777777" w:rsidR="009A2D27" w:rsidRPr="009A2D27" w:rsidRDefault="009A2D27" w:rsidP="009A2D27">
      <w:pPr>
        <w:spacing w:line="240" w:lineRule="auto"/>
        <w:rPr>
          <w:rFonts w:eastAsia="Times New Roman" w:cs="Arial"/>
          <w:lang w:eastAsia="bg-BG"/>
        </w:rPr>
      </w:pPr>
    </w:p>
    <w:p w14:paraId="0C0E9419" w14:textId="41259DEF"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Продължителни, инвалидизиращи и потенциално необратими сериозни нежелани лекарствени</w:t>
      </w:r>
      <w:r w:rsidRPr="009A2D27">
        <w:rPr>
          <w:rFonts w:eastAsia="Times New Roman" w:cs="Arial"/>
          <w:i/>
          <w:iCs/>
          <w:color w:val="000000"/>
          <w:lang w:eastAsia="bg-BG"/>
        </w:rPr>
        <w:t xml:space="preserve"> реакции</w:t>
      </w:r>
    </w:p>
    <w:p w14:paraId="5A8E2A14" w14:textId="7FF00800" w:rsidR="009A2D27" w:rsidRPr="009A2D27" w:rsidRDefault="009A2D27" w:rsidP="009A2D27">
      <w:pPr>
        <w:rPr>
          <w:rFonts w:cs="Arial"/>
        </w:rPr>
      </w:pPr>
      <w:r w:rsidRPr="009A2D27">
        <w:rPr>
          <w:rFonts w:eastAsia="Times New Roman" w:cs="Arial"/>
          <w:color w:val="000000"/>
          <w:lang w:eastAsia="bg-BG"/>
        </w:rPr>
        <w:t xml:space="preserve">Съобщава се за много редки случаи на продължителни (продължаващи месеци или години), инвалидизиращи и потенциално необратими сериозни нежелани лекарствени реакции, засягащи различни, понякога много системи в организма (мускулно-скелетна, нервна система, психика и </w:t>
      </w:r>
      <w:r w:rsidRPr="009A2D27">
        <w:rPr>
          <w:rFonts w:cs="Arial"/>
        </w:rPr>
        <w:t>сетивни органи) при пациенти, получаващи хинолони и флуорохинолони, независимо от тяхната възраст и вече съществуващите рискови фактори. Левофлоксацин трябва да се спре незабавно при първите признаци или симптоми на всяка сериозна нежелана реакция като пациентите трябва да се посъветват да се свържат с техния лекар, предписал лекарството, за съвет.</w:t>
      </w:r>
    </w:p>
    <w:p w14:paraId="31C308CA" w14:textId="77777777" w:rsidR="009A2D27" w:rsidRPr="0091385D" w:rsidRDefault="009A2D27"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74474705" w14:textId="77777777" w:rsidR="009A2D27" w:rsidRPr="009A2D27" w:rsidRDefault="009A2D27" w:rsidP="009A2D27">
      <w:pPr>
        <w:spacing w:line="240" w:lineRule="auto"/>
        <w:rPr>
          <w:rFonts w:eastAsia="Times New Roman" w:cs="Arial"/>
          <w:lang w:eastAsia="bg-BG"/>
        </w:rPr>
      </w:pPr>
      <w:r w:rsidRPr="009A2D27">
        <w:rPr>
          <w:rFonts w:eastAsia="Times New Roman" w:cs="Arial"/>
          <w:b/>
          <w:bCs/>
          <w:i/>
          <w:iCs/>
          <w:color w:val="000000"/>
          <w:u w:val="single"/>
          <w:lang w:eastAsia="bg-BG"/>
        </w:rPr>
        <w:t>Ефекти на други лекарствени продукти върху левофлоксацин</w:t>
      </w:r>
    </w:p>
    <w:p w14:paraId="4793B2E7" w14:textId="77777777" w:rsidR="009A2D27" w:rsidRPr="009A2D27" w:rsidRDefault="009A2D27" w:rsidP="009A2D27">
      <w:pPr>
        <w:spacing w:line="240" w:lineRule="auto"/>
        <w:rPr>
          <w:rFonts w:eastAsia="Times New Roman" w:cs="Arial"/>
          <w:i/>
          <w:iCs/>
          <w:color w:val="000000"/>
          <w:u w:val="single"/>
          <w:lang w:eastAsia="bg-BG"/>
        </w:rPr>
      </w:pPr>
    </w:p>
    <w:p w14:paraId="6D7C7789" w14:textId="5616E673"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Железни соли, иинкови соли, антиаииди, съдържащи магнезий или алуминий, диданозин</w:t>
      </w:r>
    </w:p>
    <w:p w14:paraId="5B02B230"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 xml:space="preserve">Абсорбцията на левофлоксацин се понижава значително, когато железни соли или антиаииди, съдържащи магнезий или алуминий, или диданозин </w:t>
      </w:r>
      <w:r w:rsidRPr="009A2D27">
        <w:rPr>
          <w:rFonts w:eastAsia="Times New Roman" w:cs="Arial"/>
          <w:i/>
          <w:iCs/>
          <w:color w:val="000000"/>
          <w:lang w:eastAsia="bg-BG"/>
        </w:rPr>
        <w:t>(само форми на диданозин с буферни агенти, съдържащи алуминий или магнезий)</w:t>
      </w:r>
      <w:r w:rsidRPr="009A2D27">
        <w:rPr>
          <w:rFonts w:eastAsia="Times New Roman" w:cs="Arial"/>
          <w:color w:val="000000"/>
          <w:lang w:eastAsia="bg-BG"/>
        </w:rPr>
        <w:t xml:space="preserve"> се прилагат едновременно с Левофлоксацин Акорд. Изглежда че едновременното приложение на флуорохинолони с мултивитамини, съдържащи цинк, намалява тяхната перорална абсорбция. Препоръчва се препаратите, съдържащи двувалентни или тривалентни катиони като железни соли, цинкови соли или антиаииди, съдържащи магнезий или </w:t>
      </w:r>
      <w:r w:rsidRPr="009A2D27">
        <w:rPr>
          <w:rFonts w:eastAsia="Times New Roman" w:cs="Arial"/>
          <w:color w:val="000000"/>
          <w:lang w:eastAsia="bg-BG"/>
        </w:rPr>
        <w:lastRenderedPageBreak/>
        <w:t xml:space="preserve">алуминий, или диданозин </w:t>
      </w:r>
      <w:r w:rsidRPr="009A2D27">
        <w:rPr>
          <w:rFonts w:eastAsia="Times New Roman" w:cs="Arial"/>
          <w:i/>
          <w:iCs/>
          <w:color w:val="000000"/>
          <w:lang w:eastAsia="bg-BG"/>
        </w:rPr>
        <w:t>(само форми на диданозин с буферни агенти, съдържащи алуминий или магнезий),</w:t>
      </w:r>
      <w:r w:rsidRPr="009A2D27">
        <w:rPr>
          <w:rFonts w:eastAsia="Times New Roman" w:cs="Arial"/>
          <w:color w:val="000000"/>
          <w:lang w:eastAsia="bg-BG"/>
        </w:rPr>
        <w:t xml:space="preserve"> да не се приемат 2 часа преди или след прилагане на Левофлоксацин Акорд (вижте точка 4.2). Калциевите соли имат минимален ефект върху пероралната абсорбция на левофлоксацин.</w:t>
      </w:r>
    </w:p>
    <w:p w14:paraId="54E4517C" w14:textId="77777777" w:rsidR="009A2D27" w:rsidRPr="009A2D27" w:rsidRDefault="009A2D27" w:rsidP="009A2D27">
      <w:pPr>
        <w:spacing w:line="240" w:lineRule="auto"/>
        <w:rPr>
          <w:rFonts w:eastAsia="Times New Roman" w:cs="Arial"/>
          <w:i/>
          <w:iCs/>
          <w:color w:val="000000"/>
          <w:u w:val="single"/>
          <w:lang w:eastAsia="bg-BG"/>
        </w:rPr>
      </w:pPr>
    </w:p>
    <w:p w14:paraId="117AB92D" w14:textId="5B793B49"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Сукралфат</w:t>
      </w:r>
    </w:p>
    <w:p w14:paraId="2C1EAFBE"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Бионаличността на Левофлоксацин Акорд се понижава значително, когато се прилага заедно със сукралфат. Ако пациентът трябва да приеме и сукралфат и Левофлоксацин Акорд, най-добре е сукралфат да се приложи 2 часа след приложението на Левофлоксацин Акорд (вижте точка 4.2).</w:t>
      </w:r>
    </w:p>
    <w:p w14:paraId="06A74E73" w14:textId="77777777" w:rsidR="009A2D27" w:rsidRPr="009A2D27" w:rsidRDefault="009A2D27" w:rsidP="009A2D27">
      <w:pPr>
        <w:spacing w:line="240" w:lineRule="auto"/>
        <w:rPr>
          <w:rFonts w:eastAsia="Times New Roman" w:cs="Arial"/>
          <w:color w:val="000000"/>
          <w:u w:val="single"/>
          <w:lang w:eastAsia="bg-BG"/>
        </w:rPr>
      </w:pPr>
    </w:p>
    <w:p w14:paraId="3048CEF0" w14:textId="42C7D0F0" w:rsidR="009A2D27" w:rsidRPr="009A2D27" w:rsidRDefault="009A2D27" w:rsidP="009A2D27">
      <w:pPr>
        <w:spacing w:line="240" w:lineRule="auto"/>
        <w:rPr>
          <w:rFonts w:eastAsia="Times New Roman" w:cs="Arial"/>
          <w:lang w:eastAsia="bg-BG"/>
        </w:rPr>
      </w:pPr>
      <w:r w:rsidRPr="009A2D27">
        <w:rPr>
          <w:rFonts w:eastAsia="Times New Roman" w:cs="Arial"/>
          <w:color w:val="000000"/>
          <w:u w:val="single"/>
          <w:lang w:eastAsia="bg-BG"/>
        </w:rPr>
        <w:t xml:space="preserve">Теофилин, </w:t>
      </w:r>
      <w:r w:rsidRPr="009A2D27">
        <w:rPr>
          <w:rFonts w:eastAsia="Times New Roman" w:cs="Arial"/>
          <w:i/>
          <w:iCs/>
          <w:color w:val="000000"/>
          <w:u w:val="single"/>
          <w:lang w:eastAsia="bg-BG"/>
        </w:rPr>
        <w:t>фенбуфен или сходни нестероидни противовъзпалителни лекарствени продукти</w:t>
      </w:r>
    </w:p>
    <w:p w14:paraId="74378887"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В клинично проучване не са установени фармакокинетични взаимодействия на левофлоксацин с теофилин, Въпреки това може да настъпи изразено понижаване на церебралния гърчов праг, при едновременно приложение на хинолони с теофилин, нестероидни противовъзпалителни лекарствени продукти или други средства, които понижават гьрчовия праг. Концентрацията на левофлоксацин е с около 13 % по-висока в присъствието на фенбуфен, отколкото при самостоятелно приложение.</w:t>
      </w:r>
    </w:p>
    <w:p w14:paraId="1D723E2C" w14:textId="77777777" w:rsidR="009A2D27" w:rsidRPr="009A2D27" w:rsidRDefault="009A2D27" w:rsidP="009A2D27">
      <w:pPr>
        <w:spacing w:line="240" w:lineRule="auto"/>
        <w:rPr>
          <w:rFonts w:eastAsia="Times New Roman" w:cs="Arial"/>
          <w:i/>
          <w:iCs/>
          <w:color w:val="000000"/>
          <w:u w:val="single"/>
          <w:lang w:eastAsia="bg-BG"/>
        </w:rPr>
      </w:pPr>
    </w:p>
    <w:p w14:paraId="117D9DDB" w14:textId="3F2F879C"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Пробенецид и циметидин</w:t>
      </w:r>
    </w:p>
    <w:p w14:paraId="1B1D82F3"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Пробенецид и циметидин имат статистически значим ефект върху елиминирането на левофлоксацин. Бъбречният клирънс на левофлоксацин се намалява от циметидин (24 %) и пробенецид (34 %). Това се случва, защото и двата лекарствени продукта са способни да блокират бъбречната тубулна секреция на левофлоксацин. Въпреки това, при изпитваните в проучването дози, е малко вероятно статистически значимите кинетични разлики да имат клинична значимост.</w:t>
      </w:r>
    </w:p>
    <w:p w14:paraId="56355415"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Необходимо е повишено внимание, когато левофлоксацин се прилага едновременно с лекарствени продукти, които повлияват тубулната бъбречна секреция, като пробенецид и циметидин, особено при пациенти с бъбречно увреждане.</w:t>
      </w:r>
    </w:p>
    <w:p w14:paraId="2125B8CE" w14:textId="77777777" w:rsidR="009A2D27" w:rsidRPr="009A2D27" w:rsidRDefault="009A2D27" w:rsidP="009A2D27">
      <w:pPr>
        <w:spacing w:line="240" w:lineRule="auto"/>
        <w:rPr>
          <w:rFonts w:eastAsia="Times New Roman" w:cs="Arial"/>
          <w:i/>
          <w:iCs/>
          <w:color w:val="000000"/>
          <w:u w:val="single"/>
          <w:lang w:eastAsia="bg-BG"/>
        </w:rPr>
      </w:pPr>
    </w:p>
    <w:p w14:paraId="56E77F1F" w14:textId="34685230"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Друга значима информация</w:t>
      </w:r>
    </w:p>
    <w:p w14:paraId="0A04ABC5"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Клинични фармакологични проучвания показват, че фармакокинетиката на левофлоксацин не се повлиява в клинично значима степен, когато левофлоксацин се прилага заедно със следните лекарствени продукти:</w:t>
      </w:r>
    </w:p>
    <w:p w14:paraId="701DA938" w14:textId="77777777" w:rsidR="009A2D27" w:rsidRPr="009A2D27" w:rsidRDefault="009A2D27" w:rsidP="009A2D27">
      <w:pPr>
        <w:pStyle w:val="ListParagraph"/>
        <w:numPr>
          <w:ilvl w:val="0"/>
          <w:numId w:val="42"/>
        </w:numPr>
        <w:spacing w:line="240" w:lineRule="auto"/>
        <w:rPr>
          <w:rFonts w:eastAsia="Times New Roman" w:cs="Arial"/>
          <w:lang w:eastAsia="bg-BG"/>
        </w:rPr>
      </w:pPr>
      <w:r w:rsidRPr="009A2D27">
        <w:rPr>
          <w:rFonts w:eastAsia="Times New Roman" w:cs="Arial"/>
          <w:color w:val="000000"/>
          <w:lang w:eastAsia="bg-BG"/>
        </w:rPr>
        <w:t>калциев карбонат;</w:t>
      </w:r>
    </w:p>
    <w:p w14:paraId="48384FD0" w14:textId="77777777" w:rsidR="009A2D27" w:rsidRPr="009A2D27" w:rsidRDefault="009A2D27" w:rsidP="009A2D27">
      <w:pPr>
        <w:pStyle w:val="ListParagraph"/>
        <w:numPr>
          <w:ilvl w:val="0"/>
          <w:numId w:val="42"/>
        </w:numPr>
        <w:spacing w:line="240" w:lineRule="auto"/>
        <w:rPr>
          <w:rFonts w:eastAsia="Times New Roman" w:cs="Arial"/>
          <w:lang w:eastAsia="bg-BG"/>
        </w:rPr>
      </w:pPr>
      <w:r w:rsidRPr="009A2D27">
        <w:rPr>
          <w:rFonts w:eastAsia="Times New Roman" w:cs="Arial"/>
          <w:color w:val="000000"/>
          <w:lang w:eastAsia="bg-BG"/>
        </w:rPr>
        <w:t>дигоксин;</w:t>
      </w:r>
    </w:p>
    <w:p w14:paraId="63122CC4" w14:textId="77777777" w:rsidR="009A2D27" w:rsidRPr="009A2D27" w:rsidRDefault="009A2D27" w:rsidP="009A2D27">
      <w:pPr>
        <w:pStyle w:val="ListParagraph"/>
        <w:numPr>
          <w:ilvl w:val="0"/>
          <w:numId w:val="42"/>
        </w:numPr>
        <w:spacing w:line="240" w:lineRule="auto"/>
        <w:rPr>
          <w:rFonts w:eastAsia="Times New Roman" w:cs="Arial"/>
          <w:lang w:eastAsia="bg-BG"/>
        </w:rPr>
      </w:pPr>
      <w:r w:rsidRPr="009A2D27">
        <w:rPr>
          <w:rFonts w:eastAsia="Times New Roman" w:cs="Arial"/>
          <w:color w:val="000000"/>
          <w:lang w:eastAsia="bg-BG"/>
        </w:rPr>
        <w:t>глибенкламид;</w:t>
      </w:r>
    </w:p>
    <w:p w14:paraId="42A76244" w14:textId="66082F79" w:rsidR="009A2D27" w:rsidRPr="009A2D27" w:rsidRDefault="009A2D27" w:rsidP="009A2D27">
      <w:pPr>
        <w:pStyle w:val="ListParagraph"/>
        <w:numPr>
          <w:ilvl w:val="0"/>
          <w:numId w:val="42"/>
        </w:numPr>
        <w:spacing w:line="240" w:lineRule="auto"/>
        <w:rPr>
          <w:rFonts w:eastAsia="Times New Roman" w:cs="Arial"/>
          <w:lang w:eastAsia="bg-BG"/>
        </w:rPr>
      </w:pPr>
      <w:r w:rsidRPr="009A2D27">
        <w:rPr>
          <w:rFonts w:eastAsia="Times New Roman" w:cs="Arial"/>
          <w:color w:val="000000"/>
          <w:lang w:eastAsia="bg-BG"/>
        </w:rPr>
        <w:t>ранитидин.</w:t>
      </w:r>
    </w:p>
    <w:p w14:paraId="2341F532" w14:textId="77777777" w:rsidR="009A2D27" w:rsidRPr="009A2D27" w:rsidRDefault="009A2D27" w:rsidP="009A2D27">
      <w:pPr>
        <w:spacing w:line="240" w:lineRule="auto"/>
        <w:rPr>
          <w:rFonts w:eastAsia="Times New Roman" w:cs="Arial"/>
          <w:b/>
          <w:bCs/>
          <w:i/>
          <w:iCs/>
          <w:color w:val="000000"/>
          <w:u w:val="single"/>
          <w:lang w:eastAsia="bg-BG"/>
        </w:rPr>
      </w:pPr>
    </w:p>
    <w:p w14:paraId="658B711D" w14:textId="385EADE5" w:rsidR="009A2D27" w:rsidRPr="009A2D27" w:rsidRDefault="009A2D27" w:rsidP="009A2D27">
      <w:pPr>
        <w:spacing w:line="240" w:lineRule="auto"/>
        <w:rPr>
          <w:rFonts w:eastAsia="Times New Roman" w:cs="Arial"/>
          <w:lang w:eastAsia="bg-BG"/>
        </w:rPr>
      </w:pPr>
      <w:r w:rsidRPr="009A2D27">
        <w:rPr>
          <w:rFonts w:eastAsia="Times New Roman" w:cs="Arial"/>
          <w:b/>
          <w:bCs/>
          <w:i/>
          <w:iCs/>
          <w:color w:val="000000"/>
          <w:u w:val="single"/>
          <w:lang w:eastAsia="bg-BG"/>
        </w:rPr>
        <w:t>Ефект на левофлоксацин върху други лекарствени продукти</w:t>
      </w:r>
      <w:bookmarkStart w:id="1" w:name="bookmark0"/>
      <w:bookmarkEnd w:id="1"/>
    </w:p>
    <w:p w14:paraId="64194450" w14:textId="77777777" w:rsidR="009A2D27" w:rsidRPr="009A2D27" w:rsidRDefault="009A2D27" w:rsidP="009A2D27">
      <w:pPr>
        <w:spacing w:line="240" w:lineRule="auto"/>
        <w:rPr>
          <w:rFonts w:eastAsia="Times New Roman" w:cs="Arial"/>
          <w:i/>
          <w:iCs/>
          <w:color w:val="000000"/>
          <w:u w:val="single"/>
          <w:lang w:eastAsia="bg-BG"/>
        </w:rPr>
      </w:pPr>
    </w:p>
    <w:p w14:paraId="317F515C" w14:textId="0E837481"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Циклоспорин</w:t>
      </w:r>
    </w:p>
    <w:p w14:paraId="5B2761C5" w14:textId="7C60F881" w:rsidR="0091385D" w:rsidRPr="009A2D27" w:rsidRDefault="009A2D27" w:rsidP="009A2D27">
      <w:pPr>
        <w:rPr>
          <w:rFonts w:cs="Arial"/>
        </w:rPr>
      </w:pPr>
      <w:r w:rsidRPr="009A2D27">
        <w:rPr>
          <w:rFonts w:eastAsia="Times New Roman" w:cs="Arial"/>
          <w:color w:val="000000"/>
          <w:lang w:eastAsia="bg-BG"/>
        </w:rPr>
        <w:t>Полуживотът на циклоспорин се повишава с 33 %, когато е приложен едновременно с левофлоксацин.</w:t>
      </w:r>
    </w:p>
    <w:p w14:paraId="0395BD2E" w14:textId="4B4C460D" w:rsidR="007A2185" w:rsidRPr="009A2D27" w:rsidRDefault="007A2185" w:rsidP="0091385D">
      <w:pPr>
        <w:rPr>
          <w:rFonts w:cs="Arial"/>
        </w:rPr>
      </w:pPr>
    </w:p>
    <w:p w14:paraId="2F9987B2" w14:textId="77777777"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Антагонисти на витамин К</w:t>
      </w:r>
    </w:p>
    <w:p w14:paraId="2FF77F99"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 xml:space="preserve">Повишенистойности на коагулационните тестове </w:t>
      </w:r>
      <w:r w:rsidRPr="009A2D27">
        <w:rPr>
          <w:rFonts w:eastAsia="Times New Roman" w:cs="Arial"/>
          <w:color w:val="000000"/>
          <w:lang w:val="en-US"/>
        </w:rPr>
        <w:t xml:space="preserve">(PT/INR) </w:t>
      </w:r>
      <w:r w:rsidRPr="009A2D27">
        <w:rPr>
          <w:rFonts w:eastAsia="Times New Roman" w:cs="Arial"/>
          <w:color w:val="000000"/>
          <w:lang w:eastAsia="bg-BG"/>
        </w:rPr>
        <w:t xml:space="preserve">и/или кървене, което може да бъде тежко изразено, се съобщават при пациенти, лекувани с левофлоксацин в комбинация с антагонисти на витамин К (напр. варфарин). Поради това, коагулационните </w:t>
      </w:r>
      <w:r w:rsidRPr="009A2D27">
        <w:rPr>
          <w:rFonts w:eastAsia="Times New Roman" w:cs="Arial"/>
          <w:color w:val="000000"/>
          <w:lang w:eastAsia="bg-BG"/>
        </w:rPr>
        <w:lastRenderedPageBreak/>
        <w:t>тестове трябва да бъдат проследявани при пациенти, лекувани с антагонисти на витамин К (вижте точка 4.4).</w:t>
      </w:r>
    </w:p>
    <w:p w14:paraId="387EF2EA" w14:textId="77777777" w:rsidR="009A2D27" w:rsidRPr="009A2D27" w:rsidRDefault="009A2D27" w:rsidP="009A2D27">
      <w:pPr>
        <w:spacing w:line="240" w:lineRule="auto"/>
        <w:rPr>
          <w:rFonts w:eastAsia="Times New Roman" w:cs="Arial"/>
          <w:i/>
          <w:iCs/>
          <w:color w:val="000000"/>
          <w:u w:val="single"/>
          <w:lang w:eastAsia="bg-BG"/>
        </w:rPr>
      </w:pPr>
    </w:p>
    <w:p w14:paraId="44E6D272" w14:textId="71A094F2"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Лекарства, за които е известно, че удължават ОТ интервала</w:t>
      </w:r>
    </w:p>
    <w:p w14:paraId="66242C4A"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 xml:space="preserve">Левофлоксацин, както другите флуорохинолони, трябва да бъде използван с повишено внимание при пациенти, приемащи лекарствени продукти, за които е известно, че удължават </w:t>
      </w:r>
      <w:r w:rsidRPr="009A2D27">
        <w:rPr>
          <w:rFonts w:eastAsia="Times New Roman" w:cs="Arial"/>
          <w:color w:val="000000"/>
          <w:lang w:val="en-US"/>
        </w:rPr>
        <w:t xml:space="preserve">QT </w:t>
      </w:r>
      <w:r w:rsidRPr="009A2D27">
        <w:rPr>
          <w:rFonts w:eastAsia="Times New Roman" w:cs="Arial"/>
          <w:color w:val="000000"/>
          <w:lang w:eastAsia="bg-BG"/>
        </w:rPr>
        <w:t xml:space="preserve">интервала (напр. клас </w:t>
      </w:r>
      <w:r w:rsidRPr="009A2D27">
        <w:rPr>
          <w:rFonts w:eastAsia="Times New Roman" w:cs="Arial"/>
          <w:color w:val="000000"/>
          <w:lang w:val="en-US"/>
        </w:rPr>
        <w:t xml:space="preserve">IA </w:t>
      </w:r>
      <w:r w:rsidRPr="009A2D27">
        <w:rPr>
          <w:rFonts w:eastAsia="Times New Roman" w:cs="Arial"/>
          <w:color w:val="000000"/>
          <w:lang w:eastAsia="bg-BG"/>
        </w:rPr>
        <w:t xml:space="preserve">и III антиаритмици, трициклични антидепресанти, макролиди, антипсихотици) (вижте точка 4.4 Удължаване на </w:t>
      </w:r>
      <w:r w:rsidRPr="009A2D27">
        <w:rPr>
          <w:rFonts w:eastAsia="Times New Roman" w:cs="Arial"/>
          <w:color w:val="000000"/>
          <w:lang w:val="en-US"/>
        </w:rPr>
        <w:t xml:space="preserve">QT </w:t>
      </w:r>
      <w:r w:rsidRPr="009A2D27">
        <w:rPr>
          <w:rFonts w:eastAsia="Times New Roman" w:cs="Arial"/>
          <w:color w:val="000000"/>
          <w:lang w:eastAsia="bg-BG"/>
        </w:rPr>
        <w:t>интервала).</w:t>
      </w:r>
    </w:p>
    <w:p w14:paraId="371B035F" w14:textId="77777777" w:rsidR="009A2D27" w:rsidRPr="009A2D27" w:rsidRDefault="009A2D27" w:rsidP="009A2D27">
      <w:pPr>
        <w:spacing w:line="240" w:lineRule="auto"/>
        <w:rPr>
          <w:rFonts w:eastAsia="Times New Roman" w:cs="Arial"/>
          <w:i/>
          <w:iCs/>
          <w:color w:val="000000"/>
          <w:u w:val="single"/>
          <w:lang w:eastAsia="bg-BG"/>
        </w:rPr>
      </w:pPr>
    </w:p>
    <w:p w14:paraId="14C3FAA9" w14:textId="7939BD2B"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Друга значима информация</w:t>
      </w:r>
    </w:p>
    <w:p w14:paraId="3D73EED3" w14:textId="77777777" w:rsidR="009A2D27" w:rsidRPr="009A2D27" w:rsidRDefault="009A2D27" w:rsidP="009A2D27">
      <w:pPr>
        <w:spacing w:line="240" w:lineRule="auto"/>
        <w:rPr>
          <w:rFonts w:eastAsia="Times New Roman" w:cs="Arial"/>
          <w:lang w:eastAsia="bg-BG"/>
        </w:rPr>
      </w:pPr>
      <w:r w:rsidRPr="009A2D27">
        <w:rPr>
          <w:rFonts w:eastAsia="Times New Roman" w:cs="Arial"/>
          <w:color w:val="000000"/>
          <w:lang w:eastAsia="bg-BG"/>
        </w:rPr>
        <w:t xml:space="preserve">В проучване за фармакокинетични взаимодействия, левофлоксацин не повлиява фармакокинетиката на теофилин (който е тестов субстрат за </w:t>
      </w:r>
      <w:r w:rsidRPr="009A2D27">
        <w:rPr>
          <w:rFonts w:eastAsia="Times New Roman" w:cs="Arial"/>
          <w:color w:val="000000"/>
          <w:lang w:val="en-US"/>
        </w:rPr>
        <w:t>CYP1</w:t>
      </w:r>
      <w:r w:rsidRPr="009A2D27">
        <w:rPr>
          <w:rFonts w:eastAsia="Times New Roman" w:cs="Arial"/>
          <w:color w:val="000000"/>
          <w:lang w:eastAsia="bg-BG"/>
        </w:rPr>
        <w:t xml:space="preserve">А2), което показва, че левофлоксацин не е инхибитор на </w:t>
      </w:r>
      <w:r w:rsidRPr="009A2D27">
        <w:rPr>
          <w:rFonts w:eastAsia="Times New Roman" w:cs="Arial"/>
          <w:color w:val="000000"/>
          <w:lang w:val="en-US"/>
        </w:rPr>
        <w:t>CYP1A2.</w:t>
      </w:r>
    </w:p>
    <w:p w14:paraId="6B45AB81" w14:textId="77777777" w:rsidR="009A2D27" w:rsidRPr="009A2D27" w:rsidRDefault="009A2D27" w:rsidP="009A2D27">
      <w:pPr>
        <w:spacing w:line="240" w:lineRule="auto"/>
        <w:rPr>
          <w:rFonts w:eastAsia="Times New Roman" w:cs="Arial"/>
          <w:i/>
          <w:iCs/>
          <w:color w:val="000000"/>
          <w:u w:val="single"/>
          <w:lang w:eastAsia="bg-BG"/>
        </w:rPr>
      </w:pPr>
    </w:p>
    <w:p w14:paraId="239DEECB" w14:textId="225D2AF5"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Други форми на взаимодействия</w:t>
      </w:r>
    </w:p>
    <w:p w14:paraId="7D1167F1" w14:textId="77777777" w:rsidR="009A2D27" w:rsidRPr="009A2D27" w:rsidRDefault="009A2D27" w:rsidP="009A2D27">
      <w:pPr>
        <w:spacing w:line="240" w:lineRule="auto"/>
        <w:rPr>
          <w:rFonts w:eastAsia="Times New Roman" w:cs="Arial"/>
          <w:i/>
          <w:iCs/>
          <w:color w:val="000000"/>
          <w:u w:val="single"/>
          <w:lang w:eastAsia="bg-BG"/>
        </w:rPr>
      </w:pPr>
    </w:p>
    <w:p w14:paraId="7CDEA8ED" w14:textId="6AD15E09" w:rsidR="009A2D27" w:rsidRPr="009A2D27" w:rsidRDefault="009A2D27" w:rsidP="009A2D27">
      <w:pPr>
        <w:spacing w:line="240" w:lineRule="auto"/>
        <w:rPr>
          <w:rFonts w:eastAsia="Times New Roman" w:cs="Arial"/>
          <w:lang w:eastAsia="bg-BG"/>
        </w:rPr>
      </w:pPr>
      <w:r w:rsidRPr="009A2D27">
        <w:rPr>
          <w:rFonts w:eastAsia="Times New Roman" w:cs="Arial"/>
          <w:i/>
          <w:iCs/>
          <w:color w:val="000000"/>
          <w:u w:val="single"/>
          <w:lang w:eastAsia="bg-BG"/>
        </w:rPr>
        <w:t>Храна</w:t>
      </w:r>
    </w:p>
    <w:p w14:paraId="48283B50" w14:textId="05037B5F" w:rsidR="009A2D27" w:rsidRPr="009A2D27" w:rsidRDefault="009A2D27" w:rsidP="009A2D27">
      <w:pPr>
        <w:rPr>
          <w:rFonts w:cs="Arial"/>
        </w:rPr>
      </w:pPr>
      <w:r w:rsidRPr="009A2D27">
        <w:rPr>
          <w:rFonts w:eastAsia="Times New Roman" w:cs="Arial"/>
          <w:color w:val="000000"/>
          <w:lang w:eastAsia="bg-BG"/>
        </w:rPr>
        <w:t>Няма клинично значимо взаимодействие с храната. Следователно Левофлоксацин Акорд може да се прилага независимо от приема на храна.</w:t>
      </w:r>
    </w:p>
    <w:p w14:paraId="00D6FAD9" w14:textId="77777777" w:rsidR="009A2D27" w:rsidRPr="0091385D" w:rsidRDefault="009A2D27"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7A133A82" w14:textId="77777777" w:rsidR="00001DBB" w:rsidRPr="00D279DC" w:rsidRDefault="00001DBB" w:rsidP="00D279DC">
      <w:pPr>
        <w:pStyle w:val="Heading3"/>
        <w:rPr>
          <w:rFonts w:eastAsia="Times New Roman"/>
          <w:i/>
          <w:sz w:val="28"/>
          <w:u w:val="single"/>
          <w:lang w:eastAsia="bg-BG"/>
        </w:rPr>
      </w:pPr>
      <w:r w:rsidRPr="00D279DC">
        <w:rPr>
          <w:rFonts w:eastAsia="Times New Roman"/>
          <w:i/>
          <w:u w:val="single"/>
          <w:lang w:eastAsia="bg-BG"/>
        </w:rPr>
        <w:t>Бременност</w:t>
      </w:r>
    </w:p>
    <w:p w14:paraId="4EB888EF" w14:textId="77777777" w:rsidR="00001DBB" w:rsidRPr="00D279DC" w:rsidRDefault="00001DBB" w:rsidP="00001DBB">
      <w:pPr>
        <w:spacing w:line="240" w:lineRule="auto"/>
        <w:rPr>
          <w:rFonts w:eastAsia="Times New Roman" w:cs="Arial"/>
          <w:sz w:val="28"/>
          <w:szCs w:val="24"/>
          <w:lang w:eastAsia="bg-BG"/>
        </w:rPr>
      </w:pPr>
      <w:r w:rsidRPr="00D279DC">
        <w:rPr>
          <w:rFonts w:eastAsia="Times New Roman" w:cs="Arial"/>
          <w:color w:val="000000"/>
          <w:szCs w:val="20"/>
          <w:lang w:eastAsia="bg-BG"/>
        </w:rPr>
        <w:t>Има ограничени данни по отношение на употребата на левофлоксацин при бременни жени. Проучванията при животни не показват директни или индирактни увреждащи ефекти, свързани с репродуктивна токсичност (вижте точка 5.3). Въпреки това, поради липсата на данни при хора и поради това, че експерименталните данни предполагат риск от увреждания на носещите тежестта хрущяли на растящия организъм от флуорохинолоните, левофлоксацин не трябва да се прилага при бременни жени (вижте точки 4.3 и 5.3).</w:t>
      </w:r>
    </w:p>
    <w:p w14:paraId="607171A0" w14:textId="77777777" w:rsidR="00001DBB" w:rsidRPr="00D279DC" w:rsidRDefault="00001DBB" w:rsidP="00001DBB">
      <w:pPr>
        <w:spacing w:line="240" w:lineRule="auto"/>
        <w:rPr>
          <w:rFonts w:eastAsia="Times New Roman" w:cs="Arial"/>
          <w:i/>
          <w:iCs/>
          <w:color w:val="000000"/>
          <w:szCs w:val="20"/>
          <w:u w:val="single"/>
          <w:lang w:eastAsia="bg-BG"/>
        </w:rPr>
      </w:pPr>
    </w:p>
    <w:p w14:paraId="186A0E78" w14:textId="6380D4D2" w:rsidR="00001DBB" w:rsidRPr="00D279DC" w:rsidRDefault="00001DBB" w:rsidP="00D279DC">
      <w:pPr>
        <w:pStyle w:val="Heading3"/>
        <w:rPr>
          <w:rFonts w:eastAsia="Times New Roman"/>
          <w:i/>
          <w:sz w:val="28"/>
          <w:u w:val="single"/>
          <w:lang w:eastAsia="bg-BG"/>
        </w:rPr>
      </w:pPr>
      <w:r w:rsidRPr="00D279DC">
        <w:rPr>
          <w:rFonts w:eastAsia="Times New Roman"/>
          <w:i/>
          <w:u w:val="single"/>
          <w:lang w:eastAsia="bg-BG"/>
        </w:rPr>
        <w:t>Кърмене</w:t>
      </w:r>
    </w:p>
    <w:p w14:paraId="37B9DCAC" w14:textId="77777777" w:rsidR="00001DBB" w:rsidRPr="00D279DC" w:rsidRDefault="00001DBB" w:rsidP="00001DBB">
      <w:pPr>
        <w:spacing w:line="240" w:lineRule="auto"/>
        <w:rPr>
          <w:rFonts w:eastAsia="Times New Roman" w:cs="Arial"/>
          <w:sz w:val="28"/>
          <w:szCs w:val="24"/>
          <w:lang w:eastAsia="bg-BG"/>
        </w:rPr>
      </w:pPr>
      <w:r w:rsidRPr="00D279DC">
        <w:rPr>
          <w:rFonts w:eastAsia="Times New Roman" w:cs="Arial"/>
          <w:color w:val="000000"/>
          <w:szCs w:val="20"/>
          <w:lang w:eastAsia="bg-BG"/>
        </w:rPr>
        <w:t>Левофлоксацин Акорд е противопоказан при кърмещи жени. Има недостатъчна информация за екскрецията на левофлоксацин в кърмата; въпреки че други флуорохинолони се екскретират в кърмата. Поради липсата на данни при хора и поради това, че експерименталните данни предполагат риск от увреждания на носещите тежестта хрущяли на растящия организъм от флуорохинолоните, левофлоксацин не трябва да се използва при кърмачки (вижте точки 4.3 и 5.3).</w:t>
      </w:r>
    </w:p>
    <w:p w14:paraId="39F857A8" w14:textId="77777777" w:rsidR="00001DBB" w:rsidRPr="00D279DC" w:rsidRDefault="00001DBB" w:rsidP="00001DBB">
      <w:pPr>
        <w:spacing w:line="240" w:lineRule="auto"/>
        <w:rPr>
          <w:rFonts w:eastAsia="Times New Roman" w:cs="Arial"/>
          <w:i/>
          <w:iCs/>
          <w:color w:val="000000"/>
          <w:szCs w:val="20"/>
          <w:u w:val="single"/>
          <w:lang w:eastAsia="bg-BG"/>
        </w:rPr>
      </w:pPr>
    </w:p>
    <w:p w14:paraId="70538C78" w14:textId="7B20F232" w:rsidR="00001DBB" w:rsidRPr="00D279DC" w:rsidRDefault="00001DBB" w:rsidP="00D279DC">
      <w:pPr>
        <w:pStyle w:val="Heading3"/>
        <w:rPr>
          <w:rFonts w:eastAsia="Times New Roman"/>
          <w:i/>
          <w:sz w:val="28"/>
          <w:u w:val="single"/>
          <w:lang w:eastAsia="bg-BG"/>
        </w:rPr>
      </w:pPr>
      <w:r w:rsidRPr="00D279DC">
        <w:rPr>
          <w:rFonts w:eastAsia="Times New Roman"/>
          <w:i/>
          <w:u w:val="single"/>
          <w:lang w:eastAsia="bg-BG"/>
        </w:rPr>
        <w:t>Фертилитет</w:t>
      </w:r>
    </w:p>
    <w:p w14:paraId="102F0D07" w14:textId="5040DD91" w:rsidR="007A2185" w:rsidRPr="00D279DC" w:rsidRDefault="00001DBB" w:rsidP="00001DBB">
      <w:pPr>
        <w:rPr>
          <w:rFonts w:cs="Arial"/>
          <w:sz w:val="24"/>
        </w:rPr>
      </w:pPr>
      <w:r w:rsidRPr="00D279DC">
        <w:rPr>
          <w:rFonts w:eastAsia="Times New Roman" w:cs="Arial"/>
          <w:color w:val="000000"/>
          <w:szCs w:val="20"/>
          <w:lang w:eastAsia="bg-BG"/>
        </w:rPr>
        <w:t>Левофлоксацин не предизвиква увреждане на фертилитета или репродуктивните способности при плъхове.</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3C6505E4" w:rsidR="007A2185" w:rsidRPr="00D279DC" w:rsidRDefault="00001DBB" w:rsidP="0091385D">
      <w:pPr>
        <w:rPr>
          <w:rFonts w:cs="Arial"/>
          <w:sz w:val="24"/>
        </w:rPr>
      </w:pPr>
      <w:r w:rsidRPr="00D279DC">
        <w:rPr>
          <w:rFonts w:cs="Arial"/>
          <w:szCs w:val="20"/>
        </w:rPr>
        <w:t xml:space="preserve">Някои нежелани лекарствени реакции (напр. замаяност/световъртеж, сънливост, нарушения на зрението) могат да нарушат способността на пациента да се концентрира и </w:t>
      </w:r>
      <w:r w:rsidRPr="00D279DC">
        <w:rPr>
          <w:rFonts w:cs="Arial"/>
          <w:szCs w:val="20"/>
        </w:rPr>
        <w:lastRenderedPageBreak/>
        <w:t>реагира и следователно могат да създадат риск в ситуации, при които тези способности са от особено значение (напр. при шофиране или работа с машини).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0254AACC" w14:textId="12D65645" w:rsidR="007A2185" w:rsidRPr="00D279DC" w:rsidRDefault="00001DBB" w:rsidP="0091385D">
      <w:pPr>
        <w:rPr>
          <w:rFonts w:cs="Arial"/>
          <w:szCs w:val="20"/>
        </w:rPr>
      </w:pPr>
      <w:r w:rsidRPr="00D279DC">
        <w:rPr>
          <w:rFonts w:cs="Arial"/>
          <w:szCs w:val="20"/>
        </w:rPr>
        <w:t>Посочената по-долу информация се основава на данни от клинични проучвания при повече от 8300</w:t>
      </w:r>
      <w:r w:rsidRPr="00D279DC">
        <w:rPr>
          <w:rFonts w:cs="Arial"/>
          <w:smallCaps/>
          <w:szCs w:val="20"/>
        </w:rPr>
        <w:t xml:space="preserve"> </w:t>
      </w:r>
      <w:r w:rsidRPr="00D279DC">
        <w:rPr>
          <w:rFonts w:cs="Arial"/>
          <w:szCs w:val="20"/>
        </w:rPr>
        <w:t>пациенти, както и на продължителен постмаркетингов опит.</w:t>
      </w:r>
    </w:p>
    <w:p w14:paraId="43B8514F" w14:textId="11141F0A" w:rsidR="00001DBB" w:rsidRPr="00D279DC" w:rsidRDefault="00001DBB" w:rsidP="0091385D">
      <w:pPr>
        <w:rPr>
          <w:rFonts w:cs="Arial"/>
          <w:szCs w:val="20"/>
        </w:rPr>
      </w:pPr>
    </w:p>
    <w:p w14:paraId="6D4CE6AD" w14:textId="77777777" w:rsidR="00001DBB" w:rsidRPr="00D279DC" w:rsidRDefault="00001DBB" w:rsidP="00001DBB">
      <w:pPr>
        <w:spacing w:line="240" w:lineRule="auto"/>
        <w:rPr>
          <w:rFonts w:eastAsia="Times New Roman" w:cs="Arial"/>
          <w:sz w:val="28"/>
          <w:szCs w:val="24"/>
          <w:lang w:eastAsia="bg-BG"/>
        </w:rPr>
      </w:pPr>
      <w:r w:rsidRPr="00D279DC">
        <w:rPr>
          <w:rFonts w:eastAsia="Times New Roman" w:cs="Arial"/>
          <w:color w:val="000000"/>
          <w:szCs w:val="20"/>
          <w:lang w:eastAsia="bg-BG"/>
        </w:rPr>
        <w:t>Честотите са дефинирани при използване на следната конвенция: много чести (≥1/10), чести (≥1/100 до &lt;1/10), нечести (≥1/1000 до &lt;1/100), редки (≥1/10 000 до &lt;1/1 000), много редки (&lt;1/10 000), с неизвестна честота (от наличните данни не може да бъде направена оценка).</w:t>
      </w:r>
    </w:p>
    <w:p w14:paraId="216404C2" w14:textId="77777777" w:rsidR="00001DBB" w:rsidRPr="00D279DC" w:rsidRDefault="00001DBB" w:rsidP="00001DBB">
      <w:pPr>
        <w:rPr>
          <w:rFonts w:eastAsia="Times New Roman" w:cs="Arial"/>
          <w:color w:val="000000"/>
          <w:szCs w:val="20"/>
          <w:lang w:eastAsia="bg-BG"/>
        </w:rPr>
      </w:pPr>
    </w:p>
    <w:p w14:paraId="4BF78638" w14:textId="1517450B" w:rsidR="00001DBB" w:rsidRPr="00D279DC" w:rsidRDefault="00001DBB" w:rsidP="00001DBB">
      <w:pPr>
        <w:rPr>
          <w:rFonts w:eastAsia="Times New Roman" w:cs="Arial"/>
          <w:color w:val="000000"/>
          <w:szCs w:val="20"/>
          <w:lang w:eastAsia="bg-BG"/>
        </w:rPr>
      </w:pPr>
      <w:r w:rsidRPr="00D279DC">
        <w:rPr>
          <w:rFonts w:eastAsia="Times New Roman" w:cs="Arial"/>
          <w:color w:val="000000"/>
          <w:szCs w:val="20"/>
          <w:lang w:eastAsia="bg-BG"/>
        </w:rPr>
        <w:t>В рамките на всяко групиране по честота, нежеланите лекарствени реакции са представени в низходящ ред по отношение на тяхната тежест.</w:t>
      </w:r>
    </w:p>
    <w:p w14:paraId="38C0842C" w14:textId="4C9B6945" w:rsidR="00001DBB" w:rsidRDefault="00001DBB" w:rsidP="00001DBB">
      <w:pPr>
        <w:rPr>
          <w:rFonts w:ascii="Times New Roman" w:eastAsia="Times New Roman" w:hAnsi="Times New Roman" w:cs="Times New Roman"/>
          <w:color w:val="000000"/>
          <w:sz w:val="20"/>
          <w:szCs w:val="20"/>
          <w:lang w:eastAsia="bg-BG"/>
        </w:rPr>
      </w:pPr>
    </w:p>
    <w:tbl>
      <w:tblPr>
        <w:tblStyle w:val="TableGrid"/>
        <w:tblW w:w="0" w:type="auto"/>
        <w:tblLook w:val="04A0" w:firstRow="1" w:lastRow="0" w:firstColumn="1" w:lastColumn="0" w:noHBand="0" w:noVBand="1"/>
      </w:tblPr>
      <w:tblGrid>
        <w:gridCol w:w="1786"/>
        <w:gridCol w:w="1450"/>
        <w:gridCol w:w="1677"/>
        <w:gridCol w:w="2260"/>
        <w:gridCol w:w="2177"/>
      </w:tblGrid>
      <w:tr w:rsidR="00001DBB" w:rsidRPr="00D279DC" w14:paraId="567E2F51" w14:textId="77777777" w:rsidTr="00001DBB">
        <w:tc>
          <w:tcPr>
            <w:tcW w:w="1788" w:type="dxa"/>
          </w:tcPr>
          <w:p w14:paraId="4F0804E8" w14:textId="35CD90CE" w:rsidR="00001DBB" w:rsidRPr="00D279DC" w:rsidRDefault="00001DBB" w:rsidP="00001DBB">
            <w:pPr>
              <w:rPr>
                <w:rFonts w:cs="Arial"/>
              </w:rPr>
            </w:pPr>
            <w:r w:rsidRPr="00D279DC">
              <w:rPr>
                <w:rFonts w:cs="Arial"/>
                <w:b/>
                <w:bCs/>
              </w:rPr>
              <w:t>Системо- органен клас</w:t>
            </w:r>
          </w:p>
        </w:tc>
        <w:tc>
          <w:tcPr>
            <w:tcW w:w="1739" w:type="dxa"/>
          </w:tcPr>
          <w:p w14:paraId="2A38ECBA" w14:textId="77777777" w:rsidR="00001DBB" w:rsidRPr="00D279DC" w:rsidRDefault="00001DBB" w:rsidP="00001DBB">
            <w:pPr>
              <w:rPr>
                <w:rFonts w:cs="Arial"/>
              </w:rPr>
            </w:pPr>
            <w:r w:rsidRPr="00D279DC">
              <w:rPr>
                <w:rFonts w:cs="Arial"/>
                <w:b/>
                <w:bCs/>
              </w:rPr>
              <w:t>Чести (≥1/100 до</w:t>
            </w:r>
          </w:p>
          <w:p w14:paraId="01B12023" w14:textId="64DE76C2" w:rsidR="00001DBB" w:rsidRPr="00D279DC" w:rsidRDefault="00001DBB" w:rsidP="00001DBB">
            <w:pPr>
              <w:rPr>
                <w:rFonts w:cs="Arial"/>
              </w:rPr>
            </w:pPr>
            <w:r w:rsidRPr="00D279DC">
              <w:rPr>
                <w:rFonts w:cs="Arial"/>
                <w:b/>
                <w:bCs/>
              </w:rPr>
              <w:t>&lt;1/10)</w:t>
            </w:r>
          </w:p>
        </w:tc>
        <w:tc>
          <w:tcPr>
            <w:tcW w:w="1794" w:type="dxa"/>
          </w:tcPr>
          <w:p w14:paraId="457ECC7D" w14:textId="77777777" w:rsidR="00001DBB" w:rsidRPr="00D279DC" w:rsidRDefault="00001DBB" w:rsidP="00001DBB">
            <w:pPr>
              <w:rPr>
                <w:rFonts w:cs="Arial"/>
              </w:rPr>
            </w:pPr>
            <w:r w:rsidRPr="00D279DC">
              <w:rPr>
                <w:rFonts w:cs="Arial"/>
                <w:b/>
                <w:bCs/>
              </w:rPr>
              <w:t>Нечести (≥1/1 000 до</w:t>
            </w:r>
          </w:p>
          <w:p w14:paraId="032A88C1" w14:textId="2C77B359" w:rsidR="00001DBB" w:rsidRPr="00D279DC" w:rsidRDefault="00001DBB" w:rsidP="00001DBB">
            <w:pPr>
              <w:rPr>
                <w:rFonts w:cs="Arial"/>
              </w:rPr>
            </w:pPr>
            <w:r w:rsidRPr="00D279DC">
              <w:rPr>
                <w:rFonts w:cs="Arial"/>
                <w:b/>
                <w:bCs/>
              </w:rPr>
              <w:t>&lt;1/100)</w:t>
            </w:r>
          </w:p>
        </w:tc>
        <w:tc>
          <w:tcPr>
            <w:tcW w:w="2052" w:type="dxa"/>
          </w:tcPr>
          <w:p w14:paraId="11CD03C6" w14:textId="0728324E" w:rsidR="00001DBB" w:rsidRPr="00D279DC" w:rsidRDefault="00001DBB" w:rsidP="00001DBB">
            <w:pPr>
              <w:rPr>
                <w:rFonts w:cs="Arial"/>
              </w:rPr>
            </w:pPr>
            <w:r w:rsidRPr="00D279DC">
              <w:rPr>
                <w:rFonts w:cs="Arial"/>
                <w:b/>
                <w:bCs/>
              </w:rPr>
              <w:t>Редки (≥1/10 000 до &lt;1/1 000)</w:t>
            </w:r>
          </w:p>
        </w:tc>
        <w:tc>
          <w:tcPr>
            <w:tcW w:w="1977" w:type="dxa"/>
          </w:tcPr>
          <w:p w14:paraId="01167B20" w14:textId="2C1E8D10" w:rsidR="00001DBB" w:rsidRPr="00D279DC" w:rsidRDefault="00001DBB" w:rsidP="00001DBB">
            <w:pPr>
              <w:rPr>
                <w:rFonts w:cs="Arial"/>
              </w:rPr>
            </w:pPr>
            <w:r w:rsidRPr="00D279DC">
              <w:rPr>
                <w:rFonts w:cs="Arial"/>
                <w:b/>
                <w:bCs/>
              </w:rPr>
              <w:t>С неизвестна честота (от наличните данни не може да бъде направена оценка)</w:t>
            </w:r>
          </w:p>
        </w:tc>
      </w:tr>
      <w:tr w:rsidR="00001DBB" w:rsidRPr="00D279DC" w14:paraId="5A473447" w14:textId="77777777" w:rsidTr="00001DBB">
        <w:tc>
          <w:tcPr>
            <w:tcW w:w="1788" w:type="dxa"/>
          </w:tcPr>
          <w:p w14:paraId="41EA2304" w14:textId="2B167787" w:rsidR="00001DBB" w:rsidRPr="00D279DC" w:rsidRDefault="00001DBB" w:rsidP="00001DBB">
            <w:pPr>
              <w:rPr>
                <w:rFonts w:cs="Arial"/>
              </w:rPr>
            </w:pPr>
            <w:r w:rsidRPr="00D279DC">
              <w:rPr>
                <w:rFonts w:cs="Arial"/>
              </w:rPr>
              <w:t>Инфекции и инфестации</w:t>
            </w:r>
          </w:p>
        </w:tc>
        <w:tc>
          <w:tcPr>
            <w:tcW w:w="1739" w:type="dxa"/>
          </w:tcPr>
          <w:p w14:paraId="4E4E3588" w14:textId="77777777" w:rsidR="00001DBB" w:rsidRPr="00D279DC" w:rsidRDefault="00001DBB" w:rsidP="00001DBB">
            <w:pPr>
              <w:rPr>
                <w:rFonts w:cs="Arial"/>
              </w:rPr>
            </w:pPr>
          </w:p>
        </w:tc>
        <w:tc>
          <w:tcPr>
            <w:tcW w:w="1794" w:type="dxa"/>
          </w:tcPr>
          <w:p w14:paraId="29687D85" w14:textId="17F45248" w:rsidR="00001DBB" w:rsidRPr="00D279DC" w:rsidRDefault="00001DBB" w:rsidP="00001DBB">
            <w:pPr>
              <w:rPr>
                <w:rFonts w:cs="Arial"/>
              </w:rPr>
            </w:pPr>
            <w:r w:rsidRPr="00D279DC">
              <w:rPr>
                <w:rFonts w:cs="Arial"/>
              </w:rPr>
              <w:t xml:space="preserve">Гъбична инфекция, включително инфекция от </w:t>
            </w:r>
            <w:r w:rsidRPr="00D279DC">
              <w:rPr>
                <w:rFonts w:cs="Arial"/>
                <w:i/>
                <w:iCs/>
                <w:lang w:val="en-US"/>
              </w:rPr>
              <w:t xml:space="preserve">Candida, </w:t>
            </w:r>
            <w:r w:rsidRPr="00D279DC">
              <w:rPr>
                <w:rFonts w:cs="Arial"/>
              </w:rPr>
              <w:t>Патогенна резистентност</w:t>
            </w:r>
          </w:p>
        </w:tc>
        <w:tc>
          <w:tcPr>
            <w:tcW w:w="2052" w:type="dxa"/>
          </w:tcPr>
          <w:p w14:paraId="28A42C5D" w14:textId="77777777" w:rsidR="00001DBB" w:rsidRPr="00D279DC" w:rsidRDefault="00001DBB" w:rsidP="00001DBB">
            <w:pPr>
              <w:rPr>
                <w:rFonts w:cs="Arial"/>
              </w:rPr>
            </w:pPr>
          </w:p>
        </w:tc>
        <w:tc>
          <w:tcPr>
            <w:tcW w:w="1977" w:type="dxa"/>
          </w:tcPr>
          <w:p w14:paraId="3D46A57B" w14:textId="77777777" w:rsidR="00001DBB" w:rsidRPr="00D279DC" w:rsidRDefault="00001DBB" w:rsidP="00001DBB">
            <w:pPr>
              <w:rPr>
                <w:rFonts w:cs="Arial"/>
              </w:rPr>
            </w:pPr>
          </w:p>
        </w:tc>
      </w:tr>
      <w:tr w:rsidR="00001DBB" w:rsidRPr="00D279DC" w14:paraId="61C24BB8" w14:textId="77777777" w:rsidTr="00001DBB">
        <w:tc>
          <w:tcPr>
            <w:tcW w:w="1788" w:type="dxa"/>
          </w:tcPr>
          <w:p w14:paraId="78AD6467" w14:textId="13055EA3" w:rsidR="00001DBB" w:rsidRPr="00D279DC" w:rsidRDefault="00001DBB" w:rsidP="00001DBB">
            <w:pPr>
              <w:rPr>
                <w:rFonts w:cs="Arial"/>
              </w:rPr>
            </w:pPr>
            <w:r w:rsidRPr="00D279DC">
              <w:rPr>
                <w:rFonts w:cs="Arial"/>
              </w:rPr>
              <w:t>Нарушения на кръвта и лимфната система</w:t>
            </w:r>
          </w:p>
        </w:tc>
        <w:tc>
          <w:tcPr>
            <w:tcW w:w="1739" w:type="dxa"/>
          </w:tcPr>
          <w:p w14:paraId="2EF1B0BD" w14:textId="77777777" w:rsidR="00001DBB" w:rsidRPr="00D279DC" w:rsidRDefault="00001DBB" w:rsidP="00001DBB">
            <w:pPr>
              <w:rPr>
                <w:rFonts w:cs="Arial"/>
              </w:rPr>
            </w:pPr>
          </w:p>
        </w:tc>
        <w:tc>
          <w:tcPr>
            <w:tcW w:w="1794" w:type="dxa"/>
          </w:tcPr>
          <w:p w14:paraId="09161D1A" w14:textId="500C5BD2" w:rsidR="00001DBB" w:rsidRPr="00D279DC" w:rsidRDefault="00001DBB" w:rsidP="00001DBB">
            <w:pPr>
              <w:rPr>
                <w:rFonts w:cs="Arial"/>
              </w:rPr>
            </w:pPr>
            <w:r w:rsidRPr="00D279DC">
              <w:rPr>
                <w:rFonts w:cs="Arial"/>
              </w:rPr>
              <w:t>Левкопения Еозинофилия</w:t>
            </w:r>
          </w:p>
        </w:tc>
        <w:tc>
          <w:tcPr>
            <w:tcW w:w="2052" w:type="dxa"/>
          </w:tcPr>
          <w:p w14:paraId="052B6182" w14:textId="77777777" w:rsidR="00001DBB" w:rsidRPr="00D279DC" w:rsidRDefault="00001DBB" w:rsidP="00001DBB">
            <w:pPr>
              <w:rPr>
                <w:rFonts w:cs="Arial"/>
              </w:rPr>
            </w:pPr>
            <w:r w:rsidRPr="00D279DC">
              <w:rPr>
                <w:rFonts w:cs="Arial"/>
              </w:rPr>
              <w:t>Тромбоцитопения</w:t>
            </w:r>
          </w:p>
          <w:p w14:paraId="30672B23" w14:textId="6C486003" w:rsidR="00001DBB" w:rsidRPr="00D279DC" w:rsidRDefault="00001DBB" w:rsidP="00001DBB">
            <w:pPr>
              <w:rPr>
                <w:rFonts w:cs="Arial"/>
              </w:rPr>
            </w:pPr>
            <w:r w:rsidRPr="00D279DC">
              <w:rPr>
                <w:rFonts w:cs="Arial"/>
              </w:rPr>
              <w:t>Неутропения</w:t>
            </w:r>
          </w:p>
        </w:tc>
        <w:tc>
          <w:tcPr>
            <w:tcW w:w="1977" w:type="dxa"/>
          </w:tcPr>
          <w:p w14:paraId="00EEBC81" w14:textId="2F983E3D" w:rsidR="00001DBB" w:rsidRPr="00D279DC" w:rsidRDefault="00001DBB" w:rsidP="00001DBB">
            <w:pPr>
              <w:rPr>
                <w:rFonts w:cs="Arial"/>
              </w:rPr>
            </w:pPr>
            <w:r w:rsidRPr="00D279DC">
              <w:rPr>
                <w:rFonts w:cs="Arial"/>
              </w:rPr>
              <w:t>Панцитопения Агранулоцитоза Хемолитична анемия</w:t>
            </w:r>
          </w:p>
        </w:tc>
      </w:tr>
      <w:tr w:rsidR="00001DBB" w:rsidRPr="00D279DC" w14:paraId="70A1AAB6" w14:textId="77777777" w:rsidTr="00001DBB">
        <w:tc>
          <w:tcPr>
            <w:tcW w:w="1788" w:type="dxa"/>
          </w:tcPr>
          <w:p w14:paraId="75DFCE26" w14:textId="7E987A68" w:rsidR="00001DBB" w:rsidRPr="00D279DC" w:rsidRDefault="00001DBB" w:rsidP="00001DBB">
            <w:pPr>
              <w:rPr>
                <w:rFonts w:cs="Arial"/>
              </w:rPr>
            </w:pPr>
            <w:r w:rsidRPr="00D279DC">
              <w:rPr>
                <w:rFonts w:cs="Arial"/>
              </w:rPr>
              <w:t>Нарушения на имунната система</w:t>
            </w:r>
          </w:p>
        </w:tc>
        <w:tc>
          <w:tcPr>
            <w:tcW w:w="1739" w:type="dxa"/>
          </w:tcPr>
          <w:p w14:paraId="25F47A39" w14:textId="77777777" w:rsidR="00001DBB" w:rsidRPr="00D279DC" w:rsidRDefault="00001DBB" w:rsidP="00001DBB">
            <w:pPr>
              <w:rPr>
                <w:rFonts w:cs="Arial"/>
              </w:rPr>
            </w:pPr>
          </w:p>
        </w:tc>
        <w:tc>
          <w:tcPr>
            <w:tcW w:w="1794" w:type="dxa"/>
          </w:tcPr>
          <w:p w14:paraId="2F019E45" w14:textId="77777777" w:rsidR="00001DBB" w:rsidRPr="00D279DC" w:rsidRDefault="00001DBB" w:rsidP="00001DBB">
            <w:pPr>
              <w:rPr>
                <w:rFonts w:cs="Arial"/>
              </w:rPr>
            </w:pPr>
          </w:p>
        </w:tc>
        <w:tc>
          <w:tcPr>
            <w:tcW w:w="2052" w:type="dxa"/>
          </w:tcPr>
          <w:p w14:paraId="3A9CD63A" w14:textId="77777777" w:rsidR="00001DBB" w:rsidRPr="00D279DC" w:rsidRDefault="00001DBB" w:rsidP="00001DBB">
            <w:pPr>
              <w:rPr>
                <w:rFonts w:cs="Arial"/>
              </w:rPr>
            </w:pPr>
            <w:r w:rsidRPr="00D279DC">
              <w:rPr>
                <w:rFonts w:cs="Arial"/>
              </w:rPr>
              <w:t>Ангиоедем</w:t>
            </w:r>
          </w:p>
          <w:p w14:paraId="6C21946E" w14:textId="2DD33F05" w:rsidR="00001DBB" w:rsidRPr="00D279DC" w:rsidRDefault="00001DBB" w:rsidP="00001DBB">
            <w:pPr>
              <w:rPr>
                <w:rFonts w:cs="Arial"/>
              </w:rPr>
            </w:pPr>
            <w:r w:rsidRPr="00D279DC">
              <w:rPr>
                <w:rFonts w:cs="Arial"/>
              </w:rPr>
              <w:t>Свръхчувствителност (вижте точка 4.4)</w:t>
            </w:r>
          </w:p>
        </w:tc>
        <w:tc>
          <w:tcPr>
            <w:tcW w:w="1977" w:type="dxa"/>
          </w:tcPr>
          <w:p w14:paraId="5F483838" w14:textId="1C257564" w:rsidR="00001DBB" w:rsidRPr="00D279DC" w:rsidRDefault="00001DBB" w:rsidP="00001DBB">
            <w:pPr>
              <w:rPr>
                <w:rFonts w:cs="Arial"/>
              </w:rPr>
            </w:pPr>
            <w:r w:rsidRPr="00D279DC">
              <w:rPr>
                <w:rFonts w:cs="Arial"/>
              </w:rPr>
              <w:t>Анафилактичен шок</w:t>
            </w:r>
            <w:r w:rsidRPr="00D279DC">
              <w:rPr>
                <w:rFonts w:cs="Arial"/>
                <w:vertAlign w:val="superscript"/>
              </w:rPr>
              <w:t xml:space="preserve">а </w:t>
            </w:r>
            <w:r w:rsidRPr="00D279DC">
              <w:rPr>
                <w:rFonts w:cs="Arial"/>
              </w:rPr>
              <w:t>Анафилактоиден шок</w:t>
            </w:r>
            <w:r w:rsidRPr="00D279DC">
              <w:rPr>
                <w:rFonts w:cs="Arial"/>
                <w:vertAlign w:val="superscript"/>
              </w:rPr>
              <w:t xml:space="preserve">а </w:t>
            </w:r>
            <w:r w:rsidRPr="00D279DC">
              <w:rPr>
                <w:rFonts w:cs="Arial"/>
              </w:rPr>
              <w:t>(вижте точка 4.4)</w:t>
            </w:r>
          </w:p>
        </w:tc>
      </w:tr>
      <w:tr w:rsidR="00001DBB" w:rsidRPr="00D279DC" w14:paraId="2C418D28" w14:textId="77777777" w:rsidTr="00001DBB">
        <w:tc>
          <w:tcPr>
            <w:tcW w:w="1788" w:type="dxa"/>
          </w:tcPr>
          <w:p w14:paraId="051EF751" w14:textId="6415373F" w:rsidR="00001DBB" w:rsidRPr="00D279DC" w:rsidRDefault="00001DBB" w:rsidP="00001DBB">
            <w:pPr>
              <w:rPr>
                <w:rFonts w:cs="Arial"/>
              </w:rPr>
            </w:pPr>
            <w:r w:rsidRPr="00D279DC">
              <w:rPr>
                <w:rFonts w:cs="Arial"/>
              </w:rPr>
              <w:t>Нарушения на метаболизма и храненето</w:t>
            </w:r>
          </w:p>
        </w:tc>
        <w:tc>
          <w:tcPr>
            <w:tcW w:w="1739" w:type="dxa"/>
          </w:tcPr>
          <w:p w14:paraId="100280D2" w14:textId="77777777" w:rsidR="00001DBB" w:rsidRPr="00D279DC" w:rsidRDefault="00001DBB" w:rsidP="00001DBB">
            <w:pPr>
              <w:rPr>
                <w:rFonts w:cs="Arial"/>
              </w:rPr>
            </w:pPr>
          </w:p>
        </w:tc>
        <w:tc>
          <w:tcPr>
            <w:tcW w:w="1794" w:type="dxa"/>
          </w:tcPr>
          <w:p w14:paraId="4B14BA13" w14:textId="1CF55563" w:rsidR="00001DBB" w:rsidRPr="00D279DC" w:rsidRDefault="00001DBB" w:rsidP="00001DBB">
            <w:pPr>
              <w:rPr>
                <w:rFonts w:cs="Arial"/>
              </w:rPr>
            </w:pPr>
            <w:r w:rsidRPr="00D279DC">
              <w:rPr>
                <w:rFonts w:cs="Arial"/>
              </w:rPr>
              <w:t>Анорексия</w:t>
            </w:r>
          </w:p>
        </w:tc>
        <w:tc>
          <w:tcPr>
            <w:tcW w:w="2052" w:type="dxa"/>
          </w:tcPr>
          <w:p w14:paraId="7533572C" w14:textId="0AD98737" w:rsidR="00001DBB" w:rsidRPr="00D279DC" w:rsidRDefault="00001DBB" w:rsidP="00001DBB">
            <w:pPr>
              <w:rPr>
                <w:rFonts w:cs="Arial"/>
              </w:rPr>
            </w:pPr>
            <w:r w:rsidRPr="00D279DC">
              <w:rPr>
                <w:rFonts w:cs="Arial"/>
              </w:rPr>
              <w:t>Хипогликемия, особено при пациенти с диабет (вижте точка 4.4)</w:t>
            </w:r>
          </w:p>
        </w:tc>
        <w:tc>
          <w:tcPr>
            <w:tcW w:w="1977" w:type="dxa"/>
          </w:tcPr>
          <w:p w14:paraId="4DA41EE1" w14:textId="5625110F" w:rsidR="00001DBB" w:rsidRPr="00D279DC" w:rsidRDefault="00001DBB" w:rsidP="00001DBB">
            <w:pPr>
              <w:rPr>
                <w:rFonts w:cs="Arial"/>
              </w:rPr>
            </w:pPr>
            <w:r w:rsidRPr="00D279DC">
              <w:rPr>
                <w:rFonts w:cs="Arial"/>
              </w:rPr>
              <w:t>Хипергликемия Хипогликемична кома (вижте точка 4.4)</w:t>
            </w:r>
          </w:p>
        </w:tc>
      </w:tr>
      <w:tr w:rsidR="00001DBB" w:rsidRPr="00D279DC" w14:paraId="369C222F" w14:textId="77777777" w:rsidTr="00001DBB">
        <w:tc>
          <w:tcPr>
            <w:tcW w:w="1788" w:type="dxa"/>
          </w:tcPr>
          <w:p w14:paraId="69D11530" w14:textId="670C629C" w:rsidR="00001DBB" w:rsidRPr="00D279DC" w:rsidRDefault="00001DBB" w:rsidP="00001DBB">
            <w:pPr>
              <w:rPr>
                <w:rFonts w:cs="Arial"/>
              </w:rPr>
            </w:pPr>
            <w:r w:rsidRPr="00D279DC">
              <w:rPr>
                <w:rFonts w:cs="Arial"/>
              </w:rPr>
              <w:t>Психични нарушения*</w:t>
            </w:r>
          </w:p>
        </w:tc>
        <w:tc>
          <w:tcPr>
            <w:tcW w:w="1739" w:type="dxa"/>
          </w:tcPr>
          <w:p w14:paraId="1526D497" w14:textId="612FE5AB" w:rsidR="00001DBB" w:rsidRPr="00D279DC" w:rsidRDefault="00001DBB" w:rsidP="00001DBB">
            <w:pPr>
              <w:rPr>
                <w:rFonts w:cs="Arial"/>
              </w:rPr>
            </w:pPr>
            <w:r w:rsidRPr="00D279DC">
              <w:rPr>
                <w:rFonts w:cs="Arial"/>
              </w:rPr>
              <w:t>Безсъние</w:t>
            </w:r>
          </w:p>
        </w:tc>
        <w:tc>
          <w:tcPr>
            <w:tcW w:w="1794" w:type="dxa"/>
          </w:tcPr>
          <w:p w14:paraId="0DB66BE4" w14:textId="058AB9A6" w:rsidR="00001DBB" w:rsidRPr="00D279DC" w:rsidRDefault="00001DBB" w:rsidP="00001DBB">
            <w:pPr>
              <w:rPr>
                <w:rFonts w:cs="Arial"/>
              </w:rPr>
            </w:pPr>
            <w:r w:rsidRPr="00D279DC">
              <w:rPr>
                <w:rFonts w:cs="Arial"/>
              </w:rPr>
              <w:t>Тревожност Състояние на обърканост Нервност</w:t>
            </w:r>
          </w:p>
        </w:tc>
        <w:tc>
          <w:tcPr>
            <w:tcW w:w="2052" w:type="dxa"/>
          </w:tcPr>
          <w:p w14:paraId="2A55C4CC" w14:textId="3600D7B1" w:rsidR="00001DBB" w:rsidRPr="00D279DC" w:rsidRDefault="00001DBB" w:rsidP="00001DBB">
            <w:pPr>
              <w:rPr>
                <w:rFonts w:cs="Arial"/>
              </w:rPr>
            </w:pPr>
            <w:r w:rsidRPr="00D279DC">
              <w:rPr>
                <w:rFonts w:cs="Arial"/>
              </w:rPr>
              <w:t xml:space="preserve">Психотични реакции (придружени напр. с халюцинации, </w:t>
            </w:r>
            <w:r w:rsidRPr="00D279DC">
              <w:rPr>
                <w:rFonts w:cs="Arial"/>
              </w:rPr>
              <w:lastRenderedPageBreak/>
              <w:t>параноя) Депресия Възбуда Патологични сънища Кошмари</w:t>
            </w:r>
          </w:p>
        </w:tc>
        <w:tc>
          <w:tcPr>
            <w:tcW w:w="1977" w:type="dxa"/>
          </w:tcPr>
          <w:p w14:paraId="376B9E13" w14:textId="595F7897" w:rsidR="00001DBB" w:rsidRPr="00D279DC" w:rsidRDefault="00001DBB" w:rsidP="00001DBB">
            <w:pPr>
              <w:rPr>
                <w:rFonts w:cs="Arial"/>
              </w:rPr>
            </w:pPr>
            <w:r w:rsidRPr="00D279DC">
              <w:rPr>
                <w:rFonts w:cs="Arial"/>
              </w:rPr>
              <w:lastRenderedPageBreak/>
              <w:t xml:space="preserve">Психотични реакции със самонараняващо поведение, </w:t>
            </w:r>
            <w:r w:rsidRPr="00D279DC">
              <w:rPr>
                <w:rFonts w:cs="Arial"/>
              </w:rPr>
              <w:lastRenderedPageBreak/>
              <w:t>включително суицидни идеации или опит за самоубийство (вижте точка 4.4)</w:t>
            </w:r>
          </w:p>
        </w:tc>
      </w:tr>
      <w:tr w:rsidR="00001DBB" w:rsidRPr="00D279DC" w14:paraId="2C186643" w14:textId="77777777" w:rsidTr="00001DBB">
        <w:tc>
          <w:tcPr>
            <w:tcW w:w="1788" w:type="dxa"/>
          </w:tcPr>
          <w:p w14:paraId="1ED83267" w14:textId="3EA22A26" w:rsidR="00001DBB" w:rsidRPr="00D279DC" w:rsidRDefault="00001DBB" w:rsidP="00001DBB">
            <w:pPr>
              <w:rPr>
                <w:rFonts w:cs="Arial"/>
              </w:rPr>
            </w:pPr>
            <w:r w:rsidRPr="00D279DC">
              <w:rPr>
                <w:rFonts w:cs="Arial"/>
              </w:rPr>
              <w:lastRenderedPageBreak/>
              <w:t>Нарушения на нервната система*</w:t>
            </w:r>
          </w:p>
        </w:tc>
        <w:tc>
          <w:tcPr>
            <w:tcW w:w="1739" w:type="dxa"/>
          </w:tcPr>
          <w:p w14:paraId="67125E46" w14:textId="6E37BFDB" w:rsidR="00001DBB" w:rsidRPr="00D279DC" w:rsidRDefault="00001DBB" w:rsidP="00001DBB">
            <w:pPr>
              <w:rPr>
                <w:rFonts w:cs="Arial"/>
              </w:rPr>
            </w:pPr>
            <w:r w:rsidRPr="00D279DC">
              <w:rPr>
                <w:rFonts w:cs="Arial"/>
              </w:rPr>
              <w:t>Главоболие Замаяност</w:t>
            </w:r>
          </w:p>
        </w:tc>
        <w:tc>
          <w:tcPr>
            <w:tcW w:w="1794" w:type="dxa"/>
          </w:tcPr>
          <w:p w14:paraId="6BC81C68" w14:textId="77777777" w:rsidR="00001DBB" w:rsidRPr="00D279DC" w:rsidRDefault="00001DBB" w:rsidP="00001DBB">
            <w:pPr>
              <w:rPr>
                <w:rFonts w:cs="Arial"/>
              </w:rPr>
            </w:pPr>
            <w:r w:rsidRPr="00D279DC">
              <w:rPr>
                <w:rFonts w:cs="Arial"/>
              </w:rPr>
              <w:t>Сомнолентност</w:t>
            </w:r>
          </w:p>
          <w:p w14:paraId="46B7A0DC" w14:textId="76F6B8B0" w:rsidR="00001DBB" w:rsidRPr="00D279DC" w:rsidRDefault="00001DBB" w:rsidP="00001DBB">
            <w:pPr>
              <w:rPr>
                <w:rFonts w:cs="Arial"/>
              </w:rPr>
            </w:pPr>
            <w:r w:rsidRPr="00D279DC">
              <w:rPr>
                <w:rFonts w:cs="Arial"/>
              </w:rPr>
              <w:t>Тремор Дисгеузия</w:t>
            </w:r>
          </w:p>
        </w:tc>
        <w:tc>
          <w:tcPr>
            <w:tcW w:w="2052" w:type="dxa"/>
          </w:tcPr>
          <w:p w14:paraId="0DA2F450" w14:textId="72184254" w:rsidR="00001DBB" w:rsidRPr="00D279DC" w:rsidRDefault="00001DBB" w:rsidP="00001DBB">
            <w:pPr>
              <w:rPr>
                <w:rFonts w:cs="Arial"/>
              </w:rPr>
            </w:pPr>
            <w:r w:rsidRPr="00D279DC">
              <w:rPr>
                <w:rFonts w:cs="Arial"/>
              </w:rPr>
              <w:t>Конвулсия (вижте точка 4.3 и 4.4) Парестезия</w:t>
            </w:r>
          </w:p>
        </w:tc>
        <w:tc>
          <w:tcPr>
            <w:tcW w:w="1977" w:type="dxa"/>
          </w:tcPr>
          <w:p w14:paraId="27B57D3D" w14:textId="77777777" w:rsidR="00001DBB" w:rsidRPr="00D279DC" w:rsidRDefault="00001DBB" w:rsidP="00001DBB">
            <w:pPr>
              <w:rPr>
                <w:rFonts w:cs="Arial"/>
              </w:rPr>
            </w:pPr>
            <w:r w:rsidRPr="00D279DC">
              <w:rPr>
                <w:rFonts w:cs="Arial"/>
              </w:rPr>
              <w:t>Периферна сензорна невропатия (вижте точка 4.4)</w:t>
            </w:r>
          </w:p>
          <w:p w14:paraId="78925636" w14:textId="77777777" w:rsidR="00001DBB" w:rsidRPr="00D279DC" w:rsidRDefault="00001DBB" w:rsidP="00001DBB">
            <w:pPr>
              <w:rPr>
                <w:rFonts w:cs="Arial"/>
              </w:rPr>
            </w:pPr>
            <w:r w:rsidRPr="00D279DC">
              <w:rPr>
                <w:rFonts w:cs="Arial"/>
              </w:rPr>
              <w:t>Периферна сензорномоторна невропатия (вижте точка</w:t>
            </w:r>
          </w:p>
          <w:p w14:paraId="210259A5" w14:textId="77777777" w:rsidR="00001DBB" w:rsidRPr="00D279DC" w:rsidRDefault="00001DBB" w:rsidP="00001DBB">
            <w:pPr>
              <w:rPr>
                <w:rFonts w:cs="Arial"/>
              </w:rPr>
            </w:pPr>
            <w:r w:rsidRPr="00D279DC">
              <w:rPr>
                <w:rFonts w:cs="Arial"/>
              </w:rPr>
              <w:t>4.4)</w:t>
            </w:r>
          </w:p>
          <w:p w14:paraId="7235C483" w14:textId="77777777" w:rsidR="00001DBB" w:rsidRPr="00D279DC" w:rsidRDefault="00001DBB" w:rsidP="00001DBB">
            <w:pPr>
              <w:rPr>
                <w:rFonts w:cs="Arial"/>
              </w:rPr>
            </w:pPr>
            <w:r w:rsidRPr="00D279DC">
              <w:rPr>
                <w:rFonts w:cs="Arial"/>
              </w:rPr>
              <w:t>Паросмия, включително аносмия</w:t>
            </w:r>
          </w:p>
          <w:p w14:paraId="13C0D0ED" w14:textId="77777777" w:rsidR="00001DBB" w:rsidRPr="00D279DC" w:rsidRDefault="00001DBB" w:rsidP="00001DBB">
            <w:pPr>
              <w:rPr>
                <w:rFonts w:cs="Arial"/>
              </w:rPr>
            </w:pPr>
            <w:r w:rsidRPr="00D279DC">
              <w:rPr>
                <w:rFonts w:cs="Arial"/>
              </w:rPr>
              <w:t>Дискинезия Екстрапирамидни нарушения</w:t>
            </w:r>
          </w:p>
          <w:p w14:paraId="671BC6F9" w14:textId="77777777" w:rsidR="00001DBB" w:rsidRPr="00D279DC" w:rsidRDefault="00001DBB" w:rsidP="00001DBB">
            <w:pPr>
              <w:rPr>
                <w:rFonts w:cs="Arial"/>
              </w:rPr>
            </w:pPr>
            <w:r w:rsidRPr="00D279DC">
              <w:rPr>
                <w:rFonts w:cs="Arial"/>
              </w:rPr>
              <w:t>Агеузия</w:t>
            </w:r>
          </w:p>
          <w:p w14:paraId="2FAD251C" w14:textId="77777777" w:rsidR="00001DBB" w:rsidRPr="00D279DC" w:rsidRDefault="00001DBB" w:rsidP="00001DBB">
            <w:pPr>
              <w:rPr>
                <w:rFonts w:cs="Arial"/>
              </w:rPr>
            </w:pPr>
            <w:r w:rsidRPr="00D279DC">
              <w:rPr>
                <w:rFonts w:cs="Arial"/>
              </w:rPr>
              <w:t>Синкоп</w:t>
            </w:r>
          </w:p>
          <w:p w14:paraId="3F83531D" w14:textId="2075772B" w:rsidR="00001DBB" w:rsidRPr="00D279DC" w:rsidRDefault="00001DBB" w:rsidP="00001DBB">
            <w:pPr>
              <w:rPr>
                <w:rFonts w:cs="Arial"/>
              </w:rPr>
            </w:pPr>
            <w:r w:rsidRPr="00D279DC">
              <w:rPr>
                <w:rFonts w:cs="Arial"/>
              </w:rPr>
              <w:t>Доброкачествен а интракраниални</w:t>
            </w:r>
          </w:p>
        </w:tc>
      </w:tr>
      <w:tr w:rsidR="00001DBB" w:rsidRPr="00D279DC" w14:paraId="63A2DD2F" w14:textId="77777777" w:rsidTr="00001DBB">
        <w:tc>
          <w:tcPr>
            <w:tcW w:w="1788" w:type="dxa"/>
          </w:tcPr>
          <w:p w14:paraId="3F17F34E" w14:textId="29E49C2F" w:rsidR="00001DBB" w:rsidRPr="00D279DC" w:rsidRDefault="00001DBB" w:rsidP="00001DBB">
            <w:pPr>
              <w:rPr>
                <w:rFonts w:cs="Arial"/>
              </w:rPr>
            </w:pPr>
            <w:r w:rsidRPr="00D279DC">
              <w:rPr>
                <w:rFonts w:cs="Arial"/>
              </w:rPr>
              <w:t>Нарушения на очите*</w:t>
            </w:r>
          </w:p>
        </w:tc>
        <w:tc>
          <w:tcPr>
            <w:tcW w:w="1739" w:type="dxa"/>
          </w:tcPr>
          <w:p w14:paraId="14DDBE72" w14:textId="77777777" w:rsidR="00001DBB" w:rsidRPr="00D279DC" w:rsidRDefault="00001DBB" w:rsidP="00001DBB">
            <w:pPr>
              <w:rPr>
                <w:rFonts w:cs="Arial"/>
              </w:rPr>
            </w:pPr>
          </w:p>
        </w:tc>
        <w:tc>
          <w:tcPr>
            <w:tcW w:w="1794" w:type="dxa"/>
          </w:tcPr>
          <w:p w14:paraId="19DFDD5B" w14:textId="77777777" w:rsidR="00001DBB" w:rsidRPr="00D279DC" w:rsidRDefault="00001DBB" w:rsidP="00001DBB">
            <w:pPr>
              <w:rPr>
                <w:rFonts w:cs="Arial"/>
              </w:rPr>
            </w:pPr>
          </w:p>
        </w:tc>
        <w:tc>
          <w:tcPr>
            <w:tcW w:w="2052" w:type="dxa"/>
          </w:tcPr>
          <w:p w14:paraId="42487318" w14:textId="77777777" w:rsidR="00001DBB" w:rsidRPr="00D279DC" w:rsidRDefault="00001DBB" w:rsidP="00001DBB">
            <w:pPr>
              <w:rPr>
                <w:rFonts w:cs="Arial"/>
              </w:rPr>
            </w:pPr>
            <w:r w:rsidRPr="00D279DC">
              <w:rPr>
                <w:rFonts w:cs="Arial"/>
              </w:rPr>
              <w:t>Зрителни нарушения като замъглено виждане</w:t>
            </w:r>
          </w:p>
          <w:p w14:paraId="3C3B998A" w14:textId="70742626" w:rsidR="00001DBB" w:rsidRPr="00D279DC" w:rsidRDefault="00001DBB" w:rsidP="00001DBB">
            <w:pPr>
              <w:rPr>
                <w:rFonts w:cs="Arial"/>
              </w:rPr>
            </w:pPr>
            <w:r w:rsidRPr="00D279DC">
              <w:rPr>
                <w:rFonts w:cs="Arial"/>
              </w:rPr>
              <w:t>(вижте точка 4.4)</w:t>
            </w:r>
          </w:p>
        </w:tc>
        <w:tc>
          <w:tcPr>
            <w:tcW w:w="1977" w:type="dxa"/>
          </w:tcPr>
          <w:p w14:paraId="32E8761E" w14:textId="77777777" w:rsidR="00001DBB" w:rsidRPr="00D279DC" w:rsidRDefault="00001DBB" w:rsidP="00001DBB">
            <w:pPr>
              <w:rPr>
                <w:rFonts w:cs="Arial"/>
              </w:rPr>
            </w:pPr>
            <w:r w:rsidRPr="00D279DC">
              <w:rPr>
                <w:rFonts w:cs="Arial"/>
              </w:rPr>
              <w:t>Временна загуба на</w:t>
            </w:r>
          </w:p>
          <w:p w14:paraId="557E26C9" w14:textId="1B082F8C" w:rsidR="00001DBB" w:rsidRPr="00D279DC" w:rsidRDefault="00001DBB" w:rsidP="00001DBB">
            <w:pPr>
              <w:rPr>
                <w:rFonts w:cs="Arial"/>
              </w:rPr>
            </w:pPr>
            <w:r w:rsidRPr="00D279DC">
              <w:rPr>
                <w:rFonts w:cs="Arial"/>
              </w:rPr>
              <w:t>зрението (вижте точка 4.4)</w:t>
            </w:r>
          </w:p>
        </w:tc>
      </w:tr>
      <w:tr w:rsidR="00001DBB" w:rsidRPr="00D279DC" w14:paraId="120B48F8" w14:textId="77777777" w:rsidTr="00001DBB">
        <w:tc>
          <w:tcPr>
            <w:tcW w:w="1788" w:type="dxa"/>
          </w:tcPr>
          <w:p w14:paraId="7A0C510D" w14:textId="6483314A" w:rsidR="00001DBB" w:rsidRPr="00D279DC" w:rsidRDefault="00001DBB" w:rsidP="00001DBB">
            <w:pPr>
              <w:rPr>
                <w:rFonts w:cs="Arial"/>
              </w:rPr>
            </w:pPr>
            <w:r w:rsidRPr="00D279DC">
              <w:rPr>
                <w:rFonts w:cs="Arial"/>
              </w:rPr>
              <w:t>Нарушения на ухото и лабиринта*</w:t>
            </w:r>
          </w:p>
        </w:tc>
        <w:tc>
          <w:tcPr>
            <w:tcW w:w="1739" w:type="dxa"/>
          </w:tcPr>
          <w:p w14:paraId="458E5F07" w14:textId="77777777" w:rsidR="00001DBB" w:rsidRPr="00D279DC" w:rsidRDefault="00001DBB" w:rsidP="00001DBB">
            <w:pPr>
              <w:rPr>
                <w:rFonts w:cs="Arial"/>
              </w:rPr>
            </w:pPr>
          </w:p>
        </w:tc>
        <w:tc>
          <w:tcPr>
            <w:tcW w:w="1794" w:type="dxa"/>
          </w:tcPr>
          <w:p w14:paraId="01E05A67" w14:textId="1806DF5E" w:rsidR="00001DBB" w:rsidRPr="00D279DC" w:rsidRDefault="00001DBB" w:rsidP="00001DBB">
            <w:pPr>
              <w:rPr>
                <w:rFonts w:cs="Arial"/>
              </w:rPr>
            </w:pPr>
            <w:r w:rsidRPr="00D279DC">
              <w:rPr>
                <w:rFonts w:cs="Arial"/>
              </w:rPr>
              <w:t>Вертиго</w:t>
            </w:r>
          </w:p>
        </w:tc>
        <w:tc>
          <w:tcPr>
            <w:tcW w:w="2052" w:type="dxa"/>
          </w:tcPr>
          <w:p w14:paraId="16F8C024" w14:textId="5AB3D9CF" w:rsidR="00001DBB" w:rsidRPr="00D279DC" w:rsidRDefault="00001DBB" w:rsidP="00001DBB">
            <w:pPr>
              <w:rPr>
                <w:rFonts w:cs="Arial"/>
              </w:rPr>
            </w:pPr>
            <w:r w:rsidRPr="00D279DC">
              <w:rPr>
                <w:rFonts w:cs="Arial"/>
              </w:rPr>
              <w:t>Тинитус</w:t>
            </w:r>
          </w:p>
        </w:tc>
        <w:tc>
          <w:tcPr>
            <w:tcW w:w="1977" w:type="dxa"/>
          </w:tcPr>
          <w:p w14:paraId="5FEFEAB0" w14:textId="40B7D109" w:rsidR="00001DBB" w:rsidRPr="00D279DC" w:rsidRDefault="00001DBB" w:rsidP="00001DBB">
            <w:pPr>
              <w:rPr>
                <w:rFonts w:cs="Arial"/>
              </w:rPr>
            </w:pPr>
            <w:r w:rsidRPr="00D279DC">
              <w:rPr>
                <w:rFonts w:cs="Arial"/>
              </w:rPr>
              <w:t>Загуба на слуха Увреждане на слуха</w:t>
            </w:r>
          </w:p>
        </w:tc>
      </w:tr>
      <w:tr w:rsidR="00001DBB" w:rsidRPr="00D279DC" w14:paraId="5024AA03" w14:textId="77777777" w:rsidTr="00001DBB">
        <w:tc>
          <w:tcPr>
            <w:tcW w:w="1788" w:type="dxa"/>
          </w:tcPr>
          <w:p w14:paraId="55FAFC34" w14:textId="66DB2341" w:rsidR="00001DBB" w:rsidRPr="00D279DC" w:rsidRDefault="00001DBB" w:rsidP="00001DBB">
            <w:pPr>
              <w:rPr>
                <w:rFonts w:cs="Arial"/>
              </w:rPr>
            </w:pPr>
            <w:r w:rsidRPr="00D279DC">
              <w:rPr>
                <w:rFonts w:cs="Arial"/>
              </w:rPr>
              <w:t>Сърдечни нарушения**</w:t>
            </w:r>
          </w:p>
        </w:tc>
        <w:tc>
          <w:tcPr>
            <w:tcW w:w="1739" w:type="dxa"/>
          </w:tcPr>
          <w:p w14:paraId="18AA33E1" w14:textId="77777777" w:rsidR="00001DBB" w:rsidRPr="00D279DC" w:rsidRDefault="00001DBB" w:rsidP="00001DBB">
            <w:pPr>
              <w:rPr>
                <w:rFonts w:cs="Arial"/>
              </w:rPr>
            </w:pPr>
          </w:p>
        </w:tc>
        <w:tc>
          <w:tcPr>
            <w:tcW w:w="1794" w:type="dxa"/>
          </w:tcPr>
          <w:p w14:paraId="5495022C" w14:textId="77777777" w:rsidR="00001DBB" w:rsidRPr="00D279DC" w:rsidRDefault="00001DBB" w:rsidP="00001DBB">
            <w:pPr>
              <w:rPr>
                <w:rFonts w:cs="Arial"/>
              </w:rPr>
            </w:pPr>
          </w:p>
        </w:tc>
        <w:tc>
          <w:tcPr>
            <w:tcW w:w="2052" w:type="dxa"/>
          </w:tcPr>
          <w:p w14:paraId="7FE45E69" w14:textId="77777777" w:rsidR="00001DBB" w:rsidRPr="00D279DC" w:rsidRDefault="00001DBB" w:rsidP="00001DBB">
            <w:pPr>
              <w:rPr>
                <w:rFonts w:cs="Arial"/>
              </w:rPr>
            </w:pPr>
            <w:r w:rsidRPr="00D279DC">
              <w:rPr>
                <w:rFonts w:cs="Arial"/>
              </w:rPr>
              <w:t>Тахикардия</w:t>
            </w:r>
          </w:p>
          <w:p w14:paraId="73813E1A" w14:textId="7706CE43" w:rsidR="00001DBB" w:rsidRPr="00D279DC" w:rsidRDefault="00001DBB" w:rsidP="00001DBB">
            <w:pPr>
              <w:rPr>
                <w:rFonts w:cs="Arial"/>
              </w:rPr>
            </w:pPr>
            <w:r w:rsidRPr="00D279DC">
              <w:rPr>
                <w:rFonts w:cs="Arial"/>
              </w:rPr>
              <w:t>Палпитации</w:t>
            </w:r>
          </w:p>
        </w:tc>
        <w:tc>
          <w:tcPr>
            <w:tcW w:w="1977" w:type="dxa"/>
          </w:tcPr>
          <w:p w14:paraId="40386FC5" w14:textId="5B23E4BD" w:rsidR="00001DBB" w:rsidRPr="00D279DC" w:rsidRDefault="00001DBB" w:rsidP="00001DBB">
            <w:pPr>
              <w:rPr>
                <w:rFonts w:cs="Arial"/>
              </w:rPr>
            </w:pPr>
            <w:r w:rsidRPr="00D279DC">
              <w:rPr>
                <w:rFonts w:cs="Arial"/>
              </w:rPr>
              <w:t xml:space="preserve">Камерна тахикардия, която може да доведе до сърдечен арест Камерна аритмия и </w:t>
            </w:r>
            <w:proofErr w:type="spellStart"/>
            <w:r w:rsidRPr="00D279DC">
              <w:rPr>
                <w:rFonts w:cs="Arial"/>
                <w:lang w:val="en-US"/>
              </w:rPr>
              <w:t>torsades</w:t>
            </w:r>
            <w:proofErr w:type="spellEnd"/>
            <w:r w:rsidRPr="00D279DC">
              <w:rPr>
                <w:rFonts w:cs="Arial"/>
                <w:lang w:val="en-US"/>
              </w:rPr>
              <w:t xml:space="preserve"> de pointes </w:t>
            </w:r>
            <w:r w:rsidRPr="00D279DC">
              <w:rPr>
                <w:rFonts w:cs="Arial"/>
              </w:rPr>
              <w:t xml:space="preserve">(съобщават се предимно при пациенти с високи рискови фактори за удължаване на </w:t>
            </w:r>
            <w:r w:rsidRPr="00D279DC">
              <w:rPr>
                <w:rFonts w:cs="Arial"/>
                <w:lang w:val="en-US"/>
              </w:rPr>
              <w:t xml:space="preserve">QT </w:t>
            </w:r>
            <w:r w:rsidRPr="00D279DC">
              <w:rPr>
                <w:rFonts w:cs="Arial"/>
              </w:rPr>
              <w:t xml:space="preserve">интервала), Електрокардиограма с удължен </w:t>
            </w:r>
            <w:r w:rsidRPr="00D279DC">
              <w:rPr>
                <w:rFonts w:cs="Arial"/>
                <w:lang w:val="en-US"/>
              </w:rPr>
              <w:t xml:space="preserve">QT </w:t>
            </w:r>
            <w:r w:rsidRPr="00D279DC">
              <w:rPr>
                <w:rFonts w:cs="Arial"/>
              </w:rPr>
              <w:lastRenderedPageBreak/>
              <w:t>интервал (вижте точка 4.4 и 4.9)</w:t>
            </w:r>
          </w:p>
        </w:tc>
      </w:tr>
      <w:tr w:rsidR="00001DBB" w:rsidRPr="00D279DC" w14:paraId="0750E31B" w14:textId="77777777" w:rsidTr="00001DBB">
        <w:tc>
          <w:tcPr>
            <w:tcW w:w="1788" w:type="dxa"/>
          </w:tcPr>
          <w:p w14:paraId="299B1FF0" w14:textId="0B0AFF01" w:rsidR="00001DBB" w:rsidRPr="00D279DC" w:rsidRDefault="00001DBB" w:rsidP="00001DBB">
            <w:pPr>
              <w:rPr>
                <w:rFonts w:cs="Arial"/>
              </w:rPr>
            </w:pPr>
            <w:r w:rsidRPr="00D279DC">
              <w:rPr>
                <w:rFonts w:cs="Arial"/>
              </w:rPr>
              <w:lastRenderedPageBreak/>
              <w:t>Съдови нарушения**</w:t>
            </w:r>
          </w:p>
        </w:tc>
        <w:tc>
          <w:tcPr>
            <w:tcW w:w="1739" w:type="dxa"/>
          </w:tcPr>
          <w:p w14:paraId="3F2514C7" w14:textId="77777777" w:rsidR="00001DBB" w:rsidRPr="00D279DC" w:rsidRDefault="00001DBB" w:rsidP="00001DBB">
            <w:pPr>
              <w:rPr>
                <w:rFonts w:cs="Arial"/>
              </w:rPr>
            </w:pPr>
          </w:p>
        </w:tc>
        <w:tc>
          <w:tcPr>
            <w:tcW w:w="1794" w:type="dxa"/>
          </w:tcPr>
          <w:p w14:paraId="0C9AE0ED" w14:textId="77777777" w:rsidR="00001DBB" w:rsidRPr="00D279DC" w:rsidRDefault="00001DBB" w:rsidP="00001DBB">
            <w:pPr>
              <w:rPr>
                <w:rFonts w:cs="Arial"/>
              </w:rPr>
            </w:pPr>
          </w:p>
        </w:tc>
        <w:tc>
          <w:tcPr>
            <w:tcW w:w="2052" w:type="dxa"/>
          </w:tcPr>
          <w:p w14:paraId="2CB39447" w14:textId="3FE582C2" w:rsidR="00001DBB" w:rsidRPr="00D279DC" w:rsidRDefault="00001DBB" w:rsidP="00001DBB">
            <w:pPr>
              <w:rPr>
                <w:rFonts w:cs="Arial"/>
              </w:rPr>
            </w:pPr>
            <w:r w:rsidRPr="00D279DC">
              <w:rPr>
                <w:rFonts w:cs="Arial"/>
              </w:rPr>
              <w:t>Хипотония</w:t>
            </w:r>
          </w:p>
        </w:tc>
        <w:tc>
          <w:tcPr>
            <w:tcW w:w="1977" w:type="dxa"/>
          </w:tcPr>
          <w:p w14:paraId="004C39C5" w14:textId="77777777" w:rsidR="00001DBB" w:rsidRPr="00D279DC" w:rsidRDefault="00001DBB" w:rsidP="00001DBB">
            <w:pPr>
              <w:rPr>
                <w:rFonts w:cs="Arial"/>
              </w:rPr>
            </w:pPr>
          </w:p>
        </w:tc>
      </w:tr>
      <w:tr w:rsidR="00001DBB" w:rsidRPr="00D279DC" w14:paraId="08956E9F" w14:textId="77777777" w:rsidTr="00001DBB">
        <w:tc>
          <w:tcPr>
            <w:tcW w:w="1788" w:type="dxa"/>
          </w:tcPr>
          <w:p w14:paraId="4525408D" w14:textId="62D62B8F" w:rsidR="00001DBB" w:rsidRPr="00D279DC" w:rsidRDefault="00001DBB" w:rsidP="00001DBB">
            <w:pPr>
              <w:rPr>
                <w:rFonts w:cs="Arial"/>
              </w:rPr>
            </w:pPr>
            <w:r w:rsidRPr="00D279DC">
              <w:rPr>
                <w:rFonts w:cs="Arial"/>
              </w:rPr>
              <w:t>Респираторни, гръдни и медиастинални нарушения</w:t>
            </w:r>
          </w:p>
        </w:tc>
        <w:tc>
          <w:tcPr>
            <w:tcW w:w="1739" w:type="dxa"/>
          </w:tcPr>
          <w:p w14:paraId="412A3CDA" w14:textId="77777777" w:rsidR="00001DBB" w:rsidRPr="00D279DC" w:rsidRDefault="00001DBB" w:rsidP="00001DBB">
            <w:pPr>
              <w:rPr>
                <w:rFonts w:cs="Arial"/>
              </w:rPr>
            </w:pPr>
          </w:p>
        </w:tc>
        <w:tc>
          <w:tcPr>
            <w:tcW w:w="1794" w:type="dxa"/>
          </w:tcPr>
          <w:p w14:paraId="0C6D475F" w14:textId="4D51FA0B" w:rsidR="00001DBB" w:rsidRPr="00D279DC" w:rsidRDefault="00001DBB" w:rsidP="00001DBB">
            <w:pPr>
              <w:rPr>
                <w:rFonts w:cs="Arial"/>
              </w:rPr>
            </w:pPr>
            <w:r w:rsidRPr="00D279DC">
              <w:rPr>
                <w:rFonts w:cs="Arial"/>
              </w:rPr>
              <w:t>Диспнея</w:t>
            </w:r>
          </w:p>
        </w:tc>
        <w:tc>
          <w:tcPr>
            <w:tcW w:w="2052" w:type="dxa"/>
          </w:tcPr>
          <w:p w14:paraId="5757C8A0" w14:textId="77777777" w:rsidR="00001DBB" w:rsidRPr="00D279DC" w:rsidRDefault="00001DBB" w:rsidP="00001DBB">
            <w:pPr>
              <w:rPr>
                <w:rFonts w:cs="Arial"/>
              </w:rPr>
            </w:pPr>
          </w:p>
        </w:tc>
        <w:tc>
          <w:tcPr>
            <w:tcW w:w="1977" w:type="dxa"/>
          </w:tcPr>
          <w:p w14:paraId="5CF263D1" w14:textId="77777777" w:rsidR="00001DBB" w:rsidRPr="00D279DC" w:rsidRDefault="00001DBB" w:rsidP="00001DBB">
            <w:pPr>
              <w:rPr>
                <w:rFonts w:cs="Arial"/>
              </w:rPr>
            </w:pPr>
            <w:r w:rsidRPr="00D279DC">
              <w:rPr>
                <w:rFonts w:cs="Arial"/>
              </w:rPr>
              <w:t>Бронхоспазъм</w:t>
            </w:r>
          </w:p>
          <w:p w14:paraId="5DB8760B" w14:textId="59EC3160" w:rsidR="00001DBB" w:rsidRPr="00D279DC" w:rsidRDefault="00001DBB" w:rsidP="00001DBB">
            <w:pPr>
              <w:rPr>
                <w:rFonts w:cs="Arial"/>
              </w:rPr>
            </w:pPr>
            <w:r w:rsidRPr="00D279DC">
              <w:rPr>
                <w:rFonts w:cs="Arial"/>
              </w:rPr>
              <w:t>Алергичен пневмонит</w:t>
            </w:r>
          </w:p>
        </w:tc>
      </w:tr>
      <w:tr w:rsidR="00001DBB" w:rsidRPr="00D279DC" w14:paraId="5900149D" w14:textId="77777777" w:rsidTr="00001DBB">
        <w:tc>
          <w:tcPr>
            <w:tcW w:w="1788" w:type="dxa"/>
          </w:tcPr>
          <w:p w14:paraId="67C18F71" w14:textId="552F11A8" w:rsidR="00001DBB" w:rsidRPr="00D279DC" w:rsidRDefault="00001DBB" w:rsidP="00001DBB">
            <w:pPr>
              <w:rPr>
                <w:rFonts w:cs="Arial"/>
              </w:rPr>
            </w:pPr>
            <w:r w:rsidRPr="00D279DC">
              <w:rPr>
                <w:rFonts w:cs="Arial"/>
              </w:rPr>
              <w:t>Стомашно-чревни нарушения и нарушения на мястото на приложение*</w:t>
            </w:r>
          </w:p>
        </w:tc>
        <w:tc>
          <w:tcPr>
            <w:tcW w:w="1739" w:type="dxa"/>
          </w:tcPr>
          <w:p w14:paraId="07A8DF69" w14:textId="09C53573" w:rsidR="00001DBB" w:rsidRPr="00D279DC" w:rsidRDefault="00001DBB" w:rsidP="00001DBB">
            <w:pPr>
              <w:rPr>
                <w:rFonts w:cs="Arial"/>
              </w:rPr>
            </w:pPr>
            <w:r w:rsidRPr="00D279DC">
              <w:rPr>
                <w:rFonts w:cs="Arial"/>
              </w:rPr>
              <w:t>Диария Повръщане Гадене</w:t>
            </w:r>
          </w:p>
        </w:tc>
        <w:tc>
          <w:tcPr>
            <w:tcW w:w="1794" w:type="dxa"/>
          </w:tcPr>
          <w:p w14:paraId="748F6E32" w14:textId="6DA020F7" w:rsidR="00001DBB" w:rsidRPr="00D279DC" w:rsidRDefault="00001DBB" w:rsidP="00001DBB">
            <w:pPr>
              <w:rPr>
                <w:rFonts w:cs="Arial"/>
              </w:rPr>
            </w:pPr>
            <w:r w:rsidRPr="00D279DC">
              <w:rPr>
                <w:rFonts w:cs="Arial"/>
              </w:rPr>
              <w:t>Болка в корема Диспепсия Флатуленция Констипация</w:t>
            </w:r>
          </w:p>
        </w:tc>
        <w:tc>
          <w:tcPr>
            <w:tcW w:w="2052" w:type="dxa"/>
          </w:tcPr>
          <w:p w14:paraId="3D837710" w14:textId="77777777" w:rsidR="00001DBB" w:rsidRPr="00D279DC" w:rsidRDefault="00001DBB" w:rsidP="00001DBB">
            <w:pPr>
              <w:rPr>
                <w:rFonts w:cs="Arial"/>
              </w:rPr>
            </w:pPr>
          </w:p>
        </w:tc>
        <w:tc>
          <w:tcPr>
            <w:tcW w:w="1977" w:type="dxa"/>
          </w:tcPr>
          <w:p w14:paraId="777B873D" w14:textId="331D99AB" w:rsidR="00001DBB" w:rsidRPr="00D279DC" w:rsidRDefault="00001DBB" w:rsidP="00001DBB">
            <w:pPr>
              <w:rPr>
                <w:rFonts w:cs="Arial"/>
              </w:rPr>
            </w:pPr>
            <w:r w:rsidRPr="00D279DC">
              <w:rPr>
                <w:rFonts w:cs="Arial"/>
              </w:rPr>
              <w:t>Диария - хеморагична, която в много редки случаи може да бъде показателна за ентероколит, включително псевдомембранозен колит (вижте точка 4.4) Панкреатит</w:t>
            </w:r>
          </w:p>
        </w:tc>
      </w:tr>
      <w:tr w:rsidR="00001DBB" w:rsidRPr="00D279DC" w14:paraId="2E19677B" w14:textId="77777777" w:rsidTr="00001DBB">
        <w:tc>
          <w:tcPr>
            <w:tcW w:w="1788" w:type="dxa"/>
          </w:tcPr>
          <w:p w14:paraId="7323A2C6" w14:textId="119D0B5E" w:rsidR="00001DBB" w:rsidRPr="00D279DC" w:rsidRDefault="00001DBB" w:rsidP="00001DBB">
            <w:pPr>
              <w:rPr>
                <w:rFonts w:cs="Arial"/>
              </w:rPr>
            </w:pPr>
            <w:r w:rsidRPr="00D279DC">
              <w:rPr>
                <w:rFonts w:cs="Arial"/>
              </w:rPr>
              <w:t>Хепатобилиарни нарушения</w:t>
            </w:r>
          </w:p>
        </w:tc>
        <w:tc>
          <w:tcPr>
            <w:tcW w:w="1739" w:type="dxa"/>
          </w:tcPr>
          <w:p w14:paraId="39287AAB" w14:textId="50C9CB3F" w:rsidR="00001DBB" w:rsidRPr="00D279DC" w:rsidRDefault="00001DBB" w:rsidP="00001DBB">
            <w:pPr>
              <w:rPr>
                <w:rFonts w:cs="Arial"/>
              </w:rPr>
            </w:pPr>
            <w:r w:rsidRPr="00D279DC">
              <w:rPr>
                <w:rFonts w:cs="Arial"/>
              </w:rPr>
              <w:t>Повишен чернодробен ензим (АЛАТ/АСАТ, алкална фосфатаза, ГТТ)</w:t>
            </w:r>
          </w:p>
        </w:tc>
        <w:tc>
          <w:tcPr>
            <w:tcW w:w="1794" w:type="dxa"/>
          </w:tcPr>
          <w:p w14:paraId="60F6CBF5" w14:textId="68870F45" w:rsidR="00001DBB" w:rsidRPr="00D279DC" w:rsidRDefault="00001DBB" w:rsidP="00001DBB">
            <w:pPr>
              <w:rPr>
                <w:rFonts w:cs="Arial"/>
              </w:rPr>
            </w:pPr>
            <w:r w:rsidRPr="00D279DC">
              <w:rPr>
                <w:rFonts w:cs="Arial"/>
              </w:rPr>
              <w:t>Повишен билирубин в кръвта</w:t>
            </w:r>
          </w:p>
        </w:tc>
        <w:tc>
          <w:tcPr>
            <w:tcW w:w="2052" w:type="dxa"/>
          </w:tcPr>
          <w:p w14:paraId="76FB6E09" w14:textId="77777777" w:rsidR="00001DBB" w:rsidRPr="00D279DC" w:rsidRDefault="00001DBB" w:rsidP="00001DBB">
            <w:pPr>
              <w:rPr>
                <w:rFonts w:cs="Arial"/>
              </w:rPr>
            </w:pPr>
          </w:p>
        </w:tc>
        <w:tc>
          <w:tcPr>
            <w:tcW w:w="1977" w:type="dxa"/>
          </w:tcPr>
          <w:p w14:paraId="26B94F06" w14:textId="2061ACAD" w:rsidR="00001DBB" w:rsidRPr="00D279DC" w:rsidRDefault="00001DBB" w:rsidP="00001DBB">
            <w:pPr>
              <w:rPr>
                <w:rFonts w:cs="Arial"/>
              </w:rPr>
            </w:pPr>
            <w:r w:rsidRPr="00D279DC">
              <w:rPr>
                <w:rFonts w:cs="Arial"/>
              </w:rPr>
              <w:t>Жълтеница и тежко чернодробно увреждане, включително случаи с остра чернодробна недостатъчност, главно при пациенти с тежки подлежащи заболявания (вижте точка 4.4) Хепатит</w:t>
            </w:r>
          </w:p>
        </w:tc>
      </w:tr>
      <w:tr w:rsidR="00001DBB" w:rsidRPr="00D279DC" w14:paraId="0CE0BBF3" w14:textId="77777777" w:rsidTr="00001DBB">
        <w:tc>
          <w:tcPr>
            <w:tcW w:w="1788" w:type="dxa"/>
          </w:tcPr>
          <w:p w14:paraId="1FA3AC68" w14:textId="5E2A1DD2" w:rsidR="00001DBB" w:rsidRPr="00D279DC" w:rsidRDefault="00001DBB" w:rsidP="00001DBB">
            <w:pPr>
              <w:rPr>
                <w:rFonts w:cs="Arial"/>
              </w:rPr>
            </w:pPr>
            <w:r w:rsidRPr="00D279DC">
              <w:rPr>
                <w:rFonts w:cs="Arial"/>
              </w:rPr>
              <w:t xml:space="preserve">Нарушения на кожата и подкожната тъкан </w:t>
            </w:r>
            <w:r w:rsidRPr="00D279DC">
              <w:rPr>
                <w:rFonts w:cs="Arial"/>
                <w:vertAlign w:val="superscript"/>
              </w:rPr>
              <w:t>6</w:t>
            </w:r>
          </w:p>
        </w:tc>
        <w:tc>
          <w:tcPr>
            <w:tcW w:w="1739" w:type="dxa"/>
          </w:tcPr>
          <w:p w14:paraId="6519D9A3" w14:textId="77777777" w:rsidR="00001DBB" w:rsidRPr="00D279DC" w:rsidRDefault="00001DBB" w:rsidP="00001DBB">
            <w:pPr>
              <w:rPr>
                <w:rFonts w:cs="Arial"/>
              </w:rPr>
            </w:pPr>
          </w:p>
        </w:tc>
        <w:tc>
          <w:tcPr>
            <w:tcW w:w="1794" w:type="dxa"/>
          </w:tcPr>
          <w:p w14:paraId="2BBF2379" w14:textId="10C6EB3E" w:rsidR="00001DBB" w:rsidRPr="00D279DC" w:rsidRDefault="00001DBB" w:rsidP="00001DBB">
            <w:pPr>
              <w:rPr>
                <w:rFonts w:cs="Arial"/>
              </w:rPr>
            </w:pPr>
            <w:r w:rsidRPr="00D279DC">
              <w:rPr>
                <w:rFonts w:cs="Arial"/>
              </w:rPr>
              <w:t>Обрив Сърбеж Уртикария Хиперхидроза</w:t>
            </w:r>
          </w:p>
        </w:tc>
        <w:tc>
          <w:tcPr>
            <w:tcW w:w="2052" w:type="dxa"/>
          </w:tcPr>
          <w:p w14:paraId="3A3B56DB" w14:textId="77777777" w:rsidR="00001DBB" w:rsidRPr="00D279DC" w:rsidRDefault="00001DBB" w:rsidP="00001DBB">
            <w:pPr>
              <w:rPr>
                <w:rFonts w:cs="Arial"/>
              </w:rPr>
            </w:pPr>
            <w:r w:rsidRPr="00D279DC">
              <w:rPr>
                <w:rFonts w:cs="Arial"/>
              </w:rPr>
              <w:t xml:space="preserve">Лекарствена реакция с еозинофилия и системни симптоми </w:t>
            </w:r>
            <w:r w:rsidRPr="00D279DC">
              <w:rPr>
                <w:rFonts w:cs="Arial"/>
                <w:lang w:val="en-US"/>
              </w:rPr>
              <w:t xml:space="preserve">(DRESS) </w:t>
            </w:r>
            <w:r w:rsidRPr="00D279DC">
              <w:rPr>
                <w:rFonts w:cs="Arial"/>
              </w:rPr>
              <w:t>(вж. точка 4.4)</w:t>
            </w:r>
          </w:p>
          <w:p w14:paraId="5EC0A9F4" w14:textId="117FE548" w:rsidR="00001DBB" w:rsidRPr="00D279DC" w:rsidRDefault="00001DBB" w:rsidP="00001DBB">
            <w:pPr>
              <w:rPr>
                <w:rFonts w:cs="Arial"/>
              </w:rPr>
            </w:pPr>
            <w:r w:rsidRPr="00D279DC">
              <w:rPr>
                <w:rFonts w:cs="Arial"/>
              </w:rPr>
              <w:t>Фиксирана лекарствена ерупция</w:t>
            </w:r>
          </w:p>
        </w:tc>
        <w:tc>
          <w:tcPr>
            <w:tcW w:w="1977" w:type="dxa"/>
          </w:tcPr>
          <w:p w14:paraId="2044DD0B" w14:textId="728BA6D6" w:rsidR="00001DBB" w:rsidRPr="00D279DC" w:rsidRDefault="00001DBB" w:rsidP="00001DBB">
            <w:pPr>
              <w:rPr>
                <w:rFonts w:cs="Arial"/>
              </w:rPr>
            </w:pPr>
            <w:r w:rsidRPr="00D279DC">
              <w:rPr>
                <w:rFonts w:cs="Arial"/>
              </w:rPr>
              <w:t xml:space="preserve">Токсична епидермална некролиза Синдром на </w:t>
            </w:r>
            <w:r w:rsidRPr="00D279DC">
              <w:rPr>
                <w:rFonts w:cs="Arial"/>
                <w:lang w:val="en-US"/>
              </w:rPr>
              <w:t xml:space="preserve">Stevens-Johnson </w:t>
            </w:r>
            <w:r w:rsidRPr="00D279DC">
              <w:rPr>
                <w:rFonts w:cs="Arial"/>
              </w:rPr>
              <w:t>Еритема мултиформе Реакция на фоточувствителност (вижте точка 4.4) Левкоцитокластен васкулит Стоматит</w:t>
            </w:r>
          </w:p>
        </w:tc>
      </w:tr>
      <w:tr w:rsidR="00001DBB" w:rsidRPr="00D279DC" w14:paraId="3E316A94" w14:textId="77777777" w:rsidTr="00001DBB">
        <w:tc>
          <w:tcPr>
            <w:tcW w:w="1788" w:type="dxa"/>
          </w:tcPr>
          <w:p w14:paraId="249721A9" w14:textId="6583D1EE" w:rsidR="00001DBB" w:rsidRPr="00D279DC" w:rsidRDefault="00001DBB" w:rsidP="00001DBB">
            <w:pPr>
              <w:rPr>
                <w:rFonts w:cs="Arial"/>
              </w:rPr>
            </w:pPr>
            <w:r w:rsidRPr="00D279DC">
              <w:rPr>
                <w:rFonts w:cs="Arial"/>
              </w:rPr>
              <w:lastRenderedPageBreak/>
              <w:t>Ендокринни нарушения</w:t>
            </w:r>
          </w:p>
        </w:tc>
        <w:tc>
          <w:tcPr>
            <w:tcW w:w="1739" w:type="dxa"/>
          </w:tcPr>
          <w:p w14:paraId="54F315B4" w14:textId="77777777" w:rsidR="00001DBB" w:rsidRPr="00D279DC" w:rsidRDefault="00001DBB" w:rsidP="00001DBB">
            <w:pPr>
              <w:rPr>
                <w:rFonts w:cs="Arial"/>
              </w:rPr>
            </w:pPr>
          </w:p>
        </w:tc>
        <w:tc>
          <w:tcPr>
            <w:tcW w:w="1794" w:type="dxa"/>
          </w:tcPr>
          <w:p w14:paraId="0C9474E8" w14:textId="77777777" w:rsidR="00001DBB" w:rsidRPr="00D279DC" w:rsidRDefault="00001DBB" w:rsidP="00001DBB">
            <w:pPr>
              <w:rPr>
                <w:rFonts w:cs="Arial"/>
              </w:rPr>
            </w:pPr>
          </w:p>
        </w:tc>
        <w:tc>
          <w:tcPr>
            <w:tcW w:w="2052" w:type="dxa"/>
          </w:tcPr>
          <w:p w14:paraId="3655ABF1" w14:textId="0D1976D9" w:rsidR="00001DBB" w:rsidRPr="00D279DC" w:rsidRDefault="00001DBB" w:rsidP="00001DBB">
            <w:pPr>
              <w:rPr>
                <w:rFonts w:cs="Arial"/>
              </w:rPr>
            </w:pPr>
            <w:r w:rsidRPr="00D279DC">
              <w:rPr>
                <w:rFonts w:cs="Arial"/>
              </w:rPr>
              <w:t xml:space="preserve">Синдром на неадекватна секреция на антидиуретичен хормон </w:t>
            </w:r>
            <w:r w:rsidRPr="00D279DC">
              <w:rPr>
                <w:rFonts w:cs="Arial"/>
                <w:lang w:val="en-US"/>
              </w:rPr>
              <w:t>(SIADH)</w:t>
            </w:r>
          </w:p>
        </w:tc>
        <w:tc>
          <w:tcPr>
            <w:tcW w:w="1977" w:type="dxa"/>
          </w:tcPr>
          <w:p w14:paraId="0FB21738" w14:textId="77777777" w:rsidR="00001DBB" w:rsidRPr="00D279DC" w:rsidRDefault="00001DBB" w:rsidP="00001DBB">
            <w:pPr>
              <w:rPr>
                <w:rFonts w:cs="Arial"/>
              </w:rPr>
            </w:pPr>
          </w:p>
        </w:tc>
      </w:tr>
      <w:tr w:rsidR="00001DBB" w:rsidRPr="00D279DC" w14:paraId="08214DC4" w14:textId="77777777" w:rsidTr="00001DBB">
        <w:tc>
          <w:tcPr>
            <w:tcW w:w="1788" w:type="dxa"/>
          </w:tcPr>
          <w:p w14:paraId="08D28231" w14:textId="73B52539" w:rsidR="00001DBB" w:rsidRPr="00D279DC" w:rsidRDefault="00001DBB" w:rsidP="00001DBB">
            <w:pPr>
              <w:rPr>
                <w:rFonts w:cs="Arial"/>
              </w:rPr>
            </w:pPr>
            <w:r w:rsidRPr="00D279DC">
              <w:rPr>
                <w:rFonts w:cs="Arial"/>
              </w:rPr>
              <w:t>Нарушения на мускулно-скелетната система и съединителната тъкан*</w:t>
            </w:r>
          </w:p>
        </w:tc>
        <w:tc>
          <w:tcPr>
            <w:tcW w:w="1739" w:type="dxa"/>
          </w:tcPr>
          <w:p w14:paraId="0ED93DC9" w14:textId="77777777" w:rsidR="00001DBB" w:rsidRPr="00D279DC" w:rsidRDefault="00001DBB" w:rsidP="00001DBB">
            <w:pPr>
              <w:rPr>
                <w:rFonts w:cs="Arial"/>
              </w:rPr>
            </w:pPr>
          </w:p>
        </w:tc>
        <w:tc>
          <w:tcPr>
            <w:tcW w:w="1794" w:type="dxa"/>
          </w:tcPr>
          <w:p w14:paraId="3F241366" w14:textId="076202CE" w:rsidR="00001DBB" w:rsidRPr="00D279DC" w:rsidRDefault="00001DBB" w:rsidP="00001DBB">
            <w:pPr>
              <w:rPr>
                <w:rFonts w:cs="Arial"/>
              </w:rPr>
            </w:pPr>
            <w:r w:rsidRPr="00D279DC">
              <w:rPr>
                <w:rFonts w:cs="Arial"/>
              </w:rPr>
              <w:t>Артралгия Миалгия</w:t>
            </w:r>
          </w:p>
        </w:tc>
        <w:tc>
          <w:tcPr>
            <w:tcW w:w="2052" w:type="dxa"/>
          </w:tcPr>
          <w:p w14:paraId="6608FF8D" w14:textId="56125F7E" w:rsidR="00001DBB" w:rsidRPr="00D279DC" w:rsidRDefault="00001DBB" w:rsidP="00001DBB">
            <w:pPr>
              <w:rPr>
                <w:rFonts w:cs="Arial"/>
              </w:rPr>
            </w:pPr>
            <w:r w:rsidRPr="00D279DC">
              <w:rPr>
                <w:rFonts w:cs="Arial"/>
              </w:rPr>
              <w:t>Нарушение на сухожилията (вижте точка 4.3 и 4.4), включително тендинит (напр. ахилесово сухожилие) Мускулна слабост, която може да е от особено значение при пациенти с миастения гравис (вижте точка 4.4)</w:t>
            </w:r>
          </w:p>
        </w:tc>
        <w:tc>
          <w:tcPr>
            <w:tcW w:w="1977" w:type="dxa"/>
          </w:tcPr>
          <w:p w14:paraId="19E649A1" w14:textId="77777777" w:rsidR="00001DBB" w:rsidRPr="00D279DC" w:rsidRDefault="00001DBB" w:rsidP="00001DBB">
            <w:pPr>
              <w:rPr>
                <w:rFonts w:cs="Arial"/>
              </w:rPr>
            </w:pPr>
            <w:r w:rsidRPr="00D279DC">
              <w:rPr>
                <w:rFonts w:cs="Arial"/>
              </w:rPr>
              <w:t>Рабдомиализа</w:t>
            </w:r>
          </w:p>
          <w:p w14:paraId="32A36BB2" w14:textId="77777777" w:rsidR="00001DBB" w:rsidRPr="00D279DC" w:rsidRDefault="00001DBB" w:rsidP="00001DBB">
            <w:pPr>
              <w:rPr>
                <w:rFonts w:cs="Arial"/>
              </w:rPr>
            </w:pPr>
            <w:r w:rsidRPr="00D279DC">
              <w:rPr>
                <w:rFonts w:cs="Arial"/>
              </w:rPr>
              <w:t>Руптура на сухожилие (напр. ахилесовото сухожилие (вижте точка</w:t>
            </w:r>
          </w:p>
          <w:p w14:paraId="42676D12" w14:textId="77777777" w:rsidR="00001DBB" w:rsidRPr="00D279DC" w:rsidRDefault="00001DBB" w:rsidP="00001DBB">
            <w:pPr>
              <w:rPr>
                <w:rFonts w:cs="Arial"/>
              </w:rPr>
            </w:pPr>
            <w:r w:rsidRPr="00D279DC">
              <w:rPr>
                <w:rFonts w:cs="Arial"/>
              </w:rPr>
              <w:t>4.3. и 4.4.)</w:t>
            </w:r>
          </w:p>
          <w:p w14:paraId="14D02A7A" w14:textId="77777777" w:rsidR="00001DBB" w:rsidRPr="00D279DC" w:rsidRDefault="00001DBB" w:rsidP="00001DBB">
            <w:pPr>
              <w:rPr>
                <w:rFonts w:cs="Arial"/>
              </w:rPr>
            </w:pPr>
            <w:r w:rsidRPr="00D279DC">
              <w:rPr>
                <w:rFonts w:cs="Arial"/>
              </w:rPr>
              <w:t>Руптура на лигамент Мускулна руптура</w:t>
            </w:r>
          </w:p>
          <w:p w14:paraId="0240B9B7" w14:textId="10FA431F" w:rsidR="00001DBB" w:rsidRPr="00D279DC" w:rsidRDefault="00001DBB" w:rsidP="00001DBB">
            <w:pPr>
              <w:rPr>
                <w:rFonts w:cs="Arial"/>
              </w:rPr>
            </w:pPr>
            <w:r w:rsidRPr="00D279DC">
              <w:rPr>
                <w:rFonts w:cs="Arial"/>
              </w:rPr>
              <w:t>Артрит</w:t>
            </w:r>
          </w:p>
        </w:tc>
      </w:tr>
      <w:tr w:rsidR="00001DBB" w:rsidRPr="00D279DC" w14:paraId="02AD3C19" w14:textId="77777777" w:rsidTr="00001DBB">
        <w:tc>
          <w:tcPr>
            <w:tcW w:w="1788" w:type="dxa"/>
          </w:tcPr>
          <w:p w14:paraId="00B11919" w14:textId="6BEDA399" w:rsidR="00001DBB" w:rsidRPr="00D279DC" w:rsidRDefault="00001DBB" w:rsidP="00001DBB">
            <w:pPr>
              <w:rPr>
                <w:rFonts w:cs="Arial"/>
              </w:rPr>
            </w:pPr>
            <w:r w:rsidRPr="00D279DC">
              <w:rPr>
                <w:rFonts w:cs="Arial"/>
              </w:rPr>
              <w:t>Нарушения на бъбреците и пикочните пътища</w:t>
            </w:r>
          </w:p>
        </w:tc>
        <w:tc>
          <w:tcPr>
            <w:tcW w:w="1739" w:type="dxa"/>
          </w:tcPr>
          <w:p w14:paraId="251C83BB" w14:textId="77777777" w:rsidR="00001DBB" w:rsidRPr="00D279DC" w:rsidRDefault="00001DBB" w:rsidP="00001DBB">
            <w:pPr>
              <w:rPr>
                <w:rFonts w:cs="Arial"/>
              </w:rPr>
            </w:pPr>
          </w:p>
        </w:tc>
        <w:tc>
          <w:tcPr>
            <w:tcW w:w="1794" w:type="dxa"/>
          </w:tcPr>
          <w:p w14:paraId="51F6553C" w14:textId="16AA0C49" w:rsidR="00001DBB" w:rsidRPr="00D279DC" w:rsidRDefault="00001DBB" w:rsidP="00001DBB">
            <w:pPr>
              <w:rPr>
                <w:rFonts w:cs="Arial"/>
              </w:rPr>
            </w:pPr>
            <w:r w:rsidRPr="00D279DC">
              <w:rPr>
                <w:rFonts w:cs="Arial"/>
              </w:rPr>
              <w:t>Повишен креатинин в кръвта</w:t>
            </w:r>
          </w:p>
        </w:tc>
        <w:tc>
          <w:tcPr>
            <w:tcW w:w="2052" w:type="dxa"/>
          </w:tcPr>
          <w:p w14:paraId="7230B500" w14:textId="14A60EFC" w:rsidR="00001DBB" w:rsidRPr="00D279DC" w:rsidRDefault="00001DBB" w:rsidP="00001DBB">
            <w:pPr>
              <w:rPr>
                <w:rFonts w:cs="Arial"/>
              </w:rPr>
            </w:pPr>
            <w:r w:rsidRPr="00D279DC">
              <w:rPr>
                <w:rFonts w:cs="Arial"/>
              </w:rPr>
              <w:t>Остра бъбречна недостатъчност (напр. поради интерстициален нефрит)</w:t>
            </w:r>
          </w:p>
        </w:tc>
        <w:tc>
          <w:tcPr>
            <w:tcW w:w="1977" w:type="dxa"/>
          </w:tcPr>
          <w:p w14:paraId="519CAD32" w14:textId="77777777" w:rsidR="00001DBB" w:rsidRPr="00D279DC" w:rsidRDefault="00001DBB" w:rsidP="00001DBB">
            <w:pPr>
              <w:rPr>
                <w:rFonts w:cs="Arial"/>
              </w:rPr>
            </w:pPr>
          </w:p>
        </w:tc>
      </w:tr>
      <w:tr w:rsidR="00001DBB" w:rsidRPr="00D279DC" w14:paraId="0495E675" w14:textId="77777777" w:rsidTr="00001DBB">
        <w:tc>
          <w:tcPr>
            <w:tcW w:w="1788" w:type="dxa"/>
          </w:tcPr>
          <w:p w14:paraId="4AE731E5" w14:textId="41999172" w:rsidR="00001DBB" w:rsidRPr="00D279DC" w:rsidRDefault="00001DBB" w:rsidP="00001DBB">
            <w:pPr>
              <w:rPr>
                <w:rFonts w:cs="Arial"/>
              </w:rPr>
            </w:pPr>
            <w:r w:rsidRPr="00D279DC">
              <w:rPr>
                <w:rFonts w:cs="Arial"/>
              </w:rPr>
              <w:t>Общи нарушения и ефекти на мястото на приложение</w:t>
            </w:r>
          </w:p>
        </w:tc>
        <w:tc>
          <w:tcPr>
            <w:tcW w:w="1739" w:type="dxa"/>
          </w:tcPr>
          <w:p w14:paraId="2271FB7B" w14:textId="77777777" w:rsidR="00001DBB" w:rsidRPr="00D279DC" w:rsidRDefault="00001DBB" w:rsidP="00001DBB">
            <w:pPr>
              <w:rPr>
                <w:rFonts w:cs="Arial"/>
              </w:rPr>
            </w:pPr>
          </w:p>
        </w:tc>
        <w:tc>
          <w:tcPr>
            <w:tcW w:w="1794" w:type="dxa"/>
          </w:tcPr>
          <w:p w14:paraId="09C96DA3" w14:textId="3B6D8939" w:rsidR="00001DBB" w:rsidRPr="00D279DC" w:rsidRDefault="00001DBB" w:rsidP="00001DBB">
            <w:pPr>
              <w:rPr>
                <w:rFonts w:cs="Arial"/>
              </w:rPr>
            </w:pPr>
            <w:r w:rsidRPr="00D279DC">
              <w:rPr>
                <w:rFonts w:cs="Arial"/>
              </w:rPr>
              <w:t>Астения</w:t>
            </w:r>
          </w:p>
        </w:tc>
        <w:tc>
          <w:tcPr>
            <w:tcW w:w="2052" w:type="dxa"/>
          </w:tcPr>
          <w:p w14:paraId="0F7FB26D" w14:textId="74361C22" w:rsidR="00001DBB" w:rsidRPr="00D279DC" w:rsidRDefault="00001DBB" w:rsidP="00001DBB">
            <w:pPr>
              <w:rPr>
                <w:rFonts w:cs="Arial"/>
              </w:rPr>
            </w:pPr>
            <w:r w:rsidRPr="00D279DC">
              <w:rPr>
                <w:rFonts w:cs="Arial"/>
              </w:rPr>
              <w:t>Пирексия</w:t>
            </w:r>
          </w:p>
        </w:tc>
        <w:tc>
          <w:tcPr>
            <w:tcW w:w="1977" w:type="dxa"/>
          </w:tcPr>
          <w:p w14:paraId="30ECB985" w14:textId="5AE228AE" w:rsidR="00001DBB" w:rsidRPr="00D279DC" w:rsidRDefault="00001DBB" w:rsidP="00001DBB">
            <w:pPr>
              <w:rPr>
                <w:rFonts w:cs="Arial"/>
              </w:rPr>
            </w:pPr>
            <w:r w:rsidRPr="00D279DC">
              <w:rPr>
                <w:rFonts w:cs="Arial"/>
              </w:rPr>
              <w:t>Болка (включително болка в гърба, гръдния кош и крайниците)</w:t>
            </w:r>
          </w:p>
        </w:tc>
      </w:tr>
    </w:tbl>
    <w:p w14:paraId="01225B61" w14:textId="77777777" w:rsidR="00001DBB" w:rsidRPr="00D279DC" w:rsidRDefault="00001DBB" w:rsidP="00001DBB">
      <w:pPr>
        <w:rPr>
          <w:rFonts w:cs="Arial"/>
        </w:rPr>
      </w:pPr>
    </w:p>
    <w:p w14:paraId="3F342DA5"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vertAlign w:val="superscript"/>
          <w:lang w:eastAsia="bg-BG"/>
        </w:rPr>
        <w:t>а</w:t>
      </w:r>
      <w:r w:rsidRPr="00D279DC">
        <w:rPr>
          <w:rFonts w:eastAsia="Times New Roman" w:cs="Arial"/>
          <w:color w:val="000000"/>
          <w:lang w:eastAsia="bg-BG"/>
        </w:rPr>
        <w:t xml:space="preserve"> Анафилактични и анафилактоидни реакции могат понякога да настъпят дори след първата доза</w:t>
      </w:r>
    </w:p>
    <w:p w14:paraId="4FC7FA31"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vertAlign w:val="superscript"/>
          <w:lang w:eastAsia="bg-BG"/>
        </w:rPr>
        <w:t>6</w:t>
      </w:r>
      <w:r w:rsidRPr="00D279DC">
        <w:rPr>
          <w:rFonts w:eastAsia="Times New Roman" w:cs="Arial"/>
          <w:color w:val="000000"/>
          <w:lang w:eastAsia="bg-BG"/>
        </w:rPr>
        <w:t xml:space="preserve"> Кожно-лигавични реакции понякога могат да се появят дори след първата доза</w:t>
      </w:r>
    </w:p>
    <w:p w14:paraId="45D60F2E"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*Съобщава се за много редки случаи на продължителни (до месеци или години), инвалидизиращи и потенциално необратими сериозни лекарствени реакции, засягащи няколко, понякога много системо- органни класове и сетива (включително реакции като тендинит, разкъсване на сухожилие, артралгия, болка в крайниците, нарушение на походката, невропатии, свързани с парестезии, депресия, умора, нарушение на паметта, нарушения на съня и увреждане на слуха, зрението, вкуса и обонянието) във връзка с употребата на хинолони и флуорохинолони, в някои случаи, независимо от вече съществуващите рискови фактори (вж. точка 4.4).</w:t>
      </w:r>
    </w:p>
    <w:p w14:paraId="40112856"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**При пациентите, приемащи флуорохинолони, са съобщени случаи на аневризма и дисекация на аортата, понякога усложнени поради разкъсване (включително с летален изход) и регургитация/недостатъчност на някои от сърдечните клапи (вж. точка 4.4).</w:t>
      </w:r>
    </w:p>
    <w:p w14:paraId="29DA9D4E" w14:textId="77777777" w:rsidR="00001DBB" w:rsidRPr="00D279DC" w:rsidRDefault="00001DBB" w:rsidP="00001DBB">
      <w:pPr>
        <w:spacing w:line="240" w:lineRule="auto"/>
        <w:rPr>
          <w:rFonts w:eastAsia="Times New Roman" w:cs="Arial"/>
          <w:color w:val="000000"/>
          <w:lang w:eastAsia="bg-BG"/>
        </w:rPr>
      </w:pPr>
    </w:p>
    <w:p w14:paraId="6D452FCD" w14:textId="6CE50AC2"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Други нежелани лекарствени реакции, които са свързвани с прилагането на флуорохинолон, включват: • порфирични пристъпи при пациенти с порфирия.</w:t>
      </w:r>
    </w:p>
    <w:p w14:paraId="174C805C" w14:textId="77777777" w:rsidR="00001DBB" w:rsidRPr="00D279DC" w:rsidRDefault="00001DBB" w:rsidP="00001DBB">
      <w:pPr>
        <w:spacing w:line="240" w:lineRule="auto"/>
        <w:rPr>
          <w:rFonts w:eastAsia="Times New Roman" w:cs="Arial"/>
          <w:color w:val="000000"/>
          <w:u w:val="single"/>
          <w:lang w:eastAsia="bg-BG"/>
        </w:rPr>
      </w:pPr>
    </w:p>
    <w:p w14:paraId="1247AD08" w14:textId="63D902C7" w:rsidR="00001DBB" w:rsidRPr="00D279DC" w:rsidRDefault="00001DBB" w:rsidP="00001DBB">
      <w:pPr>
        <w:spacing w:line="240" w:lineRule="auto"/>
        <w:rPr>
          <w:rFonts w:eastAsia="Times New Roman" w:cs="Arial"/>
          <w:lang w:eastAsia="bg-BG"/>
        </w:rPr>
      </w:pPr>
      <w:r w:rsidRPr="00D279DC">
        <w:rPr>
          <w:rFonts w:eastAsia="Times New Roman" w:cs="Arial"/>
          <w:color w:val="000000"/>
          <w:u w:val="single"/>
          <w:lang w:eastAsia="bg-BG"/>
        </w:rPr>
        <w:t>Съобщаване на подозирани нежелани реакции</w:t>
      </w:r>
    </w:p>
    <w:p w14:paraId="62C5D290"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lastRenderedPageBreak/>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77F4B179" w14:textId="77777777" w:rsidR="00001DBB" w:rsidRDefault="00001DBB" w:rsidP="00001DBB">
      <w:pPr>
        <w:spacing w:line="240" w:lineRule="auto"/>
        <w:rPr>
          <w:rFonts w:ascii="Times New Roman" w:eastAsia="Times New Roman" w:hAnsi="Times New Roman" w:cs="Times New Roman"/>
          <w:color w:val="000000"/>
          <w:sz w:val="20"/>
          <w:szCs w:val="20"/>
          <w:lang w:eastAsia="bg-BG"/>
        </w:rPr>
      </w:pPr>
    </w:p>
    <w:p w14:paraId="5A2BC32A" w14:textId="42D1714F"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Изпълнителна агенция по лекарствата</w:t>
      </w:r>
    </w:p>
    <w:p w14:paraId="5BEB0ED4"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ул., Дамян Груев” № 8</w:t>
      </w:r>
    </w:p>
    <w:p w14:paraId="63A4BC6C"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1303 София</w:t>
      </w:r>
    </w:p>
    <w:p w14:paraId="4DA93A80" w14:textId="77777777" w:rsidR="00D279DC" w:rsidRDefault="00001DBB" w:rsidP="00001DBB">
      <w:pPr>
        <w:rPr>
          <w:rFonts w:eastAsia="Times New Roman" w:cs="Arial"/>
          <w:color w:val="000000"/>
          <w:lang w:eastAsia="bg-BG"/>
        </w:rPr>
      </w:pPr>
      <w:r w:rsidRPr="00D279DC">
        <w:rPr>
          <w:rFonts w:eastAsia="Times New Roman" w:cs="Arial"/>
          <w:color w:val="000000"/>
          <w:lang w:eastAsia="bg-BG"/>
        </w:rPr>
        <w:t xml:space="preserve">Тел.:+359 2 8903417 </w:t>
      </w:r>
    </w:p>
    <w:p w14:paraId="443BC107" w14:textId="05C76639" w:rsidR="005B0F27" w:rsidRPr="00D279DC" w:rsidRDefault="00001DBB" w:rsidP="00001DBB">
      <w:pPr>
        <w:rPr>
          <w:rFonts w:cs="Arial"/>
        </w:rPr>
      </w:pPr>
      <w:r w:rsidRPr="00D279DC">
        <w:rPr>
          <w:rFonts w:eastAsia="Times New Roman" w:cs="Arial"/>
          <w:color w:val="000000"/>
          <w:lang w:eastAsia="bg-BG"/>
        </w:rPr>
        <w:t xml:space="preserve">уебсайт: </w:t>
      </w:r>
      <w:hyperlink r:id="rId5" w:history="1">
        <w:r w:rsidRPr="00D279DC">
          <w:rPr>
            <w:rFonts w:eastAsia="Times New Roman" w:cs="Arial"/>
            <w:color w:val="000000"/>
            <w:lang w:val="en-US"/>
          </w:rPr>
          <w:t>www.bda.bg</w:t>
        </w:r>
      </w:hyperlink>
    </w:p>
    <w:p w14:paraId="4EFF8469" w14:textId="77777777" w:rsidR="00001DBB" w:rsidRPr="0091385D" w:rsidRDefault="00001DBB"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6A43B8F3" w14:textId="6BD55F2C" w:rsidR="007A2185" w:rsidRPr="00D279DC" w:rsidRDefault="00001DBB" w:rsidP="0091385D">
      <w:pPr>
        <w:rPr>
          <w:rFonts w:cs="Arial"/>
        </w:rPr>
      </w:pPr>
      <w:r w:rsidRPr="00D279DC">
        <w:rPr>
          <w:rFonts w:cs="Arial"/>
        </w:rPr>
        <w:t xml:space="preserve">Съгласно изследванията за токсичност при животни или клинико-фармакологичците изпитвания, проведени със супратерапевтични дози, най-важните признаци, които трябва да се очакват след остро предозиране на левофлоксацин, са симптоми от страна на централната нервна система, като обърканост, замаяност, нарушено съзнание и конвулсивни припадъци, удължаване на </w:t>
      </w:r>
      <w:r w:rsidRPr="00D279DC">
        <w:rPr>
          <w:rFonts w:cs="Arial"/>
          <w:lang w:val="en-US"/>
        </w:rPr>
        <w:t>QT</w:t>
      </w:r>
      <w:r w:rsidRPr="00D279DC">
        <w:rPr>
          <w:rFonts w:cs="Arial"/>
        </w:rPr>
        <w:t xml:space="preserve"> интервала,</w:t>
      </w:r>
      <w:r w:rsidRPr="00D279DC">
        <w:rPr>
          <w:rFonts w:cs="Arial"/>
          <w:vertAlign w:val="superscript"/>
        </w:rPr>
        <w:t xml:space="preserve"> </w:t>
      </w:r>
      <w:r w:rsidRPr="00D279DC">
        <w:rPr>
          <w:rFonts w:cs="Arial"/>
        </w:rPr>
        <w:t>както и стомашно-чревни реакции, като гадене и лигавични ерозии.</w:t>
      </w:r>
    </w:p>
    <w:p w14:paraId="73B0F8F1" w14:textId="674B2D5C" w:rsidR="00001DBB" w:rsidRPr="00D279DC" w:rsidRDefault="00001DBB" w:rsidP="0091385D">
      <w:pPr>
        <w:rPr>
          <w:rFonts w:cs="Arial"/>
        </w:rPr>
      </w:pPr>
    </w:p>
    <w:p w14:paraId="42007433"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Ефекти върху ЦНС, включително състояние на обърканост, конвулсии, халюцинации и тремор са наблюдавани при постмаркегинговия опит.</w:t>
      </w:r>
    </w:p>
    <w:p w14:paraId="13088847" w14:textId="77777777" w:rsidR="00001DBB" w:rsidRPr="00D279DC" w:rsidRDefault="00001DBB" w:rsidP="00001DBB">
      <w:pPr>
        <w:rPr>
          <w:rFonts w:eastAsia="Times New Roman" w:cs="Arial"/>
          <w:color w:val="000000"/>
          <w:lang w:eastAsia="bg-BG"/>
        </w:rPr>
      </w:pPr>
    </w:p>
    <w:p w14:paraId="4A180D58" w14:textId="307EFEFA" w:rsidR="00001DBB" w:rsidRPr="00D279DC" w:rsidRDefault="00001DBB" w:rsidP="00001DBB">
      <w:pPr>
        <w:rPr>
          <w:rFonts w:cs="Arial"/>
        </w:rPr>
      </w:pPr>
      <w:r w:rsidRPr="00D279DC">
        <w:rPr>
          <w:rFonts w:eastAsia="Times New Roman" w:cs="Arial"/>
          <w:color w:val="000000"/>
          <w:lang w:eastAsia="bg-BG"/>
        </w:rPr>
        <w:t xml:space="preserve">В случай на предозиране, трябва да се приложи симптоматично лечение. Трябва да се проведе проследяване на ЕКГ, поради възможността от удължаване на </w:t>
      </w:r>
      <w:r w:rsidRPr="00D279DC">
        <w:rPr>
          <w:rFonts w:eastAsia="Times New Roman" w:cs="Arial"/>
          <w:color w:val="000000"/>
          <w:lang w:val="en-US"/>
        </w:rPr>
        <w:t xml:space="preserve">QT </w:t>
      </w:r>
      <w:r w:rsidRPr="00D279DC">
        <w:rPr>
          <w:rFonts w:eastAsia="Times New Roman" w:cs="Arial"/>
          <w:color w:val="000000"/>
          <w:lang w:eastAsia="bg-BG"/>
        </w:rPr>
        <w:t xml:space="preserve">интервала. Може да се приложат антиацидни средства за предпазване на стомашната лигавица. Хемодиализа, включително перитонеална диализа и </w:t>
      </w:r>
      <w:r w:rsidRPr="00D279DC">
        <w:rPr>
          <w:rFonts w:eastAsia="Times New Roman" w:cs="Arial"/>
          <w:color w:val="000000"/>
          <w:lang w:val="en-US"/>
        </w:rPr>
        <w:t xml:space="preserve">CAPD, </w:t>
      </w:r>
      <w:r w:rsidRPr="00D279DC">
        <w:rPr>
          <w:rFonts w:eastAsia="Times New Roman" w:cs="Arial"/>
          <w:color w:val="000000"/>
          <w:lang w:eastAsia="bg-BG"/>
        </w:rPr>
        <w:t>не са ефективни за отстраняване на левофлоксацин от организма. Не съществува специфичен антидот.</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76D06F1C" w14:textId="77777777" w:rsidR="00001DBB" w:rsidRPr="00D279DC" w:rsidRDefault="00001DBB" w:rsidP="00001DBB">
      <w:pPr>
        <w:spacing w:line="240" w:lineRule="auto"/>
        <w:rPr>
          <w:rFonts w:eastAsia="Times New Roman" w:cs="Arial"/>
          <w:lang w:eastAsia="bg-BG"/>
        </w:rPr>
      </w:pPr>
      <w:r w:rsidRPr="00D279DC">
        <w:rPr>
          <w:rFonts w:eastAsia="Times New Roman" w:cs="Arial"/>
          <w:b/>
          <w:bCs/>
          <w:color w:val="000000"/>
          <w:lang w:eastAsia="bg-BG"/>
        </w:rPr>
        <w:t xml:space="preserve">Фармакотерапевтична група: </w:t>
      </w:r>
      <w:r w:rsidRPr="00D279DC">
        <w:rPr>
          <w:rFonts w:eastAsia="Times New Roman" w:cs="Arial"/>
          <w:color w:val="000000"/>
          <w:lang w:eastAsia="bg-BG"/>
        </w:rPr>
        <w:t>Антиинфекциозни средства за системно приложение Антибактериални средства за системно приложение- Хинолонови антибактериални средства - Флуорохинолони</w:t>
      </w:r>
    </w:p>
    <w:p w14:paraId="0BA0602E" w14:textId="77777777" w:rsidR="00001DBB" w:rsidRPr="00D279DC" w:rsidRDefault="00001DBB" w:rsidP="00001DBB">
      <w:pPr>
        <w:spacing w:line="240" w:lineRule="auto"/>
        <w:rPr>
          <w:rFonts w:eastAsia="Times New Roman" w:cs="Arial"/>
          <w:b/>
          <w:bCs/>
          <w:color w:val="000000"/>
          <w:lang w:eastAsia="bg-BG"/>
        </w:rPr>
      </w:pPr>
    </w:p>
    <w:p w14:paraId="35437AE3" w14:textId="6DE880C1" w:rsidR="00001DBB" w:rsidRPr="00D279DC" w:rsidRDefault="00001DBB" w:rsidP="00001DBB">
      <w:pPr>
        <w:spacing w:line="240" w:lineRule="auto"/>
        <w:rPr>
          <w:rFonts w:eastAsia="Times New Roman" w:cs="Arial"/>
          <w:lang w:eastAsia="bg-BG"/>
        </w:rPr>
      </w:pPr>
      <w:r w:rsidRPr="00D279DC">
        <w:rPr>
          <w:rFonts w:eastAsia="Times New Roman" w:cs="Arial"/>
          <w:b/>
          <w:bCs/>
          <w:color w:val="000000"/>
          <w:lang w:eastAsia="bg-BG"/>
        </w:rPr>
        <w:t xml:space="preserve">АТС код: </w:t>
      </w:r>
      <w:r w:rsidRPr="00D279DC">
        <w:rPr>
          <w:rFonts w:eastAsia="Times New Roman" w:cs="Arial"/>
          <w:color w:val="000000"/>
          <w:lang w:val="en-US"/>
        </w:rPr>
        <w:t>J01MA12</w:t>
      </w:r>
    </w:p>
    <w:p w14:paraId="03A4430F" w14:textId="77777777" w:rsidR="00001DBB" w:rsidRPr="00D279DC" w:rsidRDefault="00001DBB" w:rsidP="00001DBB">
      <w:pPr>
        <w:spacing w:line="240" w:lineRule="auto"/>
        <w:rPr>
          <w:rFonts w:eastAsia="Times New Roman" w:cs="Arial"/>
          <w:color w:val="000000"/>
          <w:lang w:eastAsia="bg-BG"/>
        </w:rPr>
      </w:pPr>
    </w:p>
    <w:p w14:paraId="78CE17B9" w14:textId="22968620"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 xml:space="preserve">Левофлоксацин е синтетично антибактериално средство от групата на флуорохинолоните и е </w:t>
      </w:r>
      <w:r w:rsidRPr="00D279DC">
        <w:rPr>
          <w:rFonts w:eastAsia="Times New Roman" w:cs="Arial"/>
          <w:color w:val="000000"/>
          <w:lang w:val="en-US"/>
        </w:rPr>
        <w:t xml:space="preserve">S </w:t>
      </w:r>
      <w:r w:rsidRPr="00D279DC">
        <w:rPr>
          <w:rFonts w:eastAsia="Times New Roman" w:cs="Arial"/>
          <w:color w:val="000000"/>
          <w:lang w:eastAsia="bg-BG"/>
        </w:rPr>
        <w:t>(-) енантиомер на рацемичното лекарствено вещество офлоксацин.</w:t>
      </w:r>
    </w:p>
    <w:p w14:paraId="092BBC6E" w14:textId="77777777" w:rsidR="00001DBB" w:rsidRPr="00D279DC" w:rsidRDefault="00001DBB" w:rsidP="00001DBB">
      <w:pPr>
        <w:spacing w:line="240" w:lineRule="auto"/>
        <w:rPr>
          <w:rFonts w:eastAsia="Times New Roman" w:cs="Arial"/>
          <w:i/>
          <w:iCs/>
          <w:color w:val="000000"/>
          <w:lang w:eastAsia="bg-BG"/>
        </w:rPr>
      </w:pPr>
    </w:p>
    <w:p w14:paraId="15711C6E" w14:textId="0E7DBF97" w:rsidR="00001DBB" w:rsidRPr="00D279DC" w:rsidRDefault="00001DBB" w:rsidP="00001DBB">
      <w:pPr>
        <w:spacing w:line="240" w:lineRule="auto"/>
        <w:rPr>
          <w:rFonts w:eastAsia="Times New Roman" w:cs="Arial"/>
          <w:lang w:eastAsia="bg-BG"/>
        </w:rPr>
      </w:pPr>
      <w:r w:rsidRPr="00D279DC">
        <w:rPr>
          <w:rFonts w:eastAsia="Times New Roman" w:cs="Arial"/>
          <w:i/>
          <w:iCs/>
          <w:color w:val="000000"/>
          <w:lang w:eastAsia="bg-BG"/>
        </w:rPr>
        <w:t>Механизъм на действие</w:t>
      </w:r>
    </w:p>
    <w:p w14:paraId="2F5C6421"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Като флуорохинолоново антибактериално средство, левофлоксацин действа върху комплекса ДНК- ДНК-гираза и топоизомераза IV.</w:t>
      </w:r>
    </w:p>
    <w:p w14:paraId="78166716" w14:textId="77777777" w:rsidR="00001DBB" w:rsidRPr="00D279DC" w:rsidRDefault="00001DBB" w:rsidP="00001DBB">
      <w:pPr>
        <w:spacing w:line="240" w:lineRule="auto"/>
        <w:rPr>
          <w:rFonts w:eastAsia="Times New Roman" w:cs="Arial"/>
          <w:i/>
          <w:iCs/>
          <w:color w:val="000000"/>
          <w:lang w:eastAsia="bg-BG"/>
        </w:rPr>
      </w:pPr>
    </w:p>
    <w:p w14:paraId="067A1A5D" w14:textId="09896C8F" w:rsidR="00001DBB" w:rsidRPr="00D279DC" w:rsidRDefault="00001DBB" w:rsidP="00001DBB">
      <w:pPr>
        <w:spacing w:line="240" w:lineRule="auto"/>
        <w:rPr>
          <w:rFonts w:eastAsia="Times New Roman" w:cs="Arial"/>
          <w:lang w:eastAsia="bg-BG"/>
        </w:rPr>
      </w:pPr>
      <w:r w:rsidRPr="00D279DC">
        <w:rPr>
          <w:rFonts w:eastAsia="Times New Roman" w:cs="Arial"/>
          <w:i/>
          <w:iCs/>
          <w:color w:val="000000"/>
          <w:lang w:eastAsia="bg-BG"/>
        </w:rPr>
        <w:lastRenderedPageBreak/>
        <w:t>Взаимовръзка ФК/ФД</w:t>
      </w:r>
    </w:p>
    <w:p w14:paraId="15520322"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Степента на бактерицидна активност на левофлоксацин зависи от съотношението на максималната серумна концентрация (С</w:t>
      </w:r>
      <w:r w:rsidRPr="00D279DC">
        <w:rPr>
          <w:rFonts w:eastAsia="Times New Roman" w:cs="Arial"/>
          <w:color w:val="000000"/>
          <w:vertAlign w:val="subscript"/>
          <w:lang w:val="en-US"/>
        </w:rPr>
        <w:t>max</w:t>
      </w:r>
      <w:r w:rsidRPr="00D279DC">
        <w:rPr>
          <w:rFonts w:eastAsia="Times New Roman" w:cs="Arial"/>
          <w:color w:val="000000"/>
          <w:lang w:eastAsia="bg-BG"/>
        </w:rPr>
        <w:t xml:space="preserve">) или площта под кривата </w:t>
      </w:r>
      <w:r w:rsidRPr="00D279DC">
        <w:rPr>
          <w:rFonts w:eastAsia="Times New Roman" w:cs="Arial"/>
          <w:color w:val="000000"/>
          <w:lang w:val="en-US"/>
        </w:rPr>
        <w:t xml:space="preserve">(AUC) </w:t>
      </w:r>
      <w:r w:rsidRPr="00D279DC">
        <w:rPr>
          <w:rFonts w:eastAsia="Times New Roman" w:cs="Arial"/>
          <w:color w:val="000000"/>
          <w:lang w:eastAsia="bg-BG"/>
        </w:rPr>
        <w:t xml:space="preserve">и минималната инхибиторна концентрация </w:t>
      </w:r>
      <w:r w:rsidRPr="00D279DC">
        <w:rPr>
          <w:rFonts w:eastAsia="Times New Roman" w:cs="Arial"/>
          <w:color w:val="000000"/>
          <w:lang w:val="en-US"/>
        </w:rPr>
        <w:t>(MIC).</w:t>
      </w:r>
    </w:p>
    <w:p w14:paraId="40B56250" w14:textId="77777777" w:rsidR="00001DBB" w:rsidRPr="00D279DC" w:rsidRDefault="00001DBB" w:rsidP="00001DBB">
      <w:pPr>
        <w:spacing w:line="240" w:lineRule="auto"/>
        <w:rPr>
          <w:rFonts w:eastAsia="Times New Roman" w:cs="Arial"/>
          <w:i/>
          <w:iCs/>
          <w:color w:val="000000"/>
          <w:lang w:eastAsia="bg-BG"/>
        </w:rPr>
      </w:pPr>
    </w:p>
    <w:p w14:paraId="064EDC50" w14:textId="36CF1069" w:rsidR="00001DBB" w:rsidRPr="00D279DC" w:rsidRDefault="00001DBB" w:rsidP="00001DBB">
      <w:pPr>
        <w:spacing w:line="240" w:lineRule="auto"/>
        <w:rPr>
          <w:rFonts w:eastAsia="Times New Roman" w:cs="Arial"/>
          <w:lang w:eastAsia="bg-BG"/>
        </w:rPr>
      </w:pPr>
      <w:r w:rsidRPr="00D279DC">
        <w:rPr>
          <w:rFonts w:eastAsia="Times New Roman" w:cs="Arial"/>
          <w:i/>
          <w:iCs/>
          <w:color w:val="000000"/>
          <w:lang w:eastAsia="bg-BG"/>
        </w:rPr>
        <w:t>Механизъм(и) нарезистентност</w:t>
      </w:r>
    </w:p>
    <w:p w14:paraId="1A669BF1"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 xml:space="preserve">Резистентността към левофлоксацин се придобива чрез поетапен процес на таргетни локални мутации на топоизомераза II, ДНК гираза и топоизомерза IV. Други механизми на резистентност, като пермеационни бариери (чести при </w:t>
      </w:r>
      <w:r w:rsidRPr="00D279DC">
        <w:rPr>
          <w:rFonts w:eastAsia="Times New Roman" w:cs="Arial"/>
          <w:i/>
          <w:iCs/>
          <w:color w:val="000000"/>
          <w:lang w:val="en-US"/>
        </w:rPr>
        <w:t>Pseudomonas aeruginosa)</w:t>
      </w:r>
      <w:r w:rsidRPr="00D279DC">
        <w:rPr>
          <w:rFonts w:eastAsia="Times New Roman" w:cs="Arial"/>
          <w:color w:val="000000"/>
          <w:lang w:val="en-US"/>
        </w:rPr>
        <w:t xml:space="preserve"> </w:t>
      </w:r>
      <w:r w:rsidRPr="00D279DC">
        <w:rPr>
          <w:rFonts w:eastAsia="Times New Roman" w:cs="Arial"/>
          <w:color w:val="000000"/>
          <w:lang w:eastAsia="bg-BG"/>
        </w:rPr>
        <w:t>и ефлуксни механизми, могат също да повлияят чувствителността към левофлоксацин.</w:t>
      </w:r>
    </w:p>
    <w:p w14:paraId="46055A41" w14:textId="77777777" w:rsidR="00001DBB" w:rsidRPr="00D279DC" w:rsidRDefault="00001DBB" w:rsidP="00001DBB">
      <w:pPr>
        <w:spacing w:line="240" w:lineRule="auto"/>
        <w:rPr>
          <w:rFonts w:eastAsia="Times New Roman" w:cs="Arial"/>
          <w:color w:val="000000"/>
          <w:lang w:eastAsia="bg-BG"/>
        </w:rPr>
      </w:pPr>
    </w:p>
    <w:p w14:paraId="6D792CD6" w14:textId="4FAD4A39"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Наблюдава се кръстосана резистентност между левофлоксацин и други флуорохинолони. Поради механизма на действие, като цяло липсва кръстосана резистентност между левофлоксацин и други класове антибактериални средства.</w:t>
      </w:r>
    </w:p>
    <w:p w14:paraId="1560C0B1" w14:textId="77777777" w:rsidR="00001DBB" w:rsidRPr="00D279DC" w:rsidRDefault="00001DBB" w:rsidP="00001DBB">
      <w:pPr>
        <w:spacing w:line="240" w:lineRule="auto"/>
        <w:rPr>
          <w:rFonts w:eastAsia="Times New Roman" w:cs="Arial"/>
          <w:i/>
          <w:iCs/>
          <w:color w:val="000000"/>
          <w:u w:val="single"/>
          <w:lang w:eastAsia="bg-BG"/>
        </w:rPr>
      </w:pPr>
    </w:p>
    <w:p w14:paraId="5CBA0819" w14:textId="44308B67" w:rsidR="00001DBB" w:rsidRPr="00D279DC" w:rsidRDefault="00001DBB" w:rsidP="00001DBB">
      <w:pPr>
        <w:spacing w:line="240" w:lineRule="auto"/>
        <w:rPr>
          <w:rFonts w:eastAsia="Times New Roman" w:cs="Arial"/>
          <w:lang w:eastAsia="bg-BG"/>
        </w:rPr>
      </w:pPr>
      <w:r w:rsidRPr="00D279DC">
        <w:rPr>
          <w:rFonts w:eastAsia="Times New Roman" w:cs="Arial"/>
          <w:i/>
          <w:iCs/>
          <w:color w:val="000000"/>
          <w:u w:val="single"/>
          <w:lang w:eastAsia="bg-BG"/>
        </w:rPr>
        <w:t>Гранични стойности</w:t>
      </w:r>
    </w:p>
    <w:p w14:paraId="67D598BF"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 xml:space="preserve">Препоръчаните от </w:t>
      </w:r>
      <w:r w:rsidRPr="00D279DC">
        <w:rPr>
          <w:rFonts w:eastAsia="Times New Roman" w:cs="Arial"/>
          <w:color w:val="000000"/>
          <w:lang w:val="en-US"/>
        </w:rPr>
        <w:t xml:space="preserve">EUCAST </w:t>
      </w:r>
      <w:r w:rsidRPr="00D279DC">
        <w:rPr>
          <w:rFonts w:eastAsia="Times New Roman" w:cs="Arial"/>
          <w:color w:val="000000"/>
          <w:lang w:eastAsia="bg-BG"/>
        </w:rPr>
        <w:t xml:space="preserve">гранични стойности на </w:t>
      </w:r>
      <w:r w:rsidRPr="00D279DC">
        <w:rPr>
          <w:rFonts w:eastAsia="Times New Roman" w:cs="Arial"/>
          <w:color w:val="000000"/>
          <w:lang w:val="en-US"/>
        </w:rPr>
        <w:t xml:space="preserve">MIC </w:t>
      </w:r>
      <w:r w:rsidRPr="00D279DC">
        <w:rPr>
          <w:rFonts w:eastAsia="Times New Roman" w:cs="Arial"/>
          <w:color w:val="000000"/>
          <w:lang w:eastAsia="bg-BG"/>
        </w:rPr>
        <w:t xml:space="preserve">за левофлоксацин, разграничаващи чувствителните от интермедиерно чувствителните организми и интермедиерно чувствителните от резистентните организми, са представени в таблицата по-долу за изследване на </w:t>
      </w:r>
      <w:r w:rsidRPr="00D279DC">
        <w:rPr>
          <w:rFonts w:eastAsia="Times New Roman" w:cs="Arial"/>
          <w:color w:val="000000"/>
          <w:lang w:val="en-US"/>
        </w:rPr>
        <w:t>MIC (mg/l).</w:t>
      </w:r>
    </w:p>
    <w:p w14:paraId="4420BBBD" w14:textId="77777777" w:rsidR="00001DBB" w:rsidRPr="00D279DC" w:rsidRDefault="00001DBB" w:rsidP="00001DBB">
      <w:pPr>
        <w:rPr>
          <w:rFonts w:eastAsia="Times New Roman" w:cs="Arial"/>
          <w:i/>
          <w:iCs/>
          <w:color w:val="000000"/>
          <w:lang w:val="en-US"/>
        </w:rPr>
      </w:pPr>
    </w:p>
    <w:p w14:paraId="038F692B" w14:textId="56643884" w:rsidR="007A2185" w:rsidRPr="00D279DC" w:rsidRDefault="00001DBB" w:rsidP="00001DBB">
      <w:pPr>
        <w:rPr>
          <w:rFonts w:eastAsia="Times New Roman" w:cs="Arial"/>
          <w:i/>
          <w:iCs/>
          <w:color w:val="000000"/>
          <w:lang w:eastAsia="bg-BG"/>
        </w:rPr>
      </w:pPr>
      <w:r w:rsidRPr="00D279DC">
        <w:rPr>
          <w:rFonts w:eastAsia="Times New Roman" w:cs="Arial"/>
          <w:i/>
          <w:iCs/>
          <w:color w:val="000000"/>
          <w:lang w:val="en-US"/>
        </w:rPr>
        <w:t xml:space="preserve">EUCAST </w:t>
      </w:r>
      <w:r w:rsidRPr="00D279DC">
        <w:rPr>
          <w:rFonts w:eastAsia="Times New Roman" w:cs="Arial"/>
          <w:i/>
          <w:iCs/>
          <w:color w:val="000000"/>
          <w:lang w:eastAsia="bg-BG"/>
        </w:rPr>
        <w:t xml:space="preserve">клинични гранични стойности на </w:t>
      </w:r>
      <w:r w:rsidRPr="00D279DC">
        <w:rPr>
          <w:rFonts w:eastAsia="Times New Roman" w:cs="Arial"/>
          <w:i/>
          <w:iCs/>
          <w:color w:val="000000"/>
          <w:lang w:val="en-US"/>
        </w:rPr>
        <w:t xml:space="preserve">MIC </w:t>
      </w:r>
      <w:r w:rsidRPr="00D279DC">
        <w:rPr>
          <w:rFonts w:eastAsia="Times New Roman" w:cs="Arial"/>
          <w:i/>
          <w:iCs/>
          <w:color w:val="000000"/>
          <w:lang w:eastAsia="bg-BG"/>
        </w:rPr>
        <w:t>за левофлоксацин (версия 2.0, 2012-01-01) са:</w:t>
      </w:r>
    </w:p>
    <w:p w14:paraId="5DD9160A" w14:textId="313F7D71" w:rsidR="00001DBB" w:rsidRPr="00D279DC" w:rsidRDefault="00001DBB" w:rsidP="00001DBB">
      <w:pPr>
        <w:rPr>
          <w:rFonts w:cs="Arial"/>
        </w:rPr>
      </w:pPr>
    </w:p>
    <w:tbl>
      <w:tblPr>
        <w:tblStyle w:val="TableGrid"/>
        <w:tblW w:w="0" w:type="auto"/>
        <w:tblLook w:val="04A0" w:firstRow="1" w:lastRow="0" w:firstColumn="1" w:lastColumn="0" w:noHBand="0" w:noVBand="1"/>
      </w:tblPr>
      <w:tblGrid>
        <w:gridCol w:w="3116"/>
        <w:gridCol w:w="3117"/>
        <w:gridCol w:w="3117"/>
      </w:tblGrid>
      <w:tr w:rsidR="00001DBB" w:rsidRPr="00D279DC" w14:paraId="5FDB77BA" w14:textId="77777777" w:rsidTr="00001DBB">
        <w:tc>
          <w:tcPr>
            <w:tcW w:w="3116" w:type="dxa"/>
          </w:tcPr>
          <w:p w14:paraId="03505F4E" w14:textId="4FBBDF53" w:rsidR="00001DBB" w:rsidRPr="00D279DC" w:rsidRDefault="00001DBB" w:rsidP="00001DBB">
            <w:pPr>
              <w:rPr>
                <w:rFonts w:cs="Arial"/>
              </w:rPr>
            </w:pPr>
            <w:r w:rsidRPr="00D279DC">
              <w:rPr>
                <w:rFonts w:cs="Arial"/>
                <w:b/>
                <w:bCs/>
                <w:lang w:eastAsia="bg-BG"/>
              </w:rPr>
              <w:t>Патоген</w:t>
            </w:r>
          </w:p>
        </w:tc>
        <w:tc>
          <w:tcPr>
            <w:tcW w:w="3117" w:type="dxa"/>
          </w:tcPr>
          <w:p w14:paraId="3D64D342" w14:textId="75734A5E" w:rsidR="00001DBB" w:rsidRPr="00D279DC" w:rsidRDefault="00001DBB" w:rsidP="00001DBB">
            <w:pPr>
              <w:rPr>
                <w:rFonts w:cs="Arial"/>
              </w:rPr>
            </w:pPr>
            <w:r w:rsidRPr="00D279DC">
              <w:rPr>
                <w:rFonts w:cs="Arial"/>
                <w:b/>
                <w:bCs/>
                <w:lang w:eastAsia="bg-BG"/>
              </w:rPr>
              <w:t>Чувствителен</w:t>
            </w:r>
          </w:p>
        </w:tc>
        <w:tc>
          <w:tcPr>
            <w:tcW w:w="3117" w:type="dxa"/>
          </w:tcPr>
          <w:p w14:paraId="60094CFD" w14:textId="62F8E278" w:rsidR="00001DBB" w:rsidRPr="00D279DC" w:rsidRDefault="00001DBB" w:rsidP="00001DBB">
            <w:pPr>
              <w:rPr>
                <w:rFonts w:cs="Arial"/>
              </w:rPr>
            </w:pPr>
            <w:r w:rsidRPr="00D279DC">
              <w:rPr>
                <w:rFonts w:cs="Arial"/>
                <w:b/>
                <w:bCs/>
                <w:lang w:eastAsia="bg-BG"/>
              </w:rPr>
              <w:t>Резистентен</w:t>
            </w:r>
          </w:p>
        </w:tc>
      </w:tr>
      <w:tr w:rsidR="00001DBB" w:rsidRPr="00D279DC" w14:paraId="4700FC07" w14:textId="77777777" w:rsidTr="00001DBB">
        <w:tc>
          <w:tcPr>
            <w:tcW w:w="3116" w:type="dxa"/>
          </w:tcPr>
          <w:p w14:paraId="018CF10B" w14:textId="01150C36" w:rsidR="00001DBB" w:rsidRPr="00D279DC" w:rsidRDefault="00001DBB" w:rsidP="00001DBB">
            <w:pPr>
              <w:rPr>
                <w:rFonts w:cs="Arial"/>
              </w:rPr>
            </w:pPr>
            <w:r w:rsidRPr="00D279DC">
              <w:rPr>
                <w:rFonts w:cs="Arial"/>
              </w:rPr>
              <w:t>Enterobacteriacae</w:t>
            </w:r>
          </w:p>
        </w:tc>
        <w:tc>
          <w:tcPr>
            <w:tcW w:w="3117" w:type="dxa"/>
          </w:tcPr>
          <w:p w14:paraId="1707D7A4" w14:textId="1F821556" w:rsidR="00001DBB" w:rsidRPr="00D279DC" w:rsidRDefault="00001DBB" w:rsidP="00001DBB">
            <w:pPr>
              <w:rPr>
                <w:rFonts w:cs="Arial"/>
              </w:rPr>
            </w:pPr>
            <w:r w:rsidRPr="00D279DC">
              <w:rPr>
                <w:rFonts w:cs="Arial"/>
                <w:lang w:eastAsia="bg-BG"/>
              </w:rPr>
              <w:t>≤</w:t>
            </w:r>
            <w:r w:rsidRPr="00D279DC">
              <w:rPr>
                <w:rFonts w:cs="Arial"/>
              </w:rPr>
              <w:t>1 mg/l</w:t>
            </w:r>
          </w:p>
        </w:tc>
        <w:tc>
          <w:tcPr>
            <w:tcW w:w="3117" w:type="dxa"/>
          </w:tcPr>
          <w:p w14:paraId="22E85B3D" w14:textId="5C79540A" w:rsidR="00001DBB" w:rsidRPr="00D279DC" w:rsidRDefault="00001DBB" w:rsidP="00001DBB">
            <w:pPr>
              <w:rPr>
                <w:rFonts w:cs="Arial"/>
              </w:rPr>
            </w:pPr>
            <w:r w:rsidRPr="00D279DC">
              <w:rPr>
                <w:rFonts w:cs="Arial"/>
              </w:rPr>
              <w:t>&gt;2 mg/l</w:t>
            </w:r>
          </w:p>
        </w:tc>
      </w:tr>
      <w:tr w:rsidR="00001DBB" w:rsidRPr="00D279DC" w14:paraId="0FF929C1" w14:textId="77777777" w:rsidTr="00001DBB">
        <w:tc>
          <w:tcPr>
            <w:tcW w:w="3116" w:type="dxa"/>
          </w:tcPr>
          <w:p w14:paraId="0BD177F8" w14:textId="3599FA22" w:rsidR="00001DBB" w:rsidRPr="00D279DC" w:rsidRDefault="00001DBB" w:rsidP="00001DBB">
            <w:pPr>
              <w:rPr>
                <w:rFonts w:cs="Arial"/>
              </w:rPr>
            </w:pPr>
            <w:r w:rsidRPr="00D279DC">
              <w:rPr>
                <w:rFonts w:cs="Arial"/>
                <w:i/>
                <w:iCs/>
              </w:rPr>
              <w:t>Pseudomonas spp.</w:t>
            </w:r>
          </w:p>
        </w:tc>
        <w:tc>
          <w:tcPr>
            <w:tcW w:w="3117" w:type="dxa"/>
          </w:tcPr>
          <w:p w14:paraId="7DF41199" w14:textId="6F1DBB1F" w:rsidR="00001DBB" w:rsidRPr="00D279DC" w:rsidRDefault="00001DBB" w:rsidP="00001DBB">
            <w:pPr>
              <w:rPr>
                <w:rFonts w:cs="Arial"/>
              </w:rPr>
            </w:pPr>
            <w:r w:rsidRPr="00D279DC">
              <w:rPr>
                <w:rFonts w:cs="Arial"/>
                <w:lang w:eastAsia="bg-BG"/>
              </w:rPr>
              <w:t>≤</w:t>
            </w:r>
            <w:r w:rsidRPr="00D279DC">
              <w:rPr>
                <w:rFonts w:cs="Arial"/>
              </w:rPr>
              <w:t>1 mg/l</w:t>
            </w:r>
          </w:p>
        </w:tc>
        <w:tc>
          <w:tcPr>
            <w:tcW w:w="3117" w:type="dxa"/>
          </w:tcPr>
          <w:p w14:paraId="175416BE" w14:textId="62A08D1F" w:rsidR="00001DBB" w:rsidRPr="00D279DC" w:rsidRDefault="00001DBB" w:rsidP="00001DBB">
            <w:pPr>
              <w:rPr>
                <w:rFonts w:cs="Arial"/>
              </w:rPr>
            </w:pPr>
            <w:r w:rsidRPr="00D279DC">
              <w:rPr>
                <w:rFonts w:cs="Arial"/>
              </w:rPr>
              <w:t>&gt;2 mg/l</w:t>
            </w:r>
          </w:p>
        </w:tc>
      </w:tr>
      <w:tr w:rsidR="00001DBB" w:rsidRPr="00D279DC" w14:paraId="38911782" w14:textId="77777777" w:rsidTr="00001DBB">
        <w:tc>
          <w:tcPr>
            <w:tcW w:w="3116" w:type="dxa"/>
          </w:tcPr>
          <w:p w14:paraId="64C38377" w14:textId="4452B7A7" w:rsidR="00001DBB" w:rsidRPr="00D279DC" w:rsidRDefault="00001DBB" w:rsidP="00001DBB">
            <w:pPr>
              <w:rPr>
                <w:rFonts w:cs="Arial"/>
              </w:rPr>
            </w:pPr>
            <w:r w:rsidRPr="00D279DC">
              <w:rPr>
                <w:rFonts w:cs="Arial"/>
                <w:i/>
                <w:iCs/>
              </w:rPr>
              <w:t>Acinetobacter spp.</w:t>
            </w:r>
          </w:p>
        </w:tc>
        <w:tc>
          <w:tcPr>
            <w:tcW w:w="3117" w:type="dxa"/>
          </w:tcPr>
          <w:p w14:paraId="3B974878" w14:textId="345C4FE5" w:rsidR="00001DBB" w:rsidRPr="00D279DC" w:rsidRDefault="00001DBB" w:rsidP="00001DBB">
            <w:pPr>
              <w:rPr>
                <w:rFonts w:cs="Arial"/>
              </w:rPr>
            </w:pPr>
            <w:r w:rsidRPr="00D279DC">
              <w:rPr>
                <w:rFonts w:cs="Arial"/>
                <w:lang w:eastAsia="bg-BG"/>
              </w:rPr>
              <w:t>≤</w:t>
            </w:r>
            <w:r w:rsidRPr="00D279DC">
              <w:rPr>
                <w:rFonts w:cs="Arial"/>
              </w:rPr>
              <w:t>1 mg/l</w:t>
            </w:r>
          </w:p>
        </w:tc>
        <w:tc>
          <w:tcPr>
            <w:tcW w:w="3117" w:type="dxa"/>
          </w:tcPr>
          <w:p w14:paraId="35C3EE13" w14:textId="5471CFF1" w:rsidR="00001DBB" w:rsidRPr="00D279DC" w:rsidRDefault="00001DBB" w:rsidP="00001DBB">
            <w:pPr>
              <w:rPr>
                <w:rFonts w:cs="Arial"/>
              </w:rPr>
            </w:pPr>
            <w:r w:rsidRPr="00D279DC">
              <w:rPr>
                <w:rFonts w:cs="Arial"/>
              </w:rPr>
              <w:t>&gt;2 mg/l</w:t>
            </w:r>
          </w:p>
        </w:tc>
      </w:tr>
      <w:tr w:rsidR="00001DBB" w:rsidRPr="00D279DC" w14:paraId="08798519" w14:textId="77777777" w:rsidTr="00001DBB">
        <w:tc>
          <w:tcPr>
            <w:tcW w:w="3116" w:type="dxa"/>
          </w:tcPr>
          <w:p w14:paraId="313FB071" w14:textId="2D4342E5" w:rsidR="00001DBB" w:rsidRPr="00D279DC" w:rsidRDefault="00001DBB" w:rsidP="00001DBB">
            <w:pPr>
              <w:rPr>
                <w:rFonts w:cs="Arial"/>
              </w:rPr>
            </w:pPr>
            <w:r w:rsidRPr="00D279DC">
              <w:rPr>
                <w:rFonts w:cs="Arial"/>
                <w:i/>
                <w:iCs/>
              </w:rPr>
              <w:t>Staphylococcus spp.</w:t>
            </w:r>
          </w:p>
        </w:tc>
        <w:tc>
          <w:tcPr>
            <w:tcW w:w="3117" w:type="dxa"/>
          </w:tcPr>
          <w:p w14:paraId="7360AD33" w14:textId="086A05B7" w:rsidR="00001DBB" w:rsidRPr="00D279DC" w:rsidRDefault="00001DBB" w:rsidP="00001DBB">
            <w:pPr>
              <w:rPr>
                <w:rFonts w:cs="Arial"/>
              </w:rPr>
            </w:pPr>
            <w:r w:rsidRPr="00D279DC">
              <w:rPr>
                <w:rFonts w:cs="Arial"/>
                <w:lang w:eastAsia="bg-BG"/>
              </w:rPr>
              <w:t>≤</w:t>
            </w:r>
            <w:r w:rsidRPr="00D279DC">
              <w:rPr>
                <w:rFonts w:cs="Arial"/>
              </w:rPr>
              <w:t>1 mg/l</w:t>
            </w:r>
          </w:p>
        </w:tc>
        <w:tc>
          <w:tcPr>
            <w:tcW w:w="3117" w:type="dxa"/>
          </w:tcPr>
          <w:p w14:paraId="5EE168AC" w14:textId="6669EBA2" w:rsidR="00001DBB" w:rsidRPr="00D279DC" w:rsidRDefault="00001DBB" w:rsidP="00001DBB">
            <w:pPr>
              <w:rPr>
                <w:rFonts w:cs="Arial"/>
              </w:rPr>
            </w:pPr>
            <w:r w:rsidRPr="00D279DC">
              <w:rPr>
                <w:rFonts w:cs="Arial"/>
                <w:i/>
                <w:iCs/>
              </w:rPr>
              <w:t>&gt;2</w:t>
            </w:r>
            <w:r w:rsidRPr="00D279DC">
              <w:rPr>
                <w:rFonts w:cs="Arial"/>
              </w:rPr>
              <w:t xml:space="preserve"> mg/l</w:t>
            </w:r>
          </w:p>
        </w:tc>
      </w:tr>
      <w:tr w:rsidR="00001DBB" w:rsidRPr="00D279DC" w14:paraId="518EED27" w14:textId="77777777" w:rsidTr="00001DBB">
        <w:tc>
          <w:tcPr>
            <w:tcW w:w="3116" w:type="dxa"/>
          </w:tcPr>
          <w:p w14:paraId="38F3D82A" w14:textId="0881A1DD" w:rsidR="00001DBB" w:rsidRPr="00D279DC" w:rsidRDefault="00001DBB" w:rsidP="00001DBB">
            <w:pPr>
              <w:rPr>
                <w:rFonts w:cs="Arial"/>
              </w:rPr>
            </w:pPr>
            <w:r w:rsidRPr="00D279DC">
              <w:rPr>
                <w:rFonts w:cs="Arial"/>
                <w:i/>
                <w:iCs/>
              </w:rPr>
              <w:t xml:space="preserve">S.pneumoniae </w:t>
            </w:r>
            <w:r w:rsidRPr="00D279DC">
              <w:rPr>
                <w:rFonts w:cs="Arial"/>
                <w:i/>
                <w:iCs/>
                <w:vertAlign w:val="superscript"/>
              </w:rPr>
              <w:t>1</w:t>
            </w:r>
          </w:p>
        </w:tc>
        <w:tc>
          <w:tcPr>
            <w:tcW w:w="3117" w:type="dxa"/>
          </w:tcPr>
          <w:p w14:paraId="7DB8930E" w14:textId="702B3FFF" w:rsidR="00001DBB" w:rsidRPr="00D279DC" w:rsidRDefault="00001DBB" w:rsidP="00001DBB">
            <w:pPr>
              <w:rPr>
                <w:rFonts w:cs="Arial"/>
              </w:rPr>
            </w:pPr>
            <w:r w:rsidRPr="00D279DC">
              <w:rPr>
                <w:rFonts w:cs="Arial"/>
                <w:lang w:eastAsia="bg-BG"/>
              </w:rPr>
              <w:t>≤</w:t>
            </w:r>
            <w:r w:rsidRPr="00D279DC">
              <w:rPr>
                <w:rFonts w:cs="Arial"/>
              </w:rPr>
              <w:t>2 mg/l</w:t>
            </w:r>
          </w:p>
        </w:tc>
        <w:tc>
          <w:tcPr>
            <w:tcW w:w="3117" w:type="dxa"/>
          </w:tcPr>
          <w:p w14:paraId="2CEE6B16" w14:textId="464319FD" w:rsidR="00001DBB" w:rsidRPr="00D279DC" w:rsidRDefault="00001DBB" w:rsidP="00001DBB">
            <w:pPr>
              <w:rPr>
                <w:rFonts w:cs="Arial"/>
              </w:rPr>
            </w:pPr>
            <w:r w:rsidRPr="00D279DC">
              <w:rPr>
                <w:rFonts w:cs="Arial"/>
              </w:rPr>
              <w:t>&gt;2 mg/l</w:t>
            </w:r>
          </w:p>
        </w:tc>
      </w:tr>
      <w:tr w:rsidR="00001DBB" w:rsidRPr="00D279DC" w14:paraId="0FA1FADD" w14:textId="77777777" w:rsidTr="00001DBB">
        <w:tc>
          <w:tcPr>
            <w:tcW w:w="3116" w:type="dxa"/>
          </w:tcPr>
          <w:p w14:paraId="732CD9EA" w14:textId="1748DE99" w:rsidR="00001DBB" w:rsidRPr="00D279DC" w:rsidRDefault="00001DBB" w:rsidP="00001DBB">
            <w:pPr>
              <w:rPr>
                <w:rFonts w:cs="Arial"/>
              </w:rPr>
            </w:pPr>
            <w:r w:rsidRPr="00D279DC">
              <w:rPr>
                <w:rFonts w:cs="Arial"/>
                <w:i/>
                <w:iCs/>
              </w:rPr>
              <w:t xml:space="preserve">Streptococcus </w:t>
            </w:r>
            <w:r w:rsidRPr="00D279DC">
              <w:rPr>
                <w:rFonts w:cs="Arial"/>
                <w:i/>
                <w:iCs/>
                <w:lang w:eastAsia="bg-BG"/>
              </w:rPr>
              <w:t xml:space="preserve">А, В, </w:t>
            </w:r>
            <w:r w:rsidRPr="00D279DC">
              <w:rPr>
                <w:rFonts w:cs="Arial"/>
                <w:i/>
                <w:iCs/>
              </w:rPr>
              <w:t>C, G</w:t>
            </w:r>
          </w:p>
        </w:tc>
        <w:tc>
          <w:tcPr>
            <w:tcW w:w="3117" w:type="dxa"/>
          </w:tcPr>
          <w:p w14:paraId="1AB0E3AA" w14:textId="61904555" w:rsidR="00001DBB" w:rsidRPr="00D279DC" w:rsidRDefault="00001DBB" w:rsidP="00001DBB">
            <w:pPr>
              <w:rPr>
                <w:rFonts w:cs="Arial"/>
              </w:rPr>
            </w:pPr>
            <w:r w:rsidRPr="00D279DC">
              <w:rPr>
                <w:rFonts w:cs="Arial"/>
                <w:lang w:eastAsia="bg-BG"/>
              </w:rPr>
              <w:t>≤</w:t>
            </w:r>
            <w:r w:rsidRPr="00D279DC">
              <w:rPr>
                <w:rFonts w:cs="Arial"/>
              </w:rPr>
              <w:t>1 mg/l</w:t>
            </w:r>
          </w:p>
        </w:tc>
        <w:tc>
          <w:tcPr>
            <w:tcW w:w="3117" w:type="dxa"/>
          </w:tcPr>
          <w:p w14:paraId="0F1ABBC4" w14:textId="76C0BF18" w:rsidR="00001DBB" w:rsidRPr="00D279DC" w:rsidRDefault="00001DBB" w:rsidP="00001DBB">
            <w:pPr>
              <w:rPr>
                <w:rFonts w:cs="Arial"/>
              </w:rPr>
            </w:pPr>
            <w:r w:rsidRPr="00D279DC">
              <w:rPr>
                <w:rFonts w:cs="Arial"/>
              </w:rPr>
              <w:t>&gt;2 mg/l</w:t>
            </w:r>
          </w:p>
        </w:tc>
      </w:tr>
      <w:tr w:rsidR="00001DBB" w:rsidRPr="00D279DC" w14:paraId="13D8212D" w14:textId="77777777" w:rsidTr="00001DBB">
        <w:tc>
          <w:tcPr>
            <w:tcW w:w="3116" w:type="dxa"/>
          </w:tcPr>
          <w:p w14:paraId="5421ADA7" w14:textId="5B6FE72A" w:rsidR="00001DBB" w:rsidRPr="00D279DC" w:rsidRDefault="00001DBB" w:rsidP="00001DBB">
            <w:pPr>
              <w:rPr>
                <w:rFonts w:cs="Arial"/>
              </w:rPr>
            </w:pPr>
            <w:r w:rsidRPr="00D279DC">
              <w:rPr>
                <w:rFonts w:cs="Arial"/>
                <w:i/>
                <w:iCs/>
              </w:rPr>
              <w:t>H.influenzae</w:t>
            </w:r>
            <w:r w:rsidRPr="00D279DC">
              <w:rPr>
                <w:rFonts w:cs="Arial"/>
                <w:i/>
                <w:iCs/>
                <w:vertAlign w:val="superscript"/>
              </w:rPr>
              <w:t>1,3</w:t>
            </w:r>
            <w:r w:rsidRPr="00D279DC">
              <w:rPr>
                <w:rFonts w:cs="Arial"/>
                <w:i/>
                <w:iCs/>
              </w:rPr>
              <w:t xml:space="preserve"> M.catarrhalis </w:t>
            </w:r>
            <w:r w:rsidRPr="00D279DC">
              <w:rPr>
                <w:rFonts w:cs="Arial"/>
                <w:i/>
                <w:iCs/>
                <w:vertAlign w:val="superscript"/>
              </w:rPr>
              <w:t>3</w:t>
            </w:r>
            <w:r w:rsidRPr="00D279DC">
              <w:rPr>
                <w:rFonts w:cs="Arial"/>
                <w:i/>
                <w:iCs/>
              </w:rPr>
              <w:t xml:space="preserve"> </w:t>
            </w:r>
          </w:p>
        </w:tc>
        <w:tc>
          <w:tcPr>
            <w:tcW w:w="3117" w:type="dxa"/>
          </w:tcPr>
          <w:p w14:paraId="2B0FB071" w14:textId="6F042260" w:rsidR="00001DBB" w:rsidRPr="00D279DC" w:rsidRDefault="00001DBB" w:rsidP="00001DBB">
            <w:pPr>
              <w:rPr>
                <w:rFonts w:cs="Arial"/>
              </w:rPr>
            </w:pPr>
            <w:r w:rsidRPr="00D279DC">
              <w:rPr>
                <w:rFonts w:cs="Arial"/>
                <w:lang w:eastAsia="bg-BG"/>
              </w:rPr>
              <w:t>≤</w:t>
            </w:r>
            <w:r w:rsidRPr="00D279DC">
              <w:rPr>
                <w:rFonts w:cs="Arial"/>
              </w:rPr>
              <w:t>1 mg/l</w:t>
            </w:r>
          </w:p>
        </w:tc>
        <w:tc>
          <w:tcPr>
            <w:tcW w:w="3117" w:type="dxa"/>
          </w:tcPr>
          <w:p w14:paraId="13F0B18D" w14:textId="0CA7C134" w:rsidR="00001DBB" w:rsidRPr="00D279DC" w:rsidRDefault="00001DBB" w:rsidP="00001DBB">
            <w:pPr>
              <w:rPr>
                <w:rFonts w:cs="Arial"/>
              </w:rPr>
            </w:pPr>
            <w:r w:rsidRPr="00D279DC">
              <w:rPr>
                <w:rFonts w:cs="Arial"/>
              </w:rPr>
              <w:t>&gt;1 mg/l</w:t>
            </w:r>
          </w:p>
        </w:tc>
      </w:tr>
      <w:tr w:rsidR="00001DBB" w:rsidRPr="00D279DC" w14:paraId="72D0F340" w14:textId="77777777" w:rsidTr="00001DBB">
        <w:tc>
          <w:tcPr>
            <w:tcW w:w="3116" w:type="dxa"/>
          </w:tcPr>
          <w:p w14:paraId="657D829A" w14:textId="011FB2CD" w:rsidR="00001DBB" w:rsidRPr="00D279DC" w:rsidRDefault="00001DBB" w:rsidP="00001DBB">
            <w:pPr>
              <w:rPr>
                <w:rFonts w:cs="Arial"/>
              </w:rPr>
            </w:pPr>
            <w:r w:rsidRPr="00D279DC">
              <w:rPr>
                <w:rFonts w:cs="Arial"/>
                <w:b/>
                <w:bCs/>
              </w:rPr>
              <w:t>Патоген</w:t>
            </w:r>
          </w:p>
        </w:tc>
        <w:tc>
          <w:tcPr>
            <w:tcW w:w="3117" w:type="dxa"/>
          </w:tcPr>
          <w:p w14:paraId="1B08442F" w14:textId="381B0491" w:rsidR="00001DBB" w:rsidRPr="00D279DC" w:rsidRDefault="00001DBB" w:rsidP="00001DBB">
            <w:pPr>
              <w:rPr>
                <w:rFonts w:cs="Arial"/>
              </w:rPr>
            </w:pPr>
            <w:r w:rsidRPr="00D279DC">
              <w:rPr>
                <w:rFonts w:cs="Arial"/>
                <w:b/>
                <w:bCs/>
              </w:rPr>
              <w:t>Чувствителен</w:t>
            </w:r>
          </w:p>
        </w:tc>
        <w:tc>
          <w:tcPr>
            <w:tcW w:w="3117" w:type="dxa"/>
          </w:tcPr>
          <w:p w14:paraId="272C8AAE" w14:textId="7F8AFAF3" w:rsidR="00001DBB" w:rsidRPr="00D279DC" w:rsidRDefault="00001DBB" w:rsidP="00001DBB">
            <w:pPr>
              <w:rPr>
                <w:rFonts w:cs="Arial"/>
              </w:rPr>
            </w:pPr>
            <w:r w:rsidRPr="00D279DC">
              <w:rPr>
                <w:rFonts w:cs="Arial"/>
                <w:b/>
                <w:bCs/>
              </w:rPr>
              <w:t>Резистентен</w:t>
            </w:r>
          </w:p>
        </w:tc>
      </w:tr>
      <w:tr w:rsidR="00001DBB" w:rsidRPr="00D279DC" w14:paraId="6D5E1F74" w14:textId="77777777" w:rsidTr="00001DBB">
        <w:tc>
          <w:tcPr>
            <w:tcW w:w="3116" w:type="dxa"/>
          </w:tcPr>
          <w:p w14:paraId="5510C760" w14:textId="11CA4480" w:rsidR="00001DBB" w:rsidRPr="00D279DC" w:rsidRDefault="00001DBB" w:rsidP="00001DBB">
            <w:pPr>
              <w:rPr>
                <w:rFonts w:cs="Arial"/>
              </w:rPr>
            </w:pPr>
            <w:r w:rsidRPr="00D279DC">
              <w:rPr>
                <w:rFonts w:cs="Arial"/>
              </w:rPr>
              <w:t xml:space="preserve"> Гранични стойности, несвързани с вида</w:t>
            </w:r>
            <w:r w:rsidRPr="00D279DC">
              <w:rPr>
                <w:rFonts w:cs="Arial"/>
                <w:vertAlign w:val="superscript"/>
              </w:rPr>
              <w:t>4</w:t>
            </w:r>
          </w:p>
        </w:tc>
        <w:tc>
          <w:tcPr>
            <w:tcW w:w="3117" w:type="dxa"/>
          </w:tcPr>
          <w:p w14:paraId="7FBD81B7" w14:textId="17B29EAC" w:rsidR="00001DBB" w:rsidRPr="00D279DC" w:rsidRDefault="00001DBB" w:rsidP="00001DBB">
            <w:pPr>
              <w:rPr>
                <w:rFonts w:cs="Arial"/>
              </w:rPr>
            </w:pPr>
            <w:r w:rsidRPr="00D279DC">
              <w:rPr>
                <w:rFonts w:cs="Arial"/>
              </w:rPr>
              <w:t xml:space="preserve">≤1 </w:t>
            </w:r>
            <w:r w:rsidRPr="00D279DC">
              <w:rPr>
                <w:rFonts w:cs="Arial"/>
                <w:lang w:val="en-US"/>
              </w:rPr>
              <w:t>mg/L</w:t>
            </w:r>
          </w:p>
        </w:tc>
        <w:tc>
          <w:tcPr>
            <w:tcW w:w="3117" w:type="dxa"/>
          </w:tcPr>
          <w:p w14:paraId="24265380" w14:textId="3A7DDA7E" w:rsidR="00001DBB" w:rsidRPr="00D279DC" w:rsidRDefault="00001DBB" w:rsidP="00001DBB">
            <w:pPr>
              <w:rPr>
                <w:rFonts w:cs="Arial"/>
              </w:rPr>
            </w:pPr>
            <w:r w:rsidRPr="00D279DC">
              <w:rPr>
                <w:rFonts w:cs="Arial"/>
              </w:rPr>
              <w:t xml:space="preserve">&gt;2 </w:t>
            </w:r>
            <w:r w:rsidRPr="00D279DC">
              <w:rPr>
                <w:rFonts w:cs="Arial"/>
                <w:lang w:val="en-US"/>
              </w:rPr>
              <w:t>mg/L</w:t>
            </w:r>
          </w:p>
        </w:tc>
      </w:tr>
    </w:tbl>
    <w:p w14:paraId="6BBC36E8" w14:textId="77777777" w:rsidR="00001DBB" w:rsidRPr="00D279DC" w:rsidRDefault="00001DBB" w:rsidP="00001DBB">
      <w:pPr>
        <w:rPr>
          <w:rFonts w:cs="Arial"/>
        </w:rPr>
      </w:pPr>
    </w:p>
    <w:p w14:paraId="69EF3819" w14:textId="77777777" w:rsidR="00001DBB" w:rsidRPr="00D279DC" w:rsidRDefault="00001DBB" w:rsidP="00001DBB">
      <w:pPr>
        <w:pStyle w:val="ListParagraph"/>
        <w:numPr>
          <w:ilvl w:val="0"/>
          <w:numId w:val="43"/>
        </w:numPr>
        <w:spacing w:line="240" w:lineRule="auto"/>
        <w:rPr>
          <w:rFonts w:eastAsia="Times New Roman" w:cs="Arial"/>
          <w:color w:val="000000"/>
          <w:lang w:eastAsia="bg-BG"/>
        </w:rPr>
      </w:pPr>
      <w:r w:rsidRPr="00D279DC">
        <w:rPr>
          <w:rFonts w:eastAsia="Times New Roman" w:cs="Arial"/>
          <w:color w:val="000000"/>
          <w:lang w:eastAsia="bg-BG"/>
        </w:rPr>
        <w:t>Граничните стойности за левофлоксацин се отнасят за терапия с висока доза.</w:t>
      </w:r>
    </w:p>
    <w:p w14:paraId="5B848088" w14:textId="77777777" w:rsidR="00001DBB" w:rsidRPr="00D279DC" w:rsidRDefault="00001DBB" w:rsidP="00001DBB">
      <w:pPr>
        <w:pStyle w:val="ListParagraph"/>
        <w:numPr>
          <w:ilvl w:val="0"/>
          <w:numId w:val="43"/>
        </w:numPr>
        <w:spacing w:line="240" w:lineRule="auto"/>
        <w:rPr>
          <w:rFonts w:eastAsia="Times New Roman" w:cs="Arial"/>
          <w:color w:val="000000"/>
          <w:lang w:eastAsia="bg-BG"/>
        </w:rPr>
      </w:pPr>
      <w:r w:rsidRPr="00D279DC">
        <w:rPr>
          <w:rFonts w:eastAsia="Times New Roman" w:cs="Arial"/>
          <w:color w:val="000000"/>
          <w:lang w:eastAsia="bg-BG"/>
        </w:rPr>
        <w:t xml:space="preserve">Може да възникне ниско ниво на резистентност към флуорохинолон (ципрофлоксацин със стойности на </w:t>
      </w:r>
      <w:r w:rsidRPr="00D279DC">
        <w:rPr>
          <w:rFonts w:eastAsia="Times New Roman" w:cs="Arial"/>
          <w:color w:val="000000"/>
          <w:lang w:val="en-US"/>
        </w:rPr>
        <w:t xml:space="preserve">MIC </w:t>
      </w:r>
      <w:r w:rsidRPr="00D279DC">
        <w:rPr>
          <w:rFonts w:eastAsia="Times New Roman" w:cs="Arial"/>
          <w:color w:val="000000"/>
          <w:lang w:eastAsia="bg-BG"/>
        </w:rPr>
        <w:t xml:space="preserve">от 0,12-0,5 </w:t>
      </w:r>
      <w:r w:rsidRPr="00D279DC">
        <w:rPr>
          <w:rFonts w:eastAsia="Times New Roman" w:cs="Arial"/>
          <w:color w:val="000000"/>
          <w:lang w:val="en-US"/>
        </w:rPr>
        <w:t xml:space="preserve">mg/l), </w:t>
      </w:r>
      <w:r w:rsidRPr="00D279DC">
        <w:rPr>
          <w:rFonts w:eastAsia="Times New Roman" w:cs="Arial"/>
          <w:color w:val="000000"/>
          <w:lang w:eastAsia="bg-BG"/>
        </w:rPr>
        <w:t xml:space="preserve">но няма доказателства, че тази резистентност е от клинично значение при инфекции на дихателните пътища с </w:t>
      </w:r>
      <w:r w:rsidRPr="00D279DC">
        <w:rPr>
          <w:rFonts w:eastAsia="Times New Roman" w:cs="Arial"/>
          <w:i/>
          <w:iCs/>
          <w:color w:val="000000"/>
          <w:lang w:eastAsia="bg-BG"/>
        </w:rPr>
        <w:t xml:space="preserve">Н. </w:t>
      </w:r>
      <w:proofErr w:type="spellStart"/>
      <w:r w:rsidRPr="00D279DC">
        <w:rPr>
          <w:rFonts w:eastAsia="Times New Roman" w:cs="Arial"/>
          <w:i/>
          <w:iCs/>
          <w:color w:val="000000"/>
          <w:lang w:val="en-US"/>
        </w:rPr>
        <w:t>influenzae</w:t>
      </w:r>
      <w:proofErr w:type="spellEnd"/>
      <w:r w:rsidRPr="00D279DC">
        <w:rPr>
          <w:rFonts w:eastAsia="Times New Roman" w:cs="Arial"/>
          <w:i/>
          <w:iCs/>
          <w:color w:val="000000"/>
          <w:lang w:val="en-US"/>
        </w:rPr>
        <w:t>,</w:t>
      </w:r>
    </w:p>
    <w:p w14:paraId="25BA1071" w14:textId="77777777" w:rsidR="00001DBB" w:rsidRPr="00D279DC" w:rsidRDefault="00001DBB" w:rsidP="00001DBB">
      <w:pPr>
        <w:pStyle w:val="ListParagraph"/>
        <w:numPr>
          <w:ilvl w:val="0"/>
          <w:numId w:val="43"/>
        </w:numPr>
        <w:spacing w:line="240" w:lineRule="auto"/>
        <w:rPr>
          <w:rFonts w:eastAsia="Times New Roman" w:cs="Arial"/>
          <w:color w:val="000000"/>
          <w:lang w:eastAsia="bg-BG"/>
        </w:rPr>
      </w:pPr>
      <w:r w:rsidRPr="00D279DC">
        <w:rPr>
          <w:rFonts w:eastAsia="Times New Roman" w:cs="Arial"/>
          <w:color w:val="000000"/>
          <w:lang w:eastAsia="bg-BG"/>
        </w:rPr>
        <w:t xml:space="preserve">Щамове със стойности на </w:t>
      </w:r>
      <w:r w:rsidRPr="00D279DC">
        <w:rPr>
          <w:rFonts w:eastAsia="Times New Roman" w:cs="Arial"/>
          <w:color w:val="000000"/>
          <w:lang w:val="en-US"/>
        </w:rPr>
        <w:t xml:space="preserve">MIC </w:t>
      </w:r>
      <w:r w:rsidRPr="00D279DC">
        <w:rPr>
          <w:rFonts w:eastAsia="Times New Roman" w:cs="Arial"/>
          <w:color w:val="000000"/>
          <w:lang w:eastAsia="bg-BG"/>
        </w:rPr>
        <w:t xml:space="preserve">над граничните стойности на чувствителност са много редки или все още не са съобщени. Тестовете за идентичност и антимикробна чувствителност при всеки такъв изолат трябва да бъдат повторени и ако резултатът се потвърди, изолатът трябва да бъде изпратен в референтна лаборатория. Докато няма доказателства по отношение на клиничния отговор за потвърдените изолати със стойности на </w:t>
      </w:r>
      <w:r w:rsidRPr="00D279DC">
        <w:rPr>
          <w:rFonts w:eastAsia="Times New Roman" w:cs="Arial"/>
          <w:color w:val="000000"/>
          <w:lang w:val="en-US"/>
        </w:rPr>
        <w:t xml:space="preserve">MIC </w:t>
      </w:r>
      <w:r w:rsidRPr="00D279DC">
        <w:rPr>
          <w:rFonts w:eastAsia="Times New Roman" w:cs="Arial"/>
          <w:color w:val="000000"/>
          <w:lang w:eastAsia="bg-BG"/>
        </w:rPr>
        <w:t>над настоящите гранични стойности на резистентност, те трябва да се съобщават като резистентни.</w:t>
      </w:r>
    </w:p>
    <w:p w14:paraId="5980C998" w14:textId="324F4295" w:rsidR="00001DBB" w:rsidRPr="00D279DC" w:rsidRDefault="00001DBB" w:rsidP="00001DBB">
      <w:pPr>
        <w:pStyle w:val="ListParagraph"/>
        <w:numPr>
          <w:ilvl w:val="0"/>
          <w:numId w:val="43"/>
        </w:numPr>
        <w:spacing w:line="240" w:lineRule="auto"/>
        <w:rPr>
          <w:rFonts w:eastAsia="Times New Roman" w:cs="Arial"/>
          <w:color w:val="000000"/>
          <w:lang w:eastAsia="bg-BG"/>
        </w:rPr>
      </w:pPr>
      <w:r w:rsidRPr="00D279DC">
        <w:rPr>
          <w:rFonts w:eastAsia="Times New Roman" w:cs="Arial"/>
          <w:color w:val="000000"/>
          <w:lang w:eastAsia="bg-BG"/>
        </w:rPr>
        <w:lastRenderedPageBreak/>
        <w:t xml:space="preserve">Граничните стойности се отнасят за перорална доза от 500 </w:t>
      </w:r>
      <w:r w:rsidRPr="00D279DC">
        <w:rPr>
          <w:rFonts w:eastAsia="Times New Roman" w:cs="Arial"/>
          <w:color w:val="000000"/>
          <w:lang w:val="en-US"/>
        </w:rPr>
        <w:t xml:space="preserve">mg </w:t>
      </w:r>
      <w:r w:rsidRPr="00D279DC">
        <w:rPr>
          <w:rFonts w:eastAsia="Times New Roman" w:cs="Arial"/>
          <w:color w:val="000000"/>
          <w:lang w:eastAsia="bg-BG"/>
        </w:rPr>
        <w:t xml:space="preserve">х 1 до 500 </w:t>
      </w:r>
      <w:r w:rsidRPr="00D279DC">
        <w:rPr>
          <w:rFonts w:eastAsia="Times New Roman" w:cs="Arial"/>
          <w:color w:val="000000"/>
          <w:lang w:val="en-US"/>
        </w:rPr>
        <w:t xml:space="preserve">mg </w:t>
      </w:r>
      <w:r w:rsidRPr="00D279DC">
        <w:rPr>
          <w:rFonts w:eastAsia="Times New Roman" w:cs="Arial"/>
          <w:color w:val="000000"/>
          <w:lang w:eastAsia="bg-BG"/>
        </w:rPr>
        <w:t xml:space="preserve">х 2 и интравенозна доза от 500 </w:t>
      </w:r>
      <w:r w:rsidRPr="00D279DC">
        <w:rPr>
          <w:rFonts w:eastAsia="Times New Roman" w:cs="Arial"/>
          <w:color w:val="000000"/>
          <w:lang w:val="en-US"/>
        </w:rPr>
        <w:t xml:space="preserve">mg </w:t>
      </w:r>
      <w:r w:rsidRPr="00D279DC">
        <w:rPr>
          <w:rFonts w:eastAsia="Times New Roman" w:cs="Arial"/>
          <w:color w:val="000000"/>
          <w:lang w:eastAsia="bg-BG"/>
        </w:rPr>
        <w:t xml:space="preserve">х 1 до 500 </w:t>
      </w:r>
      <w:r w:rsidRPr="00D279DC">
        <w:rPr>
          <w:rFonts w:eastAsia="Times New Roman" w:cs="Arial"/>
          <w:color w:val="000000"/>
          <w:lang w:val="en-US"/>
        </w:rPr>
        <w:t xml:space="preserve">mg </w:t>
      </w:r>
      <w:r w:rsidRPr="00D279DC">
        <w:rPr>
          <w:rFonts w:eastAsia="Times New Roman" w:cs="Arial"/>
          <w:color w:val="000000"/>
          <w:lang w:eastAsia="bg-BG"/>
        </w:rPr>
        <w:t>х 2.</w:t>
      </w:r>
    </w:p>
    <w:p w14:paraId="4C2A24ED" w14:textId="77777777" w:rsidR="00001DBB" w:rsidRPr="00D279DC" w:rsidRDefault="00001DBB" w:rsidP="00001DBB">
      <w:pPr>
        <w:rPr>
          <w:rFonts w:eastAsia="Times New Roman" w:cs="Arial"/>
          <w:color w:val="000000"/>
          <w:lang w:eastAsia="bg-BG"/>
        </w:rPr>
      </w:pPr>
    </w:p>
    <w:p w14:paraId="36152471" w14:textId="6E158F5F" w:rsidR="0091385D" w:rsidRPr="00D279DC" w:rsidRDefault="00001DBB" w:rsidP="00001DBB">
      <w:pPr>
        <w:rPr>
          <w:rFonts w:cs="Arial"/>
        </w:rPr>
      </w:pPr>
      <w:r w:rsidRPr="00D279DC">
        <w:rPr>
          <w:rFonts w:eastAsia="Times New Roman" w:cs="Arial"/>
          <w:color w:val="000000"/>
          <w:lang w:eastAsia="bg-BG"/>
        </w:rPr>
        <w:t>Преобладаващата резистентност може да варира географски и във времето за определени видове и поради това е желателно да се търси информация за локална резистентност, особено при лечение на тежки инфекции. При необходимост, трябва да се потърси експертна консумация, когато локалната честота на резистентност е такава, че ползата от приложението на продукта поне при някои видове инфекции е под въпрос.</w:t>
      </w:r>
    </w:p>
    <w:p w14:paraId="4332454E" w14:textId="07D763DB" w:rsidR="00001DBB" w:rsidRPr="00D279DC" w:rsidRDefault="00001DBB" w:rsidP="0091385D">
      <w:pPr>
        <w:rPr>
          <w:rFonts w:cs="Arial"/>
        </w:rPr>
      </w:pPr>
    </w:p>
    <w:tbl>
      <w:tblPr>
        <w:tblStyle w:val="TableGrid"/>
        <w:tblW w:w="0" w:type="auto"/>
        <w:tblLook w:val="04A0" w:firstRow="1" w:lastRow="0" w:firstColumn="1" w:lastColumn="0" w:noHBand="0" w:noVBand="1"/>
      </w:tblPr>
      <w:tblGrid>
        <w:gridCol w:w="9350"/>
      </w:tblGrid>
      <w:tr w:rsidR="00001DBB" w:rsidRPr="00D279DC" w14:paraId="73BBF7ED" w14:textId="77777777" w:rsidTr="00001DBB">
        <w:tc>
          <w:tcPr>
            <w:tcW w:w="9350" w:type="dxa"/>
            <w:vAlign w:val="bottom"/>
          </w:tcPr>
          <w:p w14:paraId="539AC672" w14:textId="2A08C78D" w:rsidR="00001DBB" w:rsidRPr="00D279DC" w:rsidRDefault="00001DBB" w:rsidP="00001DBB">
            <w:pPr>
              <w:rPr>
                <w:rFonts w:cs="Arial"/>
              </w:rPr>
            </w:pPr>
            <w:r w:rsidRPr="00D279DC">
              <w:rPr>
                <w:rFonts w:cs="Arial"/>
                <w:b/>
                <w:bCs/>
                <w:lang w:eastAsia="bg-BG"/>
              </w:rPr>
              <w:t>Обичайно чувствителни видове</w:t>
            </w:r>
          </w:p>
        </w:tc>
      </w:tr>
      <w:tr w:rsidR="00001DBB" w:rsidRPr="00D279DC" w14:paraId="19188323" w14:textId="77777777" w:rsidTr="00001DBB">
        <w:tc>
          <w:tcPr>
            <w:tcW w:w="9350" w:type="dxa"/>
          </w:tcPr>
          <w:p w14:paraId="0D232A40" w14:textId="77777777" w:rsidR="00001DBB" w:rsidRPr="00D279DC" w:rsidRDefault="00001DBB" w:rsidP="00001DBB">
            <w:pPr>
              <w:rPr>
                <w:rFonts w:cs="Arial"/>
              </w:rPr>
            </w:pPr>
          </w:p>
        </w:tc>
      </w:tr>
      <w:tr w:rsidR="00001DBB" w:rsidRPr="00D279DC" w14:paraId="27916AE9" w14:textId="77777777" w:rsidTr="00001DBB">
        <w:tc>
          <w:tcPr>
            <w:tcW w:w="9350" w:type="dxa"/>
            <w:vAlign w:val="bottom"/>
          </w:tcPr>
          <w:p w14:paraId="5C6B9DCB" w14:textId="2DDC258B" w:rsidR="00001DBB" w:rsidRPr="00D279DC" w:rsidRDefault="00001DBB" w:rsidP="00001DBB">
            <w:pPr>
              <w:rPr>
                <w:rFonts w:cs="Arial"/>
              </w:rPr>
            </w:pPr>
            <w:r w:rsidRPr="00D279DC">
              <w:rPr>
                <w:rFonts w:cs="Arial"/>
                <w:b/>
                <w:bCs/>
                <w:lang w:eastAsia="bg-BG"/>
              </w:rPr>
              <w:t>Аеробниграм-положителни бактерии</w:t>
            </w:r>
          </w:p>
        </w:tc>
      </w:tr>
      <w:tr w:rsidR="00001DBB" w:rsidRPr="00D279DC" w14:paraId="11D25952" w14:textId="77777777" w:rsidTr="00001DBB">
        <w:tc>
          <w:tcPr>
            <w:tcW w:w="9350" w:type="dxa"/>
          </w:tcPr>
          <w:p w14:paraId="71991D9C" w14:textId="77777777" w:rsidR="00001DBB" w:rsidRPr="00D279DC" w:rsidRDefault="00001DBB" w:rsidP="00001DBB">
            <w:pPr>
              <w:rPr>
                <w:rFonts w:cs="Arial"/>
                <w:lang w:eastAsia="bg-BG"/>
              </w:rPr>
            </w:pPr>
            <w:r w:rsidRPr="00D279DC">
              <w:rPr>
                <w:rFonts w:cs="Arial"/>
                <w:i/>
                <w:iCs/>
              </w:rPr>
              <w:t>Bacillus anthracis</w:t>
            </w:r>
          </w:p>
          <w:p w14:paraId="1A11DAE4" w14:textId="77777777" w:rsidR="00001DBB" w:rsidRPr="00D279DC" w:rsidRDefault="00001DBB" w:rsidP="00001DBB">
            <w:pPr>
              <w:rPr>
                <w:rFonts w:cs="Arial"/>
                <w:lang w:eastAsia="bg-BG"/>
              </w:rPr>
            </w:pPr>
            <w:r w:rsidRPr="00D279DC">
              <w:rPr>
                <w:rFonts w:cs="Arial"/>
                <w:i/>
                <w:iCs/>
              </w:rPr>
              <w:t>Staphylococcus aureus</w:t>
            </w:r>
            <w:r w:rsidRPr="00D279DC">
              <w:rPr>
                <w:rFonts w:cs="Arial"/>
              </w:rPr>
              <w:t xml:space="preserve"> </w:t>
            </w:r>
            <w:r w:rsidRPr="00D279DC">
              <w:rPr>
                <w:rFonts w:cs="Arial"/>
                <w:lang w:eastAsia="bg-BG"/>
              </w:rPr>
              <w:t>метицилин чувствителен</w:t>
            </w:r>
          </w:p>
          <w:p w14:paraId="3A0721FD" w14:textId="77777777" w:rsidR="00001DBB" w:rsidRPr="00D279DC" w:rsidRDefault="00001DBB" w:rsidP="00001DBB">
            <w:pPr>
              <w:rPr>
                <w:rFonts w:cs="Arial"/>
                <w:lang w:eastAsia="bg-BG"/>
              </w:rPr>
            </w:pPr>
            <w:r w:rsidRPr="00D279DC">
              <w:rPr>
                <w:rFonts w:cs="Arial"/>
                <w:i/>
                <w:iCs/>
              </w:rPr>
              <w:t>Staphylococcus saprophyticus</w:t>
            </w:r>
          </w:p>
          <w:p w14:paraId="3EAFB37D" w14:textId="77777777" w:rsidR="00001DBB" w:rsidRPr="00D279DC" w:rsidRDefault="00001DBB" w:rsidP="00001DBB">
            <w:pPr>
              <w:rPr>
                <w:rFonts w:cs="Arial"/>
                <w:lang w:eastAsia="bg-BG"/>
              </w:rPr>
            </w:pPr>
            <w:r w:rsidRPr="00D279DC">
              <w:rPr>
                <w:rFonts w:cs="Arial"/>
                <w:i/>
                <w:iCs/>
              </w:rPr>
              <w:t>Streptococci,</w:t>
            </w:r>
            <w:r w:rsidRPr="00D279DC">
              <w:rPr>
                <w:rFonts w:cs="Arial"/>
              </w:rPr>
              <w:t xml:space="preserve"> </w:t>
            </w:r>
            <w:r w:rsidRPr="00D279DC">
              <w:rPr>
                <w:rFonts w:cs="Arial"/>
                <w:lang w:eastAsia="bg-BG"/>
              </w:rPr>
              <w:t xml:space="preserve">група </w:t>
            </w:r>
            <w:r w:rsidRPr="00D279DC">
              <w:rPr>
                <w:rFonts w:cs="Arial"/>
                <w:i/>
                <w:iCs/>
              </w:rPr>
              <w:t>C</w:t>
            </w:r>
            <w:r w:rsidRPr="00D279DC">
              <w:rPr>
                <w:rFonts w:cs="Arial"/>
              </w:rPr>
              <w:t xml:space="preserve"> </w:t>
            </w:r>
            <w:r w:rsidRPr="00D279DC">
              <w:rPr>
                <w:rFonts w:cs="Arial"/>
                <w:lang w:eastAsia="bg-BG"/>
              </w:rPr>
              <w:t xml:space="preserve">и </w:t>
            </w:r>
            <w:r w:rsidRPr="00D279DC">
              <w:rPr>
                <w:rFonts w:cs="Arial"/>
                <w:i/>
                <w:iCs/>
              </w:rPr>
              <w:t>G</w:t>
            </w:r>
          </w:p>
          <w:p w14:paraId="75858E4F" w14:textId="77777777" w:rsidR="00001DBB" w:rsidRPr="00D279DC" w:rsidRDefault="00001DBB" w:rsidP="00001DBB">
            <w:pPr>
              <w:rPr>
                <w:rFonts w:cs="Arial"/>
                <w:lang w:eastAsia="bg-BG"/>
              </w:rPr>
            </w:pPr>
            <w:r w:rsidRPr="00D279DC">
              <w:rPr>
                <w:rFonts w:cs="Arial"/>
                <w:i/>
                <w:iCs/>
              </w:rPr>
              <w:t>Streptococcus agalactiae</w:t>
            </w:r>
          </w:p>
          <w:p w14:paraId="1FB16CFB" w14:textId="77777777" w:rsidR="00001DBB" w:rsidRPr="00D279DC" w:rsidRDefault="00001DBB" w:rsidP="00001DBB">
            <w:pPr>
              <w:rPr>
                <w:rFonts w:cs="Arial"/>
                <w:lang w:eastAsia="bg-BG"/>
              </w:rPr>
            </w:pPr>
            <w:r w:rsidRPr="00D279DC">
              <w:rPr>
                <w:rFonts w:cs="Arial"/>
                <w:i/>
                <w:iCs/>
              </w:rPr>
              <w:t>Streptococcus pneumoniae</w:t>
            </w:r>
          </w:p>
          <w:p w14:paraId="10BF3148" w14:textId="74AE8B75" w:rsidR="00001DBB" w:rsidRPr="00D279DC" w:rsidRDefault="00001DBB" w:rsidP="00001DBB">
            <w:pPr>
              <w:rPr>
                <w:rFonts w:cs="Arial"/>
              </w:rPr>
            </w:pPr>
            <w:r w:rsidRPr="00D279DC">
              <w:rPr>
                <w:rFonts w:cs="Arial"/>
                <w:i/>
                <w:iCs/>
              </w:rPr>
              <w:t>Streptococcus pyogenes</w:t>
            </w:r>
          </w:p>
        </w:tc>
      </w:tr>
      <w:tr w:rsidR="00001DBB" w:rsidRPr="00D279DC" w14:paraId="5BD1D2A3" w14:textId="77777777" w:rsidTr="00001DBB">
        <w:tc>
          <w:tcPr>
            <w:tcW w:w="9350" w:type="dxa"/>
            <w:vAlign w:val="bottom"/>
          </w:tcPr>
          <w:p w14:paraId="4DB9612D" w14:textId="67290322" w:rsidR="00001DBB" w:rsidRPr="00D279DC" w:rsidRDefault="00001DBB" w:rsidP="00001DBB">
            <w:pPr>
              <w:rPr>
                <w:rFonts w:cs="Arial"/>
              </w:rPr>
            </w:pPr>
            <w:r w:rsidRPr="00D279DC">
              <w:rPr>
                <w:rFonts w:cs="Arial"/>
                <w:b/>
                <w:bCs/>
                <w:lang w:eastAsia="bg-BG"/>
              </w:rPr>
              <w:t>Аеробни грам-отрицателни бактерии</w:t>
            </w:r>
          </w:p>
        </w:tc>
      </w:tr>
      <w:tr w:rsidR="00001DBB" w:rsidRPr="00D279DC" w14:paraId="316F4F48" w14:textId="77777777" w:rsidTr="00001DBB">
        <w:tc>
          <w:tcPr>
            <w:tcW w:w="9350" w:type="dxa"/>
            <w:vAlign w:val="bottom"/>
          </w:tcPr>
          <w:p w14:paraId="1B8AA882" w14:textId="2B6A2477" w:rsidR="00001DBB" w:rsidRPr="00D279DC" w:rsidRDefault="00001DBB" w:rsidP="00001DBB">
            <w:pPr>
              <w:rPr>
                <w:rFonts w:cs="Arial"/>
              </w:rPr>
            </w:pPr>
            <w:r w:rsidRPr="00D279DC">
              <w:rPr>
                <w:rFonts w:cs="Arial"/>
                <w:i/>
                <w:iCs/>
              </w:rPr>
              <w:t>Eikenella corrodens Haemophilus influenzae Haemophilus para-influenzae Klebsiella oxytoca Moraxella catarrhalis Pasteurella multocida Proteus vulgaris Providencia rettgeri</w:t>
            </w:r>
          </w:p>
        </w:tc>
      </w:tr>
      <w:tr w:rsidR="00001DBB" w:rsidRPr="00D279DC" w14:paraId="600D1056" w14:textId="77777777" w:rsidTr="00001DBB">
        <w:tc>
          <w:tcPr>
            <w:tcW w:w="9350" w:type="dxa"/>
            <w:vAlign w:val="bottom"/>
          </w:tcPr>
          <w:p w14:paraId="16413EA5" w14:textId="2205BF66" w:rsidR="00001DBB" w:rsidRPr="00D279DC" w:rsidRDefault="00001DBB" w:rsidP="00001DBB">
            <w:pPr>
              <w:rPr>
                <w:rFonts w:cs="Arial"/>
              </w:rPr>
            </w:pPr>
            <w:r w:rsidRPr="00D279DC">
              <w:rPr>
                <w:rFonts w:cs="Arial"/>
                <w:b/>
                <w:bCs/>
                <w:lang w:eastAsia="bg-BG"/>
              </w:rPr>
              <w:t>Анаеробни бактерии</w:t>
            </w:r>
          </w:p>
        </w:tc>
      </w:tr>
      <w:tr w:rsidR="00001DBB" w:rsidRPr="00D279DC" w14:paraId="49B654AE" w14:textId="77777777" w:rsidTr="00001DBB">
        <w:tc>
          <w:tcPr>
            <w:tcW w:w="9350" w:type="dxa"/>
            <w:vAlign w:val="bottom"/>
          </w:tcPr>
          <w:p w14:paraId="7038AF9F" w14:textId="518C818C" w:rsidR="00001DBB" w:rsidRPr="00D279DC" w:rsidRDefault="00001DBB" w:rsidP="00001DBB">
            <w:pPr>
              <w:rPr>
                <w:rFonts w:cs="Arial"/>
              </w:rPr>
            </w:pPr>
            <w:r w:rsidRPr="00D279DC">
              <w:rPr>
                <w:rFonts w:cs="Arial"/>
                <w:i/>
                <w:iCs/>
              </w:rPr>
              <w:t>Peptostreptococcus</w:t>
            </w:r>
          </w:p>
        </w:tc>
      </w:tr>
      <w:tr w:rsidR="00001DBB" w:rsidRPr="00D279DC" w14:paraId="6A3EB25B" w14:textId="77777777" w:rsidTr="00001DBB">
        <w:tc>
          <w:tcPr>
            <w:tcW w:w="9350" w:type="dxa"/>
            <w:vAlign w:val="bottom"/>
          </w:tcPr>
          <w:p w14:paraId="72DB8308" w14:textId="1652BB5E" w:rsidR="00001DBB" w:rsidRPr="00D279DC" w:rsidRDefault="00001DBB" w:rsidP="00001DBB">
            <w:pPr>
              <w:rPr>
                <w:rFonts w:cs="Arial"/>
              </w:rPr>
            </w:pPr>
            <w:r w:rsidRPr="00D279DC">
              <w:rPr>
                <w:rFonts w:cs="Arial"/>
                <w:b/>
                <w:bCs/>
                <w:lang w:eastAsia="bg-BG"/>
              </w:rPr>
              <w:t>Други</w:t>
            </w:r>
          </w:p>
        </w:tc>
      </w:tr>
      <w:tr w:rsidR="00001DBB" w:rsidRPr="00D279DC" w14:paraId="66108942" w14:textId="77777777" w:rsidTr="00001DBB">
        <w:tc>
          <w:tcPr>
            <w:tcW w:w="9350" w:type="dxa"/>
          </w:tcPr>
          <w:p w14:paraId="7EEAC103" w14:textId="77777777" w:rsidR="00001DBB" w:rsidRPr="00D279DC" w:rsidRDefault="00001DBB" w:rsidP="00001DBB">
            <w:pPr>
              <w:rPr>
                <w:rFonts w:cs="Arial"/>
                <w:lang w:eastAsia="bg-BG"/>
              </w:rPr>
            </w:pPr>
            <w:r w:rsidRPr="00D279DC">
              <w:rPr>
                <w:rFonts w:cs="Arial"/>
                <w:i/>
                <w:iCs/>
              </w:rPr>
              <w:t>Chlamydophila pneumoniae</w:t>
            </w:r>
          </w:p>
          <w:p w14:paraId="0EFB9551" w14:textId="77777777" w:rsidR="00001DBB" w:rsidRPr="00D279DC" w:rsidRDefault="00001DBB" w:rsidP="00001DBB">
            <w:pPr>
              <w:rPr>
                <w:rFonts w:cs="Arial"/>
                <w:lang w:eastAsia="bg-BG"/>
              </w:rPr>
            </w:pPr>
            <w:r w:rsidRPr="00D279DC">
              <w:rPr>
                <w:rFonts w:cs="Arial"/>
                <w:i/>
                <w:iCs/>
              </w:rPr>
              <w:t>Chlamydophila psittaci</w:t>
            </w:r>
          </w:p>
          <w:p w14:paraId="649BF667" w14:textId="77777777" w:rsidR="00001DBB" w:rsidRPr="00D279DC" w:rsidRDefault="00001DBB" w:rsidP="00001DBB">
            <w:pPr>
              <w:rPr>
                <w:rFonts w:cs="Arial"/>
                <w:lang w:eastAsia="bg-BG"/>
              </w:rPr>
            </w:pPr>
            <w:r w:rsidRPr="00D279DC">
              <w:rPr>
                <w:rFonts w:cs="Arial"/>
                <w:i/>
                <w:iCs/>
              </w:rPr>
              <w:t>Chlamydia trachomatis</w:t>
            </w:r>
          </w:p>
          <w:p w14:paraId="4E48AD2D" w14:textId="77777777" w:rsidR="00001DBB" w:rsidRPr="00D279DC" w:rsidRDefault="00001DBB" w:rsidP="00001DBB">
            <w:pPr>
              <w:rPr>
                <w:rFonts w:cs="Arial"/>
                <w:lang w:eastAsia="bg-BG"/>
              </w:rPr>
            </w:pPr>
            <w:r w:rsidRPr="00D279DC">
              <w:rPr>
                <w:rFonts w:cs="Arial"/>
                <w:i/>
                <w:iCs/>
              </w:rPr>
              <w:t>Legionella pneumophila</w:t>
            </w:r>
          </w:p>
          <w:p w14:paraId="5528766E" w14:textId="77777777" w:rsidR="00001DBB" w:rsidRPr="00D279DC" w:rsidRDefault="00001DBB" w:rsidP="00001DBB">
            <w:pPr>
              <w:rPr>
                <w:rFonts w:cs="Arial"/>
                <w:lang w:eastAsia="bg-BG"/>
              </w:rPr>
            </w:pPr>
            <w:r w:rsidRPr="00D279DC">
              <w:rPr>
                <w:rFonts w:cs="Arial"/>
                <w:i/>
                <w:iCs/>
              </w:rPr>
              <w:t>Mycoplasma pneumoniae</w:t>
            </w:r>
          </w:p>
          <w:p w14:paraId="0C54470F" w14:textId="77777777" w:rsidR="00001DBB" w:rsidRPr="00D279DC" w:rsidRDefault="00001DBB" w:rsidP="00001DBB">
            <w:pPr>
              <w:rPr>
                <w:rFonts w:cs="Arial"/>
                <w:lang w:eastAsia="bg-BG"/>
              </w:rPr>
            </w:pPr>
            <w:r w:rsidRPr="00D279DC">
              <w:rPr>
                <w:rFonts w:cs="Arial"/>
                <w:i/>
                <w:iCs/>
              </w:rPr>
              <w:t>Mycoplasma hominis</w:t>
            </w:r>
          </w:p>
          <w:p w14:paraId="024D2EFE" w14:textId="1836CFE9" w:rsidR="00001DBB" w:rsidRPr="00D279DC" w:rsidRDefault="00001DBB" w:rsidP="00001DBB">
            <w:pPr>
              <w:rPr>
                <w:rFonts w:cs="Arial"/>
              </w:rPr>
            </w:pPr>
            <w:r w:rsidRPr="00D279DC">
              <w:rPr>
                <w:rFonts w:cs="Arial"/>
                <w:i/>
                <w:iCs/>
              </w:rPr>
              <w:t>Ureaplasma urealylicum</w:t>
            </w:r>
          </w:p>
        </w:tc>
      </w:tr>
      <w:tr w:rsidR="00001DBB" w:rsidRPr="00D279DC" w14:paraId="47431643" w14:textId="77777777" w:rsidTr="00001DBB">
        <w:tc>
          <w:tcPr>
            <w:tcW w:w="9350" w:type="dxa"/>
          </w:tcPr>
          <w:p w14:paraId="3B04EE9F" w14:textId="04B11FDD" w:rsidR="00001DBB" w:rsidRPr="00D279DC" w:rsidRDefault="00001DBB" w:rsidP="00001DBB">
            <w:pPr>
              <w:rPr>
                <w:rFonts w:cs="Arial"/>
              </w:rPr>
            </w:pPr>
            <w:r w:rsidRPr="00D279DC">
              <w:rPr>
                <w:rFonts w:cs="Arial"/>
                <w:b/>
                <w:bCs/>
                <w:u w:val="single"/>
                <w:lang w:eastAsia="bg-BG"/>
              </w:rPr>
              <w:t xml:space="preserve">Видове, </w:t>
            </w:r>
            <w:r w:rsidRPr="00D279DC">
              <w:rPr>
                <w:rFonts w:cs="Arial"/>
                <w:smallCaps/>
                <w:u w:val="single"/>
                <w:lang w:eastAsia="bg-BG"/>
              </w:rPr>
              <w:t>при</w:t>
            </w:r>
            <w:r w:rsidRPr="00D279DC">
              <w:rPr>
                <w:rFonts w:cs="Arial"/>
                <w:b/>
                <w:bCs/>
                <w:u w:val="single"/>
                <w:lang w:eastAsia="bg-BG"/>
              </w:rPr>
              <w:t xml:space="preserve"> които придобитата резистентност може да представлява проблем</w:t>
            </w:r>
          </w:p>
        </w:tc>
      </w:tr>
      <w:tr w:rsidR="00001DBB" w:rsidRPr="00D279DC" w14:paraId="3FC49240" w14:textId="77777777" w:rsidTr="00001DBB">
        <w:tc>
          <w:tcPr>
            <w:tcW w:w="9350" w:type="dxa"/>
          </w:tcPr>
          <w:p w14:paraId="73B9F3A2" w14:textId="366A7FFD" w:rsidR="00001DBB" w:rsidRPr="00D279DC" w:rsidRDefault="00001DBB" w:rsidP="00001DBB">
            <w:pPr>
              <w:rPr>
                <w:rFonts w:cs="Arial"/>
              </w:rPr>
            </w:pPr>
            <w:r w:rsidRPr="00D279DC">
              <w:rPr>
                <w:rFonts w:cs="Arial"/>
                <w:b/>
                <w:bCs/>
                <w:lang w:eastAsia="bg-BG"/>
              </w:rPr>
              <w:t>Аеробни грам-положителни бактерии</w:t>
            </w:r>
          </w:p>
        </w:tc>
      </w:tr>
      <w:tr w:rsidR="00001DBB" w:rsidRPr="00D279DC" w14:paraId="65E4759D" w14:textId="77777777" w:rsidTr="00001DBB">
        <w:tc>
          <w:tcPr>
            <w:tcW w:w="9350" w:type="dxa"/>
          </w:tcPr>
          <w:p w14:paraId="2EBCCB67" w14:textId="77777777" w:rsidR="00001DBB" w:rsidRPr="00D279DC" w:rsidRDefault="00001DBB" w:rsidP="00001DBB">
            <w:pPr>
              <w:rPr>
                <w:rFonts w:cs="Arial"/>
                <w:lang w:eastAsia="bg-BG"/>
              </w:rPr>
            </w:pPr>
            <w:r w:rsidRPr="00D279DC">
              <w:rPr>
                <w:rFonts w:cs="Arial"/>
                <w:i/>
                <w:iCs/>
              </w:rPr>
              <w:t>Enterococcus faecalis</w:t>
            </w:r>
          </w:p>
          <w:p w14:paraId="1BD3F4A1" w14:textId="77777777" w:rsidR="00001DBB" w:rsidRPr="00D279DC" w:rsidRDefault="00001DBB" w:rsidP="00001DBB">
            <w:pPr>
              <w:rPr>
                <w:rFonts w:cs="Arial"/>
                <w:lang w:eastAsia="bg-BG"/>
              </w:rPr>
            </w:pPr>
            <w:r w:rsidRPr="00D279DC">
              <w:rPr>
                <w:rFonts w:cs="Arial"/>
                <w:i/>
                <w:iCs/>
              </w:rPr>
              <w:t>Staphylococcus aureus</w:t>
            </w:r>
            <w:r w:rsidRPr="00D279DC">
              <w:rPr>
                <w:rFonts w:cs="Arial"/>
              </w:rPr>
              <w:t xml:space="preserve"> </w:t>
            </w:r>
            <w:r w:rsidRPr="00D279DC">
              <w:rPr>
                <w:rFonts w:cs="Arial"/>
                <w:lang w:eastAsia="bg-BG"/>
              </w:rPr>
              <w:t>метицилин резистентен</w:t>
            </w:r>
            <w:r w:rsidRPr="00D279DC">
              <w:rPr>
                <w:rFonts w:cs="Arial"/>
                <w:vertAlign w:val="superscript"/>
                <w:lang w:eastAsia="bg-BG"/>
              </w:rPr>
              <w:t>#</w:t>
            </w:r>
          </w:p>
          <w:p w14:paraId="732B7996" w14:textId="2D5C7F89" w:rsidR="00001DBB" w:rsidRPr="00D279DC" w:rsidRDefault="00001DBB" w:rsidP="00001DBB">
            <w:pPr>
              <w:rPr>
                <w:rFonts w:cs="Arial"/>
              </w:rPr>
            </w:pPr>
            <w:r w:rsidRPr="00D279DC">
              <w:rPr>
                <w:rFonts w:cs="Arial"/>
                <w:lang w:eastAsia="bg-BG"/>
              </w:rPr>
              <w:t xml:space="preserve">Коагулаза негативен </w:t>
            </w:r>
            <w:r w:rsidRPr="00D279DC">
              <w:rPr>
                <w:rFonts w:cs="Arial"/>
                <w:i/>
                <w:iCs/>
              </w:rPr>
              <w:t>Staphylococcus spp</w:t>
            </w:r>
          </w:p>
        </w:tc>
      </w:tr>
      <w:tr w:rsidR="00001DBB" w:rsidRPr="00D279DC" w14:paraId="543516BC" w14:textId="77777777" w:rsidTr="00001DBB">
        <w:tc>
          <w:tcPr>
            <w:tcW w:w="9350" w:type="dxa"/>
          </w:tcPr>
          <w:p w14:paraId="0880E746" w14:textId="50956357" w:rsidR="00001DBB" w:rsidRPr="00D279DC" w:rsidRDefault="00001DBB" w:rsidP="00001DBB">
            <w:pPr>
              <w:rPr>
                <w:rFonts w:cs="Arial"/>
              </w:rPr>
            </w:pPr>
            <w:r w:rsidRPr="00D279DC">
              <w:rPr>
                <w:rFonts w:cs="Arial"/>
                <w:b/>
                <w:bCs/>
                <w:lang w:eastAsia="bg-BG"/>
              </w:rPr>
              <w:t>Аеробни грам-отрицателни бактерии</w:t>
            </w:r>
          </w:p>
        </w:tc>
      </w:tr>
      <w:tr w:rsidR="00001DBB" w:rsidRPr="00D279DC" w14:paraId="4A3F3393" w14:textId="77777777" w:rsidTr="00001DBB">
        <w:tc>
          <w:tcPr>
            <w:tcW w:w="9350" w:type="dxa"/>
          </w:tcPr>
          <w:p w14:paraId="13B60DE1" w14:textId="0E10DFC5" w:rsidR="00001DBB" w:rsidRPr="00D279DC" w:rsidRDefault="00001DBB" w:rsidP="00001DBB">
            <w:pPr>
              <w:rPr>
                <w:rFonts w:cs="Arial"/>
              </w:rPr>
            </w:pPr>
            <w:r w:rsidRPr="00D279DC">
              <w:rPr>
                <w:rFonts w:cs="Arial"/>
                <w:i/>
                <w:iCs/>
              </w:rPr>
              <w:t>Acinetobacter baumannii Citrobacter freundii Enterobacter aerogenes Enterobacter cloacae Escherichia coli Klebsiella pneumoniae Morganella morganii Proteus mirabilis Providencia stuartii Pseudomonas aeruginosa Serratia marcescens</w:t>
            </w:r>
          </w:p>
        </w:tc>
      </w:tr>
      <w:tr w:rsidR="00001DBB" w:rsidRPr="00D279DC" w14:paraId="259062A5" w14:textId="77777777" w:rsidTr="00001DBB">
        <w:tc>
          <w:tcPr>
            <w:tcW w:w="9350" w:type="dxa"/>
          </w:tcPr>
          <w:p w14:paraId="75AA6923" w14:textId="38652FE8" w:rsidR="00001DBB" w:rsidRPr="00D279DC" w:rsidRDefault="00001DBB" w:rsidP="00001DBB">
            <w:pPr>
              <w:rPr>
                <w:rFonts w:cs="Arial"/>
              </w:rPr>
            </w:pPr>
            <w:r w:rsidRPr="00D279DC">
              <w:rPr>
                <w:rFonts w:cs="Arial"/>
                <w:b/>
                <w:bCs/>
                <w:u w:val="single"/>
                <w:lang w:eastAsia="bg-BG"/>
              </w:rPr>
              <w:t>Анаеробни</w:t>
            </w:r>
            <w:r w:rsidRPr="00D279DC">
              <w:rPr>
                <w:rFonts w:cs="Arial"/>
                <w:b/>
                <w:bCs/>
                <w:lang w:eastAsia="bg-BG"/>
              </w:rPr>
              <w:t xml:space="preserve"> б</w:t>
            </w:r>
            <w:r w:rsidRPr="00D279DC">
              <w:rPr>
                <w:rFonts w:cs="Arial"/>
                <w:b/>
                <w:bCs/>
                <w:u w:val="single"/>
                <w:lang w:eastAsia="bg-BG"/>
              </w:rPr>
              <w:t>актери</w:t>
            </w:r>
            <w:r w:rsidRPr="00D279DC">
              <w:rPr>
                <w:rFonts w:cs="Arial"/>
                <w:b/>
                <w:bCs/>
                <w:lang w:eastAsia="bg-BG"/>
              </w:rPr>
              <w:t>и</w:t>
            </w:r>
          </w:p>
        </w:tc>
      </w:tr>
      <w:tr w:rsidR="00001DBB" w:rsidRPr="00D279DC" w14:paraId="3EA536FC" w14:textId="77777777" w:rsidTr="00001DBB">
        <w:tc>
          <w:tcPr>
            <w:tcW w:w="9350" w:type="dxa"/>
          </w:tcPr>
          <w:p w14:paraId="2F252265" w14:textId="1CEB989F" w:rsidR="00001DBB" w:rsidRPr="00D279DC" w:rsidRDefault="00001DBB" w:rsidP="00001DBB">
            <w:pPr>
              <w:rPr>
                <w:rFonts w:cs="Arial"/>
              </w:rPr>
            </w:pPr>
            <w:r w:rsidRPr="00D279DC">
              <w:rPr>
                <w:rFonts w:cs="Arial"/>
                <w:i/>
                <w:iCs/>
              </w:rPr>
              <w:t>Bacteroides fragilis</w:t>
            </w:r>
          </w:p>
        </w:tc>
      </w:tr>
      <w:tr w:rsidR="00001DBB" w:rsidRPr="00D279DC" w14:paraId="7433C1AF" w14:textId="77777777" w:rsidTr="00001DBB">
        <w:tc>
          <w:tcPr>
            <w:tcW w:w="9350" w:type="dxa"/>
          </w:tcPr>
          <w:p w14:paraId="633B4786" w14:textId="154ACE3A" w:rsidR="00001DBB" w:rsidRPr="00D279DC" w:rsidRDefault="00001DBB" w:rsidP="00001DBB">
            <w:pPr>
              <w:rPr>
                <w:rFonts w:cs="Arial"/>
              </w:rPr>
            </w:pPr>
            <w:r w:rsidRPr="00D279DC">
              <w:rPr>
                <w:rFonts w:cs="Arial"/>
                <w:b/>
                <w:bCs/>
                <w:lang w:eastAsia="bg-BG"/>
              </w:rPr>
              <w:t>Наследствено резистентни шамове</w:t>
            </w:r>
          </w:p>
        </w:tc>
      </w:tr>
      <w:tr w:rsidR="00001DBB" w:rsidRPr="00D279DC" w14:paraId="399E7D75" w14:textId="77777777" w:rsidTr="00001DBB">
        <w:tc>
          <w:tcPr>
            <w:tcW w:w="9350" w:type="dxa"/>
          </w:tcPr>
          <w:p w14:paraId="009A46E5" w14:textId="71D63EF7" w:rsidR="00001DBB" w:rsidRPr="00D279DC" w:rsidRDefault="00001DBB" w:rsidP="00001DBB">
            <w:pPr>
              <w:rPr>
                <w:rFonts w:cs="Arial"/>
              </w:rPr>
            </w:pPr>
            <w:r w:rsidRPr="00D279DC">
              <w:rPr>
                <w:rFonts w:cs="Arial"/>
                <w:b/>
                <w:bCs/>
                <w:lang w:eastAsia="bg-BG"/>
              </w:rPr>
              <w:t>Аеробни грам-положителни бактерии</w:t>
            </w:r>
          </w:p>
        </w:tc>
      </w:tr>
      <w:tr w:rsidR="00001DBB" w:rsidRPr="00D279DC" w14:paraId="7A156FDA" w14:textId="77777777" w:rsidTr="00001DBB">
        <w:tc>
          <w:tcPr>
            <w:tcW w:w="9350" w:type="dxa"/>
          </w:tcPr>
          <w:p w14:paraId="103FC92D" w14:textId="433A76E7" w:rsidR="00001DBB" w:rsidRPr="00D279DC" w:rsidRDefault="00001DBB" w:rsidP="00001DBB">
            <w:pPr>
              <w:rPr>
                <w:rFonts w:cs="Arial"/>
              </w:rPr>
            </w:pPr>
            <w:r w:rsidRPr="00D279DC">
              <w:rPr>
                <w:rFonts w:cs="Arial"/>
                <w:i/>
                <w:iCs/>
              </w:rPr>
              <w:t>Enterococcus faecium</w:t>
            </w:r>
          </w:p>
        </w:tc>
      </w:tr>
    </w:tbl>
    <w:p w14:paraId="6D1E6E2C" w14:textId="2370FA5B" w:rsidR="00001DBB" w:rsidRPr="00D279DC" w:rsidRDefault="00001DBB" w:rsidP="0091385D">
      <w:pPr>
        <w:rPr>
          <w:rFonts w:cs="Arial"/>
        </w:rPr>
      </w:pPr>
    </w:p>
    <w:p w14:paraId="404127C9" w14:textId="424A39A4" w:rsidR="00001DBB" w:rsidRPr="00D279DC" w:rsidRDefault="00001DBB" w:rsidP="0091385D">
      <w:pPr>
        <w:rPr>
          <w:rFonts w:cs="Arial"/>
        </w:rPr>
      </w:pPr>
      <w:r w:rsidRPr="00D279DC">
        <w:rPr>
          <w:rFonts w:cs="Arial"/>
        </w:rPr>
        <w:lastRenderedPageBreak/>
        <w:t xml:space="preserve"># Много е вероятно метицилин-резистентни </w:t>
      </w:r>
      <w:r w:rsidRPr="00D279DC">
        <w:rPr>
          <w:rFonts w:cs="Arial"/>
          <w:lang w:val="en-US"/>
        </w:rPr>
        <w:t xml:space="preserve">S. </w:t>
      </w:r>
      <w:proofErr w:type="gramStart"/>
      <w:r w:rsidRPr="00D279DC">
        <w:rPr>
          <w:rFonts w:cs="Arial"/>
          <w:i/>
          <w:iCs/>
          <w:lang w:val="en-US"/>
        </w:rPr>
        <w:t>aureus</w:t>
      </w:r>
      <w:proofErr w:type="gramEnd"/>
      <w:r w:rsidRPr="00D279DC">
        <w:rPr>
          <w:rFonts w:cs="Arial"/>
          <w:lang w:val="en-US"/>
        </w:rPr>
        <w:t xml:space="preserve"> </w:t>
      </w:r>
      <w:r w:rsidRPr="00D279DC">
        <w:rPr>
          <w:rFonts w:cs="Arial"/>
        </w:rPr>
        <w:t>е да притежават ко-резистентност към флуорохинолони, включително левофлоксацин.</w:t>
      </w:r>
    </w:p>
    <w:p w14:paraId="7F6645A8" w14:textId="6F4EB1F6" w:rsidR="00001DBB" w:rsidRPr="0091385D" w:rsidRDefault="00001DBB"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6B24AD0A" w14:textId="77777777" w:rsidR="00001DBB" w:rsidRPr="00D279DC" w:rsidRDefault="00001DBB" w:rsidP="00D279DC">
      <w:pPr>
        <w:pStyle w:val="Heading3"/>
        <w:rPr>
          <w:rFonts w:eastAsia="Times New Roman"/>
          <w:i/>
          <w:u w:val="single"/>
          <w:lang w:eastAsia="bg-BG"/>
        </w:rPr>
      </w:pPr>
      <w:r w:rsidRPr="00D279DC">
        <w:rPr>
          <w:rFonts w:eastAsia="Times New Roman"/>
          <w:i/>
          <w:u w:val="single"/>
          <w:lang w:eastAsia="bg-BG"/>
        </w:rPr>
        <w:t>Абсорбция</w:t>
      </w:r>
    </w:p>
    <w:p w14:paraId="790F3671"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Приложеният перорапно левофлоксацин се абсорбира бързо и почти напълно с постигане на пикови плазмени концентрации в рамките на 1-2 часа. Абсолютната бионаличност е 99 -100 %.</w:t>
      </w:r>
    </w:p>
    <w:p w14:paraId="57A876C6" w14:textId="77777777" w:rsidR="00001DBB" w:rsidRPr="00D279DC" w:rsidRDefault="00001DBB" w:rsidP="00001DBB">
      <w:pPr>
        <w:spacing w:line="240" w:lineRule="auto"/>
        <w:rPr>
          <w:rFonts w:eastAsia="Times New Roman" w:cs="Arial"/>
          <w:color w:val="000000"/>
          <w:lang w:eastAsia="bg-BG"/>
        </w:rPr>
      </w:pPr>
    </w:p>
    <w:p w14:paraId="74E16F28"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Храната има слаб ефект върху абсорбцията на левофлоксацин.</w:t>
      </w:r>
    </w:p>
    <w:p w14:paraId="07723A96" w14:textId="77777777" w:rsidR="00001DBB" w:rsidRPr="00D279DC" w:rsidRDefault="00001DBB" w:rsidP="00001DBB">
      <w:pPr>
        <w:spacing w:line="240" w:lineRule="auto"/>
        <w:rPr>
          <w:rFonts w:eastAsia="Times New Roman" w:cs="Arial"/>
          <w:color w:val="000000"/>
          <w:lang w:eastAsia="bg-BG"/>
        </w:rPr>
      </w:pPr>
    </w:p>
    <w:p w14:paraId="443E3315"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 xml:space="preserve">Стабилни стационарни състояния се достигат в рамките на 48 часа след дозов режим от 500 </w:t>
      </w:r>
      <w:r w:rsidRPr="00D279DC">
        <w:rPr>
          <w:rFonts w:eastAsia="Times New Roman" w:cs="Arial"/>
          <w:color w:val="000000"/>
          <w:lang w:val="en-US"/>
        </w:rPr>
        <w:t xml:space="preserve">mg </w:t>
      </w:r>
      <w:r w:rsidRPr="00D279DC">
        <w:rPr>
          <w:rFonts w:eastAsia="Times New Roman" w:cs="Arial"/>
          <w:color w:val="000000"/>
          <w:lang w:eastAsia="bg-BG"/>
        </w:rPr>
        <w:t>веднъж или два пъти дневно.</w:t>
      </w:r>
    </w:p>
    <w:p w14:paraId="213A7503" w14:textId="77777777" w:rsidR="00001DBB" w:rsidRPr="00D279DC" w:rsidRDefault="00001DBB" w:rsidP="00001DBB">
      <w:pPr>
        <w:spacing w:line="240" w:lineRule="auto"/>
        <w:rPr>
          <w:rFonts w:eastAsia="Times New Roman" w:cs="Arial"/>
          <w:i/>
          <w:iCs/>
          <w:color w:val="000000"/>
          <w:u w:val="single"/>
          <w:lang w:eastAsia="bg-BG"/>
        </w:rPr>
      </w:pPr>
    </w:p>
    <w:p w14:paraId="5AA7B966" w14:textId="77777777" w:rsidR="00001DBB" w:rsidRPr="00D279DC" w:rsidRDefault="00001DBB" w:rsidP="00D279DC">
      <w:pPr>
        <w:pStyle w:val="Heading3"/>
        <w:rPr>
          <w:rFonts w:eastAsia="Times New Roman"/>
          <w:i/>
          <w:u w:val="single"/>
          <w:lang w:eastAsia="bg-BG"/>
        </w:rPr>
      </w:pPr>
      <w:r w:rsidRPr="00D279DC">
        <w:rPr>
          <w:rFonts w:eastAsia="Times New Roman"/>
          <w:i/>
          <w:u w:val="single"/>
          <w:lang w:eastAsia="bg-BG"/>
        </w:rPr>
        <w:t>Разпределение</w:t>
      </w:r>
    </w:p>
    <w:p w14:paraId="6F805891"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 xml:space="preserve">Приблизително 30 - 40 % от левофлоксацин се свързват със серумните протеини. Средният обем на разпределение на левофлоксацин е около 100 1 след еднократни или многократни дози от 500 </w:t>
      </w:r>
      <w:r w:rsidRPr="00D279DC">
        <w:rPr>
          <w:rFonts w:eastAsia="Times New Roman" w:cs="Arial"/>
          <w:color w:val="000000"/>
          <w:lang w:val="en-US"/>
        </w:rPr>
        <w:t xml:space="preserve">mg, </w:t>
      </w:r>
      <w:r w:rsidRPr="00D279DC">
        <w:rPr>
          <w:rFonts w:eastAsia="Times New Roman" w:cs="Arial"/>
          <w:color w:val="000000"/>
          <w:lang w:eastAsia="bg-BG"/>
        </w:rPr>
        <w:t>и показва широко разпределение в телесните тъканите.</w:t>
      </w:r>
    </w:p>
    <w:p w14:paraId="29D29CB3" w14:textId="77777777" w:rsidR="00001DBB" w:rsidRPr="00D279DC" w:rsidRDefault="00001DBB" w:rsidP="00001DBB">
      <w:pPr>
        <w:spacing w:line="240" w:lineRule="auto"/>
        <w:rPr>
          <w:rFonts w:eastAsia="Times New Roman" w:cs="Arial"/>
          <w:i/>
          <w:iCs/>
          <w:color w:val="000000"/>
          <w:u w:val="single"/>
          <w:lang w:eastAsia="bg-BG"/>
        </w:rPr>
      </w:pPr>
    </w:p>
    <w:p w14:paraId="0FD259C5" w14:textId="77777777" w:rsidR="00001DBB" w:rsidRPr="00D279DC" w:rsidRDefault="00001DBB" w:rsidP="00001DBB">
      <w:pPr>
        <w:spacing w:line="240" w:lineRule="auto"/>
        <w:rPr>
          <w:rFonts w:eastAsia="Times New Roman" w:cs="Arial"/>
          <w:lang w:eastAsia="bg-BG"/>
        </w:rPr>
      </w:pPr>
      <w:r w:rsidRPr="00D279DC">
        <w:rPr>
          <w:rFonts w:eastAsia="Times New Roman" w:cs="Arial"/>
          <w:i/>
          <w:iCs/>
          <w:color w:val="000000"/>
          <w:u w:val="single"/>
          <w:lang w:eastAsia="bg-BG"/>
        </w:rPr>
        <w:t>Проникване в тъканите и телесните течности</w:t>
      </w:r>
    </w:p>
    <w:p w14:paraId="13CA8CC5"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Доказано е, че левофлоксацин прониква в бронхиалната лигавица, епителната покривна течност, алвеоларните макрофаги, белодробната тъкан, кожата (течността в мехурите), простатната тъкан и урината. Въпреки това, левофлоксацин има лоша проницаемост в цереброспиналната течност.</w:t>
      </w:r>
    </w:p>
    <w:p w14:paraId="5C872FDD" w14:textId="77777777" w:rsidR="00001DBB" w:rsidRPr="00D279DC" w:rsidRDefault="00001DBB" w:rsidP="00001DBB">
      <w:pPr>
        <w:spacing w:line="240" w:lineRule="auto"/>
        <w:rPr>
          <w:rFonts w:eastAsia="Times New Roman" w:cs="Arial"/>
          <w:i/>
          <w:iCs/>
          <w:color w:val="000000"/>
          <w:u w:val="single"/>
          <w:lang w:eastAsia="bg-BG"/>
        </w:rPr>
      </w:pPr>
    </w:p>
    <w:p w14:paraId="49442A5E" w14:textId="77777777" w:rsidR="00001DBB" w:rsidRPr="00D279DC" w:rsidRDefault="00001DBB" w:rsidP="00001DBB">
      <w:pPr>
        <w:spacing w:line="240" w:lineRule="auto"/>
        <w:rPr>
          <w:rFonts w:eastAsia="Times New Roman" w:cs="Arial"/>
          <w:lang w:eastAsia="bg-BG"/>
        </w:rPr>
      </w:pPr>
      <w:r w:rsidRPr="00D279DC">
        <w:rPr>
          <w:rFonts w:eastAsia="Times New Roman" w:cs="Arial"/>
          <w:i/>
          <w:iCs/>
          <w:color w:val="000000"/>
          <w:u w:val="single"/>
          <w:lang w:eastAsia="bg-BG"/>
        </w:rPr>
        <w:t>Биотрансформация</w:t>
      </w:r>
    </w:p>
    <w:p w14:paraId="571A465E"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 xml:space="preserve">Левофлоксацин се метаболизира в много малка степен, като метаболитите са дезметил- левофлоксацин и левофлоксацин </w:t>
      </w:r>
      <w:r w:rsidRPr="00D279DC">
        <w:rPr>
          <w:rFonts w:eastAsia="Times New Roman" w:cs="Arial"/>
          <w:color w:val="000000"/>
          <w:lang w:val="en-US"/>
        </w:rPr>
        <w:t>N</w:t>
      </w:r>
      <w:r w:rsidRPr="00D279DC">
        <w:rPr>
          <w:rFonts w:eastAsia="Times New Roman" w:cs="Arial"/>
          <w:color w:val="000000"/>
          <w:lang w:eastAsia="bg-BG"/>
        </w:rPr>
        <w:t>-оксид. Тези метаболити съставят &lt; 5 % от дозата, екскретирана в урината.</w:t>
      </w:r>
    </w:p>
    <w:p w14:paraId="260A6568"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Левофлоксацин е стереохимично стабилен и не претърпява хирална инверсия.</w:t>
      </w:r>
    </w:p>
    <w:p w14:paraId="77E117C7" w14:textId="77777777" w:rsidR="00001DBB" w:rsidRPr="00D279DC" w:rsidRDefault="00001DBB" w:rsidP="00001DBB">
      <w:pPr>
        <w:spacing w:line="240" w:lineRule="auto"/>
        <w:rPr>
          <w:rFonts w:eastAsia="Times New Roman" w:cs="Arial"/>
          <w:i/>
          <w:iCs/>
          <w:color w:val="000000"/>
          <w:u w:val="single"/>
          <w:lang w:eastAsia="bg-BG"/>
        </w:rPr>
      </w:pPr>
    </w:p>
    <w:p w14:paraId="115A14B2" w14:textId="77777777" w:rsidR="00001DBB" w:rsidRPr="00D279DC" w:rsidRDefault="00001DBB" w:rsidP="00D279DC">
      <w:pPr>
        <w:pStyle w:val="Heading3"/>
        <w:rPr>
          <w:rFonts w:eastAsia="Times New Roman"/>
          <w:i/>
          <w:u w:val="single"/>
          <w:lang w:eastAsia="bg-BG"/>
        </w:rPr>
      </w:pPr>
      <w:r w:rsidRPr="00D279DC">
        <w:rPr>
          <w:rFonts w:eastAsia="Times New Roman"/>
          <w:i/>
          <w:u w:val="single"/>
          <w:lang w:eastAsia="bg-BG"/>
        </w:rPr>
        <w:t>Елиминиране</w:t>
      </w:r>
    </w:p>
    <w:p w14:paraId="47D8BD9E" w14:textId="77777777" w:rsidR="00001DBB" w:rsidRPr="00D279DC" w:rsidRDefault="00001DBB" w:rsidP="00001DBB">
      <w:pPr>
        <w:rPr>
          <w:rFonts w:cs="Arial"/>
        </w:rPr>
      </w:pPr>
      <w:r w:rsidRPr="00D279DC">
        <w:rPr>
          <w:rFonts w:eastAsia="Times New Roman" w:cs="Arial"/>
          <w:color w:val="000000"/>
          <w:lang w:eastAsia="bg-BG"/>
        </w:rPr>
        <w:t xml:space="preserve">След перорално и интравенозно приложение на левофлоксацин, той се елиминира относително бавно от плазмата </w:t>
      </w:r>
      <w:r w:rsidRPr="00D279DC">
        <w:rPr>
          <w:rFonts w:eastAsia="Times New Roman" w:cs="Arial"/>
          <w:color w:val="000000"/>
          <w:lang w:val="en-US"/>
        </w:rPr>
        <w:t xml:space="preserve">(t%: </w:t>
      </w:r>
      <w:r w:rsidRPr="00D279DC">
        <w:rPr>
          <w:rFonts w:eastAsia="Times New Roman" w:cs="Arial"/>
          <w:i/>
          <w:iCs/>
          <w:color w:val="000000"/>
          <w:lang w:eastAsia="bg-BG"/>
        </w:rPr>
        <w:t>6-8</w:t>
      </w:r>
      <w:r w:rsidRPr="00D279DC">
        <w:rPr>
          <w:rFonts w:eastAsia="Times New Roman" w:cs="Arial"/>
          <w:color w:val="000000"/>
          <w:lang w:eastAsia="bg-BG"/>
        </w:rPr>
        <w:t xml:space="preserve"> часа). Екскрецията е основно през бъбреците (&gt; 85 % от приложената доза).</w:t>
      </w:r>
    </w:p>
    <w:p w14:paraId="60EF1EC7" w14:textId="77777777" w:rsidR="00001DBB" w:rsidRPr="00D279DC" w:rsidRDefault="00001DBB" w:rsidP="00001DBB">
      <w:pPr>
        <w:rPr>
          <w:rFonts w:cs="Arial"/>
        </w:rPr>
      </w:pPr>
    </w:p>
    <w:p w14:paraId="507CA3F7"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 xml:space="preserve">Средният привиден общ телесен клирънс на левофлоксацин след еднинична доза от 500 </w:t>
      </w:r>
      <w:r w:rsidRPr="00D279DC">
        <w:rPr>
          <w:rFonts w:eastAsia="Times New Roman" w:cs="Arial"/>
          <w:color w:val="000000"/>
          <w:lang w:val="en-US"/>
        </w:rPr>
        <w:t xml:space="preserve">mg </w:t>
      </w:r>
      <w:r w:rsidRPr="00D279DC">
        <w:rPr>
          <w:rFonts w:eastAsia="Times New Roman" w:cs="Arial"/>
          <w:color w:val="000000"/>
          <w:lang w:eastAsia="bg-BG"/>
        </w:rPr>
        <w:t xml:space="preserve">е 175 +/- 29,2 </w:t>
      </w:r>
      <w:r w:rsidRPr="00D279DC">
        <w:rPr>
          <w:rFonts w:eastAsia="Times New Roman" w:cs="Arial"/>
          <w:color w:val="000000"/>
          <w:lang w:val="en-US"/>
        </w:rPr>
        <w:t>ml</w:t>
      </w:r>
      <w:r w:rsidRPr="00D279DC">
        <w:rPr>
          <w:rFonts w:eastAsia="Times New Roman" w:cs="Arial"/>
          <w:color w:val="000000"/>
          <w:lang w:eastAsia="bg-BG"/>
        </w:rPr>
        <w:t>/мин.</w:t>
      </w:r>
    </w:p>
    <w:p w14:paraId="58AB153E" w14:textId="77777777" w:rsidR="00001DBB" w:rsidRPr="00D279DC" w:rsidRDefault="00001DBB" w:rsidP="00001DBB">
      <w:pPr>
        <w:spacing w:line="240" w:lineRule="auto"/>
        <w:rPr>
          <w:rFonts w:eastAsia="Times New Roman" w:cs="Arial"/>
          <w:color w:val="000000"/>
          <w:lang w:eastAsia="bg-BG"/>
        </w:rPr>
      </w:pPr>
    </w:p>
    <w:p w14:paraId="365AD58C"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Няма големи различия във фармакокинетиката на левофлоксацин след интравенозно и перорално приложение, което предполага взаимозаменяемост на пероралния и интравенозния път.</w:t>
      </w:r>
    </w:p>
    <w:p w14:paraId="55BF3686" w14:textId="77777777" w:rsidR="00001DBB" w:rsidRPr="00D279DC" w:rsidRDefault="00001DBB" w:rsidP="00001DBB">
      <w:pPr>
        <w:spacing w:line="240" w:lineRule="auto"/>
        <w:rPr>
          <w:rFonts w:eastAsia="Times New Roman" w:cs="Arial"/>
          <w:i/>
          <w:iCs/>
          <w:color w:val="000000"/>
          <w:u w:val="single"/>
          <w:lang w:eastAsia="bg-BG"/>
        </w:rPr>
      </w:pPr>
    </w:p>
    <w:p w14:paraId="239B8447" w14:textId="77777777" w:rsidR="00001DBB" w:rsidRPr="00D279DC" w:rsidRDefault="00001DBB" w:rsidP="00001DBB">
      <w:pPr>
        <w:spacing w:line="240" w:lineRule="auto"/>
        <w:rPr>
          <w:rFonts w:eastAsia="Times New Roman" w:cs="Arial"/>
          <w:lang w:eastAsia="bg-BG"/>
        </w:rPr>
      </w:pPr>
      <w:r w:rsidRPr="00D279DC">
        <w:rPr>
          <w:rFonts w:eastAsia="Times New Roman" w:cs="Arial"/>
          <w:i/>
          <w:iCs/>
          <w:color w:val="000000"/>
          <w:u w:val="single"/>
          <w:lang w:eastAsia="bg-BG"/>
        </w:rPr>
        <w:t>Линейност</w:t>
      </w:r>
    </w:p>
    <w:p w14:paraId="202E6A37"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 xml:space="preserve">Левофлоксацин притежава линейна фармакокинетика в диапазон от 50 до 1 000 </w:t>
      </w:r>
      <w:r w:rsidRPr="00D279DC">
        <w:rPr>
          <w:rFonts w:eastAsia="Times New Roman" w:cs="Arial"/>
          <w:color w:val="000000"/>
          <w:lang w:val="en-US"/>
        </w:rPr>
        <w:t>mg.</w:t>
      </w:r>
    </w:p>
    <w:p w14:paraId="2FAD9254" w14:textId="77777777" w:rsidR="00001DBB" w:rsidRPr="00D279DC" w:rsidRDefault="00001DBB" w:rsidP="00001DBB">
      <w:pPr>
        <w:spacing w:line="240" w:lineRule="auto"/>
        <w:rPr>
          <w:rFonts w:eastAsia="Times New Roman" w:cs="Arial"/>
          <w:b/>
          <w:bCs/>
          <w:color w:val="000000"/>
          <w:lang w:eastAsia="bg-BG"/>
        </w:rPr>
      </w:pPr>
    </w:p>
    <w:p w14:paraId="30D36BE5" w14:textId="77777777" w:rsidR="00001DBB" w:rsidRPr="00D279DC" w:rsidRDefault="00001DBB" w:rsidP="00001DBB">
      <w:pPr>
        <w:spacing w:line="240" w:lineRule="auto"/>
        <w:rPr>
          <w:rFonts w:eastAsia="Times New Roman" w:cs="Arial"/>
          <w:lang w:eastAsia="bg-BG"/>
        </w:rPr>
      </w:pPr>
      <w:r w:rsidRPr="00D279DC">
        <w:rPr>
          <w:rFonts w:eastAsia="Times New Roman" w:cs="Arial"/>
          <w:b/>
          <w:bCs/>
          <w:color w:val="000000"/>
          <w:lang w:eastAsia="bg-BG"/>
        </w:rPr>
        <w:t>Специални популации</w:t>
      </w:r>
    </w:p>
    <w:p w14:paraId="39DEFFB1" w14:textId="77777777" w:rsidR="00001DBB" w:rsidRPr="00D279DC" w:rsidRDefault="00001DBB" w:rsidP="00001DBB">
      <w:pPr>
        <w:spacing w:line="240" w:lineRule="auto"/>
        <w:rPr>
          <w:rFonts w:eastAsia="Times New Roman" w:cs="Arial"/>
          <w:i/>
          <w:iCs/>
          <w:color w:val="000000"/>
          <w:u w:val="single"/>
          <w:lang w:eastAsia="bg-BG"/>
        </w:rPr>
      </w:pPr>
    </w:p>
    <w:p w14:paraId="3B03F86D" w14:textId="77777777" w:rsidR="00001DBB" w:rsidRPr="00D279DC" w:rsidRDefault="00001DBB" w:rsidP="00001DBB">
      <w:pPr>
        <w:spacing w:line="240" w:lineRule="auto"/>
        <w:rPr>
          <w:rFonts w:eastAsia="Times New Roman" w:cs="Arial"/>
          <w:lang w:eastAsia="bg-BG"/>
        </w:rPr>
      </w:pPr>
      <w:r w:rsidRPr="00D279DC">
        <w:rPr>
          <w:rFonts w:eastAsia="Times New Roman" w:cs="Arial"/>
          <w:i/>
          <w:iCs/>
          <w:color w:val="000000"/>
          <w:u w:val="single"/>
          <w:lang w:eastAsia="bg-BG"/>
        </w:rPr>
        <w:lastRenderedPageBreak/>
        <w:t>Лица с бъбречна недостатъчност</w:t>
      </w:r>
    </w:p>
    <w:p w14:paraId="225E403F"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Фармакокинетиката на левофлоксацин се повлиява от увреждане на бъбречната функция. При влошаване на бъбречната функция, бъбречното елиминиране и клирънс намаляват и елиминационният полуживот се повишава, както е показано в таблицата по-долу.</w:t>
      </w:r>
    </w:p>
    <w:p w14:paraId="14D371C7" w14:textId="77777777" w:rsidR="00001DBB" w:rsidRPr="00D279DC" w:rsidRDefault="00001DBB" w:rsidP="00001DBB">
      <w:pPr>
        <w:rPr>
          <w:rFonts w:eastAsia="Times New Roman" w:cs="Arial"/>
          <w:color w:val="000000"/>
          <w:u w:val="single"/>
          <w:lang w:eastAsia="bg-BG"/>
        </w:rPr>
      </w:pPr>
    </w:p>
    <w:p w14:paraId="0EC09E50" w14:textId="77777777" w:rsidR="00001DBB" w:rsidRPr="00D279DC" w:rsidRDefault="00001DBB" w:rsidP="00001DBB">
      <w:pPr>
        <w:rPr>
          <w:rFonts w:eastAsia="Times New Roman" w:cs="Arial"/>
          <w:color w:val="000000"/>
          <w:u w:val="single"/>
          <w:lang w:val="en-US"/>
        </w:rPr>
      </w:pPr>
      <w:r w:rsidRPr="00D279DC">
        <w:rPr>
          <w:rFonts w:eastAsia="Times New Roman" w:cs="Arial"/>
          <w:color w:val="000000"/>
          <w:u w:val="single"/>
          <w:lang w:eastAsia="bg-BG"/>
        </w:rPr>
        <w:t xml:space="preserve">Фармакокинетика при бъбречна недостатъчност след единична перорална доза от 500 </w:t>
      </w:r>
      <w:r w:rsidRPr="00D279DC">
        <w:rPr>
          <w:rFonts w:eastAsia="Times New Roman" w:cs="Arial"/>
          <w:color w:val="000000"/>
          <w:u w:val="single"/>
          <w:lang w:val="en-US"/>
        </w:rPr>
        <w:t>mg</w:t>
      </w:r>
    </w:p>
    <w:tbl>
      <w:tblPr>
        <w:tblStyle w:val="TableGrid"/>
        <w:tblW w:w="0" w:type="auto"/>
        <w:tblLook w:val="04A0" w:firstRow="1" w:lastRow="0" w:firstColumn="1" w:lastColumn="0" w:noHBand="0" w:noVBand="1"/>
      </w:tblPr>
      <w:tblGrid>
        <w:gridCol w:w="2337"/>
        <w:gridCol w:w="2337"/>
        <w:gridCol w:w="2338"/>
        <w:gridCol w:w="2338"/>
      </w:tblGrid>
      <w:tr w:rsidR="00001DBB" w:rsidRPr="00D279DC" w14:paraId="45D6C0FA" w14:textId="77777777" w:rsidTr="00001DBB">
        <w:tc>
          <w:tcPr>
            <w:tcW w:w="2337" w:type="dxa"/>
          </w:tcPr>
          <w:p w14:paraId="0E860D53" w14:textId="77777777" w:rsidR="00001DBB" w:rsidRPr="00D279DC" w:rsidRDefault="00001DBB" w:rsidP="00001DBB">
            <w:pPr>
              <w:rPr>
                <w:rFonts w:cs="Arial"/>
              </w:rPr>
            </w:pPr>
            <w:r w:rsidRPr="00D279DC">
              <w:rPr>
                <w:rFonts w:cs="Arial"/>
              </w:rPr>
              <w:t>Clcr [ml/min]</w:t>
            </w:r>
          </w:p>
        </w:tc>
        <w:tc>
          <w:tcPr>
            <w:tcW w:w="2337" w:type="dxa"/>
          </w:tcPr>
          <w:p w14:paraId="47B9EDB6" w14:textId="77777777" w:rsidR="00001DBB" w:rsidRPr="00D279DC" w:rsidRDefault="00001DBB" w:rsidP="00001DBB">
            <w:pPr>
              <w:rPr>
                <w:rFonts w:cs="Arial"/>
              </w:rPr>
            </w:pPr>
            <w:r w:rsidRPr="00D279DC">
              <w:rPr>
                <w:rFonts w:cs="Arial"/>
              </w:rPr>
              <w:t>&lt;20</w:t>
            </w:r>
          </w:p>
        </w:tc>
        <w:tc>
          <w:tcPr>
            <w:tcW w:w="2338" w:type="dxa"/>
          </w:tcPr>
          <w:p w14:paraId="42E140AD" w14:textId="77777777" w:rsidR="00001DBB" w:rsidRPr="00D279DC" w:rsidRDefault="00001DBB" w:rsidP="00001DBB">
            <w:pPr>
              <w:rPr>
                <w:rFonts w:cs="Arial"/>
              </w:rPr>
            </w:pPr>
            <w:r w:rsidRPr="00D279DC">
              <w:rPr>
                <w:rFonts w:cs="Arial"/>
              </w:rPr>
              <w:t>20-40</w:t>
            </w:r>
          </w:p>
        </w:tc>
        <w:tc>
          <w:tcPr>
            <w:tcW w:w="2338" w:type="dxa"/>
          </w:tcPr>
          <w:p w14:paraId="567AF35B" w14:textId="77777777" w:rsidR="00001DBB" w:rsidRPr="00D279DC" w:rsidRDefault="00001DBB" w:rsidP="00001DBB">
            <w:pPr>
              <w:rPr>
                <w:rFonts w:cs="Arial"/>
              </w:rPr>
            </w:pPr>
            <w:r w:rsidRPr="00D279DC">
              <w:rPr>
                <w:rFonts w:cs="Arial"/>
              </w:rPr>
              <w:t>50-80</w:t>
            </w:r>
          </w:p>
        </w:tc>
      </w:tr>
      <w:tr w:rsidR="00001DBB" w:rsidRPr="00D279DC" w14:paraId="41CC0795" w14:textId="77777777" w:rsidTr="00001DBB">
        <w:tc>
          <w:tcPr>
            <w:tcW w:w="2337" w:type="dxa"/>
          </w:tcPr>
          <w:p w14:paraId="5AB60545" w14:textId="77777777" w:rsidR="00001DBB" w:rsidRPr="00D279DC" w:rsidRDefault="00001DBB" w:rsidP="00001DBB">
            <w:pPr>
              <w:rPr>
                <w:rFonts w:cs="Arial"/>
              </w:rPr>
            </w:pPr>
            <w:r w:rsidRPr="00D279DC">
              <w:rPr>
                <w:rFonts w:cs="Arial"/>
                <w:smallCaps/>
              </w:rPr>
              <w:t>CIr</w:t>
            </w:r>
            <w:r w:rsidRPr="00D279DC">
              <w:rPr>
                <w:rFonts w:cs="Arial"/>
              </w:rPr>
              <w:t xml:space="preserve"> [ml/min]</w:t>
            </w:r>
          </w:p>
        </w:tc>
        <w:tc>
          <w:tcPr>
            <w:tcW w:w="2337" w:type="dxa"/>
          </w:tcPr>
          <w:p w14:paraId="13F508BA" w14:textId="77777777" w:rsidR="00001DBB" w:rsidRPr="00D279DC" w:rsidRDefault="00001DBB" w:rsidP="00001DBB">
            <w:pPr>
              <w:rPr>
                <w:rFonts w:cs="Arial"/>
              </w:rPr>
            </w:pPr>
            <w:r w:rsidRPr="00D279DC">
              <w:rPr>
                <w:rFonts w:cs="Arial"/>
              </w:rPr>
              <w:t>13</w:t>
            </w:r>
          </w:p>
        </w:tc>
        <w:tc>
          <w:tcPr>
            <w:tcW w:w="2338" w:type="dxa"/>
          </w:tcPr>
          <w:p w14:paraId="3A5C872F" w14:textId="77777777" w:rsidR="00001DBB" w:rsidRPr="00D279DC" w:rsidRDefault="00001DBB" w:rsidP="00001DBB">
            <w:pPr>
              <w:rPr>
                <w:rFonts w:cs="Arial"/>
              </w:rPr>
            </w:pPr>
            <w:r w:rsidRPr="00D279DC">
              <w:rPr>
                <w:rFonts w:cs="Arial"/>
              </w:rPr>
              <w:t>26</w:t>
            </w:r>
          </w:p>
        </w:tc>
        <w:tc>
          <w:tcPr>
            <w:tcW w:w="2338" w:type="dxa"/>
          </w:tcPr>
          <w:p w14:paraId="0ABAF816" w14:textId="77777777" w:rsidR="00001DBB" w:rsidRPr="00D279DC" w:rsidRDefault="00001DBB" w:rsidP="00001DBB">
            <w:pPr>
              <w:rPr>
                <w:rFonts w:cs="Arial"/>
              </w:rPr>
            </w:pPr>
            <w:r w:rsidRPr="00D279DC">
              <w:rPr>
                <w:rFonts w:cs="Arial"/>
              </w:rPr>
              <w:t>57</w:t>
            </w:r>
          </w:p>
        </w:tc>
      </w:tr>
      <w:tr w:rsidR="00001DBB" w:rsidRPr="00D279DC" w14:paraId="1F6A66EF" w14:textId="77777777" w:rsidTr="00001DBB">
        <w:tc>
          <w:tcPr>
            <w:tcW w:w="2337" w:type="dxa"/>
          </w:tcPr>
          <w:p w14:paraId="4B4BC3AF" w14:textId="4DC8516C" w:rsidR="00001DBB" w:rsidRPr="00D279DC" w:rsidRDefault="00D279DC" w:rsidP="00001DBB">
            <w:pPr>
              <w:rPr>
                <w:rFonts w:cs="Arial"/>
              </w:rPr>
            </w:pPr>
            <w:r>
              <w:rPr>
                <w:rFonts w:cs="Arial"/>
                <w:lang w:val="en-US"/>
              </w:rPr>
              <w:t>t</w:t>
            </w:r>
            <w:r w:rsidRPr="00D279DC">
              <w:rPr>
                <w:rFonts w:cs="Arial"/>
                <w:vertAlign w:val="subscript"/>
                <w:lang w:val="en-US"/>
              </w:rPr>
              <w:t>1/2</w:t>
            </w:r>
            <w:r w:rsidR="00001DBB" w:rsidRPr="00D279DC">
              <w:rPr>
                <w:rFonts w:cs="Arial"/>
                <w:vertAlign w:val="subscript"/>
              </w:rPr>
              <w:t xml:space="preserve"> </w:t>
            </w:r>
            <w:r w:rsidR="00001DBB" w:rsidRPr="00D279DC">
              <w:rPr>
                <w:rFonts w:cs="Arial"/>
              </w:rPr>
              <w:t>[h]</w:t>
            </w:r>
          </w:p>
        </w:tc>
        <w:tc>
          <w:tcPr>
            <w:tcW w:w="2337" w:type="dxa"/>
          </w:tcPr>
          <w:p w14:paraId="349EE146" w14:textId="77777777" w:rsidR="00001DBB" w:rsidRPr="00D279DC" w:rsidRDefault="00001DBB" w:rsidP="00001DBB">
            <w:pPr>
              <w:rPr>
                <w:rFonts w:cs="Arial"/>
              </w:rPr>
            </w:pPr>
            <w:r w:rsidRPr="00D279DC">
              <w:rPr>
                <w:rFonts w:cs="Arial"/>
              </w:rPr>
              <w:t>35</w:t>
            </w:r>
          </w:p>
        </w:tc>
        <w:tc>
          <w:tcPr>
            <w:tcW w:w="2338" w:type="dxa"/>
          </w:tcPr>
          <w:p w14:paraId="4E3505F5" w14:textId="77777777" w:rsidR="00001DBB" w:rsidRPr="00D279DC" w:rsidRDefault="00001DBB" w:rsidP="00001DBB">
            <w:pPr>
              <w:rPr>
                <w:rFonts w:cs="Arial"/>
              </w:rPr>
            </w:pPr>
            <w:r w:rsidRPr="00D279DC">
              <w:rPr>
                <w:rFonts w:cs="Arial"/>
              </w:rPr>
              <w:t>27</w:t>
            </w:r>
          </w:p>
        </w:tc>
        <w:tc>
          <w:tcPr>
            <w:tcW w:w="2338" w:type="dxa"/>
          </w:tcPr>
          <w:p w14:paraId="63326570" w14:textId="77777777" w:rsidR="00001DBB" w:rsidRPr="00D279DC" w:rsidRDefault="00001DBB" w:rsidP="00001DBB">
            <w:pPr>
              <w:rPr>
                <w:rFonts w:cs="Arial"/>
              </w:rPr>
            </w:pPr>
            <w:r w:rsidRPr="00D279DC">
              <w:rPr>
                <w:rFonts w:cs="Arial"/>
              </w:rPr>
              <w:t>9</w:t>
            </w:r>
          </w:p>
        </w:tc>
      </w:tr>
    </w:tbl>
    <w:p w14:paraId="4FFBB238" w14:textId="77777777" w:rsidR="00001DBB" w:rsidRPr="00D279DC" w:rsidRDefault="00001DBB" w:rsidP="00001DBB">
      <w:pPr>
        <w:rPr>
          <w:rFonts w:cs="Arial"/>
        </w:rPr>
      </w:pPr>
    </w:p>
    <w:p w14:paraId="05F0EE8E" w14:textId="77777777" w:rsidR="00001DBB" w:rsidRPr="00D279DC" w:rsidRDefault="00001DBB" w:rsidP="00001DBB">
      <w:pPr>
        <w:spacing w:line="240" w:lineRule="auto"/>
        <w:rPr>
          <w:rFonts w:eastAsia="Times New Roman" w:cs="Arial"/>
          <w:lang w:eastAsia="bg-BG"/>
        </w:rPr>
      </w:pPr>
      <w:r w:rsidRPr="00D279DC">
        <w:rPr>
          <w:rFonts w:eastAsia="Times New Roman" w:cs="Arial"/>
          <w:i/>
          <w:iCs/>
          <w:color w:val="000000"/>
          <w:u w:val="single"/>
          <w:lang w:eastAsia="bg-BG"/>
        </w:rPr>
        <w:t>Лииа в старческа възраст</w:t>
      </w:r>
    </w:p>
    <w:p w14:paraId="06FC79C2"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Няма значими различия в кинетиката на левофлоксацин при млади и лица в старческа възраст, с изключение на тези, свързани с разликите в креатиновия клирънс.</w:t>
      </w:r>
    </w:p>
    <w:p w14:paraId="1ED7B57C" w14:textId="77777777" w:rsidR="00001DBB" w:rsidRPr="00D279DC" w:rsidRDefault="00001DBB" w:rsidP="00001DBB">
      <w:pPr>
        <w:spacing w:line="240" w:lineRule="auto"/>
        <w:rPr>
          <w:rFonts w:eastAsia="Times New Roman" w:cs="Arial"/>
          <w:i/>
          <w:iCs/>
          <w:color w:val="000000"/>
          <w:u w:val="single"/>
          <w:lang w:eastAsia="bg-BG"/>
        </w:rPr>
      </w:pPr>
    </w:p>
    <w:p w14:paraId="545A1DC1" w14:textId="77777777" w:rsidR="00001DBB" w:rsidRPr="00D279DC" w:rsidRDefault="00001DBB" w:rsidP="00001DBB">
      <w:pPr>
        <w:spacing w:line="240" w:lineRule="auto"/>
        <w:rPr>
          <w:rFonts w:eastAsia="Times New Roman" w:cs="Arial"/>
          <w:lang w:eastAsia="bg-BG"/>
        </w:rPr>
      </w:pPr>
      <w:r w:rsidRPr="00D279DC">
        <w:rPr>
          <w:rFonts w:eastAsia="Times New Roman" w:cs="Arial"/>
          <w:i/>
          <w:iCs/>
          <w:color w:val="000000"/>
          <w:u w:val="single"/>
          <w:lang w:eastAsia="bg-BG"/>
        </w:rPr>
        <w:t>Полови разлики</w:t>
      </w:r>
    </w:p>
    <w:p w14:paraId="20344870" w14:textId="77777777" w:rsidR="00001DBB" w:rsidRPr="00D279DC" w:rsidRDefault="00001DBB" w:rsidP="00001DBB">
      <w:pPr>
        <w:rPr>
          <w:rFonts w:cs="Arial"/>
        </w:rPr>
      </w:pPr>
      <w:r w:rsidRPr="00D279DC">
        <w:rPr>
          <w:rFonts w:eastAsia="Times New Roman" w:cs="Arial"/>
          <w:color w:val="000000"/>
          <w:lang w:eastAsia="bg-BG"/>
        </w:rPr>
        <w:t>Отделни анализи при мъже и жени показват малки до гранични полови различия във фармакокинетиката на левофлоксацин. Няма доказателства, че тези полови разлики са от клинично значение.</w:t>
      </w:r>
    </w:p>
    <w:p w14:paraId="4EE1BB0B" w14:textId="10CBA391"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347CB606" w14:textId="77777777"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Неклиничните данни не показват особен риск за хора на базата на конвенционалните фармакологични проучвания за токсичност при еднократна доза, токсичност при многократно прилагане, карциногенен потенциал, репродуктивна токсичност и токсичност за развитието</w:t>
      </w:r>
    </w:p>
    <w:p w14:paraId="37F8BBDE" w14:textId="77777777" w:rsidR="00001DBB" w:rsidRPr="00D279DC" w:rsidRDefault="00001DBB" w:rsidP="00001DBB">
      <w:pPr>
        <w:spacing w:line="240" w:lineRule="auto"/>
        <w:rPr>
          <w:rFonts w:eastAsia="Times New Roman" w:cs="Arial"/>
          <w:color w:val="000000"/>
          <w:lang w:eastAsia="bg-BG"/>
        </w:rPr>
      </w:pPr>
    </w:p>
    <w:p w14:paraId="2F5FDC72" w14:textId="6FEB7BC9"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Левофлоксацин не предизвиква нарушения на фертилитета или репродуктивната функция при плъхове и единственият му ефект върху ембрионите е забавяне на съзряването като резултат</w:t>
      </w:r>
      <w:bookmarkStart w:id="2" w:name="_GoBack"/>
      <w:bookmarkEnd w:id="2"/>
      <w:r w:rsidRPr="00D279DC">
        <w:rPr>
          <w:rFonts w:eastAsia="Times New Roman" w:cs="Arial"/>
          <w:color w:val="000000"/>
          <w:lang w:eastAsia="bg-BG"/>
        </w:rPr>
        <w:t xml:space="preserve"> от токсичност при майката.</w:t>
      </w:r>
    </w:p>
    <w:p w14:paraId="5C2AC59A" w14:textId="77777777" w:rsidR="00001DBB" w:rsidRPr="00D279DC" w:rsidRDefault="00001DBB" w:rsidP="00001DBB">
      <w:pPr>
        <w:spacing w:line="240" w:lineRule="auto"/>
        <w:rPr>
          <w:rFonts w:eastAsia="Times New Roman" w:cs="Arial"/>
          <w:color w:val="000000"/>
          <w:lang w:eastAsia="bg-BG"/>
        </w:rPr>
      </w:pPr>
    </w:p>
    <w:p w14:paraId="0B98DA35" w14:textId="0FDAE909"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 xml:space="preserve">Левофлоксацин не индуцира генни мутации в бактериалните клетки или клетките на бозайниците, но индуцира хромозомни аберации в белодробни клетки на китайски хамстер </w:t>
      </w:r>
      <w:r w:rsidRPr="00D279DC">
        <w:rPr>
          <w:rFonts w:eastAsia="Times New Roman" w:cs="Arial"/>
          <w:i/>
          <w:iCs/>
          <w:color w:val="000000"/>
          <w:lang w:val="en-US"/>
        </w:rPr>
        <w:t>in vitro.</w:t>
      </w:r>
      <w:r w:rsidRPr="00D279DC">
        <w:rPr>
          <w:rFonts w:eastAsia="Times New Roman" w:cs="Arial"/>
          <w:color w:val="000000"/>
          <w:lang w:val="en-US"/>
        </w:rPr>
        <w:t xml:space="preserve"> </w:t>
      </w:r>
      <w:r w:rsidRPr="00D279DC">
        <w:rPr>
          <w:rFonts w:eastAsia="Times New Roman" w:cs="Arial"/>
          <w:color w:val="000000"/>
          <w:lang w:eastAsia="bg-BG"/>
        </w:rPr>
        <w:t xml:space="preserve">Тези ефекти могат да бъдат приписани на инхибирането на топоизомераза II. </w:t>
      </w:r>
      <w:r w:rsidRPr="00D279DC">
        <w:rPr>
          <w:rFonts w:eastAsia="Times New Roman" w:cs="Arial"/>
          <w:i/>
          <w:iCs/>
          <w:color w:val="000000"/>
          <w:lang w:val="en-US"/>
        </w:rPr>
        <w:t>In vivo</w:t>
      </w:r>
      <w:r w:rsidRPr="00D279DC">
        <w:rPr>
          <w:rFonts w:eastAsia="Times New Roman" w:cs="Arial"/>
          <w:color w:val="000000"/>
          <w:lang w:val="en-US"/>
        </w:rPr>
        <w:t xml:space="preserve"> </w:t>
      </w:r>
      <w:r w:rsidRPr="00D279DC">
        <w:rPr>
          <w:rFonts w:eastAsia="Times New Roman" w:cs="Arial"/>
          <w:color w:val="000000"/>
          <w:lang w:eastAsia="bg-BG"/>
        </w:rPr>
        <w:t>тестове (микронуклеарни, обмен на сестрински хроматиди, непредвиден синтез на ДНК, доминантни летални тестове) не показват генотоксичен потенциал.</w:t>
      </w:r>
    </w:p>
    <w:p w14:paraId="6897F528" w14:textId="77777777" w:rsidR="00001DBB" w:rsidRPr="00D279DC" w:rsidRDefault="00001DBB" w:rsidP="00001DBB">
      <w:pPr>
        <w:spacing w:line="240" w:lineRule="auto"/>
        <w:rPr>
          <w:rFonts w:eastAsia="Times New Roman" w:cs="Arial"/>
          <w:color w:val="000000"/>
          <w:lang w:eastAsia="bg-BG"/>
        </w:rPr>
      </w:pPr>
    </w:p>
    <w:p w14:paraId="01F7E01A" w14:textId="5C4BF236" w:rsidR="00001DBB" w:rsidRPr="00D279DC" w:rsidRDefault="00001DBB" w:rsidP="00001DBB">
      <w:pPr>
        <w:spacing w:line="240" w:lineRule="auto"/>
        <w:rPr>
          <w:rFonts w:eastAsia="Times New Roman" w:cs="Arial"/>
          <w:lang w:eastAsia="bg-BG"/>
        </w:rPr>
      </w:pPr>
      <w:r w:rsidRPr="00D279DC">
        <w:rPr>
          <w:rFonts w:eastAsia="Times New Roman" w:cs="Arial"/>
          <w:color w:val="000000"/>
          <w:lang w:eastAsia="bg-BG"/>
        </w:rPr>
        <w:t>Проучвания при мишки показват, че левофлоксацин има фототоксична активност само при много високи дози. Левофлоксацин не показва никакъв генотоксичен потенциал при фотомутагенен анализ и намалява развитието на тумора при проучване за фотокарциногенност.</w:t>
      </w:r>
    </w:p>
    <w:p w14:paraId="57B81D3C" w14:textId="77777777" w:rsidR="00001DBB" w:rsidRPr="00D279DC" w:rsidRDefault="00001DBB" w:rsidP="00001DBB">
      <w:pPr>
        <w:rPr>
          <w:rFonts w:eastAsia="Times New Roman" w:cs="Arial"/>
          <w:color w:val="000000"/>
          <w:lang w:eastAsia="bg-BG"/>
        </w:rPr>
      </w:pPr>
    </w:p>
    <w:p w14:paraId="13A7B62A" w14:textId="71DB65BC" w:rsidR="007A2185" w:rsidRPr="00D279DC" w:rsidRDefault="00001DBB" w:rsidP="00001DBB">
      <w:pPr>
        <w:rPr>
          <w:rFonts w:cs="Arial"/>
        </w:rPr>
      </w:pPr>
      <w:r w:rsidRPr="00D279DC">
        <w:rPr>
          <w:rFonts w:eastAsia="Times New Roman" w:cs="Arial"/>
          <w:color w:val="000000"/>
          <w:lang w:eastAsia="bg-BG"/>
        </w:rPr>
        <w:t>Както и останалите флуорохинолони, левофлоксацин оказва ефекти върху хрущялите (образуване на шупли и кухини) при плъхове и кучета. Тези находки са по-изразени при млади животни.</w:t>
      </w:r>
    </w:p>
    <w:p w14:paraId="12FFA9B2" w14:textId="77777777" w:rsidR="007A2185" w:rsidRPr="0091385D" w:rsidRDefault="007A2185" w:rsidP="0091385D"/>
    <w:p w14:paraId="6A7820AB" w14:textId="353DB6D2" w:rsidR="008A6AF2" w:rsidRDefault="002C50EE" w:rsidP="00395555">
      <w:pPr>
        <w:pStyle w:val="Heading1"/>
      </w:pPr>
      <w:r>
        <w:lastRenderedPageBreak/>
        <w:t>7. ПРИТЕЖАТЕЛ НА РАЗРЕШЕНИЕТО ЗА УПОТРЕБА</w:t>
      </w:r>
    </w:p>
    <w:p w14:paraId="1B9B651E" w14:textId="24042B6C" w:rsidR="0091385D" w:rsidRDefault="0091385D" w:rsidP="0091385D"/>
    <w:p w14:paraId="2C3E6DE2" w14:textId="77777777" w:rsidR="00D279DC" w:rsidRPr="00D279DC" w:rsidRDefault="00D279DC" w:rsidP="00D279DC">
      <w:pPr>
        <w:spacing w:line="240" w:lineRule="auto"/>
        <w:rPr>
          <w:rFonts w:eastAsia="Times New Roman" w:cs="Arial"/>
          <w:sz w:val="28"/>
          <w:szCs w:val="24"/>
          <w:lang w:val="en-US" w:eastAsia="bg-BG"/>
        </w:rPr>
      </w:pPr>
      <w:r w:rsidRPr="00D279DC">
        <w:rPr>
          <w:rFonts w:eastAsia="Times New Roman" w:cs="Arial"/>
          <w:color w:val="000000"/>
          <w:szCs w:val="20"/>
          <w:lang w:val="en-US"/>
        </w:rPr>
        <w:t xml:space="preserve">Accord Healthcare </w:t>
      </w:r>
      <w:proofErr w:type="spellStart"/>
      <w:r w:rsidRPr="00D279DC">
        <w:rPr>
          <w:rFonts w:eastAsia="Times New Roman" w:cs="Arial"/>
          <w:color w:val="000000"/>
          <w:szCs w:val="20"/>
          <w:lang w:val="en-US"/>
        </w:rPr>
        <w:t>Polska</w:t>
      </w:r>
      <w:proofErr w:type="spellEnd"/>
      <w:r w:rsidRPr="00D279DC">
        <w:rPr>
          <w:rFonts w:eastAsia="Times New Roman" w:cs="Arial"/>
          <w:color w:val="000000"/>
          <w:szCs w:val="20"/>
          <w:lang w:val="en-US"/>
        </w:rPr>
        <w:t xml:space="preserve"> Sp. z </w:t>
      </w:r>
      <w:proofErr w:type="spellStart"/>
      <w:r w:rsidRPr="00D279DC">
        <w:rPr>
          <w:rFonts w:eastAsia="Times New Roman" w:cs="Arial"/>
          <w:color w:val="000000"/>
          <w:szCs w:val="20"/>
          <w:lang w:val="en-US"/>
        </w:rPr>
        <w:t>o.o</w:t>
      </w:r>
      <w:proofErr w:type="spellEnd"/>
      <w:proofErr w:type="gramStart"/>
      <w:r w:rsidRPr="00D279DC">
        <w:rPr>
          <w:rFonts w:eastAsia="Times New Roman" w:cs="Arial"/>
          <w:color w:val="000000"/>
          <w:szCs w:val="20"/>
          <w:lang w:val="en-US"/>
        </w:rPr>
        <w:t>.,</w:t>
      </w:r>
      <w:proofErr w:type="gramEnd"/>
    </w:p>
    <w:p w14:paraId="720A42DA" w14:textId="77777777" w:rsidR="00D279DC" w:rsidRPr="00D279DC" w:rsidRDefault="00D279DC" w:rsidP="00D279DC">
      <w:pPr>
        <w:spacing w:line="240" w:lineRule="auto"/>
        <w:rPr>
          <w:rFonts w:eastAsia="Times New Roman" w:cs="Arial"/>
          <w:sz w:val="28"/>
          <w:szCs w:val="24"/>
          <w:lang w:val="en-US" w:eastAsia="bg-BG"/>
        </w:rPr>
      </w:pPr>
      <w:proofErr w:type="spellStart"/>
      <w:proofErr w:type="gramStart"/>
      <w:r w:rsidRPr="00D279DC">
        <w:rPr>
          <w:rFonts w:eastAsia="Times New Roman" w:cs="Arial"/>
          <w:color w:val="000000"/>
          <w:szCs w:val="20"/>
          <w:lang w:val="en-US"/>
        </w:rPr>
        <w:t>ul</w:t>
      </w:r>
      <w:proofErr w:type="spellEnd"/>
      <w:proofErr w:type="gramEnd"/>
      <w:r w:rsidRPr="00D279DC">
        <w:rPr>
          <w:rFonts w:eastAsia="Times New Roman" w:cs="Arial"/>
          <w:color w:val="000000"/>
          <w:szCs w:val="20"/>
          <w:lang w:val="en-US"/>
        </w:rPr>
        <w:t xml:space="preserve">. </w:t>
      </w:r>
      <w:proofErr w:type="spellStart"/>
      <w:r w:rsidRPr="00D279DC">
        <w:rPr>
          <w:rFonts w:eastAsia="Times New Roman" w:cs="Arial"/>
          <w:color w:val="000000"/>
          <w:szCs w:val="20"/>
          <w:lang w:val="en-US"/>
        </w:rPr>
        <w:t>Tasmowa</w:t>
      </w:r>
      <w:proofErr w:type="spellEnd"/>
      <w:r w:rsidRPr="00D279DC">
        <w:rPr>
          <w:rFonts w:eastAsia="Times New Roman" w:cs="Arial"/>
          <w:color w:val="000000"/>
          <w:szCs w:val="20"/>
          <w:lang w:val="en-US"/>
        </w:rPr>
        <w:t xml:space="preserve"> 7,</w:t>
      </w:r>
    </w:p>
    <w:p w14:paraId="0EB3978A" w14:textId="77777777" w:rsidR="00D279DC" w:rsidRPr="00D279DC" w:rsidRDefault="00D279DC" w:rsidP="00D279DC">
      <w:pPr>
        <w:spacing w:line="240" w:lineRule="auto"/>
        <w:rPr>
          <w:rFonts w:eastAsia="Times New Roman" w:cs="Arial"/>
          <w:sz w:val="28"/>
          <w:szCs w:val="24"/>
          <w:lang w:val="en-US" w:eastAsia="bg-BG"/>
        </w:rPr>
      </w:pPr>
      <w:r w:rsidRPr="00D279DC">
        <w:rPr>
          <w:rFonts w:eastAsia="Times New Roman" w:cs="Arial"/>
          <w:color w:val="000000"/>
          <w:szCs w:val="20"/>
          <w:lang w:val="en-US"/>
        </w:rPr>
        <w:t xml:space="preserve">02-677, Warszawa, </w:t>
      </w:r>
      <w:proofErr w:type="spellStart"/>
      <w:r w:rsidRPr="00D279DC">
        <w:rPr>
          <w:rFonts w:eastAsia="Times New Roman" w:cs="Arial"/>
          <w:color w:val="000000"/>
          <w:szCs w:val="20"/>
          <w:lang w:val="en-US"/>
        </w:rPr>
        <w:t>Mazowieckie</w:t>
      </w:r>
      <w:proofErr w:type="spellEnd"/>
      <w:r w:rsidRPr="00D279DC">
        <w:rPr>
          <w:rFonts w:eastAsia="Times New Roman" w:cs="Arial"/>
          <w:color w:val="000000"/>
          <w:szCs w:val="20"/>
          <w:lang w:val="en-US"/>
        </w:rPr>
        <w:t>,</w:t>
      </w:r>
    </w:p>
    <w:p w14:paraId="4F02909F" w14:textId="1AC943CE" w:rsidR="007A2185" w:rsidRPr="00D279DC" w:rsidRDefault="00D279DC" w:rsidP="00D279DC">
      <w:pPr>
        <w:rPr>
          <w:rFonts w:cs="Arial"/>
          <w:sz w:val="24"/>
        </w:rPr>
      </w:pPr>
      <w:r w:rsidRPr="00D279DC">
        <w:rPr>
          <w:rFonts w:eastAsia="Times New Roman" w:cs="Arial"/>
          <w:color w:val="000000"/>
          <w:szCs w:val="20"/>
          <w:lang w:eastAsia="bg-BG"/>
        </w:rPr>
        <w:t>Полша</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6D15EE02" w:rsidR="007A2185" w:rsidRPr="00D279DC" w:rsidRDefault="00D279DC" w:rsidP="0091385D">
      <w:pPr>
        <w:rPr>
          <w:rFonts w:cs="Arial"/>
        </w:rPr>
      </w:pPr>
      <w:proofErr w:type="spellStart"/>
      <w:r w:rsidRPr="00D279DC">
        <w:rPr>
          <w:rFonts w:cs="Arial"/>
          <w:szCs w:val="20"/>
          <w:lang w:val="en-US"/>
        </w:rPr>
        <w:t>Pe</w:t>
      </w:r>
      <w:proofErr w:type="spellEnd"/>
      <w:r w:rsidRPr="00D279DC">
        <w:rPr>
          <w:rFonts w:cs="Arial"/>
          <w:szCs w:val="20"/>
        </w:rPr>
        <w:t>г</w:t>
      </w:r>
      <w:r w:rsidRPr="00D279DC">
        <w:rPr>
          <w:rFonts w:cs="Arial"/>
          <w:szCs w:val="20"/>
          <w:lang w:val="en-US"/>
        </w:rPr>
        <w:t xml:space="preserve">. </w:t>
      </w:r>
      <w:r w:rsidRPr="00D279DC">
        <w:rPr>
          <w:rFonts w:cs="Arial"/>
          <w:szCs w:val="20"/>
        </w:rPr>
        <w:t>№: 20110532</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75E18B58" w14:textId="77777777" w:rsidR="00D279DC" w:rsidRPr="00D279DC" w:rsidRDefault="00D279DC" w:rsidP="00D279DC">
      <w:pPr>
        <w:spacing w:line="240" w:lineRule="auto"/>
        <w:rPr>
          <w:rFonts w:eastAsia="Times New Roman" w:cs="Arial"/>
          <w:sz w:val="28"/>
          <w:szCs w:val="24"/>
          <w:lang w:eastAsia="bg-BG"/>
        </w:rPr>
      </w:pPr>
      <w:r w:rsidRPr="00D279DC">
        <w:rPr>
          <w:rFonts w:eastAsia="Times New Roman" w:cs="Arial"/>
          <w:color w:val="000000"/>
          <w:szCs w:val="20"/>
          <w:lang w:eastAsia="bg-BG"/>
        </w:rPr>
        <w:t>Дата на първо разрешаване: 15.09.2011 г.</w:t>
      </w:r>
    </w:p>
    <w:p w14:paraId="6C57D8B6" w14:textId="68ABB191" w:rsidR="007A2185" w:rsidRPr="00D279DC" w:rsidRDefault="00D279DC" w:rsidP="00D279DC">
      <w:pPr>
        <w:rPr>
          <w:rFonts w:cs="Arial"/>
          <w:sz w:val="24"/>
        </w:rPr>
      </w:pPr>
      <w:r w:rsidRPr="00D279DC">
        <w:rPr>
          <w:rFonts w:eastAsia="Times New Roman" w:cs="Arial"/>
          <w:color w:val="000000"/>
          <w:szCs w:val="20"/>
          <w:lang w:eastAsia="bg-BG"/>
        </w:rPr>
        <w:t>Дата на последно подновяване: 09.08.2018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6D8F1AF0" w:rsidR="007A2185" w:rsidRPr="00D279DC" w:rsidRDefault="00D279DC" w:rsidP="0091385D">
      <w:pPr>
        <w:rPr>
          <w:rFonts w:cs="Arial"/>
          <w:sz w:val="24"/>
        </w:rPr>
      </w:pPr>
      <w:r w:rsidRPr="00D279DC">
        <w:rPr>
          <w:rFonts w:cs="Arial"/>
          <w:szCs w:val="20"/>
        </w:rPr>
        <w:t>Май 2021 г.</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12A1B1D"/>
    <w:multiLevelType w:val="hybridMultilevel"/>
    <w:tmpl w:val="B476A01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27D6740"/>
    <w:multiLevelType w:val="hybridMultilevel"/>
    <w:tmpl w:val="7B40E61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C82B89"/>
    <w:multiLevelType w:val="hybridMultilevel"/>
    <w:tmpl w:val="D13208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E2CF0"/>
    <w:multiLevelType w:val="hybridMultilevel"/>
    <w:tmpl w:val="7D4E98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6260E11"/>
    <w:multiLevelType w:val="hybridMultilevel"/>
    <w:tmpl w:val="C706D2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1086B"/>
    <w:multiLevelType w:val="hybridMultilevel"/>
    <w:tmpl w:val="2A209702"/>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642F54"/>
    <w:multiLevelType w:val="hybridMultilevel"/>
    <w:tmpl w:val="B9D47C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B519C"/>
    <w:multiLevelType w:val="hybridMultilevel"/>
    <w:tmpl w:val="242637A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3"/>
  </w:num>
  <w:num w:numId="2">
    <w:abstractNumId w:val="0"/>
  </w:num>
  <w:num w:numId="3">
    <w:abstractNumId w:val="15"/>
  </w:num>
  <w:num w:numId="4">
    <w:abstractNumId w:val="3"/>
  </w:num>
  <w:num w:numId="5">
    <w:abstractNumId w:val="1"/>
  </w:num>
  <w:num w:numId="6">
    <w:abstractNumId w:val="21"/>
  </w:num>
  <w:num w:numId="7">
    <w:abstractNumId w:val="12"/>
  </w:num>
  <w:num w:numId="8">
    <w:abstractNumId w:val="20"/>
  </w:num>
  <w:num w:numId="9">
    <w:abstractNumId w:val="2"/>
  </w:num>
  <w:num w:numId="10">
    <w:abstractNumId w:val="4"/>
  </w:num>
  <w:num w:numId="11">
    <w:abstractNumId w:val="37"/>
  </w:num>
  <w:num w:numId="12">
    <w:abstractNumId w:val="19"/>
  </w:num>
  <w:num w:numId="13">
    <w:abstractNumId w:val="24"/>
  </w:num>
  <w:num w:numId="14">
    <w:abstractNumId w:val="14"/>
  </w:num>
  <w:num w:numId="15">
    <w:abstractNumId w:val="35"/>
  </w:num>
  <w:num w:numId="16">
    <w:abstractNumId w:val="11"/>
  </w:num>
  <w:num w:numId="17">
    <w:abstractNumId w:val="29"/>
  </w:num>
  <w:num w:numId="18">
    <w:abstractNumId w:val="9"/>
  </w:num>
  <w:num w:numId="19">
    <w:abstractNumId w:val="32"/>
  </w:num>
  <w:num w:numId="20">
    <w:abstractNumId w:val="28"/>
  </w:num>
  <w:num w:numId="21">
    <w:abstractNumId w:val="22"/>
  </w:num>
  <w:num w:numId="22">
    <w:abstractNumId w:val="31"/>
  </w:num>
  <w:num w:numId="23">
    <w:abstractNumId w:val="23"/>
  </w:num>
  <w:num w:numId="24">
    <w:abstractNumId w:val="10"/>
  </w:num>
  <w:num w:numId="25">
    <w:abstractNumId w:val="27"/>
  </w:num>
  <w:num w:numId="26">
    <w:abstractNumId w:val="26"/>
  </w:num>
  <w:num w:numId="27">
    <w:abstractNumId w:val="38"/>
  </w:num>
  <w:num w:numId="28">
    <w:abstractNumId w:val="6"/>
  </w:num>
  <w:num w:numId="29">
    <w:abstractNumId w:val="25"/>
  </w:num>
  <w:num w:numId="30">
    <w:abstractNumId w:val="42"/>
  </w:num>
  <w:num w:numId="31">
    <w:abstractNumId w:val="5"/>
  </w:num>
  <w:num w:numId="32">
    <w:abstractNumId w:val="41"/>
  </w:num>
  <w:num w:numId="33">
    <w:abstractNumId w:val="34"/>
  </w:num>
  <w:num w:numId="34">
    <w:abstractNumId w:val="39"/>
  </w:num>
  <w:num w:numId="35">
    <w:abstractNumId w:val="17"/>
  </w:num>
  <w:num w:numId="36">
    <w:abstractNumId w:val="16"/>
  </w:num>
  <w:num w:numId="37">
    <w:abstractNumId w:val="13"/>
  </w:num>
  <w:num w:numId="38">
    <w:abstractNumId w:val="36"/>
  </w:num>
  <w:num w:numId="39">
    <w:abstractNumId w:val="30"/>
  </w:num>
  <w:num w:numId="40">
    <w:abstractNumId w:val="7"/>
  </w:num>
  <w:num w:numId="41">
    <w:abstractNumId w:val="8"/>
  </w:num>
  <w:num w:numId="42">
    <w:abstractNumId w:val="4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01DBB"/>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A2D27"/>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279DC"/>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6136</Words>
  <Characters>34981</Characters>
  <Application>Microsoft Office Word</Application>
  <DocSecurity>0</DocSecurity>
  <Lines>291</Lines>
  <Paragraphs>82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2023-03-06T12:00:00Z</dcterms:created>
  <dcterms:modified xsi:type="dcterms:W3CDTF">2023-03-06T12:00:00Z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