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5C486B07" w:rsidR="00AA23EC" w:rsidRDefault="00DD466D" w:rsidP="00DD466D">
      <w:pPr>
        <w:pStyle w:val="Heading1"/>
      </w:pPr>
      <w:r>
        <w:t>1.ИМЕ НА ЛЕКАРСТВЕНИЯ ПРОДУКТ</w:t>
      </w:r>
    </w:p>
    <w:p w14:paraId="613EC30F" w14:textId="3FCDF648" w:rsidR="00F925CB" w:rsidRDefault="00F925CB" w:rsidP="00F925CB"/>
    <w:p w14:paraId="1FC3FEC1" w14:textId="77777777" w:rsidR="00F925CB" w:rsidRPr="00F925CB" w:rsidRDefault="00F925CB" w:rsidP="00F925CB">
      <w:pPr>
        <w:rPr>
          <w:sz w:val="24"/>
          <w:szCs w:val="24"/>
          <w:lang w:val="ru-RU"/>
        </w:rPr>
      </w:pPr>
      <w:r w:rsidRPr="00F925CB">
        <w:rPr>
          <w:lang w:eastAsia="bg-BG"/>
        </w:rPr>
        <w:t xml:space="preserve">Левофлоксацин Каби 5 </w:t>
      </w:r>
      <w:r w:rsidRPr="00F925CB">
        <w:rPr>
          <w:lang w:val="en-US"/>
        </w:rPr>
        <w:t>mg</w:t>
      </w:r>
      <w:r w:rsidRPr="00F925CB">
        <w:rPr>
          <w:lang w:val="ru-RU"/>
        </w:rPr>
        <w:t>/</w:t>
      </w:r>
      <w:r w:rsidRPr="00F925CB">
        <w:rPr>
          <w:lang w:val="en-US"/>
        </w:rPr>
        <w:t>ml</w:t>
      </w:r>
      <w:r w:rsidRPr="00F925CB">
        <w:rPr>
          <w:lang w:val="ru-RU"/>
        </w:rPr>
        <w:t xml:space="preserve"> </w:t>
      </w:r>
      <w:r w:rsidRPr="00F925CB">
        <w:rPr>
          <w:lang w:eastAsia="bg-BG"/>
        </w:rPr>
        <w:t>инфузионен разтвор</w:t>
      </w:r>
    </w:p>
    <w:p w14:paraId="3D10EF08" w14:textId="77777777" w:rsidR="00F925CB" w:rsidRPr="00F925CB" w:rsidRDefault="00F925CB" w:rsidP="00F925CB">
      <w:pPr>
        <w:rPr>
          <w:sz w:val="24"/>
          <w:szCs w:val="24"/>
          <w:lang w:val="en-US"/>
        </w:rPr>
      </w:pPr>
      <w:r w:rsidRPr="00F925CB">
        <w:rPr>
          <w:lang w:val="en-US"/>
        </w:rPr>
        <w:t xml:space="preserve">Levofloxacin </w:t>
      </w:r>
      <w:proofErr w:type="spellStart"/>
      <w:r w:rsidRPr="00F925CB">
        <w:rPr>
          <w:lang w:val="en-US"/>
        </w:rPr>
        <w:t>Kabi</w:t>
      </w:r>
      <w:proofErr w:type="spellEnd"/>
      <w:r w:rsidRPr="00F925CB">
        <w:rPr>
          <w:lang w:val="en-US"/>
        </w:rPr>
        <w:t xml:space="preserve"> </w:t>
      </w:r>
      <w:r w:rsidRPr="00F925CB">
        <w:rPr>
          <w:lang w:eastAsia="bg-BG"/>
        </w:rPr>
        <w:t xml:space="preserve">5 </w:t>
      </w:r>
      <w:r w:rsidRPr="00F925CB">
        <w:rPr>
          <w:lang w:val="en-US"/>
        </w:rPr>
        <w:t>mg/ml solution for infusion</w:t>
      </w:r>
    </w:p>
    <w:p w14:paraId="5B6E0E35" w14:textId="77777777" w:rsidR="00F925CB" w:rsidRPr="00F925CB" w:rsidRDefault="00F925CB" w:rsidP="00F925CB"/>
    <w:p w14:paraId="0A368469" w14:textId="4DAED33B" w:rsidR="00C0049F" w:rsidRDefault="00DD466D" w:rsidP="009F1313">
      <w:pPr>
        <w:pStyle w:val="Heading1"/>
      </w:pPr>
      <w:r>
        <w:t>2. КАЧЕСТВЕН И КОЛИЧЕСТВЕН СЪСТАВ</w:t>
      </w:r>
    </w:p>
    <w:p w14:paraId="46EA69A8" w14:textId="29E42919" w:rsidR="00F925CB" w:rsidRDefault="00F925CB" w:rsidP="00F925CB"/>
    <w:p w14:paraId="5E18EDA1" w14:textId="7D5E3592" w:rsidR="00F925CB" w:rsidRPr="00F925CB" w:rsidRDefault="00F925CB" w:rsidP="00F925CB">
      <w:pPr>
        <w:spacing w:line="240" w:lineRule="auto"/>
        <w:rPr>
          <w:rFonts w:eastAsia="Times New Roman" w:cs="Arial"/>
          <w:sz w:val="24"/>
          <w:szCs w:val="24"/>
        </w:rPr>
      </w:pPr>
      <w:bookmarkStart w:id="1" w:name="bookmark0"/>
      <w:r>
        <w:rPr>
          <w:rFonts w:eastAsia="Times New Roman" w:cs="Arial"/>
          <w:b/>
          <w:bCs/>
          <w:color w:val="000000"/>
          <w:lang w:eastAsia="bg-BG"/>
        </w:rPr>
        <w:t>5</w:t>
      </w:r>
      <w:r w:rsidRPr="00F925CB">
        <w:rPr>
          <w:rFonts w:eastAsia="Times New Roman" w:cs="Arial"/>
          <w:b/>
          <w:bCs/>
          <w:color w:val="000000"/>
          <w:lang w:eastAsia="bg-BG"/>
        </w:rPr>
        <w:t xml:space="preserve">0 </w:t>
      </w:r>
      <w:r w:rsidRPr="00F925CB">
        <w:rPr>
          <w:rFonts w:eastAsia="Times New Roman" w:cs="Arial"/>
          <w:b/>
          <w:bCs/>
          <w:color w:val="000000"/>
          <w:lang w:val="en-US"/>
        </w:rPr>
        <w:t>ml</w:t>
      </w:r>
      <w:r w:rsidRPr="00F925CB">
        <w:rPr>
          <w:rFonts w:eastAsia="Times New Roman" w:cs="Arial"/>
          <w:b/>
          <w:bCs/>
          <w:color w:val="000000"/>
          <w:lang w:val="ru-RU"/>
        </w:rPr>
        <w:t xml:space="preserve"> </w:t>
      </w:r>
      <w:r w:rsidRPr="00F925CB">
        <w:rPr>
          <w:rFonts w:eastAsia="Times New Roman" w:cs="Arial"/>
          <w:b/>
          <w:bCs/>
          <w:color w:val="000000"/>
          <w:lang w:eastAsia="bg-BG"/>
        </w:rPr>
        <w:t xml:space="preserve">във флакон/сак от 100 </w:t>
      </w:r>
      <w:r w:rsidRPr="00F925CB">
        <w:rPr>
          <w:rFonts w:eastAsia="Times New Roman" w:cs="Arial"/>
          <w:b/>
          <w:bCs/>
          <w:color w:val="000000"/>
          <w:lang w:val="en-US"/>
        </w:rPr>
        <w:t>ml</w:t>
      </w:r>
      <w:r w:rsidRPr="00F925CB">
        <w:rPr>
          <w:rFonts w:eastAsia="Times New Roman" w:cs="Arial"/>
          <w:b/>
          <w:bCs/>
          <w:color w:val="000000"/>
          <w:lang w:val="ru-RU"/>
        </w:rPr>
        <w:t>:</w:t>
      </w:r>
      <w:bookmarkEnd w:id="1"/>
    </w:p>
    <w:p w14:paraId="7D612BE7"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Всеки </w:t>
      </w:r>
      <w:r w:rsidRPr="00F925CB">
        <w:rPr>
          <w:rFonts w:eastAsia="Times New Roman" w:cs="Arial"/>
          <w:color w:val="000000"/>
          <w:lang w:val="en-US"/>
        </w:rPr>
        <w:t>ml</w:t>
      </w:r>
      <w:r w:rsidRPr="00F925CB">
        <w:rPr>
          <w:rFonts w:eastAsia="Times New Roman" w:cs="Arial"/>
          <w:color w:val="000000"/>
        </w:rPr>
        <w:t xml:space="preserve"> </w:t>
      </w:r>
      <w:r w:rsidRPr="00F925CB">
        <w:rPr>
          <w:rFonts w:eastAsia="Times New Roman" w:cs="Arial"/>
          <w:color w:val="000000"/>
          <w:lang w:eastAsia="bg-BG"/>
        </w:rPr>
        <w:t xml:space="preserve">от инфузионния разтвор съдържа 5 </w:t>
      </w:r>
      <w:r w:rsidRPr="00F925CB">
        <w:rPr>
          <w:rFonts w:eastAsia="Times New Roman" w:cs="Arial"/>
          <w:color w:val="000000"/>
          <w:lang w:val="en-US"/>
        </w:rPr>
        <w:t>mg</w:t>
      </w:r>
      <w:r w:rsidRPr="00F925CB">
        <w:rPr>
          <w:rFonts w:eastAsia="Times New Roman" w:cs="Arial"/>
          <w:color w:val="000000"/>
        </w:rPr>
        <w:t xml:space="preserve"> </w:t>
      </w:r>
      <w:r w:rsidRPr="00F925CB">
        <w:rPr>
          <w:rFonts w:eastAsia="Times New Roman" w:cs="Arial"/>
          <w:color w:val="000000"/>
          <w:lang w:eastAsia="bg-BG"/>
        </w:rPr>
        <w:t xml:space="preserve">левофлоксацин </w:t>
      </w:r>
      <w:r w:rsidRPr="00F925CB">
        <w:rPr>
          <w:rFonts w:eastAsia="Times New Roman" w:cs="Arial"/>
          <w:i/>
          <w:iCs/>
          <w:color w:val="000000"/>
        </w:rPr>
        <w:t>(</w:t>
      </w:r>
      <w:proofErr w:type="spellStart"/>
      <w:r w:rsidRPr="00F925CB">
        <w:rPr>
          <w:rFonts w:eastAsia="Times New Roman" w:cs="Arial"/>
          <w:i/>
          <w:iCs/>
          <w:color w:val="000000"/>
          <w:lang w:val="en-US"/>
        </w:rPr>
        <w:t>levoflaxacm</w:t>
      </w:r>
      <w:proofErr w:type="spellEnd"/>
      <w:r w:rsidRPr="00F925CB">
        <w:rPr>
          <w:rFonts w:eastAsia="Times New Roman" w:cs="Arial"/>
          <w:i/>
          <w:iCs/>
          <w:color w:val="000000"/>
        </w:rPr>
        <w:t>)</w:t>
      </w:r>
      <w:r w:rsidRPr="00F925CB">
        <w:rPr>
          <w:rFonts w:eastAsia="Times New Roman" w:cs="Arial"/>
          <w:color w:val="000000"/>
        </w:rPr>
        <w:t xml:space="preserve"> </w:t>
      </w:r>
      <w:r w:rsidRPr="00F925CB">
        <w:rPr>
          <w:rFonts w:eastAsia="Times New Roman" w:cs="Arial"/>
          <w:color w:val="000000"/>
          <w:lang w:eastAsia="bg-BG"/>
        </w:rPr>
        <w:t>(като левофлоксацин хемихидраг).</w:t>
      </w:r>
    </w:p>
    <w:p w14:paraId="13DE303C"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50 </w:t>
      </w:r>
      <w:r w:rsidRPr="00F925CB">
        <w:rPr>
          <w:rFonts w:eastAsia="Times New Roman" w:cs="Arial"/>
          <w:color w:val="000000"/>
          <w:lang w:val="en-US"/>
        </w:rPr>
        <w:t>ml</w:t>
      </w:r>
      <w:r w:rsidRPr="00F925CB">
        <w:rPr>
          <w:rFonts w:eastAsia="Times New Roman" w:cs="Arial"/>
          <w:color w:val="000000"/>
          <w:lang w:val="ru-RU"/>
        </w:rPr>
        <w:t xml:space="preserve"> </w:t>
      </w:r>
      <w:r w:rsidRPr="00F925CB">
        <w:rPr>
          <w:rFonts w:eastAsia="Times New Roman" w:cs="Arial"/>
          <w:color w:val="000000"/>
          <w:lang w:eastAsia="bg-BG"/>
        </w:rPr>
        <w:t xml:space="preserve">от инфузионния разтвор съдържат 250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левофлоксацин </w:t>
      </w:r>
      <w:r w:rsidRPr="00F925CB">
        <w:rPr>
          <w:rFonts w:eastAsia="Times New Roman" w:cs="Arial"/>
          <w:i/>
          <w:iCs/>
          <w:color w:val="000000"/>
          <w:lang w:val="ru-RU"/>
        </w:rPr>
        <w:t>(</w:t>
      </w:r>
      <w:r w:rsidRPr="00F925CB">
        <w:rPr>
          <w:rFonts w:eastAsia="Times New Roman" w:cs="Arial"/>
          <w:i/>
          <w:iCs/>
          <w:color w:val="000000"/>
          <w:lang w:val="en-US"/>
        </w:rPr>
        <w:t>levofloxacin</w:t>
      </w:r>
      <w:r w:rsidRPr="00F925CB">
        <w:rPr>
          <w:rFonts w:eastAsia="Times New Roman" w:cs="Arial"/>
          <w:i/>
          <w:iCs/>
          <w:color w:val="000000"/>
          <w:lang w:val="ru-RU"/>
        </w:rPr>
        <w:t>)</w:t>
      </w:r>
      <w:r w:rsidRPr="00F925CB">
        <w:rPr>
          <w:rFonts w:eastAsia="Times New Roman" w:cs="Arial"/>
          <w:color w:val="000000"/>
          <w:lang w:val="ru-RU"/>
        </w:rPr>
        <w:t xml:space="preserve"> </w:t>
      </w:r>
      <w:r w:rsidRPr="00F925CB">
        <w:rPr>
          <w:rFonts w:eastAsia="Times New Roman" w:cs="Arial"/>
          <w:color w:val="000000"/>
          <w:lang w:eastAsia="bg-BG"/>
        </w:rPr>
        <w:t>като активна съставка,</w:t>
      </w:r>
    </w:p>
    <w:p w14:paraId="1E3C2576" w14:textId="77777777" w:rsidR="00F925CB" w:rsidRPr="00F925CB" w:rsidRDefault="00F925CB" w:rsidP="00F925CB">
      <w:pPr>
        <w:spacing w:line="240" w:lineRule="auto"/>
        <w:rPr>
          <w:rFonts w:eastAsia="Times New Roman" w:cs="Arial"/>
          <w:b/>
          <w:bCs/>
          <w:color w:val="000000"/>
          <w:lang w:eastAsia="bg-BG"/>
        </w:rPr>
      </w:pPr>
      <w:bookmarkStart w:id="2" w:name="bookmark2"/>
    </w:p>
    <w:p w14:paraId="4DED3641" w14:textId="5D9AFF2C" w:rsidR="00F925CB" w:rsidRPr="00F925CB" w:rsidRDefault="00F925CB" w:rsidP="00F925CB">
      <w:pPr>
        <w:spacing w:line="240" w:lineRule="auto"/>
        <w:rPr>
          <w:rFonts w:eastAsia="Times New Roman" w:cs="Arial"/>
          <w:sz w:val="24"/>
          <w:szCs w:val="24"/>
        </w:rPr>
      </w:pPr>
      <w:r w:rsidRPr="00F925CB">
        <w:rPr>
          <w:rFonts w:eastAsia="Times New Roman" w:cs="Arial"/>
          <w:b/>
          <w:bCs/>
          <w:color w:val="000000"/>
          <w:lang w:eastAsia="bg-BG"/>
        </w:rPr>
        <w:t xml:space="preserve">100 </w:t>
      </w:r>
      <w:r w:rsidRPr="00F925CB">
        <w:rPr>
          <w:rFonts w:eastAsia="Times New Roman" w:cs="Arial"/>
          <w:b/>
          <w:bCs/>
          <w:color w:val="000000"/>
          <w:lang w:val="en-US"/>
        </w:rPr>
        <w:t>ml</w:t>
      </w:r>
      <w:r w:rsidRPr="00F925CB">
        <w:rPr>
          <w:rFonts w:eastAsia="Times New Roman" w:cs="Arial"/>
          <w:b/>
          <w:bCs/>
          <w:color w:val="000000"/>
          <w:lang w:val="ru-RU"/>
        </w:rPr>
        <w:t xml:space="preserve"> </w:t>
      </w:r>
      <w:r w:rsidRPr="00F925CB">
        <w:rPr>
          <w:rFonts w:eastAsia="Times New Roman" w:cs="Arial"/>
          <w:b/>
          <w:bCs/>
          <w:color w:val="000000"/>
          <w:lang w:eastAsia="bg-BG"/>
        </w:rPr>
        <w:t xml:space="preserve">във флакон/сак от 100 </w:t>
      </w:r>
      <w:r w:rsidRPr="00F925CB">
        <w:rPr>
          <w:rFonts w:eastAsia="Times New Roman" w:cs="Arial"/>
          <w:b/>
          <w:bCs/>
          <w:color w:val="000000"/>
          <w:lang w:val="en-US"/>
        </w:rPr>
        <w:t>ml</w:t>
      </w:r>
      <w:r w:rsidRPr="00F925CB">
        <w:rPr>
          <w:rFonts w:eastAsia="Times New Roman" w:cs="Arial"/>
          <w:b/>
          <w:bCs/>
          <w:color w:val="000000"/>
          <w:lang w:val="ru-RU"/>
        </w:rPr>
        <w:t>:</w:t>
      </w:r>
      <w:bookmarkEnd w:id="2"/>
    </w:p>
    <w:p w14:paraId="204727E4"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Всеки </w:t>
      </w:r>
      <w:r w:rsidRPr="00F925CB">
        <w:rPr>
          <w:rFonts w:eastAsia="Times New Roman" w:cs="Arial"/>
          <w:color w:val="000000"/>
          <w:lang w:val="en-US"/>
        </w:rPr>
        <w:t>ml</w:t>
      </w:r>
      <w:r w:rsidRPr="00F925CB">
        <w:rPr>
          <w:rFonts w:eastAsia="Times New Roman" w:cs="Arial"/>
          <w:color w:val="000000"/>
        </w:rPr>
        <w:t xml:space="preserve"> </w:t>
      </w:r>
      <w:r w:rsidRPr="00F925CB">
        <w:rPr>
          <w:rFonts w:eastAsia="Times New Roman" w:cs="Arial"/>
          <w:color w:val="000000"/>
          <w:lang w:eastAsia="bg-BG"/>
        </w:rPr>
        <w:t xml:space="preserve">от инфузионния разтвор съдържа 5 </w:t>
      </w:r>
      <w:r w:rsidRPr="00F925CB">
        <w:rPr>
          <w:rFonts w:eastAsia="Times New Roman" w:cs="Arial"/>
          <w:color w:val="000000"/>
          <w:lang w:val="en-US"/>
        </w:rPr>
        <w:t>mg</w:t>
      </w:r>
      <w:r w:rsidRPr="00F925CB">
        <w:rPr>
          <w:rFonts w:eastAsia="Times New Roman" w:cs="Arial"/>
          <w:color w:val="000000"/>
        </w:rPr>
        <w:t xml:space="preserve"> </w:t>
      </w:r>
      <w:r w:rsidRPr="00F925CB">
        <w:rPr>
          <w:rFonts w:eastAsia="Times New Roman" w:cs="Arial"/>
          <w:color w:val="000000"/>
          <w:lang w:eastAsia="bg-BG"/>
        </w:rPr>
        <w:t xml:space="preserve">левофлоксацин </w:t>
      </w:r>
      <w:r w:rsidRPr="00F925CB">
        <w:rPr>
          <w:rFonts w:eastAsia="Times New Roman" w:cs="Arial"/>
          <w:i/>
          <w:iCs/>
          <w:color w:val="000000"/>
        </w:rPr>
        <w:t>(</w:t>
      </w:r>
      <w:r w:rsidRPr="00F925CB">
        <w:rPr>
          <w:rFonts w:eastAsia="Times New Roman" w:cs="Arial"/>
          <w:i/>
          <w:iCs/>
          <w:color w:val="000000"/>
          <w:lang w:val="en-US"/>
        </w:rPr>
        <w:t>levofloxacin</w:t>
      </w:r>
      <w:r w:rsidRPr="00F925CB">
        <w:rPr>
          <w:rFonts w:eastAsia="Times New Roman" w:cs="Arial"/>
          <w:i/>
          <w:iCs/>
          <w:color w:val="000000"/>
        </w:rPr>
        <w:t>)</w:t>
      </w:r>
      <w:r w:rsidRPr="00F925CB">
        <w:rPr>
          <w:rFonts w:eastAsia="Times New Roman" w:cs="Arial"/>
          <w:color w:val="000000"/>
        </w:rPr>
        <w:t xml:space="preserve"> </w:t>
      </w:r>
      <w:r w:rsidRPr="00F925CB">
        <w:rPr>
          <w:rFonts w:eastAsia="Times New Roman" w:cs="Arial"/>
          <w:color w:val="000000"/>
          <w:lang w:eastAsia="bg-BG"/>
        </w:rPr>
        <w:t>(като левофлоксацин хемихидрат).</w:t>
      </w:r>
    </w:p>
    <w:p w14:paraId="64D22C38"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100 </w:t>
      </w:r>
      <w:r w:rsidRPr="00F925CB">
        <w:rPr>
          <w:rFonts w:eastAsia="Times New Roman" w:cs="Arial"/>
          <w:color w:val="000000"/>
          <w:lang w:val="en-US"/>
        </w:rPr>
        <w:t>ml</w:t>
      </w:r>
      <w:r w:rsidRPr="00F925CB">
        <w:rPr>
          <w:rFonts w:eastAsia="Times New Roman" w:cs="Arial"/>
          <w:color w:val="000000"/>
          <w:lang w:val="ru-RU"/>
        </w:rPr>
        <w:t xml:space="preserve"> </w:t>
      </w:r>
      <w:r w:rsidRPr="00F925CB">
        <w:rPr>
          <w:rFonts w:eastAsia="Times New Roman" w:cs="Arial"/>
          <w:color w:val="000000"/>
          <w:lang w:eastAsia="bg-BG"/>
        </w:rPr>
        <w:t xml:space="preserve">от инфузионния разтвор съдържат 500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левофлоксацин </w:t>
      </w:r>
      <w:r w:rsidRPr="00F925CB">
        <w:rPr>
          <w:rFonts w:eastAsia="Times New Roman" w:cs="Arial"/>
          <w:i/>
          <w:iCs/>
          <w:color w:val="000000"/>
          <w:lang w:val="ru-RU"/>
        </w:rPr>
        <w:t>(</w:t>
      </w:r>
      <w:r w:rsidRPr="00F925CB">
        <w:rPr>
          <w:rFonts w:eastAsia="Times New Roman" w:cs="Arial"/>
          <w:i/>
          <w:iCs/>
          <w:color w:val="000000"/>
          <w:lang w:val="en-US"/>
        </w:rPr>
        <w:t>levofloxacin</w:t>
      </w:r>
      <w:r w:rsidRPr="00F925CB">
        <w:rPr>
          <w:rFonts w:eastAsia="Times New Roman" w:cs="Arial"/>
          <w:i/>
          <w:iCs/>
          <w:color w:val="000000"/>
          <w:lang w:val="ru-RU"/>
        </w:rPr>
        <w:t>)</w:t>
      </w:r>
      <w:r w:rsidRPr="00F925CB">
        <w:rPr>
          <w:rFonts w:eastAsia="Times New Roman" w:cs="Arial"/>
          <w:color w:val="000000"/>
          <w:lang w:val="ru-RU"/>
        </w:rPr>
        <w:t xml:space="preserve"> </w:t>
      </w:r>
      <w:r w:rsidRPr="00F925CB">
        <w:rPr>
          <w:rFonts w:eastAsia="Times New Roman" w:cs="Arial"/>
          <w:color w:val="000000"/>
          <w:lang w:eastAsia="bg-BG"/>
        </w:rPr>
        <w:t>като активна съставка.</w:t>
      </w:r>
    </w:p>
    <w:p w14:paraId="3E33A057" w14:textId="77777777" w:rsidR="00F925CB" w:rsidRPr="00F925CB" w:rsidRDefault="00F925CB" w:rsidP="00F925CB">
      <w:pPr>
        <w:spacing w:line="240" w:lineRule="auto"/>
        <w:rPr>
          <w:rFonts w:eastAsia="Times New Roman" w:cs="Arial"/>
          <w:color w:val="000000"/>
          <w:lang w:eastAsia="bg-BG"/>
        </w:rPr>
      </w:pPr>
    </w:p>
    <w:p w14:paraId="6DF74ABD" w14:textId="387D690B"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Помощни вещества с известно действие: Лекарственият продукт съдържа 3,54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натрий за 1 </w:t>
      </w:r>
      <w:r w:rsidRPr="00F925CB">
        <w:rPr>
          <w:rFonts w:eastAsia="Times New Roman" w:cs="Arial"/>
          <w:color w:val="000000"/>
          <w:lang w:val="en-US"/>
        </w:rPr>
        <w:t>ml</w:t>
      </w:r>
      <w:r w:rsidRPr="00F925CB">
        <w:rPr>
          <w:rFonts w:eastAsia="Times New Roman" w:cs="Arial"/>
          <w:color w:val="000000"/>
          <w:lang w:val="ru-RU"/>
        </w:rPr>
        <w:t>.</w:t>
      </w:r>
    </w:p>
    <w:p w14:paraId="31098078" w14:textId="77777777" w:rsidR="00F925CB" w:rsidRPr="00F925CB" w:rsidRDefault="00F925CB" w:rsidP="00F925CB"/>
    <w:p w14:paraId="614984C4" w14:textId="7C5E2D1A" w:rsidR="008A6AF2" w:rsidRDefault="00DD466D" w:rsidP="002C50EE">
      <w:pPr>
        <w:pStyle w:val="Heading1"/>
      </w:pPr>
      <w:r>
        <w:t>3. ЛЕКАРСТВЕНА ФОРМА</w:t>
      </w:r>
    </w:p>
    <w:p w14:paraId="43F541F2" w14:textId="32EFB25D" w:rsidR="00F925CB" w:rsidRDefault="00F925CB" w:rsidP="00F925CB"/>
    <w:p w14:paraId="242C2B1C" w14:textId="77777777" w:rsidR="00F925CB" w:rsidRPr="00F925CB" w:rsidRDefault="00F925CB" w:rsidP="00F925CB">
      <w:pPr>
        <w:rPr>
          <w:sz w:val="24"/>
          <w:szCs w:val="24"/>
        </w:rPr>
      </w:pPr>
      <w:r w:rsidRPr="00F925CB">
        <w:rPr>
          <w:lang w:eastAsia="bg-BG"/>
        </w:rPr>
        <w:t>Инфузионен разтвор</w:t>
      </w:r>
    </w:p>
    <w:p w14:paraId="59437DA8" w14:textId="77777777" w:rsidR="00F925CB" w:rsidRDefault="00F925CB" w:rsidP="00F925CB">
      <w:pPr>
        <w:rPr>
          <w:lang w:eastAsia="bg-BG"/>
        </w:rPr>
      </w:pPr>
    </w:p>
    <w:p w14:paraId="309A5E45" w14:textId="0C880564" w:rsidR="00F925CB" w:rsidRPr="00F925CB" w:rsidRDefault="00F925CB" w:rsidP="00F925CB">
      <w:r w:rsidRPr="00F925CB">
        <w:rPr>
          <w:lang w:eastAsia="bg-BG"/>
        </w:rPr>
        <w:t>Жълт до жълто-зеленикав разтвор.</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D3875F1" w:rsidR="00395555" w:rsidRDefault="00395555" w:rsidP="00395555"/>
    <w:p w14:paraId="4EC08133"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Левофлоксацин Каби инфузионен разтвор е показан при възрастни за лечение на следните инфекции (вж. точки 4.4 и 5.1):</w:t>
      </w:r>
    </w:p>
    <w:p w14:paraId="25388039" w14:textId="77777777" w:rsidR="00F925CB" w:rsidRDefault="00F925CB" w:rsidP="00F925CB">
      <w:pPr>
        <w:pStyle w:val="ListParagraph"/>
        <w:numPr>
          <w:ilvl w:val="0"/>
          <w:numId w:val="32"/>
        </w:numPr>
        <w:spacing w:line="240" w:lineRule="auto"/>
        <w:rPr>
          <w:rFonts w:eastAsia="Times New Roman" w:cs="Arial"/>
          <w:color w:val="000000"/>
          <w:lang w:eastAsia="bg-BG"/>
        </w:rPr>
      </w:pPr>
      <w:r w:rsidRPr="00F925CB">
        <w:rPr>
          <w:rFonts w:eastAsia="Times New Roman" w:cs="Arial"/>
          <w:color w:val="000000"/>
          <w:lang w:eastAsia="bg-BG"/>
        </w:rPr>
        <w:t>Остър пиелонефрит и усложнени инфекции на пикочните пътища (вж. точка 4.4)</w:t>
      </w:r>
    </w:p>
    <w:p w14:paraId="33207880" w14:textId="77777777" w:rsidR="00F925CB" w:rsidRDefault="00F925CB" w:rsidP="00F925CB">
      <w:pPr>
        <w:pStyle w:val="ListParagraph"/>
        <w:numPr>
          <w:ilvl w:val="0"/>
          <w:numId w:val="32"/>
        </w:numPr>
        <w:spacing w:line="240" w:lineRule="auto"/>
        <w:rPr>
          <w:rFonts w:eastAsia="Times New Roman" w:cs="Arial"/>
          <w:color w:val="000000"/>
          <w:lang w:eastAsia="bg-BG"/>
        </w:rPr>
      </w:pPr>
      <w:r w:rsidRPr="00F925CB">
        <w:rPr>
          <w:rFonts w:eastAsia="Times New Roman" w:cs="Arial"/>
          <w:color w:val="000000"/>
          <w:lang w:eastAsia="bg-BG"/>
        </w:rPr>
        <w:t>Хроничен бактериален простатит</w:t>
      </w:r>
    </w:p>
    <w:p w14:paraId="33962D5D" w14:textId="05A8ADCE" w:rsidR="00F925CB" w:rsidRPr="00F925CB" w:rsidRDefault="00F925CB" w:rsidP="00F925CB">
      <w:pPr>
        <w:pStyle w:val="ListParagraph"/>
        <w:numPr>
          <w:ilvl w:val="0"/>
          <w:numId w:val="32"/>
        </w:numPr>
        <w:spacing w:line="240" w:lineRule="auto"/>
        <w:rPr>
          <w:rFonts w:eastAsia="Times New Roman" w:cs="Arial"/>
          <w:color w:val="000000"/>
          <w:lang w:eastAsia="bg-BG"/>
        </w:rPr>
      </w:pPr>
      <w:r w:rsidRPr="00F925CB">
        <w:rPr>
          <w:rFonts w:eastAsia="Times New Roman" w:cs="Arial"/>
          <w:color w:val="000000"/>
          <w:lang w:eastAsia="bg-BG"/>
        </w:rPr>
        <w:t>Инхалационен антракс: профилактика след експозиция и лечение (вж. точка 4.4).</w:t>
      </w:r>
    </w:p>
    <w:p w14:paraId="29F3DD0E" w14:textId="77777777" w:rsidR="00F925CB" w:rsidRPr="00F925CB" w:rsidRDefault="00F925CB" w:rsidP="00F925CB">
      <w:pPr>
        <w:spacing w:line="240" w:lineRule="auto"/>
        <w:rPr>
          <w:rFonts w:eastAsia="Times New Roman" w:cs="Arial"/>
          <w:color w:val="000000"/>
          <w:lang w:eastAsia="bg-BG"/>
        </w:rPr>
      </w:pPr>
    </w:p>
    <w:p w14:paraId="235729E5" w14:textId="30578E1E"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За долупосочените инфекции Левофлоксацин Каби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4F27D946" w14:textId="77777777" w:rsidR="00F925CB" w:rsidRDefault="00F925CB" w:rsidP="00F925CB">
      <w:pPr>
        <w:pStyle w:val="ListParagraph"/>
        <w:numPr>
          <w:ilvl w:val="0"/>
          <w:numId w:val="33"/>
        </w:numPr>
        <w:spacing w:line="240" w:lineRule="auto"/>
        <w:rPr>
          <w:rFonts w:eastAsia="Times New Roman" w:cs="Arial"/>
          <w:color w:val="000000"/>
          <w:lang w:eastAsia="bg-BG"/>
        </w:rPr>
      </w:pPr>
      <w:r w:rsidRPr="00F925CB">
        <w:rPr>
          <w:rFonts w:eastAsia="Times New Roman" w:cs="Arial"/>
          <w:color w:val="000000"/>
          <w:lang w:eastAsia="bg-BG"/>
        </w:rPr>
        <w:t>Придобита в обществото пневмония.</w:t>
      </w:r>
    </w:p>
    <w:p w14:paraId="27DCFBE5" w14:textId="1D11CE66" w:rsidR="00F925CB" w:rsidRPr="00F925CB" w:rsidRDefault="00F925CB" w:rsidP="00F925CB">
      <w:pPr>
        <w:pStyle w:val="ListParagraph"/>
        <w:numPr>
          <w:ilvl w:val="0"/>
          <w:numId w:val="33"/>
        </w:numPr>
        <w:spacing w:line="240" w:lineRule="auto"/>
        <w:rPr>
          <w:rFonts w:eastAsia="Times New Roman" w:cs="Arial"/>
          <w:color w:val="000000"/>
          <w:lang w:eastAsia="bg-BG"/>
        </w:rPr>
      </w:pPr>
      <w:r w:rsidRPr="00F925CB">
        <w:rPr>
          <w:rFonts w:eastAsia="Times New Roman" w:cs="Arial"/>
          <w:color w:val="000000"/>
          <w:lang w:eastAsia="bg-BG"/>
        </w:rPr>
        <w:t>Усложнени инфекции на кожата и меките тъкани.</w:t>
      </w:r>
    </w:p>
    <w:p w14:paraId="04B5EA13" w14:textId="77777777" w:rsidR="00F925CB" w:rsidRPr="00F925CB" w:rsidRDefault="00F925CB" w:rsidP="00F925CB">
      <w:pPr>
        <w:rPr>
          <w:rFonts w:eastAsia="Times New Roman" w:cs="Arial"/>
          <w:color w:val="000000"/>
          <w:lang w:eastAsia="bg-BG"/>
        </w:rPr>
      </w:pPr>
    </w:p>
    <w:p w14:paraId="4A116535" w14:textId="46C73170" w:rsidR="00F925CB" w:rsidRDefault="00F925CB" w:rsidP="00F925CB">
      <w:pPr>
        <w:rPr>
          <w:rFonts w:eastAsia="Times New Roman" w:cs="Arial"/>
          <w:color w:val="000000"/>
          <w:lang w:eastAsia="bg-BG"/>
        </w:rPr>
      </w:pPr>
      <w:r w:rsidRPr="00F925CB">
        <w:rPr>
          <w:rFonts w:eastAsia="Times New Roman" w:cs="Arial"/>
          <w:color w:val="000000"/>
          <w:lang w:eastAsia="bg-BG"/>
        </w:rPr>
        <w:t>Необходимо е да се вземат предвид официалните препоръки за подходяща употреба на антибактериални средства.</w:t>
      </w:r>
    </w:p>
    <w:p w14:paraId="6F179EF0" w14:textId="7839427D" w:rsidR="00F925CB" w:rsidRPr="00F925CB" w:rsidRDefault="00F925CB" w:rsidP="00F925CB">
      <w:pPr>
        <w:rPr>
          <w:rFonts w:cs="Arial"/>
        </w:rPr>
      </w:pPr>
    </w:p>
    <w:p w14:paraId="7C0CA5EB" w14:textId="47B8A56E" w:rsidR="00C0049F" w:rsidRDefault="002C50EE" w:rsidP="009F1313">
      <w:pPr>
        <w:pStyle w:val="Heading2"/>
      </w:pPr>
      <w:r>
        <w:t>4.2. Дозировка и начин на приложение</w:t>
      </w:r>
    </w:p>
    <w:p w14:paraId="11AF35B8" w14:textId="09AC95A2" w:rsidR="00F925CB" w:rsidRDefault="00F925CB" w:rsidP="00F925CB"/>
    <w:p w14:paraId="2AB53B01" w14:textId="77777777" w:rsidR="00F925CB" w:rsidRPr="00F925CB" w:rsidRDefault="00F925CB" w:rsidP="00F925CB">
      <w:pPr>
        <w:rPr>
          <w:rFonts w:eastAsia="Times New Roman" w:cs="Arial"/>
          <w:sz w:val="24"/>
          <w:szCs w:val="24"/>
        </w:rPr>
      </w:pPr>
      <w:r w:rsidRPr="00F925CB">
        <w:rPr>
          <w:rFonts w:cs="Arial"/>
        </w:rPr>
        <w:t xml:space="preserve">Левофлоксацин Каби инфузионен разтвор се прилага чрез бавна интравенозна инфузия един </w:t>
      </w:r>
      <w:r w:rsidRPr="00F925CB">
        <w:rPr>
          <w:rFonts w:eastAsia="Times New Roman" w:cs="Arial"/>
          <w:color w:val="000000"/>
          <w:lang w:eastAsia="bg-BG"/>
        </w:rPr>
        <w:t>или два пъти дневно. Дозировката зависи от типа и тежестта на инфекцията и чувствителността на предполагаемия етиологичен причинител.</w:t>
      </w:r>
    </w:p>
    <w:p w14:paraId="05A55BE0"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Лечението с Левофлоксацин Каби след първоначално приложение на продукт за интравенозно приложение може да се завърши с подходяща перорална форма, както е подходящо за отделния пациент. Въз основа на данните от проучването за биоеквивалентност на парентералните и перорални форми, може да се използва същата дозировка.</w:t>
      </w:r>
    </w:p>
    <w:p w14:paraId="6776AA5B" w14:textId="77777777" w:rsidR="00F925CB" w:rsidRPr="00F925CB" w:rsidRDefault="00F925CB" w:rsidP="00F925CB">
      <w:pPr>
        <w:spacing w:line="240" w:lineRule="auto"/>
        <w:rPr>
          <w:rFonts w:eastAsia="Times New Roman" w:cs="Arial"/>
          <w:i/>
          <w:iCs/>
          <w:color w:val="000000"/>
          <w:lang w:eastAsia="bg-BG"/>
        </w:rPr>
      </w:pPr>
    </w:p>
    <w:p w14:paraId="33C250EE" w14:textId="7E88F6F2"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Дозировка</w:t>
      </w:r>
    </w:p>
    <w:p w14:paraId="529195FB" w14:textId="77777777" w:rsidR="00F925CB" w:rsidRPr="00F925CB" w:rsidRDefault="00F925CB" w:rsidP="00F925CB">
      <w:pPr>
        <w:spacing w:line="240" w:lineRule="auto"/>
        <w:rPr>
          <w:rFonts w:eastAsia="Times New Roman" w:cs="Arial"/>
          <w:color w:val="000000"/>
          <w:lang w:eastAsia="bg-BG"/>
        </w:rPr>
      </w:pPr>
    </w:p>
    <w:p w14:paraId="40A788E9" w14:textId="69F0B661"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Може да се направят следните препоръки за дозиране на Левофлоксацин Каби:</w:t>
      </w:r>
    </w:p>
    <w:p w14:paraId="14505C46" w14:textId="77777777" w:rsidR="00F925CB" w:rsidRPr="00F925CB" w:rsidRDefault="00F925CB" w:rsidP="00F925CB">
      <w:pPr>
        <w:rPr>
          <w:rFonts w:eastAsia="Times New Roman" w:cs="Arial"/>
          <w:i/>
          <w:iCs/>
          <w:color w:val="000000"/>
          <w:lang w:eastAsia="bg-BG"/>
        </w:rPr>
      </w:pPr>
    </w:p>
    <w:p w14:paraId="3CF52DC3" w14:textId="5B76D20C" w:rsidR="00F925CB" w:rsidRDefault="00F925CB" w:rsidP="00F925CB">
      <w:pPr>
        <w:rPr>
          <w:rFonts w:eastAsia="Times New Roman" w:cs="Arial"/>
          <w:i/>
          <w:iCs/>
          <w:color w:val="000000"/>
          <w:lang w:val="ru-RU"/>
        </w:rPr>
      </w:pPr>
      <w:r w:rsidRPr="00F925CB">
        <w:rPr>
          <w:rFonts w:eastAsia="Times New Roman" w:cs="Arial"/>
          <w:i/>
          <w:iCs/>
          <w:color w:val="000000"/>
          <w:lang w:eastAsia="bg-BG"/>
        </w:rPr>
        <w:t xml:space="preserve">Дозировка при пациенти с нормална бъбречна функция (креатининов клирънс &gt;50 </w:t>
      </w:r>
      <w:r w:rsidRPr="00F925CB">
        <w:rPr>
          <w:rFonts w:eastAsia="Times New Roman" w:cs="Arial"/>
          <w:i/>
          <w:iCs/>
          <w:color w:val="000000"/>
          <w:lang w:val="en-US"/>
        </w:rPr>
        <w:t>ml</w:t>
      </w:r>
      <w:r w:rsidRPr="00F925CB">
        <w:rPr>
          <w:rFonts w:eastAsia="Times New Roman" w:cs="Arial"/>
          <w:i/>
          <w:iCs/>
          <w:color w:val="000000"/>
          <w:lang w:val="ru-RU"/>
        </w:rPr>
        <w:t>/</w:t>
      </w:r>
      <w:r w:rsidRPr="00F925CB">
        <w:rPr>
          <w:rFonts w:eastAsia="Times New Roman" w:cs="Arial"/>
          <w:i/>
          <w:iCs/>
          <w:color w:val="000000"/>
          <w:lang w:val="en-US"/>
        </w:rPr>
        <w:t>min</w:t>
      </w:r>
      <w:r w:rsidRPr="00F925CB">
        <w:rPr>
          <w:rFonts w:eastAsia="Times New Roman" w:cs="Arial"/>
          <w:i/>
          <w:iCs/>
          <w:color w:val="000000"/>
          <w:lang w:val="ru-RU"/>
        </w:rPr>
        <w:t>)</w:t>
      </w:r>
    </w:p>
    <w:tbl>
      <w:tblPr>
        <w:tblStyle w:val="TableGrid"/>
        <w:tblW w:w="0" w:type="auto"/>
        <w:tblLook w:val="04A0" w:firstRow="1" w:lastRow="0" w:firstColumn="1" w:lastColumn="0" w:noHBand="0" w:noVBand="1"/>
      </w:tblPr>
      <w:tblGrid>
        <w:gridCol w:w="3112"/>
        <w:gridCol w:w="3099"/>
        <w:gridCol w:w="3139"/>
      </w:tblGrid>
      <w:tr w:rsidR="00F925CB" w14:paraId="3A8619C5" w14:textId="77777777" w:rsidTr="00F925CB">
        <w:tc>
          <w:tcPr>
            <w:tcW w:w="3192" w:type="dxa"/>
          </w:tcPr>
          <w:p w14:paraId="1FA615CF" w14:textId="2315E492" w:rsidR="00F925CB" w:rsidRDefault="00F925CB" w:rsidP="00F925CB">
            <w:pPr>
              <w:rPr>
                <w:rFonts w:eastAsia="Times New Roman" w:cs="Arial"/>
                <w:i/>
                <w:iCs/>
                <w:color w:val="000000"/>
                <w:lang w:val="ru-RU"/>
              </w:rPr>
            </w:pPr>
            <w:r>
              <w:rPr>
                <w:b/>
                <w:bCs/>
                <w:i/>
                <w:iCs/>
              </w:rPr>
              <w:t>Показание</w:t>
            </w:r>
          </w:p>
        </w:tc>
        <w:tc>
          <w:tcPr>
            <w:tcW w:w="3192" w:type="dxa"/>
          </w:tcPr>
          <w:p w14:paraId="419F5794" w14:textId="19EE8690" w:rsidR="00F925CB" w:rsidRDefault="00F925CB" w:rsidP="00F925CB">
            <w:pPr>
              <w:rPr>
                <w:rFonts w:eastAsia="Times New Roman" w:cs="Arial"/>
                <w:i/>
                <w:iCs/>
                <w:color w:val="000000"/>
                <w:lang w:val="ru-RU"/>
              </w:rPr>
            </w:pPr>
            <w:r>
              <w:rPr>
                <w:b/>
                <w:bCs/>
              </w:rPr>
              <w:t xml:space="preserve">Дневен дозов режим </w:t>
            </w:r>
            <w:r>
              <w:rPr>
                <w:i/>
                <w:iCs/>
              </w:rPr>
              <w:t>(според тежестта)</w:t>
            </w:r>
          </w:p>
        </w:tc>
        <w:tc>
          <w:tcPr>
            <w:tcW w:w="3192" w:type="dxa"/>
          </w:tcPr>
          <w:p w14:paraId="2FD54341" w14:textId="77777777" w:rsidR="00F925CB" w:rsidRDefault="00F925CB" w:rsidP="00F925CB">
            <w:r>
              <w:rPr>
                <w:b/>
                <w:bCs/>
              </w:rPr>
              <w:t>Обща продължителност</w:t>
            </w:r>
          </w:p>
          <w:p w14:paraId="2381EA8F" w14:textId="77777777" w:rsidR="00F925CB" w:rsidRDefault="00F925CB" w:rsidP="00F925CB"/>
          <w:p w14:paraId="4A10308A" w14:textId="77777777" w:rsidR="00F925CB" w:rsidRDefault="00F925CB" w:rsidP="00F925CB">
            <w:r>
              <w:rPr>
                <w:b/>
                <w:bCs/>
              </w:rPr>
              <w:t>на лечението</w:t>
            </w:r>
            <w:r>
              <w:rPr>
                <w:b/>
                <w:bCs/>
                <w:vertAlign w:val="superscript"/>
              </w:rPr>
              <w:t>1</w:t>
            </w:r>
          </w:p>
          <w:p w14:paraId="18EF9725" w14:textId="6A22E7A3" w:rsidR="00F925CB" w:rsidRDefault="00F925CB" w:rsidP="00F925CB">
            <w:pPr>
              <w:rPr>
                <w:rFonts w:eastAsia="Times New Roman" w:cs="Arial"/>
                <w:i/>
                <w:iCs/>
                <w:color w:val="000000"/>
                <w:lang w:val="ru-RU"/>
              </w:rPr>
            </w:pPr>
            <w:r>
              <w:rPr>
                <w:i/>
                <w:iCs/>
              </w:rPr>
              <w:t>(според тежестта)</w:t>
            </w:r>
          </w:p>
        </w:tc>
      </w:tr>
      <w:tr w:rsidR="00F925CB" w14:paraId="09DB55D2" w14:textId="77777777" w:rsidTr="00F925CB">
        <w:tc>
          <w:tcPr>
            <w:tcW w:w="3192" w:type="dxa"/>
          </w:tcPr>
          <w:p w14:paraId="45975E4D" w14:textId="6EAD0DC3" w:rsidR="00F925CB" w:rsidRDefault="00F925CB" w:rsidP="00F925CB">
            <w:pPr>
              <w:rPr>
                <w:rFonts w:eastAsia="Times New Roman" w:cs="Arial"/>
                <w:i/>
                <w:iCs/>
                <w:color w:val="000000"/>
                <w:lang w:val="ru-RU"/>
              </w:rPr>
            </w:pPr>
            <w:r>
              <w:t>Придобита в обществото пневмония</w:t>
            </w:r>
          </w:p>
        </w:tc>
        <w:tc>
          <w:tcPr>
            <w:tcW w:w="3192" w:type="dxa"/>
          </w:tcPr>
          <w:p w14:paraId="5B09919A" w14:textId="7FF5EEAB" w:rsidR="00F925CB" w:rsidRDefault="00F925CB" w:rsidP="00F925CB">
            <w:pPr>
              <w:rPr>
                <w:rFonts w:eastAsia="Times New Roman" w:cs="Arial"/>
                <w:i/>
                <w:iCs/>
                <w:color w:val="000000"/>
                <w:lang w:val="ru-RU"/>
              </w:rPr>
            </w:pPr>
            <w:r>
              <w:t xml:space="preserve">500 </w:t>
            </w:r>
            <w:r>
              <w:rPr>
                <w:lang w:val="en-US"/>
              </w:rPr>
              <w:t>mg</w:t>
            </w:r>
            <w:r w:rsidRPr="00F925CB">
              <w:rPr>
                <w:lang w:val="ru-RU"/>
              </w:rPr>
              <w:t xml:space="preserve"> </w:t>
            </w:r>
            <w:r>
              <w:t>веднъж или два пъти дневно</w:t>
            </w:r>
          </w:p>
        </w:tc>
        <w:tc>
          <w:tcPr>
            <w:tcW w:w="3192" w:type="dxa"/>
          </w:tcPr>
          <w:p w14:paraId="1923B4CA" w14:textId="581D3952" w:rsidR="00F925CB" w:rsidRDefault="00F925CB" w:rsidP="00F925CB">
            <w:pPr>
              <w:rPr>
                <w:rFonts w:eastAsia="Times New Roman" w:cs="Arial"/>
                <w:i/>
                <w:iCs/>
                <w:color w:val="000000"/>
                <w:lang w:val="ru-RU"/>
              </w:rPr>
            </w:pPr>
            <w:r>
              <w:t>7-14 дни</w:t>
            </w:r>
          </w:p>
        </w:tc>
      </w:tr>
      <w:tr w:rsidR="00F925CB" w14:paraId="29388DA0" w14:textId="77777777" w:rsidTr="00F925CB">
        <w:tc>
          <w:tcPr>
            <w:tcW w:w="3192" w:type="dxa"/>
          </w:tcPr>
          <w:p w14:paraId="3E7801C0" w14:textId="18D207A4" w:rsidR="00F925CB" w:rsidRDefault="00F925CB" w:rsidP="00F925CB">
            <w:pPr>
              <w:rPr>
                <w:rFonts w:eastAsia="Times New Roman" w:cs="Arial"/>
                <w:i/>
                <w:iCs/>
                <w:color w:val="000000"/>
                <w:lang w:val="ru-RU"/>
              </w:rPr>
            </w:pPr>
            <w:r>
              <w:t>Пиелонефрит</w:t>
            </w:r>
          </w:p>
        </w:tc>
        <w:tc>
          <w:tcPr>
            <w:tcW w:w="3192" w:type="dxa"/>
          </w:tcPr>
          <w:p w14:paraId="1CE7FFE3" w14:textId="4C7BD93F" w:rsidR="00F925CB" w:rsidRDefault="00F925CB" w:rsidP="00F925CB">
            <w:pPr>
              <w:rPr>
                <w:rFonts w:eastAsia="Times New Roman" w:cs="Arial"/>
                <w:i/>
                <w:iCs/>
                <w:color w:val="000000"/>
                <w:lang w:val="ru-RU"/>
              </w:rPr>
            </w:pPr>
            <w:r>
              <w:t xml:space="preserve">500 </w:t>
            </w:r>
            <w:r>
              <w:rPr>
                <w:lang w:val="en-US"/>
              </w:rPr>
              <w:t xml:space="preserve">mg </w:t>
            </w:r>
            <w:r>
              <w:t>веднъж дневно</w:t>
            </w:r>
          </w:p>
        </w:tc>
        <w:tc>
          <w:tcPr>
            <w:tcW w:w="3192" w:type="dxa"/>
          </w:tcPr>
          <w:p w14:paraId="0B5078D7" w14:textId="742CE836" w:rsidR="00F925CB" w:rsidRDefault="00F925CB" w:rsidP="00F925CB">
            <w:pPr>
              <w:rPr>
                <w:rFonts w:eastAsia="Times New Roman" w:cs="Arial"/>
                <w:i/>
                <w:iCs/>
                <w:color w:val="000000"/>
                <w:lang w:val="ru-RU"/>
              </w:rPr>
            </w:pPr>
            <w:r>
              <w:t>7 -10 дни</w:t>
            </w:r>
          </w:p>
        </w:tc>
      </w:tr>
      <w:tr w:rsidR="00F925CB" w14:paraId="31BC49A9" w14:textId="77777777" w:rsidTr="00F925CB">
        <w:tc>
          <w:tcPr>
            <w:tcW w:w="3192" w:type="dxa"/>
          </w:tcPr>
          <w:p w14:paraId="799DEB78" w14:textId="464A2858" w:rsidR="00F925CB" w:rsidRDefault="00F925CB" w:rsidP="00F925CB">
            <w:pPr>
              <w:rPr>
                <w:rFonts w:eastAsia="Times New Roman" w:cs="Arial"/>
                <w:i/>
                <w:iCs/>
                <w:color w:val="000000"/>
                <w:lang w:val="ru-RU"/>
              </w:rPr>
            </w:pPr>
            <w:r>
              <w:t>Усложнени инфекции на пикочните пътища</w:t>
            </w:r>
          </w:p>
        </w:tc>
        <w:tc>
          <w:tcPr>
            <w:tcW w:w="3192" w:type="dxa"/>
          </w:tcPr>
          <w:p w14:paraId="3A5F4B36" w14:textId="25FA855F" w:rsidR="00F925CB" w:rsidRDefault="00F925CB" w:rsidP="00F925CB">
            <w:pPr>
              <w:rPr>
                <w:rFonts w:eastAsia="Times New Roman" w:cs="Arial"/>
                <w:i/>
                <w:iCs/>
                <w:color w:val="000000"/>
                <w:lang w:val="ru-RU"/>
              </w:rPr>
            </w:pPr>
            <w:r>
              <w:t xml:space="preserve">500 </w:t>
            </w:r>
            <w:r>
              <w:rPr>
                <w:lang w:val="en-US"/>
              </w:rPr>
              <w:t xml:space="preserve">mg </w:t>
            </w:r>
            <w:r>
              <w:t>веднъж дневно</w:t>
            </w:r>
          </w:p>
        </w:tc>
        <w:tc>
          <w:tcPr>
            <w:tcW w:w="3192" w:type="dxa"/>
          </w:tcPr>
          <w:p w14:paraId="74D530C1" w14:textId="79D54F42" w:rsidR="00F925CB" w:rsidRDefault="00F925CB" w:rsidP="00F925CB">
            <w:pPr>
              <w:rPr>
                <w:rFonts w:eastAsia="Times New Roman" w:cs="Arial"/>
                <w:i/>
                <w:iCs/>
                <w:color w:val="000000"/>
                <w:lang w:val="ru-RU"/>
              </w:rPr>
            </w:pPr>
            <w:r>
              <w:t>7-14 дни</w:t>
            </w:r>
          </w:p>
        </w:tc>
      </w:tr>
      <w:tr w:rsidR="00F925CB" w14:paraId="6307695A" w14:textId="77777777" w:rsidTr="00F925CB">
        <w:tc>
          <w:tcPr>
            <w:tcW w:w="3192" w:type="dxa"/>
          </w:tcPr>
          <w:p w14:paraId="1F62A174" w14:textId="16DB5958" w:rsidR="00F925CB" w:rsidRDefault="00F925CB" w:rsidP="00F925CB">
            <w:pPr>
              <w:rPr>
                <w:rFonts w:eastAsia="Times New Roman" w:cs="Arial"/>
                <w:i/>
                <w:iCs/>
                <w:color w:val="000000"/>
                <w:lang w:val="ru-RU"/>
              </w:rPr>
            </w:pPr>
            <w:r>
              <w:t>Хроничен бактериален простатит</w:t>
            </w:r>
          </w:p>
        </w:tc>
        <w:tc>
          <w:tcPr>
            <w:tcW w:w="3192" w:type="dxa"/>
          </w:tcPr>
          <w:p w14:paraId="25D89671" w14:textId="77FF318C" w:rsidR="00F925CB" w:rsidRDefault="00F925CB" w:rsidP="00F925CB">
            <w:pPr>
              <w:rPr>
                <w:rFonts w:eastAsia="Times New Roman" w:cs="Arial"/>
                <w:i/>
                <w:iCs/>
                <w:color w:val="000000"/>
                <w:lang w:val="ru-RU"/>
              </w:rPr>
            </w:pPr>
            <w:r>
              <w:t xml:space="preserve">500 </w:t>
            </w:r>
            <w:r>
              <w:rPr>
                <w:lang w:val="en-US"/>
              </w:rPr>
              <w:t xml:space="preserve">mg </w:t>
            </w:r>
            <w:r>
              <w:t>веднъж дневно</w:t>
            </w:r>
          </w:p>
        </w:tc>
        <w:tc>
          <w:tcPr>
            <w:tcW w:w="3192" w:type="dxa"/>
          </w:tcPr>
          <w:p w14:paraId="0110227B" w14:textId="074E89B2" w:rsidR="00F925CB" w:rsidRDefault="00F925CB" w:rsidP="00F925CB">
            <w:pPr>
              <w:rPr>
                <w:rFonts w:eastAsia="Times New Roman" w:cs="Arial"/>
                <w:i/>
                <w:iCs/>
                <w:color w:val="000000"/>
                <w:lang w:val="ru-RU"/>
              </w:rPr>
            </w:pPr>
            <w:r>
              <w:t>28 дни</w:t>
            </w:r>
          </w:p>
        </w:tc>
      </w:tr>
      <w:tr w:rsidR="00F925CB" w14:paraId="56674AF9" w14:textId="77777777" w:rsidTr="00F925CB">
        <w:tc>
          <w:tcPr>
            <w:tcW w:w="3192" w:type="dxa"/>
          </w:tcPr>
          <w:p w14:paraId="2E618308" w14:textId="141CCAFD" w:rsidR="00F925CB" w:rsidRDefault="00F925CB" w:rsidP="00F925CB">
            <w:pPr>
              <w:rPr>
                <w:rFonts w:eastAsia="Times New Roman" w:cs="Arial"/>
                <w:i/>
                <w:iCs/>
                <w:color w:val="000000"/>
                <w:lang w:val="ru-RU"/>
              </w:rPr>
            </w:pPr>
            <w:r>
              <w:t>Усложнени инфекции на кожата и меките тъкани</w:t>
            </w:r>
          </w:p>
        </w:tc>
        <w:tc>
          <w:tcPr>
            <w:tcW w:w="3192" w:type="dxa"/>
          </w:tcPr>
          <w:p w14:paraId="6DEC86F8" w14:textId="2FA3FA98" w:rsidR="00F925CB" w:rsidRDefault="00F925CB" w:rsidP="00F925CB">
            <w:pPr>
              <w:rPr>
                <w:rFonts w:eastAsia="Times New Roman" w:cs="Arial"/>
                <w:i/>
                <w:iCs/>
                <w:color w:val="000000"/>
                <w:lang w:val="ru-RU"/>
              </w:rPr>
            </w:pPr>
            <w:r>
              <w:t xml:space="preserve">500 </w:t>
            </w:r>
            <w:r>
              <w:rPr>
                <w:lang w:val="en-US"/>
              </w:rPr>
              <w:t>mg</w:t>
            </w:r>
            <w:r w:rsidRPr="00F925CB">
              <w:rPr>
                <w:lang w:val="ru-RU"/>
              </w:rPr>
              <w:t xml:space="preserve"> </w:t>
            </w:r>
            <w:r>
              <w:t>веднъж или два пъти дневно</w:t>
            </w:r>
          </w:p>
        </w:tc>
        <w:tc>
          <w:tcPr>
            <w:tcW w:w="3192" w:type="dxa"/>
          </w:tcPr>
          <w:p w14:paraId="2602D9B9" w14:textId="6B0528BC" w:rsidR="00F925CB" w:rsidRDefault="00F925CB" w:rsidP="00F925CB">
            <w:pPr>
              <w:rPr>
                <w:rFonts w:eastAsia="Times New Roman" w:cs="Arial"/>
                <w:i/>
                <w:iCs/>
                <w:color w:val="000000"/>
                <w:lang w:val="ru-RU"/>
              </w:rPr>
            </w:pPr>
            <w:r>
              <w:t>7-14 дни</w:t>
            </w:r>
          </w:p>
        </w:tc>
      </w:tr>
      <w:tr w:rsidR="00F925CB" w14:paraId="6156A953" w14:textId="77777777" w:rsidTr="00F925CB">
        <w:tc>
          <w:tcPr>
            <w:tcW w:w="3192" w:type="dxa"/>
          </w:tcPr>
          <w:p w14:paraId="53B41835" w14:textId="40D152EA" w:rsidR="00F925CB" w:rsidRDefault="00F925CB" w:rsidP="00F925CB">
            <w:pPr>
              <w:rPr>
                <w:rFonts w:eastAsia="Times New Roman" w:cs="Arial"/>
                <w:i/>
                <w:iCs/>
                <w:color w:val="000000"/>
                <w:lang w:val="ru-RU"/>
              </w:rPr>
            </w:pPr>
            <w:r>
              <w:t>Инхалационен антракс</w:t>
            </w:r>
          </w:p>
        </w:tc>
        <w:tc>
          <w:tcPr>
            <w:tcW w:w="3192" w:type="dxa"/>
          </w:tcPr>
          <w:p w14:paraId="3F119CB8" w14:textId="3966AF9A" w:rsidR="00F925CB" w:rsidRDefault="00F925CB" w:rsidP="00F925CB">
            <w:pPr>
              <w:rPr>
                <w:rFonts w:eastAsia="Times New Roman" w:cs="Arial"/>
                <w:i/>
                <w:iCs/>
                <w:color w:val="000000"/>
                <w:lang w:val="ru-RU"/>
              </w:rPr>
            </w:pPr>
            <w:r>
              <w:t xml:space="preserve">500 </w:t>
            </w:r>
            <w:r>
              <w:rPr>
                <w:lang w:val="en-US"/>
              </w:rPr>
              <w:t xml:space="preserve">mg </w:t>
            </w:r>
            <w:r>
              <w:t>веднъж дневно</w:t>
            </w:r>
          </w:p>
        </w:tc>
        <w:tc>
          <w:tcPr>
            <w:tcW w:w="3192" w:type="dxa"/>
          </w:tcPr>
          <w:p w14:paraId="21B6152A" w14:textId="3FF8A18B" w:rsidR="00F925CB" w:rsidRDefault="00F925CB" w:rsidP="00F925CB">
            <w:pPr>
              <w:rPr>
                <w:rFonts w:eastAsia="Times New Roman" w:cs="Arial"/>
                <w:i/>
                <w:iCs/>
                <w:color w:val="000000"/>
                <w:lang w:val="ru-RU"/>
              </w:rPr>
            </w:pPr>
            <w:r>
              <w:t>8 седмици</w:t>
            </w:r>
          </w:p>
        </w:tc>
      </w:tr>
    </w:tbl>
    <w:p w14:paraId="629BF6DE"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vertAlign w:val="superscript"/>
          <w:lang w:eastAsia="bg-BG"/>
        </w:rPr>
        <w:t>1</w:t>
      </w:r>
      <w:r w:rsidRPr="00F925CB">
        <w:rPr>
          <w:rFonts w:eastAsia="Times New Roman" w:cs="Arial"/>
          <w:color w:val="000000"/>
          <w:lang w:eastAsia="bg-BG"/>
        </w:rPr>
        <w:t>Продължителността на лечението включва интравенозно плюс перорално лечение. Времето за преминаване от интравенозно към перорално лечение зависи от клиничната ситуация, но обикновено е 2 до 4 дни.</w:t>
      </w:r>
    </w:p>
    <w:p w14:paraId="57522517" w14:textId="77777777" w:rsidR="00F925CB" w:rsidRPr="00F925CB" w:rsidRDefault="00F925CB" w:rsidP="00F925CB">
      <w:pPr>
        <w:spacing w:line="240" w:lineRule="auto"/>
        <w:rPr>
          <w:rFonts w:eastAsia="Times New Roman" w:cs="Arial"/>
          <w:i/>
          <w:iCs/>
          <w:color w:val="000000"/>
          <w:u w:val="single"/>
          <w:lang w:eastAsia="bg-BG"/>
        </w:rPr>
      </w:pPr>
    </w:p>
    <w:p w14:paraId="145A918C" w14:textId="72FC6240"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u w:val="single"/>
          <w:lang w:eastAsia="bg-BG"/>
        </w:rPr>
        <w:t>Специални популации</w:t>
      </w:r>
    </w:p>
    <w:p w14:paraId="02FE5B2C" w14:textId="77777777" w:rsidR="00F925CB" w:rsidRPr="00F925CB" w:rsidRDefault="00F925CB" w:rsidP="00F925CB">
      <w:pPr>
        <w:spacing w:line="240" w:lineRule="auto"/>
        <w:rPr>
          <w:rFonts w:eastAsia="Times New Roman" w:cs="Arial"/>
          <w:i/>
          <w:iCs/>
          <w:color w:val="000000"/>
          <w:lang w:eastAsia="bg-BG"/>
        </w:rPr>
      </w:pPr>
    </w:p>
    <w:p w14:paraId="718E54BD" w14:textId="7C55CF4B"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 xml:space="preserve">Увредена бъбречна функция (креатининов клирънс ≤50 </w:t>
      </w:r>
      <w:r w:rsidRPr="00F925CB">
        <w:rPr>
          <w:rFonts w:eastAsia="Times New Roman" w:cs="Arial"/>
          <w:i/>
          <w:iCs/>
          <w:color w:val="000000"/>
          <w:lang w:val="en-US"/>
        </w:rPr>
        <w:t>ml</w:t>
      </w:r>
      <w:r w:rsidRPr="00F925CB">
        <w:rPr>
          <w:rFonts w:eastAsia="Times New Roman" w:cs="Arial"/>
          <w:i/>
          <w:iCs/>
          <w:color w:val="000000"/>
          <w:lang w:val="ru-RU"/>
        </w:rPr>
        <w:t>/</w:t>
      </w:r>
      <w:r w:rsidRPr="00F925CB">
        <w:rPr>
          <w:rFonts w:eastAsia="Times New Roman" w:cs="Arial"/>
          <w:i/>
          <w:iCs/>
          <w:color w:val="000000"/>
          <w:lang w:val="en-US"/>
        </w:rPr>
        <w:t>min</w:t>
      </w:r>
      <w:r w:rsidRPr="00F925CB">
        <w:rPr>
          <w:rFonts w:eastAsia="Times New Roman" w:cs="Arial"/>
          <w:i/>
          <w:iCs/>
          <w:color w:val="000000"/>
          <w:lang w:val="ru-RU"/>
        </w:rPr>
        <w:t>)</w:t>
      </w:r>
    </w:p>
    <w:p w14:paraId="77081112" w14:textId="76FA08F7" w:rsidR="00F925CB" w:rsidRDefault="00F925CB" w:rsidP="00F925CB">
      <w:pPr>
        <w:rPr>
          <w:rFonts w:eastAsia="Times New Roman" w:cs="Arial"/>
          <w:i/>
          <w:iCs/>
          <w:color w:val="000000"/>
        </w:rPr>
      </w:pPr>
    </w:p>
    <w:tbl>
      <w:tblPr>
        <w:tblStyle w:val="TableGrid"/>
        <w:tblW w:w="0" w:type="auto"/>
        <w:tblLook w:val="04A0" w:firstRow="1" w:lastRow="0" w:firstColumn="1" w:lastColumn="0" w:noHBand="0" w:noVBand="1"/>
      </w:tblPr>
      <w:tblGrid>
        <w:gridCol w:w="2363"/>
        <w:gridCol w:w="2329"/>
        <w:gridCol w:w="2329"/>
        <w:gridCol w:w="2329"/>
      </w:tblGrid>
      <w:tr w:rsidR="00F925CB" w14:paraId="691A2A04" w14:textId="77777777" w:rsidTr="00B868F9">
        <w:tc>
          <w:tcPr>
            <w:tcW w:w="2394" w:type="dxa"/>
            <w:vMerge w:val="restart"/>
          </w:tcPr>
          <w:p w14:paraId="3FFA3F56" w14:textId="77777777" w:rsidR="00F925CB" w:rsidRDefault="00F925CB" w:rsidP="00F925CB">
            <w:pPr>
              <w:rPr>
                <w:lang w:val="ru-RU"/>
              </w:rPr>
            </w:pPr>
          </w:p>
        </w:tc>
        <w:tc>
          <w:tcPr>
            <w:tcW w:w="7182" w:type="dxa"/>
            <w:gridSpan w:val="3"/>
          </w:tcPr>
          <w:p w14:paraId="14BE71A3" w14:textId="11FEAFF4" w:rsidR="00F925CB" w:rsidRPr="00F925CB" w:rsidRDefault="00F925CB" w:rsidP="00F925CB">
            <w:pPr>
              <w:rPr>
                <w:sz w:val="24"/>
                <w:szCs w:val="24"/>
              </w:rPr>
            </w:pPr>
            <w:r w:rsidRPr="00F925CB">
              <w:rPr>
                <w:lang w:eastAsia="bg-BG"/>
              </w:rPr>
              <w:t>Дозов режим</w:t>
            </w:r>
          </w:p>
        </w:tc>
      </w:tr>
      <w:tr w:rsidR="00F925CB" w14:paraId="07E16F75" w14:textId="77777777" w:rsidTr="00F925CB">
        <w:tc>
          <w:tcPr>
            <w:tcW w:w="2394" w:type="dxa"/>
            <w:vMerge/>
          </w:tcPr>
          <w:p w14:paraId="2BCAD750" w14:textId="77777777" w:rsidR="00F925CB" w:rsidRDefault="00F925CB" w:rsidP="00F925CB">
            <w:pPr>
              <w:rPr>
                <w:lang w:val="ru-RU"/>
              </w:rPr>
            </w:pPr>
          </w:p>
        </w:tc>
        <w:tc>
          <w:tcPr>
            <w:tcW w:w="2394" w:type="dxa"/>
          </w:tcPr>
          <w:p w14:paraId="1FB2D535" w14:textId="22060884" w:rsidR="00F925CB" w:rsidRPr="00F925CB" w:rsidRDefault="00F925CB" w:rsidP="00F925CB">
            <w:pPr>
              <w:rPr>
                <w:b/>
                <w:lang w:val="ru-RU"/>
              </w:rPr>
            </w:pPr>
            <w:r w:rsidRPr="00F925CB">
              <w:rPr>
                <w:b/>
              </w:rPr>
              <w:t xml:space="preserve">250 </w:t>
            </w:r>
            <w:r w:rsidRPr="00F925CB">
              <w:rPr>
                <w:b/>
                <w:lang w:val="en-US"/>
              </w:rPr>
              <w:t xml:space="preserve">mg/ </w:t>
            </w:r>
            <w:r w:rsidRPr="00F925CB">
              <w:rPr>
                <w:b/>
              </w:rPr>
              <w:t xml:space="preserve">24 </w:t>
            </w:r>
            <w:r w:rsidRPr="00F925CB">
              <w:rPr>
                <w:b/>
                <w:lang w:val="en-US"/>
              </w:rPr>
              <w:t>h</w:t>
            </w:r>
          </w:p>
        </w:tc>
        <w:tc>
          <w:tcPr>
            <w:tcW w:w="2394" w:type="dxa"/>
          </w:tcPr>
          <w:p w14:paraId="2AAA0E20" w14:textId="5C81660D" w:rsidR="00F925CB" w:rsidRPr="00F925CB" w:rsidRDefault="00F925CB" w:rsidP="00F925CB">
            <w:pPr>
              <w:rPr>
                <w:b/>
                <w:lang w:val="ru-RU"/>
              </w:rPr>
            </w:pPr>
            <w:r w:rsidRPr="00F925CB">
              <w:rPr>
                <w:b/>
              </w:rPr>
              <w:t xml:space="preserve">500 </w:t>
            </w:r>
            <w:r w:rsidRPr="00F925CB">
              <w:rPr>
                <w:b/>
                <w:lang w:val="en-US"/>
              </w:rPr>
              <w:t>mg/</w:t>
            </w:r>
            <w:r w:rsidRPr="00F925CB">
              <w:rPr>
                <w:b/>
              </w:rPr>
              <w:t xml:space="preserve">24 </w:t>
            </w:r>
            <w:r w:rsidRPr="00F925CB">
              <w:rPr>
                <w:b/>
                <w:lang w:val="en-US"/>
              </w:rPr>
              <w:t>h</w:t>
            </w:r>
          </w:p>
        </w:tc>
        <w:tc>
          <w:tcPr>
            <w:tcW w:w="2394" w:type="dxa"/>
          </w:tcPr>
          <w:p w14:paraId="58EC9A1F" w14:textId="6B34E01B" w:rsidR="00F925CB" w:rsidRPr="00F925CB" w:rsidRDefault="00F925CB" w:rsidP="00F925CB">
            <w:pPr>
              <w:rPr>
                <w:b/>
                <w:lang w:val="ru-RU"/>
              </w:rPr>
            </w:pPr>
            <w:r w:rsidRPr="00F925CB">
              <w:rPr>
                <w:b/>
              </w:rPr>
              <w:t xml:space="preserve">500 </w:t>
            </w:r>
            <w:r w:rsidRPr="00F925CB">
              <w:rPr>
                <w:b/>
                <w:lang w:val="en-US"/>
              </w:rPr>
              <w:t>mg/12 b</w:t>
            </w:r>
          </w:p>
        </w:tc>
      </w:tr>
      <w:tr w:rsidR="00F925CB" w14:paraId="67496C06" w14:textId="77777777" w:rsidTr="00F925CB">
        <w:tc>
          <w:tcPr>
            <w:tcW w:w="2394" w:type="dxa"/>
          </w:tcPr>
          <w:p w14:paraId="6E7D86F6" w14:textId="0847C466" w:rsidR="00F925CB" w:rsidRDefault="00F925CB" w:rsidP="00F925CB">
            <w:pPr>
              <w:rPr>
                <w:lang w:val="ru-RU"/>
              </w:rPr>
            </w:pPr>
            <w:r>
              <w:rPr>
                <w:b/>
                <w:bCs/>
              </w:rPr>
              <w:t>Креатининов клирънс</w:t>
            </w:r>
          </w:p>
        </w:tc>
        <w:tc>
          <w:tcPr>
            <w:tcW w:w="2394" w:type="dxa"/>
          </w:tcPr>
          <w:p w14:paraId="60AF72B1" w14:textId="444643B6" w:rsidR="00F925CB" w:rsidRDefault="00F925CB" w:rsidP="00F925CB">
            <w:pPr>
              <w:rPr>
                <w:lang w:val="ru-RU"/>
              </w:rPr>
            </w:pPr>
            <w:r>
              <w:rPr>
                <w:i/>
                <w:iCs/>
              </w:rPr>
              <w:t>първа доза:</w:t>
            </w:r>
            <w:r>
              <w:t xml:space="preserve"> 250 </w:t>
            </w:r>
            <w:r>
              <w:rPr>
                <w:lang w:val="en-US"/>
              </w:rPr>
              <w:t>mg</w:t>
            </w:r>
          </w:p>
        </w:tc>
        <w:tc>
          <w:tcPr>
            <w:tcW w:w="2394" w:type="dxa"/>
          </w:tcPr>
          <w:p w14:paraId="45CFDCB9" w14:textId="56A081F8" w:rsidR="00F925CB" w:rsidRDefault="00F925CB" w:rsidP="00F925CB">
            <w:pPr>
              <w:rPr>
                <w:lang w:val="ru-RU"/>
              </w:rPr>
            </w:pPr>
            <w:r>
              <w:rPr>
                <w:i/>
                <w:iCs/>
              </w:rPr>
              <w:t>първа доза:</w:t>
            </w:r>
            <w:r>
              <w:t xml:space="preserve"> 500 </w:t>
            </w:r>
            <w:r>
              <w:rPr>
                <w:lang w:val="en-US"/>
              </w:rPr>
              <w:t>mg</w:t>
            </w:r>
          </w:p>
        </w:tc>
        <w:tc>
          <w:tcPr>
            <w:tcW w:w="2394" w:type="dxa"/>
          </w:tcPr>
          <w:p w14:paraId="525378AD" w14:textId="66A6F3AA" w:rsidR="00F925CB" w:rsidRDefault="00F925CB" w:rsidP="00F925CB">
            <w:pPr>
              <w:rPr>
                <w:lang w:val="ru-RU"/>
              </w:rPr>
            </w:pPr>
            <w:r>
              <w:rPr>
                <w:i/>
                <w:iCs/>
              </w:rPr>
              <w:t>първа доза:</w:t>
            </w:r>
            <w:r>
              <w:t xml:space="preserve"> </w:t>
            </w:r>
            <w:r>
              <w:rPr>
                <w:lang w:val="en-US"/>
              </w:rPr>
              <w:t>500 mg</w:t>
            </w:r>
          </w:p>
        </w:tc>
      </w:tr>
      <w:tr w:rsidR="00F925CB" w14:paraId="408C634A" w14:textId="77777777" w:rsidTr="00F925CB">
        <w:tc>
          <w:tcPr>
            <w:tcW w:w="2394" w:type="dxa"/>
          </w:tcPr>
          <w:p w14:paraId="06C20098" w14:textId="2DDEA22B" w:rsidR="00F925CB" w:rsidRDefault="00F925CB" w:rsidP="00F925CB">
            <w:pPr>
              <w:rPr>
                <w:lang w:val="ru-RU"/>
              </w:rPr>
            </w:pPr>
            <w:r>
              <w:lastRenderedPageBreak/>
              <w:t xml:space="preserve">50 - 20 </w:t>
            </w:r>
            <w:r>
              <w:rPr>
                <w:lang w:val="en-US"/>
              </w:rPr>
              <w:t>ml/min</w:t>
            </w:r>
          </w:p>
        </w:tc>
        <w:tc>
          <w:tcPr>
            <w:tcW w:w="2394" w:type="dxa"/>
          </w:tcPr>
          <w:p w14:paraId="5B9D7599" w14:textId="51000431" w:rsidR="00F925CB" w:rsidRDefault="00F925CB" w:rsidP="00F925CB">
            <w:pPr>
              <w:rPr>
                <w:lang w:val="ru-RU"/>
              </w:rPr>
            </w:pPr>
            <w:r>
              <w:rPr>
                <w:i/>
                <w:iCs/>
              </w:rPr>
              <w:t>след това:</w:t>
            </w:r>
            <w:r>
              <w:t xml:space="preserve"> 125 </w:t>
            </w:r>
            <w:r>
              <w:rPr>
                <w:lang w:val="en-US"/>
              </w:rPr>
              <w:t>mg/24 h</w:t>
            </w:r>
          </w:p>
        </w:tc>
        <w:tc>
          <w:tcPr>
            <w:tcW w:w="2394" w:type="dxa"/>
          </w:tcPr>
          <w:p w14:paraId="42B55921" w14:textId="08ADAAF7" w:rsidR="00F925CB" w:rsidRDefault="00F925CB" w:rsidP="00F925CB">
            <w:pPr>
              <w:rPr>
                <w:lang w:val="ru-RU"/>
              </w:rPr>
            </w:pPr>
            <w:r>
              <w:rPr>
                <w:i/>
                <w:iCs/>
              </w:rPr>
              <w:t>след това:</w:t>
            </w:r>
            <w:r>
              <w:t xml:space="preserve"> 250 </w:t>
            </w:r>
            <w:r>
              <w:rPr>
                <w:lang w:val="en-US"/>
              </w:rPr>
              <w:t>mg/24 h</w:t>
            </w:r>
          </w:p>
        </w:tc>
        <w:tc>
          <w:tcPr>
            <w:tcW w:w="2394" w:type="dxa"/>
          </w:tcPr>
          <w:p w14:paraId="42292C11" w14:textId="09846D12" w:rsidR="00F925CB" w:rsidRDefault="00F925CB" w:rsidP="00F925CB">
            <w:pPr>
              <w:rPr>
                <w:lang w:val="ru-RU"/>
              </w:rPr>
            </w:pPr>
            <w:r>
              <w:rPr>
                <w:i/>
                <w:iCs/>
              </w:rPr>
              <w:t>след това:</w:t>
            </w:r>
            <w:r>
              <w:t xml:space="preserve"> 250 </w:t>
            </w:r>
            <w:r>
              <w:rPr>
                <w:lang w:val="en-US"/>
              </w:rPr>
              <w:t>mg/12 h</w:t>
            </w:r>
          </w:p>
        </w:tc>
      </w:tr>
      <w:tr w:rsidR="00F925CB" w14:paraId="28D0141E" w14:textId="77777777" w:rsidTr="00F925CB">
        <w:tc>
          <w:tcPr>
            <w:tcW w:w="2394" w:type="dxa"/>
          </w:tcPr>
          <w:p w14:paraId="64C9E2ED" w14:textId="38590CE1" w:rsidR="00F925CB" w:rsidRDefault="00F925CB" w:rsidP="00F925CB">
            <w:pPr>
              <w:rPr>
                <w:lang w:val="ru-RU"/>
              </w:rPr>
            </w:pPr>
            <w:r>
              <w:t xml:space="preserve">19- 10 </w:t>
            </w:r>
            <w:r>
              <w:rPr>
                <w:lang w:val="en-US"/>
              </w:rPr>
              <w:t>ml/min</w:t>
            </w:r>
          </w:p>
        </w:tc>
        <w:tc>
          <w:tcPr>
            <w:tcW w:w="2394" w:type="dxa"/>
          </w:tcPr>
          <w:p w14:paraId="30137E28" w14:textId="4B4FD633" w:rsidR="00F925CB" w:rsidRDefault="00F925CB" w:rsidP="00F925CB">
            <w:pPr>
              <w:rPr>
                <w:lang w:val="ru-RU"/>
              </w:rPr>
            </w:pPr>
            <w:r>
              <w:rPr>
                <w:i/>
                <w:iCs/>
              </w:rPr>
              <w:t>след това:</w:t>
            </w:r>
            <w:r>
              <w:t xml:space="preserve"> 125 </w:t>
            </w:r>
            <w:r>
              <w:rPr>
                <w:lang w:val="en-US"/>
              </w:rPr>
              <w:t>mg/48 h</w:t>
            </w:r>
          </w:p>
        </w:tc>
        <w:tc>
          <w:tcPr>
            <w:tcW w:w="2394" w:type="dxa"/>
          </w:tcPr>
          <w:p w14:paraId="76DB991F" w14:textId="50D940C9" w:rsidR="00F925CB" w:rsidRDefault="00F925CB" w:rsidP="00F925CB">
            <w:pPr>
              <w:rPr>
                <w:lang w:val="ru-RU"/>
              </w:rPr>
            </w:pPr>
            <w:r>
              <w:rPr>
                <w:i/>
                <w:iCs/>
              </w:rPr>
              <w:t>след това:</w:t>
            </w:r>
            <w:r>
              <w:t xml:space="preserve"> 125 </w:t>
            </w:r>
            <w:r>
              <w:rPr>
                <w:lang w:val="en-US"/>
              </w:rPr>
              <w:t>mg/24 h</w:t>
            </w:r>
          </w:p>
        </w:tc>
        <w:tc>
          <w:tcPr>
            <w:tcW w:w="2394" w:type="dxa"/>
          </w:tcPr>
          <w:p w14:paraId="618E3D3C" w14:textId="39974C31" w:rsidR="00F925CB" w:rsidRDefault="00F925CB" w:rsidP="00F925CB">
            <w:pPr>
              <w:rPr>
                <w:lang w:val="ru-RU"/>
              </w:rPr>
            </w:pPr>
            <w:r>
              <w:rPr>
                <w:i/>
                <w:iCs/>
              </w:rPr>
              <w:t>след това:</w:t>
            </w:r>
            <w:r>
              <w:t xml:space="preserve"> 125 </w:t>
            </w:r>
            <w:r>
              <w:rPr>
                <w:lang w:val="en-US"/>
              </w:rPr>
              <w:t>mg/12 h</w:t>
            </w:r>
          </w:p>
        </w:tc>
      </w:tr>
      <w:tr w:rsidR="00F925CB" w14:paraId="400A3395" w14:textId="77777777" w:rsidTr="00F925CB">
        <w:tc>
          <w:tcPr>
            <w:tcW w:w="2394" w:type="dxa"/>
          </w:tcPr>
          <w:p w14:paraId="51A09D43" w14:textId="7C52C039" w:rsidR="00F925CB" w:rsidRDefault="00F925CB" w:rsidP="00F925CB">
            <w:pPr>
              <w:rPr>
                <w:lang w:val="ru-RU"/>
              </w:rPr>
            </w:pPr>
            <w:r>
              <w:t xml:space="preserve">&lt;10 </w:t>
            </w:r>
            <w:r>
              <w:rPr>
                <w:lang w:val="en-US"/>
              </w:rPr>
              <w:t>ml</w:t>
            </w:r>
            <w:r w:rsidRPr="00F925CB">
              <w:rPr>
                <w:lang w:val="ru-RU"/>
              </w:rPr>
              <w:t>/</w:t>
            </w:r>
            <w:r>
              <w:rPr>
                <w:lang w:val="en-US"/>
              </w:rPr>
              <w:t>min</w:t>
            </w:r>
            <w:r w:rsidRPr="00F925CB">
              <w:rPr>
                <w:lang w:val="ru-RU"/>
              </w:rPr>
              <w:t xml:space="preserve"> </w:t>
            </w:r>
            <w:r>
              <w:t xml:space="preserve">(включително хемодиализа и </w:t>
            </w:r>
            <w:r>
              <w:rPr>
                <w:lang w:val="en-US"/>
              </w:rPr>
              <w:t>CAPD</w:t>
            </w:r>
            <w:r w:rsidRPr="00F925CB">
              <w:rPr>
                <w:lang w:val="ru-RU"/>
              </w:rPr>
              <w:t>)</w:t>
            </w:r>
            <w:r w:rsidRPr="00F925CB">
              <w:rPr>
                <w:vertAlign w:val="superscript"/>
                <w:lang w:val="ru-RU"/>
              </w:rPr>
              <w:t>1</w:t>
            </w:r>
          </w:p>
        </w:tc>
        <w:tc>
          <w:tcPr>
            <w:tcW w:w="2394" w:type="dxa"/>
          </w:tcPr>
          <w:p w14:paraId="19BDEF6E" w14:textId="0DA55567" w:rsidR="00F925CB" w:rsidRDefault="00F925CB" w:rsidP="00F925CB">
            <w:pPr>
              <w:rPr>
                <w:lang w:val="ru-RU"/>
              </w:rPr>
            </w:pPr>
            <w:r>
              <w:rPr>
                <w:i/>
                <w:iCs/>
              </w:rPr>
              <w:t>след това:</w:t>
            </w:r>
            <w:r>
              <w:t xml:space="preserve"> 125 </w:t>
            </w:r>
            <w:r>
              <w:rPr>
                <w:lang w:val="en-US"/>
              </w:rPr>
              <w:t>mg/48 h</w:t>
            </w:r>
          </w:p>
        </w:tc>
        <w:tc>
          <w:tcPr>
            <w:tcW w:w="2394" w:type="dxa"/>
          </w:tcPr>
          <w:p w14:paraId="26970B81" w14:textId="1ACA0C4A" w:rsidR="00F925CB" w:rsidRDefault="00F925CB" w:rsidP="00F925CB">
            <w:pPr>
              <w:rPr>
                <w:lang w:val="ru-RU"/>
              </w:rPr>
            </w:pPr>
            <w:r>
              <w:rPr>
                <w:i/>
                <w:iCs/>
              </w:rPr>
              <w:t>след това:</w:t>
            </w:r>
            <w:r>
              <w:t xml:space="preserve"> 125 </w:t>
            </w:r>
            <w:r>
              <w:rPr>
                <w:lang w:val="en-US"/>
              </w:rPr>
              <w:t>mg/24 h</w:t>
            </w:r>
          </w:p>
        </w:tc>
        <w:tc>
          <w:tcPr>
            <w:tcW w:w="2394" w:type="dxa"/>
          </w:tcPr>
          <w:p w14:paraId="0BA124B7" w14:textId="54462B61" w:rsidR="00F925CB" w:rsidRDefault="00F925CB" w:rsidP="00F925CB">
            <w:pPr>
              <w:rPr>
                <w:lang w:val="ru-RU"/>
              </w:rPr>
            </w:pPr>
            <w:r>
              <w:rPr>
                <w:i/>
                <w:iCs/>
              </w:rPr>
              <w:t>след това:</w:t>
            </w:r>
            <w:r>
              <w:t xml:space="preserve"> 125 </w:t>
            </w:r>
            <w:r>
              <w:rPr>
                <w:lang w:val="en-US"/>
              </w:rPr>
              <w:t>mg/24 h</w:t>
            </w:r>
          </w:p>
        </w:tc>
      </w:tr>
    </w:tbl>
    <w:p w14:paraId="595B3CE8"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vertAlign w:val="superscript"/>
          <w:lang w:eastAsia="bg-BG"/>
        </w:rPr>
        <w:t>1</w:t>
      </w:r>
      <w:r w:rsidRPr="00F925CB">
        <w:rPr>
          <w:rFonts w:eastAsia="Times New Roman" w:cs="Arial"/>
          <w:color w:val="000000"/>
          <w:lang w:eastAsia="bg-BG"/>
        </w:rPr>
        <w:t xml:space="preserve"> Не са необходими допълнителни дози след хемодиализа или непрекъсната амбулаторна перитонеална диализа </w:t>
      </w:r>
      <w:r w:rsidRPr="00F925CB">
        <w:rPr>
          <w:rFonts w:eastAsia="Times New Roman" w:cs="Arial"/>
          <w:color w:val="000000"/>
          <w:lang w:val="ru-RU"/>
        </w:rPr>
        <w:t>(</w:t>
      </w:r>
      <w:r w:rsidRPr="00F925CB">
        <w:rPr>
          <w:rFonts w:eastAsia="Times New Roman" w:cs="Arial"/>
          <w:color w:val="000000"/>
          <w:lang w:val="en-US"/>
        </w:rPr>
        <w:t>CAPD</w:t>
      </w:r>
      <w:r w:rsidRPr="00F925CB">
        <w:rPr>
          <w:rFonts w:eastAsia="Times New Roman" w:cs="Arial"/>
          <w:color w:val="000000"/>
          <w:lang w:val="ru-RU"/>
        </w:rPr>
        <w:t>).</w:t>
      </w:r>
    </w:p>
    <w:p w14:paraId="73716854" w14:textId="77777777" w:rsidR="00F925CB" w:rsidRPr="00F925CB" w:rsidRDefault="00F925CB" w:rsidP="00F925CB">
      <w:pPr>
        <w:spacing w:line="240" w:lineRule="auto"/>
        <w:rPr>
          <w:rFonts w:eastAsia="Times New Roman" w:cs="Arial"/>
          <w:i/>
          <w:iCs/>
          <w:color w:val="000000"/>
          <w:lang w:eastAsia="bg-BG"/>
        </w:rPr>
      </w:pPr>
    </w:p>
    <w:p w14:paraId="1C3C8566" w14:textId="106E52F6"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Увредена чернодробна функция</w:t>
      </w:r>
    </w:p>
    <w:p w14:paraId="5B8ECD7E" w14:textId="77777777" w:rsidR="00F925CB" w:rsidRPr="00F925CB" w:rsidRDefault="00F925CB" w:rsidP="00F925CB">
      <w:pPr>
        <w:spacing w:line="240" w:lineRule="auto"/>
        <w:rPr>
          <w:rFonts w:eastAsia="Times New Roman" w:cs="Arial"/>
          <w:color w:val="000000"/>
          <w:lang w:eastAsia="bg-BG"/>
        </w:rPr>
      </w:pPr>
    </w:p>
    <w:p w14:paraId="58D649DC" w14:textId="50B219A6"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Не е необходима корекция на дозировката, тъй като левофлоксацин не се метаболизира в значителна степен от черния дроб и се екскретира предимно чрез бъбреците.</w:t>
      </w:r>
    </w:p>
    <w:p w14:paraId="246BA553" w14:textId="77777777" w:rsidR="00F925CB" w:rsidRPr="00F925CB" w:rsidRDefault="00F925CB" w:rsidP="00F925CB">
      <w:pPr>
        <w:rPr>
          <w:rFonts w:eastAsia="Times New Roman" w:cs="Arial"/>
          <w:color w:val="000000"/>
          <w:lang w:eastAsia="bg-BG"/>
        </w:rPr>
      </w:pPr>
    </w:p>
    <w:p w14:paraId="7136EB7B" w14:textId="4AE89236" w:rsidR="00F925CB" w:rsidRDefault="00F925CB" w:rsidP="00F925CB">
      <w:pPr>
        <w:rPr>
          <w:rFonts w:eastAsia="Times New Roman" w:cs="Arial"/>
          <w:color w:val="000000"/>
          <w:lang w:eastAsia="bg-BG"/>
        </w:rPr>
      </w:pPr>
      <w:r w:rsidRPr="00F925CB">
        <w:rPr>
          <w:rFonts w:eastAsia="Times New Roman" w:cs="Arial"/>
          <w:color w:val="000000"/>
          <w:lang w:eastAsia="bg-BG"/>
        </w:rPr>
        <w:t>Пациенти в старческа възраст</w:t>
      </w:r>
    </w:p>
    <w:p w14:paraId="573E0426" w14:textId="0131FA2E" w:rsidR="00F925CB" w:rsidRDefault="00F925CB" w:rsidP="00F925CB">
      <w:pPr>
        <w:rPr>
          <w:rFonts w:eastAsia="Times New Roman" w:cs="Arial"/>
          <w:color w:val="000000"/>
          <w:lang w:eastAsia="bg-BG"/>
        </w:rPr>
      </w:pPr>
    </w:p>
    <w:p w14:paraId="7E163857"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Не се налага корекция на дозата при пациентите в старческа възраст, освен при увредена бъбречна функция (вж. точка 4.4 „Тендинит и руптура на сухожилие” и „Удължаване на </w:t>
      </w:r>
      <w:r w:rsidRPr="00F925CB">
        <w:rPr>
          <w:rFonts w:eastAsia="Times New Roman" w:cs="Arial"/>
          <w:color w:val="000000"/>
          <w:lang w:val="en-US"/>
        </w:rPr>
        <w:t>QT</w:t>
      </w:r>
      <w:r w:rsidRPr="00F925CB">
        <w:rPr>
          <w:rFonts w:eastAsia="Times New Roman" w:cs="Arial"/>
          <w:color w:val="000000"/>
          <w:lang w:val="ru-RU"/>
        </w:rPr>
        <w:t xml:space="preserve"> </w:t>
      </w:r>
      <w:r w:rsidRPr="00F925CB">
        <w:rPr>
          <w:rFonts w:eastAsia="Times New Roman" w:cs="Arial"/>
          <w:color w:val="000000"/>
          <w:lang w:eastAsia="bg-BG"/>
        </w:rPr>
        <w:t>интервала”).</w:t>
      </w:r>
    </w:p>
    <w:p w14:paraId="46C76BB9" w14:textId="77777777" w:rsidR="00F925CB" w:rsidRPr="00F925CB" w:rsidRDefault="00F925CB" w:rsidP="00F925CB">
      <w:pPr>
        <w:spacing w:line="240" w:lineRule="auto"/>
        <w:rPr>
          <w:rFonts w:eastAsia="Times New Roman" w:cs="Arial"/>
          <w:i/>
          <w:iCs/>
          <w:color w:val="000000"/>
          <w:lang w:eastAsia="bg-BG"/>
        </w:rPr>
      </w:pPr>
    </w:p>
    <w:p w14:paraId="357C6D33" w14:textId="7AA5D41E"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Педиатрична популация</w:t>
      </w:r>
    </w:p>
    <w:p w14:paraId="20DC8046" w14:textId="77777777" w:rsidR="00F925CB" w:rsidRPr="00F925CB" w:rsidRDefault="00F925CB" w:rsidP="00F925CB">
      <w:pPr>
        <w:spacing w:line="240" w:lineRule="auto"/>
        <w:rPr>
          <w:rFonts w:eastAsia="Times New Roman" w:cs="Arial"/>
          <w:color w:val="000000"/>
          <w:lang w:eastAsia="bg-BG"/>
        </w:rPr>
      </w:pPr>
    </w:p>
    <w:p w14:paraId="0176004B" w14:textId="6B7C768A"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Левофлоксацин Каби е противопоказан при деца и подрастващи юноши (вж. точка 4.3).</w:t>
      </w:r>
    </w:p>
    <w:p w14:paraId="7C7DA167" w14:textId="77777777" w:rsidR="00F925CB" w:rsidRPr="00F925CB" w:rsidRDefault="00F925CB" w:rsidP="00F925CB">
      <w:pPr>
        <w:spacing w:line="240" w:lineRule="auto"/>
        <w:rPr>
          <w:rFonts w:eastAsia="Times New Roman" w:cs="Arial"/>
          <w:color w:val="000000"/>
          <w:u w:val="single"/>
          <w:lang w:eastAsia="bg-BG"/>
        </w:rPr>
      </w:pPr>
    </w:p>
    <w:p w14:paraId="26F5EAA8" w14:textId="14F0FF44" w:rsidR="00F925CB" w:rsidRPr="00F925CB" w:rsidRDefault="00F925CB" w:rsidP="00F925CB">
      <w:pPr>
        <w:spacing w:line="240" w:lineRule="auto"/>
        <w:rPr>
          <w:rFonts w:eastAsia="Times New Roman" w:cs="Arial"/>
          <w:sz w:val="24"/>
          <w:szCs w:val="24"/>
        </w:rPr>
      </w:pPr>
      <w:r w:rsidRPr="00F925CB">
        <w:rPr>
          <w:rFonts w:eastAsia="Times New Roman" w:cs="Arial"/>
          <w:color w:val="000000"/>
          <w:u w:val="single"/>
          <w:lang w:eastAsia="bg-BG"/>
        </w:rPr>
        <w:t>Начин на приложение</w:t>
      </w:r>
    </w:p>
    <w:p w14:paraId="0FC508D8" w14:textId="77777777" w:rsidR="00F925CB" w:rsidRPr="00F925CB" w:rsidRDefault="00F925CB" w:rsidP="00F925CB">
      <w:pPr>
        <w:spacing w:line="240" w:lineRule="auto"/>
        <w:rPr>
          <w:rFonts w:eastAsia="Times New Roman" w:cs="Arial"/>
          <w:color w:val="000000"/>
          <w:lang w:eastAsia="bg-BG"/>
        </w:rPr>
      </w:pPr>
    </w:p>
    <w:p w14:paraId="4337E55B" w14:textId="3D556308"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Левофлоксацин Каби инфузионен разтвор е предназначен само за бавна интравенозна инфузия; прилага се един или два пъти дневно. Времето за инфузия трябва да бъде минимум 30 минути за 250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или 60 минути за 500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Левофлоксацин Каби инфузионен разтвор (вж. точка 4.4).</w:t>
      </w:r>
    </w:p>
    <w:p w14:paraId="34EB2E20" w14:textId="77777777" w:rsidR="00F925CB" w:rsidRPr="00F925CB" w:rsidRDefault="00F925CB" w:rsidP="00F925CB">
      <w:pPr>
        <w:spacing w:line="240" w:lineRule="auto"/>
        <w:rPr>
          <w:rFonts w:eastAsia="Times New Roman" w:cs="Arial"/>
          <w:color w:val="000000"/>
          <w:lang w:eastAsia="bg-BG"/>
        </w:rPr>
      </w:pPr>
    </w:p>
    <w:p w14:paraId="5266AD7C" w14:textId="481A52E6"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За несъвместимости вижте точка 6.2 и за съвместимост с други инфузионни разтвори вижте точка 6.6.</w:t>
      </w:r>
    </w:p>
    <w:p w14:paraId="3290CCF0" w14:textId="757ECA84" w:rsidR="00F925CB" w:rsidRPr="00F925CB" w:rsidRDefault="00F925CB" w:rsidP="00F925CB">
      <w:pPr>
        <w:rPr>
          <w:lang w:val="ru-RU"/>
        </w:rPr>
      </w:pPr>
    </w:p>
    <w:p w14:paraId="62B13D0B" w14:textId="7E01834A" w:rsidR="00395555" w:rsidRDefault="002C50EE" w:rsidP="008A6AF2">
      <w:pPr>
        <w:pStyle w:val="Heading2"/>
      </w:pPr>
      <w:r>
        <w:t>4.3. Противопоказания</w:t>
      </w:r>
    </w:p>
    <w:p w14:paraId="1B16B37C" w14:textId="50F04A6D" w:rsidR="00F925CB" w:rsidRDefault="00F925CB" w:rsidP="00F925CB"/>
    <w:p w14:paraId="525093A2" w14:textId="571EB5F8" w:rsidR="00F925CB" w:rsidRDefault="00F925CB" w:rsidP="00F925CB">
      <w:pPr>
        <w:rPr>
          <w:lang w:eastAsia="bg-BG"/>
        </w:rPr>
      </w:pPr>
      <w:r w:rsidRPr="00F925CB">
        <w:rPr>
          <w:lang w:eastAsia="bg-BG"/>
        </w:rPr>
        <w:t>Левофлоксацин Каби инфузионен разтвор не трябва да се използва:</w:t>
      </w:r>
    </w:p>
    <w:p w14:paraId="5037D7DA" w14:textId="77777777" w:rsidR="00F925CB" w:rsidRPr="00F925CB" w:rsidRDefault="00F925CB" w:rsidP="00F925CB">
      <w:pPr>
        <w:rPr>
          <w:sz w:val="24"/>
          <w:szCs w:val="24"/>
        </w:rPr>
      </w:pPr>
    </w:p>
    <w:p w14:paraId="783C7F4C" w14:textId="77777777" w:rsidR="00F925CB" w:rsidRPr="00F925CB" w:rsidRDefault="00F925CB" w:rsidP="00F925CB">
      <w:pPr>
        <w:pStyle w:val="ListParagraph"/>
        <w:numPr>
          <w:ilvl w:val="0"/>
          <w:numId w:val="34"/>
        </w:numPr>
        <w:rPr>
          <w:lang w:eastAsia="bg-BG"/>
        </w:rPr>
      </w:pPr>
      <w:r w:rsidRPr="00F925CB">
        <w:rPr>
          <w:lang w:eastAsia="bg-BG"/>
        </w:rPr>
        <w:t>при пациенти със свръхчувствителност към левофлоксацин или други хинолони или към някое от помощните вещества, изброени в точка 6.1;</w:t>
      </w:r>
    </w:p>
    <w:p w14:paraId="43EC7175" w14:textId="77777777" w:rsidR="00F925CB" w:rsidRPr="00F925CB" w:rsidRDefault="00F925CB" w:rsidP="00F925CB">
      <w:pPr>
        <w:pStyle w:val="ListParagraph"/>
        <w:numPr>
          <w:ilvl w:val="0"/>
          <w:numId w:val="34"/>
        </w:numPr>
        <w:rPr>
          <w:lang w:eastAsia="bg-BG"/>
        </w:rPr>
      </w:pPr>
      <w:r w:rsidRPr="00F925CB">
        <w:rPr>
          <w:lang w:eastAsia="bg-BG"/>
        </w:rPr>
        <w:t>при пациенти с епилепсия;</w:t>
      </w:r>
    </w:p>
    <w:p w14:paraId="60C9703E" w14:textId="77777777" w:rsidR="00F925CB" w:rsidRPr="00F925CB" w:rsidRDefault="00F925CB" w:rsidP="00F925CB">
      <w:pPr>
        <w:pStyle w:val="ListParagraph"/>
        <w:numPr>
          <w:ilvl w:val="0"/>
          <w:numId w:val="34"/>
        </w:numPr>
        <w:rPr>
          <w:lang w:eastAsia="bg-BG"/>
        </w:rPr>
      </w:pPr>
      <w:r w:rsidRPr="00F925CB">
        <w:rPr>
          <w:lang w:eastAsia="bg-BG"/>
        </w:rPr>
        <w:t>при пациенти с анамнеза за увреждане на сухожилията след приложение на флуорохинолони;</w:t>
      </w:r>
    </w:p>
    <w:p w14:paraId="2AE3D317" w14:textId="77777777" w:rsidR="00F925CB" w:rsidRPr="00F925CB" w:rsidRDefault="00F925CB" w:rsidP="00F925CB">
      <w:pPr>
        <w:pStyle w:val="ListParagraph"/>
        <w:numPr>
          <w:ilvl w:val="0"/>
          <w:numId w:val="34"/>
        </w:numPr>
        <w:rPr>
          <w:lang w:eastAsia="bg-BG"/>
        </w:rPr>
      </w:pPr>
      <w:r w:rsidRPr="00F925CB">
        <w:rPr>
          <w:lang w:eastAsia="bg-BG"/>
        </w:rPr>
        <w:t>при деца или подрастващи юноши;</w:t>
      </w:r>
    </w:p>
    <w:p w14:paraId="0125E7A9" w14:textId="77777777" w:rsidR="00F925CB" w:rsidRPr="00F925CB" w:rsidRDefault="00F925CB" w:rsidP="00F925CB">
      <w:pPr>
        <w:pStyle w:val="ListParagraph"/>
        <w:numPr>
          <w:ilvl w:val="0"/>
          <w:numId w:val="34"/>
        </w:numPr>
        <w:rPr>
          <w:lang w:eastAsia="bg-BG"/>
        </w:rPr>
      </w:pPr>
      <w:r w:rsidRPr="00F925CB">
        <w:rPr>
          <w:lang w:eastAsia="bg-BG"/>
        </w:rPr>
        <w:t>по време на бременност;</w:t>
      </w:r>
    </w:p>
    <w:p w14:paraId="2634EAC1" w14:textId="77777777" w:rsidR="00F925CB" w:rsidRPr="00F925CB" w:rsidRDefault="00F925CB" w:rsidP="00F925CB">
      <w:pPr>
        <w:pStyle w:val="ListParagraph"/>
        <w:numPr>
          <w:ilvl w:val="0"/>
          <w:numId w:val="34"/>
        </w:numPr>
        <w:rPr>
          <w:lang w:eastAsia="bg-BG"/>
        </w:rPr>
      </w:pPr>
      <w:r w:rsidRPr="00F925CB">
        <w:rPr>
          <w:lang w:eastAsia="bg-BG"/>
        </w:rPr>
        <w:t>по време на кърмене.</w:t>
      </w:r>
    </w:p>
    <w:p w14:paraId="2D642226" w14:textId="77777777" w:rsidR="00F925CB" w:rsidRPr="00F925CB" w:rsidRDefault="00F925CB" w:rsidP="00F925CB"/>
    <w:p w14:paraId="5A4AC413" w14:textId="74A33D26" w:rsidR="00395555" w:rsidRDefault="002C50EE" w:rsidP="008A6AF2">
      <w:pPr>
        <w:pStyle w:val="Heading2"/>
      </w:pPr>
      <w:r>
        <w:t>4.4. Специални предупреждения и предпазни мерки при употреба</w:t>
      </w:r>
    </w:p>
    <w:p w14:paraId="356DC581" w14:textId="4F3EB284" w:rsidR="00F925CB" w:rsidRDefault="00F925CB" w:rsidP="00F925CB"/>
    <w:p w14:paraId="4135DAF3"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Употребата на левофлоксацин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левофлоксацин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01AB6FC5" w14:textId="77777777" w:rsidR="00F925CB" w:rsidRPr="00F925CB" w:rsidRDefault="00F925CB" w:rsidP="00F925CB">
      <w:pPr>
        <w:spacing w:line="240" w:lineRule="auto"/>
        <w:rPr>
          <w:rFonts w:eastAsia="Times New Roman" w:cs="Arial"/>
          <w:color w:val="000000"/>
          <w:lang w:eastAsia="bg-BG"/>
        </w:rPr>
      </w:pPr>
    </w:p>
    <w:p w14:paraId="4A1D6721" w14:textId="2CD85115"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Аневризма и дисекация на аортата и регургитация/недостатьчност на сърдечните клапи</w:t>
      </w:r>
    </w:p>
    <w:p w14:paraId="760EB23A" w14:textId="77777777" w:rsidR="00F925CB" w:rsidRPr="00F925CB" w:rsidRDefault="00F925CB" w:rsidP="00F925CB">
      <w:pPr>
        <w:spacing w:line="240" w:lineRule="auto"/>
        <w:rPr>
          <w:rFonts w:eastAsia="Times New Roman" w:cs="Arial"/>
          <w:color w:val="000000"/>
          <w:lang w:eastAsia="bg-BG"/>
        </w:rPr>
      </w:pPr>
    </w:p>
    <w:p w14:paraId="650A486F" w14:textId="73E01190"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какго и от регургитация на аортната и митралната клапа след употребана флуорохинолони. Съобщени са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при пациенти, приемащи флуорохинолони (вж. точка 4.8).</w:t>
      </w:r>
    </w:p>
    <w:p w14:paraId="5689B64B"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заболяване на сърдечните клапи, или при наличие на други рискови фактори или заболявания, предразполагащи</w:t>
      </w:r>
    </w:p>
    <w:p w14:paraId="335344D3" w14:textId="4724C8F9" w:rsidR="00F925CB" w:rsidRPr="00F925CB" w:rsidRDefault="00F925CB" w:rsidP="00F925CB">
      <w:pPr>
        <w:pStyle w:val="ListParagraph"/>
        <w:numPr>
          <w:ilvl w:val="0"/>
          <w:numId w:val="2"/>
        </w:numPr>
        <w:spacing w:line="240" w:lineRule="auto"/>
        <w:rPr>
          <w:rFonts w:eastAsia="Times New Roman" w:cs="Arial"/>
          <w:color w:val="000000"/>
          <w:lang w:eastAsia="bg-BG"/>
        </w:rPr>
      </w:pPr>
      <w:r w:rsidRPr="00F925CB">
        <w:rPr>
          <w:rFonts w:eastAsia="Times New Roman" w:cs="Arial"/>
          <w:color w:val="000000"/>
          <w:lang w:eastAsia="bg-BG"/>
        </w:rPr>
        <w:t xml:space="preserve">както за аневризма, така и за дисекация на аортата и за регургитация/недостатъчност на сърдечните клапи (напр. нарушения на съединителната тъкан, като синдром на </w:t>
      </w:r>
      <w:proofErr w:type="spellStart"/>
      <w:r w:rsidRPr="00F925CB">
        <w:rPr>
          <w:rFonts w:eastAsia="Times New Roman" w:cs="Arial"/>
          <w:color w:val="000000"/>
          <w:lang w:val="en-US"/>
        </w:rPr>
        <w:t>Marfan</w:t>
      </w:r>
      <w:proofErr w:type="spellEnd"/>
      <w:r w:rsidRPr="00F925CB">
        <w:rPr>
          <w:rFonts w:eastAsia="Times New Roman" w:cs="Arial"/>
          <w:color w:val="000000"/>
          <w:lang w:val="ru-RU"/>
        </w:rPr>
        <w:t xml:space="preserve"> </w:t>
      </w:r>
      <w:r w:rsidRPr="00F925CB">
        <w:rPr>
          <w:rFonts w:eastAsia="Times New Roman" w:cs="Arial"/>
          <w:color w:val="000000"/>
          <w:lang w:eastAsia="bg-BG"/>
        </w:rPr>
        <w:t xml:space="preserve">или синдром на </w:t>
      </w:r>
      <w:r w:rsidRPr="00F925CB">
        <w:rPr>
          <w:rFonts w:eastAsia="Times New Roman" w:cs="Arial"/>
          <w:color w:val="000000"/>
          <w:lang w:val="en-US"/>
        </w:rPr>
        <w:t>Ehlers</w:t>
      </w:r>
      <w:r w:rsidRPr="00F925CB">
        <w:rPr>
          <w:rFonts w:eastAsia="Times New Roman" w:cs="Arial"/>
          <w:color w:val="000000"/>
          <w:lang w:val="ru-RU"/>
        </w:rPr>
        <w:t>-</w:t>
      </w:r>
      <w:proofErr w:type="spellStart"/>
      <w:r w:rsidRPr="00F925CB">
        <w:rPr>
          <w:rFonts w:eastAsia="Times New Roman" w:cs="Arial"/>
          <w:color w:val="000000"/>
          <w:lang w:val="en-US"/>
        </w:rPr>
        <w:t>Danlos</w:t>
      </w:r>
      <w:proofErr w:type="spellEnd"/>
      <w:r w:rsidRPr="00F925CB">
        <w:rPr>
          <w:rFonts w:eastAsia="Times New Roman" w:cs="Arial"/>
          <w:color w:val="000000"/>
          <w:lang w:val="ru-RU"/>
        </w:rPr>
        <w:t xml:space="preserve">, </w:t>
      </w:r>
      <w:r w:rsidRPr="00F925CB">
        <w:rPr>
          <w:rFonts w:eastAsia="Times New Roman" w:cs="Arial"/>
          <w:color w:val="000000"/>
          <w:lang w:eastAsia="bg-BG"/>
        </w:rPr>
        <w:t xml:space="preserve">синдром на </w:t>
      </w:r>
      <w:r w:rsidRPr="00F925CB">
        <w:rPr>
          <w:rFonts w:eastAsia="Times New Roman" w:cs="Arial"/>
          <w:color w:val="000000"/>
          <w:lang w:val="en-US"/>
        </w:rPr>
        <w:t>Turner</w:t>
      </w:r>
      <w:r w:rsidRPr="00F925CB">
        <w:rPr>
          <w:rFonts w:eastAsia="Times New Roman" w:cs="Arial"/>
          <w:color w:val="000000"/>
          <w:lang w:val="ru-RU"/>
        </w:rPr>
        <w:t xml:space="preserve">, </w:t>
      </w:r>
      <w:r w:rsidRPr="00F925CB">
        <w:rPr>
          <w:rFonts w:eastAsia="Times New Roman" w:cs="Arial"/>
          <w:color w:val="000000"/>
          <w:lang w:eastAsia="bg-BG"/>
        </w:rPr>
        <w:t>болест на</w:t>
      </w:r>
      <w:r w:rsidRPr="00F925CB">
        <w:rPr>
          <w:rFonts w:eastAsia="Times New Roman" w:cs="Arial"/>
          <w:color w:val="000000"/>
          <w:lang w:val="ru-RU"/>
        </w:rPr>
        <w:t xml:space="preserve"> </w:t>
      </w:r>
      <w:proofErr w:type="spellStart"/>
      <w:r w:rsidRPr="00F925CB">
        <w:rPr>
          <w:rFonts w:eastAsia="Times New Roman" w:cs="Arial"/>
          <w:color w:val="000000"/>
          <w:lang w:val="en-US"/>
        </w:rPr>
        <w:t>Behcet</w:t>
      </w:r>
      <w:proofErr w:type="spellEnd"/>
      <w:r w:rsidRPr="00F925CB">
        <w:rPr>
          <w:rFonts w:eastAsia="Times New Roman" w:cs="Arial"/>
          <w:color w:val="000000"/>
          <w:lang w:val="ru-RU"/>
        </w:rPr>
        <w:t xml:space="preserve">, </w:t>
      </w:r>
      <w:r w:rsidRPr="00F925CB">
        <w:rPr>
          <w:rFonts w:eastAsia="Times New Roman" w:cs="Arial"/>
          <w:color w:val="000000"/>
          <w:lang w:eastAsia="bg-BG"/>
        </w:rPr>
        <w:t>хипертония ревматоиден артрит) или допълнително</w:t>
      </w:r>
    </w:p>
    <w:p w14:paraId="17D52E4C" w14:textId="77777777" w:rsidR="00F925CB" w:rsidRDefault="00F925CB" w:rsidP="00F925CB">
      <w:pPr>
        <w:pStyle w:val="ListParagraph"/>
        <w:numPr>
          <w:ilvl w:val="0"/>
          <w:numId w:val="2"/>
        </w:numPr>
        <w:spacing w:line="240" w:lineRule="auto"/>
        <w:rPr>
          <w:rFonts w:eastAsia="Times New Roman" w:cs="Arial"/>
          <w:color w:val="000000"/>
          <w:lang w:eastAsia="bg-BG"/>
        </w:rPr>
      </w:pPr>
      <w:r w:rsidRPr="00F925CB">
        <w:rPr>
          <w:rFonts w:eastAsia="Times New Roman" w:cs="Arial"/>
          <w:color w:val="000000"/>
          <w:lang w:eastAsia="bg-BG"/>
        </w:rPr>
        <w:t xml:space="preserve">при аневризма и дисекация на аортата (напр. съдови нарушения като артериит на </w:t>
      </w:r>
      <w:proofErr w:type="spellStart"/>
      <w:r w:rsidRPr="00F925CB">
        <w:rPr>
          <w:rFonts w:eastAsia="Times New Roman" w:cs="Arial"/>
          <w:color w:val="000000"/>
          <w:lang w:val="en-US"/>
        </w:rPr>
        <w:t>Takayasu</w:t>
      </w:r>
      <w:proofErr w:type="spellEnd"/>
      <w:r w:rsidRPr="00F925CB">
        <w:rPr>
          <w:rFonts w:eastAsia="Times New Roman" w:cs="Arial"/>
          <w:color w:val="000000"/>
          <w:lang w:val="ru-RU"/>
        </w:rPr>
        <w:t xml:space="preserve"> </w:t>
      </w:r>
      <w:r w:rsidRPr="00F925CB">
        <w:rPr>
          <w:rFonts w:eastAsia="Times New Roman" w:cs="Arial"/>
          <w:color w:val="000000"/>
          <w:lang w:eastAsia="bg-BG"/>
        </w:rPr>
        <w:t xml:space="preserve">или гигантоклетъчен артериит, или известна атеросклероза или синдром на </w:t>
      </w:r>
      <w:proofErr w:type="spellStart"/>
      <w:r w:rsidRPr="00F925CB">
        <w:rPr>
          <w:rFonts w:eastAsia="Times New Roman" w:cs="Arial"/>
          <w:color w:val="000000"/>
          <w:lang w:val="en-US"/>
        </w:rPr>
        <w:t>Sjogren</w:t>
      </w:r>
      <w:proofErr w:type="spellEnd"/>
      <w:r w:rsidRPr="00F925CB">
        <w:rPr>
          <w:rFonts w:eastAsia="Times New Roman" w:cs="Arial"/>
          <w:color w:val="000000"/>
          <w:lang w:val="ru-RU"/>
        </w:rPr>
        <w:t xml:space="preserve">), </w:t>
      </w:r>
      <w:r w:rsidRPr="00F925CB">
        <w:rPr>
          <w:rFonts w:eastAsia="Times New Roman" w:cs="Arial"/>
          <w:color w:val="000000"/>
          <w:lang w:eastAsia="bg-BG"/>
        </w:rPr>
        <w:t>или допълнително</w:t>
      </w:r>
    </w:p>
    <w:p w14:paraId="69D718B4" w14:textId="7CB3C68E" w:rsidR="00F925CB" w:rsidRPr="00F925CB" w:rsidRDefault="00F925CB" w:rsidP="00F925CB">
      <w:pPr>
        <w:pStyle w:val="ListParagraph"/>
        <w:numPr>
          <w:ilvl w:val="0"/>
          <w:numId w:val="2"/>
        </w:numPr>
        <w:spacing w:line="240" w:lineRule="auto"/>
        <w:rPr>
          <w:rFonts w:eastAsia="Times New Roman" w:cs="Arial"/>
          <w:color w:val="000000"/>
          <w:lang w:eastAsia="bg-BG"/>
        </w:rPr>
      </w:pPr>
      <w:r w:rsidRPr="00F925CB">
        <w:rPr>
          <w:rFonts w:eastAsia="Times New Roman" w:cs="Arial"/>
          <w:color w:val="000000"/>
          <w:lang w:eastAsia="bg-BG"/>
        </w:rPr>
        <w:t>при регургитация/недостатъчност на сърдечните клапи (напр. инфекциозен ендокардит). 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48BA25C5" w14:textId="77777777" w:rsidR="00F925CB" w:rsidRPr="00F925CB" w:rsidRDefault="00F925CB" w:rsidP="00F925CB">
      <w:pPr>
        <w:spacing w:line="240" w:lineRule="auto"/>
        <w:rPr>
          <w:rFonts w:eastAsia="Times New Roman" w:cs="Arial"/>
          <w:color w:val="000000"/>
          <w:lang w:eastAsia="bg-BG"/>
        </w:rPr>
      </w:pPr>
    </w:p>
    <w:p w14:paraId="7BDB9B09" w14:textId="03540115"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32D7ACD2"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03B9A0A1" w14:textId="77777777" w:rsidR="00F925CB" w:rsidRPr="00F925CB" w:rsidRDefault="00F925CB" w:rsidP="00F925CB">
      <w:pPr>
        <w:spacing w:line="240" w:lineRule="auto"/>
        <w:rPr>
          <w:rFonts w:eastAsia="Times New Roman" w:cs="Arial"/>
          <w:i/>
          <w:iCs/>
          <w:color w:val="000000"/>
          <w:lang w:eastAsia="bg-BG"/>
        </w:rPr>
      </w:pPr>
    </w:p>
    <w:p w14:paraId="170DB435" w14:textId="39260C7B"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Рискове от резистентност</w:t>
      </w:r>
    </w:p>
    <w:p w14:paraId="6E25BF3A" w14:textId="77777777" w:rsidR="00F925CB" w:rsidRPr="00F925CB" w:rsidRDefault="00F925CB" w:rsidP="00F925CB">
      <w:pPr>
        <w:spacing w:line="240" w:lineRule="auto"/>
        <w:rPr>
          <w:rFonts w:eastAsia="Times New Roman" w:cs="Arial"/>
          <w:color w:val="000000"/>
          <w:lang w:eastAsia="bg-BG"/>
        </w:rPr>
      </w:pPr>
    </w:p>
    <w:p w14:paraId="03C70669" w14:textId="3D90915F"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Много вероятно е метицилин-резистентните </w:t>
      </w:r>
      <w:r w:rsidRPr="00F925CB">
        <w:rPr>
          <w:rFonts w:eastAsia="Times New Roman" w:cs="Arial"/>
          <w:color w:val="000000"/>
          <w:lang w:val="en-US"/>
        </w:rPr>
        <w:t>S</w:t>
      </w:r>
      <w:r w:rsidRPr="00F925CB">
        <w:rPr>
          <w:rFonts w:eastAsia="Times New Roman" w:cs="Arial"/>
          <w:color w:val="000000"/>
          <w:lang w:val="ru-RU"/>
        </w:rPr>
        <w:t xml:space="preserve">, </w:t>
      </w:r>
      <w:r w:rsidRPr="00F925CB">
        <w:rPr>
          <w:rFonts w:eastAsia="Times New Roman" w:cs="Arial"/>
          <w:i/>
          <w:iCs/>
          <w:color w:val="000000"/>
          <w:lang w:val="en-US"/>
        </w:rPr>
        <w:t>aureus</w:t>
      </w:r>
      <w:r w:rsidRPr="00F925CB">
        <w:rPr>
          <w:rFonts w:eastAsia="Times New Roman" w:cs="Arial"/>
          <w:color w:val="000000"/>
          <w:lang w:val="ru-RU"/>
        </w:rPr>
        <w:t xml:space="preserve"> </w:t>
      </w:r>
      <w:r w:rsidRPr="00F925CB">
        <w:rPr>
          <w:rFonts w:eastAsia="Times New Roman" w:cs="Arial"/>
          <w:color w:val="000000"/>
          <w:lang w:eastAsia="bg-BG"/>
        </w:rPr>
        <w:t xml:space="preserve">да притежават едновременно резистентност към флуорохинолони, включително левофлоксацин. Поради това левофлоксацин не се препоръчва за лечение на известни или подозирани </w:t>
      </w:r>
      <w:r w:rsidRPr="00F925CB">
        <w:rPr>
          <w:rFonts w:eastAsia="Times New Roman" w:cs="Arial"/>
          <w:color w:val="000000"/>
          <w:lang w:val="en-US"/>
        </w:rPr>
        <w:t>MRSA</w:t>
      </w:r>
      <w:r w:rsidRPr="00F925CB">
        <w:rPr>
          <w:rFonts w:eastAsia="Times New Roman" w:cs="Arial"/>
          <w:color w:val="000000"/>
          <w:lang w:val="ru-RU"/>
        </w:rPr>
        <w:t xml:space="preserve"> </w:t>
      </w:r>
      <w:r w:rsidRPr="00F925CB">
        <w:rPr>
          <w:rFonts w:eastAsia="Times New Roman" w:cs="Arial"/>
          <w:color w:val="000000"/>
          <w:lang w:eastAsia="bg-BG"/>
        </w:rPr>
        <w:t xml:space="preserve">инфекции, освен ако лабораторните резултати не потвърдят чувствителността на </w:t>
      </w:r>
      <w:r w:rsidRPr="00F925CB">
        <w:rPr>
          <w:rFonts w:eastAsia="Times New Roman" w:cs="Arial"/>
          <w:color w:val="000000"/>
          <w:lang w:eastAsia="bg-BG"/>
        </w:rPr>
        <w:lastRenderedPageBreak/>
        <w:t xml:space="preserve">микроорганизмите към левофлоксацин (и когато често препоръчваните антибакгериални средства за лечение на </w:t>
      </w:r>
      <w:r w:rsidRPr="00F925CB">
        <w:rPr>
          <w:rFonts w:eastAsia="Times New Roman" w:cs="Arial"/>
          <w:color w:val="000000"/>
          <w:lang w:val="en-US"/>
        </w:rPr>
        <w:t>MRSA</w:t>
      </w:r>
      <w:r w:rsidRPr="00F925CB">
        <w:rPr>
          <w:rFonts w:eastAsia="Times New Roman" w:cs="Arial"/>
          <w:color w:val="000000"/>
          <w:lang w:val="ru-RU"/>
        </w:rPr>
        <w:t xml:space="preserve"> </w:t>
      </w:r>
      <w:r w:rsidRPr="00F925CB">
        <w:rPr>
          <w:rFonts w:eastAsia="Times New Roman" w:cs="Arial"/>
          <w:color w:val="000000"/>
          <w:lang w:eastAsia="bg-BG"/>
        </w:rPr>
        <w:t>инфекции се считат за неподходящи).</w:t>
      </w:r>
    </w:p>
    <w:p w14:paraId="0EDFDF92" w14:textId="77777777" w:rsidR="00F925CB" w:rsidRPr="00F925CB" w:rsidRDefault="00F925CB" w:rsidP="00F925CB">
      <w:pPr>
        <w:spacing w:line="240" w:lineRule="auto"/>
        <w:rPr>
          <w:rFonts w:eastAsia="Times New Roman" w:cs="Arial"/>
          <w:color w:val="000000"/>
          <w:lang w:eastAsia="bg-BG"/>
        </w:rPr>
      </w:pPr>
    </w:p>
    <w:p w14:paraId="054DA39E" w14:textId="10CC763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Резистентността към флуорохинолони на </w:t>
      </w:r>
      <w:r w:rsidRPr="00F925CB">
        <w:rPr>
          <w:rFonts w:eastAsia="Times New Roman" w:cs="Arial"/>
          <w:i/>
          <w:iCs/>
          <w:color w:val="000000"/>
          <w:lang w:eastAsia="bg-BG"/>
        </w:rPr>
        <w:t xml:space="preserve">Е. </w:t>
      </w:r>
      <w:proofErr w:type="gramStart"/>
      <w:r w:rsidRPr="00F925CB">
        <w:rPr>
          <w:rFonts w:eastAsia="Times New Roman" w:cs="Arial"/>
          <w:i/>
          <w:iCs/>
          <w:color w:val="000000"/>
          <w:lang w:val="en-US"/>
        </w:rPr>
        <w:t>coli</w:t>
      </w:r>
      <w:proofErr w:type="gramEnd"/>
      <w:r w:rsidRPr="00F925CB">
        <w:rPr>
          <w:rFonts w:eastAsia="Times New Roman" w:cs="Arial"/>
          <w:i/>
          <w:iCs/>
          <w:color w:val="000000"/>
          <w:lang w:val="ru-RU"/>
        </w:rPr>
        <w:t xml:space="preserve"> </w:t>
      </w:r>
      <w:r w:rsidRPr="00F925CB">
        <w:rPr>
          <w:rFonts w:eastAsia="Times New Roman" w:cs="Arial"/>
          <w:i/>
          <w:iCs/>
          <w:color w:val="000000"/>
          <w:lang w:eastAsia="bg-BG"/>
        </w:rPr>
        <w:t>-</w:t>
      </w:r>
      <w:r w:rsidRPr="00F925CB">
        <w:rPr>
          <w:rFonts w:eastAsia="Times New Roman" w:cs="Arial"/>
          <w:color w:val="000000"/>
          <w:lang w:eastAsia="bg-BG"/>
        </w:rPr>
        <w:t xml:space="preserve"> най-честият патоген при инфекции на пикочните пътища - варира в Европейския съюз. Предписващите лекари се съветват да вземат предвид местната честота на резистентност на </w:t>
      </w:r>
      <w:r w:rsidRPr="00F925CB">
        <w:rPr>
          <w:rFonts w:eastAsia="Times New Roman" w:cs="Arial"/>
          <w:i/>
          <w:iCs/>
          <w:color w:val="000000"/>
          <w:lang w:eastAsia="bg-BG"/>
        </w:rPr>
        <w:t xml:space="preserve">Е. </w:t>
      </w:r>
      <w:proofErr w:type="gramStart"/>
      <w:r w:rsidRPr="00F925CB">
        <w:rPr>
          <w:rFonts w:eastAsia="Times New Roman" w:cs="Arial"/>
          <w:i/>
          <w:iCs/>
          <w:color w:val="000000"/>
          <w:lang w:val="en-US"/>
        </w:rPr>
        <w:t>coli</w:t>
      </w:r>
      <w:proofErr w:type="gramEnd"/>
      <w:r w:rsidRPr="00F925CB">
        <w:rPr>
          <w:rFonts w:eastAsia="Times New Roman" w:cs="Arial"/>
          <w:color w:val="000000"/>
          <w:lang w:val="ru-RU"/>
        </w:rPr>
        <w:t xml:space="preserve"> </w:t>
      </w:r>
      <w:r w:rsidRPr="00F925CB">
        <w:rPr>
          <w:rFonts w:eastAsia="Times New Roman" w:cs="Arial"/>
          <w:color w:val="000000"/>
          <w:lang w:eastAsia="bg-BG"/>
        </w:rPr>
        <w:t>към флуорохинолоните.</w:t>
      </w:r>
    </w:p>
    <w:p w14:paraId="57F29860" w14:textId="77777777" w:rsidR="00F925CB" w:rsidRPr="00F925CB" w:rsidRDefault="00F925CB" w:rsidP="00F925CB">
      <w:pPr>
        <w:spacing w:line="240" w:lineRule="auto"/>
        <w:rPr>
          <w:rFonts w:eastAsia="Times New Roman" w:cs="Arial"/>
          <w:i/>
          <w:iCs/>
          <w:color w:val="000000"/>
          <w:lang w:eastAsia="bg-BG"/>
        </w:rPr>
      </w:pPr>
    </w:p>
    <w:p w14:paraId="0E8AA417" w14:textId="709324AB"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Инхалационен антракс</w:t>
      </w:r>
    </w:p>
    <w:p w14:paraId="59140866" w14:textId="77777777" w:rsidR="00F925CB" w:rsidRPr="00F925CB" w:rsidRDefault="00F925CB" w:rsidP="00F925CB">
      <w:pPr>
        <w:spacing w:line="240" w:lineRule="auto"/>
        <w:rPr>
          <w:rFonts w:eastAsia="Times New Roman" w:cs="Arial"/>
          <w:color w:val="000000"/>
          <w:lang w:eastAsia="bg-BG"/>
        </w:rPr>
      </w:pPr>
    </w:p>
    <w:p w14:paraId="77C5C8F7" w14:textId="6ECD67CD" w:rsidR="00F925CB" w:rsidRPr="00F925CB" w:rsidRDefault="00F925CB" w:rsidP="00F925CB">
      <w:pPr>
        <w:spacing w:line="240" w:lineRule="auto"/>
        <w:rPr>
          <w:rFonts w:eastAsia="Times New Roman" w:cs="Arial"/>
          <w:color w:val="000000"/>
          <w:lang w:eastAsia="bg-BG"/>
        </w:rPr>
      </w:pPr>
      <w:r w:rsidRPr="00F925CB">
        <w:rPr>
          <w:rFonts w:eastAsia="Times New Roman" w:cs="Arial"/>
          <w:color w:val="000000"/>
          <w:lang w:eastAsia="bg-BG"/>
        </w:rPr>
        <w:t xml:space="preserve">Инхалационен антракс: Употребата при хора се основава на данни </w:t>
      </w:r>
      <w:r w:rsidRPr="00F925CB">
        <w:rPr>
          <w:rFonts w:eastAsia="Times New Roman" w:cs="Arial"/>
          <w:i/>
          <w:iCs/>
          <w:color w:val="000000"/>
          <w:lang w:val="en-US"/>
        </w:rPr>
        <w:t>in</w:t>
      </w:r>
      <w:r w:rsidRPr="00F925CB">
        <w:rPr>
          <w:rFonts w:eastAsia="Times New Roman" w:cs="Arial"/>
          <w:i/>
          <w:iCs/>
          <w:color w:val="000000"/>
          <w:lang w:val="ru-RU"/>
        </w:rPr>
        <w:t xml:space="preserve"> </w:t>
      </w:r>
      <w:r w:rsidRPr="00F925CB">
        <w:rPr>
          <w:rFonts w:eastAsia="Times New Roman" w:cs="Arial"/>
          <w:i/>
          <w:iCs/>
          <w:color w:val="000000"/>
          <w:lang w:val="en-US"/>
        </w:rPr>
        <w:t>vitro</w:t>
      </w:r>
      <w:r w:rsidRPr="00F925CB">
        <w:rPr>
          <w:rFonts w:eastAsia="Times New Roman" w:cs="Arial"/>
          <w:color w:val="000000"/>
          <w:lang w:val="ru-RU"/>
        </w:rPr>
        <w:t xml:space="preserve"> </w:t>
      </w:r>
      <w:r w:rsidRPr="00F925CB">
        <w:rPr>
          <w:rFonts w:eastAsia="Times New Roman" w:cs="Arial"/>
          <w:color w:val="000000"/>
          <w:lang w:eastAsia="bg-BG"/>
        </w:rPr>
        <w:t xml:space="preserve">за чувствителността на </w:t>
      </w:r>
      <w:r w:rsidRPr="00F925CB">
        <w:rPr>
          <w:rFonts w:eastAsia="Times New Roman" w:cs="Arial"/>
          <w:i/>
          <w:iCs/>
          <w:color w:val="000000"/>
          <w:lang w:val="en-US"/>
        </w:rPr>
        <w:t>Bacillus</w:t>
      </w:r>
      <w:r w:rsidRPr="00F925CB">
        <w:rPr>
          <w:rFonts w:eastAsia="Times New Roman" w:cs="Arial"/>
          <w:i/>
          <w:iCs/>
          <w:color w:val="000000"/>
          <w:lang w:val="ru-RU"/>
        </w:rPr>
        <w:t xml:space="preserve"> </w:t>
      </w:r>
      <w:proofErr w:type="spellStart"/>
      <w:r w:rsidRPr="00F925CB">
        <w:rPr>
          <w:rFonts w:eastAsia="Times New Roman" w:cs="Arial"/>
          <w:i/>
          <w:iCs/>
          <w:color w:val="000000"/>
          <w:lang w:val="en-US"/>
        </w:rPr>
        <w:t>anthracis</w:t>
      </w:r>
      <w:proofErr w:type="spellEnd"/>
      <w:r w:rsidRPr="00F925CB">
        <w:rPr>
          <w:rFonts w:eastAsia="Times New Roman" w:cs="Arial"/>
          <w:color w:val="000000"/>
          <w:lang w:val="ru-RU"/>
        </w:rPr>
        <w:t xml:space="preserve"> </w:t>
      </w:r>
      <w:r w:rsidRPr="00F925CB">
        <w:rPr>
          <w:rFonts w:eastAsia="Times New Roman" w:cs="Arial"/>
          <w:color w:val="000000"/>
          <w:lang w:eastAsia="bg-BG"/>
        </w:rPr>
        <w:t>и на експериментални данни при животни заедно с ограничени данни при хора. Лекуващите лекари трябва да направят справка с националните и/или международните консенсусни документи за лечението на антракс.</w:t>
      </w:r>
    </w:p>
    <w:p w14:paraId="20FF8E3A" w14:textId="77777777" w:rsidR="00F925CB" w:rsidRPr="00F925CB" w:rsidRDefault="00F925CB" w:rsidP="00F925CB">
      <w:pPr>
        <w:spacing w:line="240" w:lineRule="auto"/>
        <w:rPr>
          <w:rFonts w:eastAsia="Times New Roman" w:cs="Arial"/>
          <w:i/>
          <w:iCs/>
          <w:color w:val="000000"/>
          <w:lang w:eastAsia="bg-BG"/>
        </w:rPr>
      </w:pPr>
    </w:p>
    <w:p w14:paraId="79BB97EC" w14:textId="02841AAA"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Продължителност на инфузия</w:t>
      </w:r>
    </w:p>
    <w:p w14:paraId="286C10CF" w14:textId="77777777" w:rsidR="00F925CB" w:rsidRPr="00F925CB" w:rsidRDefault="00F925CB" w:rsidP="00F925CB">
      <w:pPr>
        <w:spacing w:line="240" w:lineRule="auto"/>
        <w:rPr>
          <w:rFonts w:eastAsia="Times New Roman" w:cs="Arial"/>
          <w:color w:val="000000"/>
          <w:lang w:eastAsia="bg-BG"/>
        </w:rPr>
      </w:pPr>
    </w:p>
    <w:p w14:paraId="2CC04407" w14:textId="07000FD5"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Препоръчваната продължителност на инфузия е най-малко 30 </w:t>
      </w:r>
      <w:r w:rsidRPr="00F925CB">
        <w:rPr>
          <w:rFonts w:eastAsia="Times New Roman" w:cs="Arial"/>
          <w:color w:val="000000"/>
          <w:lang w:val="en-US"/>
        </w:rPr>
        <w:t>min</w:t>
      </w:r>
      <w:r w:rsidRPr="00F925CB">
        <w:rPr>
          <w:rFonts w:eastAsia="Times New Roman" w:cs="Arial"/>
          <w:color w:val="000000"/>
          <w:lang w:val="ru-RU"/>
        </w:rPr>
        <w:t xml:space="preserve"> </w:t>
      </w:r>
      <w:r w:rsidRPr="00F925CB">
        <w:rPr>
          <w:rFonts w:eastAsia="Times New Roman" w:cs="Arial"/>
          <w:color w:val="000000"/>
          <w:lang w:eastAsia="bg-BG"/>
        </w:rPr>
        <w:t xml:space="preserve">за 250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или 60 </w:t>
      </w:r>
      <w:r w:rsidRPr="00F925CB">
        <w:rPr>
          <w:rFonts w:eastAsia="Times New Roman" w:cs="Arial"/>
          <w:color w:val="000000"/>
          <w:lang w:val="en-US"/>
        </w:rPr>
        <w:t>min</w:t>
      </w:r>
      <w:r w:rsidRPr="00F925CB">
        <w:rPr>
          <w:rFonts w:eastAsia="Times New Roman" w:cs="Arial"/>
          <w:color w:val="000000"/>
          <w:lang w:val="ru-RU"/>
        </w:rPr>
        <w:t xml:space="preserve"> </w:t>
      </w:r>
      <w:r w:rsidRPr="00F925CB">
        <w:rPr>
          <w:rFonts w:eastAsia="Times New Roman" w:cs="Arial"/>
          <w:color w:val="000000"/>
          <w:lang w:eastAsia="bg-BG"/>
        </w:rPr>
        <w:t xml:space="preserve">за 500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Левофлоксацин Каби инфузионен разтвор и трябва да се спазва. Известно е за офлоксацин, че по време на инфузията може да се появи тахикардия и временно понижаване на кръвното налягане. В редки случаи, вследствие на силно изразеното понижаване на кръвното налягане, може да се появи циркулаторен колапс. В случай на явно понижение на кръвното налягане по време на инфузията на левофлоксацин </w:t>
      </w:r>
      <w:r w:rsidRPr="00F925CB">
        <w:rPr>
          <w:rFonts w:eastAsia="Times New Roman" w:cs="Arial"/>
          <w:color w:val="000000"/>
          <w:lang w:val="ru-RU"/>
        </w:rPr>
        <w:t>(</w:t>
      </w:r>
      <w:r w:rsidRPr="00F925CB">
        <w:rPr>
          <w:rFonts w:eastAsia="Times New Roman" w:cs="Arial"/>
          <w:color w:val="000000"/>
          <w:lang w:val="en-US"/>
        </w:rPr>
        <w:t>I</w:t>
      </w:r>
      <w:r w:rsidRPr="00F925CB">
        <w:rPr>
          <w:rFonts w:eastAsia="Times New Roman" w:cs="Arial"/>
          <w:color w:val="000000"/>
          <w:lang w:eastAsia="bg-BG"/>
        </w:rPr>
        <w:t>-изомер на офлоксацин), инфузията трябва да се спре незабавно.</w:t>
      </w:r>
    </w:p>
    <w:p w14:paraId="3F1986C0" w14:textId="77777777" w:rsidR="00F925CB" w:rsidRPr="00F925CB" w:rsidRDefault="00F925CB" w:rsidP="00F925CB">
      <w:pPr>
        <w:spacing w:line="240" w:lineRule="auto"/>
        <w:rPr>
          <w:rFonts w:eastAsia="Times New Roman" w:cs="Arial"/>
          <w:i/>
          <w:iCs/>
          <w:color w:val="000000"/>
          <w:lang w:eastAsia="bg-BG"/>
        </w:rPr>
      </w:pPr>
    </w:p>
    <w:p w14:paraId="66FE8DCB" w14:textId="5BE01885"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Съдържание на натрий</w:t>
      </w:r>
    </w:p>
    <w:p w14:paraId="4E928900" w14:textId="515344D2"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Този лекарствен продукт съдържа 177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натрий на 50 </w:t>
      </w:r>
      <w:r w:rsidRPr="00F925CB">
        <w:rPr>
          <w:rFonts w:eastAsia="Times New Roman" w:cs="Arial"/>
          <w:color w:val="000000"/>
          <w:lang w:val="en-US"/>
        </w:rPr>
        <w:t>ml</w:t>
      </w:r>
      <w:r w:rsidRPr="00F925CB">
        <w:rPr>
          <w:rFonts w:eastAsia="Times New Roman" w:cs="Arial"/>
          <w:color w:val="000000"/>
          <w:lang w:val="ru-RU"/>
        </w:rPr>
        <w:t xml:space="preserve">, </w:t>
      </w:r>
      <w:r w:rsidRPr="00F925CB">
        <w:rPr>
          <w:rFonts w:eastAsia="Times New Roman" w:cs="Arial"/>
          <w:color w:val="000000"/>
          <w:lang w:eastAsia="bg-BG"/>
        </w:rPr>
        <w:t xml:space="preserve">които са еквивалентни на 8,85 % от препоръчвания от СЗО максимален дневен прием от 2 </w:t>
      </w:r>
      <w:r w:rsidRPr="00F925CB">
        <w:rPr>
          <w:rFonts w:eastAsia="Times New Roman" w:cs="Arial"/>
          <w:color w:val="000000"/>
          <w:lang w:val="en-US"/>
        </w:rPr>
        <w:t>g</w:t>
      </w:r>
      <w:r w:rsidRPr="00F925CB">
        <w:rPr>
          <w:rFonts w:eastAsia="Times New Roman" w:cs="Arial"/>
          <w:color w:val="000000"/>
          <w:lang w:val="ru-RU"/>
        </w:rPr>
        <w:t xml:space="preserve"> </w:t>
      </w:r>
      <w:r w:rsidRPr="00F925CB">
        <w:rPr>
          <w:rFonts w:eastAsia="Times New Roman" w:cs="Arial"/>
          <w:color w:val="000000"/>
          <w:lang w:eastAsia="bg-BG"/>
        </w:rPr>
        <w:t>натрий за възрастен.</w:t>
      </w:r>
    </w:p>
    <w:p w14:paraId="51C54845" w14:textId="77777777" w:rsidR="00F925CB" w:rsidRPr="00F925CB" w:rsidRDefault="00F925CB" w:rsidP="00F925CB">
      <w:pPr>
        <w:spacing w:line="240" w:lineRule="auto"/>
        <w:rPr>
          <w:rFonts w:eastAsia="Times New Roman" w:cs="Arial"/>
          <w:i/>
          <w:iCs/>
          <w:color w:val="000000"/>
          <w:lang w:eastAsia="bg-BG"/>
        </w:rPr>
      </w:pPr>
    </w:p>
    <w:p w14:paraId="669EA030" w14:textId="051D57FD"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Продължителни, инвалидизиращи и потенциално необратими сериозни нежелани лекарствени реакции</w:t>
      </w:r>
    </w:p>
    <w:p w14:paraId="6D76E433" w14:textId="77777777" w:rsidR="00F925CB" w:rsidRPr="00F925CB" w:rsidRDefault="00F925CB" w:rsidP="00F925CB">
      <w:pPr>
        <w:rPr>
          <w:rFonts w:eastAsia="Times New Roman" w:cs="Arial"/>
          <w:color w:val="000000"/>
          <w:lang w:eastAsia="bg-BG"/>
        </w:rPr>
      </w:pPr>
    </w:p>
    <w:p w14:paraId="3449147C" w14:textId="77777777" w:rsidR="00F925CB" w:rsidRPr="00F925CB" w:rsidRDefault="00F925CB" w:rsidP="00F925CB">
      <w:pPr>
        <w:rPr>
          <w:rFonts w:eastAsia="Times New Roman" w:cs="Arial"/>
        </w:rPr>
      </w:pPr>
      <w:r w:rsidRPr="00F925CB">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Левофлоксацин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77DE30AE" w14:textId="77777777" w:rsidR="00F925CB" w:rsidRPr="00F925CB" w:rsidRDefault="00F925CB" w:rsidP="00F925CB">
      <w:pPr>
        <w:spacing w:line="240" w:lineRule="auto"/>
        <w:rPr>
          <w:rFonts w:eastAsia="Times New Roman" w:cs="Arial"/>
          <w:i/>
          <w:iCs/>
          <w:color w:val="000000"/>
          <w:lang w:eastAsia="bg-BG"/>
        </w:rPr>
      </w:pPr>
    </w:p>
    <w:p w14:paraId="72A3AD7D" w14:textId="4374EE13"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Тендинит и разкъсване на сухожилие</w:t>
      </w:r>
    </w:p>
    <w:p w14:paraId="4A088220" w14:textId="77777777" w:rsidR="00F925CB" w:rsidRPr="00F925CB" w:rsidRDefault="00F925CB" w:rsidP="00F925CB">
      <w:pPr>
        <w:spacing w:line="240" w:lineRule="auto"/>
        <w:rPr>
          <w:rFonts w:eastAsia="Times New Roman" w:cs="Arial"/>
          <w:color w:val="000000"/>
          <w:lang w:eastAsia="bg-BG"/>
        </w:rPr>
      </w:pPr>
    </w:p>
    <w:p w14:paraId="0C438974" w14:textId="0C162EA7" w:rsidR="00F925CB" w:rsidRPr="00F925CB" w:rsidRDefault="00F925CB" w:rsidP="00F925CB">
      <w:pPr>
        <w:spacing w:line="240" w:lineRule="auto"/>
        <w:rPr>
          <w:rFonts w:eastAsia="Times New Roman" w:cs="Arial"/>
        </w:rPr>
      </w:pPr>
      <w:r w:rsidRPr="00F925CB">
        <w:rPr>
          <w:rFonts w:eastAsia="Times New Roman" w:cs="Arial"/>
          <w:color w:val="000000"/>
          <w:lang w:eastAsia="bg-BG"/>
        </w:rPr>
        <w:t xml:space="preserve">Тецдинит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пациенти, получаващи дневни дози по 1 000 </w:t>
      </w:r>
      <w:r w:rsidRPr="00F925CB">
        <w:rPr>
          <w:rFonts w:eastAsia="Times New Roman" w:cs="Arial"/>
          <w:color w:val="000000"/>
          <w:lang w:val="en-US"/>
        </w:rPr>
        <w:t>mg</w:t>
      </w:r>
      <w:r w:rsidRPr="00F925CB">
        <w:rPr>
          <w:rFonts w:eastAsia="Times New Roman" w:cs="Arial"/>
          <w:color w:val="000000"/>
          <w:lang w:val="ru-RU"/>
        </w:rPr>
        <w:t xml:space="preserve"> </w:t>
      </w:r>
      <w:r w:rsidRPr="00F925CB">
        <w:rPr>
          <w:rFonts w:eastAsia="Times New Roman" w:cs="Arial"/>
          <w:color w:val="000000"/>
          <w:lang w:eastAsia="bg-BG"/>
        </w:rPr>
        <w:t xml:space="preserve">левофлоксацин, при по-възрастни пациенти, пациенти с бъбречно увреждане, пациенти с трансплантиран солиден орган и такива, лекувани съпътстващо с </w:t>
      </w:r>
      <w:r w:rsidRPr="00F925CB">
        <w:rPr>
          <w:rFonts w:eastAsia="Times New Roman" w:cs="Arial"/>
          <w:color w:val="000000"/>
          <w:lang w:eastAsia="bg-BG"/>
        </w:rPr>
        <w:lastRenderedPageBreak/>
        <w:t>кортикостероиди. По тази причина съпътстващата употреба на кортикостероиди трябва да се избягва.</w:t>
      </w:r>
    </w:p>
    <w:p w14:paraId="15FCD021" w14:textId="77777777" w:rsidR="00F925CB" w:rsidRPr="00F925CB" w:rsidRDefault="00F925CB" w:rsidP="00F925CB">
      <w:pPr>
        <w:spacing w:line="240" w:lineRule="auto"/>
        <w:rPr>
          <w:rFonts w:eastAsia="Times New Roman" w:cs="Arial"/>
        </w:rPr>
      </w:pPr>
      <w:r w:rsidRPr="00F925CB">
        <w:rPr>
          <w:rFonts w:eastAsia="Times New Roman" w:cs="Arial"/>
          <w:color w:val="000000"/>
          <w:lang w:eastAsia="bg-BG"/>
        </w:rPr>
        <w:t>При първия признак на тендинит (напр. болезнено подуване, възпаление) лечението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72A0DA2F" w14:textId="77777777" w:rsidR="00F925CB" w:rsidRPr="00F925CB" w:rsidRDefault="00F925CB" w:rsidP="00F925CB">
      <w:pPr>
        <w:spacing w:line="240" w:lineRule="auto"/>
        <w:rPr>
          <w:rFonts w:eastAsia="Times New Roman" w:cs="Arial"/>
          <w:i/>
          <w:iCs/>
          <w:color w:val="000000"/>
          <w:lang w:eastAsia="bg-BG"/>
        </w:rPr>
      </w:pPr>
    </w:p>
    <w:p w14:paraId="1EC9432E" w14:textId="709A8302"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 xml:space="preserve">Заболяване, свързано с </w:t>
      </w:r>
      <w:r w:rsidRPr="00F925CB">
        <w:rPr>
          <w:rFonts w:eastAsia="Times New Roman" w:cs="Arial"/>
          <w:i/>
          <w:iCs/>
          <w:color w:val="000000"/>
          <w:lang w:val="en-US"/>
        </w:rPr>
        <w:t>Clostridium</w:t>
      </w:r>
      <w:r w:rsidRPr="00F925CB">
        <w:rPr>
          <w:rFonts w:eastAsia="Times New Roman" w:cs="Arial"/>
          <w:i/>
          <w:iCs/>
          <w:color w:val="000000"/>
        </w:rPr>
        <w:t xml:space="preserve"> </w:t>
      </w:r>
      <w:r w:rsidRPr="00F925CB">
        <w:rPr>
          <w:rFonts w:eastAsia="Times New Roman" w:cs="Arial"/>
          <w:i/>
          <w:iCs/>
          <w:color w:val="000000"/>
          <w:lang w:val="en-US"/>
        </w:rPr>
        <w:t>difficile</w:t>
      </w:r>
    </w:p>
    <w:p w14:paraId="534152E6" w14:textId="77777777" w:rsidR="00F925CB" w:rsidRPr="00F925CB" w:rsidRDefault="00F925CB" w:rsidP="00F925CB">
      <w:pPr>
        <w:spacing w:line="240" w:lineRule="auto"/>
        <w:rPr>
          <w:rFonts w:eastAsia="Times New Roman" w:cs="Arial"/>
          <w:color w:val="000000"/>
          <w:lang w:eastAsia="bg-BG"/>
        </w:rPr>
      </w:pPr>
    </w:p>
    <w:p w14:paraId="2A22F03D" w14:textId="1FDF4406" w:rsidR="00F925CB" w:rsidRPr="00F925CB" w:rsidRDefault="00F925CB" w:rsidP="00F925CB">
      <w:pPr>
        <w:spacing w:line="240" w:lineRule="auto"/>
        <w:rPr>
          <w:rFonts w:eastAsia="Times New Roman" w:cs="Arial"/>
        </w:rPr>
      </w:pPr>
      <w:r w:rsidRPr="00F925CB">
        <w:rPr>
          <w:rFonts w:eastAsia="Times New Roman" w:cs="Arial"/>
          <w:color w:val="000000"/>
          <w:lang w:eastAsia="bg-BG"/>
        </w:rPr>
        <w:t xml:space="preserve">Диарията, особено ако е тежка, персистираща и/или кървава, по време на или след лечението с Левофлоксацин Каби (включително няколко седмици след лечението), може да представлява симптом на заболяване, свързано с </w:t>
      </w:r>
      <w:r w:rsidRPr="00F925CB">
        <w:rPr>
          <w:rFonts w:eastAsia="Times New Roman" w:cs="Arial"/>
          <w:i/>
          <w:iCs/>
          <w:color w:val="000000"/>
          <w:lang w:val="en-US"/>
        </w:rPr>
        <w:t>Clostridium</w:t>
      </w:r>
      <w:r w:rsidRPr="00F925CB">
        <w:rPr>
          <w:rFonts w:eastAsia="Times New Roman" w:cs="Arial"/>
          <w:i/>
          <w:iCs/>
          <w:color w:val="000000"/>
          <w:lang w:val="ru-RU"/>
        </w:rPr>
        <w:t xml:space="preserve"> </w:t>
      </w:r>
      <w:r w:rsidRPr="00F925CB">
        <w:rPr>
          <w:rFonts w:eastAsia="Times New Roman" w:cs="Arial"/>
          <w:i/>
          <w:iCs/>
          <w:color w:val="000000"/>
          <w:lang w:val="en-US"/>
        </w:rPr>
        <w:t>difficile</w:t>
      </w:r>
      <w:r w:rsidRPr="00F925CB">
        <w:rPr>
          <w:rFonts w:eastAsia="Times New Roman" w:cs="Arial"/>
          <w:color w:val="000000"/>
          <w:lang w:val="ru-RU"/>
        </w:rPr>
        <w:t xml:space="preserve"> (</w:t>
      </w:r>
      <w:r w:rsidRPr="00F925CB">
        <w:rPr>
          <w:rFonts w:eastAsia="Times New Roman" w:cs="Arial"/>
          <w:color w:val="000000"/>
          <w:lang w:val="en-US"/>
        </w:rPr>
        <w:t>CDAD</w:t>
      </w:r>
      <w:r w:rsidRPr="00F925CB">
        <w:rPr>
          <w:rFonts w:eastAsia="Times New Roman" w:cs="Arial"/>
          <w:color w:val="000000"/>
          <w:lang w:val="ru-RU"/>
        </w:rPr>
        <w:t xml:space="preserve">). </w:t>
      </w:r>
      <w:r w:rsidRPr="00F925CB">
        <w:rPr>
          <w:rFonts w:eastAsia="Times New Roman" w:cs="Arial"/>
          <w:color w:val="000000"/>
          <w:lang w:val="en-US"/>
        </w:rPr>
        <w:t>CDAD</w:t>
      </w:r>
      <w:r w:rsidRPr="00F925CB">
        <w:rPr>
          <w:rFonts w:eastAsia="Times New Roman" w:cs="Arial"/>
          <w:color w:val="000000"/>
          <w:lang w:val="ru-RU"/>
        </w:rPr>
        <w:t xml:space="preserve"> </w:t>
      </w:r>
      <w:r w:rsidRPr="00F925CB">
        <w:rPr>
          <w:rFonts w:eastAsia="Times New Roman" w:cs="Arial"/>
          <w:color w:val="000000"/>
          <w:lang w:eastAsia="bg-BG"/>
        </w:rPr>
        <w:t xml:space="preserve">може да варира по тежест от лека до животозастрашаваща, като най-тежката форма е псевдомембранозният ентероколит (вж. точка 4.8). Поради това е важно да се има предвид тази диагноза при пациенти, които развият сериозна диария по време на или след лечение с левофлоксацин. Ако се подозира или потвърди </w:t>
      </w:r>
      <w:r w:rsidRPr="00F925CB">
        <w:rPr>
          <w:rFonts w:eastAsia="Times New Roman" w:cs="Arial"/>
          <w:color w:val="000000"/>
          <w:lang w:val="en-US"/>
        </w:rPr>
        <w:t>CDAD</w:t>
      </w:r>
      <w:r w:rsidRPr="00F925CB">
        <w:rPr>
          <w:rFonts w:eastAsia="Times New Roman" w:cs="Arial"/>
          <w:color w:val="000000"/>
          <w:lang w:val="ru-RU"/>
        </w:rPr>
        <w:t xml:space="preserve">, </w:t>
      </w:r>
      <w:r w:rsidRPr="00F925CB">
        <w:rPr>
          <w:rFonts w:eastAsia="Times New Roman" w:cs="Arial"/>
          <w:color w:val="000000"/>
          <w:lang w:eastAsia="bg-BG"/>
        </w:rPr>
        <w:t>левофлоксацин трябва да се спре веднага и пациентите трябва без забавяне да започнат подходящо лечение. В тази клинична ситуация лекарствените продукти, инхибиращи перисталтиката, са противопоказани.</w:t>
      </w:r>
    </w:p>
    <w:p w14:paraId="3CD91F82" w14:textId="77777777" w:rsidR="00F925CB" w:rsidRPr="00F925CB" w:rsidRDefault="00F925CB" w:rsidP="00F925CB">
      <w:pPr>
        <w:spacing w:line="240" w:lineRule="auto"/>
        <w:rPr>
          <w:rFonts w:eastAsia="Times New Roman" w:cs="Arial"/>
          <w:i/>
          <w:iCs/>
          <w:color w:val="000000"/>
          <w:lang w:eastAsia="bg-BG"/>
        </w:rPr>
      </w:pPr>
    </w:p>
    <w:p w14:paraId="1967144D" w14:textId="3CC06B17"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Пациенти, предразположени към гърчове</w:t>
      </w:r>
    </w:p>
    <w:p w14:paraId="73772481" w14:textId="77777777" w:rsidR="00F925CB" w:rsidRPr="00F925CB" w:rsidRDefault="00F925CB" w:rsidP="00F925CB">
      <w:pPr>
        <w:spacing w:line="240" w:lineRule="auto"/>
        <w:rPr>
          <w:rFonts w:eastAsia="Times New Roman" w:cs="Arial"/>
          <w:color w:val="000000"/>
          <w:lang w:eastAsia="bg-BG"/>
        </w:rPr>
      </w:pPr>
    </w:p>
    <w:p w14:paraId="22829408" w14:textId="1FC2139D" w:rsidR="00F925CB" w:rsidRPr="00F925CB" w:rsidRDefault="00F925CB" w:rsidP="00F925CB">
      <w:pPr>
        <w:spacing w:line="240" w:lineRule="auto"/>
        <w:rPr>
          <w:rFonts w:eastAsia="Times New Roman" w:cs="Arial"/>
        </w:rPr>
      </w:pPr>
      <w:r w:rsidRPr="00F925CB">
        <w:rPr>
          <w:rFonts w:eastAsia="Times New Roman" w:cs="Arial"/>
          <w:color w:val="000000"/>
          <w:lang w:eastAsia="bg-BG"/>
        </w:rPr>
        <w:t>Хинолоните може да понижат гьрчовия праг и може да отключат гърчове. Левофлоксацин е противопоказан при пациенти с анамнестични данни за епилепсия (вж. точка 4.3) и както при другите хинолони, трябва да се използва изключително внимателно при пациенти, предразположени към гърчове, или при съпътстващо лечение с активни вещества, понижаващи мозъчния праг за гърчове, като теофилин (вж. точка 4.5). В случай на конвулсивни припадъци (вж. точка 4.8), лечението с левофлоксацин трябва да бъде прекратено.</w:t>
      </w:r>
    </w:p>
    <w:p w14:paraId="76FFDA4D" w14:textId="77777777" w:rsidR="00F925CB" w:rsidRPr="00F925CB" w:rsidRDefault="00F925CB" w:rsidP="00F925CB">
      <w:pPr>
        <w:spacing w:line="240" w:lineRule="auto"/>
        <w:rPr>
          <w:rFonts w:eastAsia="Times New Roman" w:cs="Arial"/>
          <w:i/>
          <w:iCs/>
          <w:color w:val="000000"/>
          <w:lang w:eastAsia="bg-BG"/>
        </w:rPr>
      </w:pPr>
    </w:p>
    <w:p w14:paraId="0675CA61" w14:textId="786FE061"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Пациенти с глюкозо-6-фосфат дехидрогеназен дефицит</w:t>
      </w:r>
    </w:p>
    <w:p w14:paraId="10DD95A2" w14:textId="77777777" w:rsidR="00F925CB" w:rsidRPr="00F925CB" w:rsidRDefault="00F925CB" w:rsidP="00F925CB">
      <w:pPr>
        <w:spacing w:line="240" w:lineRule="auto"/>
        <w:rPr>
          <w:rFonts w:eastAsia="Times New Roman" w:cs="Arial"/>
          <w:color w:val="000000"/>
          <w:lang w:eastAsia="bg-BG"/>
        </w:rPr>
      </w:pPr>
    </w:p>
    <w:p w14:paraId="6FE1AC0C" w14:textId="5066BFEC" w:rsidR="00F925CB" w:rsidRPr="00F925CB" w:rsidRDefault="00F925CB" w:rsidP="00F925CB">
      <w:pPr>
        <w:spacing w:line="240" w:lineRule="auto"/>
        <w:rPr>
          <w:rFonts w:eastAsia="Times New Roman" w:cs="Arial"/>
        </w:rPr>
      </w:pPr>
      <w:r w:rsidRPr="00F925CB">
        <w:rPr>
          <w:rFonts w:eastAsia="Times New Roman" w:cs="Arial"/>
          <w:color w:val="000000"/>
          <w:lang w:eastAsia="bg-BG"/>
        </w:rPr>
        <w:t>Пациенти с латентен или изявен дефект в активността на глюкозо-6-фосфат дехидрогеназата могат да проявят склонност към хемолитични реакции по време на лечение с някои антибактериални агенти. Поради това, ако левофлоксацин трябва да се използва при такива пациенти, трябва да се следи за евентуално възникване на хемолиза.</w:t>
      </w:r>
    </w:p>
    <w:p w14:paraId="6759BB35" w14:textId="77777777" w:rsidR="00F925CB" w:rsidRPr="00F925CB" w:rsidRDefault="00F925CB" w:rsidP="00F925CB">
      <w:pPr>
        <w:spacing w:line="240" w:lineRule="auto"/>
        <w:rPr>
          <w:rFonts w:eastAsia="Times New Roman" w:cs="Arial"/>
          <w:i/>
          <w:iCs/>
          <w:color w:val="000000"/>
          <w:lang w:eastAsia="bg-BG"/>
        </w:rPr>
      </w:pPr>
    </w:p>
    <w:p w14:paraId="3F924D22" w14:textId="1B5357BD"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Пациенти с бъбречно увреждане</w:t>
      </w:r>
    </w:p>
    <w:p w14:paraId="7EE46714" w14:textId="77777777" w:rsidR="00F925CB" w:rsidRPr="00F925CB" w:rsidRDefault="00F925CB" w:rsidP="00F925CB">
      <w:pPr>
        <w:spacing w:line="240" w:lineRule="auto"/>
        <w:rPr>
          <w:rFonts w:eastAsia="Times New Roman" w:cs="Arial"/>
          <w:color w:val="000000"/>
          <w:lang w:eastAsia="bg-BG"/>
        </w:rPr>
      </w:pPr>
    </w:p>
    <w:p w14:paraId="6AA5E618" w14:textId="019CFEB7" w:rsidR="00F925CB" w:rsidRPr="00F925CB" w:rsidRDefault="00F925CB" w:rsidP="00F925CB">
      <w:pPr>
        <w:spacing w:line="240" w:lineRule="auto"/>
        <w:rPr>
          <w:rFonts w:eastAsia="Times New Roman" w:cs="Arial"/>
        </w:rPr>
      </w:pPr>
      <w:r w:rsidRPr="00F925CB">
        <w:rPr>
          <w:rFonts w:eastAsia="Times New Roman" w:cs="Arial"/>
          <w:color w:val="000000"/>
          <w:lang w:eastAsia="bg-BG"/>
        </w:rPr>
        <w:t>Тъй като левофлоксацин се екскретира главно през бъбреците, дозата на Левофлоксацин Каби трябва да бъде коригирана при пациенти с бъбречно увреждане (вж. точка 4.2).</w:t>
      </w:r>
    </w:p>
    <w:p w14:paraId="7119519E" w14:textId="77777777" w:rsidR="00F925CB" w:rsidRPr="00F925CB" w:rsidRDefault="00F925CB" w:rsidP="00F925CB">
      <w:pPr>
        <w:spacing w:line="240" w:lineRule="auto"/>
        <w:rPr>
          <w:rFonts w:eastAsia="Times New Roman" w:cs="Arial"/>
          <w:i/>
          <w:iCs/>
          <w:color w:val="000000"/>
          <w:lang w:eastAsia="bg-BG"/>
        </w:rPr>
      </w:pPr>
    </w:p>
    <w:p w14:paraId="79791143" w14:textId="4753B37B"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Реакции на свръхчувствителност</w:t>
      </w:r>
    </w:p>
    <w:p w14:paraId="5517802C" w14:textId="77777777" w:rsidR="00F925CB" w:rsidRPr="00F925CB" w:rsidRDefault="00F925CB" w:rsidP="00F925CB">
      <w:pPr>
        <w:spacing w:line="240" w:lineRule="auto"/>
        <w:rPr>
          <w:rFonts w:eastAsia="Times New Roman" w:cs="Arial"/>
          <w:color w:val="000000"/>
          <w:lang w:eastAsia="bg-BG"/>
        </w:rPr>
      </w:pPr>
    </w:p>
    <w:p w14:paraId="349842C8" w14:textId="735D15BA" w:rsidR="00F925CB" w:rsidRPr="00F925CB" w:rsidRDefault="00F925CB" w:rsidP="00F925CB">
      <w:pPr>
        <w:spacing w:line="240" w:lineRule="auto"/>
        <w:rPr>
          <w:rFonts w:eastAsia="Times New Roman" w:cs="Arial"/>
        </w:rPr>
      </w:pPr>
      <w:r w:rsidRPr="00F925CB">
        <w:rPr>
          <w:rFonts w:eastAsia="Times New Roman" w:cs="Arial"/>
          <w:color w:val="000000"/>
          <w:lang w:eastAsia="bg-BG"/>
        </w:rPr>
        <w:t>Левофлоксацин може да предизвика тежки, потенциално фатални реакции на свръхчувствителност (напр. ангиоедем до анафилактичен шок), рядко след началната доза (вж.</w:t>
      </w:r>
    </w:p>
    <w:p w14:paraId="6E238248" w14:textId="647130ED" w:rsidR="00F925CB" w:rsidRPr="00F925CB" w:rsidRDefault="00F925CB" w:rsidP="00F925CB">
      <w:pPr>
        <w:rPr>
          <w:rFonts w:eastAsia="Times New Roman" w:cs="Arial"/>
          <w:color w:val="000000"/>
          <w:lang w:eastAsia="bg-BG"/>
        </w:rPr>
      </w:pPr>
      <w:r w:rsidRPr="00F925CB">
        <w:rPr>
          <w:rFonts w:eastAsia="Times New Roman" w:cs="Arial"/>
          <w:color w:val="000000"/>
          <w:lang w:eastAsia="bg-BG"/>
        </w:rPr>
        <w:t>точка 4.8). Пациентите трябва незабавно да прекратят терапията и да се обадят на лекуващия ги лекар или на лекар от спешна помощ, които да започнат необходимите терапевтични мерки.</w:t>
      </w:r>
    </w:p>
    <w:p w14:paraId="656EE8FC" w14:textId="6AECF32C" w:rsidR="00F925CB" w:rsidRPr="00F925CB" w:rsidRDefault="00F925CB" w:rsidP="00F925CB">
      <w:pPr>
        <w:rPr>
          <w:rFonts w:eastAsia="Times New Roman" w:cs="Arial"/>
          <w:color w:val="000000"/>
          <w:lang w:eastAsia="bg-BG"/>
        </w:rPr>
      </w:pPr>
    </w:p>
    <w:p w14:paraId="503716A7" w14:textId="77777777"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Тежки кожни нежелани реакции</w:t>
      </w:r>
    </w:p>
    <w:p w14:paraId="6C6CDBCF" w14:textId="77777777" w:rsidR="00F925CB" w:rsidRPr="00F925CB" w:rsidRDefault="00F925CB" w:rsidP="00F925CB">
      <w:pPr>
        <w:spacing w:line="240" w:lineRule="auto"/>
        <w:rPr>
          <w:rFonts w:eastAsia="Times New Roman" w:cs="Arial"/>
        </w:rPr>
      </w:pPr>
      <w:r w:rsidRPr="00F925CB">
        <w:rPr>
          <w:rFonts w:eastAsia="Times New Roman" w:cs="Arial"/>
          <w:color w:val="000000"/>
          <w:lang w:eastAsia="bg-BG"/>
        </w:rPr>
        <w:t xml:space="preserve">Тежки кожни нежелани реакции </w:t>
      </w:r>
      <w:r w:rsidRPr="00F925CB">
        <w:rPr>
          <w:rFonts w:eastAsia="Times New Roman" w:cs="Arial"/>
          <w:color w:val="000000"/>
        </w:rPr>
        <w:t>(</w:t>
      </w:r>
      <w:r w:rsidRPr="00F925CB">
        <w:rPr>
          <w:rFonts w:eastAsia="Times New Roman" w:cs="Arial"/>
          <w:color w:val="000000"/>
          <w:lang w:val="en-US"/>
        </w:rPr>
        <w:t>SCARs</w:t>
      </w:r>
      <w:r w:rsidRPr="00F925CB">
        <w:rPr>
          <w:rFonts w:eastAsia="Times New Roman" w:cs="Arial"/>
          <w:color w:val="000000"/>
        </w:rPr>
        <w:t xml:space="preserve">), </w:t>
      </w:r>
      <w:r w:rsidRPr="00F925CB">
        <w:rPr>
          <w:rFonts w:eastAsia="Times New Roman" w:cs="Arial"/>
          <w:color w:val="000000"/>
          <w:lang w:eastAsia="bg-BG"/>
        </w:rPr>
        <w:t xml:space="preserve">включващи токсична епидермална некролиза </w:t>
      </w:r>
      <w:r w:rsidRPr="00F925CB">
        <w:rPr>
          <w:rFonts w:eastAsia="Times New Roman" w:cs="Arial"/>
          <w:color w:val="000000"/>
        </w:rPr>
        <w:t>(</w:t>
      </w:r>
      <w:r w:rsidRPr="00F925CB">
        <w:rPr>
          <w:rFonts w:eastAsia="Times New Roman" w:cs="Arial"/>
          <w:color w:val="000000"/>
          <w:lang w:val="en-US"/>
        </w:rPr>
        <w:t>TEN</w:t>
      </w:r>
      <w:r w:rsidRPr="00F925CB">
        <w:rPr>
          <w:rFonts w:eastAsia="Times New Roman" w:cs="Arial"/>
          <w:color w:val="000000"/>
        </w:rPr>
        <w:t xml:space="preserve">: </w:t>
      </w:r>
      <w:r w:rsidRPr="00F925CB">
        <w:rPr>
          <w:rFonts w:eastAsia="Times New Roman" w:cs="Arial"/>
          <w:color w:val="000000"/>
          <w:lang w:eastAsia="bg-BG"/>
        </w:rPr>
        <w:t xml:space="preserve">известна още като синдром на </w:t>
      </w:r>
      <w:r w:rsidRPr="00F925CB">
        <w:rPr>
          <w:rFonts w:eastAsia="Times New Roman" w:cs="Arial"/>
          <w:color w:val="000000"/>
          <w:lang w:val="en-US"/>
        </w:rPr>
        <w:t>Lyell</w:t>
      </w:r>
      <w:r w:rsidRPr="00F925CB">
        <w:rPr>
          <w:rFonts w:eastAsia="Times New Roman" w:cs="Arial"/>
          <w:color w:val="000000"/>
        </w:rPr>
        <w:t xml:space="preserve">), </w:t>
      </w:r>
      <w:r w:rsidRPr="00F925CB">
        <w:rPr>
          <w:rFonts w:eastAsia="Times New Roman" w:cs="Arial"/>
          <w:color w:val="000000"/>
          <w:lang w:eastAsia="bg-BG"/>
        </w:rPr>
        <w:t xml:space="preserve">синдром на </w:t>
      </w:r>
      <w:r w:rsidRPr="00F925CB">
        <w:rPr>
          <w:rFonts w:eastAsia="Times New Roman" w:cs="Arial"/>
          <w:color w:val="000000"/>
          <w:lang w:val="en-US"/>
        </w:rPr>
        <w:t>Stevens</w:t>
      </w:r>
      <w:r w:rsidRPr="00F925CB">
        <w:rPr>
          <w:rFonts w:eastAsia="Times New Roman" w:cs="Arial"/>
          <w:color w:val="000000"/>
        </w:rPr>
        <w:t xml:space="preserve"> </w:t>
      </w:r>
      <w:r w:rsidRPr="00F925CB">
        <w:rPr>
          <w:rFonts w:eastAsia="Times New Roman" w:cs="Arial"/>
          <w:color w:val="000000"/>
          <w:lang w:val="en-US"/>
        </w:rPr>
        <w:t>Johnson</w:t>
      </w:r>
      <w:r w:rsidRPr="00F925CB">
        <w:rPr>
          <w:rFonts w:eastAsia="Times New Roman" w:cs="Arial"/>
          <w:color w:val="000000"/>
        </w:rPr>
        <w:t xml:space="preserve"> (</w:t>
      </w:r>
      <w:r w:rsidRPr="00F925CB">
        <w:rPr>
          <w:rFonts w:eastAsia="Times New Roman" w:cs="Arial"/>
          <w:color w:val="000000"/>
          <w:lang w:val="en-US"/>
        </w:rPr>
        <w:t>SJS</w:t>
      </w:r>
      <w:r w:rsidRPr="00F925CB">
        <w:rPr>
          <w:rFonts w:eastAsia="Times New Roman" w:cs="Arial"/>
          <w:color w:val="000000"/>
        </w:rPr>
        <w:t xml:space="preserve">) </w:t>
      </w:r>
      <w:r w:rsidRPr="00F925CB">
        <w:rPr>
          <w:rFonts w:eastAsia="Times New Roman" w:cs="Arial"/>
          <w:color w:val="000000"/>
          <w:lang w:eastAsia="bg-BG"/>
        </w:rPr>
        <w:t xml:space="preserve">и лекарствена реакция с еозинофилия и системни симптоми </w:t>
      </w:r>
      <w:r w:rsidRPr="00F925CB">
        <w:rPr>
          <w:rFonts w:eastAsia="Times New Roman" w:cs="Arial"/>
          <w:color w:val="000000"/>
        </w:rPr>
        <w:t>(</w:t>
      </w:r>
      <w:r w:rsidRPr="00F925CB">
        <w:rPr>
          <w:rFonts w:eastAsia="Times New Roman" w:cs="Arial"/>
          <w:color w:val="000000"/>
          <w:lang w:val="en-US"/>
        </w:rPr>
        <w:t>DRESS</w:t>
      </w:r>
      <w:r w:rsidRPr="00F925CB">
        <w:rPr>
          <w:rFonts w:eastAsia="Times New Roman" w:cs="Arial"/>
          <w:color w:val="000000"/>
        </w:rPr>
        <w:t xml:space="preserve">), </w:t>
      </w:r>
      <w:r w:rsidRPr="00F925CB">
        <w:rPr>
          <w:rFonts w:eastAsia="Times New Roman" w:cs="Arial"/>
          <w:color w:val="000000"/>
          <w:lang w:eastAsia="bg-BG"/>
        </w:rPr>
        <w:t xml:space="preserve">които може да са животозастрашаващи или с летален изход, се съобщават във връзка с употребата на левофлоксацин (вж. точка 4.8).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тези реакции, приложението на левофлоксацин трябва незабавно да се преустанови и да се обмисли алтернативно лечение. Ако пациентът е развил сериозна реакция, като например </w:t>
      </w:r>
      <w:r w:rsidRPr="00F925CB">
        <w:rPr>
          <w:rFonts w:eastAsia="Times New Roman" w:cs="Arial"/>
          <w:color w:val="000000"/>
          <w:lang w:val="en-US"/>
        </w:rPr>
        <w:t>SJS</w:t>
      </w:r>
      <w:r w:rsidRPr="00F925CB">
        <w:rPr>
          <w:rFonts w:eastAsia="Times New Roman" w:cs="Arial"/>
          <w:color w:val="000000"/>
          <w:lang w:val="ru-RU"/>
        </w:rPr>
        <w:t xml:space="preserve">, </w:t>
      </w:r>
      <w:r w:rsidRPr="00F925CB">
        <w:rPr>
          <w:rFonts w:eastAsia="Times New Roman" w:cs="Arial"/>
          <w:color w:val="000000"/>
          <w:lang w:val="en-US"/>
        </w:rPr>
        <w:t>TEN</w:t>
      </w:r>
      <w:r w:rsidRPr="00F925CB">
        <w:rPr>
          <w:rFonts w:eastAsia="Times New Roman" w:cs="Arial"/>
          <w:color w:val="000000"/>
          <w:lang w:val="ru-RU"/>
        </w:rPr>
        <w:t xml:space="preserve"> </w:t>
      </w:r>
      <w:r w:rsidRPr="00F925CB">
        <w:rPr>
          <w:rFonts w:eastAsia="Times New Roman" w:cs="Arial"/>
          <w:color w:val="000000"/>
          <w:lang w:eastAsia="bg-BG"/>
        </w:rPr>
        <w:t xml:space="preserve">или </w:t>
      </w:r>
      <w:r w:rsidRPr="00F925CB">
        <w:rPr>
          <w:rFonts w:eastAsia="Times New Roman" w:cs="Arial"/>
          <w:color w:val="000000"/>
          <w:lang w:val="en-US"/>
        </w:rPr>
        <w:t>DRESS</w:t>
      </w:r>
      <w:r w:rsidRPr="00F925CB">
        <w:rPr>
          <w:rFonts w:eastAsia="Times New Roman" w:cs="Arial"/>
          <w:color w:val="000000"/>
          <w:lang w:val="ru-RU"/>
        </w:rPr>
        <w:t xml:space="preserve"> </w:t>
      </w:r>
      <w:r w:rsidRPr="00F925CB">
        <w:rPr>
          <w:rFonts w:eastAsia="Times New Roman" w:cs="Arial"/>
          <w:color w:val="000000"/>
          <w:lang w:eastAsia="bg-BG"/>
        </w:rPr>
        <w:t>при употребата на левофлоксацин, лечение с левофлоксацин не трябва да се започва отново при този пациент.</w:t>
      </w:r>
    </w:p>
    <w:p w14:paraId="7007FD96" w14:textId="77777777" w:rsidR="00F925CB" w:rsidRPr="00F925CB" w:rsidRDefault="00F925CB" w:rsidP="00F925CB">
      <w:pPr>
        <w:spacing w:line="240" w:lineRule="auto"/>
        <w:rPr>
          <w:rFonts w:eastAsia="Times New Roman" w:cs="Arial"/>
          <w:i/>
          <w:iCs/>
          <w:color w:val="000000"/>
          <w:lang w:eastAsia="bg-BG"/>
        </w:rPr>
      </w:pPr>
    </w:p>
    <w:p w14:paraId="2739778E" w14:textId="61936EA1"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Дисгликемия</w:t>
      </w:r>
    </w:p>
    <w:p w14:paraId="607F8159" w14:textId="77777777" w:rsidR="00F925CB" w:rsidRPr="00F925CB" w:rsidRDefault="00F925CB" w:rsidP="00F925CB">
      <w:pPr>
        <w:spacing w:line="240" w:lineRule="auto"/>
        <w:rPr>
          <w:rFonts w:eastAsia="Times New Roman" w:cs="Arial"/>
          <w:color w:val="000000"/>
          <w:lang w:eastAsia="bg-BG"/>
        </w:rPr>
      </w:pPr>
    </w:p>
    <w:p w14:paraId="59D9798C" w14:textId="0718E114" w:rsidR="00F925CB" w:rsidRPr="00F925CB" w:rsidRDefault="00F925CB" w:rsidP="00F925CB">
      <w:pPr>
        <w:spacing w:line="240" w:lineRule="auto"/>
        <w:rPr>
          <w:rFonts w:eastAsia="Times New Roman" w:cs="Arial"/>
          <w:color w:val="000000"/>
          <w:lang w:eastAsia="bg-BG"/>
        </w:rPr>
      </w:pPr>
      <w:r w:rsidRPr="00F925CB">
        <w:rPr>
          <w:rFonts w:eastAsia="Times New Roman" w:cs="Arial"/>
          <w:color w:val="000000"/>
          <w:lang w:eastAsia="bg-BG"/>
        </w:rPr>
        <w:t xml:space="preserve">Както всички хинолони, обикновено при пациенти със захарен диабет на лечение с перорални </w:t>
      </w:r>
    </w:p>
    <w:p w14:paraId="62AC5707" w14:textId="7D98614B" w:rsidR="00F925CB" w:rsidRPr="00F925CB" w:rsidRDefault="00F925CB" w:rsidP="00F925CB">
      <w:pPr>
        <w:spacing w:line="240" w:lineRule="auto"/>
        <w:rPr>
          <w:rFonts w:eastAsia="Times New Roman" w:cs="Arial"/>
        </w:rPr>
      </w:pPr>
      <w:r w:rsidRPr="00F925CB">
        <w:rPr>
          <w:rFonts w:eastAsia="Times New Roman" w:cs="Arial"/>
          <w:color w:val="000000"/>
          <w:lang w:eastAsia="bg-BG"/>
        </w:rPr>
        <w:t>хипогликемизиращи продукти (напр. глибенкламид) или инсулин има съобщения за нарушения на кръвната глюкоза, включително поява на както на хипогликемия, така и на хипергликемия. Съобщават се случаи на хипогликемична кома. При пациенти с диабет е препоръчително внимателно мониториране на кръвната захар (вж. точка 4.8).</w:t>
      </w:r>
    </w:p>
    <w:p w14:paraId="7EC7C35B" w14:textId="77777777" w:rsidR="00F925CB" w:rsidRPr="00F925CB" w:rsidRDefault="00F925CB" w:rsidP="00F925CB">
      <w:pPr>
        <w:spacing w:line="240" w:lineRule="auto"/>
        <w:rPr>
          <w:rFonts w:eastAsia="Times New Roman" w:cs="Arial"/>
          <w:i/>
          <w:iCs/>
          <w:color w:val="000000"/>
          <w:lang w:eastAsia="bg-BG"/>
        </w:rPr>
      </w:pPr>
    </w:p>
    <w:p w14:paraId="08939C96" w14:textId="16921F4E"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Предпазване от фотосенсибилизация</w:t>
      </w:r>
    </w:p>
    <w:p w14:paraId="6AB9AE9A" w14:textId="77777777" w:rsidR="00F925CB" w:rsidRPr="00F925CB" w:rsidRDefault="00F925CB" w:rsidP="00F925CB">
      <w:pPr>
        <w:spacing w:line="240" w:lineRule="auto"/>
        <w:rPr>
          <w:rFonts w:eastAsia="Times New Roman" w:cs="Arial"/>
          <w:color w:val="000000"/>
          <w:lang w:eastAsia="bg-BG"/>
        </w:rPr>
      </w:pPr>
    </w:p>
    <w:p w14:paraId="21EACF55" w14:textId="509E79F6" w:rsidR="00F925CB" w:rsidRPr="00F925CB" w:rsidRDefault="00F925CB" w:rsidP="00F925CB">
      <w:pPr>
        <w:spacing w:line="240" w:lineRule="auto"/>
        <w:rPr>
          <w:rFonts w:eastAsia="Times New Roman" w:cs="Arial"/>
        </w:rPr>
      </w:pPr>
      <w:r w:rsidRPr="00F925CB">
        <w:rPr>
          <w:rFonts w:eastAsia="Times New Roman" w:cs="Arial"/>
          <w:color w:val="000000"/>
          <w:lang w:eastAsia="bg-BG"/>
        </w:rPr>
        <w:t xml:space="preserve">Съобщава се за фотосенсибилизация при лечение с левофлоксацин (вж. точка 4.8). Препоръчва се пациентите да не се излагат, ако не е необходимо, на силна слънчева светлина или на изкуствени </w:t>
      </w:r>
      <w:r w:rsidRPr="00F925CB">
        <w:rPr>
          <w:rFonts w:eastAsia="Times New Roman" w:cs="Arial"/>
          <w:color w:val="000000"/>
          <w:lang w:val="en-US"/>
        </w:rPr>
        <w:t>UV</w:t>
      </w:r>
      <w:r w:rsidRPr="00F925CB">
        <w:rPr>
          <w:rFonts w:eastAsia="Times New Roman" w:cs="Arial"/>
          <w:color w:val="000000"/>
          <w:lang w:val="ru-RU"/>
        </w:rPr>
        <w:t xml:space="preserve"> </w:t>
      </w:r>
      <w:r w:rsidRPr="00F925CB">
        <w:rPr>
          <w:rFonts w:eastAsia="Times New Roman" w:cs="Arial"/>
          <w:color w:val="000000"/>
          <w:lang w:eastAsia="bg-BG"/>
        </w:rPr>
        <w:t>лъчи (напр. кварцова лампа или солариум) по време на лечение и в продължение на 48 часа след преустановяване на лечението, за да се предпазят от фотосенсибилизация.</w:t>
      </w:r>
    </w:p>
    <w:p w14:paraId="03181FFE" w14:textId="77777777" w:rsidR="00F925CB" w:rsidRPr="00F925CB" w:rsidRDefault="00F925CB" w:rsidP="00F925CB">
      <w:pPr>
        <w:spacing w:line="240" w:lineRule="auto"/>
        <w:rPr>
          <w:rFonts w:eastAsia="Times New Roman" w:cs="Arial"/>
          <w:i/>
          <w:iCs/>
          <w:color w:val="000000"/>
          <w:lang w:eastAsia="bg-BG"/>
        </w:rPr>
      </w:pPr>
    </w:p>
    <w:p w14:paraId="4820A321" w14:textId="706C3AC9"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Пациенти, лекувани с антагонисти на витамин К</w:t>
      </w:r>
    </w:p>
    <w:p w14:paraId="637104A5" w14:textId="77777777" w:rsidR="00F925CB" w:rsidRPr="00F925CB" w:rsidRDefault="00F925CB" w:rsidP="00F925CB">
      <w:pPr>
        <w:spacing w:line="240" w:lineRule="auto"/>
        <w:rPr>
          <w:rFonts w:eastAsia="Times New Roman" w:cs="Arial"/>
          <w:color w:val="000000"/>
          <w:lang w:eastAsia="bg-BG"/>
        </w:rPr>
      </w:pPr>
    </w:p>
    <w:p w14:paraId="271F0C1F" w14:textId="4F900733" w:rsidR="00F925CB" w:rsidRPr="00F925CB" w:rsidRDefault="00F925CB" w:rsidP="00F925CB">
      <w:pPr>
        <w:spacing w:line="240" w:lineRule="auto"/>
        <w:rPr>
          <w:rFonts w:eastAsia="Times New Roman" w:cs="Arial"/>
        </w:rPr>
      </w:pPr>
      <w:r w:rsidRPr="00F925CB">
        <w:rPr>
          <w:rFonts w:eastAsia="Times New Roman" w:cs="Arial"/>
          <w:color w:val="000000"/>
          <w:lang w:eastAsia="bg-BG"/>
        </w:rPr>
        <w:t xml:space="preserve">Поради възможното повишаване на показателите на коагулацията </w:t>
      </w:r>
      <w:r w:rsidRPr="00F925CB">
        <w:rPr>
          <w:rFonts w:eastAsia="Times New Roman" w:cs="Arial"/>
          <w:color w:val="000000"/>
          <w:lang w:val="ru-RU"/>
        </w:rPr>
        <w:t>(</w:t>
      </w:r>
      <w:r w:rsidRPr="00F925CB">
        <w:rPr>
          <w:rFonts w:eastAsia="Times New Roman" w:cs="Arial"/>
          <w:color w:val="000000"/>
          <w:lang w:val="en-US"/>
        </w:rPr>
        <w:t>PT</w:t>
      </w:r>
      <w:r w:rsidRPr="00F925CB">
        <w:rPr>
          <w:rFonts w:eastAsia="Times New Roman" w:cs="Arial"/>
          <w:color w:val="000000"/>
          <w:lang w:val="ru-RU"/>
        </w:rPr>
        <w:t>/</w:t>
      </w:r>
      <w:r w:rsidRPr="00F925CB">
        <w:rPr>
          <w:rFonts w:eastAsia="Times New Roman" w:cs="Arial"/>
          <w:color w:val="000000"/>
          <w:lang w:val="en-US"/>
        </w:rPr>
        <w:t>INR</w:t>
      </w:r>
      <w:r w:rsidRPr="00F925CB">
        <w:rPr>
          <w:rFonts w:eastAsia="Times New Roman" w:cs="Arial"/>
          <w:color w:val="000000"/>
          <w:lang w:val="ru-RU"/>
        </w:rPr>
        <w:t xml:space="preserve">) </w:t>
      </w:r>
      <w:r w:rsidRPr="00F925CB">
        <w:rPr>
          <w:rFonts w:eastAsia="Times New Roman" w:cs="Arial"/>
          <w:color w:val="000000"/>
          <w:lang w:eastAsia="bg-BG"/>
        </w:rPr>
        <w:t>и/или време на кървене при пациенти, лекувани с левофлоксацин в комбинация с антагонисти на витамин К (напр. варфарин), коагулационните тестове трябва да бъдат мониторирани, когато тези лекарствени продукти се прилагат едновременно (вж. точка 4.5).</w:t>
      </w:r>
    </w:p>
    <w:p w14:paraId="10BFB6DE" w14:textId="77777777" w:rsidR="00F925CB" w:rsidRPr="00F925CB" w:rsidRDefault="00F925CB" w:rsidP="00F925CB">
      <w:pPr>
        <w:spacing w:line="240" w:lineRule="auto"/>
        <w:rPr>
          <w:rFonts w:eastAsia="Times New Roman" w:cs="Arial"/>
          <w:i/>
          <w:iCs/>
          <w:color w:val="000000"/>
          <w:lang w:eastAsia="bg-BG"/>
        </w:rPr>
      </w:pPr>
    </w:p>
    <w:p w14:paraId="6D20C0A6" w14:textId="01CC2BFA"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Психотични реакции</w:t>
      </w:r>
    </w:p>
    <w:p w14:paraId="46474168" w14:textId="77777777" w:rsidR="00F925CB" w:rsidRPr="00F925CB" w:rsidRDefault="00F925CB" w:rsidP="00F925CB">
      <w:pPr>
        <w:spacing w:line="240" w:lineRule="auto"/>
        <w:rPr>
          <w:rFonts w:eastAsia="Times New Roman" w:cs="Arial"/>
          <w:color w:val="000000"/>
          <w:lang w:eastAsia="bg-BG"/>
        </w:rPr>
      </w:pPr>
    </w:p>
    <w:p w14:paraId="48110B72" w14:textId="50F0F080" w:rsidR="00F925CB" w:rsidRPr="00F925CB" w:rsidRDefault="00F925CB" w:rsidP="00F925CB">
      <w:pPr>
        <w:spacing w:line="240" w:lineRule="auto"/>
        <w:rPr>
          <w:rFonts w:eastAsia="Times New Roman" w:cs="Arial"/>
          <w:color w:val="000000"/>
          <w:lang w:eastAsia="bg-BG"/>
        </w:rPr>
      </w:pPr>
      <w:r w:rsidRPr="00F925CB">
        <w:rPr>
          <w:rFonts w:eastAsia="Times New Roman" w:cs="Arial"/>
          <w:color w:val="000000"/>
          <w:lang w:eastAsia="bg-BG"/>
        </w:rPr>
        <w:t xml:space="preserve">Психотични реакции са докладвани при пациенти, получаващи хинолони, включително </w:t>
      </w:r>
    </w:p>
    <w:p w14:paraId="1C8B93C6" w14:textId="25D71A1A" w:rsidR="00F925CB" w:rsidRPr="00F925CB" w:rsidRDefault="00F925CB" w:rsidP="00F925CB">
      <w:pPr>
        <w:spacing w:line="240" w:lineRule="auto"/>
        <w:rPr>
          <w:rFonts w:eastAsia="Times New Roman" w:cs="Arial"/>
        </w:rPr>
      </w:pPr>
      <w:r w:rsidRPr="00F925CB">
        <w:rPr>
          <w:rFonts w:eastAsia="Times New Roman" w:cs="Arial"/>
          <w:color w:val="000000"/>
          <w:lang w:eastAsia="bg-BG"/>
        </w:rPr>
        <w:t>левофлоксацин. В много редки случаи те са прогресирали до суицидни мисли и самонараняващо поведение - понякога дори след еднократна доза левофлоксацин (вж. точка 4.8). В случай, че пациентът развие такива реакции, левофлоксацин трябва да бъде спрян и да се предприемат съответните мерки. Препоръчва се това да става внимателно, ако левофлоксацин се използва при психотични пациенти или пациенти с анамнеза за психично заболяване.</w:t>
      </w:r>
    </w:p>
    <w:p w14:paraId="738910F3" w14:textId="77777777" w:rsidR="00F925CB" w:rsidRPr="00F925CB" w:rsidRDefault="00F925CB" w:rsidP="00F925CB">
      <w:pPr>
        <w:spacing w:line="240" w:lineRule="auto"/>
        <w:rPr>
          <w:rFonts w:eastAsia="Times New Roman" w:cs="Arial"/>
          <w:i/>
          <w:iCs/>
          <w:color w:val="000000"/>
          <w:lang w:eastAsia="bg-BG"/>
        </w:rPr>
      </w:pPr>
    </w:p>
    <w:p w14:paraId="31B0C2F6" w14:textId="36A503A1" w:rsidR="00F925CB" w:rsidRPr="00F925CB" w:rsidRDefault="00F925CB" w:rsidP="00F925CB">
      <w:pPr>
        <w:spacing w:line="240" w:lineRule="auto"/>
        <w:rPr>
          <w:rFonts w:eastAsia="Times New Roman" w:cs="Arial"/>
        </w:rPr>
      </w:pPr>
      <w:r w:rsidRPr="00F925CB">
        <w:rPr>
          <w:rFonts w:eastAsia="Times New Roman" w:cs="Arial"/>
          <w:i/>
          <w:iCs/>
          <w:color w:val="000000"/>
          <w:lang w:eastAsia="bg-BG"/>
        </w:rPr>
        <w:t xml:space="preserve">Удължаване на </w:t>
      </w:r>
      <w:r w:rsidRPr="00F925CB">
        <w:rPr>
          <w:rFonts w:eastAsia="Times New Roman" w:cs="Arial"/>
          <w:i/>
          <w:iCs/>
          <w:color w:val="000000"/>
          <w:lang w:val="en-US"/>
        </w:rPr>
        <w:t>QT</w:t>
      </w:r>
      <w:r w:rsidRPr="00F925CB">
        <w:rPr>
          <w:rFonts w:eastAsia="Times New Roman" w:cs="Arial"/>
          <w:i/>
          <w:iCs/>
          <w:color w:val="000000"/>
          <w:lang w:val="ru-RU"/>
        </w:rPr>
        <w:t xml:space="preserve"> </w:t>
      </w:r>
      <w:r w:rsidRPr="00F925CB">
        <w:rPr>
          <w:rFonts w:eastAsia="Times New Roman" w:cs="Arial"/>
          <w:i/>
          <w:iCs/>
          <w:color w:val="000000"/>
          <w:lang w:eastAsia="bg-BG"/>
        </w:rPr>
        <w:t>интервала</w:t>
      </w:r>
    </w:p>
    <w:p w14:paraId="288A1A73" w14:textId="77777777" w:rsidR="00F925CB" w:rsidRPr="00F925CB" w:rsidRDefault="00F925CB" w:rsidP="00F925CB">
      <w:pPr>
        <w:spacing w:line="240" w:lineRule="auto"/>
        <w:rPr>
          <w:rFonts w:eastAsia="Times New Roman" w:cs="Arial"/>
          <w:color w:val="000000"/>
          <w:lang w:eastAsia="bg-BG"/>
        </w:rPr>
      </w:pPr>
    </w:p>
    <w:p w14:paraId="65341B66" w14:textId="6C5C35D5" w:rsidR="00F925CB" w:rsidRPr="00F925CB" w:rsidRDefault="00F925CB" w:rsidP="00F925CB">
      <w:pPr>
        <w:spacing w:line="240" w:lineRule="auto"/>
        <w:rPr>
          <w:rFonts w:eastAsia="Times New Roman" w:cs="Arial"/>
        </w:rPr>
      </w:pPr>
      <w:r w:rsidRPr="00F925CB">
        <w:rPr>
          <w:rFonts w:eastAsia="Times New Roman" w:cs="Arial"/>
          <w:color w:val="000000"/>
          <w:lang w:eastAsia="bg-BG"/>
        </w:rPr>
        <w:lastRenderedPageBreak/>
        <w:t xml:space="preserve">Необходимо е повишено внимание при приложението на флуорохинолони, включително левофлоксацин, при пациенти с известни рискови фактори за удължаване на </w:t>
      </w:r>
      <w:r w:rsidRPr="00F925CB">
        <w:rPr>
          <w:rFonts w:eastAsia="Times New Roman" w:cs="Arial"/>
          <w:color w:val="000000"/>
          <w:lang w:val="en-US"/>
        </w:rPr>
        <w:t>QT</w:t>
      </w:r>
      <w:r w:rsidRPr="00F925CB">
        <w:rPr>
          <w:rFonts w:eastAsia="Times New Roman" w:cs="Arial"/>
          <w:color w:val="000000"/>
          <w:lang w:val="ru-RU"/>
        </w:rPr>
        <w:t xml:space="preserve"> </w:t>
      </w:r>
      <w:r w:rsidRPr="00F925CB">
        <w:rPr>
          <w:rFonts w:eastAsia="Times New Roman" w:cs="Arial"/>
          <w:color w:val="000000"/>
          <w:lang w:eastAsia="bg-BG"/>
        </w:rPr>
        <w:t>интервала, като например:</w:t>
      </w:r>
    </w:p>
    <w:p w14:paraId="16031C7D" w14:textId="77777777" w:rsidR="00F925CB" w:rsidRPr="00F925CB" w:rsidRDefault="00F925CB" w:rsidP="00F925CB">
      <w:pPr>
        <w:pStyle w:val="ListParagraph"/>
        <w:numPr>
          <w:ilvl w:val="0"/>
          <w:numId w:val="36"/>
        </w:numPr>
        <w:spacing w:line="240" w:lineRule="auto"/>
        <w:rPr>
          <w:rFonts w:eastAsia="Times New Roman" w:cs="Arial"/>
        </w:rPr>
      </w:pPr>
      <w:r w:rsidRPr="00F925CB">
        <w:rPr>
          <w:rFonts w:eastAsia="Times New Roman" w:cs="Arial"/>
          <w:color w:val="000000"/>
          <w:lang w:eastAsia="bg-BG"/>
        </w:rPr>
        <w:t xml:space="preserve">вроден синдром на удължен </w:t>
      </w:r>
      <w:r w:rsidRPr="00F925CB">
        <w:rPr>
          <w:rFonts w:eastAsia="Times New Roman" w:cs="Arial"/>
          <w:color w:val="000000"/>
          <w:lang w:val="en-US"/>
        </w:rPr>
        <w:t>QT</w:t>
      </w:r>
      <w:r w:rsidRPr="00F925CB">
        <w:rPr>
          <w:rFonts w:eastAsia="Times New Roman" w:cs="Arial"/>
          <w:color w:val="000000"/>
          <w:lang w:val="ru-RU"/>
        </w:rPr>
        <w:t xml:space="preserve"> </w:t>
      </w:r>
      <w:r w:rsidRPr="00F925CB">
        <w:rPr>
          <w:rFonts w:eastAsia="Times New Roman" w:cs="Arial"/>
          <w:color w:val="000000"/>
          <w:lang w:eastAsia="bg-BG"/>
        </w:rPr>
        <w:t>интервал</w:t>
      </w:r>
    </w:p>
    <w:p w14:paraId="05DD97F8" w14:textId="77777777" w:rsidR="00F925CB" w:rsidRPr="00F925CB" w:rsidRDefault="00F925CB" w:rsidP="00F925CB">
      <w:pPr>
        <w:pStyle w:val="ListParagraph"/>
        <w:numPr>
          <w:ilvl w:val="0"/>
          <w:numId w:val="36"/>
        </w:numPr>
        <w:spacing w:line="240" w:lineRule="auto"/>
        <w:rPr>
          <w:rFonts w:eastAsia="Times New Roman" w:cs="Arial"/>
        </w:rPr>
      </w:pPr>
      <w:r w:rsidRPr="00F925CB">
        <w:rPr>
          <w:rFonts w:eastAsia="Times New Roman" w:cs="Arial"/>
          <w:color w:val="000000"/>
          <w:lang w:eastAsia="bg-BG"/>
        </w:rPr>
        <w:t xml:space="preserve">едновременна употреба на лекарства, за които е известно, че удължават </w:t>
      </w:r>
      <w:r w:rsidRPr="00F925CB">
        <w:rPr>
          <w:rFonts w:eastAsia="Times New Roman" w:cs="Arial"/>
          <w:color w:val="000000"/>
          <w:lang w:val="en-US"/>
        </w:rPr>
        <w:t>QT</w:t>
      </w:r>
      <w:r w:rsidRPr="00F925CB">
        <w:rPr>
          <w:rFonts w:eastAsia="Times New Roman" w:cs="Arial"/>
          <w:color w:val="000000"/>
          <w:lang w:eastAsia="bg-BG"/>
        </w:rPr>
        <w:t xml:space="preserve"> интервала  от клас </w:t>
      </w:r>
      <w:r w:rsidRPr="00F925CB">
        <w:rPr>
          <w:rFonts w:eastAsia="Times New Roman" w:cs="Arial"/>
          <w:color w:val="000000"/>
          <w:lang w:val="en-US"/>
        </w:rPr>
        <w:t>IA</w:t>
      </w:r>
      <w:r w:rsidRPr="00F925CB">
        <w:rPr>
          <w:rFonts w:eastAsia="Times New Roman" w:cs="Arial"/>
          <w:color w:val="000000"/>
          <w:lang w:val="ru-RU"/>
        </w:rPr>
        <w:t xml:space="preserve"> </w:t>
      </w:r>
      <w:r w:rsidRPr="00F925CB">
        <w:rPr>
          <w:rFonts w:eastAsia="Times New Roman" w:cs="Arial"/>
          <w:color w:val="000000"/>
          <w:lang w:eastAsia="bg-BG"/>
        </w:rPr>
        <w:t>и III антиаритмични лекарства, трициклични антидепресант</w:t>
      </w:r>
      <w:r>
        <w:rPr>
          <w:rFonts w:eastAsia="Times New Roman" w:cs="Arial"/>
          <w:color w:val="000000"/>
          <w:lang w:eastAsia="bg-BG"/>
        </w:rPr>
        <w:t>и, макролиди, антипсихотици),</w:t>
      </w:r>
    </w:p>
    <w:p w14:paraId="5E0AF1D8" w14:textId="77777777" w:rsidR="00F925CB" w:rsidRPr="00F925CB" w:rsidRDefault="00F925CB" w:rsidP="00F925CB">
      <w:pPr>
        <w:pStyle w:val="ListParagraph"/>
        <w:numPr>
          <w:ilvl w:val="0"/>
          <w:numId w:val="36"/>
        </w:numPr>
        <w:spacing w:line="240" w:lineRule="auto"/>
        <w:rPr>
          <w:rFonts w:eastAsia="Times New Roman" w:cs="Arial"/>
        </w:rPr>
      </w:pPr>
      <w:r w:rsidRPr="00F925CB">
        <w:rPr>
          <w:rFonts w:eastAsia="Times New Roman" w:cs="Arial"/>
          <w:color w:val="000000"/>
          <w:lang w:eastAsia="bg-BG"/>
        </w:rPr>
        <w:t>некоригиран електролитен дисбаланс (напр. хи</w:t>
      </w:r>
      <w:r>
        <w:rPr>
          <w:rFonts w:eastAsia="Times New Roman" w:cs="Arial"/>
          <w:color w:val="000000"/>
          <w:lang w:eastAsia="bg-BG"/>
        </w:rPr>
        <w:t>покалиемия, хипомагнезиемия(, -</w:t>
      </w:r>
    </w:p>
    <w:p w14:paraId="16E2A5E3" w14:textId="77777777" w:rsidR="00F925CB" w:rsidRPr="00F925CB" w:rsidRDefault="00F925CB" w:rsidP="00F925CB">
      <w:pPr>
        <w:rPr>
          <w:rFonts w:eastAsia="Times New Roman" w:cs="Arial"/>
          <w:sz w:val="24"/>
          <w:szCs w:val="24"/>
        </w:rPr>
      </w:pPr>
      <w:r w:rsidRPr="00F925CB">
        <w:rPr>
          <w:rFonts w:eastAsia="Times New Roman" w:cs="Arial"/>
          <w:color w:val="000000"/>
          <w:lang w:eastAsia="bg-BG"/>
        </w:rPr>
        <w:t>сърдечно заболяване (напр. сърдечна недостатъчност, миокарден инфаркт, брадикардия). Пациентите в старческа възраст и жените може да са по-чувствителни към лекарства,</w:t>
      </w:r>
      <w:r>
        <w:rPr>
          <w:rFonts w:eastAsia="Times New Roman" w:cs="Arial"/>
          <w:color w:val="000000"/>
          <w:lang w:eastAsia="bg-BG"/>
        </w:rPr>
        <w:t xml:space="preserve"> </w:t>
      </w:r>
      <w:r w:rsidRPr="00F925CB">
        <w:rPr>
          <w:rFonts w:eastAsia="Times New Roman" w:cs="Arial"/>
          <w:color w:val="000000"/>
          <w:lang w:eastAsia="bg-BG"/>
        </w:rPr>
        <w:t xml:space="preserve">удължаващи </w:t>
      </w:r>
      <w:proofErr w:type="spellStart"/>
      <w:r w:rsidRPr="00F925CB">
        <w:rPr>
          <w:rFonts w:eastAsia="Times New Roman" w:cs="Arial"/>
          <w:color w:val="000000"/>
          <w:lang w:val="en-US"/>
        </w:rPr>
        <w:t>QTc</w:t>
      </w:r>
      <w:proofErr w:type="spellEnd"/>
      <w:r w:rsidRPr="00F925CB">
        <w:rPr>
          <w:rFonts w:eastAsia="Times New Roman" w:cs="Arial"/>
          <w:color w:val="000000"/>
          <w:lang w:val="ru-RU"/>
        </w:rPr>
        <w:t xml:space="preserve"> </w:t>
      </w:r>
      <w:r w:rsidRPr="00F925CB">
        <w:rPr>
          <w:rFonts w:eastAsia="Times New Roman" w:cs="Arial"/>
          <w:color w:val="000000"/>
          <w:lang w:eastAsia="bg-BG"/>
        </w:rPr>
        <w:t>интервала. Поради това, трябва да се внимава, когато се прилагат флуорохинолони, включително левофлоксацин, при тези популации. (Вж. точка 4.2 Пациенти в старческа възраст, 4.5, 4.8 и 4.9).</w:t>
      </w:r>
    </w:p>
    <w:p w14:paraId="1D5805A9" w14:textId="77777777" w:rsidR="00F925CB" w:rsidRPr="00F925CB" w:rsidRDefault="00F925CB" w:rsidP="00F925CB">
      <w:pPr>
        <w:spacing w:line="240" w:lineRule="auto"/>
        <w:rPr>
          <w:rFonts w:eastAsia="Times New Roman" w:cs="Arial"/>
          <w:i/>
          <w:iCs/>
          <w:color w:val="000000"/>
          <w:lang w:eastAsia="bg-BG"/>
        </w:rPr>
      </w:pPr>
    </w:p>
    <w:p w14:paraId="1002A1D3" w14:textId="0C00FF8A"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Периферна невропатия</w:t>
      </w:r>
    </w:p>
    <w:p w14:paraId="77A18F3D" w14:textId="77777777" w:rsidR="00F925CB" w:rsidRPr="00F925CB" w:rsidRDefault="00F925CB" w:rsidP="00F925CB">
      <w:pPr>
        <w:spacing w:line="240" w:lineRule="auto"/>
        <w:rPr>
          <w:rFonts w:eastAsia="Times New Roman" w:cs="Arial"/>
          <w:color w:val="000000"/>
          <w:lang w:eastAsia="bg-BG"/>
        </w:rPr>
      </w:pPr>
    </w:p>
    <w:p w14:paraId="5006E382" w14:textId="770AE289"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левофлоксацин,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2892775B" w14:textId="77777777" w:rsidR="00F925CB" w:rsidRPr="00F925CB" w:rsidRDefault="00F925CB" w:rsidP="00F925CB">
      <w:pPr>
        <w:spacing w:line="240" w:lineRule="auto"/>
        <w:rPr>
          <w:rFonts w:eastAsia="Times New Roman" w:cs="Arial"/>
          <w:i/>
          <w:iCs/>
          <w:color w:val="000000"/>
          <w:lang w:eastAsia="bg-BG"/>
        </w:rPr>
      </w:pPr>
    </w:p>
    <w:p w14:paraId="3352D37C" w14:textId="639D6758"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Хепатобилиарни нарушения</w:t>
      </w:r>
    </w:p>
    <w:p w14:paraId="27DA26AF" w14:textId="77777777" w:rsidR="00F925CB" w:rsidRPr="00F925CB" w:rsidRDefault="00F925CB" w:rsidP="00F925CB">
      <w:pPr>
        <w:spacing w:line="240" w:lineRule="auto"/>
        <w:rPr>
          <w:rFonts w:eastAsia="Times New Roman" w:cs="Arial"/>
          <w:color w:val="000000"/>
          <w:lang w:eastAsia="bg-BG"/>
        </w:rPr>
      </w:pPr>
    </w:p>
    <w:p w14:paraId="0B880D0C" w14:textId="15F9B67A"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При пациенти с тежко основно заболяване, като напр. сепсис, на лечение с левофлоксацин са докладвани случаи на чернодробна некроза до фатална чернодробна недостатъчност (вж. точка 4.8). Пациентите трябва да бъдат предупредени да спрат лечението и да се обърнат към лекуващия ги лекар, ако се появят признаци и симптоми на чернодробно заболяване като анорексия, жълтеница, потъмняване на урината, пруритус или напрежение в корема.</w:t>
      </w:r>
    </w:p>
    <w:p w14:paraId="6F246E03" w14:textId="77777777" w:rsidR="00F925CB" w:rsidRPr="00F925CB" w:rsidRDefault="00F925CB" w:rsidP="00F925CB">
      <w:pPr>
        <w:spacing w:line="240" w:lineRule="auto"/>
        <w:rPr>
          <w:rFonts w:eastAsia="Times New Roman" w:cs="Arial"/>
          <w:i/>
          <w:iCs/>
          <w:color w:val="000000"/>
          <w:lang w:eastAsia="bg-BG"/>
        </w:rPr>
      </w:pPr>
    </w:p>
    <w:p w14:paraId="7D694665" w14:textId="6B77D49D"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 xml:space="preserve">Обостряне на </w:t>
      </w:r>
      <w:r w:rsidRPr="00F925CB">
        <w:rPr>
          <w:rFonts w:eastAsia="Times New Roman" w:cs="Arial"/>
          <w:i/>
          <w:iCs/>
          <w:color w:val="000000"/>
          <w:lang w:val="en-US"/>
        </w:rPr>
        <w:t>myasthenia</w:t>
      </w:r>
      <w:r w:rsidRPr="00F925CB">
        <w:rPr>
          <w:rFonts w:eastAsia="Times New Roman" w:cs="Arial"/>
          <w:i/>
          <w:iCs/>
          <w:color w:val="000000"/>
          <w:lang w:val="ru-RU"/>
        </w:rPr>
        <w:t xml:space="preserve"> </w:t>
      </w:r>
      <w:r w:rsidRPr="00F925CB">
        <w:rPr>
          <w:rFonts w:eastAsia="Times New Roman" w:cs="Arial"/>
          <w:i/>
          <w:iCs/>
          <w:color w:val="000000"/>
          <w:lang w:val="en-US"/>
        </w:rPr>
        <w:t>gravis</w:t>
      </w:r>
    </w:p>
    <w:p w14:paraId="25BD5523" w14:textId="77777777" w:rsidR="00F925CB" w:rsidRPr="00F925CB" w:rsidRDefault="00F925CB" w:rsidP="00F925CB">
      <w:pPr>
        <w:spacing w:line="240" w:lineRule="auto"/>
        <w:rPr>
          <w:rFonts w:eastAsia="Times New Roman" w:cs="Arial"/>
          <w:color w:val="000000"/>
          <w:lang w:eastAsia="bg-BG"/>
        </w:rPr>
      </w:pPr>
    </w:p>
    <w:p w14:paraId="4ABE8401" w14:textId="58393544"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Флуорохинолоните, включително левофлоксацин, имат нервно-мускулна блокираща активност и може да обострят мускулна слабост при пациенти с </w:t>
      </w:r>
      <w:r w:rsidRPr="00F925CB">
        <w:rPr>
          <w:rFonts w:eastAsia="Times New Roman" w:cs="Arial"/>
          <w:color w:val="000000"/>
          <w:lang w:val="en-US"/>
        </w:rPr>
        <w:t>myasthenia</w:t>
      </w:r>
      <w:r w:rsidRPr="00F925CB">
        <w:rPr>
          <w:rFonts w:eastAsia="Times New Roman" w:cs="Arial"/>
          <w:color w:val="000000"/>
          <w:lang w:val="ru-RU"/>
        </w:rPr>
        <w:t xml:space="preserve"> </w:t>
      </w:r>
      <w:r w:rsidRPr="00F925CB">
        <w:rPr>
          <w:rFonts w:eastAsia="Times New Roman" w:cs="Arial"/>
          <w:color w:val="000000"/>
          <w:lang w:val="en-US"/>
        </w:rPr>
        <w:t>gravis</w:t>
      </w:r>
      <w:r w:rsidRPr="00F925CB">
        <w:rPr>
          <w:rFonts w:eastAsia="Times New Roman" w:cs="Arial"/>
          <w:color w:val="000000"/>
          <w:lang w:val="ru-RU"/>
        </w:rPr>
        <w:t xml:space="preserve">. </w:t>
      </w:r>
      <w:r w:rsidRPr="00F925CB">
        <w:rPr>
          <w:rFonts w:eastAsia="Times New Roman" w:cs="Arial"/>
          <w:color w:val="000000"/>
          <w:lang w:eastAsia="bg-BG"/>
        </w:rPr>
        <w:t xml:space="preserve">Сериозни нежелани реакции, включително смъртни случаи и необходимост от поддържане на дишането, са свързани с постмаркетинговата употреба на флуорохинолони при пациенти с </w:t>
      </w:r>
      <w:r w:rsidRPr="00F925CB">
        <w:rPr>
          <w:rFonts w:eastAsia="Times New Roman" w:cs="Arial"/>
          <w:color w:val="000000"/>
          <w:lang w:val="en-US"/>
        </w:rPr>
        <w:t>myasthenia</w:t>
      </w:r>
      <w:r w:rsidRPr="00F925CB">
        <w:rPr>
          <w:rFonts w:eastAsia="Times New Roman" w:cs="Arial"/>
          <w:color w:val="000000"/>
          <w:lang w:val="ru-RU"/>
        </w:rPr>
        <w:t xml:space="preserve"> </w:t>
      </w:r>
      <w:r w:rsidRPr="00F925CB">
        <w:rPr>
          <w:rFonts w:eastAsia="Times New Roman" w:cs="Arial"/>
          <w:color w:val="000000"/>
          <w:lang w:val="en-US"/>
        </w:rPr>
        <w:t>gravis</w:t>
      </w:r>
      <w:r w:rsidRPr="00F925CB">
        <w:rPr>
          <w:rFonts w:eastAsia="Times New Roman" w:cs="Arial"/>
          <w:color w:val="000000"/>
          <w:lang w:val="ru-RU"/>
        </w:rPr>
        <w:t xml:space="preserve">. </w:t>
      </w:r>
      <w:r w:rsidRPr="00F925CB">
        <w:rPr>
          <w:rFonts w:eastAsia="Times New Roman" w:cs="Arial"/>
          <w:color w:val="000000"/>
          <w:lang w:eastAsia="bg-BG"/>
        </w:rPr>
        <w:t xml:space="preserve">Левофлоксацин не се препоръчва при пациенти с известна анамнеза за </w:t>
      </w:r>
      <w:r w:rsidRPr="00F925CB">
        <w:rPr>
          <w:rFonts w:eastAsia="Times New Roman" w:cs="Arial"/>
          <w:color w:val="000000"/>
          <w:lang w:val="en-US"/>
        </w:rPr>
        <w:t>myasthenia</w:t>
      </w:r>
      <w:r w:rsidRPr="00F925CB">
        <w:rPr>
          <w:rFonts w:eastAsia="Times New Roman" w:cs="Arial"/>
          <w:color w:val="000000"/>
          <w:lang w:val="ru-RU"/>
        </w:rPr>
        <w:t xml:space="preserve"> </w:t>
      </w:r>
      <w:r w:rsidRPr="00F925CB">
        <w:rPr>
          <w:rFonts w:eastAsia="Times New Roman" w:cs="Arial"/>
          <w:color w:val="000000"/>
          <w:lang w:val="en-US"/>
        </w:rPr>
        <w:t>gravis</w:t>
      </w:r>
      <w:r w:rsidRPr="00F925CB">
        <w:rPr>
          <w:rFonts w:eastAsia="Times New Roman" w:cs="Arial"/>
          <w:color w:val="000000"/>
          <w:lang w:val="ru-RU"/>
        </w:rPr>
        <w:t>.</w:t>
      </w:r>
    </w:p>
    <w:p w14:paraId="3EE98BB6" w14:textId="77777777" w:rsidR="00F925CB" w:rsidRPr="00F925CB" w:rsidRDefault="00F925CB" w:rsidP="00F925CB">
      <w:pPr>
        <w:spacing w:line="240" w:lineRule="auto"/>
        <w:rPr>
          <w:rFonts w:eastAsia="Times New Roman" w:cs="Arial"/>
          <w:i/>
          <w:iCs/>
          <w:color w:val="000000"/>
          <w:lang w:eastAsia="bg-BG"/>
        </w:rPr>
      </w:pPr>
    </w:p>
    <w:p w14:paraId="09DB0930" w14:textId="2115083B"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Зрителни нарушения</w:t>
      </w:r>
    </w:p>
    <w:p w14:paraId="72D7B49F" w14:textId="77777777" w:rsidR="00F925CB" w:rsidRPr="00F925CB" w:rsidRDefault="00F925CB" w:rsidP="00F925CB">
      <w:pPr>
        <w:spacing w:line="240" w:lineRule="auto"/>
        <w:rPr>
          <w:rFonts w:eastAsia="Times New Roman" w:cs="Arial"/>
          <w:color w:val="000000"/>
          <w:lang w:eastAsia="bg-BG"/>
        </w:rPr>
      </w:pPr>
    </w:p>
    <w:p w14:paraId="32FC1C5A" w14:textId="20A19B83"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Ако се увреди зрението или се получат някакви ефекти върху очите, трябва незабавно да се направи консултация с очен специалист (вж. точки 4.7 и 4.8).</w:t>
      </w:r>
    </w:p>
    <w:p w14:paraId="23F8F67E" w14:textId="77777777" w:rsidR="00F925CB" w:rsidRPr="00F925CB" w:rsidRDefault="00F925CB" w:rsidP="00F925CB">
      <w:pPr>
        <w:spacing w:line="240" w:lineRule="auto"/>
        <w:rPr>
          <w:rFonts w:eastAsia="Times New Roman" w:cs="Arial"/>
          <w:i/>
          <w:iCs/>
          <w:color w:val="000000"/>
          <w:lang w:eastAsia="bg-BG"/>
        </w:rPr>
      </w:pPr>
    </w:p>
    <w:p w14:paraId="0CD87F17" w14:textId="4D53D401"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Суперинфекция</w:t>
      </w:r>
    </w:p>
    <w:p w14:paraId="36AE071E" w14:textId="77777777" w:rsidR="00F925CB" w:rsidRPr="00F925CB" w:rsidRDefault="00F925CB" w:rsidP="00F925CB">
      <w:pPr>
        <w:spacing w:line="240" w:lineRule="auto"/>
        <w:rPr>
          <w:rFonts w:eastAsia="Times New Roman" w:cs="Arial"/>
          <w:color w:val="000000"/>
          <w:lang w:eastAsia="bg-BG"/>
        </w:rPr>
      </w:pPr>
    </w:p>
    <w:p w14:paraId="68905963" w14:textId="063191AB"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lastRenderedPageBreak/>
        <w:t>Употребата на левофлоксацин, особено ако е продължителна, може да доведе до растеж на нечувствителни микроорганизма. Ако възникне суперинфекция по време на терапията, трябва да се вземат подходящи мерки.</w:t>
      </w:r>
    </w:p>
    <w:p w14:paraId="136AF9AA" w14:textId="77777777" w:rsidR="00F925CB" w:rsidRPr="00F925CB" w:rsidRDefault="00F925CB" w:rsidP="00F925CB">
      <w:pPr>
        <w:spacing w:line="240" w:lineRule="auto"/>
        <w:rPr>
          <w:rFonts w:eastAsia="Times New Roman" w:cs="Arial"/>
          <w:i/>
          <w:iCs/>
          <w:color w:val="000000"/>
          <w:lang w:eastAsia="bg-BG"/>
        </w:rPr>
      </w:pPr>
    </w:p>
    <w:p w14:paraId="04C22879" w14:textId="7DDC9C74"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Повлияване на лабораторни тестове</w:t>
      </w:r>
    </w:p>
    <w:p w14:paraId="22648AE7" w14:textId="77777777" w:rsidR="00F925CB" w:rsidRPr="00F925CB" w:rsidRDefault="00F925CB" w:rsidP="00F925CB">
      <w:pPr>
        <w:spacing w:line="240" w:lineRule="auto"/>
        <w:rPr>
          <w:rFonts w:eastAsia="Times New Roman" w:cs="Arial"/>
          <w:color w:val="000000"/>
          <w:lang w:eastAsia="bg-BG"/>
        </w:rPr>
      </w:pPr>
    </w:p>
    <w:p w14:paraId="279766F3" w14:textId="2D01353F"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При пациенти, лекувани с левофлоксацин, определянето на опиати в урината може да даде лъжливо-положителни резултати. Може да се наложи потвърждаване на положителните резултати при скриниране за опиати чрез по-специфичен метод.</w:t>
      </w:r>
    </w:p>
    <w:p w14:paraId="263A7E04" w14:textId="77777777" w:rsidR="00F925CB" w:rsidRPr="00F925CB" w:rsidRDefault="00F925CB" w:rsidP="00F925CB">
      <w:pPr>
        <w:spacing w:line="240" w:lineRule="auto"/>
        <w:rPr>
          <w:rFonts w:eastAsia="Times New Roman" w:cs="Arial"/>
          <w:color w:val="000000"/>
          <w:lang w:eastAsia="bg-BG"/>
        </w:rPr>
      </w:pPr>
    </w:p>
    <w:p w14:paraId="1F39C0D8" w14:textId="09F8BB6A"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Левофлоксацин може да инхибира растежа на </w:t>
      </w:r>
      <w:r w:rsidRPr="00F925CB">
        <w:rPr>
          <w:rFonts w:eastAsia="Times New Roman" w:cs="Arial"/>
          <w:i/>
          <w:iCs/>
          <w:color w:val="000000"/>
          <w:lang w:val="en-US"/>
        </w:rPr>
        <w:t>Mycobacterium</w:t>
      </w:r>
      <w:r w:rsidRPr="00F925CB">
        <w:rPr>
          <w:rFonts w:eastAsia="Times New Roman" w:cs="Arial"/>
          <w:i/>
          <w:iCs/>
          <w:color w:val="000000"/>
          <w:lang w:val="ru-RU"/>
        </w:rPr>
        <w:t xml:space="preserve"> </w:t>
      </w:r>
      <w:r w:rsidRPr="00F925CB">
        <w:rPr>
          <w:rFonts w:eastAsia="Times New Roman" w:cs="Arial"/>
          <w:i/>
          <w:iCs/>
          <w:color w:val="000000"/>
          <w:lang w:val="en-US"/>
        </w:rPr>
        <w:t>tuberculosis</w:t>
      </w:r>
      <w:r w:rsidRPr="00F925CB">
        <w:rPr>
          <w:rFonts w:eastAsia="Times New Roman" w:cs="Arial"/>
          <w:color w:val="000000"/>
          <w:lang w:val="ru-RU"/>
        </w:rPr>
        <w:t xml:space="preserve"> </w:t>
      </w:r>
      <w:r w:rsidRPr="00F925CB">
        <w:rPr>
          <w:rFonts w:eastAsia="Times New Roman" w:cs="Arial"/>
          <w:color w:val="000000"/>
          <w:lang w:eastAsia="bg-BG"/>
        </w:rPr>
        <w:t>и поради това може да даде лъжливо-отрицателни резултати при бактериологична диагноза на туберкулоза.</w:t>
      </w:r>
    </w:p>
    <w:p w14:paraId="3C40A877" w14:textId="773F957C" w:rsidR="00F925CB" w:rsidRPr="00F925CB" w:rsidRDefault="00F925CB" w:rsidP="00F925CB"/>
    <w:p w14:paraId="1244F76A" w14:textId="5D569D39" w:rsidR="00395555" w:rsidRDefault="002C50EE" w:rsidP="008A6AF2">
      <w:pPr>
        <w:pStyle w:val="Heading2"/>
      </w:pPr>
      <w:r>
        <w:t>4.5. Взаимодействие с други лекарствени продукти и други форми на взаимодействие</w:t>
      </w:r>
    </w:p>
    <w:p w14:paraId="5EDA7231" w14:textId="7D5B9D82" w:rsidR="00F925CB" w:rsidRDefault="00F925CB" w:rsidP="00F925CB"/>
    <w:p w14:paraId="540DDA91"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u w:val="single"/>
          <w:lang w:eastAsia="bg-BG"/>
        </w:rPr>
        <w:t>Ефект на други лекарствени продукти върху Левофлоксацин Каби</w:t>
      </w:r>
    </w:p>
    <w:p w14:paraId="2AA93C7E" w14:textId="77777777" w:rsidR="00F925CB" w:rsidRPr="00F925CB" w:rsidRDefault="00F925CB" w:rsidP="00F925CB">
      <w:pPr>
        <w:spacing w:line="240" w:lineRule="auto"/>
        <w:rPr>
          <w:rFonts w:eastAsia="Times New Roman" w:cs="Arial"/>
          <w:i/>
          <w:iCs/>
          <w:color w:val="000000"/>
          <w:lang w:eastAsia="bg-BG"/>
        </w:rPr>
      </w:pPr>
    </w:p>
    <w:p w14:paraId="3286CEE8" w14:textId="731C95BC"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Теофилин, фенбуфен или подобни нестероидни противовъзпалителни продукти.</w:t>
      </w:r>
    </w:p>
    <w:p w14:paraId="5E1552F6" w14:textId="77777777" w:rsidR="00F925CB" w:rsidRPr="00F925CB" w:rsidRDefault="00F925CB" w:rsidP="00F925CB">
      <w:pPr>
        <w:rPr>
          <w:rFonts w:eastAsia="Times New Roman" w:cs="Arial"/>
          <w:color w:val="000000"/>
          <w:lang w:eastAsia="bg-BG"/>
        </w:rPr>
      </w:pPr>
    </w:p>
    <w:p w14:paraId="4AE6A874" w14:textId="77777777" w:rsidR="00F925CB" w:rsidRPr="00F925CB" w:rsidRDefault="00F925CB" w:rsidP="00F925CB">
      <w:pPr>
        <w:rPr>
          <w:rFonts w:eastAsia="Times New Roman" w:cs="Arial"/>
          <w:sz w:val="24"/>
          <w:szCs w:val="24"/>
        </w:rPr>
      </w:pPr>
      <w:r w:rsidRPr="00F925CB">
        <w:rPr>
          <w:rFonts w:eastAsia="Times New Roman" w:cs="Arial"/>
          <w:color w:val="000000"/>
          <w:lang w:eastAsia="bg-BG"/>
        </w:rPr>
        <w:t>По време на клинично изпитване не са установени фармакокинетични взаимодействия на левофлоксацин с теофилин. Възможно е обаче да се получи изразено понижение на гърчовия праг в главния мозък при едновременно приложение на хинолони и теофилин, нестероидни противовъзпалителни лекарства или други продукти, които понижават гьрчовия праг.</w:t>
      </w:r>
    </w:p>
    <w:p w14:paraId="0DD9428F" w14:textId="777777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Концентрациите на левофлоксацин са били с около 13% по-високи при наличие на фенбуфен, в сравнение със самостоятелното му прилагане.</w:t>
      </w:r>
    </w:p>
    <w:p w14:paraId="6E1A8637" w14:textId="77777777" w:rsidR="00F925CB" w:rsidRPr="00F925CB" w:rsidRDefault="00F925CB" w:rsidP="00F925CB">
      <w:pPr>
        <w:spacing w:line="240" w:lineRule="auto"/>
        <w:rPr>
          <w:rFonts w:eastAsia="Times New Roman" w:cs="Arial"/>
          <w:i/>
          <w:iCs/>
          <w:color w:val="000000"/>
          <w:lang w:eastAsia="bg-BG"/>
        </w:rPr>
      </w:pPr>
    </w:p>
    <w:p w14:paraId="62DB2850" w14:textId="08A2F195"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Пробенецид и циметидин</w:t>
      </w:r>
    </w:p>
    <w:p w14:paraId="30A6C366" w14:textId="77777777" w:rsidR="00F925CB" w:rsidRPr="00F925CB" w:rsidRDefault="00F925CB" w:rsidP="00F925CB">
      <w:pPr>
        <w:spacing w:line="240" w:lineRule="auto"/>
        <w:rPr>
          <w:rFonts w:eastAsia="Times New Roman" w:cs="Arial"/>
          <w:color w:val="000000"/>
          <w:lang w:eastAsia="bg-BG"/>
        </w:rPr>
      </w:pPr>
    </w:p>
    <w:p w14:paraId="0CA66007" w14:textId="684816FC"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Пробенецид и циметидин притежават статистически значим ефект върху елиминирането на левофлоксацин. Бъбречният клирънс на левофлоксацин е понижен от циметидин (24%) и пробенецид (34%). Това се дължи на факта, че и двете лекарства могат да блокират бъбречната тубулна секреция на левофлоксацин. Все пак при изследваните дози в проучването, статистически значими кинетични различия е малко вероятно да имат клинично значение. Трябва да се обърне внимание, когато левофлоксацин се прилага едновременно с лекарства, които повлияват тубуларната бъбречна секреция, като пробенецид и циметидин, специално при бъбречно увредени пациенти.</w:t>
      </w:r>
    </w:p>
    <w:p w14:paraId="792DACB8" w14:textId="77777777" w:rsidR="00F925CB" w:rsidRPr="00F925CB" w:rsidRDefault="00F925CB" w:rsidP="00F925CB">
      <w:pPr>
        <w:spacing w:line="240" w:lineRule="auto"/>
        <w:rPr>
          <w:rFonts w:eastAsia="Times New Roman" w:cs="Arial"/>
          <w:i/>
          <w:iCs/>
          <w:color w:val="000000"/>
          <w:lang w:eastAsia="bg-BG"/>
        </w:rPr>
      </w:pPr>
    </w:p>
    <w:p w14:paraId="65BEB3A6" w14:textId="6F28540F"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Друга важна информация</w:t>
      </w:r>
    </w:p>
    <w:p w14:paraId="6B77D4B7" w14:textId="77777777" w:rsidR="00F925CB" w:rsidRPr="00F925CB" w:rsidRDefault="00F925CB" w:rsidP="00F925CB">
      <w:pPr>
        <w:spacing w:line="240" w:lineRule="auto"/>
        <w:rPr>
          <w:rFonts w:eastAsia="Times New Roman" w:cs="Arial"/>
          <w:color w:val="000000"/>
          <w:lang w:eastAsia="bg-BG"/>
        </w:rPr>
      </w:pPr>
    </w:p>
    <w:p w14:paraId="5FFECF9A" w14:textId="43FD677C"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Клиничните фармакологични изпитвания показват, че фармакокинетиката на левофлоксацин не се повлиява в клинично значима степен, когато левофлоксацин се прилага заедно със следните лекарства: калциев карбонат, дигоксин, глибенкламид, ранитидин.</w:t>
      </w:r>
    </w:p>
    <w:p w14:paraId="5411A540" w14:textId="77777777" w:rsidR="00F925CB" w:rsidRPr="00F925CB" w:rsidRDefault="00F925CB" w:rsidP="00F925CB">
      <w:pPr>
        <w:spacing w:line="240" w:lineRule="auto"/>
        <w:rPr>
          <w:rFonts w:eastAsia="Times New Roman" w:cs="Arial"/>
          <w:color w:val="000000"/>
          <w:u w:val="single"/>
          <w:lang w:eastAsia="bg-BG"/>
        </w:rPr>
      </w:pPr>
    </w:p>
    <w:p w14:paraId="4D6F4127" w14:textId="6420A974" w:rsidR="00F925CB" w:rsidRPr="00F925CB" w:rsidRDefault="00F925CB" w:rsidP="00F925CB">
      <w:pPr>
        <w:spacing w:line="240" w:lineRule="auto"/>
        <w:rPr>
          <w:rFonts w:eastAsia="Times New Roman" w:cs="Arial"/>
          <w:sz w:val="24"/>
          <w:szCs w:val="24"/>
        </w:rPr>
      </w:pPr>
      <w:r w:rsidRPr="00F925CB">
        <w:rPr>
          <w:rFonts w:eastAsia="Times New Roman" w:cs="Arial"/>
          <w:color w:val="000000"/>
          <w:u w:val="single"/>
          <w:lang w:eastAsia="bg-BG"/>
        </w:rPr>
        <w:t>Ефект на Левофлоксацин Каби върху други лекарствени продукти</w:t>
      </w:r>
    </w:p>
    <w:p w14:paraId="375F7538" w14:textId="77777777" w:rsidR="00F925CB" w:rsidRPr="00F925CB" w:rsidRDefault="00F925CB" w:rsidP="00F925CB">
      <w:pPr>
        <w:spacing w:line="240" w:lineRule="auto"/>
        <w:rPr>
          <w:rFonts w:eastAsia="Times New Roman" w:cs="Arial"/>
          <w:i/>
          <w:iCs/>
          <w:color w:val="000000"/>
          <w:lang w:eastAsia="bg-BG"/>
        </w:rPr>
      </w:pPr>
    </w:p>
    <w:p w14:paraId="402358D3" w14:textId="11CB17DF"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lastRenderedPageBreak/>
        <w:t>Циклоспорин</w:t>
      </w:r>
    </w:p>
    <w:p w14:paraId="4D49583E" w14:textId="77777777" w:rsidR="00F925CB" w:rsidRPr="00F925CB" w:rsidRDefault="00F925CB" w:rsidP="00F925CB">
      <w:pPr>
        <w:spacing w:line="240" w:lineRule="auto"/>
        <w:rPr>
          <w:rFonts w:eastAsia="Times New Roman" w:cs="Arial"/>
          <w:color w:val="000000"/>
          <w:lang w:eastAsia="bg-BG"/>
        </w:rPr>
      </w:pPr>
    </w:p>
    <w:p w14:paraId="27136075" w14:textId="05920152"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Полуживотът на циклоспорин е удължен с 33%, когато е приложен с левофлоксацин.</w:t>
      </w:r>
    </w:p>
    <w:p w14:paraId="682C464E" w14:textId="77777777" w:rsidR="00F925CB" w:rsidRPr="00F925CB" w:rsidRDefault="00F925CB" w:rsidP="00F925CB">
      <w:pPr>
        <w:spacing w:line="240" w:lineRule="auto"/>
        <w:rPr>
          <w:rFonts w:eastAsia="Times New Roman" w:cs="Arial"/>
          <w:i/>
          <w:iCs/>
          <w:color w:val="000000"/>
          <w:lang w:eastAsia="bg-BG"/>
        </w:rPr>
      </w:pPr>
    </w:p>
    <w:p w14:paraId="2D683F1F" w14:textId="1424F088"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Антагонисти на витамин К</w:t>
      </w:r>
    </w:p>
    <w:p w14:paraId="454C1DED" w14:textId="77777777" w:rsidR="00F925CB" w:rsidRPr="00F925CB" w:rsidRDefault="00F925CB" w:rsidP="00F925CB">
      <w:pPr>
        <w:spacing w:line="240" w:lineRule="auto"/>
        <w:rPr>
          <w:rFonts w:eastAsia="Times New Roman" w:cs="Arial"/>
          <w:color w:val="000000"/>
          <w:lang w:eastAsia="bg-BG"/>
        </w:rPr>
      </w:pPr>
    </w:p>
    <w:p w14:paraId="134A6134" w14:textId="7053435C"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Съобщава се за удължаване на коагулационните тестове </w:t>
      </w:r>
      <w:r w:rsidRPr="00F925CB">
        <w:rPr>
          <w:rFonts w:eastAsia="Times New Roman" w:cs="Arial"/>
          <w:color w:val="000000"/>
          <w:lang w:val="ru-RU"/>
        </w:rPr>
        <w:t>(</w:t>
      </w:r>
      <w:r w:rsidRPr="00F925CB">
        <w:rPr>
          <w:rFonts w:eastAsia="Times New Roman" w:cs="Arial"/>
          <w:color w:val="000000"/>
          <w:lang w:val="en-US"/>
        </w:rPr>
        <w:t>PT</w:t>
      </w:r>
      <w:r w:rsidRPr="00F925CB">
        <w:rPr>
          <w:rFonts w:eastAsia="Times New Roman" w:cs="Arial"/>
          <w:color w:val="000000"/>
          <w:lang w:val="ru-RU"/>
        </w:rPr>
        <w:t>/</w:t>
      </w:r>
      <w:r w:rsidRPr="00F925CB">
        <w:rPr>
          <w:rFonts w:eastAsia="Times New Roman" w:cs="Arial"/>
          <w:color w:val="000000"/>
          <w:lang w:val="en-US"/>
        </w:rPr>
        <w:t>INR</w:t>
      </w:r>
      <w:r w:rsidRPr="00F925CB">
        <w:rPr>
          <w:rFonts w:eastAsia="Times New Roman" w:cs="Arial"/>
          <w:color w:val="000000"/>
          <w:lang w:val="ru-RU"/>
        </w:rPr>
        <w:t xml:space="preserve">) </w:t>
      </w:r>
      <w:r w:rsidRPr="00F925CB">
        <w:rPr>
          <w:rFonts w:eastAsia="Times New Roman" w:cs="Arial"/>
          <w:color w:val="000000"/>
          <w:lang w:eastAsia="bg-BG"/>
        </w:rPr>
        <w:t>и/или времето на кървене, което може да бъде силно изразено при пациенти, лекувани с левофлоксацин в комбинация с антагонисти на витамин К (напр. варфарин). Поради това, при пациенти, лекувани с антагонисти на витамин К е необходимо мониториране на показателите на кръвосъсирването (вж. точка 4.4).</w:t>
      </w:r>
    </w:p>
    <w:p w14:paraId="1D375F64" w14:textId="77777777" w:rsidR="00F925CB" w:rsidRPr="00F925CB" w:rsidRDefault="00F925CB" w:rsidP="00F925CB">
      <w:pPr>
        <w:spacing w:line="240" w:lineRule="auto"/>
        <w:rPr>
          <w:rFonts w:eastAsia="Times New Roman" w:cs="Arial"/>
          <w:i/>
          <w:iCs/>
          <w:color w:val="000000"/>
          <w:lang w:eastAsia="bg-BG"/>
        </w:rPr>
      </w:pPr>
    </w:p>
    <w:p w14:paraId="277FD2AC" w14:textId="60183F0A" w:rsidR="00F925CB" w:rsidRPr="00F925CB" w:rsidRDefault="00F925CB" w:rsidP="00F925CB">
      <w:pPr>
        <w:spacing w:line="240" w:lineRule="auto"/>
        <w:rPr>
          <w:rFonts w:eastAsia="Times New Roman" w:cs="Arial"/>
          <w:sz w:val="24"/>
          <w:szCs w:val="24"/>
        </w:rPr>
      </w:pPr>
      <w:r w:rsidRPr="00F925CB">
        <w:rPr>
          <w:rFonts w:eastAsia="Times New Roman" w:cs="Arial"/>
          <w:i/>
          <w:iCs/>
          <w:color w:val="000000"/>
          <w:lang w:eastAsia="bg-BG"/>
        </w:rPr>
        <w:t xml:space="preserve">Лекарствени продукти, удължаващи </w:t>
      </w:r>
      <w:r w:rsidRPr="00F925CB">
        <w:rPr>
          <w:rFonts w:eastAsia="Times New Roman" w:cs="Arial"/>
          <w:i/>
          <w:iCs/>
          <w:color w:val="000000"/>
          <w:lang w:val="en-US"/>
        </w:rPr>
        <w:t>QT</w:t>
      </w:r>
      <w:r w:rsidRPr="00F925CB">
        <w:rPr>
          <w:rFonts w:eastAsia="Times New Roman" w:cs="Arial"/>
          <w:i/>
          <w:iCs/>
          <w:color w:val="000000"/>
          <w:lang w:eastAsia="bg-BG"/>
        </w:rPr>
        <w:t>-интервала</w:t>
      </w:r>
    </w:p>
    <w:p w14:paraId="604C0993" w14:textId="77777777" w:rsidR="00F925CB" w:rsidRPr="00F925CB" w:rsidRDefault="00F925CB" w:rsidP="00F925CB">
      <w:pPr>
        <w:spacing w:line="240" w:lineRule="auto"/>
        <w:rPr>
          <w:rFonts w:eastAsia="Times New Roman" w:cs="Arial"/>
          <w:color w:val="000000"/>
          <w:lang w:eastAsia="bg-BG"/>
        </w:rPr>
      </w:pPr>
    </w:p>
    <w:p w14:paraId="6DC1CE99" w14:textId="2A0015AB"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Левофлоксацин, подобно на другите флуорохинолони, трябва да бъде използван предпазливо при пациенти, които приемат лекарства, за които е известно, че удължават </w:t>
      </w:r>
      <w:r w:rsidRPr="00F925CB">
        <w:rPr>
          <w:rFonts w:eastAsia="Times New Roman" w:cs="Arial"/>
          <w:color w:val="000000"/>
          <w:lang w:val="en-US"/>
        </w:rPr>
        <w:t>QT</w:t>
      </w:r>
      <w:r w:rsidRPr="00F925CB">
        <w:rPr>
          <w:rFonts w:eastAsia="Times New Roman" w:cs="Arial"/>
          <w:color w:val="000000"/>
          <w:lang w:val="ru-RU"/>
        </w:rPr>
        <w:t xml:space="preserve"> </w:t>
      </w:r>
      <w:r w:rsidRPr="00F925CB">
        <w:rPr>
          <w:rFonts w:eastAsia="Times New Roman" w:cs="Arial"/>
          <w:color w:val="000000"/>
          <w:lang w:eastAsia="bg-BG"/>
        </w:rPr>
        <w:t xml:space="preserve">интервала (напр. антиаритмици от клас </w:t>
      </w:r>
      <w:r w:rsidRPr="00F925CB">
        <w:rPr>
          <w:rFonts w:eastAsia="Times New Roman" w:cs="Arial"/>
          <w:color w:val="000000"/>
          <w:lang w:val="en-US"/>
        </w:rPr>
        <w:t>IA</w:t>
      </w:r>
      <w:r w:rsidRPr="00F925CB">
        <w:rPr>
          <w:rFonts w:eastAsia="Times New Roman" w:cs="Arial"/>
          <w:color w:val="000000"/>
          <w:lang w:val="ru-RU"/>
        </w:rPr>
        <w:t xml:space="preserve"> </w:t>
      </w:r>
      <w:r w:rsidRPr="00F925CB">
        <w:rPr>
          <w:rFonts w:eastAsia="Times New Roman" w:cs="Arial"/>
          <w:color w:val="000000"/>
          <w:lang w:eastAsia="bg-BG"/>
        </w:rPr>
        <w:t xml:space="preserve">и III, трициклични антидепресанти, макролиди, антипсихотици). (вж. точка 4.4 „Удължаване на </w:t>
      </w:r>
      <w:r w:rsidRPr="00F925CB">
        <w:rPr>
          <w:rFonts w:eastAsia="Times New Roman" w:cs="Arial"/>
          <w:color w:val="000000"/>
          <w:lang w:val="en-US"/>
        </w:rPr>
        <w:t>QT</w:t>
      </w:r>
      <w:r w:rsidRPr="00F925CB">
        <w:rPr>
          <w:rFonts w:eastAsia="Times New Roman" w:cs="Arial"/>
          <w:color w:val="000000"/>
          <w:lang w:val="ru-RU"/>
        </w:rPr>
        <w:t xml:space="preserve"> </w:t>
      </w:r>
      <w:r w:rsidRPr="00F925CB">
        <w:rPr>
          <w:rFonts w:eastAsia="Times New Roman" w:cs="Arial"/>
          <w:color w:val="000000"/>
          <w:lang w:eastAsia="bg-BG"/>
        </w:rPr>
        <w:t>интервала”).</w:t>
      </w:r>
    </w:p>
    <w:p w14:paraId="6854BAEE" w14:textId="77777777" w:rsidR="00F925CB" w:rsidRPr="00F925CB" w:rsidRDefault="00F925CB" w:rsidP="00F925CB">
      <w:pPr>
        <w:spacing w:line="240" w:lineRule="auto"/>
        <w:rPr>
          <w:rFonts w:eastAsia="Times New Roman" w:cs="Arial"/>
          <w:color w:val="000000"/>
          <w:lang w:eastAsia="bg-BG"/>
        </w:rPr>
      </w:pPr>
    </w:p>
    <w:p w14:paraId="3F1FB3AD" w14:textId="3C24BC33"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Друга важна информация</w:t>
      </w:r>
    </w:p>
    <w:p w14:paraId="6F47A133" w14:textId="77777777" w:rsidR="00F925CB" w:rsidRPr="00F925CB" w:rsidRDefault="00F925CB" w:rsidP="00F925CB">
      <w:pPr>
        <w:spacing w:line="240" w:lineRule="auto"/>
        <w:rPr>
          <w:rFonts w:eastAsia="Times New Roman" w:cs="Arial"/>
          <w:color w:val="000000"/>
          <w:lang w:eastAsia="bg-BG"/>
        </w:rPr>
      </w:pPr>
    </w:p>
    <w:p w14:paraId="3E3CC37F" w14:textId="15942477" w:rsidR="00F925CB" w:rsidRPr="00F925CB" w:rsidRDefault="00F925CB" w:rsidP="00F925CB">
      <w:pPr>
        <w:spacing w:line="240" w:lineRule="auto"/>
        <w:rPr>
          <w:rFonts w:eastAsia="Times New Roman" w:cs="Arial"/>
          <w:sz w:val="24"/>
          <w:szCs w:val="24"/>
        </w:rPr>
      </w:pPr>
      <w:r w:rsidRPr="00F925CB">
        <w:rPr>
          <w:rFonts w:eastAsia="Times New Roman" w:cs="Arial"/>
          <w:color w:val="000000"/>
          <w:lang w:eastAsia="bg-BG"/>
        </w:rPr>
        <w:t xml:space="preserve">В едно изследване на фармакокинетичните взаимодействия левофлоксацин не повлиява фармакокинетиката на теофилин (субстрат за изследване на </w:t>
      </w:r>
      <w:r w:rsidRPr="00F925CB">
        <w:rPr>
          <w:rFonts w:eastAsia="Times New Roman" w:cs="Arial"/>
          <w:color w:val="000000"/>
          <w:lang w:val="en-US"/>
        </w:rPr>
        <w:t>CYP</w:t>
      </w:r>
      <w:r w:rsidRPr="00F925CB">
        <w:rPr>
          <w:rFonts w:eastAsia="Times New Roman" w:cs="Arial"/>
          <w:color w:val="000000"/>
          <w:lang w:val="ru-RU"/>
        </w:rPr>
        <w:t>1</w:t>
      </w:r>
      <w:r w:rsidRPr="00F925CB">
        <w:rPr>
          <w:rFonts w:eastAsia="Times New Roman" w:cs="Arial"/>
          <w:color w:val="000000"/>
          <w:lang w:val="en-US"/>
        </w:rPr>
        <w:t>A</w:t>
      </w:r>
      <w:r w:rsidRPr="00F925CB">
        <w:rPr>
          <w:rFonts w:eastAsia="Times New Roman" w:cs="Arial"/>
          <w:color w:val="000000"/>
          <w:lang w:val="ru-RU"/>
        </w:rPr>
        <w:t xml:space="preserve">2), </w:t>
      </w:r>
      <w:r w:rsidRPr="00F925CB">
        <w:rPr>
          <w:rFonts w:eastAsia="Times New Roman" w:cs="Arial"/>
          <w:color w:val="000000"/>
          <w:lang w:eastAsia="bg-BG"/>
        </w:rPr>
        <w:t xml:space="preserve">което показва, че левофлоксацин не е инхибитор на </w:t>
      </w:r>
      <w:r w:rsidRPr="00F925CB">
        <w:rPr>
          <w:rFonts w:eastAsia="Times New Roman" w:cs="Arial"/>
          <w:color w:val="000000"/>
          <w:lang w:val="en-US"/>
        </w:rPr>
        <w:t>CYP</w:t>
      </w:r>
      <w:r w:rsidRPr="00F925CB">
        <w:rPr>
          <w:rFonts w:eastAsia="Times New Roman" w:cs="Arial"/>
          <w:color w:val="000000"/>
          <w:lang w:val="ru-RU"/>
        </w:rPr>
        <w:t>1</w:t>
      </w:r>
      <w:r w:rsidRPr="00F925CB">
        <w:rPr>
          <w:rFonts w:eastAsia="Times New Roman" w:cs="Arial"/>
          <w:color w:val="000000"/>
          <w:lang w:val="en-US"/>
        </w:rPr>
        <w:t>A</w:t>
      </w:r>
      <w:r w:rsidRPr="00F925CB">
        <w:rPr>
          <w:rFonts w:eastAsia="Times New Roman" w:cs="Arial"/>
          <w:color w:val="000000"/>
          <w:lang w:val="ru-RU"/>
        </w:rPr>
        <w:t>2.</w:t>
      </w:r>
    </w:p>
    <w:p w14:paraId="3EB69104" w14:textId="39827688" w:rsidR="00F925CB" w:rsidRPr="00F925CB" w:rsidRDefault="00F925CB" w:rsidP="00F925CB"/>
    <w:p w14:paraId="6EADE4D6" w14:textId="0755D371" w:rsidR="00395555" w:rsidRDefault="002C50EE" w:rsidP="008A6AF2">
      <w:pPr>
        <w:pStyle w:val="Heading2"/>
      </w:pPr>
      <w:r>
        <w:t>4.6. Фертилитет, бременност и кърмене</w:t>
      </w:r>
    </w:p>
    <w:p w14:paraId="029D4B2E" w14:textId="6759CEDE" w:rsidR="00F925CB" w:rsidRDefault="00F925CB" w:rsidP="00F925CB"/>
    <w:p w14:paraId="1667F3AC" w14:textId="77777777" w:rsidR="00F925CB" w:rsidRPr="00F925CB" w:rsidRDefault="00F925CB" w:rsidP="00F925CB">
      <w:pPr>
        <w:pStyle w:val="Heading3"/>
        <w:rPr>
          <w:rFonts w:eastAsia="Times New Roman"/>
          <w:u w:val="single"/>
        </w:rPr>
      </w:pPr>
      <w:r w:rsidRPr="00F925CB">
        <w:rPr>
          <w:rFonts w:eastAsia="Times New Roman"/>
          <w:u w:val="single"/>
          <w:lang w:eastAsia="bg-BG"/>
        </w:rPr>
        <w:t>Бременност</w:t>
      </w:r>
    </w:p>
    <w:p w14:paraId="2CFBCC80" w14:textId="77777777" w:rsidR="00F925CB" w:rsidRPr="00F925CB" w:rsidRDefault="00F925CB" w:rsidP="00F925CB">
      <w:pPr>
        <w:rPr>
          <w:sz w:val="24"/>
          <w:szCs w:val="24"/>
        </w:rPr>
      </w:pPr>
      <w:r w:rsidRPr="00F925CB">
        <w:rPr>
          <w:lang w:eastAsia="bg-BG"/>
        </w:rPr>
        <w:t>Има ограничени данни от употребата на левофлоксацин при бременни жени. Изследванията върху животни не показват преки или непреки вредни ефекти по отношение на репродуктивната токсичност (вж. точка 5.3).</w:t>
      </w:r>
    </w:p>
    <w:p w14:paraId="7F9F9543" w14:textId="77777777" w:rsidR="00F925CB" w:rsidRPr="00F925CB" w:rsidRDefault="00F925CB" w:rsidP="00F925CB">
      <w:pPr>
        <w:rPr>
          <w:sz w:val="24"/>
          <w:szCs w:val="24"/>
        </w:rPr>
      </w:pPr>
      <w:r w:rsidRPr="00F925CB">
        <w:rPr>
          <w:lang w:eastAsia="bg-BG"/>
        </w:rPr>
        <w:t>Все пак, при липсата на данни при хора и поради експериментални данни, показващи риск от увреждане на хрущяла на носещите тежестта стави на растящия организъм от</w:t>
      </w:r>
      <w:r>
        <w:rPr>
          <w:lang w:eastAsia="bg-BG"/>
        </w:rPr>
        <w:t xml:space="preserve"> </w:t>
      </w:r>
      <w:r w:rsidRPr="00F925CB">
        <w:rPr>
          <w:lang w:eastAsia="bg-BG"/>
        </w:rPr>
        <w:t>флуорохинолоните, Левофлоксацин Каби инфузионен разтвор не трябва да се използва при бременни жени (вж. точки 4.3 и 5.3).</w:t>
      </w:r>
    </w:p>
    <w:p w14:paraId="789481B1" w14:textId="77777777" w:rsidR="00F925CB" w:rsidRDefault="00F925CB" w:rsidP="00F925CB">
      <w:pPr>
        <w:rPr>
          <w:lang w:eastAsia="bg-BG"/>
        </w:rPr>
      </w:pPr>
    </w:p>
    <w:p w14:paraId="282E2673" w14:textId="15D0713A" w:rsidR="00F925CB" w:rsidRPr="00F925CB" w:rsidRDefault="00F925CB" w:rsidP="00F925CB">
      <w:pPr>
        <w:pStyle w:val="Heading3"/>
        <w:rPr>
          <w:rFonts w:eastAsia="Times New Roman"/>
          <w:u w:val="single"/>
        </w:rPr>
      </w:pPr>
      <w:r w:rsidRPr="00F925CB">
        <w:rPr>
          <w:rFonts w:eastAsia="Times New Roman"/>
          <w:u w:val="single"/>
          <w:lang w:eastAsia="bg-BG"/>
        </w:rPr>
        <w:t>Кърмене</w:t>
      </w:r>
    </w:p>
    <w:p w14:paraId="0D85CE0A" w14:textId="77777777" w:rsidR="00F925CB" w:rsidRPr="00F925CB" w:rsidRDefault="00F925CB" w:rsidP="00F925CB">
      <w:pPr>
        <w:rPr>
          <w:sz w:val="24"/>
          <w:szCs w:val="24"/>
        </w:rPr>
      </w:pPr>
      <w:r w:rsidRPr="00F925CB">
        <w:rPr>
          <w:lang w:eastAsia="bg-BG"/>
        </w:rPr>
        <w:t>Левофлоксацин Каби е противопоказан при кърмещи жени. Няма достатъчно информация относно екскрецията на левофлоксацин в кърмата при човека; други флуорохинолони обаче се екскретират в кърмата. При липсата на данни при хора и поради експериментални данни, показващи риск от увреждане на хрущяла на носещите тежестта стави на растящия организъм от флуорохинолоните, Левофлоксацин Каби инфузионен разтвор не трябва да се използва при кърмещи жени (вж. точки 4.3 и 5.3).</w:t>
      </w:r>
    </w:p>
    <w:p w14:paraId="27056A6C" w14:textId="77777777" w:rsidR="00F925CB" w:rsidRDefault="00F925CB" w:rsidP="00F925CB">
      <w:pPr>
        <w:rPr>
          <w:lang w:eastAsia="bg-BG"/>
        </w:rPr>
      </w:pPr>
    </w:p>
    <w:p w14:paraId="613E1B50" w14:textId="00FDE34B" w:rsidR="00F925CB" w:rsidRPr="00F925CB" w:rsidRDefault="00F925CB" w:rsidP="00F925CB">
      <w:pPr>
        <w:pStyle w:val="Heading3"/>
        <w:rPr>
          <w:rFonts w:eastAsia="Times New Roman"/>
          <w:u w:val="single"/>
        </w:rPr>
      </w:pPr>
      <w:r w:rsidRPr="00F925CB">
        <w:rPr>
          <w:rFonts w:eastAsia="Times New Roman"/>
          <w:u w:val="single"/>
          <w:lang w:eastAsia="bg-BG"/>
        </w:rPr>
        <w:t>Фертилитет</w:t>
      </w:r>
    </w:p>
    <w:p w14:paraId="26AAC96B" w14:textId="77777777" w:rsidR="00F925CB" w:rsidRPr="00F925CB" w:rsidRDefault="00F925CB" w:rsidP="00F925CB">
      <w:pPr>
        <w:rPr>
          <w:sz w:val="24"/>
          <w:szCs w:val="24"/>
        </w:rPr>
      </w:pPr>
      <w:r w:rsidRPr="00F925CB">
        <w:rPr>
          <w:lang w:eastAsia="bg-BG"/>
        </w:rPr>
        <w:t>Левофлоксацин не предизвиква увреждане на фертилитета или репродуктивното поведение при плъхове.</w:t>
      </w:r>
    </w:p>
    <w:p w14:paraId="74826FA1" w14:textId="0F654DFB" w:rsidR="00F925CB" w:rsidRPr="00F925CB" w:rsidRDefault="00F925CB" w:rsidP="00F925CB"/>
    <w:p w14:paraId="2E3FB6D5" w14:textId="790461E2" w:rsidR="00F925CB" w:rsidRDefault="002C50EE" w:rsidP="00F925CB">
      <w:pPr>
        <w:pStyle w:val="Heading2"/>
      </w:pPr>
      <w:r>
        <w:lastRenderedPageBreak/>
        <w:t>4.7. Ефекти върху способността за шофиране и работа с машини</w:t>
      </w:r>
    </w:p>
    <w:p w14:paraId="382C1D1A" w14:textId="3C6D605D" w:rsidR="00F925CB" w:rsidRDefault="00F925CB" w:rsidP="00F925CB"/>
    <w:p w14:paraId="3EAA5E82" w14:textId="77777777" w:rsidR="00F925CB" w:rsidRPr="00F925CB" w:rsidRDefault="00F925CB" w:rsidP="00F925CB">
      <w:pPr>
        <w:rPr>
          <w:sz w:val="24"/>
          <w:szCs w:val="24"/>
        </w:rPr>
      </w:pPr>
      <w:r w:rsidRPr="00F925CB">
        <w:rPr>
          <w:lang w:eastAsia="bg-BG"/>
        </w:rPr>
        <w:t>Някои нежелани реакции (напр. замайване/световъртеж, сънливост, зрителни нарушения) могат да нарушат способността на пациента да се концентрира и реагира и поради това може да представляват риск в ситуации, в които тези способности са от особено значение (напр. шофиране и работа с машини).</w:t>
      </w:r>
    </w:p>
    <w:p w14:paraId="4B16A2E1" w14:textId="77777777" w:rsidR="00F925CB" w:rsidRPr="00F925CB" w:rsidRDefault="00F925CB" w:rsidP="00F925CB"/>
    <w:p w14:paraId="4FE16E21" w14:textId="68712950" w:rsidR="00395555" w:rsidRDefault="002C50EE" w:rsidP="008A6AF2">
      <w:pPr>
        <w:pStyle w:val="Heading2"/>
      </w:pPr>
      <w:r>
        <w:t>4.8. Нежелани лекарствени реакции</w:t>
      </w:r>
    </w:p>
    <w:p w14:paraId="584ADF31" w14:textId="4B6141AD" w:rsidR="00B868F9" w:rsidRDefault="00B868F9" w:rsidP="00B868F9"/>
    <w:p w14:paraId="6E545152" w14:textId="77777777" w:rsidR="00B868F9" w:rsidRPr="00B868F9" w:rsidRDefault="00B868F9" w:rsidP="00B868F9">
      <w:pPr>
        <w:rPr>
          <w:sz w:val="24"/>
          <w:szCs w:val="24"/>
        </w:rPr>
      </w:pPr>
      <w:r w:rsidRPr="00B868F9">
        <w:rPr>
          <w:lang w:eastAsia="bg-BG"/>
        </w:rPr>
        <w:t>Представената по-долу информация се основава на данни от клинични проучвания при повече от 8 300 пациенти и обширен пост-маркетингов опит.</w:t>
      </w:r>
    </w:p>
    <w:p w14:paraId="635B459D" w14:textId="77777777" w:rsidR="00B868F9" w:rsidRDefault="00B868F9" w:rsidP="00B868F9">
      <w:pPr>
        <w:rPr>
          <w:lang w:eastAsia="bg-BG"/>
        </w:rPr>
      </w:pPr>
    </w:p>
    <w:p w14:paraId="33C0B5F2" w14:textId="34E8D5B5" w:rsidR="00B868F9" w:rsidRPr="00B868F9" w:rsidRDefault="00B868F9" w:rsidP="00B868F9">
      <w:pPr>
        <w:rPr>
          <w:sz w:val="24"/>
          <w:szCs w:val="24"/>
        </w:rPr>
      </w:pPr>
      <w:r w:rsidRPr="00B868F9">
        <w:rPr>
          <w:lang w:eastAsia="bg-BG"/>
        </w:rPr>
        <w:t>Честотата в тази таблица е определена, като се използва следната класификация: много чести (≥ 1/10), чести (≥1/100 до &lt; 1/10), нечести (≥1/1 000 до &lt; 1/100), редки (≥1/10 000 до &lt; 1/1 000), много редки (&lt; 1/10 000), с неизвестна честота (от наличните данни не може да бъде направена оценка).</w:t>
      </w:r>
    </w:p>
    <w:p w14:paraId="0310C1D6" w14:textId="3F8A861B" w:rsidR="00B868F9" w:rsidRDefault="00B868F9" w:rsidP="00B868F9">
      <w:pPr>
        <w:rPr>
          <w:lang w:eastAsia="bg-BG"/>
        </w:rPr>
      </w:pPr>
      <w:r w:rsidRPr="00B868F9">
        <w:rPr>
          <w:lang w:eastAsia="bg-BG"/>
        </w:rPr>
        <w:t>В рамките на всяка група по честота, нежеланите лекарствени реакции са представени по реда на намаляваща сериозност.</w:t>
      </w:r>
    </w:p>
    <w:p w14:paraId="40478D21" w14:textId="13FE043B" w:rsidR="00B868F9" w:rsidRDefault="00B868F9" w:rsidP="00B868F9">
      <w:pPr>
        <w:rPr>
          <w:lang w:eastAsia="bg-BG"/>
        </w:rPr>
      </w:pPr>
    </w:p>
    <w:tbl>
      <w:tblPr>
        <w:tblStyle w:val="TableGrid"/>
        <w:tblW w:w="0" w:type="auto"/>
        <w:tblLook w:val="04A0" w:firstRow="1" w:lastRow="0" w:firstColumn="1" w:lastColumn="0" w:noHBand="0" w:noVBand="1"/>
      </w:tblPr>
      <w:tblGrid>
        <w:gridCol w:w="1787"/>
        <w:gridCol w:w="1470"/>
        <w:gridCol w:w="1678"/>
        <w:gridCol w:w="2262"/>
        <w:gridCol w:w="2153"/>
      </w:tblGrid>
      <w:tr w:rsidR="00B868F9" w14:paraId="7930FC99" w14:textId="77777777" w:rsidTr="00B868F9">
        <w:tc>
          <w:tcPr>
            <w:tcW w:w="1830" w:type="dxa"/>
          </w:tcPr>
          <w:p w14:paraId="77CA811F" w14:textId="61D26A0E" w:rsidR="00B868F9" w:rsidRDefault="00B868F9" w:rsidP="00B868F9">
            <w:pPr>
              <w:rPr>
                <w:sz w:val="24"/>
                <w:szCs w:val="24"/>
              </w:rPr>
            </w:pPr>
            <w:r>
              <w:rPr>
                <w:b/>
                <w:bCs/>
              </w:rPr>
              <w:t>Системо- органнн класове</w:t>
            </w:r>
          </w:p>
        </w:tc>
        <w:tc>
          <w:tcPr>
            <w:tcW w:w="1504" w:type="dxa"/>
          </w:tcPr>
          <w:p w14:paraId="603B98E4" w14:textId="77777777" w:rsidR="00B868F9" w:rsidRDefault="00B868F9" w:rsidP="00B868F9">
            <w:r>
              <w:rPr>
                <w:b/>
                <w:bCs/>
              </w:rPr>
              <w:t>Чести (≥1/100 до</w:t>
            </w:r>
          </w:p>
          <w:p w14:paraId="2EC867B7" w14:textId="69653BB1" w:rsidR="00B868F9" w:rsidRDefault="00B868F9" w:rsidP="00B868F9">
            <w:pPr>
              <w:rPr>
                <w:sz w:val="24"/>
                <w:szCs w:val="24"/>
              </w:rPr>
            </w:pPr>
            <w:r>
              <w:rPr>
                <w:b/>
                <w:bCs/>
              </w:rPr>
              <w:t>&lt;1/10 )</w:t>
            </w:r>
          </w:p>
        </w:tc>
        <w:tc>
          <w:tcPr>
            <w:tcW w:w="1718" w:type="dxa"/>
          </w:tcPr>
          <w:p w14:paraId="6BAFDF79" w14:textId="77777777" w:rsidR="00B868F9" w:rsidRDefault="00B868F9" w:rsidP="00B868F9">
            <w:r>
              <w:rPr>
                <w:b/>
                <w:bCs/>
              </w:rPr>
              <w:t>Нечести (≥1/1 000 до</w:t>
            </w:r>
          </w:p>
          <w:p w14:paraId="593FAF38" w14:textId="551D0D8E" w:rsidR="00B868F9" w:rsidRDefault="00B868F9" w:rsidP="00B868F9">
            <w:pPr>
              <w:rPr>
                <w:sz w:val="24"/>
                <w:szCs w:val="24"/>
              </w:rPr>
            </w:pPr>
            <w:r>
              <w:rPr>
                <w:b/>
                <w:bCs/>
              </w:rPr>
              <w:t>&lt;1/100)</w:t>
            </w:r>
          </w:p>
        </w:tc>
        <w:tc>
          <w:tcPr>
            <w:tcW w:w="2318" w:type="dxa"/>
          </w:tcPr>
          <w:p w14:paraId="569DF04E" w14:textId="77777777" w:rsidR="00B868F9" w:rsidRDefault="00B868F9" w:rsidP="00B868F9">
            <w:r>
              <w:rPr>
                <w:b/>
                <w:bCs/>
              </w:rPr>
              <w:t>Редки (≥1/10 000 до</w:t>
            </w:r>
          </w:p>
          <w:p w14:paraId="7B31EC14" w14:textId="0418B383" w:rsidR="00B868F9" w:rsidRDefault="00B868F9" w:rsidP="00B868F9">
            <w:pPr>
              <w:rPr>
                <w:sz w:val="24"/>
                <w:szCs w:val="24"/>
              </w:rPr>
            </w:pPr>
            <w:r>
              <w:rPr>
                <w:b/>
                <w:bCs/>
              </w:rPr>
              <w:t>&lt;1/1 000)</w:t>
            </w:r>
          </w:p>
        </w:tc>
        <w:tc>
          <w:tcPr>
            <w:tcW w:w="2206" w:type="dxa"/>
            <w:vAlign w:val="bottom"/>
          </w:tcPr>
          <w:p w14:paraId="453ABB51" w14:textId="42AB4D88" w:rsidR="00B868F9" w:rsidRDefault="00B868F9" w:rsidP="00B868F9">
            <w:pPr>
              <w:rPr>
                <w:sz w:val="24"/>
                <w:szCs w:val="24"/>
              </w:rPr>
            </w:pPr>
            <w:r>
              <w:rPr>
                <w:b/>
                <w:bCs/>
              </w:rPr>
              <w:t>С неизвестна честота (от наличните данни не може да бъде направена оценка)</w:t>
            </w:r>
          </w:p>
        </w:tc>
      </w:tr>
      <w:tr w:rsidR="00B868F9" w14:paraId="0090FC90" w14:textId="77777777" w:rsidTr="00B868F9">
        <w:tc>
          <w:tcPr>
            <w:tcW w:w="1830" w:type="dxa"/>
          </w:tcPr>
          <w:p w14:paraId="6757622E" w14:textId="40CA22F0" w:rsidR="00B868F9" w:rsidRDefault="00B868F9" w:rsidP="00B868F9">
            <w:pPr>
              <w:rPr>
                <w:sz w:val="24"/>
                <w:szCs w:val="24"/>
              </w:rPr>
            </w:pPr>
            <w:r>
              <w:t>Инфекции и инфестации</w:t>
            </w:r>
          </w:p>
        </w:tc>
        <w:tc>
          <w:tcPr>
            <w:tcW w:w="1504" w:type="dxa"/>
          </w:tcPr>
          <w:p w14:paraId="1E5E6E6E" w14:textId="77777777" w:rsidR="00B868F9" w:rsidRDefault="00B868F9" w:rsidP="00B868F9">
            <w:pPr>
              <w:rPr>
                <w:sz w:val="24"/>
                <w:szCs w:val="24"/>
              </w:rPr>
            </w:pPr>
          </w:p>
        </w:tc>
        <w:tc>
          <w:tcPr>
            <w:tcW w:w="1718" w:type="dxa"/>
            <w:vAlign w:val="center"/>
          </w:tcPr>
          <w:p w14:paraId="25AB246F" w14:textId="77777777" w:rsidR="00B868F9" w:rsidRDefault="00B868F9" w:rsidP="00B868F9">
            <w:r>
              <w:t>Гъбична инфекция, включително</w:t>
            </w:r>
          </w:p>
          <w:p w14:paraId="27BF4522" w14:textId="31A18899" w:rsidR="00B868F9" w:rsidRDefault="00B868F9" w:rsidP="00B868F9">
            <w:pPr>
              <w:rPr>
                <w:sz w:val="24"/>
                <w:szCs w:val="24"/>
              </w:rPr>
            </w:pPr>
            <w:r>
              <w:rPr>
                <w:lang w:val="en-US"/>
              </w:rPr>
              <w:t>Candida</w:t>
            </w:r>
            <w:r w:rsidRPr="00B868F9">
              <w:rPr>
                <w:lang w:val="ru-RU"/>
              </w:rPr>
              <w:t xml:space="preserve"> </w:t>
            </w:r>
            <w:r>
              <w:t>инфекция Резистентност на патогените</w:t>
            </w:r>
          </w:p>
        </w:tc>
        <w:tc>
          <w:tcPr>
            <w:tcW w:w="2318" w:type="dxa"/>
          </w:tcPr>
          <w:p w14:paraId="6FCBF4A7" w14:textId="77777777" w:rsidR="00B868F9" w:rsidRDefault="00B868F9" w:rsidP="00B868F9">
            <w:pPr>
              <w:rPr>
                <w:sz w:val="24"/>
                <w:szCs w:val="24"/>
              </w:rPr>
            </w:pPr>
          </w:p>
        </w:tc>
        <w:tc>
          <w:tcPr>
            <w:tcW w:w="2206" w:type="dxa"/>
          </w:tcPr>
          <w:p w14:paraId="7E75998F" w14:textId="71F1FA7A" w:rsidR="00B868F9" w:rsidRDefault="00B868F9" w:rsidP="00B868F9">
            <w:pPr>
              <w:rPr>
                <w:sz w:val="24"/>
                <w:szCs w:val="24"/>
              </w:rPr>
            </w:pPr>
          </w:p>
        </w:tc>
      </w:tr>
      <w:tr w:rsidR="00B868F9" w14:paraId="35AF2B65" w14:textId="77777777" w:rsidTr="00B868F9">
        <w:tc>
          <w:tcPr>
            <w:tcW w:w="1830" w:type="dxa"/>
          </w:tcPr>
          <w:p w14:paraId="5535CC4B" w14:textId="5081F1F1" w:rsidR="00B868F9" w:rsidRDefault="00B868F9" w:rsidP="00B868F9">
            <w:pPr>
              <w:rPr>
                <w:sz w:val="24"/>
                <w:szCs w:val="24"/>
              </w:rPr>
            </w:pPr>
            <w:r>
              <w:t>Нарушения на кръвта и лимфната система</w:t>
            </w:r>
          </w:p>
        </w:tc>
        <w:tc>
          <w:tcPr>
            <w:tcW w:w="1504" w:type="dxa"/>
          </w:tcPr>
          <w:p w14:paraId="0BEB4AFE" w14:textId="77777777" w:rsidR="00B868F9" w:rsidRDefault="00B868F9" w:rsidP="00B868F9">
            <w:pPr>
              <w:rPr>
                <w:sz w:val="24"/>
                <w:szCs w:val="24"/>
              </w:rPr>
            </w:pPr>
          </w:p>
        </w:tc>
        <w:tc>
          <w:tcPr>
            <w:tcW w:w="1718" w:type="dxa"/>
          </w:tcPr>
          <w:p w14:paraId="5CA8A6DF" w14:textId="242B8DAF" w:rsidR="00B868F9" w:rsidRDefault="00B868F9" w:rsidP="00B868F9">
            <w:pPr>
              <w:rPr>
                <w:sz w:val="24"/>
                <w:szCs w:val="24"/>
              </w:rPr>
            </w:pPr>
            <w:r>
              <w:t>Левкопения, Еозинофилия</w:t>
            </w:r>
          </w:p>
        </w:tc>
        <w:tc>
          <w:tcPr>
            <w:tcW w:w="2318" w:type="dxa"/>
          </w:tcPr>
          <w:p w14:paraId="4D16A67B" w14:textId="35E731F7" w:rsidR="00B868F9" w:rsidRDefault="00B868F9" w:rsidP="00B868F9">
            <w:pPr>
              <w:rPr>
                <w:sz w:val="24"/>
                <w:szCs w:val="24"/>
              </w:rPr>
            </w:pPr>
            <w:r>
              <w:t>Тромбоцитопения, Неутропения</w:t>
            </w:r>
          </w:p>
        </w:tc>
        <w:tc>
          <w:tcPr>
            <w:tcW w:w="2206" w:type="dxa"/>
          </w:tcPr>
          <w:p w14:paraId="2762D532" w14:textId="77777777" w:rsidR="00B868F9" w:rsidRDefault="00B868F9" w:rsidP="00B868F9">
            <w:r>
              <w:t>Панцитопения,</w:t>
            </w:r>
          </w:p>
          <w:p w14:paraId="1599A500" w14:textId="77777777" w:rsidR="00B868F9" w:rsidRDefault="00B868F9" w:rsidP="00B868F9">
            <w:r>
              <w:t>Агранулоцитоза,</w:t>
            </w:r>
          </w:p>
          <w:p w14:paraId="425BAF91" w14:textId="77777777" w:rsidR="00B868F9" w:rsidRDefault="00B868F9" w:rsidP="00B868F9">
            <w:r>
              <w:t>Хемолитична</w:t>
            </w:r>
          </w:p>
          <w:p w14:paraId="78FDA4FB" w14:textId="526B1ADA" w:rsidR="00B868F9" w:rsidRDefault="00B868F9" w:rsidP="00B868F9">
            <w:pPr>
              <w:rPr>
                <w:sz w:val="24"/>
                <w:szCs w:val="24"/>
              </w:rPr>
            </w:pPr>
            <w:r>
              <w:t>анемия</w:t>
            </w:r>
          </w:p>
        </w:tc>
      </w:tr>
      <w:tr w:rsidR="00B868F9" w14:paraId="20688FD8" w14:textId="77777777" w:rsidTr="00B868F9">
        <w:tc>
          <w:tcPr>
            <w:tcW w:w="1830" w:type="dxa"/>
          </w:tcPr>
          <w:p w14:paraId="1C207F0F" w14:textId="156AAF45" w:rsidR="00B868F9" w:rsidRDefault="00B868F9" w:rsidP="00B868F9">
            <w:pPr>
              <w:rPr>
                <w:sz w:val="24"/>
                <w:szCs w:val="24"/>
              </w:rPr>
            </w:pPr>
            <w:r>
              <w:t>Нарушения на имунната система</w:t>
            </w:r>
          </w:p>
        </w:tc>
        <w:tc>
          <w:tcPr>
            <w:tcW w:w="1504" w:type="dxa"/>
          </w:tcPr>
          <w:p w14:paraId="25B73339" w14:textId="77777777" w:rsidR="00B868F9" w:rsidRDefault="00B868F9" w:rsidP="00B868F9">
            <w:pPr>
              <w:rPr>
                <w:sz w:val="24"/>
                <w:szCs w:val="24"/>
              </w:rPr>
            </w:pPr>
          </w:p>
        </w:tc>
        <w:tc>
          <w:tcPr>
            <w:tcW w:w="1718" w:type="dxa"/>
          </w:tcPr>
          <w:p w14:paraId="0034E435" w14:textId="77777777" w:rsidR="00B868F9" w:rsidRDefault="00B868F9" w:rsidP="00B868F9">
            <w:pPr>
              <w:rPr>
                <w:sz w:val="24"/>
                <w:szCs w:val="24"/>
              </w:rPr>
            </w:pPr>
          </w:p>
        </w:tc>
        <w:tc>
          <w:tcPr>
            <w:tcW w:w="2318" w:type="dxa"/>
          </w:tcPr>
          <w:p w14:paraId="38D2AC9A" w14:textId="77777777" w:rsidR="00B868F9" w:rsidRDefault="00B868F9" w:rsidP="00B868F9">
            <w:r>
              <w:t>Ангиоедем</w:t>
            </w:r>
          </w:p>
          <w:p w14:paraId="08237835" w14:textId="0534752D" w:rsidR="00B868F9" w:rsidRDefault="00B868F9" w:rsidP="00B868F9">
            <w:pPr>
              <w:rPr>
                <w:sz w:val="24"/>
                <w:szCs w:val="24"/>
              </w:rPr>
            </w:pPr>
            <w:r>
              <w:t>Свръхчувствителност (вж. точка 4.4)</w:t>
            </w:r>
          </w:p>
        </w:tc>
        <w:tc>
          <w:tcPr>
            <w:tcW w:w="2206" w:type="dxa"/>
          </w:tcPr>
          <w:p w14:paraId="53C75083" w14:textId="48800209" w:rsidR="00B868F9" w:rsidRDefault="00B868F9" w:rsidP="00B868F9">
            <w:pPr>
              <w:rPr>
                <w:sz w:val="24"/>
                <w:szCs w:val="24"/>
              </w:rPr>
            </w:pPr>
            <w:r>
              <w:t>Анафилактичен шок</w:t>
            </w:r>
            <w:r>
              <w:rPr>
                <w:vertAlign w:val="superscript"/>
              </w:rPr>
              <w:t xml:space="preserve">а </w:t>
            </w:r>
            <w:r>
              <w:t>Анафилактоиден шок</w:t>
            </w:r>
            <w:r>
              <w:rPr>
                <w:vertAlign w:val="superscript"/>
              </w:rPr>
              <w:t xml:space="preserve">а </w:t>
            </w:r>
            <w:r>
              <w:t>(вж. точка 4.4)</w:t>
            </w:r>
          </w:p>
        </w:tc>
      </w:tr>
      <w:tr w:rsidR="00B868F9" w14:paraId="74DEC6AE" w14:textId="77777777" w:rsidTr="00B868F9">
        <w:tc>
          <w:tcPr>
            <w:tcW w:w="1830" w:type="dxa"/>
          </w:tcPr>
          <w:p w14:paraId="666308FD" w14:textId="71DAE011" w:rsidR="00B868F9" w:rsidRDefault="00B868F9" w:rsidP="00B868F9">
            <w:pPr>
              <w:rPr>
                <w:sz w:val="24"/>
                <w:szCs w:val="24"/>
              </w:rPr>
            </w:pPr>
            <w:r>
              <w:t>Ендокринни нарушения</w:t>
            </w:r>
          </w:p>
        </w:tc>
        <w:tc>
          <w:tcPr>
            <w:tcW w:w="1504" w:type="dxa"/>
          </w:tcPr>
          <w:p w14:paraId="005CC29B" w14:textId="77777777" w:rsidR="00B868F9" w:rsidRDefault="00B868F9" w:rsidP="00B868F9">
            <w:pPr>
              <w:rPr>
                <w:sz w:val="24"/>
                <w:szCs w:val="24"/>
              </w:rPr>
            </w:pPr>
          </w:p>
        </w:tc>
        <w:tc>
          <w:tcPr>
            <w:tcW w:w="1718" w:type="dxa"/>
          </w:tcPr>
          <w:p w14:paraId="01A26EFB" w14:textId="77777777" w:rsidR="00B868F9" w:rsidRDefault="00B868F9" w:rsidP="00B868F9">
            <w:pPr>
              <w:rPr>
                <w:sz w:val="24"/>
                <w:szCs w:val="24"/>
              </w:rPr>
            </w:pPr>
          </w:p>
        </w:tc>
        <w:tc>
          <w:tcPr>
            <w:tcW w:w="2318" w:type="dxa"/>
          </w:tcPr>
          <w:p w14:paraId="4F884F47" w14:textId="74D2F358" w:rsidR="00B868F9" w:rsidRDefault="00B868F9" w:rsidP="00B868F9">
            <w:pPr>
              <w:rPr>
                <w:sz w:val="24"/>
                <w:szCs w:val="24"/>
              </w:rPr>
            </w:pPr>
            <w:r>
              <w:t xml:space="preserve">Синдром на неадекватна секреция на антидиуретичен хормон </w:t>
            </w:r>
            <w:r w:rsidRPr="00B868F9">
              <w:rPr>
                <w:lang w:val="ru-RU"/>
              </w:rPr>
              <w:t>(</w:t>
            </w:r>
            <w:r>
              <w:rPr>
                <w:lang w:val="en-US"/>
              </w:rPr>
              <w:t>SIADH</w:t>
            </w:r>
            <w:r w:rsidRPr="00B868F9">
              <w:rPr>
                <w:lang w:val="ru-RU"/>
              </w:rPr>
              <w:t>)</w:t>
            </w:r>
          </w:p>
        </w:tc>
        <w:tc>
          <w:tcPr>
            <w:tcW w:w="2206" w:type="dxa"/>
          </w:tcPr>
          <w:p w14:paraId="3B563291" w14:textId="77777777" w:rsidR="00B868F9" w:rsidRDefault="00B868F9" w:rsidP="00B868F9">
            <w:pPr>
              <w:rPr>
                <w:sz w:val="24"/>
                <w:szCs w:val="24"/>
              </w:rPr>
            </w:pPr>
          </w:p>
        </w:tc>
      </w:tr>
      <w:tr w:rsidR="00B868F9" w14:paraId="29698B58" w14:textId="77777777" w:rsidTr="00B868F9">
        <w:tc>
          <w:tcPr>
            <w:tcW w:w="1830" w:type="dxa"/>
          </w:tcPr>
          <w:p w14:paraId="2178F188" w14:textId="5BCE6AE2" w:rsidR="00B868F9" w:rsidRDefault="00B868F9" w:rsidP="00B868F9">
            <w:pPr>
              <w:rPr>
                <w:sz w:val="24"/>
                <w:szCs w:val="24"/>
              </w:rPr>
            </w:pPr>
            <w:r>
              <w:lastRenderedPageBreak/>
              <w:t>Нарушения на метаболизма и храненето</w:t>
            </w:r>
          </w:p>
        </w:tc>
        <w:tc>
          <w:tcPr>
            <w:tcW w:w="1504" w:type="dxa"/>
          </w:tcPr>
          <w:p w14:paraId="37D6ACAC" w14:textId="77777777" w:rsidR="00B868F9" w:rsidRDefault="00B868F9" w:rsidP="00B868F9">
            <w:pPr>
              <w:rPr>
                <w:sz w:val="24"/>
                <w:szCs w:val="24"/>
              </w:rPr>
            </w:pPr>
          </w:p>
        </w:tc>
        <w:tc>
          <w:tcPr>
            <w:tcW w:w="1718" w:type="dxa"/>
          </w:tcPr>
          <w:p w14:paraId="41AB1A27" w14:textId="18E739F1" w:rsidR="00B868F9" w:rsidRDefault="00B868F9" w:rsidP="00B868F9">
            <w:pPr>
              <w:rPr>
                <w:sz w:val="24"/>
                <w:szCs w:val="24"/>
              </w:rPr>
            </w:pPr>
            <w:r>
              <w:t>Анорексия</w:t>
            </w:r>
          </w:p>
        </w:tc>
        <w:tc>
          <w:tcPr>
            <w:tcW w:w="2318" w:type="dxa"/>
            <w:vAlign w:val="center"/>
          </w:tcPr>
          <w:p w14:paraId="5C171193" w14:textId="79A6A438" w:rsidR="00B868F9" w:rsidRDefault="00B868F9" w:rsidP="00B868F9">
            <w:pPr>
              <w:rPr>
                <w:sz w:val="24"/>
                <w:szCs w:val="24"/>
              </w:rPr>
            </w:pPr>
            <w:r>
              <w:t>Хипогликемия, особено при пациенти със захарен диабет (вж. точка 4.4)</w:t>
            </w:r>
          </w:p>
        </w:tc>
        <w:tc>
          <w:tcPr>
            <w:tcW w:w="2206" w:type="dxa"/>
          </w:tcPr>
          <w:p w14:paraId="08F6F81A" w14:textId="77777777" w:rsidR="00B868F9" w:rsidRDefault="00B868F9" w:rsidP="00B868F9">
            <w:r>
              <w:t>Хипергликемия</w:t>
            </w:r>
          </w:p>
          <w:p w14:paraId="7C0A1236" w14:textId="0598A563" w:rsidR="00B868F9" w:rsidRDefault="00B868F9" w:rsidP="00B868F9">
            <w:pPr>
              <w:rPr>
                <w:sz w:val="24"/>
                <w:szCs w:val="24"/>
              </w:rPr>
            </w:pPr>
            <w:r>
              <w:t>Хипогликемична кома</w:t>
            </w:r>
          </w:p>
        </w:tc>
      </w:tr>
      <w:tr w:rsidR="00B868F9" w14:paraId="6F16D415" w14:textId="77777777" w:rsidTr="00B868F9">
        <w:tc>
          <w:tcPr>
            <w:tcW w:w="1830" w:type="dxa"/>
          </w:tcPr>
          <w:p w14:paraId="51136DD5" w14:textId="4C0D7352" w:rsidR="00B868F9" w:rsidRDefault="00B868F9" w:rsidP="00B868F9">
            <w:pPr>
              <w:rPr>
                <w:sz w:val="24"/>
                <w:szCs w:val="24"/>
              </w:rPr>
            </w:pPr>
            <w:r>
              <w:t>Психични нарушения</w:t>
            </w:r>
          </w:p>
        </w:tc>
        <w:tc>
          <w:tcPr>
            <w:tcW w:w="1504" w:type="dxa"/>
          </w:tcPr>
          <w:p w14:paraId="71696D6D" w14:textId="3B0DFF02" w:rsidR="00B868F9" w:rsidRDefault="00B868F9" w:rsidP="00B868F9">
            <w:pPr>
              <w:rPr>
                <w:sz w:val="24"/>
                <w:szCs w:val="24"/>
              </w:rPr>
            </w:pPr>
            <w:r>
              <w:t>Безсъние</w:t>
            </w:r>
          </w:p>
        </w:tc>
        <w:tc>
          <w:tcPr>
            <w:tcW w:w="1718" w:type="dxa"/>
          </w:tcPr>
          <w:p w14:paraId="7497E1C2" w14:textId="22FCD0FC" w:rsidR="00B868F9" w:rsidRDefault="00B868F9" w:rsidP="00B868F9">
            <w:pPr>
              <w:rPr>
                <w:sz w:val="24"/>
                <w:szCs w:val="24"/>
              </w:rPr>
            </w:pPr>
            <w:r>
              <w:t>Тревожност Състояние на обърканост Нервност</w:t>
            </w:r>
          </w:p>
        </w:tc>
        <w:tc>
          <w:tcPr>
            <w:tcW w:w="2318" w:type="dxa"/>
            <w:vAlign w:val="bottom"/>
          </w:tcPr>
          <w:p w14:paraId="57EA248B" w14:textId="77777777" w:rsidR="00B868F9" w:rsidRDefault="00B868F9" w:rsidP="00B868F9">
            <w:r>
              <w:t>Психотични реакции (с напр. халюцинации, параноя)</w:t>
            </w:r>
          </w:p>
          <w:p w14:paraId="4C88CFE6" w14:textId="77777777" w:rsidR="00B868F9" w:rsidRDefault="00B868F9" w:rsidP="00B868F9">
            <w:r>
              <w:t>Депресия</w:t>
            </w:r>
          </w:p>
          <w:p w14:paraId="379C7782" w14:textId="77777777" w:rsidR="00B868F9" w:rsidRDefault="00B868F9" w:rsidP="00B868F9">
            <w:r>
              <w:t>Ажитация</w:t>
            </w:r>
          </w:p>
          <w:p w14:paraId="08A17E9C" w14:textId="77777777" w:rsidR="00B868F9" w:rsidRDefault="00B868F9" w:rsidP="00B868F9">
            <w:r>
              <w:t>Абнормни сънища</w:t>
            </w:r>
          </w:p>
          <w:p w14:paraId="01BCD6BA" w14:textId="3682EBFB" w:rsidR="00B868F9" w:rsidRDefault="00B868F9" w:rsidP="00B868F9">
            <w:pPr>
              <w:rPr>
                <w:sz w:val="24"/>
                <w:szCs w:val="24"/>
              </w:rPr>
            </w:pPr>
            <w:r>
              <w:t>Кошмари</w:t>
            </w:r>
          </w:p>
        </w:tc>
        <w:tc>
          <w:tcPr>
            <w:tcW w:w="2206" w:type="dxa"/>
          </w:tcPr>
          <w:p w14:paraId="44864BCD" w14:textId="57A3D6B2" w:rsidR="00B868F9" w:rsidRDefault="00B868F9" w:rsidP="00B868F9">
            <w:pPr>
              <w:rPr>
                <w:sz w:val="24"/>
                <w:szCs w:val="24"/>
              </w:rPr>
            </w:pPr>
            <w:r>
              <w:t>Психотични реакции със самонараняващо поведение, включително суицидни мисли или опити (вж. точка 4.4)</w:t>
            </w:r>
          </w:p>
        </w:tc>
      </w:tr>
      <w:tr w:rsidR="00B868F9" w14:paraId="379229CA" w14:textId="77777777" w:rsidTr="00B868F9">
        <w:tc>
          <w:tcPr>
            <w:tcW w:w="1830" w:type="dxa"/>
          </w:tcPr>
          <w:p w14:paraId="59D32DF3" w14:textId="69862B4B" w:rsidR="00B868F9" w:rsidRDefault="00B868F9" w:rsidP="00B868F9">
            <w:pPr>
              <w:rPr>
                <w:sz w:val="24"/>
                <w:szCs w:val="24"/>
              </w:rPr>
            </w:pPr>
            <w:r>
              <w:t>Нарушения на нервната система*</w:t>
            </w:r>
          </w:p>
        </w:tc>
        <w:tc>
          <w:tcPr>
            <w:tcW w:w="1504" w:type="dxa"/>
          </w:tcPr>
          <w:p w14:paraId="5B37DDF2" w14:textId="77777777" w:rsidR="00B868F9" w:rsidRDefault="00B868F9" w:rsidP="00B868F9">
            <w:r>
              <w:t>Главоболие</w:t>
            </w:r>
          </w:p>
          <w:p w14:paraId="1596BB17" w14:textId="094A76DE" w:rsidR="00B868F9" w:rsidRDefault="00B868F9" w:rsidP="00B868F9">
            <w:pPr>
              <w:rPr>
                <w:sz w:val="24"/>
                <w:szCs w:val="24"/>
              </w:rPr>
            </w:pPr>
            <w:r>
              <w:t>Замайване</w:t>
            </w:r>
          </w:p>
        </w:tc>
        <w:tc>
          <w:tcPr>
            <w:tcW w:w="1718" w:type="dxa"/>
          </w:tcPr>
          <w:p w14:paraId="529425D7" w14:textId="08BECFFC" w:rsidR="00B868F9" w:rsidRDefault="00B868F9" w:rsidP="00B868F9">
            <w:pPr>
              <w:rPr>
                <w:sz w:val="24"/>
                <w:szCs w:val="24"/>
              </w:rPr>
            </w:pPr>
            <w:r>
              <w:t>Сомнолентност Тремор Дисгеузия</w:t>
            </w:r>
          </w:p>
        </w:tc>
        <w:tc>
          <w:tcPr>
            <w:tcW w:w="2318" w:type="dxa"/>
          </w:tcPr>
          <w:p w14:paraId="1B3DA5E7" w14:textId="77777777" w:rsidR="00B868F9" w:rsidRDefault="00B868F9" w:rsidP="00B868F9">
            <w:r>
              <w:t>Конвулсии (вж. точки</w:t>
            </w:r>
          </w:p>
          <w:p w14:paraId="187C83B2" w14:textId="271260F7" w:rsidR="00B868F9" w:rsidRDefault="00B868F9" w:rsidP="00B868F9">
            <w:pPr>
              <w:rPr>
                <w:sz w:val="24"/>
                <w:szCs w:val="24"/>
              </w:rPr>
            </w:pPr>
            <w:r>
              <w:t>4.3 и 4.4) Парестезия</w:t>
            </w:r>
          </w:p>
        </w:tc>
        <w:tc>
          <w:tcPr>
            <w:tcW w:w="2206" w:type="dxa"/>
            <w:vAlign w:val="center"/>
          </w:tcPr>
          <w:p w14:paraId="071EB99A" w14:textId="77777777" w:rsidR="00B868F9" w:rsidRDefault="00B868F9" w:rsidP="00B868F9">
            <w:r>
              <w:t>Периферна сензорна невропатия (вж. точка 4.4)</w:t>
            </w:r>
          </w:p>
          <w:p w14:paraId="40C30291" w14:textId="77777777" w:rsidR="00B868F9" w:rsidRDefault="00B868F9" w:rsidP="00B868F9">
            <w:r>
              <w:t>Периферна сензо- моторна невропатия (вж. точка 4.4) Паросмия, включително, аносмия</w:t>
            </w:r>
          </w:p>
          <w:p w14:paraId="1446424E" w14:textId="77777777" w:rsidR="00B868F9" w:rsidRDefault="00B868F9" w:rsidP="00B868F9">
            <w:r>
              <w:t>Дискинезия Екстрапирамидно нарушение Агеузия</w:t>
            </w:r>
          </w:p>
          <w:p w14:paraId="666A64B4" w14:textId="77777777" w:rsidR="00B868F9" w:rsidRDefault="00B868F9" w:rsidP="00B868F9">
            <w:r>
              <w:t>Синкоп</w:t>
            </w:r>
          </w:p>
          <w:p w14:paraId="7BD50E4A" w14:textId="1AA63A57" w:rsidR="00B868F9" w:rsidRDefault="00B868F9" w:rsidP="00B868F9">
            <w:pPr>
              <w:rPr>
                <w:sz w:val="24"/>
                <w:szCs w:val="24"/>
              </w:rPr>
            </w:pPr>
            <w:r>
              <w:t>Доброкачествена интракраниална хипертензия</w:t>
            </w:r>
          </w:p>
        </w:tc>
      </w:tr>
      <w:tr w:rsidR="00B868F9" w14:paraId="7BBF1327" w14:textId="77777777" w:rsidTr="00B868F9">
        <w:tc>
          <w:tcPr>
            <w:tcW w:w="1830" w:type="dxa"/>
          </w:tcPr>
          <w:p w14:paraId="7D59FC6D" w14:textId="7618D320" w:rsidR="00B868F9" w:rsidRDefault="00B868F9" w:rsidP="00B868F9">
            <w:pPr>
              <w:rPr>
                <w:sz w:val="24"/>
                <w:szCs w:val="24"/>
              </w:rPr>
            </w:pPr>
            <w:r>
              <w:t>Нарушения на очите*</w:t>
            </w:r>
          </w:p>
        </w:tc>
        <w:tc>
          <w:tcPr>
            <w:tcW w:w="1504" w:type="dxa"/>
          </w:tcPr>
          <w:p w14:paraId="0035DDD5" w14:textId="77777777" w:rsidR="00B868F9" w:rsidRDefault="00B868F9" w:rsidP="00B868F9">
            <w:pPr>
              <w:rPr>
                <w:sz w:val="24"/>
                <w:szCs w:val="24"/>
              </w:rPr>
            </w:pPr>
          </w:p>
        </w:tc>
        <w:tc>
          <w:tcPr>
            <w:tcW w:w="1718" w:type="dxa"/>
          </w:tcPr>
          <w:p w14:paraId="2D8BEE26" w14:textId="77777777" w:rsidR="00B868F9" w:rsidRDefault="00B868F9" w:rsidP="00B868F9">
            <w:pPr>
              <w:rPr>
                <w:sz w:val="24"/>
                <w:szCs w:val="24"/>
              </w:rPr>
            </w:pPr>
          </w:p>
        </w:tc>
        <w:tc>
          <w:tcPr>
            <w:tcW w:w="2318" w:type="dxa"/>
          </w:tcPr>
          <w:p w14:paraId="6C3C035E" w14:textId="31686352" w:rsidR="00B868F9" w:rsidRDefault="00B868F9" w:rsidP="00B868F9">
            <w:pPr>
              <w:rPr>
                <w:sz w:val="24"/>
                <w:szCs w:val="24"/>
              </w:rPr>
            </w:pPr>
            <w:r>
              <w:t>Зрителни нарушения като напр. размазано зрение (вж. точка 4.4)</w:t>
            </w:r>
          </w:p>
        </w:tc>
        <w:tc>
          <w:tcPr>
            <w:tcW w:w="2206" w:type="dxa"/>
            <w:vAlign w:val="bottom"/>
          </w:tcPr>
          <w:p w14:paraId="555A1406" w14:textId="0CB6FB76" w:rsidR="00B868F9" w:rsidRDefault="00B868F9" w:rsidP="00B868F9">
            <w:pPr>
              <w:rPr>
                <w:sz w:val="24"/>
                <w:szCs w:val="24"/>
              </w:rPr>
            </w:pPr>
            <w:r>
              <w:t>Преходна загуба на зрение (вж. точка 4.4)</w:t>
            </w:r>
          </w:p>
        </w:tc>
      </w:tr>
      <w:tr w:rsidR="00B868F9" w14:paraId="29036C23" w14:textId="77777777" w:rsidTr="00B868F9">
        <w:tc>
          <w:tcPr>
            <w:tcW w:w="1830" w:type="dxa"/>
          </w:tcPr>
          <w:p w14:paraId="6C4EAB5D" w14:textId="47B50433" w:rsidR="00B868F9" w:rsidRDefault="00B868F9" w:rsidP="00B868F9">
            <w:pPr>
              <w:rPr>
                <w:sz w:val="24"/>
                <w:szCs w:val="24"/>
              </w:rPr>
            </w:pPr>
            <w:r>
              <w:t>Нарушения на ухото и лабиринта</w:t>
            </w:r>
          </w:p>
        </w:tc>
        <w:tc>
          <w:tcPr>
            <w:tcW w:w="1504" w:type="dxa"/>
          </w:tcPr>
          <w:p w14:paraId="2110F3B7" w14:textId="77777777" w:rsidR="00B868F9" w:rsidRDefault="00B868F9" w:rsidP="00B868F9">
            <w:pPr>
              <w:rPr>
                <w:sz w:val="24"/>
                <w:szCs w:val="24"/>
              </w:rPr>
            </w:pPr>
          </w:p>
        </w:tc>
        <w:tc>
          <w:tcPr>
            <w:tcW w:w="1718" w:type="dxa"/>
          </w:tcPr>
          <w:p w14:paraId="226280BC" w14:textId="066EE495" w:rsidR="00B868F9" w:rsidRDefault="00B868F9" w:rsidP="00B868F9">
            <w:pPr>
              <w:rPr>
                <w:sz w:val="24"/>
                <w:szCs w:val="24"/>
              </w:rPr>
            </w:pPr>
            <w:r>
              <w:t>Вертиго</w:t>
            </w:r>
          </w:p>
        </w:tc>
        <w:tc>
          <w:tcPr>
            <w:tcW w:w="2318" w:type="dxa"/>
          </w:tcPr>
          <w:p w14:paraId="37F16A30" w14:textId="6743E99D" w:rsidR="00B868F9" w:rsidRDefault="00B868F9" w:rsidP="00B868F9">
            <w:pPr>
              <w:rPr>
                <w:sz w:val="24"/>
                <w:szCs w:val="24"/>
              </w:rPr>
            </w:pPr>
            <w:r>
              <w:t>Шум в ушите</w:t>
            </w:r>
          </w:p>
        </w:tc>
        <w:tc>
          <w:tcPr>
            <w:tcW w:w="2206" w:type="dxa"/>
          </w:tcPr>
          <w:p w14:paraId="336622CC" w14:textId="77777777" w:rsidR="00B868F9" w:rsidRDefault="00B868F9" w:rsidP="00B868F9">
            <w:r>
              <w:t>Загуба на слуха</w:t>
            </w:r>
          </w:p>
          <w:p w14:paraId="43838EA0" w14:textId="7051C220" w:rsidR="00B868F9" w:rsidRDefault="00B868F9" w:rsidP="00B868F9">
            <w:pPr>
              <w:rPr>
                <w:sz w:val="24"/>
                <w:szCs w:val="24"/>
              </w:rPr>
            </w:pPr>
            <w:r>
              <w:t>Увреден слух</w:t>
            </w:r>
          </w:p>
        </w:tc>
      </w:tr>
      <w:tr w:rsidR="00B868F9" w14:paraId="34343FBD" w14:textId="77777777" w:rsidTr="00B868F9">
        <w:tc>
          <w:tcPr>
            <w:tcW w:w="1830" w:type="dxa"/>
          </w:tcPr>
          <w:p w14:paraId="035856A8" w14:textId="0B91338C" w:rsidR="00B868F9" w:rsidRDefault="00B868F9" w:rsidP="00B868F9">
            <w:pPr>
              <w:rPr>
                <w:sz w:val="24"/>
                <w:szCs w:val="24"/>
              </w:rPr>
            </w:pPr>
            <w:r>
              <w:t>Сърдечни нарушения**</w:t>
            </w:r>
          </w:p>
        </w:tc>
        <w:tc>
          <w:tcPr>
            <w:tcW w:w="1504" w:type="dxa"/>
          </w:tcPr>
          <w:p w14:paraId="6F0119A2" w14:textId="77777777" w:rsidR="00B868F9" w:rsidRDefault="00B868F9" w:rsidP="00B868F9">
            <w:pPr>
              <w:rPr>
                <w:sz w:val="24"/>
                <w:szCs w:val="24"/>
              </w:rPr>
            </w:pPr>
          </w:p>
        </w:tc>
        <w:tc>
          <w:tcPr>
            <w:tcW w:w="1718" w:type="dxa"/>
          </w:tcPr>
          <w:p w14:paraId="18415B4F" w14:textId="77777777" w:rsidR="00B868F9" w:rsidRDefault="00B868F9" w:rsidP="00B868F9">
            <w:pPr>
              <w:rPr>
                <w:sz w:val="24"/>
                <w:szCs w:val="24"/>
              </w:rPr>
            </w:pPr>
          </w:p>
        </w:tc>
        <w:tc>
          <w:tcPr>
            <w:tcW w:w="2318" w:type="dxa"/>
          </w:tcPr>
          <w:p w14:paraId="1E589821" w14:textId="5C734751" w:rsidR="00B868F9" w:rsidRDefault="00B868F9" w:rsidP="00B868F9">
            <w:pPr>
              <w:rPr>
                <w:sz w:val="24"/>
                <w:szCs w:val="24"/>
              </w:rPr>
            </w:pPr>
            <w:r>
              <w:t>Тахикардия, Сърцебиене</w:t>
            </w:r>
          </w:p>
        </w:tc>
        <w:tc>
          <w:tcPr>
            <w:tcW w:w="2206" w:type="dxa"/>
            <w:vAlign w:val="center"/>
          </w:tcPr>
          <w:p w14:paraId="47D0E6D4" w14:textId="4D83D6E0" w:rsidR="00B868F9" w:rsidRDefault="00B868F9" w:rsidP="00B868F9">
            <w:pPr>
              <w:rPr>
                <w:sz w:val="24"/>
                <w:szCs w:val="24"/>
              </w:rPr>
            </w:pPr>
            <w:r>
              <w:t xml:space="preserve">Камерна тахикардия, която може да доведе до сърдечен арест Камерна аритмия и </w:t>
            </w:r>
            <w:proofErr w:type="spellStart"/>
            <w:r>
              <w:rPr>
                <w:lang w:val="en-US"/>
              </w:rPr>
              <w:t>torsades</w:t>
            </w:r>
            <w:proofErr w:type="spellEnd"/>
            <w:r w:rsidRPr="00B868F9">
              <w:rPr>
                <w:lang w:val="ru-RU"/>
              </w:rPr>
              <w:t xml:space="preserve"> </w:t>
            </w:r>
            <w:r>
              <w:rPr>
                <w:lang w:val="en-US"/>
              </w:rPr>
              <w:t>de</w:t>
            </w:r>
            <w:r w:rsidRPr="00B868F9">
              <w:rPr>
                <w:lang w:val="ru-RU"/>
              </w:rPr>
              <w:t xml:space="preserve"> </w:t>
            </w:r>
            <w:r>
              <w:rPr>
                <w:lang w:val="en-US"/>
              </w:rPr>
              <w:t>pointes</w:t>
            </w:r>
            <w:r w:rsidRPr="00B868F9">
              <w:rPr>
                <w:lang w:val="ru-RU"/>
              </w:rPr>
              <w:t xml:space="preserve"> </w:t>
            </w:r>
            <w:r>
              <w:lastRenderedPageBreak/>
              <w:t xml:space="preserve">(съобщавани предимно при пациенти с рискови фактори за </w:t>
            </w:r>
            <w:r>
              <w:rPr>
                <w:lang w:val="en-US"/>
              </w:rPr>
              <w:t>QT</w:t>
            </w:r>
            <w:r w:rsidRPr="00B868F9">
              <w:rPr>
                <w:lang w:val="ru-RU"/>
              </w:rPr>
              <w:t xml:space="preserve"> </w:t>
            </w:r>
            <w:r>
              <w:t xml:space="preserve">удължаване), удължаване на </w:t>
            </w:r>
            <w:r>
              <w:rPr>
                <w:lang w:val="en-US"/>
              </w:rPr>
              <w:t>QT</w:t>
            </w:r>
            <w:r w:rsidRPr="00B868F9">
              <w:rPr>
                <w:lang w:val="ru-RU"/>
              </w:rPr>
              <w:t xml:space="preserve"> </w:t>
            </w:r>
            <w:r>
              <w:t>интервала в ЕКГ (вж. точки 4.4 и 4.9)</w:t>
            </w:r>
          </w:p>
        </w:tc>
      </w:tr>
      <w:tr w:rsidR="00B868F9" w14:paraId="2391808F" w14:textId="77777777" w:rsidTr="00B868F9">
        <w:tc>
          <w:tcPr>
            <w:tcW w:w="1830" w:type="dxa"/>
          </w:tcPr>
          <w:p w14:paraId="537DFEA4" w14:textId="55D73128" w:rsidR="00B868F9" w:rsidRDefault="00B868F9" w:rsidP="00B868F9">
            <w:pPr>
              <w:rPr>
                <w:sz w:val="24"/>
                <w:szCs w:val="24"/>
              </w:rPr>
            </w:pPr>
            <w:r>
              <w:lastRenderedPageBreak/>
              <w:t>Съдови нарушения**</w:t>
            </w:r>
          </w:p>
        </w:tc>
        <w:tc>
          <w:tcPr>
            <w:tcW w:w="1504" w:type="dxa"/>
            <w:vAlign w:val="center"/>
          </w:tcPr>
          <w:p w14:paraId="3B85A6F2" w14:textId="77777777" w:rsidR="00B868F9" w:rsidRDefault="00B868F9" w:rsidP="00B868F9">
            <w:r>
              <w:rPr>
                <w:i/>
                <w:iCs/>
                <w:u w:val="single"/>
              </w:rPr>
              <w:t xml:space="preserve">Отнася се само за </w:t>
            </w:r>
            <w:proofErr w:type="spellStart"/>
            <w:r>
              <w:rPr>
                <w:i/>
                <w:iCs/>
                <w:u w:val="single"/>
                <w:lang w:val="en-US"/>
              </w:rPr>
              <w:t>i</w:t>
            </w:r>
            <w:proofErr w:type="spellEnd"/>
            <w:r w:rsidRPr="00B868F9">
              <w:rPr>
                <w:i/>
                <w:iCs/>
                <w:u w:val="single"/>
                <w:lang w:val="ru-RU"/>
              </w:rPr>
              <w:t>.</w:t>
            </w:r>
            <w:r>
              <w:rPr>
                <w:i/>
                <w:iCs/>
                <w:u w:val="single"/>
                <w:lang w:val="en-US"/>
              </w:rPr>
              <w:t>v</w:t>
            </w:r>
            <w:r w:rsidRPr="00B868F9">
              <w:rPr>
                <w:i/>
                <w:iCs/>
                <w:u w:val="single"/>
                <w:lang w:val="ru-RU"/>
              </w:rPr>
              <w:t xml:space="preserve">. </w:t>
            </w:r>
            <w:r>
              <w:rPr>
                <w:i/>
                <w:iCs/>
                <w:u w:val="single"/>
              </w:rPr>
              <w:t>форма:</w:t>
            </w:r>
          </w:p>
          <w:p w14:paraId="239EB046" w14:textId="11625C79" w:rsidR="00B868F9" w:rsidRDefault="00B868F9" w:rsidP="00B868F9">
            <w:pPr>
              <w:rPr>
                <w:sz w:val="24"/>
                <w:szCs w:val="24"/>
              </w:rPr>
            </w:pPr>
            <w:r>
              <w:t>Флебит</w:t>
            </w:r>
          </w:p>
        </w:tc>
        <w:tc>
          <w:tcPr>
            <w:tcW w:w="1718" w:type="dxa"/>
          </w:tcPr>
          <w:p w14:paraId="19DD26FA" w14:textId="77777777" w:rsidR="00B868F9" w:rsidRDefault="00B868F9" w:rsidP="00B868F9">
            <w:pPr>
              <w:rPr>
                <w:sz w:val="24"/>
                <w:szCs w:val="24"/>
              </w:rPr>
            </w:pPr>
          </w:p>
        </w:tc>
        <w:tc>
          <w:tcPr>
            <w:tcW w:w="2318" w:type="dxa"/>
          </w:tcPr>
          <w:p w14:paraId="542D0B7A" w14:textId="0582372C" w:rsidR="00B868F9" w:rsidRDefault="00B868F9" w:rsidP="00B868F9">
            <w:pPr>
              <w:rPr>
                <w:sz w:val="24"/>
                <w:szCs w:val="24"/>
              </w:rPr>
            </w:pPr>
            <w:r>
              <w:t>Хипотония</w:t>
            </w:r>
          </w:p>
        </w:tc>
        <w:tc>
          <w:tcPr>
            <w:tcW w:w="2206" w:type="dxa"/>
          </w:tcPr>
          <w:p w14:paraId="5F1E2C2C" w14:textId="77777777" w:rsidR="00B868F9" w:rsidRDefault="00B868F9" w:rsidP="00B868F9">
            <w:pPr>
              <w:rPr>
                <w:sz w:val="24"/>
                <w:szCs w:val="24"/>
              </w:rPr>
            </w:pPr>
          </w:p>
        </w:tc>
      </w:tr>
      <w:tr w:rsidR="00B868F9" w14:paraId="3324D877" w14:textId="77777777" w:rsidTr="00B868F9">
        <w:tc>
          <w:tcPr>
            <w:tcW w:w="1830" w:type="dxa"/>
          </w:tcPr>
          <w:p w14:paraId="1FFDA8FF" w14:textId="6F8B42B6" w:rsidR="00B868F9" w:rsidRDefault="00B868F9" w:rsidP="00B868F9">
            <w:pPr>
              <w:rPr>
                <w:sz w:val="24"/>
                <w:szCs w:val="24"/>
              </w:rPr>
            </w:pPr>
            <w:r>
              <w:t>Респираторни, гръдни и медиастинални нарушения</w:t>
            </w:r>
          </w:p>
        </w:tc>
        <w:tc>
          <w:tcPr>
            <w:tcW w:w="1504" w:type="dxa"/>
          </w:tcPr>
          <w:p w14:paraId="6148F735" w14:textId="77777777" w:rsidR="00B868F9" w:rsidRDefault="00B868F9" w:rsidP="00B868F9">
            <w:pPr>
              <w:rPr>
                <w:sz w:val="24"/>
                <w:szCs w:val="24"/>
              </w:rPr>
            </w:pPr>
          </w:p>
        </w:tc>
        <w:tc>
          <w:tcPr>
            <w:tcW w:w="1718" w:type="dxa"/>
          </w:tcPr>
          <w:p w14:paraId="47408B6A" w14:textId="4C8B3501" w:rsidR="00B868F9" w:rsidRDefault="00B868F9" w:rsidP="00B868F9">
            <w:pPr>
              <w:rPr>
                <w:sz w:val="24"/>
                <w:szCs w:val="24"/>
              </w:rPr>
            </w:pPr>
            <w:r>
              <w:t>Диспнея</w:t>
            </w:r>
          </w:p>
        </w:tc>
        <w:tc>
          <w:tcPr>
            <w:tcW w:w="2318" w:type="dxa"/>
          </w:tcPr>
          <w:p w14:paraId="12312F36" w14:textId="77777777" w:rsidR="00B868F9" w:rsidRDefault="00B868F9" w:rsidP="00B868F9">
            <w:pPr>
              <w:rPr>
                <w:sz w:val="24"/>
                <w:szCs w:val="24"/>
              </w:rPr>
            </w:pPr>
          </w:p>
        </w:tc>
        <w:tc>
          <w:tcPr>
            <w:tcW w:w="2206" w:type="dxa"/>
          </w:tcPr>
          <w:p w14:paraId="137D4EFE" w14:textId="77777777" w:rsidR="00B868F9" w:rsidRDefault="00B868F9" w:rsidP="00B868F9">
            <w:r>
              <w:t>Бронхоспазъм</w:t>
            </w:r>
          </w:p>
          <w:p w14:paraId="03ECEBF5" w14:textId="494C21C4" w:rsidR="00B868F9" w:rsidRDefault="00B868F9" w:rsidP="00B868F9">
            <w:pPr>
              <w:rPr>
                <w:sz w:val="24"/>
                <w:szCs w:val="24"/>
              </w:rPr>
            </w:pPr>
            <w:r>
              <w:t>Алергичен пневмонит</w:t>
            </w:r>
          </w:p>
        </w:tc>
      </w:tr>
      <w:tr w:rsidR="00B868F9" w14:paraId="673EA404" w14:textId="77777777" w:rsidTr="00B868F9">
        <w:tc>
          <w:tcPr>
            <w:tcW w:w="1830" w:type="dxa"/>
          </w:tcPr>
          <w:p w14:paraId="27912B7E" w14:textId="08B83E96" w:rsidR="00B868F9" w:rsidRDefault="00B868F9" w:rsidP="00B868F9">
            <w:pPr>
              <w:rPr>
                <w:sz w:val="24"/>
                <w:szCs w:val="24"/>
              </w:rPr>
            </w:pPr>
            <w:r>
              <w:t>Стомашно- чревни нарушения</w:t>
            </w:r>
          </w:p>
        </w:tc>
        <w:tc>
          <w:tcPr>
            <w:tcW w:w="1504" w:type="dxa"/>
          </w:tcPr>
          <w:p w14:paraId="073E4796" w14:textId="1F45C6ED" w:rsidR="00B868F9" w:rsidRDefault="00B868F9" w:rsidP="00B868F9">
            <w:pPr>
              <w:rPr>
                <w:sz w:val="24"/>
                <w:szCs w:val="24"/>
              </w:rPr>
            </w:pPr>
            <w:r>
              <w:t>Диария Повръщане Гадене</w:t>
            </w:r>
          </w:p>
        </w:tc>
        <w:tc>
          <w:tcPr>
            <w:tcW w:w="1718" w:type="dxa"/>
          </w:tcPr>
          <w:p w14:paraId="7B4CEB8D" w14:textId="52ED420C" w:rsidR="00B868F9" w:rsidRDefault="00B868F9" w:rsidP="00B868F9">
            <w:pPr>
              <w:rPr>
                <w:sz w:val="24"/>
                <w:szCs w:val="24"/>
              </w:rPr>
            </w:pPr>
            <w:r>
              <w:t>Коремна болка, Диспепсия, Метеоризъм, Запек</w:t>
            </w:r>
          </w:p>
        </w:tc>
        <w:tc>
          <w:tcPr>
            <w:tcW w:w="2318" w:type="dxa"/>
          </w:tcPr>
          <w:p w14:paraId="50F58AEA" w14:textId="77777777" w:rsidR="00B868F9" w:rsidRDefault="00B868F9" w:rsidP="00B868F9">
            <w:pPr>
              <w:rPr>
                <w:sz w:val="24"/>
                <w:szCs w:val="24"/>
              </w:rPr>
            </w:pPr>
          </w:p>
        </w:tc>
        <w:tc>
          <w:tcPr>
            <w:tcW w:w="2206" w:type="dxa"/>
            <w:vAlign w:val="center"/>
          </w:tcPr>
          <w:p w14:paraId="76DF153C" w14:textId="730B98ED" w:rsidR="00B868F9" w:rsidRDefault="00B868F9" w:rsidP="00B868F9">
            <w:pPr>
              <w:rPr>
                <w:sz w:val="24"/>
                <w:szCs w:val="24"/>
              </w:rPr>
            </w:pPr>
            <w:r>
              <w:t>Хеморагична диария, която в много редки случаи може да е показателна за ентероколит, включително псевдомембранозен колит (вж. точка 4.4) Панкреатит</w:t>
            </w:r>
          </w:p>
        </w:tc>
      </w:tr>
      <w:tr w:rsidR="00B868F9" w14:paraId="045B5F69" w14:textId="77777777" w:rsidTr="00B868F9">
        <w:tc>
          <w:tcPr>
            <w:tcW w:w="1830" w:type="dxa"/>
          </w:tcPr>
          <w:p w14:paraId="69272C28" w14:textId="1EF6C2BF" w:rsidR="00B868F9" w:rsidRDefault="00B868F9" w:rsidP="00B868F9">
            <w:pPr>
              <w:rPr>
                <w:sz w:val="24"/>
                <w:szCs w:val="24"/>
              </w:rPr>
            </w:pPr>
            <w:r>
              <w:t>Хепатобилиарни нарушения</w:t>
            </w:r>
          </w:p>
        </w:tc>
        <w:tc>
          <w:tcPr>
            <w:tcW w:w="1504" w:type="dxa"/>
          </w:tcPr>
          <w:p w14:paraId="1ED5DA4B" w14:textId="7B99DC98" w:rsidR="00B868F9" w:rsidRDefault="00B868F9" w:rsidP="00B868F9">
            <w:pPr>
              <w:rPr>
                <w:sz w:val="24"/>
                <w:szCs w:val="24"/>
              </w:rPr>
            </w:pPr>
            <w:r>
              <w:t xml:space="preserve">Повишени стойности на чернодробни ензими </w:t>
            </w:r>
            <w:r w:rsidRPr="00B868F9">
              <w:rPr>
                <w:lang w:val="ru-RU"/>
              </w:rPr>
              <w:t>(</w:t>
            </w:r>
            <w:r>
              <w:rPr>
                <w:lang w:val="en-US"/>
              </w:rPr>
              <w:t>ALT</w:t>
            </w:r>
            <w:r w:rsidRPr="00B868F9">
              <w:rPr>
                <w:lang w:val="ru-RU"/>
              </w:rPr>
              <w:t>/</w:t>
            </w:r>
            <w:r>
              <w:rPr>
                <w:lang w:val="en-US"/>
              </w:rPr>
              <w:t>AST</w:t>
            </w:r>
            <w:r w:rsidRPr="00B868F9">
              <w:rPr>
                <w:lang w:val="ru-RU"/>
              </w:rPr>
              <w:t xml:space="preserve">, </w:t>
            </w:r>
            <w:r>
              <w:t xml:space="preserve">алкална фосфатаза, </w:t>
            </w:r>
            <w:r>
              <w:rPr>
                <w:lang w:val="en-US"/>
              </w:rPr>
              <w:t>GGT</w:t>
            </w:r>
            <w:r w:rsidRPr="00B868F9">
              <w:rPr>
                <w:lang w:val="ru-RU"/>
              </w:rPr>
              <w:t>)</w:t>
            </w:r>
          </w:p>
        </w:tc>
        <w:tc>
          <w:tcPr>
            <w:tcW w:w="1718" w:type="dxa"/>
          </w:tcPr>
          <w:p w14:paraId="0D2427F8" w14:textId="58B0B0CC" w:rsidR="00B868F9" w:rsidRDefault="00B868F9" w:rsidP="00B868F9">
            <w:pPr>
              <w:rPr>
                <w:sz w:val="24"/>
                <w:szCs w:val="24"/>
              </w:rPr>
            </w:pPr>
            <w:r>
              <w:t>Повишен билирубин в кръвта</w:t>
            </w:r>
          </w:p>
        </w:tc>
        <w:tc>
          <w:tcPr>
            <w:tcW w:w="2318" w:type="dxa"/>
          </w:tcPr>
          <w:p w14:paraId="3F1E1BD4" w14:textId="77777777" w:rsidR="00B868F9" w:rsidRDefault="00B868F9" w:rsidP="00B868F9">
            <w:pPr>
              <w:rPr>
                <w:sz w:val="24"/>
                <w:szCs w:val="24"/>
              </w:rPr>
            </w:pPr>
          </w:p>
        </w:tc>
        <w:tc>
          <w:tcPr>
            <w:tcW w:w="2206" w:type="dxa"/>
          </w:tcPr>
          <w:p w14:paraId="0D7B6C70" w14:textId="77777777" w:rsidR="00B868F9" w:rsidRDefault="00B868F9" w:rsidP="00B868F9">
            <w:r>
              <w:t>Жълтеница и тежко чернодробно увреждане, включително случаи с остра чернодробна недостатъчност, главно при пациенти с тежки</w:t>
            </w:r>
          </w:p>
          <w:p w14:paraId="52FBAE7F" w14:textId="77777777" w:rsidR="00B868F9" w:rsidRDefault="00B868F9" w:rsidP="00B868F9">
            <w:r>
              <w:t>основни заболявания</w:t>
            </w:r>
          </w:p>
          <w:p w14:paraId="1C62259D" w14:textId="77777777" w:rsidR="00B868F9" w:rsidRDefault="00B868F9" w:rsidP="00B868F9">
            <w:r>
              <w:t>(вж.точка 4.4),</w:t>
            </w:r>
          </w:p>
          <w:p w14:paraId="011E597A" w14:textId="7C49CBF4" w:rsidR="00B868F9" w:rsidRDefault="00B868F9" w:rsidP="00B868F9">
            <w:pPr>
              <w:rPr>
                <w:sz w:val="24"/>
                <w:szCs w:val="24"/>
              </w:rPr>
            </w:pPr>
            <w:r>
              <w:t>Хепатит</w:t>
            </w:r>
          </w:p>
        </w:tc>
      </w:tr>
      <w:tr w:rsidR="00B868F9" w14:paraId="558642CA" w14:textId="77777777" w:rsidTr="00B868F9">
        <w:tc>
          <w:tcPr>
            <w:tcW w:w="1830" w:type="dxa"/>
          </w:tcPr>
          <w:p w14:paraId="561FD571" w14:textId="77777777" w:rsidR="00B868F9" w:rsidRDefault="00B868F9" w:rsidP="00B868F9">
            <w:r>
              <w:t>Нарушения на кожата и подкожната</w:t>
            </w:r>
          </w:p>
          <w:p w14:paraId="4067FA90" w14:textId="1E4C2C71" w:rsidR="00B868F9" w:rsidRDefault="00B868F9" w:rsidP="00B868F9">
            <w:pPr>
              <w:rPr>
                <w:sz w:val="24"/>
                <w:szCs w:val="24"/>
              </w:rPr>
            </w:pPr>
            <w:r>
              <w:t>тъкан</w:t>
            </w:r>
            <w:r>
              <w:rPr>
                <w:vertAlign w:val="superscript"/>
                <w:lang w:val="en-US"/>
              </w:rPr>
              <w:t>b</w:t>
            </w:r>
          </w:p>
        </w:tc>
        <w:tc>
          <w:tcPr>
            <w:tcW w:w="1504" w:type="dxa"/>
          </w:tcPr>
          <w:p w14:paraId="70044D38" w14:textId="77777777" w:rsidR="00B868F9" w:rsidRDefault="00B868F9" w:rsidP="00B868F9">
            <w:pPr>
              <w:rPr>
                <w:sz w:val="24"/>
                <w:szCs w:val="24"/>
              </w:rPr>
            </w:pPr>
          </w:p>
        </w:tc>
        <w:tc>
          <w:tcPr>
            <w:tcW w:w="1718" w:type="dxa"/>
          </w:tcPr>
          <w:p w14:paraId="7013554D" w14:textId="6B519D1A" w:rsidR="00B868F9" w:rsidRDefault="00B868F9" w:rsidP="00B868F9">
            <w:pPr>
              <w:rPr>
                <w:sz w:val="24"/>
                <w:szCs w:val="24"/>
              </w:rPr>
            </w:pPr>
            <w:r>
              <w:t xml:space="preserve">Обрив, Сърбеж Уртикария </w:t>
            </w:r>
            <w:r>
              <w:lastRenderedPageBreak/>
              <w:t>Хиперхидроза</w:t>
            </w:r>
          </w:p>
        </w:tc>
        <w:tc>
          <w:tcPr>
            <w:tcW w:w="2318" w:type="dxa"/>
          </w:tcPr>
          <w:p w14:paraId="30BC63D5" w14:textId="3504D52C" w:rsidR="00B868F9" w:rsidRDefault="00B868F9" w:rsidP="00B868F9">
            <w:pPr>
              <w:rPr>
                <w:sz w:val="24"/>
                <w:szCs w:val="24"/>
              </w:rPr>
            </w:pPr>
            <w:r>
              <w:lastRenderedPageBreak/>
              <w:t xml:space="preserve">Лекарствена реакция с еозинофилия и системни симптоми </w:t>
            </w:r>
            <w:r w:rsidRPr="00B868F9">
              <w:rPr>
                <w:lang w:val="ru-RU"/>
              </w:rPr>
              <w:lastRenderedPageBreak/>
              <w:t>(</w:t>
            </w:r>
            <w:r>
              <w:rPr>
                <w:lang w:val="en-US"/>
              </w:rPr>
              <w:t>DRESS</w:t>
            </w:r>
            <w:r w:rsidRPr="00B868F9">
              <w:rPr>
                <w:lang w:val="ru-RU"/>
              </w:rPr>
              <w:t xml:space="preserve">) </w:t>
            </w:r>
            <w:r>
              <w:t>(вж. точка 4.4), Фиксирана лекарствена ерупция</w:t>
            </w:r>
          </w:p>
        </w:tc>
        <w:tc>
          <w:tcPr>
            <w:tcW w:w="2206" w:type="dxa"/>
          </w:tcPr>
          <w:p w14:paraId="464EBBC5" w14:textId="1572D406" w:rsidR="00B868F9" w:rsidRDefault="00B868F9" w:rsidP="00B868F9">
            <w:pPr>
              <w:rPr>
                <w:sz w:val="24"/>
                <w:szCs w:val="24"/>
              </w:rPr>
            </w:pPr>
            <w:r>
              <w:lastRenderedPageBreak/>
              <w:t xml:space="preserve">Токсична епидермална некролиза, Синдром на </w:t>
            </w:r>
            <w:r>
              <w:rPr>
                <w:lang w:val="en-US"/>
              </w:rPr>
              <w:lastRenderedPageBreak/>
              <w:t>Stevens</w:t>
            </w:r>
            <w:r w:rsidRPr="00B868F9">
              <w:rPr>
                <w:lang w:val="ru-RU"/>
              </w:rPr>
              <w:t>-</w:t>
            </w:r>
            <w:r>
              <w:rPr>
                <w:lang w:val="en-US"/>
              </w:rPr>
              <w:t>Johnson</w:t>
            </w:r>
            <w:r w:rsidRPr="00B868F9">
              <w:rPr>
                <w:lang w:val="ru-RU"/>
              </w:rPr>
              <w:t xml:space="preserve"> </w:t>
            </w:r>
            <w:r>
              <w:t>Еритема мултиформе Реакция на фоточувствителност (вж. точка 4.4) Левкоцитокластичен васкулит Стоматит</w:t>
            </w:r>
          </w:p>
        </w:tc>
      </w:tr>
      <w:tr w:rsidR="00B868F9" w14:paraId="3C1CD876" w14:textId="77777777" w:rsidTr="00B868F9">
        <w:tc>
          <w:tcPr>
            <w:tcW w:w="1830" w:type="dxa"/>
          </w:tcPr>
          <w:p w14:paraId="1ABD3180" w14:textId="713CB841" w:rsidR="00B868F9" w:rsidRDefault="00B868F9" w:rsidP="00B868F9">
            <w:pPr>
              <w:rPr>
                <w:sz w:val="24"/>
                <w:szCs w:val="24"/>
              </w:rPr>
            </w:pPr>
            <w:r>
              <w:lastRenderedPageBreak/>
              <w:t>Нарушения на мускулно- скелетната система и съединителната тъкан*</w:t>
            </w:r>
          </w:p>
        </w:tc>
        <w:tc>
          <w:tcPr>
            <w:tcW w:w="1504" w:type="dxa"/>
          </w:tcPr>
          <w:p w14:paraId="6720C77A" w14:textId="77777777" w:rsidR="00B868F9" w:rsidRDefault="00B868F9" w:rsidP="00B868F9">
            <w:pPr>
              <w:rPr>
                <w:sz w:val="24"/>
                <w:szCs w:val="24"/>
              </w:rPr>
            </w:pPr>
          </w:p>
        </w:tc>
        <w:tc>
          <w:tcPr>
            <w:tcW w:w="1718" w:type="dxa"/>
          </w:tcPr>
          <w:p w14:paraId="6F917433" w14:textId="417579CB" w:rsidR="00B868F9" w:rsidRDefault="00B868F9" w:rsidP="00B868F9">
            <w:pPr>
              <w:rPr>
                <w:sz w:val="24"/>
                <w:szCs w:val="24"/>
              </w:rPr>
            </w:pPr>
            <w:r>
              <w:t>Артралгия, Миалгия</w:t>
            </w:r>
          </w:p>
        </w:tc>
        <w:tc>
          <w:tcPr>
            <w:tcW w:w="2318" w:type="dxa"/>
          </w:tcPr>
          <w:p w14:paraId="3A23C369" w14:textId="52CE350A" w:rsidR="00B868F9" w:rsidRDefault="00B868F9" w:rsidP="00B868F9">
            <w:pPr>
              <w:rPr>
                <w:sz w:val="24"/>
                <w:szCs w:val="24"/>
              </w:rPr>
            </w:pPr>
            <w:r>
              <w:t>Сухожилни увреждания (вж. точки 4.3 и 4.4) включително тендинит(напр. на Ахилесовото сухожилие) Мускулна слабост, която може да бъде от особено значение при пациенти с миастения гравис (вж. точка 4.4)</w:t>
            </w:r>
          </w:p>
        </w:tc>
        <w:tc>
          <w:tcPr>
            <w:tcW w:w="2206" w:type="dxa"/>
          </w:tcPr>
          <w:p w14:paraId="4BD5A7BC" w14:textId="77777777" w:rsidR="00B868F9" w:rsidRDefault="00B868F9" w:rsidP="00B868F9">
            <w:r>
              <w:t>Рабдомиолиза</w:t>
            </w:r>
          </w:p>
          <w:p w14:paraId="5E90AEBD" w14:textId="77777777" w:rsidR="00B868F9" w:rsidRDefault="00B868F9" w:rsidP="00B868F9">
            <w:r>
              <w:t>Руптура на сухожилие (напр. на Ахилесовото сухожилие) (вж. точки 4.3 и 4.4)</w:t>
            </w:r>
          </w:p>
          <w:p w14:paraId="6F8C6186" w14:textId="77777777" w:rsidR="00B868F9" w:rsidRDefault="00B868F9" w:rsidP="00B868F9">
            <w:r>
              <w:t>Руптура на лигамент</w:t>
            </w:r>
          </w:p>
          <w:p w14:paraId="77863BDA" w14:textId="77777777" w:rsidR="00B868F9" w:rsidRDefault="00B868F9" w:rsidP="00B868F9">
            <w:r>
              <w:t>Руптура на мускул</w:t>
            </w:r>
          </w:p>
          <w:p w14:paraId="090C68CB" w14:textId="73B302DE" w:rsidR="00B868F9" w:rsidRDefault="00B868F9" w:rsidP="00B868F9">
            <w:pPr>
              <w:rPr>
                <w:sz w:val="24"/>
                <w:szCs w:val="24"/>
              </w:rPr>
            </w:pPr>
            <w:r>
              <w:t>Артрит</w:t>
            </w:r>
          </w:p>
        </w:tc>
      </w:tr>
      <w:tr w:rsidR="00B868F9" w14:paraId="5C290E62" w14:textId="77777777" w:rsidTr="00B868F9">
        <w:tc>
          <w:tcPr>
            <w:tcW w:w="1830" w:type="dxa"/>
          </w:tcPr>
          <w:p w14:paraId="39A900DB" w14:textId="3581F569" w:rsidR="00B868F9" w:rsidRDefault="00B868F9" w:rsidP="00B868F9">
            <w:pPr>
              <w:rPr>
                <w:sz w:val="24"/>
                <w:szCs w:val="24"/>
              </w:rPr>
            </w:pPr>
            <w:r>
              <w:t>Нарушения на бъбреците и пикочните пътища</w:t>
            </w:r>
          </w:p>
        </w:tc>
        <w:tc>
          <w:tcPr>
            <w:tcW w:w="1504" w:type="dxa"/>
          </w:tcPr>
          <w:p w14:paraId="2392B12B" w14:textId="77777777" w:rsidR="00B868F9" w:rsidRDefault="00B868F9" w:rsidP="00B868F9">
            <w:pPr>
              <w:rPr>
                <w:sz w:val="24"/>
                <w:szCs w:val="24"/>
              </w:rPr>
            </w:pPr>
          </w:p>
        </w:tc>
        <w:tc>
          <w:tcPr>
            <w:tcW w:w="1718" w:type="dxa"/>
          </w:tcPr>
          <w:p w14:paraId="4DA38FC5" w14:textId="55B0933C" w:rsidR="00B868F9" w:rsidRDefault="00B868F9" w:rsidP="00B868F9">
            <w:pPr>
              <w:rPr>
                <w:sz w:val="24"/>
                <w:szCs w:val="24"/>
              </w:rPr>
            </w:pPr>
            <w:r>
              <w:t>Повишен серумен креатинин</w:t>
            </w:r>
          </w:p>
        </w:tc>
        <w:tc>
          <w:tcPr>
            <w:tcW w:w="2318" w:type="dxa"/>
          </w:tcPr>
          <w:p w14:paraId="720D59AF" w14:textId="77777777" w:rsidR="00B868F9" w:rsidRDefault="00B868F9" w:rsidP="00B868F9">
            <w:r>
              <w:t>Остра бъбречна недостатъчност (напр.</w:t>
            </w:r>
          </w:p>
          <w:p w14:paraId="16CF478B" w14:textId="05367634" w:rsidR="00B868F9" w:rsidRDefault="00B868F9" w:rsidP="00B868F9">
            <w:pPr>
              <w:rPr>
                <w:sz w:val="24"/>
                <w:szCs w:val="24"/>
              </w:rPr>
            </w:pPr>
            <w:r>
              <w:t>поради интерстициален нефрит)</w:t>
            </w:r>
          </w:p>
        </w:tc>
        <w:tc>
          <w:tcPr>
            <w:tcW w:w="2206" w:type="dxa"/>
          </w:tcPr>
          <w:p w14:paraId="28F86435" w14:textId="77777777" w:rsidR="00B868F9" w:rsidRDefault="00B868F9" w:rsidP="00B868F9">
            <w:pPr>
              <w:rPr>
                <w:sz w:val="24"/>
                <w:szCs w:val="24"/>
              </w:rPr>
            </w:pPr>
          </w:p>
        </w:tc>
      </w:tr>
      <w:tr w:rsidR="00B868F9" w14:paraId="257F2F26" w14:textId="77777777" w:rsidTr="00B868F9">
        <w:tc>
          <w:tcPr>
            <w:tcW w:w="1830" w:type="dxa"/>
          </w:tcPr>
          <w:p w14:paraId="2E19AA3B" w14:textId="15616476" w:rsidR="00B868F9" w:rsidRDefault="00B868F9" w:rsidP="00B868F9">
            <w:pPr>
              <w:rPr>
                <w:sz w:val="24"/>
                <w:szCs w:val="24"/>
              </w:rPr>
            </w:pPr>
            <w:r>
              <w:t>Общи нарушения и ефекти на мястото на приложение*</w:t>
            </w:r>
          </w:p>
        </w:tc>
        <w:tc>
          <w:tcPr>
            <w:tcW w:w="1504" w:type="dxa"/>
          </w:tcPr>
          <w:p w14:paraId="29A4711A" w14:textId="5457C5DA" w:rsidR="00B868F9" w:rsidRDefault="00B868F9" w:rsidP="00B868F9">
            <w:pPr>
              <w:rPr>
                <w:sz w:val="24"/>
                <w:szCs w:val="24"/>
              </w:rPr>
            </w:pPr>
            <w:r>
              <w:rPr>
                <w:i/>
                <w:iCs/>
                <w:u w:val="single"/>
              </w:rPr>
              <w:t>Отнася се само за</w:t>
            </w:r>
            <w:r>
              <w:rPr>
                <w:u w:val="single"/>
              </w:rPr>
              <w:t xml:space="preserve"> </w:t>
            </w:r>
            <w:proofErr w:type="spellStart"/>
            <w:r>
              <w:rPr>
                <w:u w:val="single"/>
                <w:lang w:val="en-US"/>
              </w:rPr>
              <w:t>i</w:t>
            </w:r>
            <w:proofErr w:type="spellEnd"/>
            <w:r w:rsidRPr="00B868F9">
              <w:rPr>
                <w:u w:val="single"/>
                <w:lang w:val="ru-RU"/>
              </w:rPr>
              <w:t>.</w:t>
            </w:r>
            <w:r>
              <w:rPr>
                <w:u w:val="single"/>
                <w:lang w:val="en-US"/>
              </w:rPr>
              <w:t>v</w:t>
            </w:r>
            <w:r w:rsidRPr="00B868F9">
              <w:rPr>
                <w:u w:val="single"/>
                <w:lang w:val="ru-RU"/>
              </w:rPr>
              <w:t xml:space="preserve">. </w:t>
            </w:r>
            <w:r>
              <w:rPr>
                <w:i/>
                <w:iCs/>
                <w:u w:val="single"/>
              </w:rPr>
              <w:t xml:space="preserve">форма: </w:t>
            </w:r>
            <w:r>
              <w:t>Реакция на мястото на инфузията (болка, зачервяване)</w:t>
            </w:r>
          </w:p>
        </w:tc>
        <w:tc>
          <w:tcPr>
            <w:tcW w:w="1718" w:type="dxa"/>
          </w:tcPr>
          <w:p w14:paraId="2493B9DB" w14:textId="464E24DF" w:rsidR="00B868F9" w:rsidRDefault="00B868F9" w:rsidP="00B868F9">
            <w:pPr>
              <w:rPr>
                <w:sz w:val="24"/>
                <w:szCs w:val="24"/>
              </w:rPr>
            </w:pPr>
            <w:r>
              <w:t>Астения</w:t>
            </w:r>
          </w:p>
        </w:tc>
        <w:tc>
          <w:tcPr>
            <w:tcW w:w="2318" w:type="dxa"/>
          </w:tcPr>
          <w:p w14:paraId="524DBE01" w14:textId="3EE94F56" w:rsidR="00B868F9" w:rsidRDefault="00B868F9" w:rsidP="00B868F9">
            <w:pPr>
              <w:rPr>
                <w:sz w:val="24"/>
                <w:szCs w:val="24"/>
              </w:rPr>
            </w:pPr>
            <w:r>
              <w:t>Пирексия</w:t>
            </w:r>
          </w:p>
        </w:tc>
        <w:tc>
          <w:tcPr>
            <w:tcW w:w="2206" w:type="dxa"/>
          </w:tcPr>
          <w:p w14:paraId="0B7F1617" w14:textId="1795654B" w:rsidR="00B868F9" w:rsidRDefault="00B868F9" w:rsidP="00B868F9">
            <w:pPr>
              <w:rPr>
                <w:sz w:val="24"/>
                <w:szCs w:val="24"/>
              </w:rPr>
            </w:pPr>
            <w:r>
              <w:t>Болка (включително болка в гърба, гърдите и крайниците)</w:t>
            </w:r>
          </w:p>
        </w:tc>
      </w:tr>
    </w:tbl>
    <w:p w14:paraId="0172478F" w14:textId="210948E2" w:rsidR="00B868F9" w:rsidRPr="00B868F9" w:rsidRDefault="00B868F9" w:rsidP="00B868F9">
      <w:pPr>
        <w:spacing w:line="240" w:lineRule="auto"/>
        <w:rPr>
          <w:rFonts w:eastAsia="Times New Roman" w:cs="Arial"/>
          <w:i/>
          <w:iCs/>
          <w:color w:val="000000"/>
          <w:lang w:eastAsia="bg-BG"/>
        </w:rPr>
      </w:pPr>
      <w:r w:rsidRPr="00B868F9">
        <w:rPr>
          <w:rFonts w:eastAsia="Times New Roman" w:cs="Arial"/>
          <w:i/>
          <w:iCs/>
          <w:color w:val="000000"/>
          <w:vertAlign w:val="superscript"/>
          <w:lang w:eastAsia="bg-BG"/>
        </w:rPr>
        <w:t>а</w:t>
      </w:r>
      <w:r w:rsidRPr="00B868F9">
        <w:rPr>
          <w:rFonts w:eastAsia="Times New Roman" w:cs="Arial"/>
          <w:i/>
          <w:iCs/>
          <w:color w:val="000000"/>
          <w:lang w:eastAsia="bg-BG"/>
        </w:rPr>
        <w:t>Анафилактични и анафилактоидни реакции понякога може да се появят дори след първата доза.</w:t>
      </w:r>
    </w:p>
    <w:p w14:paraId="78EB99DA" w14:textId="182FF5B8" w:rsidR="00B868F9" w:rsidRPr="00B868F9" w:rsidRDefault="00B868F9" w:rsidP="00B868F9">
      <w:pPr>
        <w:spacing w:line="240" w:lineRule="auto"/>
        <w:rPr>
          <w:rFonts w:eastAsia="Times New Roman" w:cs="Arial"/>
        </w:rPr>
      </w:pPr>
      <w:r w:rsidRPr="00B868F9">
        <w:rPr>
          <w:rFonts w:eastAsia="Times New Roman" w:cs="Arial"/>
          <w:i/>
          <w:iCs/>
          <w:color w:val="000000"/>
          <w:vertAlign w:val="superscript"/>
          <w:lang w:eastAsia="bg-BG"/>
        </w:rPr>
        <w:t>ь</w:t>
      </w:r>
      <w:r w:rsidRPr="00B868F9">
        <w:rPr>
          <w:rFonts w:eastAsia="Times New Roman" w:cs="Arial"/>
          <w:color w:val="000000"/>
          <w:lang w:eastAsia="bg-BG"/>
        </w:rPr>
        <w:t>Кожно-лигавичните реакции понякога може да възникнат дори след първата доза</w:t>
      </w:r>
    </w:p>
    <w:p w14:paraId="4B166E97" w14:textId="51D0D01A" w:rsidR="00B868F9" w:rsidRPr="00B868F9" w:rsidRDefault="00B868F9" w:rsidP="00B868F9">
      <w:pPr>
        <w:spacing w:line="240" w:lineRule="auto"/>
        <w:rPr>
          <w:rFonts w:eastAsia="Times New Roman" w:cs="Arial"/>
        </w:rPr>
      </w:pPr>
      <w:r w:rsidRPr="00B868F9">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г</w:t>
      </w:r>
      <w:r w:rsidRPr="00B868F9">
        <w:rPr>
          <w:rFonts w:eastAsia="Times New Roman" w:cs="Arial"/>
          <w:color w:val="000000"/>
          <w:u w:val="single"/>
          <w:lang w:eastAsia="bg-BG"/>
        </w:rPr>
        <w:t>лад</w:t>
      </w:r>
      <w:r w:rsidRPr="00B868F9">
        <w:rPr>
          <w:rFonts w:eastAsia="Times New Roman" w:cs="Arial"/>
          <w:color w:val="000000"/>
          <w:lang w:eastAsia="bg-BG"/>
        </w:rPr>
        <w:t>ко, понякога много системо-органни класове и сетива (включително реакции като</w:t>
      </w:r>
      <w:r w:rsidRPr="00B868F9">
        <w:rPr>
          <w:rFonts w:eastAsia="Times New Roman" w:cs="Arial"/>
          <w:color w:val="000000"/>
          <w:lang w:val="ru-RU"/>
        </w:rPr>
        <w:t xml:space="preserve"> </w:t>
      </w:r>
      <w:r w:rsidRPr="00B868F9">
        <w:rPr>
          <w:rFonts w:eastAsia="Times New Roman" w:cs="Arial"/>
          <w:color w:val="000000"/>
          <w:lang w:eastAsia="bg-BG"/>
        </w:rPr>
        <w:t>тендинит разкъсване на сухожилие, артралгия, болка в крайниците, нарушение на походката, нервопатин свързани с парестезии, депресия, умора, нарушение на паметта, нарушения на съня и увреждане</w:t>
      </w:r>
    </w:p>
    <w:p w14:paraId="12F50BBA" w14:textId="369D7651" w:rsidR="00B868F9" w:rsidRPr="00B868F9" w:rsidRDefault="00B868F9" w:rsidP="00B868F9">
      <w:pPr>
        <w:rPr>
          <w:rFonts w:cs="Arial"/>
        </w:rPr>
      </w:pPr>
      <w:r w:rsidRPr="00B868F9">
        <w:rPr>
          <w:rFonts w:eastAsia="Times New Roman" w:cs="Arial"/>
          <w:color w:val="000000"/>
          <w:lang w:eastAsia="bg-BG"/>
        </w:rPr>
        <w:lastRenderedPageBreak/>
        <w:t>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274DB866" w14:textId="77777777" w:rsidR="00B868F9" w:rsidRPr="00B868F9" w:rsidRDefault="00B868F9" w:rsidP="00B868F9">
      <w:pPr>
        <w:spacing w:line="240" w:lineRule="auto"/>
        <w:rPr>
          <w:rFonts w:eastAsia="Times New Roman" w:cs="Arial"/>
        </w:rPr>
      </w:pPr>
      <w:r w:rsidRPr="00B868F9">
        <w:rPr>
          <w:rFonts w:eastAsia="Times New Roman" w:cs="Arial"/>
          <w:color w:val="00000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(вж. точка 4.4).</w:t>
      </w:r>
    </w:p>
    <w:p w14:paraId="5529A2F7" w14:textId="77777777" w:rsidR="00B868F9" w:rsidRPr="00B868F9" w:rsidRDefault="00B868F9" w:rsidP="00B868F9">
      <w:pPr>
        <w:spacing w:line="240" w:lineRule="auto"/>
        <w:rPr>
          <w:rFonts w:eastAsia="Times New Roman" w:cs="Arial"/>
          <w:color w:val="000000"/>
          <w:lang w:eastAsia="bg-BG"/>
        </w:rPr>
      </w:pPr>
    </w:p>
    <w:p w14:paraId="6BA7FB6A" w14:textId="7A7E2A4C" w:rsidR="00B868F9" w:rsidRPr="00B868F9" w:rsidRDefault="00B868F9" w:rsidP="00B868F9">
      <w:pPr>
        <w:spacing w:line="240" w:lineRule="auto"/>
        <w:rPr>
          <w:rFonts w:eastAsia="Times New Roman" w:cs="Arial"/>
        </w:rPr>
      </w:pPr>
      <w:r w:rsidRPr="00B868F9">
        <w:rPr>
          <w:rFonts w:eastAsia="Times New Roman" w:cs="Arial"/>
          <w:color w:val="000000"/>
          <w:lang w:eastAsia="bg-BG"/>
        </w:rPr>
        <w:t>Други нежелани реакции, които са свързани с приложението на флуорохинолони включват:</w:t>
      </w:r>
    </w:p>
    <w:p w14:paraId="266513F6" w14:textId="64EA7AD9" w:rsidR="00B868F9" w:rsidRPr="00B868F9" w:rsidRDefault="00B868F9" w:rsidP="00B868F9">
      <w:pPr>
        <w:pStyle w:val="ListParagraph"/>
        <w:numPr>
          <w:ilvl w:val="0"/>
          <w:numId w:val="37"/>
        </w:numPr>
        <w:spacing w:line="240" w:lineRule="auto"/>
        <w:rPr>
          <w:rFonts w:eastAsia="Times New Roman" w:cs="Arial"/>
        </w:rPr>
      </w:pPr>
      <w:r w:rsidRPr="00B868F9">
        <w:rPr>
          <w:rFonts w:eastAsia="Times New Roman" w:cs="Arial"/>
          <w:color w:val="000000"/>
          <w:lang w:eastAsia="bg-BG"/>
        </w:rPr>
        <w:t>пристъпи на порфирия при пациенти с порфирия</w:t>
      </w:r>
    </w:p>
    <w:p w14:paraId="643FB135" w14:textId="77777777" w:rsidR="00B868F9" w:rsidRPr="00B868F9" w:rsidRDefault="00B868F9" w:rsidP="00B868F9">
      <w:pPr>
        <w:spacing w:line="240" w:lineRule="auto"/>
        <w:rPr>
          <w:rFonts w:eastAsia="Times New Roman" w:cs="Arial"/>
          <w:color w:val="000000"/>
          <w:u w:val="single"/>
          <w:lang w:eastAsia="bg-BG"/>
        </w:rPr>
      </w:pPr>
    </w:p>
    <w:p w14:paraId="0EBB80FD" w14:textId="0EDD8B8F" w:rsidR="00B868F9" w:rsidRPr="00B868F9" w:rsidRDefault="00B868F9" w:rsidP="00B868F9">
      <w:pPr>
        <w:spacing w:line="240" w:lineRule="auto"/>
        <w:rPr>
          <w:rFonts w:eastAsia="Times New Roman" w:cs="Arial"/>
        </w:rPr>
      </w:pPr>
      <w:r w:rsidRPr="00B868F9">
        <w:rPr>
          <w:rFonts w:eastAsia="Times New Roman" w:cs="Arial"/>
          <w:color w:val="000000"/>
          <w:u w:val="single"/>
          <w:lang w:eastAsia="bg-BG"/>
        </w:rPr>
        <w:t>Съобщаване на подозирани нежелани реакции</w:t>
      </w:r>
    </w:p>
    <w:p w14:paraId="4A501B5D" w14:textId="77777777" w:rsidR="00B868F9" w:rsidRPr="00B868F9" w:rsidRDefault="00B868F9" w:rsidP="00B868F9">
      <w:pPr>
        <w:spacing w:line="240" w:lineRule="auto"/>
        <w:rPr>
          <w:rFonts w:eastAsia="Times New Roman" w:cs="Arial"/>
        </w:rPr>
      </w:pPr>
      <w:r w:rsidRPr="00B868F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49E85344" w14:textId="77777777" w:rsidR="00B868F9" w:rsidRDefault="00B868F9" w:rsidP="00B868F9">
      <w:pPr>
        <w:spacing w:line="240" w:lineRule="auto"/>
        <w:rPr>
          <w:rFonts w:eastAsia="Times New Roman" w:cs="Arial"/>
          <w:color w:val="000000"/>
          <w:lang w:eastAsia="bg-BG"/>
        </w:rPr>
      </w:pPr>
    </w:p>
    <w:p w14:paraId="5AEB2DCB" w14:textId="77777777" w:rsidR="00B868F9" w:rsidRDefault="00B868F9" w:rsidP="00B868F9">
      <w:pPr>
        <w:spacing w:line="240" w:lineRule="auto"/>
        <w:rPr>
          <w:rFonts w:eastAsia="Times New Roman" w:cs="Arial"/>
          <w:color w:val="000000"/>
          <w:lang w:eastAsia="bg-BG"/>
        </w:rPr>
      </w:pPr>
      <w:r w:rsidRPr="00B868F9">
        <w:rPr>
          <w:rFonts w:eastAsia="Times New Roman" w:cs="Arial"/>
          <w:color w:val="000000"/>
          <w:lang w:eastAsia="bg-BG"/>
        </w:rPr>
        <w:t>Изпълнителна агенция по лекарствата (ИАЛ)</w:t>
      </w:r>
    </w:p>
    <w:p w14:paraId="2BC6BEEE" w14:textId="77777777" w:rsidR="00B868F9" w:rsidRDefault="00B868F9" w:rsidP="00B868F9">
      <w:pPr>
        <w:spacing w:line="240" w:lineRule="auto"/>
        <w:rPr>
          <w:rFonts w:eastAsia="Times New Roman" w:cs="Arial"/>
          <w:color w:val="000000"/>
          <w:lang w:eastAsia="bg-BG"/>
        </w:rPr>
      </w:pPr>
      <w:r w:rsidRPr="00B868F9">
        <w:rPr>
          <w:rFonts w:eastAsia="Times New Roman" w:cs="Arial"/>
          <w:color w:val="000000"/>
          <w:lang w:eastAsia="bg-BG"/>
        </w:rPr>
        <w:t xml:space="preserve">ул. Дамян Груев № 8, </w:t>
      </w:r>
    </w:p>
    <w:p w14:paraId="071AE642" w14:textId="77777777" w:rsidR="00B868F9" w:rsidRDefault="00B868F9" w:rsidP="00B868F9">
      <w:pPr>
        <w:spacing w:line="240" w:lineRule="auto"/>
        <w:rPr>
          <w:rFonts w:eastAsia="Times New Roman" w:cs="Arial"/>
          <w:color w:val="000000"/>
          <w:lang w:eastAsia="bg-BG"/>
        </w:rPr>
      </w:pPr>
      <w:r w:rsidRPr="00B868F9">
        <w:rPr>
          <w:rFonts w:eastAsia="Times New Roman" w:cs="Arial"/>
          <w:color w:val="000000"/>
          <w:lang w:eastAsia="bg-BG"/>
        </w:rPr>
        <w:t xml:space="preserve">1303, гр. София, България </w:t>
      </w:r>
    </w:p>
    <w:p w14:paraId="550BCE6E" w14:textId="77777777" w:rsidR="00B868F9" w:rsidRDefault="00B868F9" w:rsidP="00B868F9">
      <w:pPr>
        <w:spacing w:line="240" w:lineRule="auto"/>
        <w:rPr>
          <w:rFonts w:eastAsia="Times New Roman" w:cs="Arial"/>
          <w:color w:val="000000"/>
          <w:lang w:eastAsia="bg-BG"/>
        </w:rPr>
      </w:pPr>
      <w:r w:rsidRPr="00B868F9">
        <w:rPr>
          <w:rFonts w:eastAsia="Times New Roman" w:cs="Arial"/>
          <w:color w:val="000000"/>
          <w:lang w:eastAsia="bg-BG"/>
        </w:rPr>
        <w:t xml:space="preserve">тел.: +359 2 8903 417 </w:t>
      </w:r>
    </w:p>
    <w:p w14:paraId="7E369420" w14:textId="2E001AAB" w:rsidR="00B868F9" w:rsidRPr="00B868F9" w:rsidRDefault="00B868F9" w:rsidP="00B868F9">
      <w:pPr>
        <w:spacing w:line="240" w:lineRule="auto"/>
        <w:rPr>
          <w:rFonts w:eastAsia="Times New Roman" w:cs="Arial"/>
        </w:rPr>
      </w:pPr>
      <w:r w:rsidRPr="00B868F9">
        <w:rPr>
          <w:rFonts w:eastAsia="Times New Roman" w:cs="Arial"/>
          <w:color w:val="000000"/>
          <w:lang w:eastAsia="bg-BG"/>
        </w:rPr>
        <w:t xml:space="preserve">уебсайт: </w:t>
      </w:r>
      <w:r w:rsidRPr="00B868F9">
        <w:rPr>
          <w:rFonts w:eastAsia="Times New Roman" w:cs="Arial"/>
        </w:rPr>
        <w:fldChar w:fldCharType="begin"/>
      </w:r>
      <w:r w:rsidRPr="00B868F9">
        <w:rPr>
          <w:rFonts w:eastAsia="Times New Roman" w:cs="Arial"/>
        </w:rPr>
        <w:instrText xml:space="preserve"> HYPERLINK "http://www.bda.bg" </w:instrText>
      </w:r>
      <w:r w:rsidRPr="00B868F9">
        <w:rPr>
          <w:rFonts w:eastAsia="Times New Roman" w:cs="Arial"/>
        </w:rPr>
      </w:r>
      <w:r w:rsidRPr="00B868F9">
        <w:rPr>
          <w:rFonts w:eastAsia="Times New Roman" w:cs="Arial"/>
        </w:rPr>
        <w:fldChar w:fldCharType="separate"/>
      </w:r>
      <w:r w:rsidRPr="00B868F9">
        <w:rPr>
          <w:rFonts w:eastAsia="Times New Roman" w:cs="Arial"/>
          <w:color w:val="000000"/>
          <w:u w:val="single"/>
          <w:lang w:val="en-US"/>
        </w:rPr>
        <w:t>www</w:t>
      </w:r>
      <w:r w:rsidRPr="00B868F9">
        <w:rPr>
          <w:rFonts w:eastAsia="Times New Roman" w:cs="Arial"/>
          <w:color w:val="000000"/>
          <w:u w:val="single"/>
          <w:lang w:val="ru-RU"/>
        </w:rPr>
        <w:t>.</w:t>
      </w:r>
      <w:proofErr w:type="spellStart"/>
      <w:r w:rsidRPr="00B868F9">
        <w:rPr>
          <w:rFonts w:eastAsia="Times New Roman" w:cs="Arial"/>
          <w:color w:val="000000"/>
          <w:u w:val="single"/>
          <w:lang w:val="en-US"/>
        </w:rPr>
        <w:t>bda</w:t>
      </w:r>
      <w:proofErr w:type="spellEnd"/>
      <w:r w:rsidRPr="00B868F9">
        <w:rPr>
          <w:rFonts w:eastAsia="Times New Roman" w:cs="Arial"/>
          <w:color w:val="000000"/>
          <w:u w:val="single"/>
          <w:lang w:val="ru-RU"/>
        </w:rPr>
        <w:t>.</w:t>
      </w:r>
      <w:proofErr w:type="spellStart"/>
      <w:r w:rsidRPr="00B868F9">
        <w:rPr>
          <w:rFonts w:eastAsia="Times New Roman" w:cs="Arial"/>
          <w:color w:val="000000"/>
          <w:u w:val="single"/>
          <w:lang w:val="en-US"/>
        </w:rPr>
        <w:t>bg</w:t>
      </w:r>
      <w:proofErr w:type="spellEnd"/>
      <w:r w:rsidRPr="00B868F9">
        <w:rPr>
          <w:rFonts w:eastAsia="Times New Roman" w:cs="Arial"/>
        </w:rPr>
        <w:fldChar w:fldCharType="end"/>
      </w:r>
    </w:p>
    <w:p w14:paraId="6D2172BF" w14:textId="77777777" w:rsidR="00B868F9" w:rsidRPr="00B868F9" w:rsidRDefault="00B868F9" w:rsidP="00B868F9"/>
    <w:p w14:paraId="4ED30546" w14:textId="40FB2505" w:rsidR="007C605B" w:rsidRDefault="002C50EE" w:rsidP="009F1313">
      <w:pPr>
        <w:pStyle w:val="Heading2"/>
      </w:pPr>
      <w:r>
        <w:t>4.9. Предозиране</w:t>
      </w:r>
    </w:p>
    <w:p w14:paraId="7DC804E2" w14:textId="7D704AA8" w:rsidR="00B868F9" w:rsidRDefault="00B868F9" w:rsidP="00B868F9"/>
    <w:p w14:paraId="421C991C" w14:textId="77777777" w:rsidR="00B868F9" w:rsidRPr="00B868F9" w:rsidRDefault="00B868F9" w:rsidP="00B868F9">
      <w:pPr>
        <w:rPr>
          <w:sz w:val="24"/>
          <w:szCs w:val="24"/>
        </w:rPr>
      </w:pPr>
      <w:r w:rsidRPr="00B868F9">
        <w:rPr>
          <w:lang w:eastAsia="bg-BG"/>
        </w:rPr>
        <w:t xml:space="preserve">Според изпитванията за токсичност при животни или клинико-фармакологични проучвания, проведени с много високи терапевтични дози най-важните признаци, които трябва да се очакват след остро предозиране с Левофлоксацин Каби инфузионен разтвор, са от страна на централната нервна система като объркване, световъртеж, нарушения на съзнанието, конвулсивни гърчове, удължаване на </w:t>
      </w:r>
      <w:r w:rsidRPr="00B868F9">
        <w:rPr>
          <w:lang w:val="en-US"/>
        </w:rPr>
        <w:t>QT</w:t>
      </w:r>
      <w:r w:rsidRPr="00B868F9">
        <w:rPr>
          <w:lang w:eastAsia="bg-BG"/>
        </w:rPr>
        <w:t>-интервала.</w:t>
      </w:r>
    </w:p>
    <w:p w14:paraId="53C5991A" w14:textId="77777777" w:rsidR="00B868F9" w:rsidRDefault="00B868F9" w:rsidP="00B868F9">
      <w:pPr>
        <w:rPr>
          <w:lang w:eastAsia="bg-BG"/>
        </w:rPr>
      </w:pPr>
    </w:p>
    <w:p w14:paraId="5E2A97F1" w14:textId="6FC42B7F" w:rsidR="00B868F9" w:rsidRPr="00B868F9" w:rsidRDefault="00B868F9" w:rsidP="00B868F9">
      <w:pPr>
        <w:rPr>
          <w:sz w:val="24"/>
          <w:szCs w:val="24"/>
        </w:rPr>
      </w:pPr>
      <w:r w:rsidRPr="00B868F9">
        <w:rPr>
          <w:lang w:eastAsia="bg-BG"/>
        </w:rPr>
        <w:t>При постмаркетинговото приложение са наблюдавани ефекти от страна на ЦНС, включително състояние на объркване, конвулсии, халюцинации и тремор.</w:t>
      </w:r>
    </w:p>
    <w:p w14:paraId="4533D020" w14:textId="77777777" w:rsidR="00B868F9" w:rsidRDefault="00B868F9" w:rsidP="00B868F9">
      <w:pPr>
        <w:rPr>
          <w:lang w:eastAsia="bg-BG"/>
        </w:rPr>
      </w:pPr>
    </w:p>
    <w:p w14:paraId="2313F16A" w14:textId="4F212275" w:rsidR="00B868F9" w:rsidRPr="00B868F9" w:rsidRDefault="00B868F9" w:rsidP="00B868F9">
      <w:pPr>
        <w:rPr>
          <w:sz w:val="24"/>
          <w:szCs w:val="24"/>
        </w:rPr>
      </w:pPr>
      <w:r w:rsidRPr="00B868F9">
        <w:rPr>
          <w:lang w:eastAsia="bg-BG"/>
        </w:rPr>
        <w:t xml:space="preserve">В случай на предозиране трябва да се приложи симптоматична терапия. Поради възможността от удължаване на </w:t>
      </w:r>
      <w:r w:rsidRPr="00B868F9">
        <w:rPr>
          <w:lang w:val="en-US"/>
        </w:rPr>
        <w:t>QT</w:t>
      </w:r>
      <w:r w:rsidRPr="00B868F9">
        <w:rPr>
          <w:lang w:eastAsia="bg-BG"/>
        </w:rPr>
        <w:t xml:space="preserve">-интервала, трябва се провежда ЕКГ-мониториране. Хемодиализата, включително перитонеалната диализа и </w:t>
      </w:r>
      <w:r w:rsidRPr="00B868F9">
        <w:rPr>
          <w:lang w:val="en-US"/>
        </w:rPr>
        <w:t>CAPD</w:t>
      </w:r>
      <w:r w:rsidRPr="00B868F9">
        <w:rPr>
          <w:lang w:val="ru-RU"/>
        </w:rPr>
        <w:t xml:space="preserve"> </w:t>
      </w:r>
      <w:r w:rsidRPr="00B868F9">
        <w:rPr>
          <w:lang w:eastAsia="bg-BG"/>
        </w:rPr>
        <w:t>не са ефективни за отстраняване на левофлоксацин от организма. Не съществува специфичен антидот.</w:t>
      </w:r>
    </w:p>
    <w:p w14:paraId="57ED1946" w14:textId="77777777" w:rsidR="00B868F9" w:rsidRPr="00B868F9" w:rsidRDefault="00B868F9" w:rsidP="00B868F9"/>
    <w:p w14:paraId="02081B24" w14:textId="1F46E296" w:rsidR="00395555" w:rsidRPr="00395555" w:rsidRDefault="002C50EE" w:rsidP="008A6AF2">
      <w:pPr>
        <w:pStyle w:val="Heading1"/>
      </w:pPr>
      <w:r>
        <w:t>5. ФАРМАКОЛОГИЧНИ СВОЙСТВА</w:t>
      </w:r>
    </w:p>
    <w:p w14:paraId="5350637D" w14:textId="5E8F5EEC" w:rsidR="00395555" w:rsidRDefault="002C50EE" w:rsidP="008A6AF2">
      <w:pPr>
        <w:pStyle w:val="Heading2"/>
      </w:pPr>
      <w:r>
        <w:t>5.1. Фармакодинамични свойства</w:t>
      </w:r>
    </w:p>
    <w:p w14:paraId="3D3973D4" w14:textId="601D5BAA" w:rsidR="00B868F9" w:rsidRDefault="00B868F9" w:rsidP="00B868F9"/>
    <w:p w14:paraId="28392C44" w14:textId="77777777"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eastAsia="bg-BG"/>
        </w:rPr>
        <w:t xml:space="preserve">Фармакотерапевтична група: хинолонови антибиотици, флуорохинолони, АТС код: </w:t>
      </w:r>
      <w:r w:rsidRPr="00B868F9">
        <w:rPr>
          <w:rFonts w:eastAsia="Times New Roman" w:cs="Arial"/>
          <w:color w:val="000000"/>
          <w:lang w:val="en-US"/>
        </w:rPr>
        <w:t>J</w:t>
      </w:r>
      <w:r w:rsidRPr="00B868F9">
        <w:rPr>
          <w:rFonts w:eastAsia="Times New Roman" w:cs="Arial"/>
          <w:color w:val="000000"/>
          <w:lang w:val="ru-RU"/>
        </w:rPr>
        <w:t>01</w:t>
      </w:r>
      <w:r w:rsidRPr="00B868F9">
        <w:rPr>
          <w:rFonts w:eastAsia="Times New Roman" w:cs="Arial"/>
          <w:color w:val="000000"/>
          <w:lang w:val="en-US"/>
        </w:rPr>
        <w:t>MA</w:t>
      </w:r>
      <w:r w:rsidRPr="00B868F9">
        <w:rPr>
          <w:rFonts w:eastAsia="Times New Roman" w:cs="Arial"/>
          <w:color w:val="000000"/>
          <w:lang w:val="ru-RU"/>
        </w:rPr>
        <w:t xml:space="preserve">12 </w:t>
      </w:r>
      <w:r w:rsidRPr="00B868F9">
        <w:rPr>
          <w:rFonts w:eastAsia="Times New Roman" w:cs="Arial"/>
          <w:color w:val="000000"/>
          <w:lang w:eastAsia="bg-BG"/>
        </w:rPr>
        <w:t xml:space="preserve">Левофлоксацин е синтетичен антибактериален агент от класа на флуорохинолоните и е </w:t>
      </w:r>
      <w:r w:rsidRPr="00B868F9">
        <w:rPr>
          <w:rFonts w:eastAsia="Times New Roman" w:cs="Arial"/>
          <w:color w:val="000000"/>
          <w:lang w:val="en-US"/>
        </w:rPr>
        <w:t>S</w:t>
      </w:r>
      <w:r w:rsidRPr="00B868F9">
        <w:rPr>
          <w:rFonts w:eastAsia="Times New Roman" w:cs="Arial"/>
          <w:color w:val="000000"/>
          <w:lang w:val="ru-RU"/>
        </w:rPr>
        <w:t xml:space="preserve"> </w:t>
      </w:r>
      <w:r w:rsidRPr="00B868F9">
        <w:rPr>
          <w:rFonts w:eastAsia="Times New Roman" w:cs="Arial"/>
          <w:color w:val="000000"/>
          <w:lang w:eastAsia="bg-BG"/>
        </w:rPr>
        <w:t>(-) енангиомер на рацемичното активно вещество офлоксацин.</w:t>
      </w:r>
    </w:p>
    <w:p w14:paraId="647931C1" w14:textId="77777777" w:rsidR="00B868F9" w:rsidRPr="00B868F9" w:rsidRDefault="00B868F9" w:rsidP="00B868F9">
      <w:pPr>
        <w:spacing w:line="240" w:lineRule="auto"/>
        <w:rPr>
          <w:rFonts w:eastAsia="Times New Roman" w:cs="Arial"/>
          <w:i/>
          <w:iCs/>
          <w:color w:val="000000"/>
          <w:lang w:eastAsia="bg-BG"/>
        </w:rPr>
      </w:pPr>
    </w:p>
    <w:p w14:paraId="3463EB45" w14:textId="17D51451" w:rsidR="00B868F9" w:rsidRPr="00B868F9" w:rsidRDefault="00B868F9" w:rsidP="00B868F9">
      <w:pPr>
        <w:spacing w:line="240" w:lineRule="auto"/>
        <w:rPr>
          <w:rFonts w:eastAsia="Times New Roman" w:cs="Arial"/>
          <w:sz w:val="24"/>
          <w:szCs w:val="24"/>
        </w:rPr>
      </w:pPr>
      <w:r w:rsidRPr="00B868F9">
        <w:rPr>
          <w:rFonts w:eastAsia="Times New Roman" w:cs="Arial"/>
          <w:i/>
          <w:iCs/>
          <w:color w:val="000000"/>
          <w:lang w:eastAsia="bg-BG"/>
        </w:rPr>
        <w:lastRenderedPageBreak/>
        <w:t>Механизъм на действие</w:t>
      </w:r>
    </w:p>
    <w:p w14:paraId="43470D46" w14:textId="77777777" w:rsidR="00B868F9" w:rsidRPr="00B868F9" w:rsidRDefault="00B868F9" w:rsidP="00B868F9">
      <w:pPr>
        <w:spacing w:line="240" w:lineRule="auto"/>
        <w:rPr>
          <w:rFonts w:eastAsia="Times New Roman" w:cs="Arial"/>
          <w:color w:val="000000"/>
          <w:lang w:eastAsia="bg-BG"/>
        </w:rPr>
      </w:pPr>
    </w:p>
    <w:p w14:paraId="7845833D" w14:textId="535D7464"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eastAsia="bg-BG"/>
        </w:rPr>
        <w:t>Като флуорохинолоново антибактериално средство, левофлоксацин действа върху ДНК- гираза комплекса и топоизомераза IV.</w:t>
      </w:r>
    </w:p>
    <w:p w14:paraId="071F35BE" w14:textId="77777777" w:rsidR="00B868F9" w:rsidRPr="00B868F9" w:rsidRDefault="00B868F9" w:rsidP="00B868F9">
      <w:pPr>
        <w:spacing w:line="240" w:lineRule="auto"/>
        <w:rPr>
          <w:rFonts w:eastAsia="Times New Roman" w:cs="Arial"/>
          <w:i/>
          <w:iCs/>
          <w:color w:val="000000"/>
          <w:lang w:eastAsia="bg-BG"/>
        </w:rPr>
      </w:pPr>
    </w:p>
    <w:p w14:paraId="1DC8BED0" w14:textId="39FBACC1" w:rsidR="00B868F9" w:rsidRPr="00B868F9" w:rsidRDefault="00B868F9" w:rsidP="00B868F9">
      <w:pPr>
        <w:spacing w:line="240" w:lineRule="auto"/>
        <w:rPr>
          <w:rFonts w:eastAsia="Times New Roman" w:cs="Arial"/>
          <w:sz w:val="24"/>
          <w:szCs w:val="24"/>
        </w:rPr>
      </w:pPr>
      <w:r w:rsidRPr="00B868F9">
        <w:rPr>
          <w:rFonts w:eastAsia="Times New Roman" w:cs="Arial"/>
          <w:i/>
          <w:iCs/>
          <w:color w:val="000000"/>
          <w:lang w:eastAsia="bg-BG"/>
        </w:rPr>
        <w:t>ФК/ФД отношение</w:t>
      </w:r>
    </w:p>
    <w:p w14:paraId="1975098A" w14:textId="77777777" w:rsidR="00B868F9" w:rsidRPr="00B868F9" w:rsidRDefault="00B868F9" w:rsidP="00B868F9">
      <w:pPr>
        <w:spacing w:line="240" w:lineRule="auto"/>
        <w:rPr>
          <w:rFonts w:eastAsia="Times New Roman" w:cs="Arial"/>
          <w:color w:val="000000"/>
          <w:lang w:eastAsia="bg-BG"/>
        </w:rPr>
      </w:pPr>
    </w:p>
    <w:p w14:paraId="394CEA95" w14:textId="489F11A7"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eastAsia="bg-BG"/>
        </w:rPr>
        <w:t>Степента на бактерицидната активност на левофлоксацин зависи от</w:t>
      </w:r>
      <w:r w:rsidRPr="00B868F9">
        <w:rPr>
          <w:rFonts w:eastAsia="Times New Roman" w:cs="Arial"/>
          <w:color w:val="000000"/>
          <w:lang w:val="ru-RU"/>
        </w:rPr>
        <w:t xml:space="preserve"> </w:t>
      </w:r>
      <w:r w:rsidRPr="00B868F9">
        <w:rPr>
          <w:rFonts w:eastAsia="Times New Roman" w:cs="Arial"/>
          <w:color w:val="000000"/>
          <w:lang w:eastAsia="bg-BG"/>
        </w:rPr>
        <w:t>съотношението на максималната серумна концентрация (С</w:t>
      </w:r>
      <w:r w:rsidRPr="00B868F9">
        <w:rPr>
          <w:rFonts w:eastAsia="Times New Roman" w:cs="Arial"/>
          <w:color w:val="000000"/>
          <w:vertAlign w:val="subscript"/>
          <w:lang w:val="en-US"/>
        </w:rPr>
        <w:t>max</w:t>
      </w:r>
      <w:r w:rsidRPr="00B868F9">
        <w:rPr>
          <w:rFonts w:eastAsia="Times New Roman" w:cs="Arial"/>
          <w:color w:val="000000"/>
          <w:lang w:eastAsia="bg-BG"/>
        </w:rPr>
        <w:t xml:space="preserve">) или площта под кривата </w:t>
      </w:r>
      <w:r w:rsidRPr="00B868F9">
        <w:rPr>
          <w:rFonts w:eastAsia="Times New Roman" w:cs="Arial"/>
          <w:color w:val="000000"/>
          <w:lang w:val="ru-RU"/>
        </w:rPr>
        <w:t>(</w:t>
      </w:r>
      <w:r w:rsidRPr="00B868F9">
        <w:rPr>
          <w:rFonts w:eastAsia="Times New Roman" w:cs="Arial"/>
          <w:color w:val="000000"/>
          <w:lang w:val="en-US"/>
        </w:rPr>
        <w:t>AUC</w:t>
      </w:r>
      <w:r w:rsidRPr="00B868F9">
        <w:rPr>
          <w:rFonts w:eastAsia="Times New Roman" w:cs="Arial"/>
          <w:color w:val="000000"/>
          <w:lang w:val="ru-RU"/>
        </w:rPr>
        <w:t xml:space="preserve">) </w:t>
      </w:r>
      <w:r w:rsidRPr="00B868F9">
        <w:rPr>
          <w:rFonts w:eastAsia="Times New Roman" w:cs="Arial"/>
          <w:color w:val="000000"/>
          <w:lang w:eastAsia="bg-BG"/>
        </w:rPr>
        <w:t xml:space="preserve">и минималната инхибираща концентрация </w:t>
      </w:r>
      <w:r w:rsidRPr="00B868F9">
        <w:rPr>
          <w:rFonts w:eastAsia="Times New Roman" w:cs="Arial"/>
          <w:color w:val="000000"/>
          <w:lang w:val="ru-RU"/>
        </w:rPr>
        <w:t>(</w:t>
      </w:r>
      <w:r w:rsidRPr="00B868F9">
        <w:rPr>
          <w:rFonts w:eastAsia="Times New Roman" w:cs="Arial"/>
          <w:color w:val="000000"/>
          <w:lang w:val="en-US"/>
        </w:rPr>
        <w:t>MIC</w:t>
      </w:r>
      <w:r w:rsidRPr="00B868F9">
        <w:rPr>
          <w:rFonts w:eastAsia="Times New Roman" w:cs="Arial"/>
          <w:color w:val="000000"/>
          <w:lang w:val="ru-RU"/>
        </w:rPr>
        <w:t>).</w:t>
      </w:r>
    </w:p>
    <w:p w14:paraId="061AAE58" w14:textId="77777777" w:rsidR="00B868F9" w:rsidRPr="00B868F9" w:rsidRDefault="00B868F9" w:rsidP="00B868F9">
      <w:pPr>
        <w:rPr>
          <w:rFonts w:eastAsia="Times New Roman" w:cs="Arial"/>
          <w:sz w:val="24"/>
          <w:szCs w:val="24"/>
        </w:rPr>
      </w:pPr>
    </w:p>
    <w:p w14:paraId="615265D1" w14:textId="18769A26" w:rsidR="00B868F9" w:rsidRPr="00B868F9" w:rsidRDefault="00B868F9" w:rsidP="00B868F9">
      <w:pPr>
        <w:rPr>
          <w:rFonts w:eastAsia="Times New Roman" w:cs="Arial"/>
          <w:i/>
          <w:iCs/>
          <w:color w:val="000000"/>
          <w:lang w:eastAsia="bg-BG"/>
        </w:rPr>
      </w:pPr>
      <w:r w:rsidRPr="00B868F9">
        <w:rPr>
          <w:rFonts w:eastAsia="Times New Roman" w:cs="Arial"/>
          <w:i/>
          <w:iCs/>
          <w:color w:val="000000"/>
          <w:lang w:eastAsia="bg-BG"/>
        </w:rPr>
        <w:t>Механизъм на резистентност</w:t>
      </w:r>
    </w:p>
    <w:p w14:paraId="4042A7B4" w14:textId="77777777"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eastAsia="bg-BG"/>
        </w:rPr>
        <w:t xml:space="preserve">Резистентността към левофлоксацин се придобива посредством стъпаловиден процес чрез мутации на таргетни места в топоизомеразите тип II, ДНК гираза и топоизомераза IV. Други механизми на резистентност, като напр. пермеационни бариери (чести при </w:t>
      </w:r>
      <w:r w:rsidRPr="00B868F9">
        <w:rPr>
          <w:rFonts w:eastAsia="Times New Roman" w:cs="Arial"/>
          <w:i/>
          <w:iCs/>
          <w:color w:val="000000"/>
          <w:lang w:val="en-US"/>
        </w:rPr>
        <w:t>Pseudomonas</w:t>
      </w:r>
      <w:r w:rsidRPr="00B868F9">
        <w:rPr>
          <w:rFonts w:eastAsia="Times New Roman" w:cs="Arial"/>
          <w:i/>
          <w:iCs/>
          <w:color w:val="000000"/>
          <w:lang w:val="ru-RU"/>
        </w:rPr>
        <w:t xml:space="preserve"> </w:t>
      </w:r>
      <w:r w:rsidRPr="00B868F9">
        <w:rPr>
          <w:rFonts w:eastAsia="Times New Roman" w:cs="Arial"/>
          <w:i/>
          <w:iCs/>
          <w:color w:val="000000"/>
          <w:lang w:val="en-US"/>
        </w:rPr>
        <w:t>aeruginosa</w:t>
      </w:r>
      <w:r w:rsidRPr="00B868F9">
        <w:rPr>
          <w:rFonts w:eastAsia="Times New Roman" w:cs="Arial"/>
          <w:i/>
          <w:iCs/>
          <w:color w:val="000000"/>
          <w:lang w:val="ru-RU"/>
        </w:rPr>
        <w:t>)</w:t>
      </w:r>
      <w:r w:rsidRPr="00B868F9">
        <w:rPr>
          <w:rFonts w:eastAsia="Times New Roman" w:cs="Arial"/>
          <w:color w:val="000000"/>
          <w:lang w:val="ru-RU"/>
        </w:rPr>
        <w:t xml:space="preserve"> </w:t>
      </w:r>
      <w:r w:rsidRPr="00B868F9">
        <w:rPr>
          <w:rFonts w:eastAsia="Times New Roman" w:cs="Arial"/>
          <w:color w:val="000000"/>
          <w:lang w:eastAsia="bg-BG"/>
        </w:rPr>
        <w:t>и еферентни механизми може също да повлияят чувствителността към левофлоксацин.</w:t>
      </w:r>
    </w:p>
    <w:p w14:paraId="507CA06F" w14:textId="77777777" w:rsidR="00B868F9" w:rsidRPr="00B868F9" w:rsidRDefault="00B868F9" w:rsidP="00B868F9">
      <w:pPr>
        <w:spacing w:line="240" w:lineRule="auto"/>
        <w:rPr>
          <w:rFonts w:eastAsia="Times New Roman" w:cs="Arial"/>
          <w:color w:val="000000"/>
          <w:lang w:eastAsia="bg-BG"/>
        </w:rPr>
      </w:pPr>
    </w:p>
    <w:p w14:paraId="582869C6" w14:textId="1D0E8121"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eastAsia="bg-BG"/>
        </w:rPr>
        <w:t>Наблюдавана е кръстосана резистентност между левофлоксацин и други флуорохинолони. Поради механизма на действие, като цяло няма кръстосана резистентност между левофлоксацин и други класове антибактериални средства.</w:t>
      </w:r>
    </w:p>
    <w:p w14:paraId="4998CC51" w14:textId="77777777" w:rsidR="00B868F9" w:rsidRPr="00B868F9" w:rsidRDefault="00B868F9" w:rsidP="00B868F9">
      <w:pPr>
        <w:spacing w:line="240" w:lineRule="auto"/>
        <w:rPr>
          <w:rFonts w:eastAsia="Times New Roman" w:cs="Arial"/>
          <w:i/>
          <w:iCs/>
          <w:color w:val="000000"/>
          <w:lang w:eastAsia="bg-BG"/>
        </w:rPr>
      </w:pPr>
    </w:p>
    <w:p w14:paraId="216EB26A" w14:textId="3F876E21" w:rsidR="00B868F9" w:rsidRPr="00B868F9" w:rsidRDefault="00B868F9" w:rsidP="00B868F9">
      <w:pPr>
        <w:spacing w:line="240" w:lineRule="auto"/>
        <w:rPr>
          <w:rFonts w:eastAsia="Times New Roman" w:cs="Arial"/>
          <w:sz w:val="24"/>
          <w:szCs w:val="24"/>
        </w:rPr>
      </w:pPr>
      <w:r w:rsidRPr="00B868F9">
        <w:rPr>
          <w:rFonts w:eastAsia="Times New Roman" w:cs="Arial"/>
          <w:i/>
          <w:iCs/>
          <w:color w:val="000000"/>
          <w:lang w:eastAsia="bg-BG"/>
        </w:rPr>
        <w:t>Гранични стойности</w:t>
      </w:r>
    </w:p>
    <w:p w14:paraId="2EBF4C0C" w14:textId="77777777"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eastAsia="bg-BG"/>
        </w:rPr>
        <w:t xml:space="preserve">Препоръките на </w:t>
      </w:r>
      <w:r w:rsidRPr="00B868F9">
        <w:rPr>
          <w:rFonts w:eastAsia="Times New Roman" w:cs="Arial"/>
          <w:color w:val="000000"/>
          <w:lang w:val="en-US"/>
        </w:rPr>
        <w:t>EUCAST</w:t>
      </w:r>
      <w:r w:rsidRPr="00B868F9">
        <w:rPr>
          <w:rFonts w:eastAsia="Times New Roman" w:cs="Arial"/>
          <w:color w:val="000000"/>
          <w:lang w:val="ru-RU"/>
        </w:rPr>
        <w:t xml:space="preserve"> </w:t>
      </w:r>
      <w:r w:rsidRPr="00B868F9">
        <w:rPr>
          <w:rFonts w:eastAsia="Times New Roman" w:cs="Arial"/>
          <w:color w:val="000000"/>
          <w:lang w:eastAsia="bg-BG"/>
        </w:rPr>
        <w:t xml:space="preserve">за гранични стойности на </w:t>
      </w:r>
      <w:r w:rsidRPr="00B868F9">
        <w:rPr>
          <w:rFonts w:eastAsia="Times New Roman" w:cs="Arial"/>
          <w:color w:val="000000"/>
          <w:lang w:val="en-US"/>
        </w:rPr>
        <w:t>MIC</w:t>
      </w:r>
      <w:r w:rsidRPr="00B868F9">
        <w:rPr>
          <w:rFonts w:eastAsia="Times New Roman" w:cs="Arial"/>
          <w:color w:val="000000"/>
          <w:lang w:val="ru-RU"/>
        </w:rPr>
        <w:t xml:space="preserve"> </w:t>
      </w:r>
      <w:r w:rsidRPr="00B868F9">
        <w:rPr>
          <w:rFonts w:eastAsia="Times New Roman" w:cs="Arial"/>
          <w:color w:val="000000"/>
          <w:lang w:eastAsia="bg-BG"/>
        </w:rPr>
        <w:t xml:space="preserve">за левофлоксацин, разделящи чувствителните от интермедиерно чувствителните и интермедиерно чувствителните от резистентните организми, са представени по-долу в таблицата за изпитване на </w:t>
      </w:r>
      <w:r w:rsidRPr="00B868F9">
        <w:rPr>
          <w:rFonts w:eastAsia="Times New Roman" w:cs="Arial"/>
          <w:color w:val="000000"/>
          <w:lang w:val="en-US"/>
        </w:rPr>
        <w:t>MIC</w:t>
      </w:r>
      <w:r w:rsidRPr="00B868F9">
        <w:rPr>
          <w:rFonts w:eastAsia="Times New Roman" w:cs="Arial"/>
          <w:color w:val="000000"/>
          <w:lang w:val="ru-RU"/>
        </w:rPr>
        <w:t xml:space="preserve"> (</w:t>
      </w:r>
      <w:r w:rsidRPr="00B868F9">
        <w:rPr>
          <w:rFonts w:eastAsia="Times New Roman" w:cs="Arial"/>
          <w:color w:val="000000"/>
          <w:lang w:val="en-US"/>
        </w:rPr>
        <w:t>mg</w:t>
      </w:r>
      <w:r w:rsidRPr="00B868F9">
        <w:rPr>
          <w:rFonts w:eastAsia="Times New Roman" w:cs="Arial"/>
          <w:color w:val="000000"/>
          <w:lang w:val="ru-RU"/>
        </w:rPr>
        <w:t>/</w:t>
      </w:r>
      <w:r w:rsidRPr="00B868F9">
        <w:rPr>
          <w:rFonts w:eastAsia="Times New Roman" w:cs="Arial"/>
          <w:color w:val="000000"/>
          <w:lang w:val="en-US"/>
        </w:rPr>
        <w:t>l</w:t>
      </w:r>
      <w:r w:rsidRPr="00B868F9">
        <w:rPr>
          <w:rFonts w:eastAsia="Times New Roman" w:cs="Arial"/>
          <w:color w:val="000000"/>
          <w:lang w:val="ru-RU"/>
        </w:rPr>
        <w:t>).</w:t>
      </w:r>
    </w:p>
    <w:p w14:paraId="758C2904" w14:textId="77777777" w:rsidR="00B868F9" w:rsidRPr="00B868F9" w:rsidRDefault="00B868F9" w:rsidP="00B868F9">
      <w:pPr>
        <w:spacing w:line="240" w:lineRule="auto"/>
        <w:rPr>
          <w:rFonts w:eastAsia="Times New Roman" w:cs="Arial"/>
          <w:color w:val="000000"/>
          <w:lang w:val="en-US"/>
        </w:rPr>
      </w:pPr>
    </w:p>
    <w:p w14:paraId="7BD54365" w14:textId="71DB1107" w:rsidR="00B868F9" w:rsidRPr="00B868F9" w:rsidRDefault="00B868F9" w:rsidP="00B868F9">
      <w:pPr>
        <w:spacing w:line="240" w:lineRule="auto"/>
        <w:rPr>
          <w:rFonts w:eastAsia="Times New Roman" w:cs="Arial"/>
          <w:sz w:val="24"/>
          <w:szCs w:val="24"/>
        </w:rPr>
      </w:pPr>
      <w:r w:rsidRPr="00B868F9">
        <w:rPr>
          <w:rFonts w:eastAsia="Times New Roman" w:cs="Arial"/>
          <w:color w:val="000000"/>
          <w:lang w:val="en-US"/>
        </w:rPr>
        <w:t>EUCAST</w:t>
      </w:r>
      <w:r w:rsidRPr="00B868F9">
        <w:rPr>
          <w:rFonts w:eastAsia="Times New Roman" w:cs="Arial"/>
          <w:color w:val="000000"/>
          <w:lang w:val="ru-RU"/>
        </w:rPr>
        <w:t xml:space="preserve"> </w:t>
      </w:r>
      <w:r w:rsidRPr="00B868F9">
        <w:rPr>
          <w:rFonts w:eastAsia="Times New Roman" w:cs="Arial"/>
          <w:color w:val="000000"/>
          <w:lang w:eastAsia="bg-BG"/>
        </w:rPr>
        <w:t xml:space="preserve">клинични гранични стойности на </w:t>
      </w:r>
      <w:r w:rsidRPr="00B868F9">
        <w:rPr>
          <w:rFonts w:eastAsia="Times New Roman" w:cs="Arial"/>
          <w:color w:val="000000"/>
          <w:lang w:val="en-US"/>
        </w:rPr>
        <w:t>MIC</w:t>
      </w:r>
      <w:r w:rsidRPr="00B868F9">
        <w:rPr>
          <w:rFonts w:eastAsia="Times New Roman" w:cs="Arial"/>
          <w:color w:val="000000"/>
          <w:lang w:val="ru-RU"/>
        </w:rPr>
        <w:t xml:space="preserve"> </w:t>
      </w:r>
      <w:r w:rsidRPr="00B868F9">
        <w:rPr>
          <w:rFonts w:eastAsia="Times New Roman" w:cs="Arial"/>
          <w:color w:val="000000"/>
          <w:lang w:eastAsia="bg-BG"/>
        </w:rPr>
        <w:t>за левофлоксацин (версия 2.0.2012-01-01):</w:t>
      </w:r>
    </w:p>
    <w:tbl>
      <w:tblPr>
        <w:tblStyle w:val="TableGrid"/>
        <w:tblW w:w="0" w:type="auto"/>
        <w:tblLook w:val="04A0" w:firstRow="1" w:lastRow="0" w:firstColumn="1" w:lastColumn="0" w:noHBand="0" w:noVBand="1"/>
      </w:tblPr>
      <w:tblGrid>
        <w:gridCol w:w="3129"/>
        <w:gridCol w:w="3115"/>
        <w:gridCol w:w="3106"/>
      </w:tblGrid>
      <w:tr w:rsidR="00B868F9" w14:paraId="57F2C440" w14:textId="77777777" w:rsidTr="00B868F9">
        <w:tc>
          <w:tcPr>
            <w:tcW w:w="3192" w:type="dxa"/>
          </w:tcPr>
          <w:p w14:paraId="3F7D402A" w14:textId="1F34082D" w:rsidR="00B868F9" w:rsidRDefault="00B868F9" w:rsidP="00B868F9">
            <w:r>
              <w:rPr>
                <w:b/>
                <w:bCs/>
              </w:rPr>
              <w:t>Патоген</w:t>
            </w:r>
          </w:p>
        </w:tc>
        <w:tc>
          <w:tcPr>
            <w:tcW w:w="3192" w:type="dxa"/>
          </w:tcPr>
          <w:p w14:paraId="431363E6" w14:textId="2A2A5C4C" w:rsidR="00B868F9" w:rsidRDefault="00B868F9" w:rsidP="00B868F9">
            <w:r>
              <w:rPr>
                <w:b/>
                <w:bCs/>
              </w:rPr>
              <w:t>Чувствителен</w:t>
            </w:r>
          </w:p>
        </w:tc>
        <w:tc>
          <w:tcPr>
            <w:tcW w:w="3192" w:type="dxa"/>
          </w:tcPr>
          <w:p w14:paraId="59EC43D2" w14:textId="3623A10F" w:rsidR="00B868F9" w:rsidRDefault="00B868F9" w:rsidP="00B868F9">
            <w:r>
              <w:rPr>
                <w:b/>
                <w:bCs/>
              </w:rPr>
              <w:t>Резистентен</w:t>
            </w:r>
          </w:p>
        </w:tc>
      </w:tr>
      <w:tr w:rsidR="00B868F9" w14:paraId="3B8D3537" w14:textId="77777777" w:rsidTr="00B868F9">
        <w:tc>
          <w:tcPr>
            <w:tcW w:w="3192" w:type="dxa"/>
            <w:vMerge w:val="restart"/>
          </w:tcPr>
          <w:p w14:paraId="175FB9D9" w14:textId="531DA9C6" w:rsidR="00B868F9" w:rsidRDefault="00B868F9" w:rsidP="00B868F9">
            <w:r>
              <w:rPr>
                <w:i/>
                <w:iCs/>
              </w:rPr>
              <w:t>Enterobacteriacae Pseudomonas spp.</w:t>
            </w:r>
          </w:p>
        </w:tc>
        <w:tc>
          <w:tcPr>
            <w:tcW w:w="3192" w:type="dxa"/>
          </w:tcPr>
          <w:p w14:paraId="4E697134" w14:textId="3406EAB2" w:rsidR="00B868F9" w:rsidRDefault="00B868F9" w:rsidP="00B868F9">
            <w:r>
              <w:rPr>
                <w:lang w:eastAsia="bg-BG"/>
              </w:rPr>
              <w:t xml:space="preserve">≤1 </w:t>
            </w:r>
            <w:r>
              <w:t>mg/L</w:t>
            </w:r>
          </w:p>
        </w:tc>
        <w:tc>
          <w:tcPr>
            <w:tcW w:w="3192" w:type="dxa"/>
          </w:tcPr>
          <w:p w14:paraId="3E28BAA6" w14:textId="0866795F" w:rsidR="00B868F9" w:rsidRDefault="00B868F9" w:rsidP="00B868F9">
            <w:r>
              <w:t>&gt; 2 mg/L</w:t>
            </w:r>
          </w:p>
        </w:tc>
      </w:tr>
      <w:tr w:rsidR="00B868F9" w14:paraId="3B30ECFE" w14:textId="77777777" w:rsidTr="00B868F9">
        <w:tc>
          <w:tcPr>
            <w:tcW w:w="3192" w:type="dxa"/>
            <w:vMerge/>
          </w:tcPr>
          <w:p w14:paraId="333F60B0" w14:textId="77777777" w:rsidR="00B868F9" w:rsidRDefault="00B868F9" w:rsidP="00B868F9"/>
        </w:tc>
        <w:tc>
          <w:tcPr>
            <w:tcW w:w="3192" w:type="dxa"/>
          </w:tcPr>
          <w:p w14:paraId="216D1462" w14:textId="5E4AE8A8" w:rsidR="00B868F9" w:rsidRDefault="00B868F9" w:rsidP="00B868F9">
            <w:r>
              <w:rPr>
                <w:lang w:eastAsia="bg-BG"/>
              </w:rPr>
              <w:t xml:space="preserve">≤1 </w:t>
            </w:r>
            <w:r>
              <w:t>mg/L</w:t>
            </w:r>
          </w:p>
        </w:tc>
        <w:tc>
          <w:tcPr>
            <w:tcW w:w="3192" w:type="dxa"/>
          </w:tcPr>
          <w:p w14:paraId="70B3C246" w14:textId="7ACC693E" w:rsidR="00B868F9" w:rsidRDefault="00B868F9" w:rsidP="00B868F9">
            <w:r>
              <w:t>&gt; 2 mg/L</w:t>
            </w:r>
          </w:p>
        </w:tc>
      </w:tr>
      <w:tr w:rsidR="00B868F9" w14:paraId="724581C2" w14:textId="77777777" w:rsidTr="00B868F9">
        <w:tc>
          <w:tcPr>
            <w:tcW w:w="3192" w:type="dxa"/>
          </w:tcPr>
          <w:p w14:paraId="5F00A5F6" w14:textId="46E66F29" w:rsidR="00B868F9" w:rsidRDefault="00B868F9" w:rsidP="00B868F9">
            <w:r>
              <w:rPr>
                <w:i/>
                <w:iCs/>
              </w:rPr>
              <w:t>Acinetobacter spp.</w:t>
            </w:r>
          </w:p>
        </w:tc>
        <w:tc>
          <w:tcPr>
            <w:tcW w:w="3192" w:type="dxa"/>
          </w:tcPr>
          <w:p w14:paraId="36EBB877" w14:textId="11435E40" w:rsidR="00B868F9" w:rsidRDefault="00B868F9" w:rsidP="00B868F9">
            <w:r>
              <w:rPr>
                <w:lang w:eastAsia="bg-BG"/>
              </w:rPr>
              <w:t xml:space="preserve">≤1 </w:t>
            </w:r>
            <w:r>
              <w:t>mg/L</w:t>
            </w:r>
          </w:p>
        </w:tc>
        <w:tc>
          <w:tcPr>
            <w:tcW w:w="3192" w:type="dxa"/>
          </w:tcPr>
          <w:p w14:paraId="0C108EDE" w14:textId="6083755F" w:rsidR="00B868F9" w:rsidRDefault="00B868F9" w:rsidP="00B868F9">
            <w:r>
              <w:t>&gt; 2 mg/L</w:t>
            </w:r>
          </w:p>
        </w:tc>
      </w:tr>
      <w:tr w:rsidR="00B868F9" w14:paraId="63EAB0C6" w14:textId="77777777" w:rsidTr="00B868F9">
        <w:tc>
          <w:tcPr>
            <w:tcW w:w="3192" w:type="dxa"/>
            <w:vMerge w:val="restart"/>
          </w:tcPr>
          <w:p w14:paraId="2E3A993A" w14:textId="77777777" w:rsidR="00B868F9" w:rsidRDefault="00B868F9" w:rsidP="00B868F9">
            <w:r>
              <w:rPr>
                <w:i/>
                <w:iCs/>
              </w:rPr>
              <w:t>Staphylococcus spp.</w:t>
            </w:r>
          </w:p>
          <w:p w14:paraId="19150623" w14:textId="77777777" w:rsidR="00B868F9" w:rsidRDefault="00B868F9" w:rsidP="00B868F9">
            <w:r>
              <w:rPr>
                <w:i/>
                <w:iCs/>
              </w:rPr>
              <w:t>S.pneumoniae</w:t>
            </w:r>
            <w:r>
              <w:rPr>
                <w:i/>
                <w:iCs/>
                <w:vertAlign w:val="superscript"/>
              </w:rPr>
              <w:t>1</w:t>
            </w:r>
          </w:p>
          <w:p w14:paraId="6F8FE8A2" w14:textId="56992BCE" w:rsidR="00B868F9" w:rsidRDefault="00B868F9" w:rsidP="00B868F9">
            <w:r>
              <w:rPr>
                <w:i/>
                <w:iCs/>
              </w:rPr>
              <w:t>Streptococcus A,B, C, G</w:t>
            </w:r>
          </w:p>
        </w:tc>
        <w:tc>
          <w:tcPr>
            <w:tcW w:w="3192" w:type="dxa"/>
          </w:tcPr>
          <w:p w14:paraId="7EDC841C" w14:textId="4D32556D" w:rsidR="00B868F9" w:rsidRDefault="00B868F9" w:rsidP="00B868F9">
            <w:r>
              <w:rPr>
                <w:lang w:eastAsia="bg-BG"/>
              </w:rPr>
              <w:t xml:space="preserve">≤1 </w:t>
            </w:r>
            <w:r>
              <w:t>mg/L</w:t>
            </w:r>
          </w:p>
        </w:tc>
        <w:tc>
          <w:tcPr>
            <w:tcW w:w="3192" w:type="dxa"/>
          </w:tcPr>
          <w:p w14:paraId="6CC530B6" w14:textId="1F041D67" w:rsidR="00B868F9" w:rsidRDefault="00B868F9" w:rsidP="00B868F9">
            <w:r>
              <w:t>&gt; 2 mg/L</w:t>
            </w:r>
          </w:p>
        </w:tc>
      </w:tr>
      <w:tr w:rsidR="00B868F9" w14:paraId="5E5C348A" w14:textId="77777777" w:rsidTr="00B868F9">
        <w:tc>
          <w:tcPr>
            <w:tcW w:w="3192" w:type="dxa"/>
            <w:vMerge/>
          </w:tcPr>
          <w:p w14:paraId="3D8C831B" w14:textId="77777777" w:rsidR="00B868F9" w:rsidRDefault="00B868F9" w:rsidP="00B868F9"/>
        </w:tc>
        <w:tc>
          <w:tcPr>
            <w:tcW w:w="3192" w:type="dxa"/>
          </w:tcPr>
          <w:p w14:paraId="528E8138" w14:textId="7BE8B3FC" w:rsidR="00B868F9" w:rsidRDefault="00B868F9" w:rsidP="00B868F9">
            <w:r>
              <w:rPr>
                <w:lang w:eastAsia="bg-BG"/>
              </w:rPr>
              <w:t>≤</w:t>
            </w:r>
            <w:r>
              <w:t>2 mg/L</w:t>
            </w:r>
          </w:p>
        </w:tc>
        <w:tc>
          <w:tcPr>
            <w:tcW w:w="3192" w:type="dxa"/>
          </w:tcPr>
          <w:p w14:paraId="40001617" w14:textId="294DB3E6" w:rsidR="00B868F9" w:rsidRDefault="00B868F9" w:rsidP="00B868F9">
            <w:r>
              <w:t>&gt; 2 mg/L</w:t>
            </w:r>
          </w:p>
        </w:tc>
      </w:tr>
      <w:tr w:rsidR="00B868F9" w14:paraId="5F33DDE0" w14:textId="77777777" w:rsidTr="00B868F9">
        <w:tc>
          <w:tcPr>
            <w:tcW w:w="3192" w:type="dxa"/>
            <w:vMerge/>
          </w:tcPr>
          <w:p w14:paraId="12587737" w14:textId="77777777" w:rsidR="00B868F9" w:rsidRDefault="00B868F9" w:rsidP="00B868F9"/>
        </w:tc>
        <w:tc>
          <w:tcPr>
            <w:tcW w:w="3192" w:type="dxa"/>
          </w:tcPr>
          <w:p w14:paraId="66E22DBA" w14:textId="24FB4105" w:rsidR="00B868F9" w:rsidRDefault="00B868F9" w:rsidP="00B868F9">
            <w:r>
              <w:rPr>
                <w:lang w:eastAsia="bg-BG"/>
              </w:rPr>
              <w:t>≤</w:t>
            </w:r>
            <w:r>
              <w:t xml:space="preserve"> 1 mg/L</w:t>
            </w:r>
          </w:p>
        </w:tc>
        <w:tc>
          <w:tcPr>
            <w:tcW w:w="3192" w:type="dxa"/>
          </w:tcPr>
          <w:p w14:paraId="0E0133FB" w14:textId="55FA14B6" w:rsidR="00B868F9" w:rsidRDefault="00B868F9" w:rsidP="00B868F9">
            <w:r>
              <w:t>&gt; 2 mg/L</w:t>
            </w:r>
          </w:p>
        </w:tc>
      </w:tr>
      <w:tr w:rsidR="00B868F9" w14:paraId="7D32324B" w14:textId="77777777" w:rsidTr="00B868F9">
        <w:tc>
          <w:tcPr>
            <w:tcW w:w="3192" w:type="dxa"/>
          </w:tcPr>
          <w:p w14:paraId="63D3D555" w14:textId="673214E0" w:rsidR="00B868F9" w:rsidRDefault="00B868F9" w:rsidP="00B868F9">
            <w:r>
              <w:rPr>
                <w:i/>
                <w:iCs/>
              </w:rPr>
              <w:t>H.influenzae</w:t>
            </w:r>
            <w:r>
              <w:rPr>
                <w:i/>
                <w:iCs/>
                <w:vertAlign w:val="superscript"/>
              </w:rPr>
              <w:t>2,3</w:t>
            </w:r>
          </w:p>
        </w:tc>
        <w:tc>
          <w:tcPr>
            <w:tcW w:w="3192" w:type="dxa"/>
          </w:tcPr>
          <w:p w14:paraId="50ABFA7D" w14:textId="0757BD87" w:rsidR="00B868F9" w:rsidRDefault="00B868F9" w:rsidP="00B868F9">
            <w:r>
              <w:rPr>
                <w:lang w:eastAsia="bg-BG"/>
              </w:rPr>
              <w:t>≤</w:t>
            </w:r>
            <w:r>
              <w:t xml:space="preserve"> 1 mg/L</w:t>
            </w:r>
          </w:p>
        </w:tc>
        <w:tc>
          <w:tcPr>
            <w:tcW w:w="3192" w:type="dxa"/>
          </w:tcPr>
          <w:p w14:paraId="70B57ABA" w14:textId="4C0EA9F3" w:rsidR="00B868F9" w:rsidRDefault="00B868F9" w:rsidP="00B868F9">
            <w:r>
              <w:t>&gt; 1 mg/L</w:t>
            </w:r>
          </w:p>
        </w:tc>
      </w:tr>
      <w:tr w:rsidR="00B868F9" w14:paraId="575A8939" w14:textId="77777777" w:rsidTr="00B868F9">
        <w:tc>
          <w:tcPr>
            <w:tcW w:w="3192" w:type="dxa"/>
          </w:tcPr>
          <w:p w14:paraId="09C069DA" w14:textId="699ABB2C" w:rsidR="00B868F9" w:rsidRDefault="00B868F9" w:rsidP="00B868F9">
            <w:r>
              <w:rPr>
                <w:i/>
                <w:iCs/>
              </w:rPr>
              <w:t>M.catarrhal is</w:t>
            </w:r>
            <w:r>
              <w:rPr>
                <w:i/>
                <w:iCs/>
                <w:vertAlign w:val="superscript"/>
              </w:rPr>
              <w:t>3</w:t>
            </w:r>
          </w:p>
        </w:tc>
        <w:tc>
          <w:tcPr>
            <w:tcW w:w="3192" w:type="dxa"/>
          </w:tcPr>
          <w:p w14:paraId="35A97463" w14:textId="700B7666" w:rsidR="00B868F9" w:rsidRDefault="00B868F9" w:rsidP="00B868F9">
            <w:r>
              <w:rPr>
                <w:lang w:eastAsia="bg-BG"/>
              </w:rPr>
              <w:t>≤</w:t>
            </w:r>
            <w:r>
              <w:t xml:space="preserve"> 1 mg/L</w:t>
            </w:r>
          </w:p>
        </w:tc>
        <w:tc>
          <w:tcPr>
            <w:tcW w:w="3192" w:type="dxa"/>
          </w:tcPr>
          <w:p w14:paraId="40E2C98A" w14:textId="02CA2B15" w:rsidR="00B868F9" w:rsidRDefault="00B868F9" w:rsidP="00B868F9">
            <w:r>
              <w:t>&gt; 1 mg/L</w:t>
            </w:r>
          </w:p>
        </w:tc>
      </w:tr>
      <w:tr w:rsidR="00B868F9" w14:paraId="082F8489" w14:textId="77777777" w:rsidTr="00B868F9">
        <w:tc>
          <w:tcPr>
            <w:tcW w:w="3192" w:type="dxa"/>
          </w:tcPr>
          <w:p w14:paraId="474F4498" w14:textId="20E37A34" w:rsidR="00B868F9" w:rsidRDefault="00B868F9" w:rsidP="00B868F9">
            <w:r>
              <w:rPr>
                <w:i/>
                <w:iCs/>
                <w:lang w:eastAsia="bg-BG"/>
              </w:rPr>
              <w:t>Гранични стойности видово неспецифични</w:t>
            </w:r>
            <w:r>
              <w:rPr>
                <w:i/>
                <w:iCs/>
                <w:vertAlign w:val="superscript"/>
                <w:lang w:eastAsia="bg-BG"/>
              </w:rPr>
              <w:t>4</w:t>
            </w:r>
          </w:p>
        </w:tc>
        <w:tc>
          <w:tcPr>
            <w:tcW w:w="3192" w:type="dxa"/>
          </w:tcPr>
          <w:p w14:paraId="470762D8" w14:textId="51D3F1DC" w:rsidR="00B868F9" w:rsidRDefault="00B868F9" w:rsidP="00B868F9">
            <w:r>
              <w:rPr>
                <w:lang w:eastAsia="bg-BG"/>
              </w:rPr>
              <w:t>≤</w:t>
            </w:r>
            <w:r>
              <w:t xml:space="preserve"> 1 mg/L</w:t>
            </w:r>
          </w:p>
        </w:tc>
        <w:tc>
          <w:tcPr>
            <w:tcW w:w="3192" w:type="dxa"/>
          </w:tcPr>
          <w:p w14:paraId="0167DA54" w14:textId="4AF27504" w:rsidR="00B868F9" w:rsidRDefault="00B868F9" w:rsidP="00B868F9">
            <w:r>
              <w:t>&gt; 2 mg/L</w:t>
            </w:r>
          </w:p>
        </w:tc>
      </w:tr>
      <w:tr w:rsidR="00B868F9" w14:paraId="4B94214F" w14:textId="77777777" w:rsidTr="00B868F9">
        <w:tc>
          <w:tcPr>
            <w:tcW w:w="9576" w:type="dxa"/>
            <w:gridSpan w:val="3"/>
          </w:tcPr>
          <w:p w14:paraId="08B73B97" w14:textId="595CF6B4" w:rsidR="00B868F9" w:rsidRPr="00B868F9" w:rsidRDefault="00B868F9" w:rsidP="00B868F9">
            <w:pPr>
              <w:pStyle w:val="ListParagraph"/>
              <w:numPr>
                <w:ilvl w:val="0"/>
                <w:numId w:val="38"/>
              </w:numPr>
              <w:spacing w:line="240" w:lineRule="auto"/>
              <w:rPr>
                <w:rFonts w:ascii="Times New Roman" w:eastAsia="Times New Roman" w:hAnsi="Times New Roman" w:cs="Times New Roman"/>
                <w:color w:val="000000"/>
                <w:lang w:eastAsia="bg-BG"/>
              </w:rPr>
            </w:pPr>
            <w:r w:rsidRPr="00B868F9">
              <w:rPr>
                <w:rFonts w:ascii="Times New Roman" w:eastAsia="Times New Roman" w:hAnsi="Times New Roman" w:cs="Times New Roman"/>
                <w:color w:val="000000"/>
                <w:lang w:eastAsia="bg-BG"/>
              </w:rPr>
              <w:t>Граничните стойности за левофлоксацин се отнасят за високо дозова терапия.</w:t>
            </w:r>
          </w:p>
          <w:p w14:paraId="7875D11D" w14:textId="21344885" w:rsidR="00B868F9" w:rsidRPr="00B868F9" w:rsidRDefault="00B868F9" w:rsidP="00B868F9">
            <w:pPr>
              <w:pStyle w:val="ListParagraph"/>
              <w:numPr>
                <w:ilvl w:val="0"/>
                <w:numId w:val="38"/>
              </w:numPr>
              <w:spacing w:line="240" w:lineRule="auto"/>
              <w:rPr>
                <w:rFonts w:ascii="Times New Roman" w:eastAsia="Times New Roman" w:hAnsi="Times New Roman" w:cs="Times New Roman"/>
                <w:color w:val="000000"/>
                <w:lang w:eastAsia="bg-BG"/>
              </w:rPr>
            </w:pPr>
            <w:r w:rsidRPr="00B868F9">
              <w:rPr>
                <w:rFonts w:ascii="Times New Roman" w:eastAsia="Times New Roman" w:hAnsi="Times New Roman" w:cs="Times New Roman"/>
                <w:color w:val="000000"/>
                <w:lang w:eastAsia="bg-BG"/>
              </w:rPr>
              <w:t xml:space="preserve">Може да възникне резистентност към флуорохинолони при ниски нива </w:t>
            </w:r>
            <w:r w:rsidRPr="00B868F9">
              <w:rPr>
                <w:rFonts w:ascii="Times New Roman" w:eastAsia="Times New Roman" w:hAnsi="Times New Roman" w:cs="Times New Roman"/>
                <w:color w:val="000000"/>
                <w:lang w:val="ru-RU"/>
              </w:rPr>
              <w:t>(</w:t>
            </w:r>
            <w:r w:rsidRPr="00B868F9">
              <w:rPr>
                <w:rFonts w:ascii="Times New Roman" w:eastAsia="Times New Roman" w:hAnsi="Times New Roman" w:cs="Times New Roman"/>
                <w:color w:val="000000"/>
                <w:lang w:val="en-US"/>
              </w:rPr>
              <w:t>MIC</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 xml:space="preserve">на ципрофлоксацин от 0.12-0.5 </w:t>
            </w:r>
            <w:r w:rsidRPr="00B868F9">
              <w:rPr>
                <w:rFonts w:ascii="Times New Roman" w:eastAsia="Times New Roman" w:hAnsi="Times New Roman" w:cs="Times New Roman"/>
                <w:color w:val="000000"/>
                <w:lang w:val="en-US"/>
              </w:rPr>
              <w:t>mg</w:t>
            </w:r>
            <w:r w:rsidRPr="00B868F9">
              <w:rPr>
                <w:rFonts w:ascii="Times New Roman" w:eastAsia="Times New Roman" w:hAnsi="Times New Roman" w:cs="Times New Roman"/>
                <w:color w:val="000000"/>
                <w:lang w:val="ru-RU"/>
              </w:rPr>
              <w:t>/</w:t>
            </w:r>
            <w:r w:rsidRPr="00B868F9">
              <w:rPr>
                <w:rFonts w:ascii="Times New Roman" w:eastAsia="Times New Roman" w:hAnsi="Times New Roman" w:cs="Times New Roman"/>
                <w:color w:val="000000"/>
                <w:lang w:val="en-US"/>
              </w:rPr>
              <w:t>l</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 xml:space="preserve">но няма данни, че тази резистентност е от клинично значение при инфекции на дихателните пътища с </w:t>
            </w:r>
            <w:r w:rsidRPr="00B868F9">
              <w:rPr>
                <w:rFonts w:ascii="Times New Roman" w:eastAsia="Times New Roman" w:hAnsi="Times New Roman" w:cs="Times New Roman"/>
                <w:i/>
                <w:iCs/>
                <w:color w:val="000000"/>
                <w:lang w:eastAsia="bg-BG"/>
              </w:rPr>
              <w:t xml:space="preserve">Н. </w:t>
            </w:r>
            <w:proofErr w:type="spellStart"/>
            <w:proofErr w:type="gramStart"/>
            <w:r w:rsidRPr="00B868F9">
              <w:rPr>
                <w:rFonts w:ascii="Times New Roman" w:eastAsia="Times New Roman" w:hAnsi="Times New Roman" w:cs="Times New Roman"/>
                <w:i/>
                <w:iCs/>
                <w:color w:val="000000"/>
                <w:lang w:val="en-US"/>
              </w:rPr>
              <w:t>influenzae</w:t>
            </w:r>
            <w:proofErr w:type="spellEnd"/>
            <w:proofErr w:type="gramEnd"/>
            <w:r w:rsidRPr="00B868F9">
              <w:rPr>
                <w:rFonts w:ascii="Times New Roman" w:eastAsia="Times New Roman" w:hAnsi="Times New Roman" w:cs="Times New Roman"/>
                <w:i/>
                <w:iCs/>
                <w:color w:val="000000"/>
                <w:lang w:val="ru-RU"/>
              </w:rPr>
              <w:t>.</w:t>
            </w:r>
          </w:p>
          <w:p w14:paraId="5AE44DC1" w14:textId="77777777" w:rsidR="00B868F9" w:rsidRPr="00B868F9" w:rsidRDefault="00B868F9" w:rsidP="00B868F9">
            <w:pPr>
              <w:numPr>
                <w:ilvl w:val="0"/>
                <w:numId w:val="38"/>
              </w:numPr>
              <w:spacing w:line="240" w:lineRule="auto"/>
              <w:rPr>
                <w:rFonts w:ascii="Times New Roman" w:eastAsia="Times New Roman" w:hAnsi="Times New Roman" w:cs="Times New Roman"/>
                <w:color w:val="000000"/>
                <w:lang w:eastAsia="bg-BG"/>
              </w:rPr>
            </w:pPr>
            <w:r w:rsidRPr="00B868F9">
              <w:rPr>
                <w:rFonts w:ascii="Times New Roman" w:eastAsia="Times New Roman" w:hAnsi="Times New Roman" w:cs="Times New Roman"/>
                <w:color w:val="000000"/>
                <w:lang w:eastAsia="bg-BG"/>
              </w:rPr>
              <w:t xml:space="preserve">Щамове със стойности на </w:t>
            </w:r>
            <w:r w:rsidRPr="00B868F9">
              <w:rPr>
                <w:rFonts w:ascii="Times New Roman" w:eastAsia="Times New Roman" w:hAnsi="Times New Roman" w:cs="Times New Roman"/>
                <w:color w:val="000000"/>
                <w:lang w:val="en-US"/>
              </w:rPr>
              <w:t>MIC</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 xml:space="preserve">над граничните стойности на чувствителност се съобщават много рядко или все още не са съобщени. Тестовете за идентификация и антимикробна чувствителност на всички подобни изолати трябва да бъдат повторени и ако резултатът се потвърди, изолатът трябва да бъде изпратен в референтна лаборатория. Докато няма доказателство относно клиничния отговор при потвърдени </w:t>
            </w:r>
            <w:r w:rsidRPr="00B868F9">
              <w:rPr>
                <w:rFonts w:ascii="Times New Roman" w:eastAsia="Times New Roman" w:hAnsi="Times New Roman" w:cs="Times New Roman"/>
                <w:color w:val="000000"/>
                <w:lang w:eastAsia="bg-BG"/>
              </w:rPr>
              <w:lastRenderedPageBreak/>
              <w:t xml:space="preserve">изолати с </w:t>
            </w:r>
            <w:r w:rsidRPr="00B868F9">
              <w:rPr>
                <w:rFonts w:ascii="Times New Roman" w:eastAsia="Times New Roman" w:hAnsi="Times New Roman" w:cs="Times New Roman"/>
                <w:color w:val="000000"/>
                <w:lang w:val="en-US"/>
              </w:rPr>
              <w:t>MIC</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над настоящите граници на резистентност, те трябва да се съобщават като резистентни.</w:t>
            </w:r>
          </w:p>
          <w:p w14:paraId="2C080AD4" w14:textId="2CB4D054" w:rsidR="00B868F9" w:rsidRPr="00B868F9" w:rsidRDefault="00B868F9" w:rsidP="00B868F9">
            <w:pPr>
              <w:numPr>
                <w:ilvl w:val="0"/>
                <w:numId w:val="38"/>
              </w:numPr>
              <w:spacing w:line="240" w:lineRule="auto"/>
              <w:rPr>
                <w:rFonts w:ascii="Times New Roman" w:eastAsia="Times New Roman" w:hAnsi="Times New Roman" w:cs="Times New Roman"/>
                <w:color w:val="000000"/>
                <w:lang w:eastAsia="bg-BG"/>
              </w:rPr>
            </w:pPr>
            <w:r w:rsidRPr="00B868F9">
              <w:rPr>
                <w:rFonts w:ascii="Times New Roman" w:eastAsia="Times New Roman" w:hAnsi="Times New Roman" w:cs="Times New Roman"/>
                <w:color w:val="000000"/>
                <w:lang w:eastAsia="bg-BG"/>
              </w:rPr>
              <w:t xml:space="preserve">Граничните стойности се отнасят само за перорална доза от 500 </w:t>
            </w:r>
            <w:r w:rsidRPr="00B868F9">
              <w:rPr>
                <w:rFonts w:ascii="Times New Roman" w:eastAsia="Times New Roman" w:hAnsi="Times New Roman" w:cs="Times New Roman"/>
                <w:color w:val="000000"/>
                <w:lang w:val="en-US"/>
              </w:rPr>
              <w:t>mg</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 xml:space="preserve">х 1 до 500 </w:t>
            </w:r>
            <w:r w:rsidRPr="00B868F9">
              <w:rPr>
                <w:rFonts w:ascii="Times New Roman" w:eastAsia="Times New Roman" w:hAnsi="Times New Roman" w:cs="Times New Roman"/>
                <w:color w:val="000000"/>
                <w:lang w:val="en-US"/>
              </w:rPr>
              <w:t>mg</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 xml:space="preserve">х 2 и интравенозна доза от 500 </w:t>
            </w:r>
            <w:r w:rsidRPr="00B868F9">
              <w:rPr>
                <w:rFonts w:ascii="Times New Roman" w:eastAsia="Times New Roman" w:hAnsi="Times New Roman" w:cs="Times New Roman"/>
                <w:color w:val="000000"/>
                <w:lang w:val="en-US"/>
              </w:rPr>
              <w:t>mg</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 xml:space="preserve">х 1 до 500 </w:t>
            </w:r>
            <w:r w:rsidRPr="00B868F9">
              <w:rPr>
                <w:rFonts w:ascii="Times New Roman" w:eastAsia="Times New Roman" w:hAnsi="Times New Roman" w:cs="Times New Roman"/>
                <w:color w:val="000000"/>
                <w:lang w:val="en-US"/>
              </w:rPr>
              <w:t>mg</w:t>
            </w:r>
            <w:r w:rsidRPr="00B868F9">
              <w:rPr>
                <w:rFonts w:ascii="Times New Roman" w:eastAsia="Times New Roman" w:hAnsi="Times New Roman" w:cs="Times New Roman"/>
                <w:color w:val="000000"/>
                <w:lang w:val="ru-RU"/>
              </w:rPr>
              <w:t xml:space="preserve"> </w:t>
            </w:r>
            <w:r w:rsidRPr="00B868F9">
              <w:rPr>
                <w:rFonts w:ascii="Times New Roman" w:eastAsia="Times New Roman" w:hAnsi="Times New Roman" w:cs="Times New Roman"/>
                <w:color w:val="000000"/>
                <w:lang w:eastAsia="bg-BG"/>
              </w:rPr>
              <w:t>х 2.</w:t>
            </w:r>
          </w:p>
        </w:tc>
      </w:tr>
    </w:tbl>
    <w:p w14:paraId="19045FE6" w14:textId="35404CA6" w:rsidR="00B868F9" w:rsidRDefault="00B868F9" w:rsidP="00B868F9"/>
    <w:p w14:paraId="7EC957CA" w14:textId="4BFA5915" w:rsidR="00A800BE" w:rsidRDefault="00A800BE" w:rsidP="00A800BE">
      <w:r>
        <w:t>Преобладаването на резистентност може да варира географски и с времето за определен видове и е необходима локалната информация за резистентността, особено при лечение на тежки инфекции. Ако е необходимо трябва да бъде потърсен експертен съвет, когато местната честота на резистентност е такава, че ползата от агента при поне някои типове инфекции е под въпрос.</w:t>
      </w:r>
    </w:p>
    <w:p w14:paraId="5E386254" w14:textId="34211957" w:rsidR="00A800BE" w:rsidRDefault="00A800BE" w:rsidP="00B868F9"/>
    <w:tbl>
      <w:tblPr>
        <w:tblStyle w:val="TableGrid"/>
        <w:tblW w:w="0" w:type="auto"/>
        <w:tblLook w:val="04A0" w:firstRow="1" w:lastRow="0" w:firstColumn="1" w:lastColumn="0" w:noHBand="0" w:noVBand="1"/>
      </w:tblPr>
      <w:tblGrid>
        <w:gridCol w:w="9350"/>
      </w:tblGrid>
      <w:tr w:rsidR="00A800BE" w14:paraId="7EEA8B9A" w14:textId="77777777" w:rsidTr="00D62813">
        <w:tc>
          <w:tcPr>
            <w:tcW w:w="9576" w:type="dxa"/>
            <w:vAlign w:val="center"/>
          </w:tcPr>
          <w:p w14:paraId="391BE9F1" w14:textId="136B6530" w:rsidR="00A800BE" w:rsidRDefault="00A800BE" w:rsidP="00A800BE">
            <w:r>
              <w:rPr>
                <w:u w:val="single"/>
                <w:lang w:eastAsia="bg-BG"/>
              </w:rPr>
              <w:t>Обикновено чувствителни микроорганизми</w:t>
            </w:r>
          </w:p>
        </w:tc>
      </w:tr>
      <w:tr w:rsidR="00A800BE" w14:paraId="567E8408" w14:textId="77777777" w:rsidTr="00D62813">
        <w:tc>
          <w:tcPr>
            <w:tcW w:w="9576" w:type="dxa"/>
            <w:vAlign w:val="center"/>
          </w:tcPr>
          <w:p w14:paraId="1A15A07B" w14:textId="77777777" w:rsidR="00A800BE" w:rsidRDefault="00A800BE" w:rsidP="00A800BE">
            <w:r>
              <w:rPr>
                <w:u w:val="single"/>
                <w:lang w:eastAsia="bg-BG"/>
              </w:rPr>
              <w:t>Аеробни Грам-положителни бактерии</w:t>
            </w:r>
          </w:p>
          <w:p w14:paraId="4ABA5172" w14:textId="77777777" w:rsidR="00A800BE" w:rsidRDefault="00A800BE" w:rsidP="00A800BE">
            <w:r>
              <w:rPr>
                <w:i/>
                <w:iCs/>
              </w:rPr>
              <w:t>Bacillus anthracis</w:t>
            </w:r>
          </w:p>
          <w:p w14:paraId="68D3562F" w14:textId="77777777" w:rsidR="00A800BE" w:rsidRDefault="00A800BE" w:rsidP="00A800BE">
            <w:r>
              <w:rPr>
                <w:i/>
                <w:iCs/>
              </w:rPr>
              <w:t xml:space="preserve">Staphylococcus aureus </w:t>
            </w:r>
            <w:r>
              <w:rPr>
                <w:i/>
                <w:iCs/>
                <w:lang w:eastAsia="bg-BG"/>
              </w:rPr>
              <w:t>метицилин-чувствителни</w:t>
            </w:r>
          </w:p>
          <w:p w14:paraId="0E9E25C4" w14:textId="77777777" w:rsidR="00A800BE" w:rsidRDefault="00A800BE" w:rsidP="00A800BE">
            <w:r>
              <w:rPr>
                <w:i/>
                <w:iCs/>
              </w:rPr>
              <w:t>Staphylococcus saprophyticus</w:t>
            </w:r>
          </w:p>
          <w:p w14:paraId="641B77C3" w14:textId="77777777" w:rsidR="00A800BE" w:rsidRDefault="00A800BE" w:rsidP="00A800BE">
            <w:r>
              <w:rPr>
                <w:i/>
                <w:iCs/>
              </w:rPr>
              <w:t xml:space="preserve">Streptococci, </w:t>
            </w:r>
            <w:r>
              <w:rPr>
                <w:i/>
                <w:iCs/>
                <w:lang w:eastAsia="bg-BG"/>
              </w:rPr>
              <w:t xml:space="preserve">група </w:t>
            </w:r>
            <w:r>
              <w:rPr>
                <w:i/>
                <w:iCs/>
              </w:rPr>
              <w:t>C</w:t>
            </w:r>
            <w:r>
              <w:rPr>
                <w:i/>
                <w:iCs/>
                <w:lang w:eastAsia="bg-BG"/>
              </w:rPr>
              <w:t xml:space="preserve"> </w:t>
            </w:r>
            <w:r>
              <w:rPr>
                <w:i/>
                <w:iCs/>
              </w:rPr>
              <w:t>u</w:t>
            </w:r>
            <w:r>
              <w:rPr>
                <w:i/>
                <w:iCs/>
                <w:lang w:eastAsia="bg-BG"/>
              </w:rPr>
              <w:t xml:space="preserve"> </w:t>
            </w:r>
            <w:r>
              <w:rPr>
                <w:i/>
                <w:iCs/>
              </w:rPr>
              <w:t>G</w:t>
            </w:r>
          </w:p>
          <w:p w14:paraId="0CCE7073" w14:textId="77777777" w:rsidR="00A800BE" w:rsidRDefault="00A800BE" w:rsidP="00A800BE">
            <w:r>
              <w:rPr>
                <w:i/>
                <w:iCs/>
              </w:rPr>
              <w:t>Streptococcus agalactiae</w:t>
            </w:r>
          </w:p>
          <w:p w14:paraId="66BCA1E0" w14:textId="77777777" w:rsidR="00A800BE" w:rsidRDefault="00A800BE" w:rsidP="00A800BE">
            <w:r>
              <w:rPr>
                <w:i/>
                <w:iCs/>
              </w:rPr>
              <w:t>Streptococcus pneumoniae</w:t>
            </w:r>
          </w:p>
          <w:p w14:paraId="06FA96F9" w14:textId="6D9AEDC2" w:rsidR="00A800BE" w:rsidRDefault="00A800BE" w:rsidP="00A800BE">
            <w:r>
              <w:rPr>
                <w:i/>
                <w:iCs/>
              </w:rPr>
              <w:t>Streptococcus pyogenes</w:t>
            </w:r>
          </w:p>
        </w:tc>
      </w:tr>
      <w:tr w:rsidR="00A800BE" w14:paraId="511A9977" w14:textId="77777777" w:rsidTr="00D62813">
        <w:tc>
          <w:tcPr>
            <w:tcW w:w="9576" w:type="dxa"/>
            <w:vAlign w:val="center"/>
          </w:tcPr>
          <w:p w14:paraId="6BA00E14" w14:textId="77777777" w:rsidR="00A800BE" w:rsidRDefault="00A800BE" w:rsidP="00A800BE">
            <w:r>
              <w:rPr>
                <w:u w:val="single"/>
                <w:lang w:eastAsia="bg-BG"/>
              </w:rPr>
              <w:t>Аеробни Грам-отрицателни бактерии</w:t>
            </w:r>
          </w:p>
          <w:p w14:paraId="764916F7" w14:textId="77777777" w:rsidR="00A800BE" w:rsidRDefault="00A800BE" w:rsidP="00A800BE">
            <w:r>
              <w:rPr>
                <w:i/>
                <w:iCs/>
              </w:rPr>
              <w:t>Eikenella corrodens</w:t>
            </w:r>
          </w:p>
          <w:p w14:paraId="6D02EBC0" w14:textId="77777777" w:rsidR="00A800BE" w:rsidRDefault="00A800BE" w:rsidP="00A800BE">
            <w:r>
              <w:rPr>
                <w:i/>
                <w:iCs/>
              </w:rPr>
              <w:t>Haemophilus influenzae</w:t>
            </w:r>
          </w:p>
          <w:p w14:paraId="241B25DA" w14:textId="77777777" w:rsidR="00A800BE" w:rsidRDefault="00A800BE" w:rsidP="00A800BE">
            <w:r>
              <w:rPr>
                <w:i/>
                <w:iCs/>
              </w:rPr>
              <w:t>Haemophilus para-influenzae</w:t>
            </w:r>
          </w:p>
          <w:p w14:paraId="4087F4D6" w14:textId="77777777" w:rsidR="00A800BE" w:rsidRDefault="00A800BE" w:rsidP="00A800BE">
            <w:r>
              <w:rPr>
                <w:i/>
                <w:iCs/>
              </w:rPr>
              <w:t>Klebsiella oxytoca</w:t>
            </w:r>
          </w:p>
          <w:p w14:paraId="3AC88B03" w14:textId="77777777" w:rsidR="00A800BE" w:rsidRDefault="00A800BE" w:rsidP="00A800BE">
            <w:r>
              <w:rPr>
                <w:i/>
                <w:iCs/>
              </w:rPr>
              <w:t>Moraxella catarrhalis</w:t>
            </w:r>
          </w:p>
          <w:p w14:paraId="3A89C0B1" w14:textId="77777777" w:rsidR="00A800BE" w:rsidRDefault="00A800BE" w:rsidP="00A800BE">
            <w:r>
              <w:rPr>
                <w:i/>
                <w:iCs/>
              </w:rPr>
              <w:t>Pasteurella multocida</w:t>
            </w:r>
          </w:p>
          <w:p w14:paraId="51B20E88" w14:textId="77777777" w:rsidR="00A800BE" w:rsidRDefault="00A800BE" w:rsidP="00A800BE">
            <w:r>
              <w:rPr>
                <w:i/>
                <w:iCs/>
              </w:rPr>
              <w:t>Proteus vulgaris</w:t>
            </w:r>
          </w:p>
          <w:p w14:paraId="4E9BFBE0" w14:textId="36E45524" w:rsidR="00A800BE" w:rsidRDefault="00A800BE" w:rsidP="00A800BE">
            <w:r>
              <w:rPr>
                <w:i/>
                <w:iCs/>
              </w:rPr>
              <w:t>Providencia rettgeri</w:t>
            </w:r>
          </w:p>
        </w:tc>
      </w:tr>
      <w:tr w:rsidR="00A800BE" w14:paraId="7ADB1A26" w14:textId="77777777" w:rsidTr="00D62813">
        <w:tc>
          <w:tcPr>
            <w:tcW w:w="9576" w:type="dxa"/>
            <w:vAlign w:val="center"/>
          </w:tcPr>
          <w:p w14:paraId="335AF584" w14:textId="77777777" w:rsidR="00A800BE" w:rsidRDefault="00A800BE" w:rsidP="00A800BE">
            <w:pPr>
              <w:rPr>
                <w:u w:val="single"/>
                <w:lang w:eastAsia="bg-BG"/>
              </w:rPr>
            </w:pPr>
            <w:r>
              <w:rPr>
                <w:u w:val="single"/>
                <w:lang w:eastAsia="bg-BG"/>
              </w:rPr>
              <w:t xml:space="preserve">Анаеробни бактерии </w:t>
            </w:r>
          </w:p>
          <w:p w14:paraId="047E42F3" w14:textId="4C0D3FF2" w:rsidR="00A800BE" w:rsidRDefault="00A800BE" w:rsidP="00A800BE">
            <w:r>
              <w:rPr>
                <w:i/>
                <w:iCs/>
              </w:rPr>
              <w:t>Peptostreptocoecus</w:t>
            </w:r>
          </w:p>
        </w:tc>
      </w:tr>
      <w:tr w:rsidR="00A800BE" w14:paraId="532FED0F" w14:textId="77777777" w:rsidTr="00D62813">
        <w:tc>
          <w:tcPr>
            <w:tcW w:w="9576" w:type="dxa"/>
            <w:vAlign w:val="bottom"/>
          </w:tcPr>
          <w:p w14:paraId="3E625CA7" w14:textId="77777777" w:rsidR="00A800BE" w:rsidRDefault="00A800BE" w:rsidP="00A800BE">
            <w:r>
              <w:rPr>
                <w:smallCaps/>
                <w:u w:val="single"/>
                <w:lang w:eastAsia="bg-BG"/>
              </w:rPr>
              <w:t>Други</w:t>
            </w:r>
          </w:p>
          <w:p w14:paraId="5E895473" w14:textId="77777777" w:rsidR="00A800BE" w:rsidRDefault="00A800BE" w:rsidP="00A800BE">
            <w:r>
              <w:rPr>
                <w:i/>
                <w:iCs/>
              </w:rPr>
              <w:t>Chlamydophila pneumoniae Chlamydophila psittaci Chlamydia trachomatis</w:t>
            </w:r>
          </w:p>
          <w:p w14:paraId="55799B30" w14:textId="77777777" w:rsidR="00A800BE" w:rsidRDefault="00A800BE" w:rsidP="00A800BE">
            <w:r>
              <w:rPr>
                <w:i/>
                <w:iCs/>
              </w:rPr>
              <w:t>Legionella pneumophila</w:t>
            </w:r>
          </w:p>
          <w:p w14:paraId="3543715B" w14:textId="77777777" w:rsidR="00A800BE" w:rsidRDefault="00A800BE" w:rsidP="00A800BE">
            <w:r>
              <w:rPr>
                <w:i/>
                <w:iCs/>
              </w:rPr>
              <w:t>Mycoplasma pneumoniae</w:t>
            </w:r>
          </w:p>
          <w:p w14:paraId="428714A6" w14:textId="77607FA1" w:rsidR="00A800BE" w:rsidRDefault="00A800BE" w:rsidP="00A800BE">
            <w:r>
              <w:rPr>
                <w:i/>
                <w:iCs/>
              </w:rPr>
              <w:t>Mycoplasma hominis Ureaplasma urealyticum</w:t>
            </w:r>
          </w:p>
        </w:tc>
      </w:tr>
    </w:tbl>
    <w:p w14:paraId="74D5FCDD" w14:textId="4389912F" w:rsidR="00A800BE" w:rsidRDefault="00A800BE" w:rsidP="00B868F9"/>
    <w:tbl>
      <w:tblPr>
        <w:tblStyle w:val="TableGrid"/>
        <w:tblW w:w="0" w:type="auto"/>
        <w:tblLook w:val="04A0" w:firstRow="1" w:lastRow="0" w:firstColumn="1" w:lastColumn="0" w:noHBand="0" w:noVBand="1"/>
      </w:tblPr>
      <w:tblGrid>
        <w:gridCol w:w="9350"/>
      </w:tblGrid>
      <w:tr w:rsidR="00A800BE" w14:paraId="7AE6384D" w14:textId="77777777" w:rsidTr="00A800BE">
        <w:tc>
          <w:tcPr>
            <w:tcW w:w="9576" w:type="dxa"/>
          </w:tcPr>
          <w:p w14:paraId="63F2F678" w14:textId="7B97F543" w:rsidR="00A800BE" w:rsidRDefault="00A800BE" w:rsidP="00A800BE">
            <w:r>
              <w:rPr>
                <w:b/>
                <w:bCs/>
                <w:lang w:eastAsia="bg-BG"/>
              </w:rPr>
              <w:t>Видове* за които придобитата резистентност може да бъде проблем</w:t>
            </w:r>
          </w:p>
        </w:tc>
      </w:tr>
      <w:tr w:rsidR="00A800BE" w14:paraId="533DC4FE" w14:textId="77777777" w:rsidTr="00A800BE">
        <w:tc>
          <w:tcPr>
            <w:tcW w:w="9576" w:type="dxa"/>
          </w:tcPr>
          <w:p w14:paraId="0FA917D5" w14:textId="77777777" w:rsidR="00A800BE" w:rsidRDefault="00A800BE" w:rsidP="00A800BE">
            <w:r>
              <w:rPr>
                <w:u w:val="single"/>
                <w:lang w:eastAsia="bg-BG"/>
              </w:rPr>
              <w:t>Аеробни Грам-положителни бактерии</w:t>
            </w:r>
          </w:p>
          <w:p w14:paraId="65041008" w14:textId="77777777" w:rsidR="00A800BE" w:rsidRDefault="00A800BE" w:rsidP="00A800BE">
            <w:r>
              <w:rPr>
                <w:i/>
                <w:iCs/>
              </w:rPr>
              <w:t>Enterococcus faecalis</w:t>
            </w:r>
          </w:p>
          <w:p w14:paraId="67E7F1F3" w14:textId="77777777" w:rsidR="00A800BE" w:rsidRDefault="00A800BE" w:rsidP="00A800BE">
            <w:r>
              <w:rPr>
                <w:i/>
                <w:iCs/>
              </w:rPr>
              <w:t xml:space="preserve">Staphylococcus aureus </w:t>
            </w:r>
            <w:r>
              <w:rPr>
                <w:i/>
                <w:iCs/>
                <w:lang w:eastAsia="bg-BG"/>
              </w:rPr>
              <w:t xml:space="preserve">метицилин-резистентни </w:t>
            </w:r>
            <w:r>
              <w:rPr>
                <w:i/>
                <w:iCs/>
                <w:vertAlign w:val="superscript"/>
                <w:lang w:eastAsia="bg-BG"/>
              </w:rPr>
              <w:t>1г</w:t>
            </w:r>
          </w:p>
          <w:p w14:paraId="6D0AD296" w14:textId="4839D876" w:rsidR="00A800BE" w:rsidRDefault="00A800BE" w:rsidP="00A800BE">
            <w:r>
              <w:rPr>
                <w:i/>
                <w:iCs/>
              </w:rPr>
              <w:t xml:space="preserve">Staphylococcus spp </w:t>
            </w:r>
            <w:r>
              <w:rPr>
                <w:i/>
                <w:iCs/>
                <w:lang w:eastAsia="bg-BG"/>
              </w:rPr>
              <w:t>коагулаза-отрицателни</w:t>
            </w:r>
          </w:p>
        </w:tc>
      </w:tr>
      <w:tr w:rsidR="00A800BE" w14:paraId="3F75EE11" w14:textId="77777777" w:rsidTr="00A800BE">
        <w:tc>
          <w:tcPr>
            <w:tcW w:w="9576" w:type="dxa"/>
          </w:tcPr>
          <w:p w14:paraId="09C7F5D0" w14:textId="77777777" w:rsidR="00A800BE" w:rsidRDefault="00A800BE" w:rsidP="00A800BE">
            <w:pPr>
              <w:rPr>
                <w:u w:val="single"/>
                <w:lang w:eastAsia="bg-BG"/>
              </w:rPr>
            </w:pPr>
            <w:r>
              <w:rPr>
                <w:u w:val="single"/>
                <w:lang w:eastAsia="bg-BG"/>
              </w:rPr>
              <w:t xml:space="preserve">Аеробни Грам-отрицателни бактерии </w:t>
            </w:r>
          </w:p>
          <w:p w14:paraId="137D6DE4" w14:textId="77777777" w:rsidR="00A800BE" w:rsidRDefault="00A800BE" w:rsidP="00A800BE">
            <w:pPr>
              <w:rPr>
                <w:i/>
                <w:iCs/>
              </w:rPr>
            </w:pPr>
            <w:r>
              <w:rPr>
                <w:i/>
                <w:iCs/>
              </w:rPr>
              <w:t xml:space="preserve">Acinetobacter baumannii </w:t>
            </w:r>
          </w:p>
          <w:p w14:paraId="28772EFC" w14:textId="77777777" w:rsidR="00A800BE" w:rsidRDefault="00A800BE" w:rsidP="00A800BE">
            <w:pPr>
              <w:rPr>
                <w:i/>
                <w:iCs/>
              </w:rPr>
            </w:pPr>
            <w:r>
              <w:rPr>
                <w:i/>
                <w:iCs/>
              </w:rPr>
              <w:t xml:space="preserve">Citrobacter freundii </w:t>
            </w:r>
          </w:p>
          <w:p w14:paraId="13DFF3F1" w14:textId="77777777" w:rsidR="00A800BE" w:rsidRDefault="00A800BE" w:rsidP="00A800BE">
            <w:pPr>
              <w:rPr>
                <w:i/>
                <w:iCs/>
              </w:rPr>
            </w:pPr>
            <w:r>
              <w:rPr>
                <w:i/>
                <w:iCs/>
              </w:rPr>
              <w:t xml:space="preserve">Enterobacter aerogenes </w:t>
            </w:r>
          </w:p>
          <w:p w14:paraId="7B513C16" w14:textId="77777777" w:rsidR="00A800BE" w:rsidRDefault="00A800BE" w:rsidP="00A800BE">
            <w:pPr>
              <w:rPr>
                <w:i/>
                <w:iCs/>
              </w:rPr>
            </w:pPr>
            <w:r>
              <w:rPr>
                <w:i/>
                <w:iCs/>
              </w:rPr>
              <w:t xml:space="preserve">Enterobacter agglomerans </w:t>
            </w:r>
          </w:p>
          <w:p w14:paraId="6D0574C5" w14:textId="77777777" w:rsidR="00A800BE" w:rsidRDefault="00A800BE" w:rsidP="00A800BE">
            <w:pPr>
              <w:rPr>
                <w:i/>
                <w:iCs/>
              </w:rPr>
            </w:pPr>
            <w:r>
              <w:rPr>
                <w:i/>
                <w:iCs/>
              </w:rPr>
              <w:lastRenderedPageBreak/>
              <w:t xml:space="preserve">Enterobacter cloacae </w:t>
            </w:r>
          </w:p>
          <w:p w14:paraId="71196C6B" w14:textId="77777777" w:rsidR="00A800BE" w:rsidRDefault="00A800BE" w:rsidP="00A800BE">
            <w:pPr>
              <w:rPr>
                <w:i/>
                <w:iCs/>
              </w:rPr>
            </w:pPr>
            <w:r>
              <w:rPr>
                <w:i/>
                <w:iCs/>
              </w:rPr>
              <w:t xml:space="preserve">Escherichia coli </w:t>
            </w:r>
          </w:p>
          <w:p w14:paraId="6A64530F" w14:textId="77777777" w:rsidR="00A800BE" w:rsidRDefault="00A800BE" w:rsidP="00A800BE">
            <w:pPr>
              <w:rPr>
                <w:i/>
                <w:iCs/>
              </w:rPr>
            </w:pPr>
            <w:r>
              <w:rPr>
                <w:i/>
                <w:iCs/>
              </w:rPr>
              <w:t xml:space="preserve">Klebsiella pneumoniae </w:t>
            </w:r>
          </w:p>
          <w:p w14:paraId="353C1E36" w14:textId="77777777" w:rsidR="00A800BE" w:rsidRDefault="00A800BE" w:rsidP="00A800BE">
            <w:pPr>
              <w:rPr>
                <w:i/>
                <w:iCs/>
              </w:rPr>
            </w:pPr>
            <w:r>
              <w:rPr>
                <w:i/>
                <w:iCs/>
              </w:rPr>
              <w:t xml:space="preserve">Morganella morganii </w:t>
            </w:r>
          </w:p>
          <w:p w14:paraId="1A5E5D45" w14:textId="77777777" w:rsidR="00A800BE" w:rsidRDefault="00A800BE" w:rsidP="00A800BE">
            <w:pPr>
              <w:rPr>
                <w:i/>
                <w:iCs/>
              </w:rPr>
            </w:pPr>
            <w:r>
              <w:rPr>
                <w:i/>
                <w:iCs/>
              </w:rPr>
              <w:t xml:space="preserve">Proteus mirabilis </w:t>
            </w:r>
          </w:p>
          <w:p w14:paraId="2165BA08" w14:textId="77777777" w:rsidR="00A800BE" w:rsidRDefault="00A800BE" w:rsidP="00A800BE">
            <w:pPr>
              <w:rPr>
                <w:i/>
                <w:iCs/>
              </w:rPr>
            </w:pPr>
            <w:r>
              <w:rPr>
                <w:i/>
                <w:iCs/>
              </w:rPr>
              <w:t xml:space="preserve">Providencia stuartii </w:t>
            </w:r>
          </w:p>
          <w:p w14:paraId="19015354" w14:textId="77777777" w:rsidR="00A800BE" w:rsidRDefault="00A800BE" w:rsidP="00A800BE">
            <w:pPr>
              <w:rPr>
                <w:i/>
                <w:iCs/>
              </w:rPr>
            </w:pPr>
            <w:r>
              <w:rPr>
                <w:i/>
                <w:iCs/>
              </w:rPr>
              <w:t xml:space="preserve">Pseudomonas aeruginosa </w:t>
            </w:r>
          </w:p>
          <w:p w14:paraId="03BB31E6" w14:textId="569E7BD4" w:rsidR="00A800BE" w:rsidRDefault="00A800BE" w:rsidP="00A800BE">
            <w:r>
              <w:rPr>
                <w:i/>
                <w:iCs/>
              </w:rPr>
              <w:t>Serratia marcescens</w:t>
            </w:r>
          </w:p>
        </w:tc>
      </w:tr>
      <w:tr w:rsidR="00A800BE" w14:paraId="2CF52FB3" w14:textId="77777777" w:rsidTr="00A800BE">
        <w:tc>
          <w:tcPr>
            <w:tcW w:w="9576" w:type="dxa"/>
          </w:tcPr>
          <w:p w14:paraId="0CF36CB8" w14:textId="77777777" w:rsidR="00A800BE" w:rsidRDefault="00A800BE" w:rsidP="00A800BE">
            <w:r>
              <w:rPr>
                <w:u w:val="single"/>
                <w:lang w:eastAsia="bg-BG"/>
              </w:rPr>
              <w:lastRenderedPageBreak/>
              <w:t>Анаеробни бактерии</w:t>
            </w:r>
          </w:p>
          <w:p w14:paraId="2A3ACDC8" w14:textId="719E7521" w:rsidR="00A800BE" w:rsidRDefault="00A800BE" w:rsidP="00A800BE">
            <w:r>
              <w:rPr>
                <w:i/>
                <w:iCs/>
              </w:rPr>
              <w:t>Bacteroides fragilis</w:t>
            </w:r>
          </w:p>
        </w:tc>
      </w:tr>
      <w:tr w:rsidR="00A800BE" w14:paraId="39DF2127" w14:textId="77777777" w:rsidTr="00A800BE">
        <w:tc>
          <w:tcPr>
            <w:tcW w:w="9576" w:type="dxa"/>
          </w:tcPr>
          <w:p w14:paraId="5533A8CA" w14:textId="67006C38" w:rsidR="00A800BE" w:rsidRDefault="00A800BE" w:rsidP="00A800BE">
            <w:r>
              <w:rPr>
                <w:b/>
                <w:bCs/>
                <w:lang w:eastAsia="bg-BG"/>
              </w:rPr>
              <w:t xml:space="preserve">Щамове </w:t>
            </w:r>
            <w:r>
              <w:rPr>
                <w:b/>
                <w:bCs/>
              </w:rPr>
              <w:t xml:space="preserve">c </w:t>
            </w:r>
            <w:r>
              <w:rPr>
                <w:b/>
                <w:bCs/>
                <w:lang w:eastAsia="bg-BG"/>
              </w:rPr>
              <w:t>вътрешно-присъща резистентност</w:t>
            </w:r>
          </w:p>
        </w:tc>
      </w:tr>
      <w:tr w:rsidR="00A800BE" w14:paraId="023EEC7D" w14:textId="77777777" w:rsidTr="00A800BE">
        <w:tc>
          <w:tcPr>
            <w:tcW w:w="9576" w:type="dxa"/>
          </w:tcPr>
          <w:p w14:paraId="1A64747C" w14:textId="77777777" w:rsidR="00A800BE" w:rsidRDefault="00A800BE" w:rsidP="00A800BE">
            <w:pPr>
              <w:rPr>
                <w:u w:val="single"/>
                <w:lang w:eastAsia="bg-BG"/>
              </w:rPr>
            </w:pPr>
            <w:r>
              <w:rPr>
                <w:u w:val="single"/>
                <w:lang w:eastAsia="bg-BG"/>
              </w:rPr>
              <w:t xml:space="preserve">Аеробни Грам-положителни бактерии </w:t>
            </w:r>
          </w:p>
          <w:p w14:paraId="4007B1DB" w14:textId="613A7341" w:rsidR="00A800BE" w:rsidRDefault="00A800BE" w:rsidP="00A800BE">
            <w:r>
              <w:rPr>
                <w:i/>
                <w:iCs/>
              </w:rPr>
              <w:t>Enterococcus faecium</w:t>
            </w:r>
          </w:p>
        </w:tc>
      </w:tr>
    </w:tbl>
    <w:p w14:paraId="1AB4B702" w14:textId="77777777" w:rsidR="00A800BE" w:rsidRPr="00A800BE" w:rsidRDefault="00A800BE" w:rsidP="00A800BE">
      <w:pPr>
        <w:rPr>
          <w:sz w:val="24"/>
          <w:szCs w:val="24"/>
        </w:rPr>
      </w:pPr>
      <w:r w:rsidRPr="00A800BE">
        <w:rPr>
          <w:vertAlign w:val="superscript"/>
          <w:lang w:eastAsia="bg-BG"/>
        </w:rPr>
        <w:t>#</w:t>
      </w:r>
      <w:r w:rsidRPr="00A800BE">
        <w:rPr>
          <w:lang w:eastAsia="bg-BG"/>
        </w:rPr>
        <w:t xml:space="preserve">Голяма е вероятността метицилин-резистентните 5. </w:t>
      </w:r>
      <w:proofErr w:type="gramStart"/>
      <w:r w:rsidRPr="00A800BE">
        <w:rPr>
          <w:i/>
          <w:iCs/>
          <w:lang w:val="en-US"/>
        </w:rPr>
        <w:t>aureus</w:t>
      </w:r>
      <w:proofErr w:type="gramEnd"/>
      <w:r w:rsidRPr="00A800BE">
        <w:rPr>
          <w:lang w:val="ru-RU"/>
        </w:rPr>
        <w:t xml:space="preserve"> </w:t>
      </w:r>
      <w:r w:rsidRPr="00A800BE">
        <w:rPr>
          <w:lang w:eastAsia="bg-BG"/>
        </w:rPr>
        <w:t>да притежават едновременна резистентност към флуорохинолоните, включително левофлоксацин.</w:t>
      </w:r>
    </w:p>
    <w:p w14:paraId="0F9395D0" w14:textId="77777777" w:rsidR="00A800BE" w:rsidRPr="00B868F9" w:rsidRDefault="00A800BE" w:rsidP="00B868F9"/>
    <w:p w14:paraId="26535098" w14:textId="21DD956E" w:rsidR="00395555" w:rsidRDefault="002C50EE" w:rsidP="008A6AF2">
      <w:pPr>
        <w:pStyle w:val="Heading2"/>
      </w:pPr>
      <w:r>
        <w:t>5.2. Фармакокинетични свойства</w:t>
      </w:r>
    </w:p>
    <w:p w14:paraId="4CBA5E4C" w14:textId="24C07270" w:rsidR="00A800BE" w:rsidRDefault="00A800BE" w:rsidP="00A800BE"/>
    <w:p w14:paraId="2ECE2E54" w14:textId="77777777" w:rsidR="00A800BE" w:rsidRPr="00A800BE" w:rsidRDefault="00A800BE" w:rsidP="00A800BE">
      <w:pPr>
        <w:pStyle w:val="Heading3"/>
        <w:rPr>
          <w:rFonts w:eastAsia="Times New Roman"/>
          <w:u w:val="single"/>
        </w:rPr>
      </w:pPr>
      <w:r w:rsidRPr="00A800BE">
        <w:rPr>
          <w:rFonts w:eastAsia="Times New Roman"/>
          <w:u w:val="single"/>
          <w:lang w:eastAsia="bg-BG"/>
        </w:rPr>
        <w:t>Абсорбция</w:t>
      </w:r>
    </w:p>
    <w:p w14:paraId="649C4DD0" w14:textId="77777777" w:rsidR="00A800BE" w:rsidRPr="00A800BE" w:rsidRDefault="00A800BE" w:rsidP="00A800BE">
      <w:pPr>
        <w:spacing w:line="240" w:lineRule="auto"/>
        <w:rPr>
          <w:rFonts w:eastAsia="Times New Roman" w:cs="Arial"/>
          <w:color w:val="000000"/>
          <w:lang w:eastAsia="bg-BG"/>
        </w:rPr>
      </w:pPr>
    </w:p>
    <w:p w14:paraId="36D406BC" w14:textId="11A43BF1"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Перорално приложеният левофлоксацин се абсорбира бързо и почти пълно с пикови плазмени концентрации, които се достигат в рамките на 1-2 часа. Абсолютната бионаличност е 99-100%.</w:t>
      </w:r>
    </w:p>
    <w:p w14:paraId="408A3872" w14:textId="77777777" w:rsidR="00A800BE" w:rsidRPr="00A800BE" w:rsidRDefault="00A800BE" w:rsidP="00A800BE">
      <w:pPr>
        <w:spacing w:line="240" w:lineRule="auto"/>
        <w:rPr>
          <w:rFonts w:eastAsia="Times New Roman" w:cs="Arial"/>
          <w:color w:val="000000"/>
          <w:lang w:eastAsia="bg-BG"/>
        </w:rPr>
      </w:pPr>
    </w:p>
    <w:p w14:paraId="7F13394D" w14:textId="3E00D222"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Храната има незначително влияние върху абсорбцията на левофлоксацин.</w:t>
      </w:r>
    </w:p>
    <w:p w14:paraId="366AE5DB" w14:textId="77777777" w:rsidR="00A800BE" w:rsidRPr="00A800BE" w:rsidRDefault="00A800BE" w:rsidP="00A800BE">
      <w:pPr>
        <w:spacing w:line="240" w:lineRule="auto"/>
        <w:rPr>
          <w:rFonts w:eastAsia="Times New Roman" w:cs="Arial"/>
          <w:color w:val="000000"/>
          <w:lang w:eastAsia="bg-BG"/>
        </w:rPr>
      </w:pPr>
    </w:p>
    <w:p w14:paraId="1F8A4B77" w14:textId="644E99B0"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 xml:space="preserve">Равновесно състояние се достига до 48 часа при схема на дозиране 500 </w:t>
      </w:r>
      <w:r w:rsidRPr="00A800BE">
        <w:rPr>
          <w:rFonts w:eastAsia="Times New Roman" w:cs="Arial"/>
          <w:color w:val="000000"/>
          <w:lang w:val="en-US"/>
        </w:rPr>
        <w:t>mg</w:t>
      </w:r>
      <w:r w:rsidRPr="00A800BE">
        <w:rPr>
          <w:rFonts w:eastAsia="Times New Roman" w:cs="Arial"/>
          <w:color w:val="000000"/>
          <w:lang w:val="ru-RU"/>
        </w:rPr>
        <w:t xml:space="preserve"> </w:t>
      </w:r>
      <w:r w:rsidRPr="00A800BE">
        <w:rPr>
          <w:rFonts w:eastAsia="Times New Roman" w:cs="Arial"/>
          <w:color w:val="000000"/>
          <w:lang w:eastAsia="bg-BG"/>
        </w:rPr>
        <w:t>веднъж или два пъти дневно.</w:t>
      </w:r>
    </w:p>
    <w:p w14:paraId="7B6B7403" w14:textId="77777777" w:rsidR="00A800BE" w:rsidRPr="00A800BE" w:rsidRDefault="00A800BE" w:rsidP="00A800BE">
      <w:pPr>
        <w:spacing w:line="240" w:lineRule="auto"/>
        <w:rPr>
          <w:rFonts w:eastAsia="Times New Roman" w:cs="Arial"/>
          <w:color w:val="000000"/>
          <w:u w:val="single"/>
          <w:lang w:eastAsia="bg-BG"/>
        </w:rPr>
      </w:pPr>
    </w:p>
    <w:p w14:paraId="177DDDE3" w14:textId="5C4919B1" w:rsidR="00A800BE" w:rsidRPr="00A800BE" w:rsidRDefault="00A800BE" w:rsidP="00A800BE">
      <w:pPr>
        <w:pStyle w:val="Heading3"/>
        <w:rPr>
          <w:rFonts w:eastAsia="Times New Roman"/>
          <w:u w:val="single"/>
        </w:rPr>
      </w:pPr>
      <w:r w:rsidRPr="00A800BE">
        <w:rPr>
          <w:rFonts w:eastAsia="Times New Roman"/>
          <w:u w:val="single"/>
          <w:lang w:eastAsia="bg-BG"/>
        </w:rPr>
        <w:t>Разпределение</w:t>
      </w:r>
    </w:p>
    <w:p w14:paraId="27C8C562" w14:textId="77777777" w:rsidR="00A800BE" w:rsidRPr="00A800BE" w:rsidRDefault="00A800BE" w:rsidP="00A800BE">
      <w:pPr>
        <w:spacing w:line="240" w:lineRule="auto"/>
        <w:rPr>
          <w:rFonts w:eastAsia="Times New Roman" w:cs="Arial"/>
          <w:color w:val="000000"/>
          <w:lang w:eastAsia="bg-BG"/>
        </w:rPr>
      </w:pPr>
    </w:p>
    <w:p w14:paraId="52B61625" w14:textId="7668A682"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Приблизително 30-40% от левофлоксацин се свързва със серумните протеини.</w:t>
      </w:r>
    </w:p>
    <w:p w14:paraId="5A9D1940" w14:textId="77777777" w:rsidR="00A800BE" w:rsidRPr="00A800BE" w:rsidRDefault="00A800BE" w:rsidP="00A800BE">
      <w:pPr>
        <w:spacing w:line="240" w:lineRule="auto"/>
        <w:rPr>
          <w:rFonts w:eastAsia="Times New Roman" w:cs="Arial"/>
          <w:color w:val="000000"/>
          <w:lang w:eastAsia="bg-BG"/>
        </w:rPr>
      </w:pPr>
    </w:p>
    <w:p w14:paraId="2E7C6AA0" w14:textId="5B62066B"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Средният обем на разпределение на левофлоксацин е приблизително 100 1 след</w:t>
      </w:r>
      <w:r w:rsidRPr="00A800BE">
        <w:rPr>
          <w:rFonts w:eastAsia="Times New Roman" w:cs="Arial"/>
          <w:color w:val="000000"/>
          <w:lang w:val="ru-RU"/>
        </w:rPr>
        <w:t xml:space="preserve"> </w:t>
      </w:r>
      <w:r w:rsidRPr="00A800BE">
        <w:rPr>
          <w:rFonts w:eastAsia="Times New Roman" w:cs="Arial"/>
          <w:color w:val="000000"/>
          <w:lang w:eastAsia="bg-BG"/>
        </w:rPr>
        <w:t xml:space="preserve">еднократно и многократно приложение на дози от 500 </w:t>
      </w:r>
      <w:r w:rsidRPr="00A800BE">
        <w:rPr>
          <w:rFonts w:eastAsia="Times New Roman" w:cs="Arial"/>
          <w:color w:val="000000"/>
          <w:lang w:val="en-US"/>
        </w:rPr>
        <w:t>mg</w:t>
      </w:r>
      <w:r w:rsidRPr="00A800BE">
        <w:rPr>
          <w:rFonts w:eastAsia="Times New Roman" w:cs="Arial"/>
          <w:color w:val="000000"/>
          <w:lang w:val="ru-RU"/>
        </w:rPr>
        <w:t xml:space="preserve">, </w:t>
      </w:r>
      <w:r w:rsidRPr="00A800BE">
        <w:rPr>
          <w:rFonts w:eastAsia="Times New Roman" w:cs="Arial"/>
          <w:color w:val="000000"/>
          <w:lang w:eastAsia="bg-BG"/>
        </w:rPr>
        <w:t>което показва широко разпределение в телесните тъкани.</w:t>
      </w:r>
    </w:p>
    <w:p w14:paraId="63BA1FF3" w14:textId="77777777" w:rsidR="00A800BE" w:rsidRPr="00A800BE" w:rsidRDefault="00A800BE" w:rsidP="00A800BE">
      <w:pPr>
        <w:rPr>
          <w:rFonts w:eastAsia="Times New Roman" w:cs="Arial"/>
          <w:color w:val="000000"/>
          <w:u w:val="single"/>
          <w:lang w:eastAsia="bg-BG"/>
        </w:rPr>
      </w:pPr>
    </w:p>
    <w:p w14:paraId="05F2EA96" w14:textId="57DE990B" w:rsidR="00A800BE" w:rsidRPr="00A800BE" w:rsidRDefault="00A800BE" w:rsidP="00A800BE">
      <w:pPr>
        <w:rPr>
          <w:rFonts w:eastAsia="Times New Roman" w:cs="Arial"/>
          <w:color w:val="000000"/>
          <w:lang w:eastAsia="bg-BG"/>
        </w:rPr>
      </w:pPr>
      <w:r w:rsidRPr="00A800BE">
        <w:rPr>
          <w:rFonts w:eastAsia="Times New Roman" w:cs="Arial"/>
          <w:color w:val="000000"/>
          <w:u w:val="single"/>
          <w:lang w:eastAsia="bg-BG"/>
        </w:rPr>
        <w:t>Пенетрация в тъканите и телесните течности</w:t>
      </w:r>
      <w:r w:rsidRPr="00A800BE">
        <w:rPr>
          <w:rFonts w:eastAsia="Times New Roman" w:cs="Arial"/>
          <w:color w:val="000000"/>
          <w:lang w:eastAsia="bg-BG"/>
        </w:rPr>
        <w:t>:</w:t>
      </w:r>
    </w:p>
    <w:p w14:paraId="6B77ECA1" w14:textId="77777777" w:rsidR="00A800BE" w:rsidRPr="00A800BE" w:rsidRDefault="00A800BE" w:rsidP="00A800BE">
      <w:pPr>
        <w:spacing w:line="240" w:lineRule="auto"/>
        <w:rPr>
          <w:rFonts w:eastAsia="Times New Roman" w:cs="Arial"/>
          <w:color w:val="000000"/>
          <w:lang w:eastAsia="bg-BG"/>
        </w:rPr>
      </w:pPr>
    </w:p>
    <w:p w14:paraId="069752E0" w14:textId="79206963"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Доказано е, че левофлоксацин преминава в бронхиалната лигавица, епителната покривна течност, алвеоларните макрофаги, в белодробната тъкан, кожата (течността в мехурите), в простатната тъкан и урината. Левофлоксацин обаче прониква слабо в церебро-спиналната течност.</w:t>
      </w:r>
    </w:p>
    <w:p w14:paraId="20A51B98" w14:textId="77777777" w:rsidR="00A800BE" w:rsidRPr="00A800BE" w:rsidRDefault="00A800BE" w:rsidP="00A800BE">
      <w:pPr>
        <w:spacing w:line="240" w:lineRule="auto"/>
        <w:rPr>
          <w:rFonts w:eastAsia="Times New Roman" w:cs="Arial"/>
          <w:color w:val="000000"/>
          <w:u w:val="single"/>
          <w:lang w:eastAsia="bg-BG"/>
        </w:rPr>
      </w:pPr>
    </w:p>
    <w:p w14:paraId="76530628" w14:textId="68625D60" w:rsidR="00A800BE" w:rsidRPr="00A800BE" w:rsidRDefault="00A800BE" w:rsidP="00A800BE">
      <w:pPr>
        <w:pStyle w:val="Heading3"/>
        <w:rPr>
          <w:rFonts w:eastAsia="Times New Roman"/>
          <w:u w:val="single"/>
        </w:rPr>
      </w:pPr>
      <w:r w:rsidRPr="00A800BE">
        <w:rPr>
          <w:rFonts w:eastAsia="Times New Roman"/>
          <w:u w:val="single"/>
          <w:lang w:eastAsia="bg-BG"/>
        </w:rPr>
        <w:t>Биотрансформация</w:t>
      </w:r>
    </w:p>
    <w:p w14:paraId="707F8D73" w14:textId="77777777" w:rsidR="00A800BE" w:rsidRPr="00A800BE" w:rsidRDefault="00A800BE" w:rsidP="00A800BE">
      <w:pPr>
        <w:spacing w:line="240" w:lineRule="auto"/>
        <w:rPr>
          <w:rFonts w:eastAsia="Times New Roman" w:cs="Arial"/>
          <w:color w:val="000000"/>
          <w:lang w:eastAsia="bg-BG"/>
        </w:rPr>
      </w:pPr>
    </w:p>
    <w:p w14:paraId="6A2021DE" w14:textId="44118DF3"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 xml:space="preserve">Левофлоксацин се метаболизира в много малка степен до метаболитите дезметил- левофлоксацин и левофлоксацин </w:t>
      </w:r>
      <w:r w:rsidRPr="00A800BE">
        <w:rPr>
          <w:rFonts w:eastAsia="Times New Roman" w:cs="Arial"/>
          <w:color w:val="000000"/>
          <w:lang w:val="en-US"/>
        </w:rPr>
        <w:t>N</w:t>
      </w:r>
      <w:r w:rsidRPr="00A800BE">
        <w:rPr>
          <w:rFonts w:eastAsia="Times New Roman" w:cs="Arial"/>
          <w:color w:val="000000"/>
          <w:lang w:eastAsia="bg-BG"/>
        </w:rPr>
        <w:t xml:space="preserve">-оксид. Тези метаболити представляват &lt; 5% от </w:t>
      </w:r>
      <w:r w:rsidRPr="00A800BE">
        <w:rPr>
          <w:rFonts w:eastAsia="Times New Roman" w:cs="Arial"/>
          <w:color w:val="000000"/>
          <w:lang w:eastAsia="bg-BG"/>
        </w:rPr>
        <w:lastRenderedPageBreak/>
        <w:t>дозата, която се отделя в урината. Левофлоксацин е стереометрично стабилен и не подлежи на хирална инверсия.</w:t>
      </w:r>
    </w:p>
    <w:p w14:paraId="70DF5D77" w14:textId="77777777" w:rsidR="00A800BE" w:rsidRPr="00A800BE" w:rsidRDefault="00A800BE" w:rsidP="00A800BE">
      <w:pPr>
        <w:spacing w:line="240" w:lineRule="auto"/>
        <w:rPr>
          <w:rFonts w:eastAsia="Times New Roman" w:cs="Arial"/>
          <w:color w:val="000000"/>
          <w:u w:val="single"/>
          <w:lang w:eastAsia="bg-BG"/>
        </w:rPr>
      </w:pPr>
    </w:p>
    <w:p w14:paraId="6DC02CDE" w14:textId="026B7E77" w:rsidR="00A800BE" w:rsidRPr="00A800BE" w:rsidRDefault="00A800BE" w:rsidP="00A800BE">
      <w:pPr>
        <w:pStyle w:val="Heading3"/>
        <w:rPr>
          <w:rFonts w:eastAsia="Times New Roman"/>
          <w:u w:val="single"/>
        </w:rPr>
      </w:pPr>
      <w:r w:rsidRPr="00A800BE">
        <w:rPr>
          <w:rFonts w:eastAsia="Times New Roman"/>
          <w:u w:val="single"/>
          <w:lang w:eastAsia="bg-BG"/>
        </w:rPr>
        <w:t>Елиминиране</w:t>
      </w:r>
    </w:p>
    <w:p w14:paraId="6691CCD2" w14:textId="77777777" w:rsidR="00A800BE" w:rsidRPr="00A800BE" w:rsidRDefault="00A800BE" w:rsidP="00A800BE">
      <w:pPr>
        <w:spacing w:line="240" w:lineRule="auto"/>
        <w:rPr>
          <w:rFonts w:eastAsia="Times New Roman" w:cs="Arial"/>
          <w:color w:val="000000"/>
          <w:lang w:eastAsia="bg-BG"/>
        </w:rPr>
      </w:pPr>
    </w:p>
    <w:p w14:paraId="00863E15" w14:textId="662CFA78"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След перорално и интравенозно приложение левофлоксацин се елиминира относително бавно от плазмата (</w:t>
      </w:r>
      <w:r w:rsidRPr="00A800BE">
        <w:rPr>
          <w:rFonts w:eastAsia="Times New Roman" w:cs="Arial"/>
          <w:color w:val="000000"/>
          <w:lang w:val="en-US"/>
        </w:rPr>
        <w:t>t</w:t>
      </w:r>
      <w:r w:rsidRPr="00A800BE">
        <w:rPr>
          <w:rFonts w:eastAsia="Times New Roman" w:cs="Arial"/>
          <w:color w:val="000000"/>
          <w:lang w:val="ru-RU"/>
        </w:rPr>
        <w:t>1</w:t>
      </w:r>
      <w:r w:rsidRPr="00A800BE">
        <w:rPr>
          <w:rFonts w:eastAsia="Times New Roman" w:cs="Arial"/>
          <w:color w:val="000000"/>
          <w:lang w:eastAsia="bg-BG"/>
        </w:rPr>
        <w:t>/2: 6-8 часа). Екскрецията се извършва предимно през бъбреците (&gt; 85% от приложената доза).</w:t>
      </w:r>
    </w:p>
    <w:p w14:paraId="06076EA9" w14:textId="77777777" w:rsidR="00A800BE" w:rsidRPr="00A800BE" w:rsidRDefault="00A800BE" w:rsidP="00A800BE">
      <w:pPr>
        <w:spacing w:line="240" w:lineRule="auto"/>
        <w:rPr>
          <w:rFonts w:eastAsia="Times New Roman" w:cs="Arial"/>
          <w:color w:val="000000"/>
          <w:lang w:eastAsia="bg-BG"/>
        </w:rPr>
      </w:pPr>
    </w:p>
    <w:p w14:paraId="390861CE" w14:textId="569750E6"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 xml:space="preserve">Средният видим общ телесен клирънс на левофлоксацин след еднократна доза от 500 </w:t>
      </w:r>
      <w:r w:rsidRPr="00A800BE">
        <w:rPr>
          <w:rFonts w:eastAsia="Times New Roman" w:cs="Arial"/>
          <w:color w:val="000000"/>
          <w:lang w:val="en-US"/>
        </w:rPr>
        <w:t>mg</w:t>
      </w:r>
      <w:r w:rsidRPr="00A800BE">
        <w:rPr>
          <w:rFonts w:eastAsia="Times New Roman" w:cs="Arial"/>
          <w:color w:val="000000"/>
          <w:lang w:val="ru-RU"/>
        </w:rPr>
        <w:t xml:space="preserve"> </w:t>
      </w:r>
      <w:r w:rsidRPr="00A800BE">
        <w:rPr>
          <w:rFonts w:eastAsia="Times New Roman" w:cs="Arial"/>
          <w:color w:val="000000"/>
          <w:lang w:eastAsia="bg-BG"/>
        </w:rPr>
        <w:t xml:space="preserve">е 175 +/-29,2 </w:t>
      </w:r>
      <w:r w:rsidRPr="00A800BE">
        <w:rPr>
          <w:rFonts w:eastAsia="Times New Roman" w:cs="Arial"/>
          <w:color w:val="000000"/>
          <w:lang w:val="en-US"/>
        </w:rPr>
        <w:t>ml</w:t>
      </w:r>
      <w:r w:rsidRPr="00A800BE">
        <w:rPr>
          <w:rFonts w:eastAsia="Times New Roman" w:cs="Arial"/>
          <w:color w:val="000000"/>
          <w:lang w:val="ru-RU"/>
        </w:rPr>
        <w:t>/</w:t>
      </w:r>
      <w:r w:rsidRPr="00A800BE">
        <w:rPr>
          <w:rFonts w:eastAsia="Times New Roman" w:cs="Arial"/>
          <w:color w:val="000000"/>
          <w:lang w:val="en-US"/>
        </w:rPr>
        <w:t>min</w:t>
      </w:r>
      <w:r w:rsidRPr="00A800BE">
        <w:rPr>
          <w:rFonts w:eastAsia="Times New Roman" w:cs="Arial"/>
          <w:color w:val="000000"/>
          <w:lang w:val="ru-RU"/>
        </w:rPr>
        <w:t>.</w:t>
      </w:r>
    </w:p>
    <w:p w14:paraId="119CDBD4" w14:textId="77777777"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Няма съществени разлики във фармакокинетиката на левофлоксацин след интравенозно и перорално приложение, което означава, че пероралният и интравенозният път са взаи мозаменяеми.</w:t>
      </w:r>
    </w:p>
    <w:p w14:paraId="4E560F57" w14:textId="77777777" w:rsidR="00A800BE" w:rsidRPr="00A800BE" w:rsidRDefault="00A800BE" w:rsidP="00A800BE">
      <w:pPr>
        <w:spacing w:line="240" w:lineRule="auto"/>
        <w:rPr>
          <w:rFonts w:eastAsia="Times New Roman" w:cs="Arial"/>
          <w:color w:val="000000"/>
          <w:u w:val="single"/>
          <w:lang w:eastAsia="bg-BG"/>
        </w:rPr>
      </w:pPr>
    </w:p>
    <w:p w14:paraId="49AA179A" w14:textId="7951B33C" w:rsidR="00A800BE" w:rsidRPr="00A800BE" w:rsidRDefault="00A800BE" w:rsidP="00A800BE">
      <w:pPr>
        <w:pStyle w:val="Heading3"/>
        <w:rPr>
          <w:rFonts w:eastAsia="Times New Roman"/>
          <w:u w:val="single"/>
        </w:rPr>
      </w:pPr>
      <w:r w:rsidRPr="00A800BE">
        <w:rPr>
          <w:rFonts w:eastAsia="Times New Roman"/>
          <w:u w:val="single"/>
          <w:lang w:eastAsia="bg-BG"/>
        </w:rPr>
        <w:t>Линейност</w:t>
      </w:r>
    </w:p>
    <w:p w14:paraId="39AE9332" w14:textId="77777777" w:rsidR="00A800BE" w:rsidRPr="00A800BE" w:rsidRDefault="00A800BE" w:rsidP="00A800BE">
      <w:pPr>
        <w:spacing w:line="240" w:lineRule="auto"/>
        <w:rPr>
          <w:rFonts w:eastAsia="Times New Roman" w:cs="Arial"/>
          <w:color w:val="000000"/>
          <w:lang w:eastAsia="bg-BG"/>
        </w:rPr>
      </w:pPr>
    </w:p>
    <w:p w14:paraId="1D5842A5" w14:textId="3FE7C648"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 xml:space="preserve">Левофлоксацин се подчинява на линейна фармакокинетика в диапазона 50 до 1000 </w:t>
      </w:r>
      <w:r w:rsidRPr="00A800BE">
        <w:rPr>
          <w:rFonts w:eastAsia="Times New Roman" w:cs="Arial"/>
          <w:color w:val="000000"/>
          <w:lang w:val="en-US"/>
        </w:rPr>
        <w:t>mg</w:t>
      </w:r>
      <w:r w:rsidRPr="00A800BE">
        <w:rPr>
          <w:rFonts w:eastAsia="Times New Roman" w:cs="Arial"/>
          <w:color w:val="000000"/>
          <w:lang w:val="ru-RU"/>
        </w:rPr>
        <w:t>.</w:t>
      </w:r>
    </w:p>
    <w:p w14:paraId="616D79D5" w14:textId="77777777" w:rsidR="00A800BE" w:rsidRPr="00A800BE" w:rsidRDefault="00A800BE" w:rsidP="00A800BE">
      <w:pPr>
        <w:spacing w:line="240" w:lineRule="auto"/>
        <w:rPr>
          <w:rFonts w:eastAsia="Times New Roman" w:cs="Arial"/>
          <w:color w:val="000000"/>
          <w:u w:val="single"/>
          <w:lang w:eastAsia="bg-BG"/>
        </w:rPr>
      </w:pPr>
    </w:p>
    <w:p w14:paraId="5E01634B" w14:textId="4F00814E" w:rsidR="00A800BE" w:rsidRPr="00A800BE" w:rsidRDefault="00A800BE" w:rsidP="00A800BE">
      <w:pPr>
        <w:spacing w:line="240" w:lineRule="auto"/>
        <w:rPr>
          <w:rFonts w:eastAsia="Times New Roman" w:cs="Arial"/>
          <w:sz w:val="24"/>
          <w:szCs w:val="24"/>
        </w:rPr>
      </w:pPr>
      <w:r w:rsidRPr="00A800BE">
        <w:rPr>
          <w:rFonts w:eastAsia="Times New Roman" w:cs="Arial"/>
          <w:color w:val="000000"/>
          <w:u w:val="single"/>
          <w:lang w:eastAsia="bg-BG"/>
        </w:rPr>
        <w:t>Специални популации</w:t>
      </w:r>
    </w:p>
    <w:p w14:paraId="00FEEE16" w14:textId="77777777" w:rsidR="00A800BE" w:rsidRPr="00A800BE" w:rsidRDefault="00A800BE" w:rsidP="00A800BE">
      <w:pPr>
        <w:spacing w:line="240" w:lineRule="auto"/>
        <w:rPr>
          <w:rFonts w:eastAsia="Times New Roman" w:cs="Arial"/>
          <w:i/>
          <w:iCs/>
          <w:color w:val="000000"/>
          <w:lang w:eastAsia="bg-BG"/>
        </w:rPr>
      </w:pPr>
    </w:p>
    <w:p w14:paraId="764B2CA7" w14:textId="7A393DA5" w:rsidR="00A800BE" w:rsidRPr="00A800BE" w:rsidRDefault="00A800BE" w:rsidP="00A800BE">
      <w:pPr>
        <w:spacing w:line="240" w:lineRule="auto"/>
        <w:rPr>
          <w:rFonts w:eastAsia="Times New Roman" w:cs="Arial"/>
          <w:sz w:val="24"/>
          <w:szCs w:val="24"/>
        </w:rPr>
      </w:pPr>
      <w:r w:rsidRPr="00A800BE">
        <w:rPr>
          <w:rFonts w:eastAsia="Times New Roman" w:cs="Arial"/>
          <w:i/>
          <w:iCs/>
          <w:color w:val="000000"/>
          <w:lang w:eastAsia="bg-BG"/>
        </w:rPr>
        <w:t>Пациенти с бъбречна недостатъчност</w:t>
      </w:r>
    </w:p>
    <w:p w14:paraId="445B3627" w14:textId="77777777" w:rsidR="00A800BE" w:rsidRPr="00A800BE" w:rsidRDefault="00A800BE" w:rsidP="00A800BE">
      <w:pPr>
        <w:spacing w:line="240" w:lineRule="auto"/>
        <w:rPr>
          <w:rFonts w:eastAsia="Times New Roman" w:cs="Arial"/>
          <w:color w:val="000000"/>
          <w:lang w:eastAsia="bg-BG"/>
        </w:rPr>
      </w:pPr>
    </w:p>
    <w:p w14:paraId="3CFCFEE6" w14:textId="11B7699C"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Фармакокинетиката на левофлоксацин се влияе от бъбречно увреждане. С понижаване на бъбречната функция, бъбречната елиминация и клирънс се понижават, а елиминационните полуживоти се удължават, както е показано в таблицата по-долу:</w:t>
      </w:r>
    </w:p>
    <w:p w14:paraId="30E9BAFE" w14:textId="77777777" w:rsidR="00A800BE" w:rsidRPr="00A800BE" w:rsidRDefault="00A800BE" w:rsidP="00A800BE">
      <w:pPr>
        <w:spacing w:line="240" w:lineRule="auto"/>
        <w:rPr>
          <w:rFonts w:eastAsia="Times New Roman" w:cs="Arial"/>
          <w:color w:val="000000"/>
          <w:lang w:eastAsia="bg-BG"/>
        </w:rPr>
      </w:pPr>
    </w:p>
    <w:p w14:paraId="50CB9DB0" w14:textId="34D4CD4C" w:rsidR="00A800BE" w:rsidRDefault="00A800BE" w:rsidP="00A800BE">
      <w:pPr>
        <w:spacing w:line="240" w:lineRule="auto"/>
        <w:rPr>
          <w:rFonts w:eastAsia="Times New Roman" w:cs="Arial"/>
          <w:color w:val="000000"/>
          <w:lang w:val="en-US"/>
        </w:rPr>
      </w:pPr>
      <w:r w:rsidRPr="00A800BE">
        <w:rPr>
          <w:rFonts w:eastAsia="Times New Roman" w:cs="Arial"/>
          <w:color w:val="000000"/>
          <w:lang w:eastAsia="bg-BG"/>
        </w:rPr>
        <w:t xml:space="preserve">Фармакокинетика при бъбречна недостатъчност след еднократна перорална доза от 500 </w:t>
      </w:r>
      <w:r w:rsidRPr="00A800BE">
        <w:rPr>
          <w:rFonts w:eastAsia="Times New Roman" w:cs="Arial"/>
          <w:color w:val="000000"/>
          <w:lang w:val="en-US"/>
        </w:rPr>
        <w:t>mg</w:t>
      </w:r>
    </w:p>
    <w:p w14:paraId="62D4B5D9" w14:textId="15512C7D" w:rsidR="00A800BE" w:rsidRDefault="00A800BE" w:rsidP="00A800BE">
      <w:pPr>
        <w:spacing w:line="240" w:lineRule="auto"/>
        <w:rPr>
          <w:rFonts w:eastAsia="Times New Roman" w:cs="Arial"/>
          <w:color w:val="000000"/>
          <w:lang w:val="en-US"/>
        </w:rPr>
      </w:pPr>
    </w:p>
    <w:tbl>
      <w:tblPr>
        <w:tblStyle w:val="TableGrid"/>
        <w:tblW w:w="0" w:type="auto"/>
        <w:tblLook w:val="04A0" w:firstRow="1" w:lastRow="0" w:firstColumn="1" w:lastColumn="0" w:noHBand="0" w:noVBand="1"/>
      </w:tblPr>
      <w:tblGrid>
        <w:gridCol w:w="2349"/>
        <w:gridCol w:w="2335"/>
        <w:gridCol w:w="2333"/>
        <w:gridCol w:w="2333"/>
      </w:tblGrid>
      <w:tr w:rsidR="00A800BE" w14:paraId="281D09D7" w14:textId="77777777" w:rsidTr="00A800BE">
        <w:tc>
          <w:tcPr>
            <w:tcW w:w="2394" w:type="dxa"/>
          </w:tcPr>
          <w:p w14:paraId="092C75CA" w14:textId="717DBEBB" w:rsidR="00A800BE" w:rsidRDefault="00A800BE" w:rsidP="00A800BE">
            <w:pPr>
              <w:spacing w:line="240" w:lineRule="auto"/>
              <w:rPr>
                <w:rFonts w:eastAsia="Times New Roman" w:cs="Arial"/>
                <w:sz w:val="24"/>
                <w:szCs w:val="24"/>
              </w:rPr>
            </w:pPr>
            <w:r>
              <w:t>Clcr [ml/min]</w:t>
            </w:r>
          </w:p>
        </w:tc>
        <w:tc>
          <w:tcPr>
            <w:tcW w:w="2394" w:type="dxa"/>
          </w:tcPr>
          <w:p w14:paraId="09AF72D2" w14:textId="000B0EFD" w:rsidR="00A800BE" w:rsidRDefault="00A800BE" w:rsidP="00A800BE">
            <w:pPr>
              <w:spacing w:line="240" w:lineRule="auto"/>
              <w:rPr>
                <w:rFonts w:eastAsia="Times New Roman" w:cs="Arial"/>
                <w:sz w:val="24"/>
                <w:szCs w:val="24"/>
              </w:rPr>
            </w:pPr>
            <w:r>
              <w:t>&lt;20</w:t>
            </w:r>
          </w:p>
        </w:tc>
        <w:tc>
          <w:tcPr>
            <w:tcW w:w="2394" w:type="dxa"/>
          </w:tcPr>
          <w:p w14:paraId="2AD48AC1" w14:textId="434AA78C" w:rsidR="00A800BE" w:rsidRDefault="00A800BE" w:rsidP="00A800BE">
            <w:pPr>
              <w:spacing w:line="240" w:lineRule="auto"/>
              <w:rPr>
                <w:rFonts w:eastAsia="Times New Roman" w:cs="Arial"/>
                <w:sz w:val="24"/>
                <w:szCs w:val="24"/>
              </w:rPr>
            </w:pPr>
            <w:r>
              <w:t>20-49</w:t>
            </w:r>
          </w:p>
        </w:tc>
        <w:tc>
          <w:tcPr>
            <w:tcW w:w="2394" w:type="dxa"/>
          </w:tcPr>
          <w:p w14:paraId="36DBC4E3" w14:textId="220A8313" w:rsidR="00A800BE" w:rsidRDefault="00A800BE" w:rsidP="00A800BE">
            <w:pPr>
              <w:spacing w:line="240" w:lineRule="auto"/>
              <w:rPr>
                <w:rFonts w:eastAsia="Times New Roman" w:cs="Arial"/>
                <w:sz w:val="24"/>
                <w:szCs w:val="24"/>
              </w:rPr>
            </w:pPr>
            <w:r>
              <w:t>50-80</w:t>
            </w:r>
          </w:p>
        </w:tc>
      </w:tr>
      <w:tr w:rsidR="00A800BE" w14:paraId="2397A6CA" w14:textId="77777777" w:rsidTr="00A800BE">
        <w:tc>
          <w:tcPr>
            <w:tcW w:w="2394" w:type="dxa"/>
          </w:tcPr>
          <w:p w14:paraId="7D0F3A9E" w14:textId="08532F85" w:rsidR="00A800BE" w:rsidRDefault="00A800BE" w:rsidP="00A800BE">
            <w:pPr>
              <w:spacing w:line="240" w:lineRule="auto"/>
              <w:rPr>
                <w:rFonts w:eastAsia="Times New Roman" w:cs="Arial"/>
                <w:sz w:val="24"/>
                <w:szCs w:val="24"/>
              </w:rPr>
            </w:pPr>
            <w:r>
              <w:t>Cl</w:t>
            </w:r>
            <w:r>
              <w:rPr>
                <w:vertAlign w:val="subscript"/>
              </w:rPr>
              <w:t>R</w:t>
            </w:r>
            <w:r>
              <w:t xml:space="preserve"> [ml/min]</w:t>
            </w:r>
          </w:p>
        </w:tc>
        <w:tc>
          <w:tcPr>
            <w:tcW w:w="2394" w:type="dxa"/>
          </w:tcPr>
          <w:p w14:paraId="4C48C478" w14:textId="7A52BCF5" w:rsidR="00A800BE" w:rsidRDefault="00A800BE" w:rsidP="00A800BE">
            <w:pPr>
              <w:spacing w:line="240" w:lineRule="auto"/>
              <w:rPr>
                <w:rFonts w:eastAsia="Times New Roman" w:cs="Arial"/>
                <w:sz w:val="24"/>
                <w:szCs w:val="24"/>
              </w:rPr>
            </w:pPr>
            <w:r>
              <w:t>13</w:t>
            </w:r>
          </w:p>
        </w:tc>
        <w:tc>
          <w:tcPr>
            <w:tcW w:w="2394" w:type="dxa"/>
          </w:tcPr>
          <w:p w14:paraId="1EA62037" w14:textId="5327F352" w:rsidR="00A800BE" w:rsidRDefault="00A800BE" w:rsidP="00A800BE">
            <w:pPr>
              <w:spacing w:line="240" w:lineRule="auto"/>
              <w:rPr>
                <w:rFonts w:eastAsia="Times New Roman" w:cs="Arial"/>
                <w:sz w:val="24"/>
                <w:szCs w:val="24"/>
              </w:rPr>
            </w:pPr>
            <w:r>
              <w:t>26</w:t>
            </w:r>
          </w:p>
        </w:tc>
        <w:tc>
          <w:tcPr>
            <w:tcW w:w="2394" w:type="dxa"/>
          </w:tcPr>
          <w:p w14:paraId="662E91AE" w14:textId="3EAE756B" w:rsidR="00A800BE" w:rsidRDefault="00A800BE" w:rsidP="00A800BE">
            <w:pPr>
              <w:spacing w:line="240" w:lineRule="auto"/>
              <w:rPr>
                <w:rFonts w:eastAsia="Times New Roman" w:cs="Arial"/>
                <w:sz w:val="24"/>
                <w:szCs w:val="24"/>
              </w:rPr>
            </w:pPr>
            <w:r>
              <w:t>57</w:t>
            </w:r>
          </w:p>
        </w:tc>
      </w:tr>
      <w:tr w:rsidR="00A800BE" w14:paraId="3B958D23" w14:textId="77777777" w:rsidTr="00A800BE">
        <w:tc>
          <w:tcPr>
            <w:tcW w:w="2394" w:type="dxa"/>
          </w:tcPr>
          <w:p w14:paraId="0BE6606A" w14:textId="45DB618A" w:rsidR="00A800BE" w:rsidRDefault="00A800BE" w:rsidP="00A800BE">
            <w:pPr>
              <w:spacing w:line="240" w:lineRule="auto"/>
              <w:rPr>
                <w:rFonts w:eastAsia="Times New Roman" w:cs="Arial"/>
                <w:sz w:val="24"/>
                <w:szCs w:val="24"/>
              </w:rPr>
            </w:pPr>
            <w:r>
              <w:t>t1/2[h]</w:t>
            </w:r>
          </w:p>
        </w:tc>
        <w:tc>
          <w:tcPr>
            <w:tcW w:w="2394" w:type="dxa"/>
          </w:tcPr>
          <w:p w14:paraId="200D6B7F" w14:textId="0C39B28B" w:rsidR="00A800BE" w:rsidRDefault="00A800BE" w:rsidP="00A800BE">
            <w:pPr>
              <w:spacing w:line="240" w:lineRule="auto"/>
              <w:rPr>
                <w:rFonts w:eastAsia="Times New Roman" w:cs="Arial"/>
                <w:sz w:val="24"/>
                <w:szCs w:val="24"/>
              </w:rPr>
            </w:pPr>
            <w:r>
              <w:t>35</w:t>
            </w:r>
          </w:p>
        </w:tc>
        <w:tc>
          <w:tcPr>
            <w:tcW w:w="2394" w:type="dxa"/>
          </w:tcPr>
          <w:p w14:paraId="3DE1A853" w14:textId="1C8335F2" w:rsidR="00A800BE" w:rsidRDefault="00A800BE" w:rsidP="00A800BE">
            <w:pPr>
              <w:spacing w:line="240" w:lineRule="auto"/>
              <w:rPr>
                <w:rFonts w:eastAsia="Times New Roman" w:cs="Arial"/>
                <w:sz w:val="24"/>
                <w:szCs w:val="24"/>
              </w:rPr>
            </w:pPr>
            <w:r>
              <w:t>27</w:t>
            </w:r>
          </w:p>
        </w:tc>
        <w:tc>
          <w:tcPr>
            <w:tcW w:w="2394" w:type="dxa"/>
          </w:tcPr>
          <w:p w14:paraId="1503530B" w14:textId="70B94846" w:rsidR="00A800BE" w:rsidRDefault="00A800BE" w:rsidP="00A800BE">
            <w:pPr>
              <w:spacing w:line="240" w:lineRule="auto"/>
              <w:rPr>
                <w:rFonts w:eastAsia="Times New Roman" w:cs="Arial"/>
                <w:sz w:val="24"/>
                <w:szCs w:val="24"/>
              </w:rPr>
            </w:pPr>
            <w:r>
              <w:t>9</w:t>
            </w:r>
          </w:p>
        </w:tc>
      </w:tr>
    </w:tbl>
    <w:p w14:paraId="3E1C98EF" w14:textId="77777777" w:rsidR="00A800BE" w:rsidRDefault="00A800BE" w:rsidP="00A800BE">
      <w:pPr>
        <w:spacing w:line="240" w:lineRule="auto"/>
        <w:rPr>
          <w:rFonts w:ascii="Times New Roman" w:eastAsia="Times New Roman" w:hAnsi="Times New Roman" w:cs="Times New Roman"/>
          <w:i/>
          <w:iCs/>
          <w:color w:val="000000"/>
          <w:lang w:eastAsia="bg-BG"/>
        </w:rPr>
      </w:pPr>
    </w:p>
    <w:p w14:paraId="47EA509C" w14:textId="2703212E" w:rsidR="00A800BE" w:rsidRPr="00A800BE" w:rsidRDefault="00A800BE" w:rsidP="00A800BE">
      <w:pPr>
        <w:spacing w:line="240" w:lineRule="auto"/>
        <w:rPr>
          <w:rFonts w:eastAsia="Times New Roman" w:cs="Arial"/>
          <w:sz w:val="24"/>
          <w:szCs w:val="24"/>
        </w:rPr>
      </w:pPr>
      <w:r w:rsidRPr="00A800BE">
        <w:rPr>
          <w:rFonts w:eastAsia="Times New Roman" w:cs="Arial"/>
          <w:i/>
          <w:iCs/>
          <w:color w:val="000000"/>
          <w:lang w:eastAsia="bg-BG"/>
        </w:rPr>
        <w:t>Пациенти в старческа възраст</w:t>
      </w:r>
    </w:p>
    <w:p w14:paraId="4E9E3925" w14:textId="77777777" w:rsidR="00A800BE" w:rsidRPr="00A800BE" w:rsidRDefault="00A800BE" w:rsidP="00A800BE">
      <w:pPr>
        <w:spacing w:line="240" w:lineRule="auto"/>
        <w:rPr>
          <w:rFonts w:eastAsia="Times New Roman" w:cs="Arial"/>
          <w:color w:val="000000"/>
          <w:lang w:eastAsia="bg-BG"/>
        </w:rPr>
      </w:pPr>
    </w:p>
    <w:p w14:paraId="0323565B" w14:textId="02E2B74A"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Няма значителни разлики в кинетиката на левофлоксацин между млади и възрастни индивиди, с изключение на тези, свързани с разлики в креатининовия клирънс.</w:t>
      </w:r>
    </w:p>
    <w:p w14:paraId="2C3185B2" w14:textId="77777777" w:rsidR="00A800BE" w:rsidRPr="00A800BE" w:rsidRDefault="00A800BE" w:rsidP="00A800BE">
      <w:pPr>
        <w:spacing w:line="240" w:lineRule="auto"/>
        <w:rPr>
          <w:rFonts w:eastAsia="Times New Roman" w:cs="Arial"/>
          <w:i/>
          <w:iCs/>
          <w:color w:val="000000"/>
          <w:lang w:eastAsia="bg-BG"/>
        </w:rPr>
      </w:pPr>
    </w:p>
    <w:p w14:paraId="7DB480D3" w14:textId="05586BF0" w:rsidR="00A800BE" w:rsidRPr="00A800BE" w:rsidRDefault="00A800BE" w:rsidP="00A800BE">
      <w:pPr>
        <w:spacing w:line="240" w:lineRule="auto"/>
        <w:rPr>
          <w:rFonts w:eastAsia="Times New Roman" w:cs="Arial"/>
          <w:sz w:val="24"/>
          <w:szCs w:val="24"/>
        </w:rPr>
      </w:pPr>
      <w:r w:rsidRPr="00A800BE">
        <w:rPr>
          <w:rFonts w:eastAsia="Times New Roman" w:cs="Arial"/>
          <w:i/>
          <w:iCs/>
          <w:color w:val="000000"/>
          <w:lang w:eastAsia="bg-BG"/>
        </w:rPr>
        <w:t>Полови различия</w:t>
      </w:r>
    </w:p>
    <w:p w14:paraId="57B63D3F" w14:textId="77777777" w:rsidR="00A800BE" w:rsidRPr="00A800BE" w:rsidRDefault="00A800BE" w:rsidP="00A800BE">
      <w:pPr>
        <w:spacing w:line="240" w:lineRule="auto"/>
        <w:rPr>
          <w:rFonts w:eastAsia="Times New Roman" w:cs="Arial"/>
          <w:color w:val="000000"/>
          <w:lang w:eastAsia="bg-BG"/>
        </w:rPr>
      </w:pPr>
    </w:p>
    <w:p w14:paraId="10BF1F76" w14:textId="0F269F34" w:rsidR="00A800BE" w:rsidRPr="00A800BE" w:rsidRDefault="00A800BE" w:rsidP="00A800BE">
      <w:pPr>
        <w:spacing w:line="240" w:lineRule="auto"/>
        <w:rPr>
          <w:rFonts w:eastAsia="Times New Roman" w:cs="Arial"/>
          <w:sz w:val="24"/>
          <w:szCs w:val="24"/>
        </w:rPr>
      </w:pPr>
      <w:r w:rsidRPr="00A800BE">
        <w:rPr>
          <w:rFonts w:eastAsia="Times New Roman" w:cs="Arial"/>
          <w:color w:val="000000"/>
          <w:lang w:eastAsia="bg-BG"/>
        </w:rPr>
        <w:t>Отделният анализ при мъже и жени показва малки до незначителни полови разлики във фармакокинетиката на левофлоксацин. Няма доказателства тези полови различия да имат клинично значение.</w:t>
      </w:r>
    </w:p>
    <w:p w14:paraId="41A81559" w14:textId="097222B3" w:rsidR="00A800BE" w:rsidRPr="00A800BE" w:rsidRDefault="00A800BE" w:rsidP="00A800BE"/>
    <w:p w14:paraId="028E658A" w14:textId="16002382" w:rsidR="00395555" w:rsidRDefault="002C50EE" w:rsidP="008A6AF2">
      <w:pPr>
        <w:pStyle w:val="Heading2"/>
      </w:pPr>
      <w:r>
        <w:t>5.3. Предклинични данни за безопасност</w:t>
      </w:r>
    </w:p>
    <w:p w14:paraId="1E5EF571" w14:textId="7AA9EE23" w:rsidR="00A800BE" w:rsidRDefault="00A800BE" w:rsidP="00A800BE"/>
    <w:p w14:paraId="684E189C" w14:textId="77777777" w:rsidR="00A800BE" w:rsidRPr="00A800BE" w:rsidRDefault="00A800BE" w:rsidP="00A800BE">
      <w:pPr>
        <w:rPr>
          <w:sz w:val="24"/>
          <w:szCs w:val="24"/>
        </w:rPr>
      </w:pPr>
      <w:r w:rsidRPr="00A800BE">
        <w:rPr>
          <w:lang w:eastAsia="bg-BG"/>
        </w:rPr>
        <w:t xml:space="preserve">Неклиничните данни не показват специален риск за хората въз основа на конвенционалните изследвания на токсичност при еднократно приложение, токсичност </w:t>
      </w:r>
      <w:r w:rsidRPr="00A800BE">
        <w:rPr>
          <w:lang w:eastAsia="bg-BG"/>
        </w:rPr>
        <w:lastRenderedPageBreak/>
        <w:t>при многократно приложение, канцерогенен потенциал и токсичност на репродукцията и развитието.</w:t>
      </w:r>
    </w:p>
    <w:p w14:paraId="18660801" w14:textId="77777777" w:rsidR="00A800BE" w:rsidRDefault="00A800BE" w:rsidP="00A800BE">
      <w:pPr>
        <w:rPr>
          <w:lang w:eastAsia="bg-BG"/>
        </w:rPr>
      </w:pPr>
    </w:p>
    <w:p w14:paraId="17130698" w14:textId="36A5F99F" w:rsidR="00A800BE" w:rsidRPr="00A800BE" w:rsidRDefault="00A800BE" w:rsidP="00A800BE">
      <w:pPr>
        <w:rPr>
          <w:sz w:val="24"/>
          <w:szCs w:val="24"/>
        </w:rPr>
      </w:pPr>
      <w:r w:rsidRPr="00A800BE">
        <w:rPr>
          <w:lang w:eastAsia="bg-BG"/>
        </w:rPr>
        <w:t>Левофлоксацин не предизвиква увреждане на фертилитета или репродуктивното поведение при плъхове и единственият му ефект върху плода е бил забавено съзряване в резултат на токсичността при майката.</w:t>
      </w:r>
    </w:p>
    <w:p w14:paraId="16758CC4" w14:textId="77777777" w:rsidR="00A800BE" w:rsidRDefault="00A800BE" w:rsidP="00A800BE">
      <w:pPr>
        <w:rPr>
          <w:lang w:eastAsia="bg-BG"/>
        </w:rPr>
      </w:pPr>
    </w:p>
    <w:p w14:paraId="4FF0BA9A" w14:textId="49DBF5E7" w:rsidR="00A800BE" w:rsidRPr="00A800BE" w:rsidRDefault="00A800BE" w:rsidP="00A800BE">
      <w:pPr>
        <w:rPr>
          <w:sz w:val="24"/>
          <w:szCs w:val="24"/>
        </w:rPr>
      </w:pPr>
      <w:r w:rsidRPr="00A800BE">
        <w:rPr>
          <w:lang w:eastAsia="bg-BG"/>
        </w:rPr>
        <w:t xml:space="preserve">Левофлоксацин не предизвиква гении мутации в бактериални клетки или клетки от бозайници, но индуцира хромозомни аберации </w:t>
      </w:r>
      <w:r w:rsidRPr="00A800BE">
        <w:rPr>
          <w:i/>
          <w:iCs/>
          <w:lang w:val="en-US"/>
        </w:rPr>
        <w:t>in</w:t>
      </w:r>
      <w:r w:rsidRPr="00A800BE">
        <w:rPr>
          <w:i/>
          <w:iCs/>
          <w:lang w:val="ru-RU"/>
        </w:rPr>
        <w:t xml:space="preserve"> </w:t>
      </w:r>
      <w:r w:rsidRPr="00A800BE">
        <w:rPr>
          <w:i/>
          <w:iCs/>
          <w:lang w:val="en-US"/>
        </w:rPr>
        <w:t>vitro</w:t>
      </w:r>
      <w:r w:rsidRPr="00A800BE">
        <w:rPr>
          <w:lang w:val="ru-RU"/>
        </w:rPr>
        <w:t xml:space="preserve"> </w:t>
      </w:r>
      <w:r w:rsidRPr="00A800BE">
        <w:rPr>
          <w:lang w:eastAsia="bg-BG"/>
        </w:rPr>
        <w:t xml:space="preserve">в белодробни клетки от китайски хамстер. Тези ефекти може да се отдадат на инхибиране на топоизомераза II. Изпитванията </w:t>
      </w:r>
      <w:r w:rsidRPr="00A800BE">
        <w:rPr>
          <w:i/>
          <w:iCs/>
          <w:lang w:val="en-US"/>
        </w:rPr>
        <w:t>in</w:t>
      </w:r>
      <w:r w:rsidRPr="00A800BE">
        <w:rPr>
          <w:i/>
          <w:iCs/>
          <w:lang w:val="ru-RU"/>
        </w:rPr>
        <w:t>-</w:t>
      </w:r>
      <w:r w:rsidRPr="00A800BE">
        <w:rPr>
          <w:i/>
          <w:iCs/>
          <w:lang w:val="en-US"/>
        </w:rPr>
        <w:t>vivo</w:t>
      </w:r>
      <w:r w:rsidRPr="00A800BE">
        <w:rPr>
          <w:i/>
          <w:iCs/>
          <w:lang w:val="ru-RU"/>
        </w:rPr>
        <w:t xml:space="preserve"> </w:t>
      </w:r>
      <w:r w:rsidRPr="00A800BE">
        <w:rPr>
          <w:lang w:eastAsia="bg-BG"/>
        </w:rPr>
        <w:t>(микроядрен тест, сестрински хроматиден обмен, извънпланова ДНК синтеза, тест за доминантни летални мутации) не показват генотоксичен потенциал.</w:t>
      </w:r>
    </w:p>
    <w:p w14:paraId="6133876D" w14:textId="17198A51" w:rsidR="00A800BE" w:rsidRPr="00A800BE" w:rsidRDefault="00A800BE" w:rsidP="00A800BE">
      <w:pPr>
        <w:rPr>
          <w:sz w:val="24"/>
          <w:szCs w:val="24"/>
        </w:rPr>
      </w:pPr>
      <w:r w:rsidRPr="00A800BE">
        <w:rPr>
          <w:lang w:eastAsia="bg-BG"/>
        </w:rPr>
        <w:t>Изследванията върху мишки показват, че левофлоксацин притежава фототоксична активност само при много високи дози. Левофлоксацин не показва генотоксичен потенциал при тест за фотомутагенност, а при проучване върху фотоканцерогенностга е понижил туморното развитие.</w:t>
      </w:r>
    </w:p>
    <w:p w14:paraId="1B5F62A2" w14:textId="77777777" w:rsidR="00A800BE" w:rsidRDefault="00A800BE" w:rsidP="00A800BE">
      <w:pPr>
        <w:rPr>
          <w:lang w:eastAsia="bg-BG"/>
        </w:rPr>
      </w:pPr>
    </w:p>
    <w:p w14:paraId="18FBA83E" w14:textId="683D868B" w:rsidR="00A800BE" w:rsidRPr="00A800BE" w:rsidRDefault="00A800BE" w:rsidP="00A800BE">
      <w:pPr>
        <w:rPr>
          <w:sz w:val="24"/>
          <w:szCs w:val="24"/>
        </w:rPr>
      </w:pPr>
      <w:r w:rsidRPr="00A800BE">
        <w:rPr>
          <w:lang w:eastAsia="bg-BG"/>
        </w:rPr>
        <w:t>Подобно на другите флуорохинолони, левофлоксацин е показал ефекти върху хрущялите (образуване на мехури и кухини) при плъхове и кучета. Тези прояви са по-подчертани при млади животни.</w:t>
      </w:r>
    </w:p>
    <w:p w14:paraId="6A7820AB" w14:textId="1D4DCD88" w:rsidR="008A6AF2" w:rsidRDefault="002C50EE" w:rsidP="00395555">
      <w:pPr>
        <w:pStyle w:val="Heading1"/>
      </w:pPr>
      <w:r>
        <w:t>7. ПРИТЕЖАТЕЛ НА РАЗРЕШЕНИЕТО ЗА УПОТРЕБА</w:t>
      </w:r>
    </w:p>
    <w:p w14:paraId="4CD2929A" w14:textId="454F00A0" w:rsidR="00A800BE" w:rsidRDefault="00A800BE" w:rsidP="00A800BE"/>
    <w:p w14:paraId="48767F95" w14:textId="77777777" w:rsidR="00A800BE" w:rsidRDefault="00A800BE" w:rsidP="00A800BE">
      <w:r>
        <w:t xml:space="preserve">Фрезениус Каби България ЕООД </w:t>
      </w:r>
    </w:p>
    <w:p w14:paraId="51FB25B0" w14:textId="77777777" w:rsidR="00A800BE" w:rsidRDefault="00A800BE" w:rsidP="00A800BE">
      <w:r>
        <w:t xml:space="preserve">ул. Ал. Жендов 1, ет.6, ап. 37, </w:t>
      </w:r>
    </w:p>
    <w:p w14:paraId="02D7DC6F" w14:textId="0509547E" w:rsidR="00A800BE" w:rsidRPr="00A800BE" w:rsidRDefault="00A800BE" w:rsidP="00A800BE">
      <w:r>
        <w:t>1113 София, България</w:t>
      </w:r>
    </w:p>
    <w:p w14:paraId="04840D59" w14:textId="2AE1A875" w:rsidR="002C50EE" w:rsidRDefault="002C50EE" w:rsidP="00395555">
      <w:pPr>
        <w:pStyle w:val="Heading1"/>
      </w:pPr>
      <w:r>
        <w:t>8. НОМЕР НА РАЗРЕШЕНИЕТО ЗА УПОТРЕБА</w:t>
      </w:r>
    </w:p>
    <w:p w14:paraId="2E0849FA" w14:textId="0F0ABB83" w:rsidR="00A800BE" w:rsidRDefault="00A800BE" w:rsidP="00A800BE"/>
    <w:p w14:paraId="29C85334" w14:textId="691BCD3D" w:rsidR="00A800BE" w:rsidRPr="00A800BE" w:rsidRDefault="00A800BE" w:rsidP="00A800BE">
      <w:r>
        <w:t>20090489</w:t>
      </w:r>
    </w:p>
    <w:p w14:paraId="2CCB5832" w14:textId="6A9D8981" w:rsidR="007C605B" w:rsidRDefault="002C50EE" w:rsidP="007C605B">
      <w:pPr>
        <w:pStyle w:val="Heading1"/>
      </w:pPr>
      <w:r>
        <w:t>9. ДАТА НА ПЪРВО РАЗРЕШАВАНЕ/ПОДНОВЯВАНЕ НА РАЗРЕШЕНИЕТО ЗА УПОТРЕБА</w:t>
      </w:r>
    </w:p>
    <w:p w14:paraId="2215D6A5" w14:textId="77777777" w:rsidR="00A800BE" w:rsidRDefault="00A800BE" w:rsidP="00A800BE">
      <w:pPr>
        <w:rPr>
          <w:lang w:eastAsia="bg-BG"/>
        </w:rPr>
      </w:pPr>
    </w:p>
    <w:p w14:paraId="6AA2376F" w14:textId="5D0EF690" w:rsidR="00A800BE" w:rsidRPr="00A800BE" w:rsidRDefault="00A800BE" w:rsidP="00A800BE">
      <w:pPr>
        <w:rPr>
          <w:sz w:val="24"/>
          <w:szCs w:val="24"/>
        </w:rPr>
      </w:pPr>
      <w:r w:rsidRPr="00A800BE">
        <w:rPr>
          <w:lang w:eastAsia="bg-BG"/>
        </w:rPr>
        <w:t>Дата на първо разрешаване: 04 ноември 2009 г.</w:t>
      </w:r>
    </w:p>
    <w:p w14:paraId="38B11831" w14:textId="13458B31" w:rsidR="00A800BE" w:rsidRPr="00A800BE" w:rsidRDefault="00A800BE" w:rsidP="00A800BE">
      <w:pPr>
        <w:rPr>
          <w:sz w:val="24"/>
          <w:szCs w:val="24"/>
        </w:rPr>
      </w:pPr>
      <w:r w:rsidRPr="00A800BE">
        <w:rPr>
          <w:lang w:eastAsia="bg-BG"/>
        </w:rPr>
        <w:t>Дата на последно подновяване: 24 август 2015 г.</w:t>
      </w:r>
    </w:p>
    <w:p w14:paraId="0E9D0119" w14:textId="0245C6D7" w:rsidR="002C50EE" w:rsidRDefault="002C50EE" w:rsidP="002C50EE">
      <w:pPr>
        <w:pStyle w:val="Heading1"/>
      </w:pPr>
      <w:r>
        <w:t>10. ДАТА НА АКТУАЛИЗИРАНЕ НА ТЕКСТА</w:t>
      </w:r>
    </w:p>
    <w:bookmarkEnd w:id="0"/>
    <w:p w14:paraId="43FB38A2" w14:textId="6C7AC47F" w:rsidR="007C605B" w:rsidRPr="00A800BE" w:rsidRDefault="00A800BE" w:rsidP="00A800BE">
      <w:pPr>
        <w:rPr>
          <w:sz w:val="24"/>
          <w:szCs w:val="24"/>
        </w:rPr>
      </w:pPr>
      <w:r w:rsidRPr="00A800BE">
        <w:rPr>
          <w:lang w:eastAsia="bg-BG"/>
        </w:rPr>
        <w:t>11/2020 г.</w:t>
      </w:r>
      <w:bookmarkStart w:id="3" w:name="_GoBack"/>
      <w:bookmarkEnd w:id="3"/>
    </w:p>
    <w:sectPr w:rsidR="007C605B" w:rsidRPr="00A8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AB0EF4"/>
    <w:multiLevelType w:val="hybridMultilevel"/>
    <w:tmpl w:val="AC6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605BC4"/>
    <w:multiLevelType w:val="hybridMultilevel"/>
    <w:tmpl w:val="8F7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5D4776C"/>
    <w:multiLevelType w:val="hybridMultilevel"/>
    <w:tmpl w:val="639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62633"/>
    <w:multiLevelType w:val="hybridMultilevel"/>
    <w:tmpl w:val="33D00E7C"/>
    <w:lvl w:ilvl="0" w:tplc="684812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03965"/>
    <w:multiLevelType w:val="hybridMultilevel"/>
    <w:tmpl w:val="FFB6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83BDD"/>
    <w:multiLevelType w:val="hybridMultilevel"/>
    <w:tmpl w:val="8C02B2B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7" w15:restartNumberingAfterBreak="0">
    <w:nsid w:val="7FBA5A9A"/>
    <w:multiLevelType w:val="hybridMultilevel"/>
    <w:tmpl w:val="421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5"/>
  </w:num>
  <w:num w:numId="11">
    <w:abstractNumId w:val="33"/>
  </w:num>
  <w:num w:numId="12">
    <w:abstractNumId w:val="17"/>
  </w:num>
  <w:num w:numId="13">
    <w:abstractNumId w:val="22"/>
  </w:num>
  <w:num w:numId="14">
    <w:abstractNumId w:val="14"/>
  </w:num>
  <w:num w:numId="15">
    <w:abstractNumId w:val="32"/>
  </w:num>
  <w:num w:numId="16">
    <w:abstractNumId w:val="11"/>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5"/>
  </w:num>
  <w:num w:numId="28">
    <w:abstractNumId w:val="8"/>
  </w:num>
  <w:num w:numId="29">
    <w:abstractNumId w:val="23"/>
  </w:num>
  <w:num w:numId="30">
    <w:abstractNumId w:val="36"/>
  </w:num>
  <w:num w:numId="31">
    <w:abstractNumId w:val="7"/>
  </w:num>
  <w:num w:numId="32">
    <w:abstractNumId w:val="4"/>
  </w:num>
  <w:num w:numId="33">
    <w:abstractNumId w:val="37"/>
  </w:num>
  <w:num w:numId="34">
    <w:abstractNumId w:val="6"/>
  </w:num>
  <w:num w:numId="35">
    <w:abstractNumId w:val="16"/>
  </w:num>
  <w:num w:numId="36">
    <w:abstractNumId w:val="34"/>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800BE"/>
    <w:rsid w:val="00AA23EC"/>
    <w:rsid w:val="00AC63CE"/>
    <w:rsid w:val="00AE2107"/>
    <w:rsid w:val="00B275A8"/>
    <w:rsid w:val="00B868F9"/>
    <w:rsid w:val="00BF2600"/>
    <w:rsid w:val="00C0049F"/>
    <w:rsid w:val="00C07B84"/>
    <w:rsid w:val="00C33464"/>
    <w:rsid w:val="00C809A7"/>
    <w:rsid w:val="00C83063"/>
    <w:rsid w:val="00C87E90"/>
    <w:rsid w:val="00CA1B57"/>
    <w:rsid w:val="00D86297"/>
    <w:rsid w:val="00DD466D"/>
    <w:rsid w:val="00EB6364"/>
    <w:rsid w:val="00F37B64"/>
    <w:rsid w:val="00F925CB"/>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5859</Words>
  <Characters>33402</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2022-01-17T17:51:00Z</dcterms:created>
  <dcterms:modified xsi:type="dcterms:W3CDTF">2022-01-17T17:51:00Z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