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41F9E092" w:rsidR="009F77A4" w:rsidRDefault="00DD466D" w:rsidP="00387A66">
      <w:pPr>
        <w:pStyle w:val="Heading1"/>
      </w:pPr>
      <w:r>
        <w:t>1.ИМЕ НА ЛЕКАРСТВЕНИЯ ПРОДУКТ</w:t>
      </w:r>
    </w:p>
    <w:p w14:paraId="2A2905FA" w14:textId="02D6FF7F" w:rsidR="00C40A4D" w:rsidRDefault="00C40A4D" w:rsidP="00C40A4D"/>
    <w:p w14:paraId="16360BAA" w14:textId="77777777" w:rsidR="00C40A4D" w:rsidRPr="00C40A4D" w:rsidRDefault="00C40A4D" w:rsidP="00C40A4D">
      <w:pPr>
        <w:rPr>
          <w:sz w:val="24"/>
          <w:szCs w:val="24"/>
          <w:lang w:val="en-US" w:eastAsia="bg-BG"/>
        </w:rPr>
      </w:pPr>
      <w:r w:rsidRPr="00C40A4D">
        <w:rPr>
          <w:lang w:eastAsia="bg-BG"/>
        </w:rPr>
        <w:t xml:space="preserve">Лифурокс 250 </w:t>
      </w:r>
      <w:r w:rsidRPr="00C40A4D">
        <w:rPr>
          <w:lang w:val="en-US"/>
        </w:rPr>
        <w:t xml:space="preserve">mg </w:t>
      </w:r>
      <w:r w:rsidRPr="00C40A4D">
        <w:rPr>
          <w:lang w:eastAsia="bg-BG"/>
        </w:rPr>
        <w:t>филмирани таблетки</w:t>
      </w:r>
    </w:p>
    <w:p w14:paraId="326A3EBE" w14:textId="77777777" w:rsidR="00C40A4D" w:rsidRPr="00C40A4D" w:rsidRDefault="00C40A4D" w:rsidP="00C40A4D">
      <w:pPr>
        <w:rPr>
          <w:sz w:val="24"/>
          <w:szCs w:val="24"/>
          <w:lang w:val="en-US" w:eastAsia="bg-BG"/>
        </w:rPr>
      </w:pPr>
      <w:r w:rsidRPr="00C40A4D">
        <w:rPr>
          <w:lang w:eastAsia="bg-BG"/>
        </w:rPr>
        <w:t xml:space="preserve">Лифурокс 500 </w:t>
      </w:r>
      <w:r w:rsidRPr="00C40A4D">
        <w:rPr>
          <w:lang w:val="en-US"/>
        </w:rPr>
        <w:t xml:space="preserve">mg </w:t>
      </w:r>
      <w:r w:rsidRPr="00C40A4D">
        <w:rPr>
          <w:lang w:eastAsia="bg-BG"/>
        </w:rPr>
        <w:t>филмирани таблетки</w:t>
      </w:r>
    </w:p>
    <w:p w14:paraId="2662E380" w14:textId="77777777" w:rsidR="00C40A4D" w:rsidRDefault="00C40A4D" w:rsidP="00C40A4D">
      <w:pPr>
        <w:rPr>
          <w:lang w:val="en-US"/>
        </w:rPr>
      </w:pPr>
      <w:proofErr w:type="spellStart"/>
      <w:r w:rsidRPr="00C40A4D">
        <w:rPr>
          <w:lang w:val="en-US"/>
        </w:rPr>
        <w:t>Lifurox</w:t>
      </w:r>
      <w:proofErr w:type="spellEnd"/>
      <w:r w:rsidRPr="00C40A4D">
        <w:rPr>
          <w:lang w:val="en-US"/>
        </w:rPr>
        <w:t xml:space="preserve"> 250mg film-coated tablets</w:t>
      </w:r>
    </w:p>
    <w:p w14:paraId="30F5CB87" w14:textId="3ABE7393" w:rsidR="00C40A4D" w:rsidRPr="00C40A4D" w:rsidRDefault="00C40A4D" w:rsidP="00C40A4D">
      <w:pPr>
        <w:rPr>
          <w:sz w:val="24"/>
          <w:szCs w:val="24"/>
          <w:lang w:val="en-US" w:eastAsia="bg-BG"/>
        </w:rPr>
      </w:pPr>
      <w:proofErr w:type="spellStart"/>
      <w:r w:rsidRPr="00C40A4D">
        <w:rPr>
          <w:lang w:val="en-US"/>
        </w:rPr>
        <w:t>Lifurox</w:t>
      </w:r>
      <w:proofErr w:type="spellEnd"/>
      <w:r w:rsidRPr="00C40A4D">
        <w:rPr>
          <w:lang w:val="en-US"/>
        </w:rPr>
        <w:t xml:space="preserve"> 500mg film-coated tablets</w:t>
      </w:r>
    </w:p>
    <w:p w14:paraId="0D145D0B" w14:textId="77777777" w:rsidR="00C40A4D" w:rsidRPr="00C40A4D" w:rsidRDefault="00C40A4D" w:rsidP="00C40A4D"/>
    <w:p w14:paraId="0DF202EC" w14:textId="3764B295" w:rsidR="00F53FB7" w:rsidRDefault="00DD466D" w:rsidP="00A93499">
      <w:pPr>
        <w:pStyle w:val="Heading1"/>
      </w:pPr>
      <w:r>
        <w:t>2. КАЧЕСТВЕН И КОЛИЧЕСТВЕН СЪСТАВ</w:t>
      </w:r>
    </w:p>
    <w:p w14:paraId="2D23D25A" w14:textId="52498077" w:rsidR="00C40A4D" w:rsidRDefault="00C40A4D" w:rsidP="00C40A4D"/>
    <w:p w14:paraId="36A30168" w14:textId="77777777" w:rsidR="00C40A4D" w:rsidRPr="00C40A4D" w:rsidRDefault="00C40A4D" w:rsidP="00C40A4D">
      <w:pPr>
        <w:rPr>
          <w:sz w:val="24"/>
          <w:szCs w:val="24"/>
          <w:lang w:eastAsia="bg-BG"/>
        </w:rPr>
      </w:pPr>
      <w:r w:rsidRPr="00C40A4D">
        <w:rPr>
          <w:lang w:eastAsia="bg-BG"/>
        </w:rPr>
        <w:t xml:space="preserve">Всяка филмирана таблетка съдържа 250 </w:t>
      </w:r>
      <w:r w:rsidRPr="00C40A4D">
        <w:rPr>
          <w:lang w:val="en-US"/>
        </w:rPr>
        <w:t xml:space="preserve">mg </w:t>
      </w:r>
      <w:r w:rsidRPr="00C40A4D">
        <w:rPr>
          <w:lang w:eastAsia="bg-BG"/>
        </w:rPr>
        <w:t xml:space="preserve">или 500 </w:t>
      </w:r>
      <w:r w:rsidRPr="00C40A4D">
        <w:rPr>
          <w:lang w:val="en-US"/>
        </w:rPr>
        <w:t xml:space="preserve">mg </w:t>
      </w:r>
      <w:r w:rsidRPr="00C40A4D">
        <w:rPr>
          <w:lang w:eastAsia="bg-BG"/>
        </w:rPr>
        <w:t xml:space="preserve">цефуроксим </w:t>
      </w:r>
      <w:r w:rsidRPr="00C40A4D">
        <w:rPr>
          <w:i/>
          <w:iCs/>
          <w:lang w:val="en-US"/>
        </w:rPr>
        <w:t>(cefuroxime)</w:t>
      </w:r>
      <w:r w:rsidRPr="00C40A4D">
        <w:rPr>
          <w:lang w:val="en-US"/>
        </w:rPr>
        <w:t xml:space="preserve"> </w:t>
      </w:r>
      <w:r w:rsidRPr="00C40A4D">
        <w:rPr>
          <w:lang w:eastAsia="bg-BG"/>
        </w:rPr>
        <w:t>под формата на цефуроксим аксетил.</w:t>
      </w:r>
    </w:p>
    <w:p w14:paraId="68D230CA" w14:textId="77777777" w:rsidR="00C40A4D" w:rsidRPr="00C40A4D" w:rsidRDefault="00C40A4D" w:rsidP="00C40A4D"/>
    <w:p w14:paraId="4CABB9ED" w14:textId="3C2380D6" w:rsidR="00F53FB7" w:rsidRDefault="00DD466D" w:rsidP="00A93499">
      <w:pPr>
        <w:pStyle w:val="Heading1"/>
      </w:pPr>
      <w:r>
        <w:t>3. ЛЕКАРСТВЕНА ФОРМА</w:t>
      </w:r>
    </w:p>
    <w:p w14:paraId="39126E48" w14:textId="131D8026" w:rsidR="00C40A4D" w:rsidRDefault="00C40A4D" w:rsidP="00C40A4D"/>
    <w:p w14:paraId="6DC9E9EC" w14:textId="2ACBC173" w:rsidR="00C40A4D" w:rsidRPr="00C40A4D" w:rsidRDefault="00C40A4D" w:rsidP="00C40A4D">
      <w:pPr>
        <w:rPr>
          <w:sz w:val="24"/>
          <w:szCs w:val="24"/>
          <w:lang w:eastAsia="bg-BG"/>
        </w:rPr>
      </w:pPr>
      <w:r w:rsidRPr="00C40A4D">
        <w:rPr>
          <w:lang w:eastAsia="bg-BG"/>
        </w:rPr>
        <w:t>Филмирана таблетка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17520ED1" w:rsidR="009F77A4" w:rsidRDefault="002C50EE" w:rsidP="00387A66">
      <w:pPr>
        <w:pStyle w:val="Heading2"/>
      </w:pPr>
      <w:r>
        <w:t>4.1. Терапевтични показания</w:t>
      </w:r>
    </w:p>
    <w:p w14:paraId="420F3567" w14:textId="5C808336" w:rsidR="00C40A4D" w:rsidRDefault="00C40A4D" w:rsidP="00C40A4D"/>
    <w:p w14:paraId="016A5A92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Цефуроксим аксетил е показан за лечение на инфекции, причинени от чувствителни бактерии: </w:t>
      </w:r>
    </w:p>
    <w:p w14:paraId="68978570" w14:textId="77777777" w:rsidR="00C40A4D" w:rsidRPr="00C40A4D" w:rsidRDefault="00C40A4D" w:rsidP="00C40A4D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Инфекции на долните дихателни пътища</w:t>
      </w:r>
      <w:r w:rsidRPr="00C40A4D">
        <w:rPr>
          <w:rFonts w:eastAsia="Times New Roman" w:cs="Arial"/>
          <w:color w:val="000000"/>
          <w:lang w:eastAsia="bg-BG"/>
        </w:rPr>
        <w:t xml:space="preserve"> (напр. остър бронхит, хроничен бронхит във фаза на обостряне и пневмония)</w:t>
      </w:r>
    </w:p>
    <w:p w14:paraId="29FC3A56" w14:textId="77777777" w:rsidR="00C40A4D" w:rsidRPr="00C40A4D" w:rsidRDefault="00C40A4D" w:rsidP="00C40A4D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Инфекции на горните дихателни пътища</w:t>
      </w:r>
      <w:r w:rsidRPr="00C40A4D">
        <w:rPr>
          <w:rFonts w:eastAsia="Times New Roman" w:cs="Arial"/>
          <w:color w:val="000000"/>
          <w:lang w:eastAsia="bg-BG"/>
        </w:rPr>
        <w:t xml:space="preserve"> (напр. инфекции на ушите, носа и гърлото, като среден отит, синузит, тонзилит и фарингит)</w:t>
      </w:r>
    </w:p>
    <w:p w14:paraId="73297F50" w14:textId="77777777" w:rsidR="00C40A4D" w:rsidRPr="00C40A4D" w:rsidRDefault="00C40A4D" w:rsidP="00C40A4D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Инфекции на</w:t>
      </w:r>
      <w:r w:rsidRPr="00C40A4D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C40A4D">
        <w:rPr>
          <w:rFonts w:eastAsia="Times New Roman" w:cs="Arial"/>
          <w:i/>
          <w:iCs/>
          <w:color w:val="000000"/>
          <w:lang w:eastAsia="bg-BG"/>
        </w:rPr>
        <w:t>урогинеталния тракт</w:t>
      </w:r>
      <w:r w:rsidRPr="00C40A4D">
        <w:rPr>
          <w:rFonts w:eastAsia="Times New Roman" w:cs="Arial"/>
          <w:color w:val="000000"/>
          <w:lang w:eastAsia="bg-BG"/>
        </w:rPr>
        <w:t xml:space="preserve"> (напр. пиелонефрит, цистит и уретрит)</w:t>
      </w:r>
    </w:p>
    <w:p w14:paraId="2966F7AB" w14:textId="77777777" w:rsidR="00C40A4D" w:rsidRPr="00C40A4D" w:rsidRDefault="00C40A4D" w:rsidP="00C40A4D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Инфекции на кожата и меките тъкани</w:t>
      </w:r>
      <w:r w:rsidRPr="00C40A4D">
        <w:rPr>
          <w:rFonts w:eastAsia="Times New Roman" w:cs="Arial"/>
          <w:color w:val="000000"/>
          <w:lang w:eastAsia="bg-BG"/>
        </w:rPr>
        <w:t xml:space="preserve"> (напр. фурункулоза, пиодермия и импетиго)</w:t>
      </w:r>
    </w:p>
    <w:p w14:paraId="407EF21C" w14:textId="77777777" w:rsidR="00C40A4D" w:rsidRPr="00C40A4D" w:rsidRDefault="00C40A4D" w:rsidP="00C40A4D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Лечение на ранни прояви на Лаймска болест и последваща превенция на късни прояви на заболяването при възрастни и деца над 12 години</w:t>
      </w:r>
    </w:p>
    <w:p w14:paraId="2E577C4B" w14:textId="004A612F" w:rsidR="00C40A4D" w:rsidRPr="00C40A4D" w:rsidRDefault="00C40A4D" w:rsidP="00C40A4D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Гонорея:</w:t>
      </w:r>
      <w:r w:rsidRPr="00C40A4D">
        <w:rPr>
          <w:rFonts w:eastAsia="Times New Roman" w:cs="Arial"/>
          <w:color w:val="000000"/>
          <w:lang w:eastAsia="bg-BG"/>
        </w:rPr>
        <w:t xml:space="preserve"> остър гонококов уретрит без усложнения и цервицит</w:t>
      </w:r>
    </w:p>
    <w:p w14:paraId="7666A6A0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481452" w14:textId="7B047E1A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Цефуроксим се предлага и под формата на натриева сол за парентерално приложение, което позволява прилагането на последваща терапия със същия антибиотик, когато клинично се налага да се премине от парентерална към перорална терапия.</w:t>
      </w:r>
    </w:p>
    <w:p w14:paraId="0B97299D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408E25" w14:textId="5B1339A4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При подходящи условия, таблетките цефуроксим аксетил са ефективни след начална парентерална терапия с цефуроксим натрий при лечение на пневмония и хроничен бронхит във фаза на обостряне.</w:t>
      </w:r>
    </w:p>
    <w:p w14:paraId="4936A3CE" w14:textId="77777777" w:rsidR="00C40A4D" w:rsidRPr="00C40A4D" w:rsidRDefault="00C40A4D" w:rsidP="00C40A4D"/>
    <w:p w14:paraId="31744E5A" w14:textId="41242821" w:rsidR="009F77A4" w:rsidRDefault="002C50EE" w:rsidP="00387A66">
      <w:pPr>
        <w:pStyle w:val="Heading2"/>
      </w:pPr>
      <w:r>
        <w:lastRenderedPageBreak/>
        <w:t>4.2. Дозировка и начин на приложение</w:t>
      </w:r>
    </w:p>
    <w:p w14:paraId="23244764" w14:textId="41D39328" w:rsidR="00C40A4D" w:rsidRDefault="00C40A4D" w:rsidP="00C40A4D"/>
    <w:p w14:paraId="6D6D6EB1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Филмираните таблетки Лифурокс са предназначен за перорална употреба.</w:t>
      </w:r>
    </w:p>
    <w:p w14:paraId="7704D1D4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3C771C" w14:textId="39CC8B32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Дозировка при възрастни</w:t>
      </w:r>
    </w:p>
    <w:p w14:paraId="6CC13879" w14:textId="031F6CC6" w:rsidR="00C40A4D" w:rsidRPr="00C40A4D" w:rsidRDefault="00C40A4D" w:rsidP="00C40A4D">
      <w:pPr>
        <w:rPr>
          <w:rFonts w:eastAsia="Times New Roman" w:cs="Arial"/>
          <w:color w:val="000000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Голяма част от инфекциите се повлияват от 250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цефуроксим аксетил, приети два пъти дневно. При леки до средно тежки инфекции на долните дихателни пътища (напр. при бронхит), препоръчителната доза е 250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>два пъти дневно. При по-тежки инфекции на долните дихателни пътища или ако се предполага пневмония, препоръчителната доза е 500</w:t>
      </w:r>
      <w:r w:rsidRPr="00C40A4D">
        <w:rPr>
          <w:rFonts w:eastAsia="Times New Roman" w:cs="Arial"/>
          <w:color w:val="000000"/>
          <w:lang w:val="en-US"/>
        </w:rPr>
        <w:t>mg</w:t>
      </w:r>
      <w:r w:rsidRPr="00C40A4D">
        <w:rPr>
          <w:rFonts w:eastAsia="Times New Roman" w:cs="Arial"/>
          <w:color w:val="000000"/>
          <w:lang w:eastAsia="bg-BG"/>
        </w:rPr>
        <w:t xml:space="preserve"> два пъти дневно. При инфекции на отделителната система ефективната доза</w:t>
      </w:r>
      <w:r w:rsidRPr="00C40A4D"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color w:val="000000"/>
          <w:lang w:eastAsia="bg-BG"/>
        </w:rPr>
        <w:t xml:space="preserve">обикновено е 125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дневно. При пиелонефрит препоръчителната дневна доза е 250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разделена на два приема. За лечение на гонорея, която протича без усложнения, се препоръчва приложението на единична доза от един грам. При наличие на Лаймска болест дозировката при възрастни и деца над 12 години е 500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>два пъти дневно за 20 дни.</w:t>
      </w:r>
    </w:p>
    <w:p w14:paraId="679CA897" w14:textId="7FFC9FB1" w:rsidR="00C40A4D" w:rsidRPr="00C40A4D" w:rsidRDefault="00C40A4D" w:rsidP="00C40A4D">
      <w:pPr>
        <w:rPr>
          <w:rFonts w:eastAsia="Times New Roman" w:cs="Arial"/>
          <w:color w:val="000000"/>
          <w:lang w:eastAsia="bg-BG"/>
        </w:rPr>
      </w:pPr>
    </w:p>
    <w:p w14:paraId="011369E0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два пъти дневно. При инфекции на отделителната система ефективната доза обикновено е 125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дневно. При пиелонефрит препоръчителната дневна доза е 250 </w:t>
      </w:r>
      <w:r w:rsidRPr="00C40A4D">
        <w:rPr>
          <w:rFonts w:eastAsia="Times New Roman" w:cs="Arial"/>
          <w:color w:val="000000"/>
          <w:lang w:val="en-US"/>
        </w:rPr>
        <w:t xml:space="preserve">mg, </w:t>
      </w:r>
      <w:r w:rsidRPr="00C40A4D">
        <w:rPr>
          <w:rFonts w:eastAsia="Times New Roman" w:cs="Arial"/>
          <w:color w:val="000000"/>
          <w:lang w:eastAsia="bg-BG"/>
        </w:rPr>
        <w:t xml:space="preserve">разделена на два приема. За лечение на гонорея, която протича без усложнения, се препоръчва приложението на единична доза от един грам. При наличие на Лаймска болест дозировката при възрастни </w:t>
      </w:r>
      <w:r w:rsidRPr="00C40A4D">
        <w:rPr>
          <w:rFonts w:eastAsia="Times New Roman" w:cs="Arial"/>
          <w:i/>
          <w:iCs/>
          <w:color w:val="000000"/>
          <w:lang w:eastAsia="bg-BG"/>
        </w:rPr>
        <w:t xml:space="preserve">и деца над 12 години е 500 </w:t>
      </w:r>
      <w:r w:rsidRPr="00C40A4D">
        <w:rPr>
          <w:rFonts w:eastAsia="Times New Roman" w:cs="Arial"/>
          <w:i/>
          <w:iCs/>
          <w:color w:val="000000"/>
          <w:lang w:val="en-US"/>
        </w:rPr>
        <w:t xml:space="preserve">mg </w:t>
      </w:r>
      <w:r w:rsidRPr="00C40A4D">
        <w:rPr>
          <w:rFonts w:eastAsia="Times New Roman" w:cs="Arial"/>
          <w:i/>
          <w:iCs/>
          <w:color w:val="000000"/>
          <w:lang w:eastAsia="bg-BG"/>
        </w:rPr>
        <w:t>два пъти</w:t>
      </w:r>
      <w:r w:rsidRPr="00C40A4D">
        <w:rPr>
          <w:rFonts w:eastAsia="Times New Roman" w:cs="Arial"/>
          <w:color w:val="000000"/>
          <w:lang w:eastAsia="bg-BG"/>
        </w:rPr>
        <w:t xml:space="preserve"> дневно за 20 дни.</w:t>
      </w:r>
    </w:p>
    <w:p w14:paraId="11218F48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D16EF2" w14:textId="0EF2BBF6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Преминаване от парентерално към перорално приложение</w:t>
      </w:r>
    </w:p>
    <w:p w14:paraId="534477D9" w14:textId="77777777" w:rsidR="00C40A4D" w:rsidRPr="00C40A4D" w:rsidRDefault="00C40A4D" w:rsidP="00C40A4D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Пневмония:</w:t>
      </w:r>
      <w:r w:rsidRPr="00C40A4D">
        <w:rPr>
          <w:rFonts w:eastAsia="Times New Roman" w:cs="Arial"/>
          <w:color w:val="000000"/>
          <w:lang w:eastAsia="bg-BG"/>
        </w:rPr>
        <w:t xml:space="preserve"> 1,5 </w:t>
      </w:r>
      <w:r w:rsidRPr="00C40A4D">
        <w:rPr>
          <w:rFonts w:eastAsia="Times New Roman" w:cs="Arial"/>
          <w:color w:val="000000"/>
          <w:lang w:val="en-US"/>
        </w:rPr>
        <w:t xml:space="preserve">g </w:t>
      </w:r>
      <w:r w:rsidRPr="00C40A4D">
        <w:rPr>
          <w:rFonts w:eastAsia="Times New Roman" w:cs="Arial"/>
          <w:color w:val="000000"/>
          <w:lang w:eastAsia="bg-BG"/>
        </w:rPr>
        <w:t xml:space="preserve">инжекционен цефуроксим натрий </w:t>
      </w:r>
      <w:r w:rsidRPr="00C40A4D">
        <w:rPr>
          <w:rFonts w:eastAsia="Times New Roman" w:cs="Arial"/>
          <w:color w:val="000000"/>
          <w:lang w:val="en-US"/>
        </w:rPr>
        <w:t xml:space="preserve">(IM/IV)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 за период от 48-72 часа, последвано от перорален прием на 500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>цефуроксим аксетил таблетки два пъти дневно за 7 дни.</w:t>
      </w:r>
    </w:p>
    <w:p w14:paraId="7BC0C710" w14:textId="56353BD0" w:rsidR="00C40A4D" w:rsidRPr="00C40A4D" w:rsidRDefault="00C40A4D" w:rsidP="00C40A4D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Хроничен бронхит във фаза на обостряне:</w:t>
      </w:r>
      <w:r w:rsidRPr="00C40A4D">
        <w:rPr>
          <w:rFonts w:eastAsia="Times New Roman" w:cs="Arial"/>
          <w:color w:val="000000"/>
          <w:lang w:eastAsia="bg-BG"/>
        </w:rPr>
        <w:t xml:space="preserve"> 750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инжекционен цефуроксим натрий </w:t>
      </w:r>
      <w:r w:rsidRPr="00C40A4D">
        <w:rPr>
          <w:rFonts w:eastAsia="Times New Roman" w:cs="Arial"/>
          <w:color w:val="000000"/>
          <w:lang w:val="en-US"/>
        </w:rPr>
        <w:t xml:space="preserve">(IM/IV)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 за период от 48-72 часа, последвано от перорален прием на 500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>цефуроксим аксетил таблетки два пъти дневно за 5-7 дни.</w:t>
      </w:r>
    </w:p>
    <w:p w14:paraId="6D0403B7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A1B6DC" w14:textId="04B69F25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Продължителността както на парентералната, така и на пероралната терапия, се определя от тежестта на инфекцията и от състоянието на пациента.</w:t>
      </w:r>
    </w:p>
    <w:p w14:paraId="3F537AE9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FF0EE1D" w14:textId="4E0F62F0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Дозировка при дена</w:t>
      </w:r>
    </w:p>
    <w:p w14:paraId="48EBA05B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Обичайната доза е 125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дневно, като максималната доза е 250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дневно. Обичайната доза за деца под 2 годишна възраст е 125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 или 10 </w:t>
      </w:r>
      <w:r w:rsidRPr="00C40A4D">
        <w:rPr>
          <w:rFonts w:eastAsia="Times New Roman" w:cs="Arial"/>
          <w:color w:val="000000"/>
          <w:lang w:val="en-US"/>
        </w:rPr>
        <w:t xml:space="preserve">mg/kg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дневно, като максималната доза е 250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дневно, а при деца над 2 години - 250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 или 15 </w:t>
      </w:r>
      <w:r w:rsidRPr="00C40A4D">
        <w:rPr>
          <w:rFonts w:eastAsia="Times New Roman" w:cs="Arial"/>
          <w:color w:val="000000"/>
          <w:lang w:val="en-US"/>
        </w:rPr>
        <w:t xml:space="preserve">mg/kg </w:t>
      </w:r>
      <w:r w:rsidRPr="00C40A4D">
        <w:rPr>
          <w:rFonts w:eastAsia="Times New Roman" w:cs="Arial"/>
          <w:color w:val="000000"/>
          <w:lang w:eastAsia="bg-BG"/>
        </w:rPr>
        <w:t xml:space="preserve">два пъти дневно, като максималната доза е 500 </w:t>
      </w:r>
      <w:r w:rsidRPr="00C40A4D">
        <w:rPr>
          <w:rFonts w:eastAsia="Times New Roman" w:cs="Arial"/>
          <w:color w:val="000000"/>
          <w:lang w:val="en-US"/>
        </w:rPr>
        <w:t xml:space="preserve">mg </w:t>
      </w:r>
      <w:r w:rsidRPr="00C40A4D">
        <w:rPr>
          <w:rFonts w:eastAsia="Times New Roman" w:cs="Arial"/>
          <w:color w:val="000000"/>
          <w:lang w:eastAsia="bg-BG"/>
        </w:rPr>
        <w:t>на ден.</w:t>
      </w:r>
    </w:p>
    <w:p w14:paraId="1273AA63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Няма клинични данни за безопасна употребата на цефуроксим при деца под 3 месечна възраст.</w:t>
      </w:r>
    </w:p>
    <w:p w14:paraId="73E07130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5C5DF2" w14:textId="009F21CD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Пациенти в напреднала възраст и пациенти с бъбречни увреждания</w:t>
      </w:r>
    </w:p>
    <w:p w14:paraId="448CFFC7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Не са необходими специални предпазни мерки при пациенти с бъбречни увреждания или при такива на хемодиализа, както и при пациенти в напреднала възраст, в случай че дневната доза не надхвърля 1 </w:t>
      </w:r>
      <w:r w:rsidRPr="00C40A4D">
        <w:rPr>
          <w:rFonts w:eastAsia="Times New Roman" w:cs="Arial"/>
          <w:color w:val="000000"/>
          <w:lang w:val="en-US"/>
        </w:rPr>
        <w:t>g.</w:t>
      </w:r>
    </w:p>
    <w:p w14:paraId="6D10E62D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3D60AA" w14:textId="046335BA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Обичайната продължителност на терапията е седем дни.</w:t>
      </w:r>
    </w:p>
    <w:p w14:paraId="141BFFD7" w14:textId="77777777" w:rsidR="00C40A4D" w:rsidRDefault="00C40A4D" w:rsidP="00C40A4D">
      <w:pPr>
        <w:rPr>
          <w:rFonts w:eastAsia="Times New Roman" w:cs="Arial"/>
          <w:color w:val="000000"/>
          <w:lang w:eastAsia="bg-BG"/>
        </w:rPr>
      </w:pPr>
    </w:p>
    <w:p w14:paraId="72535CE3" w14:textId="5BEDD7CA" w:rsidR="00C40A4D" w:rsidRDefault="00C40A4D" w:rsidP="00C40A4D">
      <w:pPr>
        <w:rPr>
          <w:rFonts w:eastAsia="Times New Roman" w:cs="Arial"/>
          <w:color w:val="000000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lastRenderedPageBreak/>
        <w:t>Препоръчва се приемът на лекарството след хранене за постигане на оптимална резорбция.</w:t>
      </w:r>
    </w:p>
    <w:p w14:paraId="4E7C5379" w14:textId="77777777" w:rsidR="00C40A4D" w:rsidRPr="00C40A4D" w:rsidRDefault="00C40A4D" w:rsidP="00C40A4D">
      <w:pPr>
        <w:rPr>
          <w:rFonts w:eastAsia="Times New Roman" w:cs="Arial"/>
          <w:color w:val="000000"/>
          <w:lang w:eastAsia="bg-BG"/>
        </w:rPr>
      </w:pPr>
    </w:p>
    <w:p w14:paraId="5D9E65DA" w14:textId="129B22CD" w:rsidR="009F77A4" w:rsidRDefault="002C50EE" w:rsidP="00387A66">
      <w:pPr>
        <w:pStyle w:val="Heading2"/>
      </w:pPr>
      <w:r>
        <w:t>4.3. Противопоказания</w:t>
      </w:r>
    </w:p>
    <w:p w14:paraId="6492BDC8" w14:textId="6C877B0B" w:rsidR="00C40A4D" w:rsidRDefault="00C40A4D" w:rsidP="00C40A4D"/>
    <w:p w14:paraId="43CB795A" w14:textId="77777777" w:rsidR="00C40A4D" w:rsidRPr="00C40A4D" w:rsidRDefault="00C40A4D" w:rsidP="00C40A4D">
      <w:pPr>
        <w:rPr>
          <w:sz w:val="24"/>
          <w:szCs w:val="24"/>
          <w:lang w:eastAsia="bg-BG"/>
        </w:rPr>
      </w:pPr>
      <w:r w:rsidRPr="00C40A4D">
        <w:rPr>
          <w:lang w:eastAsia="bg-BG"/>
        </w:rPr>
        <w:t>Не се препоръчва приемането на филмираните таблетки при свръхчувствителност към цефалоспоринови антибиотици, в това число и към цефуроксим или към някое от помощните вещества.</w:t>
      </w:r>
    </w:p>
    <w:p w14:paraId="23E607B0" w14:textId="77777777" w:rsidR="00C40A4D" w:rsidRPr="00C40A4D" w:rsidRDefault="00C40A4D" w:rsidP="00C40A4D"/>
    <w:p w14:paraId="1C27CE53" w14:textId="454D941B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4C37AD78" w14:textId="203A22CC" w:rsidR="00C40A4D" w:rsidRDefault="00C40A4D" w:rsidP="00C40A4D"/>
    <w:p w14:paraId="7148F40E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Необходимо е да се подхожда с повишено внимание при пациенти с анамнеза за алергична реакция към пеницилинови или други бета-лактамни антибиотици.</w:t>
      </w:r>
    </w:p>
    <w:p w14:paraId="416D4ECD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C7A28B" w14:textId="6FD7B5FB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Както при всички антибиотици, продължителната употреба на цефуроксим натрий може да доведе до сврьхрастеж на резистентни микроорганизми (напр. </w:t>
      </w:r>
      <w:r w:rsidRPr="00C40A4D">
        <w:rPr>
          <w:rFonts w:eastAsia="Times New Roman" w:cs="Arial"/>
          <w:i/>
          <w:iCs/>
          <w:color w:val="000000"/>
          <w:lang w:val="en-US"/>
        </w:rPr>
        <w:t>Candida, Enterococci, Clostridium difficile),</w:t>
      </w:r>
      <w:r w:rsidRPr="00C40A4D"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color w:val="000000"/>
          <w:lang w:eastAsia="bg-BG"/>
        </w:rPr>
        <w:t>което може да наложи спиране на терапията. При употребата на широкоспектърни антибиотици, се съобщава за развитие на псевдомембранозен колит, поради което при прояви на тежка диария по време и след употребата на антибиотик, възможността за развитие на това заболяване трябва да се вземе предвид.</w:t>
      </w:r>
    </w:p>
    <w:p w14:paraId="287D73FF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B35FE1" w14:textId="199FF4C2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Препоръчва се, при пациентите, приемащи Лифурокс, за определяне на кръвната захар да се използват глюкозо-оксвдазни или хексокиназни методи. Този антибиотик не влияе върху алкално-пикратния метод за определяне на креатинин.</w:t>
      </w:r>
    </w:p>
    <w:p w14:paraId="7EB89B21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DA7D08" w14:textId="77777777" w:rsidR="00C40A4D" w:rsidRPr="00C40A4D" w:rsidRDefault="00C40A4D" w:rsidP="00C40A4D">
      <w:pPr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След употреба на Лифурокс за лечение на Лаймска болест, се съобщава за развитието на</w:t>
      </w:r>
      <w:r>
        <w:rPr>
          <w:rFonts w:eastAsia="Times New Roman" w:cs="Arial"/>
          <w:lang w:val="en-US" w:eastAsia="bg-BG"/>
        </w:rPr>
        <w:t xml:space="preserve"> </w:t>
      </w:r>
      <w:proofErr w:type="spellStart"/>
      <w:r w:rsidRPr="00C40A4D">
        <w:rPr>
          <w:rFonts w:eastAsia="Times New Roman" w:cs="Arial"/>
          <w:color w:val="000000"/>
          <w:lang w:val="en-US"/>
        </w:rPr>
        <w:t>Jariseh-Herxheimer</w:t>
      </w:r>
      <w:proofErr w:type="spellEnd"/>
      <w:r w:rsidRPr="00C40A4D"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color w:val="000000"/>
          <w:lang w:eastAsia="bg-BG"/>
        </w:rPr>
        <w:t xml:space="preserve">реакция. Тази реакция </w:t>
      </w:r>
      <w:r w:rsidRPr="00C40A4D">
        <w:rPr>
          <w:rFonts w:eastAsia="Times New Roman" w:cs="Arial"/>
          <w:i/>
          <w:iCs/>
          <w:color w:val="000000"/>
          <w:lang w:eastAsia="bg-BG"/>
        </w:rPr>
        <w:t>е</w:t>
      </w:r>
      <w:r w:rsidRPr="00C40A4D">
        <w:rPr>
          <w:rFonts w:eastAsia="Times New Roman" w:cs="Arial"/>
          <w:color w:val="000000"/>
          <w:lang w:eastAsia="bg-BG"/>
        </w:rPr>
        <w:t xml:space="preserve"> резултат от бактерицидния ефкт на </w:t>
      </w:r>
      <w:r w:rsidRPr="00C40A4D">
        <w:rPr>
          <w:rFonts w:eastAsia="Times New Roman" w:cs="Arial"/>
          <w:color w:val="000000"/>
          <w:lang w:val="en-US"/>
        </w:rPr>
        <w:t>cefuroxime</w:t>
      </w:r>
      <w:r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color w:val="000000"/>
          <w:lang w:eastAsia="bg-BG"/>
        </w:rPr>
        <w:t xml:space="preserve">аксетил таблетките спрямо причинителя на заболяването - спирохетата </w:t>
      </w:r>
      <w:r w:rsidRPr="00C40A4D">
        <w:rPr>
          <w:rFonts w:eastAsia="Times New Roman" w:cs="Arial"/>
          <w:i/>
          <w:iCs/>
          <w:color w:val="000000"/>
          <w:lang w:val="en-US"/>
        </w:rPr>
        <w:t xml:space="preserve">Borrelia burgdorferi. </w:t>
      </w:r>
      <w:r w:rsidRPr="00C40A4D">
        <w:rPr>
          <w:rFonts w:eastAsia="Times New Roman" w:cs="Arial"/>
          <w:color w:val="000000"/>
          <w:lang w:eastAsia="bg-BG"/>
        </w:rPr>
        <w:t>Пациентите трябва да бъдат уверени, че това е често срещано и самоограничаващо се последствие от лечението на Лаймска болест с антибиотици.</w:t>
      </w:r>
    </w:p>
    <w:p w14:paraId="371F92BE" w14:textId="77777777" w:rsidR="00C40A4D" w:rsidRDefault="00C40A4D" w:rsidP="00C40A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FB92D1" w14:textId="2C22338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Решението за преминаване от перорална към парантерална терапия се взема въз основа на тежестта на заболяването, състоянието на пациета и чувствителността на патогенния микроорганизъм. Моля, обърнете внимание на съответната информация за цефуроксим натрий, преди започване на последваща терапия.</w:t>
      </w:r>
    </w:p>
    <w:p w14:paraId="272C2424" w14:textId="77777777" w:rsidR="00C40A4D" w:rsidRDefault="00C40A4D" w:rsidP="00C40A4D"/>
    <w:p w14:paraId="1DA47448" w14:textId="514D4E8D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DCB54A9" w14:textId="1C7B9E47" w:rsidR="00C40A4D" w:rsidRDefault="00C40A4D" w:rsidP="00C40A4D"/>
    <w:p w14:paraId="348896FE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Съвместната употреба на пробенецид увеличава площта под кривата, отразяваща плазмените концентрации на цефуроксим като функция от времето, с 50 %. Серумните нива на цефуроксим се понижават чрез диализа.</w:t>
      </w:r>
    </w:p>
    <w:p w14:paraId="2D4280E0" w14:textId="77777777" w:rsidR="00C40A4D" w:rsidRDefault="00C40A4D" w:rsidP="00C40A4D">
      <w:pPr>
        <w:rPr>
          <w:rFonts w:eastAsia="Times New Roman" w:cs="Arial"/>
          <w:color w:val="000000"/>
          <w:lang w:eastAsia="bg-BG"/>
        </w:rPr>
      </w:pPr>
    </w:p>
    <w:p w14:paraId="4D73DD30" w14:textId="0F3A59AE" w:rsidR="00C40A4D" w:rsidRDefault="00C40A4D" w:rsidP="00C40A4D">
      <w:pPr>
        <w:rPr>
          <w:rFonts w:eastAsia="Times New Roman" w:cs="Arial"/>
          <w:color w:val="000000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 xml:space="preserve">При лечение с цефалоспорини се съобщава за позитивен тест на </w:t>
      </w:r>
      <w:r w:rsidRPr="00C40A4D">
        <w:rPr>
          <w:rFonts w:eastAsia="Times New Roman" w:cs="Arial"/>
          <w:color w:val="000000"/>
          <w:lang w:val="en-US"/>
        </w:rPr>
        <w:t xml:space="preserve">Coombs, </w:t>
      </w:r>
      <w:r w:rsidRPr="00C40A4D">
        <w:rPr>
          <w:rFonts w:eastAsia="Times New Roman" w:cs="Arial"/>
          <w:color w:val="000000"/>
          <w:lang w:eastAsia="bg-BG"/>
        </w:rPr>
        <w:t>което може да повлияе върху кръстосаната проба за съвместимост при кръвопреливане.</w:t>
      </w:r>
    </w:p>
    <w:p w14:paraId="4C8F11A5" w14:textId="77777777" w:rsidR="00C40A4D" w:rsidRPr="00C40A4D" w:rsidRDefault="00C40A4D" w:rsidP="00C40A4D">
      <w:pPr>
        <w:rPr>
          <w:rFonts w:cs="Arial"/>
        </w:rPr>
      </w:pPr>
    </w:p>
    <w:p w14:paraId="48846BBA" w14:textId="21E76398" w:rsidR="009F77A4" w:rsidRDefault="002C50EE" w:rsidP="00387A66">
      <w:pPr>
        <w:pStyle w:val="Heading2"/>
      </w:pPr>
      <w:r>
        <w:lastRenderedPageBreak/>
        <w:t>4.6. Фертилитет, бременност и кърмене</w:t>
      </w:r>
    </w:p>
    <w:p w14:paraId="44E48E78" w14:textId="77777777" w:rsidR="00C40A4D" w:rsidRPr="00C40A4D" w:rsidRDefault="00C40A4D" w:rsidP="00C40A4D"/>
    <w:p w14:paraId="26684FDA" w14:textId="77777777" w:rsidR="00C40A4D" w:rsidRPr="00C40A4D" w:rsidRDefault="00C40A4D" w:rsidP="00C40A4D">
      <w:pPr>
        <w:rPr>
          <w:sz w:val="24"/>
          <w:szCs w:val="24"/>
          <w:lang w:eastAsia="bg-BG"/>
        </w:rPr>
      </w:pPr>
      <w:r w:rsidRPr="00C40A4D">
        <w:rPr>
          <w:lang w:eastAsia="bg-BG"/>
        </w:rPr>
        <w:t>Няма експериментални доказателства за ембриопатични или тератогенни ефекти, дължащи се на употребата на цефуроксим аксетил, но както при всички лекарства, е необходимо да се прилага с повишено внимание през първите месеци на бременността. Цефуроксим се екскретира в кърмата, следователно употребата му при кърмещи майки трябва да се извършва внимателно.</w:t>
      </w:r>
    </w:p>
    <w:p w14:paraId="7B41AF1A" w14:textId="77777777" w:rsidR="00C40A4D" w:rsidRPr="00C40A4D" w:rsidRDefault="00C40A4D" w:rsidP="00C40A4D"/>
    <w:p w14:paraId="321AAB00" w14:textId="50AFD630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04B8E06F" w14:textId="4386B281" w:rsidR="00C40A4D" w:rsidRDefault="00C40A4D" w:rsidP="00C40A4D"/>
    <w:p w14:paraId="217AD0D6" w14:textId="0A0F4064" w:rsidR="00C40A4D" w:rsidRDefault="00C40A4D" w:rsidP="00C40A4D">
      <w:pPr>
        <w:rPr>
          <w:lang w:eastAsia="bg-BG"/>
        </w:rPr>
      </w:pPr>
      <w:r w:rsidRPr="00C40A4D">
        <w:rPr>
          <w:lang w:eastAsia="bg-BG"/>
        </w:rPr>
        <w:t>Няма установени.</w:t>
      </w:r>
    </w:p>
    <w:p w14:paraId="0625E864" w14:textId="77777777" w:rsidR="00C40A4D" w:rsidRPr="00C40A4D" w:rsidRDefault="00C40A4D" w:rsidP="00C40A4D">
      <w:pPr>
        <w:rPr>
          <w:sz w:val="24"/>
          <w:szCs w:val="24"/>
          <w:lang w:eastAsia="bg-BG"/>
        </w:rPr>
      </w:pPr>
    </w:p>
    <w:p w14:paraId="136C86B8" w14:textId="7750F04F" w:rsidR="009F77A4" w:rsidRDefault="002C50EE" w:rsidP="00387A66">
      <w:pPr>
        <w:pStyle w:val="Heading2"/>
      </w:pPr>
      <w:r>
        <w:t>4.8. Нежелани лекарствени реакции</w:t>
      </w:r>
    </w:p>
    <w:p w14:paraId="771FF870" w14:textId="208AD6B4" w:rsidR="00C40A4D" w:rsidRDefault="00C40A4D" w:rsidP="00C40A4D"/>
    <w:p w14:paraId="168A5F27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Нежеланите лекарствени реакции към цефуроксим аксетил като цяло са леки.</w:t>
      </w:r>
    </w:p>
    <w:p w14:paraId="55710D25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t>Честотата им е дефинирана като: много чести (≥ 1/10), чести (≥1/100, &lt;1/10), нечести (≥1/1000, &lt;1/100), редки (≥1/10000, &lt;1/1000), много редки (&lt;1/10000), включително и изолирани случаи.</w:t>
      </w:r>
    </w:p>
    <w:p w14:paraId="2E9C1278" w14:textId="77777777" w:rsidR="00C40A4D" w:rsidRDefault="00C40A4D" w:rsidP="00C40A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D122433" w14:textId="342FF378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Нарушения на кръвта и лимфната система</w:t>
      </w:r>
    </w:p>
    <w:p w14:paraId="2803AB5F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Чести:</w:t>
      </w:r>
      <w:r w:rsidRPr="00C40A4D">
        <w:rPr>
          <w:rFonts w:eastAsia="Times New Roman" w:cs="Arial"/>
          <w:color w:val="000000"/>
          <w:lang w:eastAsia="bg-BG"/>
        </w:rPr>
        <w:t xml:space="preserve"> еозинофилия</w:t>
      </w:r>
    </w:p>
    <w:p w14:paraId="243C572A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Нечести:</w:t>
      </w:r>
      <w:r w:rsidRPr="00C40A4D">
        <w:rPr>
          <w:rFonts w:eastAsia="Times New Roman" w:cs="Arial"/>
          <w:color w:val="000000"/>
          <w:lang w:eastAsia="bg-BG"/>
        </w:rPr>
        <w:t xml:space="preserve"> цефалоспорините имат свойството да се абсорбират върху повърхността на клетъчната мембрана на чревните кръвни клетки и да взаимодействат с образуваните срещу лекарството антитела, в резултат на което се наблюдава позитивен тест на </w:t>
      </w:r>
      <w:proofErr w:type="spellStart"/>
      <w:r w:rsidRPr="00C40A4D">
        <w:rPr>
          <w:rFonts w:eastAsia="Times New Roman" w:cs="Arial"/>
          <w:color w:val="000000"/>
          <w:lang w:val="en-US"/>
        </w:rPr>
        <w:t>Coomb</w:t>
      </w:r>
      <w:proofErr w:type="spellEnd"/>
      <w:r w:rsidRPr="00C40A4D"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color w:val="000000"/>
          <w:lang w:eastAsia="bg-BG"/>
        </w:rPr>
        <w:t>(което може да повлияе върху кръстосаната проба за съвместимост при кръвопреливане); тромбоцитопения и левкопения (в някои случаи тежка)</w:t>
      </w:r>
    </w:p>
    <w:p w14:paraId="7917B2F8" w14:textId="5752F2E0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Много редки:</w:t>
      </w:r>
      <w:r w:rsidRPr="00C40A4D">
        <w:rPr>
          <w:rFonts w:eastAsia="Times New Roman" w:cs="Arial"/>
          <w:color w:val="000000"/>
          <w:lang w:eastAsia="bg-BG"/>
        </w:rPr>
        <w:t xml:space="preserve"> хемолитична анемия</w:t>
      </w:r>
    </w:p>
    <w:p w14:paraId="2E4CD137" w14:textId="77777777" w:rsidR="00C40A4D" w:rsidRDefault="00C40A4D" w:rsidP="00C40A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D39BF65" w14:textId="39E8AD4A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Нарушения на нервната система</w:t>
      </w:r>
    </w:p>
    <w:p w14:paraId="4B703D5D" w14:textId="7490087D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Чести:</w:t>
      </w:r>
      <w:r w:rsidRPr="00C40A4D">
        <w:rPr>
          <w:rFonts w:eastAsia="Times New Roman" w:cs="Arial"/>
          <w:color w:val="000000"/>
          <w:lang w:eastAsia="bg-BG"/>
        </w:rPr>
        <w:t xml:space="preserve"> главоболие</w:t>
      </w:r>
    </w:p>
    <w:p w14:paraId="61824AA4" w14:textId="77777777" w:rsidR="00C40A4D" w:rsidRDefault="00C40A4D" w:rsidP="00C40A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BEEF10D" w14:textId="6D1F36B2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Стомашно-чревни нарушения</w:t>
      </w:r>
    </w:p>
    <w:p w14:paraId="24E6A6F3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Чести:</w:t>
      </w:r>
      <w:r w:rsidRPr="00C40A4D">
        <w:rPr>
          <w:rFonts w:eastAsia="Times New Roman" w:cs="Arial"/>
          <w:color w:val="000000"/>
          <w:lang w:eastAsia="bg-BG"/>
        </w:rPr>
        <w:t xml:space="preserve"> диария (най-вероятно свързана с високи дози), гадене</w:t>
      </w:r>
    </w:p>
    <w:p w14:paraId="71FC427F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Нечести:</w:t>
      </w:r>
      <w:r w:rsidRPr="00C40A4D">
        <w:rPr>
          <w:rFonts w:eastAsia="Times New Roman" w:cs="Arial"/>
          <w:color w:val="000000"/>
          <w:lang w:eastAsia="bg-BG"/>
        </w:rPr>
        <w:t xml:space="preserve"> повръщане</w:t>
      </w:r>
    </w:p>
    <w:p w14:paraId="14026478" w14:textId="4AFD4992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Редки:</w:t>
      </w:r>
      <w:r w:rsidRPr="00C40A4D">
        <w:rPr>
          <w:rFonts w:eastAsia="Times New Roman" w:cs="Arial"/>
          <w:color w:val="000000"/>
          <w:lang w:eastAsia="bg-BG"/>
        </w:rPr>
        <w:t xml:space="preserve"> както и при другите широкоспектърни антибиотици, има редки съобщения за псевдомембранозен колит</w:t>
      </w:r>
    </w:p>
    <w:p w14:paraId="32BEA5A0" w14:textId="77777777" w:rsidR="00C40A4D" w:rsidRDefault="00C40A4D" w:rsidP="00C40A4D">
      <w:pPr>
        <w:rPr>
          <w:rFonts w:eastAsia="Times New Roman" w:cs="Arial"/>
          <w:i/>
          <w:iCs/>
          <w:color w:val="000000"/>
          <w:lang w:eastAsia="bg-BG"/>
        </w:rPr>
      </w:pPr>
    </w:p>
    <w:p w14:paraId="095B6E2B" w14:textId="2A69AA7F" w:rsidR="00C40A4D" w:rsidRPr="00C40A4D" w:rsidRDefault="00C40A4D" w:rsidP="00C40A4D">
      <w:pPr>
        <w:rPr>
          <w:rFonts w:eastAsia="Times New Roman" w:cs="Arial"/>
          <w:i/>
          <w:iCs/>
          <w:color w:val="000000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Нарушения на бъбреците и пикочните пътища</w:t>
      </w:r>
    </w:p>
    <w:p w14:paraId="5C732D8C" w14:textId="382A1A33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Редки:</w:t>
      </w:r>
      <w:r w:rsidRPr="00C40A4D">
        <w:rPr>
          <w:rFonts w:eastAsia="Times New Roman" w:cs="Arial"/>
          <w:color w:val="000000"/>
          <w:lang w:eastAsia="bg-BG"/>
        </w:rPr>
        <w:t xml:space="preserve"> както и при други цефалоспорини, в редки случаи се съобщава за интерстициален нефрит</w:t>
      </w:r>
    </w:p>
    <w:p w14:paraId="1EF3C173" w14:textId="77777777" w:rsidR="00C40A4D" w:rsidRDefault="00C40A4D" w:rsidP="00C40A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9A7423A" w14:textId="1E2C277E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</w:t>
      </w:r>
    </w:p>
    <w:p w14:paraId="30A49A44" w14:textId="08A70019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Много редки:</w:t>
      </w:r>
      <w:r w:rsidRPr="00C40A4D">
        <w:rPr>
          <w:rFonts w:eastAsia="Times New Roman" w:cs="Arial"/>
          <w:color w:val="000000"/>
          <w:lang w:eastAsia="bg-BG"/>
        </w:rPr>
        <w:t xml:space="preserve"> </w:t>
      </w:r>
      <w:r w:rsidRPr="00C40A4D">
        <w:rPr>
          <w:rFonts w:eastAsia="Times New Roman" w:cs="Arial"/>
          <w:i/>
          <w:iCs/>
          <w:color w:val="000000"/>
          <w:lang w:val="en-US"/>
        </w:rPr>
        <w:t>erythema multiforme,</w:t>
      </w:r>
      <w:r w:rsidRPr="00C40A4D"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color w:val="000000"/>
          <w:lang w:eastAsia="bg-BG"/>
        </w:rPr>
        <w:t xml:space="preserve">синдром на </w:t>
      </w:r>
      <w:r w:rsidRPr="00C40A4D">
        <w:rPr>
          <w:rFonts w:eastAsia="Times New Roman" w:cs="Arial"/>
          <w:color w:val="000000"/>
          <w:lang w:val="en-US"/>
        </w:rPr>
        <w:t xml:space="preserve">Stevens-Johnson, </w:t>
      </w:r>
      <w:r w:rsidRPr="00C40A4D">
        <w:rPr>
          <w:rFonts w:eastAsia="Times New Roman" w:cs="Arial"/>
          <w:color w:val="000000"/>
          <w:lang w:eastAsia="bg-BG"/>
        </w:rPr>
        <w:t>токсична епидермална некролиза (екзантемна некролиза)</w:t>
      </w:r>
    </w:p>
    <w:p w14:paraId="4A9BC563" w14:textId="77777777" w:rsidR="00C40A4D" w:rsidRDefault="00C40A4D" w:rsidP="00C40A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BEEB76" w14:textId="640C656C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Нарушения на имунната система</w:t>
      </w:r>
    </w:p>
    <w:p w14:paraId="785BCFA7" w14:textId="77777777" w:rsidR="00C40A4D" w:rsidRP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lang w:eastAsia="bg-BG"/>
        </w:rPr>
        <w:lastRenderedPageBreak/>
        <w:t>Реакции на свръхчувствителност, включващи:</w:t>
      </w:r>
    </w:p>
    <w:p w14:paraId="18D6BE49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Нечести:</w:t>
      </w:r>
      <w:r w:rsidRPr="00C40A4D">
        <w:rPr>
          <w:rFonts w:eastAsia="Times New Roman" w:cs="Arial"/>
          <w:color w:val="000000"/>
          <w:lang w:eastAsia="bg-BG"/>
        </w:rPr>
        <w:t xml:space="preserve"> кожни обриви</w:t>
      </w:r>
    </w:p>
    <w:p w14:paraId="021CACB6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Редки:</w:t>
      </w:r>
      <w:r w:rsidRPr="00C40A4D">
        <w:rPr>
          <w:rFonts w:eastAsia="Times New Roman" w:cs="Arial"/>
          <w:color w:val="000000"/>
          <w:lang w:eastAsia="bg-BG"/>
        </w:rPr>
        <w:t xml:space="preserve"> уртикария, пруритус</w:t>
      </w:r>
    </w:p>
    <w:p w14:paraId="507F78FE" w14:textId="702CCF61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Много редки:</w:t>
      </w:r>
      <w:r w:rsidRPr="00C40A4D">
        <w:rPr>
          <w:rFonts w:eastAsia="Times New Roman" w:cs="Arial"/>
          <w:color w:val="000000"/>
          <w:lang w:eastAsia="bg-BG"/>
        </w:rPr>
        <w:t xml:space="preserve"> треска, предизвикана от лекарственото вещество, серумна болест, анафилаксия</w:t>
      </w:r>
    </w:p>
    <w:p w14:paraId="0D12F16F" w14:textId="77777777" w:rsidR="00C40A4D" w:rsidRDefault="00C40A4D" w:rsidP="00C40A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565712" w14:textId="77777777" w:rsidR="00C40A4D" w:rsidRDefault="00C40A4D" w:rsidP="00C40A4D">
      <w:p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i/>
          <w:iCs/>
          <w:color w:val="000000"/>
          <w:lang w:eastAsia="bg-BG"/>
        </w:rPr>
        <w:t>Хепато-билиарни нарушения</w:t>
      </w:r>
    </w:p>
    <w:p w14:paraId="4A83951C" w14:textId="77777777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Чести:</w:t>
      </w:r>
      <w:r w:rsidRPr="00C40A4D">
        <w:rPr>
          <w:rFonts w:eastAsia="Times New Roman" w:cs="Arial"/>
          <w:color w:val="000000"/>
          <w:lang w:eastAsia="bg-BG"/>
        </w:rPr>
        <w:t xml:space="preserve"> преходно повишаване на нивата на чернодробните ензими </w:t>
      </w:r>
      <w:r w:rsidRPr="00C40A4D">
        <w:rPr>
          <w:rFonts w:eastAsia="Times New Roman" w:cs="Arial"/>
          <w:color w:val="000000"/>
          <w:lang w:val="en-US"/>
        </w:rPr>
        <w:t>[ALT (SGPT), AST (SGOT)</w:t>
      </w:r>
      <w:r>
        <w:rPr>
          <w:rFonts w:eastAsia="Times New Roman" w:cs="Arial"/>
          <w:color w:val="000000"/>
          <w:lang w:val="en-US"/>
        </w:rPr>
        <w:t xml:space="preserve"> </w:t>
      </w:r>
      <w:r w:rsidRPr="00C40A4D">
        <w:rPr>
          <w:rFonts w:eastAsia="Times New Roman" w:cs="Arial"/>
          <w:smallCaps/>
          <w:color w:val="000000"/>
          <w:lang w:eastAsia="bg-BG"/>
        </w:rPr>
        <w:t xml:space="preserve">и </w:t>
      </w:r>
      <w:r w:rsidRPr="00C40A4D">
        <w:rPr>
          <w:rFonts w:eastAsia="Times New Roman" w:cs="Arial"/>
          <w:smallCaps/>
          <w:color w:val="000000"/>
          <w:lang w:val="en-US"/>
        </w:rPr>
        <w:t>LDH]</w:t>
      </w:r>
      <w:bookmarkStart w:id="1" w:name="bookmark0"/>
      <w:bookmarkEnd w:id="1"/>
    </w:p>
    <w:p w14:paraId="1DDA5037" w14:textId="62AAB8E2" w:rsidR="00C40A4D" w:rsidRPr="00C40A4D" w:rsidRDefault="00C40A4D" w:rsidP="00C40A4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lang w:eastAsia="bg-BG"/>
        </w:rPr>
      </w:pPr>
      <w:r w:rsidRPr="00C40A4D">
        <w:rPr>
          <w:rFonts w:eastAsia="Times New Roman" w:cs="Arial"/>
          <w:color w:val="000000"/>
          <w:u w:val="single"/>
          <w:lang w:eastAsia="bg-BG"/>
        </w:rPr>
        <w:t>Много редки:</w:t>
      </w:r>
      <w:r w:rsidRPr="00C40A4D">
        <w:rPr>
          <w:rFonts w:eastAsia="Times New Roman" w:cs="Arial"/>
          <w:color w:val="000000"/>
          <w:lang w:eastAsia="bg-BG"/>
        </w:rPr>
        <w:t xml:space="preserve"> както и при дрги цефалоспорини, в много редки случаи се съобщава за хепатит</w:t>
      </w:r>
    </w:p>
    <w:p w14:paraId="435FD14A" w14:textId="77777777" w:rsidR="00C40A4D" w:rsidRPr="00C40A4D" w:rsidRDefault="00C40A4D" w:rsidP="00C40A4D"/>
    <w:p w14:paraId="378A0F20" w14:textId="72A5BAE5" w:rsidR="001D095A" w:rsidRDefault="002C50EE" w:rsidP="00340E8D">
      <w:pPr>
        <w:pStyle w:val="Heading2"/>
      </w:pPr>
      <w:r>
        <w:t>4.9. Предозиране</w:t>
      </w:r>
    </w:p>
    <w:p w14:paraId="5AFFDF32" w14:textId="252272AF" w:rsidR="00674276" w:rsidRDefault="00674276" w:rsidP="00674276"/>
    <w:p w14:paraId="64363A7E" w14:textId="77777777" w:rsidR="00674276" w:rsidRPr="00674276" w:rsidRDefault="00674276" w:rsidP="00674276">
      <w:pPr>
        <w:rPr>
          <w:sz w:val="24"/>
          <w:szCs w:val="24"/>
          <w:lang w:eastAsia="bg-BG"/>
        </w:rPr>
      </w:pPr>
      <w:r w:rsidRPr="00674276">
        <w:rPr>
          <w:lang w:eastAsia="bg-BG"/>
        </w:rPr>
        <w:t>Предозирането с цефалоспорини може да причини симптоми на дразнене на ЦНС, водещо до появата на гърчове.</w:t>
      </w:r>
    </w:p>
    <w:p w14:paraId="6F59A416" w14:textId="77777777" w:rsidR="00674276" w:rsidRDefault="00674276" w:rsidP="00674276">
      <w:pPr>
        <w:rPr>
          <w:lang w:eastAsia="bg-BG"/>
        </w:rPr>
      </w:pPr>
    </w:p>
    <w:p w14:paraId="0F6ED6D5" w14:textId="014C8366" w:rsidR="00674276" w:rsidRPr="00674276" w:rsidRDefault="00674276" w:rsidP="00674276">
      <w:pPr>
        <w:rPr>
          <w:sz w:val="24"/>
          <w:szCs w:val="24"/>
          <w:lang w:eastAsia="bg-BG"/>
        </w:rPr>
      </w:pPr>
      <w:r w:rsidRPr="00674276">
        <w:rPr>
          <w:lang w:eastAsia="bg-BG"/>
        </w:rPr>
        <w:t>Серумните нива на цефуроксим могат да бъдат редуцирани посредством хемодиализа или перитонеална диализа.</w:t>
      </w:r>
    </w:p>
    <w:p w14:paraId="35965E2B" w14:textId="77777777" w:rsidR="00674276" w:rsidRPr="00674276" w:rsidRDefault="00674276" w:rsidP="00674276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1E127256" w:rsidR="00F62E44" w:rsidRDefault="002C50EE" w:rsidP="00387A66">
      <w:pPr>
        <w:pStyle w:val="Heading2"/>
      </w:pPr>
      <w:r>
        <w:t>5.1. Фармакодинамични свойства</w:t>
      </w:r>
    </w:p>
    <w:p w14:paraId="44B90630" w14:textId="092F3B14" w:rsidR="00674276" w:rsidRDefault="00674276" w:rsidP="00674276"/>
    <w:p w14:paraId="349564B1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>Фармакотерапевтична група:</w:t>
      </w:r>
    </w:p>
    <w:p w14:paraId="6244BA5B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>Цефалоспорини от II поколение</w:t>
      </w:r>
    </w:p>
    <w:p w14:paraId="01AE3005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АТС код: </w:t>
      </w:r>
      <w:r w:rsidRPr="00674276">
        <w:rPr>
          <w:rFonts w:eastAsia="Times New Roman" w:cs="Arial"/>
          <w:color w:val="000000"/>
          <w:lang w:val="en-US"/>
        </w:rPr>
        <w:t>JO1 DC02</w:t>
      </w:r>
    </w:p>
    <w:p w14:paraId="1274E611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29AAE123" w14:textId="19042B0A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Цефуроксим притежава </w:t>
      </w:r>
      <w:r w:rsidRPr="00674276">
        <w:rPr>
          <w:rFonts w:eastAsia="Times New Roman" w:cs="Arial"/>
          <w:i/>
          <w:iCs/>
          <w:color w:val="000000"/>
          <w:lang w:val="en-US"/>
        </w:rPr>
        <w:t>in vitro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активност срещу широк спектър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-отрицателни и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 положителни микроорганизми. Цефуроксим проявява висока стабилност срещу повечето бета- лактамази - пеницилинази и цефалоспоринази, отделяни от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-положителни и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>- отрицателни бактерии.</w:t>
      </w:r>
    </w:p>
    <w:p w14:paraId="2696CB9B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8BC6B8" w14:textId="74A9866C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Цефуроксим инхибира синтезата на бактериалната клетъчна стена на активно-делящи се клетки чрез един или повече пеницилинсвързващ протеин </w:t>
      </w:r>
      <w:r w:rsidRPr="00674276">
        <w:rPr>
          <w:rFonts w:eastAsia="Times New Roman" w:cs="Arial"/>
          <w:color w:val="000000"/>
          <w:lang w:val="en-US"/>
        </w:rPr>
        <w:t xml:space="preserve">(PBPs). </w:t>
      </w:r>
      <w:r w:rsidRPr="00674276">
        <w:rPr>
          <w:rFonts w:eastAsia="Times New Roman" w:cs="Arial"/>
          <w:color w:val="000000"/>
          <w:lang w:eastAsia="bg-BG"/>
        </w:rPr>
        <w:t>Тези протеини са свързани с бактериалната клетъчна мембрана и вероятно участват в синтезата. Резултатът е формиране на дефектна клетъчна стена, която е осмотично нестабилна.</w:t>
      </w:r>
    </w:p>
    <w:p w14:paraId="7A785032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5353DD" w14:textId="5B5F84D9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Цефуроксим аксетил е перорално лекарство на бактерицидния цефалоспоринов антибиотик цефуроксим, който е резистентен към повечето бета-лактамази и, следователно е активен срещу широк спектър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-положителни и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>-отрицателни микроорганизми.</w:t>
      </w:r>
    </w:p>
    <w:p w14:paraId="64E087B4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C52905" w14:textId="020DC238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u w:val="single"/>
          <w:lang w:eastAsia="bg-BG"/>
        </w:rPr>
        <w:t>Микробиология</w:t>
      </w:r>
    </w:p>
    <w:p w14:paraId="3DC34F3A" w14:textId="14C2E86D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Цефуроксим аксетил дължи бактерицидното си действие в </w:t>
      </w:r>
      <w:r w:rsidRPr="00674276">
        <w:rPr>
          <w:rFonts w:eastAsia="Times New Roman" w:cs="Arial"/>
          <w:i/>
          <w:iCs/>
          <w:color w:val="000000"/>
          <w:lang w:val="en-US"/>
        </w:rPr>
        <w:t>in vivo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условия на основното вещество цефуроксим. Цефуроксим е добре охарактеризиран и ефективен антибиотик, с широкоспектърна бактерицидна активност срещу голям брой често срещани патогени, включително срещу щамове, продуциращи бета-лактамази.</w:t>
      </w:r>
    </w:p>
    <w:p w14:paraId="145B5486" w14:textId="0EC651A1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52E93D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>Цефуроксим проявява висока стабилност към бактериалните бета-лактамази и, следователно е активен срещу много Ампицилин-резистентни и Амоксицилин-резистентни щамове. Бактерицидното действие на цефуроксим се дължи на инхибирането на синтезата на клетъчната стена посредством свързването с основни прицелни протеини.</w:t>
      </w:r>
    </w:p>
    <w:p w14:paraId="5981FF83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CAA566" w14:textId="1D68D361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Цефуроксим обикновено е активен срещу следните микроорганизми </w:t>
      </w:r>
      <w:r w:rsidRPr="00674276">
        <w:rPr>
          <w:rFonts w:eastAsia="Times New Roman" w:cs="Arial"/>
          <w:i/>
          <w:iCs/>
          <w:color w:val="000000"/>
          <w:u w:val="single"/>
          <w:lang w:val="en-US"/>
        </w:rPr>
        <w:t>in vitro:</w:t>
      </w:r>
    </w:p>
    <w:p w14:paraId="43514FB2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</w:p>
    <w:p w14:paraId="53380488" w14:textId="14DB7CD9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u w:val="single"/>
          <w:lang w:val="en-US"/>
        </w:rPr>
        <w:t>Gram</w:t>
      </w:r>
      <w:r w:rsidRPr="00674276">
        <w:rPr>
          <w:rFonts w:eastAsia="Times New Roman" w:cs="Arial"/>
          <w:color w:val="000000"/>
          <w:u w:val="single"/>
          <w:lang w:eastAsia="bg-BG"/>
        </w:rPr>
        <w:t>-отрицателни аероби:</w:t>
      </w:r>
      <w:r w:rsidRPr="00674276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 xml:space="preserve"> influenzae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(включително Ампицилин -устойчиви щамове);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parainfluenzae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 xml:space="preserve">; Moraxella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calarrhalis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>; Escherichia coli; Klebsiella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видове; </w:t>
      </w:r>
      <w:r w:rsidRPr="00674276">
        <w:rPr>
          <w:rFonts w:eastAsia="Times New Roman" w:cs="Arial"/>
          <w:i/>
          <w:iCs/>
          <w:color w:val="000000"/>
          <w:lang w:val="en-US"/>
        </w:rPr>
        <w:t xml:space="preserve">Proteus mirabilis; Proteus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inconstans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>; Providencia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видове; </w:t>
      </w:r>
      <w:r w:rsidRPr="00674276">
        <w:rPr>
          <w:rFonts w:eastAsia="Times New Roman" w:cs="Arial"/>
          <w:i/>
          <w:iCs/>
          <w:color w:val="000000"/>
          <w:lang w:val="en-US"/>
        </w:rPr>
        <w:t xml:space="preserve">Proteus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rettgeri</w:t>
      </w:r>
      <w:proofErr w:type="spellEnd"/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и </w:t>
      </w:r>
      <w:r w:rsidRPr="00674276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gonorrhoea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(включително щамове, продуциращи и щамове, непродуциращи пеницилинази).</w:t>
      </w:r>
    </w:p>
    <w:p w14:paraId="537DD532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2BEFEB" w14:textId="4B9FFB70" w:rsid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Чрез </w:t>
      </w:r>
      <w:r w:rsidRPr="00674276">
        <w:rPr>
          <w:rFonts w:eastAsia="Times New Roman" w:cs="Arial"/>
          <w:i/>
          <w:iCs/>
          <w:color w:val="000000"/>
          <w:lang w:val="en-US"/>
        </w:rPr>
        <w:t>in vitro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тестове е показано, че някои щамове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Morganella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 xml:space="preserve"> morganii,</w:t>
      </w:r>
      <w:r w:rsidRPr="00674276">
        <w:rPr>
          <w:rFonts w:eastAsia="Times New Roman" w:cs="Arial"/>
          <w:color w:val="000000"/>
          <w:lang w:val="en-US"/>
        </w:rPr>
        <w:t xml:space="preserve"> Enterobacter </w:t>
      </w:r>
      <w:r w:rsidRPr="00674276">
        <w:rPr>
          <w:rFonts w:eastAsia="Times New Roman" w:cs="Arial"/>
          <w:color w:val="000000"/>
          <w:lang w:eastAsia="bg-BG"/>
        </w:rPr>
        <w:t xml:space="preserve">видове </w:t>
      </w:r>
    </w:p>
    <w:p w14:paraId="2712C460" w14:textId="5108BC48" w:rsidR="00674276" w:rsidRPr="00674276" w:rsidRDefault="00674276" w:rsidP="0067427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и </w:t>
      </w:r>
      <w:r w:rsidRPr="00674276">
        <w:rPr>
          <w:rFonts w:eastAsia="Times New Roman" w:cs="Arial"/>
          <w:i/>
          <w:iCs/>
          <w:color w:val="000000"/>
          <w:lang w:val="en-US"/>
        </w:rPr>
        <w:t>Citrobacter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видове са резистентни към цефуроксим и други бета-лактамни антибиотици.</w:t>
      </w:r>
    </w:p>
    <w:p w14:paraId="661D809A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</w:p>
    <w:p w14:paraId="16047117" w14:textId="1612B103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u w:val="single"/>
          <w:lang w:val="en-US"/>
        </w:rPr>
        <w:t>Gram</w:t>
      </w:r>
      <w:r w:rsidRPr="00674276">
        <w:rPr>
          <w:rFonts w:eastAsia="Times New Roman" w:cs="Arial"/>
          <w:color w:val="000000"/>
          <w:u w:val="single"/>
          <w:lang w:eastAsia="bg-BG"/>
        </w:rPr>
        <w:t>-положителни аероби:</w:t>
      </w:r>
      <w:r w:rsidRPr="00674276">
        <w:rPr>
          <w:rFonts w:eastAsia="Times New Roman" w:cs="Arial"/>
          <w:color w:val="000000"/>
          <w:lang w:eastAsia="bg-BG"/>
        </w:rPr>
        <w:t xml:space="preserve"> </w:t>
      </w:r>
      <w:r w:rsidRPr="00674276">
        <w:rPr>
          <w:rFonts w:eastAsia="Times New Roman" w:cs="Arial"/>
          <w:i/>
          <w:iCs/>
          <w:color w:val="000000"/>
          <w:lang w:val="en-US"/>
        </w:rPr>
        <w:t>Staphylococcus aureus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(включително щамове, продуциращи пеницилинази, но с изключение на </w:t>
      </w:r>
      <w:r w:rsidRPr="00674276">
        <w:rPr>
          <w:rFonts w:eastAsia="Times New Roman" w:cs="Arial"/>
          <w:color w:val="000000"/>
          <w:lang w:val="en-US"/>
        </w:rPr>
        <w:t>methicillin</w:t>
      </w:r>
      <w:r w:rsidRPr="00674276">
        <w:rPr>
          <w:rFonts w:eastAsia="Times New Roman" w:cs="Arial"/>
          <w:color w:val="000000"/>
          <w:lang w:eastAsia="bg-BG"/>
        </w:rPr>
        <w:t xml:space="preserve">-устойчивите щамове); </w:t>
      </w:r>
      <w:r w:rsidRPr="00674276">
        <w:rPr>
          <w:rFonts w:eastAsia="Times New Roman" w:cs="Arial"/>
          <w:i/>
          <w:iCs/>
          <w:color w:val="000000"/>
          <w:lang w:val="en-US"/>
        </w:rPr>
        <w:t xml:space="preserve">Staphylococcus epidermis, </w:t>
      </w:r>
      <w:r w:rsidRPr="00674276">
        <w:rPr>
          <w:rFonts w:eastAsia="Times New Roman" w:cs="Arial"/>
          <w:color w:val="000000"/>
          <w:lang w:eastAsia="bg-BG"/>
        </w:rPr>
        <w:t xml:space="preserve">(включително щамове, продуциращи пеницилинази, но с изключение на </w:t>
      </w:r>
      <w:r w:rsidRPr="00674276">
        <w:rPr>
          <w:rFonts w:eastAsia="Times New Roman" w:cs="Arial"/>
          <w:color w:val="000000"/>
          <w:lang w:val="en-US"/>
        </w:rPr>
        <w:t>methicillin</w:t>
      </w:r>
      <w:r w:rsidRPr="00674276">
        <w:rPr>
          <w:rFonts w:eastAsia="Times New Roman" w:cs="Arial"/>
          <w:color w:val="000000"/>
          <w:lang w:eastAsia="bg-BG"/>
        </w:rPr>
        <w:t xml:space="preserve">- устойчивите щамове); </w:t>
      </w:r>
      <w:r w:rsidRPr="00674276">
        <w:rPr>
          <w:rFonts w:eastAsia="Times New Roman" w:cs="Arial"/>
          <w:i/>
          <w:iCs/>
          <w:color w:val="000000"/>
          <w:lang w:val="en-US"/>
        </w:rPr>
        <w:t>Streptococcus pyogenes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(и други бетахемолитични </w:t>
      </w:r>
      <w:r w:rsidRPr="00674276">
        <w:rPr>
          <w:rFonts w:eastAsia="Times New Roman" w:cs="Arial"/>
          <w:color w:val="000000"/>
          <w:lang w:val="en-US"/>
        </w:rPr>
        <w:t xml:space="preserve">streptococci); </w:t>
      </w:r>
      <w:r w:rsidRPr="00674276">
        <w:rPr>
          <w:rFonts w:eastAsia="Times New Roman" w:cs="Arial"/>
          <w:i/>
          <w:iCs/>
          <w:color w:val="000000"/>
          <w:lang w:val="en-US"/>
        </w:rPr>
        <w:t>Streptococcus pneumonia;</w:t>
      </w:r>
      <w:r w:rsidRPr="00674276">
        <w:rPr>
          <w:rFonts w:eastAsia="Times New Roman" w:cs="Arial"/>
          <w:color w:val="000000"/>
          <w:lang w:val="en-US"/>
        </w:rPr>
        <w:t xml:space="preserve"> Streptococcus </w:t>
      </w:r>
      <w:r w:rsidRPr="00674276">
        <w:rPr>
          <w:rFonts w:eastAsia="Times New Roman" w:cs="Arial"/>
          <w:color w:val="000000"/>
          <w:lang w:eastAsia="bg-BG"/>
        </w:rPr>
        <w:t xml:space="preserve">Група </w:t>
      </w:r>
      <w:r w:rsidRPr="00674276">
        <w:rPr>
          <w:rFonts w:eastAsia="Times New Roman" w:cs="Arial"/>
          <w:color w:val="000000"/>
          <w:lang w:val="en-US"/>
        </w:rPr>
        <w:t xml:space="preserve">B </w:t>
      </w:r>
      <w:r w:rsidRPr="00674276">
        <w:rPr>
          <w:rFonts w:eastAsia="Times New Roman" w:cs="Arial"/>
          <w:i/>
          <w:iCs/>
          <w:color w:val="000000"/>
          <w:lang w:val="en-US"/>
        </w:rPr>
        <w:t>(Streptococcus agalactiae)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и </w:t>
      </w:r>
      <w:r w:rsidRPr="00674276">
        <w:rPr>
          <w:rFonts w:eastAsia="Times New Roman" w:cs="Arial"/>
          <w:color w:val="000000"/>
          <w:lang w:val="en-US"/>
        </w:rPr>
        <w:t xml:space="preserve">Propionibacterium </w:t>
      </w:r>
      <w:r w:rsidRPr="00674276">
        <w:rPr>
          <w:rFonts w:eastAsia="Times New Roman" w:cs="Arial"/>
          <w:color w:val="000000"/>
          <w:lang w:eastAsia="bg-BG"/>
        </w:rPr>
        <w:t xml:space="preserve">видове. Определени ентерококови щамове, напр. </w:t>
      </w:r>
      <w:r w:rsidRPr="00674276">
        <w:rPr>
          <w:rFonts w:eastAsia="Times New Roman" w:cs="Arial"/>
          <w:i/>
          <w:iCs/>
          <w:color w:val="000000"/>
          <w:lang w:val="en-US"/>
        </w:rPr>
        <w:t>Streptococcus faecalis,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са резистентни.</w:t>
      </w:r>
    </w:p>
    <w:p w14:paraId="347F6356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</w:p>
    <w:p w14:paraId="43734D81" w14:textId="18133906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u w:val="single"/>
          <w:lang w:val="en-US"/>
        </w:rPr>
        <w:t>Gram</w:t>
      </w:r>
      <w:r w:rsidRPr="00674276">
        <w:rPr>
          <w:rFonts w:eastAsia="Times New Roman" w:cs="Arial"/>
          <w:color w:val="000000"/>
          <w:u w:val="single"/>
          <w:lang w:eastAsia="bg-BG"/>
        </w:rPr>
        <w:t xml:space="preserve">-положителни и </w:t>
      </w:r>
      <w:r w:rsidRPr="00674276">
        <w:rPr>
          <w:rFonts w:eastAsia="Times New Roman" w:cs="Arial"/>
          <w:color w:val="000000"/>
          <w:u w:val="single"/>
          <w:lang w:val="en-US"/>
        </w:rPr>
        <w:t>Gram</w:t>
      </w:r>
      <w:r w:rsidRPr="00674276">
        <w:rPr>
          <w:rFonts w:eastAsia="Times New Roman" w:cs="Arial"/>
          <w:color w:val="000000"/>
          <w:u w:val="single"/>
          <w:lang w:eastAsia="bg-BG"/>
        </w:rPr>
        <w:t>-отрицателни анаероби:</w:t>
      </w:r>
      <w:r w:rsidRPr="00674276">
        <w:rPr>
          <w:rFonts w:eastAsia="Times New Roman" w:cs="Arial"/>
          <w:color w:val="000000"/>
          <w:lang w:eastAsia="bg-BG"/>
        </w:rPr>
        <w:t xml:space="preserve">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-отрицателни коки (включително </w:t>
      </w:r>
      <w:proofErr w:type="spellStart"/>
      <w:r w:rsidRPr="00674276">
        <w:rPr>
          <w:rFonts w:eastAsia="Times New Roman" w:cs="Arial"/>
          <w:color w:val="000000"/>
          <w:lang w:val="en-US"/>
        </w:rPr>
        <w:t>Peptococcus</w:t>
      </w:r>
      <w:proofErr w:type="spellEnd"/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674276">
        <w:rPr>
          <w:rFonts w:eastAsia="Times New Roman" w:cs="Arial"/>
          <w:color w:val="000000"/>
          <w:lang w:val="en-US"/>
        </w:rPr>
        <w:t>Peptostreptococcus</w:t>
      </w:r>
      <w:proofErr w:type="spellEnd"/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видове);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-положителни бацили (включително </w:t>
      </w:r>
      <w:r w:rsidRPr="00674276">
        <w:rPr>
          <w:rFonts w:eastAsia="Times New Roman" w:cs="Arial"/>
          <w:color w:val="000000"/>
          <w:lang w:val="en-US"/>
        </w:rPr>
        <w:t xml:space="preserve">Clostridium </w:t>
      </w:r>
      <w:r w:rsidRPr="00674276">
        <w:rPr>
          <w:rFonts w:eastAsia="Times New Roman" w:cs="Arial"/>
          <w:color w:val="000000"/>
          <w:lang w:eastAsia="bg-BG"/>
        </w:rPr>
        <w:t xml:space="preserve">видове) и </w:t>
      </w:r>
      <w:r w:rsidRPr="00674276">
        <w:rPr>
          <w:rFonts w:eastAsia="Times New Roman" w:cs="Arial"/>
          <w:color w:val="000000"/>
          <w:lang w:val="en-US"/>
        </w:rPr>
        <w:t>Gram</w:t>
      </w:r>
      <w:r w:rsidRPr="00674276">
        <w:rPr>
          <w:rFonts w:eastAsia="Times New Roman" w:cs="Arial"/>
          <w:color w:val="000000"/>
          <w:lang w:eastAsia="bg-BG"/>
        </w:rPr>
        <w:t xml:space="preserve">-отрицателни бацили (включително </w:t>
      </w:r>
      <w:r w:rsidRPr="00674276">
        <w:rPr>
          <w:rFonts w:eastAsia="Times New Roman" w:cs="Arial"/>
          <w:i/>
          <w:iCs/>
          <w:color w:val="000000"/>
          <w:lang w:val="en-US"/>
        </w:rPr>
        <w:t>Bacteroides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и </w:t>
      </w:r>
      <w:r w:rsidRPr="00674276">
        <w:rPr>
          <w:rFonts w:eastAsia="Times New Roman" w:cs="Arial"/>
          <w:i/>
          <w:iCs/>
          <w:color w:val="000000"/>
          <w:lang w:val="en-US"/>
        </w:rPr>
        <w:t>Fusobacterium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видове).</w:t>
      </w:r>
    </w:p>
    <w:p w14:paraId="39713903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lang w:eastAsia="bg-BG"/>
        </w:rPr>
        <w:t xml:space="preserve">Повечето щамове на </w:t>
      </w:r>
      <w:r w:rsidRPr="00674276">
        <w:rPr>
          <w:rFonts w:eastAsia="Times New Roman" w:cs="Arial"/>
          <w:i/>
          <w:iCs/>
          <w:color w:val="000000"/>
          <w:lang w:val="en-US"/>
        </w:rPr>
        <w:t>Bacteroides fragilis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са резистентни.</w:t>
      </w:r>
    </w:p>
    <w:p w14:paraId="779B337D" w14:textId="77777777" w:rsidR="00674276" w:rsidRDefault="00674276" w:rsidP="0067427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A4F830" w14:textId="4C4B1616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color w:val="000000"/>
          <w:u w:val="single"/>
          <w:lang w:eastAsia="bg-BG"/>
        </w:rPr>
        <w:t>Други микроорганизми:</w:t>
      </w:r>
      <w:r w:rsidRPr="00674276">
        <w:rPr>
          <w:rFonts w:eastAsia="Times New Roman" w:cs="Arial"/>
          <w:color w:val="000000"/>
          <w:lang w:eastAsia="bg-BG"/>
        </w:rPr>
        <w:t xml:space="preserve"> </w:t>
      </w:r>
      <w:r w:rsidRPr="00674276">
        <w:rPr>
          <w:rFonts w:eastAsia="Times New Roman" w:cs="Arial"/>
          <w:i/>
          <w:iCs/>
          <w:color w:val="000000"/>
          <w:lang w:val="en-US"/>
        </w:rPr>
        <w:t>Borrelia burgdorferi.</w:t>
      </w:r>
    </w:p>
    <w:p w14:paraId="1ED229F3" w14:textId="77777777" w:rsidR="00674276" w:rsidRPr="00674276" w:rsidRDefault="00674276" w:rsidP="00674276">
      <w:pPr>
        <w:spacing w:line="240" w:lineRule="auto"/>
        <w:rPr>
          <w:rFonts w:eastAsia="Times New Roman" w:cs="Arial"/>
          <w:lang w:eastAsia="bg-BG"/>
        </w:rPr>
      </w:pPr>
      <w:r w:rsidRPr="00674276">
        <w:rPr>
          <w:rFonts w:eastAsia="Times New Roman" w:cs="Arial"/>
          <w:i/>
          <w:iCs/>
          <w:color w:val="000000"/>
          <w:lang w:val="en-US"/>
        </w:rPr>
        <w:t>Pseudomonas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видове, </w:t>
      </w:r>
      <w:r w:rsidRPr="00674276">
        <w:rPr>
          <w:rFonts w:eastAsia="Times New Roman" w:cs="Arial"/>
          <w:i/>
          <w:iCs/>
          <w:color w:val="000000"/>
          <w:lang w:val="en-US"/>
        </w:rPr>
        <w:t>Campylobacter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видове, </w:t>
      </w:r>
      <w:r w:rsidRPr="00674276">
        <w:rPr>
          <w:rFonts w:eastAsia="Times New Roman" w:cs="Arial"/>
          <w:i/>
          <w:iCs/>
          <w:color w:val="000000"/>
          <w:lang w:val="en-US"/>
        </w:rPr>
        <w:t xml:space="preserve">Acinetobacter </w:t>
      </w:r>
      <w:proofErr w:type="spellStart"/>
      <w:r w:rsidRPr="00674276">
        <w:rPr>
          <w:rFonts w:eastAsia="Times New Roman" w:cs="Arial"/>
          <w:i/>
          <w:iCs/>
          <w:color w:val="000000"/>
          <w:lang w:val="en-US"/>
        </w:rPr>
        <w:t>ccdcoaceticus</w:t>
      </w:r>
      <w:proofErr w:type="spellEnd"/>
      <w:r w:rsidRPr="00674276">
        <w:rPr>
          <w:rFonts w:eastAsia="Times New Roman" w:cs="Arial"/>
          <w:i/>
          <w:iCs/>
          <w:color w:val="000000"/>
          <w:lang w:val="en-US"/>
        </w:rPr>
        <w:t>, Listeria monocytogenes, Legionella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видове и повечето щамове на </w:t>
      </w:r>
      <w:r w:rsidRPr="00674276">
        <w:rPr>
          <w:rFonts w:eastAsia="Times New Roman" w:cs="Arial"/>
          <w:color w:val="000000"/>
          <w:lang w:val="en-US"/>
        </w:rPr>
        <w:t xml:space="preserve">Serratia </w:t>
      </w:r>
      <w:r w:rsidRPr="00674276">
        <w:rPr>
          <w:rFonts w:eastAsia="Times New Roman" w:cs="Arial"/>
          <w:color w:val="000000"/>
          <w:lang w:eastAsia="bg-BG"/>
        </w:rPr>
        <w:t xml:space="preserve">и </w:t>
      </w:r>
      <w:r w:rsidRPr="00674276">
        <w:rPr>
          <w:rFonts w:eastAsia="Times New Roman" w:cs="Arial"/>
          <w:i/>
          <w:iCs/>
          <w:color w:val="000000"/>
          <w:lang w:val="en-US"/>
        </w:rPr>
        <w:t>Proteus vulgaris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 xml:space="preserve">и </w:t>
      </w:r>
      <w:r w:rsidRPr="00674276">
        <w:rPr>
          <w:rFonts w:eastAsia="Times New Roman" w:cs="Arial"/>
          <w:i/>
          <w:iCs/>
          <w:color w:val="000000"/>
          <w:lang w:val="en-US"/>
        </w:rPr>
        <w:t>Clostridium difficile</w:t>
      </w:r>
      <w:r w:rsidRPr="00674276">
        <w:rPr>
          <w:rFonts w:eastAsia="Times New Roman" w:cs="Arial"/>
          <w:color w:val="000000"/>
          <w:lang w:val="en-US"/>
        </w:rPr>
        <w:t xml:space="preserve"> </w:t>
      </w:r>
      <w:r w:rsidRPr="00674276">
        <w:rPr>
          <w:rFonts w:eastAsia="Times New Roman" w:cs="Arial"/>
          <w:color w:val="000000"/>
          <w:lang w:eastAsia="bg-BG"/>
        </w:rPr>
        <w:t>са устойчиви към много цефалоспорини, включително и към цефуроксим.</w:t>
      </w:r>
    </w:p>
    <w:p w14:paraId="73FA275C" w14:textId="77777777" w:rsidR="00674276" w:rsidRPr="00674276" w:rsidRDefault="00674276" w:rsidP="00674276"/>
    <w:p w14:paraId="544FFDAF" w14:textId="6B34252C" w:rsidR="00F62E44" w:rsidRDefault="002C50EE" w:rsidP="00387A66">
      <w:pPr>
        <w:pStyle w:val="Heading2"/>
      </w:pPr>
      <w:r>
        <w:t>5.2. Фармакокинетични свойства</w:t>
      </w:r>
    </w:p>
    <w:p w14:paraId="4A82E7FE" w14:textId="1B0AE167" w:rsidR="00674276" w:rsidRDefault="00674276" w:rsidP="00674276"/>
    <w:p w14:paraId="0B75F600" w14:textId="7E422707" w:rsidR="00674276" w:rsidRPr="00674276" w:rsidRDefault="00674276" w:rsidP="00674276">
      <w:pPr>
        <w:rPr>
          <w:sz w:val="24"/>
          <w:szCs w:val="24"/>
          <w:lang w:eastAsia="bg-BG"/>
        </w:rPr>
      </w:pPr>
      <w:r w:rsidRPr="00674276">
        <w:rPr>
          <w:lang w:eastAsia="bg-BG"/>
        </w:rPr>
        <w:t>След перорален прием, цефуроксим аксетил се резорбира от гастро-интестиналния тракт и бързо се хидролизира в чревната лигавица и кръвта, при което се освобождава цефуроксим и се включва в кръвообращенито. Оптимална абсорбция се наблюдава, ако се приема след хранене. Върхови плазмени концентрации се достигат приблизително два до три часа след перорален прием. Плазменият полуживот е около 1,2 часа. Приблизително 50 % от плазмения цефуроксим е свързан с протеини. Цефуроксим не се метаболизира и се екскретира чрез гломерулна филтрация и тубулна секреция. Съвместната употреба на пробенецид увеличава площта под кривата, отразяваща плазмените концентрации на цефуроксим като функция от времето, с 50 %.</w:t>
      </w:r>
    </w:p>
    <w:p w14:paraId="6925FEB0" w14:textId="00B5FF37" w:rsidR="00F62E44" w:rsidRDefault="002C50EE" w:rsidP="00387A66">
      <w:pPr>
        <w:pStyle w:val="Heading2"/>
      </w:pPr>
      <w:r>
        <w:lastRenderedPageBreak/>
        <w:t>5.3. Предклинични данни за безопасност</w:t>
      </w:r>
    </w:p>
    <w:p w14:paraId="610C9B7F" w14:textId="3BB65205" w:rsidR="00674276" w:rsidRDefault="00674276" w:rsidP="00674276"/>
    <w:p w14:paraId="5C756AEC" w14:textId="1EE1A9EF" w:rsidR="00674276" w:rsidRDefault="00674276" w:rsidP="00674276">
      <w:r>
        <w:t>Не са установени.</w:t>
      </w:r>
    </w:p>
    <w:p w14:paraId="5240F9DC" w14:textId="77777777" w:rsidR="00674276" w:rsidRPr="00674276" w:rsidRDefault="00674276" w:rsidP="00674276"/>
    <w:p w14:paraId="357049A8" w14:textId="4A25834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1C2AA1A6" w14:textId="2A882922" w:rsidR="00674276" w:rsidRDefault="00674276" w:rsidP="00674276"/>
    <w:p w14:paraId="250566A3" w14:textId="77777777" w:rsidR="00674276" w:rsidRPr="00674276" w:rsidRDefault="00674276" w:rsidP="00674276">
      <w:pPr>
        <w:rPr>
          <w:sz w:val="24"/>
          <w:szCs w:val="24"/>
          <w:lang w:eastAsia="bg-BG"/>
        </w:rPr>
      </w:pPr>
      <w:r w:rsidRPr="00674276">
        <w:rPr>
          <w:lang w:eastAsia="bg-BG"/>
        </w:rPr>
        <w:t>“Чайкафарма Висококачествените Лекарства” АД</w:t>
      </w:r>
    </w:p>
    <w:p w14:paraId="5B3F4BFC" w14:textId="77777777" w:rsidR="00674276" w:rsidRPr="00674276" w:rsidRDefault="00674276" w:rsidP="00674276">
      <w:pPr>
        <w:rPr>
          <w:sz w:val="24"/>
          <w:szCs w:val="24"/>
          <w:lang w:eastAsia="bg-BG"/>
        </w:rPr>
      </w:pPr>
      <w:r w:rsidRPr="00674276">
        <w:rPr>
          <w:lang w:eastAsia="bg-BG"/>
        </w:rPr>
        <w:t>гр. София 1172, “Г.М. Димитров” № 1, България</w:t>
      </w:r>
    </w:p>
    <w:p w14:paraId="449ED04C" w14:textId="77777777" w:rsidR="00674276" w:rsidRPr="00674276" w:rsidRDefault="00674276" w:rsidP="00674276"/>
    <w:p w14:paraId="0A53321D" w14:textId="60D91E24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1C46269D" w14:textId="77777777" w:rsidR="00674276" w:rsidRPr="00674276" w:rsidRDefault="00674276" w:rsidP="00674276"/>
    <w:p w14:paraId="7C2688F5" w14:textId="6D610EDF" w:rsidR="00F62E44" w:rsidRDefault="00F62E44" w:rsidP="00F62E44"/>
    <w:p w14:paraId="00481C21" w14:textId="753A12CC" w:rsidR="00F62E44" w:rsidRP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1511991E" w:rsidR="00BB22B4" w:rsidRPr="00BB22B4" w:rsidRDefault="00674276" w:rsidP="00674276">
      <w:r>
        <w:t>Октомври, 2010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092970"/>
    <w:multiLevelType w:val="hybridMultilevel"/>
    <w:tmpl w:val="EEFAA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56AA"/>
    <w:multiLevelType w:val="hybridMultilevel"/>
    <w:tmpl w:val="1C94A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5"/>
  </w:num>
  <w:num w:numId="12" w16cid:durableId="1434934028">
    <w:abstractNumId w:val="16"/>
  </w:num>
  <w:num w:numId="13" w16cid:durableId="479157895">
    <w:abstractNumId w:val="23"/>
  </w:num>
  <w:num w:numId="14" w16cid:durableId="1670476636">
    <w:abstractNumId w:val="14"/>
  </w:num>
  <w:num w:numId="15" w16cid:durableId="1000155783">
    <w:abstractNumId w:val="34"/>
  </w:num>
  <w:num w:numId="16" w16cid:durableId="2056420707">
    <w:abstractNumId w:val="11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6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40"/>
  </w:num>
  <w:num w:numId="31" w16cid:durableId="1053964910">
    <w:abstractNumId w:val="5"/>
  </w:num>
  <w:num w:numId="32" w16cid:durableId="2073575793">
    <w:abstractNumId w:val="38"/>
  </w:num>
  <w:num w:numId="33" w16cid:durableId="1566643170">
    <w:abstractNumId w:val="33"/>
  </w:num>
  <w:num w:numId="34" w16cid:durableId="2060787732">
    <w:abstractNumId w:val="37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9"/>
  </w:num>
  <w:num w:numId="39" w16cid:durableId="934825996">
    <w:abstractNumId w:val="13"/>
  </w:num>
  <w:num w:numId="40" w16cid:durableId="428544662">
    <w:abstractNumId w:val="20"/>
  </w:num>
  <w:num w:numId="41" w16cid:durableId="8207801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74276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40A4D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2023-03-05T20:18:00Z</dcterms:created>
  <dcterms:modified xsi:type="dcterms:W3CDTF">2023-03-05T20:18:00Z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