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3B239815" w14:textId="4D5B5C37" w:rsidR="00AA23EC" w:rsidRDefault="00DD466D" w:rsidP="00DD466D">
      <w:pPr>
        <w:pStyle w:val="Heading1"/>
      </w:pPr>
      <w:r>
        <w:t>1.ИМЕ НА ЛЕКАРСТВЕНИЯ ПРОДУКТ</w:t>
      </w:r>
    </w:p>
    <w:p w14:paraId="5C98C1FB" w14:textId="77777777" w:rsidR="001653D6" w:rsidRDefault="001653D6" w:rsidP="001653D6">
      <w:proofErr w:type="spellStart"/>
      <w:r>
        <w:t>Лифурокс</w:t>
      </w:r>
      <w:proofErr w:type="spellEnd"/>
      <w:r>
        <w:t xml:space="preserve"> 500 </w:t>
      </w:r>
      <w:r>
        <w:rPr>
          <w:lang w:val="en-US"/>
        </w:rPr>
        <w:t xml:space="preserve">mg </w:t>
      </w:r>
      <w:r>
        <w:t xml:space="preserve">филмирани таблетки </w:t>
      </w:r>
    </w:p>
    <w:p w14:paraId="44ED8B50" w14:textId="69A43BD8" w:rsidR="001653D6" w:rsidRPr="001653D6" w:rsidRDefault="001653D6" w:rsidP="001653D6">
      <w:proofErr w:type="spellStart"/>
      <w:r>
        <w:rPr>
          <w:lang w:val="en-US"/>
        </w:rPr>
        <w:t>Lifurox</w:t>
      </w:r>
      <w:proofErr w:type="spellEnd"/>
      <w:r>
        <w:rPr>
          <w:lang w:val="en-US"/>
        </w:rPr>
        <w:t xml:space="preserve"> </w:t>
      </w:r>
      <w:r>
        <w:t xml:space="preserve">500 </w:t>
      </w:r>
      <w:r>
        <w:rPr>
          <w:lang w:val="en-US"/>
        </w:rPr>
        <w:t>mg film-coated tablets</w:t>
      </w:r>
    </w:p>
    <w:p w14:paraId="4D88B710" w14:textId="6B56A554" w:rsidR="00D86297" w:rsidRDefault="00DD466D" w:rsidP="00AA23EC">
      <w:pPr>
        <w:pStyle w:val="Heading1"/>
      </w:pPr>
      <w:r>
        <w:t>2. КАЧЕСТВЕН И КОЛИЧЕСТВЕН СЪСТАВ</w:t>
      </w:r>
    </w:p>
    <w:p w14:paraId="6A14562C" w14:textId="77777777" w:rsidR="001653D6" w:rsidRPr="001653D6" w:rsidRDefault="001653D6" w:rsidP="001653D6">
      <w:pPr>
        <w:rPr>
          <w:sz w:val="24"/>
          <w:szCs w:val="24"/>
        </w:rPr>
      </w:pPr>
      <w:r w:rsidRPr="001653D6">
        <w:rPr>
          <w:lang w:eastAsia="bg-BG"/>
        </w:rPr>
        <w:t xml:space="preserve">Всяка филмирана таблетка съдържа 500 </w:t>
      </w:r>
      <w:r w:rsidRPr="001653D6">
        <w:rPr>
          <w:lang w:val="en-US"/>
        </w:rPr>
        <w:t xml:space="preserve">mg </w:t>
      </w:r>
      <w:proofErr w:type="spellStart"/>
      <w:r w:rsidRPr="001653D6">
        <w:rPr>
          <w:lang w:eastAsia="bg-BG"/>
        </w:rPr>
        <w:t>цсфуроксим</w:t>
      </w:r>
      <w:proofErr w:type="spellEnd"/>
      <w:r w:rsidRPr="001653D6">
        <w:rPr>
          <w:lang w:eastAsia="bg-BG"/>
        </w:rPr>
        <w:t xml:space="preserve"> </w:t>
      </w:r>
      <w:r w:rsidRPr="001653D6">
        <w:rPr>
          <w:i/>
          <w:iCs/>
          <w:lang w:val="en-US"/>
        </w:rPr>
        <w:t>(cefuroxime)</w:t>
      </w:r>
      <w:r w:rsidRPr="001653D6">
        <w:rPr>
          <w:lang w:val="en-US"/>
        </w:rPr>
        <w:t xml:space="preserve"> </w:t>
      </w:r>
      <w:r w:rsidRPr="001653D6">
        <w:rPr>
          <w:lang w:eastAsia="bg-BG"/>
        </w:rPr>
        <w:t>под формата на ц</w:t>
      </w:r>
      <w:r w:rsidRPr="001653D6">
        <w:rPr>
          <w:lang w:val="en-US"/>
        </w:rPr>
        <w:t>e</w:t>
      </w:r>
      <w:proofErr w:type="spellStart"/>
      <w:r w:rsidRPr="001653D6">
        <w:rPr>
          <w:lang w:eastAsia="bg-BG"/>
        </w:rPr>
        <w:t>фуроксим</w:t>
      </w:r>
      <w:proofErr w:type="spellEnd"/>
      <w:r w:rsidRPr="001653D6">
        <w:rPr>
          <w:lang w:eastAsia="bg-BG"/>
        </w:rPr>
        <w:t xml:space="preserve"> </w:t>
      </w:r>
      <w:proofErr w:type="spellStart"/>
      <w:r w:rsidRPr="001653D6">
        <w:rPr>
          <w:lang w:eastAsia="bg-BG"/>
        </w:rPr>
        <w:t>акс</w:t>
      </w:r>
      <w:proofErr w:type="spellEnd"/>
      <w:r w:rsidRPr="001653D6">
        <w:rPr>
          <w:lang w:val="en-US"/>
        </w:rPr>
        <w:t>e</w:t>
      </w:r>
      <w:r w:rsidRPr="001653D6">
        <w:rPr>
          <w:lang w:eastAsia="bg-BG"/>
        </w:rPr>
        <w:t>т</w:t>
      </w:r>
      <w:proofErr w:type="spellStart"/>
      <w:r w:rsidRPr="001653D6">
        <w:rPr>
          <w:lang w:val="en-US"/>
        </w:rPr>
        <w:t>i</w:t>
      </w:r>
      <w:proofErr w:type="spellEnd"/>
      <w:r w:rsidRPr="001653D6">
        <w:rPr>
          <w:lang w:eastAsia="bg-BG"/>
        </w:rPr>
        <w:t xml:space="preserve">л </w:t>
      </w:r>
      <w:r w:rsidRPr="001653D6">
        <w:rPr>
          <w:i/>
          <w:iCs/>
          <w:lang w:val="en-US"/>
        </w:rPr>
        <w:t>(</w:t>
      </w:r>
      <w:proofErr w:type="spellStart"/>
      <w:r w:rsidRPr="001653D6">
        <w:rPr>
          <w:i/>
          <w:iCs/>
          <w:lang w:val="en-US"/>
        </w:rPr>
        <w:t>cefuraxime</w:t>
      </w:r>
      <w:proofErr w:type="spellEnd"/>
      <w:r w:rsidRPr="001653D6">
        <w:rPr>
          <w:i/>
          <w:iCs/>
          <w:lang w:val="en-US"/>
        </w:rPr>
        <w:t xml:space="preserve"> axe </w:t>
      </w:r>
      <w:proofErr w:type="spellStart"/>
      <w:r w:rsidRPr="001653D6">
        <w:rPr>
          <w:i/>
          <w:iCs/>
          <w:lang w:val="en-US"/>
        </w:rPr>
        <w:t>til</w:t>
      </w:r>
      <w:proofErr w:type="spellEnd"/>
      <w:r w:rsidRPr="001653D6">
        <w:rPr>
          <w:i/>
          <w:iCs/>
          <w:lang w:val="en-US"/>
        </w:rPr>
        <w:t>).</w:t>
      </w:r>
    </w:p>
    <w:p w14:paraId="76117DF9" w14:textId="77777777" w:rsidR="001653D6" w:rsidRPr="001653D6" w:rsidRDefault="001653D6" w:rsidP="001653D6"/>
    <w:p w14:paraId="5E332777" w14:textId="293ACB66" w:rsidR="005A66D9" w:rsidRDefault="00DD466D" w:rsidP="00CA1B57">
      <w:pPr>
        <w:pStyle w:val="Heading1"/>
      </w:pPr>
      <w:r>
        <w:t>3. ЛЕКАРСТВЕНА ФОРМА</w:t>
      </w:r>
    </w:p>
    <w:p w14:paraId="52553866" w14:textId="77777777" w:rsidR="001653D6" w:rsidRPr="001653D6" w:rsidRDefault="001653D6" w:rsidP="001653D6">
      <w:pPr>
        <w:rPr>
          <w:sz w:val="24"/>
          <w:szCs w:val="24"/>
        </w:rPr>
      </w:pPr>
      <w:r w:rsidRPr="001653D6">
        <w:rPr>
          <w:lang w:eastAsia="bg-BG"/>
        </w:rPr>
        <w:t>Филмирана таблетка.</w:t>
      </w:r>
    </w:p>
    <w:p w14:paraId="3BAFE04A" w14:textId="77777777" w:rsidR="001653D6" w:rsidRDefault="001653D6" w:rsidP="001653D6">
      <w:pPr>
        <w:rPr>
          <w:lang w:eastAsia="bg-BG"/>
        </w:rPr>
      </w:pPr>
    </w:p>
    <w:p w14:paraId="4F99D3BB" w14:textId="54047522" w:rsidR="001653D6" w:rsidRPr="001653D6" w:rsidRDefault="001653D6" w:rsidP="001653D6">
      <w:pPr>
        <w:rPr>
          <w:sz w:val="24"/>
          <w:szCs w:val="24"/>
        </w:rPr>
      </w:pPr>
      <w:r w:rsidRPr="001653D6">
        <w:rPr>
          <w:lang w:eastAsia="bg-BG"/>
        </w:rPr>
        <w:t>Бели двойноизпъкнали, филмирани таблетки, с делителна черта от едната страна и гладки от другата, приличащи на капсули.</w:t>
      </w:r>
    </w:p>
    <w:p w14:paraId="490FC2C4" w14:textId="77777777" w:rsidR="002C50EE" w:rsidRDefault="002C50EE" w:rsidP="002C50EE">
      <w:pPr>
        <w:pStyle w:val="Heading1"/>
      </w:pPr>
      <w:r>
        <w:t>4. КЛИНИЧНИ ДАННИ</w:t>
      </w:r>
    </w:p>
    <w:p w14:paraId="1512A286" w14:textId="653C5A50" w:rsidR="00FD69E8" w:rsidRDefault="002C50EE" w:rsidP="00AA23EC">
      <w:pPr>
        <w:pStyle w:val="Heading2"/>
      </w:pPr>
      <w:r>
        <w:t>4.1. Терапевтични показания</w:t>
      </w:r>
    </w:p>
    <w:p w14:paraId="22D58259" w14:textId="77777777" w:rsidR="001653D6" w:rsidRPr="001653D6" w:rsidRDefault="001653D6" w:rsidP="001653D6">
      <w:pPr>
        <w:rPr>
          <w:sz w:val="24"/>
          <w:szCs w:val="24"/>
        </w:rPr>
      </w:pPr>
      <w:proofErr w:type="spellStart"/>
      <w:r w:rsidRPr="001653D6">
        <w:rPr>
          <w:lang w:eastAsia="bg-BG"/>
        </w:rPr>
        <w:t>Цефуроксим</w:t>
      </w:r>
      <w:proofErr w:type="spellEnd"/>
      <w:r w:rsidRPr="001653D6">
        <w:rPr>
          <w:lang w:eastAsia="bg-BG"/>
        </w:rPr>
        <w:t xml:space="preserve"> </w:t>
      </w:r>
      <w:proofErr w:type="spellStart"/>
      <w:r w:rsidRPr="001653D6">
        <w:rPr>
          <w:lang w:eastAsia="bg-BG"/>
        </w:rPr>
        <w:t>аксетил</w:t>
      </w:r>
      <w:proofErr w:type="spellEnd"/>
      <w:r w:rsidRPr="001653D6">
        <w:rPr>
          <w:lang w:eastAsia="bg-BG"/>
        </w:rPr>
        <w:t xml:space="preserve"> е показан за лечение на изброените по-долу инфекции при възрастни и деца на възраст на и над 3 месеца (вж. точки 4.4 и 5.1).</w:t>
      </w:r>
    </w:p>
    <w:p w14:paraId="2F69DDDB" w14:textId="77777777" w:rsidR="001653D6" w:rsidRDefault="001653D6" w:rsidP="001653D6">
      <w:pPr>
        <w:rPr>
          <w:lang w:eastAsia="bg-BG"/>
        </w:rPr>
      </w:pPr>
    </w:p>
    <w:p w14:paraId="73F665AC" w14:textId="28646B01" w:rsidR="001653D6" w:rsidRPr="001653D6" w:rsidRDefault="001653D6" w:rsidP="001653D6">
      <w:pPr>
        <w:pStyle w:val="ListParagraph"/>
        <w:numPr>
          <w:ilvl w:val="0"/>
          <w:numId w:val="24"/>
        </w:numPr>
        <w:rPr>
          <w:lang w:eastAsia="bg-BG"/>
        </w:rPr>
      </w:pPr>
      <w:r w:rsidRPr="001653D6">
        <w:rPr>
          <w:lang w:eastAsia="bg-BG"/>
        </w:rPr>
        <w:t xml:space="preserve">Остър стрептококов </w:t>
      </w:r>
      <w:proofErr w:type="spellStart"/>
      <w:r w:rsidRPr="001653D6">
        <w:rPr>
          <w:lang w:eastAsia="bg-BG"/>
        </w:rPr>
        <w:t>тонзилит</w:t>
      </w:r>
      <w:proofErr w:type="spellEnd"/>
      <w:r w:rsidRPr="001653D6">
        <w:rPr>
          <w:lang w:eastAsia="bg-BG"/>
        </w:rPr>
        <w:t xml:space="preserve"> и фарингит;</w:t>
      </w:r>
    </w:p>
    <w:p w14:paraId="4EA7736A" w14:textId="77777777" w:rsidR="001653D6" w:rsidRPr="001653D6" w:rsidRDefault="001653D6" w:rsidP="001653D6">
      <w:pPr>
        <w:pStyle w:val="ListParagraph"/>
        <w:numPr>
          <w:ilvl w:val="0"/>
          <w:numId w:val="24"/>
        </w:numPr>
        <w:rPr>
          <w:lang w:eastAsia="bg-BG"/>
        </w:rPr>
      </w:pPr>
      <w:r w:rsidRPr="001653D6">
        <w:rPr>
          <w:lang w:eastAsia="bg-BG"/>
        </w:rPr>
        <w:t xml:space="preserve">Остър бактериален </w:t>
      </w:r>
      <w:proofErr w:type="spellStart"/>
      <w:r w:rsidRPr="001653D6">
        <w:rPr>
          <w:lang w:eastAsia="bg-BG"/>
        </w:rPr>
        <w:t>синуит</w:t>
      </w:r>
      <w:proofErr w:type="spellEnd"/>
      <w:r w:rsidRPr="001653D6">
        <w:rPr>
          <w:lang w:eastAsia="bg-BG"/>
        </w:rPr>
        <w:t>;</w:t>
      </w:r>
    </w:p>
    <w:p w14:paraId="09039422" w14:textId="77777777" w:rsidR="001653D6" w:rsidRPr="001653D6" w:rsidRDefault="001653D6" w:rsidP="001653D6">
      <w:pPr>
        <w:pStyle w:val="ListParagraph"/>
        <w:numPr>
          <w:ilvl w:val="0"/>
          <w:numId w:val="24"/>
        </w:numPr>
        <w:rPr>
          <w:lang w:eastAsia="bg-BG"/>
        </w:rPr>
      </w:pPr>
      <w:r w:rsidRPr="001653D6">
        <w:rPr>
          <w:lang w:eastAsia="bg-BG"/>
        </w:rPr>
        <w:t>Остър отит на средното ухо:</w:t>
      </w:r>
    </w:p>
    <w:p w14:paraId="6956A208" w14:textId="77777777" w:rsidR="001653D6" w:rsidRPr="001653D6" w:rsidRDefault="001653D6" w:rsidP="001653D6">
      <w:pPr>
        <w:pStyle w:val="ListParagraph"/>
        <w:numPr>
          <w:ilvl w:val="0"/>
          <w:numId w:val="24"/>
        </w:numPr>
        <w:rPr>
          <w:lang w:eastAsia="bg-BG"/>
        </w:rPr>
      </w:pPr>
      <w:r w:rsidRPr="001653D6">
        <w:rPr>
          <w:lang w:eastAsia="bg-BG"/>
        </w:rPr>
        <w:t xml:space="preserve">Остри </w:t>
      </w:r>
      <w:proofErr w:type="spellStart"/>
      <w:r w:rsidRPr="001653D6">
        <w:rPr>
          <w:lang w:eastAsia="bg-BG"/>
        </w:rPr>
        <w:t>екзацербации</w:t>
      </w:r>
      <w:proofErr w:type="spellEnd"/>
      <w:r w:rsidRPr="001653D6">
        <w:rPr>
          <w:lang w:eastAsia="bg-BG"/>
        </w:rPr>
        <w:t xml:space="preserve"> на хроничен</w:t>
      </w:r>
      <w:r w:rsidRPr="001653D6">
        <w:rPr>
          <w:lang w:eastAsia="bg-BG"/>
        </w:rPr>
        <w:tab/>
        <w:t>бронхит;</w:t>
      </w:r>
    </w:p>
    <w:p w14:paraId="3B930A43" w14:textId="77777777" w:rsidR="001653D6" w:rsidRPr="001653D6" w:rsidRDefault="001653D6" w:rsidP="001653D6">
      <w:pPr>
        <w:pStyle w:val="ListParagraph"/>
        <w:numPr>
          <w:ilvl w:val="0"/>
          <w:numId w:val="24"/>
        </w:numPr>
        <w:rPr>
          <w:lang w:eastAsia="bg-BG"/>
        </w:rPr>
      </w:pPr>
      <w:r w:rsidRPr="001653D6">
        <w:rPr>
          <w:lang w:eastAsia="bg-BG"/>
        </w:rPr>
        <w:t>Цистит;</w:t>
      </w:r>
    </w:p>
    <w:p w14:paraId="12FD81C3" w14:textId="77777777" w:rsidR="001653D6" w:rsidRPr="001653D6" w:rsidRDefault="001653D6" w:rsidP="001653D6">
      <w:pPr>
        <w:pStyle w:val="ListParagraph"/>
        <w:numPr>
          <w:ilvl w:val="0"/>
          <w:numId w:val="24"/>
        </w:numPr>
        <w:rPr>
          <w:lang w:eastAsia="bg-BG"/>
        </w:rPr>
      </w:pPr>
      <w:proofErr w:type="spellStart"/>
      <w:r w:rsidRPr="001653D6">
        <w:rPr>
          <w:lang w:eastAsia="bg-BG"/>
        </w:rPr>
        <w:t>Пиелонефрнт</w:t>
      </w:r>
      <w:proofErr w:type="spellEnd"/>
      <w:r w:rsidRPr="001653D6">
        <w:rPr>
          <w:lang w:eastAsia="bg-BG"/>
        </w:rPr>
        <w:t>;</w:t>
      </w:r>
    </w:p>
    <w:p w14:paraId="2267CC04" w14:textId="65FA0268" w:rsidR="001653D6" w:rsidRPr="001653D6" w:rsidRDefault="001653D6" w:rsidP="001653D6">
      <w:pPr>
        <w:pStyle w:val="ListParagraph"/>
        <w:numPr>
          <w:ilvl w:val="0"/>
          <w:numId w:val="24"/>
        </w:numPr>
        <w:rPr>
          <w:lang w:eastAsia="bg-BG"/>
        </w:rPr>
      </w:pPr>
      <w:r w:rsidRPr="001653D6">
        <w:rPr>
          <w:lang w:eastAsia="bg-BG"/>
        </w:rPr>
        <w:t>Н</w:t>
      </w:r>
      <w:r w:rsidRPr="001653D6">
        <w:rPr>
          <w:lang w:val="en-US"/>
        </w:rPr>
        <w:t>e</w:t>
      </w:r>
      <w:proofErr w:type="spellStart"/>
      <w:r w:rsidRPr="001653D6">
        <w:rPr>
          <w:lang w:eastAsia="bg-BG"/>
        </w:rPr>
        <w:t>сложнени</w:t>
      </w:r>
      <w:proofErr w:type="spellEnd"/>
      <w:r w:rsidRPr="001653D6">
        <w:rPr>
          <w:lang w:eastAsia="bg-BG"/>
        </w:rPr>
        <w:t xml:space="preserve"> инфекции</w:t>
      </w:r>
      <w:r>
        <w:rPr>
          <w:lang w:eastAsia="bg-BG"/>
        </w:rPr>
        <w:t xml:space="preserve"> </w:t>
      </w:r>
      <w:r w:rsidRPr="001653D6">
        <w:rPr>
          <w:lang w:eastAsia="bg-BG"/>
        </w:rPr>
        <w:t>на</w:t>
      </w:r>
      <w:r>
        <w:rPr>
          <w:lang w:eastAsia="bg-BG"/>
        </w:rPr>
        <w:t xml:space="preserve"> </w:t>
      </w:r>
      <w:r w:rsidRPr="001653D6">
        <w:rPr>
          <w:lang w:eastAsia="bg-BG"/>
        </w:rPr>
        <w:t>кожата</w:t>
      </w:r>
      <w:r>
        <w:rPr>
          <w:lang w:eastAsia="bg-BG"/>
        </w:rPr>
        <w:t xml:space="preserve"> </w:t>
      </w:r>
      <w:r w:rsidRPr="001653D6">
        <w:rPr>
          <w:lang w:eastAsia="bg-BG"/>
        </w:rPr>
        <w:t>и</w:t>
      </w:r>
      <w:r>
        <w:rPr>
          <w:lang w:eastAsia="bg-BG"/>
        </w:rPr>
        <w:t xml:space="preserve"> </w:t>
      </w:r>
      <w:r w:rsidRPr="001653D6">
        <w:rPr>
          <w:lang w:eastAsia="bg-BG"/>
        </w:rPr>
        <w:t>меките тъкани;</w:t>
      </w:r>
    </w:p>
    <w:p w14:paraId="030A7572" w14:textId="061E3744" w:rsidR="001653D6" w:rsidRDefault="001653D6" w:rsidP="001653D6">
      <w:pPr>
        <w:pStyle w:val="ListParagraph"/>
        <w:numPr>
          <w:ilvl w:val="0"/>
          <w:numId w:val="24"/>
        </w:numPr>
        <w:rPr>
          <w:lang w:eastAsia="bg-BG"/>
        </w:rPr>
      </w:pPr>
      <w:r w:rsidRPr="001653D6">
        <w:rPr>
          <w:lang w:eastAsia="bg-BG"/>
        </w:rPr>
        <w:t>Лечение на ранни</w:t>
      </w:r>
      <w:r>
        <w:rPr>
          <w:lang w:eastAsia="bg-BG"/>
        </w:rPr>
        <w:t xml:space="preserve"> </w:t>
      </w:r>
      <w:r w:rsidRPr="001653D6">
        <w:rPr>
          <w:lang w:eastAsia="bg-BG"/>
        </w:rPr>
        <w:t>прояви</w:t>
      </w:r>
      <w:r>
        <w:rPr>
          <w:lang w:eastAsia="bg-BG"/>
        </w:rPr>
        <w:t xml:space="preserve"> </w:t>
      </w:r>
      <w:r w:rsidRPr="001653D6">
        <w:rPr>
          <w:lang w:eastAsia="bg-BG"/>
        </w:rPr>
        <w:t>на лаймска</w:t>
      </w:r>
      <w:r>
        <w:rPr>
          <w:lang w:eastAsia="bg-BG"/>
        </w:rPr>
        <w:t xml:space="preserve"> </w:t>
      </w:r>
      <w:r w:rsidRPr="001653D6">
        <w:rPr>
          <w:lang w:eastAsia="bg-BG"/>
        </w:rPr>
        <w:t>болест.</w:t>
      </w:r>
    </w:p>
    <w:p w14:paraId="4E3009B6" w14:textId="77777777" w:rsidR="001653D6" w:rsidRPr="001653D6" w:rsidRDefault="001653D6" w:rsidP="001653D6">
      <w:pPr>
        <w:rPr>
          <w:lang w:eastAsia="bg-BG"/>
        </w:rPr>
      </w:pPr>
    </w:p>
    <w:p w14:paraId="43484E89" w14:textId="77777777" w:rsidR="001653D6" w:rsidRPr="001653D6" w:rsidRDefault="001653D6" w:rsidP="001653D6">
      <w:pPr>
        <w:rPr>
          <w:sz w:val="24"/>
          <w:szCs w:val="24"/>
        </w:rPr>
      </w:pPr>
      <w:r w:rsidRPr="001653D6">
        <w:rPr>
          <w:lang w:eastAsia="bg-BG"/>
        </w:rPr>
        <w:t>Трябва да се имат предвид официалните насоки за правилната употреба на антибактериални средства.</w:t>
      </w:r>
    </w:p>
    <w:p w14:paraId="57618A53" w14:textId="77777777" w:rsidR="001653D6" w:rsidRPr="001653D6" w:rsidRDefault="001653D6" w:rsidP="001653D6"/>
    <w:p w14:paraId="127F2AC9" w14:textId="2E061C7C" w:rsidR="00FD69E8" w:rsidRDefault="002C50EE" w:rsidP="00AA23EC">
      <w:pPr>
        <w:pStyle w:val="Heading2"/>
      </w:pPr>
      <w:r>
        <w:t>4.2. Дозировка и начин на приложение</w:t>
      </w:r>
    </w:p>
    <w:p w14:paraId="3B7F926B" w14:textId="77777777" w:rsidR="001653D6" w:rsidRPr="001653D6" w:rsidRDefault="001653D6" w:rsidP="001653D6"/>
    <w:p w14:paraId="5871A882" w14:textId="77777777" w:rsidR="001653D6" w:rsidRPr="001653D6" w:rsidRDefault="001653D6" w:rsidP="001653D6">
      <w:pPr>
        <w:pStyle w:val="Heading3"/>
        <w:rPr>
          <w:rFonts w:eastAsia="Times New Roman"/>
          <w:u w:val="single"/>
        </w:rPr>
      </w:pPr>
      <w:r w:rsidRPr="001653D6">
        <w:rPr>
          <w:rFonts w:eastAsia="Times New Roman"/>
          <w:u w:val="single"/>
          <w:lang w:eastAsia="bg-BG"/>
        </w:rPr>
        <w:t>Дозировка</w:t>
      </w:r>
    </w:p>
    <w:p w14:paraId="5C72752D" w14:textId="77777777" w:rsidR="001653D6" w:rsidRDefault="001653D6" w:rsidP="001653D6">
      <w:pPr>
        <w:rPr>
          <w:lang w:eastAsia="bg-BG"/>
        </w:rPr>
      </w:pPr>
    </w:p>
    <w:p w14:paraId="1B5A56ED" w14:textId="73AA0443" w:rsidR="001653D6" w:rsidRPr="001653D6" w:rsidRDefault="001653D6" w:rsidP="001653D6">
      <w:pPr>
        <w:rPr>
          <w:sz w:val="24"/>
          <w:szCs w:val="24"/>
        </w:rPr>
      </w:pPr>
      <w:r w:rsidRPr="001653D6">
        <w:rPr>
          <w:lang w:eastAsia="bg-BG"/>
        </w:rPr>
        <w:t>Обичайния г курс на лечение е седем дни (може да варира от пет до седем дни).</w:t>
      </w:r>
    </w:p>
    <w:p w14:paraId="6A37A461" w14:textId="77777777" w:rsidR="001653D6" w:rsidRDefault="001653D6" w:rsidP="001653D6">
      <w:pPr>
        <w:rPr>
          <w:i/>
          <w:iCs/>
          <w:lang w:eastAsia="bg-BG"/>
        </w:rPr>
      </w:pPr>
    </w:p>
    <w:p w14:paraId="73C57173" w14:textId="2820F6C1" w:rsidR="001653D6" w:rsidRDefault="001653D6" w:rsidP="001653D6">
      <w:pPr>
        <w:rPr>
          <w:i/>
          <w:iCs/>
          <w:lang w:val="en-US"/>
        </w:rPr>
      </w:pPr>
      <w:r w:rsidRPr="001653D6">
        <w:rPr>
          <w:i/>
          <w:iCs/>
          <w:lang w:eastAsia="bg-BG"/>
        </w:rPr>
        <w:t>Таблица 1. Възрастни и деца (</w:t>
      </w:r>
      <w:r w:rsidRPr="001653D6">
        <w:rPr>
          <w:i/>
          <w:iCs/>
          <w:lang w:val="en-US"/>
        </w:rPr>
        <w:t>≥</w:t>
      </w:r>
      <w:r w:rsidRPr="001653D6">
        <w:rPr>
          <w:i/>
          <w:iCs/>
          <w:lang w:eastAsia="bg-BG"/>
        </w:rPr>
        <w:t xml:space="preserve"> 40 </w:t>
      </w:r>
      <w:r w:rsidRPr="001653D6">
        <w:rPr>
          <w:i/>
          <w:iCs/>
          <w:lang w:val="en-US"/>
        </w:rPr>
        <w:t>kg)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653D6" w14:paraId="716D8FB5" w14:textId="77777777" w:rsidTr="001653D6">
        <w:tc>
          <w:tcPr>
            <w:tcW w:w="4788" w:type="dxa"/>
          </w:tcPr>
          <w:p w14:paraId="60AC35B3" w14:textId="0AB5C7DD" w:rsidR="001653D6" w:rsidRPr="001653D6" w:rsidRDefault="001653D6" w:rsidP="001653D6">
            <w:pPr>
              <w:rPr>
                <w:b/>
                <w:bCs/>
                <w:sz w:val="24"/>
                <w:szCs w:val="24"/>
              </w:rPr>
            </w:pPr>
            <w:r w:rsidRPr="001653D6">
              <w:rPr>
                <w:b/>
                <w:bCs/>
              </w:rPr>
              <w:t>Показание</w:t>
            </w:r>
          </w:p>
        </w:tc>
        <w:tc>
          <w:tcPr>
            <w:tcW w:w="4788" w:type="dxa"/>
          </w:tcPr>
          <w:p w14:paraId="4994EDA4" w14:textId="7AC114F7" w:rsidR="001653D6" w:rsidRPr="001653D6" w:rsidRDefault="001653D6" w:rsidP="001653D6">
            <w:pPr>
              <w:rPr>
                <w:b/>
                <w:bCs/>
                <w:sz w:val="24"/>
                <w:szCs w:val="24"/>
              </w:rPr>
            </w:pPr>
            <w:r w:rsidRPr="001653D6">
              <w:rPr>
                <w:b/>
                <w:bCs/>
              </w:rPr>
              <w:t>Дозировка</w:t>
            </w:r>
          </w:p>
        </w:tc>
      </w:tr>
      <w:tr w:rsidR="001653D6" w14:paraId="05820C94" w14:textId="77777777" w:rsidTr="0041335C">
        <w:tc>
          <w:tcPr>
            <w:tcW w:w="4788" w:type="dxa"/>
          </w:tcPr>
          <w:p w14:paraId="132EF882" w14:textId="5C4E43F6" w:rsidR="001653D6" w:rsidRDefault="001653D6" w:rsidP="001653D6">
            <w:pPr>
              <w:rPr>
                <w:sz w:val="24"/>
                <w:szCs w:val="24"/>
              </w:rPr>
            </w:pPr>
            <w:r>
              <w:t xml:space="preserve">Остър </w:t>
            </w:r>
            <w:proofErr w:type="spellStart"/>
            <w:r>
              <w:t>тонзилит</w:t>
            </w:r>
            <w:proofErr w:type="spellEnd"/>
            <w:r>
              <w:t xml:space="preserve"> и фарингит, остър </w:t>
            </w:r>
            <w:r>
              <w:lastRenderedPageBreak/>
              <w:t xml:space="preserve">бактериален </w:t>
            </w:r>
            <w:proofErr w:type="spellStart"/>
            <w:r>
              <w:t>синуит</w:t>
            </w:r>
            <w:proofErr w:type="spellEnd"/>
          </w:p>
        </w:tc>
        <w:tc>
          <w:tcPr>
            <w:tcW w:w="4788" w:type="dxa"/>
            <w:vAlign w:val="bottom"/>
          </w:tcPr>
          <w:p w14:paraId="0C00607B" w14:textId="41921480" w:rsidR="001653D6" w:rsidRDefault="001653D6" w:rsidP="001653D6">
            <w:pPr>
              <w:rPr>
                <w:sz w:val="24"/>
                <w:szCs w:val="24"/>
              </w:rPr>
            </w:pPr>
            <w:r>
              <w:lastRenderedPageBreak/>
              <w:t xml:space="preserve">250 </w:t>
            </w:r>
            <w:r>
              <w:rPr>
                <w:lang w:val="en-US"/>
              </w:rPr>
              <w:t xml:space="preserve">mg </w:t>
            </w:r>
            <w:r>
              <w:t>два пъти дневно</w:t>
            </w:r>
          </w:p>
        </w:tc>
      </w:tr>
      <w:tr w:rsidR="001653D6" w14:paraId="01A1DA97" w14:textId="77777777" w:rsidTr="0041335C">
        <w:tc>
          <w:tcPr>
            <w:tcW w:w="4788" w:type="dxa"/>
            <w:vAlign w:val="bottom"/>
          </w:tcPr>
          <w:p w14:paraId="69293E96" w14:textId="1C294E11" w:rsidR="001653D6" w:rsidRDefault="001653D6" w:rsidP="001653D6">
            <w:pPr>
              <w:rPr>
                <w:sz w:val="24"/>
                <w:szCs w:val="24"/>
              </w:rPr>
            </w:pPr>
            <w:r>
              <w:t>Остър отит на средното ухо</w:t>
            </w:r>
          </w:p>
        </w:tc>
        <w:tc>
          <w:tcPr>
            <w:tcW w:w="4788" w:type="dxa"/>
            <w:vAlign w:val="bottom"/>
          </w:tcPr>
          <w:p w14:paraId="6E5302DD" w14:textId="77A4944D" w:rsidR="001653D6" w:rsidRDefault="001653D6" w:rsidP="001653D6">
            <w:pPr>
              <w:rPr>
                <w:sz w:val="24"/>
                <w:szCs w:val="24"/>
              </w:rPr>
            </w:pPr>
            <w:r>
              <w:t xml:space="preserve">500 </w:t>
            </w:r>
            <w:r>
              <w:rPr>
                <w:lang w:val="en-US"/>
              </w:rPr>
              <w:t xml:space="preserve">mg </w:t>
            </w:r>
            <w:r>
              <w:t>два пъти дневно</w:t>
            </w:r>
          </w:p>
        </w:tc>
      </w:tr>
      <w:tr w:rsidR="001653D6" w14:paraId="651E5912" w14:textId="77777777" w:rsidTr="0041335C">
        <w:tc>
          <w:tcPr>
            <w:tcW w:w="4788" w:type="dxa"/>
            <w:vAlign w:val="bottom"/>
          </w:tcPr>
          <w:p w14:paraId="394B8189" w14:textId="7FDA3BAA" w:rsidR="001653D6" w:rsidRDefault="001653D6" w:rsidP="001653D6">
            <w:pPr>
              <w:rPr>
                <w:sz w:val="24"/>
                <w:szCs w:val="24"/>
              </w:rPr>
            </w:pPr>
            <w:r>
              <w:t xml:space="preserve">Остри </w:t>
            </w:r>
            <w:proofErr w:type="spellStart"/>
            <w:r>
              <w:t>екзацербации</w:t>
            </w:r>
            <w:proofErr w:type="spellEnd"/>
            <w:r>
              <w:t xml:space="preserve"> на хроничен бронхит</w:t>
            </w:r>
          </w:p>
        </w:tc>
        <w:tc>
          <w:tcPr>
            <w:tcW w:w="4788" w:type="dxa"/>
            <w:vAlign w:val="bottom"/>
          </w:tcPr>
          <w:p w14:paraId="20B544D5" w14:textId="722FE5F6" w:rsidR="001653D6" w:rsidRDefault="001653D6" w:rsidP="001653D6">
            <w:pPr>
              <w:rPr>
                <w:sz w:val="24"/>
                <w:szCs w:val="24"/>
              </w:rPr>
            </w:pPr>
            <w:r>
              <w:t xml:space="preserve">500 </w:t>
            </w:r>
            <w:r>
              <w:rPr>
                <w:lang w:val="en-US"/>
              </w:rPr>
              <w:t xml:space="preserve">mg </w:t>
            </w:r>
            <w:r>
              <w:t>два пъти дневно</w:t>
            </w:r>
          </w:p>
        </w:tc>
      </w:tr>
      <w:tr w:rsidR="001653D6" w14:paraId="20BEF2B6" w14:textId="77777777" w:rsidTr="0041335C">
        <w:tc>
          <w:tcPr>
            <w:tcW w:w="4788" w:type="dxa"/>
            <w:vAlign w:val="bottom"/>
          </w:tcPr>
          <w:p w14:paraId="584C027F" w14:textId="3295FC4A" w:rsidR="001653D6" w:rsidRDefault="001653D6" w:rsidP="001653D6">
            <w:pPr>
              <w:rPr>
                <w:sz w:val="24"/>
                <w:szCs w:val="24"/>
              </w:rPr>
            </w:pPr>
            <w:r>
              <w:t>Цистит</w:t>
            </w:r>
          </w:p>
        </w:tc>
        <w:tc>
          <w:tcPr>
            <w:tcW w:w="4788" w:type="dxa"/>
            <w:vAlign w:val="bottom"/>
          </w:tcPr>
          <w:p w14:paraId="77089EBF" w14:textId="3EFC6857" w:rsidR="001653D6" w:rsidRDefault="001653D6" w:rsidP="001653D6">
            <w:pPr>
              <w:rPr>
                <w:sz w:val="24"/>
                <w:szCs w:val="24"/>
              </w:rPr>
            </w:pPr>
            <w:r>
              <w:t xml:space="preserve">250 </w:t>
            </w:r>
            <w:r>
              <w:rPr>
                <w:lang w:val="en-US"/>
              </w:rPr>
              <w:t xml:space="preserve">mg </w:t>
            </w:r>
            <w:r>
              <w:t>два пъти дневно</w:t>
            </w:r>
          </w:p>
        </w:tc>
      </w:tr>
      <w:tr w:rsidR="001653D6" w14:paraId="14E2C659" w14:textId="77777777" w:rsidTr="0041335C">
        <w:tc>
          <w:tcPr>
            <w:tcW w:w="4788" w:type="dxa"/>
            <w:vAlign w:val="bottom"/>
          </w:tcPr>
          <w:p w14:paraId="5871E431" w14:textId="743BBA0D" w:rsidR="001653D6" w:rsidRDefault="001653D6" w:rsidP="001653D6">
            <w:pPr>
              <w:rPr>
                <w:sz w:val="24"/>
                <w:szCs w:val="24"/>
              </w:rPr>
            </w:pPr>
            <w:proofErr w:type="spellStart"/>
            <w:r>
              <w:t>Пнелонсфрнт</w:t>
            </w:r>
            <w:proofErr w:type="spellEnd"/>
          </w:p>
        </w:tc>
        <w:tc>
          <w:tcPr>
            <w:tcW w:w="4788" w:type="dxa"/>
            <w:vAlign w:val="bottom"/>
          </w:tcPr>
          <w:p w14:paraId="244C0EDC" w14:textId="325D8CDE" w:rsidR="001653D6" w:rsidRDefault="001653D6" w:rsidP="001653D6">
            <w:pPr>
              <w:rPr>
                <w:sz w:val="24"/>
                <w:szCs w:val="24"/>
              </w:rPr>
            </w:pPr>
            <w:r>
              <w:t xml:space="preserve">250 </w:t>
            </w:r>
            <w:r>
              <w:rPr>
                <w:lang w:val="en-US"/>
              </w:rPr>
              <w:t xml:space="preserve">mg </w:t>
            </w:r>
            <w:r>
              <w:t>два пъти дневно</w:t>
            </w:r>
          </w:p>
        </w:tc>
      </w:tr>
      <w:tr w:rsidR="001653D6" w14:paraId="6E715FF9" w14:textId="77777777" w:rsidTr="001653D6">
        <w:tc>
          <w:tcPr>
            <w:tcW w:w="4788" w:type="dxa"/>
          </w:tcPr>
          <w:p w14:paraId="5ADFEF31" w14:textId="11438739" w:rsidR="001653D6" w:rsidRDefault="001653D6" w:rsidP="001653D6">
            <w:pPr>
              <w:rPr>
                <w:sz w:val="24"/>
                <w:szCs w:val="24"/>
              </w:rPr>
            </w:pPr>
            <w:proofErr w:type="spellStart"/>
            <w:r>
              <w:t>Неусложнени</w:t>
            </w:r>
            <w:proofErr w:type="spellEnd"/>
            <w:r>
              <w:t xml:space="preserve"> инфекции на кожата и меките тъкани</w:t>
            </w:r>
          </w:p>
        </w:tc>
        <w:tc>
          <w:tcPr>
            <w:tcW w:w="4788" w:type="dxa"/>
          </w:tcPr>
          <w:p w14:paraId="5BE800BE" w14:textId="66A75CD0" w:rsidR="001653D6" w:rsidRDefault="001653D6" w:rsidP="001653D6">
            <w:pPr>
              <w:rPr>
                <w:sz w:val="24"/>
                <w:szCs w:val="24"/>
              </w:rPr>
            </w:pPr>
            <w:r>
              <w:t xml:space="preserve">250 </w:t>
            </w:r>
            <w:r>
              <w:rPr>
                <w:lang w:val="en-US"/>
              </w:rPr>
              <w:t xml:space="preserve">mg </w:t>
            </w:r>
            <w:r>
              <w:t>два пъти дневно</w:t>
            </w:r>
          </w:p>
        </w:tc>
      </w:tr>
      <w:tr w:rsidR="001653D6" w14:paraId="70753545" w14:textId="77777777" w:rsidTr="001653D6">
        <w:tc>
          <w:tcPr>
            <w:tcW w:w="4788" w:type="dxa"/>
          </w:tcPr>
          <w:p w14:paraId="0E7BC354" w14:textId="3DA07FDD" w:rsidR="001653D6" w:rsidRDefault="001653D6" w:rsidP="001653D6">
            <w:pPr>
              <w:rPr>
                <w:sz w:val="24"/>
                <w:szCs w:val="24"/>
              </w:rPr>
            </w:pPr>
            <w:r>
              <w:t>Лаймска болест</w:t>
            </w:r>
          </w:p>
        </w:tc>
        <w:tc>
          <w:tcPr>
            <w:tcW w:w="4788" w:type="dxa"/>
          </w:tcPr>
          <w:p w14:paraId="3D012856" w14:textId="51561521" w:rsidR="001653D6" w:rsidRDefault="001653D6" w:rsidP="001653D6">
            <w:pPr>
              <w:rPr>
                <w:sz w:val="24"/>
                <w:szCs w:val="24"/>
              </w:rPr>
            </w:pPr>
            <w:r>
              <w:t xml:space="preserve">500 </w:t>
            </w:r>
            <w:r>
              <w:rPr>
                <w:lang w:val="en-US"/>
              </w:rPr>
              <w:t xml:space="preserve">mg </w:t>
            </w:r>
            <w:r>
              <w:t>два пъти дневно за 14 дни (между 10 и 21 дни)</w:t>
            </w:r>
          </w:p>
        </w:tc>
      </w:tr>
    </w:tbl>
    <w:p w14:paraId="13A70276" w14:textId="6E7576A4" w:rsidR="001653D6" w:rsidRDefault="001653D6" w:rsidP="001653D6">
      <w:pPr>
        <w:rPr>
          <w:sz w:val="24"/>
          <w:szCs w:val="24"/>
        </w:rPr>
      </w:pPr>
    </w:p>
    <w:p w14:paraId="2B5561BF" w14:textId="3C5D6133" w:rsidR="001653D6" w:rsidRPr="001653D6" w:rsidRDefault="001653D6" w:rsidP="001653D6">
      <w:pPr>
        <w:rPr>
          <w:i/>
          <w:iCs/>
          <w:sz w:val="24"/>
          <w:szCs w:val="24"/>
        </w:rPr>
      </w:pPr>
      <w:r w:rsidRPr="001653D6">
        <w:rPr>
          <w:i/>
          <w:iCs/>
        </w:rPr>
        <w:t xml:space="preserve">Таблица 2. Деца (&lt; 40 </w:t>
      </w:r>
      <w:r w:rsidRPr="001653D6">
        <w:rPr>
          <w:i/>
          <w:iCs/>
          <w:lang w:val="en-US"/>
        </w:rPr>
        <w:t>kg)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653D6" w14:paraId="0C770710" w14:textId="77777777" w:rsidTr="001653D6">
        <w:tc>
          <w:tcPr>
            <w:tcW w:w="4788" w:type="dxa"/>
          </w:tcPr>
          <w:p w14:paraId="5D6D997C" w14:textId="29093BAB" w:rsidR="001653D6" w:rsidRPr="001653D6" w:rsidRDefault="001653D6" w:rsidP="001653D6">
            <w:pPr>
              <w:rPr>
                <w:b/>
                <w:bCs/>
              </w:rPr>
            </w:pPr>
            <w:r w:rsidRPr="001653D6">
              <w:rPr>
                <w:b/>
                <w:bCs/>
              </w:rPr>
              <w:t>Показание</w:t>
            </w:r>
          </w:p>
        </w:tc>
        <w:tc>
          <w:tcPr>
            <w:tcW w:w="4788" w:type="dxa"/>
          </w:tcPr>
          <w:p w14:paraId="50A60768" w14:textId="6242E6DC" w:rsidR="001653D6" w:rsidRPr="001653D6" w:rsidRDefault="001653D6" w:rsidP="001653D6">
            <w:pPr>
              <w:rPr>
                <w:b/>
                <w:bCs/>
              </w:rPr>
            </w:pPr>
            <w:r w:rsidRPr="001653D6">
              <w:rPr>
                <w:b/>
                <w:bCs/>
              </w:rPr>
              <w:t>Дозировка</w:t>
            </w:r>
          </w:p>
        </w:tc>
      </w:tr>
      <w:tr w:rsidR="001653D6" w14:paraId="30D55A5E" w14:textId="77777777" w:rsidTr="001653D6">
        <w:tc>
          <w:tcPr>
            <w:tcW w:w="4788" w:type="dxa"/>
          </w:tcPr>
          <w:p w14:paraId="4D56A1F7" w14:textId="3B9F7AA9" w:rsidR="001653D6" w:rsidRDefault="001653D6" w:rsidP="001653D6">
            <w:r>
              <w:t xml:space="preserve">Остър </w:t>
            </w:r>
            <w:proofErr w:type="spellStart"/>
            <w:r>
              <w:t>тонзилит</w:t>
            </w:r>
            <w:proofErr w:type="spellEnd"/>
            <w:r>
              <w:t xml:space="preserve"> и фарингит, остър бактериален </w:t>
            </w:r>
            <w:proofErr w:type="spellStart"/>
            <w:r>
              <w:t>синуит</w:t>
            </w:r>
            <w:proofErr w:type="spellEnd"/>
          </w:p>
        </w:tc>
        <w:tc>
          <w:tcPr>
            <w:tcW w:w="4788" w:type="dxa"/>
          </w:tcPr>
          <w:p w14:paraId="0F906091" w14:textId="70317F15" w:rsidR="001653D6" w:rsidRDefault="001653D6" w:rsidP="001653D6">
            <w:r>
              <w:t xml:space="preserve">10 </w:t>
            </w:r>
            <w:r>
              <w:rPr>
                <w:lang w:val="en-US"/>
              </w:rPr>
              <w:t xml:space="preserve">mg/kg </w:t>
            </w:r>
            <w:r>
              <w:t xml:space="preserve">два пъти дневно, до максимална доза от 125 </w:t>
            </w:r>
            <w:r>
              <w:rPr>
                <w:lang w:val="en-US"/>
              </w:rPr>
              <w:t xml:space="preserve">mg </w:t>
            </w:r>
            <w:r>
              <w:t>два пъти дневно</w:t>
            </w:r>
          </w:p>
        </w:tc>
      </w:tr>
      <w:tr w:rsidR="001653D6" w14:paraId="47224B6A" w14:textId="77777777" w:rsidTr="001653D6">
        <w:tc>
          <w:tcPr>
            <w:tcW w:w="4788" w:type="dxa"/>
          </w:tcPr>
          <w:p w14:paraId="03F88AC4" w14:textId="35E532BA" w:rsidR="001653D6" w:rsidRDefault="001653D6" w:rsidP="001653D6">
            <w:r>
              <w:t>Деца на възраст две или повече години, с отит на средното ухо или, когато е приложимо с по-тежки инфекции</w:t>
            </w:r>
          </w:p>
        </w:tc>
        <w:tc>
          <w:tcPr>
            <w:tcW w:w="4788" w:type="dxa"/>
          </w:tcPr>
          <w:p w14:paraId="70F020AC" w14:textId="34D7EB34" w:rsidR="001653D6" w:rsidRDefault="001653D6" w:rsidP="001653D6">
            <w:r>
              <w:t xml:space="preserve">15 </w:t>
            </w:r>
            <w:r>
              <w:rPr>
                <w:lang w:val="en-US"/>
              </w:rPr>
              <w:t xml:space="preserve">mg/kg </w:t>
            </w:r>
            <w:r>
              <w:t xml:space="preserve">два пъти дневно, до максимална доза от 250 </w:t>
            </w:r>
            <w:r>
              <w:rPr>
                <w:lang w:val="en-US"/>
              </w:rPr>
              <w:t xml:space="preserve">mg </w:t>
            </w:r>
            <w:r>
              <w:t>два пъти дневно</w:t>
            </w:r>
          </w:p>
        </w:tc>
      </w:tr>
      <w:tr w:rsidR="001653D6" w14:paraId="3AE71D1F" w14:textId="77777777" w:rsidTr="001653D6">
        <w:tc>
          <w:tcPr>
            <w:tcW w:w="4788" w:type="dxa"/>
          </w:tcPr>
          <w:p w14:paraId="09B3EEC3" w14:textId="5A66F75D" w:rsidR="001653D6" w:rsidRDefault="001653D6" w:rsidP="001653D6">
            <w:r>
              <w:t>Цистит</w:t>
            </w:r>
          </w:p>
        </w:tc>
        <w:tc>
          <w:tcPr>
            <w:tcW w:w="4788" w:type="dxa"/>
          </w:tcPr>
          <w:p w14:paraId="56DB6CBB" w14:textId="3B2CA3F2" w:rsidR="001653D6" w:rsidRDefault="001653D6" w:rsidP="001653D6">
            <w:r>
              <w:t xml:space="preserve">15 </w:t>
            </w:r>
            <w:r>
              <w:rPr>
                <w:lang w:val="en-US"/>
              </w:rPr>
              <w:t xml:space="preserve">mg/kg </w:t>
            </w:r>
            <w:r>
              <w:t xml:space="preserve">два пъти дневно, до максимална доза от 250 </w:t>
            </w:r>
            <w:r>
              <w:rPr>
                <w:lang w:val="en-US"/>
              </w:rPr>
              <w:t xml:space="preserve">mg </w:t>
            </w:r>
            <w:r>
              <w:t>два пъти дневно</w:t>
            </w:r>
          </w:p>
        </w:tc>
      </w:tr>
      <w:tr w:rsidR="001653D6" w14:paraId="71F31A1D" w14:textId="77777777" w:rsidTr="001653D6">
        <w:tc>
          <w:tcPr>
            <w:tcW w:w="4788" w:type="dxa"/>
          </w:tcPr>
          <w:p w14:paraId="4F550A46" w14:textId="3A9A49BD" w:rsidR="001653D6" w:rsidRDefault="001653D6" w:rsidP="001653D6">
            <w:proofErr w:type="spellStart"/>
            <w:r>
              <w:t>Пиелонефрит</w:t>
            </w:r>
            <w:proofErr w:type="spellEnd"/>
          </w:p>
        </w:tc>
        <w:tc>
          <w:tcPr>
            <w:tcW w:w="4788" w:type="dxa"/>
          </w:tcPr>
          <w:p w14:paraId="0C77FB5F" w14:textId="4C0BB4CC" w:rsidR="001653D6" w:rsidRDefault="001653D6" w:rsidP="001653D6">
            <w:r>
              <w:t xml:space="preserve">15 </w:t>
            </w:r>
            <w:r>
              <w:rPr>
                <w:lang w:val="en-US"/>
              </w:rPr>
              <w:t xml:space="preserve">mg/kg </w:t>
            </w:r>
            <w:r>
              <w:t xml:space="preserve">два пъти дневно, до максимална доза от 250 </w:t>
            </w:r>
            <w:r>
              <w:rPr>
                <w:lang w:val="en-US"/>
              </w:rPr>
              <w:t xml:space="preserve">mg </w:t>
            </w:r>
            <w:r>
              <w:t>два пъти дневно за 10 до 14 дни</w:t>
            </w:r>
          </w:p>
        </w:tc>
      </w:tr>
      <w:tr w:rsidR="001653D6" w14:paraId="104C013C" w14:textId="77777777" w:rsidTr="001653D6">
        <w:tc>
          <w:tcPr>
            <w:tcW w:w="4788" w:type="dxa"/>
          </w:tcPr>
          <w:p w14:paraId="163DC9FE" w14:textId="7823C77A" w:rsidR="001653D6" w:rsidRDefault="001653D6" w:rsidP="001653D6">
            <w:proofErr w:type="spellStart"/>
            <w:r>
              <w:t>Неусложнени</w:t>
            </w:r>
            <w:proofErr w:type="spellEnd"/>
            <w:r>
              <w:t xml:space="preserve"> инфекции на кожата и меките тъкани</w:t>
            </w:r>
          </w:p>
        </w:tc>
        <w:tc>
          <w:tcPr>
            <w:tcW w:w="4788" w:type="dxa"/>
          </w:tcPr>
          <w:p w14:paraId="5B7AC7B3" w14:textId="0FA89D91" w:rsidR="001653D6" w:rsidRDefault="001653D6" w:rsidP="001653D6">
            <w:r>
              <w:t xml:space="preserve">15 </w:t>
            </w:r>
            <w:r>
              <w:rPr>
                <w:lang w:val="en-US"/>
              </w:rPr>
              <w:t xml:space="preserve">mg/kg </w:t>
            </w:r>
            <w:r>
              <w:t xml:space="preserve">два пъти дневно, до максимална доза от 250 </w:t>
            </w:r>
            <w:r>
              <w:rPr>
                <w:lang w:val="en-US"/>
              </w:rPr>
              <w:t xml:space="preserve">mg </w:t>
            </w:r>
            <w:r>
              <w:t>два пъти дневно</w:t>
            </w:r>
          </w:p>
        </w:tc>
      </w:tr>
      <w:tr w:rsidR="001653D6" w14:paraId="518BAC48" w14:textId="77777777" w:rsidTr="001653D6">
        <w:tc>
          <w:tcPr>
            <w:tcW w:w="4788" w:type="dxa"/>
          </w:tcPr>
          <w:p w14:paraId="4ED82127" w14:textId="52B17C19" w:rsidR="001653D6" w:rsidRDefault="001653D6" w:rsidP="001653D6">
            <w:r>
              <w:t>Лаймска болест</w:t>
            </w:r>
          </w:p>
        </w:tc>
        <w:tc>
          <w:tcPr>
            <w:tcW w:w="4788" w:type="dxa"/>
          </w:tcPr>
          <w:p w14:paraId="547CC483" w14:textId="7DF29C4D" w:rsidR="001653D6" w:rsidRDefault="001653D6" w:rsidP="001653D6">
            <w:r>
              <w:t xml:space="preserve">15 </w:t>
            </w:r>
            <w:r>
              <w:rPr>
                <w:lang w:val="en-US"/>
              </w:rPr>
              <w:t xml:space="preserve">mg/kg </w:t>
            </w:r>
            <w:r>
              <w:t xml:space="preserve">два пъти дневно, до максимална доза от 250 </w:t>
            </w:r>
            <w:r>
              <w:rPr>
                <w:lang w:val="en-US"/>
              </w:rPr>
              <w:t xml:space="preserve">mg </w:t>
            </w:r>
            <w:r>
              <w:t>два пъти дневно за 14 дни (10 до 21 дни)</w:t>
            </w:r>
          </w:p>
        </w:tc>
      </w:tr>
    </w:tbl>
    <w:p w14:paraId="05900976" w14:textId="77777777" w:rsidR="001653D6" w:rsidRPr="001653D6" w:rsidRDefault="001653D6" w:rsidP="001653D6">
      <w:pPr>
        <w:rPr>
          <w:sz w:val="24"/>
          <w:szCs w:val="24"/>
        </w:rPr>
      </w:pPr>
      <w:r w:rsidRPr="001653D6">
        <w:rPr>
          <w:lang w:eastAsia="bg-BG"/>
        </w:rPr>
        <w:t xml:space="preserve">Няма опит с приложение на </w:t>
      </w:r>
      <w:proofErr w:type="spellStart"/>
      <w:r w:rsidRPr="001653D6">
        <w:rPr>
          <w:lang w:eastAsia="bg-BG"/>
        </w:rPr>
        <w:t>Лифурокс</w:t>
      </w:r>
      <w:proofErr w:type="spellEnd"/>
      <w:r w:rsidRPr="001653D6">
        <w:rPr>
          <w:lang w:eastAsia="bg-BG"/>
        </w:rPr>
        <w:t xml:space="preserve"> при деца на възраст под 3 месеца.</w:t>
      </w:r>
    </w:p>
    <w:p w14:paraId="18B64E8F" w14:textId="77777777" w:rsidR="001653D6" w:rsidRDefault="001653D6" w:rsidP="001653D6">
      <w:pPr>
        <w:rPr>
          <w:lang w:eastAsia="bg-BG"/>
        </w:rPr>
      </w:pPr>
    </w:p>
    <w:p w14:paraId="01C79CB5" w14:textId="268007C1" w:rsidR="001653D6" w:rsidRPr="001653D6" w:rsidRDefault="001653D6" w:rsidP="001653D6">
      <w:pPr>
        <w:rPr>
          <w:sz w:val="24"/>
          <w:szCs w:val="24"/>
        </w:rPr>
      </w:pPr>
      <w:r w:rsidRPr="001653D6">
        <w:rPr>
          <w:lang w:eastAsia="bg-BG"/>
        </w:rPr>
        <w:t xml:space="preserve">Таблетките </w:t>
      </w:r>
      <w:proofErr w:type="spellStart"/>
      <w:r w:rsidRPr="001653D6">
        <w:rPr>
          <w:lang w:eastAsia="bg-BG"/>
        </w:rPr>
        <w:t>цефуроксим</w:t>
      </w:r>
      <w:proofErr w:type="spellEnd"/>
      <w:r w:rsidRPr="001653D6">
        <w:rPr>
          <w:lang w:eastAsia="bg-BG"/>
        </w:rPr>
        <w:t xml:space="preserve"> </w:t>
      </w:r>
      <w:proofErr w:type="spellStart"/>
      <w:r w:rsidRPr="001653D6">
        <w:rPr>
          <w:lang w:eastAsia="bg-BG"/>
        </w:rPr>
        <w:t>аксетил</w:t>
      </w:r>
      <w:proofErr w:type="spellEnd"/>
      <w:r w:rsidRPr="001653D6">
        <w:rPr>
          <w:lang w:eastAsia="bg-BG"/>
        </w:rPr>
        <w:t xml:space="preserve"> и гранулите за перорална суспензия </w:t>
      </w:r>
      <w:proofErr w:type="spellStart"/>
      <w:r w:rsidRPr="001653D6">
        <w:rPr>
          <w:lang w:eastAsia="bg-BG"/>
        </w:rPr>
        <w:t>цефуроксим</w:t>
      </w:r>
      <w:proofErr w:type="spellEnd"/>
      <w:r w:rsidRPr="001653D6">
        <w:rPr>
          <w:lang w:eastAsia="bg-BG"/>
        </w:rPr>
        <w:t xml:space="preserve"> </w:t>
      </w:r>
      <w:proofErr w:type="spellStart"/>
      <w:r w:rsidRPr="001653D6">
        <w:rPr>
          <w:lang w:eastAsia="bg-BG"/>
        </w:rPr>
        <w:t>аксетил</w:t>
      </w:r>
      <w:proofErr w:type="spellEnd"/>
      <w:r w:rsidRPr="001653D6">
        <w:rPr>
          <w:lang w:eastAsia="bg-BG"/>
        </w:rPr>
        <w:t xml:space="preserve"> не са биоеквивалентни и не са </w:t>
      </w:r>
      <w:proofErr w:type="spellStart"/>
      <w:r w:rsidRPr="001653D6">
        <w:rPr>
          <w:lang w:eastAsia="bg-BG"/>
        </w:rPr>
        <w:t>взаимозаменяеми</w:t>
      </w:r>
      <w:proofErr w:type="spellEnd"/>
      <w:r w:rsidRPr="001653D6">
        <w:rPr>
          <w:lang w:eastAsia="bg-BG"/>
        </w:rPr>
        <w:t xml:space="preserve"> на база милиграм за милиграм (вж. точка 5.2).</w:t>
      </w:r>
    </w:p>
    <w:p w14:paraId="30256AD4" w14:textId="77777777" w:rsidR="001653D6" w:rsidRDefault="001653D6" w:rsidP="001653D6">
      <w:pPr>
        <w:rPr>
          <w:i/>
          <w:iCs/>
          <w:lang w:eastAsia="bg-BG"/>
        </w:rPr>
      </w:pPr>
    </w:p>
    <w:p w14:paraId="61D37F01" w14:textId="50037828" w:rsidR="001653D6" w:rsidRPr="001653D6" w:rsidRDefault="001653D6" w:rsidP="001653D6">
      <w:pPr>
        <w:rPr>
          <w:sz w:val="24"/>
          <w:szCs w:val="24"/>
        </w:rPr>
      </w:pPr>
      <w:r w:rsidRPr="001653D6">
        <w:rPr>
          <w:i/>
          <w:iCs/>
          <w:lang w:eastAsia="bg-BG"/>
        </w:rPr>
        <w:t>Бъбречно увреждане</w:t>
      </w:r>
    </w:p>
    <w:p w14:paraId="09BC2C80" w14:textId="77777777" w:rsidR="001653D6" w:rsidRPr="001653D6" w:rsidRDefault="001653D6" w:rsidP="001653D6">
      <w:pPr>
        <w:rPr>
          <w:sz w:val="24"/>
          <w:szCs w:val="24"/>
        </w:rPr>
      </w:pPr>
      <w:r w:rsidRPr="001653D6">
        <w:rPr>
          <w:lang w:eastAsia="bg-BG"/>
        </w:rPr>
        <w:t xml:space="preserve">Безопасността и ефикасността на </w:t>
      </w:r>
      <w:proofErr w:type="spellStart"/>
      <w:r w:rsidRPr="001653D6">
        <w:rPr>
          <w:lang w:eastAsia="bg-BG"/>
        </w:rPr>
        <w:t>цефуроксим</w:t>
      </w:r>
      <w:proofErr w:type="spellEnd"/>
      <w:r w:rsidRPr="001653D6">
        <w:rPr>
          <w:lang w:eastAsia="bg-BG"/>
        </w:rPr>
        <w:t xml:space="preserve"> </w:t>
      </w:r>
      <w:proofErr w:type="spellStart"/>
      <w:r w:rsidRPr="001653D6">
        <w:rPr>
          <w:lang w:eastAsia="bg-BG"/>
        </w:rPr>
        <w:t>аксетил</w:t>
      </w:r>
      <w:proofErr w:type="spellEnd"/>
      <w:r w:rsidRPr="001653D6">
        <w:rPr>
          <w:lang w:eastAsia="bg-BG"/>
        </w:rPr>
        <w:t xml:space="preserve"> при пациенти с бъбречна недостатъчност не са установени. </w:t>
      </w:r>
      <w:proofErr w:type="spellStart"/>
      <w:r w:rsidRPr="001653D6">
        <w:rPr>
          <w:lang w:eastAsia="bg-BG"/>
        </w:rPr>
        <w:t>Цефуроксим</w:t>
      </w:r>
      <w:proofErr w:type="spellEnd"/>
      <w:r w:rsidRPr="001653D6">
        <w:rPr>
          <w:lang w:eastAsia="bg-BG"/>
        </w:rPr>
        <w:t xml:space="preserve"> се </w:t>
      </w:r>
      <w:proofErr w:type="spellStart"/>
      <w:r w:rsidRPr="001653D6">
        <w:rPr>
          <w:lang w:eastAsia="bg-BG"/>
        </w:rPr>
        <w:t>екскретира</w:t>
      </w:r>
      <w:proofErr w:type="spellEnd"/>
      <w:r w:rsidRPr="001653D6">
        <w:rPr>
          <w:lang w:eastAsia="bg-BG"/>
        </w:rPr>
        <w:t xml:space="preserve"> главно чрез бъбреците. При пациенти със значително нарушена бъбречна функция се препоръчва дозата на </w:t>
      </w:r>
      <w:proofErr w:type="spellStart"/>
      <w:r w:rsidRPr="001653D6">
        <w:rPr>
          <w:lang w:eastAsia="bg-BG"/>
        </w:rPr>
        <w:t>цефуроксим</w:t>
      </w:r>
      <w:proofErr w:type="spellEnd"/>
      <w:r w:rsidRPr="001653D6">
        <w:rPr>
          <w:lang w:eastAsia="bg-BG"/>
        </w:rPr>
        <w:t xml:space="preserve"> да се намали, за да се компенсира забавената екскреция. </w:t>
      </w:r>
      <w:proofErr w:type="spellStart"/>
      <w:r w:rsidRPr="001653D6">
        <w:rPr>
          <w:lang w:eastAsia="bg-BG"/>
        </w:rPr>
        <w:t>Цефуроксим</w:t>
      </w:r>
      <w:proofErr w:type="spellEnd"/>
      <w:r w:rsidRPr="001653D6">
        <w:rPr>
          <w:lang w:eastAsia="bg-BG"/>
        </w:rPr>
        <w:t xml:space="preserve"> се елиминира ефективно с диализа.</w:t>
      </w:r>
    </w:p>
    <w:p w14:paraId="4D9E6131" w14:textId="77777777" w:rsidR="001653D6" w:rsidRDefault="001653D6" w:rsidP="001653D6">
      <w:pPr>
        <w:rPr>
          <w:i/>
          <w:iCs/>
          <w:lang w:eastAsia="bg-BG"/>
        </w:rPr>
      </w:pPr>
    </w:p>
    <w:p w14:paraId="561C2897" w14:textId="24F07674" w:rsidR="001653D6" w:rsidRDefault="001653D6" w:rsidP="001653D6">
      <w:pPr>
        <w:rPr>
          <w:i/>
          <w:iCs/>
          <w:lang w:eastAsia="bg-BG"/>
        </w:rPr>
      </w:pPr>
      <w:r w:rsidRPr="001653D6">
        <w:rPr>
          <w:i/>
          <w:iCs/>
          <w:lang w:eastAsia="bg-BG"/>
        </w:rPr>
        <w:t xml:space="preserve">Таблица 3. Препоръчителни дози </w:t>
      </w:r>
      <w:proofErr w:type="spellStart"/>
      <w:r w:rsidRPr="001653D6">
        <w:rPr>
          <w:i/>
          <w:iCs/>
          <w:lang w:eastAsia="bg-BG"/>
        </w:rPr>
        <w:t>Лифурокс</w:t>
      </w:r>
      <w:proofErr w:type="spellEnd"/>
      <w:r w:rsidRPr="001653D6">
        <w:rPr>
          <w:i/>
          <w:iCs/>
          <w:lang w:eastAsia="bg-BG"/>
        </w:rPr>
        <w:t xml:space="preserve"> при бъбречно увреждане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1653D6" w14:paraId="2902A6D7" w14:textId="77777777" w:rsidTr="001653D6">
        <w:tc>
          <w:tcPr>
            <w:tcW w:w="3192" w:type="dxa"/>
          </w:tcPr>
          <w:p w14:paraId="0213C0D2" w14:textId="6649A54B" w:rsidR="001653D6" w:rsidRPr="001653D6" w:rsidRDefault="001653D6" w:rsidP="001653D6">
            <w:pPr>
              <w:rPr>
                <w:b/>
                <w:bCs/>
              </w:rPr>
            </w:pPr>
            <w:proofErr w:type="spellStart"/>
            <w:r w:rsidRPr="001653D6">
              <w:rPr>
                <w:b/>
                <w:bCs/>
              </w:rPr>
              <w:t>Креатининов</w:t>
            </w:r>
            <w:proofErr w:type="spellEnd"/>
            <w:r w:rsidRPr="001653D6">
              <w:rPr>
                <w:b/>
                <w:bCs/>
              </w:rPr>
              <w:t xml:space="preserve"> клирънс</w:t>
            </w:r>
          </w:p>
        </w:tc>
        <w:tc>
          <w:tcPr>
            <w:tcW w:w="3192" w:type="dxa"/>
          </w:tcPr>
          <w:p w14:paraId="4AD8E0C0" w14:textId="35C47815" w:rsidR="001653D6" w:rsidRPr="001653D6" w:rsidRDefault="001653D6" w:rsidP="001653D6">
            <w:pPr>
              <w:rPr>
                <w:b/>
                <w:bCs/>
              </w:rPr>
            </w:pPr>
            <w:r w:rsidRPr="001653D6">
              <w:rPr>
                <w:b/>
                <w:bCs/>
                <w:lang w:val="en-US"/>
              </w:rPr>
              <w:t>T</w:t>
            </w:r>
            <w:r>
              <w:rPr>
                <w:b/>
                <w:bCs/>
              </w:rPr>
              <w:t>1</w:t>
            </w:r>
            <w:r w:rsidRPr="001653D6">
              <w:rPr>
                <w:b/>
                <w:bCs/>
                <w:lang w:val="en-US"/>
              </w:rPr>
              <w:t xml:space="preserve">/2 </w:t>
            </w:r>
            <w:r w:rsidRPr="001653D6">
              <w:rPr>
                <w:b/>
                <w:bCs/>
              </w:rPr>
              <w:t>(часове)</w:t>
            </w:r>
          </w:p>
        </w:tc>
        <w:tc>
          <w:tcPr>
            <w:tcW w:w="3192" w:type="dxa"/>
          </w:tcPr>
          <w:p w14:paraId="7D3302E3" w14:textId="528D06C1" w:rsidR="001653D6" w:rsidRPr="001653D6" w:rsidRDefault="001653D6" w:rsidP="001653D6">
            <w:pPr>
              <w:rPr>
                <w:b/>
                <w:bCs/>
              </w:rPr>
            </w:pPr>
            <w:r w:rsidRPr="001653D6">
              <w:rPr>
                <w:b/>
                <w:bCs/>
              </w:rPr>
              <w:t>Препоръчителна доза</w:t>
            </w:r>
          </w:p>
        </w:tc>
      </w:tr>
      <w:tr w:rsidR="001653D6" w14:paraId="30A98E2B" w14:textId="77777777" w:rsidTr="001653D6">
        <w:tc>
          <w:tcPr>
            <w:tcW w:w="3192" w:type="dxa"/>
          </w:tcPr>
          <w:p w14:paraId="65C760FE" w14:textId="07490005" w:rsidR="001653D6" w:rsidRDefault="001653D6" w:rsidP="001653D6">
            <w:r>
              <w:rPr>
                <w:lang w:val="en-US"/>
              </w:rPr>
              <w:t>≥</w:t>
            </w:r>
            <w:r>
              <w:t xml:space="preserve">30 </w:t>
            </w:r>
            <w:r>
              <w:rPr>
                <w:lang w:val="en-US"/>
              </w:rPr>
              <w:t>ml/min/1,73 m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3192" w:type="dxa"/>
          </w:tcPr>
          <w:p w14:paraId="2CE0D6C7" w14:textId="1692747E" w:rsidR="001653D6" w:rsidRDefault="001653D6" w:rsidP="001653D6">
            <w:r>
              <w:rPr>
                <w:lang w:val="en-US"/>
              </w:rPr>
              <w:t>1,4-2,4</w:t>
            </w:r>
          </w:p>
        </w:tc>
        <w:tc>
          <w:tcPr>
            <w:tcW w:w="3192" w:type="dxa"/>
          </w:tcPr>
          <w:p w14:paraId="489C565A" w14:textId="0B8BD3DA" w:rsidR="001653D6" w:rsidRDefault="001653D6" w:rsidP="001653D6">
            <w:r>
              <w:t xml:space="preserve">Не е необходима корекция на дозата (стандартна доза от 125 </w:t>
            </w:r>
            <w:r>
              <w:rPr>
                <w:lang w:val="en-US"/>
              </w:rPr>
              <w:t xml:space="preserve">mg </w:t>
            </w:r>
            <w:r>
              <w:t xml:space="preserve">до 500 </w:t>
            </w:r>
            <w:r>
              <w:rPr>
                <w:lang w:val="en-US"/>
              </w:rPr>
              <w:t xml:space="preserve">mg </w:t>
            </w:r>
            <w:r>
              <w:t>два пъти дневно)</w:t>
            </w:r>
          </w:p>
        </w:tc>
      </w:tr>
      <w:tr w:rsidR="001653D6" w14:paraId="0FC22F2F" w14:textId="77777777" w:rsidTr="001653D6">
        <w:tc>
          <w:tcPr>
            <w:tcW w:w="3192" w:type="dxa"/>
          </w:tcPr>
          <w:p w14:paraId="73BFC86E" w14:textId="0E4B1004" w:rsidR="001653D6" w:rsidRDefault="001653D6" w:rsidP="001653D6">
            <w:r>
              <w:t xml:space="preserve">10-29 </w:t>
            </w:r>
            <w:r>
              <w:rPr>
                <w:lang w:val="en-US"/>
              </w:rPr>
              <w:t>ml/min/1,73 m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3192" w:type="dxa"/>
          </w:tcPr>
          <w:p w14:paraId="1F7928BC" w14:textId="70B2174E" w:rsidR="001653D6" w:rsidRDefault="001653D6" w:rsidP="001653D6">
            <w:r>
              <w:t>4,6</w:t>
            </w:r>
          </w:p>
        </w:tc>
        <w:tc>
          <w:tcPr>
            <w:tcW w:w="3192" w:type="dxa"/>
          </w:tcPr>
          <w:p w14:paraId="061C890B" w14:textId="7B3511D4" w:rsidR="001653D6" w:rsidRDefault="001653D6" w:rsidP="001653D6">
            <w:r>
              <w:t xml:space="preserve">Стандартна индивидуална </w:t>
            </w:r>
            <w:r>
              <w:lastRenderedPageBreak/>
              <w:t>доза, давана на всеки 24 часа</w:t>
            </w:r>
          </w:p>
        </w:tc>
      </w:tr>
      <w:tr w:rsidR="001653D6" w14:paraId="41CD79C5" w14:textId="77777777" w:rsidTr="001653D6">
        <w:tc>
          <w:tcPr>
            <w:tcW w:w="3192" w:type="dxa"/>
          </w:tcPr>
          <w:p w14:paraId="2798DCCB" w14:textId="3DF9F404" w:rsidR="001653D6" w:rsidRDefault="001653D6" w:rsidP="001653D6">
            <w:r>
              <w:rPr>
                <w:lang w:val="en-US"/>
              </w:rPr>
              <w:lastRenderedPageBreak/>
              <w:t>&lt;10 ml/min/1,73 m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3192" w:type="dxa"/>
          </w:tcPr>
          <w:p w14:paraId="2E5B0C7F" w14:textId="39131CFD" w:rsidR="001653D6" w:rsidRDefault="001653D6" w:rsidP="001653D6">
            <w:r>
              <w:t>16,8</w:t>
            </w:r>
          </w:p>
        </w:tc>
        <w:tc>
          <w:tcPr>
            <w:tcW w:w="3192" w:type="dxa"/>
          </w:tcPr>
          <w:p w14:paraId="75FB392D" w14:textId="2D4BE017" w:rsidR="001653D6" w:rsidRDefault="001653D6" w:rsidP="001653D6">
            <w:r>
              <w:t>Стандартна индивидуална доза, давана на всеки 48 часа</w:t>
            </w:r>
          </w:p>
        </w:tc>
      </w:tr>
      <w:tr w:rsidR="001653D6" w14:paraId="1F6BEAD9" w14:textId="77777777" w:rsidTr="001653D6">
        <w:tc>
          <w:tcPr>
            <w:tcW w:w="3192" w:type="dxa"/>
          </w:tcPr>
          <w:p w14:paraId="02C54F50" w14:textId="52E0A573" w:rsidR="001653D6" w:rsidRDefault="001653D6" w:rsidP="001653D6">
            <w:r>
              <w:t>Пациенти на хемодиализа</w:t>
            </w:r>
          </w:p>
        </w:tc>
        <w:tc>
          <w:tcPr>
            <w:tcW w:w="3192" w:type="dxa"/>
          </w:tcPr>
          <w:p w14:paraId="6680743F" w14:textId="0F38177B" w:rsidR="001653D6" w:rsidRDefault="001653D6" w:rsidP="001653D6">
            <w:r>
              <w:t>2-4</w:t>
            </w:r>
          </w:p>
        </w:tc>
        <w:tc>
          <w:tcPr>
            <w:tcW w:w="3192" w:type="dxa"/>
          </w:tcPr>
          <w:p w14:paraId="68F879F7" w14:textId="75E96FF8" w:rsidR="001653D6" w:rsidRDefault="001653D6" w:rsidP="001653D6">
            <w:r>
              <w:t>Допълнителна стандартна индивидуална доза, която трябва да се приема в края на всяка диализа.</w:t>
            </w:r>
          </w:p>
        </w:tc>
      </w:tr>
    </w:tbl>
    <w:p w14:paraId="30FD5AE0" w14:textId="77777777" w:rsidR="001653D6" w:rsidRPr="001653D6" w:rsidRDefault="001653D6" w:rsidP="001653D6">
      <w:pPr>
        <w:rPr>
          <w:i/>
          <w:iCs/>
          <w:sz w:val="24"/>
          <w:szCs w:val="24"/>
        </w:rPr>
      </w:pPr>
      <w:r w:rsidRPr="001653D6">
        <w:rPr>
          <w:i/>
          <w:iCs/>
          <w:lang w:eastAsia="bg-BG"/>
        </w:rPr>
        <w:t>Чернодробно увреждане</w:t>
      </w:r>
    </w:p>
    <w:p w14:paraId="029412BA" w14:textId="77777777" w:rsidR="001653D6" w:rsidRPr="001653D6" w:rsidRDefault="001653D6" w:rsidP="001653D6">
      <w:pPr>
        <w:rPr>
          <w:sz w:val="24"/>
          <w:szCs w:val="24"/>
        </w:rPr>
      </w:pPr>
      <w:r w:rsidRPr="001653D6">
        <w:rPr>
          <w:lang w:eastAsia="bg-BG"/>
        </w:rPr>
        <w:t xml:space="preserve">Няма налични данни за пациенти с чернодробно увреждане. Тъй като </w:t>
      </w:r>
      <w:proofErr w:type="spellStart"/>
      <w:r w:rsidRPr="001653D6">
        <w:rPr>
          <w:lang w:eastAsia="bg-BG"/>
        </w:rPr>
        <w:t>цефуроксим</w:t>
      </w:r>
      <w:proofErr w:type="spellEnd"/>
      <w:r w:rsidRPr="001653D6">
        <w:rPr>
          <w:lang w:eastAsia="bg-BG"/>
        </w:rPr>
        <w:t xml:space="preserve"> се </w:t>
      </w:r>
      <w:proofErr w:type="spellStart"/>
      <w:r w:rsidRPr="001653D6">
        <w:rPr>
          <w:lang w:eastAsia="bg-BG"/>
        </w:rPr>
        <w:t>екскретира</w:t>
      </w:r>
      <w:proofErr w:type="spellEnd"/>
      <w:r w:rsidRPr="001653D6">
        <w:rPr>
          <w:lang w:eastAsia="bg-BG"/>
        </w:rPr>
        <w:t xml:space="preserve"> главно чрез бъбреците, не се очаква наличието на нарушена чернодробна функция да има ефект върху фармакокинетиката на </w:t>
      </w:r>
      <w:proofErr w:type="spellStart"/>
      <w:r w:rsidRPr="001653D6">
        <w:rPr>
          <w:lang w:eastAsia="bg-BG"/>
        </w:rPr>
        <w:t>цефуроксим</w:t>
      </w:r>
      <w:proofErr w:type="spellEnd"/>
      <w:r w:rsidRPr="001653D6">
        <w:rPr>
          <w:lang w:eastAsia="bg-BG"/>
        </w:rPr>
        <w:t>.</w:t>
      </w:r>
    </w:p>
    <w:p w14:paraId="710BE96A" w14:textId="77777777" w:rsidR="001653D6" w:rsidRDefault="001653D6" w:rsidP="001653D6">
      <w:pPr>
        <w:rPr>
          <w:u w:val="single"/>
          <w:lang w:eastAsia="bg-BG"/>
        </w:rPr>
      </w:pPr>
    </w:p>
    <w:p w14:paraId="059F2AC3" w14:textId="20DD9E3A" w:rsidR="001653D6" w:rsidRPr="001653D6" w:rsidRDefault="001653D6" w:rsidP="001653D6">
      <w:pPr>
        <w:pStyle w:val="Heading3"/>
        <w:rPr>
          <w:rFonts w:eastAsia="Times New Roman"/>
          <w:u w:val="single"/>
        </w:rPr>
      </w:pPr>
      <w:r w:rsidRPr="001653D6">
        <w:rPr>
          <w:rFonts w:eastAsia="Times New Roman"/>
          <w:u w:val="single"/>
          <w:lang w:eastAsia="bg-BG"/>
        </w:rPr>
        <w:t>Начин на приложение</w:t>
      </w:r>
    </w:p>
    <w:p w14:paraId="46382F5E" w14:textId="77777777" w:rsidR="001653D6" w:rsidRPr="001653D6" w:rsidRDefault="001653D6" w:rsidP="001653D6">
      <w:pPr>
        <w:rPr>
          <w:sz w:val="24"/>
          <w:szCs w:val="24"/>
        </w:rPr>
      </w:pPr>
      <w:r w:rsidRPr="001653D6">
        <w:rPr>
          <w:lang w:eastAsia="bg-BG"/>
        </w:rPr>
        <w:t>Перорално приложение.</w:t>
      </w:r>
    </w:p>
    <w:p w14:paraId="37FD03F4" w14:textId="7106793F" w:rsidR="001653D6" w:rsidRDefault="001653D6" w:rsidP="001653D6">
      <w:pPr>
        <w:rPr>
          <w:lang w:eastAsia="bg-BG"/>
        </w:rPr>
      </w:pPr>
      <w:proofErr w:type="spellStart"/>
      <w:r w:rsidRPr="001653D6">
        <w:rPr>
          <w:lang w:eastAsia="bg-BG"/>
        </w:rPr>
        <w:t>Лифурокс</w:t>
      </w:r>
      <w:proofErr w:type="spellEnd"/>
      <w:r w:rsidRPr="001653D6">
        <w:rPr>
          <w:lang w:eastAsia="bg-BG"/>
        </w:rPr>
        <w:t xml:space="preserve"> таблетки трябва да се приемат след хранене за оптимална абсорбция.</w:t>
      </w:r>
    </w:p>
    <w:p w14:paraId="20665BE7" w14:textId="11E063B2" w:rsidR="001653D6" w:rsidRDefault="001653D6" w:rsidP="001653D6">
      <w:pPr>
        <w:rPr>
          <w:lang w:eastAsia="bg-BG"/>
        </w:rPr>
      </w:pPr>
    </w:p>
    <w:p w14:paraId="1EC33A61" w14:textId="77777777" w:rsidR="001653D6" w:rsidRPr="001653D6" w:rsidRDefault="001653D6" w:rsidP="001653D6">
      <w:pPr>
        <w:rPr>
          <w:sz w:val="24"/>
          <w:szCs w:val="24"/>
        </w:rPr>
      </w:pPr>
      <w:r w:rsidRPr="001653D6">
        <w:rPr>
          <w:lang w:eastAsia="bg-BG"/>
        </w:rPr>
        <w:t xml:space="preserve">Таблетките </w:t>
      </w:r>
      <w:proofErr w:type="spellStart"/>
      <w:r w:rsidRPr="001653D6">
        <w:rPr>
          <w:lang w:eastAsia="bg-BG"/>
        </w:rPr>
        <w:t>Лифурокс</w:t>
      </w:r>
      <w:proofErr w:type="spellEnd"/>
      <w:r w:rsidRPr="001653D6">
        <w:rPr>
          <w:lang w:eastAsia="bg-BG"/>
        </w:rPr>
        <w:t xml:space="preserve"> не трябва да се разтрошават и по тази причина не са подходящи за лечение на пациенти, които не могат да поглъщат таблетки. При деца може да се използва </w:t>
      </w:r>
      <w:proofErr w:type="spellStart"/>
      <w:r w:rsidRPr="001653D6">
        <w:rPr>
          <w:lang w:eastAsia="bg-BG"/>
        </w:rPr>
        <w:t>Лифурокс</w:t>
      </w:r>
      <w:proofErr w:type="spellEnd"/>
      <w:r w:rsidRPr="001653D6">
        <w:rPr>
          <w:lang w:eastAsia="bg-BG"/>
        </w:rPr>
        <w:t xml:space="preserve"> перорална суспензия.</w:t>
      </w:r>
    </w:p>
    <w:p w14:paraId="685D4EAC" w14:textId="77777777" w:rsidR="001653D6" w:rsidRPr="001653D6" w:rsidRDefault="001653D6" w:rsidP="001653D6"/>
    <w:p w14:paraId="0E366821" w14:textId="42A357EE" w:rsidR="00FD69E8" w:rsidRDefault="002C50EE" w:rsidP="001653D6">
      <w:r>
        <w:t>4.3. Противопоказания</w:t>
      </w:r>
    </w:p>
    <w:p w14:paraId="0E0C486D" w14:textId="77777777" w:rsidR="001653D6" w:rsidRDefault="001653D6" w:rsidP="001653D6">
      <w:pPr>
        <w:rPr>
          <w:lang w:eastAsia="bg-BG"/>
        </w:rPr>
      </w:pPr>
    </w:p>
    <w:p w14:paraId="312CF928" w14:textId="74C393DC" w:rsidR="001653D6" w:rsidRPr="001653D6" w:rsidRDefault="001653D6" w:rsidP="001653D6">
      <w:pPr>
        <w:rPr>
          <w:sz w:val="24"/>
          <w:szCs w:val="24"/>
        </w:rPr>
      </w:pPr>
      <w:r w:rsidRPr="001653D6">
        <w:rPr>
          <w:lang w:eastAsia="bg-BG"/>
        </w:rPr>
        <w:t xml:space="preserve">Свръхчувствителност към </w:t>
      </w:r>
      <w:proofErr w:type="spellStart"/>
      <w:r w:rsidRPr="001653D6">
        <w:rPr>
          <w:lang w:eastAsia="bg-BG"/>
        </w:rPr>
        <w:t>цефуроксим</w:t>
      </w:r>
      <w:proofErr w:type="spellEnd"/>
      <w:r w:rsidRPr="001653D6">
        <w:rPr>
          <w:lang w:eastAsia="bg-BG"/>
        </w:rPr>
        <w:t xml:space="preserve"> или към някое от помощните вещества, изброени в точка 6.1.</w:t>
      </w:r>
    </w:p>
    <w:p w14:paraId="65F4A0A4" w14:textId="77777777" w:rsidR="001653D6" w:rsidRDefault="001653D6" w:rsidP="001653D6">
      <w:pPr>
        <w:rPr>
          <w:lang w:eastAsia="bg-BG"/>
        </w:rPr>
      </w:pPr>
    </w:p>
    <w:p w14:paraId="255F34CC" w14:textId="408FC13A" w:rsidR="001653D6" w:rsidRPr="001653D6" w:rsidRDefault="001653D6" w:rsidP="001653D6">
      <w:pPr>
        <w:rPr>
          <w:sz w:val="24"/>
          <w:szCs w:val="24"/>
        </w:rPr>
      </w:pPr>
      <w:r w:rsidRPr="001653D6">
        <w:rPr>
          <w:lang w:eastAsia="bg-BG"/>
        </w:rPr>
        <w:t xml:space="preserve">Пациенти с известна свръхчувствителност към </w:t>
      </w:r>
      <w:proofErr w:type="spellStart"/>
      <w:r w:rsidRPr="001653D6">
        <w:rPr>
          <w:lang w:eastAsia="bg-BG"/>
        </w:rPr>
        <w:t>цефалоспоринови</w:t>
      </w:r>
      <w:proofErr w:type="spellEnd"/>
      <w:r w:rsidRPr="001653D6">
        <w:rPr>
          <w:lang w:eastAsia="bg-BG"/>
        </w:rPr>
        <w:t xml:space="preserve"> антибиотици.</w:t>
      </w:r>
    </w:p>
    <w:p w14:paraId="050233F4" w14:textId="77777777" w:rsidR="001653D6" w:rsidRDefault="001653D6" w:rsidP="001653D6">
      <w:pPr>
        <w:rPr>
          <w:lang w:eastAsia="bg-BG"/>
        </w:rPr>
      </w:pPr>
    </w:p>
    <w:p w14:paraId="0F712440" w14:textId="46C929C9" w:rsidR="001653D6" w:rsidRDefault="001653D6" w:rsidP="001653D6">
      <w:pPr>
        <w:rPr>
          <w:lang w:eastAsia="bg-BG"/>
        </w:rPr>
      </w:pPr>
      <w:proofErr w:type="spellStart"/>
      <w:r w:rsidRPr="001653D6">
        <w:rPr>
          <w:lang w:eastAsia="bg-BG"/>
        </w:rPr>
        <w:t>Анаместични</w:t>
      </w:r>
      <w:proofErr w:type="spellEnd"/>
      <w:r w:rsidRPr="001653D6">
        <w:rPr>
          <w:lang w:eastAsia="bg-BG"/>
        </w:rPr>
        <w:t xml:space="preserve"> данни за тежка реакция на свръхчувствителност (напр. </w:t>
      </w:r>
      <w:proofErr w:type="spellStart"/>
      <w:r w:rsidRPr="001653D6">
        <w:rPr>
          <w:lang w:eastAsia="bg-BG"/>
        </w:rPr>
        <w:t>анафилактична</w:t>
      </w:r>
      <w:proofErr w:type="spellEnd"/>
      <w:r w:rsidRPr="001653D6">
        <w:rPr>
          <w:lang w:eastAsia="bg-BG"/>
        </w:rPr>
        <w:t xml:space="preserve"> реакция) към друг тип бета-</w:t>
      </w:r>
      <w:proofErr w:type="spellStart"/>
      <w:r w:rsidRPr="001653D6">
        <w:rPr>
          <w:lang w:eastAsia="bg-BG"/>
        </w:rPr>
        <w:t>лактамни</w:t>
      </w:r>
      <w:proofErr w:type="spellEnd"/>
      <w:r w:rsidRPr="001653D6">
        <w:rPr>
          <w:lang w:eastAsia="bg-BG"/>
        </w:rPr>
        <w:t xml:space="preserve"> антибактериални средства (пеницилин, </w:t>
      </w:r>
      <w:proofErr w:type="spellStart"/>
      <w:r w:rsidRPr="001653D6">
        <w:rPr>
          <w:lang w:eastAsia="bg-BG"/>
        </w:rPr>
        <w:t>монобактами</w:t>
      </w:r>
      <w:proofErr w:type="spellEnd"/>
      <w:r w:rsidRPr="001653D6">
        <w:rPr>
          <w:lang w:eastAsia="bg-BG"/>
        </w:rPr>
        <w:t xml:space="preserve"> и </w:t>
      </w:r>
      <w:proofErr w:type="spellStart"/>
      <w:r w:rsidRPr="001653D6">
        <w:rPr>
          <w:lang w:eastAsia="bg-BG"/>
        </w:rPr>
        <w:t>карбапенеми</w:t>
      </w:r>
      <w:proofErr w:type="spellEnd"/>
      <w:r w:rsidRPr="001653D6">
        <w:rPr>
          <w:lang w:eastAsia="bg-BG"/>
        </w:rPr>
        <w:t>).</w:t>
      </w:r>
    </w:p>
    <w:p w14:paraId="2E54EF05" w14:textId="77777777" w:rsidR="001653D6" w:rsidRPr="00FD69E8" w:rsidRDefault="001653D6" w:rsidP="001653D6"/>
    <w:p w14:paraId="6DDF89B4" w14:textId="0843277C" w:rsidR="00C809A7" w:rsidRDefault="002C50EE" w:rsidP="00AA23EC">
      <w:pPr>
        <w:pStyle w:val="Heading2"/>
      </w:pPr>
      <w:r>
        <w:t>4.4. Специални предупреждения и предпазни мерки при употреба</w:t>
      </w:r>
    </w:p>
    <w:p w14:paraId="57773578" w14:textId="77777777" w:rsidR="001653D6" w:rsidRDefault="001653D6" w:rsidP="001653D6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bg-BG"/>
        </w:rPr>
      </w:pPr>
    </w:p>
    <w:p w14:paraId="73A4C701" w14:textId="74CF803A" w:rsidR="001653D6" w:rsidRPr="001653D6" w:rsidRDefault="001653D6" w:rsidP="001653D6">
      <w:pPr>
        <w:rPr>
          <w:sz w:val="24"/>
          <w:szCs w:val="24"/>
          <w:u w:val="single"/>
        </w:rPr>
      </w:pPr>
      <w:r w:rsidRPr="001653D6">
        <w:rPr>
          <w:u w:val="single"/>
          <w:lang w:eastAsia="bg-BG"/>
        </w:rPr>
        <w:t>Реакции на свръхчувствителност</w:t>
      </w:r>
    </w:p>
    <w:p w14:paraId="426EF495" w14:textId="77777777" w:rsidR="001653D6" w:rsidRDefault="001653D6" w:rsidP="001653D6">
      <w:pPr>
        <w:rPr>
          <w:lang w:eastAsia="bg-BG"/>
        </w:rPr>
      </w:pPr>
    </w:p>
    <w:p w14:paraId="13735BB1" w14:textId="134B14F0" w:rsidR="001653D6" w:rsidRPr="001653D6" w:rsidRDefault="001653D6" w:rsidP="001653D6">
      <w:pPr>
        <w:rPr>
          <w:sz w:val="24"/>
          <w:szCs w:val="24"/>
        </w:rPr>
      </w:pPr>
      <w:r w:rsidRPr="001653D6">
        <w:rPr>
          <w:lang w:eastAsia="bg-BG"/>
        </w:rPr>
        <w:t>Специално внимание е необходимо при пациенти с анамнеза за алергична реакция към пеницилин или други бета-</w:t>
      </w:r>
      <w:proofErr w:type="spellStart"/>
      <w:r w:rsidRPr="001653D6">
        <w:rPr>
          <w:lang w:eastAsia="bg-BG"/>
        </w:rPr>
        <w:t>лактамни</w:t>
      </w:r>
      <w:proofErr w:type="spellEnd"/>
      <w:r w:rsidRPr="001653D6">
        <w:rPr>
          <w:lang w:eastAsia="bg-BG"/>
        </w:rPr>
        <w:t xml:space="preserve"> антибиотици поради риск от кръстосана чувствителност.</w:t>
      </w:r>
    </w:p>
    <w:p w14:paraId="4B913F2F" w14:textId="77777777" w:rsidR="001653D6" w:rsidRPr="001653D6" w:rsidRDefault="001653D6" w:rsidP="001653D6">
      <w:pPr>
        <w:rPr>
          <w:sz w:val="24"/>
          <w:szCs w:val="24"/>
        </w:rPr>
      </w:pPr>
      <w:r w:rsidRPr="001653D6">
        <w:rPr>
          <w:lang w:eastAsia="bg-BG"/>
        </w:rPr>
        <w:t>Подобно на всички бета-</w:t>
      </w:r>
      <w:proofErr w:type="spellStart"/>
      <w:r w:rsidRPr="001653D6">
        <w:rPr>
          <w:lang w:eastAsia="bg-BG"/>
        </w:rPr>
        <w:t>лактамни</w:t>
      </w:r>
      <w:proofErr w:type="spellEnd"/>
      <w:r w:rsidRPr="001653D6">
        <w:rPr>
          <w:lang w:eastAsia="bg-BG"/>
        </w:rPr>
        <w:t xml:space="preserve"> антибактериални средства има съобщения за сериозни и понякога фатални реакции на свръхчувствителност. В случай на развитие на тежка реакция на свръхчувствителност лечението с </w:t>
      </w:r>
      <w:proofErr w:type="spellStart"/>
      <w:r w:rsidRPr="001653D6">
        <w:rPr>
          <w:lang w:eastAsia="bg-BG"/>
        </w:rPr>
        <w:t>цефуроксим</w:t>
      </w:r>
      <w:proofErr w:type="spellEnd"/>
      <w:r w:rsidRPr="001653D6">
        <w:rPr>
          <w:lang w:eastAsia="bg-BG"/>
        </w:rPr>
        <w:t xml:space="preserve"> трябва да се преустанови незабавно и да се предприемат подходящи мерки за спешно лечение.</w:t>
      </w:r>
    </w:p>
    <w:p w14:paraId="24CE03A4" w14:textId="77777777" w:rsidR="001653D6" w:rsidRDefault="001653D6" w:rsidP="001653D6">
      <w:pPr>
        <w:rPr>
          <w:lang w:eastAsia="bg-BG"/>
        </w:rPr>
      </w:pPr>
    </w:p>
    <w:p w14:paraId="1E31DC85" w14:textId="7F7774EF" w:rsidR="001653D6" w:rsidRPr="001653D6" w:rsidRDefault="001653D6" w:rsidP="001653D6">
      <w:pPr>
        <w:rPr>
          <w:sz w:val="24"/>
          <w:szCs w:val="24"/>
        </w:rPr>
      </w:pPr>
      <w:r w:rsidRPr="001653D6">
        <w:rPr>
          <w:lang w:eastAsia="bg-BG"/>
        </w:rPr>
        <w:t xml:space="preserve">Преди започване на лечение трябва да се установи дали пациентът има анамнеза за тежки реакции на свръхчувствителност към </w:t>
      </w:r>
      <w:proofErr w:type="spellStart"/>
      <w:r w:rsidRPr="001653D6">
        <w:rPr>
          <w:lang w:eastAsia="bg-BG"/>
        </w:rPr>
        <w:t>цефуроксим</w:t>
      </w:r>
      <w:proofErr w:type="spellEnd"/>
      <w:r w:rsidRPr="001653D6">
        <w:rPr>
          <w:lang w:eastAsia="bg-BG"/>
        </w:rPr>
        <w:t xml:space="preserve">, към други </w:t>
      </w:r>
      <w:proofErr w:type="spellStart"/>
      <w:r w:rsidRPr="001653D6">
        <w:rPr>
          <w:lang w:eastAsia="bg-BG"/>
        </w:rPr>
        <w:t>цефалоспорини</w:t>
      </w:r>
      <w:proofErr w:type="spellEnd"/>
      <w:r w:rsidRPr="001653D6">
        <w:rPr>
          <w:lang w:eastAsia="bg-BG"/>
        </w:rPr>
        <w:t xml:space="preserve"> или </w:t>
      </w:r>
      <w:r w:rsidRPr="001653D6">
        <w:rPr>
          <w:lang w:eastAsia="bg-BG"/>
        </w:rPr>
        <w:lastRenderedPageBreak/>
        <w:t xml:space="preserve">към други типове бета- </w:t>
      </w:r>
      <w:proofErr w:type="spellStart"/>
      <w:r w:rsidRPr="001653D6">
        <w:rPr>
          <w:lang w:eastAsia="bg-BG"/>
        </w:rPr>
        <w:t>лактамни</w:t>
      </w:r>
      <w:proofErr w:type="spellEnd"/>
      <w:r w:rsidRPr="001653D6">
        <w:rPr>
          <w:lang w:eastAsia="bg-BG"/>
        </w:rPr>
        <w:t xml:space="preserve"> средства. </w:t>
      </w:r>
      <w:proofErr w:type="spellStart"/>
      <w:r w:rsidRPr="001653D6">
        <w:rPr>
          <w:lang w:eastAsia="bg-BG"/>
        </w:rPr>
        <w:t>Цефуроксим</w:t>
      </w:r>
      <w:proofErr w:type="spellEnd"/>
      <w:r w:rsidRPr="001653D6">
        <w:rPr>
          <w:lang w:eastAsia="bg-BG"/>
        </w:rPr>
        <w:t xml:space="preserve"> трябва да се прилага с повишено внимание при пациенти с анамнеза за нетежки реакции на свръхчувствителност към други бета-</w:t>
      </w:r>
      <w:proofErr w:type="spellStart"/>
      <w:r w:rsidRPr="001653D6">
        <w:rPr>
          <w:lang w:eastAsia="bg-BG"/>
        </w:rPr>
        <w:t>лактамни</w:t>
      </w:r>
      <w:proofErr w:type="spellEnd"/>
      <w:r w:rsidRPr="001653D6">
        <w:rPr>
          <w:lang w:eastAsia="bg-BG"/>
        </w:rPr>
        <w:t xml:space="preserve"> средства.</w:t>
      </w:r>
    </w:p>
    <w:p w14:paraId="4FB21FB6" w14:textId="77777777" w:rsidR="001653D6" w:rsidRDefault="001653D6" w:rsidP="001653D6">
      <w:pPr>
        <w:rPr>
          <w:lang w:eastAsia="bg-BG"/>
        </w:rPr>
      </w:pPr>
    </w:p>
    <w:p w14:paraId="79E5AA1D" w14:textId="35A9D737" w:rsidR="001653D6" w:rsidRPr="001653D6" w:rsidRDefault="001653D6" w:rsidP="001653D6">
      <w:pPr>
        <w:rPr>
          <w:sz w:val="24"/>
          <w:szCs w:val="24"/>
          <w:u w:val="single"/>
        </w:rPr>
      </w:pPr>
      <w:r w:rsidRPr="001653D6">
        <w:rPr>
          <w:u w:val="single"/>
          <w:lang w:eastAsia="bg-BG"/>
        </w:rPr>
        <w:t xml:space="preserve">Реакция на </w:t>
      </w:r>
      <w:proofErr w:type="spellStart"/>
      <w:r w:rsidRPr="001653D6">
        <w:rPr>
          <w:u w:val="single"/>
          <w:lang w:val="en-US"/>
        </w:rPr>
        <w:t>Jarisch-Herxheimer</w:t>
      </w:r>
      <w:proofErr w:type="spellEnd"/>
    </w:p>
    <w:p w14:paraId="7ABC0588" w14:textId="77777777" w:rsidR="001653D6" w:rsidRPr="001653D6" w:rsidRDefault="001653D6" w:rsidP="001653D6">
      <w:pPr>
        <w:rPr>
          <w:sz w:val="24"/>
          <w:szCs w:val="24"/>
        </w:rPr>
      </w:pPr>
      <w:r w:rsidRPr="001653D6">
        <w:rPr>
          <w:lang w:eastAsia="bg-BG"/>
        </w:rPr>
        <w:t xml:space="preserve">Реакция на </w:t>
      </w:r>
      <w:proofErr w:type="spellStart"/>
      <w:r w:rsidRPr="001653D6">
        <w:rPr>
          <w:lang w:val="en-US"/>
        </w:rPr>
        <w:t>Jarisch-Herxheimer</w:t>
      </w:r>
      <w:proofErr w:type="spellEnd"/>
      <w:r w:rsidRPr="001653D6">
        <w:rPr>
          <w:lang w:val="en-US"/>
        </w:rPr>
        <w:t xml:space="preserve"> </w:t>
      </w:r>
      <w:r w:rsidRPr="001653D6">
        <w:rPr>
          <w:lang w:eastAsia="bg-BG"/>
        </w:rPr>
        <w:t xml:space="preserve">е наблюдавана след лечение на лаймска болест с </w:t>
      </w:r>
      <w:proofErr w:type="spellStart"/>
      <w:r w:rsidRPr="001653D6">
        <w:rPr>
          <w:lang w:eastAsia="bg-BG"/>
        </w:rPr>
        <w:t>цефуроксим</w:t>
      </w:r>
      <w:proofErr w:type="spellEnd"/>
      <w:r w:rsidRPr="001653D6">
        <w:rPr>
          <w:lang w:eastAsia="bg-BG"/>
        </w:rPr>
        <w:t xml:space="preserve"> </w:t>
      </w:r>
      <w:proofErr w:type="spellStart"/>
      <w:r w:rsidRPr="001653D6">
        <w:rPr>
          <w:lang w:eastAsia="bg-BG"/>
        </w:rPr>
        <w:t>аксетил</w:t>
      </w:r>
      <w:proofErr w:type="spellEnd"/>
      <w:r w:rsidRPr="001653D6">
        <w:rPr>
          <w:lang w:eastAsia="bg-BG"/>
        </w:rPr>
        <w:t xml:space="preserve">. Тази реакция е пряк резултат от бактерицидното действие на </w:t>
      </w:r>
      <w:proofErr w:type="spellStart"/>
      <w:r w:rsidRPr="001653D6">
        <w:rPr>
          <w:lang w:eastAsia="bg-BG"/>
        </w:rPr>
        <w:t>цефуроксим</w:t>
      </w:r>
      <w:proofErr w:type="spellEnd"/>
      <w:r w:rsidRPr="001653D6">
        <w:rPr>
          <w:lang w:eastAsia="bg-BG"/>
        </w:rPr>
        <w:t xml:space="preserve"> </w:t>
      </w:r>
      <w:proofErr w:type="spellStart"/>
      <w:r w:rsidRPr="001653D6">
        <w:rPr>
          <w:lang w:eastAsia="bg-BG"/>
        </w:rPr>
        <w:t>аксетил</w:t>
      </w:r>
      <w:proofErr w:type="spellEnd"/>
      <w:r w:rsidRPr="001653D6">
        <w:rPr>
          <w:lang w:eastAsia="bg-BG"/>
        </w:rPr>
        <w:t xml:space="preserve"> върху причинителя на лаймска болест, </w:t>
      </w:r>
      <w:proofErr w:type="spellStart"/>
      <w:r w:rsidRPr="001653D6">
        <w:rPr>
          <w:lang w:eastAsia="bg-BG"/>
        </w:rPr>
        <w:t>спирохетата</w:t>
      </w:r>
      <w:proofErr w:type="spellEnd"/>
      <w:r w:rsidRPr="001653D6">
        <w:rPr>
          <w:lang w:eastAsia="bg-BG"/>
        </w:rPr>
        <w:t xml:space="preserve"> </w:t>
      </w:r>
      <w:proofErr w:type="spellStart"/>
      <w:r w:rsidRPr="001653D6">
        <w:rPr>
          <w:i/>
          <w:iCs/>
          <w:lang w:val="en-US"/>
        </w:rPr>
        <w:t>Borella</w:t>
      </w:r>
      <w:proofErr w:type="spellEnd"/>
      <w:r w:rsidRPr="001653D6">
        <w:rPr>
          <w:i/>
          <w:iCs/>
          <w:lang w:val="en-US"/>
        </w:rPr>
        <w:t xml:space="preserve"> burgdorferi.</w:t>
      </w:r>
      <w:r w:rsidRPr="001653D6">
        <w:rPr>
          <w:lang w:val="en-US"/>
        </w:rPr>
        <w:t xml:space="preserve"> </w:t>
      </w:r>
      <w:r w:rsidRPr="001653D6">
        <w:rPr>
          <w:lang w:eastAsia="bg-BG"/>
        </w:rPr>
        <w:t>Пациентите трябва да се предупредят, че това е честа и обикновено самоограничаваща се реакция вследствие на антибиотично лечение на лаймска болест (вж. точка 4.8).</w:t>
      </w:r>
    </w:p>
    <w:p w14:paraId="3C5182CB" w14:textId="77777777" w:rsidR="001653D6" w:rsidRDefault="001653D6" w:rsidP="001653D6">
      <w:pPr>
        <w:rPr>
          <w:lang w:eastAsia="bg-BG"/>
        </w:rPr>
      </w:pPr>
    </w:p>
    <w:p w14:paraId="1A2D1AEF" w14:textId="0E6E6626" w:rsidR="001653D6" w:rsidRPr="001653D6" w:rsidRDefault="001653D6" w:rsidP="001653D6">
      <w:pPr>
        <w:rPr>
          <w:sz w:val="24"/>
          <w:szCs w:val="24"/>
          <w:u w:val="single"/>
        </w:rPr>
      </w:pPr>
      <w:r w:rsidRPr="001653D6">
        <w:rPr>
          <w:u w:val="single"/>
          <w:lang w:eastAsia="bg-BG"/>
        </w:rPr>
        <w:t>Свръхрастеж на нечувствителни микроорганизми</w:t>
      </w:r>
    </w:p>
    <w:p w14:paraId="4D4389DC" w14:textId="77777777" w:rsidR="001653D6" w:rsidRDefault="001653D6" w:rsidP="001653D6">
      <w:pPr>
        <w:rPr>
          <w:lang w:eastAsia="bg-BG"/>
        </w:rPr>
      </w:pPr>
    </w:p>
    <w:p w14:paraId="4F6F0549" w14:textId="34E195FB" w:rsidR="001653D6" w:rsidRPr="001653D6" w:rsidRDefault="001653D6" w:rsidP="001653D6">
      <w:pPr>
        <w:rPr>
          <w:sz w:val="24"/>
          <w:szCs w:val="24"/>
        </w:rPr>
      </w:pPr>
      <w:r w:rsidRPr="001653D6">
        <w:rPr>
          <w:lang w:eastAsia="bg-BG"/>
        </w:rPr>
        <w:t xml:space="preserve">Както при други антибиотици, приложението на </w:t>
      </w:r>
      <w:proofErr w:type="spellStart"/>
      <w:r w:rsidRPr="001653D6">
        <w:rPr>
          <w:lang w:eastAsia="bg-BG"/>
        </w:rPr>
        <w:t>цефуроксим</w:t>
      </w:r>
      <w:proofErr w:type="spellEnd"/>
      <w:r w:rsidRPr="001653D6">
        <w:rPr>
          <w:lang w:eastAsia="bg-BG"/>
        </w:rPr>
        <w:t xml:space="preserve"> </w:t>
      </w:r>
      <w:proofErr w:type="spellStart"/>
      <w:r w:rsidRPr="001653D6">
        <w:rPr>
          <w:lang w:eastAsia="bg-BG"/>
        </w:rPr>
        <w:t>аксетил</w:t>
      </w:r>
      <w:proofErr w:type="spellEnd"/>
      <w:r w:rsidRPr="001653D6">
        <w:rPr>
          <w:lang w:eastAsia="bg-BG"/>
        </w:rPr>
        <w:t xml:space="preserve"> може да доведе до свръхрастеж на </w:t>
      </w:r>
      <w:r w:rsidRPr="001653D6">
        <w:rPr>
          <w:i/>
          <w:iCs/>
          <w:lang w:val="en-US"/>
        </w:rPr>
        <w:t>Candida.</w:t>
      </w:r>
      <w:r w:rsidRPr="001653D6">
        <w:rPr>
          <w:lang w:val="en-US"/>
        </w:rPr>
        <w:t xml:space="preserve"> </w:t>
      </w:r>
      <w:r w:rsidRPr="001653D6">
        <w:rPr>
          <w:lang w:eastAsia="bg-BG"/>
        </w:rPr>
        <w:t xml:space="preserve">Продължителното приложение може също да доведе до свръхрастеж на други нечувствителни микроорганизми (напр. </w:t>
      </w:r>
      <w:proofErr w:type="spellStart"/>
      <w:r w:rsidRPr="001653D6">
        <w:rPr>
          <w:lang w:eastAsia="bg-BG"/>
        </w:rPr>
        <w:t>ентерококи</w:t>
      </w:r>
      <w:proofErr w:type="spellEnd"/>
      <w:r w:rsidRPr="001653D6">
        <w:rPr>
          <w:lang w:eastAsia="bg-BG"/>
        </w:rPr>
        <w:t xml:space="preserve"> и </w:t>
      </w:r>
      <w:r w:rsidRPr="001653D6">
        <w:rPr>
          <w:i/>
          <w:iCs/>
          <w:lang w:val="en-US"/>
        </w:rPr>
        <w:t>Clostridium difficile).,</w:t>
      </w:r>
      <w:r w:rsidRPr="001653D6">
        <w:rPr>
          <w:lang w:val="en-US"/>
        </w:rPr>
        <w:t xml:space="preserve"> </w:t>
      </w:r>
      <w:r w:rsidRPr="001653D6">
        <w:rPr>
          <w:lang w:eastAsia="bg-BG"/>
        </w:rPr>
        <w:t>което може да наложи спиране на лечението (вж. точка 4.8).</w:t>
      </w:r>
    </w:p>
    <w:p w14:paraId="07A12A41" w14:textId="77777777" w:rsidR="001653D6" w:rsidRDefault="001653D6" w:rsidP="001653D6">
      <w:pPr>
        <w:rPr>
          <w:lang w:eastAsia="bg-BG"/>
        </w:rPr>
      </w:pPr>
    </w:p>
    <w:p w14:paraId="712A9FC7" w14:textId="330CA84C" w:rsidR="001653D6" w:rsidRPr="001653D6" w:rsidRDefault="001653D6" w:rsidP="001653D6">
      <w:pPr>
        <w:rPr>
          <w:sz w:val="24"/>
          <w:szCs w:val="24"/>
        </w:rPr>
      </w:pPr>
      <w:proofErr w:type="spellStart"/>
      <w:r w:rsidRPr="001653D6">
        <w:rPr>
          <w:lang w:eastAsia="bg-BG"/>
        </w:rPr>
        <w:t>Псевдомембранозен</w:t>
      </w:r>
      <w:proofErr w:type="spellEnd"/>
      <w:r w:rsidRPr="001653D6">
        <w:rPr>
          <w:lang w:eastAsia="bg-BG"/>
        </w:rPr>
        <w:t xml:space="preserve"> колит, свързан с прием на антибактериални средства, се съобщава с почти всички антибактериални средства, включително и </w:t>
      </w:r>
      <w:proofErr w:type="spellStart"/>
      <w:r w:rsidRPr="001653D6">
        <w:rPr>
          <w:lang w:eastAsia="bg-BG"/>
        </w:rPr>
        <w:t>цефуроксим</w:t>
      </w:r>
      <w:proofErr w:type="spellEnd"/>
      <w:r w:rsidRPr="001653D6">
        <w:rPr>
          <w:lang w:eastAsia="bg-BG"/>
        </w:rPr>
        <w:t xml:space="preserve">, като по тежест може да премине от лек до животозастрашаващ. Тази диагноза трябва да се има предвид при пациенти с диария по време на или след прием на </w:t>
      </w:r>
      <w:proofErr w:type="spellStart"/>
      <w:r w:rsidRPr="001653D6">
        <w:rPr>
          <w:lang w:eastAsia="bg-BG"/>
        </w:rPr>
        <w:t>цефуроксим</w:t>
      </w:r>
      <w:proofErr w:type="spellEnd"/>
      <w:r w:rsidRPr="001653D6">
        <w:rPr>
          <w:lang w:eastAsia="bg-BG"/>
        </w:rPr>
        <w:t xml:space="preserve"> (вж. точка 4.8). В тези случаи трябва да се обмисли спиране на лечението с </w:t>
      </w:r>
      <w:proofErr w:type="spellStart"/>
      <w:r w:rsidRPr="001653D6">
        <w:rPr>
          <w:lang w:eastAsia="bg-BG"/>
        </w:rPr>
        <w:t>цефуроксим</w:t>
      </w:r>
      <w:proofErr w:type="spellEnd"/>
      <w:r w:rsidRPr="001653D6">
        <w:rPr>
          <w:lang w:eastAsia="bg-BG"/>
        </w:rPr>
        <w:t xml:space="preserve"> и приложение на специфична терапия за </w:t>
      </w:r>
      <w:r w:rsidRPr="001653D6">
        <w:rPr>
          <w:i/>
          <w:iCs/>
          <w:lang w:val="en-US"/>
        </w:rPr>
        <w:t xml:space="preserve">Clostridium difficile. </w:t>
      </w:r>
      <w:r w:rsidRPr="001653D6">
        <w:rPr>
          <w:lang w:eastAsia="bg-BG"/>
        </w:rPr>
        <w:t>Не трябва да се прилагат лекарствени продукти, които инхибират перисталтиката (вж. точка 4.8).</w:t>
      </w:r>
    </w:p>
    <w:p w14:paraId="698BD7C5" w14:textId="77777777" w:rsidR="001653D6" w:rsidRDefault="001653D6" w:rsidP="001653D6">
      <w:pPr>
        <w:rPr>
          <w:lang w:eastAsia="bg-BG"/>
        </w:rPr>
      </w:pPr>
    </w:p>
    <w:p w14:paraId="0B408278" w14:textId="1E13680F" w:rsidR="001653D6" w:rsidRPr="001653D6" w:rsidRDefault="001653D6" w:rsidP="001653D6">
      <w:pPr>
        <w:rPr>
          <w:sz w:val="24"/>
          <w:szCs w:val="24"/>
          <w:u w:val="single"/>
        </w:rPr>
      </w:pPr>
      <w:r w:rsidRPr="001653D6">
        <w:rPr>
          <w:u w:val="single"/>
          <w:lang w:eastAsia="bg-BG"/>
        </w:rPr>
        <w:t>Повлияване на резултатите на диагностични тестове</w:t>
      </w:r>
    </w:p>
    <w:p w14:paraId="15AED4DC" w14:textId="77777777" w:rsidR="001653D6" w:rsidRDefault="001653D6" w:rsidP="001653D6">
      <w:pPr>
        <w:rPr>
          <w:lang w:eastAsia="bg-BG"/>
        </w:rPr>
      </w:pPr>
    </w:p>
    <w:p w14:paraId="134E8822" w14:textId="5351A123" w:rsidR="001653D6" w:rsidRDefault="001653D6" w:rsidP="001653D6">
      <w:pPr>
        <w:rPr>
          <w:lang w:eastAsia="bg-BG"/>
        </w:rPr>
      </w:pPr>
      <w:r w:rsidRPr="001653D6">
        <w:rPr>
          <w:lang w:eastAsia="bg-BG"/>
        </w:rPr>
        <w:t xml:space="preserve">Развитието на положителен тест на </w:t>
      </w:r>
      <w:proofErr w:type="spellStart"/>
      <w:r w:rsidRPr="001653D6">
        <w:rPr>
          <w:lang w:val="en-US"/>
        </w:rPr>
        <w:t>Coomb’s</w:t>
      </w:r>
      <w:proofErr w:type="spellEnd"/>
      <w:r w:rsidRPr="001653D6">
        <w:rPr>
          <w:lang w:val="en-US"/>
        </w:rPr>
        <w:t xml:space="preserve">, </w:t>
      </w:r>
      <w:r w:rsidRPr="001653D6">
        <w:rPr>
          <w:lang w:eastAsia="bg-BG"/>
        </w:rPr>
        <w:t xml:space="preserve">свързано с приложение на </w:t>
      </w:r>
      <w:proofErr w:type="spellStart"/>
      <w:r w:rsidRPr="001653D6">
        <w:rPr>
          <w:lang w:eastAsia="bg-BG"/>
        </w:rPr>
        <w:t>цефуроксим</w:t>
      </w:r>
      <w:proofErr w:type="spellEnd"/>
      <w:r w:rsidRPr="001653D6">
        <w:rPr>
          <w:lang w:eastAsia="bg-BG"/>
        </w:rPr>
        <w:t>, може да повлияе на кръстосаната проба за съвместимост при кръвопреливане (вж. точка 4.8).</w:t>
      </w:r>
    </w:p>
    <w:p w14:paraId="7D9F9540" w14:textId="6E2DBAC6" w:rsidR="001653D6" w:rsidRDefault="001653D6" w:rsidP="001653D6">
      <w:pPr>
        <w:rPr>
          <w:lang w:eastAsia="bg-BG"/>
        </w:rPr>
      </w:pPr>
    </w:p>
    <w:p w14:paraId="11419717" w14:textId="77777777" w:rsidR="001653D6" w:rsidRPr="001653D6" w:rsidRDefault="001653D6" w:rsidP="001653D6">
      <w:pPr>
        <w:rPr>
          <w:sz w:val="24"/>
          <w:szCs w:val="24"/>
        </w:rPr>
      </w:pPr>
      <w:r w:rsidRPr="001653D6">
        <w:rPr>
          <w:lang w:eastAsia="bg-BG"/>
        </w:rPr>
        <w:t xml:space="preserve">Тъй като при провеждане на </w:t>
      </w:r>
      <w:proofErr w:type="spellStart"/>
      <w:r w:rsidRPr="001653D6">
        <w:rPr>
          <w:lang w:eastAsia="bg-BG"/>
        </w:rPr>
        <w:t>ферицианиден</w:t>
      </w:r>
      <w:proofErr w:type="spellEnd"/>
      <w:r w:rsidRPr="001653D6">
        <w:rPr>
          <w:lang w:eastAsia="bg-BG"/>
        </w:rPr>
        <w:t xml:space="preserve"> тест могат да се получат фалшиво негативни резултати, за изследване на нивата на глюкоза в кръвта/плазмата при пациенти на </w:t>
      </w:r>
      <w:proofErr w:type="spellStart"/>
      <w:r w:rsidRPr="001653D6">
        <w:rPr>
          <w:lang w:eastAsia="bg-BG"/>
        </w:rPr>
        <w:t>цефуроксим</w:t>
      </w:r>
      <w:proofErr w:type="spellEnd"/>
      <w:r w:rsidRPr="001653D6">
        <w:rPr>
          <w:lang w:eastAsia="bg-BG"/>
        </w:rPr>
        <w:t xml:space="preserve"> </w:t>
      </w:r>
      <w:proofErr w:type="spellStart"/>
      <w:r w:rsidRPr="001653D6">
        <w:rPr>
          <w:lang w:eastAsia="bg-BG"/>
        </w:rPr>
        <w:t>аксетил</w:t>
      </w:r>
      <w:proofErr w:type="spellEnd"/>
      <w:r w:rsidRPr="001653D6">
        <w:rPr>
          <w:lang w:eastAsia="bg-BG"/>
        </w:rPr>
        <w:t xml:space="preserve"> се препоръчва употребата или на </w:t>
      </w:r>
      <w:proofErr w:type="spellStart"/>
      <w:r w:rsidRPr="001653D6">
        <w:rPr>
          <w:lang w:eastAsia="bg-BG"/>
        </w:rPr>
        <w:t>глюкозооксидазния</w:t>
      </w:r>
      <w:proofErr w:type="spellEnd"/>
      <w:r w:rsidRPr="001653D6">
        <w:rPr>
          <w:lang w:eastAsia="bg-BG"/>
        </w:rPr>
        <w:t xml:space="preserve">, или на </w:t>
      </w:r>
      <w:proofErr w:type="spellStart"/>
      <w:r w:rsidRPr="001653D6">
        <w:rPr>
          <w:lang w:eastAsia="bg-BG"/>
        </w:rPr>
        <w:t>хексокиназния</w:t>
      </w:r>
      <w:proofErr w:type="spellEnd"/>
      <w:r w:rsidRPr="001653D6">
        <w:rPr>
          <w:lang w:eastAsia="bg-BG"/>
        </w:rPr>
        <w:t xml:space="preserve"> метод.</w:t>
      </w:r>
    </w:p>
    <w:p w14:paraId="16FED92F" w14:textId="77777777" w:rsidR="001653D6" w:rsidRDefault="001653D6" w:rsidP="001653D6">
      <w:pPr>
        <w:rPr>
          <w:u w:val="single"/>
          <w:lang w:eastAsia="bg-BG"/>
        </w:rPr>
      </w:pPr>
    </w:p>
    <w:p w14:paraId="1C4E015C" w14:textId="71885A58" w:rsidR="001653D6" w:rsidRPr="001653D6" w:rsidRDefault="001653D6" w:rsidP="001653D6">
      <w:pPr>
        <w:rPr>
          <w:sz w:val="24"/>
          <w:szCs w:val="24"/>
        </w:rPr>
      </w:pPr>
      <w:r w:rsidRPr="001653D6">
        <w:rPr>
          <w:u w:val="single"/>
          <w:lang w:eastAsia="bg-BG"/>
        </w:rPr>
        <w:t>Важна информация за помощните вещества</w:t>
      </w:r>
    </w:p>
    <w:p w14:paraId="7AC3DA69" w14:textId="77777777" w:rsidR="001653D6" w:rsidRDefault="001653D6" w:rsidP="001653D6">
      <w:pPr>
        <w:rPr>
          <w:lang w:eastAsia="bg-BG"/>
        </w:rPr>
      </w:pPr>
    </w:p>
    <w:p w14:paraId="6B6327F3" w14:textId="52080234" w:rsidR="001653D6" w:rsidRDefault="001653D6" w:rsidP="001653D6">
      <w:pPr>
        <w:rPr>
          <w:lang w:eastAsia="bg-BG"/>
        </w:rPr>
      </w:pPr>
      <w:r w:rsidRPr="001653D6">
        <w:rPr>
          <w:lang w:eastAsia="bg-BG"/>
        </w:rPr>
        <w:t xml:space="preserve">Таблетките </w:t>
      </w:r>
      <w:proofErr w:type="spellStart"/>
      <w:r w:rsidRPr="001653D6">
        <w:rPr>
          <w:lang w:eastAsia="bg-BG"/>
        </w:rPr>
        <w:t>Лифурокс</w:t>
      </w:r>
      <w:proofErr w:type="spellEnd"/>
      <w:r w:rsidRPr="001653D6">
        <w:rPr>
          <w:lang w:eastAsia="bg-BG"/>
        </w:rPr>
        <w:t xml:space="preserve"> съдържа </w:t>
      </w:r>
      <w:proofErr w:type="spellStart"/>
      <w:r w:rsidRPr="001653D6">
        <w:rPr>
          <w:lang w:eastAsia="bg-BG"/>
        </w:rPr>
        <w:t>парабени</w:t>
      </w:r>
      <w:proofErr w:type="spellEnd"/>
      <w:r w:rsidRPr="001653D6">
        <w:rPr>
          <w:lang w:eastAsia="bg-BG"/>
        </w:rPr>
        <w:t>, които могат да предизвикат алергични реакции (възможно е да са от забавен тип).</w:t>
      </w:r>
    </w:p>
    <w:p w14:paraId="184978CF" w14:textId="77777777" w:rsidR="001653D6" w:rsidRPr="001653D6" w:rsidRDefault="001653D6" w:rsidP="001653D6"/>
    <w:p w14:paraId="5D37E947" w14:textId="469ED805" w:rsidR="00C809A7" w:rsidRDefault="002C50EE" w:rsidP="00AA23EC">
      <w:pPr>
        <w:pStyle w:val="Heading2"/>
      </w:pPr>
      <w:r>
        <w:t>4.5. Взаимодействие с други лекарствени продукти и други форми на взаимодействие</w:t>
      </w:r>
    </w:p>
    <w:p w14:paraId="56D2049E" w14:textId="55AC5099" w:rsidR="001653D6" w:rsidRDefault="001653D6" w:rsidP="001653D6"/>
    <w:p w14:paraId="58836DA3" w14:textId="77777777" w:rsidR="001653D6" w:rsidRPr="001653D6" w:rsidRDefault="001653D6" w:rsidP="001653D6">
      <w:pPr>
        <w:rPr>
          <w:sz w:val="24"/>
          <w:szCs w:val="24"/>
        </w:rPr>
      </w:pPr>
      <w:r w:rsidRPr="001653D6">
        <w:rPr>
          <w:lang w:eastAsia="bg-BG"/>
        </w:rPr>
        <w:lastRenderedPageBreak/>
        <w:t xml:space="preserve">Лекарства, които водят до понижена киселинност в стомаха, могат да доведат до по-ниска биоаналитичност на </w:t>
      </w:r>
      <w:proofErr w:type="spellStart"/>
      <w:r w:rsidRPr="001653D6">
        <w:rPr>
          <w:lang w:eastAsia="bg-BG"/>
        </w:rPr>
        <w:t>цефуроксим</w:t>
      </w:r>
      <w:proofErr w:type="spellEnd"/>
      <w:r w:rsidRPr="001653D6">
        <w:rPr>
          <w:lang w:eastAsia="bg-BG"/>
        </w:rPr>
        <w:t xml:space="preserve"> </w:t>
      </w:r>
      <w:proofErr w:type="spellStart"/>
      <w:r w:rsidRPr="001653D6">
        <w:rPr>
          <w:lang w:eastAsia="bg-BG"/>
        </w:rPr>
        <w:t>аксетил</w:t>
      </w:r>
      <w:proofErr w:type="spellEnd"/>
      <w:r w:rsidRPr="001653D6">
        <w:rPr>
          <w:lang w:eastAsia="bg-BG"/>
        </w:rPr>
        <w:t xml:space="preserve">, в сравнение с </w:t>
      </w:r>
      <w:proofErr w:type="spellStart"/>
      <w:r w:rsidRPr="001653D6">
        <w:rPr>
          <w:lang w:eastAsia="bg-BG"/>
        </w:rPr>
        <w:t>биоаналичността</w:t>
      </w:r>
      <w:proofErr w:type="spellEnd"/>
      <w:r w:rsidRPr="001653D6">
        <w:rPr>
          <w:lang w:eastAsia="bg-BG"/>
        </w:rPr>
        <w:t>, постигана при прием на гладно, и също така, да елиминират ефекта на подобряване на абсорбцията при прием след хранене.</w:t>
      </w:r>
    </w:p>
    <w:p w14:paraId="6A9FC0C3" w14:textId="77777777" w:rsidR="001653D6" w:rsidRDefault="001653D6" w:rsidP="001653D6">
      <w:pPr>
        <w:rPr>
          <w:lang w:eastAsia="bg-BG"/>
        </w:rPr>
      </w:pPr>
    </w:p>
    <w:p w14:paraId="4511FDE0" w14:textId="7FEAB7F2" w:rsidR="001653D6" w:rsidRPr="001653D6" w:rsidRDefault="001653D6" w:rsidP="001653D6">
      <w:pPr>
        <w:rPr>
          <w:sz w:val="24"/>
          <w:szCs w:val="24"/>
        </w:rPr>
      </w:pPr>
      <w:proofErr w:type="spellStart"/>
      <w:r w:rsidRPr="001653D6">
        <w:rPr>
          <w:lang w:eastAsia="bg-BG"/>
        </w:rPr>
        <w:t>Цефуроксим</w:t>
      </w:r>
      <w:proofErr w:type="spellEnd"/>
      <w:r w:rsidRPr="001653D6">
        <w:rPr>
          <w:lang w:eastAsia="bg-BG"/>
        </w:rPr>
        <w:t xml:space="preserve"> </w:t>
      </w:r>
      <w:proofErr w:type="spellStart"/>
      <w:r w:rsidRPr="001653D6">
        <w:rPr>
          <w:lang w:eastAsia="bg-BG"/>
        </w:rPr>
        <w:t>аксетил</w:t>
      </w:r>
      <w:proofErr w:type="spellEnd"/>
      <w:r w:rsidRPr="001653D6">
        <w:rPr>
          <w:lang w:eastAsia="bg-BG"/>
        </w:rPr>
        <w:t xml:space="preserve"> може да повлияе стомашно-чревната флора, което да доведе до по-ниска </w:t>
      </w:r>
      <w:proofErr w:type="spellStart"/>
      <w:r w:rsidRPr="001653D6">
        <w:rPr>
          <w:lang w:eastAsia="bg-BG"/>
        </w:rPr>
        <w:t>реабсорбция</w:t>
      </w:r>
      <w:proofErr w:type="spellEnd"/>
      <w:r w:rsidRPr="001653D6">
        <w:rPr>
          <w:lang w:eastAsia="bg-BG"/>
        </w:rPr>
        <w:t xml:space="preserve"> на </w:t>
      </w:r>
      <w:proofErr w:type="spellStart"/>
      <w:r w:rsidRPr="001653D6">
        <w:rPr>
          <w:lang w:eastAsia="bg-BG"/>
        </w:rPr>
        <w:t>естрогени</w:t>
      </w:r>
      <w:proofErr w:type="spellEnd"/>
      <w:r w:rsidRPr="001653D6">
        <w:rPr>
          <w:lang w:eastAsia="bg-BG"/>
        </w:rPr>
        <w:t xml:space="preserve"> и намалена ефикасност на комбинираните перорални контрацептиви.</w:t>
      </w:r>
    </w:p>
    <w:p w14:paraId="5A260716" w14:textId="77777777" w:rsidR="001653D6" w:rsidRDefault="001653D6" w:rsidP="001653D6">
      <w:pPr>
        <w:rPr>
          <w:lang w:eastAsia="bg-BG"/>
        </w:rPr>
      </w:pPr>
    </w:p>
    <w:p w14:paraId="5E455749" w14:textId="55F2AEBA" w:rsidR="001653D6" w:rsidRPr="001653D6" w:rsidRDefault="001653D6" w:rsidP="001653D6">
      <w:pPr>
        <w:rPr>
          <w:sz w:val="24"/>
          <w:szCs w:val="24"/>
        </w:rPr>
      </w:pPr>
      <w:proofErr w:type="spellStart"/>
      <w:r w:rsidRPr="001653D6">
        <w:rPr>
          <w:lang w:eastAsia="bg-BG"/>
        </w:rPr>
        <w:t>Цефуроксим</w:t>
      </w:r>
      <w:proofErr w:type="spellEnd"/>
      <w:r w:rsidRPr="001653D6">
        <w:rPr>
          <w:lang w:eastAsia="bg-BG"/>
        </w:rPr>
        <w:t xml:space="preserve"> се </w:t>
      </w:r>
      <w:proofErr w:type="spellStart"/>
      <w:r w:rsidRPr="001653D6">
        <w:rPr>
          <w:lang w:eastAsia="bg-BG"/>
        </w:rPr>
        <w:t>екскретира</w:t>
      </w:r>
      <w:proofErr w:type="spellEnd"/>
      <w:r w:rsidRPr="001653D6">
        <w:rPr>
          <w:lang w:eastAsia="bg-BG"/>
        </w:rPr>
        <w:t xml:space="preserve"> чрез </w:t>
      </w:r>
      <w:proofErr w:type="spellStart"/>
      <w:r w:rsidRPr="001653D6">
        <w:rPr>
          <w:lang w:eastAsia="bg-BG"/>
        </w:rPr>
        <w:t>гломерулна</w:t>
      </w:r>
      <w:proofErr w:type="spellEnd"/>
      <w:r w:rsidRPr="001653D6">
        <w:rPr>
          <w:lang w:eastAsia="bg-BG"/>
        </w:rPr>
        <w:t xml:space="preserve"> филтрация и </w:t>
      </w:r>
      <w:proofErr w:type="spellStart"/>
      <w:r w:rsidRPr="001653D6">
        <w:rPr>
          <w:lang w:eastAsia="bg-BG"/>
        </w:rPr>
        <w:t>тубулна</w:t>
      </w:r>
      <w:proofErr w:type="spellEnd"/>
      <w:r w:rsidRPr="001653D6">
        <w:rPr>
          <w:lang w:eastAsia="bg-BG"/>
        </w:rPr>
        <w:t xml:space="preserve"> секреция. Не се препоръчва едновременно приложение с </w:t>
      </w:r>
      <w:proofErr w:type="spellStart"/>
      <w:r w:rsidRPr="001653D6">
        <w:rPr>
          <w:lang w:eastAsia="bg-BG"/>
        </w:rPr>
        <w:t>Пробенецид</w:t>
      </w:r>
      <w:proofErr w:type="spellEnd"/>
      <w:r w:rsidRPr="001653D6">
        <w:rPr>
          <w:lang w:eastAsia="bg-BG"/>
        </w:rPr>
        <w:t xml:space="preserve">. Едновременното приложение с </w:t>
      </w:r>
      <w:proofErr w:type="spellStart"/>
      <w:r w:rsidRPr="001653D6">
        <w:rPr>
          <w:lang w:eastAsia="bg-BG"/>
        </w:rPr>
        <w:t>Пробенецид</w:t>
      </w:r>
      <w:proofErr w:type="spellEnd"/>
      <w:r w:rsidRPr="001653D6">
        <w:rPr>
          <w:lang w:eastAsia="bg-BG"/>
        </w:rPr>
        <w:t xml:space="preserve"> значително повишава пиковата концентрация, площта под кривата серумна концентрация/време и елиминационния полуживот на </w:t>
      </w:r>
      <w:proofErr w:type="spellStart"/>
      <w:r w:rsidRPr="001653D6">
        <w:rPr>
          <w:lang w:eastAsia="bg-BG"/>
        </w:rPr>
        <w:t>цефуроксим</w:t>
      </w:r>
      <w:proofErr w:type="spellEnd"/>
      <w:r w:rsidRPr="001653D6">
        <w:rPr>
          <w:lang w:eastAsia="bg-BG"/>
        </w:rPr>
        <w:t>.</w:t>
      </w:r>
    </w:p>
    <w:p w14:paraId="5BE0B0FD" w14:textId="77777777" w:rsidR="001653D6" w:rsidRDefault="001653D6" w:rsidP="001653D6">
      <w:pPr>
        <w:rPr>
          <w:lang w:eastAsia="bg-BG"/>
        </w:rPr>
      </w:pPr>
    </w:p>
    <w:p w14:paraId="25326E5A" w14:textId="1AC03C94" w:rsidR="001653D6" w:rsidRPr="001653D6" w:rsidRDefault="001653D6" w:rsidP="001653D6">
      <w:pPr>
        <w:rPr>
          <w:sz w:val="24"/>
          <w:szCs w:val="24"/>
        </w:rPr>
      </w:pPr>
      <w:r w:rsidRPr="001653D6">
        <w:rPr>
          <w:lang w:eastAsia="bg-BG"/>
        </w:rPr>
        <w:t xml:space="preserve">Едновременното приложение с перорални антикоагуланти може да доведе до повишаване на международното нормализирано съотношение </w:t>
      </w:r>
      <w:r w:rsidRPr="001653D6">
        <w:rPr>
          <w:lang w:val="en-US"/>
        </w:rPr>
        <w:t>(INR).</w:t>
      </w:r>
    </w:p>
    <w:p w14:paraId="4E9CEEA6" w14:textId="77777777" w:rsidR="001653D6" w:rsidRPr="001653D6" w:rsidRDefault="001653D6" w:rsidP="001653D6"/>
    <w:p w14:paraId="2A6346D7" w14:textId="4D77A908" w:rsidR="00C809A7" w:rsidRDefault="002C50EE" w:rsidP="00AA23EC">
      <w:pPr>
        <w:pStyle w:val="Heading2"/>
      </w:pPr>
      <w:r>
        <w:t xml:space="preserve">4.6. </w:t>
      </w:r>
      <w:proofErr w:type="spellStart"/>
      <w:r>
        <w:t>Фертилитет</w:t>
      </w:r>
      <w:proofErr w:type="spellEnd"/>
      <w:r>
        <w:t>, бременност и кърмене</w:t>
      </w:r>
    </w:p>
    <w:p w14:paraId="029C7BA4" w14:textId="77777777" w:rsidR="001653D6" w:rsidRPr="001653D6" w:rsidRDefault="001653D6" w:rsidP="001653D6"/>
    <w:p w14:paraId="4C8D6A37" w14:textId="77777777" w:rsidR="001653D6" w:rsidRPr="001653D6" w:rsidRDefault="001653D6" w:rsidP="001653D6">
      <w:pPr>
        <w:pStyle w:val="Heading3"/>
        <w:rPr>
          <w:rFonts w:eastAsia="Times New Roman"/>
          <w:u w:val="single"/>
        </w:rPr>
      </w:pPr>
      <w:r w:rsidRPr="001653D6">
        <w:rPr>
          <w:rFonts w:eastAsia="Times New Roman"/>
          <w:u w:val="single"/>
          <w:lang w:eastAsia="bg-BG"/>
        </w:rPr>
        <w:t>Бременност</w:t>
      </w:r>
    </w:p>
    <w:p w14:paraId="6830A25D" w14:textId="77777777" w:rsidR="001653D6" w:rsidRPr="001653D6" w:rsidRDefault="001653D6" w:rsidP="001653D6">
      <w:pPr>
        <w:rPr>
          <w:sz w:val="24"/>
          <w:szCs w:val="24"/>
        </w:rPr>
      </w:pPr>
      <w:r w:rsidRPr="001653D6">
        <w:rPr>
          <w:lang w:eastAsia="bg-BG"/>
        </w:rPr>
        <w:t xml:space="preserve">Има ограничени данни от употребата на </w:t>
      </w:r>
      <w:proofErr w:type="spellStart"/>
      <w:r w:rsidRPr="001653D6">
        <w:rPr>
          <w:lang w:eastAsia="bg-BG"/>
        </w:rPr>
        <w:t>цефуроксим</w:t>
      </w:r>
      <w:proofErr w:type="spellEnd"/>
      <w:r w:rsidRPr="001653D6">
        <w:rPr>
          <w:lang w:eastAsia="bg-BG"/>
        </w:rPr>
        <w:t xml:space="preserve"> при бременни жени. Проучванията при животни не показват вредни ефекти върху бременността, </w:t>
      </w:r>
      <w:proofErr w:type="spellStart"/>
      <w:r w:rsidRPr="001653D6">
        <w:rPr>
          <w:lang w:eastAsia="bg-BG"/>
        </w:rPr>
        <w:t>ембриалното</w:t>
      </w:r>
      <w:proofErr w:type="spellEnd"/>
      <w:r w:rsidRPr="001653D6">
        <w:rPr>
          <w:lang w:eastAsia="bg-BG"/>
        </w:rPr>
        <w:t xml:space="preserve"> и фаталното развитие, раждането и </w:t>
      </w:r>
      <w:proofErr w:type="spellStart"/>
      <w:r w:rsidRPr="001653D6">
        <w:rPr>
          <w:lang w:eastAsia="bg-BG"/>
        </w:rPr>
        <w:t>постнаталното</w:t>
      </w:r>
      <w:proofErr w:type="spellEnd"/>
      <w:r w:rsidRPr="001653D6">
        <w:rPr>
          <w:lang w:eastAsia="bg-BG"/>
        </w:rPr>
        <w:t xml:space="preserve"> развитие. </w:t>
      </w:r>
      <w:proofErr w:type="spellStart"/>
      <w:r w:rsidRPr="001653D6">
        <w:rPr>
          <w:lang w:eastAsia="bg-BG"/>
        </w:rPr>
        <w:t>Лифурокс</w:t>
      </w:r>
      <w:proofErr w:type="spellEnd"/>
      <w:r w:rsidRPr="001653D6">
        <w:rPr>
          <w:lang w:eastAsia="bg-BG"/>
        </w:rPr>
        <w:t xml:space="preserve"> трябва да се предписва на бременни жени само ако ползите надвишават рисковете.</w:t>
      </w:r>
    </w:p>
    <w:p w14:paraId="0CA267E0" w14:textId="77777777" w:rsidR="001653D6" w:rsidRDefault="001653D6" w:rsidP="001653D6">
      <w:pPr>
        <w:rPr>
          <w:lang w:eastAsia="bg-BG"/>
        </w:rPr>
      </w:pPr>
    </w:p>
    <w:p w14:paraId="2CD1A739" w14:textId="35B8C676" w:rsidR="001653D6" w:rsidRPr="001653D6" w:rsidRDefault="001653D6" w:rsidP="001653D6">
      <w:pPr>
        <w:pStyle w:val="Heading3"/>
        <w:rPr>
          <w:rFonts w:eastAsia="Times New Roman"/>
          <w:u w:val="single"/>
        </w:rPr>
      </w:pPr>
      <w:r w:rsidRPr="001653D6">
        <w:rPr>
          <w:rFonts w:eastAsia="Times New Roman"/>
          <w:u w:val="single"/>
          <w:lang w:eastAsia="bg-BG"/>
        </w:rPr>
        <w:t>Кърмене</w:t>
      </w:r>
    </w:p>
    <w:p w14:paraId="0208FC98" w14:textId="77777777" w:rsidR="001653D6" w:rsidRPr="001653D6" w:rsidRDefault="001653D6" w:rsidP="001653D6">
      <w:pPr>
        <w:rPr>
          <w:sz w:val="24"/>
          <w:szCs w:val="24"/>
        </w:rPr>
      </w:pPr>
      <w:proofErr w:type="spellStart"/>
      <w:r w:rsidRPr="001653D6">
        <w:rPr>
          <w:lang w:eastAsia="bg-BG"/>
        </w:rPr>
        <w:t>Цефуроксим</w:t>
      </w:r>
      <w:proofErr w:type="spellEnd"/>
      <w:r w:rsidRPr="001653D6">
        <w:rPr>
          <w:lang w:eastAsia="bg-BG"/>
        </w:rPr>
        <w:t xml:space="preserve"> се отделя от кърмата в малки количества. Не се очакват нежелани реакции при терапевтични дози, въпреки че не може да се изключи риск от развитие на диария и гъбична инфекция на лигавиците. Развитието на тези реакции може да наложи спиране на кърменето. Трябва да се има предвид възможността за сенсибилизация. </w:t>
      </w:r>
      <w:proofErr w:type="spellStart"/>
      <w:r w:rsidRPr="001653D6">
        <w:rPr>
          <w:lang w:eastAsia="bg-BG"/>
        </w:rPr>
        <w:t>Цефуроксим</w:t>
      </w:r>
      <w:proofErr w:type="spellEnd"/>
      <w:r w:rsidRPr="001653D6">
        <w:rPr>
          <w:lang w:eastAsia="bg-BG"/>
        </w:rPr>
        <w:t xml:space="preserve"> трябва да се прилага при кърмачки само след оценка на отношението полза/ риск от лекуващия лекар.</w:t>
      </w:r>
    </w:p>
    <w:p w14:paraId="3CF8F416" w14:textId="77777777" w:rsidR="001653D6" w:rsidRDefault="001653D6" w:rsidP="001653D6">
      <w:pPr>
        <w:rPr>
          <w:lang w:eastAsia="bg-BG"/>
        </w:rPr>
      </w:pPr>
    </w:p>
    <w:p w14:paraId="2DCF0041" w14:textId="1278BD0A" w:rsidR="001653D6" w:rsidRPr="001653D6" w:rsidRDefault="001653D6" w:rsidP="001653D6">
      <w:pPr>
        <w:pStyle w:val="Heading3"/>
        <w:rPr>
          <w:rFonts w:eastAsia="Times New Roman"/>
          <w:u w:val="single"/>
        </w:rPr>
      </w:pPr>
      <w:proofErr w:type="spellStart"/>
      <w:r w:rsidRPr="001653D6">
        <w:rPr>
          <w:rFonts w:eastAsia="Times New Roman"/>
          <w:u w:val="single"/>
          <w:lang w:eastAsia="bg-BG"/>
        </w:rPr>
        <w:t>Фертилитет</w:t>
      </w:r>
      <w:proofErr w:type="spellEnd"/>
    </w:p>
    <w:p w14:paraId="79497775" w14:textId="77777777" w:rsidR="001653D6" w:rsidRPr="001653D6" w:rsidRDefault="001653D6" w:rsidP="001653D6">
      <w:pPr>
        <w:rPr>
          <w:sz w:val="24"/>
          <w:szCs w:val="24"/>
        </w:rPr>
      </w:pPr>
      <w:r w:rsidRPr="001653D6">
        <w:rPr>
          <w:lang w:eastAsia="bg-BG"/>
        </w:rPr>
        <w:t xml:space="preserve">Няма данни за ефектите на </w:t>
      </w:r>
      <w:proofErr w:type="spellStart"/>
      <w:r w:rsidRPr="001653D6">
        <w:rPr>
          <w:lang w:eastAsia="bg-BG"/>
        </w:rPr>
        <w:t>цефуроксим</w:t>
      </w:r>
      <w:proofErr w:type="spellEnd"/>
      <w:r w:rsidRPr="001653D6">
        <w:rPr>
          <w:lang w:eastAsia="bg-BG"/>
        </w:rPr>
        <w:t xml:space="preserve"> </w:t>
      </w:r>
      <w:proofErr w:type="spellStart"/>
      <w:r w:rsidRPr="001653D6">
        <w:rPr>
          <w:lang w:eastAsia="bg-BG"/>
        </w:rPr>
        <w:t>аксетил</w:t>
      </w:r>
      <w:proofErr w:type="spellEnd"/>
      <w:r w:rsidRPr="001653D6">
        <w:rPr>
          <w:lang w:eastAsia="bg-BG"/>
        </w:rPr>
        <w:t xml:space="preserve"> върху </w:t>
      </w:r>
      <w:proofErr w:type="spellStart"/>
      <w:r w:rsidRPr="001653D6">
        <w:rPr>
          <w:lang w:eastAsia="bg-BG"/>
        </w:rPr>
        <w:t>фертилитета</w:t>
      </w:r>
      <w:proofErr w:type="spellEnd"/>
      <w:r w:rsidRPr="001653D6">
        <w:rPr>
          <w:lang w:eastAsia="bg-BG"/>
        </w:rPr>
        <w:t xml:space="preserve"> при хора. Репродуктивните проучвания при животни не са показали ефекти върху </w:t>
      </w:r>
      <w:proofErr w:type="spellStart"/>
      <w:r w:rsidRPr="001653D6">
        <w:rPr>
          <w:lang w:eastAsia="bg-BG"/>
        </w:rPr>
        <w:t>фертилитета</w:t>
      </w:r>
      <w:proofErr w:type="spellEnd"/>
      <w:r w:rsidRPr="001653D6">
        <w:rPr>
          <w:lang w:eastAsia="bg-BG"/>
        </w:rPr>
        <w:t>.</w:t>
      </w:r>
    </w:p>
    <w:p w14:paraId="24CCBAE5" w14:textId="77777777" w:rsidR="001653D6" w:rsidRPr="001653D6" w:rsidRDefault="001653D6" w:rsidP="001653D6"/>
    <w:p w14:paraId="71DE6E9A" w14:textId="483FECFD" w:rsidR="00C809A7" w:rsidRDefault="002C50EE" w:rsidP="00AA23EC">
      <w:pPr>
        <w:pStyle w:val="Heading2"/>
      </w:pPr>
      <w:r>
        <w:t>4.7. Ефекти върху способността за шофиране и работа с машини</w:t>
      </w:r>
    </w:p>
    <w:p w14:paraId="6F225CCD" w14:textId="77777777" w:rsidR="001653D6" w:rsidRDefault="001653D6" w:rsidP="001653D6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</w:p>
    <w:p w14:paraId="534CBA7B" w14:textId="419AEA7C" w:rsidR="001653D6" w:rsidRPr="001653D6" w:rsidRDefault="001653D6" w:rsidP="001653D6">
      <w:pPr>
        <w:rPr>
          <w:sz w:val="24"/>
          <w:szCs w:val="24"/>
        </w:rPr>
      </w:pPr>
      <w:r w:rsidRPr="001653D6">
        <w:rPr>
          <w:lang w:eastAsia="bg-BG"/>
        </w:rPr>
        <w:t xml:space="preserve">Не са провеждани проучвания за ефектите на </w:t>
      </w:r>
      <w:proofErr w:type="spellStart"/>
      <w:r w:rsidRPr="001653D6">
        <w:rPr>
          <w:lang w:eastAsia="bg-BG"/>
        </w:rPr>
        <w:t>цефуроксим</w:t>
      </w:r>
      <w:proofErr w:type="spellEnd"/>
      <w:r w:rsidRPr="001653D6">
        <w:rPr>
          <w:lang w:eastAsia="bg-BG"/>
        </w:rPr>
        <w:t xml:space="preserve"> върху способността за шофиране и работа с машини. Все пак, тъй като лекарството може да причини замаяност, пациентите трябва да бъдат предупредени да са предпазливи при шофиране и работа с машини.</w:t>
      </w:r>
    </w:p>
    <w:p w14:paraId="57737868" w14:textId="77777777" w:rsidR="001653D6" w:rsidRPr="001653D6" w:rsidRDefault="001653D6" w:rsidP="001653D6"/>
    <w:p w14:paraId="6698E6B8" w14:textId="144F28CD" w:rsidR="00C809A7" w:rsidRDefault="002C50EE" w:rsidP="00AA23EC">
      <w:pPr>
        <w:pStyle w:val="Heading2"/>
      </w:pPr>
      <w:r>
        <w:t>4.8. Нежелани лекарствени реакции</w:t>
      </w:r>
    </w:p>
    <w:p w14:paraId="1DAA7FA8" w14:textId="77777777" w:rsidR="001653D6" w:rsidRDefault="001653D6" w:rsidP="001653D6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</w:p>
    <w:p w14:paraId="19934D99" w14:textId="0A9BFFA1" w:rsidR="001653D6" w:rsidRPr="001653D6" w:rsidRDefault="001653D6" w:rsidP="001653D6">
      <w:pPr>
        <w:rPr>
          <w:sz w:val="24"/>
          <w:szCs w:val="24"/>
        </w:rPr>
      </w:pPr>
      <w:r w:rsidRPr="001653D6">
        <w:rPr>
          <w:lang w:eastAsia="bg-BG"/>
        </w:rPr>
        <w:lastRenderedPageBreak/>
        <w:t xml:space="preserve">Най-честите нежелани реакции са свръхрастеж на </w:t>
      </w:r>
      <w:r w:rsidRPr="001653D6">
        <w:rPr>
          <w:i/>
          <w:iCs/>
          <w:lang w:val="en-US"/>
        </w:rPr>
        <w:t>Candida,</w:t>
      </w:r>
      <w:r w:rsidRPr="001653D6">
        <w:rPr>
          <w:lang w:val="en-US"/>
        </w:rPr>
        <w:t xml:space="preserve"> </w:t>
      </w:r>
      <w:proofErr w:type="spellStart"/>
      <w:r w:rsidRPr="001653D6">
        <w:rPr>
          <w:lang w:eastAsia="bg-BG"/>
        </w:rPr>
        <w:t>еозинофилия</w:t>
      </w:r>
      <w:proofErr w:type="spellEnd"/>
      <w:r w:rsidRPr="001653D6">
        <w:rPr>
          <w:lang w:eastAsia="bg-BG"/>
        </w:rPr>
        <w:t xml:space="preserve">, главоболие, замаяност, </w:t>
      </w:r>
      <w:proofErr w:type="spellStart"/>
      <w:r w:rsidRPr="001653D6">
        <w:rPr>
          <w:lang w:eastAsia="bg-BG"/>
        </w:rPr>
        <w:t>гастро-интестинални</w:t>
      </w:r>
      <w:proofErr w:type="spellEnd"/>
      <w:r w:rsidRPr="001653D6">
        <w:rPr>
          <w:lang w:eastAsia="bg-BG"/>
        </w:rPr>
        <w:t xml:space="preserve"> нарушения и преходно повишаване на чернодробните ензими.</w:t>
      </w:r>
    </w:p>
    <w:p w14:paraId="07B14B21" w14:textId="77777777" w:rsidR="001653D6" w:rsidRDefault="001653D6" w:rsidP="001653D6">
      <w:pPr>
        <w:rPr>
          <w:lang w:eastAsia="bg-BG"/>
        </w:rPr>
      </w:pPr>
    </w:p>
    <w:p w14:paraId="43149DA8" w14:textId="30F02467" w:rsidR="001653D6" w:rsidRPr="001653D6" w:rsidRDefault="001653D6" w:rsidP="001653D6">
      <w:pPr>
        <w:rPr>
          <w:sz w:val="24"/>
          <w:szCs w:val="24"/>
        </w:rPr>
      </w:pPr>
      <w:r w:rsidRPr="001653D6">
        <w:rPr>
          <w:lang w:eastAsia="bg-BG"/>
        </w:rPr>
        <w:t xml:space="preserve">Категоризирането по честота на нежеланите лекарствени реакции по-долу е приблизително, тъй като за повечето реакции не са налични подходящи данни за изчисляване на честотата (например, такива от плацебо-контролирани клинични проучвания). В допълнение честотата на нежеланите лекарствени реакции, свързани с </w:t>
      </w:r>
      <w:proofErr w:type="spellStart"/>
      <w:r w:rsidRPr="001653D6">
        <w:rPr>
          <w:lang w:eastAsia="bg-BG"/>
        </w:rPr>
        <w:t>цефуроксим</w:t>
      </w:r>
      <w:proofErr w:type="spellEnd"/>
      <w:r w:rsidRPr="001653D6">
        <w:rPr>
          <w:lang w:eastAsia="bg-BG"/>
        </w:rPr>
        <w:t xml:space="preserve"> </w:t>
      </w:r>
      <w:proofErr w:type="spellStart"/>
      <w:r w:rsidRPr="001653D6">
        <w:rPr>
          <w:lang w:eastAsia="bg-BG"/>
        </w:rPr>
        <w:t>аксетил</w:t>
      </w:r>
      <w:proofErr w:type="spellEnd"/>
      <w:r w:rsidRPr="001653D6">
        <w:rPr>
          <w:lang w:eastAsia="bg-BG"/>
        </w:rPr>
        <w:t>, може да варира в зависимост от индикацията.</w:t>
      </w:r>
    </w:p>
    <w:p w14:paraId="719E6627" w14:textId="77777777" w:rsidR="001653D6" w:rsidRDefault="001653D6" w:rsidP="001653D6">
      <w:pPr>
        <w:rPr>
          <w:lang w:eastAsia="bg-BG"/>
        </w:rPr>
      </w:pPr>
    </w:p>
    <w:p w14:paraId="08F0FCEB" w14:textId="379BDDF2" w:rsidR="001653D6" w:rsidRPr="001653D6" w:rsidRDefault="001653D6" w:rsidP="001653D6">
      <w:pPr>
        <w:rPr>
          <w:sz w:val="24"/>
          <w:szCs w:val="24"/>
        </w:rPr>
      </w:pPr>
      <w:r w:rsidRPr="001653D6">
        <w:rPr>
          <w:lang w:eastAsia="bg-BG"/>
        </w:rPr>
        <w:t xml:space="preserve">Данни от обширни клинични проучвания са използвани за определяне на честотата на нежеланите лекарствени реакции в категориите от много чести до редки. Честотите на всички други нежелани лекарствени реакции (т.е. тези с честота &lt; 1/10 000) са установени главно въз основа на </w:t>
      </w:r>
      <w:proofErr w:type="spellStart"/>
      <w:r w:rsidRPr="001653D6">
        <w:rPr>
          <w:lang w:eastAsia="bg-BG"/>
        </w:rPr>
        <w:t>постмаркетингови</w:t>
      </w:r>
      <w:proofErr w:type="spellEnd"/>
      <w:r w:rsidRPr="001653D6">
        <w:rPr>
          <w:lang w:eastAsia="bg-BG"/>
        </w:rPr>
        <w:t xml:space="preserve"> данни и честотата им зависи от честотата на съобщаване на нежелани реакции, а не от реалната честота. Няма данни от плацебо-контролирани проучвания. Когато честотата на нежеланите реакции се изчислява от данни от клинични проучвания, това се основава на свързани с лекарството данни (по преценка на изследователя). При всяко групиране в зависимост от честотата, нежеланите лекарствени реакции са изброени в низходящ ред по отношение на тяхната сериозност.</w:t>
      </w:r>
    </w:p>
    <w:p w14:paraId="79DB686E" w14:textId="77777777" w:rsidR="001653D6" w:rsidRDefault="001653D6" w:rsidP="001653D6">
      <w:pPr>
        <w:rPr>
          <w:lang w:eastAsia="bg-BG"/>
        </w:rPr>
      </w:pPr>
    </w:p>
    <w:p w14:paraId="20237068" w14:textId="7142437C" w:rsidR="001653D6" w:rsidRDefault="001653D6" w:rsidP="001653D6">
      <w:pPr>
        <w:rPr>
          <w:lang w:eastAsia="bg-BG"/>
        </w:rPr>
      </w:pPr>
      <w:r w:rsidRPr="001653D6">
        <w:rPr>
          <w:lang w:eastAsia="bg-BG"/>
        </w:rPr>
        <w:t xml:space="preserve">Свързаните с лечението нежелани лекарствени реакции, всички степени са изброени по-долу, съгласно </w:t>
      </w:r>
      <w:r w:rsidRPr="001653D6">
        <w:rPr>
          <w:lang w:val="en-US"/>
        </w:rPr>
        <w:t xml:space="preserve">MedDRA, </w:t>
      </w:r>
      <w:r w:rsidRPr="001653D6">
        <w:rPr>
          <w:lang w:eastAsia="bg-BG"/>
        </w:rPr>
        <w:t xml:space="preserve">по </w:t>
      </w:r>
      <w:proofErr w:type="spellStart"/>
      <w:r w:rsidRPr="001653D6">
        <w:rPr>
          <w:lang w:eastAsia="bg-BG"/>
        </w:rPr>
        <w:t>системо</w:t>
      </w:r>
      <w:proofErr w:type="spellEnd"/>
      <w:r w:rsidRPr="001653D6">
        <w:rPr>
          <w:lang w:eastAsia="bg-BG"/>
        </w:rPr>
        <w:t xml:space="preserve">-органен клас, честота и степен на тежест. Използвана е следната класификация на честотата на нежеланите лекарствени реакции: </w:t>
      </w:r>
      <w:r w:rsidRPr="001653D6">
        <w:rPr>
          <w:i/>
          <w:iCs/>
          <w:lang w:eastAsia="bg-BG"/>
        </w:rPr>
        <w:t xml:space="preserve">много чести </w:t>
      </w:r>
      <w:r w:rsidRPr="001653D6">
        <w:rPr>
          <w:lang w:val="en-US"/>
        </w:rPr>
        <w:t>≥</w:t>
      </w:r>
      <w:r w:rsidRPr="001653D6">
        <w:rPr>
          <w:lang w:eastAsia="bg-BG"/>
        </w:rPr>
        <w:t xml:space="preserve"> 1/ 10; </w:t>
      </w:r>
      <w:r w:rsidRPr="001653D6">
        <w:rPr>
          <w:i/>
          <w:iCs/>
          <w:lang w:eastAsia="bg-BG"/>
        </w:rPr>
        <w:t xml:space="preserve">чести </w:t>
      </w:r>
      <w:r w:rsidRPr="001653D6">
        <w:rPr>
          <w:lang w:val="en-US"/>
        </w:rPr>
        <w:t>≥</w:t>
      </w:r>
      <w:r w:rsidRPr="001653D6">
        <w:rPr>
          <w:i/>
          <w:iCs/>
          <w:lang w:eastAsia="bg-BG"/>
        </w:rPr>
        <w:t xml:space="preserve"> </w:t>
      </w:r>
      <w:r w:rsidRPr="001653D6">
        <w:rPr>
          <w:lang w:eastAsia="bg-BG"/>
        </w:rPr>
        <w:t xml:space="preserve">1/100 до &lt; 1/10; </w:t>
      </w:r>
      <w:r w:rsidRPr="001653D6">
        <w:rPr>
          <w:i/>
          <w:iCs/>
          <w:lang w:eastAsia="bg-BG"/>
        </w:rPr>
        <w:t>нечести</w:t>
      </w:r>
      <w:r w:rsidRPr="001653D6">
        <w:rPr>
          <w:lang w:eastAsia="bg-BG"/>
        </w:rPr>
        <w:t xml:space="preserve"> </w:t>
      </w:r>
      <w:r w:rsidRPr="001653D6">
        <w:rPr>
          <w:lang w:val="en-US"/>
        </w:rPr>
        <w:t>≥</w:t>
      </w:r>
      <w:r w:rsidRPr="001653D6">
        <w:rPr>
          <w:lang w:eastAsia="bg-BG"/>
        </w:rPr>
        <w:t xml:space="preserve"> 1/1000 до &lt; 1/100; </w:t>
      </w:r>
      <w:r w:rsidRPr="001653D6">
        <w:rPr>
          <w:i/>
          <w:iCs/>
          <w:lang w:eastAsia="bg-BG"/>
        </w:rPr>
        <w:t>редки</w:t>
      </w:r>
      <w:r w:rsidRPr="001653D6">
        <w:rPr>
          <w:lang w:eastAsia="bg-BG"/>
        </w:rPr>
        <w:t xml:space="preserve"> </w:t>
      </w:r>
      <w:r w:rsidRPr="001653D6">
        <w:rPr>
          <w:lang w:val="en-US"/>
        </w:rPr>
        <w:t>≥</w:t>
      </w:r>
      <w:r w:rsidRPr="001653D6">
        <w:rPr>
          <w:lang w:eastAsia="bg-BG"/>
        </w:rPr>
        <w:t xml:space="preserve"> 1/10 000 до &lt; 1/1000; </w:t>
      </w:r>
      <w:r w:rsidRPr="001653D6">
        <w:rPr>
          <w:i/>
          <w:iCs/>
          <w:lang w:eastAsia="bg-BG"/>
        </w:rPr>
        <w:t>много редки &lt;</w:t>
      </w:r>
      <w:r w:rsidRPr="001653D6">
        <w:rPr>
          <w:lang w:eastAsia="bg-BG"/>
        </w:rPr>
        <w:t xml:space="preserve"> 1/10 000 и с </w:t>
      </w:r>
      <w:r w:rsidRPr="001653D6">
        <w:rPr>
          <w:i/>
          <w:iCs/>
          <w:lang w:eastAsia="bg-BG"/>
        </w:rPr>
        <w:t>неизвестна честота</w:t>
      </w:r>
      <w:r w:rsidRPr="001653D6">
        <w:rPr>
          <w:lang w:eastAsia="bg-BG"/>
        </w:rPr>
        <w:t xml:space="preserve"> (от наличните данни не може да бъде направена оценка).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1653D6" w14:paraId="4415D805" w14:textId="77777777" w:rsidTr="001653D6">
        <w:tc>
          <w:tcPr>
            <w:tcW w:w="2394" w:type="dxa"/>
          </w:tcPr>
          <w:p w14:paraId="0F152681" w14:textId="4CD168B2" w:rsidR="001653D6" w:rsidRPr="001653D6" w:rsidRDefault="001653D6" w:rsidP="001653D6">
            <w:pPr>
              <w:rPr>
                <w:b/>
                <w:bCs/>
                <w:sz w:val="24"/>
                <w:szCs w:val="24"/>
              </w:rPr>
            </w:pPr>
            <w:r w:rsidRPr="001653D6">
              <w:rPr>
                <w:b/>
                <w:bCs/>
              </w:rPr>
              <w:t>Системно-органен клас</w:t>
            </w:r>
          </w:p>
        </w:tc>
        <w:tc>
          <w:tcPr>
            <w:tcW w:w="2394" w:type="dxa"/>
          </w:tcPr>
          <w:p w14:paraId="3972E9D2" w14:textId="18AA4537" w:rsidR="001653D6" w:rsidRPr="001653D6" w:rsidRDefault="001653D6" w:rsidP="001653D6">
            <w:pPr>
              <w:rPr>
                <w:b/>
                <w:bCs/>
                <w:sz w:val="24"/>
                <w:szCs w:val="24"/>
              </w:rPr>
            </w:pPr>
            <w:r w:rsidRPr="001653D6">
              <w:rPr>
                <w:b/>
                <w:bCs/>
              </w:rPr>
              <w:t>Чести</w:t>
            </w:r>
          </w:p>
        </w:tc>
        <w:tc>
          <w:tcPr>
            <w:tcW w:w="2394" w:type="dxa"/>
          </w:tcPr>
          <w:p w14:paraId="0880F7A8" w14:textId="572E0C92" w:rsidR="001653D6" w:rsidRPr="001653D6" w:rsidRDefault="001653D6" w:rsidP="001653D6">
            <w:pPr>
              <w:rPr>
                <w:b/>
                <w:bCs/>
                <w:sz w:val="24"/>
                <w:szCs w:val="24"/>
              </w:rPr>
            </w:pPr>
            <w:r w:rsidRPr="001653D6">
              <w:rPr>
                <w:b/>
                <w:bCs/>
              </w:rPr>
              <w:t>Нечести</w:t>
            </w:r>
          </w:p>
        </w:tc>
        <w:tc>
          <w:tcPr>
            <w:tcW w:w="2394" w:type="dxa"/>
          </w:tcPr>
          <w:p w14:paraId="56A99DC1" w14:textId="1CA522B8" w:rsidR="001653D6" w:rsidRPr="001653D6" w:rsidRDefault="001653D6" w:rsidP="001653D6">
            <w:pPr>
              <w:rPr>
                <w:b/>
                <w:bCs/>
                <w:sz w:val="24"/>
                <w:szCs w:val="24"/>
              </w:rPr>
            </w:pPr>
            <w:r w:rsidRPr="001653D6">
              <w:rPr>
                <w:b/>
                <w:bCs/>
              </w:rPr>
              <w:t>С неизвестна честота</w:t>
            </w:r>
          </w:p>
        </w:tc>
      </w:tr>
      <w:tr w:rsidR="001653D6" w14:paraId="3FB55C93" w14:textId="77777777" w:rsidTr="001653D6">
        <w:tc>
          <w:tcPr>
            <w:tcW w:w="2394" w:type="dxa"/>
          </w:tcPr>
          <w:p w14:paraId="150D08AB" w14:textId="0631B2FB" w:rsidR="001653D6" w:rsidRPr="001653D6" w:rsidRDefault="001653D6" w:rsidP="001653D6">
            <w:pPr>
              <w:rPr>
                <w:b/>
                <w:bCs/>
                <w:sz w:val="24"/>
                <w:szCs w:val="24"/>
              </w:rPr>
            </w:pPr>
            <w:r w:rsidRPr="001653D6">
              <w:rPr>
                <w:b/>
                <w:bCs/>
              </w:rPr>
              <w:t xml:space="preserve">Инфекции и </w:t>
            </w:r>
            <w:proofErr w:type="spellStart"/>
            <w:r w:rsidRPr="001653D6">
              <w:rPr>
                <w:b/>
                <w:bCs/>
              </w:rPr>
              <w:t>инфестации</w:t>
            </w:r>
            <w:proofErr w:type="spellEnd"/>
          </w:p>
        </w:tc>
        <w:tc>
          <w:tcPr>
            <w:tcW w:w="2394" w:type="dxa"/>
          </w:tcPr>
          <w:p w14:paraId="30123B39" w14:textId="062BAF1E" w:rsidR="001653D6" w:rsidRDefault="001653D6" w:rsidP="001653D6">
            <w:pPr>
              <w:rPr>
                <w:sz w:val="24"/>
                <w:szCs w:val="24"/>
              </w:rPr>
            </w:pPr>
            <w:r>
              <w:t xml:space="preserve">Свръхрастеж на </w:t>
            </w:r>
            <w:r>
              <w:rPr>
                <w:i/>
                <w:iCs/>
                <w:lang w:val="en-US"/>
              </w:rPr>
              <w:t>Candida</w:t>
            </w:r>
          </w:p>
        </w:tc>
        <w:tc>
          <w:tcPr>
            <w:tcW w:w="2394" w:type="dxa"/>
          </w:tcPr>
          <w:p w14:paraId="4676CEE7" w14:textId="77777777" w:rsidR="001653D6" w:rsidRDefault="001653D6" w:rsidP="001653D6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56EC3B8C" w14:textId="4FD2F608" w:rsidR="001653D6" w:rsidRDefault="001653D6" w:rsidP="001653D6">
            <w:pPr>
              <w:rPr>
                <w:sz w:val="24"/>
                <w:szCs w:val="24"/>
              </w:rPr>
            </w:pPr>
            <w:r>
              <w:t xml:space="preserve">Свръхрастеж на </w:t>
            </w:r>
            <w:r>
              <w:rPr>
                <w:i/>
                <w:iCs/>
                <w:lang w:val="en-US"/>
              </w:rPr>
              <w:t>Clostridium difficile</w:t>
            </w:r>
          </w:p>
        </w:tc>
      </w:tr>
      <w:tr w:rsidR="001653D6" w14:paraId="512BDAA8" w14:textId="77777777" w:rsidTr="001653D6">
        <w:tc>
          <w:tcPr>
            <w:tcW w:w="2394" w:type="dxa"/>
          </w:tcPr>
          <w:p w14:paraId="2BAD50C4" w14:textId="6B356FB0" w:rsidR="001653D6" w:rsidRPr="001653D6" w:rsidRDefault="001653D6" w:rsidP="001653D6">
            <w:pPr>
              <w:rPr>
                <w:b/>
                <w:bCs/>
                <w:sz w:val="24"/>
                <w:szCs w:val="24"/>
              </w:rPr>
            </w:pPr>
            <w:r w:rsidRPr="001653D6">
              <w:rPr>
                <w:b/>
                <w:bCs/>
              </w:rPr>
              <w:t>Нарушения на кръвта и лимфната система</w:t>
            </w:r>
          </w:p>
        </w:tc>
        <w:tc>
          <w:tcPr>
            <w:tcW w:w="2394" w:type="dxa"/>
          </w:tcPr>
          <w:p w14:paraId="33002F1E" w14:textId="7C0AAA85" w:rsidR="001653D6" w:rsidRDefault="001653D6" w:rsidP="001653D6">
            <w:pPr>
              <w:rPr>
                <w:sz w:val="24"/>
                <w:szCs w:val="24"/>
              </w:rPr>
            </w:pPr>
            <w:proofErr w:type="spellStart"/>
            <w:r>
              <w:t>Еозинофилия</w:t>
            </w:r>
            <w:proofErr w:type="spellEnd"/>
          </w:p>
        </w:tc>
        <w:tc>
          <w:tcPr>
            <w:tcW w:w="2394" w:type="dxa"/>
          </w:tcPr>
          <w:p w14:paraId="291C696B" w14:textId="403CAC9F" w:rsidR="001653D6" w:rsidRDefault="001653D6" w:rsidP="001653D6">
            <w:pPr>
              <w:rPr>
                <w:sz w:val="24"/>
                <w:szCs w:val="24"/>
              </w:rPr>
            </w:pPr>
            <w:r>
              <w:t xml:space="preserve">Позитивен тест на </w:t>
            </w:r>
            <w:proofErr w:type="spellStart"/>
            <w:r>
              <w:rPr>
                <w:lang w:val="en-US"/>
              </w:rPr>
              <w:t>Coomb’s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t>тромбоцитопения</w:t>
            </w:r>
            <w:proofErr w:type="spellEnd"/>
            <w:r>
              <w:t xml:space="preserve">, </w:t>
            </w:r>
            <w:proofErr w:type="spellStart"/>
            <w:r>
              <w:t>левкопения</w:t>
            </w:r>
            <w:proofErr w:type="spellEnd"/>
            <w:r>
              <w:t xml:space="preserve"> (понякога тежка)</w:t>
            </w:r>
          </w:p>
        </w:tc>
        <w:tc>
          <w:tcPr>
            <w:tcW w:w="2394" w:type="dxa"/>
          </w:tcPr>
          <w:p w14:paraId="4204E757" w14:textId="72B736C9" w:rsidR="001653D6" w:rsidRDefault="001653D6" w:rsidP="001653D6">
            <w:pPr>
              <w:rPr>
                <w:sz w:val="24"/>
                <w:szCs w:val="24"/>
              </w:rPr>
            </w:pPr>
            <w:proofErr w:type="spellStart"/>
            <w:r>
              <w:t>Хемолитична</w:t>
            </w:r>
            <w:proofErr w:type="spellEnd"/>
            <w:r>
              <w:t xml:space="preserve"> анемия</w:t>
            </w:r>
          </w:p>
        </w:tc>
      </w:tr>
      <w:tr w:rsidR="001653D6" w14:paraId="0B1E664C" w14:textId="77777777" w:rsidTr="001653D6">
        <w:tc>
          <w:tcPr>
            <w:tcW w:w="2394" w:type="dxa"/>
          </w:tcPr>
          <w:p w14:paraId="1A704802" w14:textId="79BDB3DA" w:rsidR="001653D6" w:rsidRPr="001653D6" w:rsidRDefault="001653D6" w:rsidP="001653D6">
            <w:pPr>
              <w:rPr>
                <w:b/>
                <w:bCs/>
                <w:sz w:val="24"/>
                <w:szCs w:val="24"/>
              </w:rPr>
            </w:pPr>
            <w:r w:rsidRPr="001653D6">
              <w:rPr>
                <w:b/>
                <w:bCs/>
              </w:rPr>
              <w:t>Нарушения на имунната система</w:t>
            </w:r>
          </w:p>
        </w:tc>
        <w:tc>
          <w:tcPr>
            <w:tcW w:w="2394" w:type="dxa"/>
          </w:tcPr>
          <w:p w14:paraId="60873A8F" w14:textId="77777777" w:rsidR="001653D6" w:rsidRDefault="001653D6" w:rsidP="001653D6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3EDE64E1" w14:textId="77777777" w:rsidR="001653D6" w:rsidRDefault="001653D6" w:rsidP="001653D6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74D0D8E9" w14:textId="7DA9B5B1" w:rsidR="001653D6" w:rsidRDefault="001653D6" w:rsidP="001653D6">
            <w:pPr>
              <w:rPr>
                <w:sz w:val="24"/>
                <w:szCs w:val="24"/>
              </w:rPr>
            </w:pPr>
            <w:r>
              <w:t xml:space="preserve">Лекарствена треска, серумна болест, </w:t>
            </w:r>
            <w:proofErr w:type="spellStart"/>
            <w:r>
              <w:t>анфилаксия</w:t>
            </w:r>
            <w:proofErr w:type="spellEnd"/>
            <w:r>
              <w:t xml:space="preserve">, реакция на </w:t>
            </w:r>
            <w:proofErr w:type="spellStart"/>
            <w:r>
              <w:rPr>
                <w:lang w:val="en-US"/>
              </w:rPr>
              <w:t>Jarisch-Herxheimer</w:t>
            </w:r>
            <w:proofErr w:type="spellEnd"/>
          </w:p>
        </w:tc>
      </w:tr>
      <w:tr w:rsidR="001653D6" w14:paraId="4A93B11D" w14:textId="77777777" w:rsidTr="001653D6">
        <w:tc>
          <w:tcPr>
            <w:tcW w:w="2394" w:type="dxa"/>
          </w:tcPr>
          <w:p w14:paraId="28472AA2" w14:textId="6F50A093" w:rsidR="001653D6" w:rsidRPr="001653D6" w:rsidRDefault="001653D6" w:rsidP="001653D6">
            <w:pPr>
              <w:rPr>
                <w:b/>
                <w:bCs/>
                <w:sz w:val="24"/>
                <w:szCs w:val="24"/>
              </w:rPr>
            </w:pPr>
            <w:r w:rsidRPr="001653D6">
              <w:rPr>
                <w:b/>
                <w:bCs/>
              </w:rPr>
              <w:t>Нарушения на нервната система</w:t>
            </w:r>
          </w:p>
        </w:tc>
        <w:tc>
          <w:tcPr>
            <w:tcW w:w="2394" w:type="dxa"/>
          </w:tcPr>
          <w:p w14:paraId="4D3B4518" w14:textId="032D22F7" w:rsidR="001653D6" w:rsidRDefault="001653D6" w:rsidP="001653D6">
            <w:pPr>
              <w:rPr>
                <w:sz w:val="24"/>
                <w:szCs w:val="24"/>
              </w:rPr>
            </w:pPr>
            <w:r>
              <w:t>Главоболие, замаяност</w:t>
            </w:r>
          </w:p>
        </w:tc>
        <w:tc>
          <w:tcPr>
            <w:tcW w:w="2394" w:type="dxa"/>
          </w:tcPr>
          <w:p w14:paraId="75D6850E" w14:textId="77777777" w:rsidR="001653D6" w:rsidRDefault="001653D6" w:rsidP="001653D6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41BB5409" w14:textId="77777777" w:rsidR="001653D6" w:rsidRDefault="001653D6" w:rsidP="001653D6">
            <w:pPr>
              <w:rPr>
                <w:sz w:val="24"/>
                <w:szCs w:val="24"/>
              </w:rPr>
            </w:pPr>
          </w:p>
        </w:tc>
      </w:tr>
      <w:tr w:rsidR="001653D6" w14:paraId="53A82169" w14:textId="77777777" w:rsidTr="001653D6">
        <w:tc>
          <w:tcPr>
            <w:tcW w:w="2394" w:type="dxa"/>
          </w:tcPr>
          <w:p w14:paraId="1EFE8931" w14:textId="75A2FF12" w:rsidR="001653D6" w:rsidRPr="001653D6" w:rsidRDefault="001653D6" w:rsidP="001653D6">
            <w:pPr>
              <w:rPr>
                <w:b/>
                <w:bCs/>
                <w:sz w:val="24"/>
                <w:szCs w:val="24"/>
              </w:rPr>
            </w:pPr>
            <w:r w:rsidRPr="001653D6">
              <w:rPr>
                <w:b/>
                <w:bCs/>
              </w:rPr>
              <w:t>Стомашно-чревни нарушения</w:t>
            </w:r>
          </w:p>
        </w:tc>
        <w:tc>
          <w:tcPr>
            <w:tcW w:w="2394" w:type="dxa"/>
          </w:tcPr>
          <w:p w14:paraId="25E1E69B" w14:textId="09204F3B" w:rsidR="001653D6" w:rsidRDefault="001653D6" w:rsidP="001653D6">
            <w:pPr>
              <w:rPr>
                <w:sz w:val="24"/>
                <w:szCs w:val="24"/>
              </w:rPr>
            </w:pPr>
            <w:r>
              <w:t>Диария, гадене, коремна болка</w:t>
            </w:r>
          </w:p>
        </w:tc>
        <w:tc>
          <w:tcPr>
            <w:tcW w:w="2394" w:type="dxa"/>
          </w:tcPr>
          <w:p w14:paraId="66589EEC" w14:textId="378C2E06" w:rsidR="001653D6" w:rsidRDefault="001653D6" w:rsidP="001653D6">
            <w:pPr>
              <w:rPr>
                <w:sz w:val="24"/>
                <w:szCs w:val="24"/>
              </w:rPr>
            </w:pPr>
            <w:r>
              <w:t>Повръщане</w:t>
            </w:r>
          </w:p>
        </w:tc>
        <w:tc>
          <w:tcPr>
            <w:tcW w:w="2394" w:type="dxa"/>
          </w:tcPr>
          <w:p w14:paraId="70D5C309" w14:textId="17CE80BC" w:rsidR="001653D6" w:rsidRDefault="001653D6" w:rsidP="001653D6">
            <w:pPr>
              <w:rPr>
                <w:sz w:val="24"/>
                <w:szCs w:val="24"/>
              </w:rPr>
            </w:pPr>
            <w:proofErr w:type="spellStart"/>
            <w:r>
              <w:t>Псевдомембранозен</w:t>
            </w:r>
            <w:proofErr w:type="spellEnd"/>
            <w:r>
              <w:t xml:space="preserve"> колит (вж. т. 4.4)</w:t>
            </w:r>
          </w:p>
        </w:tc>
      </w:tr>
      <w:tr w:rsidR="001653D6" w14:paraId="106BAB5A" w14:textId="77777777" w:rsidTr="001653D6">
        <w:tc>
          <w:tcPr>
            <w:tcW w:w="2394" w:type="dxa"/>
          </w:tcPr>
          <w:p w14:paraId="74169DC5" w14:textId="682D7CFE" w:rsidR="001653D6" w:rsidRPr="001653D6" w:rsidRDefault="001653D6" w:rsidP="001653D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1653D6">
              <w:rPr>
                <w:b/>
                <w:bCs/>
              </w:rPr>
              <w:t>Хепатобилиарни</w:t>
            </w:r>
            <w:proofErr w:type="spellEnd"/>
            <w:r w:rsidRPr="001653D6">
              <w:rPr>
                <w:b/>
                <w:bCs/>
              </w:rPr>
              <w:t xml:space="preserve"> нарушения</w:t>
            </w:r>
          </w:p>
        </w:tc>
        <w:tc>
          <w:tcPr>
            <w:tcW w:w="2394" w:type="dxa"/>
          </w:tcPr>
          <w:p w14:paraId="22AF8C99" w14:textId="34210E2A" w:rsidR="001653D6" w:rsidRDefault="001653D6" w:rsidP="001653D6">
            <w:pPr>
              <w:rPr>
                <w:sz w:val="24"/>
                <w:szCs w:val="24"/>
              </w:rPr>
            </w:pPr>
            <w:r>
              <w:t xml:space="preserve">Преходно повишаване на нивата на </w:t>
            </w:r>
            <w:r>
              <w:lastRenderedPageBreak/>
              <w:t>чернодробните ензими</w:t>
            </w:r>
          </w:p>
        </w:tc>
        <w:tc>
          <w:tcPr>
            <w:tcW w:w="2394" w:type="dxa"/>
          </w:tcPr>
          <w:p w14:paraId="43B19123" w14:textId="77777777" w:rsidR="001653D6" w:rsidRDefault="001653D6" w:rsidP="001653D6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0E19D777" w14:textId="73293EB1" w:rsidR="001653D6" w:rsidRDefault="001653D6" w:rsidP="001653D6">
            <w:pPr>
              <w:rPr>
                <w:sz w:val="24"/>
                <w:szCs w:val="24"/>
              </w:rPr>
            </w:pPr>
            <w:r>
              <w:t xml:space="preserve">Жълтеница (предимно </w:t>
            </w:r>
            <w:proofErr w:type="spellStart"/>
            <w:r>
              <w:t>холестатична</w:t>
            </w:r>
            <w:proofErr w:type="spellEnd"/>
            <w:r>
              <w:t xml:space="preserve">), </w:t>
            </w:r>
            <w:r>
              <w:lastRenderedPageBreak/>
              <w:t>хепатит</w:t>
            </w:r>
          </w:p>
        </w:tc>
      </w:tr>
      <w:tr w:rsidR="001653D6" w14:paraId="3000181B" w14:textId="77777777" w:rsidTr="001653D6">
        <w:tc>
          <w:tcPr>
            <w:tcW w:w="2394" w:type="dxa"/>
          </w:tcPr>
          <w:p w14:paraId="0D995B3D" w14:textId="218C92D9" w:rsidR="001653D6" w:rsidRPr="001653D6" w:rsidRDefault="001653D6" w:rsidP="001653D6">
            <w:pPr>
              <w:rPr>
                <w:b/>
                <w:bCs/>
                <w:sz w:val="24"/>
                <w:szCs w:val="24"/>
              </w:rPr>
            </w:pPr>
            <w:r w:rsidRPr="001653D6">
              <w:rPr>
                <w:b/>
                <w:bCs/>
              </w:rPr>
              <w:lastRenderedPageBreak/>
              <w:t>Нарушения на кожата и подкожната тъкан</w:t>
            </w:r>
          </w:p>
        </w:tc>
        <w:tc>
          <w:tcPr>
            <w:tcW w:w="2394" w:type="dxa"/>
          </w:tcPr>
          <w:p w14:paraId="4F4DE7D6" w14:textId="77777777" w:rsidR="001653D6" w:rsidRDefault="001653D6" w:rsidP="001653D6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7AC3CAD0" w14:textId="28EA53C5" w:rsidR="001653D6" w:rsidRDefault="001653D6" w:rsidP="001653D6">
            <w:pPr>
              <w:rPr>
                <w:sz w:val="24"/>
                <w:szCs w:val="24"/>
              </w:rPr>
            </w:pPr>
            <w:r>
              <w:t>Кожни обриви</w:t>
            </w:r>
          </w:p>
        </w:tc>
        <w:tc>
          <w:tcPr>
            <w:tcW w:w="2394" w:type="dxa"/>
          </w:tcPr>
          <w:p w14:paraId="4448981B" w14:textId="409C643D" w:rsidR="001653D6" w:rsidRDefault="001653D6" w:rsidP="001653D6">
            <w:pPr>
              <w:rPr>
                <w:sz w:val="24"/>
                <w:szCs w:val="24"/>
              </w:rPr>
            </w:pPr>
            <w:r>
              <w:t xml:space="preserve">Уртикария, сърбеж, еритема </w:t>
            </w:r>
            <w:proofErr w:type="spellStart"/>
            <w:r>
              <w:t>мултиформе</w:t>
            </w:r>
            <w:proofErr w:type="spellEnd"/>
            <w:r>
              <w:t xml:space="preserve">, синдром на </w:t>
            </w:r>
            <w:r>
              <w:rPr>
                <w:lang w:val="en-US"/>
              </w:rPr>
              <w:t xml:space="preserve">Stevens- Johnson, </w:t>
            </w:r>
            <w:r>
              <w:t xml:space="preserve">токсична епидермална </w:t>
            </w:r>
            <w:proofErr w:type="spellStart"/>
            <w:r>
              <w:t>некролиза</w:t>
            </w:r>
            <w:proofErr w:type="spellEnd"/>
            <w:r>
              <w:t xml:space="preserve"> (</w:t>
            </w:r>
            <w:proofErr w:type="spellStart"/>
            <w:r>
              <w:t>екзантемна</w:t>
            </w:r>
            <w:proofErr w:type="spellEnd"/>
            <w:r>
              <w:t xml:space="preserve"> </w:t>
            </w:r>
            <w:proofErr w:type="spellStart"/>
            <w:r>
              <w:t>некролиза</w:t>
            </w:r>
            <w:proofErr w:type="spellEnd"/>
            <w:r>
              <w:t xml:space="preserve">) (вж. </w:t>
            </w:r>
            <w:r>
              <w:rPr>
                <w:i/>
                <w:iCs/>
              </w:rPr>
              <w:t xml:space="preserve">Нарушения на Имунната система), </w:t>
            </w:r>
            <w:proofErr w:type="spellStart"/>
            <w:r>
              <w:t>ангионевротичен</w:t>
            </w:r>
            <w:proofErr w:type="spellEnd"/>
            <w:r>
              <w:t xml:space="preserve"> едем.</w:t>
            </w:r>
          </w:p>
        </w:tc>
      </w:tr>
    </w:tbl>
    <w:p w14:paraId="28D138ED" w14:textId="77777777" w:rsidR="001653D6" w:rsidRPr="001653D6" w:rsidRDefault="001653D6" w:rsidP="001653D6">
      <w:pPr>
        <w:rPr>
          <w:i/>
          <w:iCs/>
          <w:sz w:val="24"/>
          <w:szCs w:val="24"/>
        </w:rPr>
      </w:pPr>
      <w:r w:rsidRPr="001653D6">
        <w:rPr>
          <w:i/>
          <w:iCs/>
          <w:lang w:eastAsia="bg-BG"/>
        </w:rPr>
        <w:t>Описание на изброените нежелани реакции</w:t>
      </w:r>
    </w:p>
    <w:p w14:paraId="7D81ADC4" w14:textId="77777777" w:rsidR="001653D6" w:rsidRPr="001653D6" w:rsidRDefault="001653D6" w:rsidP="001653D6">
      <w:pPr>
        <w:rPr>
          <w:sz w:val="24"/>
          <w:szCs w:val="24"/>
        </w:rPr>
      </w:pPr>
      <w:proofErr w:type="spellStart"/>
      <w:r w:rsidRPr="001653D6">
        <w:rPr>
          <w:lang w:eastAsia="bg-BG"/>
        </w:rPr>
        <w:t>Цефалоспорините</w:t>
      </w:r>
      <w:proofErr w:type="spellEnd"/>
      <w:r w:rsidRPr="001653D6">
        <w:rPr>
          <w:lang w:eastAsia="bg-BG"/>
        </w:rPr>
        <w:t xml:space="preserve"> като клас имат свойството да се абсорбират върху повърхността на мембраните на чревните кръвни клетки и да реагират с антитела, насочени срещу лекарството, в резултат на което да </w:t>
      </w:r>
      <w:proofErr w:type="spellStart"/>
      <w:r w:rsidRPr="001653D6">
        <w:rPr>
          <w:lang w:eastAsia="bg-BG"/>
        </w:rPr>
        <w:t>позитивират</w:t>
      </w:r>
      <w:proofErr w:type="spellEnd"/>
      <w:r w:rsidRPr="001653D6">
        <w:rPr>
          <w:lang w:eastAsia="bg-BG"/>
        </w:rPr>
        <w:t xml:space="preserve"> теста на </w:t>
      </w:r>
      <w:r w:rsidRPr="001653D6">
        <w:rPr>
          <w:lang w:val="en-US"/>
        </w:rPr>
        <w:t xml:space="preserve">Coombs </w:t>
      </w:r>
      <w:r w:rsidRPr="001653D6">
        <w:rPr>
          <w:lang w:eastAsia="bg-BG"/>
        </w:rPr>
        <w:t xml:space="preserve">(това може да повлияе на кръстосаната проба за съвместимост при кръвопреливане) и много рядко да причинят </w:t>
      </w:r>
      <w:proofErr w:type="spellStart"/>
      <w:r w:rsidRPr="001653D6">
        <w:rPr>
          <w:lang w:eastAsia="bg-BG"/>
        </w:rPr>
        <w:t>хемолитична</w:t>
      </w:r>
      <w:proofErr w:type="spellEnd"/>
      <w:r w:rsidRPr="001653D6">
        <w:rPr>
          <w:lang w:eastAsia="bg-BG"/>
        </w:rPr>
        <w:t xml:space="preserve"> анемия.</w:t>
      </w:r>
    </w:p>
    <w:p w14:paraId="6D2E0321" w14:textId="77777777" w:rsidR="001653D6" w:rsidRDefault="001653D6" w:rsidP="001653D6">
      <w:pPr>
        <w:rPr>
          <w:lang w:eastAsia="bg-BG"/>
        </w:rPr>
      </w:pPr>
    </w:p>
    <w:p w14:paraId="72F437F4" w14:textId="1E13804E" w:rsidR="001653D6" w:rsidRPr="001653D6" w:rsidRDefault="001653D6" w:rsidP="001653D6">
      <w:pPr>
        <w:rPr>
          <w:sz w:val="24"/>
          <w:szCs w:val="24"/>
        </w:rPr>
      </w:pPr>
      <w:r w:rsidRPr="001653D6">
        <w:rPr>
          <w:lang w:eastAsia="bg-BG"/>
        </w:rPr>
        <w:t>Наблюдавано е преходно повишаване на серумните нива на чернодробните ензими, което обикновено е обратимо.</w:t>
      </w:r>
    </w:p>
    <w:p w14:paraId="1623F23F" w14:textId="193AFE2E" w:rsidR="001653D6" w:rsidRDefault="001653D6" w:rsidP="001653D6">
      <w:pPr>
        <w:rPr>
          <w:sz w:val="24"/>
          <w:szCs w:val="24"/>
        </w:rPr>
      </w:pPr>
    </w:p>
    <w:p w14:paraId="627B0658" w14:textId="77777777" w:rsidR="001653D6" w:rsidRPr="001653D6" w:rsidRDefault="001653D6" w:rsidP="001653D6">
      <w:pPr>
        <w:rPr>
          <w:i/>
          <w:iCs/>
          <w:sz w:val="24"/>
          <w:szCs w:val="24"/>
        </w:rPr>
      </w:pPr>
      <w:r w:rsidRPr="001653D6">
        <w:rPr>
          <w:i/>
          <w:iCs/>
          <w:lang w:eastAsia="bg-BG"/>
        </w:rPr>
        <w:t>Педиатрична популация</w:t>
      </w:r>
    </w:p>
    <w:p w14:paraId="24AF5BC6" w14:textId="77777777" w:rsidR="001653D6" w:rsidRPr="001653D6" w:rsidRDefault="001653D6" w:rsidP="001653D6">
      <w:pPr>
        <w:rPr>
          <w:sz w:val="24"/>
          <w:szCs w:val="24"/>
        </w:rPr>
      </w:pPr>
      <w:r w:rsidRPr="001653D6">
        <w:rPr>
          <w:lang w:eastAsia="bg-BG"/>
        </w:rPr>
        <w:t xml:space="preserve">Профилът на безопасност на </w:t>
      </w:r>
      <w:proofErr w:type="spellStart"/>
      <w:r w:rsidRPr="001653D6">
        <w:rPr>
          <w:lang w:eastAsia="bg-BG"/>
        </w:rPr>
        <w:t>цефуроксим</w:t>
      </w:r>
      <w:proofErr w:type="spellEnd"/>
      <w:r w:rsidRPr="001653D6">
        <w:rPr>
          <w:lang w:eastAsia="bg-BG"/>
        </w:rPr>
        <w:t xml:space="preserve"> </w:t>
      </w:r>
      <w:proofErr w:type="spellStart"/>
      <w:r w:rsidRPr="001653D6">
        <w:rPr>
          <w:lang w:eastAsia="bg-BG"/>
        </w:rPr>
        <w:t>аксетил</w:t>
      </w:r>
      <w:proofErr w:type="spellEnd"/>
      <w:r w:rsidRPr="001653D6">
        <w:rPr>
          <w:lang w:eastAsia="bg-BG"/>
        </w:rPr>
        <w:t xml:space="preserve"> при деца е в съответствие с профила при възрастни.</w:t>
      </w:r>
    </w:p>
    <w:p w14:paraId="3CBE7008" w14:textId="77777777" w:rsidR="001653D6" w:rsidRDefault="001653D6" w:rsidP="001653D6">
      <w:pPr>
        <w:rPr>
          <w:b/>
          <w:bCs/>
          <w:u w:val="single"/>
          <w:lang w:eastAsia="bg-BG"/>
        </w:rPr>
      </w:pPr>
      <w:bookmarkStart w:id="1" w:name="bookmark0"/>
    </w:p>
    <w:p w14:paraId="766093CB" w14:textId="381946D0" w:rsidR="001653D6" w:rsidRPr="001653D6" w:rsidRDefault="001653D6" w:rsidP="001653D6">
      <w:pPr>
        <w:rPr>
          <w:sz w:val="24"/>
          <w:szCs w:val="24"/>
        </w:rPr>
      </w:pPr>
      <w:r w:rsidRPr="001653D6">
        <w:rPr>
          <w:b/>
          <w:bCs/>
          <w:u w:val="single"/>
          <w:lang w:eastAsia="bg-BG"/>
        </w:rPr>
        <w:t>Съобщаване на подозирани нежелани реакции</w:t>
      </w:r>
      <w:bookmarkEnd w:id="1"/>
    </w:p>
    <w:p w14:paraId="7212BCEB" w14:textId="77777777" w:rsidR="001653D6" w:rsidRPr="001653D6" w:rsidRDefault="001653D6" w:rsidP="001653D6">
      <w:pPr>
        <w:rPr>
          <w:sz w:val="24"/>
          <w:szCs w:val="24"/>
        </w:rPr>
      </w:pPr>
      <w:r w:rsidRPr="001653D6">
        <w:rPr>
          <w:lang w:eastAsia="bg-BG"/>
        </w:rPr>
        <w:t>Съобщаването на подозирани нежелани лекарствени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националната система за съобщаване на Изпълнителната агенция по лекарствата.</w:t>
      </w:r>
    </w:p>
    <w:p w14:paraId="534C7B0B" w14:textId="77777777" w:rsidR="001653D6" w:rsidRDefault="001653D6" w:rsidP="001653D6">
      <w:pPr>
        <w:rPr>
          <w:b/>
          <w:bCs/>
          <w:lang w:eastAsia="bg-BG"/>
        </w:rPr>
      </w:pPr>
      <w:bookmarkStart w:id="2" w:name="bookmark2"/>
    </w:p>
    <w:p w14:paraId="53E66C0C" w14:textId="74B8095F" w:rsidR="001653D6" w:rsidRPr="001653D6" w:rsidRDefault="001653D6" w:rsidP="001653D6">
      <w:pPr>
        <w:rPr>
          <w:sz w:val="24"/>
          <w:szCs w:val="24"/>
        </w:rPr>
      </w:pPr>
      <w:r w:rsidRPr="001653D6">
        <w:rPr>
          <w:b/>
          <w:bCs/>
          <w:lang w:eastAsia="bg-BG"/>
        </w:rPr>
        <w:t>Контакти:</w:t>
      </w:r>
      <w:bookmarkEnd w:id="2"/>
    </w:p>
    <w:p w14:paraId="49CBD8C2" w14:textId="77777777" w:rsidR="001653D6" w:rsidRPr="001653D6" w:rsidRDefault="001653D6" w:rsidP="001653D6">
      <w:pPr>
        <w:rPr>
          <w:sz w:val="24"/>
          <w:szCs w:val="24"/>
        </w:rPr>
      </w:pPr>
      <w:r w:rsidRPr="001653D6">
        <w:rPr>
          <w:lang w:eastAsia="bg-BG"/>
        </w:rPr>
        <w:t>Изпълнителна агенция по лекарствата.</w:t>
      </w:r>
    </w:p>
    <w:p w14:paraId="2C47607F" w14:textId="77777777" w:rsidR="001653D6" w:rsidRPr="001653D6" w:rsidRDefault="001653D6" w:rsidP="001653D6">
      <w:pPr>
        <w:rPr>
          <w:sz w:val="24"/>
          <w:szCs w:val="24"/>
        </w:rPr>
      </w:pPr>
      <w:r w:rsidRPr="001653D6">
        <w:rPr>
          <w:lang w:eastAsia="bg-BG"/>
        </w:rPr>
        <w:t>ул. „Дамян Груев” № 8</w:t>
      </w:r>
    </w:p>
    <w:p w14:paraId="494DAFB1" w14:textId="77777777" w:rsidR="001653D6" w:rsidRPr="001653D6" w:rsidRDefault="001653D6" w:rsidP="001653D6">
      <w:pPr>
        <w:rPr>
          <w:sz w:val="24"/>
          <w:szCs w:val="24"/>
        </w:rPr>
      </w:pPr>
      <w:r w:rsidRPr="001653D6">
        <w:rPr>
          <w:lang w:eastAsia="bg-BG"/>
        </w:rPr>
        <w:t>1303 София</w:t>
      </w:r>
    </w:p>
    <w:p w14:paraId="445A050C" w14:textId="77777777" w:rsidR="001653D6" w:rsidRPr="001653D6" w:rsidRDefault="001653D6" w:rsidP="001653D6">
      <w:pPr>
        <w:rPr>
          <w:sz w:val="24"/>
          <w:szCs w:val="24"/>
        </w:rPr>
      </w:pPr>
      <w:r w:rsidRPr="001653D6">
        <w:rPr>
          <w:lang w:eastAsia="bg-BG"/>
        </w:rPr>
        <w:t>Тел.: +35 928903417</w:t>
      </w:r>
    </w:p>
    <w:p w14:paraId="4C807ED7" w14:textId="77777777" w:rsidR="001653D6" w:rsidRPr="001653D6" w:rsidRDefault="001653D6" w:rsidP="001653D6">
      <w:pPr>
        <w:rPr>
          <w:sz w:val="24"/>
          <w:szCs w:val="24"/>
        </w:rPr>
      </w:pPr>
      <w:r w:rsidRPr="001653D6">
        <w:rPr>
          <w:lang w:eastAsia="bg-BG"/>
        </w:rPr>
        <w:t xml:space="preserve">уебсайт: </w:t>
      </w:r>
      <w:hyperlink r:id="rId5" w:history="1">
        <w:r w:rsidRPr="001653D6">
          <w:rPr>
            <w:lang w:val="en-US"/>
          </w:rPr>
          <w:t>www.bda.bg</w:t>
        </w:r>
      </w:hyperlink>
    </w:p>
    <w:p w14:paraId="0735E17D" w14:textId="77777777" w:rsidR="001653D6" w:rsidRPr="001653D6" w:rsidRDefault="001653D6" w:rsidP="001653D6">
      <w:pPr>
        <w:rPr>
          <w:sz w:val="24"/>
          <w:szCs w:val="24"/>
        </w:rPr>
      </w:pPr>
    </w:p>
    <w:p w14:paraId="3BDCEB8F" w14:textId="77777777" w:rsidR="001653D6" w:rsidRPr="001653D6" w:rsidRDefault="001653D6" w:rsidP="001653D6"/>
    <w:p w14:paraId="4239D218" w14:textId="70DCADE8" w:rsidR="00C809A7" w:rsidRDefault="002C50EE" w:rsidP="00AA23EC">
      <w:pPr>
        <w:pStyle w:val="Heading2"/>
      </w:pPr>
      <w:r>
        <w:t>4.9. Предозиране</w:t>
      </w:r>
    </w:p>
    <w:p w14:paraId="358C5A6D" w14:textId="77777777" w:rsidR="001653D6" w:rsidRDefault="001653D6" w:rsidP="001653D6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</w:p>
    <w:p w14:paraId="41D5CEBF" w14:textId="5BBB2521" w:rsidR="001653D6" w:rsidRPr="001653D6" w:rsidRDefault="001653D6" w:rsidP="001653D6">
      <w:pPr>
        <w:rPr>
          <w:sz w:val="24"/>
          <w:szCs w:val="24"/>
        </w:rPr>
      </w:pPr>
      <w:r w:rsidRPr="001653D6">
        <w:rPr>
          <w:lang w:eastAsia="bg-BG"/>
        </w:rPr>
        <w:lastRenderedPageBreak/>
        <w:t xml:space="preserve">Предозирането може да доведе до неврологични последствия, включително </w:t>
      </w:r>
      <w:proofErr w:type="spellStart"/>
      <w:r w:rsidRPr="001653D6">
        <w:rPr>
          <w:lang w:eastAsia="bg-BG"/>
        </w:rPr>
        <w:t>енцефапопатия</w:t>
      </w:r>
      <w:proofErr w:type="spellEnd"/>
      <w:r w:rsidRPr="001653D6">
        <w:rPr>
          <w:lang w:eastAsia="bg-BG"/>
        </w:rPr>
        <w:t>, гърчове и кома. Симптоми на предозиране могат да се появят, ако дозата не се намалява правилно при пациенти с бъбречно увреждане (вж. точки 4.2 и 4.4).</w:t>
      </w:r>
    </w:p>
    <w:p w14:paraId="16AA3624" w14:textId="77777777" w:rsidR="001653D6" w:rsidRDefault="001653D6" w:rsidP="001653D6">
      <w:pPr>
        <w:rPr>
          <w:lang w:eastAsia="bg-BG"/>
        </w:rPr>
      </w:pPr>
    </w:p>
    <w:p w14:paraId="4269464F" w14:textId="6475CF9A" w:rsidR="001653D6" w:rsidRPr="001653D6" w:rsidRDefault="001653D6" w:rsidP="001653D6">
      <w:pPr>
        <w:rPr>
          <w:sz w:val="24"/>
          <w:szCs w:val="24"/>
        </w:rPr>
      </w:pPr>
      <w:r w:rsidRPr="001653D6">
        <w:rPr>
          <w:lang w:eastAsia="bg-BG"/>
        </w:rPr>
        <w:t xml:space="preserve">Серумните нива на </w:t>
      </w:r>
      <w:proofErr w:type="spellStart"/>
      <w:r w:rsidRPr="001653D6">
        <w:rPr>
          <w:lang w:eastAsia="bg-BG"/>
        </w:rPr>
        <w:t>цефуроксим</w:t>
      </w:r>
      <w:proofErr w:type="spellEnd"/>
      <w:r w:rsidRPr="001653D6">
        <w:rPr>
          <w:lang w:eastAsia="bg-BG"/>
        </w:rPr>
        <w:t xml:space="preserve"> могат да бъдат понижени чрез хемодиализа или перитонеална диализа.</w:t>
      </w:r>
    </w:p>
    <w:p w14:paraId="5D0896AA" w14:textId="77777777" w:rsidR="001653D6" w:rsidRPr="001653D6" w:rsidRDefault="001653D6" w:rsidP="001653D6"/>
    <w:p w14:paraId="18EF4AFE" w14:textId="77777777" w:rsidR="002C50EE" w:rsidRDefault="002C50EE" w:rsidP="002C50EE">
      <w:pPr>
        <w:pStyle w:val="Heading1"/>
      </w:pPr>
      <w:r>
        <w:t>5. ФАРМАКОЛОГИЧНИ СВОЙСТВА</w:t>
      </w:r>
    </w:p>
    <w:p w14:paraId="6CDB2723" w14:textId="1AEBCBD6" w:rsidR="00C809A7" w:rsidRDefault="002C50EE" w:rsidP="00AA23EC">
      <w:pPr>
        <w:pStyle w:val="Heading2"/>
      </w:pPr>
      <w:r>
        <w:t xml:space="preserve">5.1. </w:t>
      </w:r>
      <w:proofErr w:type="spellStart"/>
      <w:r>
        <w:t>Фармакодинамични</w:t>
      </w:r>
      <w:proofErr w:type="spellEnd"/>
      <w:r>
        <w:t xml:space="preserve"> свойства</w:t>
      </w:r>
    </w:p>
    <w:p w14:paraId="3EEB5122" w14:textId="77777777" w:rsidR="001653D6" w:rsidRPr="001653D6" w:rsidRDefault="001653D6" w:rsidP="001653D6">
      <w:pPr>
        <w:rPr>
          <w:sz w:val="24"/>
          <w:szCs w:val="24"/>
        </w:rPr>
      </w:pPr>
      <w:proofErr w:type="spellStart"/>
      <w:r w:rsidRPr="001653D6">
        <w:rPr>
          <w:lang w:eastAsia="bg-BG"/>
        </w:rPr>
        <w:t>Фармакотерапевтична</w:t>
      </w:r>
      <w:proofErr w:type="spellEnd"/>
      <w:r w:rsidRPr="001653D6">
        <w:rPr>
          <w:lang w:eastAsia="bg-BG"/>
        </w:rPr>
        <w:t xml:space="preserve"> група: антибактериални средства за системно приложение, втора генерация </w:t>
      </w:r>
      <w:proofErr w:type="spellStart"/>
      <w:r w:rsidRPr="001653D6">
        <w:rPr>
          <w:lang w:eastAsia="bg-BG"/>
        </w:rPr>
        <w:t>цефалоспорини</w:t>
      </w:r>
      <w:proofErr w:type="spellEnd"/>
      <w:r w:rsidRPr="001653D6">
        <w:rPr>
          <w:lang w:eastAsia="bg-BG"/>
        </w:rPr>
        <w:t xml:space="preserve">, АТС код: </w:t>
      </w:r>
      <w:r w:rsidRPr="001653D6">
        <w:rPr>
          <w:lang w:val="en-US"/>
        </w:rPr>
        <w:t>JO1 DC02</w:t>
      </w:r>
    </w:p>
    <w:p w14:paraId="62F79287" w14:textId="64946781" w:rsidR="001653D6" w:rsidRDefault="001653D6" w:rsidP="001653D6"/>
    <w:p w14:paraId="0AB5C520" w14:textId="77777777" w:rsidR="001653D6" w:rsidRPr="001653D6" w:rsidRDefault="001653D6" w:rsidP="001653D6">
      <w:pPr>
        <w:rPr>
          <w:sz w:val="24"/>
          <w:szCs w:val="24"/>
        </w:rPr>
      </w:pPr>
      <w:r w:rsidRPr="001653D6">
        <w:rPr>
          <w:u w:val="single"/>
          <w:lang w:eastAsia="bg-BG"/>
        </w:rPr>
        <w:t>Механизъм на действие</w:t>
      </w:r>
    </w:p>
    <w:p w14:paraId="440A85CE" w14:textId="77777777" w:rsidR="001653D6" w:rsidRDefault="001653D6" w:rsidP="001653D6">
      <w:pPr>
        <w:rPr>
          <w:lang w:eastAsia="bg-BG"/>
        </w:rPr>
      </w:pPr>
    </w:p>
    <w:p w14:paraId="7A5824C7" w14:textId="50DCDCAC" w:rsidR="001653D6" w:rsidRPr="001653D6" w:rsidRDefault="001653D6" w:rsidP="001653D6">
      <w:pPr>
        <w:rPr>
          <w:sz w:val="24"/>
          <w:szCs w:val="24"/>
        </w:rPr>
      </w:pPr>
      <w:proofErr w:type="spellStart"/>
      <w:r w:rsidRPr="001653D6">
        <w:rPr>
          <w:lang w:eastAsia="bg-BG"/>
        </w:rPr>
        <w:t>Цефуроксим</w:t>
      </w:r>
      <w:proofErr w:type="spellEnd"/>
      <w:r w:rsidRPr="001653D6">
        <w:rPr>
          <w:lang w:eastAsia="bg-BG"/>
        </w:rPr>
        <w:t xml:space="preserve"> </w:t>
      </w:r>
      <w:proofErr w:type="spellStart"/>
      <w:r w:rsidRPr="001653D6">
        <w:rPr>
          <w:lang w:eastAsia="bg-BG"/>
        </w:rPr>
        <w:t>аксетил</w:t>
      </w:r>
      <w:proofErr w:type="spellEnd"/>
      <w:r w:rsidRPr="001653D6">
        <w:rPr>
          <w:lang w:eastAsia="bg-BG"/>
        </w:rPr>
        <w:t xml:space="preserve"> се хидролизира чрез </w:t>
      </w:r>
      <w:proofErr w:type="spellStart"/>
      <w:r w:rsidRPr="001653D6">
        <w:rPr>
          <w:lang w:eastAsia="bg-BG"/>
        </w:rPr>
        <w:t>естеразни</w:t>
      </w:r>
      <w:proofErr w:type="spellEnd"/>
      <w:r w:rsidRPr="001653D6">
        <w:rPr>
          <w:lang w:eastAsia="bg-BG"/>
        </w:rPr>
        <w:t xml:space="preserve"> ензими до активния антибиотик </w:t>
      </w:r>
      <w:proofErr w:type="spellStart"/>
      <w:r w:rsidRPr="001653D6">
        <w:rPr>
          <w:lang w:eastAsia="bg-BG"/>
        </w:rPr>
        <w:t>цефуроксим</w:t>
      </w:r>
      <w:proofErr w:type="spellEnd"/>
      <w:r w:rsidRPr="001653D6">
        <w:rPr>
          <w:lang w:eastAsia="bg-BG"/>
        </w:rPr>
        <w:t xml:space="preserve">. </w:t>
      </w:r>
      <w:proofErr w:type="spellStart"/>
      <w:r w:rsidRPr="001653D6">
        <w:rPr>
          <w:lang w:eastAsia="bg-BG"/>
        </w:rPr>
        <w:t>Цефуроксим</w:t>
      </w:r>
      <w:proofErr w:type="spellEnd"/>
      <w:r w:rsidRPr="001653D6">
        <w:rPr>
          <w:lang w:eastAsia="bg-BG"/>
        </w:rPr>
        <w:t xml:space="preserve"> инхибира синтеза на бактериалната клетъчна стена чрез свързване с пеницилин- свързващи протеини </w:t>
      </w:r>
      <w:r w:rsidRPr="001653D6">
        <w:rPr>
          <w:lang w:val="en-US"/>
        </w:rPr>
        <w:t xml:space="preserve">(PBPs). </w:t>
      </w:r>
      <w:r w:rsidRPr="001653D6">
        <w:rPr>
          <w:lang w:eastAsia="bg-BG"/>
        </w:rPr>
        <w:t>Това води до прекъсване на биосинтезата на клетъчната стена (</w:t>
      </w:r>
      <w:proofErr w:type="spellStart"/>
      <w:r w:rsidRPr="001653D6">
        <w:rPr>
          <w:lang w:eastAsia="bg-BG"/>
        </w:rPr>
        <w:t>пептидогликани</w:t>
      </w:r>
      <w:proofErr w:type="spellEnd"/>
      <w:r w:rsidRPr="001653D6">
        <w:rPr>
          <w:lang w:eastAsia="bg-BG"/>
        </w:rPr>
        <w:t>) и след това до клетъчна лиза и смърт на клетката.</w:t>
      </w:r>
    </w:p>
    <w:p w14:paraId="24544B63" w14:textId="77777777" w:rsidR="001653D6" w:rsidRDefault="001653D6" w:rsidP="001653D6">
      <w:pPr>
        <w:rPr>
          <w:u w:val="single"/>
          <w:lang w:eastAsia="bg-BG"/>
        </w:rPr>
      </w:pPr>
    </w:p>
    <w:p w14:paraId="2287E36D" w14:textId="4E5B6C3D" w:rsidR="001653D6" w:rsidRPr="001653D6" w:rsidRDefault="001653D6" w:rsidP="001653D6">
      <w:pPr>
        <w:rPr>
          <w:sz w:val="24"/>
          <w:szCs w:val="24"/>
        </w:rPr>
      </w:pPr>
      <w:r w:rsidRPr="001653D6">
        <w:rPr>
          <w:u w:val="single"/>
          <w:lang w:eastAsia="bg-BG"/>
        </w:rPr>
        <w:t>Механизъм на резистентност</w:t>
      </w:r>
    </w:p>
    <w:p w14:paraId="031817F3" w14:textId="77777777" w:rsidR="001653D6" w:rsidRDefault="001653D6" w:rsidP="001653D6">
      <w:pPr>
        <w:rPr>
          <w:lang w:eastAsia="bg-BG"/>
        </w:rPr>
      </w:pPr>
    </w:p>
    <w:p w14:paraId="522C8D43" w14:textId="269A28B3" w:rsidR="001653D6" w:rsidRPr="001653D6" w:rsidRDefault="001653D6" w:rsidP="001653D6">
      <w:pPr>
        <w:rPr>
          <w:sz w:val="24"/>
          <w:szCs w:val="24"/>
        </w:rPr>
      </w:pPr>
      <w:r w:rsidRPr="001653D6">
        <w:rPr>
          <w:lang w:eastAsia="bg-BG"/>
        </w:rPr>
        <w:t xml:space="preserve">Бактериалната резистентност към </w:t>
      </w:r>
      <w:proofErr w:type="spellStart"/>
      <w:r w:rsidRPr="001653D6">
        <w:rPr>
          <w:lang w:eastAsia="bg-BG"/>
        </w:rPr>
        <w:t>цефуроксим</w:t>
      </w:r>
      <w:proofErr w:type="spellEnd"/>
      <w:r w:rsidRPr="001653D6">
        <w:rPr>
          <w:lang w:eastAsia="bg-BG"/>
        </w:rPr>
        <w:t xml:space="preserve"> може да се дължи на един или повече от следните механизми:</w:t>
      </w:r>
    </w:p>
    <w:p w14:paraId="123413D1" w14:textId="77777777" w:rsidR="001653D6" w:rsidRPr="001653D6" w:rsidRDefault="001653D6" w:rsidP="001653D6">
      <w:pPr>
        <w:pStyle w:val="ListParagraph"/>
        <w:numPr>
          <w:ilvl w:val="0"/>
          <w:numId w:val="25"/>
        </w:numPr>
        <w:rPr>
          <w:lang w:eastAsia="bg-BG"/>
        </w:rPr>
      </w:pPr>
      <w:r w:rsidRPr="001653D6">
        <w:rPr>
          <w:lang w:eastAsia="bg-BG"/>
        </w:rPr>
        <w:t>хидролизира чрез бета-</w:t>
      </w:r>
      <w:proofErr w:type="spellStart"/>
      <w:r w:rsidRPr="001653D6">
        <w:rPr>
          <w:lang w:eastAsia="bg-BG"/>
        </w:rPr>
        <w:t>лактамази</w:t>
      </w:r>
      <w:proofErr w:type="spellEnd"/>
      <w:r w:rsidRPr="001653D6">
        <w:rPr>
          <w:lang w:eastAsia="bg-BG"/>
        </w:rPr>
        <w:t>; включително (но не ограничено до) бета-</w:t>
      </w:r>
      <w:proofErr w:type="spellStart"/>
      <w:r w:rsidRPr="001653D6">
        <w:rPr>
          <w:lang w:eastAsia="bg-BG"/>
        </w:rPr>
        <w:t>лактамази</w:t>
      </w:r>
      <w:proofErr w:type="spellEnd"/>
      <w:r w:rsidRPr="001653D6">
        <w:rPr>
          <w:lang w:eastAsia="bg-BG"/>
        </w:rPr>
        <w:t xml:space="preserve"> с разширен спектър </w:t>
      </w:r>
      <w:r w:rsidRPr="001653D6">
        <w:rPr>
          <w:lang w:val="en-US"/>
        </w:rPr>
        <w:t xml:space="preserve">(ESBLs), </w:t>
      </w:r>
      <w:r w:rsidRPr="001653D6">
        <w:rPr>
          <w:lang w:eastAsia="bg-BG"/>
        </w:rPr>
        <w:t>както и А</w:t>
      </w:r>
      <w:r w:rsidRPr="001653D6">
        <w:rPr>
          <w:lang w:val="en-US"/>
        </w:rPr>
        <w:t>m</w:t>
      </w:r>
      <w:proofErr w:type="spellStart"/>
      <w:r w:rsidRPr="001653D6">
        <w:rPr>
          <w:lang w:eastAsia="bg-BG"/>
        </w:rPr>
        <w:t>рС</w:t>
      </w:r>
      <w:proofErr w:type="spellEnd"/>
      <w:r w:rsidRPr="001653D6">
        <w:rPr>
          <w:lang w:eastAsia="bg-BG"/>
        </w:rPr>
        <w:t xml:space="preserve"> ензими, които могат да индуцират или трайно да се активират от потиснато състояние при определени аеробни Грам-отрицателни бактериални видове;</w:t>
      </w:r>
    </w:p>
    <w:p w14:paraId="72E8EF8C" w14:textId="77777777" w:rsidR="001653D6" w:rsidRPr="001653D6" w:rsidRDefault="001653D6" w:rsidP="001653D6">
      <w:pPr>
        <w:pStyle w:val="ListParagraph"/>
        <w:numPr>
          <w:ilvl w:val="0"/>
          <w:numId w:val="25"/>
        </w:numPr>
        <w:rPr>
          <w:lang w:eastAsia="bg-BG"/>
        </w:rPr>
      </w:pPr>
      <w:r w:rsidRPr="001653D6">
        <w:rPr>
          <w:lang w:eastAsia="bg-BG"/>
        </w:rPr>
        <w:t xml:space="preserve">намален афинитет на пеницилин-свързващите протеини към </w:t>
      </w:r>
      <w:proofErr w:type="spellStart"/>
      <w:r w:rsidRPr="001653D6">
        <w:rPr>
          <w:lang w:eastAsia="bg-BG"/>
        </w:rPr>
        <w:t>цефуроксим</w:t>
      </w:r>
      <w:proofErr w:type="spellEnd"/>
      <w:r w:rsidRPr="001653D6">
        <w:rPr>
          <w:lang w:eastAsia="bg-BG"/>
        </w:rPr>
        <w:t>;</w:t>
      </w:r>
    </w:p>
    <w:p w14:paraId="6D3AB7A8" w14:textId="77777777" w:rsidR="001653D6" w:rsidRPr="001653D6" w:rsidRDefault="001653D6" w:rsidP="001653D6">
      <w:pPr>
        <w:pStyle w:val="ListParagraph"/>
        <w:numPr>
          <w:ilvl w:val="0"/>
          <w:numId w:val="25"/>
        </w:numPr>
        <w:rPr>
          <w:lang w:eastAsia="bg-BG"/>
        </w:rPr>
      </w:pPr>
      <w:proofErr w:type="spellStart"/>
      <w:r w:rsidRPr="001653D6">
        <w:rPr>
          <w:lang w:eastAsia="bg-BG"/>
        </w:rPr>
        <w:t>непропускливост</w:t>
      </w:r>
      <w:proofErr w:type="spellEnd"/>
      <w:r w:rsidRPr="001653D6">
        <w:rPr>
          <w:lang w:eastAsia="bg-BG"/>
        </w:rPr>
        <w:t xml:space="preserve"> на външната мембрана, което ограничава достъпа на </w:t>
      </w:r>
      <w:proofErr w:type="spellStart"/>
      <w:r w:rsidRPr="001653D6">
        <w:rPr>
          <w:lang w:eastAsia="bg-BG"/>
        </w:rPr>
        <w:t>цефуроксим</w:t>
      </w:r>
      <w:proofErr w:type="spellEnd"/>
      <w:r w:rsidRPr="001653D6">
        <w:rPr>
          <w:lang w:eastAsia="bg-BG"/>
        </w:rPr>
        <w:t xml:space="preserve"> до пеницилин-свързващите протеини при Грам-отрицателни бактерии;</w:t>
      </w:r>
    </w:p>
    <w:p w14:paraId="00A49428" w14:textId="77777777" w:rsidR="001653D6" w:rsidRPr="001653D6" w:rsidRDefault="001653D6" w:rsidP="001653D6">
      <w:pPr>
        <w:pStyle w:val="ListParagraph"/>
        <w:numPr>
          <w:ilvl w:val="0"/>
          <w:numId w:val="25"/>
        </w:numPr>
        <w:rPr>
          <w:lang w:eastAsia="bg-BG"/>
        </w:rPr>
      </w:pPr>
      <w:r w:rsidRPr="001653D6">
        <w:rPr>
          <w:lang w:eastAsia="bg-BG"/>
        </w:rPr>
        <w:t xml:space="preserve">бактериални </w:t>
      </w:r>
      <w:proofErr w:type="spellStart"/>
      <w:r w:rsidRPr="001653D6">
        <w:rPr>
          <w:lang w:eastAsia="bg-BG"/>
        </w:rPr>
        <w:t>ефлуксни</w:t>
      </w:r>
      <w:proofErr w:type="spellEnd"/>
      <w:r w:rsidRPr="001653D6">
        <w:rPr>
          <w:lang w:eastAsia="bg-BG"/>
        </w:rPr>
        <w:t xml:space="preserve"> помпи.</w:t>
      </w:r>
    </w:p>
    <w:p w14:paraId="224AB1F8" w14:textId="77777777" w:rsidR="001653D6" w:rsidRDefault="001653D6" w:rsidP="001653D6">
      <w:pPr>
        <w:rPr>
          <w:lang w:eastAsia="bg-BG"/>
        </w:rPr>
      </w:pPr>
    </w:p>
    <w:p w14:paraId="44D47A34" w14:textId="2FA6850B" w:rsidR="001653D6" w:rsidRPr="001653D6" w:rsidRDefault="001653D6" w:rsidP="001653D6">
      <w:pPr>
        <w:rPr>
          <w:sz w:val="24"/>
          <w:szCs w:val="24"/>
        </w:rPr>
      </w:pPr>
      <w:r w:rsidRPr="001653D6">
        <w:rPr>
          <w:lang w:eastAsia="bg-BG"/>
        </w:rPr>
        <w:t xml:space="preserve">За микроорганизмите с придобита резистентност към други инжекционни </w:t>
      </w:r>
      <w:proofErr w:type="spellStart"/>
      <w:r w:rsidRPr="001653D6">
        <w:rPr>
          <w:lang w:eastAsia="bg-BG"/>
        </w:rPr>
        <w:t>цефалоспорини</w:t>
      </w:r>
      <w:proofErr w:type="spellEnd"/>
      <w:r w:rsidRPr="001653D6">
        <w:rPr>
          <w:lang w:eastAsia="bg-BG"/>
        </w:rPr>
        <w:t xml:space="preserve"> се очаква да са резистентни и към </w:t>
      </w:r>
      <w:proofErr w:type="spellStart"/>
      <w:r w:rsidRPr="001653D6">
        <w:rPr>
          <w:lang w:eastAsia="bg-BG"/>
        </w:rPr>
        <w:t>цефуроксим</w:t>
      </w:r>
      <w:proofErr w:type="spellEnd"/>
      <w:r w:rsidRPr="001653D6">
        <w:rPr>
          <w:lang w:eastAsia="bg-BG"/>
        </w:rPr>
        <w:t>.</w:t>
      </w:r>
    </w:p>
    <w:p w14:paraId="15EC91EA" w14:textId="77777777" w:rsidR="001653D6" w:rsidRDefault="001653D6" w:rsidP="001653D6">
      <w:pPr>
        <w:rPr>
          <w:lang w:eastAsia="bg-BG"/>
        </w:rPr>
      </w:pPr>
    </w:p>
    <w:p w14:paraId="2660F529" w14:textId="2A72ECA0" w:rsidR="001653D6" w:rsidRPr="001653D6" w:rsidRDefault="001653D6" w:rsidP="001653D6">
      <w:pPr>
        <w:rPr>
          <w:sz w:val="24"/>
          <w:szCs w:val="24"/>
        </w:rPr>
      </w:pPr>
      <w:r w:rsidRPr="001653D6">
        <w:rPr>
          <w:lang w:eastAsia="bg-BG"/>
        </w:rPr>
        <w:t xml:space="preserve">В зависимост от механизма на резистентност, микроорганизмите с придобита резистентност към пеницилини могат да проявяват намалена чувствителност или резистентност към </w:t>
      </w:r>
      <w:proofErr w:type="spellStart"/>
      <w:r w:rsidRPr="001653D6">
        <w:rPr>
          <w:lang w:eastAsia="bg-BG"/>
        </w:rPr>
        <w:t>цефуроксим</w:t>
      </w:r>
      <w:proofErr w:type="spellEnd"/>
      <w:r w:rsidRPr="001653D6">
        <w:rPr>
          <w:lang w:eastAsia="bg-BG"/>
        </w:rPr>
        <w:t>.</w:t>
      </w:r>
    </w:p>
    <w:p w14:paraId="13AE8D64" w14:textId="77777777" w:rsidR="001653D6" w:rsidRDefault="001653D6" w:rsidP="001653D6">
      <w:pPr>
        <w:rPr>
          <w:u w:val="single"/>
          <w:lang w:eastAsia="bg-BG"/>
        </w:rPr>
      </w:pPr>
    </w:p>
    <w:p w14:paraId="70A9E3C8" w14:textId="37034659" w:rsidR="001653D6" w:rsidRPr="001653D6" w:rsidRDefault="001653D6" w:rsidP="001653D6">
      <w:pPr>
        <w:rPr>
          <w:sz w:val="24"/>
          <w:szCs w:val="24"/>
        </w:rPr>
      </w:pPr>
      <w:r w:rsidRPr="001653D6">
        <w:rPr>
          <w:u w:val="single"/>
          <w:lang w:eastAsia="bg-BG"/>
        </w:rPr>
        <w:t xml:space="preserve">Гранични стойности на </w:t>
      </w:r>
      <w:proofErr w:type="spellStart"/>
      <w:r w:rsidRPr="001653D6">
        <w:rPr>
          <w:u w:val="single"/>
          <w:lang w:eastAsia="bg-BG"/>
        </w:rPr>
        <w:t>цефуроксим</w:t>
      </w:r>
      <w:proofErr w:type="spellEnd"/>
      <w:r w:rsidRPr="001653D6">
        <w:rPr>
          <w:u w:val="single"/>
          <w:lang w:eastAsia="bg-BG"/>
        </w:rPr>
        <w:t xml:space="preserve"> </w:t>
      </w:r>
      <w:proofErr w:type="spellStart"/>
      <w:r w:rsidRPr="001653D6">
        <w:rPr>
          <w:u w:val="single"/>
          <w:lang w:eastAsia="bg-BG"/>
        </w:rPr>
        <w:t>аксетил</w:t>
      </w:r>
      <w:proofErr w:type="spellEnd"/>
    </w:p>
    <w:p w14:paraId="2C53BE1E" w14:textId="293EDF5E" w:rsidR="001653D6" w:rsidRDefault="001653D6" w:rsidP="001653D6">
      <w:pPr>
        <w:rPr>
          <w:lang w:eastAsia="bg-BG"/>
        </w:rPr>
      </w:pPr>
      <w:r w:rsidRPr="001653D6">
        <w:rPr>
          <w:lang w:eastAsia="bg-BG"/>
        </w:rPr>
        <w:t xml:space="preserve">Граничните стойности на минималната инхибираща концентрация </w:t>
      </w:r>
      <w:r w:rsidRPr="001653D6">
        <w:rPr>
          <w:lang w:val="en-US"/>
        </w:rPr>
        <w:t xml:space="preserve">(MIC), </w:t>
      </w:r>
      <w:r w:rsidRPr="001653D6">
        <w:rPr>
          <w:lang w:eastAsia="bg-BG"/>
        </w:rPr>
        <w:t xml:space="preserve">определени от Европейския комитет за изследване на антимикробна чувствителност </w:t>
      </w:r>
      <w:r w:rsidRPr="001653D6">
        <w:rPr>
          <w:lang w:val="en-US"/>
        </w:rPr>
        <w:t xml:space="preserve">(European Committee on Antimicrobial Susceptibility Testing) (EUCAST), </w:t>
      </w:r>
      <w:r w:rsidRPr="001653D6">
        <w:rPr>
          <w:lang w:eastAsia="bg-BG"/>
        </w:rPr>
        <w:t>са както следва: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72366" w14:paraId="00AFAE00" w14:textId="77777777" w:rsidTr="00272366">
        <w:tc>
          <w:tcPr>
            <w:tcW w:w="3192" w:type="dxa"/>
          </w:tcPr>
          <w:p w14:paraId="64AA956E" w14:textId="26D223D9" w:rsidR="00272366" w:rsidRDefault="00272366" w:rsidP="00272366">
            <w:r>
              <w:lastRenderedPageBreak/>
              <w:t>Микроорганизъм</w:t>
            </w:r>
          </w:p>
        </w:tc>
        <w:tc>
          <w:tcPr>
            <w:tcW w:w="3192" w:type="dxa"/>
          </w:tcPr>
          <w:p w14:paraId="7F338D5A" w14:textId="66B60961" w:rsidR="00272366" w:rsidRDefault="00272366" w:rsidP="00272366">
            <w:r>
              <w:t xml:space="preserve">Гранични стойности </w:t>
            </w:r>
            <w:r>
              <w:rPr>
                <w:lang w:val="en-US"/>
              </w:rPr>
              <w:t>(mg/l)</w:t>
            </w:r>
          </w:p>
        </w:tc>
        <w:tc>
          <w:tcPr>
            <w:tcW w:w="3192" w:type="dxa"/>
          </w:tcPr>
          <w:p w14:paraId="77C2A137" w14:textId="77777777" w:rsidR="00272366" w:rsidRDefault="00272366" w:rsidP="00272366"/>
        </w:tc>
      </w:tr>
      <w:tr w:rsidR="00272366" w14:paraId="3FEEF46A" w14:textId="77777777" w:rsidTr="00272366">
        <w:tc>
          <w:tcPr>
            <w:tcW w:w="3192" w:type="dxa"/>
          </w:tcPr>
          <w:p w14:paraId="6EB2E294" w14:textId="77777777" w:rsidR="00272366" w:rsidRDefault="00272366" w:rsidP="00272366"/>
        </w:tc>
        <w:tc>
          <w:tcPr>
            <w:tcW w:w="3192" w:type="dxa"/>
          </w:tcPr>
          <w:p w14:paraId="5FAB4AE4" w14:textId="7092CE5D" w:rsidR="00272366" w:rsidRDefault="00272366" w:rsidP="00272366">
            <w:r>
              <w:rPr>
                <w:lang w:val="en-US"/>
              </w:rPr>
              <w:t>S</w:t>
            </w:r>
          </w:p>
        </w:tc>
        <w:tc>
          <w:tcPr>
            <w:tcW w:w="3192" w:type="dxa"/>
          </w:tcPr>
          <w:p w14:paraId="4964ED43" w14:textId="4B03B6DA" w:rsidR="00272366" w:rsidRDefault="00272366" w:rsidP="00272366">
            <w:r>
              <w:rPr>
                <w:lang w:val="en-US"/>
              </w:rPr>
              <w:t>R</w:t>
            </w:r>
          </w:p>
        </w:tc>
      </w:tr>
      <w:tr w:rsidR="00272366" w14:paraId="7F8C1514" w14:textId="77777777" w:rsidTr="00272366">
        <w:tc>
          <w:tcPr>
            <w:tcW w:w="3192" w:type="dxa"/>
          </w:tcPr>
          <w:p w14:paraId="4D234E83" w14:textId="688AA6C7" w:rsidR="00272366" w:rsidRDefault="00272366" w:rsidP="00272366">
            <w:r>
              <w:rPr>
                <w:i/>
                <w:iCs/>
                <w:lang w:val="en-US"/>
              </w:rPr>
              <w:t>Enterobacteriaceae</w:t>
            </w:r>
            <w:r>
              <w:rPr>
                <w:i/>
                <w:iCs/>
                <w:vertAlign w:val="superscript"/>
                <w:lang w:val="en-US"/>
              </w:rPr>
              <w:t>1,2</w:t>
            </w:r>
          </w:p>
        </w:tc>
        <w:tc>
          <w:tcPr>
            <w:tcW w:w="3192" w:type="dxa"/>
          </w:tcPr>
          <w:p w14:paraId="5E87E6C8" w14:textId="2A2D1B7A" w:rsidR="00272366" w:rsidRDefault="00272366" w:rsidP="00272366">
            <w:r>
              <w:rPr>
                <w:lang w:val="en-US"/>
              </w:rPr>
              <w:t>≤</w:t>
            </w:r>
            <w:r>
              <w:t>8</w:t>
            </w:r>
          </w:p>
        </w:tc>
        <w:tc>
          <w:tcPr>
            <w:tcW w:w="3192" w:type="dxa"/>
          </w:tcPr>
          <w:p w14:paraId="1EAD75C7" w14:textId="1F83E27A" w:rsidR="00272366" w:rsidRDefault="00272366" w:rsidP="00272366">
            <w:r>
              <w:t>&gt;8</w:t>
            </w:r>
          </w:p>
        </w:tc>
      </w:tr>
      <w:tr w:rsidR="00272366" w14:paraId="2BC631E6" w14:textId="77777777" w:rsidTr="00272366">
        <w:tc>
          <w:tcPr>
            <w:tcW w:w="3192" w:type="dxa"/>
          </w:tcPr>
          <w:p w14:paraId="3C118C8A" w14:textId="21941CEB" w:rsidR="00272366" w:rsidRDefault="00272366" w:rsidP="00272366">
            <w:r>
              <w:rPr>
                <w:i/>
                <w:iCs/>
                <w:lang w:val="en-US"/>
              </w:rPr>
              <w:t xml:space="preserve">Staphylococcus </w:t>
            </w:r>
            <w:proofErr w:type="spellStart"/>
            <w:r>
              <w:rPr>
                <w:i/>
                <w:iCs/>
                <w:lang w:val="en-US"/>
              </w:rPr>
              <w:t>spp</w:t>
            </w:r>
            <w:proofErr w:type="spellEnd"/>
          </w:p>
        </w:tc>
        <w:tc>
          <w:tcPr>
            <w:tcW w:w="3192" w:type="dxa"/>
          </w:tcPr>
          <w:p w14:paraId="08494FBF" w14:textId="4A26187F" w:rsidR="00272366" w:rsidRDefault="00272366" w:rsidP="00272366">
            <w:r>
              <w:t>Забележка</w:t>
            </w:r>
            <w:r>
              <w:rPr>
                <w:vertAlign w:val="superscript"/>
              </w:rPr>
              <w:t>3</w:t>
            </w:r>
          </w:p>
        </w:tc>
        <w:tc>
          <w:tcPr>
            <w:tcW w:w="3192" w:type="dxa"/>
          </w:tcPr>
          <w:p w14:paraId="7F84FC0B" w14:textId="328691A9" w:rsidR="00272366" w:rsidRDefault="00272366" w:rsidP="00272366">
            <w:r>
              <w:t>Забележка</w:t>
            </w:r>
            <w:r>
              <w:rPr>
                <w:vertAlign w:val="superscript"/>
              </w:rPr>
              <w:t>3</w:t>
            </w:r>
          </w:p>
        </w:tc>
      </w:tr>
      <w:tr w:rsidR="00272366" w14:paraId="2C0481CE" w14:textId="77777777" w:rsidTr="00272366">
        <w:tc>
          <w:tcPr>
            <w:tcW w:w="3192" w:type="dxa"/>
          </w:tcPr>
          <w:p w14:paraId="6D7520CA" w14:textId="0A869038" w:rsidR="00272366" w:rsidRDefault="00272366" w:rsidP="00272366">
            <w:r>
              <w:rPr>
                <w:i/>
                <w:iCs/>
                <w:lang w:val="en-US"/>
              </w:rPr>
              <w:t>Streptococcus</w:t>
            </w:r>
            <w:r>
              <w:rPr>
                <w:lang w:val="en-US"/>
              </w:rPr>
              <w:t xml:space="preserve"> A, B, C </w:t>
            </w:r>
            <w:r>
              <w:t xml:space="preserve">и </w:t>
            </w:r>
            <w:r>
              <w:rPr>
                <w:lang w:val="en-US"/>
              </w:rPr>
              <w:t>G</w:t>
            </w:r>
          </w:p>
        </w:tc>
        <w:tc>
          <w:tcPr>
            <w:tcW w:w="3192" w:type="dxa"/>
          </w:tcPr>
          <w:p w14:paraId="4177D63A" w14:textId="542F1A4C" w:rsidR="00272366" w:rsidRDefault="00272366" w:rsidP="00272366">
            <w:r>
              <w:t>Забележка</w:t>
            </w:r>
            <w:r>
              <w:rPr>
                <w:vertAlign w:val="superscript"/>
              </w:rPr>
              <w:t>4</w:t>
            </w:r>
          </w:p>
        </w:tc>
        <w:tc>
          <w:tcPr>
            <w:tcW w:w="3192" w:type="dxa"/>
          </w:tcPr>
          <w:p w14:paraId="2D6237D4" w14:textId="2E10C721" w:rsidR="00272366" w:rsidRDefault="00272366" w:rsidP="00272366">
            <w:r>
              <w:t>Забележка</w:t>
            </w:r>
            <w:r>
              <w:rPr>
                <w:vertAlign w:val="superscript"/>
              </w:rPr>
              <w:t>4</w:t>
            </w:r>
          </w:p>
        </w:tc>
      </w:tr>
      <w:tr w:rsidR="00272366" w14:paraId="4B2EFA0B" w14:textId="77777777" w:rsidTr="00272366">
        <w:tc>
          <w:tcPr>
            <w:tcW w:w="3192" w:type="dxa"/>
          </w:tcPr>
          <w:p w14:paraId="43F481BE" w14:textId="54B3F795" w:rsidR="00272366" w:rsidRDefault="00272366" w:rsidP="00272366">
            <w:r>
              <w:rPr>
                <w:i/>
                <w:iCs/>
                <w:lang w:val="en-US"/>
              </w:rPr>
              <w:t>Streptococcus pneumonia</w:t>
            </w:r>
          </w:p>
        </w:tc>
        <w:tc>
          <w:tcPr>
            <w:tcW w:w="3192" w:type="dxa"/>
          </w:tcPr>
          <w:p w14:paraId="162241EC" w14:textId="172DEA9F" w:rsidR="00272366" w:rsidRDefault="00272366" w:rsidP="00272366">
            <w:r>
              <w:rPr>
                <w:lang w:val="en-US"/>
              </w:rPr>
              <w:t>≤</w:t>
            </w:r>
            <w:r>
              <w:t>0,25</w:t>
            </w:r>
          </w:p>
        </w:tc>
        <w:tc>
          <w:tcPr>
            <w:tcW w:w="3192" w:type="dxa"/>
          </w:tcPr>
          <w:p w14:paraId="3B47C3CA" w14:textId="578E80EB" w:rsidR="00272366" w:rsidRDefault="00272366" w:rsidP="00272366">
            <w:r>
              <w:t>&gt;0,5</w:t>
            </w:r>
          </w:p>
        </w:tc>
      </w:tr>
      <w:tr w:rsidR="00272366" w14:paraId="74672A0D" w14:textId="77777777" w:rsidTr="00272366">
        <w:tc>
          <w:tcPr>
            <w:tcW w:w="3192" w:type="dxa"/>
          </w:tcPr>
          <w:p w14:paraId="643B53C8" w14:textId="10F4A931" w:rsidR="00272366" w:rsidRDefault="00272366" w:rsidP="00272366">
            <w:r>
              <w:rPr>
                <w:i/>
                <w:iCs/>
                <w:lang w:val="en-US"/>
              </w:rPr>
              <w:t>Moraxella catarrhalis</w:t>
            </w:r>
          </w:p>
        </w:tc>
        <w:tc>
          <w:tcPr>
            <w:tcW w:w="3192" w:type="dxa"/>
          </w:tcPr>
          <w:p w14:paraId="530A0D0D" w14:textId="150B6CE8" w:rsidR="00272366" w:rsidRDefault="00272366" w:rsidP="00272366">
            <w:r>
              <w:rPr>
                <w:lang w:val="en-US"/>
              </w:rPr>
              <w:t>≤</w:t>
            </w:r>
            <w:r>
              <w:t>0,125</w:t>
            </w:r>
          </w:p>
        </w:tc>
        <w:tc>
          <w:tcPr>
            <w:tcW w:w="3192" w:type="dxa"/>
          </w:tcPr>
          <w:p w14:paraId="43A38D0E" w14:textId="725DCB48" w:rsidR="00272366" w:rsidRDefault="00272366" w:rsidP="00272366">
            <w:r>
              <w:t>&gt;4</w:t>
            </w:r>
          </w:p>
        </w:tc>
      </w:tr>
      <w:tr w:rsidR="00272366" w14:paraId="1FECE7DB" w14:textId="77777777" w:rsidTr="00272366">
        <w:tc>
          <w:tcPr>
            <w:tcW w:w="3192" w:type="dxa"/>
          </w:tcPr>
          <w:p w14:paraId="34C51801" w14:textId="134C828B" w:rsidR="00272366" w:rsidRDefault="00272366" w:rsidP="00272366">
            <w:proofErr w:type="spellStart"/>
            <w:r>
              <w:rPr>
                <w:i/>
                <w:iCs/>
                <w:lang w:val="en-US"/>
              </w:rPr>
              <w:t>Haemophilus</w:t>
            </w:r>
            <w:proofErr w:type="spellEnd"/>
            <w:r>
              <w:rPr>
                <w:i/>
                <w:iCs/>
                <w:lang w:val="en-US"/>
              </w:rPr>
              <w:t xml:space="preserve"> influenza</w:t>
            </w:r>
          </w:p>
        </w:tc>
        <w:tc>
          <w:tcPr>
            <w:tcW w:w="3192" w:type="dxa"/>
          </w:tcPr>
          <w:p w14:paraId="0836ABC5" w14:textId="7938CBDC" w:rsidR="00272366" w:rsidRDefault="00272366" w:rsidP="00272366">
            <w:r>
              <w:rPr>
                <w:lang w:val="en-US"/>
              </w:rPr>
              <w:t>≤</w:t>
            </w:r>
            <w:r>
              <w:t>0,125</w:t>
            </w:r>
          </w:p>
        </w:tc>
        <w:tc>
          <w:tcPr>
            <w:tcW w:w="3192" w:type="dxa"/>
          </w:tcPr>
          <w:p w14:paraId="34684A08" w14:textId="12F1AE10" w:rsidR="00272366" w:rsidRDefault="00272366" w:rsidP="00272366">
            <w:r>
              <w:t>&gt;1</w:t>
            </w:r>
          </w:p>
        </w:tc>
      </w:tr>
      <w:tr w:rsidR="00272366" w14:paraId="4264ABAF" w14:textId="77777777" w:rsidTr="00272366">
        <w:tc>
          <w:tcPr>
            <w:tcW w:w="3192" w:type="dxa"/>
          </w:tcPr>
          <w:p w14:paraId="5E8772F4" w14:textId="5CAF4818" w:rsidR="00272366" w:rsidRDefault="00272366" w:rsidP="00272366">
            <w:r>
              <w:t>Граничните стойности, които не са свързани с вида</w:t>
            </w:r>
            <w:r>
              <w:rPr>
                <w:vertAlign w:val="superscript"/>
              </w:rPr>
              <w:t>1</w:t>
            </w:r>
          </w:p>
        </w:tc>
        <w:tc>
          <w:tcPr>
            <w:tcW w:w="3192" w:type="dxa"/>
          </w:tcPr>
          <w:p w14:paraId="0D51F5E7" w14:textId="4B6DA7F8" w:rsidR="00272366" w:rsidRDefault="00272366" w:rsidP="00272366">
            <w:r>
              <w:rPr>
                <w:lang w:val="en-US"/>
              </w:rPr>
              <w:t>IE</w:t>
            </w:r>
            <w:r>
              <w:rPr>
                <w:vertAlign w:val="superscript"/>
                <w:lang w:val="en-US"/>
              </w:rPr>
              <w:t>5</w:t>
            </w:r>
          </w:p>
        </w:tc>
        <w:tc>
          <w:tcPr>
            <w:tcW w:w="3192" w:type="dxa"/>
          </w:tcPr>
          <w:p w14:paraId="1C534AAE" w14:textId="48D1BA79" w:rsidR="00272366" w:rsidRDefault="00272366" w:rsidP="00272366">
            <w:r>
              <w:rPr>
                <w:lang w:val="en-US"/>
              </w:rPr>
              <w:t>IE</w:t>
            </w:r>
            <w:r>
              <w:rPr>
                <w:vertAlign w:val="superscript"/>
                <w:lang w:val="en-US"/>
              </w:rPr>
              <w:t>5</w:t>
            </w:r>
          </w:p>
        </w:tc>
      </w:tr>
      <w:tr w:rsidR="00272366" w14:paraId="4B827D25" w14:textId="77777777" w:rsidTr="002D3326">
        <w:tc>
          <w:tcPr>
            <w:tcW w:w="9576" w:type="dxa"/>
            <w:gridSpan w:val="3"/>
          </w:tcPr>
          <w:p w14:paraId="5306B26A" w14:textId="59B98777" w:rsidR="00272366" w:rsidRPr="00272366" w:rsidRDefault="00272366" w:rsidP="00272366">
            <w:pPr>
              <w:rPr>
                <w:sz w:val="24"/>
                <w:szCs w:val="24"/>
              </w:rPr>
            </w:pPr>
            <w:r w:rsidRPr="00272366">
              <w:rPr>
                <w:vertAlign w:val="superscript"/>
                <w:lang w:eastAsia="bg-BG"/>
              </w:rPr>
              <w:t>1</w:t>
            </w:r>
            <w:r w:rsidRPr="00272366">
              <w:rPr>
                <w:lang w:eastAsia="bg-BG"/>
              </w:rPr>
              <w:t xml:space="preserve">Граничните стойности на </w:t>
            </w:r>
            <w:proofErr w:type="spellStart"/>
            <w:r w:rsidRPr="00272366">
              <w:rPr>
                <w:lang w:eastAsia="bg-BG"/>
              </w:rPr>
              <w:t>цефалоспорините</w:t>
            </w:r>
            <w:proofErr w:type="spellEnd"/>
            <w:r w:rsidRPr="00272366">
              <w:rPr>
                <w:lang w:eastAsia="bg-BG"/>
              </w:rPr>
              <w:t xml:space="preserve"> за </w:t>
            </w:r>
            <w:r w:rsidRPr="00272366">
              <w:rPr>
                <w:lang w:val="en-US"/>
              </w:rPr>
              <w:t xml:space="preserve">Enterobacteriaceae </w:t>
            </w:r>
            <w:r w:rsidRPr="00272366">
              <w:rPr>
                <w:lang w:eastAsia="bg-BG"/>
              </w:rPr>
              <w:t>установяват всички клинично</w:t>
            </w:r>
          </w:p>
          <w:p w14:paraId="42F7690B" w14:textId="77777777" w:rsidR="00272366" w:rsidRPr="00272366" w:rsidRDefault="00272366" w:rsidP="00272366">
            <w:pPr>
              <w:rPr>
                <w:sz w:val="24"/>
                <w:szCs w:val="24"/>
              </w:rPr>
            </w:pPr>
            <w:r w:rsidRPr="00272366">
              <w:rPr>
                <w:lang w:eastAsia="bg-BG"/>
              </w:rPr>
              <w:t xml:space="preserve">значими механизми на резистентност (включително </w:t>
            </w:r>
            <w:r w:rsidRPr="00272366">
              <w:rPr>
                <w:lang w:val="en-US"/>
              </w:rPr>
              <w:t xml:space="preserve">ESBL </w:t>
            </w:r>
            <w:r w:rsidRPr="00272366">
              <w:rPr>
                <w:lang w:eastAsia="bg-BG"/>
              </w:rPr>
              <w:t xml:space="preserve">и </w:t>
            </w:r>
            <w:proofErr w:type="spellStart"/>
            <w:r w:rsidRPr="00272366">
              <w:rPr>
                <w:lang w:eastAsia="bg-BG"/>
              </w:rPr>
              <w:t>плазмид-медиирана</w:t>
            </w:r>
            <w:proofErr w:type="spellEnd"/>
            <w:r w:rsidRPr="00272366">
              <w:rPr>
                <w:lang w:eastAsia="bg-BG"/>
              </w:rPr>
              <w:t xml:space="preserve"> А</w:t>
            </w:r>
            <w:r w:rsidRPr="00272366">
              <w:rPr>
                <w:lang w:val="en-US"/>
              </w:rPr>
              <w:t>m</w:t>
            </w:r>
            <w:proofErr w:type="spellStart"/>
            <w:r w:rsidRPr="00272366">
              <w:rPr>
                <w:lang w:eastAsia="bg-BG"/>
              </w:rPr>
              <w:t>рС</w:t>
            </w:r>
            <w:proofErr w:type="spellEnd"/>
            <w:r w:rsidRPr="00272366">
              <w:rPr>
                <w:lang w:eastAsia="bg-BG"/>
              </w:rPr>
              <w:t>). Някои щамове, които продуцират бета-</w:t>
            </w:r>
            <w:proofErr w:type="spellStart"/>
            <w:r w:rsidRPr="00272366">
              <w:rPr>
                <w:lang w:eastAsia="bg-BG"/>
              </w:rPr>
              <w:t>лактамази</w:t>
            </w:r>
            <w:proofErr w:type="spellEnd"/>
            <w:r w:rsidRPr="00272366">
              <w:rPr>
                <w:lang w:eastAsia="bg-BG"/>
              </w:rPr>
              <w:t xml:space="preserve">, са чувствителни или </w:t>
            </w:r>
            <w:proofErr w:type="spellStart"/>
            <w:r w:rsidRPr="00272366">
              <w:rPr>
                <w:lang w:eastAsia="bg-BG"/>
              </w:rPr>
              <w:t>интермедиерни</w:t>
            </w:r>
            <w:proofErr w:type="spellEnd"/>
            <w:r w:rsidRPr="00272366">
              <w:rPr>
                <w:lang w:eastAsia="bg-BG"/>
              </w:rPr>
              <w:t xml:space="preserve"> към 3-то и 4-то поколение </w:t>
            </w:r>
            <w:proofErr w:type="spellStart"/>
            <w:r w:rsidRPr="00272366">
              <w:rPr>
                <w:lang w:eastAsia="bg-BG"/>
              </w:rPr>
              <w:t>цефалоспорини</w:t>
            </w:r>
            <w:proofErr w:type="spellEnd"/>
            <w:r w:rsidRPr="00272366">
              <w:rPr>
                <w:lang w:eastAsia="bg-BG"/>
              </w:rPr>
              <w:t xml:space="preserve"> по тези гранични стойности и трябва да се съобщават като открити, </w:t>
            </w:r>
            <w:proofErr w:type="spellStart"/>
            <w:r w:rsidRPr="00272366">
              <w:rPr>
                <w:lang w:eastAsia="bg-BG"/>
              </w:rPr>
              <w:t>т.с</w:t>
            </w:r>
            <w:proofErr w:type="spellEnd"/>
            <w:r w:rsidRPr="00272366">
              <w:rPr>
                <w:lang w:eastAsia="bg-BG"/>
              </w:rPr>
              <w:t xml:space="preserve">. наличието или липсата на </w:t>
            </w:r>
            <w:r w:rsidRPr="00272366">
              <w:rPr>
                <w:lang w:val="en-US"/>
              </w:rPr>
              <w:t xml:space="preserve">ESBL </w:t>
            </w:r>
            <w:r w:rsidRPr="00272366">
              <w:rPr>
                <w:lang w:eastAsia="bg-BG"/>
              </w:rPr>
              <w:t xml:space="preserve">сами по себе си не повлияват категоризирането по чувствителност. В много области откриването и категоризирането на </w:t>
            </w:r>
            <w:r w:rsidRPr="00272366">
              <w:rPr>
                <w:lang w:val="en-US"/>
              </w:rPr>
              <w:t xml:space="preserve">ESBL </w:t>
            </w:r>
            <w:r w:rsidRPr="00272366">
              <w:rPr>
                <w:lang w:eastAsia="bg-BG"/>
              </w:rPr>
              <w:t>е препоръчително или задължително за целите на контрол на инфекциите.</w:t>
            </w:r>
          </w:p>
          <w:p w14:paraId="2885B15A" w14:textId="77777777" w:rsidR="00272366" w:rsidRPr="00272366" w:rsidRDefault="00272366" w:rsidP="00272366">
            <w:pPr>
              <w:rPr>
                <w:sz w:val="24"/>
                <w:szCs w:val="24"/>
              </w:rPr>
            </w:pPr>
            <w:r w:rsidRPr="00272366">
              <w:rPr>
                <w:vertAlign w:val="superscript"/>
                <w:lang w:eastAsia="bg-BG"/>
              </w:rPr>
              <w:t>2</w:t>
            </w:r>
            <w:r w:rsidRPr="00272366">
              <w:rPr>
                <w:lang w:eastAsia="bg-BG"/>
              </w:rPr>
              <w:t xml:space="preserve">Само </w:t>
            </w:r>
            <w:proofErr w:type="spellStart"/>
            <w:r w:rsidRPr="00272366">
              <w:rPr>
                <w:lang w:eastAsia="bg-BG"/>
              </w:rPr>
              <w:t>неусложнени</w:t>
            </w:r>
            <w:proofErr w:type="spellEnd"/>
            <w:r w:rsidRPr="00272366">
              <w:rPr>
                <w:lang w:eastAsia="bg-BG"/>
              </w:rPr>
              <w:t xml:space="preserve"> инфекции на пикочните пътища (цистит) (вж. точка 4.1).</w:t>
            </w:r>
          </w:p>
          <w:p w14:paraId="2BF181D1" w14:textId="77777777" w:rsidR="00272366" w:rsidRPr="00272366" w:rsidRDefault="00272366" w:rsidP="00272366">
            <w:pPr>
              <w:rPr>
                <w:sz w:val="24"/>
                <w:szCs w:val="24"/>
              </w:rPr>
            </w:pPr>
            <w:r w:rsidRPr="00272366">
              <w:rPr>
                <w:vertAlign w:val="superscript"/>
                <w:lang w:eastAsia="bg-BG"/>
              </w:rPr>
              <w:t>3</w:t>
            </w:r>
            <w:r w:rsidRPr="00272366">
              <w:rPr>
                <w:lang w:eastAsia="bg-BG"/>
              </w:rPr>
              <w:t xml:space="preserve">Чувствителността на </w:t>
            </w:r>
            <w:proofErr w:type="spellStart"/>
            <w:r w:rsidRPr="00272366">
              <w:rPr>
                <w:lang w:eastAsia="bg-BG"/>
              </w:rPr>
              <w:t>стафилококите</w:t>
            </w:r>
            <w:proofErr w:type="spellEnd"/>
            <w:r w:rsidRPr="00272366">
              <w:rPr>
                <w:lang w:eastAsia="bg-BG"/>
              </w:rPr>
              <w:t xml:space="preserve"> към </w:t>
            </w:r>
            <w:proofErr w:type="spellStart"/>
            <w:r w:rsidRPr="00272366">
              <w:rPr>
                <w:lang w:eastAsia="bg-BG"/>
              </w:rPr>
              <w:t>цефалоспорини</w:t>
            </w:r>
            <w:proofErr w:type="spellEnd"/>
            <w:r w:rsidRPr="00272366">
              <w:rPr>
                <w:lang w:eastAsia="bg-BG"/>
              </w:rPr>
              <w:t xml:space="preserve"> се извежда от </w:t>
            </w:r>
            <w:proofErr w:type="spellStart"/>
            <w:r w:rsidRPr="00272366">
              <w:rPr>
                <w:lang w:eastAsia="bg-BG"/>
              </w:rPr>
              <w:t>метицилиновата</w:t>
            </w:r>
            <w:proofErr w:type="spellEnd"/>
            <w:r w:rsidRPr="00272366">
              <w:rPr>
                <w:lang w:eastAsia="bg-BG"/>
              </w:rPr>
              <w:t xml:space="preserve"> чувствителност, с изключение на </w:t>
            </w:r>
            <w:proofErr w:type="spellStart"/>
            <w:r w:rsidRPr="00272366">
              <w:rPr>
                <w:lang w:eastAsia="bg-BG"/>
              </w:rPr>
              <w:t>цефтазидим</w:t>
            </w:r>
            <w:proofErr w:type="spellEnd"/>
            <w:r w:rsidRPr="00272366">
              <w:rPr>
                <w:lang w:eastAsia="bg-BG"/>
              </w:rPr>
              <w:t xml:space="preserve">, </w:t>
            </w:r>
            <w:proofErr w:type="spellStart"/>
            <w:r w:rsidRPr="00272366">
              <w:rPr>
                <w:lang w:eastAsia="bg-BG"/>
              </w:rPr>
              <w:t>цефиксим</w:t>
            </w:r>
            <w:proofErr w:type="spellEnd"/>
            <w:r w:rsidRPr="00272366">
              <w:rPr>
                <w:lang w:eastAsia="bg-BG"/>
              </w:rPr>
              <w:t xml:space="preserve"> и </w:t>
            </w:r>
            <w:proofErr w:type="spellStart"/>
            <w:r w:rsidRPr="00272366">
              <w:rPr>
                <w:lang w:eastAsia="bg-BG"/>
              </w:rPr>
              <w:t>цефтибутен</w:t>
            </w:r>
            <w:proofErr w:type="spellEnd"/>
            <w:r w:rsidRPr="00272366">
              <w:rPr>
                <w:lang w:eastAsia="bg-BG"/>
              </w:rPr>
              <w:t xml:space="preserve">, които нямат гранични стойности и не трябва да се прилагат за лечение на </w:t>
            </w:r>
            <w:proofErr w:type="spellStart"/>
            <w:r w:rsidRPr="00272366">
              <w:rPr>
                <w:lang w:eastAsia="bg-BG"/>
              </w:rPr>
              <w:t>стафилококови</w:t>
            </w:r>
            <w:proofErr w:type="spellEnd"/>
            <w:r w:rsidRPr="00272366">
              <w:rPr>
                <w:lang w:eastAsia="bg-BG"/>
              </w:rPr>
              <w:t xml:space="preserve"> инфекции.</w:t>
            </w:r>
          </w:p>
          <w:p w14:paraId="6B0E0AA3" w14:textId="77777777" w:rsidR="00272366" w:rsidRPr="00272366" w:rsidRDefault="00272366" w:rsidP="00272366">
            <w:pPr>
              <w:rPr>
                <w:sz w:val="24"/>
                <w:szCs w:val="24"/>
              </w:rPr>
            </w:pPr>
            <w:r w:rsidRPr="00272366">
              <w:rPr>
                <w:vertAlign w:val="superscript"/>
                <w:lang w:eastAsia="bg-BG"/>
              </w:rPr>
              <w:t>4</w:t>
            </w:r>
            <w:r w:rsidRPr="00272366">
              <w:rPr>
                <w:lang w:eastAsia="bg-BG"/>
              </w:rPr>
              <w:t>Чувствителността на бета-</w:t>
            </w:r>
            <w:proofErr w:type="spellStart"/>
            <w:r w:rsidRPr="00272366">
              <w:rPr>
                <w:lang w:eastAsia="bg-BG"/>
              </w:rPr>
              <w:t>хемолотичните</w:t>
            </w:r>
            <w:proofErr w:type="spellEnd"/>
            <w:r w:rsidRPr="00272366">
              <w:rPr>
                <w:lang w:eastAsia="bg-BG"/>
              </w:rPr>
              <w:t xml:space="preserve"> стрептококи от групи А, В, С и </w:t>
            </w:r>
            <w:r w:rsidRPr="00272366">
              <w:rPr>
                <w:lang w:val="en-US"/>
              </w:rPr>
              <w:t xml:space="preserve">G </w:t>
            </w:r>
            <w:r w:rsidRPr="00272366">
              <w:rPr>
                <w:lang w:eastAsia="bg-BG"/>
              </w:rPr>
              <w:t>към бета-</w:t>
            </w:r>
            <w:proofErr w:type="spellStart"/>
            <w:r w:rsidRPr="00272366">
              <w:rPr>
                <w:lang w:eastAsia="bg-BG"/>
              </w:rPr>
              <w:t>лактамите</w:t>
            </w:r>
            <w:proofErr w:type="spellEnd"/>
            <w:r w:rsidRPr="00272366">
              <w:rPr>
                <w:lang w:eastAsia="bg-BG"/>
              </w:rPr>
              <w:t xml:space="preserve"> се извежда от чувствителността към пеницилин.</w:t>
            </w:r>
          </w:p>
          <w:p w14:paraId="14BAF5A5" w14:textId="77777777" w:rsidR="00272366" w:rsidRPr="00272366" w:rsidRDefault="00272366" w:rsidP="00272366">
            <w:pPr>
              <w:rPr>
                <w:sz w:val="24"/>
                <w:szCs w:val="24"/>
              </w:rPr>
            </w:pPr>
            <w:r w:rsidRPr="00272366">
              <w:rPr>
                <w:vertAlign w:val="superscript"/>
                <w:lang w:eastAsia="bg-BG"/>
              </w:rPr>
              <w:t>5</w:t>
            </w:r>
            <w:r w:rsidRPr="00272366">
              <w:rPr>
                <w:lang w:eastAsia="bg-BG"/>
              </w:rPr>
              <w:t xml:space="preserve">Недостатъчно доказателства, че въпросният вид е добър </w:t>
            </w:r>
            <w:proofErr w:type="spellStart"/>
            <w:r w:rsidRPr="00272366">
              <w:rPr>
                <w:lang w:eastAsia="bg-BG"/>
              </w:rPr>
              <w:t>таргет</w:t>
            </w:r>
            <w:proofErr w:type="spellEnd"/>
            <w:r w:rsidRPr="00272366">
              <w:rPr>
                <w:lang w:eastAsia="bg-BG"/>
              </w:rPr>
              <w:t xml:space="preserve"> за лечение с лекарството. Може да се</w:t>
            </w:r>
            <w:r w:rsidRPr="00272366">
              <w:rPr>
                <w:lang w:val="en-US"/>
              </w:rPr>
              <w:t xml:space="preserve"> </w:t>
            </w:r>
            <w:r w:rsidRPr="00272366">
              <w:rPr>
                <w:lang w:eastAsia="bg-BG"/>
              </w:rPr>
              <w:t xml:space="preserve">съобщава </w:t>
            </w:r>
            <w:r w:rsidRPr="00272366">
              <w:rPr>
                <w:lang w:val="en-US"/>
              </w:rPr>
              <w:t xml:space="preserve">MIC </w:t>
            </w:r>
            <w:r w:rsidRPr="00272366">
              <w:rPr>
                <w:lang w:eastAsia="bg-BG"/>
              </w:rPr>
              <w:t>С</w:t>
            </w:r>
          </w:p>
          <w:p w14:paraId="12EA8F27" w14:textId="636E7A1B" w:rsidR="00272366" w:rsidRDefault="00272366" w:rsidP="00272366">
            <w:r w:rsidRPr="00272366">
              <w:rPr>
                <w:lang w:eastAsia="bg-BG"/>
              </w:rPr>
              <w:t xml:space="preserve">коментар, но без придружаваща категоризация като </w:t>
            </w:r>
            <w:r w:rsidRPr="00272366">
              <w:rPr>
                <w:lang w:val="en-US"/>
              </w:rPr>
              <w:t xml:space="preserve">S </w:t>
            </w:r>
            <w:r w:rsidRPr="00272366">
              <w:rPr>
                <w:lang w:eastAsia="bg-BG"/>
              </w:rPr>
              <w:t xml:space="preserve">или </w:t>
            </w:r>
            <w:r w:rsidRPr="00272366">
              <w:rPr>
                <w:lang w:val="en-US"/>
              </w:rPr>
              <w:t>R,</w:t>
            </w:r>
          </w:p>
        </w:tc>
      </w:tr>
    </w:tbl>
    <w:p w14:paraId="6C0BDADC" w14:textId="585BD2F9" w:rsidR="00272366" w:rsidRDefault="00272366" w:rsidP="00272366">
      <w:r>
        <w:rPr>
          <w:lang w:val="en-US"/>
        </w:rPr>
        <w:t xml:space="preserve">S = </w:t>
      </w:r>
      <w:r>
        <w:t xml:space="preserve">чувствителен, </w:t>
      </w:r>
      <w:r>
        <w:rPr>
          <w:lang w:val="en-US"/>
        </w:rPr>
        <w:t xml:space="preserve">R = </w:t>
      </w:r>
      <w:r>
        <w:t>резистентен</w:t>
      </w:r>
    </w:p>
    <w:p w14:paraId="02AC703B" w14:textId="77777777" w:rsidR="0051145D" w:rsidRDefault="0051145D" w:rsidP="0051145D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bg-BG"/>
        </w:rPr>
      </w:pPr>
    </w:p>
    <w:p w14:paraId="3DC951C2" w14:textId="29A38EDD" w:rsidR="0051145D" w:rsidRPr="0051145D" w:rsidRDefault="0051145D" w:rsidP="0051145D">
      <w:pPr>
        <w:rPr>
          <w:sz w:val="24"/>
          <w:szCs w:val="24"/>
          <w:u w:val="single"/>
        </w:rPr>
      </w:pPr>
      <w:r w:rsidRPr="0051145D">
        <w:rPr>
          <w:u w:val="single"/>
          <w:lang w:eastAsia="bg-BG"/>
        </w:rPr>
        <w:t>Микробиологична чувствителност</w:t>
      </w:r>
    </w:p>
    <w:p w14:paraId="1E5EB9A1" w14:textId="77777777" w:rsidR="0051145D" w:rsidRPr="0051145D" w:rsidRDefault="0051145D" w:rsidP="0051145D">
      <w:pPr>
        <w:rPr>
          <w:u w:val="single"/>
          <w:lang w:eastAsia="bg-BG"/>
        </w:rPr>
      </w:pPr>
    </w:p>
    <w:p w14:paraId="6F5266F3" w14:textId="2C5A46E6" w:rsidR="0051145D" w:rsidRPr="0051145D" w:rsidRDefault="0051145D" w:rsidP="0051145D">
      <w:pPr>
        <w:rPr>
          <w:sz w:val="24"/>
          <w:szCs w:val="24"/>
        </w:rPr>
      </w:pPr>
      <w:r w:rsidRPr="0051145D">
        <w:rPr>
          <w:lang w:eastAsia="bg-BG"/>
        </w:rPr>
        <w:t xml:space="preserve">Разпространението на придобитата резистентност може да варира в различните географски области и с времето за избрани видове, и затова е необходима местна информация за резистентността, особено при лечение на тежки инфекции. При необходимост, трябва да се търси съвет от специалисти, когато локалната честота на резистентност е такава, че поставя под въпрос приложимостта на </w:t>
      </w:r>
      <w:proofErr w:type="spellStart"/>
      <w:r w:rsidRPr="0051145D">
        <w:rPr>
          <w:lang w:eastAsia="bg-BG"/>
        </w:rPr>
        <w:t>цефуроксим</w:t>
      </w:r>
      <w:proofErr w:type="spellEnd"/>
      <w:r w:rsidRPr="0051145D">
        <w:rPr>
          <w:lang w:eastAsia="bg-BG"/>
        </w:rPr>
        <w:t xml:space="preserve"> </w:t>
      </w:r>
      <w:proofErr w:type="spellStart"/>
      <w:r w:rsidRPr="0051145D">
        <w:rPr>
          <w:lang w:eastAsia="bg-BG"/>
        </w:rPr>
        <w:t>аксетил</w:t>
      </w:r>
      <w:proofErr w:type="spellEnd"/>
      <w:r w:rsidRPr="0051145D">
        <w:rPr>
          <w:lang w:eastAsia="bg-BG"/>
        </w:rPr>
        <w:t xml:space="preserve"> поне при някои типове инфекции.</w:t>
      </w:r>
    </w:p>
    <w:p w14:paraId="47447E06" w14:textId="77777777" w:rsidR="0051145D" w:rsidRPr="0051145D" w:rsidRDefault="0051145D" w:rsidP="0051145D">
      <w:pPr>
        <w:rPr>
          <w:sz w:val="24"/>
          <w:szCs w:val="24"/>
        </w:rPr>
      </w:pPr>
      <w:proofErr w:type="spellStart"/>
      <w:r w:rsidRPr="0051145D">
        <w:rPr>
          <w:lang w:eastAsia="bg-BG"/>
        </w:rPr>
        <w:t>Цефуроксим</w:t>
      </w:r>
      <w:proofErr w:type="spellEnd"/>
      <w:r w:rsidRPr="0051145D">
        <w:rPr>
          <w:lang w:eastAsia="bg-BG"/>
        </w:rPr>
        <w:t xml:space="preserve"> обичайно е активен срещу следните микроорганизми </w:t>
      </w:r>
      <w:r w:rsidRPr="0051145D">
        <w:rPr>
          <w:i/>
          <w:iCs/>
          <w:lang w:val="en-US"/>
        </w:rPr>
        <w:t>in vitro: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1145D" w14:paraId="3049BD65" w14:textId="77777777" w:rsidTr="0051145D">
        <w:tc>
          <w:tcPr>
            <w:tcW w:w="9576" w:type="dxa"/>
          </w:tcPr>
          <w:p w14:paraId="3F2602E4" w14:textId="57FCC284" w:rsidR="0051145D" w:rsidRPr="0051145D" w:rsidRDefault="0051145D" w:rsidP="0051145D">
            <w:pPr>
              <w:rPr>
                <w:b/>
                <w:bCs/>
              </w:rPr>
            </w:pPr>
            <w:r w:rsidRPr="0051145D">
              <w:rPr>
                <w:b/>
                <w:bCs/>
                <w:lang w:eastAsia="bg-BG"/>
              </w:rPr>
              <w:t>Микроорганизми, които обикновено са чувствителни</w:t>
            </w:r>
          </w:p>
        </w:tc>
      </w:tr>
      <w:tr w:rsidR="0051145D" w14:paraId="776777FE" w14:textId="77777777" w:rsidTr="0051145D">
        <w:tc>
          <w:tcPr>
            <w:tcW w:w="9576" w:type="dxa"/>
          </w:tcPr>
          <w:p w14:paraId="16BF35CC" w14:textId="77777777" w:rsidR="0051145D" w:rsidRDefault="0051145D" w:rsidP="0051145D">
            <w:r>
              <w:rPr>
                <w:u w:val="single"/>
                <w:lang w:eastAsia="bg-BG"/>
              </w:rPr>
              <w:t xml:space="preserve">Грам-положително </w:t>
            </w:r>
            <w:proofErr w:type="spellStart"/>
            <w:r>
              <w:rPr>
                <w:u w:val="single"/>
                <w:lang w:eastAsia="bg-BG"/>
              </w:rPr>
              <w:t>аероби</w:t>
            </w:r>
            <w:proofErr w:type="spellEnd"/>
            <w:r>
              <w:rPr>
                <w:u w:val="single"/>
                <w:lang w:eastAsia="bg-BG"/>
              </w:rPr>
              <w:t>:</w:t>
            </w:r>
          </w:p>
          <w:p w14:paraId="407F7F8B" w14:textId="77777777" w:rsidR="0051145D" w:rsidRDefault="0051145D" w:rsidP="0051145D">
            <w:proofErr w:type="spellStart"/>
            <w:r>
              <w:t>Staphulococcus</w:t>
            </w:r>
            <w:proofErr w:type="spellEnd"/>
            <w:r>
              <w:t xml:space="preserve"> </w:t>
            </w:r>
            <w:proofErr w:type="spellStart"/>
            <w:r>
              <w:t>aureus</w:t>
            </w:r>
            <w:proofErr w:type="spellEnd"/>
            <w:r>
              <w:t xml:space="preserve"> </w:t>
            </w:r>
            <w:r>
              <w:rPr>
                <w:lang w:eastAsia="bg-BG"/>
              </w:rPr>
              <w:t>(</w:t>
            </w:r>
            <w:proofErr w:type="spellStart"/>
            <w:r>
              <w:rPr>
                <w:lang w:eastAsia="bg-BG"/>
              </w:rPr>
              <w:t>метицилин</w:t>
            </w:r>
            <w:proofErr w:type="spellEnd"/>
            <w:r>
              <w:rPr>
                <w:lang w:eastAsia="bg-BG"/>
              </w:rPr>
              <w:t>-чувствителен)*</w:t>
            </w:r>
          </w:p>
          <w:p w14:paraId="764CC651" w14:textId="77777777" w:rsidR="0051145D" w:rsidRDefault="0051145D" w:rsidP="0051145D">
            <w:proofErr w:type="spellStart"/>
            <w:r>
              <w:t>Streptococcus</w:t>
            </w:r>
            <w:proofErr w:type="spellEnd"/>
            <w:r>
              <w:t xml:space="preserve"> </w:t>
            </w:r>
            <w:proofErr w:type="spellStart"/>
            <w:r>
              <w:t>pyogenes</w:t>
            </w:r>
            <w:proofErr w:type="spellEnd"/>
          </w:p>
          <w:p w14:paraId="17F399FF" w14:textId="7A6114EC" w:rsidR="0051145D" w:rsidRDefault="0051145D" w:rsidP="0051145D">
            <w:proofErr w:type="spellStart"/>
            <w:r>
              <w:t>Streptococcus</w:t>
            </w:r>
            <w:proofErr w:type="spellEnd"/>
            <w:r>
              <w:t xml:space="preserve"> </w:t>
            </w:r>
            <w:proofErr w:type="spellStart"/>
            <w:r>
              <w:t>agalactiae</w:t>
            </w:r>
            <w:proofErr w:type="spellEnd"/>
          </w:p>
        </w:tc>
      </w:tr>
      <w:tr w:rsidR="0051145D" w14:paraId="7A71781A" w14:textId="77777777" w:rsidTr="0051145D">
        <w:tc>
          <w:tcPr>
            <w:tcW w:w="9576" w:type="dxa"/>
          </w:tcPr>
          <w:p w14:paraId="7C45CD85" w14:textId="77777777" w:rsidR="0051145D" w:rsidRDefault="0051145D" w:rsidP="0051145D">
            <w:pPr>
              <w:rPr>
                <w:u w:val="single"/>
                <w:lang w:eastAsia="bg-BG"/>
              </w:rPr>
            </w:pPr>
            <w:r>
              <w:rPr>
                <w:u w:val="single"/>
                <w:lang w:eastAsia="bg-BG"/>
              </w:rPr>
              <w:t xml:space="preserve">Грам-отрицателни </w:t>
            </w:r>
            <w:proofErr w:type="spellStart"/>
            <w:r>
              <w:rPr>
                <w:u w:val="single"/>
                <w:lang w:eastAsia="bg-BG"/>
              </w:rPr>
              <w:t>аероби</w:t>
            </w:r>
            <w:proofErr w:type="spellEnd"/>
            <w:r>
              <w:rPr>
                <w:u w:val="single"/>
                <w:lang w:eastAsia="bg-BG"/>
              </w:rPr>
              <w:t xml:space="preserve">: </w:t>
            </w:r>
          </w:p>
          <w:p w14:paraId="697DB505" w14:textId="77777777" w:rsidR="0051145D" w:rsidRDefault="0051145D" w:rsidP="0051145D">
            <w:proofErr w:type="spellStart"/>
            <w:r>
              <w:t>Haemophilus</w:t>
            </w:r>
            <w:proofErr w:type="spellEnd"/>
            <w:r>
              <w:t xml:space="preserve"> </w:t>
            </w:r>
            <w:proofErr w:type="spellStart"/>
            <w:r>
              <w:t>influenzae</w:t>
            </w:r>
            <w:proofErr w:type="spellEnd"/>
            <w:r>
              <w:t xml:space="preserve"> </w:t>
            </w:r>
          </w:p>
          <w:p w14:paraId="26C68FA7" w14:textId="77777777" w:rsidR="0051145D" w:rsidRDefault="0051145D" w:rsidP="0051145D">
            <w:proofErr w:type="spellStart"/>
            <w:r>
              <w:t>Haemophilus</w:t>
            </w:r>
            <w:proofErr w:type="spellEnd"/>
            <w:r>
              <w:t xml:space="preserve"> </w:t>
            </w:r>
            <w:proofErr w:type="spellStart"/>
            <w:r>
              <w:t>parainfluenzae</w:t>
            </w:r>
            <w:proofErr w:type="spellEnd"/>
            <w:r>
              <w:t xml:space="preserve"> </w:t>
            </w:r>
          </w:p>
          <w:p w14:paraId="5773397E" w14:textId="16968059" w:rsidR="0051145D" w:rsidRDefault="0051145D" w:rsidP="0051145D">
            <w:proofErr w:type="spellStart"/>
            <w:r>
              <w:lastRenderedPageBreak/>
              <w:t>Moraxella</w:t>
            </w:r>
            <w:proofErr w:type="spellEnd"/>
            <w:r>
              <w:t xml:space="preserve"> </w:t>
            </w:r>
            <w:proofErr w:type="spellStart"/>
            <w:r>
              <w:t>catarrhalis</w:t>
            </w:r>
            <w:proofErr w:type="spellEnd"/>
          </w:p>
        </w:tc>
      </w:tr>
      <w:tr w:rsidR="0051145D" w14:paraId="62AE3E5C" w14:textId="77777777" w:rsidTr="0051145D">
        <w:tc>
          <w:tcPr>
            <w:tcW w:w="9576" w:type="dxa"/>
          </w:tcPr>
          <w:p w14:paraId="564B546B" w14:textId="77777777" w:rsidR="0051145D" w:rsidRDefault="0051145D" w:rsidP="0051145D">
            <w:proofErr w:type="spellStart"/>
            <w:r>
              <w:rPr>
                <w:u w:val="single"/>
                <w:lang w:eastAsia="bg-BG"/>
              </w:rPr>
              <w:lastRenderedPageBreak/>
              <w:t>Спирохети</w:t>
            </w:r>
            <w:proofErr w:type="spellEnd"/>
          </w:p>
          <w:p w14:paraId="6E197BC6" w14:textId="22F26E81" w:rsidR="0051145D" w:rsidRDefault="0051145D" w:rsidP="0051145D">
            <w:proofErr w:type="spellStart"/>
            <w:r>
              <w:rPr>
                <w:i/>
                <w:iCs/>
              </w:rPr>
              <w:t>Borrelia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burgdorferi</w:t>
            </w:r>
            <w:proofErr w:type="spellEnd"/>
          </w:p>
        </w:tc>
      </w:tr>
      <w:tr w:rsidR="0051145D" w14:paraId="48C43E6D" w14:textId="77777777" w:rsidTr="0051145D">
        <w:tc>
          <w:tcPr>
            <w:tcW w:w="9576" w:type="dxa"/>
          </w:tcPr>
          <w:p w14:paraId="519B2AC2" w14:textId="49861857" w:rsidR="0051145D" w:rsidRPr="0051145D" w:rsidRDefault="0051145D" w:rsidP="0051145D">
            <w:pPr>
              <w:rPr>
                <w:b/>
                <w:bCs/>
              </w:rPr>
            </w:pPr>
            <w:r w:rsidRPr="0051145D">
              <w:rPr>
                <w:b/>
                <w:bCs/>
                <w:lang w:eastAsia="bg-BG"/>
              </w:rPr>
              <w:t>Микроорганизми, при които придобитата резистентност може да е проблем</w:t>
            </w:r>
          </w:p>
        </w:tc>
      </w:tr>
      <w:tr w:rsidR="0051145D" w14:paraId="0EA0A5F8" w14:textId="77777777" w:rsidTr="0051145D">
        <w:tc>
          <w:tcPr>
            <w:tcW w:w="9576" w:type="dxa"/>
          </w:tcPr>
          <w:p w14:paraId="5159D6DF" w14:textId="77777777" w:rsidR="0051145D" w:rsidRDefault="0051145D" w:rsidP="0051145D">
            <w:pPr>
              <w:rPr>
                <w:u w:val="single"/>
                <w:lang w:eastAsia="bg-BG"/>
              </w:rPr>
            </w:pPr>
            <w:r>
              <w:rPr>
                <w:u w:val="single"/>
                <w:lang w:eastAsia="bg-BG"/>
              </w:rPr>
              <w:t xml:space="preserve">Грам-положителни </w:t>
            </w:r>
            <w:proofErr w:type="spellStart"/>
            <w:r>
              <w:rPr>
                <w:u w:val="single"/>
                <w:lang w:eastAsia="bg-BG"/>
              </w:rPr>
              <w:t>аероби</w:t>
            </w:r>
            <w:proofErr w:type="spellEnd"/>
            <w:r>
              <w:rPr>
                <w:u w:val="single"/>
                <w:lang w:eastAsia="bg-BG"/>
              </w:rPr>
              <w:t xml:space="preserve">: </w:t>
            </w:r>
          </w:p>
          <w:p w14:paraId="2B9BAF4B" w14:textId="2A81D1C9" w:rsidR="0051145D" w:rsidRDefault="0051145D" w:rsidP="0051145D">
            <w:proofErr w:type="spellStart"/>
            <w:r>
              <w:rPr>
                <w:i/>
                <w:iCs/>
              </w:rPr>
              <w:t>Streptococcus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pneumoniae</w:t>
            </w:r>
            <w:proofErr w:type="spellEnd"/>
          </w:p>
        </w:tc>
      </w:tr>
      <w:tr w:rsidR="0051145D" w14:paraId="12D5962A" w14:textId="77777777" w:rsidTr="0051145D">
        <w:tc>
          <w:tcPr>
            <w:tcW w:w="9576" w:type="dxa"/>
          </w:tcPr>
          <w:p w14:paraId="6C2A023D" w14:textId="77777777" w:rsidR="0051145D" w:rsidRDefault="0051145D" w:rsidP="0051145D">
            <w:r>
              <w:rPr>
                <w:u w:val="single"/>
                <w:lang w:eastAsia="bg-BG"/>
              </w:rPr>
              <w:t xml:space="preserve">Грам-отрицателни </w:t>
            </w:r>
            <w:proofErr w:type="spellStart"/>
            <w:r>
              <w:rPr>
                <w:u w:val="single"/>
                <w:lang w:eastAsia="bg-BG"/>
              </w:rPr>
              <w:t>аероби</w:t>
            </w:r>
            <w:proofErr w:type="spellEnd"/>
            <w:r>
              <w:rPr>
                <w:u w:val="single"/>
                <w:lang w:eastAsia="bg-BG"/>
              </w:rPr>
              <w:t>:</w:t>
            </w:r>
          </w:p>
          <w:p w14:paraId="22A4E1A9" w14:textId="77777777" w:rsidR="0051145D" w:rsidRDefault="0051145D" w:rsidP="0051145D">
            <w:proofErr w:type="spellStart"/>
            <w:r>
              <w:rPr>
                <w:i/>
                <w:iCs/>
              </w:rPr>
              <w:t>Citrobacter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freundii</w:t>
            </w:r>
            <w:proofErr w:type="spellEnd"/>
          </w:p>
          <w:p w14:paraId="383EB87A" w14:textId="77777777" w:rsidR="0051145D" w:rsidRDefault="0051145D" w:rsidP="0051145D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Enterobacter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aerogenes</w:t>
            </w:r>
            <w:proofErr w:type="spellEnd"/>
            <w:r>
              <w:rPr>
                <w:i/>
                <w:iCs/>
              </w:rPr>
              <w:t xml:space="preserve"> </w:t>
            </w:r>
          </w:p>
          <w:p w14:paraId="520F1961" w14:textId="77777777" w:rsidR="0051145D" w:rsidRDefault="0051145D" w:rsidP="0051145D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Enterobacter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cloacae</w:t>
            </w:r>
            <w:proofErr w:type="spellEnd"/>
            <w:r>
              <w:rPr>
                <w:i/>
                <w:iCs/>
              </w:rPr>
              <w:t xml:space="preserve"> </w:t>
            </w:r>
          </w:p>
          <w:p w14:paraId="3EBF6C0B" w14:textId="77777777" w:rsidR="0051145D" w:rsidRDefault="0051145D" w:rsidP="0051145D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Escherichia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coli</w:t>
            </w:r>
            <w:proofErr w:type="spellEnd"/>
            <w:r>
              <w:rPr>
                <w:i/>
                <w:iCs/>
              </w:rPr>
              <w:t xml:space="preserve"> </w:t>
            </w:r>
          </w:p>
          <w:p w14:paraId="3ED4AF20" w14:textId="77777777" w:rsidR="0051145D" w:rsidRDefault="0051145D" w:rsidP="0051145D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Klebsiella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pneumoniae</w:t>
            </w:r>
            <w:proofErr w:type="spellEnd"/>
            <w:r>
              <w:rPr>
                <w:i/>
                <w:iCs/>
              </w:rPr>
              <w:t xml:space="preserve"> </w:t>
            </w:r>
          </w:p>
          <w:p w14:paraId="2A71E1D8" w14:textId="50A0AB33" w:rsidR="0051145D" w:rsidRDefault="0051145D" w:rsidP="0051145D">
            <w:proofErr w:type="spellStart"/>
            <w:r>
              <w:rPr>
                <w:i/>
                <w:iCs/>
              </w:rPr>
              <w:t>Proteus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mirabilis</w:t>
            </w:r>
            <w:proofErr w:type="spellEnd"/>
          </w:p>
          <w:p w14:paraId="6DF1DFF3" w14:textId="77777777" w:rsidR="0051145D" w:rsidRDefault="0051145D" w:rsidP="0051145D">
            <w:proofErr w:type="spellStart"/>
            <w:r>
              <w:rPr>
                <w:i/>
                <w:iCs/>
              </w:rPr>
              <w:t>Proteus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spp</w:t>
            </w:r>
            <w:proofErr w:type="spellEnd"/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lang w:eastAsia="bg-BG"/>
              </w:rPr>
              <w:t xml:space="preserve">(други освен </w:t>
            </w:r>
            <w:r>
              <w:rPr>
                <w:i/>
                <w:iCs/>
              </w:rPr>
              <w:t xml:space="preserve">P </w:t>
            </w:r>
            <w:proofErr w:type="spellStart"/>
            <w:r>
              <w:rPr>
                <w:i/>
                <w:iCs/>
              </w:rPr>
              <w:t>vulgaris</w:t>
            </w:r>
            <w:proofErr w:type="spellEnd"/>
            <w:r>
              <w:rPr>
                <w:i/>
                <w:iCs/>
              </w:rPr>
              <w:t>)</w:t>
            </w:r>
          </w:p>
          <w:p w14:paraId="440BC6C7" w14:textId="73296E3A" w:rsidR="0051145D" w:rsidRDefault="0051145D" w:rsidP="0051145D">
            <w:proofErr w:type="spellStart"/>
            <w:r>
              <w:rPr>
                <w:i/>
                <w:iCs/>
              </w:rPr>
              <w:t>Providencia</w:t>
            </w:r>
            <w:proofErr w:type="spellEnd"/>
            <w:r>
              <w:t xml:space="preserve"> </w:t>
            </w:r>
            <w:proofErr w:type="spellStart"/>
            <w:r>
              <w:t>spp</w:t>
            </w:r>
            <w:proofErr w:type="spellEnd"/>
            <w:r>
              <w:t>.</w:t>
            </w:r>
          </w:p>
        </w:tc>
      </w:tr>
      <w:tr w:rsidR="0051145D" w14:paraId="271FBF5E" w14:textId="77777777" w:rsidTr="0051145D">
        <w:tc>
          <w:tcPr>
            <w:tcW w:w="9576" w:type="dxa"/>
          </w:tcPr>
          <w:p w14:paraId="17769824" w14:textId="77777777" w:rsidR="0051145D" w:rsidRDefault="0051145D" w:rsidP="0051145D">
            <w:r>
              <w:rPr>
                <w:u w:val="single"/>
                <w:lang w:eastAsia="bg-BG"/>
              </w:rPr>
              <w:t xml:space="preserve">Грам-положителни </w:t>
            </w:r>
            <w:proofErr w:type="spellStart"/>
            <w:r>
              <w:rPr>
                <w:u w:val="single"/>
                <w:lang w:eastAsia="bg-BG"/>
              </w:rPr>
              <w:t>аероби</w:t>
            </w:r>
            <w:proofErr w:type="spellEnd"/>
            <w:r>
              <w:rPr>
                <w:u w:val="single"/>
                <w:lang w:eastAsia="bg-BG"/>
              </w:rPr>
              <w:t>:</w:t>
            </w:r>
          </w:p>
          <w:p w14:paraId="3BB7544D" w14:textId="77777777" w:rsidR="0051145D" w:rsidRDefault="0051145D" w:rsidP="0051145D">
            <w:proofErr w:type="spellStart"/>
            <w:r>
              <w:rPr>
                <w:i/>
                <w:iCs/>
              </w:rPr>
              <w:t>Peptostreptococcus</w:t>
            </w:r>
            <w:proofErr w:type="spellEnd"/>
            <w:r>
              <w:t xml:space="preserve"> </w:t>
            </w:r>
            <w:proofErr w:type="spellStart"/>
            <w:r>
              <w:t>spp</w:t>
            </w:r>
            <w:proofErr w:type="spellEnd"/>
            <w:r>
              <w:t>.</w:t>
            </w:r>
          </w:p>
          <w:p w14:paraId="26EE82E1" w14:textId="0329E2CC" w:rsidR="0051145D" w:rsidRDefault="0051145D" w:rsidP="0051145D">
            <w:proofErr w:type="spellStart"/>
            <w:r>
              <w:rPr>
                <w:i/>
                <w:iCs/>
              </w:rPr>
              <w:t>Propionibacterium</w:t>
            </w:r>
            <w:proofErr w:type="spellEnd"/>
            <w:r>
              <w:t xml:space="preserve"> </w:t>
            </w:r>
            <w:proofErr w:type="spellStart"/>
            <w:r>
              <w:t>spp</w:t>
            </w:r>
            <w:proofErr w:type="spellEnd"/>
            <w:r>
              <w:t>.</w:t>
            </w:r>
          </w:p>
        </w:tc>
      </w:tr>
      <w:tr w:rsidR="0051145D" w14:paraId="17AE3BE7" w14:textId="77777777" w:rsidTr="0051145D">
        <w:tc>
          <w:tcPr>
            <w:tcW w:w="9576" w:type="dxa"/>
          </w:tcPr>
          <w:p w14:paraId="23FEDEA1" w14:textId="77777777" w:rsidR="0051145D" w:rsidRDefault="0051145D" w:rsidP="0051145D">
            <w:pPr>
              <w:rPr>
                <w:u w:val="single"/>
                <w:lang w:eastAsia="bg-BG"/>
              </w:rPr>
            </w:pPr>
            <w:r>
              <w:rPr>
                <w:u w:val="single"/>
                <w:lang w:eastAsia="bg-BG"/>
              </w:rPr>
              <w:t xml:space="preserve">Грам-отрицателни </w:t>
            </w:r>
            <w:proofErr w:type="spellStart"/>
            <w:r>
              <w:rPr>
                <w:u w:val="single"/>
                <w:lang w:eastAsia="bg-BG"/>
              </w:rPr>
              <w:t>анаероби</w:t>
            </w:r>
            <w:proofErr w:type="spellEnd"/>
            <w:r>
              <w:rPr>
                <w:u w:val="single"/>
                <w:lang w:eastAsia="bg-BG"/>
              </w:rPr>
              <w:t xml:space="preserve">: </w:t>
            </w:r>
          </w:p>
          <w:p w14:paraId="78EE50E5" w14:textId="16891532" w:rsidR="0051145D" w:rsidRDefault="0051145D" w:rsidP="0051145D">
            <w:proofErr w:type="spellStart"/>
            <w:r>
              <w:rPr>
                <w:i/>
                <w:iCs/>
              </w:rPr>
              <w:t>Fusobacteriu</w:t>
            </w:r>
            <w:proofErr w:type="spellEnd"/>
            <w:r>
              <w:t xml:space="preserve"> </w:t>
            </w:r>
            <w:proofErr w:type="spellStart"/>
            <w:r>
              <w:t>spp</w:t>
            </w:r>
            <w:proofErr w:type="spellEnd"/>
            <w:r>
              <w:t>.</w:t>
            </w:r>
          </w:p>
          <w:p w14:paraId="07FD3385" w14:textId="69A26883" w:rsidR="0051145D" w:rsidRDefault="0051145D" w:rsidP="0051145D">
            <w:proofErr w:type="spellStart"/>
            <w:r>
              <w:rPr>
                <w:i/>
                <w:iCs/>
              </w:rPr>
              <w:t>Bacteroides</w:t>
            </w:r>
            <w:proofErr w:type="spellEnd"/>
            <w:r>
              <w:t xml:space="preserve"> </w:t>
            </w:r>
            <w:proofErr w:type="spellStart"/>
            <w:r>
              <w:t>spp</w:t>
            </w:r>
            <w:proofErr w:type="spellEnd"/>
            <w:r>
              <w:t>.</w:t>
            </w:r>
          </w:p>
        </w:tc>
      </w:tr>
      <w:tr w:rsidR="0051145D" w14:paraId="4048ED61" w14:textId="77777777" w:rsidTr="0051145D">
        <w:tc>
          <w:tcPr>
            <w:tcW w:w="9576" w:type="dxa"/>
          </w:tcPr>
          <w:p w14:paraId="123CC471" w14:textId="16905C28" w:rsidR="0051145D" w:rsidRPr="0051145D" w:rsidRDefault="0051145D" w:rsidP="0051145D">
            <w:pPr>
              <w:rPr>
                <w:b/>
                <w:bCs/>
              </w:rPr>
            </w:pPr>
            <w:r w:rsidRPr="0051145D">
              <w:rPr>
                <w:b/>
                <w:bCs/>
                <w:lang w:eastAsia="bg-BG"/>
              </w:rPr>
              <w:t>Наследствено резистентни микроорганизми</w:t>
            </w:r>
          </w:p>
        </w:tc>
      </w:tr>
      <w:tr w:rsidR="0051145D" w14:paraId="2903D086" w14:textId="77777777" w:rsidTr="0051145D">
        <w:tc>
          <w:tcPr>
            <w:tcW w:w="9576" w:type="dxa"/>
          </w:tcPr>
          <w:p w14:paraId="3B2C39F5" w14:textId="77777777" w:rsidR="0051145D" w:rsidRDefault="0051145D" w:rsidP="0051145D">
            <w:r>
              <w:rPr>
                <w:u w:val="single"/>
                <w:lang w:eastAsia="bg-BG"/>
              </w:rPr>
              <w:t xml:space="preserve">Грам-положителни </w:t>
            </w:r>
            <w:proofErr w:type="spellStart"/>
            <w:r>
              <w:rPr>
                <w:u w:val="single"/>
                <w:lang w:eastAsia="bg-BG"/>
              </w:rPr>
              <w:t>аероби</w:t>
            </w:r>
            <w:proofErr w:type="spellEnd"/>
            <w:r>
              <w:rPr>
                <w:u w:val="single"/>
                <w:lang w:eastAsia="bg-BG"/>
              </w:rPr>
              <w:t>:</w:t>
            </w:r>
          </w:p>
          <w:p w14:paraId="2AB83429" w14:textId="77777777" w:rsidR="0051145D" w:rsidRDefault="0051145D" w:rsidP="0051145D">
            <w:proofErr w:type="spellStart"/>
            <w:r>
              <w:rPr>
                <w:i/>
                <w:iCs/>
              </w:rPr>
              <w:t>Enterococcus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faecalis</w:t>
            </w:r>
            <w:proofErr w:type="spellEnd"/>
          </w:p>
          <w:p w14:paraId="48C78345" w14:textId="77B5DFA9" w:rsidR="0051145D" w:rsidRDefault="0051145D" w:rsidP="0051145D">
            <w:proofErr w:type="spellStart"/>
            <w:r>
              <w:rPr>
                <w:i/>
                <w:iCs/>
              </w:rPr>
              <w:t>Enterococcus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faecium</w:t>
            </w:r>
            <w:proofErr w:type="spellEnd"/>
          </w:p>
        </w:tc>
      </w:tr>
      <w:tr w:rsidR="0051145D" w14:paraId="0C1C5B76" w14:textId="77777777" w:rsidTr="0051145D">
        <w:tc>
          <w:tcPr>
            <w:tcW w:w="9576" w:type="dxa"/>
          </w:tcPr>
          <w:p w14:paraId="17523D46" w14:textId="77777777" w:rsidR="0051145D" w:rsidRDefault="0051145D" w:rsidP="0051145D">
            <w:r>
              <w:rPr>
                <w:u w:val="single"/>
                <w:lang w:eastAsia="bg-BG"/>
              </w:rPr>
              <w:t xml:space="preserve">Грам-отрицателни </w:t>
            </w:r>
            <w:proofErr w:type="spellStart"/>
            <w:r>
              <w:rPr>
                <w:u w:val="single"/>
                <w:lang w:eastAsia="bg-BG"/>
              </w:rPr>
              <w:t>аероби</w:t>
            </w:r>
            <w:proofErr w:type="spellEnd"/>
            <w:r>
              <w:rPr>
                <w:u w:val="single"/>
                <w:lang w:eastAsia="bg-BG"/>
              </w:rPr>
              <w:t>:</w:t>
            </w:r>
          </w:p>
          <w:p w14:paraId="4905690A" w14:textId="77777777" w:rsidR="0051145D" w:rsidRDefault="0051145D" w:rsidP="0051145D">
            <w:proofErr w:type="spellStart"/>
            <w:r>
              <w:rPr>
                <w:i/>
                <w:iCs/>
              </w:rPr>
              <w:t>Acinetobacter</w:t>
            </w:r>
            <w:proofErr w:type="spellEnd"/>
            <w:r>
              <w:t xml:space="preserve"> </w:t>
            </w:r>
            <w:proofErr w:type="spellStart"/>
            <w:r>
              <w:t>spp</w:t>
            </w:r>
            <w:proofErr w:type="spellEnd"/>
            <w:r>
              <w:t xml:space="preserve">. </w:t>
            </w:r>
            <w:proofErr w:type="spellStart"/>
            <w:r>
              <w:rPr>
                <w:i/>
                <w:iCs/>
              </w:rPr>
              <w:t>Campylobacter</w:t>
            </w:r>
            <w:proofErr w:type="spellEnd"/>
            <w:r>
              <w:t xml:space="preserve"> </w:t>
            </w:r>
            <w:proofErr w:type="spellStart"/>
            <w:r>
              <w:t>spp</w:t>
            </w:r>
            <w:proofErr w:type="spellEnd"/>
            <w:r>
              <w:t xml:space="preserve">. </w:t>
            </w:r>
            <w:proofErr w:type="spellStart"/>
            <w:r>
              <w:rPr>
                <w:i/>
                <w:iCs/>
              </w:rPr>
              <w:t>Morganella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morganii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Proteus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vulgaris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Pseudomonas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aeruginosa</w:t>
            </w:r>
            <w:proofErr w:type="spellEnd"/>
          </w:p>
          <w:p w14:paraId="12637215" w14:textId="6F9B90D4" w:rsidR="0051145D" w:rsidRDefault="0051145D" w:rsidP="0051145D">
            <w:proofErr w:type="spellStart"/>
            <w:r>
              <w:rPr>
                <w:i/>
                <w:iCs/>
              </w:rPr>
              <w:t>Serratia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marcescens</w:t>
            </w:r>
            <w:proofErr w:type="spellEnd"/>
          </w:p>
        </w:tc>
      </w:tr>
      <w:tr w:rsidR="0051145D" w14:paraId="4D199A8A" w14:textId="77777777" w:rsidTr="0051145D">
        <w:tc>
          <w:tcPr>
            <w:tcW w:w="9576" w:type="dxa"/>
          </w:tcPr>
          <w:p w14:paraId="3E0FF9F2" w14:textId="77777777" w:rsidR="0051145D" w:rsidRDefault="0051145D" w:rsidP="0051145D">
            <w:r>
              <w:rPr>
                <w:u w:val="single"/>
                <w:lang w:eastAsia="bg-BG"/>
              </w:rPr>
              <w:t xml:space="preserve">Грам-отрицателни </w:t>
            </w:r>
            <w:proofErr w:type="spellStart"/>
            <w:r>
              <w:rPr>
                <w:u w:val="single"/>
                <w:lang w:eastAsia="bg-BG"/>
              </w:rPr>
              <w:t>анаероби</w:t>
            </w:r>
            <w:proofErr w:type="spellEnd"/>
            <w:r>
              <w:rPr>
                <w:u w:val="single"/>
                <w:lang w:eastAsia="bg-BG"/>
              </w:rPr>
              <w:t>:</w:t>
            </w:r>
          </w:p>
          <w:p w14:paraId="36ED6A73" w14:textId="05F4862B" w:rsidR="0051145D" w:rsidRDefault="0051145D" w:rsidP="0051145D">
            <w:proofErr w:type="spellStart"/>
            <w:r>
              <w:rPr>
                <w:i/>
                <w:iCs/>
              </w:rPr>
              <w:t>Bacteroides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fragilis</w:t>
            </w:r>
            <w:proofErr w:type="spellEnd"/>
          </w:p>
        </w:tc>
      </w:tr>
      <w:tr w:rsidR="0051145D" w14:paraId="45785FAA" w14:textId="77777777" w:rsidTr="0051145D">
        <w:tc>
          <w:tcPr>
            <w:tcW w:w="9576" w:type="dxa"/>
          </w:tcPr>
          <w:p w14:paraId="10CBDD84" w14:textId="77777777" w:rsidR="0051145D" w:rsidRDefault="0051145D" w:rsidP="0051145D">
            <w:r>
              <w:rPr>
                <w:u w:val="single"/>
                <w:lang w:eastAsia="bg-BG"/>
              </w:rPr>
              <w:t>Други:</w:t>
            </w:r>
          </w:p>
          <w:p w14:paraId="6A4A7506" w14:textId="77FDC5C6" w:rsidR="0051145D" w:rsidRDefault="0051145D" w:rsidP="0051145D">
            <w:proofErr w:type="spellStart"/>
            <w:r>
              <w:rPr>
                <w:i/>
                <w:iCs/>
              </w:rPr>
              <w:t>Chlamydia</w:t>
            </w:r>
            <w:proofErr w:type="spellEnd"/>
            <w:r>
              <w:t xml:space="preserve"> </w:t>
            </w:r>
            <w:proofErr w:type="spellStart"/>
            <w:r>
              <w:t>spp</w:t>
            </w:r>
            <w:proofErr w:type="spellEnd"/>
            <w:r>
              <w:t xml:space="preserve">. </w:t>
            </w:r>
            <w:proofErr w:type="spellStart"/>
            <w:r>
              <w:rPr>
                <w:i/>
                <w:iCs/>
              </w:rPr>
              <w:t>Mycoplasma</w:t>
            </w:r>
            <w:proofErr w:type="spellEnd"/>
            <w:r>
              <w:t xml:space="preserve"> </w:t>
            </w:r>
            <w:proofErr w:type="spellStart"/>
            <w:r>
              <w:t>spp</w:t>
            </w:r>
            <w:proofErr w:type="spellEnd"/>
            <w:r>
              <w:t xml:space="preserve">. </w:t>
            </w:r>
            <w:proofErr w:type="spellStart"/>
            <w:r>
              <w:rPr>
                <w:i/>
                <w:iCs/>
              </w:rPr>
              <w:t>Legionella</w:t>
            </w:r>
            <w:proofErr w:type="spellEnd"/>
            <w:r>
              <w:t xml:space="preserve"> </w:t>
            </w:r>
            <w:proofErr w:type="spellStart"/>
            <w:r>
              <w:t>spp</w:t>
            </w:r>
            <w:proofErr w:type="spellEnd"/>
            <w:r>
              <w:t>.</w:t>
            </w:r>
          </w:p>
        </w:tc>
      </w:tr>
    </w:tbl>
    <w:p w14:paraId="55B970A0" w14:textId="7033E63F" w:rsidR="0051145D" w:rsidRDefault="0051145D" w:rsidP="0051145D">
      <w:r>
        <w:rPr>
          <w:lang w:val="en-US"/>
        </w:rPr>
        <w:t xml:space="preserve">* </w:t>
      </w:r>
      <w:r>
        <w:t xml:space="preserve">Всички </w:t>
      </w:r>
      <w:proofErr w:type="spellStart"/>
      <w:r>
        <w:t>метицилин</w:t>
      </w:r>
      <w:proofErr w:type="spellEnd"/>
      <w:r>
        <w:t xml:space="preserve">-резистентни </w:t>
      </w:r>
      <w:r>
        <w:rPr>
          <w:i/>
          <w:iCs/>
          <w:lang w:val="en-US"/>
        </w:rPr>
        <w:t>S. aureus</w:t>
      </w:r>
      <w:r>
        <w:rPr>
          <w:lang w:val="en-US"/>
        </w:rPr>
        <w:t xml:space="preserve"> </w:t>
      </w:r>
      <w:r>
        <w:t xml:space="preserve">са резистентни на </w:t>
      </w:r>
      <w:proofErr w:type="spellStart"/>
      <w:r>
        <w:t>цефуроксим</w:t>
      </w:r>
      <w:proofErr w:type="spellEnd"/>
      <w:r>
        <w:t>.</w:t>
      </w:r>
    </w:p>
    <w:p w14:paraId="1214F893" w14:textId="77777777" w:rsidR="0051145D" w:rsidRPr="001653D6" w:rsidRDefault="0051145D" w:rsidP="0051145D"/>
    <w:p w14:paraId="0A962168" w14:textId="0BA751C9" w:rsidR="00C809A7" w:rsidRDefault="002C50EE" w:rsidP="00AA23EC">
      <w:pPr>
        <w:pStyle w:val="Heading2"/>
      </w:pPr>
      <w:r>
        <w:t xml:space="preserve">5.2. </w:t>
      </w:r>
      <w:proofErr w:type="spellStart"/>
      <w:r>
        <w:t>Фармакокинетични</w:t>
      </w:r>
      <w:proofErr w:type="spellEnd"/>
      <w:r>
        <w:t xml:space="preserve"> свойства</w:t>
      </w:r>
    </w:p>
    <w:p w14:paraId="36ACE2F6" w14:textId="77777777" w:rsidR="0051145D" w:rsidRDefault="0051145D" w:rsidP="0051145D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bg-BG"/>
        </w:rPr>
      </w:pPr>
    </w:p>
    <w:p w14:paraId="040C613E" w14:textId="3CCD9A80" w:rsidR="0051145D" w:rsidRPr="0051145D" w:rsidRDefault="0051145D" w:rsidP="0051145D">
      <w:pPr>
        <w:pStyle w:val="Heading3"/>
        <w:rPr>
          <w:rFonts w:eastAsia="Times New Roman"/>
          <w:u w:val="single"/>
        </w:rPr>
      </w:pPr>
      <w:r w:rsidRPr="0051145D">
        <w:rPr>
          <w:rFonts w:eastAsia="Times New Roman"/>
          <w:u w:val="single"/>
          <w:lang w:eastAsia="bg-BG"/>
        </w:rPr>
        <w:t>Абсорбция</w:t>
      </w:r>
    </w:p>
    <w:p w14:paraId="08E9E2F6" w14:textId="77777777" w:rsidR="0051145D" w:rsidRDefault="0051145D" w:rsidP="0051145D">
      <w:pPr>
        <w:rPr>
          <w:lang w:eastAsia="bg-BG"/>
        </w:rPr>
      </w:pPr>
    </w:p>
    <w:p w14:paraId="75E47651" w14:textId="737FCD0A" w:rsidR="0051145D" w:rsidRPr="0051145D" w:rsidRDefault="0051145D" w:rsidP="0051145D">
      <w:pPr>
        <w:rPr>
          <w:sz w:val="24"/>
          <w:szCs w:val="24"/>
        </w:rPr>
      </w:pPr>
      <w:r w:rsidRPr="0051145D">
        <w:rPr>
          <w:lang w:eastAsia="bg-BG"/>
        </w:rPr>
        <w:t xml:space="preserve">След перорален прием </w:t>
      </w:r>
      <w:proofErr w:type="spellStart"/>
      <w:r w:rsidRPr="0051145D">
        <w:rPr>
          <w:lang w:eastAsia="bg-BG"/>
        </w:rPr>
        <w:t>цефуроксим</w:t>
      </w:r>
      <w:proofErr w:type="spellEnd"/>
      <w:r w:rsidRPr="0051145D">
        <w:rPr>
          <w:lang w:eastAsia="bg-BG"/>
        </w:rPr>
        <w:t xml:space="preserve"> </w:t>
      </w:r>
      <w:proofErr w:type="spellStart"/>
      <w:r w:rsidRPr="0051145D">
        <w:rPr>
          <w:lang w:eastAsia="bg-BG"/>
        </w:rPr>
        <w:t>аксетил</w:t>
      </w:r>
      <w:proofErr w:type="spellEnd"/>
      <w:r w:rsidRPr="0051145D">
        <w:rPr>
          <w:lang w:eastAsia="bg-BG"/>
        </w:rPr>
        <w:t xml:space="preserve"> се абсорбира в </w:t>
      </w:r>
      <w:proofErr w:type="spellStart"/>
      <w:r w:rsidRPr="0051145D">
        <w:rPr>
          <w:lang w:eastAsia="bg-BG"/>
        </w:rPr>
        <w:t>гастро-интестиналния</w:t>
      </w:r>
      <w:proofErr w:type="spellEnd"/>
      <w:r w:rsidRPr="0051145D">
        <w:rPr>
          <w:lang w:eastAsia="bg-BG"/>
        </w:rPr>
        <w:t xml:space="preserve"> тракт и бързо се хидролизира в чревната </w:t>
      </w:r>
      <w:proofErr w:type="spellStart"/>
      <w:r w:rsidRPr="0051145D">
        <w:rPr>
          <w:lang w:eastAsia="bg-BG"/>
        </w:rPr>
        <w:t>мукоза</w:t>
      </w:r>
      <w:proofErr w:type="spellEnd"/>
      <w:r w:rsidRPr="0051145D">
        <w:rPr>
          <w:lang w:eastAsia="bg-BG"/>
        </w:rPr>
        <w:t xml:space="preserve"> и кръвта, като по този начин </w:t>
      </w:r>
      <w:proofErr w:type="spellStart"/>
      <w:r w:rsidRPr="0051145D">
        <w:rPr>
          <w:lang w:eastAsia="bg-BG"/>
        </w:rPr>
        <w:t>цефуросим</w:t>
      </w:r>
      <w:proofErr w:type="spellEnd"/>
      <w:r w:rsidRPr="0051145D">
        <w:rPr>
          <w:lang w:eastAsia="bg-BG"/>
        </w:rPr>
        <w:t xml:space="preserve"> поста</w:t>
      </w:r>
      <w:r>
        <w:rPr>
          <w:lang w:val="en-US" w:eastAsia="bg-BG"/>
        </w:rPr>
        <w:t xml:space="preserve"> </w:t>
      </w:r>
      <w:r w:rsidRPr="0051145D">
        <w:rPr>
          <w:lang w:eastAsia="bg-BG"/>
        </w:rPr>
        <w:t>кръвообращението. Оптимална абсорбция се постига при прием веднага след хранене.</w:t>
      </w:r>
    </w:p>
    <w:p w14:paraId="1F9B02B2" w14:textId="77777777" w:rsidR="0051145D" w:rsidRDefault="0051145D" w:rsidP="0051145D">
      <w:pPr>
        <w:rPr>
          <w:lang w:eastAsia="bg-BG"/>
        </w:rPr>
      </w:pPr>
    </w:p>
    <w:p w14:paraId="589BF351" w14:textId="0FB4A141" w:rsidR="0051145D" w:rsidRPr="0051145D" w:rsidRDefault="0051145D" w:rsidP="0051145D">
      <w:pPr>
        <w:rPr>
          <w:sz w:val="24"/>
          <w:szCs w:val="24"/>
        </w:rPr>
      </w:pPr>
      <w:r w:rsidRPr="0051145D">
        <w:rPr>
          <w:lang w:eastAsia="bg-BG"/>
        </w:rPr>
        <w:t xml:space="preserve">След приложение на </w:t>
      </w:r>
      <w:proofErr w:type="spellStart"/>
      <w:r w:rsidRPr="0051145D">
        <w:rPr>
          <w:lang w:eastAsia="bg-BG"/>
        </w:rPr>
        <w:t>цефуроксим</w:t>
      </w:r>
      <w:proofErr w:type="spellEnd"/>
      <w:r w:rsidRPr="0051145D">
        <w:rPr>
          <w:lang w:eastAsia="bg-BG"/>
        </w:rPr>
        <w:t xml:space="preserve"> </w:t>
      </w:r>
      <w:proofErr w:type="spellStart"/>
      <w:r w:rsidRPr="0051145D">
        <w:rPr>
          <w:lang w:eastAsia="bg-BG"/>
        </w:rPr>
        <w:t>аксетил</w:t>
      </w:r>
      <w:proofErr w:type="spellEnd"/>
      <w:r w:rsidRPr="0051145D">
        <w:rPr>
          <w:lang w:eastAsia="bg-BG"/>
        </w:rPr>
        <w:t xml:space="preserve"> таблетки, пикови серумни концентрации (2,9 </w:t>
      </w:r>
      <w:proofErr w:type="spellStart"/>
      <w:r w:rsidRPr="0051145D">
        <w:rPr>
          <w:lang w:val="en-US"/>
        </w:rPr>
        <w:t>μg</w:t>
      </w:r>
      <w:proofErr w:type="spellEnd"/>
      <w:r w:rsidRPr="0051145D">
        <w:rPr>
          <w:lang w:val="en-US"/>
        </w:rPr>
        <w:t xml:space="preserve">/ ml </w:t>
      </w:r>
      <w:r w:rsidRPr="0051145D">
        <w:rPr>
          <w:lang w:eastAsia="bg-BG"/>
        </w:rPr>
        <w:t xml:space="preserve">за доза от 125 </w:t>
      </w:r>
      <w:r w:rsidRPr="0051145D">
        <w:rPr>
          <w:lang w:val="en-US"/>
        </w:rPr>
        <w:t xml:space="preserve">mg, </w:t>
      </w:r>
      <w:r w:rsidRPr="0051145D">
        <w:rPr>
          <w:lang w:eastAsia="bg-BG"/>
        </w:rPr>
        <w:t xml:space="preserve">4,4 </w:t>
      </w:r>
      <w:proofErr w:type="spellStart"/>
      <w:r w:rsidRPr="0051145D">
        <w:rPr>
          <w:lang w:val="en-US"/>
        </w:rPr>
        <w:t>μg</w:t>
      </w:r>
      <w:proofErr w:type="spellEnd"/>
      <w:r w:rsidRPr="0051145D">
        <w:rPr>
          <w:lang w:val="en-US"/>
        </w:rPr>
        <w:t xml:space="preserve">/ ml </w:t>
      </w:r>
      <w:r w:rsidRPr="0051145D">
        <w:rPr>
          <w:lang w:eastAsia="bg-BG"/>
        </w:rPr>
        <w:t xml:space="preserve">за доза от 250 </w:t>
      </w:r>
      <w:r w:rsidRPr="0051145D">
        <w:rPr>
          <w:lang w:val="en-US"/>
        </w:rPr>
        <w:t xml:space="preserve">mg, </w:t>
      </w:r>
      <w:r w:rsidRPr="0051145D">
        <w:rPr>
          <w:lang w:eastAsia="bg-BG"/>
        </w:rPr>
        <w:t xml:space="preserve">7,7 </w:t>
      </w:r>
      <w:proofErr w:type="spellStart"/>
      <w:r w:rsidRPr="0051145D">
        <w:rPr>
          <w:lang w:val="en-US"/>
        </w:rPr>
        <w:t>μg</w:t>
      </w:r>
      <w:proofErr w:type="spellEnd"/>
      <w:r w:rsidRPr="0051145D">
        <w:rPr>
          <w:lang w:val="en-US"/>
        </w:rPr>
        <w:t xml:space="preserve">/ ml </w:t>
      </w:r>
      <w:r w:rsidRPr="0051145D">
        <w:rPr>
          <w:lang w:eastAsia="bg-BG"/>
        </w:rPr>
        <w:t xml:space="preserve">за доза от 500 </w:t>
      </w:r>
      <w:r w:rsidRPr="0051145D">
        <w:rPr>
          <w:lang w:val="en-US"/>
        </w:rPr>
        <w:t xml:space="preserve">mg </w:t>
      </w:r>
      <w:r w:rsidRPr="0051145D">
        <w:rPr>
          <w:lang w:eastAsia="bg-BG"/>
        </w:rPr>
        <w:t xml:space="preserve">и 13,6 </w:t>
      </w:r>
      <w:proofErr w:type="spellStart"/>
      <w:r w:rsidRPr="0051145D">
        <w:rPr>
          <w:lang w:val="en-US"/>
        </w:rPr>
        <w:t>μg</w:t>
      </w:r>
      <w:proofErr w:type="spellEnd"/>
      <w:r w:rsidRPr="0051145D">
        <w:rPr>
          <w:lang w:val="en-US"/>
        </w:rPr>
        <w:t xml:space="preserve">/ ml </w:t>
      </w:r>
      <w:r w:rsidRPr="0051145D">
        <w:rPr>
          <w:lang w:eastAsia="bg-BG"/>
        </w:rPr>
        <w:t xml:space="preserve">за доза от 1000 </w:t>
      </w:r>
      <w:r w:rsidRPr="0051145D">
        <w:rPr>
          <w:lang w:val="en-US"/>
        </w:rPr>
        <w:t xml:space="preserve">mg), </w:t>
      </w:r>
      <w:r w:rsidRPr="0051145D">
        <w:rPr>
          <w:lang w:eastAsia="bg-BG"/>
        </w:rPr>
        <w:t xml:space="preserve">се достигат приблизително 2,4 часа след приложение, когато се приема с храна. Степента на абсорбция на </w:t>
      </w:r>
      <w:proofErr w:type="spellStart"/>
      <w:r w:rsidRPr="0051145D">
        <w:rPr>
          <w:lang w:eastAsia="bg-BG"/>
        </w:rPr>
        <w:t>цефуроксим</w:t>
      </w:r>
      <w:proofErr w:type="spellEnd"/>
      <w:r w:rsidRPr="0051145D">
        <w:rPr>
          <w:lang w:eastAsia="bg-BG"/>
        </w:rPr>
        <w:t>, приет като суспензия е по-</w:t>
      </w:r>
      <w:r w:rsidRPr="0051145D">
        <w:rPr>
          <w:lang w:eastAsia="bg-BG"/>
        </w:rPr>
        <w:lastRenderedPageBreak/>
        <w:t xml:space="preserve">ниска в сравнение с таблетките, като това води до по-бавно достигане и по-ниски стойности на пикови серумни концентрации и намалена системна биоаналитичност (по-ниски с 4 до 17%). </w:t>
      </w:r>
      <w:proofErr w:type="spellStart"/>
      <w:r w:rsidRPr="0051145D">
        <w:rPr>
          <w:lang w:eastAsia="bg-BG"/>
        </w:rPr>
        <w:t>Цефуроксим</w:t>
      </w:r>
      <w:proofErr w:type="spellEnd"/>
      <w:r w:rsidRPr="0051145D">
        <w:rPr>
          <w:lang w:eastAsia="bg-BG"/>
        </w:rPr>
        <w:t xml:space="preserve"> </w:t>
      </w:r>
      <w:proofErr w:type="spellStart"/>
      <w:r w:rsidRPr="0051145D">
        <w:rPr>
          <w:lang w:eastAsia="bg-BG"/>
        </w:rPr>
        <w:t>аксетил</w:t>
      </w:r>
      <w:proofErr w:type="spellEnd"/>
      <w:r w:rsidRPr="0051145D">
        <w:rPr>
          <w:lang w:eastAsia="bg-BG"/>
        </w:rPr>
        <w:t xml:space="preserve"> перорална суспензия и </w:t>
      </w:r>
      <w:proofErr w:type="spellStart"/>
      <w:r w:rsidRPr="0051145D">
        <w:rPr>
          <w:lang w:eastAsia="bg-BG"/>
        </w:rPr>
        <w:t>цефуроксим</w:t>
      </w:r>
      <w:proofErr w:type="spellEnd"/>
      <w:r w:rsidRPr="0051145D">
        <w:rPr>
          <w:lang w:eastAsia="bg-BG"/>
        </w:rPr>
        <w:t xml:space="preserve"> </w:t>
      </w:r>
      <w:proofErr w:type="spellStart"/>
      <w:r w:rsidRPr="0051145D">
        <w:rPr>
          <w:lang w:eastAsia="bg-BG"/>
        </w:rPr>
        <w:t>аксетил</w:t>
      </w:r>
      <w:proofErr w:type="spellEnd"/>
      <w:r w:rsidRPr="0051145D">
        <w:rPr>
          <w:lang w:eastAsia="bg-BG"/>
        </w:rPr>
        <w:t xml:space="preserve"> таблетки не са биоеквивалентни при изследвания при здрави и възрастни. Следователно не са </w:t>
      </w:r>
      <w:proofErr w:type="spellStart"/>
      <w:r w:rsidRPr="0051145D">
        <w:rPr>
          <w:lang w:eastAsia="bg-BG"/>
        </w:rPr>
        <w:t>взаимозаменяеми</w:t>
      </w:r>
      <w:proofErr w:type="spellEnd"/>
      <w:r w:rsidRPr="0051145D">
        <w:rPr>
          <w:lang w:eastAsia="bg-BG"/>
        </w:rPr>
        <w:t xml:space="preserve"> на база милиграм за милиграм (вж. точка 4.2). Фармакокинетиката на </w:t>
      </w:r>
      <w:proofErr w:type="spellStart"/>
      <w:r w:rsidRPr="0051145D">
        <w:rPr>
          <w:lang w:eastAsia="bg-BG"/>
        </w:rPr>
        <w:t>цефуроксим</w:t>
      </w:r>
      <w:proofErr w:type="spellEnd"/>
      <w:r w:rsidRPr="0051145D">
        <w:rPr>
          <w:lang w:eastAsia="bg-BG"/>
        </w:rPr>
        <w:t xml:space="preserve"> е линейна при перорални дози от 125 до 1000 </w:t>
      </w:r>
      <w:r w:rsidRPr="0051145D">
        <w:rPr>
          <w:lang w:val="en-US"/>
        </w:rPr>
        <w:t xml:space="preserve">mg. </w:t>
      </w:r>
      <w:r w:rsidRPr="0051145D">
        <w:rPr>
          <w:lang w:eastAsia="bg-BG"/>
        </w:rPr>
        <w:t xml:space="preserve">Не е наблюдавано натрупване на </w:t>
      </w:r>
      <w:proofErr w:type="spellStart"/>
      <w:r w:rsidRPr="0051145D">
        <w:rPr>
          <w:lang w:eastAsia="bg-BG"/>
        </w:rPr>
        <w:t>цефуроксим</w:t>
      </w:r>
      <w:proofErr w:type="spellEnd"/>
      <w:r w:rsidRPr="0051145D">
        <w:rPr>
          <w:lang w:eastAsia="bg-BG"/>
        </w:rPr>
        <w:t xml:space="preserve"> след продължителен прием на перорални дози от 250 до 500 </w:t>
      </w:r>
      <w:r w:rsidRPr="0051145D">
        <w:rPr>
          <w:lang w:val="en-US"/>
        </w:rPr>
        <w:t>mg.</w:t>
      </w:r>
    </w:p>
    <w:p w14:paraId="450D396D" w14:textId="77777777" w:rsidR="0051145D" w:rsidRDefault="0051145D" w:rsidP="0051145D">
      <w:pPr>
        <w:rPr>
          <w:lang w:eastAsia="bg-BG"/>
        </w:rPr>
      </w:pPr>
    </w:p>
    <w:p w14:paraId="71D247DC" w14:textId="7009DA6B" w:rsidR="0051145D" w:rsidRPr="0051145D" w:rsidRDefault="0051145D" w:rsidP="0051145D">
      <w:pPr>
        <w:pStyle w:val="Heading3"/>
        <w:rPr>
          <w:rFonts w:eastAsia="Times New Roman"/>
          <w:u w:val="single"/>
          <w:lang w:eastAsia="bg-BG"/>
        </w:rPr>
      </w:pPr>
      <w:r w:rsidRPr="0051145D">
        <w:rPr>
          <w:rFonts w:eastAsia="Times New Roman"/>
          <w:u w:val="single"/>
          <w:lang w:eastAsia="bg-BG"/>
        </w:rPr>
        <w:t>Разпределение</w:t>
      </w:r>
    </w:p>
    <w:p w14:paraId="5BAF69EF" w14:textId="77777777" w:rsidR="0051145D" w:rsidRDefault="0051145D" w:rsidP="0051145D">
      <w:pPr>
        <w:rPr>
          <w:lang w:eastAsia="bg-BG"/>
        </w:rPr>
      </w:pPr>
    </w:p>
    <w:p w14:paraId="2B1BB02B" w14:textId="4930440C" w:rsidR="0051145D" w:rsidRPr="0051145D" w:rsidRDefault="0051145D" w:rsidP="0051145D">
      <w:pPr>
        <w:rPr>
          <w:sz w:val="24"/>
          <w:szCs w:val="24"/>
        </w:rPr>
      </w:pPr>
      <w:r w:rsidRPr="0051145D">
        <w:rPr>
          <w:lang w:eastAsia="bg-BG"/>
        </w:rPr>
        <w:t xml:space="preserve">В зависимост от метода на изследване се установява свързване с плазмените протеини между 33 и 50%. След приложение на еднократна доза </w:t>
      </w:r>
      <w:proofErr w:type="spellStart"/>
      <w:r w:rsidRPr="0051145D">
        <w:rPr>
          <w:lang w:eastAsia="bg-BG"/>
        </w:rPr>
        <w:t>цефуроксим</w:t>
      </w:r>
      <w:proofErr w:type="spellEnd"/>
      <w:r w:rsidRPr="0051145D">
        <w:rPr>
          <w:lang w:eastAsia="bg-BG"/>
        </w:rPr>
        <w:t xml:space="preserve"> </w:t>
      </w:r>
      <w:proofErr w:type="spellStart"/>
      <w:r w:rsidRPr="0051145D">
        <w:rPr>
          <w:lang w:eastAsia="bg-BG"/>
        </w:rPr>
        <w:t>аксетил</w:t>
      </w:r>
      <w:proofErr w:type="spellEnd"/>
      <w:r w:rsidRPr="0051145D">
        <w:rPr>
          <w:lang w:eastAsia="bg-BG"/>
        </w:rPr>
        <w:t xml:space="preserve"> от 500 </w:t>
      </w:r>
      <w:r w:rsidRPr="0051145D">
        <w:rPr>
          <w:lang w:val="en-US"/>
        </w:rPr>
        <w:t xml:space="preserve">mg </w:t>
      </w:r>
      <w:r w:rsidRPr="0051145D">
        <w:rPr>
          <w:lang w:eastAsia="bg-BG"/>
        </w:rPr>
        <w:t xml:space="preserve">таблетка при 12 здрави доброволци, привидния обем на разпределение е бил 50 1 </w:t>
      </w:r>
      <w:r w:rsidRPr="0051145D">
        <w:rPr>
          <w:lang w:val="en-US"/>
        </w:rPr>
        <w:t xml:space="preserve">(CV </w:t>
      </w:r>
      <w:r w:rsidRPr="0051145D">
        <w:rPr>
          <w:lang w:eastAsia="bg-BG"/>
        </w:rPr>
        <w:t xml:space="preserve">% = 28%). Концентрации на </w:t>
      </w:r>
      <w:proofErr w:type="spellStart"/>
      <w:r w:rsidRPr="0051145D">
        <w:rPr>
          <w:lang w:eastAsia="bg-BG"/>
        </w:rPr>
        <w:t>цефуроксим</w:t>
      </w:r>
      <w:proofErr w:type="spellEnd"/>
      <w:r w:rsidRPr="0051145D">
        <w:rPr>
          <w:lang w:eastAsia="bg-BG"/>
        </w:rPr>
        <w:t xml:space="preserve"> над минималните </w:t>
      </w:r>
      <w:proofErr w:type="spellStart"/>
      <w:r w:rsidRPr="0051145D">
        <w:rPr>
          <w:lang w:eastAsia="bg-BG"/>
        </w:rPr>
        <w:t>инхибиторни</w:t>
      </w:r>
      <w:proofErr w:type="spellEnd"/>
      <w:r w:rsidRPr="0051145D">
        <w:rPr>
          <w:lang w:eastAsia="bg-BG"/>
        </w:rPr>
        <w:t xml:space="preserve"> нива за често срещаните патогени могат да се постигнат в сливиците, синусите, бронхиалната лигавица, костите, </w:t>
      </w:r>
      <w:proofErr w:type="spellStart"/>
      <w:r w:rsidRPr="0051145D">
        <w:rPr>
          <w:lang w:eastAsia="bg-BG"/>
        </w:rPr>
        <w:t>плевралната</w:t>
      </w:r>
      <w:proofErr w:type="spellEnd"/>
      <w:r w:rsidRPr="0051145D">
        <w:rPr>
          <w:lang w:eastAsia="bg-BG"/>
        </w:rPr>
        <w:t xml:space="preserve"> течност, </w:t>
      </w:r>
      <w:proofErr w:type="spellStart"/>
      <w:r w:rsidRPr="0051145D">
        <w:rPr>
          <w:lang w:eastAsia="bg-BG"/>
        </w:rPr>
        <w:t>синовиалната</w:t>
      </w:r>
      <w:proofErr w:type="spellEnd"/>
      <w:r w:rsidRPr="0051145D">
        <w:rPr>
          <w:lang w:eastAsia="bg-BG"/>
        </w:rPr>
        <w:t xml:space="preserve"> течност, </w:t>
      </w:r>
      <w:proofErr w:type="spellStart"/>
      <w:r w:rsidRPr="0051145D">
        <w:rPr>
          <w:lang w:eastAsia="bg-BG"/>
        </w:rPr>
        <w:t>интерстициалните</w:t>
      </w:r>
      <w:proofErr w:type="spellEnd"/>
      <w:r w:rsidRPr="0051145D">
        <w:rPr>
          <w:lang w:eastAsia="bg-BG"/>
        </w:rPr>
        <w:t xml:space="preserve"> течности, жлъчката, храчките и вътреочната течност. </w:t>
      </w:r>
      <w:proofErr w:type="spellStart"/>
      <w:r w:rsidRPr="0051145D">
        <w:rPr>
          <w:lang w:eastAsia="bg-BG"/>
        </w:rPr>
        <w:t>Цефуроксим</w:t>
      </w:r>
      <w:proofErr w:type="spellEnd"/>
      <w:r w:rsidRPr="0051145D">
        <w:rPr>
          <w:lang w:eastAsia="bg-BG"/>
        </w:rPr>
        <w:t xml:space="preserve"> преминава кръвно-мозъчната бариера при възпаление на </w:t>
      </w:r>
      <w:proofErr w:type="spellStart"/>
      <w:r w:rsidRPr="0051145D">
        <w:rPr>
          <w:lang w:eastAsia="bg-BG"/>
        </w:rPr>
        <w:t>менингите</w:t>
      </w:r>
      <w:proofErr w:type="spellEnd"/>
      <w:r w:rsidRPr="0051145D">
        <w:rPr>
          <w:lang w:eastAsia="bg-BG"/>
        </w:rPr>
        <w:t>.</w:t>
      </w:r>
    </w:p>
    <w:p w14:paraId="0C8F484D" w14:textId="77777777" w:rsidR="0051145D" w:rsidRDefault="0051145D" w:rsidP="0051145D">
      <w:pPr>
        <w:rPr>
          <w:lang w:eastAsia="bg-BG"/>
        </w:rPr>
      </w:pPr>
    </w:p>
    <w:p w14:paraId="6042352A" w14:textId="218BD5A1" w:rsidR="0051145D" w:rsidRPr="0051145D" w:rsidRDefault="0051145D" w:rsidP="0051145D">
      <w:pPr>
        <w:rPr>
          <w:sz w:val="24"/>
          <w:szCs w:val="24"/>
        </w:rPr>
      </w:pPr>
      <w:r w:rsidRPr="0051145D">
        <w:rPr>
          <w:rStyle w:val="Heading3Char"/>
          <w:u w:val="single"/>
        </w:rPr>
        <w:t>Биотрансформация</w:t>
      </w:r>
    </w:p>
    <w:p w14:paraId="136C9F84" w14:textId="77777777" w:rsidR="0051145D" w:rsidRDefault="0051145D" w:rsidP="0051145D">
      <w:pPr>
        <w:rPr>
          <w:lang w:eastAsia="bg-BG"/>
        </w:rPr>
      </w:pPr>
    </w:p>
    <w:p w14:paraId="66FE7A66" w14:textId="279ED561" w:rsidR="0051145D" w:rsidRPr="0051145D" w:rsidRDefault="0051145D" w:rsidP="0051145D">
      <w:pPr>
        <w:rPr>
          <w:sz w:val="24"/>
          <w:szCs w:val="24"/>
        </w:rPr>
      </w:pPr>
      <w:proofErr w:type="spellStart"/>
      <w:r w:rsidRPr="0051145D">
        <w:rPr>
          <w:lang w:eastAsia="bg-BG"/>
        </w:rPr>
        <w:t>Цефуроксим</w:t>
      </w:r>
      <w:proofErr w:type="spellEnd"/>
      <w:r w:rsidRPr="0051145D">
        <w:rPr>
          <w:lang w:eastAsia="bg-BG"/>
        </w:rPr>
        <w:t xml:space="preserve"> не се </w:t>
      </w:r>
      <w:proofErr w:type="spellStart"/>
      <w:r w:rsidRPr="0051145D">
        <w:rPr>
          <w:lang w:eastAsia="bg-BG"/>
        </w:rPr>
        <w:t>метаболизира</w:t>
      </w:r>
      <w:proofErr w:type="spellEnd"/>
      <w:r w:rsidRPr="0051145D">
        <w:rPr>
          <w:lang w:eastAsia="bg-BG"/>
        </w:rPr>
        <w:t>.</w:t>
      </w:r>
    </w:p>
    <w:p w14:paraId="49F7BC11" w14:textId="77777777" w:rsidR="0051145D" w:rsidRDefault="0051145D" w:rsidP="0051145D">
      <w:pPr>
        <w:rPr>
          <w:lang w:eastAsia="bg-BG"/>
        </w:rPr>
      </w:pPr>
    </w:p>
    <w:p w14:paraId="4BAA9BB5" w14:textId="2760DC7F" w:rsidR="0051145D" w:rsidRPr="0051145D" w:rsidRDefault="0051145D" w:rsidP="0051145D">
      <w:pPr>
        <w:pStyle w:val="Heading3"/>
        <w:rPr>
          <w:rFonts w:eastAsia="Times New Roman"/>
          <w:u w:val="single"/>
        </w:rPr>
      </w:pPr>
      <w:r w:rsidRPr="0051145D">
        <w:rPr>
          <w:rFonts w:eastAsia="Times New Roman"/>
          <w:u w:val="single"/>
          <w:lang w:eastAsia="bg-BG"/>
        </w:rPr>
        <w:t>Елиминиране</w:t>
      </w:r>
    </w:p>
    <w:p w14:paraId="510E2B45" w14:textId="77777777" w:rsidR="0051145D" w:rsidRDefault="0051145D" w:rsidP="0051145D">
      <w:pPr>
        <w:rPr>
          <w:lang w:eastAsia="bg-BG"/>
        </w:rPr>
      </w:pPr>
    </w:p>
    <w:p w14:paraId="6B2443DF" w14:textId="0E0E2E2D" w:rsidR="0051145D" w:rsidRPr="0051145D" w:rsidRDefault="0051145D" w:rsidP="0051145D">
      <w:pPr>
        <w:rPr>
          <w:sz w:val="24"/>
          <w:szCs w:val="24"/>
        </w:rPr>
      </w:pPr>
      <w:r w:rsidRPr="0051145D">
        <w:rPr>
          <w:lang w:eastAsia="bg-BG"/>
        </w:rPr>
        <w:t xml:space="preserve">Серумният полуживот е между 1 и 1,5 часа. </w:t>
      </w:r>
      <w:proofErr w:type="spellStart"/>
      <w:r w:rsidRPr="0051145D">
        <w:rPr>
          <w:lang w:eastAsia="bg-BG"/>
        </w:rPr>
        <w:t>Цефуроксим</w:t>
      </w:r>
      <w:proofErr w:type="spellEnd"/>
      <w:r w:rsidRPr="0051145D">
        <w:rPr>
          <w:lang w:eastAsia="bg-BG"/>
        </w:rPr>
        <w:t xml:space="preserve"> се </w:t>
      </w:r>
      <w:proofErr w:type="spellStart"/>
      <w:r w:rsidRPr="0051145D">
        <w:rPr>
          <w:lang w:eastAsia="bg-BG"/>
        </w:rPr>
        <w:t>екскретира</w:t>
      </w:r>
      <w:proofErr w:type="spellEnd"/>
      <w:r w:rsidRPr="0051145D">
        <w:rPr>
          <w:lang w:eastAsia="bg-BG"/>
        </w:rPr>
        <w:t xml:space="preserve"> чрез </w:t>
      </w:r>
      <w:proofErr w:type="spellStart"/>
      <w:r w:rsidRPr="0051145D">
        <w:rPr>
          <w:lang w:eastAsia="bg-BG"/>
        </w:rPr>
        <w:t>гломерулна</w:t>
      </w:r>
      <w:proofErr w:type="spellEnd"/>
      <w:r w:rsidRPr="0051145D">
        <w:rPr>
          <w:lang w:eastAsia="bg-BG"/>
        </w:rPr>
        <w:t xml:space="preserve"> филтрация и </w:t>
      </w:r>
      <w:proofErr w:type="spellStart"/>
      <w:r w:rsidRPr="0051145D">
        <w:rPr>
          <w:lang w:eastAsia="bg-BG"/>
        </w:rPr>
        <w:t>тубулна</w:t>
      </w:r>
      <w:proofErr w:type="spellEnd"/>
      <w:r w:rsidRPr="0051145D">
        <w:rPr>
          <w:lang w:eastAsia="bg-BG"/>
        </w:rPr>
        <w:t xml:space="preserve"> секреция. Бъбречния клирънс е в граници от 125 до 148 </w:t>
      </w:r>
      <w:r w:rsidRPr="0051145D">
        <w:rPr>
          <w:lang w:val="en-US"/>
        </w:rPr>
        <w:t>ml/ min/</w:t>
      </w:r>
      <w:r w:rsidRPr="0051145D">
        <w:rPr>
          <w:lang w:eastAsia="bg-BG"/>
        </w:rPr>
        <w:t xml:space="preserve">1,73 </w:t>
      </w:r>
      <w:r w:rsidRPr="0051145D">
        <w:rPr>
          <w:lang w:val="en-US"/>
        </w:rPr>
        <w:t>m</w:t>
      </w:r>
      <w:r w:rsidRPr="0051145D">
        <w:rPr>
          <w:vertAlign w:val="superscript"/>
          <w:lang w:val="en-US"/>
        </w:rPr>
        <w:t>2</w:t>
      </w:r>
      <w:r w:rsidRPr="0051145D">
        <w:rPr>
          <w:lang w:val="en-US"/>
        </w:rPr>
        <w:t>.</w:t>
      </w:r>
    </w:p>
    <w:p w14:paraId="783FFC4B" w14:textId="77777777" w:rsidR="0051145D" w:rsidRDefault="0051145D" w:rsidP="0051145D">
      <w:pPr>
        <w:rPr>
          <w:b/>
          <w:bCs/>
          <w:i/>
          <w:iCs/>
          <w:lang w:eastAsia="bg-BG"/>
        </w:rPr>
      </w:pPr>
    </w:p>
    <w:p w14:paraId="694CA909" w14:textId="3FF6C067" w:rsidR="0051145D" w:rsidRPr="0051145D" w:rsidRDefault="0051145D" w:rsidP="0051145D">
      <w:pPr>
        <w:rPr>
          <w:sz w:val="24"/>
          <w:szCs w:val="24"/>
          <w:u w:val="single"/>
        </w:rPr>
      </w:pPr>
      <w:r w:rsidRPr="0051145D">
        <w:rPr>
          <w:b/>
          <w:bCs/>
          <w:i/>
          <w:iCs/>
          <w:u w:val="single"/>
          <w:lang w:eastAsia="bg-BG"/>
        </w:rPr>
        <w:t>Специални популации пациенти</w:t>
      </w:r>
    </w:p>
    <w:p w14:paraId="3399FCAF" w14:textId="77777777" w:rsidR="0051145D" w:rsidRDefault="0051145D" w:rsidP="0051145D">
      <w:pPr>
        <w:rPr>
          <w:lang w:eastAsia="bg-BG"/>
        </w:rPr>
      </w:pPr>
    </w:p>
    <w:p w14:paraId="3CFDB52E" w14:textId="49BEB106" w:rsidR="0051145D" w:rsidRPr="0051145D" w:rsidRDefault="0051145D" w:rsidP="0051145D">
      <w:pPr>
        <w:rPr>
          <w:sz w:val="24"/>
          <w:szCs w:val="24"/>
          <w:u w:val="single"/>
        </w:rPr>
      </w:pPr>
      <w:r w:rsidRPr="0051145D">
        <w:rPr>
          <w:u w:val="single"/>
          <w:lang w:eastAsia="bg-BG"/>
        </w:rPr>
        <w:t>Пол</w:t>
      </w:r>
    </w:p>
    <w:p w14:paraId="2E2CF70B" w14:textId="77777777" w:rsidR="0051145D" w:rsidRDefault="0051145D" w:rsidP="0051145D">
      <w:pPr>
        <w:rPr>
          <w:lang w:eastAsia="bg-BG"/>
        </w:rPr>
      </w:pPr>
    </w:p>
    <w:p w14:paraId="6C1C89AA" w14:textId="4FD15EC1" w:rsidR="0051145D" w:rsidRPr="0051145D" w:rsidRDefault="0051145D" w:rsidP="0051145D">
      <w:pPr>
        <w:rPr>
          <w:sz w:val="24"/>
          <w:szCs w:val="24"/>
        </w:rPr>
      </w:pPr>
      <w:r w:rsidRPr="0051145D">
        <w:rPr>
          <w:lang w:eastAsia="bg-BG"/>
        </w:rPr>
        <w:t xml:space="preserve">Не са наблюдавани разлики във фармакокинетиката на </w:t>
      </w:r>
      <w:proofErr w:type="spellStart"/>
      <w:r w:rsidRPr="0051145D">
        <w:rPr>
          <w:lang w:eastAsia="bg-BG"/>
        </w:rPr>
        <w:t>цефуроксим</w:t>
      </w:r>
      <w:proofErr w:type="spellEnd"/>
      <w:r w:rsidRPr="0051145D">
        <w:rPr>
          <w:lang w:eastAsia="bg-BG"/>
        </w:rPr>
        <w:t xml:space="preserve"> между мъже и жени.</w:t>
      </w:r>
    </w:p>
    <w:p w14:paraId="7D2A4AA2" w14:textId="77777777" w:rsidR="0051145D" w:rsidRDefault="0051145D" w:rsidP="0051145D">
      <w:pPr>
        <w:rPr>
          <w:lang w:eastAsia="bg-BG"/>
        </w:rPr>
      </w:pPr>
    </w:p>
    <w:p w14:paraId="1DDA2470" w14:textId="357FA6AF" w:rsidR="0051145D" w:rsidRPr="0051145D" w:rsidRDefault="0051145D" w:rsidP="0051145D">
      <w:pPr>
        <w:rPr>
          <w:sz w:val="24"/>
          <w:szCs w:val="24"/>
          <w:u w:val="single"/>
        </w:rPr>
      </w:pPr>
      <w:r w:rsidRPr="0051145D">
        <w:rPr>
          <w:u w:val="single"/>
          <w:lang w:eastAsia="bg-BG"/>
        </w:rPr>
        <w:t>Старческа възраст</w:t>
      </w:r>
    </w:p>
    <w:p w14:paraId="239615DC" w14:textId="77777777" w:rsidR="0051145D" w:rsidRDefault="0051145D" w:rsidP="0051145D">
      <w:pPr>
        <w:rPr>
          <w:lang w:eastAsia="bg-BG"/>
        </w:rPr>
      </w:pPr>
    </w:p>
    <w:p w14:paraId="54B4A2E5" w14:textId="4FA90E4A" w:rsidR="0051145D" w:rsidRPr="0051145D" w:rsidRDefault="0051145D" w:rsidP="0051145D">
      <w:pPr>
        <w:rPr>
          <w:sz w:val="24"/>
          <w:szCs w:val="24"/>
        </w:rPr>
      </w:pPr>
      <w:r w:rsidRPr="0051145D">
        <w:rPr>
          <w:lang w:eastAsia="bg-BG"/>
        </w:rPr>
        <w:t xml:space="preserve">Не са необходими специални предпазни мерки при пациенти в старческа възраст с нормална бъбречна функция при дози до обичайната максимална доза от 1 </w:t>
      </w:r>
      <w:r w:rsidRPr="0051145D">
        <w:rPr>
          <w:lang w:val="en-US"/>
        </w:rPr>
        <w:t xml:space="preserve">g </w:t>
      </w:r>
      <w:r w:rsidRPr="0051145D">
        <w:rPr>
          <w:lang w:eastAsia="bg-BG"/>
        </w:rPr>
        <w:t>дневно. Пациентите в старческа възраст е по-вероятно да имат намалена бъбречна функция и затова при тях дозата трябва да се коригира в зависимост от бъбречната функция (вж. точка 4.2).</w:t>
      </w:r>
    </w:p>
    <w:p w14:paraId="327E8C7D" w14:textId="77777777" w:rsidR="0051145D" w:rsidRDefault="0051145D" w:rsidP="0051145D">
      <w:pPr>
        <w:rPr>
          <w:lang w:eastAsia="bg-BG"/>
        </w:rPr>
      </w:pPr>
    </w:p>
    <w:p w14:paraId="30DA0C99" w14:textId="5A7E187E" w:rsidR="0051145D" w:rsidRPr="0051145D" w:rsidRDefault="0051145D" w:rsidP="0051145D">
      <w:pPr>
        <w:rPr>
          <w:sz w:val="24"/>
          <w:szCs w:val="24"/>
        </w:rPr>
      </w:pPr>
      <w:r w:rsidRPr="0051145D">
        <w:rPr>
          <w:rStyle w:val="Heading3Char"/>
          <w:u w:val="single"/>
        </w:rPr>
        <w:t>Педиатрична</w:t>
      </w:r>
      <w:r w:rsidRPr="0051145D">
        <w:rPr>
          <w:lang w:eastAsia="bg-BG"/>
        </w:rPr>
        <w:t xml:space="preserve"> </w:t>
      </w:r>
      <w:r w:rsidRPr="0051145D">
        <w:rPr>
          <w:rStyle w:val="Heading3Char"/>
          <w:u w:val="single"/>
        </w:rPr>
        <w:t>популация</w:t>
      </w:r>
    </w:p>
    <w:p w14:paraId="4CCC2B61" w14:textId="77777777" w:rsidR="0051145D" w:rsidRDefault="0051145D" w:rsidP="0051145D">
      <w:pPr>
        <w:rPr>
          <w:lang w:eastAsia="bg-BG"/>
        </w:rPr>
      </w:pPr>
    </w:p>
    <w:p w14:paraId="38222884" w14:textId="0A5728FD" w:rsidR="0051145D" w:rsidRPr="0051145D" w:rsidRDefault="0051145D" w:rsidP="0051145D">
      <w:pPr>
        <w:rPr>
          <w:sz w:val="24"/>
          <w:szCs w:val="24"/>
        </w:rPr>
      </w:pPr>
      <w:r w:rsidRPr="0051145D">
        <w:rPr>
          <w:lang w:eastAsia="bg-BG"/>
        </w:rPr>
        <w:lastRenderedPageBreak/>
        <w:t xml:space="preserve">При кърмачета на възраст &gt; 3 месеца и при деца фармакокинетиката на </w:t>
      </w:r>
      <w:proofErr w:type="spellStart"/>
      <w:r w:rsidRPr="0051145D">
        <w:rPr>
          <w:lang w:eastAsia="bg-BG"/>
        </w:rPr>
        <w:t>цефуроксим</w:t>
      </w:r>
      <w:proofErr w:type="spellEnd"/>
      <w:r w:rsidRPr="0051145D">
        <w:rPr>
          <w:lang w:eastAsia="bg-BG"/>
        </w:rPr>
        <w:t xml:space="preserve"> е сходна с тази, наблюдавана при възрастни.</w:t>
      </w:r>
    </w:p>
    <w:p w14:paraId="2CEC8FD8" w14:textId="77777777" w:rsidR="0051145D" w:rsidRDefault="0051145D" w:rsidP="0051145D">
      <w:pPr>
        <w:rPr>
          <w:lang w:eastAsia="bg-BG"/>
        </w:rPr>
      </w:pPr>
    </w:p>
    <w:p w14:paraId="11792F1D" w14:textId="18C33677" w:rsidR="0051145D" w:rsidRDefault="0051145D" w:rsidP="0051145D">
      <w:pPr>
        <w:rPr>
          <w:lang w:eastAsia="bg-BG"/>
        </w:rPr>
      </w:pPr>
      <w:r w:rsidRPr="0051145D">
        <w:rPr>
          <w:lang w:eastAsia="bg-BG"/>
        </w:rPr>
        <w:t xml:space="preserve">Няма налични данни от клинични изпитвания за приложение на </w:t>
      </w:r>
      <w:proofErr w:type="spellStart"/>
      <w:r w:rsidRPr="0051145D">
        <w:rPr>
          <w:lang w:eastAsia="bg-BG"/>
        </w:rPr>
        <w:t>цефуроксим</w:t>
      </w:r>
      <w:proofErr w:type="spellEnd"/>
      <w:r w:rsidRPr="0051145D">
        <w:rPr>
          <w:lang w:eastAsia="bg-BG"/>
        </w:rPr>
        <w:t xml:space="preserve"> </w:t>
      </w:r>
      <w:proofErr w:type="spellStart"/>
      <w:r w:rsidRPr="0051145D">
        <w:rPr>
          <w:lang w:eastAsia="bg-BG"/>
        </w:rPr>
        <w:t>аксетил</w:t>
      </w:r>
      <w:proofErr w:type="spellEnd"/>
      <w:r w:rsidRPr="0051145D">
        <w:rPr>
          <w:lang w:eastAsia="bg-BG"/>
        </w:rPr>
        <w:t xml:space="preserve"> при деца на възраст под 3 месеца.</w:t>
      </w:r>
    </w:p>
    <w:p w14:paraId="140D37DE" w14:textId="5A2501CF" w:rsidR="0051145D" w:rsidRDefault="0051145D" w:rsidP="0051145D">
      <w:pPr>
        <w:rPr>
          <w:lang w:eastAsia="bg-BG"/>
        </w:rPr>
      </w:pPr>
    </w:p>
    <w:p w14:paraId="1E4A49B4" w14:textId="77777777" w:rsidR="0051145D" w:rsidRPr="0051145D" w:rsidRDefault="0051145D" w:rsidP="0051145D">
      <w:pPr>
        <w:rPr>
          <w:sz w:val="24"/>
          <w:szCs w:val="24"/>
          <w:u w:val="single"/>
        </w:rPr>
      </w:pPr>
      <w:r w:rsidRPr="0051145D">
        <w:rPr>
          <w:u w:val="single"/>
          <w:lang w:eastAsia="bg-BG"/>
        </w:rPr>
        <w:t>Бъбречно увреждане</w:t>
      </w:r>
    </w:p>
    <w:p w14:paraId="523B9A20" w14:textId="77777777" w:rsidR="0051145D" w:rsidRDefault="0051145D" w:rsidP="0051145D">
      <w:pPr>
        <w:rPr>
          <w:lang w:eastAsia="bg-BG"/>
        </w:rPr>
      </w:pPr>
    </w:p>
    <w:p w14:paraId="58C34AF3" w14:textId="5394919E" w:rsidR="0051145D" w:rsidRDefault="0051145D" w:rsidP="0051145D">
      <w:pPr>
        <w:rPr>
          <w:lang w:eastAsia="bg-BG"/>
        </w:rPr>
      </w:pPr>
      <w:r w:rsidRPr="0051145D">
        <w:rPr>
          <w:lang w:eastAsia="bg-BG"/>
        </w:rPr>
        <w:t xml:space="preserve">Безопасността и ефикасността на </w:t>
      </w:r>
      <w:proofErr w:type="spellStart"/>
      <w:r w:rsidRPr="0051145D">
        <w:rPr>
          <w:lang w:eastAsia="bg-BG"/>
        </w:rPr>
        <w:t>цефуроксим</w:t>
      </w:r>
      <w:proofErr w:type="spellEnd"/>
      <w:r w:rsidRPr="0051145D">
        <w:rPr>
          <w:lang w:eastAsia="bg-BG"/>
        </w:rPr>
        <w:t xml:space="preserve"> </w:t>
      </w:r>
      <w:proofErr w:type="spellStart"/>
      <w:r w:rsidRPr="0051145D">
        <w:rPr>
          <w:lang w:eastAsia="bg-BG"/>
        </w:rPr>
        <w:t>аксетил</w:t>
      </w:r>
      <w:proofErr w:type="spellEnd"/>
      <w:r w:rsidRPr="0051145D">
        <w:rPr>
          <w:lang w:eastAsia="bg-BG"/>
        </w:rPr>
        <w:t xml:space="preserve"> при пациенти с бъбречна недостатъчност са установени.</w:t>
      </w:r>
    </w:p>
    <w:p w14:paraId="05A34BFE" w14:textId="64A710D5" w:rsidR="0051145D" w:rsidRDefault="0051145D" w:rsidP="0051145D">
      <w:pPr>
        <w:rPr>
          <w:lang w:eastAsia="bg-BG"/>
        </w:rPr>
      </w:pPr>
    </w:p>
    <w:p w14:paraId="3EAF44DE" w14:textId="77777777" w:rsidR="0051145D" w:rsidRPr="0051145D" w:rsidRDefault="0051145D" w:rsidP="0051145D">
      <w:pPr>
        <w:rPr>
          <w:sz w:val="24"/>
          <w:szCs w:val="24"/>
        </w:rPr>
      </w:pPr>
      <w:proofErr w:type="spellStart"/>
      <w:r w:rsidRPr="0051145D">
        <w:rPr>
          <w:lang w:eastAsia="bg-BG"/>
        </w:rPr>
        <w:t>Цефуроксим</w:t>
      </w:r>
      <w:proofErr w:type="spellEnd"/>
      <w:r w:rsidRPr="0051145D">
        <w:rPr>
          <w:lang w:eastAsia="bg-BG"/>
        </w:rPr>
        <w:t xml:space="preserve"> се </w:t>
      </w:r>
      <w:proofErr w:type="spellStart"/>
      <w:r w:rsidRPr="0051145D">
        <w:rPr>
          <w:lang w:eastAsia="bg-BG"/>
        </w:rPr>
        <w:t>екскретира</w:t>
      </w:r>
      <w:proofErr w:type="spellEnd"/>
      <w:r w:rsidRPr="0051145D">
        <w:rPr>
          <w:lang w:eastAsia="bg-BG"/>
        </w:rPr>
        <w:t xml:space="preserve"> основно чрез бъбреците. Поради това, както при всички такива антибиотици, при пациенти със значително нарушена бъбречна функция (т.е. </w:t>
      </w:r>
      <w:proofErr w:type="spellStart"/>
      <w:r w:rsidRPr="0051145D">
        <w:rPr>
          <w:lang w:eastAsia="bg-BG"/>
        </w:rPr>
        <w:t>креатининов</w:t>
      </w:r>
      <w:proofErr w:type="spellEnd"/>
      <w:r w:rsidRPr="0051145D">
        <w:rPr>
          <w:lang w:eastAsia="bg-BG"/>
        </w:rPr>
        <w:t xml:space="preserve"> клирънс &lt; 30 </w:t>
      </w:r>
      <w:r w:rsidRPr="0051145D">
        <w:rPr>
          <w:lang w:val="en-US"/>
        </w:rPr>
        <w:t xml:space="preserve">ml/min) </w:t>
      </w:r>
      <w:r w:rsidRPr="0051145D">
        <w:rPr>
          <w:lang w:eastAsia="bg-BG"/>
        </w:rPr>
        <w:t xml:space="preserve">се препоръчва дозата на </w:t>
      </w:r>
      <w:proofErr w:type="spellStart"/>
      <w:r w:rsidRPr="0051145D">
        <w:rPr>
          <w:lang w:eastAsia="bg-BG"/>
        </w:rPr>
        <w:t>цефуроксим</w:t>
      </w:r>
      <w:proofErr w:type="spellEnd"/>
      <w:r w:rsidRPr="0051145D">
        <w:rPr>
          <w:lang w:eastAsia="bg-BG"/>
        </w:rPr>
        <w:t xml:space="preserve"> да се намали, за да се компенсира забавената екскреция (вж. точка 4.2). </w:t>
      </w:r>
      <w:proofErr w:type="spellStart"/>
      <w:r w:rsidRPr="0051145D">
        <w:rPr>
          <w:lang w:eastAsia="bg-BG"/>
        </w:rPr>
        <w:t>Цефуроксим</w:t>
      </w:r>
      <w:proofErr w:type="spellEnd"/>
      <w:r w:rsidRPr="0051145D">
        <w:rPr>
          <w:lang w:eastAsia="bg-BG"/>
        </w:rPr>
        <w:t xml:space="preserve"> се елиминира ефективно чрез диализа.</w:t>
      </w:r>
    </w:p>
    <w:p w14:paraId="02A42AC8" w14:textId="77777777" w:rsidR="0051145D" w:rsidRDefault="0051145D" w:rsidP="0051145D">
      <w:pPr>
        <w:rPr>
          <w:u w:val="single"/>
          <w:lang w:eastAsia="bg-BG"/>
        </w:rPr>
      </w:pPr>
    </w:p>
    <w:p w14:paraId="64F1C8E5" w14:textId="4B25C284" w:rsidR="0051145D" w:rsidRPr="0051145D" w:rsidRDefault="0051145D" w:rsidP="0051145D">
      <w:pPr>
        <w:rPr>
          <w:sz w:val="24"/>
          <w:szCs w:val="24"/>
        </w:rPr>
      </w:pPr>
      <w:r w:rsidRPr="0051145D">
        <w:rPr>
          <w:u w:val="single"/>
          <w:lang w:eastAsia="bg-BG"/>
        </w:rPr>
        <w:t>Чернодробно увреждане</w:t>
      </w:r>
    </w:p>
    <w:p w14:paraId="03E6661B" w14:textId="77777777" w:rsidR="0051145D" w:rsidRDefault="0051145D" w:rsidP="0051145D">
      <w:pPr>
        <w:rPr>
          <w:lang w:eastAsia="bg-BG"/>
        </w:rPr>
      </w:pPr>
    </w:p>
    <w:p w14:paraId="2AB4E7A3" w14:textId="1104E589" w:rsidR="0051145D" w:rsidRPr="0051145D" w:rsidRDefault="0051145D" w:rsidP="0051145D">
      <w:pPr>
        <w:rPr>
          <w:sz w:val="24"/>
          <w:szCs w:val="24"/>
        </w:rPr>
      </w:pPr>
      <w:r w:rsidRPr="0051145D">
        <w:rPr>
          <w:lang w:eastAsia="bg-BG"/>
        </w:rPr>
        <w:t xml:space="preserve">Няма налични данни за пациенти с чернодробно увреждане. Тъй като </w:t>
      </w:r>
      <w:proofErr w:type="spellStart"/>
      <w:r w:rsidRPr="0051145D">
        <w:rPr>
          <w:lang w:eastAsia="bg-BG"/>
        </w:rPr>
        <w:t>цефуроксим</w:t>
      </w:r>
      <w:proofErr w:type="spellEnd"/>
      <w:r w:rsidRPr="0051145D">
        <w:rPr>
          <w:lang w:eastAsia="bg-BG"/>
        </w:rPr>
        <w:t xml:space="preserve"> се елиминира главно чрез бъбреците, не се очаква наличието на чернодробна дисфункция да има ефект върху фармакокинетиката на </w:t>
      </w:r>
      <w:proofErr w:type="spellStart"/>
      <w:r w:rsidRPr="0051145D">
        <w:rPr>
          <w:lang w:eastAsia="bg-BG"/>
        </w:rPr>
        <w:t>цефуроксим</w:t>
      </w:r>
      <w:proofErr w:type="spellEnd"/>
      <w:r w:rsidRPr="0051145D">
        <w:rPr>
          <w:lang w:eastAsia="bg-BG"/>
        </w:rPr>
        <w:t>.</w:t>
      </w:r>
    </w:p>
    <w:p w14:paraId="6BAAF865" w14:textId="77777777" w:rsidR="0051145D" w:rsidRDefault="0051145D" w:rsidP="0051145D">
      <w:pPr>
        <w:rPr>
          <w:u w:val="single"/>
          <w:lang w:eastAsia="bg-BG"/>
        </w:rPr>
      </w:pPr>
    </w:p>
    <w:p w14:paraId="79272803" w14:textId="6F09F28D" w:rsidR="0051145D" w:rsidRPr="0051145D" w:rsidRDefault="0051145D" w:rsidP="0051145D">
      <w:pPr>
        <w:rPr>
          <w:sz w:val="24"/>
          <w:szCs w:val="24"/>
        </w:rPr>
      </w:pPr>
      <w:r w:rsidRPr="0051145D">
        <w:rPr>
          <w:u w:val="single"/>
          <w:lang w:eastAsia="bg-BG"/>
        </w:rPr>
        <w:t>Връзка фармакокинетика/</w:t>
      </w:r>
      <w:proofErr w:type="spellStart"/>
      <w:r w:rsidRPr="0051145D">
        <w:rPr>
          <w:u w:val="single"/>
          <w:lang w:eastAsia="bg-BG"/>
        </w:rPr>
        <w:t>фармакодинамика</w:t>
      </w:r>
      <w:proofErr w:type="spellEnd"/>
    </w:p>
    <w:p w14:paraId="67786699" w14:textId="77777777" w:rsidR="0051145D" w:rsidRDefault="0051145D" w:rsidP="0051145D">
      <w:pPr>
        <w:rPr>
          <w:lang w:eastAsia="bg-BG"/>
        </w:rPr>
      </w:pPr>
    </w:p>
    <w:p w14:paraId="783DB91B" w14:textId="38E7C92A" w:rsidR="0051145D" w:rsidRPr="0051145D" w:rsidRDefault="0051145D" w:rsidP="0051145D">
      <w:pPr>
        <w:rPr>
          <w:sz w:val="24"/>
          <w:szCs w:val="24"/>
        </w:rPr>
      </w:pPr>
      <w:r w:rsidRPr="0051145D">
        <w:rPr>
          <w:lang w:eastAsia="bg-BG"/>
        </w:rPr>
        <w:t xml:space="preserve">За </w:t>
      </w:r>
      <w:proofErr w:type="spellStart"/>
      <w:r w:rsidRPr="0051145D">
        <w:rPr>
          <w:lang w:eastAsia="bg-BG"/>
        </w:rPr>
        <w:t>цефалоспорините</w:t>
      </w:r>
      <w:proofErr w:type="spellEnd"/>
      <w:r w:rsidRPr="0051145D">
        <w:rPr>
          <w:lang w:eastAsia="bg-BG"/>
        </w:rPr>
        <w:t xml:space="preserve"> е установено, че най-важният </w:t>
      </w:r>
      <w:proofErr w:type="spellStart"/>
      <w:r w:rsidRPr="0051145D">
        <w:rPr>
          <w:lang w:eastAsia="bg-BG"/>
        </w:rPr>
        <w:t>фармакокинетичен</w:t>
      </w:r>
      <w:proofErr w:type="spellEnd"/>
      <w:r w:rsidRPr="0051145D">
        <w:rPr>
          <w:lang w:eastAsia="bg-BG"/>
        </w:rPr>
        <w:t>/</w:t>
      </w:r>
      <w:proofErr w:type="spellStart"/>
      <w:r w:rsidRPr="0051145D">
        <w:rPr>
          <w:lang w:eastAsia="bg-BG"/>
        </w:rPr>
        <w:t>фармакодинамичен</w:t>
      </w:r>
      <w:proofErr w:type="spellEnd"/>
      <w:r w:rsidRPr="0051145D">
        <w:rPr>
          <w:lang w:eastAsia="bg-BG"/>
        </w:rPr>
        <w:t xml:space="preserve"> индекс, </w:t>
      </w:r>
      <w:proofErr w:type="spellStart"/>
      <w:r w:rsidRPr="0051145D">
        <w:rPr>
          <w:lang w:eastAsia="bg-BG"/>
        </w:rPr>
        <w:t>корелиращ</w:t>
      </w:r>
      <w:proofErr w:type="spellEnd"/>
      <w:r w:rsidRPr="0051145D">
        <w:rPr>
          <w:lang w:eastAsia="bg-BG"/>
        </w:rPr>
        <w:t xml:space="preserve"> с ефикасността </w:t>
      </w:r>
      <w:r w:rsidRPr="0051145D">
        <w:rPr>
          <w:i/>
          <w:iCs/>
          <w:lang w:val="en-US"/>
        </w:rPr>
        <w:t>in vivo,</w:t>
      </w:r>
      <w:r w:rsidRPr="0051145D">
        <w:rPr>
          <w:lang w:val="en-US"/>
        </w:rPr>
        <w:t xml:space="preserve"> </w:t>
      </w:r>
      <w:r w:rsidRPr="0051145D">
        <w:rPr>
          <w:lang w:eastAsia="bg-BG"/>
        </w:rPr>
        <w:t xml:space="preserve">е тази част от </w:t>
      </w:r>
      <w:proofErr w:type="spellStart"/>
      <w:r w:rsidRPr="0051145D">
        <w:rPr>
          <w:lang w:eastAsia="bg-BG"/>
        </w:rPr>
        <w:t>дозовия</w:t>
      </w:r>
      <w:proofErr w:type="spellEnd"/>
      <w:r w:rsidRPr="0051145D">
        <w:rPr>
          <w:lang w:eastAsia="bg-BG"/>
        </w:rPr>
        <w:t xml:space="preserve"> интервал (% Т), когато концентрацията на свободното вещество остава над минималната инхибираща концентрация </w:t>
      </w:r>
      <w:r w:rsidRPr="0051145D">
        <w:rPr>
          <w:lang w:val="en-US"/>
        </w:rPr>
        <w:t xml:space="preserve">(MIC) </w:t>
      </w:r>
      <w:r w:rsidRPr="0051145D">
        <w:rPr>
          <w:lang w:eastAsia="bg-BG"/>
        </w:rPr>
        <w:t xml:space="preserve">на </w:t>
      </w:r>
      <w:proofErr w:type="spellStart"/>
      <w:r w:rsidRPr="0051145D">
        <w:rPr>
          <w:lang w:eastAsia="bg-BG"/>
        </w:rPr>
        <w:t>цефуроксим</w:t>
      </w:r>
      <w:proofErr w:type="spellEnd"/>
      <w:r w:rsidRPr="0051145D">
        <w:rPr>
          <w:lang w:eastAsia="bg-BG"/>
        </w:rPr>
        <w:t xml:space="preserve"> за отделните таргетни видове (т.е. % Т &gt; </w:t>
      </w:r>
      <w:r w:rsidRPr="0051145D">
        <w:rPr>
          <w:lang w:val="en-US"/>
        </w:rPr>
        <w:t>MIC).</w:t>
      </w:r>
    </w:p>
    <w:p w14:paraId="2CF93A07" w14:textId="7111393C" w:rsidR="0051145D" w:rsidRPr="0051145D" w:rsidRDefault="0051145D" w:rsidP="0051145D">
      <w:pPr>
        <w:rPr>
          <w:lang w:val="en-US"/>
        </w:rPr>
      </w:pPr>
    </w:p>
    <w:p w14:paraId="674BE4E2" w14:textId="2F1D224E" w:rsidR="009B171C" w:rsidRDefault="002C50EE" w:rsidP="00CA1B57">
      <w:pPr>
        <w:pStyle w:val="Heading2"/>
      </w:pPr>
      <w:r>
        <w:t>5.3. Предклинични данни за безопасност</w:t>
      </w:r>
    </w:p>
    <w:p w14:paraId="7225AAB0" w14:textId="77777777" w:rsidR="0051145D" w:rsidRDefault="0051145D" w:rsidP="0051145D">
      <w:pPr>
        <w:rPr>
          <w:lang w:eastAsia="bg-BG"/>
        </w:rPr>
      </w:pPr>
    </w:p>
    <w:p w14:paraId="6C33D915" w14:textId="7530F4A1" w:rsidR="0051145D" w:rsidRPr="0051145D" w:rsidRDefault="0051145D" w:rsidP="0051145D">
      <w:pPr>
        <w:rPr>
          <w:sz w:val="24"/>
          <w:szCs w:val="24"/>
        </w:rPr>
      </w:pPr>
      <w:r w:rsidRPr="0051145D">
        <w:rPr>
          <w:lang w:eastAsia="bg-BG"/>
        </w:rPr>
        <w:t xml:space="preserve">Неклиничните данни не показват особен риск за хора на базата на фармакологични проучвания за безопасност, проучвания за токсичност при многократно прилагане, </w:t>
      </w:r>
      <w:proofErr w:type="spellStart"/>
      <w:r w:rsidRPr="0051145D">
        <w:rPr>
          <w:lang w:eastAsia="bg-BG"/>
        </w:rPr>
        <w:t>генотоксичност</w:t>
      </w:r>
      <w:proofErr w:type="spellEnd"/>
      <w:r w:rsidRPr="0051145D">
        <w:rPr>
          <w:lang w:eastAsia="bg-BG"/>
        </w:rPr>
        <w:t xml:space="preserve">, репродуктивна токсичност и токсичност за развитието. Не са провеждани проучвания за </w:t>
      </w:r>
      <w:proofErr w:type="spellStart"/>
      <w:r w:rsidRPr="0051145D">
        <w:rPr>
          <w:lang w:eastAsia="bg-BG"/>
        </w:rPr>
        <w:t>карциногенност</w:t>
      </w:r>
      <w:proofErr w:type="spellEnd"/>
      <w:r w:rsidRPr="0051145D">
        <w:rPr>
          <w:lang w:eastAsia="bg-BG"/>
        </w:rPr>
        <w:t>. Въпреки това, няма данни, които да предполагат карциногенен потенциал.</w:t>
      </w:r>
    </w:p>
    <w:p w14:paraId="1C1BE51B" w14:textId="135020DD" w:rsidR="0051145D" w:rsidRPr="0051145D" w:rsidRDefault="0051145D" w:rsidP="0051145D">
      <w:pPr>
        <w:rPr>
          <w:sz w:val="24"/>
          <w:szCs w:val="24"/>
          <w:lang w:val="en-US"/>
        </w:rPr>
      </w:pPr>
      <w:r w:rsidRPr="0051145D">
        <w:rPr>
          <w:lang w:eastAsia="bg-BG"/>
        </w:rPr>
        <w:t>Гама-</w:t>
      </w:r>
      <w:proofErr w:type="spellStart"/>
      <w:r w:rsidRPr="0051145D">
        <w:rPr>
          <w:lang w:eastAsia="bg-BG"/>
        </w:rPr>
        <w:t>глутамил</w:t>
      </w:r>
      <w:proofErr w:type="spellEnd"/>
      <w:r w:rsidRPr="0051145D">
        <w:rPr>
          <w:lang w:eastAsia="bg-BG"/>
        </w:rPr>
        <w:t xml:space="preserve"> </w:t>
      </w:r>
      <w:proofErr w:type="spellStart"/>
      <w:r w:rsidRPr="0051145D">
        <w:rPr>
          <w:lang w:eastAsia="bg-BG"/>
        </w:rPr>
        <w:t>транспептидазната</w:t>
      </w:r>
      <w:proofErr w:type="spellEnd"/>
      <w:r w:rsidRPr="0051145D">
        <w:rPr>
          <w:lang w:eastAsia="bg-BG"/>
        </w:rPr>
        <w:t xml:space="preserve"> активност в урината на плъхове се инхибира от различни </w:t>
      </w:r>
      <w:proofErr w:type="spellStart"/>
      <w:r w:rsidRPr="0051145D">
        <w:rPr>
          <w:lang w:eastAsia="bg-BG"/>
        </w:rPr>
        <w:t>цефалоспорини</w:t>
      </w:r>
      <w:proofErr w:type="spellEnd"/>
      <w:r w:rsidRPr="0051145D">
        <w:rPr>
          <w:lang w:eastAsia="bg-BG"/>
        </w:rPr>
        <w:t xml:space="preserve">, обаче нивото на инхибиране с </w:t>
      </w:r>
      <w:proofErr w:type="spellStart"/>
      <w:r w:rsidRPr="0051145D">
        <w:rPr>
          <w:lang w:eastAsia="bg-BG"/>
        </w:rPr>
        <w:t>цефуроксим</w:t>
      </w:r>
      <w:proofErr w:type="spellEnd"/>
      <w:r w:rsidRPr="0051145D">
        <w:rPr>
          <w:lang w:eastAsia="bg-BG"/>
        </w:rPr>
        <w:t xml:space="preserve"> е по-ниско. Това може да е от значение за повлияване на клиничните лабораторни тестове при хора</w:t>
      </w:r>
      <w:r>
        <w:rPr>
          <w:lang w:val="en-US" w:eastAsia="bg-BG"/>
        </w:rPr>
        <w:t>.</w:t>
      </w:r>
    </w:p>
    <w:p w14:paraId="0BB9E035" w14:textId="77777777" w:rsidR="0051145D" w:rsidRPr="0051145D" w:rsidRDefault="0051145D" w:rsidP="0051145D"/>
    <w:p w14:paraId="6940F72E" w14:textId="04098492" w:rsidR="009B171C" w:rsidRDefault="002C50EE" w:rsidP="00CA1B57">
      <w:pPr>
        <w:pStyle w:val="Heading1"/>
      </w:pPr>
      <w:r>
        <w:t>7. ПРИТЕЖАТЕЛ НА РАЗРЕШЕНИЕТО ЗА УПОТРЕБА</w:t>
      </w:r>
    </w:p>
    <w:p w14:paraId="542B1C00" w14:textId="77777777" w:rsidR="0051145D" w:rsidRDefault="0051145D" w:rsidP="0051145D">
      <w:pPr>
        <w:rPr>
          <w:lang w:eastAsia="bg-BG"/>
        </w:rPr>
      </w:pPr>
      <w:proofErr w:type="spellStart"/>
      <w:r w:rsidRPr="0051145D">
        <w:rPr>
          <w:lang w:eastAsia="bg-BG"/>
        </w:rPr>
        <w:t>Чайкафарма</w:t>
      </w:r>
      <w:proofErr w:type="spellEnd"/>
      <w:r w:rsidRPr="0051145D">
        <w:rPr>
          <w:lang w:eastAsia="bg-BG"/>
        </w:rPr>
        <w:t xml:space="preserve"> Висококачествените Лекарства АД , гр. София 1172, *Т. М. Димитров” № 1, България </w:t>
      </w:r>
    </w:p>
    <w:p w14:paraId="359B03E9" w14:textId="16F1C54F" w:rsidR="0051145D" w:rsidRDefault="0051145D" w:rsidP="0051145D">
      <w:pPr>
        <w:rPr>
          <w:lang w:eastAsia="bg-BG"/>
        </w:rPr>
      </w:pPr>
      <w:r w:rsidRPr="0051145D">
        <w:rPr>
          <w:lang w:eastAsia="bg-BG"/>
        </w:rPr>
        <w:t xml:space="preserve">тел:+359 2 962 54 54 </w:t>
      </w:r>
    </w:p>
    <w:p w14:paraId="74B512D0" w14:textId="448ECEA9" w:rsidR="0051145D" w:rsidRPr="0051145D" w:rsidRDefault="0051145D" w:rsidP="0051145D">
      <w:pPr>
        <w:rPr>
          <w:sz w:val="24"/>
          <w:szCs w:val="24"/>
        </w:rPr>
      </w:pPr>
      <w:r w:rsidRPr="0051145D">
        <w:rPr>
          <w:lang w:eastAsia="bg-BG"/>
        </w:rPr>
        <w:lastRenderedPageBreak/>
        <w:t>факс: +359 2 9603 703</w:t>
      </w:r>
    </w:p>
    <w:p w14:paraId="7C2F970C" w14:textId="14DDFD9A" w:rsidR="0051145D" w:rsidRPr="0051145D" w:rsidRDefault="0051145D" w:rsidP="0051145D">
      <w:pPr>
        <w:rPr>
          <w:sz w:val="24"/>
          <w:szCs w:val="24"/>
        </w:rPr>
      </w:pPr>
      <w:r w:rsidRPr="0051145D">
        <w:rPr>
          <w:lang w:val="en-US"/>
        </w:rPr>
        <w:t xml:space="preserve">e-mail: </w:t>
      </w:r>
      <w:hyperlink r:id="rId6" w:history="1">
        <w:r w:rsidRPr="0051145D">
          <w:rPr>
            <w:lang w:val="en-US"/>
          </w:rPr>
          <w:t>info@tchaikaphanna.com</w:t>
        </w:r>
      </w:hyperlink>
    </w:p>
    <w:p w14:paraId="04840D59" w14:textId="2356A901" w:rsidR="002C50EE" w:rsidRDefault="002C50EE" w:rsidP="002C50EE">
      <w:pPr>
        <w:pStyle w:val="Heading1"/>
      </w:pPr>
      <w:r>
        <w:t>8. НОМЕР НА РАЗРЕШЕНИЕТО ЗА УПОТРЕБА</w:t>
      </w:r>
    </w:p>
    <w:p w14:paraId="18647D88" w14:textId="77777777" w:rsidR="0051145D" w:rsidRPr="0051145D" w:rsidRDefault="0051145D" w:rsidP="0051145D">
      <w:pPr>
        <w:rPr>
          <w:sz w:val="24"/>
          <w:szCs w:val="24"/>
        </w:rPr>
      </w:pPr>
      <w:proofErr w:type="spellStart"/>
      <w:r w:rsidRPr="0051145D">
        <w:rPr>
          <w:lang w:eastAsia="bg-BG"/>
        </w:rPr>
        <w:t>Лифурокс</w:t>
      </w:r>
      <w:proofErr w:type="spellEnd"/>
      <w:r w:rsidRPr="0051145D">
        <w:rPr>
          <w:lang w:eastAsia="bg-BG"/>
        </w:rPr>
        <w:t xml:space="preserve"> 500 </w:t>
      </w:r>
      <w:r w:rsidRPr="0051145D">
        <w:rPr>
          <w:lang w:val="en-US"/>
        </w:rPr>
        <w:t xml:space="preserve">mg </w:t>
      </w:r>
      <w:r w:rsidRPr="0051145D">
        <w:rPr>
          <w:lang w:eastAsia="bg-BG"/>
        </w:rPr>
        <w:t>филмирани таблетки - № 20100089</w:t>
      </w:r>
    </w:p>
    <w:p w14:paraId="4E9E5DB5" w14:textId="77777777" w:rsidR="0051145D" w:rsidRPr="0051145D" w:rsidRDefault="0051145D" w:rsidP="0051145D"/>
    <w:p w14:paraId="5900CBF3" w14:textId="62307916" w:rsidR="002C50EE" w:rsidRDefault="002C50EE" w:rsidP="002C50EE">
      <w:pPr>
        <w:pStyle w:val="Heading1"/>
      </w:pPr>
      <w:r>
        <w:t>9. ДАТА НА ПЪРВО РАЗРЕШАВАНЕ/ПОДНОВЯВАНЕ НА РАЗРЕШЕНИЕТО ЗА УПОТРЕБА</w:t>
      </w:r>
    </w:p>
    <w:p w14:paraId="75D83991" w14:textId="77777777" w:rsidR="0051145D" w:rsidRPr="0051145D" w:rsidRDefault="0051145D" w:rsidP="0051145D">
      <w:pPr>
        <w:rPr>
          <w:sz w:val="24"/>
          <w:szCs w:val="24"/>
        </w:rPr>
      </w:pPr>
      <w:r w:rsidRPr="0051145D">
        <w:rPr>
          <w:lang w:eastAsia="bg-BG"/>
        </w:rPr>
        <w:t>Дата на първо разрешаване: 11.02.2010</w:t>
      </w:r>
    </w:p>
    <w:p w14:paraId="78A2210C" w14:textId="032558CE" w:rsidR="0051145D" w:rsidRPr="0051145D" w:rsidRDefault="0051145D" w:rsidP="0051145D">
      <w:r w:rsidRPr="0051145D">
        <w:rPr>
          <w:lang w:eastAsia="bg-BG"/>
        </w:rPr>
        <w:t>Дата на подновяване: 13.10.2016</w:t>
      </w:r>
    </w:p>
    <w:p w14:paraId="0E9D0119" w14:textId="0245C6D7" w:rsidR="002C50EE" w:rsidRDefault="002C50EE" w:rsidP="002C50EE">
      <w:pPr>
        <w:pStyle w:val="Heading1"/>
      </w:pPr>
      <w:r>
        <w:t>10. ДАТА НА АКТУАЛИЗИРАНЕ НА ТЕКСТА</w:t>
      </w:r>
    </w:p>
    <w:bookmarkEnd w:id="0"/>
    <w:p w14:paraId="423F4C2A" w14:textId="4BE97A33" w:rsidR="00C87E90" w:rsidRPr="003E3126" w:rsidRDefault="0051145D" w:rsidP="0051145D">
      <w:r>
        <w:t>Февруари, 2017</w:t>
      </w:r>
    </w:p>
    <w:sectPr w:rsidR="00C87E90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704D8"/>
    <w:multiLevelType w:val="hybridMultilevel"/>
    <w:tmpl w:val="F7FE7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8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3A7B3C"/>
    <w:multiLevelType w:val="hybridMultilevel"/>
    <w:tmpl w:val="126A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10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12"/>
  </w:num>
  <w:num w:numId="9">
    <w:abstractNumId w:val="2"/>
  </w:num>
  <w:num w:numId="10">
    <w:abstractNumId w:val="4"/>
  </w:num>
  <w:num w:numId="11">
    <w:abstractNumId w:val="24"/>
  </w:num>
  <w:num w:numId="12">
    <w:abstractNumId w:val="11"/>
  </w:num>
  <w:num w:numId="13">
    <w:abstractNumId w:val="16"/>
  </w:num>
  <w:num w:numId="14">
    <w:abstractNumId w:val="9"/>
  </w:num>
  <w:num w:numId="15">
    <w:abstractNumId w:val="23"/>
  </w:num>
  <w:num w:numId="16">
    <w:abstractNumId w:val="7"/>
  </w:num>
  <w:num w:numId="17">
    <w:abstractNumId w:val="18"/>
  </w:num>
  <w:num w:numId="18">
    <w:abstractNumId w:val="5"/>
  </w:num>
  <w:num w:numId="19">
    <w:abstractNumId w:val="21"/>
  </w:num>
  <w:num w:numId="20">
    <w:abstractNumId w:val="17"/>
  </w:num>
  <w:num w:numId="21">
    <w:abstractNumId w:val="14"/>
  </w:num>
  <w:num w:numId="22">
    <w:abstractNumId w:val="20"/>
  </w:num>
  <w:num w:numId="23">
    <w:abstractNumId w:val="15"/>
  </w:num>
  <w:num w:numId="24">
    <w:abstractNumId w:val="19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A00"/>
    <w:rsid w:val="001653D6"/>
    <w:rsid w:val="00185A46"/>
    <w:rsid w:val="001915B6"/>
    <w:rsid w:val="001D1B23"/>
    <w:rsid w:val="00272366"/>
    <w:rsid w:val="002B4DBB"/>
    <w:rsid w:val="002C50EE"/>
    <w:rsid w:val="00340A0A"/>
    <w:rsid w:val="003E3126"/>
    <w:rsid w:val="0051145D"/>
    <w:rsid w:val="00517A5B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5649D"/>
    <w:rsid w:val="00814073"/>
    <w:rsid w:val="00826F0D"/>
    <w:rsid w:val="00893B92"/>
    <w:rsid w:val="008C70A2"/>
    <w:rsid w:val="009773E4"/>
    <w:rsid w:val="009B171C"/>
    <w:rsid w:val="00A20351"/>
    <w:rsid w:val="00AA23EC"/>
    <w:rsid w:val="00AC63CE"/>
    <w:rsid w:val="00AE2107"/>
    <w:rsid w:val="00B275A8"/>
    <w:rsid w:val="00BF2600"/>
    <w:rsid w:val="00C07B84"/>
    <w:rsid w:val="00C33464"/>
    <w:rsid w:val="00C809A7"/>
    <w:rsid w:val="00C83063"/>
    <w:rsid w:val="00C87E90"/>
    <w:rsid w:val="00CA1B57"/>
    <w:rsid w:val="00D86297"/>
    <w:rsid w:val="00DD466D"/>
    <w:rsid w:val="00EB6364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chaikaphanna.com" TargetMode="External"/><Relationship Id="rId5" Type="http://schemas.openxmlformats.org/officeDocument/2006/relationships/hyperlink" Target="http://www.bd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3566</Words>
  <Characters>20327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2021-08-13T11:29:00Z</dcterms:created>
  <dcterms:modified xsi:type="dcterms:W3CDTF">2021-08-13T11:29:00Z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