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3F4DB1D3" w:rsidR="007122AD" w:rsidRDefault="00DD466D" w:rsidP="00936AD0">
      <w:pPr>
        <w:pStyle w:val="Heading1"/>
      </w:pPr>
      <w:r>
        <w:t>1.ИМЕ НА ЛЕКАРСТВЕНИЯ ПРОДУКТ</w:t>
      </w:r>
    </w:p>
    <w:p w14:paraId="22ABC7E4" w14:textId="3320404F" w:rsidR="00D5033C" w:rsidRDefault="00D5033C" w:rsidP="00D5033C"/>
    <w:p w14:paraId="783FE434" w14:textId="77777777" w:rsidR="00D5033C" w:rsidRPr="00D5033C" w:rsidRDefault="00D5033C" w:rsidP="00D5033C">
      <w:pPr>
        <w:rPr>
          <w:sz w:val="24"/>
          <w:szCs w:val="24"/>
        </w:rPr>
      </w:pPr>
      <w:r w:rsidRPr="00D5033C">
        <w:rPr>
          <w:lang w:eastAsia="bg-BG"/>
        </w:rPr>
        <w:t xml:space="preserve">Лимерал 1 </w:t>
      </w:r>
      <w:r w:rsidRPr="00D5033C">
        <w:rPr>
          <w:lang w:val="en-US"/>
        </w:rPr>
        <w:t>mg</w:t>
      </w:r>
      <w:r w:rsidRPr="00D5033C">
        <w:t xml:space="preserve"> </w:t>
      </w:r>
      <w:r w:rsidRPr="00D5033C">
        <w:rPr>
          <w:lang w:eastAsia="bg-BG"/>
        </w:rPr>
        <w:t>таблетки</w:t>
      </w:r>
    </w:p>
    <w:p w14:paraId="462297E6" w14:textId="77777777" w:rsidR="00D5033C" w:rsidRPr="00D5033C" w:rsidRDefault="00D5033C" w:rsidP="00D5033C">
      <w:pPr>
        <w:rPr>
          <w:sz w:val="24"/>
          <w:szCs w:val="24"/>
        </w:rPr>
      </w:pPr>
      <w:proofErr w:type="spellStart"/>
      <w:r w:rsidRPr="00D5033C">
        <w:rPr>
          <w:lang w:val="en-US"/>
        </w:rPr>
        <w:t>Limeral</w:t>
      </w:r>
      <w:proofErr w:type="spellEnd"/>
      <w:r w:rsidRPr="00D5033C">
        <w:t xml:space="preserve"> </w:t>
      </w:r>
      <w:r w:rsidRPr="00D5033C">
        <w:rPr>
          <w:lang w:val="en-US"/>
        </w:rPr>
        <w:t>mg</w:t>
      </w:r>
      <w:r w:rsidRPr="00D5033C">
        <w:t xml:space="preserve"> </w:t>
      </w:r>
      <w:r w:rsidRPr="00D5033C">
        <w:rPr>
          <w:lang w:val="en-US"/>
        </w:rPr>
        <w:t>tablets</w:t>
      </w:r>
    </w:p>
    <w:p w14:paraId="428D967E" w14:textId="77777777" w:rsidR="00D5033C" w:rsidRDefault="00D5033C" w:rsidP="00D5033C">
      <w:pPr>
        <w:rPr>
          <w:lang w:eastAsia="bg-BG"/>
        </w:rPr>
      </w:pPr>
    </w:p>
    <w:p w14:paraId="382A39E2" w14:textId="10986CAB" w:rsidR="00D5033C" w:rsidRPr="00D5033C" w:rsidRDefault="00D5033C" w:rsidP="00D5033C">
      <w:pPr>
        <w:rPr>
          <w:sz w:val="24"/>
          <w:szCs w:val="24"/>
        </w:rPr>
      </w:pPr>
      <w:r w:rsidRPr="00D5033C">
        <w:rPr>
          <w:lang w:eastAsia="bg-BG"/>
        </w:rPr>
        <w:t xml:space="preserve">Лимерал 2 </w:t>
      </w:r>
      <w:r w:rsidRPr="00D5033C">
        <w:rPr>
          <w:lang w:val="en-US"/>
        </w:rPr>
        <w:t>mg</w:t>
      </w:r>
      <w:r w:rsidRPr="00D5033C">
        <w:t xml:space="preserve"> </w:t>
      </w:r>
      <w:r w:rsidRPr="00D5033C">
        <w:rPr>
          <w:lang w:eastAsia="bg-BG"/>
        </w:rPr>
        <w:t>таблетки</w:t>
      </w:r>
    </w:p>
    <w:p w14:paraId="46FB5916" w14:textId="77777777" w:rsidR="00D5033C" w:rsidRPr="00D5033C" w:rsidRDefault="00D5033C" w:rsidP="00D5033C">
      <w:pPr>
        <w:rPr>
          <w:sz w:val="24"/>
          <w:szCs w:val="24"/>
        </w:rPr>
      </w:pPr>
      <w:proofErr w:type="spellStart"/>
      <w:r w:rsidRPr="00D5033C">
        <w:rPr>
          <w:lang w:val="en-US"/>
        </w:rPr>
        <w:t>Limeral</w:t>
      </w:r>
      <w:proofErr w:type="spellEnd"/>
      <w:r w:rsidRPr="00D5033C">
        <w:t xml:space="preserve"> </w:t>
      </w:r>
      <w:r w:rsidRPr="00D5033C">
        <w:rPr>
          <w:lang w:eastAsia="bg-BG"/>
        </w:rPr>
        <w:t xml:space="preserve">2 </w:t>
      </w:r>
      <w:r w:rsidRPr="00D5033C">
        <w:rPr>
          <w:lang w:val="en-US"/>
        </w:rPr>
        <w:t>mg</w:t>
      </w:r>
      <w:r w:rsidRPr="00D5033C">
        <w:t xml:space="preserve"> </w:t>
      </w:r>
      <w:r w:rsidRPr="00D5033C">
        <w:rPr>
          <w:lang w:val="en-US"/>
        </w:rPr>
        <w:t>tablets</w:t>
      </w:r>
    </w:p>
    <w:p w14:paraId="0CB4D693" w14:textId="77777777" w:rsidR="00D5033C" w:rsidRDefault="00D5033C" w:rsidP="00D5033C">
      <w:pPr>
        <w:rPr>
          <w:lang w:eastAsia="bg-BG"/>
        </w:rPr>
      </w:pPr>
    </w:p>
    <w:p w14:paraId="33956D7F" w14:textId="21747B8F" w:rsidR="00D5033C" w:rsidRPr="00D5033C" w:rsidRDefault="00D5033C" w:rsidP="00D5033C">
      <w:pPr>
        <w:rPr>
          <w:sz w:val="24"/>
          <w:szCs w:val="24"/>
        </w:rPr>
      </w:pPr>
      <w:r w:rsidRPr="00D5033C">
        <w:rPr>
          <w:lang w:eastAsia="bg-BG"/>
        </w:rPr>
        <w:t xml:space="preserve">Лимерал </w:t>
      </w:r>
      <w:r w:rsidRPr="00D5033C">
        <w:t xml:space="preserve">3 </w:t>
      </w:r>
      <w:r w:rsidRPr="00D5033C">
        <w:rPr>
          <w:lang w:val="en-US"/>
        </w:rPr>
        <w:t>mg</w:t>
      </w:r>
      <w:r w:rsidRPr="00D5033C">
        <w:t xml:space="preserve"> </w:t>
      </w:r>
      <w:r w:rsidRPr="00D5033C">
        <w:rPr>
          <w:lang w:eastAsia="bg-BG"/>
        </w:rPr>
        <w:t>таблетки</w:t>
      </w:r>
    </w:p>
    <w:p w14:paraId="06966613" w14:textId="77777777" w:rsidR="00D5033C" w:rsidRPr="00D5033C" w:rsidRDefault="00D5033C" w:rsidP="00D5033C">
      <w:pPr>
        <w:rPr>
          <w:sz w:val="24"/>
          <w:szCs w:val="24"/>
        </w:rPr>
      </w:pPr>
      <w:proofErr w:type="spellStart"/>
      <w:r w:rsidRPr="00D5033C">
        <w:rPr>
          <w:lang w:val="en-US"/>
        </w:rPr>
        <w:t>Limeral</w:t>
      </w:r>
      <w:proofErr w:type="spellEnd"/>
      <w:r w:rsidRPr="00D5033C">
        <w:t xml:space="preserve"> 3 </w:t>
      </w:r>
      <w:r w:rsidRPr="00D5033C">
        <w:rPr>
          <w:lang w:val="en-US"/>
        </w:rPr>
        <w:t>mg</w:t>
      </w:r>
      <w:r w:rsidRPr="00D5033C">
        <w:t xml:space="preserve"> </w:t>
      </w:r>
      <w:r w:rsidRPr="00D5033C">
        <w:rPr>
          <w:lang w:val="en-US"/>
        </w:rPr>
        <w:t>tablets</w:t>
      </w:r>
    </w:p>
    <w:p w14:paraId="1F9E92DA" w14:textId="77777777" w:rsidR="00D5033C" w:rsidRDefault="00D5033C" w:rsidP="00D5033C">
      <w:pPr>
        <w:rPr>
          <w:lang w:eastAsia="bg-BG"/>
        </w:rPr>
      </w:pPr>
    </w:p>
    <w:p w14:paraId="52D69E93" w14:textId="031389EA" w:rsidR="00D5033C" w:rsidRPr="00D5033C" w:rsidRDefault="00D5033C" w:rsidP="00D5033C">
      <w:pPr>
        <w:rPr>
          <w:sz w:val="24"/>
          <w:szCs w:val="24"/>
        </w:rPr>
      </w:pPr>
      <w:r w:rsidRPr="00D5033C">
        <w:rPr>
          <w:lang w:eastAsia="bg-BG"/>
        </w:rPr>
        <w:t xml:space="preserve">Лимерал </w:t>
      </w:r>
      <w:r w:rsidRPr="00D5033C">
        <w:t xml:space="preserve">4 </w:t>
      </w:r>
      <w:r w:rsidRPr="00D5033C">
        <w:rPr>
          <w:lang w:val="en-US"/>
        </w:rPr>
        <w:t>mg</w:t>
      </w:r>
      <w:r w:rsidRPr="00D5033C">
        <w:t xml:space="preserve"> </w:t>
      </w:r>
      <w:r w:rsidRPr="00D5033C">
        <w:rPr>
          <w:lang w:eastAsia="bg-BG"/>
        </w:rPr>
        <w:t>таблетки</w:t>
      </w:r>
    </w:p>
    <w:p w14:paraId="0E8E45AC" w14:textId="77777777" w:rsidR="00D5033C" w:rsidRPr="00D5033C" w:rsidRDefault="00D5033C" w:rsidP="00D5033C">
      <w:pPr>
        <w:rPr>
          <w:sz w:val="24"/>
          <w:szCs w:val="24"/>
        </w:rPr>
      </w:pPr>
      <w:proofErr w:type="spellStart"/>
      <w:r w:rsidRPr="00D5033C">
        <w:rPr>
          <w:lang w:val="en-US"/>
        </w:rPr>
        <w:t>Limeral</w:t>
      </w:r>
      <w:proofErr w:type="spellEnd"/>
      <w:r w:rsidRPr="00D5033C">
        <w:t xml:space="preserve"> 4 </w:t>
      </w:r>
      <w:r w:rsidRPr="00D5033C">
        <w:rPr>
          <w:lang w:val="en-US"/>
        </w:rPr>
        <w:t>mg</w:t>
      </w:r>
      <w:r w:rsidRPr="00D5033C">
        <w:t xml:space="preserve"> </w:t>
      </w:r>
      <w:r w:rsidRPr="00D5033C">
        <w:rPr>
          <w:lang w:val="en-US"/>
        </w:rPr>
        <w:t>tablets</w:t>
      </w:r>
    </w:p>
    <w:p w14:paraId="774FDF4D" w14:textId="77777777" w:rsidR="00D5033C" w:rsidRPr="00D5033C" w:rsidRDefault="00D5033C" w:rsidP="00D5033C"/>
    <w:p w14:paraId="6920A680" w14:textId="4CD3265B" w:rsidR="00C40420" w:rsidRDefault="00DD466D" w:rsidP="004A448E">
      <w:pPr>
        <w:pStyle w:val="Heading1"/>
      </w:pPr>
      <w:r>
        <w:t>2. КАЧЕСТВЕН И КОЛИЧЕСТВЕН СЪСТАВ</w:t>
      </w:r>
    </w:p>
    <w:p w14:paraId="5B734EF1" w14:textId="71A8643D" w:rsidR="00D5033C" w:rsidRDefault="00D5033C" w:rsidP="00D5033C"/>
    <w:p w14:paraId="695CFA11"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Всяка таблетка съдържа 1 </w:t>
      </w:r>
      <w:r w:rsidRPr="00D5033C">
        <w:rPr>
          <w:rFonts w:eastAsia="Times New Roman" w:cs="Arial"/>
          <w:color w:val="000000"/>
          <w:szCs w:val="20"/>
          <w:lang w:val="en-US"/>
        </w:rPr>
        <w:t>mg</w:t>
      </w:r>
      <w:r w:rsidRPr="00D5033C">
        <w:rPr>
          <w:rFonts w:eastAsia="Times New Roman" w:cs="Arial"/>
          <w:color w:val="000000"/>
          <w:szCs w:val="20"/>
        </w:rPr>
        <w:t xml:space="preserve">, </w:t>
      </w:r>
      <w:r w:rsidRPr="00D5033C">
        <w:rPr>
          <w:rFonts w:eastAsia="Times New Roman" w:cs="Arial"/>
          <w:color w:val="000000"/>
          <w:szCs w:val="20"/>
          <w:lang w:eastAsia="bg-BG"/>
        </w:rPr>
        <w:t xml:space="preserve">2 </w:t>
      </w:r>
      <w:r w:rsidRPr="00D5033C">
        <w:rPr>
          <w:rFonts w:eastAsia="Times New Roman" w:cs="Arial"/>
          <w:color w:val="000000"/>
          <w:szCs w:val="20"/>
          <w:lang w:val="en-US"/>
        </w:rPr>
        <w:t>mg</w:t>
      </w:r>
      <w:r w:rsidRPr="00D5033C">
        <w:rPr>
          <w:rFonts w:eastAsia="Times New Roman" w:cs="Arial"/>
          <w:color w:val="000000"/>
          <w:szCs w:val="20"/>
        </w:rPr>
        <w:t xml:space="preserve">, </w:t>
      </w:r>
      <w:r w:rsidRPr="00D5033C">
        <w:rPr>
          <w:rFonts w:eastAsia="Times New Roman" w:cs="Arial"/>
          <w:color w:val="000000"/>
          <w:szCs w:val="20"/>
          <w:lang w:eastAsia="bg-BG"/>
        </w:rPr>
        <w:t xml:space="preserve">3 </w:t>
      </w:r>
      <w:r w:rsidRPr="00D5033C">
        <w:rPr>
          <w:rFonts w:eastAsia="Times New Roman" w:cs="Arial"/>
          <w:color w:val="000000"/>
          <w:szCs w:val="20"/>
          <w:lang w:val="en-US"/>
        </w:rPr>
        <w:t>mg</w:t>
      </w:r>
      <w:r w:rsidRPr="00D5033C">
        <w:rPr>
          <w:rFonts w:eastAsia="Times New Roman" w:cs="Arial"/>
          <w:color w:val="000000"/>
          <w:szCs w:val="20"/>
        </w:rPr>
        <w:t xml:space="preserve"> </w:t>
      </w:r>
      <w:r w:rsidRPr="00D5033C">
        <w:rPr>
          <w:rFonts w:eastAsia="Times New Roman" w:cs="Arial"/>
          <w:color w:val="000000"/>
          <w:szCs w:val="20"/>
          <w:lang w:eastAsia="bg-BG"/>
        </w:rPr>
        <w:t xml:space="preserve">или 4 </w:t>
      </w:r>
      <w:r w:rsidRPr="00D5033C">
        <w:rPr>
          <w:rFonts w:eastAsia="Times New Roman" w:cs="Arial"/>
          <w:color w:val="000000"/>
          <w:szCs w:val="20"/>
          <w:lang w:val="en-US"/>
        </w:rPr>
        <w:t>mg</w:t>
      </w:r>
      <w:r w:rsidRPr="00D5033C">
        <w:rPr>
          <w:rFonts w:eastAsia="Times New Roman" w:cs="Arial"/>
          <w:color w:val="000000"/>
          <w:szCs w:val="20"/>
        </w:rPr>
        <w:t xml:space="preserve"> </w:t>
      </w:r>
      <w:r w:rsidRPr="00D5033C">
        <w:rPr>
          <w:rFonts w:eastAsia="Times New Roman" w:cs="Arial"/>
          <w:color w:val="000000"/>
          <w:szCs w:val="20"/>
          <w:lang w:eastAsia="bg-BG"/>
        </w:rPr>
        <w:t xml:space="preserve">глимепирид </w:t>
      </w:r>
      <w:r w:rsidRPr="00D5033C">
        <w:rPr>
          <w:rFonts w:eastAsia="Times New Roman" w:cs="Arial"/>
          <w:color w:val="000000"/>
          <w:szCs w:val="20"/>
        </w:rPr>
        <w:t>/</w:t>
      </w:r>
      <w:r w:rsidRPr="00D5033C">
        <w:rPr>
          <w:rFonts w:eastAsia="Times New Roman" w:cs="Arial"/>
          <w:color w:val="000000"/>
          <w:szCs w:val="20"/>
          <w:lang w:val="en-US"/>
        </w:rPr>
        <w:t>glimepiride</w:t>
      </w:r>
      <w:r w:rsidRPr="00D5033C">
        <w:rPr>
          <w:rFonts w:eastAsia="Times New Roman" w:cs="Arial"/>
          <w:color w:val="000000"/>
          <w:szCs w:val="20"/>
        </w:rPr>
        <w:t>/.</w:t>
      </w:r>
    </w:p>
    <w:p w14:paraId="59BFBCD1" w14:textId="77777777" w:rsidR="00D5033C" w:rsidRPr="00D5033C" w:rsidRDefault="00D5033C" w:rsidP="00D5033C">
      <w:pPr>
        <w:spacing w:line="240" w:lineRule="auto"/>
        <w:rPr>
          <w:rFonts w:eastAsia="Times New Roman" w:cs="Arial"/>
          <w:color w:val="000000"/>
          <w:szCs w:val="20"/>
          <w:u w:val="single"/>
          <w:lang w:eastAsia="bg-BG"/>
        </w:rPr>
      </w:pPr>
    </w:p>
    <w:p w14:paraId="2EF24C66" w14:textId="1F1DEAA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u w:val="single"/>
          <w:lang w:eastAsia="bg-BG"/>
        </w:rPr>
        <w:t>Помощни вещества с известно действие</w:t>
      </w:r>
    </w:p>
    <w:p w14:paraId="20699FF3"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Всяка таблетка Лимерал 1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съдържа 70,81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лактоза монохидрат.</w:t>
      </w:r>
    </w:p>
    <w:p w14:paraId="0F29FE47"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Всяка таблетка Лимерал 2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съдържа 141,08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лактоза монохидрат.</w:t>
      </w:r>
    </w:p>
    <w:p w14:paraId="590CAAD4"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Всяка таблетка Лимерал 3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съдържа 140,71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лактоза монохидрат.</w:t>
      </w:r>
    </w:p>
    <w:p w14:paraId="56027A54"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Всяка таблетка Лимерал 4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съдържа 139,60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лактоза монохидрат.</w:t>
      </w:r>
    </w:p>
    <w:p w14:paraId="381BD743"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Таблетките от 2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съдържат също оцветители Е 102 и Е 110.</w:t>
      </w:r>
    </w:p>
    <w:p w14:paraId="641A7F8E" w14:textId="77777777" w:rsidR="00D5033C" w:rsidRPr="00D5033C" w:rsidRDefault="00D5033C" w:rsidP="00D5033C"/>
    <w:p w14:paraId="614984C4" w14:textId="13C6A96B" w:rsidR="008A6AF2" w:rsidRDefault="00DD466D" w:rsidP="002C50EE">
      <w:pPr>
        <w:pStyle w:val="Heading1"/>
      </w:pPr>
      <w:r>
        <w:t>3. ЛЕКАРСТВЕНА ФОРМА</w:t>
      </w:r>
    </w:p>
    <w:p w14:paraId="475E3940" w14:textId="04C71BC1" w:rsidR="00D5033C" w:rsidRDefault="00D5033C" w:rsidP="00D5033C"/>
    <w:p w14:paraId="734F1FB7"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Таблетка</w:t>
      </w:r>
    </w:p>
    <w:p w14:paraId="3ECABBB9" w14:textId="77777777" w:rsidR="00D5033C" w:rsidRPr="00D5033C" w:rsidRDefault="00D5033C" w:rsidP="00D5033C">
      <w:pPr>
        <w:spacing w:line="240" w:lineRule="auto"/>
        <w:rPr>
          <w:rFonts w:eastAsia="Times New Roman" w:cs="Arial"/>
          <w:color w:val="000000"/>
          <w:szCs w:val="20"/>
          <w:lang w:eastAsia="bg-BG"/>
        </w:rPr>
      </w:pPr>
    </w:p>
    <w:p w14:paraId="3D80A0FF" w14:textId="429A9173"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Лимерал 1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 розови, плоски овални таблетки 8,0 </w:t>
      </w:r>
      <w:r w:rsidRPr="00D5033C">
        <w:rPr>
          <w:rFonts w:eastAsia="Times New Roman" w:cs="Arial"/>
          <w:color w:val="000000"/>
          <w:szCs w:val="20"/>
          <w:lang w:val="en-US"/>
        </w:rPr>
        <w:t>mm</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х 4,1 </w:t>
      </w:r>
      <w:r w:rsidRPr="00D5033C">
        <w:rPr>
          <w:rFonts w:eastAsia="Times New Roman" w:cs="Arial"/>
          <w:color w:val="000000"/>
          <w:szCs w:val="20"/>
          <w:lang w:val="en-US"/>
        </w:rPr>
        <w:t>mm</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със скосени ръбове, с гравирано </w:t>
      </w:r>
      <w:r w:rsidRPr="00D5033C">
        <w:rPr>
          <w:rFonts w:eastAsia="Times New Roman" w:cs="Arial"/>
          <w:color w:val="000000"/>
          <w:szCs w:val="20"/>
          <w:lang w:val="ru-RU"/>
        </w:rPr>
        <w:t>“</w:t>
      </w:r>
      <w:r w:rsidRPr="00D5033C">
        <w:rPr>
          <w:rFonts w:eastAsia="Times New Roman" w:cs="Arial"/>
          <w:color w:val="000000"/>
          <w:szCs w:val="20"/>
          <w:lang w:val="en-US"/>
        </w:rPr>
        <w:t>G</w:t>
      </w:r>
      <w:r w:rsidRPr="00D5033C">
        <w:rPr>
          <w:rFonts w:eastAsia="Times New Roman" w:cs="Arial"/>
          <w:color w:val="000000"/>
          <w:szCs w:val="20"/>
          <w:lang w:val="ru-RU"/>
        </w:rPr>
        <w:t xml:space="preserve">” </w:t>
      </w:r>
      <w:r w:rsidRPr="00D5033C">
        <w:rPr>
          <w:rFonts w:eastAsia="Times New Roman" w:cs="Arial"/>
          <w:color w:val="000000"/>
          <w:szCs w:val="20"/>
          <w:lang w:eastAsia="bg-BG"/>
        </w:rPr>
        <w:t>от едната страна и черта от другата страна.</w:t>
      </w:r>
    </w:p>
    <w:p w14:paraId="0AAD37AC"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Лимерал 2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 зелени, плоски овални таблетки 10,1 </w:t>
      </w:r>
      <w:r w:rsidRPr="00D5033C">
        <w:rPr>
          <w:rFonts w:eastAsia="Times New Roman" w:cs="Arial"/>
          <w:color w:val="000000"/>
          <w:szCs w:val="20"/>
          <w:lang w:val="en-US"/>
        </w:rPr>
        <w:t>mm</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х 5,1 </w:t>
      </w:r>
      <w:r w:rsidRPr="00D5033C">
        <w:rPr>
          <w:rFonts w:eastAsia="Times New Roman" w:cs="Arial"/>
          <w:color w:val="000000"/>
          <w:szCs w:val="20"/>
          <w:lang w:val="en-US"/>
        </w:rPr>
        <w:t>mm</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със скосени ръбове, с гравирано </w:t>
      </w:r>
      <w:r w:rsidRPr="00D5033C">
        <w:rPr>
          <w:rFonts w:eastAsia="Times New Roman" w:cs="Arial"/>
          <w:color w:val="000000"/>
          <w:szCs w:val="20"/>
          <w:lang w:val="ru-RU"/>
        </w:rPr>
        <w:t>“</w:t>
      </w:r>
      <w:r w:rsidRPr="00D5033C">
        <w:rPr>
          <w:rFonts w:eastAsia="Times New Roman" w:cs="Arial"/>
          <w:color w:val="000000"/>
          <w:szCs w:val="20"/>
          <w:lang w:val="en-US"/>
        </w:rPr>
        <w:t>G</w:t>
      </w:r>
      <w:r w:rsidRPr="00D5033C">
        <w:rPr>
          <w:rFonts w:eastAsia="Times New Roman" w:cs="Arial"/>
          <w:color w:val="000000"/>
          <w:szCs w:val="20"/>
          <w:lang w:val="ru-RU"/>
        </w:rPr>
        <w:t xml:space="preserve">” </w:t>
      </w:r>
      <w:r w:rsidRPr="00D5033C">
        <w:rPr>
          <w:rFonts w:eastAsia="Times New Roman" w:cs="Arial"/>
          <w:color w:val="000000"/>
          <w:szCs w:val="20"/>
          <w:lang w:eastAsia="bg-BG"/>
        </w:rPr>
        <w:t>от едната страна и черта от другата страна.</w:t>
      </w:r>
    </w:p>
    <w:p w14:paraId="323D7D94"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Лимерал 3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 жълти, плоски овални таблетки 10,1 </w:t>
      </w:r>
      <w:r w:rsidRPr="00D5033C">
        <w:rPr>
          <w:rFonts w:eastAsia="Times New Roman" w:cs="Arial"/>
          <w:color w:val="000000"/>
          <w:szCs w:val="20"/>
          <w:lang w:val="en-US"/>
        </w:rPr>
        <w:t>mm</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х 5,1 </w:t>
      </w:r>
      <w:r w:rsidRPr="00D5033C">
        <w:rPr>
          <w:rFonts w:eastAsia="Times New Roman" w:cs="Arial"/>
          <w:color w:val="000000"/>
          <w:szCs w:val="20"/>
          <w:lang w:val="en-US"/>
        </w:rPr>
        <w:t>mm</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със скосени ръбове, с гравирано </w:t>
      </w:r>
      <w:r w:rsidRPr="00D5033C">
        <w:rPr>
          <w:rFonts w:eastAsia="Times New Roman" w:cs="Arial"/>
          <w:color w:val="000000"/>
          <w:szCs w:val="20"/>
          <w:lang w:val="ru-RU"/>
        </w:rPr>
        <w:t>“</w:t>
      </w:r>
      <w:r w:rsidRPr="00D5033C">
        <w:rPr>
          <w:rFonts w:eastAsia="Times New Roman" w:cs="Arial"/>
          <w:color w:val="000000"/>
          <w:szCs w:val="20"/>
          <w:lang w:val="en-US"/>
        </w:rPr>
        <w:t>G</w:t>
      </w:r>
      <w:r w:rsidRPr="00D5033C">
        <w:rPr>
          <w:rFonts w:eastAsia="Times New Roman" w:cs="Arial"/>
          <w:color w:val="000000"/>
          <w:szCs w:val="20"/>
          <w:lang w:val="ru-RU"/>
        </w:rPr>
        <w:t xml:space="preserve">” </w:t>
      </w:r>
      <w:r w:rsidRPr="00D5033C">
        <w:rPr>
          <w:rFonts w:eastAsia="Times New Roman" w:cs="Arial"/>
          <w:color w:val="000000"/>
          <w:szCs w:val="20"/>
          <w:lang w:eastAsia="bg-BG"/>
        </w:rPr>
        <w:t>от едната страна и черта от другата страна.</w:t>
      </w:r>
    </w:p>
    <w:p w14:paraId="7C07642A"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Лимерал 4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 сини, плоски овални таблетки 10,1 </w:t>
      </w:r>
      <w:r w:rsidRPr="00D5033C">
        <w:rPr>
          <w:rFonts w:eastAsia="Times New Roman" w:cs="Arial"/>
          <w:color w:val="000000"/>
          <w:szCs w:val="20"/>
          <w:lang w:val="en-US"/>
        </w:rPr>
        <w:t>mm</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х 5,1 </w:t>
      </w:r>
      <w:r w:rsidRPr="00D5033C">
        <w:rPr>
          <w:rFonts w:eastAsia="Times New Roman" w:cs="Arial"/>
          <w:color w:val="000000"/>
          <w:szCs w:val="20"/>
          <w:lang w:val="en-US"/>
        </w:rPr>
        <w:t>mm</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със скосени ръбове, с гравирано </w:t>
      </w:r>
      <w:r w:rsidRPr="00D5033C">
        <w:rPr>
          <w:rFonts w:eastAsia="Times New Roman" w:cs="Arial"/>
          <w:color w:val="000000"/>
          <w:szCs w:val="20"/>
          <w:lang w:val="ru-RU"/>
        </w:rPr>
        <w:t>“</w:t>
      </w:r>
      <w:r w:rsidRPr="00D5033C">
        <w:rPr>
          <w:rFonts w:eastAsia="Times New Roman" w:cs="Arial"/>
          <w:color w:val="000000"/>
          <w:szCs w:val="20"/>
          <w:lang w:val="en-US"/>
        </w:rPr>
        <w:t>G</w:t>
      </w:r>
      <w:r w:rsidRPr="00D5033C">
        <w:rPr>
          <w:rFonts w:eastAsia="Times New Roman" w:cs="Arial"/>
          <w:color w:val="000000"/>
          <w:szCs w:val="20"/>
          <w:lang w:val="ru-RU"/>
        </w:rPr>
        <w:t xml:space="preserve">” </w:t>
      </w:r>
      <w:r w:rsidRPr="00D5033C">
        <w:rPr>
          <w:rFonts w:eastAsia="Times New Roman" w:cs="Arial"/>
          <w:color w:val="000000"/>
          <w:szCs w:val="20"/>
          <w:lang w:eastAsia="bg-BG"/>
        </w:rPr>
        <w:t>от едната страна и черта от другата страна.</w:t>
      </w:r>
    </w:p>
    <w:p w14:paraId="658063DF" w14:textId="77777777" w:rsidR="00D5033C" w:rsidRPr="00D5033C" w:rsidRDefault="00D5033C" w:rsidP="00D5033C"/>
    <w:p w14:paraId="490FC2C4" w14:textId="0F4A4A75" w:rsidR="002C50EE" w:rsidRDefault="002C50EE" w:rsidP="002C50EE">
      <w:pPr>
        <w:pStyle w:val="Heading1"/>
      </w:pPr>
      <w:r>
        <w:t>4. КЛИНИЧНИ ДАННИ</w:t>
      </w:r>
    </w:p>
    <w:p w14:paraId="74330405" w14:textId="4A17760E" w:rsidR="007122AD" w:rsidRDefault="002C50EE" w:rsidP="00936AD0">
      <w:pPr>
        <w:pStyle w:val="Heading2"/>
      </w:pPr>
      <w:r>
        <w:t>4.1. Терапевтични показания</w:t>
      </w:r>
    </w:p>
    <w:p w14:paraId="0118C1CB" w14:textId="2DCF3FE5" w:rsidR="00D5033C" w:rsidRDefault="00D5033C" w:rsidP="00D5033C"/>
    <w:p w14:paraId="02D3020C" w14:textId="37AC55D4" w:rsidR="00D5033C" w:rsidRDefault="00D5033C" w:rsidP="00D5033C">
      <w:r>
        <w:lastRenderedPageBreak/>
        <w:t>Лимерал е показан за лечение на захарен диабет тип II, когато само диетата, физическото натоварване и понижаването на телесното тегло са недостатъчни.</w:t>
      </w:r>
    </w:p>
    <w:p w14:paraId="69658074" w14:textId="77777777" w:rsidR="00D5033C" w:rsidRPr="00D5033C" w:rsidRDefault="00D5033C" w:rsidP="00D5033C"/>
    <w:p w14:paraId="53F5B866" w14:textId="75FDC531" w:rsidR="007122AD" w:rsidRDefault="002C50EE" w:rsidP="00936AD0">
      <w:pPr>
        <w:pStyle w:val="Heading2"/>
      </w:pPr>
      <w:r>
        <w:t>4.2. Дозировка и начин на приложение</w:t>
      </w:r>
    </w:p>
    <w:p w14:paraId="2382EDF3" w14:textId="70EF5492" w:rsidR="00D5033C" w:rsidRDefault="00D5033C" w:rsidP="00D5033C"/>
    <w:p w14:paraId="5A70C69E" w14:textId="77777777" w:rsidR="00D5033C" w:rsidRPr="00D5033C" w:rsidRDefault="00D5033C" w:rsidP="00D5033C">
      <w:pPr>
        <w:pStyle w:val="Heading3"/>
        <w:rPr>
          <w:rFonts w:eastAsia="Times New Roman"/>
          <w:sz w:val="28"/>
          <w:u w:val="single"/>
        </w:rPr>
      </w:pPr>
      <w:r w:rsidRPr="00D5033C">
        <w:rPr>
          <w:rFonts w:eastAsia="Times New Roman"/>
          <w:u w:val="single"/>
          <w:lang w:eastAsia="bg-BG"/>
        </w:rPr>
        <w:t>Дозировка</w:t>
      </w:r>
    </w:p>
    <w:p w14:paraId="33809169"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Основата за успешно лечение на захарния диабет е спазване на подходяща диета, редовна физическа активност и периодичен контрол на кръвта и урината. Лечението с таблетки или инсулин не може да компенсира стойностите на кръвната захар, при неспазване на препоръчаната диета.</w:t>
      </w:r>
    </w:p>
    <w:p w14:paraId="49FBFB2C" w14:textId="77777777" w:rsidR="00D5033C" w:rsidRPr="00D5033C" w:rsidRDefault="00D5033C" w:rsidP="00D5033C">
      <w:pPr>
        <w:spacing w:line="240" w:lineRule="auto"/>
        <w:rPr>
          <w:rFonts w:eastAsia="Times New Roman" w:cs="Arial"/>
          <w:color w:val="000000"/>
          <w:szCs w:val="20"/>
          <w:lang w:eastAsia="bg-BG"/>
        </w:rPr>
      </w:pPr>
    </w:p>
    <w:p w14:paraId="66574634" w14:textId="3F01FAB6"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Дозировката се определя според резултатите от изследванията на захарта в кръвта и урината.</w:t>
      </w:r>
    </w:p>
    <w:p w14:paraId="38E747CA" w14:textId="77777777" w:rsidR="00D5033C" w:rsidRPr="00D5033C" w:rsidRDefault="00D5033C" w:rsidP="00D5033C">
      <w:pPr>
        <w:spacing w:line="240" w:lineRule="auto"/>
        <w:rPr>
          <w:rFonts w:eastAsia="Times New Roman" w:cs="Arial"/>
          <w:color w:val="000000"/>
          <w:szCs w:val="20"/>
          <w:lang w:eastAsia="bg-BG"/>
        </w:rPr>
      </w:pPr>
    </w:p>
    <w:p w14:paraId="3D2D29A8" w14:textId="62DFA5C4"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Началната доза е 1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глимепирид дневно. Ако се постигне добър контрол на кръвната захар, тази доза трябва да се използва и като поддържаща терапия.</w:t>
      </w:r>
    </w:p>
    <w:p w14:paraId="45C5E51B" w14:textId="77777777" w:rsidR="00D5033C" w:rsidRPr="00D5033C" w:rsidRDefault="00D5033C" w:rsidP="00D5033C">
      <w:pPr>
        <w:spacing w:line="240" w:lineRule="auto"/>
        <w:rPr>
          <w:rFonts w:eastAsia="Times New Roman" w:cs="Arial"/>
          <w:color w:val="000000"/>
          <w:szCs w:val="20"/>
          <w:lang w:eastAsia="bg-BG"/>
        </w:rPr>
      </w:pPr>
    </w:p>
    <w:p w14:paraId="08A3FA09" w14:textId="1BB9E654"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За различните режими на дозиране са налични подходящи концентрации.</w:t>
      </w:r>
    </w:p>
    <w:p w14:paraId="2D460C2C" w14:textId="77777777" w:rsidR="00D5033C" w:rsidRPr="00D5033C" w:rsidRDefault="00D5033C" w:rsidP="00D5033C">
      <w:pPr>
        <w:spacing w:line="240" w:lineRule="auto"/>
        <w:rPr>
          <w:rFonts w:eastAsia="Times New Roman" w:cs="Arial"/>
          <w:color w:val="000000"/>
          <w:szCs w:val="20"/>
          <w:lang w:eastAsia="bg-BG"/>
        </w:rPr>
      </w:pPr>
    </w:p>
    <w:p w14:paraId="15BBE33E" w14:textId="53F30650"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Ако контролът е незадоволителен, дозата трябва да се повишава стъпаловидно на интервал от 1 до 2 седмици, до достигане на дневна доза от 2, 3 или 4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глимепирид, съобразно степента на постигнатия кръвнозахарен контрол.</w:t>
      </w:r>
    </w:p>
    <w:p w14:paraId="077410A5" w14:textId="77777777" w:rsidR="00D5033C" w:rsidRPr="00D5033C" w:rsidRDefault="00D5033C" w:rsidP="00D5033C">
      <w:pPr>
        <w:spacing w:line="240" w:lineRule="auto"/>
        <w:rPr>
          <w:rFonts w:eastAsia="Times New Roman" w:cs="Arial"/>
          <w:color w:val="000000"/>
          <w:szCs w:val="20"/>
          <w:lang w:eastAsia="bg-BG"/>
        </w:rPr>
      </w:pPr>
    </w:p>
    <w:p w14:paraId="64098F4C" w14:textId="734DB70B"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Дози над 4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глимепирид дневно, дават по-добри резултати само в изключителни случаи.</w:t>
      </w:r>
    </w:p>
    <w:p w14:paraId="7DCE9AD1" w14:textId="77777777" w:rsidR="00D5033C" w:rsidRPr="00D5033C" w:rsidRDefault="00D5033C" w:rsidP="00D5033C">
      <w:pPr>
        <w:spacing w:line="240" w:lineRule="auto"/>
        <w:rPr>
          <w:rFonts w:eastAsia="Times New Roman" w:cs="Arial"/>
          <w:color w:val="000000"/>
          <w:szCs w:val="20"/>
          <w:lang w:eastAsia="bg-BG"/>
        </w:rPr>
      </w:pPr>
    </w:p>
    <w:p w14:paraId="5DCB4547" w14:textId="0AAF2FEF"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Максималната дневна препоръчителна доза е 6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глимепирид.</w:t>
      </w:r>
    </w:p>
    <w:p w14:paraId="451DA244" w14:textId="77777777" w:rsidR="00D5033C" w:rsidRPr="00D5033C" w:rsidRDefault="00D5033C" w:rsidP="00D5033C">
      <w:pPr>
        <w:spacing w:line="240" w:lineRule="auto"/>
        <w:rPr>
          <w:rFonts w:eastAsia="Times New Roman" w:cs="Arial"/>
          <w:color w:val="000000"/>
          <w:szCs w:val="20"/>
          <w:lang w:eastAsia="bg-BG"/>
        </w:rPr>
      </w:pPr>
    </w:p>
    <w:p w14:paraId="5A2D997F" w14:textId="7A165090"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При пациенти, при които не е постигнат добър контрол на кръвната захар с максимални дневни дози метформин, може да се започне съпътстващо лечение с глимепирид. Дозата на метформин трябва да остане същата, а лечението с глимепирид трябва да започне с ниска доза, която постепенно се повишава до постигане на желаното ниво на метаболитен контрол или до максималната допустима дневна доза. Комбинираното лечение трябва да започне под строг медицински контрол.</w:t>
      </w:r>
    </w:p>
    <w:p w14:paraId="62CEA3AA" w14:textId="77777777" w:rsidR="00D5033C" w:rsidRPr="00D5033C" w:rsidRDefault="00D5033C" w:rsidP="00D5033C">
      <w:pPr>
        <w:spacing w:line="240" w:lineRule="auto"/>
        <w:rPr>
          <w:rFonts w:eastAsia="Times New Roman" w:cs="Arial"/>
          <w:color w:val="000000"/>
          <w:szCs w:val="20"/>
          <w:lang w:eastAsia="bg-BG"/>
        </w:rPr>
      </w:pPr>
    </w:p>
    <w:p w14:paraId="22667BC6" w14:textId="1CE6F195"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Ако състоянието на пациента не бъде овладяно адекватно с максималната дневна доза глимепирид, може да се започне съпътстващо лечение с инсулин. При запазване дозата на глимепирид, инсулиновото лечение се започва с ниска доза, която постепенно се повишава до постигане на адекватен метаболитен контрол. Комбинираното лечение трябва да започне под строг медицински контрол.</w:t>
      </w:r>
    </w:p>
    <w:p w14:paraId="69ABCD98" w14:textId="77777777" w:rsidR="00D5033C" w:rsidRPr="00D5033C" w:rsidRDefault="00D5033C" w:rsidP="00D5033C">
      <w:pPr>
        <w:spacing w:line="240" w:lineRule="auto"/>
        <w:rPr>
          <w:rFonts w:eastAsia="Times New Roman" w:cs="Arial"/>
          <w:color w:val="000000"/>
          <w:szCs w:val="20"/>
          <w:lang w:eastAsia="bg-BG"/>
        </w:rPr>
      </w:pPr>
    </w:p>
    <w:p w14:paraId="50A71E37" w14:textId="2C6995FD"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Обичайно, еднократна дневна доза глимепирид е достатъчна. Препоръчително е тази доза да се приема непосредствено преди или по време на стабилна закуска, или ако няма такава, непосредствено преди или по време на първото основно хранене за деня.</w:t>
      </w:r>
    </w:p>
    <w:p w14:paraId="363F022B"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Ако бъде пропусната доза, тя не бива да се компенсира с повишаване на следващата доза. Таблетките трябва да се поглъщат цели, с малко течност.</w:t>
      </w:r>
    </w:p>
    <w:p w14:paraId="05EF176A" w14:textId="77777777" w:rsidR="00D5033C" w:rsidRPr="00D5033C" w:rsidRDefault="00D5033C" w:rsidP="00D5033C">
      <w:pPr>
        <w:spacing w:line="240" w:lineRule="auto"/>
        <w:rPr>
          <w:rFonts w:eastAsia="Times New Roman" w:cs="Arial"/>
          <w:color w:val="000000"/>
          <w:szCs w:val="20"/>
          <w:lang w:eastAsia="bg-BG"/>
        </w:rPr>
      </w:pPr>
    </w:p>
    <w:p w14:paraId="2A42EB76" w14:textId="7EFB3361"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Ако на фона на терапия с глимепирид 1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дневно, пациентът развие хипогликемична реакция, това означава, че той може да бъде овладян само с диета.</w:t>
      </w:r>
    </w:p>
    <w:p w14:paraId="068F5A6F" w14:textId="77777777" w:rsidR="00D5033C" w:rsidRPr="00D5033C" w:rsidRDefault="00D5033C" w:rsidP="00D5033C">
      <w:pPr>
        <w:spacing w:line="240" w:lineRule="auto"/>
        <w:rPr>
          <w:rFonts w:eastAsia="Times New Roman" w:cs="Arial"/>
          <w:color w:val="000000"/>
          <w:szCs w:val="20"/>
          <w:lang w:eastAsia="bg-BG"/>
        </w:rPr>
      </w:pPr>
    </w:p>
    <w:p w14:paraId="644FDE6A" w14:textId="4061E4B2"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lastRenderedPageBreak/>
        <w:t>В хода на лечението нуждите от глимепирид могат да намалеят, тъй като подобрението в контрола на диабета е свързано с по-висока инсулинова чувствителност. За избягване на хипогликемични инциденти е уместно понижаване на дозата или спирането му. Промени в дозата могат да се наложат също и ако настъпят промени в телесното тегло или в начина на живот на пациента, или ако възникнат други фактори увеличаващи риска от хипо- или хипергликемия.</w:t>
      </w:r>
    </w:p>
    <w:p w14:paraId="6F2C6F44" w14:textId="77777777" w:rsidR="00D5033C" w:rsidRPr="00D5033C" w:rsidRDefault="00D5033C" w:rsidP="00D5033C">
      <w:pPr>
        <w:spacing w:line="240" w:lineRule="auto"/>
        <w:rPr>
          <w:rFonts w:eastAsia="Times New Roman" w:cs="Arial"/>
          <w:color w:val="000000"/>
          <w:szCs w:val="20"/>
          <w:u w:val="single"/>
          <w:lang w:eastAsia="bg-BG"/>
        </w:rPr>
      </w:pPr>
    </w:p>
    <w:p w14:paraId="67146C76" w14:textId="448CF8AA"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u w:val="single"/>
          <w:lang w:eastAsia="bg-BG"/>
        </w:rPr>
        <w:t>Преминаване от лечение с други перорални хипогликемични лекарствени продукти към глимепирид</w:t>
      </w:r>
    </w:p>
    <w:p w14:paraId="1591D08C"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По принцип е възможно преминаване от други хипогликемични средства към лечение с глимепирид. При преминаване към глимепирид, трябва да се вземат предвид силата на</w:t>
      </w:r>
    </w:p>
    <w:p w14:paraId="74D451D1" w14:textId="77777777" w:rsidR="00D5033C" w:rsidRPr="00D5033C" w:rsidRDefault="00D5033C" w:rsidP="00D5033C">
      <w:pPr>
        <w:rPr>
          <w:rFonts w:eastAsia="Times New Roman" w:cs="Arial"/>
          <w:sz w:val="28"/>
          <w:szCs w:val="24"/>
        </w:rPr>
      </w:pPr>
      <w:r w:rsidRPr="00D5033C">
        <w:rPr>
          <w:rFonts w:eastAsia="Times New Roman" w:cs="Arial"/>
          <w:color w:val="000000"/>
          <w:szCs w:val="20"/>
          <w:lang w:eastAsia="bg-BG"/>
        </w:rPr>
        <w:t>действие и полуживота на предходния лекарствен продукт. В някои случаи, особено при</w:t>
      </w:r>
      <w:r w:rsidRPr="00D5033C">
        <w:rPr>
          <w:rFonts w:eastAsia="Times New Roman" w:cs="Arial"/>
          <w:color w:val="000000"/>
          <w:szCs w:val="20"/>
          <w:lang w:val="ru-RU" w:eastAsia="bg-BG"/>
        </w:rPr>
        <w:t xml:space="preserve"> </w:t>
      </w:r>
      <w:r w:rsidRPr="00D5033C">
        <w:rPr>
          <w:rFonts w:eastAsia="Times New Roman" w:cs="Arial"/>
          <w:color w:val="000000"/>
          <w:szCs w:val="20"/>
          <w:lang w:eastAsia="bg-BG"/>
        </w:rPr>
        <w:t>противодиабетни лекарствени продукти с дълъг полуживот (напр. хлорпропамид) е препоръчителен период на изчистване от няколко дни, с оглед намаляване до минимум рискът от развитие на хипогликемични реакции, вследствие на адитивен ефект.</w:t>
      </w:r>
    </w:p>
    <w:p w14:paraId="488E23B4" w14:textId="77777777" w:rsidR="00D5033C" w:rsidRPr="00D5033C" w:rsidRDefault="00D5033C" w:rsidP="00D5033C">
      <w:pPr>
        <w:spacing w:line="240" w:lineRule="auto"/>
        <w:rPr>
          <w:rFonts w:eastAsia="Times New Roman" w:cs="Arial"/>
          <w:color w:val="000000"/>
          <w:szCs w:val="20"/>
          <w:lang w:eastAsia="bg-BG"/>
        </w:rPr>
      </w:pPr>
    </w:p>
    <w:p w14:paraId="1053B132" w14:textId="53539529"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Препоръчителната начална доза е 1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глимепирид дневно. Според постигнатия ефект, дозата може да се повишава стъпалообразно по вече описания начин.</w:t>
      </w:r>
    </w:p>
    <w:p w14:paraId="68B12FB0" w14:textId="77777777" w:rsidR="00D5033C" w:rsidRPr="00D5033C" w:rsidRDefault="00D5033C" w:rsidP="00D5033C">
      <w:pPr>
        <w:spacing w:line="240" w:lineRule="auto"/>
        <w:rPr>
          <w:rFonts w:eastAsia="Times New Roman" w:cs="Arial"/>
          <w:color w:val="000000"/>
          <w:szCs w:val="20"/>
          <w:u w:val="single"/>
          <w:lang w:eastAsia="bg-BG"/>
        </w:rPr>
      </w:pPr>
    </w:p>
    <w:p w14:paraId="75C17EC9" w14:textId="0FFC9A1E"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u w:val="single"/>
          <w:lang w:eastAsia="bg-BG"/>
        </w:rPr>
        <w:t>Преминаване от лечение с инсулин към лечение с глимепирид</w:t>
      </w:r>
    </w:p>
    <w:p w14:paraId="1B29EAFE"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В изключителни случаи, когато пациенти с диабет тип 2 са регулирани с инсулин, може да има показания за преминаване към лечение с глимепирид. Промяната трябва да става под строг медицински контрол.</w:t>
      </w:r>
    </w:p>
    <w:p w14:paraId="5FED71BD" w14:textId="77777777" w:rsidR="00D5033C" w:rsidRPr="00D5033C" w:rsidRDefault="00D5033C" w:rsidP="00D5033C">
      <w:pPr>
        <w:spacing w:line="240" w:lineRule="auto"/>
        <w:rPr>
          <w:rFonts w:eastAsia="Times New Roman" w:cs="Arial"/>
          <w:i/>
          <w:iCs/>
          <w:color w:val="000000"/>
          <w:szCs w:val="20"/>
          <w:u w:val="single"/>
          <w:lang w:eastAsia="bg-BG"/>
        </w:rPr>
      </w:pPr>
    </w:p>
    <w:p w14:paraId="3228E36C" w14:textId="707F5504" w:rsidR="00D5033C" w:rsidRPr="00D5033C" w:rsidRDefault="00D5033C" w:rsidP="00D5033C">
      <w:pPr>
        <w:spacing w:line="240" w:lineRule="auto"/>
        <w:rPr>
          <w:rFonts w:eastAsia="Times New Roman" w:cs="Arial"/>
          <w:sz w:val="28"/>
          <w:szCs w:val="24"/>
        </w:rPr>
      </w:pPr>
      <w:r w:rsidRPr="00D5033C">
        <w:rPr>
          <w:rFonts w:eastAsia="Times New Roman" w:cs="Arial"/>
          <w:i/>
          <w:iCs/>
          <w:color w:val="000000"/>
          <w:szCs w:val="20"/>
          <w:u w:val="single"/>
          <w:lang w:eastAsia="bg-BG"/>
        </w:rPr>
        <w:t>Специални популации</w:t>
      </w:r>
    </w:p>
    <w:p w14:paraId="65A97535" w14:textId="77777777" w:rsidR="00D5033C" w:rsidRPr="00D5033C" w:rsidRDefault="00D5033C" w:rsidP="00D5033C">
      <w:pPr>
        <w:spacing w:line="240" w:lineRule="auto"/>
        <w:rPr>
          <w:rFonts w:eastAsia="Times New Roman" w:cs="Arial"/>
          <w:sz w:val="28"/>
          <w:szCs w:val="24"/>
        </w:rPr>
      </w:pPr>
      <w:r w:rsidRPr="00D5033C">
        <w:rPr>
          <w:rFonts w:eastAsia="Times New Roman" w:cs="Arial"/>
          <w:i/>
          <w:iCs/>
          <w:color w:val="000000"/>
          <w:szCs w:val="20"/>
          <w:lang w:eastAsia="bg-BG"/>
        </w:rPr>
        <w:t xml:space="preserve">Пациенти с бъбречни или чернодробни нарушения </w:t>
      </w:r>
      <w:r w:rsidRPr="00D5033C">
        <w:rPr>
          <w:rFonts w:eastAsia="Times New Roman" w:cs="Arial"/>
          <w:color w:val="000000"/>
          <w:szCs w:val="20"/>
          <w:lang w:eastAsia="bg-BG"/>
        </w:rPr>
        <w:t>Вижте точка 4.3.</w:t>
      </w:r>
    </w:p>
    <w:p w14:paraId="0374A9CC" w14:textId="77777777" w:rsidR="00D5033C" w:rsidRPr="00D5033C" w:rsidRDefault="00D5033C" w:rsidP="00D5033C">
      <w:pPr>
        <w:spacing w:line="240" w:lineRule="auto"/>
        <w:rPr>
          <w:rFonts w:eastAsia="Times New Roman" w:cs="Arial"/>
          <w:i/>
          <w:iCs/>
          <w:color w:val="000000"/>
          <w:szCs w:val="20"/>
          <w:lang w:eastAsia="bg-BG"/>
        </w:rPr>
      </w:pPr>
    </w:p>
    <w:p w14:paraId="31025D54" w14:textId="33314018" w:rsidR="00D5033C" w:rsidRPr="00D5033C" w:rsidRDefault="00D5033C" w:rsidP="00D5033C">
      <w:pPr>
        <w:spacing w:line="240" w:lineRule="auto"/>
        <w:rPr>
          <w:rFonts w:eastAsia="Times New Roman" w:cs="Arial"/>
          <w:sz w:val="28"/>
          <w:szCs w:val="24"/>
        </w:rPr>
      </w:pPr>
      <w:r w:rsidRPr="00D5033C">
        <w:rPr>
          <w:rFonts w:eastAsia="Times New Roman" w:cs="Arial"/>
          <w:i/>
          <w:iCs/>
          <w:color w:val="000000"/>
          <w:szCs w:val="20"/>
          <w:lang w:eastAsia="bg-BG"/>
        </w:rPr>
        <w:t>Педиатрична популация</w:t>
      </w:r>
    </w:p>
    <w:p w14:paraId="42C328A5"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Няма налични данни за използването на глимепирид при пациенти под 8 годишна възраст. Данните за монотерапия с глимепирид при деца на възраст от 8 до 17 години са ограничени (вж. точка 5.1 и 5.2).</w:t>
      </w:r>
    </w:p>
    <w:p w14:paraId="51CAECF1" w14:textId="77777777" w:rsidR="00D5033C" w:rsidRPr="00D5033C" w:rsidRDefault="00D5033C" w:rsidP="00D5033C">
      <w:pPr>
        <w:spacing w:line="240" w:lineRule="auto"/>
        <w:rPr>
          <w:rFonts w:eastAsia="Times New Roman" w:cs="Arial"/>
          <w:color w:val="000000"/>
          <w:szCs w:val="20"/>
          <w:lang w:eastAsia="bg-BG"/>
        </w:rPr>
      </w:pPr>
    </w:p>
    <w:p w14:paraId="53FB2692" w14:textId="2DA298C1"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Поради недостатъчно налични данни за ефективност и безопасност в педиатричната популация, не се препоръчва използването при тази възрастова група.</w:t>
      </w:r>
    </w:p>
    <w:p w14:paraId="604F3045" w14:textId="77777777" w:rsidR="00D5033C" w:rsidRPr="00D5033C" w:rsidRDefault="00D5033C" w:rsidP="00D5033C">
      <w:pPr>
        <w:rPr>
          <w:rFonts w:eastAsia="Times New Roman" w:cs="Arial"/>
          <w:color w:val="000000"/>
          <w:szCs w:val="20"/>
          <w:u w:val="single"/>
          <w:lang w:eastAsia="bg-BG"/>
        </w:rPr>
      </w:pPr>
    </w:p>
    <w:p w14:paraId="4B2195E1" w14:textId="77777777" w:rsidR="00D5033C" w:rsidRPr="00D5033C" w:rsidRDefault="00D5033C" w:rsidP="00D5033C">
      <w:pPr>
        <w:pStyle w:val="Heading3"/>
        <w:rPr>
          <w:rFonts w:eastAsia="Times New Roman"/>
          <w:u w:val="single"/>
          <w:lang w:eastAsia="bg-BG"/>
        </w:rPr>
      </w:pPr>
      <w:r w:rsidRPr="00D5033C">
        <w:rPr>
          <w:rFonts w:eastAsia="Times New Roman"/>
          <w:u w:val="single"/>
          <w:lang w:eastAsia="bg-BG"/>
        </w:rPr>
        <w:t xml:space="preserve">Начин на приложение </w:t>
      </w:r>
    </w:p>
    <w:p w14:paraId="288C6851" w14:textId="145F0BB9" w:rsidR="00D5033C" w:rsidRDefault="00D5033C" w:rsidP="00D5033C">
      <w:pPr>
        <w:rPr>
          <w:rFonts w:eastAsia="Times New Roman" w:cs="Arial"/>
          <w:color w:val="000000"/>
          <w:szCs w:val="20"/>
          <w:lang w:eastAsia="bg-BG"/>
        </w:rPr>
      </w:pPr>
      <w:r w:rsidRPr="00D5033C">
        <w:rPr>
          <w:rFonts w:eastAsia="Times New Roman" w:cs="Arial"/>
          <w:color w:val="000000"/>
          <w:szCs w:val="20"/>
          <w:lang w:eastAsia="bg-BG"/>
        </w:rPr>
        <w:t>Перорално приложение.</w:t>
      </w:r>
    </w:p>
    <w:p w14:paraId="1D516B16" w14:textId="77777777" w:rsidR="00D5033C" w:rsidRPr="00D5033C" w:rsidRDefault="00D5033C" w:rsidP="00D5033C">
      <w:pPr>
        <w:rPr>
          <w:rFonts w:cs="Arial"/>
          <w:sz w:val="24"/>
          <w:lang w:val="ru-RU"/>
        </w:rPr>
      </w:pPr>
    </w:p>
    <w:p w14:paraId="0F253247" w14:textId="03C46536" w:rsidR="007122AD" w:rsidRDefault="002C50EE" w:rsidP="00936AD0">
      <w:pPr>
        <w:pStyle w:val="Heading2"/>
      </w:pPr>
      <w:r>
        <w:t>4.3. Противопоказания</w:t>
      </w:r>
    </w:p>
    <w:p w14:paraId="206B7D72" w14:textId="56B83410" w:rsidR="00D5033C" w:rsidRDefault="00D5033C" w:rsidP="00D5033C"/>
    <w:p w14:paraId="6E6EC27C"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Глимепирид е противопоказан при пациенти със следните състояния:</w:t>
      </w:r>
    </w:p>
    <w:p w14:paraId="2A4B0305" w14:textId="77777777" w:rsidR="00D5033C" w:rsidRPr="00D5033C" w:rsidRDefault="00D5033C" w:rsidP="00D5033C">
      <w:pPr>
        <w:pStyle w:val="ListParagraph"/>
        <w:numPr>
          <w:ilvl w:val="0"/>
          <w:numId w:val="37"/>
        </w:numPr>
        <w:spacing w:line="240" w:lineRule="auto"/>
        <w:rPr>
          <w:rFonts w:eastAsia="Times New Roman" w:cs="Arial"/>
          <w:sz w:val="28"/>
          <w:szCs w:val="24"/>
        </w:rPr>
      </w:pPr>
      <w:r w:rsidRPr="00D5033C">
        <w:rPr>
          <w:rFonts w:eastAsia="Times New Roman" w:cs="Arial"/>
          <w:color w:val="000000"/>
          <w:szCs w:val="20"/>
          <w:lang w:eastAsia="bg-BG"/>
        </w:rPr>
        <w:t>свръхчувствителност към глимепирид, други сулфанилурейни продукти или сулфонамиди, или към някое от помощните вещества, изброени в точка 6.1.</w:t>
      </w:r>
    </w:p>
    <w:p w14:paraId="0652B39E" w14:textId="77777777" w:rsidR="00D5033C" w:rsidRPr="00D5033C" w:rsidRDefault="00D5033C" w:rsidP="00D5033C">
      <w:pPr>
        <w:pStyle w:val="ListParagraph"/>
        <w:numPr>
          <w:ilvl w:val="0"/>
          <w:numId w:val="37"/>
        </w:numPr>
        <w:spacing w:line="240" w:lineRule="auto"/>
        <w:rPr>
          <w:rFonts w:eastAsia="Times New Roman" w:cs="Arial"/>
          <w:sz w:val="28"/>
          <w:szCs w:val="24"/>
        </w:rPr>
      </w:pPr>
      <w:r w:rsidRPr="00D5033C">
        <w:rPr>
          <w:rFonts w:eastAsia="Times New Roman" w:cs="Arial"/>
          <w:color w:val="000000"/>
          <w:szCs w:val="20"/>
          <w:lang w:eastAsia="bg-BG"/>
        </w:rPr>
        <w:t>инсулинозависим диабет</w:t>
      </w:r>
    </w:p>
    <w:p w14:paraId="70CF81B4" w14:textId="77777777" w:rsidR="00D5033C" w:rsidRPr="00D5033C" w:rsidRDefault="00D5033C" w:rsidP="00D5033C">
      <w:pPr>
        <w:pStyle w:val="ListParagraph"/>
        <w:numPr>
          <w:ilvl w:val="0"/>
          <w:numId w:val="37"/>
        </w:numPr>
        <w:spacing w:line="240" w:lineRule="auto"/>
        <w:rPr>
          <w:rFonts w:eastAsia="Times New Roman" w:cs="Arial"/>
          <w:sz w:val="28"/>
          <w:szCs w:val="24"/>
        </w:rPr>
      </w:pPr>
      <w:r w:rsidRPr="00D5033C">
        <w:rPr>
          <w:rFonts w:eastAsia="Times New Roman" w:cs="Arial"/>
          <w:color w:val="000000"/>
          <w:szCs w:val="20"/>
          <w:lang w:eastAsia="bg-BG"/>
        </w:rPr>
        <w:t>диабетна кома</w:t>
      </w:r>
    </w:p>
    <w:p w14:paraId="53B2035B" w14:textId="77777777" w:rsidR="00D5033C" w:rsidRPr="00D5033C" w:rsidRDefault="00D5033C" w:rsidP="00D5033C">
      <w:pPr>
        <w:pStyle w:val="ListParagraph"/>
        <w:numPr>
          <w:ilvl w:val="0"/>
          <w:numId w:val="37"/>
        </w:numPr>
        <w:spacing w:line="240" w:lineRule="auto"/>
        <w:rPr>
          <w:rFonts w:eastAsia="Times New Roman" w:cs="Arial"/>
          <w:sz w:val="28"/>
          <w:szCs w:val="24"/>
        </w:rPr>
      </w:pPr>
      <w:r w:rsidRPr="00D5033C">
        <w:rPr>
          <w:rFonts w:eastAsia="Times New Roman" w:cs="Arial"/>
          <w:color w:val="000000"/>
          <w:szCs w:val="20"/>
          <w:lang w:eastAsia="bg-BG"/>
        </w:rPr>
        <w:t>кетоацидоза</w:t>
      </w:r>
    </w:p>
    <w:p w14:paraId="266AA29A" w14:textId="47E5BDE0" w:rsidR="00D5033C" w:rsidRPr="00D5033C" w:rsidRDefault="00D5033C" w:rsidP="00D5033C">
      <w:pPr>
        <w:pStyle w:val="ListParagraph"/>
        <w:numPr>
          <w:ilvl w:val="0"/>
          <w:numId w:val="37"/>
        </w:numPr>
        <w:spacing w:line="240" w:lineRule="auto"/>
        <w:rPr>
          <w:rFonts w:eastAsia="Times New Roman" w:cs="Arial"/>
          <w:sz w:val="28"/>
          <w:szCs w:val="24"/>
        </w:rPr>
      </w:pPr>
      <w:r w:rsidRPr="00D5033C">
        <w:rPr>
          <w:rFonts w:eastAsia="Times New Roman" w:cs="Arial"/>
          <w:color w:val="000000"/>
          <w:szCs w:val="20"/>
          <w:lang w:eastAsia="bg-BG"/>
        </w:rPr>
        <w:t>тежки нарушения в бъбречната или чернодробната функция. В случаи на тежки</w:t>
      </w:r>
    </w:p>
    <w:p w14:paraId="73B225BF" w14:textId="32924220" w:rsidR="00D5033C" w:rsidRDefault="00D5033C" w:rsidP="00D5033C">
      <w:pPr>
        <w:rPr>
          <w:rFonts w:eastAsia="Times New Roman" w:cs="Arial"/>
          <w:color w:val="000000"/>
          <w:szCs w:val="20"/>
          <w:lang w:eastAsia="bg-BG"/>
        </w:rPr>
      </w:pPr>
      <w:r w:rsidRPr="00D5033C">
        <w:rPr>
          <w:rFonts w:eastAsia="Times New Roman" w:cs="Arial"/>
          <w:color w:val="000000"/>
          <w:szCs w:val="20"/>
          <w:lang w:eastAsia="bg-BG"/>
        </w:rPr>
        <w:lastRenderedPageBreak/>
        <w:t>нарушения в бъбречната или чернодробна функция е необходимо преминаване към инсулин.</w:t>
      </w:r>
    </w:p>
    <w:p w14:paraId="2FFF8E9B" w14:textId="77777777" w:rsidR="00D5033C" w:rsidRPr="00D5033C" w:rsidRDefault="00D5033C" w:rsidP="00D5033C">
      <w:pPr>
        <w:rPr>
          <w:rFonts w:cs="Arial"/>
          <w:sz w:val="24"/>
        </w:rPr>
      </w:pPr>
    </w:p>
    <w:p w14:paraId="0E0BDCC7" w14:textId="7A0EA6FF" w:rsidR="007122AD" w:rsidRDefault="002C50EE" w:rsidP="00936AD0">
      <w:pPr>
        <w:pStyle w:val="Heading2"/>
      </w:pPr>
      <w:r>
        <w:t>4.4. Специални предупреждения и предпазни мерки при употреба</w:t>
      </w:r>
    </w:p>
    <w:p w14:paraId="1F298AE9" w14:textId="17C2D34E" w:rsidR="00D5033C" w:rsidRDefault="00D5033C" w:rsidP="00D5033C"/>
    <w:p w14:paraId="3A147094"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Глимепирид трябва да се приема непосредствено преди или по време на хранене.</w:t>
      </w:r>
    </w:p>
    <w:p w14:paraId="6507F3B9" w14:textId="77777777" w:rsidR="00D5033C" w:rsidRPr="00D5033C" w:rsidRDefault="00D5033C" w:rsidP="00D5033C">
      <w:pPr>
        <w:spacing w:line="240" w:lineRule="auto"/>
        <w:rPr>
          <w:rFonts w:eastAsia="Times New Roman" w:cs="Arial"/>
          <w:color w:val="000000"/>
          <w:szCs w:val="20"/>
          <w:lang w:eastAsia="bg-BG"/>
        </w:rPr>
      </w:pPr>
    </w:p>
    <w:p w14:paraId="3D2FC2B2" w14:textId="506C47B6"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При нередовен режим на хранене или пропускане на някои от храненията, лечението с глимепирид може да доведе до хипогликемия. Евентуалните симптоми на хипогликемия включват главоболие, силен глад, гадене, повръщане, отпадналост, сънливост, нарушения на съня, безпокойство, агресивност, нарушени концентрация, бодърстване и време за реагиране, потиснатост, обърканост, речеви и зрителни разстройства, афазия, тремор, парези, сензорни нарушения, замаяност, безпомощност, загуба на самоконтрол, делир, церебрални гърчове, сомнолентност и загуба на съзнание включително до кома, повърхностно дишане и брадикардия.</w:t>
      </w:r>
    </w:p>
    <w:p w14:paraId="7D7C4D71" w14:textId="77777777" w:rsidR="00D5033C" w:rsidRPr="00D5033C" w:rsidRDefault="00D5033C" w:rsidP="00D5033C">
      <w:pPr>
        <w:spacing w:line="240" w:lineRule="auto"/>
        <w:rPr>
          <w:rFonts w:eastAsia="Times New Roman" w:cs="Arial"/>
          <w:color w:val="000000"/>
          <w:szCs w:val="20"/>
          <w:lang w:eastAsia="bg-BG"/>
        </w:rPr>
      </w:pPr>
    </w:p>
    <w:p w14:paraId="6C4CF3D6" w14:textId="7D1DDB8B"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Едновременно с това могат да се наблюдават симптоми на обратна адренергична регулация, като изпотяване, влажна кожа, възбуда, тахикардия, хипертензия, палпитации, ангина пекторис и сърдечни аритмии.</w:t>
      </w:r>
    </w:p>
    <w:p w14:paraId="23FBE1B5" w14:textId="77777777" w:rsidR="00D5033C" w:rsidRPr="00D5033C" w:rsidRDefault="00D5033C" w:rsidP="00D5033C">
      <w:pPr>
        <w:rPr>
          <w:rFonts w:eastAsia="Times New Roman" w:cs="Arial"/>
          <w:color w:val="000000"/>
          <w:szCs w:val="20"/>
          <w:lang w:eastAsia="bg-BG"/>
        </w:rPr>
      </w:pPr>
    </w:p>
    <w:p w14:paraId="283115D4" w14:textId="110EAD88" w:rsidR="00D5033C" w:rsidRPr="00D5033C" w:rsidRDefault="00D5033C" w:rsidP="00D5033C">
      <w:pPr>
        <w:rPr>
          <w:rFonts w:eastAsia="Times New Roman" w:cs="Arial"/>
          <w:color w:val="000000"/>
          <w:szCs w:val="20"/>
          <w:lang w:eastAsia="bg-BG"/>
        </w:rPr>
      </w:pPr>
      <w:r w:rsidRPr="00D5033C">
        <w:rPr>
          <w:rFonts w:eastAsia="Times New Roman" w:cs="Arial"/>
          <w:color w:val="000000"/>
          <w:szCs w:val="20"/>
          <w:lang w:eastAsia="bg-BG"/>
        </w:rPr>
        <w:t>Клиничната симптоматика на тежкия хипогликемичен пристъп може да наподобява тази на инсулт.</w:t>
      </w:r>
    </w:p>
    <w:p w14:paraId="7B23E689" w14:textId="2B501573" w:rsidR="00D5033C" w:rsidRPr="00D5033C" w:rsidRDefault="00D5033C" w:rsidP="00D5033C">
      <w:pPr>
        <w:rPr>
          <w:rFonts w:eastAsia="Times New Roman" w:cs="Arial"/>
          <w:color w:val="000000"/>
          <w:szCs w:val="20"/>
          <w:lang w:eastAsia="bg-BG"/>
        </w:rPr>
      </w:pPr>
    </w:p>
    <w:p w14:paraId="42C914E1"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Симптомите на хипогликемия, обикновено могат бързо да бъдат овладяни чрез незабавен прием на въглехидрати (захар). Изкуствените подсладители нямат ефект.</w:t>
      </w:r>
    </w:p>
    <w:p w14:paraId="34C39A57" w14:textId="77777777" w:rsidR="00D5033C" w:rsidRPr="00D5033C" w:rsidRDefault="00D5033C" w:rsidP="00D5033C">
      <w:pPr>
        <w:spacing w:line="240" w:lineRule="auto"/>
        <w:rPr>
          <w:rFonts w:eastAsia="Times New Roman" w:cs="Arial"/>
          <w:color w:val="000000"/>
          <w:szCs w:val="20"/>
          <w:lang w:eastAsia="bg-BG"/>
        </w:rPr>
      </w:pPr>
    </w:p>
    <w:p w14:paraId="3732C82A" w14:textId="3AFA70BB"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Известно е от другите сулфанилурейни продукти, че въпреки първоначално успешните контрамерки, хипогликемията може да се повтори.</w:t>
      </w:r>
    </w:p>
    <w:p w14:paraId="0407EFEC" w14:textId="77777777" w:rsidR="00D5033C" w:rsidRPr="00D5033C" w:rsidRDefault="00D5033C" w:rsidP="00D5033C">
      <w:pPr>
        <w:spacing w:line="240" w:lineRule="auto"/>
        <w:rPr>
          <w:rFonts w:eastAsia="Times New Roman" w:cs="Arial"/>
          <w:color w:val="000000"/>
          <w:szCs w:val="20"/>
          <w:lang w:eastAsia="bg-BG"/>
        </w:rPr>
      </w:pPr>
    </w:p>
    <w:p w14:paraId="3235D797" w14:textId="4F04BE5E"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Тежката или продължителна хипогликемия, овладяна само частично с помощта на обичайните количества захар, налага незабавно лечение, а в някои случаи и хоспитализация.</w:t>
      </w:r>
    </w:p>
    <w:p w14:paraId="752BF85F" w14:textId="77777777" w:rsidR="00D5033C" w:rsidRPr="00D5033C" w:rsidRDefault="00D5033C" w:rsidP="00D5033C">
      <w:pPr>
        <w:spacing w:line="240" w:lineRule="auto"/>
        <w:rPr>
          <w:rFonts w:eastAsia="Times New Roman" w:cs="Arial"/>
          <w:color w:val="000000"/>
          <w:szCs w:val="20"/>
          <w:lang w:eastAsia="bg-BG"/>
        </w:rPr>
      </w:pPr>
    </w:p>
    <w:p w14:paraId="569C77A6" w14:textId="3F8BE70F"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Фактори, които способстват развитие на хипогликемия:</w:t>
      </w:r>
    </w:p>
    <w:p w14:paraId="73B6BAB6"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 xml:space="preserve">нежелание или (по-често при по-възрастни пациенти) неспособност за сътрудничество; </w:t>
      </w:r>
    </w:p>
    <w:p w14:paraId="3D301721"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недохранване, нередовни часове на хранене или пропускане на хранения, както и периоди на въздържане от прием на храна;</w:t>
      </w:r>
    </w:p>
    <w:p w14:paraId="6DF64D2C"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нарушения в диетичния режим;</w:t>
      </w:r>
    </w:p>
    <w:p w14:paraId="67F726EF"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дисбаланс между физическото натоварване и приема на въглехидрати;</w:t>
      </w:r>
    </w:p>
    <w:p w14:paraId="36214850"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консумация на алкохол, особено в комбинация с нередовно хранене;</w:t>
      </w:r>
    </w:p>
    <w:p w14:paraId="09C755B5"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нарушена бъбречна функция;</w:t>
      </w:r>
    </w:p>
    <w:p w14:paraId="267282BF"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тежка чернодробна дисфункция;</w:t>
      </w:r>
    </w:p>
    <w:p w14:paraId="5E42EE47"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предозиране с глимепирид;</w:t>
      </w:r>
    </w:p>
    <w:p w14:paraId="27B314A7"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некомпенсирани нарушения на ендокринната система, засягащи въглехидратния метаболизъм или хипогликемичната контрарегулация (като например някои разстройства на щитовидната функция и при предна хипофизарна или адренокортикоидна недостатъчност);</w:t>
      </w:r>
    </w:p>
    <w:p w14:paraId="299180B1" w14:textId="7275AE78"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едновременен прием на някои лекарствени продукти (вж. точка 4.5).</w:t>
      </w:r>
    </w:p>
    <w:p w14:paraId="5F851A51" w14:textId="77777777" w:rsidR="00D5033C" w:rsidRPr="00D5033C" w:rsidRDefault="00D5033C" w:rsidP="00D5033C">
      <w:pPr>
        <w:spacing w:line="240" w:lineRule="auto"/>
        <w:rPr>
          <w:rFonts w:eastAsia="Times New Roman" w:cs="Arial"/>
          <w:color w:val="000000"/>
          <w:szCs w:val="20"/>
          <w:lang w:eastAsia="bg-BG"/>
        </w:rPr>
      </w:pPr>
    </w:p>
    <w:p w14:paraId="4E02C145" w14:textId="1C2C033E"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lastRenderedPageBreak/>
        <w:t>Лечението с глимепирид изисква редовен контрол на кръвната захар и на захарта в урината. Препоръчително е и периодично проследяване на стойностите на гликирания хемоглобин.</w:t>
      </w:r>
    </w:p>
    <w:p w14:paraId="565A681C" w14:textId="77777777" w:rsidR="00D5033C" w:rsidRPr="00D5033C" w:rsidRDefault="00D5033C" w:rsidP="00D5033C">
      <w:pPr>
        <w:spacing w:line="240" w:lineRule="auto"/>
        <w:rPr>
          <w:rFonts w:eastAsia="Times New Roman" w:cs="Arial"/>
          <w:color w:val="000000"/>
          <w:szCs w:val="20"/>
          <w:lang w:eastAsia="bg-BG"/>
        </w:rPr>
      </w:pPr>
    </w:p>
    <w:p w14:paraId="5ABD4C08" w14:textId="104F897E"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По време на терапията с глимепирид е необходимо редовно проследяване на чернодробната функция и на хематологичните показатели (особено на левкоцити и тромбоцити).</w:t>
      </w:r>
    </w:p>
    <w:p w14:paraId="1E092EE6" w14:textId="77777777" w:rsidR="00D5033C" w:rsidRPr="00D5033C" w:rsidRDefault="00D5033C" w:rsidP="00D5033C">
      <w:pPr>
        <w:spacing w:line="240" w:lineRule="auto"/>
        <w:rPr>
          <w:rFonts w:eastAsia="Times New Roman" w:cs="Arial"/>
          <w:color w:val="000000"/>
          <w:szCs w:val="20"/>
          <w:lang w:eastAsia="bg-BG"/>
        </w:rPr>
      </w:pPr>
    </w:p>
    <w:p w14:paraId="2B1AB230" w14:textId="6558E2FF"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При стресови ситуации (напр. злополуки, спешни операции, инфекции с фебрилитет и др.), може да се наложи временно преминаване на лечение с инсулин.</w:t>
      </w:r>
    </w:p>
    <w:p w14:paraId="2CA36037" w14:textId="77777777" w:rsidR="00D5033C" w:rsidRPr="00D5033C" w:rsidRDefault="00D5033C" w:rsidP="00D5033C">
      <w:pPr>
        <w:spacing w:line="240" w:lineRule="auto"/>
        <w:rPr>
          <w:rFonts w:eastAsia="Times New Roman" w:cs="Arial"/>
          <w:color w:val="000000"/>
          <w:szCs w:val="20"/>
          <w:lang w:eastAsia="bg-BG"/>
        </w:rPr>
      </w:pPr>
    </w:p>
    <w:p w14:paraId="3A32A8C4" w14:textId="6158F45C"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Няма натрупан опит за употребата на глимепирид при пациенти с тежки нарушения на чернодробната функция или при пациенти на диализа. При пациенти с тежки нарушения на бъбречната или чернодробната функция е показано преминаване на лечение с инсулин.</w:t>
      </w:r>
    </w:p>
    <w:p w14:paraId="5938B512" w14:textId="77777777" w:rsidR="00D5033C" w:rsidRPr="00D5033C" w:rsidRDefault="00D5033C" w:rsidP="00D5033C">
      <w:pPr>
        <w:spacing w:line="240" w:lineRule="auto"/>
        <w:rPr>
          <w:rFonts w:eastAsia="Times New Roman" w:cs="Arial"/>
          <w:color w:val="000000"/>
          <w:szCs w:val="20"/>
          <w:lang w:eastAsia="bg-BG"/>
        </w:rPr>
      </w:pPr>
    </w:p>
    <w:p w14:paraId="44812C10" w14:textId="12AEDBF3"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Лечението на пациенти с </w:t>
      </w:r>
      <w:r w:rsidRPr="00D5033C">
        <w:rPr>
          <w:rFonts w:eastAsia="Times New Roman" w:cs="Arial"/>
          <w:color w:val="000000"/>
          <w:szCs w:val="20"/>
          <w:lang w:val="en-US"/>
        </w:rPr>
        <w:t>G</w:t>
      </w:r>
      <w:r w:rsidRPr="00D5033C">
        <w:rPr>
          <w:rFonts w:eastAsia="Times New Roman" w:cs="Arial"/>
          <w:color w:val="000000"/>
          <w:szCs w:val="20"/>
          <w:lang w:val="ru-RU"/>
        </w:rPr>
        <w:t>6</w:t>
      </w:r>
      <w:r w:rsidRPr="00D5033C">
        <w:rPr>
          <w:rFonts w:eastAsia="Times New Roman" w:cs="Arial"/>
          <w:color w:val="000000"/>
          <w:szCs w:val="20"/>
          <w:lang w:val="en-US"/>
        </w:rPr>
        <w:t>PD</w:t>
      </w:r>
      <w:r w:rsidRPr="00D5033C">
        <w:rPr>
          <w:rFonts w:eastAsia="Times New Roman" w:cs="Arial"/>
          <w:color w:val="000000"/>
          <w:szCs w:val="20"/>
          <w:lang w:eastAsia="bg-BG"/>
        </w:rPr>
        <w:t xml:space="preserve">-дефицит със сулфанилурейни продукти може да доведе до хемолитична анемия. Тъй като глимепирид принадлежи към групата на сулфанилурейните продукти се препоръчва повишено внимание при приложението му на пациенти с </w:t>
      </w:r>
      <w:r w:rsidRPr="00D5033C">
        <w:rPr>
          <w:rFonts w:eastAsia="Times New Roman" w:cs="Arial"/>
          <w:color w:val="000000"/>
          <w:szCs w:val="20"/>
          <w:lang w:val="en-US"/>
        </w:rPr>
        <w:t>G</w:t>
      </w:r>
      <w:r w:rsidRPr="00D5033C">
        <w:rPr>
          <w:rFonts w:eastAsia="Times New Roman" w:cs="Arial"/>
          <w:color w:val="000000"/>
          <w:szCs w:val="20"/>
          <w:lang w:val="ru-RU"/>
        </w:rPr>
        <w:t>6</w:t>
      </w:r>
      <w:r w:rsidRPr="00D5033C">
        <w:rPr>
          <w:rFonts w:eastAsia="Times New Roman" w:cs="Arial"/>
          <w:color w:val="000000"/>
          <w:szCs w:val="20"/>
          <w:lang w:val="en-US"/>
        </w:rPr>
        <w:t>PD</w:t>
      </w:r>
      <w:r w:rsidRPr="00D5033C">
        <w:rPr>
          <w:rFonts w:eastAsia="Times New Roman" w:cs="Arial"/>
          <w:color w:val="000000"/>
          <w:szCs w:val="20"/>
          <w:lang w:val="ru-RU"/>
        </w:rPr>
        <w:t xml:space="preserve">- </w:t>
      </w:r>
      <w:r w:rsidRPr="00D5033C">
        <w:rPr>
          <w:rFonts w:eastAsia="Times New Roman" w:cs="Arial"/>
          <w:color w:val="000000"/>
          <w:szCs w:val="20"/>
          <w:lang w:eastAsia="bg-BG"/>
        </w:rPr>
        <w:t>дефицит, като е препоръчително използването на не-сулфанилурейни продукти при такива пациенти.</w:t>
      </w:r>
    </w:p>
    <w:p w14:paraId="34659746" w14:textId="77777777" w:rsidR="00D5033C" w:rsidRPr="00D5033C" w:rsidRDefault="00D5033C" w:rsidP="00D5033C">
      <w:pPr>
        <w:spacing w:line="240" w:lineRule="auto"/>
        <w:rPr>
          <w:rFonts w:eastAsia="Times New Roman" w:cs="Arial"/>
          <w:color w:val="000000"/>
          <w:szCs w:val="20"/>
          <w:u w:val="single"/>
          <w:lang w:eastAsia="bg-BG"/>
        </w:rPr>
      </w:pPr>
    </w:p>
    <w:p w14:paraId="2A8438E1" w14:textId="6F874B6D"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u w:val="single"/>
          <w:lang w:eastAsia="bg-BG"/>
        </w:rPr>
        <w:t>Помощни вещества</w:t>
      </w:r>
    </w:p>
    <w:p w14:paraId="2D86EC20" w14:textId="77777777" w:rsidR="00D5033C" w:rsidRPr="00D5033C" w:rsidRDefault="00D5033C" w:rsidP="00D5033C">
      <w:pPr>
        <w:spacing w:line="240" w:lineRule="auto"/>
        <w:rPr>
          <w:rFonts w:eastAsia="Times New Roman" w:cs="Arial"/>
          <w:sz w:val="28"/>
          <w:szCs w:val="24"/>
        </w:rPr>
      </w:pPr>
      <w:r w:rsidRPr="00D5033C">
        <w:rPr>
          <w:rFonts w:eastAsia="Times New Roman" w:cs="Arial"/>
          <w:i/>
          <w:iCs/>
          <w:color w:val="000000"/>
          <w:szCs w:val="20"/>
          <w:lang w:eastAsia="bg-BG"/>
        </w:rPr>
        <w:t>Лактоза</w:t>
      </w:r>
    </w:p>
    <w:p w14:paraId="2C1D600B"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w:t>
      </w:r>
    </w:p>
    <w:p w14:paraId="7DFA465B" w14:textId="77777777" w:rsidR="00D5033C" w:rsidRPr="00D5033C" w:rsidRDefault="00D5033C" w:rsidP="00D5033C">
      <w:pPr>
        <w:spacing w:line="240" w:lineRule="auto"/>
        <w:rPr>
          <w:rFonts w:eastAsia="Times New Roman" w:cs="Arial"/>
          <w:sz w:val="28"/>
          <w:szCs w:val="24"/>
        </w:rPr>
      </w:pPr>
      <w:r w:rsidRPr="00D5033C">
        <w:rPr>
          <w:rFonts w:eastAsia="Times New Roman" w:cs="Arial"/>
          <w:i/>
          <w:iCs/>
          <w:color w:val="000000"/>
          <w:szCs w:val="20"/>
          <w:lang w:eastAsia="bg-BG"/>
        </w:rPr>
        <w:t>Натрий</w:t>
      </w:r>
    </w:p>
    <w:p w14:paraId="056A1264"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Това лекарство съдържа по-малко от 1 </w:t>
      </w:r>
      <w:proofErr w:type="spellStart"/>
      <w:r w:rsidRPr="00D5033C">
        <w:rPr>
          <w:rFonts w:eastAsia="Times New Roman" w:cs="Arial"/>
          <w:color w:val="000000"/>
          <w:szCs w:val="20"/>
          <w:lang w:val="en-US"/>
        </w:rPr>
        <w:t>mmol</w:t>
      </w:r>
      <w:proofErr w:type="spellEnd"/>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натрий (23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на таблетка, т.е. може да се каже, че практически не съдържа натрий.</w:t>
      </w:r>
    </w:p>
    <w:p w14:paraId="51502739" w14:textId="77777777" w:rsidR="00D5033C" w:rsidRPr="00D5033C" w:rsidRDefault="00D5033C" w:rsidP="00D5033C">
      <w:pPr>
        <w:spacing w:line="240" w:lineRule="auto"/>
        <w:rPr>
          <w:rFonts w:eastAsia="Times New Roman" w:cs="Arial"/>
          <w:sz w:val="28"/>
          <w:szCs w:val="24"/>
        </w:rPr>
      </w:pPr>
      <w:r w:rsidRPr="00D5033C">
        <w:rPr>
          <w:rFonts w:eastAsia="Times New Roman" w:cs="Arial"/>
          <w:i/>
          <w:iCs/>
          <w:color w:val="000000"/>
          <w:szCs w:val="20"/>
          <w:lang w:eastAsia="bg-BG"/>
        </w:rPr>
        <w:t>Оцветители Е102 и Е110</w:t>
      </w:r>
    </w:p>
    <w:p w14:paraId="0AFD8596"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Таблетките от 2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съдържат татразин (Е 102) и сънсет жълто </w:t>
      </w:r>
      <w:r w:rsidRPr="00D5033C">
        <w:rPr>
          <w:rFonts w:eastAsia="Times New Roman" w:cs="Arial"/>
          <w:color w:val="000000"/>
          <w:szCs w:val="20"/>
          <w:lang w:val="en-US"/>
        </w:rPr>
        <w:t>FCF</w:t>
      </w:r>
      <w:r w:rsidRPr="00D5033C">
        <w:rPr>
          <w:rFonts w:eastAsia="Times New Roman" w:cs="Arial"/>
          <w:color w:val="000000"/>
          <w:szCs w:val="20"/>
          <w:lang w:val="ru-RU"/>
        </w:rPr>
        <w:t xml:space="preserve"> </w:t>
      </w:r>
      <w:r w:rsidRPr="00D5033C">
        <w:rPr>
          <w:rFonts w:eastAsia="Times New Roman" w:cs="Arial"/>
          <w:color w:val="000000"/>
          <w:szCs w:val="20"/>
          <w:lang w:eastAsia="bg-BG"/>
        </w:rPr>
        <w:t>(Е 110), които могат да причинят алергични реакции.</w:t>
      </w:r>
    </w:p>
    <w:p w14:paraId="5AD2E55C" w14:textId="67B5EFD5" w:rsidR="00D5033C" w:rsidRPr="00D5033C" w:rsidRDefault="00D5033C" w:rsidP="00D5033C"/>
    <w:p w14:paraId="0734264C" w14:textId="6636A24B"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58FD083D" w14:textId="49BEB06B" w:rsidR="00D5033C" w:rsidRDefault="00D5033C" w:rsidP="00D5033C"/>
    <w:p w14:paraId="208DEB97"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Ако глимепирид се приема едновременно с някои други лекарствени средства е възможно да възникне както нежелано повишение, така и понижение на хипогликемичното действие на глимепирид. Поради това, други лекарствени средства трябва да се приемат само със знанието (или по предписание) на лекар.</w:t>
      </w:r>
    </w:p>
    <w:p w14:paraId="6A593F32" w14:textId="77777777" w:rsidR="00D5033C" w:rsidRPr="00D5033C" w:rsidRDefault="00D5033C" w:rsidP="00D5033C">
      <w:pPr>
        <w:spacing w:line="240" w:lineRule="auto"/>
        <w:rPr>
          <w:rFonts w:eastAsia="Times New Roman" w:cs="Arial"/>
          <w:color w:val="000000"/>
          <w:szCs w:val="20"/>
          <w:lang w:eastAsia="bg-BG"/>
        </w:rPr>
      </w:pPr>
    </w:p>
    <w:p w14:paraId="7F93D39F" w14:textId="7B3CE63A"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Глимепирид се метаболизира от ензимната система Р450 2С9 </w:t>
      </w:r>
      <w:r w:rsidRPr="00D5033C">
        <w:rPr>
          <w:rFonts w:eastAsia="Times New Roman" w:cs="Arial"/>
          <w:color w:val="000000"/>
          <w:szCs w:val="20"/>
          <w:lang w:val="ru-RU"/>
        </w:rPr>
        <w:t>(</w:t>
      </w:r>
      <w:r w:rsidRPr="00D5033C">
        <w:rPr>
          <w:rFonts w:eastAsia="Times New Roman" w:cs="Arial"/>
          <w:color w:val="000000"/>
          <w:szCs w:val="20"/>
          <w:lang w:val="en-US"/>
        </w:rPr>
        <w:t>CYP</w:t>
      </w:r>
      <w:r w:rsidRPr="00D5033C">
        <w:rPr>
          <w:rFonts w:eastAsia="Times New Roman" w:cs="Arial"/>
          <w:color w:val="000000"/>
          <w:szCs w:val="20"/>
          <w:lang w:val="ru-RU"/>
        </w:rPr>
        <w:t>2</w:t>
      </w:r>
      <w:r w:rsidRPr="00D5033C">
        <w:rPr>
          <w:rFonts w:eastAsia="Times New Roman" w:cs="Arial"/>
          <w:color w:val="000000"/>
          <w:szCs w:val="20"/>
          <w:lang w:val="en-US"/>
        </w:rPr>
        <w:t>C</w:t>
      </w:r>
      <w:r w:rsidRPr="00D5033C">
        <w:rPr>
          <w:rFonts w:eastAsia="Times New Roman" w:cs="Arial"/>
          <w:color w:val="000000"/>
          <w:szCs w:val="20"/>
          <w:lang w:val="ru-RU"/>
        </w:rPr>
        <w:t xml:space="preserve">9). </w:t>
      </w:r>
      <w:r w:rsidRPr="00D5033C">
        <w:rPr>
          <w:rFonts w:eastAsia="Times New Roman" w:cs="Arial"/>
          <w:color w:val="000000"/>
          <w:szCs w:val="20"/>
          <w:lang w:eastAsia="bg-BG"/>
        </w:rPr>
        <w:t xml:space="preserve">Неговият метаболизъм се повлиява при едновременен прием на </w:t>
      </w:r>
      <w:r w:rsidRPr="00D5033C">
        <w:rPr>
          <w:rFonts w:eastAsia="Times New Roman" w:cs="Arial"/>
          <w:color w:val="000000"/>
          <w:szCs w:val="20"/>
          <w:lang w:val="en-US"/>
        </w:rPr>
        <w:t>CYP</w:t>
      </w:r>
      <w:r w:rsidRPr="00D5033C">
        <w:rPr>
          <w:rFonts w:eastAsia="Times New Roman" w:cs="Arial"/>
          <w:color w:val="000000"/>
          <w:szCs w:val="20"/>
          <w:lang w:val="ru-RU"/>
        </w:rPr>
        <w:t>2</w:t>
      </w:r>
      <w:r w:rsidRPr="00D5033C">
        <w:rPr>
          <w:rFonts w:eastAsia="Times New Roman" w:cs="Arial"/>
          <w:color w:val="000000"/>
          <w:szCs w:val="20"/>
          <w:lang w:val="en-US"/>
        </w:rPr>
        <w:t>C</w:t>
      </w:r>
      <w:r w:rsidRPr="00D5033C">
        <w:rPr>
          <w:rFonts w:eastAsia="Times New Roman" w:cs="Arial"/>
          <w:color w:val="000000"/>
          <w:szCs w:val="20"/>
          <w:lang w:val="ru-RU"/>
        </w:rPr>
        <w:t xml:space="preserve">9 </w:t>
      </w:r>
      <w:r w:rsidRPr="00D5033C">
        <w:rPr>
          <w:rFonts w:eastAsia="Times New Roman" w:cs="Arial"/>
          <w:color w:val="000000"/>
          <w:szCs w:val="20"/>
          <w:lang w:eastAsia="bg-BG"/>
        </w:rPr>
        <w:t>индуктори (напр. рифампицин) или инхибитори (напр. флуконазол).</w:t>
      </w:r>
    </w:p>
    <w:p w14:paraId="5E973EAF" w14:textId="77777777" w:rsidR="00D5033C" w:rsidRPr="00D5033C" w:rsidRDefault="00D5033C" w:rsidP="00D5033C">
      <w:pPr>
        <w:spacing w:line="240" w:lineRule="auto"/>
        <w:rPr>
          <w:rFonts w:eastAsia="Times New Roman" w:cs="Arial"/>
          <w:color w:val="000000"/>
          <w:szCs w:val="20"/>
          <w:lang w:eastAsia="bg-BG"/>
        </w:rPr>
      </w:pPr>
    </w:p>
    <w:p w14:paraId="652A7DCF" w14:textId="7CDA5261"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Резултатите от </w:t>
      </w:r>
      <w:r w:rsidRPr="00D5033C">
        <w:rPr>
          <w:rFonts w:eastAsia="Times New Roman" w:cs="Arial"/>
          <w:i/>
          <w:iCs/>
          <w:color w:val="000000"/>
          <w:szCs w:val="20"/>
          <w:lang w:val="en-US"/>
        </w:rPr>
        <w:t>in</w:t>
      </w:r>
      <w:r w:rsidRPr="00D5033C">
        <w:rPr>
          <w:rFonts w:eastAsia="Times New Roman" w:cs="Arial"/>
          <w:i/>
          <w:iCs/>
          <w:color w:val="000000"/>
          <w:szCs w:val="20"/>
          <w:lang w:val="ru-RU"/>
        </w:rPr>
        <w:t xml:space="preserve"> </w:t>
      </w:r>
      <w:r w:rsidRPr="00D5033C">
        <w:rPr>
          <w:rFonts w:eastAsia="Times New Roman" w:cs="Arial"/>
          <w:i/>
          <w:iCs/>
          <w:color w:val="000000"/>
          <w:szCs w:val="20"/>
          <w:lang w:val="en-US"/>
        </w:rPr>
        <w:t>vivo</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проучване на взаимодействията, съобщени в литературата показват, че </w:t>
      </w:r>
      <w:r w:rsidRPr="00D5033C">
        <w:rPr>
          <w:rFonts w:eastAsia="Times New Roman" w:cs="Arial"/>
          <w:color w:val="000000"/>
          <w:szCs w:val="20"/>
          <w:lang w:val="en-US"/>
        </w:rPr>
        <w:t>AUC</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на глимепирид се увеличава приблизително двукратно от флуконазол, един от най- мощните </w:t>
      </w:r>
      <w:r w:rsidRPr="00D5033C">
        <w:rPr>
          <w:rFonts w:eastAsia="Times New Roman" w:cs="Arial"/>
          <w:color w:val="000000"/>
          <w:szCs w:val="20"/>
          <w:lang w:val="en-US"/>
        </w:rPr>
        <w:t>CYP</w:t>
      </w:r>
      <w:r w:rsidRPr="00D5033C">
        <w:rPr>
          <w:rFonts w:eastAsia="Times New Roman" w:cs="Arial"/>
          <w:color w:val="000000"/>
          <w:szCs w:val="20"/>
          <w:lang w:val="ru-RU"/>
        </w:rPr>
        <w:t>2</w:t>
      </w:r>
      <w:r w:rsidRPr="00D5033C">
        <w:rPr>
          <w:rFonts w:eastAsia="Times New Roman" w:cs="Arial"/>
          <w:color w:val="000000"/>
          <w:szCs w:val="20"/>
          <w:lang w:val="en-US"/>
        </w:rPr>
        <w:t>C</w:t>
      </w:r>
      <w:r w:rsidRPr="00D5033C">
        <w:rPr>
          <w:rFonts w:eastAsia="Times New Roman" w:cs="Arial"/>
          <w:color w:val="000000"/>
          <w:szCs w:val="20"/>
          <w:lang w:val="ru-RU"/>
        </w:rPr>
        <w:t xml:space="preserve">9 </w:t>
      </w:r>
      <w:r w:rsidRPr="00D5033C">
        <w:rPr>
          <w:rFonts w:eastAsia="Times New Roman" w:cs="Arial"/>
          <w:color w:val="000000"/>
          <w:szCs w:val="20"/>
          <w:lang w:eastAsia="bg-BG"/>
        </w:rPr>
        <w:t>инхибитори.</w:t>
      </w:r>
    </w:p>
    <w:p w14:paraId="7763A99F" w14:textId="77777777" w:rsidR="00D5033C" w:rsidRPr="00D5033C" w:rsidRDefault="00D5033C" w:rsidP="00D5033C">
      <w:pPr>
        <w:spacing w:line="240" w:lineRule="auto"/>
        <w:rPr>
          <w:rFonts w:eastAsia="Times New Roman" w:cs="Arial"/>
          <w:color w:val="000000"/>
          <w:szCs w:val="20"/>
          <w:lang w:eastAsia="bg-BG"/>
        </w:rPr>
      </w:pPr>
    </w:p>
    <w:p w14:paraId="2A296291" w14:textId="6B4CABB2"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lastRenderedPageBreak/>
        <w:t>Въз основа на опита с глимепирид и с други сулфанилурейни лекарствени продукти е необходимо да бъдат споменати следните взаимодействия:</w:t>
      </w:r>
    </w:p>
    <w:p w14:paraId="55A73BF6" w14:textId="77777777" w:rsidR="00D5033C" w:rsidRPr="00D5033C" w:rsidRDefault="00D5033C" w:rsidP="00D5033C">
      <w:pPr>
        <w:spacing w:line="240" w:lineRule="auto"/>
        <w:rPr>
          <w:rFonts w:eastAsia="Times New Roman" w:cs="Arial"/>
          <w:color w:val="000000"/>
          <w:szCs w:val="20"/>
          <w:lang w:eastAsia="bg-BG"/>
        </w:rPr>
      </w:pPr>
    </w:p>
    <w:p w14:paraId="10B70B87" w14:textId="456F3092"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Потенциране на понижаващия кръвната захар ефект и поради това възможност в някои случаи да възникне хипогликемия при прием на някои от следните лекарства:</w:t>
      </w:r>
    </w:p>
    <w:p w14:paraId="746C0B9F"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фенилбутазон, азапропазон, оксифенбутазон</w:t>
      </w:r>
    </w:p>
    <w:p w14:paraId="0835304F"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инсулин, перорални хипогликемизиращи средства, дълго действащи сулфонамиди, като метформин</w:t>
      </w:r>
    </w:p>
    <w:p w14:paraId="294B11DD"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салицилати, р-амино-салицилова киселина</w:t>
      </w:r>
    </w:p>
    <w:p w14:paraId="5A92D64B"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анаболни стероиди, мъжки полови хормони</w:t>
      </w:r>
    </w:p>
    <w:p w14:paraId="31C9E00A"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хлорамфеникол, някои дълго действащи сулфонамиди, тетрациклини, хинолони и кларитромицин</w:t>
      </w:r>
    </w:p>
    <w:p w14:paraId="4E35BF03"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кумаринови антикоагуланти</w:t>
      </w:r>
    </w:p>
    <w:p w14:paraId="09C99561"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фенфлурамин</w:t>
      </w:r>
    </w:p>
    <w:p w14:paraId="4EF01B0C"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дизопирамид</w:t>
      </w:r>
    </w:p>
    <w:p w14:paraId="11A5C86F"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фибрати</w:t>
      </w:r>
    </w:p>
    <w:p w14:paraId="0A3E5EE9"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АСЕ инхибитори</w:t>
      </w:r>
    </w:p>
    <w:p w14:paraId="7E94B279"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флуксетин, МАО-инхибитори</w:t>
      </w:r>
    </w:p>
    <w:p w14:paraId="73365493"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алопуринол, пробенецид, сулфинпиразон</w:t>
      </w:r>
    </w:p>
    <w:p w14:paraId="5F6584B6"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симпатиколитици</w:t>
      </w:r>
    </w:p>
    <w:p w14:paraId="1C191E89"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циклофосфамид, трофосфамид и ифосфамиди</w:t>
      </w:r>
    </w:p>
    <w:p w14:paraId="4C925CEF"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миконазол, флуконазол</w:t>
      </w:r>
    </w:p>
    <w:p w14:paraId="18D11917"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пентоксифилин (високи парентерални дози)</w:t>
      </w:r>
    </w:p>
    <w:p w14:paraId="5801EC4D" w14:textId="78CAD818"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тритоквалин</w:t>
      </w:r>
    </w:p>
    <w:p w14:paraId="5B882840" w14:textId="77777777" w:rsidR="00D5033C" w:rsidRPr="00D5033C" w:rsidRDefault="00D5033C" w:rsidP="00D5033C">
      <w:pPr>
        <w:spacing w:line="240" w:lineRule="auto"/>
        <w:rPr>
          <w:rFonts w:eastAsia="Times New Roman" w:cs="Arial"/>
          <w:color w:val="000000"/>
          <w:szCs w:val="20"/>
          <w:lang w:eastAsia="bg-BG"/>
        </w:rPr>
      </w:pPr>
    </w:p>
    <w:p w14:paraId="06CDC698" w14:textId="77777777" w:rsidR="00D5033C" w:rsidRPr="00D5033C" w:rsidRDefault="00D5033C" w:rsidP="00D5033C">
      <w:pPr>
        <w:spacing w:line="240" w:lineRule="auto"/>
        <w:rPr>
          <w:rFonts w:eastAsia="Times New Roman" w:cs="Arial"/>
          <w:color w:val="000000"/>
          <w:szCs w:val="20"/>
          <w:lang w:eastAsia="bg-BG"/>
        </w:rPr>
      </w:pPr>
      <w:r w:rsidRPr="00D5033C">
        <w:rPr>
          <w:rFonts w:eastAsia="Times New Roman" w:cs="Arial"/>
          <w:color w:val="000000"/>
          <w:szCs w:val="20"/>
          <w:lang w:eastAsia="bg-BG"/>
        </w:rPr>
        <w:t xml:space="preserve">Намаляване на хипогликемичния ефект, и поради това, възможност в някои случаи да възникне хипергликемия при приемане на някои от следните лекарства: </w:t>
      </w:r>
    </w:p>
    <w:p w14:paraId="4145E44D"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 xml:space="preserve">естрогени и прогестагени </w:t>
      </w:r>
    </w:p>
    <w:p w14:paraId="061C21AE"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 xml:space="preserve">салуретици, тиазидни диуретици </w:t>
      </w:r>
    </w:p>
    <w:p w14:paraId="6819F3DC"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 xml:space="preserve">средства стимулиращи щитовидната жлеза, глюкокортикоиди </w:t>
      </w:r>
    </w:p>
    <w:p w14:paraId="7B875AC8"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 xml:space="preserve">фенотиазинови производни, хлорпромазин </w:t>
      </w:r>
    </w:p>
    <w:p w14:paraId="68690D16"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 xml:space="preserve">адреналин и симпатикомиметици никотинова киселина (във високи дози) и производни на </w:t>
      </w:r>
    </w:p>
    <w:p w14:paraId="16454D62"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 xml:space="preserve">никотиновата киселина лаксативи (при продължителна употреба) </w:t>
      </w:r>
    </w:p>
    <w:p w14:paraId="205001E9"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 xml:space="preserve">фенитоин, диазоксид </w:t>
      </w:r>
    </w:p>
    <w:p w14:paraId="3E79023D"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 xml:space="preserve">глюкагон, барбитурати, рифампицин </w:t>
      </w:r>
    </w:p>
    <w:p w14:paraId="5CD33923" w14:textId="38660FCD"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ацетазоламид</w:t>
      </w:r>
    </w:p>
    <w:p w14:paraId="192ED32C" w14:textId="77777777" w:rsidR="00D5033C" w:rsidRPr="00D5033C" w:rsidRDefault="00D5033C" w:rsidP="00D5033C">
      <w:pPr>
        <w:rPr>
          <w:rFonts w:eastAsia="Times New Roman" w:cs="Arial"/>
          <w:color w:val="000000"/>
          <w:szCs w:val="20"/>
          <w:lang w:eastAsia="bg-BG"/>
        </w:rPr>
      </w:pPr>
    </w:p>
    <w:p w14:paraId="3382E43F" w14:textId="3467FDDA" w:rsidR="00D5033C" w:rsidRPr="00D5033C" w:rsidRDefault="00D5033C" w:rsidP="00D5033C">
      <w:pPr>
        <w:rPr>
          <w:rFonts w:eastAsia="Times New Roman" w:cs="Arial"/>
          <w:color w:val="000000"/>
          <w:szCs w:val="20"/>
          <w:lang w:eastAsia="bg-BG"/>
        </w:rPr>
      </w:pPr>
      <w:r w:rsidRPr="00D5033C">
        <w:rPr>
          <w:rFonts w:eastAsia="Times New Roman" w:cs="Arial"/>
          <w:color w:val="000000"/>
          <w:szCs w:val="20"/>
          <w:lang w:eastAsia="bg-BG"/>
        </w:rPr>
        <w:t>Н</w:t>
      </w:r>
      <w:r w:rsidRPr="00D5033C">
        <w:rPr>
          <w:rFonts w:eastAsia="Times New Roman" w:cs="Arial"/>
          <w:color w:val="000000"/>
          <w:szCs w:val="20"/>
          <w:vertAlign w:val="subscript"/>
          <w:lang w:eastAsia="bg-BG"/>
        </w:rPr>
        <w:t>2</w:t>
      </w:r>
      <w:r w:rsidRPr="00D5033C">
        <w:rPr>
          <w:rFonts w:eastAsia="Times New Roman" w:cs="Arial"/>
          <w:color w:val="000000"/>
          <w:szCs w:val="20"/>
          <w:lang w:eastAsia="bg-BG"/>
        </w:rPr>
        <w:t>-антагонистите, бета-блокерите, клонидин и резерпин могат да доведат или до потенциране или до отслабване на хипогликемизиращият ефект.</w:t>
      </w:r>
    </w:p>
    <w:p w14:paraId="148256E2" w14:textId="674BE8E7" w:rsidR="00D5033C" w:rsidRPr="00D5033C" w:rsidRDefault="00D5033C" w:rsidP="00D5033C">
      <w:pPr>
        <w:rPr>
          <w:rFonts w:eastAsia="Times New Roman" w:cs="Arial"/>
          <w:color w:val="000000"/>
          <w:szCs w:val="20"/>
          <w:lang w:eastAsia="bg-BG"/>
        </w:rPr>
      </w:pPr>
    </w:p>
    <w:p w14:paraId="0E273423"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Под влияние на симпатиколитични лекапрствени средства, като бета-блокери, клонидин, гванетидин и резерпин, могат да бъдат отслабени или да отсъстват признаците на адренергична контрарегулация при хипогликемия.</w:t>
      </w:r>
    </w:p>
    <w:p w14:paraId="27A6530A" w14:textId="77777777" w:rsidR="00D5033C" w:rsidRPr="00D5033C" w:rsidRDefault="00D5033C" w:rsidP="00D5033C">
      <w:pPr>
        <w:spacing w:line="240" w:lineRule="auto"/>
        <w:rPr>
          <w:rFonts w:eastAsia="Times New Roman" w:cs="Arial"/>
          <w:color w:val="000000"/>
          <w:szCs w:val="20"/>
          <w:lang w:eastAsia="bg-BG"/>
        </w:rPr>
      </w:pPr>
    </w:p>
    <w:p w14:paraId="1107D658" w14:textId="1E39BA21"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Консумацията на алкохол може по непредсказуем начин да потенцира или да отслаби хипогликемизиращото действие на глимепирид.</w:t>
      </w:r>
    </w:p>
    <w:p w14:paraId="684A2C12" w14:textId="77777777" w:rsidR="00D5033C" w:rsidRPr="00D5033C" w:rsidRDefault="00D5033C" w:rsidP="00D5033C">
      <w:pPr>
        <w:rPr>
          <w:rFonts w:eastAsia="Times New Roman" w:cs="Arial"/>
          <w:color w:val="000000"/>
          <w:szCs w:val="20"/>
          <w:lang w:eastAsia="bg-BG"/>
        </w:rPr>
      </w:pPr>
    </w:p>
    <w:p w14:paraId="6632C6B9" w14:textId="32CC7250" w:rsidR="00D5033C" w:rsidRPr="00D5033C" w:rsidRDefault="00D5033C" w:rsidP="00D5033C">
      <w:pPr>
        <w:rPr>
          <w:rFonts w:cs="Arial"/>
          <w:sz w:val="24"/>
        </w:rPr>
      </w:pPr>
      <w:r w:rsidRPr="00D5033C">
        <w:rPr>
          <w:rFonts w:eastAsia="Times New Roman" w:cs="Arial"/>
          <w:color w:val="000000"/>
          <w:szCs w:val="20"/>
          <w:lang w:eastAsia="bg-BG"/>
        </w:rPr>
        <w:t>Глимепирид може да потенцира или да отслаби ефектите на кумариновите производни.</w:t>
      </w:r>
    </w:p>
    <w:p w14:paraId="5D9F40EA" w14:textId="1FDADFBF" w:rsidR="007122AD" w:rsidRDefault="002C50EE" w:rsidP="00936AD0">
      <w:pPr>
        <w:pStyle w:val="Heading2"/>
      </w:pPr>
      <w:r>
        <w:lastRenderedPageBreak/>
        <w:t>4.6. Фертилитет, бременност и кърмене</w:t>
      </w:r>
    </w:p>
    <w:p w14:paraId="2AC6672C" w14:textId="1870D316" w:rsidR="00D5033C" w:rsidRDefault="00D5033C" w:rsidP="00D5033C"/>
    <w:p w14:paraId="3CE17A60" w14:textId="77777777" w:rsidR="00D5033C" w:rsidRPr="00D5033C" w:rsidRDefault="00D5033C" w:rsidP="00D5033C">
      <w:pPr>
        <w:pStyle w:val="Heading3"/>
        <w:rPr>
          <w:rFonts w:eastAsia="Times New Roman"/>
          <w:sz w:val="28"/>
          <w:u w:val="single"/>
        </w:rPr>
      </w:pPr>
      <w:r w:rsidRPr="00D5033C">
        <w:rPr>
          <w:rFonts w:eastAsia="Times New Roman"/>
          <w:u w:val="single"/>
          <w:lang w:eastAsia="bg-BG"/>
        </w:rPr>
        <w:t>Бременност</w:t>
      </w:r>
    </w:p>
    <w:p w14:paraId="31209742" w14:textId="77777777" w:rsidR="00D5033C" w:rsidRPr="00D5033C" w:rsidRDefault="00D5033C" w:rsidP="00D5033C">
      <w:pPr>
        <w:spacing w:line="240" w:lineRule="auto"/>
        <w:rPr>
          <w:rFonts w:eastAsia="Times New Roman" w:cs="Arial"/>
          <w:sz w:val="28"/>
          <w:szCs w:val="24"/>
        </w:rPr>
      </w:pPr>
      <w:r w:rsidRPr="00D5033C">
        <w:rPr>
          <w:rFonts w:eastAsia="Times New Roman" w:cs="Arial"/>
          <w:i/>
          <w:iCs/>
          <w:color w:val="000000"/>
          <w:szCs w:val="20"/>
          <w:lang w:eastAsia="bg-BG"/>
        </w:rPr>
        <w:t>Риск, свързан с диабета</w:t>
      </w:r>
    </w:p>
    <w:p w14:paraId="4A578569"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Необичайните стойности на кръвната захар по време на бременността се свързват с по-често възникване на вродени аномалии и перинатална смъртност. Ето защо стойностите на кръвната захар трябва да бъдат стриктно проследявани по време на бременността с цел избягване на тератогенен риск. При тези обстоятелства се препоръчва употребата на инсулин. Пациентките, възнамеряващи да забременеят, трябва да уведомят своя лекар.</w:t>
      </w:r>
    </w:p>
    <w:p w14:paraId="5005241E" w14:textId="77777777" w:rsidR="00D5033C" w:rsidRPr="00D5033C" w:rsidRDefault="00D5033C" w:rsidP="00D5033C">
      <w:pPr>
        <w:spacing w:line="240" w:lineRule="auto"/>
        <w:rPr>
          <w:rFonts w:eastAsia="Times New Roman" w:cs="Arial"/>
          <w:i/>
          <w:iCs/>
          <w:color w:val="000000"/>
          <w:szCs w:val="20"/>
          <w:lang w:eastAsia="bg-BG"/>
        </w:rPr>
      </w:pPr>
    </w:p>
    <w:p w14:paraId="1AA5DD18" w14:textId="6BEF2256" w:rsidR="00D5033C" w:rsidRPr="00D5033C" w:rsidRDefault="00D5033C" w:rsidP="00D5033C">
      <w:pPr>
        <w:spacing w:line="240" w:lineRule="auto"/>
        <w:rPr>
          <w:rFonts w:eastAsia="Times New Roman" w:cs="Arial"/>
          <w:sz w:val="28"/>
          <w:szCs w:val="24"/>
        </w:rPr>
      </w:pPr>
      <w:r w:rsidRPr="00D5033C">
        <w:rPr>
          <w:rFonts w:eastAsia="Times New Roman" w:cs="Arial"/>
          <w:i/>
          <w:iCs/>
          <w:color w:val="000000"/>
          <w:szCs w:val="20"/>
          <w:lang w:eastAsia="bg-BG"/>
        </w:rPr>
        <w:t>Риск свързан с глимепирид</w:t>
      </w:r>
    </w:p>
    <w:p w14:paraId="681FB44A"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Няма адекватни данни за употребата на глимепирид при бременни жени. Проучвания с животни са показали репродуктивна токсичност, която най-вероятно е свързана с фармакологичното действие (хипогликемия) на глимепирид (вж. точка 5.3).</w:t>
      </w:r>
    </w:p>
    <w:p w14:paraId="01680636" w14:textId="77777777" w:rsidR="00D5033C" w:rsidRPr="00D5033C" w:rsidRDefault="00D5033C" w:rsidP="00D5033C">
      <w:pPr>
        <w:spacing w:line="240" w:lineRule="auto"/>
        <w:rPr>
          <w:rFonts w:eastAsia="Times New Roman" w:cs="Arial"/>
          <w:color w:val="000000"/>
          <w:szCs w:val="20"/>
          <w:lang w:eastAsia="bg-BG"/>
        </w:rPr>
      </w:pPr>
    </w:p>
    <w:p w14:paraId="23545B2B" w14:textId="70477BDF"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Следователно, глимепирид не трябва да бъде използван по време на цялата бременност.</w:t>
      </w:r>
    </w:p>
    <w:p w14:paraId="6A844C40" w14:textId="77777777" w:rsidR="00D5033C" w:rsidRPr="00D5033C" w:rsidRDefault="00D5033C" w:rsidP="00D5033C">
      <w:pPr>
        <w:spacing w:line="240" w:lineRule="auto"/>
        <w:rPr>
          <w:rFonts w:eastAsia="Times New Roman" w:cs="Arial"/>
          <w:color w:val="000000"/>
          <w:szCs w:val="20"/>
          <w:lang w:eastAsia="bg-BG"/>
        </w:rPr>
      </w:pPr>
    </w:p>
    <w:p w14:paraId="763A43C1" w14:textId="0EC30430"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В случай на лечение с глимепирид, ако пациентката планира бременност или ако е установена бременност, терапията трябва да бъде променена възможно най-бързо на инсулин.</w:t>
      </w:r>
    </w:p>
    <w:p w14:paraId="4B367344" w14:textId="77777777" w:rsidR="00D5033C" w:rsidRPr="00D5033C" w:rsidRDefault="00D5033C" w:rsidP="00D5033C">
      <w:pPr>
        <w:spacing w:line="240" w:lineRule="auto"/>
        <w:rPr>
          <w:rFonts w:eastAsia="Times New Roman" w:cs="Arial"/>
          <w:color w:val="000000"/>
          <w:szCs w:val="20"/>
          <w:u w:val="single"/>
          <w:lang w:eastAsia="bg-BG"/>
        </w:rPr>
      </w:pPr>
    </w:p>
    <w:p w14:paraId="344639BA" w14:textId="706E1C09" w:rsidR="00D5033C" w:rsidRPr="00D5033C" w:rsidRDefault="00D5033C" w:rsidP="00D5033C">
      <w:pPr>
        <w:pStyle w:val="Heading3"/>
        <w:rPr>
          <w:rFonts w:eastAsia="Times New Roman"/>
          <w:sz w:val="28"/>
          <w:u w:val="single"/>
        </w:rPr>
      </w:pPr>
      <w:r w:rsidRPr="00D5033C">
        <w:rPr>
          <w:rFonts w:eastAsia="Times New Roman"/>
          <w:u w:val="single"/>
          <w:lang w:eastAsia="bg-BG"/>
        </w:rPr>
        <w:t>Кърмене</w:t>
      </w:r>
    </w:p>
    <w:p w14:paraId="05215CBB"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Не е известно дали глимепирид се екскретира в майчиното мляко. Глимепирид преминава в млякото на плъхове. Тъй като другите сулфанилурейни производни преминават в майчиното мляко и тъй като съществува риск от хипогликемия при кърмачетата, се препоръчва да се избягва кърменето по време на лечение с глимепирид.</w:t>
      </w:r>
    </w:p>
    <w:p w14:paraId="3B5EAD23" w14:textId="77777777" w:rsidR="00D5033C" w:rsidRPr="00D5033C" w:rsidRDefault="00D5033C" w:rsidP="00D5033C"/>
    <w:p w14:paraId="5DD7A76D" w14:textId="44795822" w:rsidR="007122AD" w:rsidRDefault="002C50EE" w:rsidP="00936AD0">
      <w:pPr>
        <w:pStyle w:val="Heading2"/>
      </w:pPr>
      <w:r>
        <w:t>4.7. Ефекти върху способността за шофиране и работа с машини</w:t>
      </w:r>
    </w:p>
    <w:p w14:paraId="7E36D7E8" w14:textId="1905CB08" w:rsidR="00D5033C" w:rsidRDefault="00D5033C" w:rsidP="00D5033C"/>
    <w:p w14:paraId="3C184804"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Не са провеждани проучвания за ефектите върху способността за шофиране и работа с машини.</w:t>
      </w:r>
    </w:p>
    <w:p w14:paraId="7009F6B5" w14:textId="77777777" w:rsidR="00D5033C" w:rsidRPr="00D5033C" w:rsidRDefault="00D5033C" w:rsidP="00D5033C">
      <w:pPr>
        <w:spacing w:line="240" w:lineRule="auto"/>
        <w:rPr>
          <w:rFonts w:eastAsia="Times New Roman" w:cs="Arial"/>
          <w:color w:val="000000"/>
          <w:szCs w:val="20"/>
          <w:lang w:eastAsia="bg-BG"/>
        </w:rPr>
      </w:pPr>
    </w:p>
    <w:p w14:paraId="0A8F8BDC" w14:textId="487FF5EA"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Способността на пациентите за концентрация и реагиране може да бъде нарушена вследствие на хипогликемия или хипергликемия, или например вследствие нарушения в зрението. Това може да представлява опасност в ситуации, при които тези способности са от особено значение, като шофиране и работа с машини.</w:t>
      </w:r>
    </w:p>
    <w:p w14:paraId="17B6524C" w14:textId="77777777" w:rsidR="00D5033C" w:rsidRPr="00D5033C" w:rsidRDefault="00D5033C" w:rsidP="00D5033C">
      <w:pPr>
        <w:spacing w:line="240" w:lineRule="auto"/>
        <w:rPr>
          <w:rFonts w:eastAsia="Times New Roman" w:cs="Arial"/>
          <w:color w:val="000000"/>
          <w:szCs w:val="20"/>
          <w:lang w:eastAsia="bg-BG"/>
        </w:rPr>
      </w:pPr>
    </w:p>
    <w:p w14:paraId="3FF5388F" w14:textId="3D87A449"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Пациентите трябва да бъдат посъветвани да вземат предпазни мерки за избягване на хипогликемия по време на шофиране. Това особено касае хората с понижено или липсващо усещане за предупредителните симптоми на хипогликемия, или които имат чести епизоди на хипогликемия. При тях трябва добре да се обмисли способността им да шофират или да работят с машини.</w:t>
      </w:r>
    </w:p>
    <w:p w14:paraId="0E4AAD2E" w14:textId="77777777" w:rsidR="00D5033C" w:rsidRPr="00D5033C" w:rsidRDefault="00D5033C" w:rsidP="00D5033C"/>
    <w:p w14:paraId="44CE30A3" w14:textId="4B74DE89" w:rsidR="007122AD" w:rsidRDefault="002C50EE" w:rsidP="00936AD0">
      <w:pPr>
        <w:pStyle w:val="Heading2"/>
      </w:pPr>
      <w:r>
        <w:t>4.8. Нежелани лекарствени реакции</w:t>
      </w:r>
    </w:p>
    <w:p w14:paraId="5D8A0E33" w14:textId="144FB1F7" w:rsidR="00D5033C" w:rsidRDefault="00D5033C" w:rsidP="00D5033C"/>
    <w:p w14:paraId="506B18BC" w14:textId="5130990F" w:rsidR="00D5033C" w:rsidRPr="00D5033C" w:rsidRDefault="00D5033C" w:rsidP="00D5033C">
      <w:pPr>
        <w:rPr>
          <w:szCs w:val="20"/>
        </w:rPr>
      </w:pPr>
      <w:r w:rsidRPr="00D5033C">
        <w:rPr>
          <w:szCs w:val="20"/>
        </w:rPr>
        <w:t xml:space="preserve">Следните нежелани лекарствени реакции от клинични изследвания, базирани на опита с глимепирид и с други сулфанилурейни лекарствени продукти, са изредени по системо-органен клас и в ред на намаляваща честота: много чести (≥1/10), чести (≥1/100 до &lt;1/10), </w:t>
      </w:r>
      <w:r w:rsidRPr="00D5033C">
        <w:rPr>
          <w:szCs w:val="20"/>
        </w:rPr>
        <w:lastRenderedPageBreak/>
        <w:t>нечести (≥1/1 000 до &lt;1/100), редки (≥1/10 000 до &lt;1/1 000), много редки (≤1/10 000), с неизвестна</w:t>
      </w:r>
      <w:r w:rsidRPr="00D5033C">
        <w:rPr>
          <w:szCs w:val="20"/>
          <w:vertAlign w:val="superscript"/>
        </w:rPr>
        <w:t xml:space="preserve"> </w:t>
      </w:r>
      <w:r w:rsidRPr="00D5033C">
        <w:rPr>
          <w:szCs w:val="20"/>
        </w:rPr>
        <w:t>честота (от наличните данни не може да бъде направена оценка).</w:t>
      </w:r>
    </w:p>
    <w:p w14:paraId="506CA273" w14:textId="665AF315" w:rsidR="00D5033C" w:rsidRDefault="00D5033C" w:rsidP="00D5033C">
      <w:pPr>
        <w:rPr>
          <w:sz w:val="20"/>
          <w:szCs w:val="20"/>
        </w:rPr>
      </w:pPr>
    </w:p>
    <w:tbl>
      <w:tblPr>
        <w:tblStyle w:val="TableGrid"/>
        <w:tblW w:w="0" w:type="auto"/>
        <w:tblLook w:val="04A0" w:firstRow="1" w:lastRow="0" w:firstColumn="1" w:lastColumn="0" w:noHBand="0" w:noVBand="1"/>
      </w:tblPr>
      <w:tblGrid>
        <w:gridCol w:w="2179"/>
        <w:gridCol w:w="2288"/>
        <w:gridCol w:w="2472"/>
        <w:gridCol w:w="2411"/>
      </w:tblGrid>
      <w:tr w:rsidR="00D5033C" w14:paraId="43235B0C" w14:textId="77777777" w:rsidTr="00D5033C">
        <w:tc>
          <w:tcPr>
            <w:tcW w:w="2327" w:type="dxa"/>
          </w:tcPr>
          <w:p w14:paraId="53839C94" w14:textId="68CEB02A" w:rsidR="00D5033C" w:rsidRPr="00D5033C" w:rsidRDefault="00D5033C" w:rsidP="00D5033C">
            <w:pPr>
              <w:rPr>
                <w:szCs w:val="20"/>
              </w:rPr>
            </w:pPr>
            <w:r w:rsidRPr="00D5033C">
              <w:rPr>
                <w:b/>
                <w:bCs/>
                <w:szCs w:val="20"/>
              </w:rPr>
              <w:t>Системно-органна класификация</w:t>
            </w:r>
          </w:p>
        </w:tc>
        <w:tc>
          <w:tcPr>
            <w:tcW w:w="2366" w:type="dxa"/>
          </w:tcPr>
          <w:p w14:paraId="5C492EDF" w14:textId="77777777" w:rsidR="00D5033C" w:rsidRPr="00D5033C" w:rsidRDefault="00D5033C" w:rsidP="00D5033C">
            <w:r w:rsidRPr="00D5033C">
              <w:rPr>
                <w:b/>
                <w:bCs/>
                <w:szCs w:val="20"/>
              </w:rPr>
              <w:t>Редки</w:t>
            </w:r>
          </w:p>
          <w:p w14:paraId="7B1AB5B3" w14:textId="7E980543" w:rsidR="00D5033C" w:rsidRPr="00D5033C" w:rsidRDefault="00D5033C" w:rsidP="00D5033C">
            <w:pPr>
              <w:rPr>
                <w:szCs w:val="20"/>
              </w:rPr>
            </w:pPr>
            <w:r w:rsidRPr="00D5033C">
              <w:rPr>
                <w:b/>
                <w:bCs/>
                <w:szCs w:val="20"/>
              </w:rPr>
              <w:t>(≥1/10 000 до &lt;1/1 000)</w:t>
            </w:r>
          </w:p>
        </w:tc>
        <w:tc>
          <w:tcPr>
            <w:tcW w:w="2472" w:type="dxa"/>
          </w:tcPr>
          <w:p w14:paraId="4AB98F5C" w14:textId="290EDCE5" w:rsidR="00D5033C" w:rsidRPr="00D5033C" w:rsidRDefault="00D5033C" w:rsidP="00D5033C">
            <w:pPr>
              <w:rPr>
                <w:szCs w:val="20"/>
              </w:rPr>
            </w:pPr>
            <w:r w:rsidRPr="00D5033C">
              <w:rPr>
                <w:b/>
                <w:bCs/>
                <w:szCs w:val="20"/>
              </w:rPr>
              <w:t>Много редки (≤1/10 000)</w:t>
            </w:r>
          </w:p>
        </w:tc>
        <w:tc>
          <w:tcPr>
            <w:tcW w:w="2411" w:type="dxa"/>
            <w:vAlign w:val="bottom"/>
          </w:tcPr>
          <w:p w14:paraId="4BBD95A9" w14:textId="3A3CF2EA" w:rsidR="00D5033C" w:rsidRPr="00D5033C" w:rsidRDefault="00D5033C" w:rsidP="00D5033C">
            <w:pPr>
              <w:rPr>
                <w:szCs w:val="20"/>
              </w:rPr>
            </w:pPr>
            <w:r w:rsidRPr="00D5033C">
              <w:rPr>
                <w:b/>
                <w:bCs/>
                <w:szCs w:val="20"/>
              </w:rPr>
              <w:t>С неизвестна честота (от наличните данни не може да бъде направена оценка)</w:t>
            </w:r>
          </w:p>
        </w:tc>
      </w:tr>
      <w:tr w:rsidR="00D5033C" w14:paraId="3796238E" w14:textId="77777777" w:rsidTr="00D5033C">
        <w:tc>
          <w:tcPr>
            <w:tcW w:w="2327" w:type="dxa"/>
          </w:tcPr>
          <w:p w14:paraId="3E68AF5B" w14:textId="4F3FDDEA" w:rsidR="00D5033C" w:rsidRPr="00D5033C" w:rsidRDefault="00D5033C" w:rsidP="00D5033C">
            <w:pPr>
              <w:rPr>
                <w:szCs w:val="20"/>
              </w:rPr>
            </w:pPr>
            <w:r w:rsidRPr="00D5033C">
              <w:rPr>
                <w:szCs w:val="20"/>
              </w:rPr>
              <w:t>Нарушения на кръвта и лимфната система</w:t>
            </w:r>
          </w:p>
        </w:tc>
        <w:tc>
          <w:tcPr>
            <w:tcW w:w="2366" w:type="dxa"/>
            <w:vAlign w:val="bottom"/>
          </w:tcPr>
          <w:p w14:paraId="511C0149" w14:textId="60312ADB" w:rsidR="00D5033C" w:rsidRPr="00D5033C" w:rsidRDefault="00D5033C" w:rsidP="00D5033C">
            <w:pPr>
              <w:rPr>
                <w:szCs w:val="20"/>
              </w:rPr>
            </w:pPr>
            <w:r w:rsidRPr="00D5033C">
              <w:rPr>
                <w:szCs w:val="20"/>
              </w:rPr>
              <w:t>Тромбоцитопения, левкопения, гранулоцитопения, агранулоцитоза, еритропения, хемолитична анемия и панцитопения, които по принцип са обратими след прекратяване приема на лекарството</w:t>
            </w:r>
          </w:p>
        </w:tc>
        <w:tc>
          <w:tcPr>
            <w:tcW w:w="2472" w:type="dxa"/>
          </w:tcPr>
          <w:p w14:paraId="3A6A3572" w14:textId="77777777" w:rsidR="00D5033C" w:rsidRPr="00D5033C" w:rsidRDefault="00D5033C" w:rsidP="00D5033C">
            <w:pPr>
              <w:rPr>
                <w:szCs w:val="20"/>
              </w:rPr>
            </w:pPr>
          </w:p>
        </w:tc>
        <w:tc>
          <w:tcPr>
            <w:tcW w:w="2411" w:type="dxa"/>
          </w:tcPr>
          <w:p w14:paraId="17912DC9" w14:textId="5945ED06" w:rsidR="00D5033C" w:rsidRPr="00D5033C" w:rsidRDefault="00D5033C" w:rsidP="00D5033C">
            <w:pPr>
              <w:rPr>
                <w:szCs w:val="20"/>
              </w:rPr>
            </w:pPr>
            <w:r w:rsidRPr="00D5033C">
              <w:rPr>
                <w:szCs w:val="20"/>
              </w:rPr>
              <w:t>Тежка тромбоцитопения с брой на тромбоцитите по-нисък от 10 000/μ</w:t>
            </w:r>
            <w:r w:rsidRPr="00D5033C">
              <w:rPr>
                <w:szCs w:val="20"/>
                <w:lang w:val="en-US"/>
              </w:rPr>
              <w:t>l</w:t>
            </w:r>
            <w:r w:rsidRPr="00D5033C">
              <w:rPr>
                <w:szCs w:val="20"/>
              </w:rPr>
              <w:t xml:space="preserve"> и тромбоцитопенична пурпура</w:t>
            </w:r>
          </w:p>
        </w:tc>
      </w:tr>
      <w:tr w:rsidR="00D5033C" w14:paraId="704DC97E" w14:textId="77777777" w:rsidTr="00D5033C">
        <w:tc>
          <w:tcPr>
            <w:tcW w:w="2327" w:type="dxa"/>
          </w:tcPr>
          <w:p w14:paraId="15DEC685" w14:textId="6AA2D45F" w:rsidR="00D5033C" w:rsidRPr="00D5033C" w:rsidRDefault="00D5033C" w:rsidP="00D5033C">
            <w:pPr>
              <w:rPr>
                <w:szCs w:val="20"/>
              </w:rPr>
            </w:pPr>
            <w:r w:rsidRPr="00D5033C">
              <w:rPr>
                <w:szCs w:val="20"/>
              </w:rPr>
              <w:t>Нарушения на имунната система</w:t>
            </w:r>
          </w:p>
        </w:tc>
        <w:tc>
          <w:tcPr>
            <w:tcW w:w="2366" w:type="dxa"/>
          </w:tcPr>
          <w:p w14:paraId="1E729E2E" w14:textId="77777777" w:rsidR="00D5033C" w:rsidRPr="00D5033C" w:rsidRDefault="00D5033C" w:rsidP="00D5033C">
            <w:pPr>
              <w:rPr>
                <w:szCs w:val="20"/>
              </w:rPr>
            </w:pPr>
          </w:p>
        </w:tc>
        <w:tc>
          <w:tcPr>
            <w:tcW w:w="2472" w:type="dxa"/>
            <w:vAlign w:val="center"/>
          </w:tcPr>
          <w:p w14:paraId="2E2B1797" w14:textId="03BA2E83" w:rsidR="00D5033C" w:rsidRPr="00D5033C" w:rsidRDefault="00D5033C" w:rsidP="00D5033C">
            <w:pPr>
              <w:rPr>
                <w:szCs w:val="20"/>
              </w:rPr>
            </w:pPr>
            <w:r w:rsidRPr="00D5033C">
              <w:rPr>
                <w:szCs w:val="20"/>
              </w:rPr>
              <w:t>Левкоцитокластичен васкулит, леки реакции на свръхчувствителност, които могат да прераснат в тежки реакции с диспнея, понижаване на артериалното налягане и понякога шок</w:t>
            </w:r>
          </w:p>
        </w:tc>
        <w:tc>
          <w:tcPr>
            <w:tcW w:w="2411" w:type="dxa"/>
          </w:tcPr>
          <w:p w14:paraId="4634BD45" w14:textId="1896FD95" w:rsidR="00D5033C" w:rsidRPr="00D5033C" w:rsidRDefault="00D5033C" w:rsidP="00D5033C">
            <w:pPr>
              <w:rPr>
                <w:szCs w:val="20"/>
              </w:rPr>
            </w:pPr>
            <w:r w:rsidRPr="00D5033C">
              <w:rPr>
                <w:szCs w:val="20"/>
              </w:rPr>
              <w:t>Възможни са кръстосани алергии със сулфанилурейни продукти, сулфонамиди или сродни вещества</w:t>
            </w:r>
          </w:p>
        </w:tc>
      </w:tr>
      <w:tr w:rsidR="00D5033C" w14:paraId="073C8E60" w14:textId="77777777" w:rsidTr="00D5033C">
        <w:tc>
          <w:tcPr>
            <w:tcW w:w="2327" w:type="dxa"/>
            <w:vAlign w:val="bottom"/>
          </w:tcPr>
          <w:p w14:paraId="7337E746" w14:textId="738AF420" w:rsidR="00D5033C" w:rsidRPr="00D5033C" w:rsidRDefault="00D5033C" w:rsidP="00D5033C">
            <w:pPr>
              <w:rPr>
                <w:szCs w:val="20"/>
              </w:rPr>
            </w:pPr>
            <w:r w:rsidRPr="00D5033C">
              <w:rPr>
                <w:szCs w:val="20"/>
              </w:rPr>
              <w:t>Нрушения на метаболизма и храненето</w:t>
            </w:r>
          </w:p>
        </w:tc>
        <w:tc>
          <w:tcPr>
            <w:tcW w:w="2366" w:type="dxa"/>
            <w:vAlign w:val="center"/>
          </w:tcPr>
          <w:p w14:paraId="42B0560D" w14:textId="34C455E7" w:rsidR="00D5033C" w:rsidRPr="00D5033C" w:rsidRDefault="00D5033C" w:rsidP="00D5033C">
            <w:pPr>
              <w:rPr>
                <w:szCs w:val="20"/>
              </w:rPr>
            </w:pPr>
            <w:r w:rsidRPr="00D5033C">
              <w:rPr>
                <w:szCs w:val="20"/>
              </w:rPr>
              <w:t>Хипогликемични реакции*</w:t>
            </w:r>
          </w:p>
        </w:tc>
        <w:tc>
          <w:tcPr>
            <w:tcW w:w="2472" w:type="dxa"/>
          </w:tcPr>
          <w:p w14:paraId="01E200AD" w14:textId="77777777" w:rsidR="00D5033C" w:rsidRPr="00D5033C" w:rsidRDefault="00D5033C" w:rsidP="00D5033C">
            <w:pPr>
              <w:rPr>
                <w:szCs w:val="20"/>
              </w:rPr>
            </w:pPr>
          </w:p>
        </w:tc>
        <w:tc>
          <w:tcPr>
            <w:tcW w:w="2411" w:type="dxa"/>
          </w:tcPr>
          <w:p w14:paraId="5640990E" w14:textId="77777777" w:rsidR="00D5033C" w:rsidRPr="00D5033C" w:rsidRDefault="00D5033C" w:rsidP="00D5033C">
            <w:pPr>
              <w:rPr>
                <w:szCs w:val="20"/>
              </w:rPr>
            </w:pPr>
          </w:p>
        </w:tc>
      </w:tr>
      <w:tr w:rsidR="00D5033C" w14:paraId="598A97A6" w14:textId="77777777" w:rsidTr="00D5033C">
        <w:tc>
          <w:tcPr>
            <w:tcW w:w="2327" w:type="dxa"/>
          </w:tcPr>
          <w:p w14:paraId="392EACA7" w14:textId="6B205682" w:rsidR="00D5033C" w:rsidRPr="00D5033C" w:rsidRDefault="00D5033C" w:rsidP="00D5033C">
            <w:pPr>
              <w:rPr>
                <w:szCs w:val="20"/>
              </w:rPr>
            </w:pPr>
            <w:r w:rsidRPr="00D5033C">
              <w:rPr>
                <w:szCs w:val="20"/>
              </w:rPr>
              <w:t>Нарушения на очите</w:t>
            </w:r>
          </w:p>
        </w:tc>
        <w:tc>
          <w:tcPr>
            <w:tcW w:w="2366" w:type="dxa"/>
          </w:tcPr>
          <w:p w14:paraId="4EA249D9" w14:textId="77777777" w:rsidR="00D5033C" w:rsidRPr="00D5033C" w:rsidRDefault="00D5033C" w:rsidP="00D5033C">
            <w:pPr>
              <w:rPr>
                <w:szCs w:val="20"/>
              </w:rPr>
            </w:pPr>
          </w:p>
        </w:tc>
        <w:tc>
          <w:tcPr>
            <w:tcW w:w="2472" w:type="dxa"/>
          </w:tcPr>
          <w:p w14:paraId="42F7F91A" w14:textId="77777777" w:rsidR="00D5033C" w:rsidRPr="00D5033C" w:rsidRDefault="00D5033C" w:rsidP="00D5033C">
            <w:pPr>
              <w:rPr>
                <w:szCs w:val="20"/>
              </w:rPr>
            </w:pPr>
          </w:p>
        </w:tc>
        <w:tc>
          <w:tcPr>
            <w:tcW w:w="2411" w:type="dxa"/>
            <w:vAlign w:val="bottom"/>
          </w:tcPr>
          <w:p w14:paraId="3E1C2A2B" w14:textId="52A3A007" w:rsidR="00D5033C" w:rsidRPr="00D5033C" w:rsidRDefault="00D5033C" w:rsidP="00D5033C">
            <w:pPr>
              <w:rPr>
                <w:szCs w:val="20"/>
              </w:rPr>
            </w:pPr>
            <w:r w:rsidRPr="00D5033C">
              <w:rPr>
                <w:szCs w:val="20"/>
              </w:rPr>
              <w:t>Преходни зрителни нарушения, особено в началото на лечението, поради промяна в стойностите на кръвната захар</w:t>
            </w:r>
          </w:p>
        </w:tc>
      </w:tr>
      <w:tr w:rsidR="00D5033C" w14:paraId="150B1E87" w14:textId="77777777" w:rsidTr="00D5033C">
        <w:tc>
          <w:tcPr>
            <w:tcW w:w="2327" w:type="dxa"/>
          </w:tcPr>
          <w:p w14:paraId="34E8A7F4" w14:textId="7CEFE3AF" w:rsidR="00D5033C" w:rsidRPr="00D5033C" w:rsidRDefault="00D5033C" w:rsidP="00D5033C">
            <w:pPr>
              <w:rPr>
                <w:szCs w:val="20"/>
              </w:rPr>
            </w:pPr>
            <w:r w:rsidRPr="00D5033C">
              <w:rPr>
                <w:szCs w:val="20"/>
              </w:rPr>
              <w:t>Стомашно-чревни нарушения</w:t>
            </w:r>
          </w:p>
        </w:tc>
        <w:tc>
          <w:tcPr>
            <w:tcW w:w="2366" w:type="dxa"/>
          </w:tcPr>
          <w:p w14:paraId="5C7FFDA7" w14:textId="77777777" w:rsidR="00D5033C" w:rsidRPr="00D5033C" w:rsidRDefault="00D5033C" w:rsidP="00D5033C">
            <w:pPr>
              <w:rPr>
                <w:szCs w:val="20"/>
              </w:rPr>
            </w:pPr>
          </w:p>
        </w:tc>
        <w:tc>
          <w:tcPr>
            <w:tcW w:w="2472" w:type="dxa"/>
            <w:vAlign w:val="center"/>
          </w:tcPr>
          <w:p w14:paraId="3532CA7B" w14:textId="19FEA58A" w:rsidR="00D5033C" w:rsidRPr="00D5033C" w:rsidRDefault="00D5033C" w:rsidP="00D5033C">
            <w:pPr>
              <w:rPr>
                <w:szCs w:val="20"/>
              </w:rPr>
            </w:pPr>
            <w:r w:rsidRPr="00D5033C">
              <w:rPr>
                <w:szCs w:val="20"/>
              </w:rPr>
              <w:t xml:space="preserve">Гадене, повръщане, диария, абдоминална дистензия, усещане за дискомфорт в коремната област и </w:t>
            </w:r>
            <w:r w:rsidRPr="00D5033C">
              <w:rPr>
                <w:szCs w:val="20"/>
              </w:rPr>
              <w:lastRenderedPageBreak/>
              <w:t>болки в областта на корема, които рядко водят до прекратяване на лечението</w:t>
            </w:r>
          </w:p>
        </w:tc>
        <w:tc>
          <w:tcPr>
            <w:tcW w:w="2411" w:type="dxa"/>
          </w:tcPr>
          <w:p w14:paraId="788EB037" w14:textId="77777777" w:rsidR="00D5033C" w:rsidRPr="00D5033C" w:rsidRDefault="00D5033C" w:rsidP="00D5033C">
            <w:pPr>
              <w:rPr>
                <w:szCs w:val="20"/>
              </w:rPr>
            </w:pPr>
          </w:p>
        </w:tc>
      </w:tr>
      <w:tr w:rsidR="00D5033C" w14:paraId="535A29C1" w14:textId="77777777" w:rsidTr="00D5033C">
        <w:tc>
          <w:tcPr>
            <w:tcW w:w="2327" w:type="dxa"/>
          </w:tcPr>
          <w:p w14:paraId="669ECDEC" w14:textId="59216770" w:rsidR="00D5033C" w:rsidRPr="00D5033C" w:rsidRDefault="00D5033C" w:rsidP="00D5033C">
            <w:pPr>
              <w:rPr>
                <w:szCs w:val="20"/>
              </w:rPr>
            </w:pPr>
            <w:r w:rsidRPr="00D5033C">
              <w:rPr>
                <w:szCs w:val="20"/>
              </w:rPr>
              <w:t>Хепатобилиарни нарушения</w:t>
            </w:r>
          </w:p>
        </w:tc>
        <w:tc>
          <w:tcPr>
            <w:tcW w:w="2366" w:type="dxa"/>
          </w:tcPr>
          <w:p w14:paraId="754ECF5E" w14:textId="77777777" w:rsidR="00D5033C" w:rsidRPr="00D5033C" w:rsidRDefault="00D5033C" w:rsidP="00D5033C">
            <w:pPr>
              <w:rPr>
                <w:szCs w:val="20"/>
              </w:rPr>
            </w:pPr>
          </w:p>
        </w:tc>
        <w:tc>
          <w:tcPr>
            <w:tcW w:w="2472" w:type="dxa"/>
            <w:vAlign w:val="bottom"/>
          </w:tcPr>
          <w:p w14:paraId="6B7633EB" w14:textId="718A1863" w:rsidR="00D5033C" w:rsidRPr="00D5033C" w:rsidRDefault="00D5033C" w:rsidP="00D5033C">
            <w:pPr>
              <w:rPr>
                <w:szCs w:val="20"/>
              </w:rPr>
            </w:pPr>
            <w:r w:rsidRPr="00D5033C">
              <w:rPr>
                <w:szCs w:val="20"/>
              </w:rPr>
              <w:t>Нарушение на чернодробната функция (напр. с холестаза и иктер), хепатит или чернодробна недостатъчност</w:t>
            </w:r>
          </w:p>
        </w:tc>
        <w:tc>
          <w:tcPr>
            <w:tcW w:w="2411" w:type="dxa"/>
          </w:tcPr>
          <w:p w14:paraId="30B2B86E" w14:textId="59D692F6" w:rsidR="00D5033C" w:rsidRPr="00D5033C" w:rsidRDefault="00D5033C" w:rsidP="00D5033C">
            <w:pPr>
              <w:rPr>
                <w:szCs w:val="20"/>
              </w:rPr>
            </w:pPr>
            <w:r w:rsidRPr="00D5033C">
              <w:rPr>
                <w:szCs w:val="20"/>
              </w:rPr>
              <w:t>Повишени стойности на чернодробните ензими</w:t>
            </w:r>
          </w:p>
        </w:tc>
      </w:tr>
      <w:tr w:rsidR="00D5033C" w14:paraId="2A3ECAD8" w14:textId="77777777" w:rsidTr="00D5033C">
        <w:tc>
          <w:tcPr>
            <w:tcW w:w="2327" w:type="dxa"/>
          </w:tcPr>
          <w:p w14:paraId="4500AA21" w14:textId="73493B1D" w:rsidR="00D5033C" w:rsidRPr="00D5033C" w:rsidRDefault="00D5033C" w:rsidP="00D5033C">
            <w:pPr>
              <w:rPr>
                <w:szCs w:val="20"/>
              </w:rPr>
            </w:pPr>
            <w:r w:rsidRPr="00D5033C">
              <w:rPr>
                <w:szCs w:val="20"/>
              </w:rPr>
              <w:t>Нарушения на кожата и подкожната тъкан</w:t>
            </w:r>
          </w:p>
        </w:tc>
        <w:tc>
          <w:tcPr>
            <w:tcW w:w="2366" w:type="dxa"/>
          </w:tcPr>
          <w:p w14:paraId="458B85BC" w14:textId="77777777" w:rsidR="00D5033C" w:rsidRPr="00D5033C" w:rsidRDefault="00D5033C" w:rsidP="00D5033C">
            <w:pPr>
              <w:rPr>
                <w:szCs w:val="20"/>
              </w:rPr>
            </w:pPr>
          </w:p>
        </w:tc>
        <w:tc>
          <w:tcPr>
            <w:tcW w:w="2472" w:type="dxa"/>
          </w:tcPr>
          <w:p w14:paraId="14965DA8" w14:textId="77777777" w:rsidR="00D5033C" w:rsidRPr="00D5033C" w:rsidRDefault="00D5033C" w:rsidP="00D5033C">
            <w:pPr>
              <w:rPr>
                <w:szCs w:val="20"/>
              </w:rPr>
            </w:pPr>
          </w:p>
        </w:tc>
        <w:tc>
          <w:tcPr>
            <w:tcW w:w="2411" w:type="dxa"/>
          </w:tcPr>
          <w:p w14:paraId="6793C022" w14:textId="5B6DAB6A" w:rsidR="00D5033C" w:rsidRPr="00D5033C" w:rsidRDefault="00D5033C" w:rsidP="00D5033C">
            <w:pPr>
              <w:rPr>
                <w:szCs w:val="20"/>
              </w:rPr>
            </w:pPr>
            <w:r w:rsidRPr="00D5033C">
              <w:rPr>
                <w:szCs w:val="20"/>
              </w:rPr>
              <w:t>Възможно е да възникнат реакции на свръхчувствителност по кожата, като сърбеж, обрив, уртикария и фоточувствителност</w:t>
            </w:r>
          </w:p>
        </w:tc>
      </w:tr>
      <w:tr w:rsidR="00D5033C" w14:paraId="1DFCE497" w14:textId="77777777" w:rsidTr="00D5033C">
        <w:tc>
          <w:tcPr>
            <w:tcW w:w="2327" w:type="dxa"/>
          </w:tcPr>
          <w:p w14:paraId="45F888ED" w14:textId="1955E04B" w:rsidR="00D5033C" w:rsidRPr="00D5033C" w:rsidRDefault="00D5033C" w:rsidP="00D5033C">
            <w:pPr>
              <w:rPr>
                <w:szCs w:val="20"/>
              </w:rPr>
            </w:pPr>
            <w:r w:rsidRPr="00D5033C">
              <w:rPr>
                <w:szCs w:val="20"/>
              </w:rPr>
              <w:t>Изследвания</w:t>
            </w:r>
          </w:p>
        </w:tc>
        <w:tc>
          <w:tcPr>
            <w:tcW w:w="2366" w:type="dxa"/>
          </w:tcPr>
          <w:p w14:paraId="6AA9B85F" w14:textId="77777777" w:rsidR="00D5033C" w:rsidRPr="00D5033C" w:rsidRDefault="00D5033C" w:rsidP="00D5033C">
            <w:pPr>
              <w:rPr>
                <w:szCs w:val="20"/>
              </w:rPr>
            </w:pPr>
          </w:p>
        </w:tc>
        <w:tc>
          <w:tcPr>
            <w:tcW w:w="2472" w:type="dxa"/>
          </w:tcPr>
          <w:p w14:paraId="0C131145" w14:textId="0E8A6E79" w:rsidR="00D5033C" w:rsidRPr="00D5033C" w:rsidRDefault="00D5033C" w:rsidP="00D5033C">
            <w:pPr>
              <w:rPr>
                <w:szCs w:val="20"/>
              </w:rPr>
            </w:pPr>
            <w:r w:rsidRPr="00D5033C">
              <w:rPr>
                <w:szCs w:val="20"/>
              </w:rPr>
              <w:t>Понижаване на стойностите на натрий в кръвта</w:t>
            </w:r>
          </w:p>
        </w:tc>
        <w:tc>
          <w:tcPr>
            <w:tcW w:w="2411" w:type="dxa"/>
          </w:tcPr>
          <w:p w14:paraId="528A481A" w14:textId="77777777" w:rsidR="00D5033C" w:rsidRPr="00D5033C" w:rsidRDefault="00D5033C" w:rsidP="00D5033C">
            <w:pPr>
              <w:rPr>
                <w:szCs w:val="20"/>
              </w:rPr>
            </w:pPr>
          </w:p>
        </w:tc>
      </w:tr>
    </w:tbl>
    <w:p w14:paraId="4D4660A2" w14:textId="77777777" w:rsidR="00D5033C" w:rsidRDefault="00D5033C" w:rsidP="00D5033C">
      <w:pPr>
        <w:spacing w:line="240" w:lineRule="auto"/>
        <w:rPr>
          <w:rFonts w:ascii="Times New Roman" w:eastAsia="Times New Roman" w:hAnsi="Times New Roman" w:cs="Times New Roman"/>
          <w:color w:val="000000"/>
          <w:sz w:val="20"/>
          <w:szCs w:val="20"/>
          <w:lang w:eastAsia="bg-BG"/>
        </w:rPr>
      </w:pPr>
    </w:p>
    <w:p w14:paraId="50D4CCDC" w14:textId="324CF456" w:rsidR="00D5033C" w:rsidRPr="00D5033C" w:rsidRDefault="00D5033C" w:rsidP="00D5033C">
      <w:pPr>
        <w:spacing w:line="240" w:lineRule="auto"/>
        <w:rPr>
          <w:rFonts w:eastAsia="Times New Roman" w:cs="Arial"/>
        </w:rPr>
      </w:pPr>
      <w:r w:rsidRPr="00D5033C">
        <w:rPr>
          <w:rFonts w:eastAsia="Times New Roman" w:cs="Arial"/>
          <w:color w:val="000000"/>
          <w:lang w:eastAsia="bg-BG"/>
        </w:rPr>
        <w:t>*Най-често тези реакции възникват внезапно, като могат да са тежки и не винаги е лесно да бъдат коригирани. Възникването на подобни реакции зависи, както и при другите хипогликемични терапии, от индивидуални фактори, диетичен режим и дозировка (вж. точка 4.4).</w:t>
      </w:r>
    </w:p>
    <w:p w14:paraId="33B7EEB2" w14:textId="77777777" w:rsidR="00D5033C" w:rsidRPr="00D5033C" w:rsidRDefault="00D5033C" w:rsidP="00D5033C">
      <w:pPr>
        <w:spacing w:line="240" w:lineRule="auto"/>
        <w:rPr>
          <w:rFonts w:eastAsia="Times New Roman" w:cs="Arial"/>
          <w:color w:val="000000"/>
          <w:u w:val="single"/>
          <w:lang w:eastAsia="bg-BG"/>
        </w:rPr>
      </w:pPr>
    </w:p>
    <w:p w14:paraId="0EC3F016" w14:textId="22370498" w:rsidR="00D5033C" w:rsidRPr="00D5033C" w:rsidRDefault="00D5033C" w:rsidP="00D5033C">
      <w:pPr>
        <w:spacing w:line="240" w:lineRule="auto"/>
        <w:rPr>
          <w:rFonts w:eastAsia="Times New Roman" w:cs="Arial"/>
        </w:rPr>
      </w:pPr>
      <w:r w:rsidRPr="00D5033C">
        <w:rPr>
          <w:rFonts w:eastAsia="Times New Roman" w:cs="Arial"/>
          <w:color w:val="000000"/>
          <w:u w:val="single"/>
          <w:lang w:eastAsia="bg-BG"/>
        </w:rPr>
        <w:t>Съобщаване на подозирани нежелани реакции</w:t>
      </w:r>
    </w:p>
    <w:p w14:paraId="0DDE3F82" w14:textId="77777777" w:rsidR="00D5033C" w:rsidRPr="00D5033C" w:rsidRDefault="00D5033C" w:rsidP="00D5033C">
      <w:pPr>
        <w:spacing w:line="240" w:lineRule="auto"/>
        <w:rPr>
          <w:rFonts w:eastAsia="Times New Roman" w:cs="Arial"/>
        </w:rPr>
      </w:pPr>
      <w:r w:rsidRPr="00D5033C">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ул.,Дамян Груев” № 8, 1303 София, тел.: 02 8903417, уебсайт: </w:t>
      </w:r>
      <w:r w:rsidRPr="00D5033C">
        <w:rPr>
          <w:rFonts w:eastAsia="Times New Roman" w:cs="Arial"/>
        </w:rPr>
        <w:fldChar w:fldCharType="begin"/>
      </w:r>
      <w:r w:rsidRPr="00D5033C">
        <w:rPr>
          <w:rFonts w:eastAsia="Times New Roman" w:cs="Arial"/>
        </w:rPr>
        <w:instrText xml:space="preserve"> HYPERLINK "http://www.bda.bg" </w:instrText>
      </w:r>
      <w:r w:rsidRPr="00D5033C">
        <w:rPr>
          <w:rFonts w:eastAsia="Times New Roman" w:cs="Arial"/>
        </w:rPr>
      </w:r>
      <w:r w:rsidRPr="00D5033C">
        <w:rPr>
          <w:rFonts w:eastAsia="Times New Roman" w:cs="Arial"/>
        </w:rPr>
        <w:fldChar w:fldCharType="separate"/>
      </w:r>
      <w:r w:rsidRPr="00D5033C">
        <w:rPr>
          <w:rFonts w:eastAsia="Times New Roman" w:cs="Arial"/>
          <w:color w:val="000000"/>
          <w:u w:val="single"/>
          <w:lang w:val="en-US"/>
        </w:rPr>
        <w:t>www</w:t>
      </w:r>
      <w:r w:rsidRPr="00D5033C">
        <w:rPr>
          <w:rFonts w:eastAsia="Times New Roman" w:cs="Arial"/>
          <w:color w:val="000000"/>
          <w:u w:val="single"/>
          <w:lang w:val="ru-RU"/>
        </w:rPr>
        <w:t>.</w:t>
      </w:r>
      <w:proofErr w:type="spellStart"/>
      <w:r w:rsidRPr="00D5033C">
        <w:rPr>
          <w:rFonts w:eastAsia="Times New Roman" w:cs="Arial"/>
          <w:color w:val="000000"/>
          <w:u w:val="single"/>
          <w:lang w:val="en-US"/>
        </w:rPr>
        <w:t>bda</w:t>
      </w:r>
      <w:proofErr w:type="spellEnd"/>
      <w:r w:rsidRPr="00D5033C">
        <w:rPr>
          <w:rFonts w:eastAsia="Times New Roman" w:cs="Arial"/>
          <w:color w:val="000000"/>
          <w:u w:val="single"/>
          <w:lang w:val="ru-RU"/>
        </w:rPr>
        <w:t>.</w:t>
      </w:r>
      <w:proofErr w:type="spellStart"/>
      <w:r w:rsidRPr="00D5033C">
        <w:rPr>
          <w:rFonts w:eastAsia="Times New Roman" w:cs="Arial"/>
          <w:color w:val="000000"/>
          <w:u w:val="single"/>
          <w:lang w:val="en-US"/>
        </w:rPr>
        <w:t>bg</w:t>
      </w:r>
      <w:proofErr w:type="spellEnd"/>
      <w:r w:rsidRPr="00D5033C">
        <w:rPr>
          <w:rFonts w:eastAsia="Times New Roman" w:cs="Arial"/>
        </w:rPr>
        <w:fldChar w:fldCharType="end"/>
      </w:r>
    </w:p>
    <w:p w14:paraId="2396AC41" w14:textId="161BFF8B" w:rsidR="00D5033C" w:rsidRPr="00D5033C" w:rsidRDefault="00D5033C" w:rsidP="00D5033C"/>
    <w:p w14:paraId="5A87DBA3" w14:textId="66FAF29B" w:rsidR="007122AD" w:rsidRDefault="002C50EE" w:rsidP="00936AD0">
      <w:pPr>
        <w:pStyle w:val="Heading2"/>
      </w:pPr>
      <w:r>
        <w:t>4.9. Предозиране</w:t>
      </w:r>
    </w:p>
    <w:p w14:paraId="443A08F0" w14:textId="0175B6DC" w:rsidR="003246F5" w:rsidRDefault="003246F5" w:rsidP="003246F5"/>
    <w:p w14:paraId="0A90562F"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След прием на свръхдоза може да настъпи хипогликемия с продължителност от 12 до 72 часа, която може да се повтори след първоначално овладяване. Симптомите може да не се появят до 24 часа след приема на лекарствения продукт. По принцип се препоръчва наблюдение в болница. Може да се появят гадене, повръщане, епигастрални болки. В общия случай, хипогликемията може да е придружена от неврологични симптоми като безпокойство, тремор, зрителни смущения, нарушена координация, сънливост, гърчове и кома.</w:t>
      </w:r>
    </w:p>
    <w:p w14:paraId="6880FAD5" w14:textId="77777777" w:rsidR="003246F5" w:rsidRPr="003246F5" w:rsidRDefault="003246F5" w:rsidP="003246F5">
      <w:pPr>
        <w:spacing w:line="240" w:lineRule="auto"/>
        <w:rPr>
          <w:rFonts w:eastAsia="Times New Roman" w:cs="Arial"/>
          <w:color w:val="000000"/>
          <w:szCs w:val="20"/>
          <w:lang w:eastAsia="bg-BG"/>
        </w:rPr>
      </w:pPr>
    </w:p>
    <w:p w14:paraId="5E46F3DB" w14:textId="7A4FF543"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 xml:space="preserve">Лечението се състои предимно в предотвратяване на абсорбцията чрез предизвикване на повръщане, прием на активен въглен (като адсорбент) и на натриев сулфат (като </w:t>
      </w:r>
      <w:r w:rsidRPr="003246F5">
        <w:rPr>
          <w:rFonts w:eastAsia="Times New Roman" w:cs="Arial"/>
          <w:color w:val="000000"/>
          <w:szCs w:val="20"/>
          <w:lang w:eastAsia="bg-BG"/>
        </w:rPr>
        <w:lastRenderedPageBreak/>
        <w:t xml:space="preserve">лаксатив). Ако е прието голямо количество глимепирид е показан стомашен лаваж, последван от активен въглен и натриев сулфат. В случаи на значително предозиране се налага настаняване в отделение за интензивни грижи. Максимално бързо трябва да се започне приложение на глюкоза, при необходимост чрез болусно интравенозно инжектиране на 50 </w:t>
      </w:r>
      <w:r w:rsidRPr="003246F5">
        <w:rPr>
          <w:rFonts w:eastAsia="Times New Roman" w:cs="Arial"/>
          <w:color w:val="000000"/>
          <w:szCs w:val="20"/>
          <w:lang w:val="en-US"/>
        </w:rPr>
        <w:t>ml</w:t>
      </w:r>
      <w:r w:rsidRPr="003246F5">
        <w:rPr>
          <w:rFonts w:eastAsia="Times New Roman" w:cs="Arial"/>
          <w:color w:val="000000"/>
          <w:szCs w:val="20"/>
          <w:lang w:val="ru-RU"/>
        </w:rPr>
        <w:t xml:space="preserve"> </w:t>
      </w:r>
      <w:r w:rsidRPr="003246F5">
        <w:rPr>
          <w:rFonts w:eastAsia="Times New Roman" w:cs="Arial"/>
          <w:color w:val="000000"/>
          <w:szCs w:val="20"/>
          <w:lang w:eastAsia="bg-BG"/>
        </w:rPr>
        <w:t>50% разтвор, последвано от инфузия на 10% разтвор със стриктно проследяване на кръвната захар. Последващото лечение е симптоматично.</w:t>
      </w:r>
    </w:p>
    <w:p w14:paraId="6D0AFE64" w14:textId="77777777" w:rsidR="003246F5" w:rsidRPr="003246F5" w:rsidRDefault="003246F5" w:rsidP="003246F5">
      <w:pPr>
        <w:spacing w:line="240" w:lineRule="auto"/>
        <w:rPr>
          <w:rFonts w:eastAsia="Times New Roman" w:cs="Arial"/>
          <w:color w:val="000000"/>
          <w:szCs w:val="20"/>
          <w:lang w:eastAsia="bg-BG"/>
        </w:rPr>
      </w:pPr>
    </w:p>
    <w:p w14:paraId="63060DE5" w14:textId="3723A202" w:rsidR="003246F5" w:rsidRPr="003246F5" w:rsidRDefault="003246F5" w:rsidP="003246F5">
      <w:pPr>
        <w:spacing w:line="240" w:lineRule="auto"/>
        <w:rPr>
          <w:rFonts w:ascii="Times New Roman" w:eastAsia="Times New Roman" w:hAnsi="Times New Roman" w:cs="Times New Roman"/>
          <w:sz w:val="24"/>
          <w:szCs w:val="24"/>
        </w:rPr>
      </w:pPr>
      <w:r w:rsidRPr="003246F5">
        <w:rPr>
          <w:rFonts w:eastAsia="Times New Roman" w:cs="Arial"/>
          <w:color w:val="000000"/>
          <w:szCs w:val="20"/>
          <w:lang w:eastAsia="bg-BG"/>
        </w:rPr>
        <w:t>Особено при лечение на хипогликемия, резултат от случаен прием на глимепирид от бебета и малки деца, дозата на приложената глюкоза трябва да се контролира внимателно за да се избегне развитието на опасна хипергликемия. Това налага стриктен контрол на нивото на кръвната захар.</w:t>
      </w:r>
    </w:p>
    <w:p w14:paraId="1BF4B6F8" w14:textId="77777777" w:rsidR="003246F5" w:rsidRPr="003246F5" w:rsidRDefault="003246F5" w:rsidP="003246F5"/>
    <w:p w14:paraId="02081B24" w14:textId="1F46E296" w:rsidR="00395555" w:rsidRPr="00395555" w:rsidRDefault="002C50EE" w:rsidP="008A6AF2">
      <w:pPr>
        <w:pStyle w:val="Heading1"/>
      </w:pPr>
      <w:r>
        <w:t>5. ФАРМАКОЛОГИЧНИ СВОЙСТВА</w:t>
      </w:r>
    </w:p>
    <w:p w14:paraId="7DE36AC8" w14:textId="683AB33B" w:rsidR="00B6672E" w:rsidRDefault="002C50EE" w:rsidP="00936AD0">
      <w:pPr>
        <w:pStyle w:val="Heading2"/>
      </w:pPr>
      <w:r>
        <w:t>5.1. Фармакодинамични свойства</w:t>
      </w:r>
    </w:p>
    <w:p w14:paraId="2EFAD92B" w14:textId="686A0E53" w:rsidR="003246F5" w:rsidRDefault="003246F5" w:rsidP="003246F5"/>
    <w:p w14:paraId="47B47FD6" w14:textId="1535B1F6" w:rsidR="003246F5" w:rsidRPr="003246F5" w:rsidRDefault="003246F5" w:rsidP="003246F5">
      <w:pPr>
        <w:rPr>
          <w:rFonts w:cs="Arial"/>
          <w:szCs w:val="20"/>
        </w:rPr>
      </w:pPr>
      <w:r w:rsidRPr="003246F5">
        <w:rPr>
          <w:rFonts w:cs="Arial"/>
          <w:szCs w:val="20"/>
        </w:rPr>
        <w:t>Фармакотерапевтична група: лекарства, понижаващи кръвната глюкоза с изключение на инсулини: Сулфонамидни, производни на уреята, АТС код: А10ВВ12</w:t>
      </w:r>
    </w:p>
    <w:p w14:paraId="47F8DE98" w14:textId="318037D9" w:rsidR="003246F5" w:rsidRPr="003246F5" w:rsidRDefault="003246F5" w:rsidP="003246F5">
      <w:pPr>
        <w:rPr>
          <w:rFonts w:cs="Arial"/>
          <w:szCs w:val="20"/>
        </w:rPr>
      </w:pPr>
    </w:p>
    <w:p w14:paraId="010E9D2F"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u w:val="single"/>
          <w:lang w:eastAsia="bg-BG"/>
        </w:rPr>
        <w:t>Механизъм на действие</w:t>
      </w:r>
    </w:p>
    <w:p w14:paraId="28B0BB6A"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Глимепирид е перорален хипогликемизиращ лекарствен продукт, принадлежащ към сулфанилурейната група. Той се използва за лечение на неинсулинозависим захарен диабет.</w:t>
      </w:r>
    </w:p>
    <w:p w14:paraId="28931CC6" w14:textId="77777777" w:rsidR="003246F5" w:rsidRPr="003246F5" w:rsidRDefault="003246F5" w:rsidP="003246F5">
      <w:pPr>
        <w:spacing w:line="240" w:lineRule="auto"/>
        <w:rPr>
          <w:rFonts w:eastAsia="Times New Roman" w:cs="Arial"/>
          <w:color w:val="000000"/>
          <w:szCs w:val="20"/>
          <w:lang w:eastAsia="bg-BG"/>
        </w:rPr>
      </w:pPr>
    </w:p>
    <w:p w14:paraId="1F1292D9" w14:textId="2204ADFA"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Глимепирид действа чрез стимулиране освобождаването на инсулин от бета-клетките на панкреаса. Както и при другите сулфанилурейни продукти, този ефект се основава върху усилване отговора на панкреатичните бета-клетки към физиологичния стимул на глюкозата. Освен тези ефекти, глимепирид притежава изразени екстрапанкреатични ефекти, отбелязани и при други сулфанилурейни продукти.</w:t>
      </w:r>
    </w:p>
    <w:p w14:paraId="21E9E260" w14:textId="77777777" w:rsidR="003246F5" w:rsidRPr="003246F5" w:rsidRDefault="003246F5" w:rsidP="003246F5">
      <w:pPr>
        <w:spacing w:line="240" w:lineRule="auto"/>
        <w:rPr>
          <w:rFonts w:eastAsia="Times New Roman" w:cs="Arial"/>
          <w:color w:val="000000"/>
          <w:szCs w:val="20"/>
          <w:u w:val="single"/>
          <w:lang w:eastAsia="bg-BG"/>
        </w:rPr>
      </w:pPr>
    </w:p>
    <w:p w14:paraId="26985CCC" w14:textId="2EC3A050"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u w:val="single"/>
          <w:lang w:eastAsia="bg-BG"/>
        </w:rPr>
        <w:t>Инсулиново освобождаване</w:t>
      </w:r>
    </w:p>
    <w:p w14:paraId="3E2CC4A8"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Сулфанилурейните продукти регулират инсулиновата секреция чрез затваряне на АТФ чувствителните калиеви каналчета в мембраната на бета-клетките на панкреаса. Затварянето на калиевите каналчета предизвиква деполаризация на р-клетките, в резултат на което, посредством отваряне на калциевите каналчета, настъпва повишено навлизане на калций в клетките. Това води до освобождаване на инсулин посредством екзоцитоза.</w:t>
      </w:r>
    </w:p>
    <w:p w14:paraId="63CB9D34" w14:textId="77777777" w:rsidR="003246F5" w:rsidRPr="003246F5" w:rsidRDefault="003246F5" w:rsidP="003246F5">
      <w:pPr>
        <w:spacing w:line="240" w:lineRule="auto"/>
        <w:rPr>
          <w:rFonts w:eastAsia="Times New Roman" w:cs="Arial"/>
          <w:color w:val="000000"/>
          <w:szCs w:val="20"/>
          <w:lang w:eastAsia="bg-BG"/>
        </w:rPr>
      </w:pPr>
    </w:p>
    <w:p w14:paraId="56812840" w14:textId="249E310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Глимепирид се свързва с висока обменна скорост с бета-клетъчен мембранен протеин, който е свързан с АТФ чувствителните калиеви каналчета, но който е различен от обичайното място за свързване на сулфанилурейните продукти.</w:t>
      </w:r>
    </w:p>
    <w:p w14:paraId="32152A7C" w14:textId="77777777" w:rsidR="003246F5" w:rsidRPr="003246F5" w:rsidRDefault="003246F5" w:rsidP="003246F5">
      <w:pPr>
        <w:spacing w:line="240" w:lineRule="auto"/>
        <w:rPr>
          <w:rFonts w:eastAsia="Times New Roman" w:cs="Arial"/>
          <w:color w:val="000000"/>
          <w:szCs w:val="20"/>
          <w:u w:val="single"/>
          <w:lang w:eastAsia="bg-BG"/>
        </w:rPr>
      </w:pPr>
    </w:p>
    <w:p w14:paraId="33F1FEDC" w14:textId="0ED59080"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u w:val="single"/>
          <w:lang w:eastAsia="bg-BG"/>
        </w:rPr>
        <w:t>Фармакодинамични ефекти</w:t>
      </w:r>
    </w:p>
    <w:p w14:paraId="52E74F2F" w14:textId="77777777" w:rsidR="003246F5" w:rsidRPr="003246F5" w:rsidRDefault="003246F5" w:rsidP="003246F5">
      <w:pPr>
        <w:spacing w:line="240" w:lineRule="auto"/>
        <w:rPr>
          <w:rFonts w:eastAsia="Times New Roman" w:cs="Arial"/>
          <w:i/>
          <w:iCs/>
          <w:color w:val="000000"/>
          <w:szCs w:val="20"/>
          <w:u w:val="single"/>
          <w:lang w:eastAsia="bg-BG"/>
        </w:rPr>
      </w:pPr>
    </w:p>
    <w:p w14:paraId="65CB0F11" w14:textId="155AAE8F" w:rsidR="003246F5" w:rsidRPr="003246F5" w:rsidRDefault="003246F5" w:rsidP="003246F5">
      <w:pPr>
        <w:spacing w:line="240" w:lineRule="auto"/>
        <w:rPr>
          <w:rFonts w:eastAsia="Times New Roman" w:cs="Arial"/>
          <w:sz w:val="28"/>
          <w:szCs w:val="24"/>
        </w:rPr>
      </w:pPr>
      <w:r w:rsidRPr="003246F5">
        <w:rPr>
          <w:rFonts w:eastAsia="Times New Roman" w:cs="Arial"/>
          <w:i/>
          <w:iCs/>
          <w:color w:val="000000"/>
          <w:szCs w:val="20"/>
          <w:u w:val="single"/>
          <w:lang w:eastAsia="bg-BG"/>
        </w:rPr>
        <w:t>Екстрапанкреасна активност</w:t>
      </w:r>
    </w:p>
    <w:p w14:paraId="3A0DF484"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Екстрапанкреатичните ефекти включват подобрение в чувствителността на периферните тъкани към инсулин и снижаване на инсулиновата консумация в черния дроб.</w:t>
      </w:r>
    </w:p>
    <w:p w14:paraId="6662FF18" w14:textId="77777777" w:rsidR="003246F5" w:rsidRPr="003246F5" w:rsidRDefault="003246F5" w:rsidP="003246F5">
      <w:pPr>
        <w:spacing w:line="240" w:lineRule="auto"/>
        <w:rPr>
          <w:rFonts w:eastAsia="Times New Roman" w:cs="Arial"/>
          <w:color w:val="000000"/>
          <w:szCs w:val="20"/>
          <w:lang w:eastAsia="bg-BG"/>
        </w:rPr>
      </w:pPr>
    </w:p>
    <w:p w14:paraId="446A30AA" w14:textId="710BA26C"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lastRenderedPageBreak/>
        <w:t>Поемането на глюкоза от кръвта в периферната мускулна и мастна тъкан става посредством специални транспортни протеини, разположени в клетъчната мембрана. Транспортът на глюкоза в тези тъкани е скорост-лимитиращия процес в усвояването на глюкозата. Глимепирид много бързо увеличава броя на молекулите за активен транспорт на глюкоза в плазмените мембрани на мускулните и мастните клетки, което води до стимулация на глюкозната утилизация.</w:t>
      </w:r>
    </w:p>
    <w:p w14:paraId="202C70C6" w14:textId="77777777" w:rsidR="003246F5" w:rsidRPr="003246F5" w:rsidRDefault="003246F5" w:rsidP="003246F5">
      <w:pPr>
        <w:spacing w:line="240" w:lineRule="auto"/>
        <w:rPr>
          <w:rFonts w:eastAsia="Times New Roman" w:cs="Arial"/>
          <w:color w:val="000000"/>
          <w:szCs w:val="20"/>
          <w:lang w:eastAsia="bg-BG"/>
        </w:rPr>
      </w:pPr>
    </w:p>
    <w:p w14:paraId="38D9B2E3" w14:textId="7EE1314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Глимепирид повишава активността на гликозил-фосфатидилинозитол-специфичната фосфатаза С, което може би е свързано с лекарствено индуцираната липогенеза и глюкогенеза в изолирани мастни и мускулни клетки.</w:t>
      </w:r>
    </w:p>
    <w:p w14:paraId="66934A6A" w14:textId="77777777" w:rsidR="003246F5" w:rsidRPr="003246F5" w:rsidRDefault="003246F5" w:rsidP="003246F5">
      <w:pPr>
        <w:spacing w:line="240" w:lineRule="auto"/>
        <w:rPr>
          <w:rFonts w:eastAsia="Times New Roman" w:cs="Arial"/>
          <w:color w:val="000000"/>
          <w:szCs w:val="20"/>
          <w:lang w:eastAsia="bg-BG"/>
        </w:rPr>
      </w:pPr>
    </w:p>
    <w:p w14:paraId="12B09319" w14:textId="63EF18B2"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Глимепирид блокира образуването на глюкоза в черния дроб чрез повишаване вътреклетъчната концентрация на фруктозо-2,6-бифосфат, който от своя страна инхибира глюконеогенезата.</w:t>
      </w:r>
    </w:p>
    <w:p w14:paraId="3990A1C6" w14:textId="77777777" w:rsidR="003246F5" w:rsidRPr="003246F5" w:rsidRDefault="003246F5" w:rsidP="003246F5">
      <w:pPr>
        <w:spacing w:line="240" w:lineRule="auto"/>
        <w:rPr>
          <w:rFonts w:eastAsia="Times New Roman" w:cs="Arial"/>
          <w:color w:val="000000"/>
          <w:szCs w:val="20"/>
          <w:u w:val="single"/>
          <w:lang w:eastAsia="bg-BG"/>
        </w:rPr>
      </w:pPr>
    </w:p>
    <w:p w14:paraId="1B07D763" w14:textId="3B9AB7F9"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u w:val="single"/>
          <w:lang w:eastAsia="bg-BG"/>
        </w:rPr>
        <w:t>Клинична ефикасност и безопасност</w:t>
      </w:r>
    </w:p>
    <w:p w14:paraId="16DEB860" w14:textId="77777777" w:rsidR="003246F5" w:rsidRPr="003246F5" w:rsidRDefault="003246F5" w:rsidP="003246F5">
      <w:pPr>
        <w:spacing w:line="240" w:lineRule="auto"/>
        <w:rPr>
          <w:rFonts w:eastAsia="Times New Roman" w:cs="Arial"/>
          <w:sz w:val="28"/>
          <w:szCs w:val="24"/>
        </w:rPr>
      </w:pPr>
      <w:r w:rsidRPr="003246F5">
        <w:rPr>
          <w:rFonts w:eastAsia="Times New Roman" w:cs="Arial"/>
          <w:i/>
          <w:iCs/>
          <w:color w:val="000000"/>
          <w:szCs w:val="20"/>
          <w:u w:val="single"/>
          <w:lang w:eastAsia="bg-BG"/>
        </w:rPr>
        <w:t>Обща активност</w:t>
      </w:r>
    </w:p>
    <w:p w14:paraId="7953F252"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 xml:space="preserve">При здрави индивиди, минималната ефективна перорална доза е приблизително 0,6 </w:t>
      </w:r>
      <w:r w:rsidRPr="003246F5">
        <w:rPr>
          <w:rFonts w:eastAsia="Times New Roman" w:cs="Arial"/>
          <w:color w:val="000000"/>
          <w:szCs w:val="20"/>
          <w:lang w:val="en-US"/>
        </w:rPr>
        <w:t>mg</w:t>
      </w:r>
      <w:r w:rsidRPr="003246F5">
        <w:rPr>
          <w:rFonts w:eastAsia="Times New Roman" w:cs="Arial"/>
          <w:color w:val="000000"/>
          <w:szCs w:val="20"/>
          <w:lang w:val="ru-RU"/>
        </w:rPr>
        <w:t xml:space="preserve">. </w:t>
      </w:r>
      <w:r w:rsidRPr="003246F5">
        <w:rPr>
          <w:rFonts w:eastAsia="Times New Roman" w:cs="Arial"/>
          <w:color w:val="000000"/>
          <w:szCs w:val="20"/>
          <w:lang w:eastAsia="bg-BG"/>
        </w:rPr>
        <w:t>Ефектът на глимепирид е дозозависим и възпроизводим. Физиологичният отговор на тежко физическо натоварване, снижаване на инсулиновата секреция, се запазва при глимепирид.</w:t>
      </w:r>
    </w:p>
    <w:p w14:paraId="633600AF" w14:textId="77777777" w:rsidR="003246F5" w:rsidRPr="003246F5" w:rsidRDefault="003246F5" w:rsidP="003246F5">
      <w:pPr>
        <w:spacing w:line="240" w:lineRule="auto"/>
        <w:rPr>
          <w:rFonts w:eastAsia="Times New Roman" w:cs="Arial"/>
          <w:color w:val="000000"/>
          <w:szCs w:val="20"/>
          <w:lang w:eastAsia="bg-BG"/>
        </w:rPr>
      </w:pPr>
    </w:p>
    <w:p w14:paraId="24841D84" w14:textId="7C9B0C5B"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Няма значима разлика в ефектите независимо от това дали лекарството е прието 30 минути преди хранене или непосредствено преди хранене. При пациенти с диабет, добър метаболитен контрол в продължение на 24 часа може да бъде постигнат с еднократна дневна доза.</w:t>
      </w:r>
    </w:p>
    <w:p w14:paraId="09EB0B26" w14:textId="77777777" w:rsidR="003246F5" w:rsidRPr="003246F5" w:rsidRDefault="003246F5" w:rsidP="003246F5">
      <w:pPr>
        <w:rPr>
          <w:rFonts w:eastAsia="Times New Roman" w:cs="Arial"/>
          <w:color w:val="000000"/>
          <w:szCs w:val="20"/>
          <w:lang w:eastAsia="bg-BG"/>
        </w:rPr>
      </w:pPr>
    </w:p>
    <w:p w14:paraId="1EEB5660" w14:textId="1917578C" w:rsidR="003246F5" w:rsidRPr="003246F5" w:rsidRDefault="003246F5" w:rsidP="003246F5">
      <w:pPr>
        <w:rPr>
          <w:rFonts w:eastAsia="Times New Roman" w:cs="Arial"/>
          <w:color w:val="000000"/>
          <w:szCs w:val="20"/>
          <w:lang w:eastAsia="bg-BG"/>
        </w:rPr>
      </w:pPr>
      <w:r w:rsidRPr="003246F5">
        <w:rPr>
          <w:rFonts w:eastAsia="Times New Roman" w:cs="Arial"/>
          <w:color w:val="000000"/>
          <w:szCs w:val="20"/>
          <w:lang w:eastAsia="bg-BG"/>
        </w:rPr>
        <w:t>Въпреки че хидрокси-метаболигът на глимепирид предизвиква малко, но значимо снижение в серумната глюкоза при здрави индивиди, той е отговорен само за минимална част от общия ефект на лекарството.</w:t>
      </w:r>
    </w:p>
    <w:p w14:paraId="2F8645D1" w14:textId="4D311FFE" w:rsidR="003246F5" w:rsidRPr="003246F5" w:rsidRDefault="003246F5" w:rsidP="003246F5">
      <w:pPr>
        <w:rPr>
          <w:rFonts w:eastAsia="Times New Roman" w:cs="Arial"/>
          <w:color w:val="000000"/>
          <w:szCs w:val="20"/>
          <w:lang w:eastAsia="bg-BG"/>
        </w:rPr>
      </w:pPr>
    </w:p>
    <w:p w14:paraId="4AA0658D"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u w:val="single"/>
          <w:lang w:eastAsia="bg-BG"/>
        </w:rPr>
        <w:t>Комбинирана терапия с метформин</w:t>
      </w:r>
    </w:p>
    <w:p w14:paraId="0664B44F"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В едно проучване сред недобре овладени с максимална доза метформин пациенти, е демонстриран подобрен метаболитен контрол при комбинирана терапия с глимепирид, в сравнение със самостоятелно приложен метформин.</w:t>
      </w:r>
    </w:p>
    <w:p w14:paraId="1E033840" w14:textId="77777777" w:rsidR="003246F5" w:rsidRPr="003246F5" w:rsidRDefault="003246F5" w:rsidP="003246F5">
      <w:pPr>
        <w:spacing w:line="240" w:lineRule="auto"/>
        <w:rPr>
          <w:rFonts w:eastAsia="Times New Roman" w:cs="Arial"/>
          <w:color w:val="000000"/>
          <w:szCs w:val="20"/>
          <w:u w:val="single"/>
          <w:lang w:eastAsia="bg-BG"/>
        </w:rPr>
      </w:pPr>
    </w:p>
    <w:p w14:paraId="6065E542" w14:textId="4A078842"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u w:val="single"/>
          <w:lang w:eastAsia="bg-BG"/>
        </w:rPr>
        <w:t>Комбинирана терапия с инсулин</w:t>
      </w:r>
    </w:p>
    <w:p w14:paraId="4018F569"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Данните за комбинирана терапия с инсулин са ограничени. При пациенти, неадекватно овладени с максимална доза глимепирид, може да се започне съпътстваща терапия с инсулин. При две проучвания, комбинирането постига същото подобрение в метаболитния контрол като самостоятелно приложения инсулин. При комбинираната терапия обаче, нуждите от инсулин са по-малки.</w:t>
      </w:r>
    </w:p>
    <w:p w14:paraId="7CD14C12" w14:textId="77777777" w:rsidR="003246F5" w:rsidRPr="003246F5" w:rsidRDefault="003246F5" w:rsidP="003246F5">
      <w:pPr>
        <w:spacing w:line="240" w:lineRule="auto"/>
        <w:rPr>
          <w:rFonts w:eastAsia="Times New Roman" w:cs="Arial"/>
          <w:color w:val="000000"/>
          <w:szCs w:val="20"/>
          <w:u w:val="single"/>
          <w:lang w:eastAsia="bg-BG"/>
        </w:rPr>
      </w:pPr>
    </w:p>
    <w:p w14:paraId="188B8E38" w14:textId="7C91B4C8"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u w:val="single"/>
          <w:lang w:eastAsia="bg-BG"/>
        </w:rPr>
        <w:t>Педиатрична популация</w:t>
      </w:r>
    </w:p>
    <w:p w14:paraId="3CDBC25A"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 xml:space="preserve">При 285 деца с диабет тип 2 (на възраст от 8 до 17 години) е проведено 24 седмично активно контролирано клинично проучване (дневно са прилагани до 8 </w:t>
      </w:r>
      <w:r w:rsidRPr="003246F5">
        <w:rPr>
          <w:rFonts w:eastAsia="Times New Roman" w:cs="Arial"/>
          <w:color w:val="000000"/>
          <w:szCs w:val="20"/>
          <w:lang w:val="en-US"/>
        </w:rPr>
        <w:t>mg</w:t>
      </w:r>
      <w:r w:rsidRPr="003246F5">
        <w:rPr>
          <w:rFonts w:eastAsia="Times New Roman" w:cs="Arial"/>
          <w:color w:val="000000"/>
          <w:szCs w:val="20"/>
          <w:lang w:val="ru-RU"/>
        </w:rPr>
        <w:t xml:space="preserve"> </w:t>
      </w:r>
      <w:r w:rsidRPr="003246F5">
        <w:rPr>
          <w:rFonts w:eastAsia="Times New Roman" w:cs="Arial"/>
          <w:color w:val="000000"/>
          <w:szCs w:val="20"/>
          <w:lang w:eastAsia="bg-BG"/>
        </w:rPr>
        <w:t xml:space="preserve">глимепирид или до 2 </w:t>
      </w:r>
      <w:r w:rsidRPr="003246F5">
        <w:rPr>
          <w:rFonts w:eastAsia="Times New Roman" w:cs="Arial"/>
          <w:color w:val="000000"/>
          <w:szCs w:val="20"/>
          <w:lang w:val="en-US"/>
        </w:rPr>
        <w:t>g</w:t>
      </w:r>
      <w:r w:rsidRPr="003246F5">
        <w:rPr>
          <w:rFonts w:eastAsia="Times New Roman" w:cs="Arial"/>
          <w:color w:val="000000"/>
          <w:szCs w:val="20"/>
          <w:lang w:val="ru-RU"/>
        </w:rPr>
        <w:t xml:space="preserve"> </w:t>
      </w:r>
      <w:r w:rsidRPr="003246F5">
        <w:rPr>
          <w:rFonts w:eastAsia="Times New Roman" w:cs="Arial"/>
          <w:color w:val="000000"/>
          <w:szCs w:val="20"/>
          <w:lang w:eastAsia="bg-BG"/>
        </w:rPr>
        <w:t>метформин).</w:t>
      </w:r>
    </w:p>
    <w:p w14:paraId="55BBBF86"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 xml:space="preserve">Глимепирид и метформин, показват статистически значимо понижение на </w:t>
      </w:r>
      <w:proofErr w:type="spellStart"/>
      <w:r w:rsidRPr="003246F5">
        <w:rPr>
          <w:rFonts w:eastAsia="Times New Roman" w:cs="Arial"/>
          <w:color w:val="000000"/>
          <w:szCs w:val="20"/>
          <w:lang w:val="en-US"/>
        </w:rPr>
        <w:t>HbAlc</w:t>
      </w:r>
      <w:proofErr w:type="spellEnd"/>
      <w:r w:rsidRPr="003246F5">
        <w:rPr>
          <w:rFonts w:eastAsia="Times New Roman" w:cs="Arial"/>
          <w:color w:val="000000"/>
          <w:szCs w:val="20"/>
          <w:lang w:val="ru-RU"/>
        </w:rPr>
        <w:t xml:space="preserve"> </w:t>
      </w:r>
      <w:r w:rsidRPr="003246F5">
        <w:rPr>
          <w:rFonts w:eastAsia="Times New Roman" w:cs="Arial"/>
          <w:color w:val="000000"/>
          <w:szCs w:val="20"/>
          <w:lang w:eastAsia="bg-BG"/>
        </w:rPr>
        <w:t xml:space="preserve">спрямо изходното ниво (глимепирид -0,95 </w:t>
      </w:r>
      <w:r w:rsidRPr="003246F5">
        <w:rPr>
          <w:rFonts w:eastAsia="Times New Roman" w:cs="Arial"/>
          <w:color w:val="000000"/>
          <w:szCs w:val="20"/>
          <w:lang w:val="ru-RU"/>
        </w:rPr>
        <w:t>(</w:t>
      </w:r>
      <w:r w:rsidRPr="003246F5">
        <w:rPr>
          <w:rFonts w:eastAsia="Times New Roman" w:cs="Arial"/>
          <w:color w:val="000000"/>
          <w:szCs w:val="20"/>
          <w:lang w:val="en-US"/>
        </w:rPr>
        <w:t>SE</w:t>
      </w:r>
      <w:r w:rsidRPr="003246F5">
        <w:rPr>
          <w:rFonts w:eastAsia="Times New Roman" w:cs="Arial"/>
          <w:color w:val="000000"/>
          <w:szCs w:val="20"/>
          <w:lang w:val="ru-RU"/>
        </w:rPr>
        <w:t xml:space="preserve"> </w:t>
      </w:r>
      <w:r w:rsidRPr="003246F5">
        <w:rPr>
          <w:rFonts w:eastAsia="Times New Roman" w:cs="Arial"/>
          <w:color w:val="000000"/>
          <w:szCs w:val="20"/>
          <w:lang w:eastAsia="bg-BG"/>
        </w:rPr>
        <w:t xml:space="preserve">0,41); метформин -1,39 </w:t>
      </w:r>
      <w:r w:rsidRPr="003246F5">
        <w:rPr>
          <w:rFonts w:eastAsia="Times New Roman" w:cs="Arial"/>
          <w:color w:val="000000"/>
          <w:szCs w:val="20"/>
          <w:lang w:val="ru-RU"/>
        </w:rPr>
        <w:t>(</w:t>
      </w:r>
      <w:r w:rsidRPr="003246F5">
        <w:rPr>
          <w:rFonts w:eastAsia="Times New Roman" w:cs="Arial"/>
          <w:color w:val="000000"/>
          <w:szCs w:val="20"/>
          <w:lang w:val="en-US"/>
        </w:rPr>
        <w:t>SE</w:t>
      </w:r>
      <w:r w:rsidRPr="003246F5">
        <w:rPr>
          <w:rFonts w:eastAsia="Times New Roman" w:cs="Arial"/>
          <w:color w:val="000000"/>
          <w:szCs w:val="20"/>
          <w:lang w:val="ru-RU"/>
        </w:rPr>
        <w:t xml:space="preserve"> </w:t>
      </w:r>
      <w:r w:rsidRPr="003246F5">
        <w:rPr>
          <w:rFonts w:eastAsia="Times New Roman" w:cs="Arial"/>
          <w:color w:val="000000"/>
          <w:szCs w:val="20"/>
          <w:lang w:eastAsia="bg-BG"/>
        </w:rPr>
        <w:t xml:space="preserve">0,40)). Въпреки това, глимепирид не постига критериите за средна промяна в изходното ниво на </w:t>
      </w:r>
      <w:proofErr w:type="spellStart"/>
      <w:r w:rsidRPr="003246F5">
        <w:rPr>
          <w:rFonts w:eastAsia="Times New Roman" w:cs="Arial"/>
          <w:color w:val="000000"/>
          <w:szCs w:val="20"/>
          <w:lang w:val="en-US"/>
        </w:rPr>
        <w:t>HbA</w:t>
      </w:r>
      <w:proofErr w:type="spellEnd"/>
      <w:r w:rsidRPr="003246F5">
        <w:rPr>
          <w:rFonts w:eastAsia="Times New Roman" w:cs="Arial"/>
          <w:color w:val="000000"/>
          <w:szCs w:val="20"/>
          <w:lang w:val="ru-RU"/>
        </w:rPr>
        <w:t>1</w:t>
      </w:r>
      <w:r w:rsidRPr="003246F5">
        <w:rPr>
          <w:rFonts w:eastAsia="Times New Roman" w:cs="Arial"/>
          <w:color w:val="000000"/>
          <w:szCs w:val="20"/>
          <w:lang w:val="en-US"/>
        </w:rPr>
        <w:t>c</w:t>
      </w:r>
      <w:r w:rsidRPr="003246F5">
        <w:rPr>
          <w:rFonts w:eastAsia="Times New Roman" w:cs="Arial"/>
          <w:color w:val="000000"/>
          <w:szCs w:val="20"/>
          <w:lang w:val="ru-RU"/>
        </w:rPr>
        <w:t xml:space="preserve">, </w:t>
      </w:r>
      <w:r w:rsidRPr="003246F5">
        <w:rPr>
          <w:rFonts w:eastAsia="Times New Roman" w:cs="Arial"/>
          <w:color w:val="000000"/>
          <w:szCs w:val="20"/>
          <w:lang w:eastAsia="bg-BG"/>
        </w:rPr>
        <w:t xml:space="preserve">които </w:t>
      </w:r>
      <w:r w:rsidRPr="003246F5">
        <w:rPr>
          <w:rFonts w:eastAsia="Times New Roman" w:cs="Arial"/>
          <w:color w:val="000000"/>
          <w:szCs w:val="20"/>
          <w:lang w:eastAsia="bg-BG"/>
        </w:rPr>
        <w:lastRenderedPageBreak/>
        <w:t>се постигат от метформин. Разлика между двете терапии е 0,44% в полза на метформин. Горната граница (1,05) на 95% доверителен интервал на разликата не е под 0,3%.</w:t>
      </w:r>
    </w:p>
    <w:p w14:paraId="7E4F1A0B" w14:textId="77777777" w:rsidR="003246F5" w:rsidRPr="003246F5" w:rsidRDefault="003246F5" w:rsidP="003246F5">
      <w:pPr>
        <w:rPr>
          <w:rFonts w:eastAsia="Times New Roman" w:cs="Arial"/>
          <w:color w:val="000000"/>
          <w:szCs w:val="20"/>
          <w:lang w:eastAsia="bg-BG"/>
        </w:rPr>
      </w:pPr>
    </w:p>
    <w:p w14:paraId="70A52E89" w14:textId="5560D8F2" w:rsidR="003246F5" w:rsidRDefault="003246F5" w:rsidP="003246F5">
      <w:pPr>
        <w:rPr>
          <w:rFonts w:eastAsia="Times New Roman" w:cs="Arial"/>
          <w:color w:val="000000"/>
          <w:szCs w:val="20"/>
          <w:lang w:eastAsia="bg-BG"/>
        </w:rPr>
      </w:pPr>
      <w:r w:rsidRPr="003246F5">
        <w:rPr>
          <w:rFonts w:eastAsia="Times New Roman" w:cs="Arial"/>
          <w:color w:val="000000"/>
          <w:szCs w:val="20"/>
          <w:lang w:eastAsia="bg-BG"/>
        </w:rPr>
        <w:t>След лечение с глимепирид няма нови данни за безопасност при деца с тип 2 захарен диабет в сравнение с възрастни пациенти. При педиатрични пациенти няма налични данни за ефикасността и безопасността след продължително лечение.</w:t>
      </w:r>
    </w:p>
    <w:p w14:paraId="7F6FA52F" w14:textId="77777777" w:rsidR="003246F5" w:rsidRPr="003246F5" w:rsidRDefault="003246F5" w:rsidP="003246F5">
      <w:pPr>
        <w:rPr>
          <w:rFonts w:cs="Arial"/>
          <w:sz w:val="24"/>
        </w:rPr>
      </w:pPr>
    </w:p>
    <w:p w14:paraId="78DD93AA" w14:textId="79210424" w:rsidR="00B6672E" w:rsidRDefault="002C50EE" w:rsidP="00936AD0">
      <w:pPr>
        <w:pStyle w:val="Heading2"/>
      </w:pPr>
      <w:r>
        <w:t>5.2. Фармакокинетични свойства</w:t>
      </w:r>
    </w:p>
    <w:p w14:paraId="02A8D3E4" w14:textId="21D57A37" w:rsidR="003246F5" w:rsidRDefault="003246F5" w:rsidP="003246F5"/>
    <w:p w14:paraId="67FDB29A" w14:textId="77777777" w:rsidR="003246F5" w:rsidRPr="003246F5" w:rsidRDefault="003246F5" w:rsidP="003246F5">
      <w:pPr>
        <w:pStyle w:val="Heading3"/>
        <w:rPr>
          <w:rFonts w:eastAsia="Times New Roman"/>
          <w:sz w:val="28"/>
          <w:u w:val="single"/>
        </w:rPr>
      </w:pPr>
      <w:r w:rsidRPr="003246F5">
        <w:rPr>
          <w:rFonts w:eastAsia="Times New Roman"/>
          <w:u w:val="single"/>
          <w:lang w:eastAsia="bg-BG"/>
        </w:rPr>
        <w:t>Абсорбция</w:t>
      </w:r>
    </w:p>
    <w:p w14:paraId="0AB9B5FC"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Бионаличността на глимепирид след перорално приложение е пълна. Приемът на храна няма практическо влияние върху абсорбцията, само скоростта на абсорция леко се намалява.</w:t>
      </w:r>
    </w:p>
    <w:p w14:paraId="11873794"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Максимални плазмени концентрации (С</w:t>
      </w:r>
      <w:r w:rsidRPr="003246F5">
        <w:rPr>
          <w:rFonts w:eastAsia="Times New Roman" w:cs="Arial"/>
          <w:color w:val="000000"/>
          <w:szCs w:val="20"/>
          <w:vertAlign w:val="subscript"/>
          <w:lang w:val="en-US"/>
        </w:rPr>
        <w:t>max</w:t>
      </w:r>
      <w:r w:rsidRPr="003246F5">
        <w:rPr>
          <w:rFonts w:eastAsia="Times New Roman" w:cs="Arial"/>
          <w:color w:val="000000"/>
          <w:szCs w:val="20"/>
          <w:lang w:eastAsia="bg-BG"/>
        </w:rPr>
        <w:t>) се достигат приблизително 2,5 часа след перорален прием (средно 0,3 μ</w:t>
      </w:r>
      <w:r w:rsidRPr="003246F5">
        <w:rPr>
          <w:rFonts w:eastAsia="Times New Roman" w:cs="Arial"/>
          <w:color w:val="000000"/>
          <w:szCs w:val="20"/>
          <w:lang w:val="en-US"/>
        </w:rPr>
        <w:t>g</w:t>
      </w:r>
      <w:r w:rsidRPr="003246F5">
        <w:rPr>
          <w:rFonts w:eastAsia="Times New Roman" w:cs="Arial"/>
          <w:color w:val="000000"/>
          <w:szCs w:val="20"/>
          <w:lang w:val="ru-RU"/>
        </w:rPr>
        <w:t>/</w:t>
      </w:r>
      <w:r w:rsidRPr="003246F5">
        <w:rPr>
          <w:rFonts w:eastAsia="Times New Roman" w:cs="Arial"/>
          <w:color w:val="000000"/>
          <w:szCs w:val="20"/>
          <w:lang w:val="en-US"/>
        </w:rPr>
        <w:t>ml</w:t>
      </w:r>
      <w:r w:rsidRPr="003246F5">
        <w:rPr>
          <w:rFonts w:eastAsia="Times New Roman" w:cs="Arial"/>
          <w:color w:val="000000"/>
          <w:szCs w:val="20"/>
          <w:lang w:val="ru-RU"/>
        </w:rPr>
        <w:t xml:space="preserve"> </w:t>
      </w:r>
      <w:r w:rsidRPr="003246F5">
        <w:rPr>
          <w:rFonts w:eastAsia="Times New Roman" w:cs="Arial"/>
          <w:color w:val="000000"/>
          <w:szCs w:val="20"/>
          <w:lang w:eastAsia="bg-BG"/>
        </w:rPr>
        <w:t xml:space="preserve">по време на мнгократно дозиране с 4 </w:t>
      </w:r>
      <w:r w:rsidRPr="003246F5">
        <w:rPr>
          <w:rFonts w:eastAsia="Times New Roman" w:cs="Arial"/>
          <w:color w:val="000000"/>
          <w:szCs w:val="20"/>
          <w:lang w:val="en-US"/>
        </w:rPr>
        <w:t>mg</w:t>
      </w:r>
      <w:r w:rsidRPr="003246F5">
        <w:rPr>
          <w:rFonts w:eastAsia="Times New Roman" w:cs="Arial"/>
          <w:color w:val="000000"/>
          <w:szCs w:val="20"/>
          <w:lang w:val="ru-RU"/>
        </w:rPr>
        <w:t xml:space="preserve"> </w:t>
      </w:r>
      <w:r w:rsidRPr="003246F5">
        <w:rPr>
          <w:rFonts w:eastAsia="Times New Roman" w:cs="Arial"/>
          <w:color w:val="000000"/>
          <w:szCs w:val="20"/>
          <w:lang w:eastAsia="bg-BG"/>
        </w:rPr>
        <w:t>дневно) и е налице линейна зависимост между доза и съответно С</w:t>
      </w:r>
      <w:r w:rsidRPr="003246F5">
        <w:rPr>
          <w:rFonts w:eastAsia="Times New Roman" w:cs="Arial"/>
          <w:color w:val="000000"/>
          <w:szCs w:val="20"/>
          <w:vertAlign w:val="subscript"/>
          <w:lang w:val="en-US"/>
        </w:rPr>
        <w:t>max</w:t>
      </w:r>
      <w:r w:rsidRPr="003246F5">
        <w:rPr>
          <w:rFonts w:eastAsia="Times New Roman" w:cs="Arial"/>
          <w:color w:val="000000"/>
          <w:szCs w:val="20"/>
          <w:lang w:eastAsia="bg-BG"/>
        </w:rPr>
        <w:t xml:space="preserve"> и </w:t>
      </w:r>
      <w:r w:rsidRPr="003246F5">
        <w:rPr>
          <w:rFonts w:eastAsia="Times New Roman" w:cs="Arial"/>
          <w:color w:val="000000"/>
          <w:szCs w:val="20"/>
          <w:lang w:val="en-US"/>
        </w:rPr>
        <w:t>AUC</w:t>
      </w:r>
      <w:r w:rsidRPr="003246F5">
        <w:rPr>
          <w:rFonts w:eastAsia="Times New Roman" w:cs="Arial"/>
          <w:color w:val="000000"/>
          <w:szCs w:val="20"/>
          <w:lang w:val="ru-RU"/>
        </w:rPr>
        <w:t xml:space="preserve"> </w:t>
      </w:r>
      <w:r w:rsidRPr="003246F5">
        <w:rPr>
          <w:rFonts w:eastAsia="Times New Roman" w:cs="Arial"/>
          <w:color w:val="000000"/>
          <w:szCs w:val="20"/>
          <w:lang w:eastAsia="bg-BG"/>
        </w:rPr>
        <w:t>(площ под кривата плазмена концентрация/време).</w:t>
      </w:r>
    </w:p>
    <w:p w14:paraId="0B6BD0A2"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Сравнението между еднократно и многократно дозиране веднъж дневно не показва значими разлики във фармакокинетиката и интраиндивидуалната вариабилност е много ниска. Не е наблюдавано практически значимо кумулиране.</w:t>
      </w:r>
    </w:p>
    <w:p w14:paraId="720374C0" w14:textId="77777777" w:rsidR="003246F5" w:rsidRPr="003246F5" w:rsidRDefault="003246F5" w:rsidP="003246F5">
      <w:pPr>
        <w:spacing w:line="240" w:lineRule="auto"/>
        <w:rPr>
          <w:rFonts w:eastAsia="Times New Roman" w:cs="Arial"/>
          <w:color w:val="000000"/>
          <w:szCs w:val="20"/>
          <w:u w:val="single"/>
          <w:lang w:eastAsia="bg-BG"/>
        </w:rPr>
      </w:pPr>
    </w:p>
    <w:p w14:paraId="422F7C3E" w14:textId="2D42AD6A" w:rsidR="003246F5" w:rsidRPr="003246F5" w:rsidRDefault="003246F5" w:rsidP="003246F5">
      <w:pPr>
        <w:pStyle w:val="Heading3"/>
        <w:rPr>
          <w:rFonts w:eastAsia="Times New Roman"/>
          <w:sz w:val="28"/>
          <w:u w:val="single"/>
        </w:rPr>
      </w:pPr>
      <w:r w:rsidRPr="003246F5">
        <w:rPr>
          <w:rFonts w:eastAsia="Times New Roman"/>
          <w:u w:val="single"/>
          <w:lang w:eastAsia="bg-BG"/>
        </w:rPr>
        <w:t>Разпределение</w:t>
      </w:r>
    </w:p>
    <w:p w14:paraId="32BE2280"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 xml:space="preserve">Глимепирид има много нисък обем на разпределение (приблизително 8,8 литра), който грубо се равнява на пространството на разпределение на албумина, висока степен на свързване с протеините (&gt;99%) и нисък клирънс (приблизително 48 </w:t>
      </w:r>
      <w:r w:rsidRPr="003246F5">
        <w:rPr>
          <w:rFonts w:eastAsia="Times New Roman" w:cs="Arial"/>
          <w:color w:val="000000"/>
          <w:szCs w:val="20"/>
          <w:lang w:val="en-US"/>
        </w:rPr>
        <w:t>ml</w:t>
      </w:r>
      <w:r w:rsidRPr="003246F5">
        <w:rPr>
          <w:rFonts w:eastAsia="Times New Roman" w:cs="Arial"/>
          <w:color w:val="000000"/>
          <w:szCs w:val="20"/>
          <w:lang w:val="ru-RU"/>
        </w:rPr>
        <w:t>/</w:t>
      </w:r>
      <w:r w:rsidRPr="003246F5">
        <w:rPr>
          <w:rFonts w:eastAsia="Times New Roman" w:cs="Arial"/>
          <w:color w:val="000000"/>
          <w:szCs w:val="20"/>
          <w:lang w:val="en-US"/>
        </w:rPr>
        <w:t>min</w:t>
      </w:r>
      <w:r w:rsidRPr="003246F5">
        <w:rPr>
          <w:rFonts w:eastAsia="Times New Roman" w:cs="Arial"/>
          <w:color w:val="000000"/>
          <w:szCs w:val="20"/>
          <w:lang w:val="ru-RU"/>
        </w:rPr>
        <w:t>).</w:t>
      </w:r>
    </w:p>
    <w:p w14:paraId="48A89664" w14:textId="77777777" w:rsidR="003246F5" w:rsidRPr="003246F5" w:rsidRDefault="003246F5" w:rsidP="003246F5">
      <w:pPr>
        <w:spacing w:line="240" w:lineRule="auto"/>
        <w:rPr>
          <w:rFonts w:eastAsia="Times New Roman" w:cs="Arial"/>
          <w:color w:val="000000"/>
          <w:szCs w:val="20"/>
          <w:lang w:eastAsia="bg-BG"/>
        </w:rPr>
      </w:pPr>
    </w:p>
    <w:p w14:paraId="433E6962" w14:textId="09A2E144"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При животни глимепирид се екскретира в млякото. Глимепирид преминава през плацентата и в малка степен през хематоенцефалната бариера.</w:t>
      </w:r>
    </w:p>
    <w:p w14:paraId="00F07FBD" w14:textId="77777777" w:rsidR="003246F5" w:rsidRPr="003246F5" w:rsidRDefault="003246F5" w:rsidP="003246F5">
      <w:pPr>
        <w:spacing w:line="240" w:lineRule="auto"/>
        <w:rPr>
          <w:rFonts w:eastAsia="Times New Roman" w:cs="Arial"/>
          <w:color w:val="000000"/>
          <w:szCs w:val="20"/>
          <w:u w:val="single"/>
          <w:lang w:eastAsia="bg-BG"/>
        </w:rPr>
      </w:pPr>
    </w:p>
    <w:p w14:paraId="4C5DA91F" w14:textId="069E4602" w:rsidR="003246F5" w:rsidRPr="003246F5" w:rsidRDefault="003246F5" w:rsidP="003246F5">
      <w:pPr>
        <w:pStyle w:val="Heading3"/>
        <w:rPr>
          <w:rFonts w:eastAsia="Times New Roman"/>
          <w:sz w:val="28"/>
          <w:u w:val="single"/>
        </w:rPr>
      </w:pPr>
      <w:r w:rsidRPr="003246F5">
        <w:rPr>
          <w:rFonts w:eastAsia="Times New Roman"/>
          <w:u w:val="single"/>
          <w:lang w:eastAsia="bg-BG"/>
        </w:rPr>
        <w:t>Биотрансформация и елиминиране</w:t>
      </w:r>
    </w:p>
    <w:p w14:paraId="402DDFE8"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Преобладаващият среден плазмен полуживот, който е от значение за серумните концентрации в условия на многократно дозиране е около 5 до 8 часа. След прилагане на високи дози са отбелязани и малко по-дълги полуживоти.</w:t>
      </w:r>
    </w:p>
    <w:p w14:paraId="1D20421F" w14:textId="77777777" w:rsidR="003246F5" w:rsidRPr="003246F5" w:rsidRDefault="003246F5" w:rsidP="003246F5">
      <w:pPr>
        <w:rPr>
          <w:rFonts w:eastAsia="Times New Roman" w:cs="Arial"/>
          <w:color w:val="000000"/>
          <w:szCs w:val="20"/>
          <w:lang w:eastAsia="bg-BG"/>
        </w:rPr>
      </w:pPr>
    </w:p>
    <w:p w14:paraId="22DC1EC8" w14:textId="77777777" w:rsidR="003246F5" w:rsidRPr="003246F5" w:rsidRDefault="003246F5" w:rsidP="003246F5">
      <w:pPr>
        <w:rPr>
          <w:rFonts w:eastAsia="Times New Roman" w:cs="Arial"/>
          <w:sz w:val="28"/>
          <w:szCs w:val="24"/>
        </w:rPr>
      </w:pPr>
      <w:r w:rsidRPr="003246F5">
        <w:rPr>
          <w:rFonts w:eastAsia="Times New Roman" w:cs="Arial"/>
          <w:color w:val="000000"/>
          <w:szCs w:val="20"/>
          <w:lang w:eastAsia="bg-BG"/>
        </w:rPr>
        <w:t xml:space="preserve">След еднократна доза радиоактивно маркиран глимепирид, 58% от радиоактивността се открива в урината и 35% в изпражненията. В урината не се открива непроменено вещество. Два метаболита - най-вероятно резултат от чернодробния метаболизъм (основният ензим е </w:t>
      </w:r>
      <w:r w:rsidRPr="003246F5">
        <w:rPr>
          <w:rFonts w:eastAsia="Times New Roman" w:cs="Arial"/>
          <w:color w:val="000000"/>
          <w:szCs w:val="20"/>
          <w:lang w:val="en-US"/>
        </w:rPr>
        <w:t>CYP</w:t>
      </w:r>
      <w:r w:rsidRPr="003246F5">
        <w:rPr>
          <w:rFonts w:eastAsia="Times New Roman" w:cs="Arial"/>
          <w:color w:val="000000"/>
          <w:szCs w:val="20"/>
          <w:lang w:val="ru-RU"/>
        </w:rPr>
        <w:t>2</w:t>
      </w:r>
      <w:r w:rsidRPr="003246F5">
        <w:rPr>
          <w:rFonts w:eastAsia="Times New Roman" w:cs="Arial"/>
          <w:color w:val="000000"/>
          <w:szCs w:val="20"/>
          <w:lang w:val="en-US"/>
        </w:rPr>
        <w:t>C</w:t>
      </w:r>
      <w:r w:rsidRPr="003246F5">
        <w:rPr>
          <w:rFonts w:eastAsia="Times New Roman" w:cs="Arial"/>
          <w:color w:val="000000"/>
          <w:szCs w:val="20"/>
          <w:lang w:val="ru-RU"/>
        </w:rPr>
        <w:t xml:space="preserve">9) </w:t>
      </w:r>
      <w:r w:rsidRPr="003246F5">
        <w:rPr>
          <w:rFonts w:eastAsia="Times New Roman" w:cs="Arial"/>
          <w:color w:val="000000"/>
          <w:szCs w:val="20"/>
          <w:lang w:eastAsia="bg-BG"/>
        </w:rPr>
        <w:t>- се откриват, както в урината, така и в изпражненията - хидрокси производно и</w:t>
      </w:r>
      <w:r w:rsidRPr="003246F5">
        <w:rPr>
          <w:rFonts w:eastAsia="Times New Roman" w:cs="Arial"/>
          <w:color w:val="000000"/>
          <w:szCs w:val="20"/>
          <w:lang w:val="ru-RU" w:eastAsia="bg-BG"/>
        </w:rPr>
        <w:t xml:space="preserve"> </w:t>
      </w:r>
      <w:r w:rsidRPr="003246F5">
        <w:rPr>
          <w:rFonts w:eastAsia="Times New Roman" w:cs="Arial"/>
          <w:color w:val="000000"/>
          <w:szCs w:val="20"/>
          <w:lang w:eastAsia="bg-BG"/>
        </w:rPr>
        <w:t>карбокси-производно. След перорално приложение на глимепирид, терминалните полуживоти на тези метаболити са съответно 3 до 6 часа и 5 до 6 часа.</w:t>
      </w:r>
    </w:p>
    <w:p w14:paraId="207F8E2B" w14:textId="77777777" w:rsidR="003246F5" w:rsidRPr="003246F5" w:rsidRDefault="003246F5" w:rsidP="003246F5">
      <w:pPr>
        <w:spacing w:line="240" w:lineRule="auto"/>
        <w:rPr>
          <w:rFonts w:eastAsia="Times New Roman" w:cs="Arial"/>
          <w:color w:val="000000"/>
          <w:szCs w:val="20"/>
          <w:lang w:eastAsia="bg-BG"/>
        </w:rPr>
      </w:pPr>
    </w:p>
    <w:p w14:paraId="71959AD2" w14:textId="2630281C"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Фармакокинетиката е сходна при мъже и жени, както и при пациенти в млада и в старческа възраст (над 65 години). При пациенти с нисък креатининов клирънс, е налице тенденция клирънсът на глимепирид да се повишава и средните серумни концентрации да се понижават, най-вероятно вследствие по-бърза елиминация, поради по-ниско протеиново свързване.</w:t>
      </w:r>
    </w:p>
    <w:p w14:paraId="6E0EB6C1" w14:textId="77777777" w:rsidR="003246F5" w:rsidRPr="003246F5" w:rsidRDefault="003246F5" w:rsidP="003246F5">
      <w:pPr>
        <w:spacing w:line="240" w:lineRule="auto"/>
        <w:rPr>
          <w:rFonts w:eastAsia="Times New Roman" w:cs="Arial"/>
          <w:color w:val="000000"/>
          <w:szCs w:val="20"/>
          <w:lang w:eastAsia="bg-BG"/>
        </w:rPr>
      </w:pPr>
    </w:p>
    <w:p w14:paraId="13616506" w14:textId="587DD2D9"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lastRenderedPageBreak/>
        <w:t>Бъбречното елиминиране на двата метаболита е нарушено. Като цяло, не трябва да се приема, че при такива пациенти е налице риск от кумулиране.</w:t>
      </w:r>
    </w:p>
    <w:p w14:paraId="41E7BB84" w14:textId="77777777" w:rsidR="003246F5" w:rsidRPr="003246F5" w:rsidRDefault="003246F5" w:rsidP="003246F5">
      <w:pPr>
        <w:spacing w:line="240" w:lineRule="auto"/>
        <w:rPr>
          <w:rFonts w:eastAsia="Times New Roman" w:cs="Arial"/>
          <w:color w:val="000000"/>
          <w:szCs w:val="20"/>
          <w:lang w:eastAsia="bg-BG"/>
        </w:rPr>
      </w:pPr>
    </w:p>
    <w:p w14:paraId="1A6D5F0A" w14:textId="458607D8"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Фармакокинетиката при петима пациенти без диабет след операция на жлъчните пътища е била сходна с тази при здрави индивиди.</w:t>
      </w:r>
    </w:p>
    <w:p w14:paraId="26543446" w14:textId="77777777" w:rsidR="003246F5" w:rsidRPr="003246F5" w:rsidRDefault="003246F5" w:rsidP="003246F5">
      <w:pPr>
        <w:spacing w:line="240" w:lineRule="auto"/>
        <w:rPr>
          <w:rFonts w:eastAsia="Times New Roman" w:cs="Arial"/>
          <w:color w:val="000000"/>
          <w:szCs w:val="20"/>
          <w:u w:val="single"/>
          <w:lang w:eastAsia="bg-BG"/>
        </w:rPr>
      </w:pPr>
    </w:p>
    <w:p w14:paraId="70E3BD86" w14:textId="72118CD1" w:rsidR="003246F5" w:rsidRPr="003246F5" w:rsidRDefault="003246F5" w:rsidP="003246F5">
      <w:pPr>
        <w:pStyle w:val="Heading3"/>
        <w:rPr>
          <w:rFonts w:eastAsia="Times New Roman"/>
          <w:sz w:val="28"/>
          <w:u w:val="single"/>
        </w:rPr>
      </w:pPr>
      <w:r w:rsidRPr="003246F5">
        <w:rPr>
          <w:rFonts w:eastAsia="Times New Roman"/>
          <w:u w:val="single"/>
          <w:lang w:eastAsia="bg-BG"/>
        </w:rPr>
        <w:t>Педиатрична популация</w:t>
      </w:r>
    </w:p>
    <w:p w14:paraId="15BE6627" w14:textId="07662F22" w:rsidR="003246F5" w:rsidRPr="003246F5" w:rsidRDefault="003246F5" w:rsidP="003246F5">
      <w:pPr>
        <w:rPr>
          <w:rFonts w:eastAsia="Times New Roman" w:cs="Arial"/>
          <w:color w:val="000000"/>
          <w:szCs w:val="20"/>
          <w:lang w:eastAsia="bg-BG"/>
        </w:rPr>
      </w:pPr>
      <w:r w:rsidRPr="003246F5">
        <w:rPr>
          <w:rFonts w:eastAsia="Times New Roman" w:cs="Arial"/>
          <w:color w:val="000000"/>
          <w:szCs w:val="20"/>
          <w:lang w:eastAsia="bg-BG"/>
        </w:rPr>
        <w:t xml:space="preserve">Фармакокинетично изследване, проведено при 30 педиатрични пациенти с диабет тип 2 (4 деца на възраст 10-12 години и 26 деца на възраст 12-17 години) за безопасността и поносимостга от прилагането на еднократна доза от 1 </w:t>
      </w:r>
      <w:r w:rsidRPr="003246F5">
        <w:rPr>
          <w:rFonts w:eastAsia="Times New Roman" w:cs="Arial"/>
          <w:color w:val="000000"/>
          <w:szCs w:val="20"/>
          <w:lang w:val="en-US"/>
        </w:rPr>
        <w:t>mg</w:t>
      </w:r>
      <w:r w:rsidRPr="003246F5">
        <w:rPr>
          <w:rFonts w:eastAsia="Times New Roman" w:cs="Arial"/>
          <w:color w:val="000000"/>
          <w:szCs w:val="20"/>
          <w:lang w:val="ru-RU"/>
        </w:rPr>
        <w:t xml:space="preserve"> </w:t>
      </w:r>
      <w:r w:rsidRPr="003246F5">
        <w:rPr>
          <w:rFonts w:eastAsia="Times New Roman" w:cs="Arial"/>
          <w:color w:val="000000"/>
          <w:szCs w:val="20"/>
          <w:lang w:eastAsia="bg-BG"/>
        </w:rPr>
        <w:t xml:space="preserve">глимепирид след хранене показва средно </w:t>
      </w:r>
      <w:r w:rsidRPr="003246F5">
        <w:rPr>
          <w:rFonts w:eastAsia="Times New Roman" w:cs="Arial"/>
          <w:color w:val="000000"/>
          <w:szCs w:val="20"/>
          <w:lang w:val="en-US"/>
        </w:rPr>
        <w:t>AUC</w:t>
      </w:r>
      <w:r w:rsidRPr="003246F5">
        <w:rPr>
          <w:rFonts w:eastAsia="Times New Roman" w:cs="Arial"/>
          <w:color w:val="000000"/>
          <w:szCs w:val="20"/>
          <w:lang w:val="ru-RU"/>
        </w:rPr>
        <w:t xml:space="preserve"> (</w:t>
      </w:r>
      <w:r w:rsidRPr="003246F5">
        <w:rPr>
          <w:rFonts w:eastAsia="Times New Roman" w:cs="Arial"/>
          <w:color w:val="000000"/>
          <w:szCs w:val="20"/>
          <w:vertAlign w:val="subscript"/>
          <w:lang w:val="ru-RU"/>
        </w:rPr>
        <w:t>0-</w:t>
      </w:r>
      <w:r w:rsidRPr="003246F5">
        <w:rPr>
          <w:rFonts w:eastAsia="Times New Roman" w:cs="Arial"/>
          <w:color w:val="000000"/>
          <w:szCs w:val="20"/>
          <w:vertAlign w:val="subscript"/>
          <w:lang w:val="en-US"/>
        </w:rPr>
        <w:t>last</w:t>
      </w:r>
      <w:r w:rsidRPr="003246F5">
        <w:rPr>
          <w:rFonts w:eastAsia="Times New Roman" w:cs="Arial"/>
          <w:color w:val="000000"/>
          <w:szCs w:val="20"/>
          <w:lang w:val="ru-RU"/>
        </w:rPr>
        <w:t xml:space="preserve">), </w:t>
      </w:r>
      <w:r w:rsidRPr="003246F5">
        <w:rPr>
          <w:rFonts w:eastAsia="Times New Roman" w:cs="Arial"/>
          <w:color w:val="000000"/>
          <w:szCs w:val="20"/>
          <w:lang w:eastAsia="bg-BG"/>
        </w:rPr>
        <w:t>С</w:t>
      </w:r>
      <w:r w:rsidRPr="003246F5">
        <w:rPr>
          <w:rFonts w:eastAsia="Times New Roman" w:cs="Arial"/>
          <w:color w:val="000000"/>
          <w:szCs w:val="20"/>
          <w:vertAlign w:val="subscript"/>
          <w:lang w:val="en-US"/>
        </w:rPr>
        <w:t>max</w:t>
      </w:r>
      <w:r w:rsidRPr="003246F5">
        <w:rPr>
          <w:rFonts w:eastAsia="Times New Roman" w:cs="Arial"/>
          <w:color w:val="000000"/>
          <w:szCs w:val="20"/>
          <w:lang w:eastAsia="bg-BG"/>
        </w:rPr>
        <w:t xml:space="preserve"> и </w:t>
      </w:r>
      <w:r w:rsidRPr="003246F5">
        <w:rPr>
          <w:rFonts w:eastAsia="Times New Roman" w:cs="Arial"/>
          <w:color w:val="000000"/>
          <w:szCs w:val="20"/>
          <w:lang w:val="en-US"/>
        </w:rPr>
        <w:t>t</w:t>
      </w:r>
      <w:r w:rsidRPr="003246F5">
        <w:rPr>
          <w:rFonts w:eastAsia="Times New Roman" w:cs="Arial"/>
          <w:color w:val="000000"/>
          <w:szCs w:val="20"/>
          <w:lang w:val="ru-RU"/>
        </w:rPr>
        <w:t xml:space="preserve">1/2 </w:t>
      </w:r>
      <w:r w:rsidRPr="003246F5">
        <w:rPr>
          <w:rFonts w:eastAsia="Times New Roman" w:cs="Arial"/>
          <w:color w:val="000000"/>
          <w:szCs w:val="20"/>
          <w:lang w:eastAsia="bg-BG"/>
        </w:rPr>
        <w:t>подобни на тези, установени преди това при възрастни.</w:t>
      </w:r>
    </w:p>
    <w:p w14:paraId="762AECB0" w14:textId="77777777" w:rsidR="003246F5" w:rsidRPr="003246F5" w:rsidRDefault="003246F5" w:rsidP="003246F5">
      <w:pPr>
        <w:rPr>
          <w:lang w:val="ru-RU"/>
        </w:rPr>
      </w:pPr>
    </w:p>
    <w:p w14:paraId="4FB791BE" w14:textId="1DFE0B20" w:rsidR="00B6672E" w:rsidRDefault="002C50EE" w:rsidP="00936AD0">
      <w:pPr>
        <w:pStyle w:val="Heading2"/>
      </w:pPr>
      <w:r>
        <w:t>5.3. Предклинични данни за безопасност</w:t>
      </w:r>
    </w:p>
    <w:p w14:paraId="35FD92EF" w14:textId="5BFA992A" w:rsidR="003246F5" w:rsidRDefault="003246F5" w:rsidP="003246F5"/>
    <w:p w14:paraId="0F0F881E"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Предклиничните ефекти на глимепирид са наблюдавани при дози, значително надвишаващи максималните за хора, което има минимално значение за клиничната практика, или са били следствие от фармакодинамичното действие (хипогликемия) на съединението.</w:t>
      </w:r>
    </w:p>
    <w:p w14:paraId="0C80DEC1" w14:textId="77777777" w:rsidR="003246F5" w:rsidRPr="003246F5" w:rsidRDefault="003246F5" w:rsidP="003246F5">
      <w:pPr>
        <w:spacing w:line="240" w:lineRule="auto"/>
        <w:rPr>
          <w:rFonts w:eastAsia="Times New Roman" w:cs="Arial"/>
          <w:color w:val="000000"/>
          <w:szCs w:val="20"/>
          <w:lang w:eastAsia="bg-BG"/>
        </w:rPr>
      </w:pPr>
    </w:p>
    <w:p w14:paraId="61E59CC5" w14:textId="40BC2269"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Данните се базират върху конвенционалната фармакология за изследване на безопасност, с изследвания за многократна дозова токсичност, генотоксичност, канцерогенност и репродуктивна токсичност. При последното (покриващо ембриотоксичност, тератогенност и токсичност при развитието), наблюдаваните нежелани реакции са били приети за вторични спрямо хипогликемичните ефекти, предизвикани от съединението върху женски екземпляри на четириноги и тяхното поколение.</w:t>
      </w:r>
    </w:p>
    <w:p w14:paraId="37D2BEE5" w14:textId="77777777" w:rsidR="003246F5" w:rsidRPr="003246F5" w:rsidRDefault="003246F5" w:rsidP="003246F5"/>
    <w:p w14:paraId="1BA6531D" w14:textId="7652BCE2" w:rsidR="00B6672E" w:rsidRDefault="002C50EE" w:rsidP="00936AD0">
      <w:pPr>
        <w:pStyle w:val="Heading1"/>
      </w:pPr>
      <w:r>
        <w:t>7. ПРИТЕЖАТЕЛ НА РАЗРЕШЕНИЕТО ЗА УПОТРЕБА</w:t>
      </w:r>
    </w:p>
    <w:p w14:paraId="5F252090" w14:textId="2E5F14E5" w:rsidR="003246F5" w:rsidRDefault="003246F5" w:rsidP="003246F5"/>
    <w:p w14:paraId="48892D00" w14:textId="77777777" w:rsidR="003246F5" w:rsidRPr="003246F5" w:rsidRDefault="003246F5" w:rsidP="003246F5">
      <w:pPr>
        <w:rPr>
          <w:sz w:val="24"/>
          <w:szCs w:val="24"/>
        </w:rPr>
      </w:pPr>
      <w:r w:rsidRPr="003246F5">
        <w:rPr>
          <w:lang w:eastAsia="bg-BG"/>
        </w:rPr>
        <w:t>Тева Фарма ЕАД</w:t>
      </w:r>
    </w:p>
    <w:p w14:paraId="5190219B" w14:textId="77777777" w:rsidR="003246F5" w:rsidRPr="003246F5" w:rsidRDefault="003246F5" w:rsidP="003246F5">
      <w:pPr>
        <w:rPr>
          <w:sz w:val="24"/>
          <w:szCs w:val="24"/>
        </w:rPr>
      </w:pPr>
      <w:r w:rsidRPr="003246F5">
        <w:rPr>
          <w:lang w:eastAsia="bg-BG"/>
        </w:rPr>
        <w:t>ул. „Люба Величкова“ № 9, 1407 София</w:t>
      </w:r>
    </w:p>
    <w:p w14:paraId="21661186" w14:textId="77777777" w:rsidR="003246F5" w:rsidRPr="003246F5" w:rsidRDefault="003246F5" w:rsidP="003246F5">
      <w:pPr>
        <w:rPr>
          <w:sz w:val="24"/>
          <w:szCs w:val="24"/>
        </w:rPr>
      </w:pPr>
      <w:r w:rsidRPr="003246F5">
        <w:rPr>
          <w:lang w:eastAsia="bg-BG"/>
        </w:rPr>
        <w:t>България</w:t>
      </w:r>
    </w:p>
    <w:p w14:paraId="10B17434" w14:textId="77777777" w:rsidR="003246F5" w:rsidRPr="003246F5" w:rsidRDefault="003246F5" w:rsidP="003246F5"/>
    <w:p w14:paraId="508F3A54" w14:textId="63BB0FD4" w:rsidR="00B6672E" w:rsidRDefault="00936AD0" w:rsidP="00936AD0">
      <w:pPr>
        <w:pStyle w:val="Heading1"/>
      </w:pPr>
      <w:r>
        <w:t>8.</w:t>
      </w:r>
      <w:r w:rsidR="002C50EE">
        <w:t>НОМЕР НА РАЗРЕШЕНИЕТО ЗА УПОТРЕБА</w:t>
      </w:r>
    </w:p>
    <w:p w14:paraId="1A5B232A" w14:textId="3560D25B" w:rsidR="003246F5" w:rsidRDefault="003246F5" w:rsidP="003246F5"/>
    <w:p w14:paraId="4B67B9DF" w14:textId="77777777" w:rsidR="003246F5" w:rsidRPr="003246F5" w:rsidRDefault="003246F5" w:rsidP="003246F5">
      <w:pPr>
        <w:rPr>
          <w:sz w:val="24"/>
          <w:szCs w:val="24"/>
        </w:rPr>
      </w:pPr>
      <w:r w:rsidRPr="003246F5">
        <w:rPr>
          <w:lang w:eastAsia="bg-BG"/>
        </w:rPr>
        <w:t xml:space="preserve">Лимерал 1 </w:t>
      </w:r>
      <w:r w:rsidRPr="003246F5">
        <w:rPr>
          <w:lang w:val="en-US"/>
        </w:rPr>
        <w:t>mg</w:t>
      </w:r>
      <w:r w:rsidRPr="003246F5">
        <w:t xml:space="preserve"> </w:t>
      </w:r>
      <w:r w:rsidRPr="003246F5">
        <w:rPr>
          <w:lang w:eastAsia="bg-BG"/>
        </w:rPr>
        <w:t xml:space="preserve">- </w:t>
      </w:r>
      <w:r w:rsidRPr="003246F5">
        <w:rPr>
          <w:lang w:val="en-US"/>
        </w:rPr>
        <w:t>per</w:t>
      </w:r>
      <w:r w:rsidRPr="003246F5">
        <w:t xml:space="preserve">. </w:t>
      </w:r>
      <w:r w:rsidRPr="003246F5">
        <w:rPr>
          <w:lang w:eastAsia="bg-BG"/>
        </w:rPr>
        <w:t>№ 20060400</w:t>
      </w:r>
    </w:p>
    <w:p w14:paraId="65527953" w14:textId="77777777" w:rsidR="003246F5" w:rsidRPr="003246F5" w:rsidRDefault="003246F5" w:rsidP="003246F5">
      <w:pPr>
        <w:rPr>
          <w:sz w:val="24"/>
          <w:szCs w:val="24"/>
        </w:rPr>
      </w:pPr>
      <w:r w:rsidRPr="003246F5">
        <w:rPr>
          <w:lang w:eastAsia="bg-BG"/>
        </w:rPr>
        <w:t xml:space="preserve">Лимерал 2 </w:t>
      </w:r>
      <w:r w:rsidRPr="003246F5">
        <w:rPr>
          <w:lang w:val="en-US"/>
        </w:rPr>
        <w:t>mg</w:t>
      </w:r>
      <w:r w:rsidRPr="003246F5">
        <w:t xml:space="preserve"> </w:t>
      </w:r>
      <w:r w:rsidRPr="003246F5">
        <w:rPr>
          <w:lang w:eastAsia="bg-BG"/>
        </w:rPr>
        <w:t xml:space="preserve">- </w:t>
      </w:r>
      <w:r w:rsidRPr="003246F5">
        <w:rPr>
          <w:lang w:val="en-US"/>
        </w:rPr>
        <w:t>per</w:t>
      </w:r>
      <w:r w:rsidRPr="003246F5">
        <w:t xml:space="preserve">. </w:t>
      </w:r>
      <w:r w:rsidRPr="003246F5">
        <w:rPr>
          <w:lang w:eastAsia="bg-BG"/>
        </w:rPr>
        <w:t>№ 20060401</w:t>
      </w:r>
    </w:p>
    <w:p w14:paraId="280552C6" w14:textId="77777777" w:rsidR="003246F5" w:rsidRPr="003246F5" w:rsidRDefault="003246F5" w:rsidP="003246F5">
      <w:pPr>
        <w:rPr>
          <w:sz w:val="24"/>
          <w:szCs w:val="24"/>
        </w:rPr>
      </w:pPr>
      <w:r w:rsidRPr="003246F5">
        <w:rPr>
          <w:lang w:eastAsia="bg-BG"/>
        </w:rPr>
        <w:t xml:space="preserve">Лимерал 3 </w:t>
      </w:r>
      <w:r w:rsidRPr="003246F5">
        <w:rPr>
          <w:lang w:val="en-US"/>
        </w:rPr>
        <w:t>mg</w:t>
      </w:r>
      <w:r w:rsidRPr="003246F5">
        <w:t xml:space="preserve"> </w:t>
      </w:r>
      <w:r w:rsidRPr="003246F5">
        <w:rPr>
          <w:lang w:eastAsia="bg-BG"/>
        </w:rPr>
        <w:t xml:space="preserve">- </w:t>
      </w:r>
      <w:r w:rsidRPr="003246F5">
        <w:rPr>
          <w:lang w:val="en-US"/>
        </w:rPr>
        <w:t>per</w:t>
      </w:r>
      <w:r w:rsidRPr="003246F5">
        <w:t>. № 20060402</w:t>
      </w:r>
    </w:p>
    <w:p w14:paraId="6F4545CD" w14:textId="77777777" w:rsidR="003246F5" w:rsidRPr="003246F5" w:rsidRDefault="003246F5" w:rsidP="003246F5">
      <w:pPr>
        <w:rPr>
          <w:sz w:val="24"/>
          <w:szCs w:val="24"/>
        </w:rPr>
      </w:pPr>
      <w:r w:rsidRPr="003246F5">
        <w:rPr>
          <w:lang w:eastAsia="bg-BG"/>
        </w:rPr>
        <w:t xml:space="preserve">Лимерал </w:t>
      </w:r>
      <w:r w:rsidRPr="003246F5">
        <w:t xml:space="preserve">4 </w:t>
      </w:r>
      <w:r w:rsidRPr="003246F5">
        <w:rPr>
          <w:lang w:val="en-US"/>
        </w:rPr>
        <w:t>mg</w:t>
      </w:r>
      <w:r w:rsidRPr="003246F5">
        <w:t xml:space="preserve"> - </w:t>
      </w:r>
      <w:r w:rsidRPr="003246F5">
        <w:rPr>
          <w:lang w:val="en-US"/>
        </w:rPr>
        <w:t>per</w:t>
      </w:r>
      <w:r w:rsidRPr="003246F5">
        <w:t xml:space="preserve">. </w:t>
      </w:r>
      <w:r w:rsidRPr="003246F5">
        <w:rPr>
          <w:lang w:val="ru-RU"/>
        </w:rPr>
        <w:t>№ 20060403</w:t>
      </w:r>
    </w:p>
    <w:p w14:paraId="5E72CD91" w14:textId="77777777" w:rsidR="003246F5" w:rsidRPr="003246F5" w:rsidRDefault="003246F5" w:rsidP="003246F5"/>
    <w:p w14:paraId="2CCB5832" w14:textId="4F93BB70" w:rsidR="007C605B" w:rsidRDefault="002C50EE" w:rsidP="007C605B">
      <w:pPr>
        <w:pStyle w:val="Heading1"/>
      </w:pPr>
      <w:r>
        <w:t>9. ДАТА НА ПЪРВО РАЗРЕШАВАНЕ/ПОДНОВЯВАНЕ НА РАЗРЕШЕНИЕТО ЗА УПОТРЕБА</w:t>
      </w:r>
    </w:p>
    <w:p w14:paraId="718A9C2A" w14:textId="6D95E759" w:rsidR="003246F5" w:rsidRDefault="003246F5" w:rsidP="003246F5"/>
    <w:p w14:paraId="791AAB22" w14:textId="77777777" w:rsidR="003246F5" w:rsidRPr="003246F5" w:rsidRDefault="003246F5" w:rsidP="003246F5">
      <w:pPr>
        <w:rPr>
          <w:sz w:val="24"/>
          <w:szCs w:val="24"/>
        </w:rPr>
      </w:pPr>
      <w:r w:rsidRPr="003246F5">
        <w:rPr>
          <w:lang w:eastAsia="bg-BG"/>
        </w:rPr>
        <w:lastRenderedPageBreak/>
        <w:t>Дата на първо разрешаване: 14 август 2006 г.</w:t>
      </w:r>
    </w:p>
    <w:p w14:paraId="2AD93759" w14:textId="0F243336" w:rsidR="003246F5" w:rsidRPr="003246F5" w:rsidRDefault="003246F5" w:rsidP="003246F5">
      <w:r w:rsidRPr="003246F5">
        <w:rPr>
          <w:lang w:eastAsia="bg-BG"/>
        </w:rPr>
        <w:t>Дата на последно подновяване: 24 октомври 2011 г.</w:t>
      </w:r>
    </w:p>
    <w:p w14:paraId="0E9D0119" w14:textId="0245C6D7" w:rsidR="002C50EE" w:rsidRDefault="002C50EE" w:rsidP="002C50EE">
      <w:pPr>
        <w:pStyle w:val="Heading1"/>
      </w:pPr>
      <w:r>
        <w:t>10. ДАТА НА АКТУАЛИЗИРАНЕ НА ТЕКСТА</w:t>
      </w:r>
    </w:p>
    <w:bookmarkEnd w:id="0"/>
    <w:p w14:paraId="43FB38A2" w14:textId="7ACD5BD5" w:rsidR="007C605B" w:rsidRDefault="007C605B" w:rsidP="00B6672E"/>
    <w:p w14:paraId="3348E394" w14:textId="2023B175" w:rsidR="003246F5" w:rsidRPr="003E3126" w:rsidRDefault="003246F5" w:rsidP="003246F5">
      <w:r>
        <w:t>05/01/2021</w:t>
      </w:r>
      <w:bookmarkStart w:id="1" w:name="_GoBack"/>
      <w:bookmarkEnd w:id="1"/>
    </w:p>
    <w:sectPr w:rsidR="003246F5"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65F5DC1"/>
    <w:multiLevelType w:val="hybridMultilevel"/>
    <w:tmpl w:val="F7FC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9D6A5B"/>
    <w:multiLevelType w:val="hybridMultilevel"/>
    <w:tmpl w:val="54B87460"/>
    <w:lvl w:ilvl="0" w:tplc="1C901036">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5"/>
  </w:num>
  <w:num w:numId="4">
    <w:abstractNumId w:val="3"/>
  </w:num>
  <w:num w:numId="5">
    <w:abstractNumId w:val="1"/>
  </w:num>
  <w:num w:numId="6">
    <w:abstractNumId w:val="18"/>
  </w:num>
  <w:num w:numId="7">
    <w:abstractNumId w:val="13"/>
  </w:num>
  <w:num w:numId="8">
    <w:abstractNumId w:val="17"/>
  </w:num>
  <w:num w:numId="9">
    <w:abstractNumId w:val="2"/>
  </w:num>
  <w:num w:numId="10">
    <w:abstractNumId w:val="4"/>
  </w:num>
  <w:num w:numId="11">
    <w:abstractNumId w:val="32"/>
  </w:num>
  <w:num w:numId="12">
    <w:abstractNumId w:val="16"/>
  </w:num>
  <w:num w:numId="13">
    <w:abstractNumId w:val="21"/>
  </w:num>
  <w:num w:numId="14">
    <w:abstractNumId w:val="14"/>
  </w:num>
  <w:num w:numId="15">
    <w:abstractNumId w:val="31"/>
  </w:num>
  <w:num w:numId="16">
    <w:abstractNumId w:val="12"/>
  </w:num>
  <w:num w:numId="17">
    <w:abstractNumId w:val="26"/>
  </w:num>
  <w:num w:numId="18">
    <w:abstractNumId w:val="9"/>
  </w:num>
  <w:num w:numId="19">
    <w:abstractNumId w:val="28"/>
  </w:num>
  <w:num w:numId="20">
    <w:abstractNumId w:val="25"/>
  </w:num>
  <w:num w:numId="21">
    <w:abstractNumId w:val="19"/>
  </w:num>
  <w:num w:numId="22">
    <w:abstractNumId w:val="27"/>
  </w:num>
  <w:num w:numId="23">
    <w:abstractNumId w:val="20"/>
  </w:num>
  <w:num w:numId="24">
    <w:abstractNumId w:val="10"/>
  </w:num>
  <w:num w:numId="25">
    <w:abstractNumId w:val="24"/>
  </w:num>
  <w:num w:numId="26">
    <w:abstractNumId w:val="23"/>
  </w:num>
  <w:num w:numId="27">
    <w:abstractNumId w:val="34"/>
  </w:num>
  <w:num w:numId="28">
    <w:abstractNumId w:val="6"/>
  </w:num>
  <w:num w:numId="29">
    <w:abstractNumId w:val="22"/>
  </w:num>
  <w:num w:numId="30">
    <w:abstractNumId w:val="37"/>
  </w:num>
  <w:num w:numId="31">
    <w:abstractNumId w:val="5"/>
  </w:num>
  <w:num w:numId="32">
    <w:abstractNumId w:val="36"/>
  </w:num>
  <w:num w:numId="33">
    <w:abstractNumId w:val="30"/>
  </w:num>
  <w:num w:numId="34">
    <w:abstractNumId w:val="35"/>
  </w:num>
  <w:num w:numId="35">
    <w:abstractNumId w:val="8"/>
  </w:num>
  <w:num w:numId="36">
    <w:abstractNumId w:val="11"/>
  </w:num>
  <w:num w:numId="37">
    <w:abstractNumId w:val="7"/>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246F5"/>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73E4"/>
    <w:rsid w:val="009B171C"/>
    <w:rsid w:val="009F1313"/>
    <w:rsid w:val="00A20351"/>
    <w:rsid w:val="00A46E8C"/>
    <w:rsid w:val="00A65A81"/>
    <w:rsid w:val="00AA23EC"/>
    <w:rsid w:val="00AC63CE"/>
    <w:rsid w:val="00AE2107"/>
    <w:rsid w:val="00B275A8"/>
    <w:rsid w:val="00B6672E"/>
    <w:rsid w:val="00BF2600"/>
    <w:rsid w:val="00C0049F"/>
    <w:rsid w:val="00C07B84"/>
    <w:rsid w:val="00C33464"/>
    <w:rsid w:val="00C40420"/>
    <w:rsid w:val="00C521ED"/>
    <w:rsid w:val="00C809A7"/>
    <w:rsid w:val="00C83063"/>
    <w:rsid w:val="00C87E90"/>
    <w:rsid w:val="00CA1B57"/>
    <w:rsid w:val="00CF77F7"/>
    <w:rsid w:val="00D5033C"/>
    <w:rsid w:val="00D67141"/>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4155</Words>
  <Characters>23689</Characters>
  <Application>Microsoft Office Word</Application>
  <DocSecurity>0</DocSecurity>
  <Lines>197</Lines>
  <Paragraphs>55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2022-08-28T15:48:00Z</dcterms:created>
  <dcterms:modified xsi:type="dcterms:W3CDTF">2022-08-28T15:48:00Z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