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3248A176" w:rsidR="009F77A4" w:rsidRDefault="00DD466D" w:rsidP="00387A66">
      <w:pPr>
        <w:pStyle w:val="Heading1"/>
      </w:pPr>
      <w:r>
        <w:t>1.ИМЕ НА ЛЕКАРСТВЕНИЯ ПРОДУКТ</w:t>
      </w:r>
    </w:p>
    <w:p w14:paraId="2766F719" w14:textId="34223BA5" w:rsidR="00F52944" w:rsidRDefault="00F52944" w:rsidP="00F52944"/>
    <w:p w14:paraId="32754F02" w14:textId="77777777" w:rsidR="00F52944" w:rsidRPr="00F52944" w:rsidRDefault="00F52944" w:rsidP="00F52944">
      <w:pPr>
        <w:rPr>
          <w:sz w:val="24"/>
          <w:szCs w:val="24"/>
          <w:lang w:eastAsia="bg-BG"/>
        </w:rPr>
      </w:pPr>
      <w:r w:rsidRPr="00F52944">
        <w:rPr>
          <w:lang w:eastAsia="bg-BG"/>
        </w:rPr>
        <w:t>Линдинет 20 75 микрограма/20 микрограма обвити таблетки</w:t>
      </w:r>
    </w:p>
    <w:p w14:paraId="2057004F" w14:textId="5964D4B2" w:rsidR="00F52944" w:rsidRPr="00F52944" w:rsidRDefault="00F52944" w:rsidP="00F52944">
      <w:proofErr w:type="spellStart"/>
      <w:r w:rsidRPr="00F52944">
        <w:rPr>
          <w:lang w:val="en-US"/>
        </w:rPr>
        <w:t>Lindynette</w:t>
      </w:r>
      <w:proofErr w:type="spellEnd"/>
      <w:r w:rsidRPr="00F52944">
        <w:rPr>
          <w:lang w:val="en-US"/>
        </w:rPr>
        <w:t xml:space="preserve"> </w:t>
      </w:r>
      <w:r w:rsidRPr="00F52944">
        <w:rPr>
          <w:lang w:eastAsia="bg-BG"/>
        </w:rPr>
        <w:t xml:space="preserve">20 75 </w:t>
      </w:r>
      <w:r w:rsidRPr="00F52944">
        <w:rPr>
          <w:lang w:val="en-US"/>
        </w:rPr>
        <w:t>micrograms/ 20micrograms coated tablets</w:t>
      </w:r>
    </w:p>
    <w:p w14:paraId="0DF202EC" w14:textId="04AEA121" w:rsidR="00F53FB7" w:rsidRDefault="00DD466D" w:rsidP="00A93499">
      <w:pPr>
        <w:pStyle w:val="Heading1"/>
      </w:pPr>
      <w:r>
        <w:t>2. КАЧЕСТВЕН И КОЛИЧЕСТВЕН СЪСТАВ</w:t>
      </w:r>
    </w:p>
    <w:p w14:paraId="3A681594" w14:textId="46109725" w:rsidR="00F52944" w:rsidRDefault="00F52944" w:rsidP="00F52944"/>
    <w:p w14:paraId="38CF0D79" w14:textId="77777777" w:rsidR="00F52944" w:rsidRPr="00F52944" w:rsidRDefault="00F52944" w:rsidP="00F52944">
      <w:pPr>
        <w:rPr>
          <w:sz w:val="24"/>
          <w:szCs w:val="24"/>
          <w:lang w:eastAsia="bg-BG"/>
        </w:rPr>
      </w:pPr>
      <w:r w:rsidRPr="00F52944">
        <w:rPr>
          <w:lang w:eastAsia="bg-BG"/>
        </w:rPr>
        <w:t xml:space="preserve">Всяка таблетка съдържа 75 микрограма гестоден </w:t>
      </w:r>
      <w:r w:rsidRPr="00F52944">
        <w:rPr>
          <w:i/>
          <w:iCs/>
          <w:lang w:val="en-US"/>
        </w:rPr>
        <w:t>(</w:t>
      </w:r>
      <w:proofErr w:type="spellStart"/>
      <w:r w:rsidRPr="00F52944">
        <w:rPr>
          <w:i/>
          <w:iCs/>
          <w:lang w:val="en-US"/>
        </w:rPr>
        <w:t>gestodene</w:t>
      </w:r>
      <w:proofErr w:type="spellEnd"/>
      <w:r w:rsidRPr="00F52944">
        <w:rPr>
          <w:i/>
          <w:iCs/>
          <w:lang w:val="en-US"/>
        </w:rPr>
        <w:t>)</w:t>
      </w:r>
      <w:r w:rsidRPr="00F52944">
        <w:rPr>
          <w:lang w:val="en-US"/>
        </w:rPr>
        <w:t xml:space="preserve"> </w:t>
      </w:r>
      <w:r w:rsidRPr="00F52944">
        <w:rPr>
          <w:lang w:eastAsia="bg-BG"/>
        </w:rPr>
        <w:t>и 20 микрограма етинилестрадиол (</w:t>
      </w:r>
      <w:proofErr w:type="spellStart"/>
      <w:r w:rsidRPr="00F52944">
        <w:rPr>
          <w:i/>
          <w:iCs/>
          <w:lang w:val="en-US"/>
        </w:rPr>
        <w:t>ethinylestradiol</w:t>
      </w:r>
      <w:proofErr w:type="spellEnd"/>
      <w:r w:rsidRPr="00F52944">
        <w:rPr>
          <w:i/>
          <w:iCs/>
          <w:lang w:val="en-US"/>
        </w:rPr>
        <w:t>).</w:t>
      </w:r>
    </w:p>
    <w:p w14:paraId="235CA2E1" w14:textId="77777777" w:rsidR="00F52944" w:rsidRDefault="00F52944" w:rsidP="00F52944">
      <w:pPr>
        <w:rPr>
          <w:u w:val="single"/>
          <w:lang w:eastAsia="bg-BG"/>
        </w:rPr>
      </w:pPr>
    </w:p>
    <w:p w14:paraId="7A44AD9A" w14:textId="58508073" w:rsidR="00F52944" w:rsidRPr="00F52944" w:rsidRDefault="00F52944" w:rsidP="00F52944">
      <w:pPr>
        <w:rPr>
          <w:sz w:val="24"/>
          <w:szCs w:val="24"/>
          <w:lang w:eastAsia="bg-BG"/>
        </w:rPr>
      </w:pPr>
      <w:r w:rsidRPr="00F52944">
        <w:rPr>
          <w:u w:val="single"/>
          <w:lang w:eastAsia="bg-BG"/>
        </w:rPr>
        <w:t>Помощни вещества с известно действие:</w:t>
      </w:r>
      <w:r w:rsidRPr="00F52944">
        <w:rPr>
          <w:lang w:eastAsia="bg-BG"/>
        </w:rPr>
        <w:t xml:space="preserve"> Този лекарствен продукт съдържа 37,165 </w:t>
      </w:r>
      <w:r w:rsidRPr="00F52944">
        <w:rPr>
          <w:lang w:val="en-US"/>
        </w:rPr>
        <w:t xml:space="preserve">mg </w:t>
      </w:r>
      <w:r w:rsidRPr="00F52944">
        <w:rPr>
          <w:lang w:eastAsia="bg-BG"/>
        </w:rPr>
        <w:t xml:space="preserve">лактоза монохидрат и 19,66 </w:t>
      </w:r>
      <w:r w:rsidRPr="00F52944">
        <w:rPr>
          <w:lang w:val="en-US"/>
        </w:rPr>
        <w:t xml:space="preserve">mg </w:t>
      </w:r>
      <w:r w:rsidRPr="00F52944">
        <w:rPr>
          <w:lang w:eastAsia="bg-BG"/>
        </w:rPr>
        <w:t>захароза.</w:t>
      </w:r>
    </w:p>
    <w:p w14:paraId="0583521E" w14:textId="77777777" w:rsidR="00F52944" w:rsidRPr="00F52944" w:rsidRDefault="00F52944" w:rsidP="00F52944"/>
    <w:p w14:paraId="4CABB9ED" w14:textId="681C90FE" w:rsidR="00F53FB7" w:rsidRDefault="00DD466D" w:rsidP="00A93499">
      <w:pPr>
        <w:pStyle w:val="Heading1"/>
      </w:pPr>
      <w:r>
        <w:t>3. ЛЕКАРСТВЕНА ФОРМА</w:t>
      </w:r>
    </w:p>
    <w:p w14:paraId="2AF35AA2" w14:textId="54E8C414" w:rsidR="00F52944" w:rsidRDefault="00F52944" w:rsidP="00F52944"/>
    <w:p w14:paraId="1C08D350" w14:textId="77777777" w:rsidR="00F52944" w:rsidRPr="00F52944" w:rsidRDefault="00F52944" w:rsidP="00F52944">
      <w:pPr>
        <w:rPr>
          <w:sz w:val="24"/>
          <w:szCs w:val="24"/>
          <w:lang w:eastAsia="bg-BG"/>
        </w:rPr>
      </w:pPr>
      <w:r w:rsidRPr="00F52944">
        <w:rPr>
          <w:lang w:eastAsia="bg-BG"/>
        </w:rPr>
        <w:t>Обвита таблетка.</w:t>
      </w:r>
    </w:p>
    <w:p w14:paraId="00B71B32" w14:textId="199F6939" w:rsidR="00F52944" w:rsidRPr="00F52944" w:rsidRDefault="00F52944" w:rsidP="00F52944">
      <w:r w:rsidRPr="00F52944">
        <w:rPr>
          <w:lang w:eastAsia="bg-BG"/>
        </w:rPr>
        <w:t>Бледожълти, кръгли, двойноизпъкнали обвити таблетки, без надписи и от двете страни.</w:t>
      </w:r>
    </w:p>
    <w:p w14:paraId="490FC2C4" w14:textId="6899DE43" w:rsidR="002C50EE" w:rsidRDefault="002C50EE" w:rsidP="002C50EE">
      <w:pPr>
        <w:pStyle w:val="Heading1"/>
      </w:pPr>
      <w:r>
        <w:t>4. КЛИНИЧНИ ДАННИ</w:t>
      </w:r>
    </w:p>
    <w:p w14:paraId="461901E4" w14:textId="5FF7234C" w:rsidR="009F77A4" w:rsidRDefault="002C50EE" w:rsidP="00387A66">
      <w:pPr>
        <w:pStyle w:val="Heading2"/>
      </w:pPr>
      <w:r>
        <w:t>4.1. Терапевтични показания</w:t>
      </w:r>
    </w:p>
    <w:p w14:paraId="271214D2" w14:textId="7BB57994" w:rsidR="00F52944" w:rsidRDefault="00F52944" w:rsidP="00F52944"/>
    <w:p w14:paraId="1D05A9DF" w14:textId="77777777" w:rsidR="00F52944" w:rsidRPr="00F52944" w:rsidRDefault="00F52944" w:rsidP="00F52944">
      <w:pPr>
        <w:rPr>
          <w:sz w:val="24"/>
          <w:szCs w:val="24"/>
          <w:lang w:eastAsia="bg-BG"/>
        </w:rPr>
      </w:pPr>
      <w:r w:rsidRPr="00F52944">
        <w:rPr>
          <w:lang w:eastAsia="bg-BG"/>
        </w:rPr>
        <w:t>Перорална контрацепция</w:t>
      </w:r>
    </w:p>
    <w:p w14:paraId="19DD5BEB" w14:textId="77777777" w:rsidR="00F52944" w:rsidRDefault="00F52944" w:rsidP="00F52944">
      <w:pPr>
        <w:rPr>
          <w:lang w:eastAsia="bg-BG"/>
        </w:rPr>
      </w:pPr>
    </w:p>
    <w:p w14:paraId="7D528967" w14:textId="72C20F99" w:rsidR="00F52944" w:rsidRPr="00F52944" w:rsidRDefault="00F52944" w:rsidP="00F52944">
      <w:pPr>
        <w:rPr>
          <w:sz w:val="24"/>
          <w:szCs w:val="24"/>
          <w:lang w:eastAsia="bg-BG"/>
        </w:rPr>
      </w:pPr>
      <w:r w:rsidRPr="00F52944">
        <w:rPr>
          <w:lang w:eastAsia="bg-BG"/>
        </w:rPr>
        <w:t>При вземане на решение за предписване на Линдинет 20 трябва да се имат предвид настоящите рискови фактори на отделната жена, особено тези за венозна тромбоемболия (ВТЕ) и това какъв е рискът от ВТЕ при Линдинет 20 в сравнение с този при други комбинирани хормонални контрацептиви (КХК) (вж. точки 4.3 и 4.4).</w:t>
      </w:r>
    </w:p>
    <w:p w14:paraId="7C0612EE" w14:textId="77777777" w:rsidR="00F52944" w:rsidRPr="00F52944" w:rsidRDefault="00F52944" w:rsidP="00F52944"/>
    <w:p w14:paraId="31744E5A" w14:textId="7F21F8B7" w:rsidR="009F77A4" w:rsidRDefault="002C50EE" w:rsidP="00387A66">
      <w:pPr>
        <w:pStyle w:val="Heading2"/>
      </w:pPr>
      <w:r>
        <w:t>4.2. Дозировка и начин на приложение</w:t>
      </w:r>
    </w:p>
    <w:p w14:paraId="554F9158" w14:textId="6887C963" w:rsidR="00F52944" w:rsidRDefault="00F52944" w:rsidP="00F52944"/>
    <w:p w14:paraId="38F8E824" w14:textId="77777777"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Преди приемане на Линдинет 20 трябва да се изключи наличието на бременност.</w:t>
      </w:r>
    </w:p>
    <w:p w14:paraId="0EEC2794" w14:textId="77777777" w:rsidR="00F52944" w:rsidRPr="00F52944" w:rsidRDefault="00F52944" w:rsidP="00F52944">
      <w:pPr>
        <w:spacing w:line="240" w:lineRule="auto"/>
        <w:rPr>
          <w:rFonts w:eastAsia="Times New Roman" w:cs="Arial"/>
          <w:color w:val="000000"/>
          <w:u w:val="single"/>
          <w:lang w:eastAsia="bg-BG"/>
        </w:rPr>
      </w:pPr>
    </w:p>
    <w:p w14:paraId="3FEE77C8" w14:textId="6122CBAA" w:rsidR="00F52944" w:rsidRPr="00F52944" w:rsidRDefault="00F52944" w:rsidP="00F52944">
      <w:pPr>
        <w:pStyle w:val="Heading3"/>
        <w:rPr>
          <w:rFonts w:eastAsia="Times New Roman"/>
          <w:u w:val="single"/>
          <w:lang w:eastAsia="bg-BG"/>
        </w:rPr>
      </w:pPr>
      <w:r w:rsidRPr="00F52944">
        <w:rPr>
          <w:rFonts w:eastAsia="Times New Roman"/>
          <w:u w:val="single"/>
          <w:lang w:eastAsia="bg-BG"/>
        </w:rPr>
        <w:t>Дозировка</w:t>
      </w:r>
    </w:p>
    <w:p w14:paraId="5114ED63" w14:textId="77777777" w:rsidR="00F52944" w:rsidRPr="00F52944" w:rsidRDefault="00F52944" w:rsidP="00F52944">
      <w:pPr>
        <w:spacing w:line="240" w:lineRule="auto"/>
        <w:rPr>
          <w:rFonts w:eastAsia="Times New Roman" w:cs="Arial"/>
          <w:color w:val="000000"/>
          <w:lang w:eastAsia="bg-BG"/>
        </w:rPr>
      </w:pPr>
    </w:p>
    <w:p w14:paraId="3A76112B" w14:textId="14B7250C"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Таблетките трябва да се приемат в реда, посочен на опаковката, всеки ден приблизително по едно и също време. Приема се по една таблетка на ден в продължение на 21 дни, последвани от 7-дневен интервал, през който таблетки не се приемат. Всяка следваща опаковка трябва да започне след интервал, през който таблетки не се приемат. Отпадното кървене обичайно започва на 2-ия или 3-ия ден след приемане на последната таблетка и може да не е завършило преди започването на следващата опаковка.</w:t>
      </w:r>
    </w:p>
    <w:p w14:paraId="02169BEE" w14:textId="77777777" w:rsidR="00F52944" w:rsidRPr="00F52944" w:rsidRDefault="00F52944" w:rsidP="00F52944">
      <w:pPr>
        <w:spacing w:line="240" w:lineRule="auto"/>
        <w:rPr>
          <w:rFonts w:eastAsia="Times New Roman" w:cs="Arial"/>
          <w:b/>
          <w:bCs/>
          <w:color w:val="000000"/>
          <w:lang w:eastAsia="bg-BG"/>
        </w:rPr>
      </w:pPr>
      <w:bookmarkStart w:id="1" w:name="bookmark0"/>
    </w:p>
    <w:p w14:paraId="5E7D6C78" w14:textId="2AE3D95D" w:rsidR="00F52944" w:rsidRPr="00F52944" w:rsidRDefault="00F52944" w:rsidP="00F52944">
      <w:pPr>
        <w:spacing w:line="240" w:lineRule="auto"/>
        <w:rPr>
          <w:rFonts w:eastAsia="Times New Roman" w:cs="Arial"/>
          <w:lang w:eastAsia="bg-BG"/>
        </w:rPr>
      </w:pPr>
      <w:r w:rsidRPr="00F52944">
        <w:rPr>
          <w:rFonts w:eastAsia="Times New Roman" w:cs="Arial"/>
          <w:b/>
          <w:bCs/>
          <w:color w:val="000000"/>
          <w:lang w:eastAsia="bg-BG"/>
        </w:rPr>
        <w:lastRenderedPageBreak/>
        <w:t>Как да се започне приемът на Линдинет 20?</w:t>
      </w:r>
      <w:bookmarkEnd w:id="1"/>
    </w:p>
    <w:p w14:paraId="242C5470" w14:textId="77777777" w:rsidR="00F52944" w:rsidRPr="00F52944" w:rsidRDefault="00F52944" w:rsidP="00F52944">
      <w:pPr>
        <w:spacing w:line="240" w:lineRule="auto"/>
        <w:rPr>
          <w:rFonts w:eastAsia="Times New Roman" w:cs="Arial"/>
          <w:color w:val="000000"/>
          <w:u w:val="single"/>
          <w:lang w:eastAsia="bg-BG"/>
        </w:rPr>
      </w:pPr>
    </w:p>
    <w:p w14:paraId="0CB72D3C" w14:textId="3868B674" w:rsidR="00F52944" w:rsidRPr="00F52944" w:rsidRDefault="00F52944" w:rsidP="00F52944">
      <w:pPr>
        <w:spacing w:line="240" w:lineRule="auto"/>
        <w:rPr>
          <w:rFonts w:eastAsia="Times New Roman" w:cs="Arial"/>
          <w:lang w:eastAsia="bg-BG"/>
        </w:rPr>
      </w:pPr>
      <w:r w:rsidRPr="00F52944">
        <w:rPr>
          <w:rFonts w:eastAsia="Times New Roman" w:cs="Arial"/>
          <w:color w:val="000000"/>
          <w:u w:val="single"/>
          <w:lang w:eastAsia="bg-BG"/>
        </w:rPr>
        <w:t>Ако не е прилагана хормонална контрацепция в последния месец</w:t>
      </w:r>
    </w:p>
    <w:p w14:paraId="6A4F1104" w14:textId="77777777"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Приемът на обвитите таблетки трябва да започне на първия ден от нормалния</w:t>
      </w:r>
      <w:r w:rsidRPr="00F52944">
        <w:rPr>
          <w:rFonts w:eastAsia="Times New Roman" w:cs="Arial"/>
          <w:color w:val="000000"/>
          <w:lang w:val="en-US"/>
        </w:rPr>
        <w:t xml:space="preserve"> </w:t>
      </w:r>
      <w:r w:rsidRPr="00F52944">
        <w:rPr>
          <w:rFonts w:eastAsia="Times New Roman" w:cs="Arial"/>
          <w:color w:val="000000"/>
          <w:lang w:eastAsia="bg-BG"/>
        </w:rPr>
        <w:t>цикъл на жената</w:t>
      </w:r>
    </w:p>
    <w:p w14:paraId="3C821C13" w14:textId="77777777" w:rsidR="00F52944" w:rsidRPr="00F52944" w:rsidRDefault="00F52944" w:rsidP="00F52944">
      <w:pPr>
        <w:rPr>
          <w:rFonts w:eastAsia="Times New Roman" w:cs="Arial"/>
          <w:lang w:eastAsia="bg-BG"/>
        </w:rPr>
      </w:pPr>
      <w:r w:rsidRPr="00F52944">
        <w:rPr>
          <w:rFonts w:eastAsia="Times New Roman" w:cs="Arial"/>
          <w:color w:val="000000"/>
          <w:lang w:eastAsia="bg-BG"/>
        </w:rPr>
        <w:t>(т.е. на първия ден от менструалното кървене). Жената също може да започне да приема таблетките на 2-7 ден от менструалния цикъл, но в тези случаи е препоръчителни използването</w:t>
      </w:r>
      <w:r w:rsidRPr="00F52944">
        <w:rPr>
          <w:rFonts w:eastAsia="Times New Roman" w:cs="Arial"/>
          <w:color w:val="000000"/>
          <w:lang w:val="en-US" w:eastAsia="bg-BG"/>
        </w:rPr>
        <w:t xml:space="preserve"> </w:t>
      </w:r>
      <w:r w:rsidRPr="00F52944">
        <w:rPr>
          <w:rFonts w:eastAsia="Times New Roman" w:cs="Arial"/>
          <w:color w:val="000000"/>
          <w:lang w:eastAsia="bg-BG"/>
        </w:rPr>
        <w:t>и на допълнителен нехормонален контрацептивен метод (напр. кондом и спермицид) през първите 7 дни от приема.</w:t>
      </w:r>
    </w:p>
    <w:p w14:paraId="1035319B" w14:textId="77777777" w:rsidR="00F52944" w:rsidRPr="00F52944" w:rsidRDefault="00F52944" w:rsidP="00F52944">
      <w:pPr>
        <w:spacing w:line="240" w:lineRule="auto"/>
        <w:rPr>
          <w:rFonts w:eastAsia="Times New Roman" w:cs="Arial"/>
          <w:color w:val="000000"/>
          <w:u w:val="single"/>
          <w:lang w:eastAsia="bg-BG"/>
        </w:rPr>
      </w:pPr>
    </w:p>
    <w:p w14:paraId="667BDFA3" w14:textId="1613C9E6" w:rsidR="00F52944" w:rsidRPr="00F52944" w:rsidRDefault="00F52944" w:rsidP="00F52944">
      <w:pPr>
        <w:spacing w:line="240" w:lineRule="auto"/>
        <w:rPr>
          <w:rFonts w:eastAsia="Times New Roman" w:cs="Arial"/>
          <w:lang w:eastAsia="bg-BG"/>
        </w:rPr>
      </w:pPr>
      <w:r w:rsidRPr="00F52944">
        <w:rPr>
          <w:rFonts w:eastAsia="Times New Roman" w:cs="Arial"/>
          <w:color w:val="000000"/>
          <w:u w:val="single"/>
          <w:lang w:eastAsia="bg-BG"/>
        </w:rPr>
        <w:t>Преминаване от друг вид комбиниран контрацептив (комбиниран перорален контрацептив (КПК). вагинален пръстен или трансдермален контрацептивен пластир)</w:t>
      </w:r>
    </w:p>
    <w:p w14:paraId="5DCBDADC" w14:textId="77777777" w:rsidR="00F52944" w:rsidRPr="00F52944" w:rsidRDefault="00F52944" w:rsidP="00F52944">
      <w:pPr>
        <w:spacing w:line="240" w:lineRule="auto"/>
        <w:rPr>
          <w:rFonts w:eastAsia="Times New Roman" w:cs="Arial"/>
          <w:color w:val="000000"/>
          <w:lang w:eastAsia="bg-BG"/>
        </w:rPr>
      </w:pPr>
    </w:p>
    <w:p w14:paraId="393F6F25" w14:textId="63BCD1DC"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За предпочитане е жената да започне приема на Линдинет 20 на деня след прием на последната активна таблетка от предишния перорален контрацептив, но не по-късно от деня след обичайния период без прием на таблетки или периода на прием на неактивни таблетки от предишния комбиниран перорален контрацептив.</w:t>
      </w:r>
    </w:p>
    <w:p w14:paraId="64E6FC45" w14:textId="77777777" w:rsidR="00F52944" w:rsidRPr="00F52944" w:rsidRDefault="00F52944" w:rsidP="00F52944">
      <w:pPr>
        <w:spacing w:line="240" w:lineRule="auto"/>
        <w:rPr>
          <w:rFonts w:eastAsia="Times New Roman" w:cs="Arial"/>
          <w:color w:val="000000"/>
          <w:lang w:eastAsia="bg-BG"/>
        </w:rPr>
      </w:pPr>
    </w:p>
    <w:p w14:paraId="5197ACBE" w14:textId="0BB2C973"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При използване на вагинален пръстен или трансдермален контрацептивен пластир, за предпочитане е жената да започне приема на Линдинет 20 в деня на отстраняването му, но не по-късно от деня, в който е трябвало да бъдат поставени отново.</w:t>
      </w:r>
    </w:p>
    <w:p w14:paraId="124567FB" w14:textId="77777777" w:rsidR="00F52944" w:rsidRPr="00F52944" w:rsidRDefault="00F52944" w:rsidP="00F52944">
      <w:pPr>
        <w:spacing w:line="240" w:lineRule="auto"/>
        <w:rPr>
          <w:rFonts w:eastAsia="Times New Roman" w:cs="Arial"/>
          <w:color w:val="000000"/>
          <w:u w:val="single"/>
          <w:lang w:eastAsia="bg-BG"/>
        </w:rPr>
      </w:pPr>
    </w:p>
    <w:p w14:paraId="42CAC7BF" w14:textId="70980003" w:rsidR="00F52944" w:rsidRPr="00F52944" w:rsidRDefault="00F52944" w:rsidP="00F52944">
      <w:pPr>
        <w:spacing w:line="240" w:lineRule="auto"/>
        <w:rPr>
          <w:rFonts w:eastAsia="Times New Roman" w:cs="Arial"/>
          <w:lang w:eastAsia="bg-BG"/>
        </w:rPr>
      </w:pPr>
      <w:r w:rsidRPr="00F52944">
        <w:rPr>
          <w:rFonts w:eastAsia="Times New Roman" w:cs="Arial"/>
          <w:color w:val="000000"/>
          <w:u w:val="single"/>
          <w:lang w:eastAsia="bg-BG"/>
        </w:rPr>
        <w:t>Преминаване от контрацептивен метод само с прогестин (таблетка, имплант. вътрематочна система (ВМС), инжекция)</w:t>
      </w:r>
    </w:p>
    <w:p w14:paraId="3FDF7E95" w14:textId="77777777" w:rsidR="00F52944" w:rsidRPr="00F52944" w:rsidRDefault="00F52944" w:rsidP="00F52944">
      <w:pPr>
        <w:pStyle w:val="ListParagraph"/>
        <w:numPr>
          <w:ilvl w:val="0"/>
          <w:numId w:val="40"/>
        </w:numPr>
        <w:spacing w:line="240" w:lineRule="auto"/>
        <w:rPr>
          <w:rFonts w:eastAsia="Times New Roman" w:cs="Arial"/>
          <w:lang w:eastAsia="bg-BG"/>
        </w:rPr>
      </w:pPr>
      <w:r w:rsidRPr="00F52944">
        <w:rPr>
          <w:rFonts w:eastAsia="Times New Roman" w:cs="Arial"/>
          <w:color w:val="000000"/>
          <w:lang w:eastAsia="bg-BG"/>
        </w:rPr>
        <w:t>Пациентката може да прекрати приема на пероралното контрацептивно средство, съдържащо само прогестин, във всеки един ден. Приемът на Линдинет 20 трябва да започне на следващия ден.</w:t>
      </w:r>
    </w:p>
    <w:p w14:paraId="0F5F3D34" w14:textId="77777777" w:rsidR="00F52944" w:rsidRPr="00F52944" w:rsidRDefault="00F52944" w:rsidP="00F52944">
      <w:pPr>
        <w:pStyle w:val="ListParagraph"/>
        <w:numPr>
          <w:ilvl w:val="0"/>
          <w:numId w:val="40"/>
        </w:numPr>
        <w:spacing w:line="240" w:lineRule="auto"/>
        <w:rPr>
          <w:rFonts w:eastAsia="Times New Roman" w:cs="Arial"/>
          <w:lang w:eastAsia="bg-BG"/>
        </w:rPr>
      </w:pPr>
      <w:r w:rsidRPr="00F52944">
        <w:rPr>
          <w:rFonts w:eastAsia="Times New Roman" w:cs="Arial"/>
          <w:color w:val="000000"/>
          <w:lang w:eastAsia="bg-BG"/>
        </w:rPr>
        <w:t>Приемът на Линдинет 20 трябва да започне в деня на отстраняването на имплантат или ВМС, съдържащи само прогестин.</w:t>
      </w:r>
    </w:p>
    <w:p w14:paraId="38952ACE" w14:textId="131107A7" w:rsidR="00F52944" w:rsidRPr="00F52944" w:rsidRDefault="00F52944" w:rsidP="00F52944">
      <w:pPr>
        <w:pStyle w:val="ListParagraph"/>
        <w:numPr>
          <w:ilvl w:val="0"/>
          <w:numId w:val="40"/>
        </w:numPr>
        <w:spacing w:line="240" w:lineRule="auto"/>
        <w:rPr>
          <w:rFonts w:eastAsia="Times New Roman" w:cs="Arial"/>
          <w:lang w:eastAsia="bg-BG"/>
        </w:rPr>
      </w:pPr>
      <w:r w:rsidRPr="00F52944">
        <w:rPr>
          <w:rFonts w:eastAsia="Times New Roman" w:cs="Arial"/>
          <w:color w:val="000000"/>
          <w:lang w:eastAsia="bg-BG"/>
        </w:rPr>
        <w:t>Приемът на Линдинет 20 трябва да започне в деня за прилагане на следващата инжекция, съдържаща само прогестин.</w:t>
      </w:r>
    </w:p>
    <w:p w14:paraId="64214F83" w14:textId="77777777" w:rsidR="00F52944" w:rsidRPr="00F52944" w:rsidRDefault="00F52944" w:rsidP="00F52944">
      <w:pPr>
        <w:spacing w:line="240" w:lineRule="auto"/>
        <w:rPr>
          <w:rFonts w:eastAsia="Times New Roman" w:cs="Arial"/>
          <w:color w:val="000000"/>
          <w:lang w:eastAsia="bg-BG"/>
        </w:rPr>
      </w:pPr>
    </w:p>
    <w:p w14:paraId="4D97EFCF" w14:textId="53BBBBD2"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Във всички тези случаи, пациентката трябва да бъде посъветвана да използва и нехормонален метод на контрацепция през първите 7 дни от прилагането на Линдинет 20.</w:t>
      </w:r>
    </w:p>
    <w:p w14:paraId="727477CA" w14:textId="77777777" w:rsidR="00F52944" w:rsidRPr="00F52944" w:rsidRDefault="00F52944" w:rsidP="00F52944">
      <w:pPr>
        <w:spacing w:line="240" w:lineRule="auto"/>
        <w:rPr>
          <w:rFonts w:eastAsia="Times New Roman" w:cs="Arial"/>
          <w:color w:val="000000"/>
          <w:u w:val="single"/>
          <w:lang w:eastAsia="bg-BG"/>
        </w:rPr>
      </w:pPr>
    </w:p>
    <w:p w14:paraId="58D7C345" w14:textId="6CF447D4" w:rsidR="00F52944" w:rsidRPr="00F52944" w:rsidRDefault="00F52944" w:rsidP="00F52944">
      <w:pPr>
        <w:spacing w:line="240" w:lineRule="auto"/>
        <w:rPr>
          <w:rFonts w:eastAsia="Times New Roman" w:cs="Arial"/>
          <w:lang w:eastAsia="bg-BG"/>
        </w:rPr>
      </w:pPr>
      <w:r w:rsidRPr="00F52944">
        <w:rPr>
          <w:rFonts w:eastAsia="Times New Roman" w:cs="Arial"/>
          <w:color w:val="000000"/>
          <w:u w:val="single"/>
          <w:lang w:eastAsia="bg-BG"/>
        </w:rPr>
        <w:t>След аборт в първия триместьр</w:t>
      </w:r>
    </w:p>
    <w:p w14:paraId="686B1D8F" w14:textId="77777777"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Жената може да започне приема на таблетките веднага. В такива случаи не са необходими допълнителни контрацептивни мерки.</w:t>
      </w:r>
    </w:p>
    <w:p w14:paraId="05F32870" w14:textId="77777777" w:rsidR="00F52944" w:rsidRPr="00F52944" w:rsidRDefault="00F52944" w:rsidP="00F52944">
      <w:pPr>
        <w:spacing w:line="240" w:lineRule="auto"/>
        <w:rPr>
          <w:rFonts w:eastAsia="Times New Roman" w:cs="Arial"/>
          <w:color w:val="000000"/>
          <w:u w:val="single"/>
          <w:lang w:eastAsia="bg-BG"/>
        </w:rPr>
      </w:pPr>
    </w:p>
    <w:p w14:paraId="7059DB93" w14:textId="7924703F" w:rsidR="00F52944" w:rsidRPr="00F52944" w:rsidRDefault="00F52944" w:rsidP="00F52944">
      <w:pPr>
        <w:spacing w:line="240" w:lineRule="auto"/>
        <w:rPr>
          <w:rFonts w:eastAsia="Times New Roman" w:cs="Arial"/>
          <w:lang w:eastAsia="bg-BG"/>
        </w:rPr>
      </w:pPr>
      <w:r w:rsidRPr="00F52944">
        <w:rPr>
          <w:rFonts w:eastAsia="Times New Roman" w:cs="Arial"/>
          <w:color w:val="000000"/>
          <w:u w:val="single"/>
          <w:lang w:eastAsia="bg-BG"/>
        </w:rPr>
        <w:t>След раждане</w:t>
      </w:r>
    </w:p>
    <w:p w14:paraId="4249946F" w14:textId="77777777"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Приемът на Линдинет 20 трябва да започне не по-рано от 28-мия ден след раждането при жени, които не кърмят, или след аборт във второто тримесечие, тъй като периодът непосредствено след раждането се свързва с повишен риск от тромбоемболизъм. Жената трябва да бъде посъветвана да използва допълнителен конрацептивен метод през първите 7 дни от приложението на таблетките. Ако обаче вече е бил осъществен полов контакт, преди започване на приема на Линдинет 20 трябва да се изключи бременност или да се изчака настъпването на първата менструация (вж. точки 4.4 и 4.6).</w:t>
      </w:r>
    </w:p>
    <w:p w14:paraId="5B47EC16" w14:textId="77777777" w:rsidR="00F52944" w:rsidRPr="00F52944" w:rsidRDefault="00F52944" w:rsidP="00F52944">
      <w:pPr>
        <w:spacing w:line="240" w:lineRule="auto"/>
        <w:rPr>
          <w:rFonts w:eastAsia="Times New Roman" w:cs="Arial"/>
          <w:b/>
          <w:bCs/>
          <w:color w:val="000000"/>
          <w:lang w:eastAsia="bg-BG"/>
        </w:rPr>
      </w:pPr>
    </w:p>
    <w:p w14:paraId="1BD02DE2" w14:textId="5C62F46D" w:rsidR="00F52944" w:rsidRPr="00F52944" w:rsidRDefault="00F52944" w:rsidP="00F52944">
      <w:pPr>
        <w:spacing w:line="240" w:lineRule="auto"/>
        <w:rPr>
          <w:rFonts w:eastAsia="Times New Roman" w:cs="Arial"/>
          <w:lang w:eastAsia="bg-BG"/>
        </w:rPr>
      </w:pPr>
      <w:r w:rsidRPr="00F52944">
        <w:rPr>
          <w:rFonts w:eastAsia="Times New Roman" w:cs="Arial"/>
          <w:b/>
          <w:bCs/>
          <w:color w:val="000000"/>
          <w:lang w:eastAsia="bg-BG"/>
        </w:rPr>
        <w:t>Пропуснат прием на таблетки</w:t>
      </w:r>
    </w:p>
    <w:p w14:paraId="316155D7" w14:textId="77777777" w:rsidR="00F52944" w:rsidRPr="00F52944" w:rsidRDefault="00F52944" w:rsidP="00F52944">
      <w:pPr>
        <w:spacing w:line="240" w:lineRule="auto"/>
        <w:rPr>
          <w:rFonts w:eastAsia="Times New Roman" w:cs="Arial"/>
          <w:color w:val="000000"/>
          <w:lang w:eastAsia="bg-BG"/>
        </w:rPr>
      </w:pPr>
    </w:p>
    <w:p w14:paraId="1C7CFC7D" w14:textId="7138F6CF"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lastRenderedPageBreak/>
        <w:t>При пропускане на прием на таблетка, контрацептивният ефект може да бъде намален, особено ако времето на закъснение удължи периода без прием на таблетки.</w:t>
      </w:r>
    </w:p>
    <w:p w14:paraId="01EF0288" w14:textId="77777777"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 xml:space="preserve">Ако закъснението в приема на активната таблетка е </w:t>
      </w:r>
      <w:r w:rsidRPr="00F52944">
        <w:rPr>
          <w:rFonts w:eastAsia="Times New Roman" w:cs="Arial"/>
          <w:b/>
          <w:bCs/>
          <w:color w:val="000000"/>
          <w:lang w:eastAsia="bg-BG"/>
        </w:rPr>
        <w:t xml:space="preserve">по-малко от 12 часа, </w:t>
      </w:r>
      <w:r w:rsidRPr="00F52944">
        <w:rPr>
          <w:rFonts w:eastAsia="Times New Roman" w:cs="Arial"/>
          <w:color w:val="000000"/>
          <w:lang w:eastAsia="bg-BG"/>
        </w:rPr>
        <w:t>жената трябва да приеме таблетката възможно най-скоро след като си спомни за това. Следващите таблетки трябва да се приемат в обичайното време.</w:t>
      </w:r>
    </w:p>
    <w:p w14:paraId="36C48547" w14:textId="77777777" w:rsidR="00F52944" w:rsidRPr="00F52944" w:rsidRDefault="00F52944" w:rsidP="00F52944">
      <w:pPr>
        <w:spacing w:line="240" w:lineRule="auto"/>
        <w:rPr>
          <w:rFonts w:eastAsia="Times New Roman" w:cs="Arial"/>
          <w:color w:val="000000"/>
          <w:lang w:eastAsia="bg-BG"/>
        </w:rPr>
      </w:pPr>
    </w:p>
    <w:p w14:paraId="4940DAF2" w14:textId="7E26EFA5"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 xml:space="preserve">Ако закъснението в приемането на последната пропусната таблетка </w:t>
      </w:r>
      <w:r w:rsidRPr="00F52944">
        <w:rPr>
          <w:rFonts w:eastAsia="Times New Roman" w:cs="Arial"/>
          <w:b/>
          <w:bCs/>
          <w:color w:val="000000"/>
          <w:lang w:eastAsia="bg-BG"/>
        </w:rPr>
        <w:t xml:space="preserve">превишава 12 часа, </w:t>
      </w:r>
      <w:r w:rsidRPr="00F52944">
        <w:rPr>
          <w:rFonts w:eastAsia="Times New Roman" w:cs="Arial"/>
          <w:color w:val="000000"/>
          <w:lang w:eastAsia="bg-BG"/>
        </w:rPr>
        <w:t>контрацептивният ефект може да намалее.</w:t>
      </w:r>
    </w:p>
    <w:p w14:paraId="581C50F4" w14:textId="77777777"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Решението за това как да се постъпи при пропуснати обвити таблетки може да бъде ръководено от следните две основни правила:</w:t>
      </w:r>
    </w:p>
    <w:p w14:paraId="515A85B8" w14:textId="2C454055" w:rsidR="00F52944" w:rsidRPr="00F52944" w:rsidRDefault="00F52944" w:rsidP="00F52944">
      <w:pPr>
        <w:spacing w:line="240" w:lineRule="auto"/>
        <w:rPr>
          <w:rFonts w:eastAsia="Times New Roman" w:cs="Arial"/>
          <w:color w:val="000000"/>
          <w:lang w:eastAsia="bg-BG"/>
        </w:rPr>
      </w:pPr>
      <w:r w:rsidRPr="00F52944">
        <w:rPr>
          <w:rFonts w:eastAsia="Times New Roman" w:cs="Arial"/>
          <w:color w:val="000000"/>
          <w:lang w:val="en-US" w:eastAsia="bg-BG"/>
        </w:rPr>
        <w:t xml:space="preserve">1. </w:t>
      </w:r>
      <w:r w:rsidRPr="00F52944">
        <w:rPr>
          <w:rFonts w:eastAsia="Times New Roman" w:cs="Arial"/>
          <w:color w:val="000000"/>
          <w:lang w:eastAsia="bg-BG"/>
        </w:rPr>
        <w:t>Приемът на обвита таблетка никога не трябва да бъде забавян повече от 7 дни</w:t>
      </w:r>
    </w:p>
    <w:p w14:paraId="18C8BEF6" w14:textId="0D6AA39F" w:rsidR="00F52944" w:rsidRPr="00F52944" w:rsidRDefault="00F52944" w:rsidP="00F52944">
      <w:pPr>
        <w:spacing w:line="240" w:lineRule="auto"/>
        <w:rPr>
          <w:rFonts w:eastAsia="Times New Roman" w:cs="Arial"/>
          <w:color w:val="000000"/>
          <w:lang w:eastAsia="bg-BG"/>
        </w:rPr>
      </w:pPr>
      <w:r w:rsidRPr="00F52944">
        <w:rPr>
          <w:rFonts w:eastAsia="Times New Roman" w:cs="Arial"/>
          <w:color w:val="000000"/>
          <w:lang w:val="en-US" w:eastAsia="bg-BG"/>
        </w:rPr>
        <w:t xml:space="preserve">2. </w:t>
      </w:r>
      <w:r w:rsidRPr="00F52944">
        <w:rPr>
          <w:rFonts w:eastAsia="Times New Roman" w:cs="Arial"/>
          <w:color w:val="000000"/>
          <w:lang w:eastAsia="bg-BG"/>
        </w:rPr>
        <w:t>За постигане на адекватно потискане на хипоталамо - хипофизо - чйчниковата ос е</w:t>
      </w:r>
    </w:p>
    <w:p w14:paraId="3C45D4CC" w14:textId="77C1CAF4" w:rsidR="00F52944" w:rsidRPr="00F52944" w:rsidRDefault="00F52944" w:rsidP="00F52944">
      <w:pPr>
        <w:rPr>
          <w:rFonts w:eastAsia="Times New Roman" w:cs="Arial"/>
          <w:color w:val="000000"/>
          <w:lang w:eastAsia="bg-BG"/>
        </w:rPr>
      </w:pPr>
      <w:r w:rsidRPr="00F52944">
        <w:rPr>
          <w:rFonts w:eastAsia="Times New Roman" w:cs="Arial"/>
          <w:color w:val="000000"/>
          <w:lang w:eastAsia="bg-BG"/>
        </w:rPr>
        <w:t>необходим непрекъснат 7-дневен прием на лекарствения продукт.</w:t>
      </w:r>
    </w:p>
    <w:p w14:paraId="6093EDD2" w14:textId="261782CF" w:rsidR="00F52944" w:rsidRPr="00F52944" w:rsidRDefault="00F52944" w:rsidP="00F52944">
      <w:pPr>
        <w:rPr>
          <w:rFonts w:eastAsia="Times New Roman" w:cs="Arial"/>
          <w:color w:val="000000"/>
          <w:lang w:eastAsia="bg-BG"/>
        </w:rPr>
      </w:pPr>
    </w:p>
    <w:p w14:paraId="3E6F6E43" w14:textId="77777777"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За целта, в ежедневната практика могат да бъдат давани следните съвети:</w:t>
      </w:r>
    </w:p>
    <w:p w14:paraId="3E37B833" w14:textId="77777777" w:rsidR="00F52944" w:rsidRPr="00F52944" w:rsidRDefault="00F52944" w:rsidP="00F52944">
      <w:pPr>
        <w:spacing w:line="240" w:lineRule="auto"/>
        <w:rPr>
          <w:rFonts w:eastAsia="Times New Roman" w:cs="Arial"/>
          <w:i/>
          <w:iCs/>
          <w:color w:val="000000"/>
          <w:lang w:eastAsia="bg-BG"/>
        </w:rPr>
      </w:pPr>
    </w:p>
    <w:p w14:paraId="53E5E139" w14:textId="1726953B" w:rsidR="00F52944" w:rsidRPr="00F52944" w:rsidRDefault="00F52944" w:rsidP="00F52944">
      <w:pPr>
        <w:spacing w:line="240" w:lineRule="auto"/>
        <w:rPr>
          <w:rFonts w:eastAsia="Times New Roman" w:cs="Arial"/>
          <w:lang w:eastAsia="bg-BG"/>
        </w:rPr>
      </w:pPr>
      <w:r w:rsidRPr="00F52944">
        <w:rPr>
          <w:rFonts w:eastAsia="Times New Roman" w:cs="Arial"/>
          <w:i/>
          <w:iCs/>
          <w:color w:val="000000"/>
          <w:lang w:eastAsia="bg-BG"/>
        </w:rPr>
        <w:t>Първа седмица:</w:t>
      </w:r>
    </w:p>
    <w:p w14:paraId="34FE1C3A" w14:textId="77777777"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Жената трябва да приеме последната пропусната обвита таблетка възможно най-скоро след като си спомни за това, дори ако това означава, че трябва да приеме 2 обвити таблетки по едно и също време. По нататък приемът на обвитите таблетки продължава в обичайното време. Тя трябва да използва едновременно и бариерен контрацептивен метод, напр. кондоми, за следващите 7 дни. При наличие на полови контакти през предходните 7 дни, трябва да се изключи възможна бременност. Рискът от бременност е толкова по-голям, колкото повече са пропуснатите обвити таблетки и колкото времето на пропускането им е по-близо до периода без прием на таблетки.</w:t>
      </w:r>
    </w:p>
    <w:p w14:paraId="3E6861E2" w14:textId="77777777" w:rsidR="00F52944" w:rsidRPr="00F52944" w:rsidRDefault="00F52944" w:rsidP="00F52944">
      <w:pPr>
        <w:spacing w:line="240" w:lineRule="auto"/>
        <w:rPr>
          <w:rFonts w:eastAsia="Times New Roman" w:cs="Arial"/>
          <w:i/>
          <w:iCs/>
          <w:color w:val="000000"/>
          <w:lang w:eastAsia="bg-BG"/>
        </w:rPr>
      </w:pPr>
    </w:p>
    <w:p w14:paraId="138DB2B7" w14:textId="7AA2461B" w:rsidR="00F52944" w:rsidRPr="00F52944" w:rsidRDefault="00F52944" w:rsidP="00F52944">
      <w:pPr>
        <w:spacing w:line="240" w:lineRule="auto"/>
        <w:rPr>
          <w:rFonts w:eastAsia="Times New Roman" w:cs="Arial"/>
          <w:lang w:eastAsia="bg-BG"/>
        </w:rPr>
      </w:pPr>
      <w:r w:rsidRPr="00F52944">
        <w:rPr>
          <w:rFonts w:eastAsia="Times New Roman" w:cs="Arial"/>
          <w:i/>
          <w:iCs/>
          <w:color w:val="000000"/>
          <w:lang w:eastAsia="bg-BG"/>
        </w:rPr>
        <w:t>Втора седмица:</w:t>
      </w:r>
    </w:p>
    <w:p w14:paraId="3E0DE18F" w14:textId="77777777"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Жената трябва да приеме последната пропусната обвита таблетка възможно най-скоро след като си спомни за това, дори ако това означава, че трябва да приеме 2 обвити таблетки по едно и също време. По нататък трябва да продължи да приема обвитите таблетки в обичайното време. Ако лекарствения продукт е приеман правилно в продължение на 7 дни преди пропускането на таблетка, не е необходимо да се прилагат допълнителни контрацептивни мерки. Ако това не е така или ако е пропусната повече от 1 таблетка, жената трябва да бъде посъветвана да използва друг контрацептивен метод в продължение на 7 дни.</w:t>
      </w:r>
    </w:p>
    <w:p w14:paraId="5A9F3F4E" w14:textId="77777777" w:rsidR="00F52944" w:rsidRPr="00F52944" w:rsidRDefault="00F52944" w:rsidP="00F52944">
      <w:pPr>
        <w:spacing w:line="240" w:lineRule="auto"/>
        <w:rPr>
          <w:rFonts w:eastAsia="Times New Roman" w:cs="Arial"/>
          <w:i/>
          <w:iCs/>
          <w:color w:val="000000"/>
          <w:lang w:eastAsia="bg-BG"/>
        </w:rPr>
      </w:pPr>
    </w:p>
    <w:p w14:paraId="359304F0" w14:textId="4580007B" w:rsidR="00F52944" w:rsidRPr="00F52944" w:rsidRDefault="00F52944" w:rsidP="00F52944">
      <w:pPr>
        <w:spacing w:line="240" w:lineRule="auto"/>
        <w:rPr>
          <w:rFonts w:eastAsia="Times New Roman" w:cs="Arial"/>
          <w:lang w:eastAsia="bg-BG"/>
        </w:rPr>
      </w:pPr>
      <w:r w:rsidRPr="00F52944">
        <w:rPr>
          <w:rFonts w:eastAsia="Times New Roman" w:cs="Arial"/>
          <w:i/>
          <w:iCs/>
          <w:color w:val="000000"/>
          <w:lang w:eastAsia="bg-BG"/>
        </w:rPr>
        <w:t>Трета седмица:</w:t>
      </w:r>
    </w:p>
    <w:p w14:paraId="64314ACB" w14:textId="77777777"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Рискът от понижаване на контрацептивната протекция се увеличава с приближаване на периода, през който не се приемат таблетки. Но понижаването на контрацептивната протекция може да бъде предотвратено чрез регулиране приема на обвитите таблетки. Затова, при условие че обвитите таблетки са били приемани правилно в продължение на 7 дни до пропускането на таблетка, не е необходимо прилагане на допълнителни контрацептивни мерки. Ако това не е така, жената трябва да бъде посъветвана да следва първата от двете посочени по-долу възможности и едновременно с това да използва друг контрацептивен метод в продължение на 7 дни.</w:t>
      </w:r>
    </w:p>
    <w:p w14:paraId="53948B88" w14:textId="77777777" w:rsidR="00F52944" w:rsidRPr="00F52944" w:rsidRDefault="00F52944" w:rsidP="00F52944">
      <w:pPr>
        <w:spacing w:line="240" w:lineRule="auto"/>
        <w:rPr>
          <w:rFonts w:eastAsia="Times New Roman" w:cs="Arial"/>
          <w:color w:val="000000"/>
          <w:lang w:eastAsia="bg-BG"/>
        </w:rPr>
      </w:pPr>
    </w:p>
    <w:p w14:paraId="520F4542" w14:textId="44065B91" w:rsidR="00F52944" w:rsidRPr="00F52944" w:rsidRDefault="00F52944" w:rsidP="00F52944">
      <w:pPr>
        <w:spacing w:line="240" w:lineRule="auto"/>
        <w:rPr>
          <w:rFonts w:eastAsia="Times New Roman" w:cs="Arial"/>
          <w:color w:val="000000"/>
          <w:lang w:eastAsia="bg-BG"/>
        </w:rPr>
      </w:pPr>
      <w:r w:rsidRPr="00F52944">
        <w:rPr>
          <w:rFonts w:eastAsia="Times New Roman" w:cs="Arial"/>
          <w:color w:val="000000"/>
          <w:lang w:val="en-US" w:eastAsia="bg-BG"/>
        </w:rPr>
        <w:t xml:space="preserve">1. </w:t>
      </w:r>
      <w:r w:rsidRPr="00F52944">
        <w:rPr>
          <w:rFonts w:eastAsia="Times New Roman" w:cs="Arial"/>
          <w:color w:val="000000"/>
          <w:lang w:eastAsia="bg-BG"/>
        </w:rPr>
        <w:t>Жената трябва да приеме последната пропусната обвита таблетка възможно най-скоро</w:t>
      </w:r>
    </w:p>
    <w:p w14:paraId="2EE0C3F4" w14:textId="77777777"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 xml:space="preserve">след като си спомни за това, дори ако това означава, че трябва да приеме 2 обвити таблетки по едно и също време. След това трябва да продължи да приема обвитите таблетки в обичайното време. Тя трябва да започне следващата опаковка Линдинет 20 веднага след като приеме последната таблетка от настоящата, това означава, че няма да </w:t>
      </w:r>
      <w:r w:rsidRPr="00F52944">
        <w:rPr>
          <w:rFonts w:eastAsia="Times New Roman" w:cs="Arial"/>
          <w:color w:val="000000"/>
          <w:lang w:eastAsia="bg-BG"/>
        </w:rPr>
        <w:lastRenderedPageBreak/>
        <w:t>има пауза между двете опаковки. Преди края на приема на таблетките от втората опаковка вероятно няма да настъпи менструация, но жената може да получи спотинг (зацапване) или пробивно кървене.</w:t>
      </w:r>
    </w:p>
    <w:p w14:paraId="4EEC7E65" w14:textId="77777777" w:rsidR="00F52944" w:rsidRPr="00F52944" w:rsidRDefault="00F52944" w:rsidP="00F52944">
      <w:pPr>
        <w:spacing w:line="240" w:lineRule="auto"/>
        <w:rPr>
          <w:rFonts w:eastAsia="Times New Roman" w:cs="Arial"/>
          <w:color w:val="000000"/>
          <w:lang w:eastAsia="bg-BG"/>
        </w:rPr>
      </w:pPr>
    </w:p>
    <w:p w14:paraId="7FCA2C59" w14:textId="5B6AA15F" w:rsidR="00F52944" w:rsidRPr="00F52944" w:rsidRDefault="00F52944" w:rsidP="00F52944">
      <w:pPr>
        <w:spacing w:line="240" w:lineRule="auto"/>
        <w:rPr>
          <w:rFonts w:eastAsia="Times New Roman" w:cs="Arial"/>
          <w:color w:val="000000"/>
          <w:lang w:eastAsia="bg-BG"/>
        </w:rPr>
      </w:pPr>
      <w:r w:rsidRPr="00F52944">
        <w:rPr>
          <w:rFonts w:eastAsia="Times New Roman" w:cs="Arial"/>
          <w:color w:val="000000"/>
          <w:lang w:val="en-US" w:eastAsia="bg-BG"/>
        </w:rPr>
        <w:t xml:space="preserve">2. </w:t>
      </w:r>
      <w:r w:rsidRPr="00F52944">
        <w:rPr>
          <w:rFonts w:eastAsia="Times New Roman" w:cs="Arial"/>
          <w:color w:val="000000"/>
          <w:lang w:eastAsia="bg-BG"/>
        </w:rPr>
        <w:t>Друга възможност: Жената може също да бъде посъветвана да преустанови приема на обвитите таблетки от настоящата опаковка. В този случай, тя трябва да спази интервал без прием на таблетки за период до 7 дни, включително дните, в които е пропуснала да приеме обвитите таблетки и след това да продължи със следващата опаковка Линдинет 20.</w:t>
      </w:r>
    </w:p>
    <w:p w14:paraId="062861E8" w14:textId="77777777" w:rsidR="00F52944" w:rsidRPr="00F52944" w:rsidRDefault="00F52944" w:rsidP="00F52944">
      <w:pPr>
        <w:spacing w:line="240" w:lineRule="auto"/>
        <w:rPr>
          <w:rFonts w:eastAsia="Times New Roman" w:cs="Arial"/>
          <w:color w:val="000000"/>
          <w:lang w:eastAsia="bg-BG"/>
        </w:rPr>
      </w:pPr>
    </w:p>
    <w:p w14:paraId="0A1441D4" w14:textId="6446AB59"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Ако жената е пропуснала по-голям брой обвити таблетки и след това по време на първия обичаен интервал без прием на таблетки не е настъпило менструално кървене, трябва да се има предвид вероятността от бременност.</w:t>
      </w:r>
    </w:p>
    <w:p w14:paraId="0C859B17" w14:textId="77777777" w:rsidR="00F52944" w:rsidRPr="00F52944" w:rsidRDefault="00F52944" w:rsidP="00F52944">
      <w:pPr>
        <w:spacing w:line="240" w:lineRule="auto"/>
        <w:rPr>
          <w:rFonts w:eastAsia="Times New Roman" w:cs="Arial"/>
          <w:i/>
          <w:iCs/>
          <w:color w:val="000000"/>
          <w:lang w:eastAsia="bg-BG"/>
        </w:rPr>
      </w:pPr>
    </w:p>
    <w:p w14:paraId="462E2048" w14:textId="5640BC53" w:rsidR="00F52944" w:rsidRPr="00F52944" w:rsidRDefault="00F52944" w:rsidP="00F52944">
      <w:pPr>
        <w:spacing w:line="240" w:lineRule="auto"/>
        <w:rPr>
          <w:rFonts w:eastAsia="Times New Roman" w:cs="Arial"/>
          <w:lang w:eastAsia="bg-BG"/>
        </w:rPr>
      </w:pPr>
      <w:r w:rsidRPr="00F52944">
        <w:rPr>
          <w:rFonts w:eastAsia="Times New Roman" w:cs="Arial"/>
          <w:i/>
          <w:iCs/>
          <w:color w:val="000000"/>
          <w:lang w:eastAsia="bg-BG"/>
        </w:rPr>
        <w:t>Какво да се прави в случай на повръщане/диария</w:t>
      </w:r>
    </w:p>
    <w:p w14:paraId="729941D2" w14:textId="77777777"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Ако до 4 часа след приема на обвитата таблетка, се появи повръщане или диария, абсорбцията на активните вещества може да не е пълна. В този случай, трябва да бъдат приемани таблетки от резервна опаковка, както е описано в точка „Пропуснат прием на таблетки" Необходимите активни таблетки трябва да бъдат взети от резервна опаковка</w:t>
      </w:r>
    </w:p>
    <w:p w14:paraId="73A9F7DE" w14:textId="77777777" w:rsidR="00F52944" w:rsidRPr="00F52944" w:rsidRDefault="00F52944" w:rsidP="00F52944">
      <w:pPr>
        <w:spacing w:line="240" w:lineRule="auto"/>
        <w:rPr>
          <w:rFonts w:eastAsia="Times New Roman" w:cs="Arial"/>
          <w:i/>
          <w:iCs/>
          <w:color w:val="000000"/>
          <w:lang w:eastAsia="bg-BG"/>
        </w:rPr>
      </w:pPr>
    </w:p>
    <w:p w14:paraId="7C7F030E" w14:textId="7C9B7A26" w:rsidR="00F52944" w:rsidRPr="00F52944" w:rsidRDefault="00F52944" w:rsidP="00F52944">
      <w:pPr>
        <w:spacing w:line="240" w:lineRule="auto"/>
        <w:rPr>
          <w:rFonts w:eastAsia="Times New Roman" w:cs="Arial"/>
          <w:lang w:eastAsia="bg-BG"/>
        </w:rPr>
      </w:pPr>
      <w:r w:rsidRPr="00F52944">
        <w:rPr>
          <w:rFonts w:eastAsia="Times New Roman" w:cs="Arial"/>
          <w:i/>
          <w:iCs/>
          <w:color w:val="000000"/>
          <w:lang w:eastAsia="bg-BG"/>
        </w:rPr>
        <w:t>Как да се отложи настъпването на менструация</w:t>
      </w:r>
    </w:p>
    <w:p w14:paraId="52857A11" w14:textId="77777777"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За да отложи настъпването на менструация, жената трябва да продължи с друга опаковка Линдинет 20, без да спазва интервала, в който не се приемат таблетки. Менструацията може да се отлага толкова дълго, колкото е жената желае, но не по-дълго от завършването на втората опаковка. През периода на отлагане на менструацията жената може да получи пробивно кървене или зацапване. Редовният прием на Линдинет 20 трябва да се възобнови след обичайния 7 дневен интервал, през който не се приемат таблетки.</w:t>
      </w:r>
    </w:p>
    <w:p w14:paraId="02F3A2A8" w14:textId="77777777" w:rsidR="00F52944" w:rsidRPr="00F52944" w:rsidRDefault="00F52944" w:rsidP="00F52944">
      <w:pPr>
        <w:spacing w:line="240" w:lineRule="auto"/>
        <w:rPr>
          <w:rFonts w:eastAsia="Times New Roman" w:cs="Arial"/>
          <w:color w:val="000000"/>
          <w:u w:val="single"/>
          <w:lang w:eastAsia="bg-BG"/>
        </w:rPr>
      </w:pPr>
    </w:p>
    <w:p w14:paraId="65A8C786" w14:textId="33594688" w:rsidR="00F52944" w:rsidRPr="00F52944" w:rsidRDefault="00F52944" w:rsidP="00F52944">
      <w:pPr>
        <w:spacing w:line="240" w:lineRule="auto"/>
        <w:rPr>
          <w:rFonts w:eastAsia="Times New Roman" w:cs="Arial"/>
          <w:lang w:eastAsia="bg-BG"/>
        </w:rPr>
      </w:pPr>
      <w:r w:rsidRPr="00F52944">
        <w:rPr>
          <w:rFonts w:eastAsia="Times New Roman" w:cs="Arial"/>
          <w:color w:val="000000"/>
          <w:u w:val="single"/>
          <w:lang w:eastAsia="bg-BG"/>
        </w:rPr>
        <w:t>Специални популации</w:t>
      </w:r>
    </w:p>
    <w:p w14:paraId="23E48BF7" w14:textId="77777777" w:rsidR="00F52944" w:rsidRPr="00F52944" w:rsidRDefault="00F52944" w:rsidP="00F52944">
      <w:pPr>
        <w:spacing w:line="240" w:lineRule="auto"/>
        <w:rPr>
          <w:rFonts w:eastAsia="Times New Roman" w:cs="Arial"/>
          <w:i/>
          <w:iCs/>
          <w:color w:val="000000"/>
          <w:lang w:eastAsia="bg-BG"/>
        </w:rPr>
      </w:pPr>
    </w:p>
    <w:p w14:paraId="16FB485B" w14:textId="57B3B2F0" w:rsidR="00F52944" w:rsidRPr="00F52944" w:rsidRDefault="00F52944" w:rsidP="00F52944">
      <w:pPr>
        <w:spacing w:line="240" w:lineRule="auto"/>
        <w:rPr>
          <w:rFonts w:eastAsia="Times New Roman" w:cs="Arial"/>
          <w:lang w:eastAsia="bg-BG"/>
        </w:rPr>
      </w:pPr>
      <w:r w:rsidRPr="00F52944">
        <w:rPr>
          <w:rFonts w:eastAsia="Times New Roman" w:cs="Arial"/>
          <w:i/>
          <w:iCs/>
          <w:color w:val="000000"/>
          <w:lang w:eastAsia="bg-BG"/>
        </w:rPr>
        <w:t>Пациенти в старческа възраст</w:t>
      </w:r>
    </w:p>
    <w:p w14:paraId="41139B62" w14:textId="77777777"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Неприложимо. Линдинет 20 не е показан за употреба след менопауза.</w:t>
      </w:r>
    </w:p>
    <w:p w14:paraId="7DE243F4" w14:textId="77777777" w:rsidR="00F52944" w:rsidRPr="00F52944" w:rsidRDefault="00F52944" w:rsidP="00F52944">
      <w:pPr>
        <w:spacing w:line="240" w:lineRule="auto"/>
        <w:rPr>
          <w:rFonts w:eastAsia="Times New Roman" w:cs="Arial"/>
          <w:i/>
          <w:iCs/>
          <w:color w:val="000000"/>
          <w:lang w:eastAsia="bg-BG"/>
        </w:rPr>
      </w:pPr>
    </w:p>
    <w:p w14:paraId="283CCDA7" w14:textId="11DA46FE" w:rsidR="00F52944" w:rsidRPr="00F52944" w:rsidRDefault="00F52944" w:rsidP="00F52944">
      <w:pPr>
        <w:spacing w:line="240" w:lineRule="auto"/>
        <w:rPr>
          <w:rFonts w:eastAsia="Times New Roman" w:cs="Arial"/>
          <w:lang w:eastAsia="bg-BG"/>
        </w:rPr>
      </w:pPr>
      <w:r w:rsidRPr="00F52944">
        <w:rPr>
          <w:rFonts w:eastAsia="Times New Roman" w:cs="Arial"/>
          <w:i/>
          <w:iCs/>
          <w:color w:val="000000"/>
          <w:lang w:eastAsia="bg-BG"/>
        </w:rPr>
        <w:t>Чернодробно увреждане</w:t>
      </w:r>
    </w:p>
    <w:p w14:paraId="3FAA4B59" w14:textId="77777777"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Линдинет 20 е противопоказан при жени с чернодробно увреждане (виж точка 4.3).</w:t>
      </w:r>
    </w:p>
    <w:p w14:paraId="363EE021" w14:textId="77777777" w:rsidR="00F52944" w:rsidRPr="00F52944" w:rsidRDefault="00F52944" w:rsidP="00F52944">
      <w:pPr>
        <w:spacing w:line="240" w:lineRule="auto"/>
        <w:rPr>
          <w:rFonts w:eastAsia="Times New Roman" w:cs="Arial"/>
          <w:i/>
          <w:iCs/>
          <w:color w:val="000000"/>
          <w:lang w:eastAsia="bg-BG"/>
        </w:rPr>
      </w:pPr>
    </w:p>
    <w:p w14:paraId="03195A58" w14:textId="6C55E4FE" w:rsidR="00F52944" w:rsidRPr="00F52944" w:rsidRDefault="00F52944" w:rsidP="00F52944">
      <w:pPr>
        <w:spacing w:line="240" w:lineRule="auto"/>
        <w:rPr>
          <w:rFonts w:eastAsia="Times New Roman" w:cs="Arial"/>
          <w:lang w:eastAsia="bg-BG"/>
        </w:rPr>
      </w:pPr>
      <w:r w:rsidRPr="00F52944">
        <w:rPr>
          <w:rFonts w:eastAsia="Times New Roman" w:cs="Arial"/>
          <w:i/>
          <w:iCs/>
          <w:color w:val="000000"/>
          <w:lang w:eastAsia="bg-BG"/>
        </w:rPr>
        <w:t>Бъбречно увреждане</w:t>
      </w:r>
    </w:p>
    <w:p w14:paraId="7EABA09B" w14:textId="77777777"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Няма данни при пациенти с бъбречно увреждане.</w:t>
      </w:r>
    </w:p>
    <w:p w14:paraId="38F8E4E0" w14:textId="77777777" w:rsidR="00F52944" w:rsidRPr="00F52944" w:rsidRDefault="00F52944" w:rsidP="00F52944">
      <w:pPr>
        <w:spacing w:line="240" w:lineRule="auto"/>
        <w:rPr>
          <w:rFonts w:eastAsia="Times New Roman" w:cs="Arial"/>
          <w:i/>
          <w:iCs/>
          <w:color w:val="000000"/>
          <w:lang w:eastAsia="bg-BG"/>
        </w:rPr>
      </w:pPr>
    </w:p>
    <w:p w14:paraId="193D54D2" w14:textId="25293592" w:rsidR="00F52944" w:rsidRPr="00F52944" w:rsidRDefault="00F52944" w:rsidP="00F52944">
      <w:pPr>
        <w:spacing w:line="240" w:lineRule="auto"/>
        <w:rPr>
          <w:rFonts w:eastAsia="Times New Roman" w:cs="Arial"/>
          <w:lang w:eastAsia="bg-BG"/>
        </w:rPr>
      </w:pPr>
      <w:r w:rsidRPr="00F52944">
        <w:rPr>
          <w:rFonts w:eastAsia="Times New Roman" w:cs="Arial"/>
          <w:i/>
          <w:iCs/>
          <w:color w:val="000000"/>
          <w:lang w:eastAsia="bg-BG"/>
        </w:rPr>
        <w:t>Педиатрична популация</w:t>
      </w:r>
    </w:p>
    <w:p w14:paraId="60EBC617" w14:textId="77777777" w:rsidR="00F52944" w:rsidRPr="00F52944" w:rsidRDefault="00F52944" w:rsidP="00F52944">
      <w:pPr>
        <w:spacing w:line="240" w:lineRule="auto"/>
        <w:rPr>
          <w:rFonts w:eastAsia="Times New Roman" w:cs="Arial"/>
          <w:lang w:eastAsia="bg-BG"/>
        </w:rPr>
      </w:pPr>
      <w:r w:rsidRPr="00F52944">
        <w:rPr>
          <w:rFonts w:eastAsia="Times New Roman" w:cs="Arial"/>
          <w:color w:val="000000"/>
          <w:lang w:eastAsia="bg-BG"/>
        </w:rPr>
        <w:t>Линдинет 20 се препоръчва само след първия менструален цикъл.</w:t>
      </w:r>
    </w:p>
    <w:p w14:paraId="76B57119" w14:textId="77777777" w:rsidR="00F52944" w:rsidRPr="00F52944" w:rsidRDefault="00F52944" w:rsidP="00F52944">
      <w:pPr>
        <w:spacing w:line="240" w:lineRule="auto"/>
        <w:rPr>
          <w:rFonts w:eastAsia="Times New Roman" w:cs="Arial"/>
          <w:color w:val="000000"/>
          <w:u w:val="single"/>
          <w:lang w:eastAsia="bg-BG"/>
        </w:rPr>
      </w:pPr>
    </w:p>
    <w:p w14:paraId="501B5D56" w14:textId="3F71401D" w:rsidR="00F52944" w:rsidRPr="00F52944" w:rsidRDefault="00F52944" w:rsidP="00F52944">
      <w:pPr>
        <w:pStyle w:val="Heading3"/>
        <w:rPr>
          <w:rFonts w:eastAsia="Times New Roman"/>
          <w:u w:val="single"/>
          <w:lang w:eastAsia="bg-BG"/>
        </w:rPr>
      </w:pPr>
      <w:r w:rsidRPr="00F52944">
        <w:rPr>
          <w:rFonts w:eastAsia="Times New Roman"/>
          <w:u w:val="single"/>
          <w:lang w:eastAsia="bg-BG"/>
        </w:rPr>
        <w:t>Начин на приложение</w:t>
      </w:r>
    </w:p>
    <w:p w14:paraId="62AF322E" w14:textId="77777777" w:rsidR="00F52944" w:rsidRPr="00F52944" w:rsidRDefault="00F52944" w:rsidP="00F52944">
      <w:pPr>
        <w:spacing w:line="240" w:lineRule="auto"/>
        <w:rPr>
          <w:rFonts w:eastAsia="Times New Roman" w:cs="Arial"/>
          <w:color w:val="000000"/>
          <w:lang w:eastAsia="bg-BG"/>
        </w:rPr>
      </w:pPr>
    </w:p>
    <w:p w14:paraId="44D8852F" w14:textId="29C0C0BF" w:rsidR="00F52944" w:rsidRPr="00F52944" w:rsidRDefault="00F52944" w:rsidP="00F52944">
      <w:pPr>
        <w:spacing w:line="240" w:lineRule="auto"/>
        <w:rPr>
          <w:rFonts w:ascii="Times New Roman" w:eastAsia="Times New Roman" w:hAnsi="Times New Roman" w:cs="Times New Roman"/>
          <w:sz w:val="24"/>
          <w:szCs w:val="24"/>
          <w:lang w:eastAsia="bg-BG"/>
        </w:rPr>
      </w:pPr>
      <w:r w:rsidRPr="00F52944">
        <w:rPr>
          <w:rFonts w:eastAsia="Times New Roman" w:cs="Arial"/>
          <w:color w:val="000000"/>
          <w:lang w:eastAsia="bg-BG"/>
        </w:rPr>
        <w:t>Перорална употреба.</w:t>
      </w:r>
    </w:p>
    <w:p w14:paraId="6F01F9CA" w14:textId="77777777" w:rsidR="00F52944" w:rsidRPr="00F52944" w:rsidRDefault="00F52944" w:rsidP="00F52944">
      <w:pPr>
        <w:rPr>
          <w:lang w:val="en-US"/>
        </w:rPr>
      </w:pPr>
    </w:p>
    <w:p w14:paraId="5D9E65DA" w14:textId="215CA0F6" w:rsidR="009F77A4" w:rsidRDefault="002C50EE" w:rsidP="00387A66">
      <w:pPr>
        <w:pStyle w:val="Heading2"/>
      </w:pPr>
      <w:r>
        <w:t>4.3. Противопоказания</w:t>
      </w:r>
    </w:p>
    <w:p w14:paraId="7997AF31" w14:textId="4B28E2FC" w:rsidR="00F52944" w:rsidRDefault="00F52944" w:rsidP="00F52944"/>
    <w:p w14:paraId="426F35DE" w14:textId="77777777" w:rsidR="00F52944" w:rsidRPr="00F52944" w:rsidRDefault="00F52944" w:rsidP="00F52944">
      <w:pPr>
        <w:spacing w:line="240" w:lineRule="auto"/>
        <w:rPr>
          <w:rFonts w:eastAsia="Times New Roman" w:cs="Arial"/>
          <w:sz w:val="28"/>
          <w:szCs w:val="28"/>
          <w:lang w:eastAsia="bg-BG"/>
        </w:rPr>
      </w:pPr>
      <w:r w:rsidRPr="00F52944">
        <w:rPr>
          <w:rFonts w:eastAsia="Times New Roman" w:cs="Arial"/>
          <w:color w:val="000000"/>
          <w:lang w:eastAsia="bg-BG"/>
        </w:rPr>
        <w:lastRenderedPageBreak/>
        <w:t>Комбинираните хормонални контрацептиви (КХК) не трябва да се прилагат при наличие на посочените по-долу състояния, Ако някое от тези състояния настъпи по време на употребата на КХК, приемът на продукта трябва да бъде преустановен незабавно.</w:t>
      </w:r>
    </w:p>
    <w:p w14:paraId="1F475403" w14:textId="77777777" w:rsidR="00F52944" w:rsidRPr="005B34EA" w:rsidRDefault="00F52944" w:rsidP="00F52944">
      <w:pPr>
        <w:pStyle w:val="ListParagraph"/>
        <w:numPr>
          <w:ilvl w:val="0"/>
          <w:numId w:val="40"/>
        </w:numPr>
        <w:spacing w:line="240" w:lineRule="auto"/>
        <w:rPr>
          <w:rFonts w:eastAsia="Times New Roman" w:cs="Arial"/>
          <w:sz w:val="28"/>
          <w:szCs w:val="28"/>
          <w:lang w:eastAsia="bg-BG"/>
        </w:rPr>
      </w:pPr>
      <w:r w:rsidRPr="005B34EA">
        <w:rPr>
          <w:rFonts w:eastAsia="Times New Roman" w:cs="Arial"/>
          <w:color w:val="000000"/>
          <w:lang w:eastAsia="bg-BG"/>
        </w:rPr>
        <w:t>Наличие на или риск от венозна тромбоемболия (ВТЕ)</w:t>
      </w:r>
    </w:p>
    <w:p w14:paraId="1A353770" w14:textId="77777777" w:rsidR="00F52944" w:rsidRPr="005B34EA" w:rsidRDefault="00F52944" w:rsidP="00F52944">
      <w:pPr>
        <w:pStyle w:val="ListParagraph"/>
        <w:numPr>
          <w:ilvl w:val="0"/>
          <w:numId w:val="40"/>
        </w:numPr>
        <w:spacing w:line="240" w:lineRule="auto"/>
        <w:rPr>
          <w:rFonts w:eastAsia="Times New Roman" w:cs="Arial"/>
          <w:sz w:val="28"/>
          <w:szCs w:val="28"/>
          <w:lang w:eastAsia="bg-BG"/>
        </w:rPr>
      </w:pPr>
      <w:r w:rsidRPr="005B34EA">
        <w:rPr>
          <w:rFonts w:eastAsia="Times New Roman" w:cs="Arial"/>
          <w:color w:val="000000"/>
          <w:lang w:eastAsia="bg-BG"/>
        </w:rPr>
        <w:t>Венозна тромбоемболия - настоящ ВТЕ (на антикоагуланти) или анамнеза за такъв (напр. дълбока венозна тромбоза [ДВТ] или белодробна емболия (БЕ]);</w:t>
      </w:r>
    </w:p>
    <w:p w14:paraId="4D09B62A" w14:textId="77777777" w:rsidR="00F52944" w:rsidRPr="005B34EA" w:rsidRDefault="00F52944" w:rsidP="00F52944">
      <w:pPr>
        <w:pStyle w:val="ListParagraph"/>
        <w:numPr>
          <w:ilvl w:val="0"/>
          <w:numId w:val="40"/>
        </w:numPr>
        <w:spacing w:line="240" w:lineRule="auto"/>
        <w:rPr>
          <w:rFonts w:eastAsia="Times New Roman" w:cs="Arial"/>
          <w:sz w:val="28"/>
          <w:szCs w:val="28"/>
          <w:lang w:eastAsia="bg-BG"/>
        </w:rPr>
      </w:pPr>
      <w:r w:rsidRPr="005B34EA">
        <w:rPr>
          <w:rFonts w:eastAsia="Times New Roman" w:cs="Arial"/>
          <w:color w:val="000000"/>
          <w:lang w:eastAsia="bg-BG"/>
        </w:rPr>
        <w:t xml:space="preserve">Известно наследствено или придобито предразположние към венозна тромбоемболия, като резистентност към активиран протеин С (АРС) (включително фактор V на </w:t>
      </w:r>
      <w:r w:rsidRPr="005B34EA">
        <w:rPr>
          <w:rFonts w:eastAsia="Times New Roman" w:cs="Arial"/>
          <w:color w:val="000000"/>
          <w:lang w:val="en-US"/>
        </w:rPr>
        <w:t xml:space="preserve">Leiden), </w:t>
      </w:r>
      <w:r w:rsidRPr="005B34EA">
        <w:rPr>
          <w:rFonts w:eastAsia="Times New Roman" w:cs="Arial"/>
          <w:color w:val="000000"/>
          <w:lang w:eastAsia="bg-BG"/>
        </w:rPr>
        <w:t xml:space="preserve">дефицит на антитромбин III, дефицит на протеин С, дефицит на протеин </w:t>
      </w:r>
      <w:r w:rsidRPr="005B34EA">
        <w:rPr>
          <w:rFonts w:eastAsia="Times New Roman" w:cs="Arial"/>
          <w:color w:val="000000"/>
          <w:lang w:val="en-US"/>
        </w:rPr>
        <w:t>S;</w:t>
      </w:r>
    </w:p>
    <w:p w14:paraId="5059E7EB" w14:textId="77777777" w:rsidR="00F52944" w:rsidRPr="005B34EA" w:rsidRDefault="00F52944" w:rsidP="00F52944">
      <w:pPr>
        <w:pStyle w:val="ListParagraph"/>
        <w:numPr>
          <w:ilvl w:val="0"/>
          <w:numId w:val="40"/>
        </w:numPr>
        <w:spacing w:line="240" w:lineRule="auto"/>
        <w:rPr>
          <w:rFonts w:eastAsia="Times New Roman" w:cs="Arial"/>
          <w:sz w:val="28"/>
          <w:szCs w:val="28"/>
          <w:lang w:eastAsia="bg-BG"/>
        </w:rPr>
      </w:pPr>
      <w:r w:rsidRPr="005B34EA">
        <w:rPr>
          <w:rFonts w:eastAsia="Times New Roman" w:cs="Arial"/>
          <w:color w:val="000000"/>
          <w:lang w:eastAsia="bg-BG"/>
        </w:rPr>
        <w:t>Голяма хирургична намеса с продължителна имобилизация (вж. точка 4.4); Висок риск за венозна тромбоемболия вследствие на наличие на множество рискови фактори (вж, точка 4.4).</w:t>
      </w:r>
    </w:p>
    <w:p w14:paraId="5DE68421" w14:textId="77777777" w:rsidR="00F52944" w:rsidRPr="005B34EA" w:rsidRDefault="00F52944" w:rsidP="00F52944">
      <w:pPr>
        <w:pStyle w:val="ListParagraph"/>
        <w:numPr>
          <w:ilvl w:val="0"/>
          <w:numId w:val="40"/>
        </w:numPr>
        <w:spacing w:line="240" w:lineRule="auto"/>
        <w:rPr>
          <w:rFonts w:eastAsia="Times New Roman" w:cs="Arial"/>
          <w:sz w:val="28"/>
          <w:szCs w:val="28"/>
          <w:lang w:eastAsia="bg-BG"/>
        </w:rPr>
      </w:pPr>
      <w:r w:rsidRPr="005B34EA">
        <w:rPr>
          <w:rFonts w:eastAsia="Times New Roman" w:cs="Arial"/>
          <w:color w:val="000000"/>
          <w:lang w:eastAsia="bg-BG"/>
        </w:rPr>
        <w:t>Наличие на или риск от артериална тромбоемболия (АТЕ)</w:t>
      </w:r>
    </w:p>
    <w:p w14:paraId="11C39FB9" w14:textId="77777777" w:rsidR="00F52944" w:rsidRPr="005B34EA" w:rsidRDefault="00F52944" w:rsidP="00F52944">
      <w:pPr>
        <w:pStyle w:val="ListParagraph"/>
        <w:numPr>
          <w:ilvl w:val="0"/>
          <w:numId w:val="40"/>
        </w:numPr>
        <w:spacing w:line="240" w:lineRule="auto"/>
        <w:rPr>
          <w:rFonts w:eastAsia="Times New Roman" w:cs="Arial"/>
          <w:sz w:val="28"/>
          <w:szCs w:val="28"/>
          <w:lang w:eastAsia="bg-BG"/>
        </w:rPr>
      </w:pPr>
      <w:r w:rsidRPr="005B34EA">
        <w:rPr>
          <w:rFonts w:eastAsia="Times New Roman" w:cs="Arial"/>
          <w:color w:val="000000"/>
          <w:lang w:eastAsia="bg-BG"/>
        </w:rPr>
        <w:t>Артериална тромбоемболия - настоящ артериална тромбоемболия, анамнеза за артериална тромбоемболия (напр. инфаркт на миокарда) или продромално състояние (напр. стенокардия);</w:t>
      </w:r>
    </w:p>
    <w:p w14:paraId="7E9CB859" w14:textId="77777777" w:rsidR="00F52944" w:rsidRPr="005B34EA" w:rsidRDefault="00F52944" w:rsidP="00F52944">
      <w:pPr>
        <w:pStyle w:val="ListParagraph"/>
        <w:numPr>
          <w:ilvl w:val="0"/>
          <w:numId w:val="40"/>
        </w:numPr>
        <w:spacing w:line="240" w:lineRule="auto"/>
        <w:rPr>
          <w:rFonts w:eastAsia="Times New Roman" w:cs="Arial"/>
          <w:sz w:val="28"/>
          <w:szCs w:val="28"/>
          <w:lang w:eastAsia="bg-BG"/>
        </w:rPr>
      </w:pPr>
      <w:r w:rsidRPr="005B34EA">
        <w:rPr>
          <w:rFonts w:eastAsia="Times New Roman" w:cs="Arial"/>
          <w:color w:val="000000"/>
          <w:lang w:eastAsia="bg-BG"/>
        </w:rPr>
        <w:t>Мозъчно-съдова болест - настоящ инсулт, анамнеза за инсулт или продромално състояние (напр. преходна исхемична атака, ПИА);</w:t>
      </w:r>
    </w:p>
    <w:p w14:paraId="71D87419" w14:textId="77777777" w:rsidR="00F52944" w:rsidRPr="005B34EA" w:rsidRDefault="00F52944" w:rsidP="00F52944">
      <w:pPr>
        <w:pStyle w:val="ListParagraph"/>
        <w:numPr>
          <w:ilvl w:val="0"/>
          <w:numId w:val="40"/>
        </w:numPr>
        <w:spacing w:line="240" w:lineRule="auto"/>
        <w:rPr>
          <w:rFonts w:eastAsia="Times New Roman" w:cs="Arial"/>
          <w:sz w:val="28"/>
          <w:szCs w:val="28"/>
          <w:lang w:eastAsia="bg-BG"/>
        </w:rPr>
      </w:pPr>
      <w:r w:rsidRPr="005B34EA">
        <w:rPr>
          <w:rFonts w:eastAsia="Times New Roman" w:cs="Arial"/>
          <w:color w:val="000000"/>
          <w:lang w:eastAsia="bg-BG"/>
        </w:rPr>
        <w:t>Известно наследствено или придобито предразположение към артериална тромбоемболия, като хиперхомоцистеинемия и антифосфолипидни антитела (антикардиолипинови антитела, лупусен антикоагулант);</w:t>
      </w:r>
    </w:p>
    <w:p w14:paraId="2D09B25C" w14:textId="77777777" w:rsidR="00F52944" w:rsidRPr="005B34EA" w:rsidRDefault="00F52944" w:rsidP="00F52944">
      <w:pPr>
        <w:pStyle w:val="ListParagraph"/>
        <w:numPr>
          <w:ilvl w:val="0"/>
          <w:numId w:val="40"/>
        </w:numPr>
        <w:spacing w:line="240" w:lineRule="auto"/>
        <w:rPr>
          <w:rFonts w:eastAsia="Times New Roman" w:cs="Arial"/>
          <w:sz w:val="28"/>
          <w:szCs w:val="28"/>
          <w:lang w:eastAsia="bg-BG"/>
        </w:rPr>
      </w:pPr>
      <w:r w:rsidRPr="005B34EA">
        <w:rPr>
          <w:rFonts w:eastAsia="Times New Roman" w:cs="Arial"/>
          <w:color w:val="000000"/>
          <w:lang w:eastAsia="bg-BG"/>
        </w:rPr>
        <w:t>Анамнеза за мигрена с фокални неврологични симптоми;</w:t>
      </w:r>
    </w:p>
    <w:p w14:paraId="58DC86CB" w14:textId="77777777" w:rsidR="00F52944" w:rsidRPr="005B34EA" w:rsidRDefault="00F52944" w:rsidP="00F52944">
      <w:pPr>
        <w:pStyle w:val="ListParagraph"/>
        <w:numPr>
          <w:ilvl w:val="0"/>
          <w:numId w:val="40"/>
        </w:numPr>
        <w:spacing w:line="240" w:lineRule="auto"/>
        <w:rPr>
          <w:rFonts w:eastAsia="Times New Roman" w:cs="Arial"/>
          <w:sz w:val="28"/>
          <w:szCs w:val="28"/>
          <w:lang w:eastAsia="bg-BG"/>
        </w:rPr>
      </w:pPr>
      <w:r w:rsidRPr="005B34EA">
        <w:rPr>
          <w:rFonts w:eastAsia="Times New Roman" w:cs="Arial"/>
          <w:color w:val="000000"/>
          <w:lang w:eastAsia="bg-BG"/>
        </w:rPr>
        <w:t>Висок риск от артериална тромбоемболия вследствие на множество</w:t>
      </w:r>
      <w:r w:rsidRPr="005B34EA">
        <w:rPr>
          <w:rFonts w:eastAsia="Times New Roman" w:cs="Arial"/>
          <w:color w:val="000000"/>
          <w:lang w:val="en-US"/>
        </w:rPr>
        <w:t xml:space="preserve"> </w:t>
      </w:r>
      <w:r w:rsidRPr="005B34EA">
        <w:rPr>
          <w:rFonts w:eastAsia="Times New Roman" w:cs="Arial"/>
          <w:color w:val="000000"/>
          <w:lang w:eastAsia="bg-BG"/>
        </w:rPr>
        <w:t>рискови фактори (вж. точка 4.4) или на наличието на един сериозен рисков фактор като например:</w:t>
      </w:r>
    </w:p>
    <w:p w14:paraId="748B6EE5" w14:textId="77777777" w:rsidR="00F52944" w:rsidRPr="005B34EA" w:rsidRDefault="00F52944" w:rsidP="00F52944">
      <w:pPr>
        <w:pStyle w:val="ListParagraph"/>
        <w:numPr>
          <w:ilvl w:val="0"/>
          <w:numId w:val="40"/>
        </w:numPr>
        <w:spacing w:line="240" w:lineRule="auto"/>
        <w:rPr>
          <w:rFonts w:eastAsia="Times New Roman" w:cs="Arial"/>
          <w:sz w:val="28"/>
          <w:szCs w:val="28"/>
          <w:lang w:eastAsia="bg-BG"/>
        </w:rPr>
      </w:pPr>
      <w:r w:rsidRPr="005B34EA">
        <w:rPr>
          <w:rFonts w:eastAsia="Times New Roman" w:cs="Arial"/>
          <w:color w:val="000000"/>
          <w:lang w:eastAsia="bg-BG"/>
        </w:rPr>
        <w:t xml:space="preserve">захарен диабет със съдови симптоми, </w:t>
      </w:r>
    </w:p>
    <w:p w14:paraId="01CE8460" w14:textId="77777777" w:rsidR="00F52944" w:rsidRPr="005B34EA" w:rsidRDefault="00F52944" w:rsidP="00F52944">
      <w:pPr>
        <w:pStyle w:val="ListParagraph"/>
        <w:numPr>
          <w:ilvl w:val="0"/>
          <w:numId w:val="40"/>
        </w:numPr>
        <w:spacing w:line="240" w:lineRule="auto"/>
        <w:rPr>
          <w:rFonts w:eastAsia="Times New Roman" w:cs="Arial"/>
          <w:sz w:val="28"/>
          <w:szCs w:val="28"/>
          <w:lang w:eastAsia="bg-BG"/>
        </w:rPr>
      </w:pPr>
      <w:r w:rsidRPr="005B34EA">
        <w:rPr>
          <w:rFonts w:eastAsia="Times New Roman" w:cs="Arial"/>
          <w:color w:val="000000"/>
          <w:lang w:eastAsia="bg-BG"/>
        </w:rPr>
        <w:t xml:space="preserve">тежка хипертония, </w:t>
      </w:r>
    </w:p>
    <w:p w14:paraId="79FFB35E" w14:textId="77777777" w:rsidR="00F52944" w:rsidRPr="005B34EA" w:rsidRDefault="00F52944" w:rsidP="00F52944">
      <w:pPr>
        <w:pStyle w:val="ListParagraph"/>
        <w:numPr>
          <w:ilvl w:val="0"/>
          <w:numId w:val="40"/>
        </w:numPr>
        <w:spacing w:line="240" w:lineRule="auto"/>
        <w:rPr>
          <w:rFonts w:eastAsia="Times New Roman" w:cs="Arial"/>
          <w:sz w:val="28"/>
          <w:szCs w:val="28"/>
          <w:lang w:eastAsia="bg-BG"/>
        </w:rPr>
      </w:pPr>
      <w:r w:rsidRPr="005B34EA">
        <w:rPr>
          <w:rFonts w:eastAsia="Times New Roman" w:cs="Arial"/>
          <w:color w:val="000000"/>
          <w:lang w:eastAsia="bg-BG"/>
        </w:rPr>
        <w:t>тежка дислипопротеинемия.</w:t>
      </w:r>
    </w:p>
    <w:p w14:paraId="6714CB2A" w14:textId="77777777" w:rsidR="00F52944" w:rsidRPr="005B34EA" w:rsidRDefault="00F52944" w:rsidP="00F52944">
      <w:pPr>
        <w:pStyle w:val="ListParagraph"/>
        <w:numPr>
          <w:ilvl w:val="0"/>
          <w:numId w:val="40"/>
        </w:numPr>
        <w:spacing w:line="240" w:lineRule="auto"/>
        <w:rPr>
          <w:rFonts w:eastAsia="Times New Roman" w:cs="Arial"/>
          <w:sz w:val="28"/>
          <w:szCs w:val="28"/>
          <w:lang w:eastAsia="bg-BG"/>
        </w:rPr>
      </w:pPr>
      <w:r w:rsidRPr="005B34EA">
        <w:rPr>
          <w:rFonts w:eastAsia="Times New Roman" w:cs="Arial"/>
          <w:color w:val="000000"/>
          <w:lang w:eastAsia="bg-BG"/>
        </w:rPr>
        <w:t>Настоящ или предшестващ панкреатит, свързван с тежка хипертриглицеридемия; Наличие на или анамнеза за тежко чернодробно заболяване (настоящи нарушения на чернодробната функция);</w:t>
      </w:r>
    </w:p>
    <w:p w14:paraId="11193F03" w14:textId="77777777" w:rsidR="00F52944" w:rsidRPr="005B34EA" w:rsidRDefault="00F52944" w:rsidP="00F52944">
      <w:pPr>
        <w:pStyle w:val="ListParagraph"/>
        <w:numPr>
          <w:ilvl w:val="0"/>
          <w:numId w:val="40"/>
        </w:numPr>
        <w:spacing w:line="240" w:lineRule="auto"/>
        <w:rPr>
          <w:rFonts w:eastAsia="Times New Roman" w:cs="Arial"/>
          <w:sz w:val="28"/>
          <w:szCs w:val="28"/>
          <w:lang w:eastAsia="bg-BG"/>
        </w:rPr>
      </w:pPr>
      <w:r w:rsidRPr="005B34EA">
        <w:rPr>
          <w:rFonts w:eastAsia="Times New Roman" w:cs="Arial"/>
          <w:color w:val="000000"/>
          <w:lang w:eastAsia="bg-BG"/>
        </w:rPr>
        <w:t xml:space="preserve">Настоящи или предшестващи доброкачествени или злокачествени чернодробни тумори; Наличие на известни или подозирани или анамнеза за злокачествени заболявалия, зависими от стероидните полови хормони (напр, рак на гениталиите или млечната жлеза); </w:t>
      </w:r>
    </w:p>
    <w:p w14:paraId="3F987885" w14:textId="1B290E60" w:rsidR="00F52944" w:rsidRPr="005B34EA" w:rsidRDefault="00F52944" w:rsidP="00F52944">
      <w:pPr>
        <w:pStyle w:val="ListParagraph"/>
        <w:numPr>
          <w:ilvl w:val="0"/>
          <w:numId w:val="40"/>
        </w:numPr>
        <w:spacing w:line="240" w:lineRule="auto"/>
        <w:rPr>
          <w:rFonts w:eastAsia="Times New Roman" w:cs="Arial"/>
          <w:sz w:val="28"/>
          <w:szCs w:val="28"/>
          <w:lang w:eastAsia="bg-BG"/>
        </w:rPr>
      </w:pPr>
      <w:r w:rsidRPr="005B34EA">
        <w:rPr>
          <w:rFonts w:eastAsia="Times New Roman" w:cs="Arial"/>
          <w:color w:val="000000"/>
          <w:lang w:eastAsia="bg-BG"/>
        </w:rPr>
        <w:t>Вагинални кръвотечения с неизяснен произход;</w:t>
      </w:r>
    </w:p>
    <w:p w14:paraId="76BE2F53" w14:textId="77777777" w:rsidR="00F52944" w:rsidRPr="005B34EA" w:rsidRDefault="00F52944" w:rsidP="00F52944">
      <w:pPr>
        <w:pStyle w:val="ListParagraph"/>
        <w:numPr>
          <w:ilvl w:val="0"/>
          <w:numId w:val="40"/>
        </w:numPr>
        <w:spacing w:line="240" w:lineRule="auto"/>
        <w:rPr>
          <w:rFonts w:eastAsia="Times New Roman" w:cs="Arial"/>
          <w:sz w:val="28"/>
          <w:szCs w:val="28"/>
          <w:lang w:eastAsia="bg-BG"/>
        </w:rPr>
      </w:pPr>
      <w:r w:rsidRPr="005B34EA">
        <w:rPr>
          <w:rFonts w:eastAsia="Times New Roman" w:cs="Arial"/>
          <w:color w:val="000000"/>
          <w:lang w:eastAsia="bg-BG"/>
        </w:rPr>
        <w:t>Бременност или подозирана бременност (виж раздел 4.6).</w:t>
      </w:r>
    </w:p>
    <w:p w14:paraId="64869C5A" w14:textId="77777777" w:rsidR="00F52944" w:rsidRPr="005B34EA" w:rsidRDefault="00F52944" w:rsidP="00F52944">
      <w:pPr>
        <w:spacing w:line="240" w:lineRule="auto"/>
        <w:rPr>
          <w:rFonts w:eastAsia="Times New Roman" w:cs="Arial"/>
          <w:color w:val="000000"/>
          <w:lang w:eastAsia="bg-BG"/>
        </w:rPr>
      </w:pPr>
    </w:p>
    <w:p w14:paraId="64C40E1C" w14:textId="0953879F" w:rsidR="00F52944" w:rsidRPr="005B34EA" w:rsidRDefault="00F52944" w:rsidP="00F52944">
      <w:pPr>
        <w:spacing w:line="240" w:lineRule="auto"/>
        <w:rPr>
          <w:rFonts w:eastAsia="Times New Roman" w:cs="Arial"/>
          <w:sz w:val="28"/>
          <w:szCs w:val="28"/>
          <w:lang w:eastAsia="bg-BG"/>
        </w:rPr>
      </w:pPr>
      <w:r w:rsidRPr="005B34EA">
        <w:rPr>
          <w:rFonts w:eastAsia="Times New Roman" w:cs="Arial"/>
          <w:color w:val="000000"/>
          <w:lang w:eastAsia="bg-BG"/>
        </w:rPr>
        <w:t>Употребата на Линдинет 20 е противопоказана едновременно с лекарствени продукти, съдържащи омбитасвир/паритапревир/ритоновир и дазабувир, лекарствени продукти, съдържащи глекапревир/пибрентасвир или софосбувир/велпатасвир/воксилапревир (вж. точка 4.5).</w:t>
      </w:r>
    </w:p>
    <w:p w14:paraId="579E1291" w14:textId="77777777" w:rsidR="00F52944" w:rsidRPr="00F52944" w:rsidRDefault="00F52944" w:rsidP="00F52944"/>
    <w:p w14:paraId="1C27CE53" w14:textId="16496115" w:rsidR="009F77A4" w:rsidRDefault="002C50EE" w:rsidP="00387A66">
      <w:pPr>
        <w:pStyle w:val="Heading2"/>
      </w:pPr>
      <w:r>
        <w:t>4.4. Специални предупреждения и предпазни мерки при употреба</w:t>
      </w:r>
    </w:p>
    <w:p w14:paraId="181E2A30" w14:textId="584538D2" w:rsidR="003A7AE2" w:rsidRDefault="003A7AE2" w:rsidP="003A7AE2"/>
    <w:p w14:paraId="32DAB4E3" w14:textId="77777777"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t>При наличие на някое от споменатите по-долу състояния или рискови фактори, с жената трябва да се обсъди, дали Линдинет 20 е подходящ за прилагане.</w:t>
      </w:r>
    </w:p>
    <w:p w14:paraId="1BE47CE5" w14:textId="77777777" w:rsidR="003A7AE2" w:rsidRPr="003A7AE2" w:rsidRDefault="003A7AE2" w:rsidP="003A7AE2">
      <w:pPr>
        <w:spacing w:line="240" w:lineRule="auto"/>
        <w:rPr>
          <w:rFonts w:eastAsia="Times New Roman" w:cs="Arial"/>
          <w:color w:val="000000"/>
          <w:lang w:eastAsia="bg-BG"/>
        </w:rPr>
      </w:pPr>
    </w:p>
    <w:p w14:paraId="0B5A3F29" w14:textId="2E15F854"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lastRenderedPageBreak/>
        <w:t>В случай на влошаване, обостряне или първа поява на някое от тези състояния или рискови фактори, жената трябва да се свърже със своя лекар. Лекарят ще реши дали употребата на Линдинет 20 трябва да бъде прекратена.</w:t>
      </w:r>
    </w:p>
    <w:p w14:paraId="0FBE820E" w14:textId="77777777" w:rsidR="003A7AE2" w:rsidRPr="003A7AE2" w:rsidRDefault="003A7AE2" w:rsidP="003A7AE2">
      <w:pPr>
        <w:spacing w:line="240" w:lineRule="auto"/>
        <w:rPr>
          <w:rFonts w:eastAsia="Times New Roman" w:cs="Arial"/>
          <w:color w:val="000000"/>
          <w:lang w:eastAsia="bg-BG"/>
        </w:rPr>
      </w:pPr>
    </w:p>
    <w:p w14:paraId="2035C171" w14:textId="27981085"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t xml:space="preserve">1. </w:t>
      </w:r>
      <w:r w:rsidRPr="003A7AE2">
        <w:rPr>
          <w:rFonts w:eastAsia="Times New Roman" w:cs="Arial"/>
          <w:i/>
          <w:iCs/>
          <w:color w:val="000000"/>
          <w:u w:val="single"/>
          <w:lang w:eastAsia="bg-BG"/>
        </w:rPr>
        <w:t>Циркулаторни нарушения</w:t>
      </w:r>
    </w:p>
    <w:p w14:paraId="23838689" w14:textId="77777777" w:rsidR="003A7AE2" w:rsidRPr="003A7AE2" w:rsidRDefault="003A7AE2" w:rsidP="003A7AE2">
      <w:pPr>
        <w:spacing w:line="240" w:lineRule="auto"/>
        <w:rPr>
          <w:rFonts w:eastAsia="Times New Roman" w:cs="Arial"/>
          <w:b/>
          <w:bCs/>
          <w:color w:val="000000"/>
          <w:lang w:eastAsia="bg-BG"/>
        </w:rPr>
      </w:pPr>
    </w:p>
    <w:p w14:paraId="494AD2B5" w14:textId="1A900E5B" w:rsidR="003A7AE2" w:rsidRPr="003A7AE2" w:rsidRDefault="003A7AE2" w:rsidP="003A7AE2">
      <w:pPr>
        <w:spacing w:line="240" w:lineRule="auto"/>
        <w:rPr>
          <w:rFonts w:eastAsia="Times New Roman" w:cs="Arial"/>
          <w:sz w:val="28"/>
          <w:szCs w:val="28"/>
          <w:lang w:eastAsia="bg-BG"/>
        </w:rPr>
      </w:pPr>
      <w:r w:rsidRPr="003A7AE2">
        <w:rPr>
          <w:rFonts w:eastAsia="Times New Roman" w:cs="Arial"/>
          <w:b/>
          <w:bCs/>
          <w:color w:val="000000"/>
          <w:lang w:eastAsia="bg-BG"/>
        </w:rPr>
        <w:t>Риск от венозна тромбоемболня (ВТЕ)</w:t>
      </w:r>
    </w:p>
    <w:p w14:paraId="5FCE7180" w14:textId="77777777" w:rsidR="003A7AE2" w:rsidRPr="003A7AE2" w:rsidRDefault="003A7AE2" w:rsidP="003A7AE2">
      <w:pPr>
        <w:spacing w:line="240" w:lineRule="auto"/>
        <w:rPr>
          <w:rFonts w:eastAsia="Times New Roman" w:cs="Arial"/>
          <w:color w:val="000000"/>
          <w:lang w:eastAsia="bg-BG"/>
        </w:rPr>
      </w:pPr>
    </w:p>
    <w:p w14:paraId="56824E9B" w14:textId="07CD0892"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t xml:space="preserve">Употребата на всеки комбиниран хормонален контрацептив (КХК) повишава риска от венозна тромбоемболня (ВТЕ) в сравнение с този при лицата, които не употребяват КХК. </w:t>
      </w:r>
      <w:r w:rsidRPr="003A7AE2">
        <w:rPr>
          <w:rFonts w:eastAsia="Times New Roman" w:cs="Arial"/>
          <w:b/>
          <w:bCs/>
          <w:color w:val="000000"/>
          <w:lang w:eastAsia="bg-BG"/>
        </w:rPr>
        <w:t>Продукти, които съдържат левоноргестрел, норгестимат или норетистерон, са свързани с най- ниския риск от ВТЕ. Други продукти, като Линдинет 20 могат да носят до два пъти по- голям риск. Решението за употреба на всеки продукт, различен от някой от тези с най- нисък риск от ВТЕ, трябва да се взема само след обсъждане с жената, за да се гарантира, че тя разбира риска от ВТЕ прн Линдинет 20, как нейните настоящи рискови фактори влияят върху този риск и това, че рискът от ВТЕ е най-висок в първата година на употреба. Има също известни данни, че рискът се увеличава, когато приемът на КХК започне отново след прекъсване на употреба от 4 седмици или повече.</w:t>
      </w:r>
    </w:p>
    <w:p w14:paraId="28EEF697" w14:textId="77777777" w:rsidR="003A7AE2" w:rsidRPr="003A7AE2" w:rsidRDefault="003A7AE2" w:rsidP="003A7AE2">
      <w:pPr>
        <w:spacing w:line="240" w:lineRule="auto"/>
        <w:rPr>
          <w:rFonts w:eastAsia="Times New Roman" w:cs="Arial"/>
          <w:color w:val="000000"/>
          <w:lang w:eastAsia="bg-BG"/>
        </w:rPr>
      </w:pPr>
    </w:p>
    <w:p w14:paraId="600E7CE1" w14:textId="0DE518A4"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t>При жени, които не използват КХК и не са бременни, около 2 от 10 000 ще развият ВТЕ за период от една година. Въпреки това, при всяка отделна жена рискът може да бъде далеч по- висок, в зависимост от нейните съществуващи рискови фактори (вж. по-долу). Изчислено е,</w:t>
      </w:r>
      <w:r w:rsidRPr="003A7AE2">
        <w:rPr>
          <w:rFonts w:eastAsia="Times New Roman" w:cs="Arial"/>
          <w:color w:val="000000"/>
          <w:vertAlign w:val="superscript"/>
          <w:lang w:eastAsia="bg-BG"/>
        </w:rPr>
        <w:t>1</w:t>
      </w:r>
      <w:r w:rsidRPr="003A7AE2">
        <w:rPr>
          <w:rFonts w:eastAsia="Times New Roman" w:cs="Arial"/>
          <w:color w:val="000000"/>
          <w:lang w:eastAsia="bg-BG"/>
        </w:rPr>
        <w:t xml:space="preserve"> че от 10 000 жени, които използват КХК, съдържащи гестоден, между 9 и 12 жени ще развият ВТЕ в рамките на една година; това е сравнимо с около 6</w:t>
      </w:r>
      <w:r w:rsidRPr="003A7AE2">
        <w:rPr>
          <w:rFonts w:eastAsia="Times New Roman" w:cs="Arial"/>
          <w:color w:val="000000"/>
          <w:vertAlign w:val="superscript"/>
          <w:lang w:eastAsia="bg-BG"/>
        </w:rPr>
        <w:t>2</w:t>
      </w:r>
      <w:r w:rsidRPr="003A7AE2">
        <w:rPr>
          <w:rFonts w:eastAsia="Times New Roman" w:cs="Arial"/>
          <w:color w:val="000000"/>
          <w:lang w:eastAsia="bg-BG"/>
        </w:rPr>
        <w:t xml:space="preserve"> при жени, които използват КХК, съдържащи левоноргестрел.</w:t>
      </w:r>
    </w:p>
    <w:p w14:paraId="26D9A526" w14:textId="77777777"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t>И в двата случая, броят на случаите на ВТЕ годишно е по-малък от броя, очакван при жени по време на бременност или в следродилния период.</w:t>
      </w:r>
    </w:p>
    <w:p w14:paraId="06A15B61" w14:textId="77777777"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t>ВТЕ може да бъде фатален в 1-2% от случаите.</w:t>
      </w:r>
    </w:p>
    <w:p w14:paraId="50256738" w14:textId="77777777" w:rsidR="003A7AE2" w:rsidRPr="003A7AE2" w:rsidRDefault="003A7AE2" w:rsidP="003A7AE2">
      <w:pPr>
        <w:rPr>
          <w:rFonts w:eastAsia="Times New Roman" w:cs="Arial"/>
          <w:b/>
          <w:bCs/>
          <w:color w:val="000000"/>
          <w:u w:val="single"/>
          <w:lang w:eastAsia="bg-BG"/>
        </w:rPr>
      </w:pPr>
    </w:p>
    <w:p w14:paraId="72A1B1C5" w14:textId="2E0ABF41" w:rsidR="003A7AE2" w:rsidRDefault="003A7AE2" w:rsidP="003A7AE2">
      <w:pPr>
        <w:rPr>
          <w:rFonts w:ascii="Times New Roman" w:eastAsia="Times New Roman" w:hAnsi="Times New Roman" w:cs="Times New Roman"/>
          <w:b/>
          <w:bCs/>
          <w:color w:val="000000"/>
          <w:sz w:val="20"/>
          <w:szCs w:val="20"/>
          <w:u w:val="single"/>
          <w:lang w:eastAsia="bg-BG"/>
        </w:rPr>
      </w:pPr>
      <w:r w:rsidRPr="003A7AE2">
        <w:rPr>
          <w:rFonts w:eastAsia="Times New Roman" w:cs="Arial"/>
          <w:b/>
          <w:bCs/>
          <w:color w:val="000000"/>
          <w:u w:val="single"/>
          <w:lang w:eastAsia="bg-BG"/>
        </w:rPr>
        <w:t>Брой случаи на ВТЕ на 10 000 жени в рамките на една година</w:t>
      </w:r>
    </w:p>
    <w:p w14:paraId="6D57F86D" w14:textId="62E2694D" w:rsidR="003A7AE2" w:rsidRDefault="003A7AE2" w:rsidP="003A7AE2">
      <w:pPr>
        <w:rPr>
          <w:rFonts w:ascii="Times New Roman" w:eastAsia="Times New Roman" w:hAnsi="Times New Roman" w:cs="Times New Roman"/>
          <w:b/>
          <w:bCs/>
          <w:color w:val="000000"/>
          <w:sz w:val="20"/>
          <w:szCs w:val="20"/>
          <w:u w:val="single"/>
          <w:lang w:eastAsia="bg-BG"/>
        </w:rPr>
      </w:pPr>
    </w:p>
    <w:p w14:paraId="410C9011" w14:textId="77777777" w:rsidR="003A7AE2" w:rsidRPr="003A7AE2" w:rsidRDefault="003A7AE2" w:rsidP="003A7AE2">
      <w:pPr>
        <w:spacing w:line="240" w:lineRule="auto"/>
        <w:rPr>
          <w:rFonts w:ascii="Times New Roman" w:eastAsia="Times New Roman" w:hAnsi="Times New Roman" w:cs="Times New Roman"/>
          <w:sz w:val="24"/>
          <w:szCs w:val="24"/>
          <w:lang w:eastAsia="bg-BG"/>
        </w:rPr>
      </w:pPr>
      <w:r w:rsidRPr="003A7AE2">
        <w:rPr>
          <w:rFonts w:eastAsia="Times New Roman" w:cs="Arial"/>
          <w:color w:val="000000"/>
          <w:sz w:val="16"/>
          <w:szCs w:val="16"/>
          <w:vertAlign w:val="superscript"/>
          <w:lang w:eastAsia="bg-BG"/>
        </w:rPr>
        <w:footnoteRef/>
      </w:r>
      <w:r w:rsidRPr="003A7AE2">
        <w:rPr>
          <w:rFonts w:eastAsia="Times New Roman" w:cs="Arial"/>
          <w:color w:val="000000"/>
          <w:sz w:val="16"/>
          <w:szCs w:val="16"/>
          <w:lang w:eastAsia="bg-BG"/>
        </w:rPr>
        <w:t xml:space="preserve"> Тези случаи са били изчислени от общия брой данни от епидемиологични проучвания, като те използва относителен риск за различните продукти, сравнени с КХК, съдържащи левоноргестрел.</w:t>
      </w:r>
    </w:p>
    <w:p w14:paraId="22EEAAFB" w14:textId="45E60069" w:rsidR="003A7AE2" w:rsidRPr="003A7AE2" w:rsidRDefault="003A7AE2" w:rsidP="003A7AE2">
      <w:pPr>
        <w:spacing w:line="240" w:lineRule="auto"/>
        <w:rPr>
          <w:rFonts w:ascii="Times New Roman" w:eastAsia="Times New Roman" w:hAnsi="Times New Roman" w:cs="Times New Roman"/>
          <w:sz w:val="24"/>
          <w:szCs w:val="24"/>
          <w:lang w:eastAsia="bg-BG"/>
        </w:rPr>
      </w:pPr>
      <w:r w:rsidRPr="003A7AE2">
        <w:rPr>
          <w:rFonts w:eastAsia="Times New Roman" w:cs="Arial"/>
          <w:i/>
          <w:iCs/>
          <w:color w:val="000000"/>
          <w:sz w:val="16"/>
          <w:szCs w:val="16"/>
          <w:vertAlign w:val="superscript"/>
          <w:lang w:val="en-US" w:eastAsia="bg-BG"/>
        </w:rPr>
        <w:t>2</w:t>
      </w:r>
      <w:r>
        <w:rPr>
          <w:rFonts w:eastAsia="Times New Roman" w:cs="Arial"/>
          <w:i/>
          <w:iCs/>
          <w:color w:val="000000"/>
          <w:sz w:val="16"/>
          <w:szCs w:val="16"/>
          <w:lang w:val="en-US" w:eastAsia="bg-BG"/>
        </w:rPr>
        <w:t xml:space="preserve"> </w:t>
      </w:r>
      <w:r w:rsidRPr="003A7AE2">
        <w:rPr>
          <w:rFonts w:eastAsia="Times New Roman" w:cs="Arial"/>
          <w:color w:val="000000"/>
          <w:sz w:val="16"/>
          <w:szCs w:val="16"/>
          <w:lang w:eastAsia="bg-BG"/>
        </w:rPr>
        <w:t>Средна точка в интервал от 5-7 на 10 000 жени, въз основа на относителен риск за КХК, съдържащи левоноргестрел, спрямо жени, които не използват КХК, от приблизително2,3 до 3,6.</w:t>
      </w:r>
    </w:p>
    <w:p w14:paraId="1FA23CFF" w14:textId="7FBFE2F3" w:rsidR="003A7AE2" w:rsidRDefault="003A7AE2" w:rsidP="003A7AE2"/>
    <w:p w14:paraId="7F728D51" w14:textId="508DE90C" w:rsidR="003A7AE2" w:rsidRDefault="003A7AE2" w:rsidP="003A7AE2">
      <w:r>
        <w:rPr>
          <w:noProof/>
        </w:rPr>
        <w:lastRenderedPageBreak/>
        <w:drawing>
          <wp:inline distT="0" distB="0" distL="0" distR="0" wp14:anchorId="42F7DFA1" wp14:editId="23FD896D">
            <wp:extent cx="5943600" cy="3693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693160"/>
                    </a:xfrm>
                    <a:prstGeom prst="rect">
                      <a:avLst/>
                    </a:prstGeom>
                  </pic:spPr>
                </pic:pic>
              </a:graphicData>
            </a:graphic>
          </wp:inline>
        </w:drawing>
      </w:r>
    </w:p>
    <w:p w14:paraId="1814F873" w14:textId="77777777"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t>Има изключително редки съобщения за тромбоза в други кръвоносни съдове, напр. чернодробни, мезентериални, бъбречни, церебрални или ретинални вени и артерии.</w:t>
      </w:r>
    </w:p>
    <w:p w14:paraId="0FD5B25C" w14:textId="77777777" w:rsidR="003A7AE2" w:rsidRPr="003A7AE2" w:rsidRDefault="003A7AE2" w:rsidP="003A7AE2">
      <w:pPr>
        <w:spacing w:line="240" w:lineRule="auto"/>
        <w:rPr>
          <w:rFonts w:eastAsia="Times New Roman" w:cs="Arial"/>
          <w:b/>
          <w:bCs/>
          <w:color w:val="000000"/>
          <w:u w:val="single"/>
          <w:lang w:eastAsia="bg-BG"/>
        </w:rPr>
      </w:pPr>
    </w:p>
    <w:p w14:paraId="778C15F0" w14:textId="7873DC41" w:rsidR="003A7AE2" w:rsidRPr="003A7AE2" w:rsidRDefault="003A7AE2" w:rsidP="003A7AE2">
      <w:pPr>
        <w:spacing w:line="240" w:lineRule="auto"/>
        <w:rPr>
          <w:rFonts w:eastAsia="Times New Roman" w:cs="Arial"/>
          <w:sz w:val="28"/>
          <w:szCs w:val="28"/>
          <w:lang w:eastAsia="bg-BG"/>
        </w:rPr>
      </w:pPr>
      <w:r w:rsidRPr="003A7AE2">
        <w:rPr>
          <w:rFonts w:eastAsia="Times New Roman" w:cs="Arial"/>
          <w:b/>
          <w:bCs/>
          <w:color w:val="000000"/>
          <w:u w:val="single"/>
          <w:lang w:eastAsia="bg-BG"/>
        </w:rPr>
        <w:t>Рискови Фактори за ВТЕ</w:t>
      </w:r>
    </w:p>
    <w:p w14:paraId="543280F0" w14:textId="77777777"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t>Рискът от венозни тромбоемболични усложнения при жени, използващи КХК, може съществено да се увеличи при жена с допълнителни рискови фактори, особено ако има множество рискови фактори (вж. таблицата).</w:t>
      </w:r>
    </w:p>
    <w:p w14:paraId="433F8F93" w14:textId="77777777" w:rsidR="003A7AE2" w:rsidRPr="003A7AE2" w:rsidRDefault="003A7AE2" w:rsidP="003A7AE2">
      <w:pPr>
        <w:spacing w:line="240" w:lineRule="auto"/>
        <w:rPr>
          <w:rFonts w:eastAsia="Times New Roman" w:cs="Arial"/>
          <w:color w:val="000000"/>
          <w:lang w:eastAsia="bg-BG"/>
        </w:rPr>
      </w:pPr>
    </w:p>
    <w:p w14:paraId="30894EA1" w14:textId="190A8290"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t>Линдинет 20 е противопоказан, ако дадена жена има множество рискови фактори, които я излагат на висок риск от венозна тромбоемболия (вж. точка 4.3). Ако дадена жена има повече от един рисков фактор, възможно е увеличението на риска да е по-голямо от сумата на отделните фактори - в този случай общият риск от ВТЕ за нея трябва да се прецени. Ако съотношението полза/риск се счита за отрицателно, КХК не трябва да се предписват (вж. точка 4.3).</w:t>
      </w:r>
    </w:p>
    <w:p w14:paraId="3F22119D" w14:textId="77777777" w:rsidR="003A7AE2" w:rsidRPr="003A7AE2" w:rsidRDefault="003A7AE2" w:rsidP="003A7AE2">
      <w:pPr>
        <w:rPr>
          <w:rFonts w:eastAsia="Times New Roman" w:cs="Arial"/>
          <w:b/>
          <w:bCs/>
          <w:color w:val="000000"/>
          <w:lang w:eastAsia="bg-BG"/>
        </w:rPr>
      </w:pPr>
    </w:p>
    <w:p w14:paraId="6F325204" w14:textId="70960EEA" w:rsidR="003A7AE2" w:rsidRDefault="003A7AE2" w:rsidP="003A7AE2">
      <w:pPr>
        <w:rPr>
          <w:rFonts w:eastAsia="Times New Roman" w:cs="Arial"/>
          <w:b/>
          <w:bCs/>
          <w:color w:val="000000"/>
          <w:lang w:eastAsia="bg-BG"/>
        </w:rPr>
      </w:pPr>
      <w:r w:rsidRPr="003A7AE2">
        <w:rPr>
          <w:rFonts w:eastAsia="Times New Roman" w:cs="Arial"/>
          <w:b/>
          <w:bCs/>
          <w:color w:val="000000"/>
          <w:lang w:eastAsia="bg-BG"/>
        </w:rPr>
        <w:t>Таблица; Рискови фактори за ВТЕ</w:t>
      </w:r>
    </w:p>
    <w:tbl>
      <w:tblPr>
        <w:tblStyle w:val="TableGrid"/>
        <w:tblW w:w="0" w:type="auto"/>
        <w:tblLook w:val="04A0" w:firstRow="1" w:lastRow="0" w:firstColumn="1" w:lastColumn="0" w:noHBand="0" w:noVBand="1"/>
      </w:tblPr>
      <w:tblGrid>
        <w:gridCol w:w="4664"/>
        <w:gridCol w:w="4686"/>
      </w:tblGrid>
      <w:tr w:rsidR="003A7AE2" w14:paraId="11B36E6E" w14:textId="77777777" w:rsidTr="003A7AE2">
        <w:tc>
          <w:tcPr>
            <w:tcW w:w="4750" w:type="dxa"/>
          </w:tcPr>
          <w:p w14:paraId="2A266DB0" w14:textId="08B52A81" w:rsidR="003A7AE2" w:rsidRPr="003A7AE2" w:rsidRDefault="003A7AE2" w:rsidP="003A7AE2">
            <w:pPr>
              <w:rPr>
                <w:rFonts w:cs="Arial"/>
              </w:rPr>
            </w:pPr>
            <w:r w:rsidRPr="003A7AE2">
              <w:rPr>
                <w:b/>
                <w:bCs/>
              </w:rPr>
              <w:t>Рисков фактор</w:t>
            </w:r>
          </w:p>
        </w:tc>
        <w:tc>
          <w:tcPr>
            <w:tcW w:w="4750" w:type="dxa"/>
          </w:tcPr>
          <w:p w14:paraId="1F4ABFF9" w14:textId="292C3BA8" w:rsidR="003A7AE2" w:rsidRPr="003A7AE2" w:rsidRDefault="003A7AE2" w:rsidP="003A7AE2">
            <w:pPr>
              <w:rPr>
                <w:rFonts w:cs="Arial"/>
              </w:rPr>
            </w:pPr>
            <w:r w:rsidRPr="003A7AE2">
              <w:rPr>
                <w:b/>
                <w:bCs/>
              </w:rPr>
              <w:t>Коментар</w:t>
            </w:r>
          </w:p>
        </w:tc>
      </w:tr>
      <w:tr w:rsidR="003A7AE2" w14:paraId="2BE54A8C" w14:textId="77777777" w:rsidTr="003A7AE2">
        <w:tc>
          <w:tcPr>
            <w:tcW w:w="4750" w:type="dxa"/>
          </w:tcPr>
          <w:p w14:paraId="2BA02391" w14:textId="20F956A1" w:rsidR="003A7AE2" w:rsidRPr="003A7AE2" w:rsidRDefault="003A7AE2" w:rsidP="003A7AE2">
            <w:pPr>
              <w:rPr>
                <w:rFonts w:cs="Arial"/>
              </w:rPr>
            </w:pPr>
            <w:r w:rsidRPr="003A7AE2">
              <w:t xml:space="preserve">Наднормено тегло (индекс на телесна маса над 30 </w:t>
            </w:r>
            <w:r w:rsidRPr="003A7AE2">
              <w:rPr>
                <w:lang w:val="en-US"/>
              </w:rPr>
              <w:t>kg/m</w:t>
            </w:r>
            <w:r w:rsidRPr="003A7AE2">
              <w:rPr>
                <w:vertAlign w:val="superscript"/>
                <w:lang w:val="en-US"/>
              </w:rPr>
              <w:t>2</w:t>
            </w:r>
            <w:r w:rsidRPr="003A7AE2">
              <w:rPr>
                <w:lang w:val="en-US"/>
              </w:rPr>
              <w:t>)</w:t>
            </w:r>
          </w:p>
        </w:tc>
        <w:tc>
          <w:tcPr>
            <w:tcW w:w="4750" w:type="dxa"/>
          </w:tcPr>
          <w:p w14:paraId="187D139D" w14:textId="77777777" w:rsidR="003A7AE2" w:rsidRPr="003A7AE2" w:rsidRDefault="003A7AE2" w:rsidP="003A7AE2">
            <w:r w:rsidRPr="003A7AE2">
              <w:t xml:space="preserve">Рискът значително се увеличава с повишаването на индекса на телесна маса </w:t>
            </w:r>
            <w:r w:rsidRPr="003A7AE2">
              <w:rPr>
                <w:lang w:val="en-US"/>
              </w:rPr>
              <w:t>(BMI).</w:t>
            </w:r>
          </w:p>
          <w:p w14:paraId="39812E98" w14:textId="11663F8F" w:rsidR="003A7AE2" w:rsidRPr="003A7AE2" w:rsidRDefault="003A7AE2" w:rsidP="003A7AE2">
            <w:pPr>
              <w:rPr>
                <w:rFonts w:cs="Arial"/>
              </w:rPr>
            </w:pPr>
            <w:r w:rsidRPr="003A7AE2">
              <w:t>Особено важно е да се прецени, ако са налице и други рискови фактори.</w:t>
            </w:r>
          </w:p>
        </w:tc>
      </w:tr>
      <w:tr w:rsidR="003A7AE2" w14:paraId="2C405508" w14:textId="77777777" w:rsidTr="003A7AE2">
        <w:tc>
          <w:tcPr>
            <w:tcW w:w="4750" w:type="dxa"/>
          </w:tcPr>
          <w:p w14:paraId="1AA11C68" w14:textId="77777777" w:rsidR="003A7AE2" w:rsidRPr="003A7AE2" w:rsidRDefault="003A7AE2" w:rsidP="003A7AE2">
            <w:r w:rsidRPr="003A7AE2">
              <w:t>Продължителна имобилизация, голяма хирургична намеса, всякаква хирургична намеса на краката или таза, или голяма травма.</w:t>
            </w:r>
          </w:p>
          <w:p w14:paraId="1669A1B9" w14:textId="3E267EF2" w:rsidR="003A7AE2" w:rsidRPr="003A7AE2" w:rsidRDefault="003A7AE2" w:rsidP="003A7AE2">
            <w:pPr>
              <w:rPr>
                <w:rFonts w:cs="Arial"/>
                <w:lang w:val="en-US"/>
              </w:rPr>
            </w:pPr>
            <w:r w:rsidRPr="003A7AE2">
              <w:t xml:space="preserve">Забележка: временна имобилизация, </w:t>
            </w:r>
            <w:r w:rsidRPr="003A7AE2">
              <w:lastRenderedPageBreak/>
              <w:t xml:space="preserve">включително пътуване със самолет </w:t>
            </w:r>
            <w:r w:rsidRPr="003A7AE2">
              <w:rPr>
                <w:u w:val="single"/>
              </w:rPr>
              <w:t>&gt;4 часа може също да бъде рисков</w:t>
            </w:r>
            <w:r w:rsidRPr="003A7AE2">
              <w:rPr>
                <w:u w:val="single"/>
                <w:lang w:val="en-US"/>
              </w:rPr>
              <w:t xml:space="preserve"> </w:t>
            </w:r>
            <w:r w:rsidRPr="003A7AE2">
              <w:t>фактор за ВТЕ, особено при жени с други рискови фактори.</w:t>
            </w:r>
          </w:p>
        </w:tc>
        <w:tc>
          <w:tcPr>
            <w:tcW w:w="4750" w:type="dxa"/>
          </w:tcPr>
          <w:p w14:paraId="64DCDC77" w14:textId="77777777" w:rsidR="003A7AE2" w:rsidRPr="003A7AE2" w:rsidRDefault="003A7AE2" w:rsidP="003A7AE2">
            <w:r w:rsidRPr="003A7AE2">
              <w:lastRenderedPageBreak/>
              <w:t xml:space="preserve">При тези условия е препоръчително употребата на пластир/хапче/пръстен да се прекрати (в случай на планова операция поне четири седмици по-рано) и приложението им да не започва отново до </w:t>
            </w:r>
            <w:r w:rsidRPr="003A7AE2">
              <w:lastRenderedPageBreak/>
              <w:t>изтичане на две седмици след пълното раздвижване. Трябва да се използва друг метод за контрацепция, за да се избегне нежелана бременност.</w:t>
            </w:r>
          </w:p>
          <w:p w14:paraId="6D6DE6E8" w14:textId="0802BA9E" w:rsidR="003A7AE2" w:rsidRPr="003A7AE2" w:rsidRDefault="003A7AE2" w:rsidP="003A7AE2">
            <w:pPr>
              <w:rPr>
                <w:rFonts w:cs="Arial"/>
              </w:rPr>
            </w:pPr>
            <w:r w:rsidRPr="003A7AE2">
              <w:t>Трябва да се обмисли антитромботично лечение ако употребата на Линдинет 20 не е пре прекратена предварително.</w:t>
            </w:r>
          </w:p>
        </w:tc>
      </w:tr>
      <w:tr w:rsidR="003A7AE2" w14:paraId="1E7CC8CF" w14:textId="77777777" w:rsidTr="003A7AE2">
        <w:tc>
          <w:tcPr>
            <w:tcW w:w="4750" w:type="dxa"/>
          </w:tcPr>
          <w:p w14:paraId="3B0AEC66" w14:textId="399F4235" w:rsidR="003A7AE2" w:rsidRPr="003A7AE2" w:rsidRDefault="003A7AE2" w:rsidP="003A7AE2">
            <w:pPr>
              <w:rPr>
                <w:rFonts w:cs="Arial"/>
              </w:rPr>
            </w:pPr>
            <w:r w:rsidRPr="003A7AE2">
              <w:lastRenderedPageBreak/>
              <w:t>Наличие на фамилна анамнеза (венозна тромбоемболия при брат/сестра или родител, особено в сравнително млада възраст, напр. преди 50 години).</w:t>
            </w:r>
          </w:p>
        </w:tc>
        <w:tc>
          <w:tcPr>
            <w:tcW w:w="4750" w:type="dxa"/>
          </w:tcPr>
          <w:p w14:paraId="2D1BCC63" w14:textId="2DBBB236" w:rsidR="003A7AE2" w:rsidRPr="003A7AE2" w:rsidRDefault="003A7AE2" w:rsidP="003A7AE2">
            <w:pPr>
              <w:rPr>
                <w:rFonts w:cs="Arial"/>
              </w:rPr>
            </w:pPr>
            <w:r w:rsidRPr="003A7AE2">
              <w:t>Ако има съмнение за наследствено предразположение, жената трябва да се насочи за консултация със специалист преди да реши дали да използва КХК.</w:t>
            </w:r>
          </w:p>
        </w:tc>
      </w:tr>
      <w:tr w:rsidR="003A7AE2" w14:paraId="0CB39E84" w14:textId="77777777" w:rsidTr="003A7AE2">
        <w:tc>
          <w:tcPr>
            <w:tcW w:w="4750" w:type="dxa"/>
          </w:tcPr>
          <w:p w14:paraId="343074AF" w14:textId="14B09BFC" w:rsidR="003A7AE2" w:rsidRPr="003A7AE2" w:rsidRDefault="003A7AE2" w:rsidP="003A7AE2">
            <w:pPr>
              <w:rPr>
                <w:rFonts w:cs="Arial"/>
              </w:rPr>
            </w:pPr>
            <w:r w:rsidRPr="003A7AE2">
              <w:t>Други заболявания, свързани с ВТЕ</w:t>
            </w:r>
          </w:p>
        </w:tc>
        <w:tc>
          <w:tcPr>
            <w:tcW w:w="4750" w:type="dxa"/>
          </w:tcPr>
          <w:p w14:paraId="41F91BFD" w14:textId="565CC845" w:rsidR="003A7AE2" w:rsidRPr="003A7AE2" w:rsidRDefault="003A7AE2" w:rsidP="003A7AE2">
            <w:pPr>
              <w:rPr>
                <w:rFonts w:cs="Arial"/>
              </w:rPr>
            </w:pPr>
            <w:r w:rsidRPr="003A7AE2">
              <w:t xml:space="preserve">Рак, системен лупус еритематодес, хемолитичен уремичен синдром, хронична възпалителна болест на червата (болест на </w:t>
            </w:r>
            <w:r w:rsidRPr="003A7AE2">
              <w:rPr>
                <w:lang w:val="en-US"/>
              </w:rPr>
              <w:t xml:space="preserve">Crohn </w:t>
            </w:r>
            <w:r w:rsidRPr="003A7AE2">
              <w:t>или улцерозен колит) и сърповидноклетьчна анемия.</w:t>
            </w:r>
          </w:p>
        </w:tc>
      </w:tr>
      <w:tr w:rsidR="003A7AE2" w14:paraId="5A62492F" w14:textId="77777777" w:rsidTr="003A7AE2">
        <w:tc>
          <w:tcPr>
            <w:tcW w:w="4750" w:type="dxa"/>
          </w:tcPr>
          <w:p w14:paraId="61D4ED1E" w14:textId="407BE1F9" w:rsidR="003A7AE2" w:rsidRPr="003A7AE2" w:rsidRDefault="003A7AE2" w:rsidP="003A7AE2">
            <w:pPr>
              <w:rPr>
                <w:rFonts w:cs="Arial"/>
              </w:rPr>
            </w:pPr>
            <w:r w:rsidRPr="003A7AE2">
              <w:t>Напредваща възраст</w:t>
            </w:r>
          </w:p>
        </w:tc>
        <w:tc>
          <w:tcPr>
            <w:tcW w:w="4750" w:type="dxa"/>
          </w:tcPr>
          <w:p w14:paraId="40997675" w14:textId="6B98DE4D" w:rsidR="003A7AE2" w:rsidRPr="003A7AE2" w:rsidRDefault="003A7AE2" w:rsidP="003A7AE2">
            <w:pPr>
              <w:rPr>
                <w:rFonts w:cs="Arial"/>
              </w:rPr>
            </w:pPr>
            <w:r w:rsidRPr="003A7AE2">
              <w:t>Особено над 35 години.</w:t>
            </w:r>
          </w:p>
        </w:tc>
      </w:tr>
    </w:tbl>
    <w:p w14:paraId="47C724BD" w14:textId="0BAB6D52" w:rsidR="003A7AE2" w:rsidRDefault="003A7AE2" w:rsidP="003A7AE2">
      <w:pPr>
        <w:rPr>
          <w:rFonts w:cs="Arial"/>
          <w:sz w:val="24"/>
          <w:szCs w:val="24"/>
        </w:rPr>
      </w:pPr>
    </w:p>
    <w:p w14:paraId="044761E2" w14:textId="77777777"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t>Няма консенсус относно възможната роля на варикозните вени или повърхностния тромбофлебит в появата или прогресирането на венозна тромбоза.</w:t>
      </w:r>
    </w:p>
    <w:p w14:paraId="5290C182" w14:textId="77777777" w:rsidR="003A7AE2" w:rsidRPr="003A7AE2" w:rsidRDefault="003A7AE2" w:rsidP="003A7AE2">
      <w:pPr>
        <w:spacing w:line="240" w:lineRule="auto"/>
        <w:rPr>
          <w:rFonts w:eastAsia="Times New Roman" w:cs="Arial"/>
          <w:color w:val="000000"/>
          <w:lang w:eastAsia="bg-BG"/>
        </w:rPr>
      </w:pPr>
    </w:p>
    <w:p w14:paraId="4182C669" w14:textId="277870EB"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t>Повишеният риск от тромбоемболия по време на бременност и особено на 6-седмичния период на пуерпериума трябва да се има предвид (за информация относно „Фертилитет, бременност и кърмене” вж. точка 4.6).</w:t>
      </w:r>
    </w:p>
    <w:p w14:paraId="0E7B33A1" w14:textId="77777777" w:rsidR="003A7AE2" w:rsidRPr="003A7AE2" w:rsidRDefault="003A7AE2" w:rsidP="003A7AE2">
      <w:pPr>
        <w:spacing w:line="240" w:lineRule="auto"/>
        <w:rPr>
          <w:rFonts w:eastAsia="Times New Roman" w:cs="Arial"/>
          <w:b/>
          <w:bCs/>
          <w:color w:val="000000"/>
          <w:u w:val="single"/>
          <w:lang w:eastAsia="bg-BG"/>
        </w:rPr>
      </w:pPr>
    </w:p>
    <w:p w14:paraId="51028389" w14:textId="08A3C9A3" w:rsidR="003A7AE2" w:rsidRPr="003A7AE2" w:rsidRDefault="003A7AE2" w:rsidP="003A7AE2">
      <w:pPr>
        <w:spacing w:line="240" w:lineRule="auto"/>
        <w:rPr>
          <w:rFonts w:eastAsia="Times New Roman" w:cs="Arial"/>
          <w:b/>
          <w:bCs/>
          <w:color w:val="000000"/>
          <w:u w:val="single"/>
          <w:lang w:eastAsia="bg-BG"/>
        </w:rPr>
      </w:pPr>
      <w:r w:rsidRPr="003A7AE2">
        <w:rPr>
          <w:rFonts w:eastAsia="Times New Roman" w:cs="Arial"/>
          <w:b/>
          <w:bCs/>
          <w:color w:val="000000"/>
          <w:u w:val="single"/>
          <w:lang w:eastAsia="bg-BG"/>
        </w:rPr>
        <w:t>Симптоми на ВТЕ (дълбока венозна тромбоза и белодробна емболия)</w:t>
      </w:r>
    </w:p>
    <w:p w14:paraId="687CECFE" w14:textId="77777777"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t>В случай на симптоми, жените трябва да бъдат посъветвани да потърсят спешна медицинска помощ и да информират медицинския специалист, че приемат КХК.</w:t>
      </w:r>
    </w:p>
    <w:p w14:paraId="1B9CBE64" w14:textId="77777777"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t>Симптомите на дълбока венозна тромбоза (ДВТ) могат да включват:</w:t>
      </w:r>
    </w:p>
    <w:p w14:paraId="2478764D" w14:textId="77777777"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едностранен оток на крака и/или ходилото, или по продължение на вена в крака;</w:t>
      </w:r>
    </w:p>
    <w:p w14:paraId="417FEE20" w14:textId="77777777"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болка или тежест в крака, която може да се усеща само при ставане или ходене;</w:t>
      </w:r>
    </w:p>
    <w:p w14:paraId="347FA3DD" w14:textId="31FFE84F"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затопляне на засегнатия крак; зачервяване или промяна в цвета на кожата на крака.</w:t>
      </w:r>
    </w:p>
    <w:p w14:paraId="7E87146B" w14:textId="77777777" w:rsidR="003A7AE2" w:rsidRPr="003A7AE2" w:rsidRDefault="003A7AE2" w:rsidP="003A7AE2">
      <w:pPr>
        <w:spacing w:line="240" w:lineRule="auto"/>
        <w:rPr>
          <w:rFonts w:eastAsia="Times New Roman" w:cs="Arial"/>
          <w:color w:val="000000"/>
          <w:lang w:eastAsia="bg-BG"/>
        </w:rPr>
      </w:pPr>
    </w:p>
    <w:p w14:paraId="1FBE2AEE" w14:textId="63DF09C7"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t>Симптомите на белодробна емболия (БЕ) могат да включват:</w:t>
      </w:r>
    </w:p>
    <w:p w14:paraId="1931C224" w14:textId="77777777"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внезапна поява на необясним задух или учестено дишане;</w:t>
      </w:r>
    </w:p>
    <w:p w14:paraId="36287992" w14:textId="77777777"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внезапна кашлица, която може да бъде свързана с хемоптиза;</w:t>
      </w:r>
    </w:p>
    <w:p w14:paraId="361DFD8F" w14:textId="77777777"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остра болка в гръдния кош;</w:t>
      </w:r>
    </w:p>
    <w:p w14:paraId="7037E50F" w14:textId="77777777"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тежка замаяност или виене на свят;</w:t>
      </w:r>
    </w:p>
    <w:p w14:paraId="3C6A72DF" w14:textId="1B1E3083"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ускорен или неправилен сърдечен ритъм.</w:t>
      </w:r>
    </w:p>
    <w:p w14:paraId="4B302C2B" w14:textId="77777777" w:rsidR="003A7AE2" w:rsidRPr="003A7AE2" w:rsidRDefault="003A7AE2" w:rsidP="003A7AE2">
      <w:pPr>
        <w:spacing w:line="240" w:lineRule="auto"/>
        <w:rPr>
          <w:rFonts w:eastAsia="Times New Roman" w:cs="Arial"/>
          <w:color w:val="000000"/>
          <w:lang w:eastAsia="bg-BG"/>
        </w:rPr>
      </w:pPr>
    </w:p>
    <w:p w14:paraId="5AC599B8" w14:textId="10EC100B"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t>Някои от тези симптоми (напр. „задух”, „кашлица”) са неспецифични и биха могли да бъдат погрешно интерпретирани като по-често срещани или не толкова тежки събития (напр. инфекции на дихателните пътища).</w:t>
      </w:r>
    </w:p>
    <w:p w14:paraId="69A71756" w14:textId="77777777"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lastRenderedPageBreak/>
        <w:t>Други признаци на съдова оклузия могат да включват: внезапна болка, оток и леко посиняване на крайник.</w:t>
      </w:r>
    </w:p>
    <w:p w14:paraId="3D7155F1" w14:textId="77777777" w:rsidR="003A7AE2" w:rsidRPr="003A7AE2" w:rsidRDefault="003A7AE2" w:rsidP="003A7AE2">
      <w:pPr>
        <w:spacing w:line="240" w:lineRule="auto"/>
        <w:rPr>
          <w:rFonts w:eastAsia="Times New Roman" w:cs="Arial"/>
          <w:color w:val="000000"/>
          <w:lang w:eastAsia="bg-BG"/>
        </w:rPr>
      </w:pPr>
    </w:p>
    <w:p w14:paraId="4A3722DF" w14:textId="121B53FA"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t>Ако оклузията настъпи в окото, симптомите могат да варират от неболезнено замъгляване на зрението, което може да прогресира до загуба на зрение. Понякога загубата на зрение може да настъпи почти веднага.</w:t>
      </w:r>
    </w:p>
    <w:p w14:paraId="159422C5" w14:textId="77777777" w:rsidR="003A7AE2" w:rsidRPr="003A7AE2" w:rsidRDefault="003A7AE2" w:rsidP="003A7AE2">
      <w:pPr>
        <w:spacing w:line="240" w:lineRule="auto"/>
        <w:rPr>
          <w:rFonts w:eastAsia="Times New Roman" w:cs="Arial"/>
          <w:b/>
          <w:bCs/>
          <w:color w:val="000000"/>
          <w:lang w:eastAsia="bg-BG"/>
        </w:rPr>
      </w:pPr>
      <w:bookmarkStart w:id="2" w:name="bookmark2"/>
    </w:p>
    <w:p w14:paraId="40419CAE" w14:textId="3FFADA43" w:rsidR="003A7AE2" w:rsidRPr="003A7AE2" w:rsidRDefault="003A7AE2" w:rsidP="003A7AE2">
      <w:pPr>
        <w:spacing w:line="240" w:lineRule="auto"/>
        <w:rPr>
          <w:rFonts w:eastAsia="Times New Roman" w:cs="Arial"/>
          <w:sz w:val="28"/>
          <w:szCs w:val="28"/>
          <w:lang w:eastAsia="bg-BG"/>
        </w:rPr>
      </w:pPr>
      <w:r w:rsidRPr="003A7AE2">
        <w:rPr>
          <w:rFonts w:eastAsia="Times New Roman" w:cs="Arial"/>
          <w:b/>
          <w:bCs/>
          <w:color w:val="000000"/>
          <w:lang w:eastAsia="bg-BG"/>
        </w:rPr>
        <w:t>Риск от артериална тромбоемболия (АТЕ)</w:t>
      </w:r>
      <w:bookmarkEnd w:id="2"/>
    </w:p>
    <w:p w14:paraId="3024869E" w14:textId="77777777"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t>При епидемиологични проучвания е установена връзка между употребата на КХК и повишен риск от артериална тромбоемболия (инфаркт на миокарда) или от мозъчно-съдов инцидент (напр. преходна исхемична атака, инсулт). Артериалните тромбоемболични събития могат да бъдат фатални.</w:t>
      </w:r>
    </w:p>
    <w:p w14:paraId="6C016A9F" w14:textId="77777777" w:rsidR="003A7AE2" w:rsidRPr="003A7AE2" w:rsidRDefault="003A7AE2" w:rsidP="003A7AE2">
      <w:pPr>
        <w:spacing w:line="240" w:lineRule="auto"/>
        <w:rPr>
          <w:rFonts w:eastAsia="Times New Roman" w:cs="Arial"/>
          <w:b/>
          <w:bCs/>
          <w:color w:val="000000"/>
          <w:u w:val="single"/>
          <w:lang w:eastAsia="bg-BG"/>
        </w:rPr>
      </w:pPr>
      <w:bookmarkStart w:id="3" w:name="bookmark4"/>
    </w:p>
    <w:p w14:paraId="044D3936" w14:textId="6F069EA7" w:rsidR="003A7AE2" w:rsidRPr="003A7AE2" w:rsidRDefault="003A7AE2" w:rsidP="003A7AE2">
      <w:pPr>
        <w:spacing w:line="240" w:lineRule="auto"/>
        <w:rPr>
          <w:rFonts w:eastAsia="Times New Roman" w:cs="Arial"/>
          <w:sz w:val="28"/>
          <w:szCs w:val="28"/>
          <w:lang w:eastAsia="bg-BG"/>
        </w:rPr>
      </w:pPr>
      <w:r w:rsidRPr="003A7AE2">
        <w:rPr>
          <w:rFonts w:eastAsia="Times New Roman" w:cs="Arial"/>
          <w:b/>
          <w:bCs/>
          <w:color w:val="000000"/>
          <w:u w:val="single"/>
          <w:lang w:eastAsia="bg-BG"/>
        </w:rPr>
        <w:t>Рискови Фактори за АТЕ</w:t>
      </w:r>
      <w:bookmarkEnd w:id="3"/>
    </w:p>
    <w:p w14:paraId="21988FFB" w14:textId="77777777" w:rsidR="003A7AE2" w:rsidRPr="003A7AE2" w:rsidRDefault="003A7AE2" w:rsidP="003A7AE2">
      <w:pPr>
        <w:spacing w:line="240" w:lineRule="auto"/>
        <w:rPr>
          <w:rFonts w:eastAsia="Times New Roman" w:cs="Arial"/>
          <w:sz w:val="28"/>
          <w:szCs w:val="28"/>
          <w:lang w:eastAsia="bg-BG"/>
        </w:rPr>
      </w:pPr>
      <w:r w:rsidRPr="003A7AE2">
        <w:rPr>
          <w:rFonts w:eastAsia="Times New Roman" w:cs="Arial"/>
          <w:color w:val="000000"/>
          <w:lang w:eastAsia="bg-BG"/>
        </w:rPr>
        <w:t>Рискът от артериални тромбоемболични усложнения или от мозъчно-съдов инцидент при жени,</w:t>
      </w:r>
    </w:p>
    <w:p w14:paraId="597AE8FC" w14:textId="77777777" w:rsidR="003A7AE2" w:rsidRPr="003A7AE2" w:rsidRDefault="003A7AE2" w:rsidP="003A7AE2">
      <w:pPr>
        <w:rPr>
          <w:rFonts w:eastAsia="Times New Roman" w:cs="Arial"/>
          <w:sz w:val="28"/>
          <w:szCs w:val="28"/>
          <w:lang w:eastAsia="bg-BG"/>
        </w:rPr>
      </w:pPr>
      <w:r w:rsidRPr="003A7AE2">
        <w:rPr>
          <w:rFonts w:eastAsia="Times New Roman" w:cs="Arial"/>
          <w:color w:val="000000"/>
          <w:lang w:eastAsia="bg-BG"/>
        </w:rPr>
        <w:t>приемащи КХК, е увеличен при жените, които имат рискови фактори (вж. таблицата). Линдинет 20 е противопоказан, ако дадена жена има един сериозен или множество рискови</w:t>
      </w:r>
      <w:r w:rsidRPr="003A7AE2">
        <w:rPr>
          <w:rFonts w:eastAsia="Times New Roman" w:cs="Arial"/>
          <w:color w:val="000000"/>
          <w:lang w:val="en-US" w:eastAsia="bg-BG"/>
        </w:rPr>
        <w:t xml:space="preserve"> </w:t>
      </w:r>
      <w:r w:rsidRPr="003A7AE2">
        <w:rPr>
          <w:rFonts w:eastAsia="Times New Roman" w:cs="Arial"/>
          <w:color w:val="000000"/>
          <w:lang w:eastAsia="bg-BG"/>
        </w:rPr>
        <w:t>фактори за АТЕ, което я поставя във висок риск от артериална тромбоза (вж. точка 4.3). Ако дадена жена има повече от един рисков фактор, възможно е увеличението на риска да е по- голямо от сумата на индивидуалните фактори - в този случай трябва да се прецени общият риск за нея. Ако съотношението полза/риск се счита за отрицателно, КХК не трябва да се предписват (вж. точка 4.3).</w:t>
      </w:r>
    </w:p>
    <w:p w14:paraId="28650DC7" w14:textId="77777777" w:rsidR="003A7AE2" w:rsidRPr="003A7AE2" w:rsidRDefault="003A7AE2" w:rsidP="003A7AE2">
      <w:pPr>
        <w:rPr>
          <w:rFonts w:eastAsia="Times New Roman" w:cs="Arial"/>
          <w:b/>
          <w:bCs/>
          <w:color w:val="000000"/>
          <w:u w:val="single"/>
          <w:lang w:eastAsia="bg-BG"/>
        </w:rPr>
      </w:pPr>
    </w:p>
    <w:p w14:paraId="4A8D9810" w14:textId="7D9AF1D7" w:rsidR="003A7AE2" w:rsidRDefault="003A7AE2" w:rsidP="003A7AE2">
      <w:pPr>
        <w:rPr>
          <w:rFonts w:eastAsia="Times New Roman" w:cs="Arial"/>
          <w:b/>
          <w:bCs/>
          <w:color w:val="000000"/>
          <w:u w:val="single"/>
          <w:lang w:eastAsia="bg-BG"/>
        </w:rPr>
      </w:pPr>
      <w:r w:rsidRPr="003A7AE2">
        <w:rPr>
          <w:rFonts w:eastAsia="Times New Roman" w:cs="Arial"/>
          <w:b/>
          <w:bCs/>
          <w:color w:val="000000"/>
          <w:u w:val="single"/>
          <w:lang w:eastAsia="bg-BG"/>
        </w:rPr>
        <w:t>Таблица; Рискови фактори за АТЕ</w:t>
      </w:r>
    </w:p>
    <w:tbl>
      <w:tblPr>
        <w:tblStyle w:val="TableGrid"/>
        <w:tblW w:w="0" w:type="auto"/>
        <w:tblLook w:val="04A0" w:firstRow="1" w:lastRow="0" w:firstColumn="1" w:lastColumn="0" w:noHBand="0" w:noVBand="1"/>
      </w:tblPr>
      <w:tblGrid>
        <w:gridCol w:w="4662"/>
        <w:gridCol w:w="4688"/>
      </w:tblGrid>
      <w:tr w:rsidR="003A7AE2" w14:paraId="19174995" w14:textId="77777777" w:rsidTr="003A7AE2">
        <w:tc>
          <w:tcPr>
            <w:tcW w:w="4750" w:type="dxa"/>
          </w:tcPr>
          <w:p w14:paraId="002C4EBD" w14:textId="417E0CC5" w:rsidR="003A7AE2" w:rsidRPr="003A7AE2" w:rsidRDefault="003A7AE2" w:rsidP="003A7AE2">
            <w:pPr>
              <w:rPr>
                <w:rFonts w:eastAsia="Times New Roman" w:cs="Arial"/>
                <w:b/>
                <w:bCs/>
                <w:color w:val="000000"/>
                <w:u w:val="single"/>
                <w:lang w:eastAsia="bg-BG"/>
              </w:rPr>
            </w:pPr>
            <w:r w:rsidRPr="003A7AE2">
              <w:rPr>
                <w:b/>
                <w:bCs/>
              </w:rPr>
              <w:t>Рисков фактор</w:t>
            </w:r>
          </w:p>
        </w:tc>
        <w:tc>
          <w:tcPr>
            <w:tcW w:w="4750" w:type="dxa"/>
          </w:tcPr>
          <w:p w14:paraId="3ED5547E" w14:textId="1BBCC167" w:rsidR="003A7AE2" w:rsidRPr="003A7AE2" w:rsidRDefault="003A7AE2" w:rsidP="003A7AE2">
            <w:pPr>
              <w:rPr>
                <w:rFonts w:eastAsia="Times New Roman" w:cs="Arial"/>
                <w:b/>
                <w:bCs/>
                <w:color w:val="000000"/>
                <w:u w:val="single"/>
                <w:lang w:eastAsia="bg-BG"/>
              </w:rPr>
            </w:pPr>
            <w:r w:rsidRPr="003A7AE2">
              <w:rPr>
                <w:b/>
                <w:bCs/>
              </w:rPr>
              <w:t>Коментар</w:t>
            </w:r>
          </w:p>
        </w:tc>
      </w:tr>
      <w:tr w:rsidR="003A7AE2" w14:paraId="333037A5" w14:textId="77777777" w:rsidTr="003A7AE2">
        <w:tc>
          <w:tcPr>
            <w:tcW w:w="4750" w:type="dxa"/>
          </w:tcPr>
          <w:p w14:paraId="2D6E98E5" w14:textId="33544C1C" w:rsidR="003A7AE2" w:rsidRPr="003A7AE2" w:rsidRDefault="003A7AE2" w:rsidP="003A7AE2">
            <w:pPr>
              <w:rPr>
                <w:rFonts w:eastAsia="Times New Roman" w:cs="Arial"/>
                <w:b/>
                <w:bCs/>
                <w:color w:val="000000"/>
                <w:u w:val="single"/>
                <w:lang w:eastAsia="bg-BG"/>
              </w:rPr>
            </w:pPr>
            <w:r w:rsidRPr="003A7AE2">
              <w:t>Напредваща възраст.</w:t>
            </w:r>
          </w:p>
        </w:tc>
        <w:tc>
          <w:tcPr>
            <w:tcW w:w="4750" w:type="dxa"/>
          </w:tcPr>
          <w:p w14:paraId="06EC52C6" w14:textId="43F890C9" w:rsidR="003A7AE2" w:rsidRPr="003A7AE2" w:rsidRDefault="003A7AE2" w:rsidP="003A7AE2">
            <w:pPr>
              <w:rPr>
                <w:rFonts w:eastAsia="Times New Roman" w:cs="Arial"/>
                <w:b/>
                <w:bCs/>
                <w:color w:val="000000"/>
                <w:u w:val="single"/>
                <w:lang w:eastAsia="bg-BG"/>
              </w:rPr>
            </w:pPr>
            <w:r w:rsidRPr="003A7AE2">
              <w:t>Особено над 35 години</w:t>
            </w:r>
          </w:p>
        </w:tc>
      </w:tr>
      <w:tr w:rsidR="003A7AE2" w14:paraId="69D2D128" w14:textId="77777777" w:rsidTr="003A7AE2">
        <w:tc>
          <w:tcPr>
            <w:tcW w:w="4750" w:type="dxa"/>
          </w:tcPr>
          <w:p w14:paraId="5BD373E1" w14:textId="31D734DB" w:rsidR="003A7AE2" w:rsidRPr="003A7AE2" w:rsidRDefault="003A7AE2" w:rsidP="003A7AE2">
            <w:pPr>
              <w:rPr>
                <w:rFonts w:eastAsia="Times New Roman" w:cs="Arial"/>
                <w:b/>
                <w:bCs/>
                <w:color w:val="000000"/>
                <w:u w:val="single"/>
                <w:lang w:eastAsia="bg-BG"/>
              </w:rPr>
            </w:pPr>
            <w:r w:rsidRPr="003A7AE2">
              <w:t>Тютюнопушене.</w:t>
            </w:r>
          </w:p>
        </w:tc>
        <w:tc>
          <w:tcPr>
            <w:tcW w:w="4750" w:type="dxa"/>
          </w:tcPr>
          <w:p w14:paraId="5A116EC1" w14:textId="28137420" w:rsidR="003A7AE2" w:rsidRPr="003A7AE2" w:rsidRDefault="003A7AE2" w:rsidP="003A7AE2">
            <w:pPr>
              <w:rPr>
                <w:rFonts w:eastAsia="Times New Roman" w:cs="Arial"/>
                <w:b/>
                <w:bCs/>
                <w:color w:val="000000"/>
                <w:u w:val="single"/>
                <w:lang w:eastAsia="bg-BG"/>
              </w:rPr>
            </w:pPr>
            <w:r w:rsidRPr="003A7AE2">
              <w:t>Жените трябва да бъдат съветвани да не пушат, ако желаят да използват КХК. Жени над 35 години, които продължават да пушат, трябва настойчиво да бъдат съветвани да използват различен метод на контрацепция.</w:t>
            </w:r>
          </w:p>
        </w:tc>
      </w:tr>
      <w:tr w:rsidR="003A7AE2" w14:paraId="099A30C1" w14:textId="77777777" w:rsidTr="003A7AE2">
        <w:tc>
          <w:tcPr>
            <w:tcW w:w="4750" w:type="dxa"/>
          </w:tcPr>
          <w:p w14:paraId="57AECCB6" w14:textId="0D5ABCCE" w:rsidR="003A7AE2" w:rsidRPr="003A7AE2" w:rsidRDefault="003A7AE2" w:rsidP="003A7AE2">
            <w:pPr>
              <w:rPr>
                <w:rFonts w:eastAsia="Times New Roman" w:cs="Arial"/>
                <w:b/>
                <w:bCs/>
                <w:color w:val="000000"/>
                <w:u w:val="single"/>
                <w:lang w:eastAsia="bg-BG"/>
              </w:rPr>
            </w:pPr>
            <w:r w:rsidRPr="003A7AE2">
              <w:t>Хипертония</w:t>
            </w:r>
          </w:p>
        </w:tc>
        <w:tc>
          <w:tcPr>
            <w:tcW w:w="4750" w:type="dxa"/>
          </w:tcPr>
          <w:p w14:paraId="67F05282" w14:textId="77777777" w:rsidR="003A7AE2" w:rsidRPr="003A7AE2" w:rsidRDefault="003A7AE2" w:rsidP="003A7AE2">
            <w:pPr>
              <w:rPr>
                <w:rFonts w:eastAsia="Times New Roman" w:cs="Arial"/>
                <w:b/>
                <w:bCs/>
                <w:color w:val="000000"/>
                <w:u w:val="single"/>
                <w:lang w:eastAsia="bg-BG"/>
              </w:rPr>
            </w:pPr>
          </w:p>
        </w:tc>
      </w:tr>
      <w:tr w:rsidR="003A7AE2" w14:paraId="5FD20EDC" w14:textId="77777777" w:rsidTr="003A7AE2">
        <w:tc>
          <w:tcPr>
            <w:tcW w:w="4750" w:type="dxa"/>
          </w:tcPr>
          <w:p w14:paraId="7B4D0253" w14:textId="6D09E1C2" w:rsidR="003A7AE2" w:rsidRPr="003A7AE2" w:rsidRDefault="003A7AE2" w:rsidP="003A7AE2">
            <w:pPr>
              <w:rPr>
                <w:rFonts w:eastAsia="Times New Roman" w:cs="Arial"/>
                <w:b/>
                <w:bCs/>
                <w:color w:val="000000"/>
                <w:u w:val="single"/>
                <w:lang w:eastAsia="bg-BG"/>
              </w:rPr>
            </w:pPr>
            <w:r w:rsidRPr="003A7AE2">
              <w:t xml:space="preserve">Затлъстяване (индекс на телесна маса над 30 </w:t>
            </w:r>
            <w:r w:rsidRPr="003A7AE2">
              <w:rPr>
                <w:lang w:val="en-US"/>
              </w:rPr>
              <w:t>kg/m</w:t>
            </w:r>
            <w:r w:rsidRPr="003A7AE2">
              <w:rPr>
                <w:vertAlign w:val="superscript"/>
                <w:lang w:val="en-US"/>
              </w:rPr>
              <w:t>2</w:t>
            </w:r>
            <w:r w:rsidRPr="003A7AE2">
              <w:rPr>
                <w:lang w:val="en-US"/>
              </w:rPr>
              <w:t>).</w:t>
            </w:r>
          </w:p>
        </w:tc>
        <w:tc>
          <w:tcPr>
            <w:tcW w:w="4750" w:type="dxa"/>
          </w:tcPr>
          <w:p w14:paraId="2F26AEC9" w14:textId="77777777" w:rsidR="003A7AE2" w:rsidRPr="003A7AE2" w:rsidRDefault="003A7AE2" w:rsidP="003A7AE2">
            <w:r w:rsidRPr="003A7AE2">
              <w:t xml:space="preserve">Рискът значително се увеличава с повишаването на индекса на телесна маса </w:t>
            </w:r>
            <w:r w:rsidRPr="003A7AE2">
              <w:rPr>
                <w:lang w:val="en-US"/>
              </w:rPr>
              <w:t>(BMI).</w:t>
            </w:r>
          </w:p>
          <w:p w14:paraId="545F1C6B" w14:textId="7A0C30A7" w:rsidR="003A7AE2" w:rsidRPr="003A7AE2" w:rsidRDefault="003A7AE2" w:rsidP="003A7AE2">
            <w:pPr>
              <w:rPr>
                <w:rFonts w:eastAsia="Times New Roman" w:cs="Arial"/>
                <w:b/>
                <w:bCs/>
                <w:color w:val="000000"/>
                <w:u w:val="single"/>
                <w:lang w:eastAsia="bg-BG"/>
              </w:rPr>
            </w:pPr>
            <w:r w:rsidRPr="003A7AE2">
              <w:t>Особено важно при жени с допълнителни рискови фактори.</w:t>
            </w:r>
          </w:p>
        </w:tc>
      </w:tr>
      <w:tr w:rsidR="003A7AE2" w14:paraId="7F60558F" w14:textId="77777777" w:rsidTr="003A7AE2">
        <w:tc>
          <w:tcPr>
            <w:tcW w:w="4750" w:type="dxa"/>
          </w:tcPr>
          <w:p w14:paraId="1890ED88" w14:textId="40B37C7D" w:rsidR="003A7AE2" w:rsidRPr="003A7AE2" w:rsidRDefault="003A7AE2" w:rsidP="003A7AE2">
            <w:pPr>
              <w:rPr>
                <w:rFonts w:eastAsia="Times New Roman" w:cs="Arial"/>
                <w:b/>
                <w:bCs/>
                <w:color w:val="000000"/>
                <w:u w:val="single"/>
                <w:lang w:eastAsia="bg-BG"/>
              </w:rPr>
            </w:pPr>
            <w:r w:rsidRPr="003A7AE2">
              <w:t>Наличие на фамилна анамнеза (артериална тромбоемболия при брат/сестра или родител, особено в сравнително млада възраст, напр. под 50 години).</w:t>
            </w:r>
          </w:p>
        </w:tc>
        <w:tc>
          <w:tcPr>
            <w:tcW w:w="4750" w:type="dxa"/>
          </w:tcPr>
          <w:p w14:paraId="0AF54B8F" w14:textId="40BBB122" w:rsidR="003A7AE2" w:rsidRPr="003A7AE2" w:rsidRDefault="003A7AE2" w:rsidP="003A7AE2">
            <w:pPr>
              <w:rPr>
                <w:rFonts w:eastAsia="Times New Roman" w:cs="Arial"/>
                <w:b/>
                <w:bCs/>
                <w:color w:val="000000"/>
                <w:u w:val="single"/>
                <w:lang w:eastAsia="bg-BG"/>
              </w:rPr>
            </w:pPr>
            <w:r w:rsidRPr="003A7AE2">
              <w:t>Ако има съмнение за наследствено предразположение, жената трябва да се насочи за консултация със специалист, преди да реши дали да използва КХК.</w:t>
            </w:r>
          </w:p>
        </w:tc>
      </w:tr>
      <w:tr w:rsidR="003A7AE2" w14:paraId="5604B833" w14:textId="77777777" w:rsidTr="003A7AE2">
        <w:tc>
          <w:tcPr>
            <w:tcW w:w="4750" w:type="dxa"/>
          </w:tcPr>
          <w:p w14:paraId="2DBF3A06" w14:textId="7B874A80" w:rsidR="003A7AE2" w:rsidRPr="003A7AE2" w:rsidRDefault="003A7AE2" w:rsidP="003A7AE2">
            <w:pPr>
              <w:rPr>
                <w:rFonts w:eastAsia="Times New Roman" w:cs="Arial"/>
                <w:b/>
                <w:bCs/>
                <w:color w:val="000000"/>
                <w:u w:val="single"/>
                <w:lang w:eastAsia="bg-BG"/>
              </w:rPr>
            </w:pPr>
            <w:r w:rsidRPr="003A7AE2">
              <w:t>Мигрена.</w:t>
            </w:r>
          </w:p>
        </w:tc>
        <w:tc>
          <w:tcPr>
            <w:tcW w:w="4750" w:type="dxa"/>
          </w:tcPr>
          <w:p w14:paraId="1C21C163" w14:textId="104218F3" w:rsidR="003A7AE2" w:rsidRPr="003A7AE2" w:rsidRDefault="003A7AE2" w:rsidP="003A7AE2">
            <w:pPr>
              <w:rPr>
                <w:rFonts w:eastAsia="Times New Roman" w:cs="Arial"/>
                <w:b/>
                <w:bCs/>
                <w:color w:val="000000"/>
                <w:u w:val="single"/>
                <w:lang w:eastAsia="bg-BG"/>
              </w:rPr>
            </w:pPr>
            <w:r w:rsidRPr="003A7AE2">
              <w:t xml:space="preserve">Увеличаването на честотата или тежестта на мигренозните пристъпи по време на приемане на КХК (което може да е продромално състояние на мозъчно-съдов </w:t>
            </w:r>
            <w:r w:rsidRPr="003A7AE2">
              <w:lastRenderedPageBreak/>
              <w:t>инцидент) може да стане причина за незабавно прекратяване на приема.</w:t>
            </w:r>
          </w:p>
        </w:tc>
      </w:tr>
      <w:tr w:rsidR="003A7AE2" w14:paraId="2F1603DD" w14:textId="77777777" w:rsidTr="003A7AE2">
        <w:tc>
          <w:tcPr>
            <w:tcW w:w="4750" w:type="dxa"/>
          </w:tcPr>
          <w:p w14:paraId="0E1B5013" w14:textId="52C3CCE9" w:rsidR="003A7AE2" w:rsidRPr="003A7AE2" w:rsidRDefault="003A7AE2" w:rsidP="003A7AE2">
            <w:pPr>
              <w:rPr>
                <w:rFonts w:eastAsia="Times New Roman" w:cs="Arial"/>
                <w:b/>
                <w:bCs/>
                <w:color w:val="000000"/>
                <w:u w:val="single"/>
                <w:lang w:eastAsia="bg-BG"/>
              </w:rPr>
            </w:pPr>
            <w:r w:rsidRPr="003A7AE2">
              <w:lastRenderedPageBreak/>
              <w:t>Други заболявания, свързани с нежелани съдови събития.</w:t>
            </w:r>
          </w:p>
        </w:tc>
        <w:tc>
          <w:tcPr>
            <w:tcW w:w="4750" w:type="dxa"/>
          </w:tcPr>
          <w:p w14:paraId="48DBB0AF" w14:textId="3C98EE0C" w:rsidR="003A7AE2" w:rsidRPr="003A7AE2" w:rsidRDefault="003A7AE2" w:rsidP="003A7AE2">
            <w:pPr>
              <w:rPr>
                <w:rFonts w:eastAsia="Times New Roman" w:cs="Arial"/>
                <w:b/>
                <w:bCs/>
                <w:color w:val="000000"/>
                <w:u w:val="single"/>
                <w:lang w:eastAsia="bg-BG"/>
              </w:rPr>
            </w:pPr>
            <w:r w:rsidRPr="003A7AE2">
              <w:t>Захарен диабет, хиперхомоцистеинемия, клапно сърдечно заболяване и предсърдно мъждене, дислипопротеинемия, системен лупус еритематодес.</w:t>
            </w:r>
          </w:p>
        </w:tc>
      </w:tr>
    </w:tbl>
    <w:p w14:paraId="3C3CC8D4" w14:textId="6AC30540" w:rsidR="003A7AE2" w:rsidRDefault="003A7AE2" w:rsidP="003A7AE2">
      <w:pPr>
        <w:rPr>
          <w:rFonts w:eastAsia="Times New Roman" w:cs="Arial"/>
          <w:b/>
          <w:bCs/>
          <w:color w:val="000000"/>
          <w:u w:val="single"/>
          <w:lang w:eastAsia="bg-BG"/>
        </w:rPr>
      </w:pPr>
    </w:p>
    <w:p w14:paraId="289144C5" w14:textId="77777777" w:rsidR="003A7AE2" w:rsidRPr="003A7AE2" w:rsidRDefault="003A7AE2" w:rsidP="003A7AE2">
      <w:pPr>
        <w:spacing w:line="240" w:lineRule="auto"/>
        <w:rPr>
          <w:rFonts w:eastAsia="Times New Roman" w:cs="Arial"/>
          <w:lang w:eastAsia="bg-BG"/>
        </w:rPr>
      </w:pPr>
      <w:r w:rsidRPr="003A7AE2">
        <w:rPr>
          <w:rFonts w:eastAsia="Times New Roman" w:cs="Arial"/>
          <w:b/>
          <w:bCs/>
          <w:color w:val="000000"/>
          <w:u w:val="single"/>
          <w:lang w:eastAsia="bg-BG"/>
        </w:rPr>
        <w:t>Симптоми на АТЕ</w:t>
      </w:r>
    </w:p>
    <w:p w14:paraId="68080577" w14:textId="77777777"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В случай на симптоми, жените трябва да бъдат посъветвани да потърсят спешна медицинска помощ и да информират медицинския специалист, че приемат КХК.</w:t>
      </w:r>
    </w:p>
    <w:p w14:paraId="16C6A683" w14:textId="77777777"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Симптомите на мозъчно-съдов инцидент могат да включват:</w:t>
      </w:r>
    </w:p>
    <w:p w14:paraId="0E1A5212" w14:textId="77777777"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внезапно изтръпване или слабост на лицето, ръцете или краката, особено от едната страна на тялото;</w:t>
      </w:r>
    </w:p>
    <w:p w14:paraId="17E48FE4" w14:textId="77777777"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внезапно затруднение при ходене, замаяност, загуба на равновесие или координация;</w:t>
      </w:r>
    </w:p>
    <w:p w14:paraId="747FB994" w14:textId="77777777"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внезапна обърканост, затруднен говор или затруднено разбиране;</w:t>
      </w:r>
    </w:p>
    <w:p w14:paraId="0440B8E1" w14:textId="77777777"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внезапно затруднено виждане с едното или и с двете очи;</w:t>
      </w:r>
    </w:p>
    <w:p w14:paraId="5BB696D8" w14:textId="77777777"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внезапно, тежко или продължително главоболие без известна причина;</w:t>
      </w:r>
    </w:p>
    <w:p w14:paraId="3333393E" w14:textId="5FA518D5"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загуба на съзнание или припадък със или без гърч.</w:t>
      </w:r>
    </w:p>
    <w:p w14:paraId="4F27C295" w14:textId="77777777"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Преходните симптоми предполагат, че събитието е преходна исхемична атака (ПИА).</w:t>
      </w:r>
    </w:p>
    <w:p w14:paraId="6968AC72" w14:textId="77777777" w:rsidR="003A7AE2" w:rsidRPr="003A7AE2" w:rsidRDefault="003A7AE2" w:rsidP="003A7AE2">
      <w:pPr>
        <w:spacing w:line="240" w:lineRule="auto"/>
        <w:rPr>
          <w:rFonts w:eastAsia="Times New Roman" w:cs="Arial"/>
          <w:color w:val="000000"/>
          <w:lang w:eastAsia="bg-BG"/>
        </w:rPr>
      </w:pPr>
    </w:p>
    <w:p w14:paraId="4360BDC6" w14:textId="06C5B2CA"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Симптомите на инфаркт на миокарда (ИМ) могат да включват:</w:t>
      </w:r>
    </w:p>
    <w:p w14:paraId="5DB5388E" w14:textId="77777777"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болка, дискомфорт, напрежение, тежест, усещане за тежест или стягане в гърдите, ръката или под гръдната кост;</w:t>
      </w:r>
    </w:p>
    <w:p w14:paraId="013959C9" w14:textId="77777777"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дискомфорт, разпространяващ се към гърба, челюстта, гърлото, ръката,</w:t>
      </w:r>
      <w:r w:rsidRPr="003A7AE2">
        <w:rPr>
          <w:rFonts w:eastAsia="Times New Roman" w:cs="Arial"/>
          <w:color w:val="000000"/>
          <w:lang w:val="en-US"/>
        </w:rPr>
        <w:t xml:space="preserve"> </w:t>
      </w:r>
      <w:r w:rsidRPr="003A7AE2">
        <w:rPr>
          <w:rFonts w:eastAsia="Times New Roman" w:cs="Arial"/>
          <w:color w:val="000000"/>
          <w:lang w:eastAsia="bg-BG"/>
        </w:rPr>
        <w:t>стомаха</w:t>
      </w:r>
    </w:p>
    <w:p w14:paraId="71AD30A2" w14:textId="77777777"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усещане за ситост, наличие на лошо храносмилане или задавяне;</w:t>
      </w:r>
    </w:p>
    <w:p w14:paraId="1ED94DB3" w14:textId="77777777"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изпотяване, гадене, повръщане или замаяност;</w:t>
      </w:r>
    </w:p>
    <w:p w14:paraId="062A6788" w14:textId="77777777"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прекомерна слабост, безпокойство или задух;</w:t>
      </w:r>
    </w:p>
    <w:p w14:paraId="15311C28" w14:textId="565496CF" w:rsidR="003A7AE2" w:rsidRPr="003A7AE2" w:rsidRDefault="003A7AE2" w:rsidP="003A7AE2">
      <w:pPr>
        <w:pStyle w:val="ListParagraph"/>
        <w:numPr>
          <w:ilvl w:val="0"/>
          <w:numId w:val="2"/>
        </w:numPr>
        <w:spacing w:line="240" w:lineRule="auto"/>
        <w:rPr>
          <w:rFonts w:eastAsia="Times New Roman" w:cs="Arial"/>
          <w:color w:val="000000"/>
          <w:lang w:eastAsia="bg-BG"/>
        </w:rPr>
      </w:pPr>
      <w:r w:rsidRPr="003A7AE2">
        <w:rPr>
          <w:rFonts w:eastAsia="Times New Roman" w:cs="Arial"/>
          <w:color w:val="000000"/>
          <w:lang w:eastAsia="bg-BG"/>
        </w:rPr>
        <w:t>ускорен или неправилен сърдечен ритъм.</w:t>
      </w:r>
    </w:p>
    <w:p w14:paraId="1B58D1CB" w14:textId="39752A6B" w:rsidR="003A7AE2" w:rsidRPr="003A7AE2" w:rsidRDefault="003A7AE2" w:rsidP="003A7AE2">
      <w:pPr>
        <w:rPr>
          <w:rFonts w:eastAsia="Times New Roman" w:cs="Arial"/>
          <w:b/>
          <w:bCs/>
          <w:color w:val="000000"/>
          <w:u w:val="single"/>
          <w:lang w:eastAsia="bg-BG"/>
        </w:rPr>
      </w:pPr>
    </w:p>
    <w:p w14:paraId="2D35CC58" w14:textId="77777777"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 xml:space="preserve">Биохимичните фактори показващи наследствена или придобита предразположеност за развитие на венозна или артериална тромбоза, включват резистентност към активиран протеин С </w:t>
      </w:r>
      <w:r w:rsidRPr="003A7AE2">
        <w:rPr>
          <w:rFonts w:eastAsia="Times New Roman" w:cs="Arial"/>
          <w:color w:val="000000"/>
          <w:lang w:val="en-US"/>
        </w:rPr>
        <w:t xml:space="preserve">(R- </w:t>
      </w:r>
      <w:r w:rsidRPr="003A7AE2">
        <w:rPr>
          <w:rFonts w:eastAsia="Times New Roman" w:cs="Arial"/>
          <w:color w:val="000000"/>
          <w:lang w:eastAsia="bg-BG"/>
        </w:rPr>
        <w:t xml:space="preserve">аРС), хиперхомоцистеинемия, дефицит на антитромбин </w:t>
      </w:r>
      <w:r w:rsidRPr="003A7AE2">
        <w:rPr>
          <w:rFonts w:eastAsia="Times New Roman" w:cs="Arial"/>
          <w:color w:val="000000"/>
          <w:lang w:val="en-US"/>
        </w:rPr>
        <w:t>III</w:t>
      </w:r>
      <w:r w:rsidRPr="003A7AE2">
        <w:rPr>
          <w:rFonts w:eastAsia="Times New Roman" w:cs="Arial"/>
          <w:color w:val="000000"/>
          <w:lang w:eastAsia="bg-BG"/>
        </w:rPr>
        <w:t xml:space="preserve">, дефицит на протеин С, дефицит на протеин </w:t>
      </w:r>
      <w:r w:rsidRPr="003A7AE2">
        <w:rPr>
          <w:rFonts w:eastAsia="Times New Roman" w:cs="Arial"/>
          <w:color w:val="000000"/>
          <w:lang w:val="en-US"/>
        </w:rPr>
        <w:t xml:space="preserve">S, </w:t>
      </w:r>
      <w:r w:rsidRPr="003A7AE2">
        <w:rPr>
          <w:rFonts w:eastAsia="Times New Roman" w:cs="Arial"/>
          <w:color w:val="000000"/>
          <w:lang w:eastAsia="bg-BG"/>
        </w:rPr>
        <w:t>наличие на антифосфолипидни антитела (антикардиолипинови антитела, лупусен антикоагулант) и дислипопротеинемия.</w:t>
      </w:r>
    </w:p>
    <w:p w14:paraId="1B2BC53D" w14:textId="77777777" w:rsidR="003A7AE2" w:rsidRPr="003A7AE2" w:rsidRDefault="003A7AE2" w:rsidP="003A7AE2">
      <w:pPr>
        <w:spacing w:line="240" w:lineRule="auto"/>
        <w:rPr>
          <w:rFonts w:eastAsia="Times New Roman" w:cs="Arial"/>
          <w:color w:val="000000"/>
          <w:lang w:eastAsia="bg-BG"/>
        </w:rPr>
      </w:pPr>
    </w:p>
    <w:p w14:paraId="03ED175A" w14:textId="33609473"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 xml:space="preserve">2. </w:t>
      </w:r>
      <w:r w:rsidRPr="003A7AE2">
        <w:rPr>
          <w:rFonts w:eastAsia="Times New Roman" w:cs="Arial"/>
          <w:i/>
          <w:iCs/>
          <w:color w:val="000000"/>
          <w:u w:val="single"/>
          <w:lang w:eastAsia="bg-BG"/>
        </w:rPr>
        <w:t>Тумори</w:t>
      </w:r>
    </w:p>
    <w:p w14:paraId="52FD8DAB" w14:textId="77777777" w:rsidR="003A7AE2" w:rsidRPr="003A7AE2" w:rsidRDefault="003A7AE2" w:rsidP="003A7AE2">
      <w:pPr>
        <w:spacing w:line="240" w:lineRule="auto"/>
        <w:rPr>
          <w:rFonts w:eastAsia="Times New Roman" w:cs="Arial"/>
          <w:color w:val="000000"/>
          <w:lang w:eastAsia="bg-BG"/>
        </w:rPr>
      </w:pPr>
    </w:p>
    <w:p w14:paraId="39A580D5" w14:textId="793A773E"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Най-важният рисков фактор за развитие на рак на шийката иа матката е персистираща инфекция с човешки папиломен вирус (ЧПВ). Резултатите от някои епидемиологични проучвания показват, че дългосрочната употреба на КПК може да повиши допълнително този риск, но продължава да съществува спор относно степента, до която тези данни би могло да се дължат на смесените ефекти на други фактори, напр. цервикален скрининг и сексуално поведение, в това число употреба на бариерни контрацептиви.</w:t>
      </w:r>
    </w:p>
    <w:p w14:paraId="3B8D9632" w14:textId="77777777" w:rsidR="003A7AE2" w:rsidRPr="003A7AE2" w:rsidRDefault="003A7AE2" w:rsidP="003A7AE2">
      <w:pPr>
        <w:spacing w:line="240" w:lineRule="auto"/>
        <w:rPr>
          <w:rFonts w:eastAsia="Times New Roman" w:cs="Arial"/>
          <w:color w:val="000000"/>
          <w:lang w:eastAsia="bg-BG"/>
        </w:rPr>
      </w:pPr>
    </w:p>
    <w:p w14:paraId="1D4C3A81" w14:textId="6430B49B"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lastRenderedPageBreak/>
        <w:t xml:space="preserve">Мета-анализ на 54 епидемиологични проучвания показва, че при жени, употребяващи комбинирани перорални контрацептиви се набюдава слабо повишен относителен риск </w:t>
      </w:r>
      <w:r w:rsidRPr="003A7AE2">
        <w:rPr>
          <w:rFonts w:eastAsia="Times New Roman" w:cs="Arial"/>
          <w:color w:val="000000"/>
          <w:lang w:val="en-US"/>
        </w:rPr>
        <w:t xml:space="preserve">(RR=1.24) </w:t>
      </w:r>
      <w:r w:rsidRPr="003A7AE2">
        <w:rPr>
          <w:rFonts w:eastAsia="Times New Roman" w:cs="Arial"/>
          <w:color w:val="000000"/>
          <w:lang w:eastAsia="bg-BG"/>
        </w:rPr>
        <w:t>за развитие на рак на гърдата. Повишеният риск постепенно намалява през последващите 10 години след преустановяване на употребата на КХК. Тъй като ракът на гърдата се среща рядко при жени под 40-годишна възраст, повишението на броя на диагностицирани случаи на рак на гърдата при жени, които в момента употребяват или които са употребявали КХК, е малко в сравнение с риска за развитие на рак на гърдата по време на целия техен живот. Тези проучвания не предоставят доказателства за причинно-следствена връзка.</w:t>
      </w:r>
    </w:p>
    <w:p w14:paraId="2841CEDE" w14:textId="77777777" w:rsidR="003A7AE2" w:rsidRPr="003A7AE2" w:rsidRDefault="003A7AE2" w:rsidP="003A7AE2">
      <w:pPr>
        <w:spacing w:line="240" w:lineRule="auto"/>
        <w:rPr>
          <w:rFonts w:eastAsia="Times New Roman" w:cs="Arial"/>
          <w:color w:val="000000"/>
          <w:lang w:eastAsia="bg-BG"/>
        </w:rPr>
      </w:pPr>
    </w:p>
    <w:p w14:paraId="106D3983" w14:textId="41C7C79E"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Наблюдаваните случаи на повишен риск може да се дължат на по-ранното диагностициране на рака на гърдата при жени, използващи КХК, на биологичните ефекти на КХК или на комбинация от двете,</w:t>
      </w:r>
    </w:p>
    <w:p w14:paraId="33DC0AB1" w14:textId="77777777" w:rsidR="003A7AE2" w:rsidRPr="003A7AE2" w:rsidRDefault="003A7AE2" w:rsidP="003A7AE2">
      <w:pPr>
        <w:spacing w:line="240" w:lineRule="auto"/>
        <w:rPr>
          <w:rFonts w:eastAsia="Times New Roman" w:cs="Arial"/>
          <w:color w:val="000000"/>
          <w:lang w:eastAsia="bg-BG"/>
        </w:rPr>
      </w:pPr>
    </w:p>
    <w:p w14:paraId="4944177A" w14:textId="7FA9E5A6"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Ракът на гърдата при жени, които в момента приемат контрацептиви, обикновено се диагностицира в по-малко напреднал клиничен стадий в сравнение с жени, които никога не са приемали комбинирани перорални контрацептиви.</w:t>
      </w:r>
    </w:p>
    <w:p w14:paraId="6D81A1E4" w14:textId="77777777" w:rsidR="003A7AE2" w:rsidRPr="003A7AE2" w:rsidRDefault="003A7AE2" w:rsidP="003A7AE2">
      <w:pPr>
        <w:spacing w:line="240" w:lineRule="auto"/>
        <w:rPr>
          <w:rFonts w:eastAsia="Times New Roman" w:cs="Arial"/>
          <w:color w:val="000000"/>
          <w:lang w:eastAsia="bg-BG"/>
        </w:rPr>
      </w:pPr>
    </w:p>
    <w:p w14:paraId="544588B3" w14:textId="1B92E5AB"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Съобщава се за редки случаи на доброкачествени и още по-редки случаи на злокачествени заболявания на черния дроб, довели до изолирани животозастрашаващи интраабдоминални кръвоизливи след употреба на КПК. Злокачествените заболявания на черния дроб трябва да се имат предвид в диференциалната диагноза при поява на остра болка в горната част на корема, увеличен черен дроб или признаци за интраабдоминален кръвоизлив.</w:t>
      </w:r>
    </w:p>
    <w:p w14:paraId="481D5954" w14:textId="77777777" w:rsidR="003A7AE2" w:rsidRPr="003A7AE2" w:rsidRDefault="003A7AE2" w:rsidP="003A7AE2">
      <w:pPr>
        <w:spacing w:line="240" w:lineRule="auto"/>
        <w:rPr>
          <w:rFonts w:eastAsia="Times New Roman" w:cs="Arial"/>
          <w:color w:val="000000"/>
          <w:lang w:eastAsia="bg-BG"/>
        </w:rPr>
      </w:pPr>
    </w:p>
    <w:p w14:paraId="0A9A0BA7" w14:textId="6C049EF2" w:rsidR="003A7AE2" w:rsidRPr="003A7AE2" w:rsidRDefault="003A7AE2" w:rsidP="003A7AE2">
      <w:pPr>
        <w:spacing w:line="240" w:lineRule="auto"/>
        <w:rPr>
          <w:rFonts w:eastAsia="Times New Roman" w:cs="Arial"/>
          <w:lang w:eastAsia="bg-BG"/>
        </w:rPr>
      </w:pPr>
      <w:r w:rsidRPr="003A7AE2">
        <w:rPr>
          <w:rFonts w:eastAsia="Times New Roman" w:cs="Arial"/>
          <w:color w:val="000000"/>
          <w:lang w:val="en-US" w:eastAsia="bg-BG"/>
        </w:rPr>
        <w:t>3</w:t>
      </w:r>
      <w:r w:rsidRPr="003A7AE2">
        <w:rPr>
          <w:rFonts w:eastAsia="Times New Roman" w:cs="Arial"/>
          <w:color w:val="000000"/>
          <w:lang w:eastAsia="bg-BG"/>
        </w:rPr>
        <w:t>. Др</w:t>
      </w:r>
      <w:r w:rsidRPr="003A7AE2">
        <w:rPr>
          <w:rFonts w:eastAsia="Times New Roman" w:cs="Arial"/>
          <w:i/>
          <w:iCs/>
          <w:color w:val="000000"/>
          <w:u w:val="single"/>
          <w:lang w:eastAsia="bg-BG"/>
        </w:rPr>
        <w:t>уги състояния</w:t>
      </w:r>
    </w:p>
    <w:p w14:paraId="68FA79C6" w14:textId="77777777" w:rsidR="003A7AE2" w:rsidRPr="003A7AE2" w:rsidRDefault="003A7AE2" w:rsidP="003A7AE2">
      <w:pPr>
        <w:spacing w:line="240" w:lineRule="auto"/>
        <w:rPr>
          <w:rFonts w:eastAsia="Times New Roman" w:cs="Arial"/>
          <w:color w:val="000000"/>
          <w:lang w:eastAsia="bg-BG"/>
        </w:rPr>
      </w:pPr>
    </w:p>
    <w:p w14:paraId="52BDCA3A" w14:textId="28F8B9BE"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Добре известни нежелани реакции при употребата на хормонални контрацептиви са депресивно настроение и депресия (вж. точка 4.8). Депресията може да бъде сериозна и е добре известен рисков фактор за суицидно поведение и самоубийство. Жените трябва да бъдат съветвани да се свържат с лекаря си в случай на промени в настроението и депресивни симптоми, включително и скоро след започване на лечението.</w:t>
      </w:r>
    </w:p>
    <w:p w14:paraId="5603F4A0" w14:textId="77777777"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Жени с анамнеза за депресия, употребяващи комбинирани перорални контрацептиви, трябва да бъдат стриктно наблюдавани и при повторна поява на сериозна степен на депресия, употребата на лекарствения продукт трябва да бъде прекратена.</w:t>
      </w:r>
    </w:p>
    <w:p w14:paraId="70CC8AFE" w14:textId="77777777"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Пациентки, изпаднали в тежка депресия по време на употреба на перорални контрацептиви трябва да преустановят приема и да използват алтернативен контрацептивен метод да установяване дали симптомите се дължат на лекарствения продукт.</w:t>
      </w:r>
    </w:p>
    <w:p w14:paraId="3AD479E2" w14:textId="77777777" w:rsidR="003A7AE2" w:rsidRPr="003A7AE2" w:rsidRDefault="003A7AE2" w:rsidP="003A7AE2">
      <w:pPr>
        <w:spacing w:line="240" w:lineRule="auto"/>
        <w:rPr>
          <w:rFonts w:eastAsia="Times New Roman" w:cs="Arial"/>
          <w:color w:val="000000"/>
          <w:lang w:eastAsia="bg-BG"/>
        </w:rPr>
      </w:pPr>
    </w:p>
    <w:p w14:paraId="71FD2F8D" w14:textId="41782FF4"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Жени с хипертриглицеридемия или с фамилна обремененост за това състояние могат да бъдат с повишен риск за развитие на панкреатит, при употреба на КПК.</w:t>
      </w:r>
    </w:p>
    <w:p w14:paraId="658BDBB2" w14:textId="77777777" w:rsidR="003A7AE2" w:rsidRPr="003A7AE2" w:rsidRDefault="003A7AE2" w:rsidP="003A7AE2">
      <w:pPr>
        <w:rPr>
          <w:rFonts w:eastAsia="Times New Roman" w:cs="Arial"/>
          <w:color w:val="000000"/>
          <w:lang w:eastAsia="bg-BG"/>
        </w:rPr>
      </w:pPr>
    </w:p>
    <w:p w14:paraId="5EE92442" w14:textId="0454AF91" w:rsidR="003A7AE2" w:rsidRPr="003A7AE2" w:rsidRDefault="003A7AE2" w:rsidP="003A7AE2">
      <w:pPr>
        <w:rPr>
          <w:rFonts w:eastAsia="Times New Roman" w:cs="Arial"/>
          <w:color w:val="000000"/>
          <w:lang w:eastAsia="bg-BG"/>
        </w:rPr>
      </w:pPr>
      <w:r w:rsidRPr="003A7AE2">
        <w:rPr>
          <w:rFonts w:eastAsia="Times New Roman" w:cs="Arial"/>
          <w:color w:val="000000"/>
          <w:lang w:eastAsia="bg-BG"/>
        </w:rPr>
        <w:t>Жени с хиперлипидемия трябва да бъдат стриктно наблюдавани, ако изберат да използват КХК.</w:t>
      </w:r>
    </w:p>
    <w:p w14:paraId="3FE006B2" w14:textId="106DBD46" w:rsidR="003A7AE2" w:rsidRPr="003A7AE2" w:rsidRDefault="003A7AE2" w:rsidP="003A7AE2">
      <w:pPr>
        <w:rPr>
          <w:rFonts w:eastAsia="Times New Roman" w:cs="Arial"/>
          <w:color w:val="000000"/>
          <w:lang w:eastAsia="bg-BG"/>
        </w:rPr>
      </w:pPr>
    </w:p>
    <w:p w14:paraId="78993446" w14:textId="77777777"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 xml:space="preserve">Въпреки че при голяма част от жените, приемащи КПК, се съобщава за леко повишение на стойностите на артериалното налягане, случаите на клинично значимо повишение са редки. Ако по време на употребата на комбинирана перорална контрацепция при съществуваща хипертония, трайно повишеното артериално налягане или значимо </w:t>
      </w:r>
      <w:r w:rsidRPr="003A7AE2">
        <w:rPr>
          <w:rFonts w:eastAsia="Times New Roman" w:cs="Arial"/>
          <w:color w:val="000000"/>
          <w:lang w:eastAsia="bg-BG"/>
        </w:rPr>
        <w:lastRenderedPageBreak/>
        <w:t>повишение на налягането не се повлияват адекватно от антихипертензивна терапия, приемът на КПК трябва да се преустанови и да бъде започнато лечение на хипертонията. Ако е уместно, употребата на КПК може да бъде възобновена при достигане на нормотензивни стойности в резултат на проведената антихипертензивна терапия.</w:t>
      </w:r>
    </w:p>
    <w:p w14:paraId="490E6418" w14:textId="77777777" w:rsidR="003A7AE2" w:rsidRPr="003A7AE2" w:rsidRDefault="003A7AE2" w:rsidP="003A7AE2">
      <w:pPr>
        <w:spacing w:line="240" w:lineRule="auto"/>
        <w:rPr>
          <w:rFonts w:eastAsia="Times New Roman" w:cs="Arial"/>
          <w:color w:val="000000"/>
          <w:lang w:eastAsia="bg-BG"/>
        </w:rPr>
      </w:pPr>
    </w:p>
    <w:p w14:paraId="28774B3B" w14:textId="385FAA20"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Има съобщения за поява или влошаване на следните състояния, както по време на бременност така и при употреба на КПК, но няма убедителни доказателствата за връзка с употребата на КПК: жълтеница и/или пруритус, дължащи се на холестаза; образуване на камъни в жлъчния мехур; порфирия; системен лупус еритематодес; хемолитично-уремичен синдром; хорея на Сиденхам; гестационен херпес; загуба на слух, дължаща се на отосклероза.</w:t>
      </w:r>
    </w:p>
    <w:p w14:paraId="76EF0739" w14:textId="77777777" w:rsidR="003A7AE2" w:rsidRPr="003A7AE2" w:rsidRDefault="003A7AE2" w:rsidP="003A7AE2">
      <w:pPr>
        <w:spacing w:line="240" w:lineRule="auto"/>
        <w:rPr>
          <w:rFonts w:eastAsia="Times New Roman" w:cs="Arial"/>
          <w:color w:val="000000"/>
          <w:lang w:eastAsia="bg-BG"/>
        </w:rPr>
      </w:pPr>
    </w:p>
    <w:p w14:paraId="038DDC32" w14:textId="4822B7B9"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Екзогенните естрогени могат да предизвикат поява на наследствен или придобит ангиоедем или да влошат неговите симптоми.</w:t>
      </w:r>
    </w:p>
    <w:p w14:paraId="38D1CC52" w14:textId="77777777" w:rsidR="003A7AE2" w:rsidRPr="003A7AE2" w:rsidRDefault="003A7AE2" w:rsidP="003A7AE2">
      <w:pPr>
        <w:spacing w:line="240" w:lineRule="auto"/>
        <w:rPr>
          <w:rFonts w:eastAsia="Times New Roman" w:cs="Arial"/>
          <w:color w:val="000000"/>
          <w:lang w:eastAsia="bg-BG"/>
        </w:rPr>
      </w:pPr>
    </w:p>
    <w:p w14:paraId="62BF75CE" w14:textId="77777777" w:rsidR="003A7AE2" w:rsidRPr="003A7AE2" w:rsidRDefault="003A7AE2" w:rsidP="003A7AE2">
      <w:pPr>
        <w:spacing w:line="240" w:lineRule="auto"/>
        <w:rPr>
          <w:rFonts w:eastAsia="Times New Roman" w:cs="Arial"/>
          <w:color w:val="000000"/>
          <w:lang w:eastAsia="bg-BG"/>
        </w:rPr>
      </w:pPr>
      <w:r w:rsidRPr="003A7AE2">
        <w:rPr>
          <w:rFonts w:eastAsia="Times New Roman" w:cs="Arial"/>
          <w:color w:val="000000"/>
          <w:lang w:eastAsia="bg-BG"/>
        </w:rPr>
        <w:t xml:space="preserve">Остри или хронични нарушения на чернодробната функция могат да наложат прекратяване на употребата на </w:t>
      </w:r>
    </w:p>
    <w:p w14:paraId="744521C2" w14:textId="63983F40"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КПК до връщане на чернодробните функционални показатели в нормални граници. При пациенти с чернодробна дисфункция може да е налице нарушен метаболизъм на стероидните хормони. Повторната поява на холестатична жълтеница, настъпила първо по време на бременност или при предишна употреба на стероидни полови хормони, изисква прекратяване на употребата на контрацептивното средство.</w:t>
      </w:r>
    </w:p>
    <w:p w14:paraId="2711B0BC" w14:textId="77777777" w:rsidR="003A7AE2" w:rsidRPr="003A7AE2" w:rsidRDefault="003A7AE2" w:rsidP="003A7AE2">
      <w:pPr>
        <w:spacing w:line="240" w:lineRule="auto"/>
        <w:rPr>
          <w:rFonts w:eastAsia="Times New Roman" w:cs="Arial"/>
          <w:color w:val="000000"/>
          <w:lang w:eastAsia="bg-BG"/>
        </w:rPr>
      </w:pPr>
    </w:p>
    <w:p w14:paraId="1B2D0724" w14:textId="66174DD4"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КПК могат да повлияят периферната инсулинова резистентност и глюкозния толеранс. Въпреки възможния ефект на пероралните контрацептивни таблетки върху периферната инсулинова резистентност и глюкозния толеранс, няма данни за необходимост от промяна в терапевтичния режим при пациенти с диабет, които употребяват нискодозирани перорални контрацептивни таблетки (съдържащи &lt; 50 микрограма етинилестрадиол). Жените с диабет трябва да бъдат стриктно наблюдавани по време на употребата на перорална контрацепция.</w:t>
      </w:r>
    </w:p>
    <w:p w14:paraId="1677CA87" w14:textId="77777777" w:rsidR="003A7AE2" w:rsidRPr="003A7AE2" w:rsidRDefault="003A7AE2" w:rsidP="003A7AE2">
      <w:pPr>
        <w:spacing w:line="240" w:lineRule="auto"/>
        <w:rPr>
          <w:rFonts w:eastAsia="Times New Roman" w:cs="Arial"/>
          <w:color w:val="000000"/>
          <w:lang w:eastAsia="bg-BG"/>
        </w:rPr>
      </w:pPr>
    </w:p>
    <w:p w14:paraId="2977A6B4" w14:textId="6CB5D34B"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Заболявания като болест на Крон и улцерозен колит се свързват с употребата на комбинирани перорални контрацептиви.</w:t>
      </w:r>
    </w:p>
    <w:p w14:paraId="234493DF" w14:textId="77777777" w:rsidR="003A7AE2" w:rsidRPr="003A7AE2" w:rsidRDefault="003A7AE2" w:rsidP="003A7AE2">
      <w:pPr>
        <w:spacing w:line="240" w:lineRule="auto"/>
        <w:rPr>
          <w:rFonts w:eastAsia="Times New Roman" w:cs="Arial"/>
          <w:color w:val="000000"/>
          <w:lang w:eastAsia="bg-BG"/>
        </w:rPr>
      </w:pPr>
    </w:p>
    <w:p w14:paraId="6E430AD3" w14:textId="0CA14E46"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В някои случаи може да се появят кафеникави пигментации по кожата на лицето, особено при жени с анамнестични данни за хлоазма по време на бременността. Жени със склонност да развият това състояние трябва да избягват излагане на слънчева светлина или на ултравиолетова радиация, докато приемат КПК.</w:t>
      </w:r>
    </w:p>
    <w:p w14:paraId="52E9501D" w14:textId="77777777" w:rsidR="003A7AE2" w:rsidRPr="003A7AE2" w:rsidRDefault="003A7AE2" w:rsidP="003A7AE2">
      <w:pPr>
        <w:spacing w:line="240" w:lineRule="auto"/>
        <w:rPr>
          <w:rFonts w:eastAsia="Times New Roman" w:cs="Arial"/>
          <w:b/>
          <w:bCs/>
          <w:color w:val="000000"/>
          <w:lang w:eastAsia="bg-BG"/>
        </w:rPr>
      </w:pPr>
    </w:p>
    <w:p w14:paraId="1D032CC7" w14:textId="18E98D95" w:rsidR="003A7AE2" w:rsidRPr="003A7AE2" w:rsidRDefault="003A7AE2" w:rsidP="003A7AE2">
      <w:pPr>
        <w:spacing w:line="240" w:lineRule="auto"/>
        <w:rPr>
          <w:rFonts w:eastAsia="Times New Roman" w:cs="Arial"/>
          <w:lang w:eastAsia="bg-BG"/>
        </w:rPr>
      </w:pPr>
      <w:r w:rsidRPr="003A7AE2">
        <w:rPr>
          <w:rFonts w:eastAsia="Times New Roman" w:cs="Arial"/>
          <w:b/>
          <w:bCs/>
          <w:color w:val="000000"/>
          <w:lang w:eastAsia="bg-BG"/>
        </w:rPr>
        <w:t>Предупреждения</w:t>
      </w:r>
    </w:p>
    <w:p w14:paraId="093F54F2" w14:textId="77777777" w:rsidR="003A7AE2" w:rsidRPr="003A7AE2" w:rsidRDefault="003A7AE2" w:rsidP="003A7AE2">
      <w:pPr>
        <w:spacing w:line="240" w:lineRule="auto"/>
        <w:rPr>
          <w:rFonts w:eastAsia="Times New Roman" w:cs="Arial"/>
          <w:b/>
          <w:bCs/>
          <w:color w:val="000000"/>
          <w:lang w:eastAsia="bg-BG"/>
        </w:rPr>
      </w:pPr>
    </w:p>
    <w:p w14:paraId="1DD985F8" w14:textId="5BB35135" w:rsidR="003A7AE2" w:rsidRPr="003A7AE2" w:rsidRDefault="003A7AE2" w:rsidP="003A7AE2">
      <w:pPr>
        <w:spacing w:line="240" w:lineRule="auto"/>
        <w:rPr>
          <w:rFonts w:eastAsia="Times New Roman" w:cs="Arial"/>
          <w:lang w:eastAsia="bg-BG"/>
        </w:rPr>
      </w:pPr>
      <w:r w:rsidRPr="003A7AE2">
        <w:rPr>
          <w:rFonts w:eastAsia="Times New Roman" w:cs="Arial"/>
          <w:b/>
          <w:bCs/>
          <w:color w:val="000000"/>
          <w:lang w:eastAsia="bg-BG"/>
        </w:rPr>
        <w:t>Медицински преглед/консултация</w:t>
      </w:r>
    </w:p>
    <w:p w14:paraId="6EAE8F9F" w14:textId="77777777" w:rsidR="003A7AE2" w:rsidRPr="003A7AE2" w:rsidRDefault="003A7AE2" w:rsidP="003A7AE2">
      <w:pPr>
        <w:spacing w:line="240" w:lineRule="auto"/>
        <w:rPr>
          <w:rFonts w:eastAsia="Times New Roman" w:cs="Arial"/>
          <w:color w:val="000000"/>
          <w:lang w:eastAsia="bg-BG"/>
        </w:rPr>
      </w:pPr>
      <w:r w:rsidRPr="003A7AE2">
        <w:rPr>
          <w:rFonts w:eastAsia="Times New Roman" w:cs="Arial"/>
          <w:color w:val="000000"/>
          <w:lang w:eastAsia="bg-BG"/>
        </w:rPr>
        <w:t>Преди започване или подновяване на приема на Линдинет 20 трябва да се снеме пълна анамнеза (включително фамилна анамнеза) и трябва да се изключи бременност. Трябва да се измери кръвното налягане и да се направи физикален преглед, ръководен от противопоказанията (вж. точка 4.3) и предупрежденията (вж. точка 4.4). Важно е вниманието на жената да се насочи към информацията за венозна и артериална тромбоза, включ</w:t>
      </w:r>
      <w:r w:rsidRPr="003A7AE2">
        <w:rPr>
          <w:rFonts w:eastAsia="Times New Roman" w:cs="Arial"/>
          <w:color w:val="000000"/>
          <w:u w:val="single"/>
          <w:lang w:eastAsia="bg-BG"/>
        </w:rPr>
        <w:t xml:space="preserve">ително </w:t>
      </w:r>
      <w:r w:rsidRPr="003A7AE2">
        <w:rPr>
          <w:rFonts w:eastAsia="Times New Roman" w:cs="Arial"/>
          <w:color w:val="000000"/>
          <w:lang w:eastAsia="bg-BG"/>
        </w:rPr>
        <w:t xml:space="preserve">риска при Линдинет 20, сравнен с този при другите КХК, симптомите на ВТЕ и АТЕ известните рискови фактори и какво да се прави в случай на съмнение за </w:t>
      </w:r>
    </w:p>
    <w:p w14:paraId="3CF52CFF" w14:textId="5DAA7099"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тромбоза.</w:t>
      </w:r>
    </w:p>
    <w:p w14:paraId="6366A76E" w14:textId="77777777" w:rsidR="003A7AE2" w:rsidRPr="003A7AE2" w:rsidRDefault="003A7AE2" w:rsidP="003A7AE2">
      <w:pPr>
        <w:spacing w:line="240" w:lineRule="auto"/>
        <w:rPr>
          <w:rFonts w:eastAsia="Times New Roman" w:cs="Arial"/>
          <w:color w:val="000000"/>
          <w:lang w:eastAsia="bg-BG"/>
        </w:rPr>
      </w:pPr>
    </w:p>
    <w:p w14:paraId="5D02DB67" w14:textId="12AA0068" w:rsidR="003A7AE2" w:rsidRPr="003A7AE2" w:rsidRDefault="003A7AE2" w:rsidP="003A7AE2">
      <w:pPr>
        <w:spacing w:line="240" w:lineRule="auto"/>
        <w:rPr>
          <w:rFonts w:eastAsia="Times New Roman" w:cs="Arial"/>
          <w:color w:val="000000"/>
          <w:lang w:val="en-US" w:eastAsia="bg-BG"/>
        </w:rPr>
      </w:pPr>
      <w:r w:rsidRPr="003A7AE2">
        <w:rPr>
          <w:rFonts w:eastAsia="Times New Roman" w:cs="Arial"/>
          <w:color w:val="000000"/>
          <w:lang w:eastAsia="bg-BG"/>
        </w:rPr>
        <w:t>Жената трябва също да бъде инструктирана внимателно да прочете листовката за потребителя и да се придържа към дадените съвети. Честотата и естеството на прегледите трябва да се</w:t>
      </w:r>
      <w:r w:rsidRPr="003A7AE2">
        <w:rPr>
          <w:rFonts w:eastAsia="Times New Roman" w:cs="Arial"/>
          <w:lang w:val="en-US" w:eastAsia="bg-BG"/>
        </w:rPr>
        <w:t xml:space="preserve"> </w:t>
      </w:r>
      <w:r w:rsidRPr="003A7AE2">
        <w:rPr>
          <w:rFonts w:eastAsia="Times New Roman" w:cs="Arial"/>
          <w:color w:val="000000"/>
          <w:lang w:eastAsia="bg-BG"/>
        </w:rPr>
        <w:t>основават на установените практически указания и да се адаптират за всяка от отделна жена</w:t>
      </w:r>
      <w:r w:rsidRPr="003A7AE2">
        <w:rPr>
          <w:rFonts w:eastAsia="Times New Roman" w:cs="Arial"/>
          <w:color w:val="000000"/>
          <w:lang w:val="en-US" w:eastAsia="bg-BG"/>
        </w:rPr>
        <w:t>.</w:t>
      </w:r>
    </w:p>
    <w:p w14:paraId="1EDE4643" w14:textId="503A3FD2" w:rsidR="003A7AE2" w:rsidRPr="003A7AE2" w:rsidRDefault="003A7AE2" w:rsidP="003A7AE2">
      <w:pPr>
        <w:spacing w:line="240" w:lineRule="auto"/>
        <w:rPr>
          <w:rFonts w:eastAsia="Times New Roman" w:cs="Arial"/>
          <w:color w:val="000000"/>
          <w:lang w:val="en-US" w:eastAsia="bg-BG"/>
        </w:rPr>
      </w:pPr>
    </w:p>
    <w:p w14:paraId="33C55E9E" w14:textId="77777777"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Жените трябва да се информират, че пероралните контрацептиви не предпазват от ХИВ инфекции (СПИН) и други болести, предавани по полов път.</w:t>
      </w:r>
    </w:p>
    <w:p w14:paraId="46E9425E" w14:textId="77777777" w:rsidR="003A7AE2" w:rsidRPr="003A7AE2" w:rsidRDefault="003A7AE2" w:rsidP="003A7AE2">
      <w:pPr>
        <w:spacing w:line="240" w:lineRule="auto"/>
        <w:rPr>
          <w:rFonts w:eastAsia="Times New Roman" w:cs="Arial"/>
          <w:b/>
          <w:bCs/>
          <w:color w:val="000000"/>
          <w:lang w:eastAsia="bg-BG"/>
        </w:rPr>
      </w:pPr>
    </w:p>
    <w:p w14:paraId="35CB932A" w14:textId="0F4E38E4" w:rsidR="003A7AE2" w:rsidRPr="003A7AE2" w:rsidRDefault="003A7AE2" w:rsidP="003A7AE2">
      <w:pPr>
        <w:spacing w:line="240" w:lineRule="auto"/>
        <w:rPr>
          <w:rFonts w:eastAsia="Times New Roman" w:cs="Arial"/>
          <w:lang w:eastAsia="bg-BG"/>
        </w:rPr>
      </w:pPr>
      <w:r w:rsidRPr="003A7AE2">
        <w:rPr>
          <w:rFonts w:eastAsia="Times New Roman" w:cs="Arial"/>
          <w:b/>
          <w:bCs/>
          <w:color w:val="000000"/>
          <w:lang w:eastAsia="bg-BG"/>
        </w:rPr>
        <w:t>Понижена ефикасност</w:t>
      </w:r>
    </w:p>
    <w:p w14:paraId="5DD97BD6" w14:textId="77777777"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Ефикасността на пероралните контрацептиви може да бъде понижена в случай на пропуснати таблетки или гастроинтестинални нарушения (виж раздел 4.2) или при съпътстващото приложение на други лекарствени продукти (виж раздел 4.5).</w:t>
      </w:r>
    </w:p>
    <w:p w14:paraId="14825E84" w14:textId="77777777" w:rsidR="003A7AE2" w:rsidRPr="003A7AE2" w:rsidRDefault="003A7AE2" w:rsidP="003A7AE2">
      <w:pPr>
        <w:spacing w:line="240" w:lineRule="auto"/>
        <w:rPr>
          <w:rFonts w:eastAsia="Times New Roman" w:cs="Arial"/>
          <w:b/>
          <w:bCs/>
          <w:color w:val="000000"/>
          <w:lang w:eastAsia="bg-BG"/>
        </w:rPr>
      </w:pPr>
    </w:p>
    <w:p w14:paraId="7B70A8D0" w14:textId="7DA3EB2F" w:rsidR="003A7AE2" w:rsidRPr="003A7AE2" w:rsidRDefault="003A7AE2" w:rsidP="003A7AE2">
      <w:pPr>
        <w:spacing w:line="240" w:lineRule="auto"/>
        <w:rPr>
          <w:rFonts w:eastAsia="Times New Roman" w:cs="Arial"/>
          <w:lang w:eastAsia="bg-BG"/>
        </w:rPr>
      </w:pPr>
      <w:r w:rsidRPr="003A7AE2">
        <w:rPr>
          <w:rFonts w:eastAsia="Times New Roman" w:cs="Arial"/>
          <w:b/>
          <w:bCs/>
          <w:color w:val="000000"/>
          <w:lang w:eastAsia="bg-BG"/>
        </w:rPr>
        <w:t>Понижен контрол на цикъла</w:t>
      </w:r>
    </w:p>
    <w:p w14:paraId="2C093F3B" w14:textId="77777777"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При всички комбинирани перорални контрацептиви, могат да настъпят нередовни кръвотечения (зацапване или пробивно кървене), особено през първите месеци на приложението им. Следователно, оценката на всяко нередовно кървене трябва да бъде направена след известен период на адаптиране, който е приблизително три цикъла.</w:t>
      </w:r>
    </w:p>
    <w:p w14:paraId="45803887" w14:textId="77777777" w:rsidR="003A7AE2" w:rsidRPr="003A7AE2" w:rsidRDefault="003A7AE2" w:rsidP="003A7AE2">
      <w:pPr>
        <w:spacing w:line="240" w:lineRule="auto"/>
        <w:rPr>
          <w:rFonts w:eastAsia="Times New Roman" w:cs="Arial"/>
          <w:color w:val="000000"/>
          <w:lang w:eastAsia="bg-BG"/>
        </w:rPr>
      </w:pPr>
    </w:p>
    <w:p w14:paraId="79CB8416" w14:textId="6870ABEB"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Ако нередовните кръвотечения продължат, трябва да се обмисли употребата на КПК с високо съдържание на хормони. Ако нередовните кръвотечения настъпят след първоначално редовни цикли, трябва да бъдат взети под внимание някои нехормонални причини и да се проведат адекватни диагностични изследвания, за да бъдат изключени малигнени заболявания или бременност. Това може да включва кюретаж.</w:t>
      </w:r>
    </w:p>
    <w:p w14:paraId="61E42F22" w14:textId="77777777" w:rsidR="003A7AE2" w:rsidRPr="003A7AE2" w:rsidRDefault="003A7AE2" w:rsidP="003A7AE2">
      <w:pPr>
        <w:spacing w:line="240" w:lineRule="auto"/>
        <w:rPr>
          <w:rFonts w:eastAsia="Times New Roman" w:cs="Arial"/>
          <w:color w:val="000000"/>
          <w:lang w:eastAsia="bg-BG"/>
        </w:rPr>
      </w:pPr>
    </w:p>
    <w:p w14:paraId="0F972F0A" w14:textId="63056AEF"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При някои жени може да не настъпи отпадно кървене през периода, в който не се приемат таблетки. Ако обвитите таблетки са приемани съгласно инструкциите, описани в раздел 4.2, малко вероятно е жената да е бременна. Ако обаче КПК не са приемани в съответствие с тези инструкции, при първото липсващо отпадно кървене или при пропускане на две отпадни кръвотечения, трябва да се изключи евентуална бременност.</w:t>
      </w:r>
    </w:p>
    <w:p w14:paraId="02DEC6BF" w14:textId="77777777" w:rsidR="003A7AE2" w:rsidRPr="003A7AE2" w:rsidRDefault="003A7AE2" w:rsidP="003A7AE2">
      <w:pPr>
        <w:spacing w:line="240" w:lineRule="auto"/>
        <w:rPr>
          <w:rFonts w:eastAsia="Times New Roman" w:cs="Arial"/>
          <w:color w:val="000000"/>
          <w:u w:val="single"/>
          <w:lang w:eastAsia="bg-BG"/>
        </w:rPr>
      </w:pPr>
    </w:p>
    <w:p w14:paraId="35F44D9A" w14:textId="09F1232A" w:rsidR="003A7AE2" w:rsidRPr="003A7AE2" w:rsidRDefault="003A7AE2" w:rsidP="003A7AE2">
      <w:pPr>
        <w:spacing w:line="240" w:lineRule="auto"/>
        <w:rPr>
          <w:rFonts w:eastAsia="Times New Roman" w:cs="Arial"/>
          <w:lang w:eastAsia="bg-BG"/>
        </w:rPr>
      </w:pPr>
      <w:r w:rsidRPr="003A7AE2">
        <w:rPr>
          <w:rFonts w:eastAsia="Times New Roman" w:cs="Arial"/>
          <w:color w:val="000000"/>
          <w:u w:val="single"/>
          <w:lang w:eastAsia="bg-BG"/>
        </w:rPr>
        <w:t>Помощни вещества</w:t>
      </w:r>
    </w:p>
    <w:p w14:paraId="7851E4E8" w14:textId="77777777" w:rsidR="003A7AE2" w:rsidRPr="003A7AE2" w:rsidRDefault="003A7AE2" w:rsidP="003A7AE2">
      <w:pPr>
        <w:spacing w:line="240" w:lineRule="auto"/>
        <w:rPr>
          <w:rFonts w:eastAsia="Times New Roman" w:cs="Arial"/>
          <w:lang w:eastAsia="bg-BG"/>
        </w:rPr>
      </w:pPr>
      <w:r w:rsidRPr="003A7AE2">
        <w:rPr>
          <w:rFonts w:eastAsia="Times New Roman" w:cs="Arial"/>
          <w:color w:val="000000"/>
          <w:lang w:eastAsia="bg-BG"/>
        </w:rPr>
        <w:t>Този лекарствен продукт съдържа лактоза и захароза. Пациенти с редки наследствени проблеми на непоносимост към галактоза, пълен лактазен дефицит, глюкозо-галактозна малабсорбция или непоносимост към фруктоза, или захарозо-изомалтазен дефицит, не трябва да приемат това лекарство.</w:t>
      </w:r>
    </w:p>
    <w:p w14:paraId="0E90EEAB" w14:textId="77777777" w:rsidR="003A7AE2" w:rsidRPr="003A7AE2" w:rsidRDefault="003A7AE2" w:rsidP="003A7AE2">
      <w:pPr>
        <w:spacing w:line="240" w:lineRule="auto"/>
        <w:rPr>
          <w:rFonts w:eastAsia="Times New Roman" w:cs="Arial"/>
          <w:color w:val="000000"/>
          <w:lang w:eastAsia="bg-BG"/>
        </w:rPr>
      </w:pPr>
    </w:p>
    <w:p w14:paraId="65AF4011" w14:textId="6920DD4D" w:rsidR="003A7AE2" w:rsidRPr="003A7AE2" w:rsidRDefault="003A7AE2" w:rsidP="003A7AE2">
      <w:pPr>
        <w:spacing w:line="240" w:lineRule="auto"/>
        <w:rPr>
          <w:rFonts w:eastAsia="Times New Roman" w:cs="Arial"/>
          <w:color w:val="000000"/>
          <w:lang w:eastAsia="bg-BG"/>
        </w:rPr>
      </w:pPr>
      <w:r w:rsidRPr="003A7AE2">
        <w:rPr>
          <w:rFonts w:eastAsia="Times New Roman" w:cs="Arial"/>
          <w:color w:val="000000"/>
          <w:lang w:eastAsia="bg-BG"/>
        </w:rPr>
        <w:t xml:space="preserve">Този лекарствен продукт съдържа по-малко от 1 </w:t>
      </w:r>
      <w:r w:rsidRPr="003A7AE2">
        <w:rPr>
          <w:rFonts w:eastAsia="Times New Roman" w:cs="Arial"/>
          <w:color w:val="000000"/>
          <w:lang w:val="en-US"/>
        </w:rPr>
        <w:t xml:space="preserve">mmol </w:t>
      </w:r>
      <w:r w:rsidRPr="003A7AE2">
        <w:rPr>
          <w:rFonts w:eastAsia="Times New Roman" w:cs="Arial"/>
          <w:color w:val="000000"/>
          <w:lang w:eastAsia="bg-BG"/>
        </w:rPr>
        <w:t xml:space="preserve">натрий (23 </w:t>
      </w:r>
      <w:r w:rsidRPr="003A7AE2">
        <w:rPr>
          <w:rFonts w:eastAsia="Times New Roman" w:cs="Arial"/>
          <w:color w:val="000000"/>
          <w:lang w:val="en-US"/>
        </w:rPr>
        <w:t xml:space="preserve">mg) </w:t>
      </w:r>
      <w:r w:rsidRPr="003A7AE2">
        <w:rPr>
          <w:rFonts w:eastAsia="Times New Roman" w:cs="Arial"/>
          <w:color w:val="000000"/>
          <w:lang w:eastAsia="bg-BG"/>
        </w:rPr>
        <w:t>на таблетка, т.е. може да се каже, че практически не съдържа натрий.</w:t>
      </w:r>
    </w:p>
    <w:p w14:paraId="2CD6C23E" w14:textId="77777777" w:rsidR="003A7AE2" w:rsidRPr="003A7AE2" w:rsidRDefault="003A7AE2" w:rsidP="003A7AE2">
      <w:pPr>
        <w:spacing w:line="240" w:lineRule="auto"/>
        <w:rPr>
          <w:rFonts w:ascii="Times New Roman" w:eastAsia="Times New Roman" w:hAnsi="Times New Roman" w:cs="Times New Roman"/>
          <w:sz w:val="24"/>
          <w:szCs w:val="24"/>
          <w:lang w:val="en-US" w:eastAsia="bg-BG"/>
        </w:rPr>
      </w:pPr>
    </w:p>
    <w:p w14:paraId="1DA47448" w14:textId="521E4F0E"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6FCBB129" w14:textId="7458735E" w:rsidR="002633AB" w:rsidRDefault="002633AB" w:rsidP="002633AB"/>
    <w:p w14:paraId="3BB28DD4" w14:textId="77777777"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lang w:eastAsia="bg-BG"/>
        </w:rPr>
        <w:t>Забележка: За идентифициране на потенциалния риск от лекарствени взаимодействия трябва да се има предвид информацията за предписване на съпътстващите лекарствени терапии.</w:t>
      </w:r>
    </w:p>
    <w:p w14:paraId="6847B1B1" w14:textId="77777777" w:rsidR="002633AB" w:rsidRPr="002633AB" w:rsidRDefault="002633AB" w:rsidP="002633AB">
      <w:pPr>
        <w:spacing w:line="240" w:lineRule="auto"/>
        <w:rPr>
          <w:rFonts w:eastAsia="Times New Roman" w:cs="Arial"/>
          <w:color w:val="000000"/>
          <w:u w:val="single"/>
          <w:lang w:eastAsia="bg-BG"/>
        </w:rPr>
      </w:pPr>
    </w:p>
    <w:p w14:paraId="4BF7D05D" w14:textId="54D41C1F"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u w:val="single"/>
          <w:lang w:eastAsia="bg-BG"/>
        </w:rPr>
        <w:t>Фармакодинамични взаимодействия</w:t>
      </w:r>
    </w:p>
    <w:p w14:paraId="7D014B29" w14:textId="77777777"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lang w:eastAsia="bg-BG"/>
        </w:rPr>
        <w:lastRenderedPageBreak/>
        <w:t xml:space="preserve">По време на клинични изпитвания при пациенти, лекувани срещу инфекция с вируса на хепатит С </w:t>
      </w:r>
      <w:r w:rsidRPr="002633AB">
        <w:rPr>
          <w:rFonts w:eastAsia="Times New Roman" w:cs="Arial"/>
          <w:color w:val="000000"/>
          <w:lang w:val="en-US"/>
        </w:rPr>
        <w:t xml:space="preserve">(HCV) </w:t>
      </w:r>
      <w:r w:rsidRPr="002633AB">
        <w:rPr>
          <w:rFonts w:eastAsia="Times New Roman" w:cs="Arial"/>
          <w:color w:val="000000"/>
          <w:lang w:eastAsia="bg-BG"/>
        </w:rPr>
        <w:t>с лекарствени продукти, съдържащи омбитасвир/паригапревир/ритонавир и дазабувир, с или без рибавирин, повишения натрансаминазите (АЛТ) повече от 5 пъти горната граница на нормата (ГТН) се срещат значително по-често при жени, използващи лекарства с етинилестрадиол, като комбинирани хормонални контрацептиви (КХК). Също така, при пациенти, лекувани с глекапревир/пибрентасвир или софосбувир/велпатасвир/воксилапревир, се наблюдават повишения на АЛТ при жени, използващи лекарства, съдържащи етинилестрадиол, като КХК (вж. точка 4.3). Поради това жените, използващи Линдинет 20, трябва да преминат към алтернативен метод на контрацепция (напр. само с прогестерон или нехормонални методи) преди да за</w:t>
      </w:r>
      <w:r w:rsidRPr="002633AB">
        <w:rPr>
          <w:rFonts w:eastAsia="Times New Roman" w:cs="Arial"/>
          <w:color w:val="000000"/>
          <w:u w:val="single"/>
          <w:lang w:eastAsia="bg-BG"/>
        </w:rPr>
        <w:t>почна</w:t>
      </w:r>
      <w:r w:rsidRPr="002633AB">
        <w:rPr>
          <w:rFonts w:eastAsia="Times New Roman" w:cs="Arial"/>
          <w:color w:val="000000"/>
          <w:lang w:eastAsia="bg-BG"/>
        </w:rPr>
        <w:t>т лечение с тези комбинации от лекарства. Може да се започне отново прием на Линдинет 20 две седмици след завършването на лечението с тези комбинации от лекарства.</w:t>
      </w:r>
    </w:p>
    <w:p w14:paraId="32067CAB" w14:textId="77777777" w:rsidR="002633AB" w:rsidRPr="002633AB" w:rsidRDefault="002633AB" w:rsidP="002633AB">
      <w:pPr>
        <w:spacing w:line="240" w:lineRule="auto"/>
        <w:rPr>
          <w:rFonts w:eastAsia="Times New Roman" w:cs="Arial"/>
          <w:color w:val="000000"/>
          <w:u w:val="single"/>
          <w:lang w:eastAsia="bg-BG"/>
        </w:rPr>
      </w:pPr>
    </w:p>
    <w:p w14:paraId="35AD59C2" w14:textId="2178CABD"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u w:val="single"/>
          <w:lang w:eastAsia="bg-BG"/>
        </w:rPr>
        <w:t>Фармакокинетични взаимодействия</w:t>
      </w:r>
    </w:p>
    <w:p w14:paraId="004ED88F" w14:textId="3DE974F4" w:rsidR="002633AB" w:rsidRPr="002633AB" w:rsidRDefault="002633AB" w:rsidP="002633AB">
      <w:pPr>
        <w:rPr>
          <w:rFonts w:eastAsia="Times New Roman" w:cs="Arial"/>
          <w:i/>
          <w:iCs/>
          <w:color w:val="000000"/>
          <w:u w:val="single"/>
          <w:lang w:eastAsia="bg-BG"/>
        </w:rPr>
      </w:pPr>
      <w:r w:rsidRPr="002633AB">
        <w:rPr>
          <w:rFonts w:eastAsia="Times New Roman" w:cs="Arial"/>
          <w:i/>
          <w:iCs/>
          <w:color w:val="000000"/>
          <w:u w:val="single"/>
          <w:lang w:eastAsia="bg-BG"/>
        </w:rPr>
        <w:t>Влияние на други лекарствени продукти върху Линдинет 20</w:t>
      </w:r>
    </w:p>
    <w:p w14:paraId="40387D65" w14:textId="522F73D7" w:rsidR="002633AB" w:rsidRPr="002633AB" w:rsidRDefault="002633AB" w:rsidP="002633AB">
      <w:pPr>
        <w:rPr>
          <w:rFonts w:eastAsia="Times New Roman" w:cs="Arial"/>
          <w:i/>
          <w:iCs/>
          <w:color w:val="000000"/>
          <w:u w:val="single"/>
          <w:lang w:eastAsia="bg-BG"/>
        </w:rPr>
      </w:pPr>
    </w:p>
    <w:p w14:paraId="40B0AA72" w14:textId="77777777"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lang w:eastAsia="bg-BG"/>
        </w:rPr>
        <w:t>Взаимодействията с лекарствени продукти, които са индуктори на микрозомалните ензими, могат да повишат клирьнса на половите хормони, водейки до пробивно кървене и/или неефективна контрацепция.</w:t>
      </w:r>
    </w:p>
    <w:p w14:paraId="55CB3098" w14:textId="77777777" w:rsidR="002633AB" w:rsidRPr="002633AB" w:rsidRDefault="002633AB" w:rsidP="002633AB">
      <w:pPr>
        <w:spacing w:line="240" w:lineRule="auto"/>
        <w:rPr>
          <w:rFonts w:eastAsia="Times New Roman" w:cs="Arial"/>
          <w:i/>
          <w:iCs/>
          <w:color w:val="000000"/>
          <w:lang w:eastAsia="bg-BG"/>
        </w:rPr>
      </w:pPr>
    </w:p>
    <w:p w14:paraId="5487BD9E" w14:textId="71BC09A7" w:rsidR="002633AB" w:rsidRPr="002633AB" w:rsidRDefault="002633AB" w:rsidP="002633AB">
      <w:pPr>
        <w:spacing w:line="240" w:lineRule="auto"/>
        <w:rPr>
          <w:rFonts w:eastAsia="Times New Roman" w:cs="Arial"/>
          <w:sz w:val="28"/>
          <w:szCs w:val="28"/>
          <w:lang w:eastAsia="bg-BG"/>
        </w:rPr>
      </w:pPr>
      <w:r w:rsidRPr="002633AB">
        <w:rPr>
          <w:rFonts w:eastAsia="Times New Roman" w:cs="Arial"/>
          <w:i/>
          <w:iCs/>
          <w:color w:val="000000"/>
          <w:lang w:eastAsia="bg-BG"/>
        </w:rPr>
        <w:t>Лечение</w:t>
      </w:r>
    </w:p>
    <w:p w14:paraId="768226F1" w14:textId="77777777"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lang w:eastAsia="bg-BG"/>
        </w:rPr>
        <w:t>В повечето случаи ензимна индукция настъпва само след няколкодневно лечение. Максимална ензимна индукция се наблюдава след няколко седмици. Ензимната индукция може да се запази в продължение на 4 седмици след прекратяване на лекарствената терапия.</w:t>
      </w:r>
    </w:p>
    <w:p w14:paraId="73BC11A1" w14:textId="77777777" w:rsidR="002633AB" w:rsidRPr="002633AB" w:rsidRDefault="002633AB" w:rsidP="002633AB">
      <w:pPr>
        <w:spacing w:line="240" w:lineRule="auto"/>
        <w:rPr>
          <w:rFonts w:eastAsia="Times New Roman" w:cs="Arial"/>
          <w:i/>
          <w:iCs/>
          <w:color w:val="000000"/>
          <w:lang w:eastAsia="bg-BG"/>
        </w:rPr>
      </w:pPr>
    </w:p>
    <w:p w14:paraId="7A1CF5DD" w14:textId="6F142AD5" w:rsidR="002633AB" w:rsidRPr="002633AB" w:rsidRDefault="002633AB" w:rsidP="002633AB">
      <w:pPr>
        <w:spacing w:line="240" w:lineRule="auto"/>
        <w:rPr>
          <w:rFonts w:eastAsia="Times New Roman" w:cs="Arial"/>
          <w:sz w:val="28"/>
          <w:szCs w:val="28"/>
          <w:lang w:eastAsia="bg-BG"/>
        </w:rPr>
      </w:pPr>
      <w:r w:rsidRPr="002633AB">
        <w:rPr>
          <w:rFonts w:eastAsia="Times New Roman" w:cs="Arial"/>
          <w:i/>
          <w:iCs/>
          <w:color w:val="000000"/>
          <w:lang w:eastAsia="bg-BG"/>
        </w:rPr>
        <w:t>Краткосрочно лечение</w:t>
      </w:r>
    </w:p>
    <w:p w14:paraId="44112B7A" w14:textId="77777777"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lang w:eastAsia="bg-BG"/>
        </w:rPr>
        <w:t>Жените, лекувани с ензимни индуктори, трябва временно да използват бариерен метод или друг метод на контрацепция в допълнение към КПК. Бариерният метод трябва да бъде използван през цялото време на съпътстваща лекарствена терапия и в продължение на 28 дни след нейното прекратяване.</w:t>
      </w:r>
    </w:p>
    <w:p w14:paraId="60D3CE76" w14:textId="77777777" w:rsidR="002633AB" w:rsidRPr="002633AB" w:rsidRDefault="002633AB" w:rsidP="002633AB">
      <w:pPr>
        <w:spacing w:line="240" w:lineRule="auto"/>
        <w:rPr>
          <w:rFonts w:eastAsia="Times New Roman" w:cs="Arial"/>
          <w:color w:val="000000"/>
          <w:lang w:eastAsia="bg-BG"/>
        </w:rPr>
      </w:pPr>
    </w:p>
    <w:p w14:paraId="61BDBB77" w14:textId="10FD4F31"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lang w:eastAsia="bg-BG"/>
        </w:rPr>
        <w:t>Ако съпътстващата лекарствена терапия продължи след привършване на опаковката комбинирани контрацептивни таблетки, следващата опаковка трябва да бъде започната веднага след нея, без спазване на обичайния интервал без прием на таблетки.</w:t>
      </w:r>
    </w:p>
    <w:p w14:paraId="14F1B602" w14:textId="77777777" w:rsidR="002633AB" w:rsidRPr="002633AB" w:rsidRDefault="002633AB" w:rsidP="002633AB">
      <w:pPr>
        <w:spacing w:line="240" w:lineRule="auto"/>
        <w:rPr>
          <w:rFonts w:eastAsia="Times New Roman" w:cs="Arial"/>
          <w:i/>
          <w:iCs/>
          <w:color w:val="000000"/>
          <w:lang w:eastAsia="bg-BG"/>
        </w:rPr>
      </w:pPr>
    </w:p>
    <w:p w14:paraId="46CD9D65" w14:textId="38A45F88" w:rsidR="002633AB" w:rsidRPr="002633AB" w:rsidRDefault="002633AB" w:rsidP="002633AB">
      <w:pPr>
        <w:spacing w:line="240" w:lineRule="auto"/>
        <w:rPr>
          <w:rFonts w:eastAsia="Times New Roman" w:cs="Arial"/>
          <w:sz w:val="28"/>
          <w:szCs w:val="28"/>
          <w:lang w:eastAsia="bg-BG"/>
        </w:rPr>
      </w:pPr>
      <w:r w:rsidRPr="002633AB">
        <w:rPr>
          <w:rFonts w:eastAsia="Times New Roman" w:cs="Arial"/>
          <w:i/>
          <w:iCs/>
          <w:color w:val="000000"/>
          <w:lang w:eastAsia="bg-BG"/>
        </w:rPr>
        <w:t>Дългосрочно лечение</w:t>
      </w:r>
    </w:p>
    <w:p w14:paraId="591C0B60" w14:textId="77777777"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lang w:eastAsia="bg-BG"/>
        </w:rPr>
        <w:t>При жени на дългосрочно лечение с активни вещества, индуциращи чернодробните ензими, се препоръчва друг надежден метод за нехормонална контрацепция.</w:t>
      </w:r>
    </w:p>
    <w:p w14:paraId="0AD6EF5F" w14:textId="77777777" w:rsidR="002633AB" w:rsidRPr="002633AB" w:rsidRDefault="002633AB" w:rsidP="002633AB">
      <w:pPr>
        <w:spacing w:line="240" w:lineRule="auto"/>
        <w:rPr>
          <w:rFonts w:eastAsia="Times New Roman" w:cs="Arial"/>
          <w:color w:val="000000"/>
          <w:lang w:eastAsia="bg-BG"/>
        </w:rPr>
      </w:pPr>
    </w:p>
    <w:p w14:paraId="23ED39FE" w14:textId="17E016CA"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lang w:eastAsia="bg-BG"/>
        </w:rPr>
        <w:t>В литературата са описани следните взаимодействия:</w:t>
      </w:r>
    </w:p>
    <w:p w14:paraId="737F6E8A" w14:textId="77777777" w:rsidR="002633AB" w:rsidRPr="002633AB" w:rsidRDefault="002633AB" w:rsidP="002633AB">
      <w:pPr>
        <w:spacing w:line="240" w:lineRule="auto"/>
        <w:rPr>
          <w:rFonts w:eastAsia="Times New Roman" w:cs="Arial"/>
          <w:i/>
          <w:iCs/>
          <w:color w:val="000000"/>
          <w:u w:val="single"/>
          <w:lang w:eastAsia="bg-BG"/>
        </w:rPr>
      </w:pPr>
    </w:p>
    <w:p w14:paraId="5ED69020" w14:textId="72A9B486" w:rsidR="002633AB" w:rsidRPr="002633AB" w:rsidRDefault="002633AB" w:rsidP="002633AB">
      <w:pPr>
        <w:spacing w:line="240" w:lineRule="auto"/>
        <w:rPr>
          <w:rFonts w:eastAsia="Times New Roman" w:cs="Arial"/>
          <w:sz w:val="28"/>
          <w:szCs w:val="28"/>
          <w:lang w:eastAsia="bg-BG"/>
        </w:rPr>
      </w:pPr>
      <w:r w:rsidRPr="002633AB">
        <w:rPr>
          <w:rFonts w:eastAsia="Times New Roman" w:cs="Arial"/>
          <w:i/>
          <w:iCs/>
          <w:color w:val="000000"/>
          <w:u w:val="single"/>
          <w:lang w:eastAsia="bg-BG"/>
        </w:rPr>
        <w:t>Вещества, повишаващи клирънса на КПК (намалена ефективност на КПК вследствие ензимна индукция), напр.:</w:t>
      </w:r>
    </w:p>
    <w:p w14:paraId="68640712" w14:textId="77777777"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lang w:eastAsia="bg-BG"/>
        </w:rPr>
        <w:t xml:space="preserve">Барбнтурати, босентан, карбамазепин, фенитоин, примидон, рифампицин и лекарствени продукти за лечение на </w:t>
      </w:r>
      <w:r w:rsidRPr="002633AB">
        <w:rPr>
          <w:rFonts w:eastAsia="Times New Roman" w:cs="Arial"/>
          <w:color w:val="000000"/>
          <w:lang w:val="en-US"/>
        </w:rPr>
        <w:t xml:space="preserve">HIV </w:t>
      </w:r>
      <w:r w:rsidRPr="002633AB">
        <w:rPr>
          <w:rFonts w:eastAsia="Times New Roman" w:cs="Arial"/>
          <w:color w:val="000000"/>
          <w:lang w:eastAsia="bg-BG"/>
        </w:rPr>
        <w:t>инфекции като ритонавир, невирапин и ефавиренц и вероятно също фелбамат, гризеофулвин, окскарбазепин, топирамат, както и продукти, съдържащи билката жълт кантарион (</w:t>
      </w:r>
      <w:r w:rsidRPr="002633AB">
        <w:rPr>
          <w:rFonts w:eastAsia="Times New Roman" w:cs="Arial"/>
          <w:i/>
          <w:iCs/>
          <w:color w:val="000000"/>
          <w:lang w:val="en-US"/>
        </w:rPr>
        <w:t xml:space="preserve">Hypericum </w:t>
      </w:r>
      <w:proofErr w:type="spellStart"/>
      <w:r w:rsidRPr="002633AB">
        <w:rPr>
          <w:rFonts w:eastAsia="Times New Roman" w:cs="Arial"/>
          <w:i/>
          <w:iCs/>
          <w:color w:val="000000"/>
          <w:lang w:val="en-US"/>
        </w:rPr>
        <w:t>perforatum</w:t>
      </w:r>
      <w:proofErr w:type="spellEnd"/>
      <w:r w:rsidRPr="002633AB">
        <w:rPr>
          <w:rFonts w:eastAsia="Times New Roman" w:cs="Arial"/>
          <w:i/>
          <w:iCs/>
          <w:color w:val="000000"/>
          <w:lang w:val="en-US"/>
        </w:rPr>
        <w:t>).</w:t>
      </w:r>
    </w:p>
    <w:p w14:paraId="49D51B5A" w14:textId="77777777" w:rsidR="002633AB" w:rsidRPr="002633AB" w:rsidRDefault="002633AB" w:rsidP="002633AB">
      <w:pPr>
        <w:spacing w:line="240" w:lineRule="auto"/>
        <w:rPr>
          <w:rFonts w:eastAsia="Times New Roman" w:cs="Arial"/>
          <w:i/>
          <w:iCs/>
          <w:color w:val="000000"/>
          <w:u w:val="single"/>
          <w:lang w:eastAsia="bg-BG"/>
        </w:rPr>
      </w:pPr>
    </w:p>
    <w:p w14:paraId="60702982" w14:textId="7AC099B1" w:rsidR="002633AB" w:rsidRPr="002633AB" w:rsidRDefault="002633AB" w:rsidP="002633AB">
      <w:pPr>
        <w:spacing w:line="240" w:lineRule="auto"/>
        <w:rPr>
          <w:rFonts w:eastAsia="Times New Roman" w:cs="Arial"/>
          <w:sz w:val="28"/>
          <w:szCs w:val="28"/>
          <w:lang w:eastAsia="bg-BG"/>
        </w:rPr>
      </w:pPr>
      <w:r w:rsidRPr="002633AB">
        <w:rPr>
          <w:rFonts w:eastAsia="Times New Roman" w:cs="Arial"/>
          <w:i/>
          <w:iCs/>
          <w:color w:val="000000"/>
          <w:u w:val="single"/>
          <w:lang w:eastAsia="bg-BG"/>
        </w:rPr>
        <w:t>Вещества с различен ефект върху клирънса на КПК</w:t>
      </w:r>
    </w:p>
    <w:p w14:paraId="49F5569D" w14:textId="77777777"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lang w:eastAsia="bg-BG"/>
        </w:rPr>
        <w:lastRenderedPageBreak/>
        <w:t xml:space="preserve">При едновременна употреба с КПК, много комбинации на </w:t>
      </w:r>
      <w:r w:rsidRPr="002633AB">
        <w:rPr>
          <w:rFonts w:eastAsia="Times New Roman" w:cs="Arial"/>
          <w:color w:val="000000"/>
          <w:lang w:val="en-US"/>
        </w:rPr>
        <w:t xml:space="preserve">HIV </w:t>
      </w:r>
      <w:r w:rsidRPr="002633AB">
        <w:rPr>
          <w:rFonts w:eastAsia="Times New Roman" w:cs="Arial"/>
          <w:color w:val="000000"/>
          <w:lang w:eastAsia="bg-BG"/>
        </w:rPr>
        <w:t xml:space="preserve">протеазни инхибитори и ненуклеозидни инхибитори на обратната транскриптаза, в това число комбинация с </w:t>
      </w:r>
      <w:r w:rsidRPr="002633AB">
        <w:rPr>
          <w:rFonts w:eastAsia="Times New Roman" w:cs="Arial"/>
          <w:color w:val="000000"/>
          <w:lang w:val="en-US"/>
        </w:rPr>
        <w:t xml:space="preserve">HCV </w:t>
      </w:r>
      <w:r w:rsidRPr="002633AB">
        <w:rPr>
          <w:rFonts w:eastAsia="Times New Roman" w:cs="Arial"/>
          <w:color w:val="000000"/>
          <w:lang w:eastAsia="bg-BG"/>
        </w:rPr>
        <w:t>инхибитори могат да повишат или да намалят плазмените концентрации на естроген или прогестини. В някои случаи нетният ефект на тези промени може да бъде клинично значим.</w:t>
      </w:r>
    </w:p>
    <w:p w14:paraId="512A6E3F" w14:textId="77777777" w:rsidR="002633AB" w:rsidRPr="002633AB" w:rsidRDefault="002633AB" w:rsidP="002633AB">
      <w:pPr>
        <w:spacing w:line="240" w:lineRule="auto"/>
        <w:rPr>
          <w:rFonts w:eastAsia="Times New Roman" w:cs="Arial"/>
          <w:color w:val="000000"/>
          <w:lang w:eastAsia="bg-BG"/>
        </w:rPr>
      </w:pPr>
    </w:p>
    <w:p w14:paraId="64089E93" w14:textId="0F8735DF"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lang w:eastAsia="bg-BG"/>
        </w:rPr>
        <w:t xml:space="preserve">Следователно, при едновременно прилагане на средства за лечение на </w:t>
      </w:r>
      <w:r w:rsidRPr="002633AB">
        <w:rPr>
          <w:rFonts w:eastAsia="Times New Roman" w:cs="Arial"/>
          <w:color w:val="000000"/>
          <w:lang w:val="en-US"/>
        </w:rPr>
        <w:t xml:space="preserve">HIV/HCV </w:t>
      </w:r>
      <w:r w:rsidRPr="002633AB">
        <w:rPr>
          <w:rFonts w:eastAsia="Times New Roman" w:cs="Arial"/>
          <w:color w:val="000000"/>
          <w:lang w:eastAsia="bg-BG"/>
        </w:rPr>
        <w:t>инфекции трябва да се има предвид информацията за тяхното предписване и съответните препоръки, с цел идентифициране на потенциални взаимодействия. В случай на съмнение, жените, получаващи лечение с протеазни инхибитори или ненуклеозидни инхибитори на обратната транскриптаза, трябва да използват допълнителен бариерен контрацептивен метод.</w:t>
      </w:r>
    </w:p>
    <w:p w14:paraId="640B4B7A" w14:textId="77777777" w:rsidR="002633AB" w:rsidRPr="002633AB" w:rsidRDefault="002633AB" w:rsidP="002633AB">
      <w:pPr>
        <w:spacing w:line="240" w:lineRule="auto"/>
        <w:rPr>
          <w:rFonts w:eastAsia="Times New Roman" w:cs="Arial"/>
          <w:color w:val="000000"/>
          <w:u w:val="single"/>
          <w:lang w:eastAsia="bg-BG"/>
        </w:rPr>
      </w:pPr>
    </w:p>
    <w:p w14:paraId="39B84991" w14:textId="63D4569A"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u w:val="single"/>
          <w:lang w:eastAsia="bg-BG"/>
        </w:rPr>
        <w:t>Влияние на Линдинет 20 върху други лекарствени продукти</w:t>
      </w:r>
    </w:p>
    <w:p w14:paraId="6DEB032F" w14:textId="77777777"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lang w:eastAsia="bg-BG"/>
        </w:rPr>
        <w:t>Пероралните контрацептиви могат да повлияят метаболизма на някои други активни вещества. Съответно, плазмените и тъканните концентрации могат да се повишат (напр. циклоспорин) или понижат (напр. ламотрижин).</w:t>
      </w:r>
    </w:p>
    <w:p w14:paraId="703D4A70" w14:textId="77777777" w:rsidR="002633AB" w:rsidRPr="002633AB" w:rsidRDefault="002633AB" w:rsidP="002633AB">
      <w:pPr>
        <w:spacing w:line="240" w:lineRule="auto"/>
        <w:rPr>
          <w:rFonts w:eastAsia="Times New Roman" w:cs="Arial"/>
          <w:b/>
          <w:bCs/>
          <w:color w:val="000000"/>
          <w:lang w:eastAsia="bg-BG"/>
        </w:rPr>
      </w:pPr>
    </w:p>
    <w:p w14:paraId="6BE61529" w14:textId="205B78FD" w:rsidR="002633AB" w:rsidRPr="002633AB" w:rsidRDefault="002633AB" w:rsidP="002633AB">
      <w:pPr>
        <w:spacing w:line="240" w:lineRule="auto"/>
        <w:rPr>
          <w:rFonts w:eastAsia="Times New Roman" w:cs="Arial"/>
          <w:sz w:val="28"/>
          <w:szCs w:val="28"/>
          <w:lang w:eastAsia="bg-BG"/>
        </w:rPr>
      </w:pPr>
      <w:r w:rsidRPr="002633AB">
        <w:rPr>
          <w:rFonts w:eastAsia="Times New Roman" w:cs="Arial"/>
          <w:b/>
          <w:bCs/>
          <w:color w:val="000000"/>
          <w:lang w:eastAsia="bg-BG"/>
        </w:rPr>
        <w:t>Лабораторни тестове</w:t>
      </w:r>
    </w:p>
    <w:p w14:paraId="74C6C618" w14:textId="77777777"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lang w:eastAsia="bg-BG"/>
        </w:rPr>
        <w:t>Употребата на контрацептивни стероиди може да повлияе върху резултатите от някои лабораторни изследвания, включително биохимичните параметри на чернодробната, тиреоидна, надбъбречна и бъбречна функции, плазмената концентрация на (транспортните) протеини, напр. кортикостероид-свързващия глобулин и липидните или липопротеиновите фракции, параметри на обмяната на въглехидрати и параметри на кръвосъсирване и</w:t>
      </w:r>
      <w:r w:rsidRPr="002633AB">
        <w:rPr>
          <w:rFonts w:eastAsia="Times New Roman" w:cs="Arial"/>
          <w:smallCaps/>
          <w:color w:val="000000"/>
          <w:sz w:val="16"/>
          <w:szCs w:val="16"/>
          <w:lang w:eastAsia="bg-BG"/>
        </w:rPr>
        <w:t xml:space="preserve"> </w:t>
      </w:r>
      <w:r w:rsidRPr="002633AB">
        <w:rPr>
          <w:rFonts w:eastAsia="Times New Roman" w:cs="Arial"/>
          <w:color w:val="000000"/>
          <w:lang w:eastAsia="bg-BG"/>
        </w:rPr>
        <w:t>фибринолиза. Промените обикновено остават в нормалните лабораторни граници</w:t>
      </w:r>
    </w:p>
    <w:p w14:paraId="017BEB62" w14:textId="77777777" w:rsidR="002633AB" w:rsidRPr="002633AB" w:rsidRDefault="002633AB" w:rsidP="002633AB"/>
    <w:p w14:paraId="48846BBA" w14:textId="090B2A2D" w:rsidR="009F77A4" w:rsidRDefault="002C50EE" w:rsidP="00387A66">
      <w:pPr>
        <w:pStyle w:val="Heading2"/>
      </w:pPr>
      <w:r>
        <w:t>4.6. Фертилитет, бременност и кърмене</w:t>
      </w:r>
    </w:p>
    <w:p w14:paraId="0C5DB46D" w14:textId="01DF764B" w:rsidR="002633AB" w:rsidRDefault="002633AB" w:rsidP="002633AB"/>
    <w:p w14:paraId="452E527D" w14:textId="77777777" w:rsidR="002633AB" w:rsidRPr="002633AB" w:rsidRDefault="002633AB" w:rsidP="002633AB">
      <w:pPr>
        <w:pStyle w:val="Heading3"/>
        <w:rPr>
          <w:rFonts w:eastAsia="Times New Roman"/>
          <w:b/>
          <w:bCs/>
          <w:sz w:val="28"/>
          <w:szCs w:val="28"/>
          <w:lang w:eastAsia="bg-BG"/>
        </w:rPr>
      </w:pPr>
      <w:r w:rsidRPr="002633AB">
        <w:rPr>
          <w:rFonts w:eastAsia="Times New Roman"/>
          <w:b/>
          <w:bCs/>
          <w:lang w:eastAsia="bg-BG"/>
        </w:rPr>
        <w:t>Бременност</w:t>
      </w:r>
    </w:p>
    <w:p w14:paraId="1D1F5D74" w14:textId="77777777"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lang w:eastAsia="bg-BG"/>
        </w:rPr>
        <w:t>Преди започване на приема на Линдинет 20 трябва да бъде изключена възможна бременност.</w:t>
      </w:r>
    </w:p>
    <w:p w14:paraId="1AB35BFF" w14:textId="77777777" w:rsidR="002633AB" w:rsidRPr="002633AB" w:rsidRDefault="002633AB" w:rsidP="002633AB">
      <w:pPr>
        <w:spacing w:line="240" w:lineRule="auto"/>
        <w:rPr>
          <w:rFonts w:eastAsia="Times New Roman" w:cs="Arial"/>
          <w:color w:val="000000"/>
          <w:lang w:eastAsia="bg-BG"/>
        </w:rPr>
      </w:pPr>
    </w:p>
    <w:p w14:paraId="5750EF06" w14:textId="21A038E5"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lang w:eastAsia="bg-BG"/>
        </w:rPr>
        <w:t>При настъпване на бременност по време на лечение с КПК, последващия прием трябва да бъде преустановен. Няма категорични доказателства, че съдържащите се в КПК естроген и прогестин могат да причинят увреждане на развиващото се дете при случайно зачеване по време на употреба на КПК (вж. точка 4.3).</w:t>
      </w:r>
    </w:p>
    <w:p w14:paraId="55A04D6A" w14:textId="77777777" w:rsidR="002633AB" w:rsidRPr="002633AB" w:rsidRDefault="002633AB" w:rsidP="002633AB">
      <w:pPr>
        <w:spacing w:line="240" w:lineRule="auto"/>
        <w:rPr>
          <w:rFonts w:eastAsia="Times New Roman" w:cs="Arial"/>
          <w:color w:val="000000"/>
          <w:lang w:eastAsia="bg-BG"/>
        </w:rPr>
      </w:pPr>
    </w:p>
    <w:p w14:paraId="56EEA8BF" w14:textId="6DDD15F5"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lang w:eastAsia="bg-BG"/>
        </w:rPr>
        <w:t>При възобновяване на приема на Линдинет 20 трябва да се има предвид повишеният риск от венозна тромбоемболия (ВТЕ) по време на следродовия период (вж. точки 4.2 и 4.4),</w:t>
      </w:r>
    </w:p>
    <w:p w14:paraId="42CB3F1A" w14:textId="77777777" w:rsidR="002633AB" w:rsidRPr="002633AB" w:rsidRDefault="002633AB" w:rsidP="002633AB">
      <w:pPr>
        <w:spacing w:line="240" w:lineRule="auto"/>
        <w:rPr>
          <w:rFonts w:eastAsia="Times New Roman" w:cs="Arial"/>
          <w:b/>
          <w:bCs/>
          <w:color w:val="000000"/>
          <w:lang w:eastAsia="bg-BG"/>
        </w:rPr>
      </w:pPr>
    </w:p>
    <w:p w14:paraId="1CCC92FC" w14:textId="01C6CDA1" w:rsidR="002633AB" w:rsidRPr="002633AB" w:rsidRDefault="002633AB" w:rsidP="002633AB">
      <w:pPr>
        <w:pStyle w:val="Heading3"/>
        <w:rPr>
          <w:rFonts w:eastAsia="Times New Roman"/>
          <w:b/>
          <w:bCs/>
          <w:sz w:val="28"/>
          <w:szCs w:val="28"/>
          <w:lang w:eastAsia="bg-BG"/>
        </w:rPr>
      </w:pPr>
      <w:r w:rsidRPr="002633AB">
        <w:rPr>
          <w:rFonts w:eastAsia="Times New Roman"/>
          <w:b/>
          <w:bCs/>
          <w:lang w:eastAsia="bg-BG"/>
        </w:rPr>
        <w:t>Кърмене</w:t>
      </w:r>
    </w:p>
    <w:p w14:paraId="6F2FA117" w14:textId="77777777"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lang w:eastAsia="bg-BG"/>
        </w:rPr>
        <w:t>Малки количества стероиди от пероралните контрацептиви са откривани в млякото на кърмачки и са съобщавани някои нежелани реакции при детето, включително жълтеница и уголемяване на гърдите.</w:t>
      </w:r>
    </w:p>
    <w:p w14:paraId="1143DD81" w14:textId="77777777"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lang w:eastAsia="bg-BG"/>
        </w:rPr>
        <w:t>КПК могат да повлияят кърменето, тъй като могат да намалят количеството на кърмата и да променят състава й.</w:t>
      </w:r>
    </w:p>
    <w:p w14:paraId="6DACE709" w14:textId="77777777" w:rsidR="002633AB" w:rsidRPr="002633AB" w:rsidRDefault="002633AB" w:rsidP="002633AB">
      <w:pPr>
        <w:spacing w:line="240" w:lineRule="auto"/>
        <w:rPr>
          <w:rFonts w:eastAsia="Times New Roman" w:cs="Arial"/>
          <w:color w:val="000000"/>
          <w:lang w:eastAsia="bg-BG"/>
        </w:rPr>
      </w:pPr>
    </w:p>
    <w:p w14:paraId="739551F0" w14:textId="0A40A955" w:rsidR="002633AB" w:rsidRPr="002633AB" w:rsidRDefault="002633AB" w:rsidP="002633AB">
      <w:pPr>
        <w:spacing w:line="240" w:lineRule="auto"/>
        <w:rPr>
          <w:rFonts w:eastAsia="Times New Roman" w:cs="Arial"/>
          <w:sz w:val="28"/>
          <w:szCs w:val="28"/>
          <w:lang w:eastAsia="bg-BG"/>
        </w:rPr>
      </w:pPr>
      <w:r w:rsidRPr="002633AB">
        <w:rPr>
          <w:rFonts w:eastAsia="Times New Roman" w:cs="Arial"/>
          <w:color w:val="000000"/>
          <w:lang w:eastAsia="bg-BG"/>
        </w:rPr>
        <w:lastRenderedPageBreak/>
        <w:t>Линдинет 20 не трябва да се използва по време на кърмене.</w:t>
      </w:r>
    </w:p>
    <w:p w14:paraId="74C9D3AA" w14:textId="77777777" w:rsidR="002633AB" w:rsidRPr="002633AB" w:rsidRDefault="002633AB" w:rsidP="002633AB"/>
    <w:p w14:paraId="321AAB00" w14:textId="2F51A56F" w:rsidR="009F77A4" w:rsidRDefault="002C50EE" w:rsidP="00387A66">
      <w:pPr>
        <w:pStyle w:val="Heading2"/>
      </w:pPr>
      <w:r>
        <w:t>4.7. Ефекти върху способността за шофиране и работа с машини</w:t>
      </w:r>
    </w:p>
    <w:p w14:paraId="6A444DD7" w14:textId="596B2BFD" w:rsidR="002633AB" w:rsidRDefault="002633AB" w:rsidP="002633AB"/>
    <w:p w14:paraId="7F835E8D" w14:textId="4D727EA4" w:rsidR="002633AB" w:rsidRDefault="002633AB" w:rsidP="002633AB">
      <w:r>
        <w:t>Линдинет 20 няма или има незначително влияние върху способността за шофиране и работа с машини.</w:t>
      </w:r>
    </w:p>
    <w:p w14:paraId="3C712F5F" w14:textId="77777777" w:rsidR="002633AB" w:rsidRPr="002633AB" w:rsidRDefault="002633AB" w:rsidP="002633AB"/>
    <w:p w14:paraId="136C86B8" w14:textId="19775644" w:rsidR="009F77A4" w:rsidRDefault="002C50EE" w:rsidP="00387A66">
      <w:pPr>
        <w:pStyle w:val="Heading2"/>
      </w:pPr>
      <w:r>
        <w:t>4.8. Нежелани лекарствени реакции</w:t>
      </w:r>
    </w:p>
    <w:p w14:paraId="123525A1" w14:textId="1BF14A70" w:rsidR="002633AB" w:rsidRDefault="002633AB" w:rsidP="002633AB"/>
    <w:p w14:paraId="46095BE6" w14:textId="77777777" w:rsidR="002633AB" w:rsidRPr="002633AB" w:rsidRDefault="002633AB" w:rsidP="002633AB">
      <w:pPr>
        <w:rPr>
          <w:sz w:val="24"/>
          <w:szCs w:val="24"/>
          <w:lang w:eastAsia="bg-BG"/>
        </w:rPr>
      </w:pPr>
      <w:r w:rsidRPr="002633AB">
        <w:rPr>
          <w:lang w:eastAsia="bg-BG"/>
        </w:rPr>
        <w:t>Съобщени са нежелани лекарствени реакции със следната честота:</w:t>
      </w:r>
    </w:p>
    <w:p w14:paraId="70175D52" w14:textId="77777777" w:rsidR="002633AB" w:rsidRPr="002633AB" w:rsidRDefault="002633AB" w:rsidP="002633AB">
      <w:pPr>
        <w:rPr>
          <w:sz w:val="24"/>
          <w:szCs w:val="24"/>
          <w:lang w:eastAsia="bg-BG"/>
        </w:rPr>
      </w:pPr>
      <w:r w:rsidRPr="002633AB">
        <w:rPr>
          <w:lang w:eastAsia="bg-BG"/>
        </w:rPr>
        <w:t>Много чести: (≥1/10);</w:t>
      </w:r>
    </w:p>
    <w:p w14:paraId="4B63F9AA" w14:textId="77777777" w:rsidR="002633AB" w:rsidRPr="002633AB" w:rsidRDefault="002633AB" w:rsidP="002633AB">
      <w:pPr>
        <w:rPr>
          <w:sz w:val="24"/>
          <w:szCs w:val="24"/>
          <w:lang w:eastAsia="bg-BG"/>
        </w:rPr>
      </w:pPr>
      <w:r w:rsidRPr="002633AB">
        <w:rPr>
          <w:lang w:eastAsia="bg-BG"/>
        </w:rPr>
        <w:t>Чести: (≥1/100 до &lt;1/10);</w:t>
      </w:r>
    </w:p>
    <w:p w14:paraId="556DD7BB" w14:textId="77777777" w:rsidR="002633AB" w:rsidRPr="002633AB" w:rsidRDefault="002633AB" w:rsidP="002633AB">
      <w:pPr>
        <w:rPr>
          <w:sz w:val="24"/>
          <w:szCs w:val="24"/>
          <w:lang w:eastAsia="bg-BG"/>
        </w:rPr>
      </w:pPr>
      <w:r w:rsidRPr="002633AB">
        <w:rPr>
          <w:lang w:eastAsia="bg-BG"/>
        </w:rPr>
        <w:t>Нечести: (≥1/1 000 до &lt;1/100);</w:t>
      </w:r>
    </w:p>
    <w:p w14:paraId="71FA0D21" w14:textId="77777777" w:rsidR="002633AB" w:rsidRPr="002633AB" w:rsidRDefault="002633AB" w:rsidP="002633AB">
      <w:pPr>
        <w:rPr>
          <w:sz w:val="24"/>
          <w:szCs w:val="24"/>
          <w:lang w:eastAsia="bg-BG"/>
        </w:rPr>
      </w:pPr>
      <w:r w:rsidRPr="002633AB">
        <w:rPr>
          <w:lang w:eastAsia="bg-BG"/>
        </w:rPr>
        <w:t>Редки: (≥1/10 000 до &lt;1/1 000);</w:t>
      </w:r>
    </w:p>
    <w:p w14:paraId="20D68FEB" w14:textId="77777777" w:rsidR="002633AB" w:rsidRPr="002633AB" w:rsidRDefault="002633AB" w:rsidP="002633AB">
      <w:pPr>
        <w:rPr>
          <w:sz w:val="24"/>
          <w:szCs w:val="24"/>
          <w:lang w:eastAsia="bg-BG"/>
        </w:rPr>
      </w:pPr>
      <w:r w:rsidRPr="002633AB">
        <w:rPr>
          <w:lang w:eastAsia="bg-BG"/>
        </w:rPr>
        <w:t>Много редки (&lt;1/10 000),</w:t>
      </w:r>
    </w:p>
    <w:p w14:paraId="12C15FF7" w14:textId="7CD54E71" w:rsidR="002633AB" w:rsidRDefault="002633AB" w:rsidP="002633AB">
      <w:pPr>
        <w:rPr>
          <w:lang w:eastAsia="bg-BG"/>
        </w:rPr>
      </w:pPr>
      <w:r w:rsidRPr="002633AB">
        <w:rPr>
          <w:lang w:eastAsia="bg-BG"/>
        </w:rPr>
        <w:t>С неизвестна честота: (въз основа на наличните данни не може да бъде направена оценка).</w:t>
      </w:r>
    </w:p>
    <w:p w14:paraId="1E2F2D21" w14:textId="13E986BD" w:rsidR="002633AB" w:rsidRDefault="002633AB" w:rsidP="002633AB">
      <w:pPr>
        <w:rPr>
          <w:rFonts w:ascii="Times New Roman" w:eastAsia="Times New Roman" w:hAnsi="Times New Roman" w:cs="Times New Roman"/>
          <w:color w:val="000000"/>
          <w:sz w:val="20"/>
          <w:szCs w:val="20"/>
          <w:lang w:eastAsia="bg-BG"/>
        </w:rPr>
      </w:pPr>
    </w:p>
    <w:tbl>
      <w:tblPr>
        <w:tblStyle w:val="TableGrid"/>
        <w:tblW w:w="0" w:type="auto"/>
        <w:tblLook w:val="04A0" w:firstRow="1" w:lastRow="0" w:firstColumn="1" w:lastColumn="0" w:noHBand="0" w:noVBand="1"/>
      </w:tblPr>
      <w:tblGrid>
        <w:gridCol w:w="4652"/>
        <w:gridCol w:w="4698"/>
      </w:tblGrid>
      <w:tr w:rsidR="002633AB" w14:paraId="1BE35895" w14:textId="77777777" w:rsidTr="002633AB">
        <w:tc>
          <w:tcPr>
            <w:tcW w:w="4750" w:type="dxa"/>
          </w:tcPr>
          <w:p w14:paraId="0ED6F333" w14:textId="4E83A8A0" w:rsidR="002633AB" w:rsidRPr="002633AB" w:rsidRDefault="002633AB" w:rsidP="002633AB">
            <w:pPr>
              <w:rPr>
                <w:rFonts w:ascii="Times New Roman" w:eastAsia="Times New Roman" w:hAnsi="Times New Roman" w:cs="Times New Roman"/>
                <w:color w:val="000000"/>
                <w:lang w:eastAsia="bg-BG"/>
              </w:rPr>
            </w:pPr>
            <w:r w:rsidRPr="002633AB">
              <w:rPr>
                <w:b/>
                <w:bCs/>
              </w:rPr>
              <w:t xml:space="preserve">Системо органни класове </w:t>
            </w:r>
            <w:r w:rsidRPr="002633AB">
              <w:rPr>
                <w:b/>
                <w:bCs/>
                <w:lang w:val="en-US"/>
              </w:rPr>
              <w:t>MedDRA</w:t>
            </w:r>
          </w:p>
        </w:tc>
        <w:tc>
          <w:tcPr>
            <w:tcW w:w="4750" w:type="dxa"/>
          </w:tcPr>
          <w:p w14:paraId="673CA06D" w14:textId="2BE8F07F" w:rsidR="002633AB" w:rsidRPr="002633AB" w:rsidRDefault="002633AB" w:rsidP="002633AB">
            <w:pPr>
              <w:rPr>
                <w:rFonts w:ascii="Times New Roman" w:eastAsia="Times New Roman" w:hAnsi="Times New Roman" w:cs="Times New Roman"/>
                <w:color w:val="000000"/>
                <w:lang w:eastAsia="bg-BG"/>
              </w:rPr>
            </w:pPr>
            <w:r w:rsidRPr="002633AB">
              <w:rPr>
                <w:b/>
                <w:bCs/>
              </w:rPr>
              <w:t>Нежелана реакция</w:t>
            </w:r>
          </w:p>
        </w:tc>
      </w:tr>
      <w:tr w:rsidR="002633AB" w14:paraId="435B819A" w14:textId="77777777" w:rsidTr="002633AB">
        <w:tc>
          <w:tcPr>
            <w:tcW w:w="4750" w:type="dxa"/>
          </w:tcPr>
          <w:p w14:paraId="7BC9FD94" w14:textId="225F00F8" w:rsidR="002633AB" w:rsidRPr="002633AB" w:rsidRDefault="002633AB" w:rsidP="002633AB">
            <w:pPr>
              <w:rPr>
                <w:rFonts w:ascii="Times New Roman" w:eastAsia="Times New Roman" w:hAnsi="Times New Roman" w:cs="Times New Roman"/>
                <w:color w:val="000000"/>
                <w:lang w:eastAsia="bg-BG"/>
              </w:rPr>
            </w:pPr>
            <w:r w:rsidRPr="002633AB">
              <w:rPr>
                <w:b/>
                <w:bCs/>
              </w:rPr>
              <w:t>Инфекции и инфестации Чести</w:t>
            </w:r>
          </w:p>
        </w:tc>
        <w:tc>
          <w:tcPr>
            <w:tcW w:w="4750" w:type="dxa"/>
          </w:tcPr>
          <w:p w14:paraId="0F12127A" w14:textId="31B4F2DA" w:rsidR="002633AB" w:rsidRPr="002633AB" w:rsidRDefault="002633AB" w:rsidP="002633AB">
            <w:pPr>
              <w:rPr>
                <w:rFonts w:ascii="Times New Roman" w:eastAsia="Times New Roman" w:hAnsi="Times New Roman" w:cs="Times New Roman"/>
                <w:color w:val="000000"/>
                <w:lang w:eastAsia="bg-BG"/>
              </w:rPr>
            </w:pPr>
            <w:r w:rsidRPr="002633AB">
              <w:t>Вагинит, в това число кандидиази</w:t>
            </w:r>
          </w:p>
        </w:tc>
      </w:tr>
      <w:tr w:rsidR="002633AB" w14:paraId="45F0AD3B" w14:textId="77777777" w:rsidTr="002633AB">
        <w:tc>
          <w:tcPr>
            <w:tcW w:w="4750" w:type="dxa"/>
          </w:tcPr>
          <w:p w14:paraId="05D556FC" w14:textId="77777777" w:rsidR="002633AB" w:rsidRPr="002633AB" w:rsidRDefault="002633AB" w:rsidP="002633AB">
            <w:r w:rsidRPr="002633AB">
              <w:rPr>
                <w:b/>
                <w:bCs/>
              </w:rPr>
              <w:t>Неоплазми - доброкачествени, злокачествени и неопределени (вкл. кисти и полипи)</w:t>
            </w:r>
          </w:p>
          <w:p w14:paraId="2887BC06" w14:textId="6476C774" w:rsidR="002633AB" w:rsidRPr="002633AB" w:rsidRDefault="002633AB" w:rsidP="002633AB">
            <w:pPr>
              <w:rPr>
                <w:rFonts w:ascii="Times New Roman" w:eastAsia="Times New Roman" w:hAnsi="Times New Roman" w:cs="Times New Roman"/>
                <w:color w:val="000000"/>
                <w:lang w:eastAsia="bg-BG"/>
              </w:rPr>
            </w:pPr>
            <w:r w:rsidRPr="002633AB">
              <w:t>Много редки</w:t>
            </w:r>
          </w:p>
        </w:tc>
        <w:tc>
          <w:tcPr>
            <w:tcW w:w="4750" w:type="dxa"/>
          </w:tcPr>
          <w:p w14:paraId="596055F1" w14:textId="77777777" w:rsidR="002633AB" w:rsidRDefault="002633AB" w:rsidP="002633AB"/>
          <w:p w14:paraId="762A0F0D" w14:textId="77777777" w:rsidR="002633AB" w:rsidRDefault="002633AB" w:rsidP="002633AB"/>
          <w:p w14:paraId="29CEA770" w14:textId="77777777" w:rsidR="002633AB" w:rsidRDefault="002633AB" w:rsidP="002633AB"/>
          <w:p w14:paraId="7A450C2A" w14:textId="4690530B" w:rsidR="002633AB" w:rsidRPr="002633AB" w:rsidRDefault="002633AB" w:rsidP="002633AB">
            <w:pPr>
              <w:rPr>
                <w:rFonts w:ascii="Times New Roman" w:eastAsia="Times New Roman" w:hAnsi="Times New Roman" w:cs="Times New Roman"/>
                <w:color w:val="000000"/>
                <w:lang w:eastAsia="bg-BG"/>
              </w:rPr>
            </w:pPr>
            <w:r w:rsidRPr="002633AB">
              <w:t>Хепатоцелуларен карцином</w:t>
            </w:r>
          </w:p>
        </w:tc>
      </w:tr>
      <w:tr w:rsidR="002633AB" w14:paraId="42EAD085" w14:textId="77777777" w:rsidTr="002633AB">
        <w:tc>
          <w:tcPr>
            <w:tcW w:w="4750" w:type="dxa"/>
          </w:tcPr>
          <w:p w14:paraId="7FD1DDAF" w14:textId="77777777" w:rsidR="002633AB" w:rsidRPr="002633AB" w:rsidRDefault="002633AB" w:rsidP="002633AB">
            <w:r w:rsidRPr="002633AB">
              <w:rPr>
                <w:b/>
                <w:bCs/>
              </w:rPr>
              <w:t>Нарушения на имунната система</w:t>
            </w:r>
          </w:p>
          <w:p w14:paraId="31328699" w14:textId="77777777" w:rsidR="002633AB" w:rsidRPr="002633AB" w:rsidRDefault="002633AB" w:rsidP="002633AB">
            <w:r w:rsidRPr="002633AB">
              <w:t>Редки</w:t>
            </w:r>
          </w:p>
          <w:p w14:paraId="71F4383B" w14:textId="77777777" w:rsidR="002633AB" w:rsidRDefault="002633AB" w:rsidP="002633AB"/>
          <w:p w14:paraId="39AF84A8" w14:textId="77777777" w:rsidR="002633AB" w:rsidRDefault="002633AB" w:rsidP="002633AB">
            <w:r w:rsidRPr="002633AB">
              <w:t>Много редки</w:t>
            </w:r>
          </w:p>
          <w:p w14:paraId="79C01C30" w14:textId="77777777" w:rsidR="002633AB" w:rsidRDefault="002633AB" w:rsidP="002633AB"/>
          <w:p w14:paraId="3D328195" w14:textId="70DCD7BA" w:rsidR="002633AB" w:rsidRPr="002633AB" w:rsidRDefault="002633AB" w:rsidP="002633AB">
            <w:pPr>
              <w:rPr>
                <w:rFonts w:ascii="Times New Roman" w:eastAsia="Times New Roman" w:hAnsi="Times New Roman" w:cs="Times New Roman"/>
                <w:color w:val="000000"/>
                <w:lang w:eastAsia="bg-BG"/>
              </w:rPr>
            </w:pPr>
            <w:r>
              <w:rPr>
                <w:sz w:val="20"/>
                <w:szCs w:val="20"/>
              </w:rPr>
              <w:t>С неизвестна честота</w:t>
            </w:r>
          </w:p>
        </w:tc>
        <w:tc>
          <w:tcPr>
            <w:tcW w:w="4750" w:type="dxa"/>
          </w:tcPr>
          <w:p w14:paraId="2E8FFE49" w14:textId="77777777" w:rsidR="002633AB" w:rsidRPr="002633AB" w:rsidRDefault="002633AB" w:rsidP="002633AB">
            <w:pPr>
              <w:rPr>
                <w:rFonts w:cs="Arial"/>
              </w:rPr>
            </w:pPr>
            <w:r w:rsidRPr="002633AB">
              <w:rPr>
                <w:rFonts w:cs="Arial"/>
              </w:rPr>
              <w:t>Анафилактинии/анафилактоидни реакции, в това число много редки</w:t>
            </w:r>
          </w:p>
          <w:p w14:paraId="651B0FC2" w14:textId="77777777" w:rsidR="002633AB" w:rsidRPr="002633AB" w:rsidRDefault="002633AB" w:rsidP="002633AB">
            <w:pPr>
              <w:rPr>
                <w:rFonts w:cs="Arial"/>
              </w:rPr>
            </w:pPr>
            <w:r w:rsidRPr="002633AB">
              <w:rPr>
                <w:rFonts w:cs="Arial"/>
              </w:rPr>
              <w:t>случаи на уртикария, ангиодем и сериозни реакции с циркулаторни и респираторни симптоми</w:t>
            </w:r>
          </w:p>
          <w:p w14:paraId="541ED806" w14:textId="77777777" w:rsidR="002633AB" w:rsidRPr="002633AB" w:rsidRDefault="002633AB" w:rsidP="002633AB">
            <w:pPr>
              <w:rPr>
                <w:rFonts w:cs="Arial"/>
              </w:rPr>
            </w:pPr>
          </w:p>
          <w:p w14:paraId="6875F3E3" w14:textId="77777777" w:rsidR="002633AB" w:rsidRPr="002633AB" w:rsidRDefault="002633AB" w:rsidP="002633AB">
            <w:pPr>
              <w:rPr>
                <w:rFonts w:eastAsia="Times New Roman" w:cs="Arial"/>
                <w:lang w:eastAsia="bg-BG"/>
              </w:rPr>
            </w:pPr>
            <w:r w:rsidRPr="002633AB">
              <w:rPr>
                <w:rFonts w:cs="Arial"/>
              </w:rPr>
              <w:t>Обостряне на системен лупус</w:t>
            </w:r>
            <w:r w:rsidRPr="002633AB">
              <w:rPr>
                <w:rFonts w:cs="Arial"/>
                <w:lang w:val="en-US"/>
              </w:rPr>
              <w:t xml:space="preserve"> </w:t>
            </w:r>
            <w:r w:rsidRPr="002633AB">
              <w:rPr>
                <w:rFonts w:eastAsia="Times New Roman" w:cs="Arial"/>
                <w:color w:val="000000"/>
                <w:lang w:eastAsia="bg-BG"/>
              </w:rPr>
              <w:t>еритематозус</w:t>
            </w:r>
          </w:p>
          <w:p w14:paraId="4AF31C97" w14:textId="77777777" w:rsidR="002633AB" w:rsidRPr="002633AB" w:rsidRDefault="002633AB" w:rsidP="002633AB">
            <w:pPr>
              <w:spacing w:line="240" w:lineRule="auto"/>
              <w:rPr>
                <w:rFonts w:eastAsia="Times New Roman" w:cs="Arial"/>
                <w:color w:val="000000"/>
                <w:lang w:eastAsia="bg-BG"/>
              </w:rPr>
            </w:pPr>
          </w:p>
          <w:p w14:paraId="101A47A0" w14:textId="3C169F89" w:rsidR="002633AB" w:rsidRPr="002633AB" w:rsidRDefault="002633AB" w:rsidP="002633AB">
            <w:pPr>
              <w:spacing w:line="240" w:lineRule="auto"/>
              <w:rPr>
                <w:rFonts w:eastAsia="Times New Roman" w:cs="Arial"/>
                <w:lang w:eastAsia="bg-BG"/>
              </w:rPr>
            </w:pPr>
            <w:r w:rsidRPr="002633AB">
              <w:rPr>
                <w:rFonts w:eastAsia="Times New Roman" w:cs="Arial"/>
                <w:color w:val="000000"/>
                <w:lang w:eastAsia="bg-BG"/>
              </w:rPr>
              <w:t>Обостряне на симптомите на наследствен и придобит ангиоедем</w:t>
            </w:r>
          </w:p>
          <w:p w14:paraId="55A2001A" w14:textId="5B3A77C6" w:rsidR="002633AB" w:rsidRPr="002633AB" w:rsidRDefault="002633AB" w:rsidP="002633AB">
            <w:pPr>
              <w:rPr>
                <w:rFonts w:ascii="Times New Roman" w:eastAsia="Times New Roman" w:hAnsi="Times New Roman" w:cs="Times New Roman"/>
                <w:color w:val="000000"/>
                <w:lang w:val="en-US" w:eastAsia="bg-BG"/>
              </w:rPr>
            </w:pPr>
          </w:p>
        </w:tc>
      </w:tr>
      <w:tr w:rsidR="002633AB" w14:paraId="15EF0EAA" w14:textId="77777777" w:rsidTr="002633AB">
        <w:tc>
          <w:tcPr>
            <w:tcW w:w="4750" w:type="dxa"/>
          </w:tcPr>
          <w:p w14:paraId="381CCC39" w14:textId="77777777" w:rsidR="002633AB" w:rsidRPr="002633AB" w:rsidRDefault="002633AB" w:rsidP="002633AB">
            <w:r w:rsidRPr="002633AB">
              <w:rPr>
                <w:b/>
                <w:bCs/>
              </w:rPr>
              <w:t>Нарушения на метаболизма н храненето</w:t>
            </w:r>
          </w:p>
          <w:p w14:paraId="056E9A40" w14:textId="77777777" w:rsidR="002633AB" w:rsidRDefault="002633AB" w:rsidP="002633AB"/>
          <w:p w14:paraId="43D381E5" w14:textId="1C6262A2" w:rsidR="002633AB" w:rsidRPr="002633AB" w:rsidRDefault="002633AB" w:rsidP="002633AB">
            <w:r w:rsidRPr="002633AB">
              <w:t>Чести</w:t>
            </w:r>
          </w:p>
          <w:p w14:paraId="138FB431" w14:textId="77777777" w:rsidR="002633AB" w:rsidRDefault="002633AB" w:rsidP="002633AB"/>
          <w:p w14:paraId="242B0A35" w14:textId="7F2041F8" w:rsidR="002633AB" w:rsidRPr="002633AB" w:rsidRDefault="002633AB" w:rsidP="002633AB">
            <w:r w:rsidRPr="002633AB">
              <w:t>Нечести</w:t>
            </w:r>
          </w:p>
          <w:p w14:paraId="2D6BA96E" w14:textId="77777777" w:rsidR="002633AB" w:rsidRDefault="002633AB" w:rsidP="002633AB"/>
          <w:p w14:paraId="223348D4" w14:textId="0B008143" w:rsidR="002633AB" w:rsidRPr="002633AB" w:rsidRDefault="002633AB" w:rsidP="002633AB">
            <w:r w:rsidRPr="002633AB">
              <w:t>Редки</w:t>
            </w:r>
          </w:p>
          <w:p w14:paraId="072F10A8" w14:textId="77777777" w:rsidR="002633AB" w:rsidRDefault="002633AB" w:rsidP="002633AB"/>
          <w:p w14:paraId="454E4772" w14:textId="164F9C62" w:rsidR="002633AB" w:rsidRPr="002633AB" w:rsidRDefault="002633AB" w:rsidP="002633AB">
            <w:pPr>
              <w:rPr>
                <w:rFonts w:ascii="Times New Roman" w:eastAsia="Times New Roman" w:hAnsi="Times New Roman" w:cs="Times New Roman"/>
                <w:color w:val="000000"/>
                <w:lang w:eastAsia="bg-BG"/>
              </w:rPr>
            </w:pPr>
            <w:r w:rsidRPr="002633AB">
              <w:t>Много редки</w:t>
            </w:r>
          </w:p>
        </w:tc>
        <w:tc>
          <w:tcPr>
            <w:tcW w:w="4750" w:type="dxa"/>
          </w:tcPr>
          <w:p w14:paraId="0787B9A4" w14:textId="77777777" w:rsidR="002633AB" w:rsidRPr="002633AB" w:rsidRDefault="002633AB" w:rsidP="002633AB"/>
          <w:p w14:paraId="7CE97AED" w14:textId="77777777" w:rsidR="002633AB" w:rsidRPr="002633AB" w:rsidRDefault="002633AB" w:rsidP="002633AB">
            <w:r w:rsidRPr="002633AB">
              <w:t>Промени в телесното тегло (повишение или намаление)</w:t>
            </w:r>
          </w:p>
          <w:p w14:paraId="679BD747" w14:textId="77777777" w:rsidR="002633AB" w:rsidRDefault="002633AB" w:rsidP="002633AB"/>
          <w:p w14:paraId="241DD8B3" w14:textId="339EA139" w:rsidR="002633AB" w:rsidRPr="002633AB" w:rsidRDefault="002633AB" w:rsidP="002633AB">
            <w:r w:rsidRPr="002633AB">
              <w:t>Промени в нивото на серумните липиди, включително хипергриглицеридемия, промени в апетита (повишен или намален)</w:t>
            </w:r>
          </w:p>
          <w:p w14:paraId="448254C6" w14:textId="77777777" w:rsidR="002633AB" w:rsidRDefault="002633AB" w:rsidP="002633AB"/>
          <w:p w14:paraId="280F1595" w14:textId="609EBB3F" w:rsidR="002633AB" w:rsidRPr="002633AB" w:rsidRDefault="002633AB" w:rsidP="002633AB">
            <w:r w:rsidRPr="002633AB">
              <w:t>Понижено ниво на серумните фолати*, глюкозен интолеранс</w:t>
            </w:r>
          </w:p>
          <w:p w14:paraId="79C38470" w14:textId="77777777" w:rsidR="002633AB" w:rsidRDefault="002633AB" w:rsidP="002633AB"/>
          <w:p w14:paraId="6717C50A" w14:textId="56FB178E" w:rsidR="002633AB" w:rsidRPr="002633AB" w:rsidRDefault="002633AB" w:rsidP="002633AB">
            <w:pPr>
              <w:rPr>
                <w:rFonts w:ascii="Times New Roman" w:eastAsia="Times New Roman" w:hAnsi="Times New Roman" w:cs="Times New Roman"/>
                <w:color w:val="000000"/>
                <w:lang w:eastAsia="bg-BG"/>
              </w:rPr>
            </w:pPr>
            <w:r w:rsidRPr="002633AB">
              <w:lastRenderedPageBreak/>
              <w:t>Обостряне на порфирия</w:t>
            </w:r>
          </w:p>
        </w:tc>
      </w:tr>
      <w:tr w:rsidR="002633AB" w14:paraId="11BCA9E7" w14:textId="77777777" w:rsidTr="00DC5471">
        <w:tc>
          <w:tcPr>
            <w:tcW w:w="4750" w:type="dxa"/>
          </w:tcPr>
          <w:p w14:paraId="6F76037B" w14:textId="77777777" w:rsidR="002633AB" w:rsidRPr="002633AB" w:rsidRDefault="002633AB" w:rsidP="002633AB">
            <w:r w:rsidRPr="002633AB">
              <w:rPr>
                <w:b/>
                <w:bCs/>
              </w:rPr>
              <w:lastRenderedPageBreak/>
              <w:t>Психични нарушения</w:t>
            </w:r>
          </w:p>
          <w:p w14:paraId="0F12572B" w14:textId="1D707A93" w:rsidR="002633AB" w:rsidRPr="002633AB" w:rsidRDefault="002633AB" w:rsidP="002633AB">
            <w:pPr>
              <w:rPr>
                <w:rFonts w:ascii="Times New Roman" w:eastAsia="Times New Roman" w:hAnsi="Times New Roman" w:cs="Times New Roman"/>
                <w:color w:val="000000"/>
                <w:lang w:eastAsia="bg-BG"/>
              </w:rPr>
            </w:pPr>
            <w:r w:rsidRPr="002633AB">
              <w:t>Чести</w:t>
            </w:r>
          </w:p>
        </w:tc>
        <w:tc>
          <w:tcPr>
            <w:tcW w:w="4750" w:type="dxa"/>
            <w:vAlign w:val="center"/>
          </w:tcPr>
          <w:p w14:paraId="50EEF9D5" w14:textId="77777777" w:rsidR="002633AB" w:rsidRDefault="002633AB" w:rsidP="002633AB"/>
          <w:p w14:paraId="7F1B1AA9" w14:textId="5CBCC56E" w:rsidR="002633AB" w:rsidRPr="002633AB" w:rsidRDefault="002633AB" w:rsidP="002633AB">
            <w:r w:rsidRPr="002633AB">
              <w:t>Промени в настроението, в това число депресия</w:t>
            </w:r>
          </w:p>
          <w:p w14:paraId="4DA6C411" w14:textId="4DDACD9D" w:rsidR="002633AB" w:rsidRPr="002633AB" w:rsidRDefault="002633AB" w:rsidP="002633AB">
            <w:pPr>
              <w:rPr>
                <w:rFonts w:ascii="Times New Roman" w:eastAsia="Times New Roman" w:hAnsi="Times New Roman" w:cs="Times New Roman"/>
                <w:color w:val="000000"/>
                <w:lang w:eastAsia="bg-BG"/>
              </w:rPr>
            </w:pPr>
            <w:r w:rsidRPr="002633AB">
              <w:t>Промяна в либидото</w:t>
            </w:r>
          </w:p>
        </w:tc>
      </w:tr>
      <w:tr w:rsidR="002633AB" w14:paraId="63ADC8AA" w14:textId="77777777" w:rsidTr="00DC5471">
        <w:tc>
          <w:tcPr>
            <w:tcW w:w="4750" w:type="dxa"/>
          </w:tcPr>
          <w:p w14:paraId="5E0EE290" w14:textId="77777777" w:rsidR="002633AB" w:rsidRPr="002633AB" w:rsidRDefault="002633AB" w:rsidP="002633AB">
            <w:r w:rsidRPr="002633AB">
              <w:rPr>
                <w:b/>
                <w:bCs/>
              </w:rPr>
              <w:t>Нарушения на нервната система</w:t>
            </w:r>
          </w:p>
          <w:p w14:paraId="5F9D2D0F" w14:textId="77777777" w:rsidR="002633AB" w:rsidRDefault="002633AB" w:rsidP="002633AB"/>
          <w:p w14:paraId="7C16A90B" w14:textId="6C18F8EA" w:rsidR="002633AB" w:rsidRPr="002633AB" w:rsidRDefault="002633AB" w:rsidP="002633AB">
            <w:r w:rsidRPr="002633AB">
              <w:t>Много чести (</w:t>
            </w:r>
            <w:r w:rsidRPr="002633AB">
              <w:t>≥</w:t>
            </w:r>
            <w:r w:rsidRPr="002633AB">
              <w:t>1/10)</w:t>
            </w:r>
          </w:p>
          <w:p w14:paraId="7270C90F" w14:textId="77777777" w:rsidR="002633AB" w:rsidRDefault="002633AB" w:rsidP="002633AB"/>
          <w:p w14:paraId="0C5FF912" w14:textId="151219B4" w:rsidR="002633AB" w:rsidRPr="002633AB" w:rsidRDefault="002633AB" w:rsidP="002633AB">
            <w:r w:rsidRPr="002633AB">
              <w:t>Чести</w:t>
            </w:r>
          </w:p>
          <w:p w14:paraId="44875FD5" w14:textId="77777777" w:rsidR="002633AB" w:rsidRDefault="002633AB" w:rsidP="002633AB"/>
          <w:p w14:paraId="0DCEC1B6" w14:textId="6BDE26E7" w:rsidR="002633AB" w:rsidRPr="002633AB" w:rsidRDefault="002633AB" w:rsidP="002633AB">
            <w:pPr>
              <w:rPr>
                <w:rFonts w:ascii="Times New Roman" w:eastAsia="Times New Roman" w:hAnsi="Times New Roman" w:cs="Times New Roman"/>
                <w:color w:val="000000"/>
                <w:lang w:eastAsia="bg-BG"/>
              </w:rPr>
            </w:pPr>
            <w:r w:rsidRPr="002633AB">
              <w:t>Много редки</w:t>
            </w:r>
          </w:p>
        </w:tc>
        <w:tc>
          <w:tcPr>
            <w:tcW w:w="4750" w:type="dxa"/>
            <w:vAlign w:val="center"/>
          </w:tcPr>
          <w:p w14:paraId="1101C540" w14:textId="77777777" w:rsidR="002633AB" w:rsidRPr="002633AB" w:rsidRDefault="002633AB" w:rsidP="002633AB">
            <w:r w:rsidRPr="002633AB">
              <w:t>Главоболие, в това число мигрена</w:t>
            </w:r>
          </w:p>
          <w:p w14:paraId="40035E04" w14:textId="77777777" w:rsidR="002633AB" w:rsidRDefault="002633AB" w:rsidP="002633AB"/>
          <w:p w14:paraId="0BF8E46C" w14:textId="18744838" w:rsidR="002633AB" w:rsidRPr="002633AB" w:rsidRDefault="002633AB" w:rsidP="002633AB">
            <w:r w:rsidRPr="002633AB">
              <w:t>Нервност, замайване</w:t>
            </w:r>
          </w:p>
          <w:p w14:paraId="4F0664B1" w14:textId="77777777" w:rsidR="002633AB" w:rsidRDefault="002633AB" w:rsidP="002633AB"/>
          <w:p w14:paraId="4FEA1ED6" w14:textId="5C3A98D7" w:rsidR="002633AB" w:rsidRPr="002633AB" w:rsidRDefault="002633AB" w:rsidP="002633AB">
            <w:pPr>
              <w:rPr>
                <w:rFonts w:ascii="Times New Roman" w:eastAsia="Times New Roman" w:hAnsi="Times New Roman" w:cs="Times New Roman"/>
                <w:color w:val="000000"/>
                <w:lang w:eastAsia="bg-BG"/>
              </w:rPr>
            </w:pPr>
            <w:r w:rsidRPr="002633AB">
              <w:t>Обостряне на хорея</w:t>
            </w:r>
          </w:p>
        </w:tc>
      </w:tr>
      <w:tr w:rsidR="002633AB" w14:paraId="45A47362" w14:textId="77777777" w:rsidTr="00DC5471">
        <w:tc>
          <w:tcPr>
            <w:tcW w:w="4750" w:type="dxa"/>
          </w:tcPr>
          <w:p w14:paraId="001F5F3C" w14:textId="77777777" w:rsidR="002633AB" w:rsidRPr="002633AB" w:rsidRDefault="002633AB" w:rsidP="002633AB">
            <w:r w:rsidRPr="002633AB">
              <w:rPr>
                <w:b/>
                <w:bCs/>
              </w:rPr>
              <w:t>Нарушения на очите</w:t>
            </w:r>
          </w:p>
          <w:p w14:paraId="51C36200" w14:textId="77777777" w:rsidR="002633AB" w:rsidRDefault="002633AB" w:rsidP="002633AB"/>
          <w:p w14:paraId="4E952DC1" w14:textId="2EF395B7" w:rsidR="002633AB" w:rsidRPr="002633AB" w:rsidRDefault="002633AB" w:rsidP="002633AB">
            <w:r w:rsidRPr="002633AB">
              <w:t>Редки</w:t>
            </w:r>
          </w:p>
          <w:p w14:paraId="341BF0D9" w14:textId="77777777" w:rsidR="002633AB" w:rsidRDefault="002633AB" w:rsidP="002633AB"/>
          <w:p w14:paraId="1CF80231" w14:textId="4351CC6B" w:rsidR="002633AB" w:rsidRPr="002633AB" w:rsidRDefault="002633AB" w:rsidP="002633AB">
            <w:pPr>
              <w:rPr>
                <w:rFonts w:ascii="Times New Roman" w:eastAsia="Times New Roman" w:hAnsi="Times New Roman" w:cs="Times New Roman"/>
                <w:color w:val="000000"/>
                <w:lang w:eastAsia="bg-BG"/>
              </w:rPr>
            </w:pPr>
            <w:r w:rsidRPr="002633AB">
              <w:t>Много редки</w:t>
            </w:r>
          </w:p>
        </w:tc>
        <w:tc>
          <w:tcPr>
            <w:tcW w:w="4750" w:type="dxa"/>
            <w:vAlign w:val="bottom"/>
          </w:tcPr>
          <w:p w14:paraId="6C11EB71" w14:textId="77777777" w:rsidR="002633AB" w:rsidRDefault="002633AB" w:rsidP="002633AB"/>
          <w:p w14:paraId="14DE57BC" w14:textId="2E2211CF" w:rsidR="002633AB" w:rsidRPr="002633AB" w:rsidRDefault="002633AB" w:rsidP="002633AB">
            <w:r w:rsidRPr="002633AB">
              <w:t>Дразнене в очите при носене на контактни лещи</w:t>
            </w:r>
          </w:p>
          <w:p w14:paraId="662ED804" w14:textId="77777777" w:rsidR="002633AB" w:rsidRDefault="002633AB" w:rsidP="002633AB"/>
          <w:p w14:paraId="7178E2DF" w14:textId="4F936FA4" w:rsidR="002633AB" w:rsidRPr="002633AB" w:rsidRDefault="002633AB" w:rsidP="002633AB">
            <w:pPr>
              <w:rPr>
                <w:rFonts w:ascii="Times New Roman" w:eastAsia="Times New Roman" w:hAnsi="Times New Roman" w:cs="Times New Roman"/>
                <w:color w:val="000000"/>
                <w:lang w:eastAsia="bg-BG"/>
              </w:rPr>
            </w:pPr>
            <w:r w:rsidRPr="002633AB">
              <w:t>Оптичен неврит, **ретинална съдова тромбоза</w:t>
            </w:r>
          </w:p>
        </w:tc>
      </w:tr>
      <w:tr w:rsidR="002633AB" w14:paraId="781FA74E" w14:textId="77777777" w:rsidTr="00DC5471">
        <w:tc>
          <w:tcPr>
            <w:tcW w:w="4750" w:type="dxa"/>
          </w:tcPr>
          <w:p w14:paraId="7EEEA966" w14:textId="77777777" w:rsidR="002633AB" w:rsidRDefault="002633AB" w:rsidP="002633AB">
            <w:pPr>
              <w:rPr>
                <w:b/>
                <w:bCs/>
              </w:rPr>
            </w:pPr>
            <w:r w:rsidRPr="002633AB">
              <w:rPr>
                <w:b/>
                <w:bCs/>
              </w:rPr>
              <w:t xml:space="preserve">Сърдечни нарушения </w:t>
            </w:r>
          </w:p>
          <w:p w14:paraId="1A410CF7" w14:textId="77777777" w:rsidR="002633AB" w:rsidRDefault="002633AB" w:rsidP="002633AB">
            <w:pPr>
              <w:rPr>
                <w:b/>
                <w:bCs/>
              </w:rPr>
            </w:pPr>
          </w:p>
          <w:p w14:paraId="50EB3F82" w14:textId="24E5AD96" w:rsidR="002633AB" w:rsidRPr="002633AB" w:rsidRDefault="002633AB" w:rsidP="002633AB">
            <w:pPr>
              <w:rPr>
                <w:rFonts w:ascii="Times New Roman" w:eastAsia="Times New Roman" w:hAnsi="Times New Roman" w:cs="Times New Roman"/>
                <w:color w:val="000000"/>
                <w:lang w:eastAsia="bg-BG"/>
              </w:rPr>
            </w:pPr>
            <w:r w:rsidRPr="002633AB">
              <w:t>Нечести</w:t>
            </w:r>
          </w:p>
        </w:tc>
        <w:tc>
          <w:tcPr>
            <w:tcW w:w="4750" w:type="dxa"/>
            <w:vAlign w:val="center"/>
          </w:tcPr>
          <w:p w14:paraId="6BF02DF3" w14:textId="5BF02BE1" w:rsidR="002633AB" w:rsidRPr="002633AB" w:rsidRDefault="002633AB" w:rsidP="002633AB">
            <w:pPr>
              <w:rPr>
                <w:rFonts w:ascii="Times New Roman" w:eastAsia="Times New Roman" w:hAnsi="Times New Roman" w:cs="Times New Roman"/>
                <w:color w:val="000000"/>
                <w:lang w:eastAsia="bg-BG"/>
              </w:rPr>
            </w:pPr>
            <w:r w:rsidRPr="002633AB">
              <w:t>Хипертония</w:t>
            </w:r>
          </w:p>
        </w:tc>
      </w:tr>
      <w:tr w:rsidR="002633AB" w14:paraId="7818A298" w14:textId="77777777" w:rsidTr="00DC5471">
        <w:tc>
          <w:tcPr>
            <w:tcW w:w="4750" w:type="dxa"/>
          </w:tcPr>
          <w:p w14:paraId="4EB3745C" w14:textId="77777777" w:rsidR="002633AB" w:rsidRDefault="002633AB" w:rsidP="002633AB">
            <w:pPr>
              <w:rPr>
                <w:b/>
                <w:bCs/>
              </w:rPr>
            </w:pPr>
            <w:r w:rsidRPr="002633AB">
              <w:rPr>
                <w:b/>
                <w:bCs/>
              </w:rPr>
              <w:t xml:space="preserve">Съдови нарушения </w:t>
            </w:r>
          </w:p>
          <w:p w14:paraId="3F209D3D" w14:textId="77777777" w:rsidR="002633AB" w:rsidRDefault="002633AB" w:rsidP="002633AB">
            <w:pPr>
              <w:rPr>
                <w:b/>
                <w:bCs/>
              </w:rPr>
            </w:pPr>
          </w:p>
          <w:p w14:paraId="7162480E" w14:textId="5583DF76" w:rsidR="002633AB" w:rsidRPr="002633AB" w:rsidRDefault="002633AB" w:rsidP="002633AB">
            <w:pPr>
              <w:rPr>
                <w:rFonts w:ascii="Times New Roman" w:eastAsia="Times New Roman" w:hAnsi="Times New Roman" w:cs="Times New Roman"/>
                <w:color w:val="000000"/>
                <w:lang w:eastAsia="bg-BG"/>
              </w:rPr>
            </w:pPr>
            <w:r w:rsidRPr="002633AB">
              <w:t>Редки</w:t>
            </w:r>
          </w:p>
        </w:tc>
        <w:tc>
          <w:tcPr>
            <w:tcW w:w="4750" w:type="dxa"/>
            <w:vAlign w:val="center"/>
          </w:tcPr>
          <w:p w14:paraId="761134D8" w14:textId="77777777" w:rsidR="002633AB" w:rsidRDefault="002633AB" w:rsidP="002633AB"/>
          <w:p w14:paraId="62733081" w14:textId="4C9B1F6B" w:rsidR="002633AB" w:rsidRPr="002633AB" w:rsidRDefault="002633AB" w:rsidP="002633AB">
            <w:pPr>
              <w:rPr>
                <w:rFonts w:ascii="Times New Roman" w:eastAsia="Times New Roman" w:hAnsi="Times New Roman" w:cs="Times New Roman"/>
                <w:color w:val="000000"/>
                <w:lang w:eastAsia="bg-BG"/>
              </w:rPr>
            </w:pPr>
            <w:r w:rsidRPr="002633AB">
              <w:t>Венозна тромбоемболия (ВТЕ) Артериална тромбоемболия (АТЕ)</w:t>
            </w:r>
          </w:p>
        </w:tc>
      </w:tr>
      <w:tr w:rsidR="002633AB" w14:paraId="5486FF66" w14:textId="77777777" w:rsidTr="00DC5471">
        <w:tc>
          <w:tcPr>
            <w:tcW w:w="4750" w:type="dxa"/>
          </w:tcPr>
          <w:p w14:paraId="6E5AE227" w14:textId="77777777" w:rsidR="002633AB" w:rsidRPr="002633AB" w:rsidRDefault="002633AB" w:rsidP="002633AB">
            <w:r w:rsidRPr="002633AB">
              <w:rPr>
                <w:b/>
                <w:bCs/>
              </w:rPr>
              <w:t>Стомашно-чревни нарушения</w:t>
            </w:r>
          </w:p>
          <w:p w14:paraId="667C14AF" w14:textId="77777777" w:rsidR="002633AB" w:rsidRDefault="002633AB" w:rsidP="002633AB"/>
          <w:p w14:paraId="2FA2E6FC" w14:textId="0D252EAB" w:rsidR="002633AB" w:rsidRPr="002633AB" w:rsidRDefault="002633AB" w:rsidP="002633AB">
            <w:r w:rsidRPr="002633AB">
              <w:t>Чести</w:t>
            </w:r>
          </w:p>
          <w:p w14:paraId="472A42D2" w14:textId="77777777" w:rsidR="002633AB" w:rsidRDefault="002633AB" w:rsidP="002633AB"/>
          <w:p w14:paraId="17840BEB" w14:textId="4132711D" w:rsidR="002633AB" w:rsidRPr="002633AB" w:rsidRDefault="002633AB" w:rsidP="002633AB">
            <w:r w:rsidRPr="002633AB">
              <w:t>Нечести</w:t>
            </w:r>
          </w:p>
          <w:p w14:paraId="60113638" w14:textId="77777777" w:rsidR="002633AB" w:rsidRDefault="002633AB" w:rsidP="002633AB"/>
          <w:p w14:paraId="3FC9FCF4" w14:textId="3B525199" w:rsidR="002633AB" w:rsidRPr="002633AB" w:rsidRDefault="002633AB" w:rsidP="002633AB">
            <w:r w:rsidRPr="002633AB">
              <w:t>Много редки</w:t>
            </w:r>
          </w:p>
          <w:p w14:paraId="06385F0D" w14:textId="77777777" w:rsidR="002633AB" w:rsidRDefault="002633AB" w:rsidP="002633AB"/>
          <w:p w14:paraId="6422AA56" w14:textId="0F59E1CE" w:rsidR="002633AB" w:rsidRPr="002633AB" w:rsidRDefault="002633AB" w:rsidP="002633AB">
            <w:pPr>
              <w:rPr>
                <w:rFonts w:ascii="Times New Roman" w:eastAsia="Times New Roman" w:hAnsi="Times New Roman" w:cs="Times New Roman"/>
                <w:color w:val="000000"/>
                <w:lang w:eastAsia="bg-BG"/>
              </w:rPr>
            </w:pPr>
            <w:r w:rsidRPr="002633AB">
              <w:t>С неизвестна честота</w:t>
            </w:r>
          </w:p>
        </w:tc>
        <w:tc>
          <w:tcPr>
            <w:tcW w:w="4750" w:type="dxa"/>
            <w:vAlign w:val="bottom"/>
          </w:tcPr>
          <w:p w14:paraId="0B0CD760" w14:textId="77777777" w:rsidR="002633AB" w:rsidRPr="002633AB" w:rsidRDefault="002633AB" w:rsidP="002633AB">
            <w:r w:rsidRPr="002633AB">
              <w:t>Гадене, повръщане, болки в корема</w:t>
            </w:r>
          </w:p>
          <w:p w14:paraId="7D0BBFB9" w14:textId="77777777" w:rsidR="002633AB" w:rsidRDefault="002633AB" w:rsidP="002633AB"/>
          <w:p w14:paraId="06AF388C" w14:textId="3BA32694" w:rsidR="002633AB" w:rsidRPr="002633AB" w:rsidRDefault="002633AB" w:rsidP="002633AB">
            <w:r w:rsidRPr="002633AB">
              <w:t>Коремни спазми, подуване на корема</w:t>
            </w:r>
          </w:p>
          <w:p w14:paraId="5E26EAA6" w14:textId="77777777" w:rsidR="002633AB" w:rsidRDefault="002633AB" w:rsidP="002633AB"/>
          <w:p w14:paraId="0B190EF5" w14:textId="46C712BE" w:rsidR="002633AB" w:rsidRPr="002633AB" w:rsidRDefault="002633AB" w:rsidP="002633AB">
            <w:r w:rsidRPr="002633AB">
              <w:t>Панкреатит, исхемичен колит</w:t>
            </w:r>
          </w:p>
          <w:p w14:paraId="4FE63B46" w14:textId="77777777" w:rsidR="002633AB" w:rsidRDefault="002633AB" w:rsidP="002633AB"/>
          <w:p w14:paraId="20ED8EAB" w14:textId="1604C42A" w:rsidR="002633AB" w:rsidRPr="002633AB" w:rsidRDefault="002633AB" w:rsidP="002633AB">
            <w:pPr>
              <w:rPr>
                <w:rFonts w:ascii="Times New Roman" w:eastAsia="Times New Roman" w:hAnsi="Times New Roman" w:cs="Times New Roman"/>
                <w:color w:val="000000"/>
                <w:lang w:eastAsia="bg-BG"/>
              </w:rPr>
            </w:pPr>
            <w:r w:rsidRPr="002633AB">
              <w:t>Възпалително чревно заболяване (болест на Крон, улцерозен колит)</w:t>
            </w:r>
          </w:p>
        </w:tc>
      </w:tr>
      <w:tr w:rsidR="002633AB" w14:paraId="58297E98" w14:textId="77777777" w:rsidTr="00DC5471">
        <w:tc>
          <w:tcPr>
            <w:tcW w:w="4750" w:type="dxa"/>
          </w:tcPr>
          <w:p w14:paraId="26A65605" w14:textId="77777777" w:rsidR="002633AB" w:rsidRDefault="002633AB" w:rsidP="002633AB">
            <w:pPr>
              <w:rPr>
                <w:b/>
                <w:bCs/>
              </w:rPr>
            </w:pPr>
            <w:r w:rsidRPr="002633AB">
              <w:rPr>
                <w:b/>
                <w:bCs/>
              </w:rPr>
              <w:t xml:space="preserve">Хепатобилиарнн нарушения </w:t>
            </w:r>
          </w:p>
          <w:p w14:paraId="42CD463F" w14:textId="77777777" w:rsidR="002633AB" w:rsidRDefault="002633AB" w:rsidP="002633AB">
            <w:pPr>
              <w:rPr>
                <w:b/>
                <w:bCs/>
              </w:rPr>
            </w:pPr>
          </w:p>
          <w:p w14:paraId="2959A1C3" w14:textId="77777777" w:rsidR="002633AB" w:rsidRDefault="002633AB" w:rsidP="002633AB">
            <w:r w:rsidRPr="002633AB">
              <w:t>Редки</w:t>
            </w:r>
          </w:p>
          <w:p w14:paraId="7941046D" w14:textId="77777777" w:rsidR="002633AB" w:rsidRDefault="002633AB" w:rsidP="002633AB">
            <w:pPr>
              <w:rPr>
                <w:rFonts w:eastAsia="Times New Roman" w:cs="Times New Roman"/>
                <w:color w:val="000000"/>
                <w:lang w:eastAsia="bg-BG"/>
              </w:rPr>
            </w:pPr>
          </w:p>
          <w:p w14:paraId="117AA806" w14:textId="77777777" w:rsidR="002633AB" w:rsidRPr="002633AB" w:rsidRDefault="002633AB" w:rsidP="002633AB">
            <w:pPr>
              <w:spacing w:line="240" w:lineRule="auto"/>
              <w:rPr>
                <w:rFonts w:ascii="Times New Roman" w:eastAsia="Times New Roman" w:hAnsi="Times New Roman" w:cs="Times New Roman"/>
                <w:sz w:val="24"/>
                <w:szCs w:val="24"/>
                <w:lang w:eastAsia="bg-BG"/>
              </w:rPr>
            </w:pPr>
            <w:r w:rsidRPr="002633AB">
              <w:rPr>
                <w:rFonts w:ascii="Times New Roman" w:eastAsia="Times New Roman" w:hAnsi="Times New Roman" w:cs="Times New Roman"/>
                <w:color w:val="000000"/>
                <w:sz w:val="20"/>
                <w:szCs w:val="20"/>
                <w:lang w:eastAsia="bg-BG"/>
              </w:rPr>
              <w:t>Много редки</w:t>
            </w:r>
          </w:p>
          <w:p w14:paraId="3ED1A5DC" w14:textId="77777777" w:rsidR="002633AB" w:rsidRDefault="002633AB" w:rsidP="002633AB">
            <w:pPr>
              <w:rPr>
                <w:rFonts w:ascii="Times New Roman" w:eastAsia="Times New Roman" w:hAnsi="Times New Roman" w:cs="Times New Roman"/>
                <w:color w:val="000000"/>
                <w:sz w:val="20"/>
                <w:szCs w:val="20"/>
                <w:lang w:eastAsia="bg-BG"/>
              </w:rPr>
            </w:pPr>
          </w:p>
          <w:p w14:paraId="5A00DE9E" w14:textId="3FF1EB03" w:rsidR="002633AB" w:rsidRPr="002633AB" w:rsidRDefault="002633AB" w:rsidP="002633AB">
            <w:pPr>
              <w:rPr>
                <w:rFonts w:ascii="Times New Roman" w:eastAsia="Times New Roman" w:hAnsi="Times New Roman" w:cs="Times New Roman"/>
                <w:color w:val="000000"/>
                <w:lang w:eastAsia="bg-BG"/>
              </w:rPr>
            </w:pPr>
            <w:r w:rsidRPr="002633AB">
              <w:rPr>
                <w:rFonts w:ascii="Times New Roman" w:eastAsia="Times New Roman" w:hAnsi="Times New Roman" w:cs="Times New Roman"/>
                <w:color w:val="000000"/>
                <w:sz w:val="20"/>
                <w:szCs w:val="20"/>
                <w:lang w:eastAsia="bg-BG"/>
              </w:rPr>
              <w:t>С неизвестна честота</w:t>
            </w:r>
          </w:p>
        </w:tc>
        <w:tc>
          <w:tcPr>
            <w:tcW w:w="4750" w:type="dxa"/>
            <w:vAlign w:val="center"/>
          </w:tcPr>
          <w:p w14:paraId="7D704E36" w14:textId="77777777" w:rsidR="002633AB" w:rsidRDefault="002633AB" w:rsidP="002633AB"/>
          <w:p w14:paraId="7CADBF98" w14:textId="77777777" w:rsidR="002633AB" w:rsidRDefault="002633AB" w:rsidP="002633AB">
            <w:r w:rsidRPr="002633AB">
              <w:t>Холестатична жълтеница</w:t>
            </w:r>
          </w:p>
          <w:p w14:paraId="718A4930" w14:textId="77777777" w:rsidR="002633AB" w:rsidRDefault="002633AB" w:rsidP="002633AB">
            <w:pPr>
              <w:rPr>
                <w:rFonts w:eastAsia="Times New Roman" w:cs="Times New Roman"/>
                <w:color w:val="000000"/>
                <w:lang w:eastAsia="bg-BG"/>
              </w:rPr>
            </w:pPr>
          </w:p>
          <w:p w14:paraId="0D4F2EFE" w14:textId="77777777" w:rsidR="002633AB" w:rsidRPr="002633AB" w:rsidRDefault="002633AB" w:rsidP="002633AB">
            <w:pPr>
              <w:spacing w:line="240" w:lineRule="auto"/>
              <w:rPr>
                <w:rFonts w:ascii="Times New Roman" w:eastAsia="Times New Roman" w:hAnsi="Times New Roman" w:cs="Times New Roman"/>
                <w:sz w:val="24"/>
                <w:szCs w:val="24"/>
                <w:lang w:eastAsia="bg-BG"/>
              </w:rPr>
            </w:pPr>
            <w:r w:rsidRPr="002633AB">
              <w:rPr>
                <w:rFonts w:ascii="Times New Roman" w:eastAsia="Times New Roman" w:hAnsi="Times New Roman" w:cs="Times New Roman"/>
                <w:color w:val="000000"/>
                <w:sz w:val="20"/>
                <w:szCs w:val="20"/>
                <w:lang w:eastAsia="bg-BG"/>
              </w:rPr>
              <w:t xml:space="preserve">Холецистит, включително холелитиаза** </w:t>
            </w:r>
            <w:r w:rsidRPr="002633AB">
              <w:rPr>
                <w:rFonts w:ascii="Times New Roman" w:eastAsia="Times New Roman" w:hAnsi="Times New Roman" w:cs="Times New Roman"/>
                <w:color w:val="000000"/>
                <w:sz w:val="20"/>
                <w:szCs w:val="20"/>
                <w:vertAlign w:val="superscript"/>
                <w:lang w:eastAsia="bg-BG"/>
              </w:rPr>
              <w:t>***</w:t>
            </w:r>
          </w:p>
          <w:p w14:paraId="158C038B" w14:textId="77777777" w:rsidR="002633AB" w:rsidRDefault="002633AB" w:rsidP="002633AB">
            <w:pPr>
              <w:spacing w:line="240" w:lineRule="auto"/>
              <w:rPr>
                <w:rFonts w:ascii="Times New Roman" w:eastAsia="Times New Roman" w:hAnsi="Times New Roman" w:cs="Times New Roman"/>
                <w:color w:val="000000"/>
                <w:sz w:val="20"/>
                <w:szCs w:val="20"/>
                <w:lang w:eastAsia="bg-BG"/>
              </w:rPr>
            </w:pPr>
          </w:p>
          <w:p w14:paraId="31CA824B" w14:textId="372B5C98" w:rsidR="002633AB" w:rsidRPr="002633AB" w:rsidRDefault="002633AB" w:rsidP="002633AB">
            <w:pPr>
              <w:spacing w:line="240" w:lineRule="auto"/>
              <w:rPr>
                <w:rFonts w:ascii="Times New Roman" w:eastAsia="Times New Roman" w:hAnsi="Times New Roman" w:cs="Times New Roman"/>
                <w:sz w:val="24"/>
                <w:szCs w:val="24"/>
                <w:lang w:eastAsia="bg-BG"/>
              </w:rPr>
            </w:pPr>
            <w:r w:rsidRPr="002633AB">
              <w:rPr>
                <w:rFonts w:ascii="Times New Roman" w:eastAsia="Times New Roman" w:hAnsi="Times New Roman" w:cs="Times New Roman"/>
                <w:color w:val="000000"/>
                <w:sz w:val="20"/>
                <w:szCs w:val="20"/>
                <w:lang w:eastAsia="bg-BG"/>
              </w:rPr>
              <w:t>Хепатоцелуларно увреждане (като хепатит, чернодробна дисфункция)</w:t>
            </w:r>
          </w:p>
          <w:p w14:paraId="6E69492F" w14:textId="309C26D3" w:rsidR="002633AB" w:rsidRPr="002633AB" w:rsidRDefault="002633AB" w:rsidP="002633AB">
            <w:pPr>
              <w:rPr>
                <w:rFonts w:ascii="Times New Roman" w:eastAsia="Times New Roman" w:hAnsi="Times New Roman" w:cs="Times New Roman"/>
                <w:color w:val="000000"/>
                <w:lang w:eastAsia="bg-BG"/>
              </w:rPr>
            </w:pPr>
          </w:p>
        </w:tc>
      </w:tr>
      <w:tr w:rsidR="00397072" w14:paraId="2A25FF07" w14:textId="77777777" w:rsidTr="00A341B4">
        <w:trPr>
          <w:trHeight w:val="1619"/>
        </w:trPr>
        <w:tc>
          <w:tcPr>
            <w:tcW w:w="4750" w:type="dxa"/>
          </w:tcPr>
          <w:p w14:paraId="795291F2" w14:textId="77777777" w:rsidR="00397072" w:rsidRPr="00397072" w:rsidRDefault="00397072" w:rsidP="00397072">
            <w:r w:rsidRPr="00397072">
              <w:rPr>
                <w:b/>
                <w:bCs/>
              </w:rPr>
              <w:t>Нарушения на кожата и подкожната тъкан</w:t>
            </w:r>
          </w:p>
          <w:p w14:paraId="2F68830A" w14:textId="77777777" w:rsidR="00397072" w:rsidRDefault="00397072" w:rsidP="00397072"/>
          <w:p w14:paraId="54ABB625" w14:textId="1F3AD776" w:rsidR="00397072" w:rsidRPr="00397072" w:rsidRDefault="00397072" w:rsidP="00397072">
            <w:pPr>
              <w:rPr>
                <w:rFonts w:ascii="Times New Roman" w:eastAsia="Times New Roman" w:hAnsi="Times New Roman" w:cs="Times New Roman"/>
                <w:color w:val="000000"/>
                <w:lang w:eastAsia="bg-BG"/>
              </w:rPr>
            </w:pPr>
            <w:r w:rsidRPr="00397072">
              <w:t>Чести</w:t>
            </w:r>
          </w:p>
          <w:p w14:paraId="78CE590A" w14:textId="77777777" w:rsidR="00397072" w:rsidRDefault="00397072" w:rsidP="00397072"/>
          <w:p w14:paraId="5A779C4E" w14:textId="354A2731" w:rsidR="00397072" w:rsidRPr="00397072" w:rsidRDefault="00397072" w:rsidP="00397072">
            <w:pPr>
              <w:rPr>
                <w:rFonts w:ascii="Times New Roman" w:eastAsia="Times New Roman" w:hAnsi="Times New Roman" w:cs="Times New Roman"/>
                <w:color w:val="000000"/>
                <w:lang w:eastAsia="bg-BG"/>
              </w:rPr>
            </w:pPr>
            <w:r w:rsidRPr="00397072">
              <w:t>Нечести</w:t>
            </w:r>
          </w:p>
          <w:p w14:paraId="138A2214" w14:textId="77777777" w:rsidR="00397072" w:rsidRDefault="00397072" w:rsidP="00397072"/>
          <w:p w14:paraId="39B447A2" w14:textId="3262CE1E" w:rsidR="00397072" w:rsidRPr="00397072" w:rsidRDefault="00397072" w:rsidP="00397072">
            <w:pPr>
              <w:rPr>
                <w:rFonts w:ascii="Times New Roman" w:eastAsia="Times New Roman" w:hAnsi="Times New Roman" w:cs="Times New Roman"/>
                <w:color w:val="000000"/>
                <w:lang w:eastAsia="bg-BG"/>
              </w:rPr>
            </w:pPr>
            <w:r w:rsidRPr="00397072">
              <w:lastRenderedPageBreak/>
              <w:t>Редки</w:t>
            </w:r>
          </w:p>
          <w:p w14:paraId="02B69AF1" w14:textId="77777777" w:rsidR="00397072" w:rsidRDefault="00397072" w:rsidP="00397072"/>
          <w:p w14:paraId="4AEA640F" w14:textId="603C41D6" w:rsidR="00397072" w:rsidRPr="00397072" w:rsidRDefault="00397072" w:rsidP="00397072">
            <w:pPr>
              <w:rPr>
                <w:rFonts w:ascii="Times New Roman" w:eastAsia="Times New Roman" w:hAnsi="Times New Roman" w:cs="Times New Roman"/>
                <w:color w:val="000000"/>
                <w:lang w:eastAsia="bg-BG"/>
              </w:rPr>
            </w:pPr>
            <w:r w:rsidRPr="00397072">
              <w:t>Много редки</w:t>
            </w:r>
          </w:p>
        </w:tc>
        <w:tc>
          <w:tcPr>
            <w:tcW w:w="4750" w:type="dxa"/>
          </w:tcPr>
          <w:p w14:paraId="1B4ED9BB" w14:textId="77777777" w:rsidR="00397072" w:rsidRPr="00397072" w:rsidRDefault="00397072" w:rsidP="00397072">
            <w:pPr>
              <w:rPr>
                <w:rFonts w:ascii="Times New Roman" w:eastAsia="Times New Roman" w:hAnsi="Times New Roman" w:cs="Times New Roman"/>
                <w:color w:val="000000"/>
                <w:lang w:eastAsia="bg-BG"/>
              </w:rPr>
            </w:pPr>
            <w:r w:rsidRPr="00397072">
              <w:lastRenderedPageBreak/>
              <w:t>Акне</w:t>
            </w:r>
          </w:p>
          <w:p w14:paraId="32DCCC4D" w14:textId="77777777" w:rsidR="00397072" w:rsidRDefault="00397072" w:rsidP="00397072"/>
          <w:p w14:paraId="3B038A37" w14:textId="1C34DBB1" w:rsidR="00397072" w:rsidRPr="00397072" w:rsidRDefault="00397072" w:rsidP="00397072">
            <w:pPr>
              <w:rPr>
                <w:rFonts w:ascii="Times New Roman" w:eastAsia="Times New Roman" w:hAnsi="Times New Roman" w:cs="Times New Roman"/>
                <w:color w:val="000000"/>
                <w:lang w:eastAsia="bg-BG"/>
              </w:rPr>
            </w:pPr>
            <w:r w:rsidRPr="00397072">
              <w:t>Уртикария, хлоазма (мелазма), която може да бъде постоянна, хирзутизъм, алопеция</w:t>
            </w:r>
          </w:p>
          <w:p w14:paraId="33CF8CFB" w14:textId="77777777" w:rsidR="00397072" w:rsidRDefault="00397072" w:rsidP="00397072"/>
          <w:p w14:paraId="11DA3973" w14:textId="5B9665E3" w:rsidR="00397072" w:rsidRPr="00397072" w:rsidRDefault="00397072" w:rsidP="00397072">
            <w:pPr>
              <w:rPr>
                <w:rFonts w:ascii="Times New Roman" w:eastAsia="Times New Roman" w:hAnsi="Times New Roman" w:cs="Times New Roman"/>
                <w:color w:val="000000"/>
                <w:lang w:eastAsia="bg-BG"/>
              </w:rPr>
            </w:pPr>
            <w:r w:rsidRPr="00397072">
              <w:t>Еритема нодозум</w:t>
            </w:r>
          </w:p>
          <w:p w14:paraId="5743D481" w14:textId="77777777" w:rsidR="00397072" w:rsidRDefault="00397072" w:rsidP="00397072"/>
          <w:p w14:paraId="1D0D814C" w14:textId="3C605904" w:rsidR="00397072" w:rsidRPr="00397072" w:rsidRDefault="00397072" w:rsidP="00397072">
            <w:pPr>
              <w:rPr>
                <w:rFonts w:ascii="Times New Roman" w:eastAsia="Times New Roman" w:hAnsi="Times New Roman" w:cs="Times New Roman"/>
                <w:color w:val="000000"/>
                <w:lang w:eastAsia="bg-BG"/>
              </w:rPr>
            </w:pPr>
            <w:r w:rsidRPr="00397072">
              <w:lastRenderedPageBreak/>
              <w:t>Еритема мултиформе</w:t>
            </w:r>
          </w:p>
        </w:tc>
      </w:tr>
      <w:tr w:rsidR="00397072" w14:paraId="0B3750E3" w14:textId="77777777" w:rsidTr="002633AB">
        <w:tc>
          <w:tcPr>
            <w:tcW w:w="4750" w:type="dxa"/>
          </w:tcPr>
          <w:p w14:paraId="6E7E053D" w14:textId="77777777" w:rsidR="00397072" w:rsidRPr="00397072" w:rsidRDefault="00397072" w:rsidP="00397072">
            <w:r w:rsidRPr="00397072">
              <w:rPr>
                <w:b/>
                <w:bCs/>
              </w:rPr>
              <w:lastRenderedPageBreak/>
              <w:t>Нарушения на бъбреците и пикочните пътища</w:t>
            </w:r>
          </w:p>
          <w:p w14:paraId="2F3E0CC2" w14:textId="739BDCEF" w:rsidR="00397072" w:rsidRPr="00397072" w:rsidRDefault="00397072" w:rsidP="00397072">
            <w:pPr>
              <w:rPr>
                <w:rFonts w:ascii="Times New Roman" w:eastAsia="Times New Roman" w:hAnsi="Times New Roman" w:cs="Times New Roman"/>
                <w:color w:val="000000"/>
                <w:lang w:eastAsia="bg-BG"/>
              </w:rPr>
            </w:pPr>
            <w:r w:rsidRPr="00397072">
              <w:t>Много редки</w:t>
            </w:r>
          </w:p>
        </w:tc>
        <w:tc>
          <w:tcPr>
            <w:tcW w:w="4750" w:type="dxa"/>
          </w:tcPr>
          <w:p w14:paraId="2CF85EA9" w14:textId="77777777" w:rsidR="00397072" w:rsidRDefault="00397072" w:rsidP="00397072"/>
          <w:p w14:paraId="7A7C3CD9" w14:textId="5777E0D0" w:rsidR="00397072" w:rsidRPr="00397072" w:rsidRDefault="00397072" w:rsidP="00397072">
            <w:pPr>
              <w:rPr>
                <w:rFonts w:ascii="Times New Roman" w:eastAsia="Times New Roman" w:hAnsi="Times New Roman" w:cs="Times New Roman"/>
                <w:color w:val="000000"/>
                <w:lang w:eastAsia="bg-BG"/>
              </w:rPr>
            </w:pPr>
            <w:r w:rsidRPr="00397072">
              <w:t>Хемолитично-уремичен синдром</w:t>
            </w:r>
          </w:p>
        </w:tc>
      </w:tr>
      <w:tr w:rsidR="00397072" w14:paraId="63A9A242" w14:textId="77777777" w:rsidTr="002633AB">
        <w:tc>
          <w:tcPr>
            <w:tcW w:w="4750" w:type="dxa"/>
          </w:tcPr>
          <w:p w14:paraId="3328E37C" w14:textId="77777777" w:rsidR="00397072" w:rsidRPr="00397072" w:rsidRDefault="00397072" w:rsidP="00397072">
            <w:r w:rsidRPr="00397072">
              <w:rPr>
                <w:b/>
                <w:bCs/>
              </w:rPr>
              <w:t>Нарушения на възпроизводителната система и гърдата</w:t>
            </w:r>
          </w:p>
          <w:p w14:paraId="6426D846" w14:textId="42ABD614" w:rsidR="00397072" w:rsidRPr="00397072" w:rsidRDefault="00397072" w:rsidP="00397072">
            <w:pPr>
              <w:rPr>
                <w:rFonts w:ascii="Times New Roman" w:eastAsia="Times New Roman" w:hAnsi="Times New Roman" w:cs="Times New Roman"/>
                <w:color w:val="000000"/>
                <w:lang w:eastAsia="bg-BG"/>
              </w:rPr>
            </w:pPr>
            <w:r w:rsidRPr="00397072">
              <w:t>Много чести</w:t>
            </w:r>
          </w:p>
        </w:tc>
        <w:tc>
          <w:tcPr>
            <w:tcW w:w="4750" w:type="dxa"/>
          </w:tcPr>
          <w:p w14:paraId="6DD0FB95" w14:textId="77777777" w:rsidR="00397072" w:rsidRDefault="00397072" w:rsidP="00397072"/>
          <w:p w14:paraId="7BBFD1B9" w14:textId="77777777" w:rsidR="00397072" w:rsidRDefault="00397072" w:rsidP="00397072"/>
          <w:p w14:paraId="4143DE08" w14:textId="05507C5E" w:rsidR="00397072" w:rsidRPr="00397072" w:rsidRDefault="00397072" w:rsidP="00397072">
            <w:pPr>
              <w:rPr>
                <w:rFonts w:ascii="Times New Roman" w:eastAsia="Times New Roman" w:hAnsi="Times New Roman" w:cs="Times New Roman"/>
                <w:color w:val="000000"/>
                <w:lang w:eastAsia="bg-BG"/>
              </w:rPr>
            </w:pPr>
            <w:r w:rsidRPr="00397072">
              <w:t>Зацапване/пробивно кървене</w:t>
            </w:r>
          </w:p>
        </w:tc>
      </w:tr>
      <w:tr w:rsidR="00397072" w14:paraId="4DFB04CC" w14:textId="77777777" w:rsidTr="002633AB">
        <w:tc>
          <w:tcPr>
            <w:tcW w:w="4750" w:type="dxa"/>
          </w:tcPr>
          <w:p w14:paraId="7DC2B782" w14:textId="26D85C2D" w:rsidR="00397072" w:rsidRPr="00397072" w:rsidRDefault="00397072" w:rsidP="00397072">
            <w:pPr>
              <w:rPr>
                <w:rFonts w:ascii="Times New Roman" w:eastAsia="Times New Roman" w:hAnsi="Times New Roman" w:cs="Times New Roman"/>
                <w:color w:val="000000"/>
                <w:lang w:eastAsia="bg-BG"/>
              </w:rPr>
            </w:pPr>
            <w:r w:rsidRPr="00397072">
              <w:t>Чести</w:t>
            </w:r>
          </w:p>
        </w:tc>
        <w:tc>
          <w:tcPr>
            <w:tcW w:w="4750" w:type="dxa"/>
          </w:tcPr>
          <w:p w14:paraId="3206E7E5" w14:textId="5554F640" w:rsidR="00397072" w:rsidRPr="00397072" w:rsidRDefault="00397072" w:rsidP="00397072">
            <w:pPr>
              <w:rPr>
                <w:rFonts w:ascii="Times New Roman" w:eastAsia="Times New Roman" w:hAnsi="Times New Roman" w:cs="Times New Roman"/>
                <w:color w:val="000000"/>
                <w:lang w:eastAsia="bg-BG"/>
              </w:rPr>
            </w:pPr>
            <w:r w:rsidRPr="00397072">
              <w:t>Болка в гърдите, болезненост, подуване, секреция, дисменорея, промяна в менструалния поток, промени в ектопията и секрецията на маточната шийка, аменорея</w:t>
            </w:r>
          </w:p>
        </w:tc>
      </w:tr>
      <w:tr w:rsidR="00397072" w14:paraId="1752DB1F" w14:textId="77777777" w:rsidTr="002633AB">
        <w:tc>
          <w:tcPr>
            <w:tcW w:w="4750" w:type="dxa"/>
          </w:tcPr>
          <w:p w14:paraId="3777CF2A" w14:textId="77777777" w:rsidR="00397072" w:rsidRPr="00397072" w:rsidRDefault="00397072" w:rsidP="00397072">
            <w:r w:rsidRPr="00397072">
              <w:rPr>
                <w:b/>
                <w:bCs/>
              </w:rPr>
              <w:t>Общи нарушения и ефекти на мястото на приложение</w:t>
            </w:r>
          </w:p>
          <w:p w14:paraId="31F3E053" w14:textId="0A5356E7" w:rsidR="00397072" w:rsidRPr="00397072" w:rsidRDefault="00397072" w:rsidP="00397072">
            <w:pPr>
              <w:rPr>
                <w:rFonts w:ascii="Times New Roman" w:eastAsia="Times New Roman" w:hAnsi="Times New Roman" w:cs="Times New Roman"/>
                <w:color w:val="000000"/>
                <w:lang w:eastAsia="bg-BG"/>
              </w:rPr>
            </w:pPr>
            <w:r w:rsidRPr="00397072">
              <w:t>Чести</w:t>
            </w:r>
          </w:p>
        </w:tc>
        <w:tc>
          <w:tcPr>
            <w:tcW w:w="4750" w:type="dxa"/>
          </w:tcPr>
          <w:p w14:paraId="73F19E4D" w14:textId="3A398AD3" w:rsidR="00397072" w:rsidRPr="00397072" w:rsidRDefault="00397072" w:rsidP="00397072">
            <w:pPr>
              <w:rPr>
                <w:rFonts w:ascii="Times New Roman" w:eastAsia="Times New Roman" w:hAnsi="Times New Roman" w:cs="Times New Roman"/>
                <w:color w:val="000000"/>
                <w:lang w:eastAsia="bg-BG"/>
              </w:rPr>
            </w:pPr>
            <w:r w:rsidRPr="00397072">
              <w:t>Задържане на течности/оток</w:t>
            </w:r>
          </w:p>
        </w:tc>
      </w:tr>
      <w:tr w:rsidR="00397072" w14:paraId="654EDF48" w14:textId="77777777" w:rsidTr="002633AB">
        <w:tc>
          <w:tcPr>
            <w:tcW w:w="4750" w:type="dxa"/>
          </w:tcPr>
          <w:p w14:paraId="4C8F8F40" w14:textId="77777777" w:rsidR="00397072" w:rsidRPr="00397072" w:rsidRDefault="00397072" w:rsidP="00397072">
            <w:r w:rsidRPr="00397072">
              <w:rPr>
                <w:b/>
                <w:bCs/>
              </w:rPr>
              <w:t>Изследвания</w:t>
            </w:r>
          </w:p>
          <w:p w14:paraId="60AD0482" w14:textId="3A7778D8" w:rsidR="00397072" w:rsidRPr="00397072" w:rsidRDefault="00397072" w:rsidP="00397072">
            <w:pPr>
              <w:rPr>
                <w:rFonts w:ascii="Times New Roman" w:eastAsia="Times New Roman" w:hAnsi="Times New Roman" w:cs="Times New Roman"/>
                <w:color w:val="000000"/>
                <w:lang w:eastAsia="bg-BG"/>
              </w:rPr>
            </w:pPr>
            <w:r w:rsidRPr="00397072">
              <w:t>Чести</w:t>
            </w:r>
          </w:p>
        </w:tc>
        <w:tc>
          <w:tcPr>
            <w:tcW w:w="4750" w:type="dxa"/>
          </w:tcPr>
          <w:p w14:paraId="6892DDAB" w14:textId="1463D435" w:rsidR="00397072" w:rsidRPr="00397072" w:rsidRDefault="00397072" w:rsidP="00397072">
            <w:pPr>
              <w:rPr>
                <w:rFonts w:ascii="Times New Roman" w:eastAsia="Times New Roman" w:hAnsi="Times New Roman" w:cs="Times New Roman"/>
                <w:color w:val="000000"/>
                <w:lang w:eastAsia="bg-BG"/>
              </w:rPr>
            </w:pPr>
            <w:r w:rsidRPr="00397072">
              <w:t>Промени в телесното тегло (повишение или намаление на теглото)</w:t>
            </w:r>
          </w:p>
        </w:tc>
      </w:tr>
      <w:tr w:rsidR="00397072" w14:paraId="7077A70C" w14:textId="77777777" w:rsidTr="002633AB">
        <w:tc>
          <w:tcPr>
            <w:tcW w:w="4750" w:type="dxa"/>
          </w:tcPr>
          <w:p w14:paraId="1DD8B828" w14:textId="54D0B1A5" w:rsidR="00397072" w:rsidRPr="00397072" w:rsidRDefault="00397072" w:rsidP="00397072">
            <w:pPr>
              <w:rPr>
                <w:rFonts w:ascii="Times New Roman" w:eastAsia="Times New Roman" w:hAnsi="Times New Roman" w:cs="Times New Roman"/>
                <w:color w:val="000000"/>
                <w:lang w:eastAsia="bg-BG"/>
              </w:rPr>
            </w:pPr>
            <w:r w:rsidRPr="00397072">
              <w:t>Нечести</w:t>
            </w:r>
          </w:p>
        </w:tc>
        <w:tc>
          <w:tcPr>
            <w:tcW w:w="4750" w:type="dxa"/>
          </w:tcPr>
          <w:p w14:paraId="1E1D98B2" w14:textId="653BF037" w:rsidR="00397072" w:rsidRPr="00397072" w:rsidRDefault="00397072" w:rsidP="00397072">
            <w:pPr>
              <w:rPr>
                <w:rFonts w:ascii="Times New Roman" w:eastAsia="Times New Roman" w:hAnsi="Times New Roman" w:cs="Times New Roman"/>
                <w:color w:val="000000"/>
                <w:lang w:eastAsia="bg-BG"/>
              </w:rPr>
            </w:pPr>
            <w:r w:rsidRPr="00397072">
              <w:t>Повишено артериално налягане, промени в стойностите на плазмените липиди, в това число хипертриглицеридемия</w:t>
            </w:r>
          </w:p>
        </w:tc>
      </w:tr>
    </w:tbl>
    <w:p w14:paraId="50B211CB" w14:textId="77777777" w:rsidR="00397072" w:rsidRPr="00397072" w:rsidRDefault="00397072" w:rsidP="00397072">
      <w:pPr>
        <w:spacing w:line="240" w:lineRule="auto"/>
        <w:rPr>
          <w:rFonts w:eastAsia="Times New Roman" w:cs="Arial"/>
          <w:color w:val="000000"/>
          <w:lang w:eastAsia="bg-BG"/>
        </w:rPr>
      </w:pPr>
      <w:r w:rsidRPr="00397072">
        <w:rPr>
          <w:rFonts w:eastAsia="Times New Roman" w:cs="Arial"/>
          <w:color w:val="000000"/>
          <w:lang w:val="en-US" w:eastAsia="bg-BG"/>
        </w:rPr>
        <w:t>*</w:t>
      </w:r>
      <w:r w:rsidRPr="00397072">
        <w:rPr>
          <w:rFonts w:eastAsia="Times New Roman" w:cs="Arial"/>
          <w:color w:val="000000"/>
          <w:lang w:eastAsia="bg-BG"/>
        </w:rPr>
        <w:t>Нивата на серумните фолати могат да бъдат понижени при приемане на КОК. Понижението може да бъде клинично значимо при жени, забременели наскоро след прекратяване при</w:t>
      </w:r>
      <w:r w:rsidRPr="00397072">
        <w:rPr>
          <w:rFonts w:eastAsia="Times New Roman" w:cs="Arial"/>
          <w:color w:val="000000"/>
          <w:u w:val="single"/>
          <w:lang w:eastAsia="bg-BG"/>
        </w:rPr>
        <w:t>ема</w:t>
      </w:r>
      <w:r w:rsidRPr="00397072">
        <w:rPr>
          <w:rFonts w:eastAsia="Times New Roman" w:cs="Arial"/>
          <w:color w:val="000000"/>
          <w:lang w:eastAsia="bg-BG"/>
        </w:rPr>
        <w:t xml:space="preserve"> на КОК.</w:t>
      </w:r>
    </w:p>
    <w:p w14:paraId="446D4F65" w14:textId="49CB9A5E" w:rsidR="00397072" w:rsidRPr="00397072" w:rsidRDefault="00397072" w:rsidP="00397072">
      <w:pPr>
        <w:spacing w:line="240" w:lineRule="auto"/>
        <w:rPr>
          <w:rFonts w:eastAsia="Times New Roman" w:cs="Arial"/>
          <w:lang w:eastAsia="bg-BG"/>
        </w:rPr>
      </w:pPr>
      <w:r w:rsidRPr="00397072">
        <w:rPr>
          <w:rFonts w:eastAsia="Times New Roman" w:cs="Arial"/>
          <w:color w:val="000000"/>
          <w:lang w:val="en-US" w:eastAsia="bg-BG"/>
        </w:rPr>
        <w:t>**</w:t>
      </w:r>
      <w:r w:rsidRPr="00397072">
        <w:rPr>
          <w:rFonts w:eastAsia="Times New Roman" w:cs="Arial"/>
          <w:color w:val="000000"/>
          <w:lang w:eastAsia="bg-BG"/>
        </w:rPr>
        <w:t>Оптичният неврит може да доведе до частична или пълна загуба на зрение.</w:t>
      </w:r>
    </w:p>
    <w:p w14:paraId="308B9E00" w14:textId="498DF2C7" w:rsidR="00397072" w:rsidRPr="00397072" w:rsidRDefault="00397072" w:rsidP="00397072">
      <w:pPr>
        <w:spacing w:line="240" w:lineRule="auto"/>
        <w:rPr>
          <w:rFonts w:eastAsia="Times New Roman" w:cs="Arial"/>
          <w:lang w:eastAsia="bg-BG"/>
        </w:rPr>
      </w:pPr>
      <w:r w:rsidRPr="00397072">
        <w:rPr>
          <w:rFonts w:eastAsia="Times New Roman" w:cs="Arial"/>
          <w:color w:val="000000"/>
          <w:lang w:val="en-US" w:eastAsia="bg-BG"/>
        </w:rPr>
        <w:t>***</w:t>
      </w:r>
      <w:r w:rsidRPr="00397072">
        <w:rPr>
          <w:rFonts w:eastAsia="Times New Roman" w:cs="Arial"/>
          <w:color w:val="000000"/>
          <w:lang w:eastAsia="bg-BG"/>
        </w:rPr>
        <w:t>Приемането на КОК може да влоши съществуващо заболяване на жлъчката и да ускори развитието на такова заболяване при жени без предшестващи симптоми.</w:t>
      </w:r>
    </w:p>
    <w:p w14:paraId="00E2B9D6" w14:textId="77777777" w:rsidR="002633AB" w:rsidRPr="00397072" w:rsidRDefault="002633AB" w:rsidP="002633AB">
      <w:pPr>
        <w:rPr>
          <w:rFonts w:eastAsia="Times New Roman" w:cs="Arial"/>
          <w:color w:val="000000"/>
          <w:lang w:eastAsia="bg-BG"/>
        </w:rPr>
      </w:pPr>
    </w:p>
    <w:p w14:paraId="13AAC06C" w14:textId="77777777" w:rsidR="00397072" w:rsidRPr="00397072" w:rsidRDefault="00397072" w:rsidP="00397072">
      <w:pPr>
        <w:spacing w:line="240" w:lineRule="auto"/>
        <w:rPr>
          <w:rFonts w:eastAsia="Times New Roman" w:cs="Arial"/>
          <w:lang w:eastAsia="bg-BG"/>
        </w:rPr>
      </w:pPr>
      <w:r w:rsidRPr="00397072">
        <w:rPr>
          <w:rFonts w:eastAsia="Times New Roman" w:cs="Arial"/>
          <w:color w:val="000000"/>
          <w:lang w:eastAsia="bg-BG"/>
        </w:rPr>
        <w:t>Екзогенните естрогени могат да предизвикат поява на наследствен или придобит ангиоедем или да влошат неговите симптоми.</w:t>
      </w:r>
    </w:p>
    <w:p w14:paraId="14010B45" w14:textId="77777777" w:rsidR="00397072" w:rsidRPr="00397072" w:rsidRDefault="00397072" w:rsidP="00397072">
      <w:pPr>
        <w:spacing w:line="240" w:lineRule="auto"/>
        <w:rPr>
          <w:rFonts w:eastAsia="Times New Roman" w:cs="Arial"/>
          <w:color w:val="000000"/>
          <w:u w:val="single"/>
          <w:lang w:eastAsia="bg-BG"/>
        </w:rPr>
      </w:pPr>
    </w:p>
    <w:p w14:paraId="18A49DEB" w14:textId="0204FA40" w:rsidR="00397072" w:rsidRPr="00397072" w:rsidRDefault="00397072" w:rsidP="00397072">
      <w:pPr>
        <w:spacing w:line="240" w:lineRule="auto"/>
        <w:rPr>
          <w:rFonts w:eastAsia="Times New Roman" w:cs="Arial"/>
          <w:lang w:eastAsia="bg-BG"/>
        </w:rPr>
      </w:pPr>
      <w:r w:rsidRPr="00397072">
        <w:rPr>
          <w:rFonts w:eastAsia="Times New Roman" w:cs="Arial"/>
          <w:color w:val="000000"/>
          <w:u w:val="single"/>
          <w:lang w:eastAsia="bg-BG"/>
        </w:rPr>
        <w:t>Съобщаване на подозирани нежелани реакции</w:t>
      </w:r>
    </w:p>
    <w:p w14:paraId="7E4AFA10" w14:textId="77777777" w:rsidR="00397072" w:rsidRPr="00397072" w:rsidRDefault="00397072" w:rsidP="00397072">
      <w:pPr>
        <w:spacing w:line="240" w:lineRule="auto"/>
        <w:rPr>
          <w:rFonts w:eastAsia="Times New Roman" w:cs="Arial"/>
          <w:lang w:eastAsia="bg-BG"/>
        </w:rPr>
      </w:pPr>
      <w:r w:rsidRPr="00397072">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чрез Изпълнителна агенция по лекарствата ул.,Дамян Груев” № 8, 1303 София, тел.: +35 928903417, уебсайт: </w:t>
      </w:r>
      <w:r w:rsidRPr="00397072">
        <w:rPr>
          <w:rFonts w:eastAsia="Times New Roman" w:cs="Arial"/>
          <w:lang w:eastAsia="bg-BG"/>
        </w:rPr>
        <w:fldChar w:fldCharType="begin"/>
      </w:r>
      <w:r w:rsidRPr="00397072">
        <w:rPr>
          <w:rFonts w:eastAsia="Times New Roman" w:cs="Arial"/>
          <w:lang w:eastAsia="bg-BG"/>
        </w:rPr>
        <w:instrText xml:space="preserve"> HYPERLINK "http://www.bda.bg" </w:instrText>
      </w:r>
      <w:r w:rsidRPr="00397072">
        <w:rPr>
          <w:rFonts w:eastAsia="Times New Roman" w:cs="Arial"/>
          <w:lang w:eastAsia="bg-BG"/>
        </w:rPr>
      </w:r>
      <w:r w:rsidRPr="00397072">
        <w:rPr>
          <w:rFonts w:eastAsia="Times New Roman" w:cs="Arial"/>
          <w:lang w:eastAsia="bg-BG"/>
        </w:rPr>
        <w:fldChar w:fldCharType="separate"/>
      </w:r>
      <w:r w:rsidRPr="00397072">
        <w:rPr>
          <w:rFonts w:eastAsia="Times New Roman" w:cs="Arial"/>
          <w:color w:val="000000"/>
          <w:lang w:val="en-US"/>
        </w:rPr>
        <w:t>www.bda.bg</w:t>
      </w:r>
      <w:r w:rsidRPr="00397072">
        <w:rPr>
          <w:rFonts w:eastAsia="Times New Roman" w:cs="Arial"/>
          <w:lang w:eastAsia="bg-BG"/>
        </w:rPr>
        <w:fldChar w:fldCharType="end"/>
      </w:r>
      <w:r w:rsidRPr="00397072">
        <w:rPr>
          <w:rFonts w:eastAsia="Times New Roman" w:cs="Arial"/>
          <w:color w:val="000000"/>
          <w:lang w:val="en-US"/>
        </w:rPr>
        <w:t>.</w:t>
      </w:r>
    </w:p>
    <w:p w14:paraId="2B0398FD" w14:textId="77777777" w:rsidR="002633AB" w:rsidRPr="002633AB" w:rsidRDefault="002633AB" w:rsidP="002633AB"/>
    <w:p w14:paraId="378A0F20" w14:textId="1D0A5CE0" w:rsidR="001D095A" w:rsidRDefault="002C50EE" w:rsidP="00340E8D">
      <w:pPr>
        <w:pStyle w:val="Heading2"/>
      </w:pPr>
      <w:r>
        <w:t>4.9. Предозиране</w:t>
      </w:r>
    </w:p>
    <w:p w14:paraId="3199C4A2" w14:textId="73194AB9" w:rsidR="00397072" w:rsidRDefault="00397072" w:rsidP="00397072"/>
    <w:p w14:paraId="2C548D2D" w14:textId="55889797" w:rsidR="00397072" w:rsidRPr="00397072" w:rsidRDefault="00397072" w:rsidP="00397072">
      <w:pPr>
        <w:rPr>
          <w:sz w:val="24"/>
          <w:szCs w:val="24"/>
          <w:lang w:eastAsia="bg-BG"/>
        </w:rPr>
      </w:pPr>
      <w:r w:rsidRPr="00397072">
        <w:rPr>
          <w:lang w:eastAsia="bg-BG"/>
        </w:rPr>
        <w:t xml:space="preserve">Симптомите на предозиране с хормонално контрацептивно средство при възрастни могат да включват гадене, повръщане, напрежение в гърдите, замаяност, коремна болка и сънливост/умора. При жени може да се появи отпадно кръвотечение. Няма специфичен </w:t>
      </w:r>
      <w:r w:rsidRPr="00397072">
        <w:rPr>
          <w:lang w:eastAsia="bg-BG"/>
        </w:rPr>
        <w:lastRenderedPageBreak/>
        <w:t>антидот. При необходимост от допълнително лечение при предозиране, то трябва да бъде симптоматично.</w:t>
      </w:r>
    </w:p>
    <w:p w14:paraId="02081B24" w14:textId="36FE76F4" w:rsidR="00395555" w:rsidRPr="00395555" w:rsidRDefault="002C50EE" w:rsidP="008A6AF2">
      <w:pPr>
        <w:pStyle w:val="Heading1"/>
      </w:pPr>
      <w:r>
        <w:t>5. ФАРМАКОЛОГИЧНИ СВОЙСТВА</w:t>
      </w:r>
    </w:p>
    <w:p w14:paraId="7F6CC5E1" w14:textId="6D7ADC17" w:rsidR="00F62E44" w:rsidRDefault="002C50EE" w:rsidP="00387A66">
      <w:pPr>
        <w:pStyle w:val="Heading2"/>
      </w:pPr>
      <w:r>
        <w:t>5.1. Фармакодинамични свойства</w:t>
      </w:r>
    </w:p>
    <w:p w14:paraId="1D5A60BC" w14:textId="2F3DC1DF" w:rsidR="00397072" w:rsidRDefault="00397072" w:rsidP="00397072"/>
    <w:p w14:paraId="6E1FC6F9" w14:textId="77777777"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lang w:eastAsia="bg-BG"/>
        </w:rPr>
        <w:t xml:space="preserve">Фармакотерапевтична група: Полови хормони и модулатори на половата система, Прогестогени и естрогени, фиксирани комбинации, АТС код: </w:t>
      </w:r>
      <w:r w:rsidRPr="00397072">
        <w:rPr>
          <w:rFonts w:eastAsia="Times New Roman" w:cs="Arial"/>
          <w:color w:val="000000"/>
          <w:lang w:val="en-US"/>
        </w:rPr>
        <w:t xml:space="preserve">G03 </w:t>
      </w:r>
      <w:r w:rsidRPr="00397072">
        <w:rPr>
          <w:rFonts w:eastAsia="Times New Roman" w:cs="Arial"/>
          <w:color w:val="000000"/>
          <w:lang w:eastAsia="bg-BG"/>
        </w:rPr>
        <w:t>АА10</w:t>
      </w:r>
    </w:p>
    <w:p w14:paraId="4FCBE062" w14:textId="77777777" w:rsidR="00397072" w:rsidRPr="00397072" w:rsidRDefault="00397072" w:rsidP="00397072">
      <w:pPr>
        <w:spacing w:line="240" w:lineRule="auto"/>
        <w:rPr>
          <w:rFonts w:eastAsia="Times New Roman" w:cs="Arial"/>
          <w:color w:val="000000"/>
          <w:u w:val="single"/>
          <w:lang w:eastAsia="bg-BG"/>
        </w:rPr>
      </w:pPr>
    </w:p>
    <w:p w14:paraId="54213CB6" w14:textId="31777B8F"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u w:val="single"/>
          <w:lang w:eastAsia="bg-BG"/>
        </w:rPr>
        <w:t>Механизъм на действие</w:t>
      </w:r>
    </w:p>
    <w:p w14:paraId="58A4C62A" w14:textId="77777777" w:rsidR="00397072" w:rsidRPr="00397072" w:rsidRDefault="00397072" w:rsidP="00397072">
      <w:pPr>
        <w:spacing w:line="240" w:lineRule="auto"/>
        <w:rPr>
          <w:rFonts w:eastAsia="Times New Roman" w:cs="Arial"/>
          <w:color w:val="000000"/>
          <w:lang w:eastAsia="bg-BG"/>
        </w:rPr>
      </w:pPr>
    </w:p>
    <w:p w14:paraId="1A23056F" w14:textId="5B6BFBB9"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lang w:eastAsia="bg-BG"/>
        </w:rPr>
        <w:t>Комбинираните перорални контрацептиви действат чрез потискане на гонадотропините. Въпреки че първичният механизъм на действие е инхибиция на овулацията, за контрацептивния ефект допринасят и други механизми, в това число промени в цервикалния мукус (затрудняващи проникването на сперма в матката) и ендометриума (намаляващи вероятността от имплантиране на яйцеклетките).</w:t>
      </w:r>
    </w:p>
    <w:p w14:paraId="46888448" w14:textId="77777777" w:rsidR="00397072" w:rsidRPr="00397072" w:rsidRDefault="00397072" w:rsidP="00397072">
      <w:pPr>
        <w:spacing w:line="240" w:lineRule="auto"/>
        <w:rPr>
          <w:rFonts w:eastAsia="Times New Roman" w:cs="Arial"/>
          <w:color w:val="000000"/>
          <w:lang w:eastAsia="bg-BG"/>
        </w:rPr>
      </w:pPr>
    </w:p>
    <w:p w14:paraId="4C943BB4" w14:textId="445330EB"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lang w:eastAsia="bg-BG"/>
        </w:rPr>
        <w:t>При постоянна и правилна употреба, рискът от неефективно действие на комбинираните хормонални контрацептиви е 0,1% на година. При обичайна употреба рискът от неефективно действие при всички перорални контрацептиви е 5%. Ефективността на повечето контрацептивни методи зависи от тяхното правилно прилагане. В повечето случаи неефективното действие се дължи на пропуснати дози.</w:t>
      </w:r>
    </w:p>
    <w:p w14:paraId="1CF7D3CB" w14:textId="77777777" w:rsidR="00397072" w:rsidRPr="00397072" w:rsidRDefault="00397072" w:rsidP="00397072">
      <w:pPr>
        <w:spacing w:line="240" w:lineRule="auto"/>
        <w:rPr>
          <w:rFonts w:eastAsia="Times New Roman" w:cs="Arial"/>
          <w:color w:val="000000"/>
          <w:lang w:eastAsia="bg-BG"/>
        </w:rPr>
      </w:pPr>
    </w:p>
    <w:p w14:paraId="6DC3540F" w14:textId="7E47A0FC"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lang w:eastAsia="bg-BG"/>
        </w:rPr>
        <w:t>Освен предпазване от бременност, пероралните контрацептиви притежават няколко положителни свойства, които, съпоставени с негативните аспекти, е полезно да се знаят при вземане на решение за предпазване от забременяване. Последното може да допринесе за намаляване на появата на железен дефицит.</w:t>
      </w:r>
    </w:p>
    <w:p w14:paraId="034AC3A8" w14:textId="77777777" w:rsidR="00397072" w:rsidRPr="00397072" w:rsidRDefault="00397072" w:rsidP="00397072">
      <w:pPr>
        <w:rPr>
          <w:rFonts w:eastAsia="Times New Roman" w:cs="Arial"/>
          <w:color w:val="000000"/>
          <w:lang w:eastAsia="bg-BG"/>
        </w:rPr>
      </w:pPr>
    </w:p>
    <w:p w14:paraId="6F435CFA" w14:textId="6640C6F1" w:rsidR="00397072" w:rsidRPr="00397072" w:rsidRDefault="00397072" w:rsidP="00397072">
      <w:pPr>
        <w:rPr>
          <w:rFonts w:eastAsia="Times New Roman" w:cs="Arial"/>
          <w:color w:val="000000"/>
          <w:lang w:eastAsia="bg-BG"/>
        </w:rPr>
      </w:pPr>
      <w:r w:rsidRPr="00397072">
        <w:rPr>
          <w:rFonts w:eastAsia="Times New Roman" w:cs="Arial"/>
          <w:color w:val="000000"/>
          <w:lang w:eastAsia="bg-BG"/>
        </w:rPr>
        <w:t xml:space="preserve">Установено е намаление на риска от рак на ендометриума </w:t>
      </w:r>
      <w:r w:rsidRPr="00397072">
        <w:rPr>
          <w:rFonts w:eastAsia="Times New Roman" w:cs="Arial"/>
          <w:i/>
          <w:iCs/>
          <w:color w:val="000000"/>
          <w:lang w:eastAsia="bg-BG"/>
        </w:rPr>
        <w:t>и</w:t>
      </w:r>
      <w:r w:rsidRPr="00397072">
        <w:rPr>
          <w:rFonts w:eastAsia="Times New Roman" w:cs="Arial"/>
          <w:color w:val="000000"/>
          <w:lang w:eastAsia="bg-BG"/>
        </w:rPr>
        <w:t xml:space="preserve"> яйчниците. В допълнение, демонстрирано е, че високодозираните контрацептивни таблетки (50 μ</w:t>
      </w:r>
      <w:r w:rsidRPr="00397072">
        <w:rPr>
          <w:rFonts w:eastAsia="Times New Roman" w:cs="Arial"/>
          <w:color w:val="000000"/>
          <w:lang w:val="en-US"/>
        </w:rPr>
        <w:t xml:space="preserve">g </w:t>
      </w:r>
      <w:r w:rsidRPr="00397072">
        <w:rPr>
          <w:rFonts w:eastAsia="Times New Roman" w:cs="Arial"/>
          <w:color w:val="000000"/>
          <w:lang w:eastAsia="bg-BG"/>
        </w:rPr>
        <w:t>етинилестрадиол) намаляват риска от фиброкистични тумори на гърдата, яйчникови кисти, аднексити, екгопична бременност, както и рак на ендометриума и яйчниците. Все още не е потвърдено, че този ефект се отнася и за и нискодозирани контрацептиви.</w:t>
      </w:r>
    </w:p>
    <w:p w14:paraId="5E1CED42" w14:textId="77777777" w:rsidR="00397072" w:rsidRPr="00397072" w:rsidRDefault="00397072" w:rsidP="00397072"/>
    <w:p w14:paraId="544FFDAF" w14:textId="032156BB" w:rsidR="00F62E44" w:rsidRDefault="002C50EE" w:rsidP="00387A66">
      <w:pPr>
        <w:pStyle w:val="Heading2"/>
      </w:pPr>
      <w:r>
        <w:t>5.2. Фармакокинетични свойства</w:t>
      </w:r>
    </w:p>
    <w:p w14:paraId="31090815" w14:textId="4287DC0B" w:rsidR="00397072" w:rsidRDefault="00397072" w:rsidP="00397072"/>
    <w:p w14:paraId="711172FD" w14:textId="3DBF307F" w:rsidR="00397072" w:rsidRPr="00397072" w:rsidRDefault="00397072" w:rsidP="00397072">
      <w:pPr>
        <w:rPr>
          <w:rFonts w:cs="Arial"/>
          <w:i/>
          <w:iCs/>
        </w:rPr>
      </w:pPr>
      <w:r w:rsidRPr="00397072">
        <w:rPr>
          <w:rFonts w:cs="Arial"/>
          <w:i/>
          <w:iCs/>
        </w:rPr>
        <w:t>Гестоден</w:t>
      </w:r>
    </w:p>
    <w:p w14:paraId="4FD8DDCB" w14:textId="77777777" w:rsidR="00397072" w:rsidRPr="00397072" w:rsidRDefault="00397072" w:rsidP="00397072">
      <w:pPr>
        <w:spacing w:line="240" w:lineRule="auto"/>
        <w:rPr>
          <w:rFonts w:eastAsia="Times New Roman" w:cs="Arial"/>
          <w:color w:val="000000"/>
          <w:u w:val="single"/>
          <w:lang w:eastAsia="bg-BG"/>
        </w:rPr>
      </w:pPr>
    </w:p>
    <w:p w14:paraId="3482C183" w14:textId="1B6369A7"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u w:val="single"/>
          <w:lang w:eastAsia="bg-BG"/>
        </w:rPr>
        <w:t>Абсорбция</w:t>
      </w:r>
    </w:p>
    <w:p w14:paraId="17468147" w14:textId="77777777"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lang w:eastAsia="bg-BG"/>
        </w:rPr>
        <w:t>Перорално приетият гестоден се абсорбира бързо и напълно в гастроинтестиналния тракт. Бионаличността е почти 99%. След прием на еднократна доза, максимална серумна концентрация се достига приблизително до 1 час.</w:t>
      </w:r>
    </w:p>
    <w:p w14:paraId="18819FE5" w14:textId="77777777" w:rsidR="00397072" w:rsidRPr="00397072" w:rsidRDefault="00397072" w:rsidP="00397072">
      <w:pPr>
        <w:spacing w:line="240" w:lineRule="auto"/>
        <w:rPr>
          <w:rFonts w:eastAsia="Times New Roman" w:cs="Arial"/>
          <w:color w:val="000000"/>
          <w:u w:val="single"/>
          <w:lang w:eastAsia="bg-BG"/>
        </w:rPr>
      </w:pPr>
    </w:p>
    <w:p w14:paraId="06DA4D99" w14:textId="4DC1A271"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u w:val="single"/>
          <w:lang w:eastAsia="bg-BG"/>
        </w:rPr>
        <w:t>Разпределение</w:t>
      </w:r>
    </w:p>
    <w:p w14:paraId="7FDFA106" w14:textId="77777777"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lang w:eastAsia="bg-BG"/>
        </w:rPr>
        <w:t>В серума гестоден се свързва предимно (50-70%) със секс-хормон-свързващия глобулин (СХСГ) и в по-малка степен с албумина. Само малко количество гестоден (1 -2%) се открива като свободен стероид.</w:t>
      </w:r>
    </w:p>
    <w:p w14:paraId="41315718" w14:textId="77777777"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lang w:eastAsia="bg-BG"/>
        </w:rPr>
        <w:t xml:space="preserve">Индуцирането от етинилестрадиола повишение на нивото на СХСГ води до повишаване на СХСГ-свързаната фракция и намаляване на албумин-свързаната фракция. След </w:t>
      </w:r>
      <w:r w:rsidRPr="00397072">
        <w:rPr>
          <w:rFonts w:eastAsia="Times New Roman" w:cs="Arial"/>
          <w:color w:val="000000"/>
          <w:lang w:eastAsia="bg-BG"/>
        </w:rPr>
        <w:lastRenderedPageBreak/>
        <w:t>многократно прилагане, гестоден се акумулира в серума. Плазмено ниво на равновесно състояние се постига във втората половина от лечебния цикъл, през която серумното ниво на гестоген се повишава от 3 до 5 пъти.</w:t>
      </w:r>
    </w:p>
    <w:p w14:paraId="09FB3A44" w14:textId="77777777" w:rsidR="00397072" w:rsidRPr="00397072" w:rsidRDefault="00397072" w:rsidP="00397072">
      <w:pPr>
        <w:spacing w:line="240" w:lineRule="auto"/>
        <w:rPr>
          <w:rFonts w:eastAsia="Times New Roman" w:cs="Arial"/>
          <w:color w:val="000000"/>
          <w:u w:val="single"/>
          <w:lang w:eastAsia="bg-BG"/>
        </w:rPr>
      </w:pPr>
    </w:p>
    <w:p w14:paraId="1CE70D8F" w14:textId="7A0B2A7B"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u w:val="single"/>
          <w:lang w:eastAsia="bg-BG"/>
        </w:rPr>
        <w:t>Биотоанс</w:t>
      </w:r>
      <w:r w:rsidRPr="00397072">
        <w:rPr>
          <w:rFonts w:eastAsia="Times New Roman" w:cs="Arial"/>
          <w:color w:val="000000"/>
          <w:u w:val="single"/>
          <w:lang w:eastAsia="bg-BG"/>
        </w:rPr>
        <w:t>ф</w:t>
      </w:r>
      <w:r w:rsidRPr="00397072">
        <w:rPr>
          <w:rFonts w:eastAsia="Times New Roman" w:cs="Arial"/>
          <w:color w:val="000000"/>
          <w:u w:val="single"/>
          <w:lang w:eastAsia="bg-BG"/>
        </w:rPr>
        <w:t>ормация</w:t>
      </w:r>
    </w:p>
    <w:p w14:paraId="66FFF89E" w14:textId="77777777"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lang w:eastAsia="bg-BG"/>
        </w:rPr>
        <w:t>Гестоден се метаболизира напълно чрез редукция на 3 кето-групата и делта-4-двойна връзка, както и чрез няколко други стъпки на хидроксилиране. Няма данни за значим ефект на гестоден върху кинетиката на етиниестрадиол при едновременното им прилагане.</w:t>
      </w:r>
    </w:p>
    <w:p w14:paraId="044F81D6" w14:textId="77777777" w:rsidR="00397072" w:rsidRPr="00397072" w:rsidRDefault="00397072" w:rsidP="00397072">
      <w:pPr>
        <w:spacing w:line="240" w:lineRule="auto"/>
        <w:rPr>
          <w:rFonts w:eastAsia="Times New Roman" w:cs="Arial"/>
          <w:color w:val="000000"/>
          <w:u w:val="single"/>
          <w:lang w:eastAsia="bg-BG"/>
        </w:rPr>
      </w:pPr>
    </w:p>
    <w:p w14:paraId="04F1C528" w14:textId="1969A0EE"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u w:val="single"/>
          <w:lang w:eastAsia="bg-BG"/>
        </w:rPr>
        <w:t>Елиминиране</w:t>
      </w:r>
    </w:p>
    <w:p w14:paraId="4A253765" w14:textId="77777777"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lang w:eastAsia="bg-BG"/>
        </w:rPr>
        <w:t>Серумното ниво на гестоден се понижава в две фази. Терминалният полуживот на гестоден е приблизително 20-28 часа. Метаболитите на гестоден се екскретират предимно в урината, но не и с фекалиите.</w:t>
      </w:r>
    </w:p>
    <w:p w14:paraId="7496209F" w14:textId="77777777" w:rsidR="00397072" w:rsidRPr="00397072" w:rsidRDefault="00397072" w:rsidP="00397072">
      <w:pPr>
        <w:spacing w:line="240" w:lineRule="auto"/>
        <w:rPr>
          <w:rFonts w:eastAsia="Times New Roman" w:cs="Arial"/>
          <w:i/>
          <w:iCs/>
          <w:color w:val="000000"/>
          <w:lang w:eastAsia="bg-BG"/>
        </w:rPr>
      </w:pPr>
    </w:p>
    <w:p w14:paraId="10CAE972" w14:textId="7934AB22" w:rsidR="00397072" w:rsidRPr="00397072" w:rsidRDefault="00397072" w:rsidP="00397072">
      <w:pPr>
        <w:spacing w:line="240" w:lineRule="auto"/>
        <w:rPr>
          <w:rFonts w:eastAsia="Times New Roman" w:cs="Arial"/>
          <w:sz w:val="28"/>
          <w:szCs w:val="28"/>
          <w:lang w:eastAsia="bg-BG"/>
        </w:rPr>
      </w:pPr>
      <w:r w:rsidRPr="00397072">
        <w:rPr>
          <w:rFonts w:eastAsia="Times New Roman" w:cs="Arial"/>
          <w:i/>
          <w:iCs/>
          <w:color w:val="000000"/>
          <w:lang w:eastAsia="bg-BG"/>
        </w:rPr>
        <w:t>Етинилестрадиол</w:t>
      </w:r>
    </w:p>
    <w:p w14:paraId="28DE238B" w14:textId="77777777" w:rsidR="00397072" w:rsidRPr="00397072" w:rsidRDefault="00397072" w:rsidP="00397072">
      <w:pPr>
        <w:spacing w:line="240" w:lineRule="auto"/>
        <w:rPr>
          <w:rFonts w:eastAsia="Times New Roman" w:cs="Arial"/>
          <w:color w:val="000000"/>
          <w:u w:val="single"/>
          <w:lang w:eastAsia="bg-BG"/>
        </w:rPr>
      </w:pPr>
    </w:p>
    <w:p w14:paraId="536A8664" w14:textId="5525DEB8"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u w:val="single"/>
          <w:lang w:eastAsia="bg-BG"/>
        </w:rPr>
        <w:t>Абсорбция</w:t>
      </w:r>
    </w:p>
    <w:p w14:paraId="38B28B36" w14:textId="77777777"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lang w:eastAsia="bg-BG"/>
        </w:rPr>
        <w:t>Перорално приетият етинилестрадиол се абсорбира бързо и напълно в гастроинтестиналния тракт. Абсолютната бионаличност е приблизително 40-60%. След прием на еднократна доза, максимална серумна концентрация се достига приблизително след 1 -2 часа.</w:t>
      </w:r>
    </w:p>
    <w:p w14:paraId="2F944EC5" w14:textId="77777777" w:rsidR="00397072" w:rsidRPr="00397072" w:rsidRDefault="00397072" w:rsidP="00397072">
      <w:pPr>
        <w:spacing w:line="240" w:lineRule="auto"/>
        <w:rPr>
          <w:rFonts w:eastAsia="Times New Roman" w:cs="Arial"/>
          <w:color w:val="000000"/>
          <w:u w:val="single"/>
          <w:lang w:eastAsia="bg-BG"/>
        </w:rPr>
      </w:pPr>
    </w:p>
    <w:p w14:paraId="34936B23" w14:textId="3E6E7BE8"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u w:val="single"/>
          <w:lang w:eastAsia="bg-BG"/>
        </w:rPr>
        <w:t>Разпределение</w:t>
      </w:r>
    </w:p>
    <w:p w14:paraId="1681F35C" w14:textId="77777777"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lang w:eastAsia="bg-BG"/>
        </w:rPr>
        <w:t>Етинилестрадиол е свързан силно със серумния албумин (приблизително 98%) и води до покачване на серумната концентрация на СХСГ. Равновесно състояние се постига във втората половина от лечебния цикъл. След многократно дозиране, плазменото ниво се повишава с 25-50%.</w:t>
      </w:r>
    </w:p>
    <w:p w14:paraId="4D6316CF" w14:textId="77777777" w:rsidR="00397072" w:rsidRPr="00397072" w:rsidRDefault="00397072" w:rsidP="00397072">
      <w:pPr>
        <w:spacing w:line="240" w:lineRule="auto"/>
        <w:rPr>
          <w:rFonts w:eastAsia="Times New Roman" w:cs="Arial"/>
          <w:color w:val="000000"/>
          <w:u w:val="single"/>
          <w:lang w:eastAsia="bg-BG"/>
        </w:rPr>
      </w:pPr>
    </w:p>
    <w:p w14:paraId="1261DB81" w14:textId="679EAD16"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u w:val="single"/>
          <w:lang w:eastAsia="bg-BG"/>
        </w:rPr>
        <w:t>Биотрансформация</w:t>
      </w:r>
    </w:p>
    <w:p w14:paraId="4F2E977D" w14:textId="77777777"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lang w:eastAsia="bg-BG"/>
        </w:rPr>
        <w:t>Етинилестрадиол претърпява пресистемна конюгация, както в тънкочревната лигавица, така и в черния дроб, и навлиза в ентерохепаталната циркулация. Първичната реакция на окисление е 2- хидроксилация, осъществявана от цитохром Р450 ензими. Образуват се множество различни хидроксилирани и метилирани метаболити, които съществуват като свободни метаболити и като конюгати с глюкурониди и сулфати.</w:t>
      </w:r>
    </w:p>
    <w:p w14:paraId="50A14020" w14:textId="77777777" w:rsidR="00397072" w:rsidRPr="00397072" w:rsidRDefault="00397072" w:rsidP="00397072">
      <w:pPr>
        <w:spacing w:line="240" w:lineRule="auto"/>
        <w:rPr>
          <w:rFonts w:eastAsia="Times New Roman" w:cs="Arial"/>
          <w:color w:val="000000"/>
          <w:u w:val="single"/>
          <w:lang w:eastAsia="bg-BG"/>
        </w:rPr>
      </w:pPr>
    </w:p>
    <w:p w14:paraId="49767605" w14:textId="6D6ED9AA" w:rsidR="00397072" w:rsidRPr="00397072" w:rsidRDefault="00397072" w:rsidP="00397072">
      <w:pPr>
        <w:spacing w:line="240" w:lineRule="auto"/>
        <w:rPr>
          <w:rFonts w:eastAsia="Times New Roman" w:cs="Arial"/>
          <w:sz w:val="28"/>
          <w:szCs w:val="28"/>
          <w:lang w:eastAsia="bg-BG"/>
        </w:rPr>
      </w:pPr>
      <w:r w:rsidRPr="00397072">
        <w:rPr>
          <w:rFonts w:eastAsia="Times New Roman" w:cs="Arial"/>
          <w:color w:val="000000"/>
          <w:u w:val="single"/>
          <w:lang w:eastAsia="bg-BG"/>
        </w:rPr>
        <w:t>Елиминиране</w:t>
      </w:r>
    </w:p>
    <w:p w14:paraId="6AB451AC" w14:textId="609A6EF6" w:rsidR="00397072" w:rsidRPr="00397072" w:rsidRDefault="00397072" w:rsidP="00397072">
      <w:pPr>
        <w:rPr>
          <w:rFonts w:cs="Arial"/>
          <w:i/>
          <w:iCs/>
        </w:rPr>
      </w:pPr>
      <w:r w:rsidRPr="00397072">
        <w:rPr>
          <w:rFonts w:eastAsia="Times New Roman" w:cs="Arial"/>
          <w:color w:val="000000"/>
          <w:lang w:eastAsia="bg-BG"/>
        </w:rPr>
        <w:t>Серумните концентрации се понижават в две фази. Крайната фаза на диспозиция се характеризира с полуживот от приблизително 16-18 часа. Метаболитите на етинилестрадиол се екскретират главно в урината и в по-малка степен във фекалиите.</w:t>
      </w:r>
    </w:p>
    <w:p w14:paraId="3757C8CD" w14:textId="77777777" w:rsidR="00397072" w:rsidRPr="00397072" w:rsidRDefault="00397072" w:rsidP="00397072"/>
    <w:p w14:paraId="6925FEB0" w14:textId="537EA66C" w:rsidR="00F62E44" w:rsidRDefault="002C50EE" w:rsidP="00387A66">
      <w:pPr>
        <w:pStyle w:val="Heading2"/>
      </w:pPr>
      <w:r>
        <w:t>5.3. Предклинични данни за безопасност</w:t>
      </w:r>
    </w:p>
    <w:p w14:paraId="3CC36037" w14:textId="2E4EF5CC" w:rsidR="00397072" w:rsidRDefault="00397072" w:rsidP="00397072"/>
    <w:p w14:paraId="26386874" w14:textId="7A86F0F7" w:rsidR="00397072" w:rsidRPr="00397072" w:rsidRDefault="00397072" w:rsidP="00397072">
      <w:pPr>
        <w:rPr>
          <w:sz w:val="24"/>
          <w:szCs w:val="24"/>
          <w:lang w:eastAsia="bg-BG"/>
        </w:rPr>
      </w:pPr>
      <w:r w:rsidRPr="00397072">
        <w:rPr>
          <w:lang w:eastAsia="bg-BG"/>
        </w:rPr>
        <w:t>В неклиничните проучвания нежелани последствия са наблюдавани само при излагане на дози силно надвишаващи максималното излагане при човека, което има малка клинична значимост Трябва да се има предвид, че половите хормони могат да стимулират растежа на някои хормонозависими тъкани и тумори.</w:t>
      </w:r>
    </w:p>
    <w:p w14:paraId="357049A8" w14:textId="4AC72C96" w:rsidR="00BB22B4" w:rsidRDefault="002C50EE" w:rsidP="00471F10">
      <w:pPr>
        <w:pStyle w:val="Heading1"/>
      </w:pPr>
      <w:r>
        <w:lastRenderedPageBreak/>
        <w:t>7. ПРИТЕЖАТЕЛ НА РАЗРЕШЕНИЕТО ЗА УПОТРЕБА</w:t>
      </w:r>
    </w:p>
    <w:p w14:paraId="5606525A" w14:textId="4B923B0F" w:rsidR="00397072" w:rsidRDefault="00397072" w:rsidP="00397072"/>
    <w:p w14:paraId="416862FA" w14:textId="77777777" w:rsidR="00397072" w:rsidRPr="00397072" w:rsidRDefault="00397072" w:rsidP="00397072">
      <w:pPr>
        <w:rPr>
          <w:sz w:val="24"/>
          <w:szCs w:val="24"/>
          <w:lang w:val="en-US" w:eastAsia="bg-BG"/>
        </w:rPr>
      </w:pPr>
      <w:r w:rsidRPr="00397072">
        <w:rPr>
          <w:lang w:val="en-US"/>
        </w:rPr>
        <w:t>Gedeon Richter Plc.</w:t>
      </w:r>
    </w:p>
    <w:p w14:paraId="06AFCBD4" w14:textId="77777777" w:rsidR="00397072" w:rsidRDefault="00397072" w:rsidP="00397072">
      <w:pPr>
        <w:rPr>
          <w:lang w:val="en-US"/>
        </w:rPr>
      </w:pPr>
      <w:proofErr w:type="spellStart"/>
      <w:r w:rsidRPr="00397072">
        <w:rPr>
          <w:lang w:val="en-US"/>
        </w:rPr>
        <w:t>Gydmroi</w:t>
      </w:r>
      <w:proofErr w:type="spellEnd"/>
      <w:r w:rsidRPr="00397072">
        <w:rPr>
          <w:lang w:val="en-US"/>
        </w:rPr>
        <w:t xml:space="preserve"> </w:t>
      </w:r>
      <w:proofErr w:type="spellStart"/>
      <w:r w:rsidRPr="00397072">
        <w:rPr>
          <w:lang w:val="en-US"/>
        </w:rPr>
        <w:t>ut</w:t>
      </w:r>
      <w:proofErr w:type="spellEnd"/>
      <w:r w:rsidRPr="00397072">
        <w:rPr>
          <w:lang w:val="en-US"/>
        </w:rPr>
        <w:t xml:space="preserve"> 19-21. </w:t>
      </w:r>
    </w:p>
    <w:p w14:paraId="5CA9F872" w14:textId="71528B1D" w:rsidR="00397072" w:rsidRPr="00397072" w:rsidRDefault="00397072" w:rsidP="00397072">
      <w:pPr>
        <w:rPr>
          <w:sz w:val="24"/>
          <w:szCs w:val="24"/>
          <w:lang w:val="en-US" w:eastAsia="bg-BG"/>
        </w:rPr>
      </w:pPr>
      <w:r w:rsidRPr="00397072">
        <w:rPr>
          <w:lang w:val="en-US"/>
        </w:rPr>
        <w:t>H-1 103 Budapest</w:t>
      </w:r>
    </w:p>
    <w:p w14:paraId="43F08BA9" w14:textId="7FAD0F44" w:rsidR="00397072" w:rsidRPr="00397072" w:rsidRDefault="00397072" w:rsidP="00397072">
      <w:r w:rsidRPr="00397072">
        <w:rPr>
          <w:lang w:eastAsia="bg-BG"/>
        </w:rPr>
        <w:t>Унгария</w:t>
      </w:r>
    </w:p>
    <w:p w14:paraId="0A53321D" w14:textId="09D4257D" w:rsidR="00EE6C97" w:rsidRDefault="00936AD0" w:rsidP="00A93499">
      <w:pPr>
        <w:pStyle w:val="Heading1"/>
      </w:pPr>
      <w:r>
        <w:t>8.</w:t>
      </w:r>
      <w:r w:rsidR="002C50EE">
        <w:t>НОМЕР НА РАЗРЕШЕНИЕТО ЗА УПОТРЕБА</w:t>
      </w:r>
    </w:p>
    <w:p w14:paraId="2AAED52C" w14:textId="1034CBA2" w:rsidR="00397072" w:rsidRDefault="00397072" w:rsidP="00397072"/>
    <w:p w14:paraId="5474C6BD" w14:textId="3BEDB600" w:rsidR="00397072" w:rsidRPr="00397072" w:rsidRDefault="00397072" w:rsidP="00397072">
      <w:r>
        <w:rPr>
          <w:lang w:val="en-US"/>
        </w:rPr>
        <w:t xml:space="preserve">Per. </w:t>
      </w:r>
      <w:r>
        <w:t>№20040310</w:t>
      </w:r>
    </w:p>
    <w:p w14:paraId="7C2688F5" w14:textId="6D610EDF" w:rsidR="00F62E44" w:rsidRDefault="00F62E44" w:rsidP="00F62E44"/>
    <w:p w14:paraId="00481C21" w14:textId="46AE701D" w:rsidR="00F62E44" w:rsidRDefault="002C50EE" w:rsidP="00387A66">
      <w:pPr>
        <w:pStyle w:val="Heading1"/>
      </w:pPr>
      <w:r>
        <w:t>9. ДАТА НА ПЪРВО РАЗРЕШАВАНЕ/ПОДНОВЯВАНЕ НА РАЗРЕШЕНИЕТО ЗА УПОТРЕБА</w:t>
      </w:r>
    </w:p>
    <w:p w14:paraId="2D0FD124" w14:textId="52D72C4A" w:rsidR="00397072" w:rsidRDefault="00397072" w:rsidP="00397072"/>
    <w:p w14:paraId="415B1838" w14:textId="77777777" w:rsidR="00397072" w:rsidRPr="00397072" w:rsidRDefault="00397072" w:rsidP="00397072">
      <w:pPr>
        <w:rPr>
          <w:sz w:val="24"/>
          <w:szCs w:val="24"/>
          <w:lang w:eastAsia="bg-BG"/>
        </w:rPr>
      </w:pPr>
      <w:r w:rsidRPr="00397072">
        <w:rPr>
          <w:lang w:eastAsia="bg-BG"/>
        </w:rPr>
        <w:t>Дата на първо разрешаване: 01.07.2004</w:t>
      </w:r>
    </w:p>
    <w:p w14:paraId="23CB0766" w14:textId="5EBCF80E" w:rsidR="00397072" w:rsidRPr="00397072" w:rsidRDefault="00397072" w:rsidP="00397072">
      <w:r w:rsidRPr="00397072">
        <w:rPr>
          <w:lang w:eastAsia="bg-BG"/>
        </w:rPr>
        <w:t>Дата на последно подновяване на разрешението за употреба: 22.06.2010</w:t>
      </w:r>
    </w:p>
    <w:p w14:paraId="43FB38A2" w14:textId="0C18A683" w:rsidR="007C605B" w:rsidRDefault="002C50EE" w:rsidP="005726E3">
      <w:pPr>
        <w:pStyle w:val="Heading1"/>
      </w:pPr>
      <w:r>
        <w:t>10. ДАТА НА АКТУАЛИЗИРАНЕ НА ТЕКСТА</w:t>
      </w:r>
      <w:bookmarkEnd w:id="0"/>
    </w:p>
    <w:p w14:paraId="472617BD" w14:textId="4E52188C" w:rsidR="00BB22B4" w:rsidRPr="00BB22B4" w:rsidRDefault="00BB22B4" w:rsidP="008F7F23"/>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3FCD5EA9"/>
    <w:multiLevelType w:val="hybridMultilevel"/>
    <w:tmpl w:val="FE3AC35E"/>
    <w:lvl w:ilvl="0" w:tplc="B2CA6C08">
      <w:start w:val="4"/>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1"/>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20"/>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4"/>
  </w:num>
  <w:num w:numId="12" w16cid:durableId="1434934028">
    <w:abstractNumId w:val="16"/>
  </w:num>
  <w:num w:numId="13" w16cid:durableId="479157895">
    <w:abstractNumId w:val="23"/>
  </w:num>
  <w:num w:numId="14" w16cid:durableId="1670476636">
    <w:abstractNumId w:val="14"/>
  </w:num>
  <w:num w:numId="15" w16cid:durableId="1000155783">
    <w:abstractNumId w:val="33"/>
  </w:num>
  <w:num w:numId="16" w16cid:durableId="2056420707">
    <w:abstractNumId w:val="11"/>
  </w:num>
  <w:num w:numId="17" w16cid:durableId="1787119182">
    <w:abstractNumId w:val="28"/>
  </w:num>
  <w:num w:numId="18" w16cid:durableId="722945139">
    <w:abstractNumId w:val="8"/>
  </w:num>
  <w:num w:numId="19" w16cid:durableId="1678728408">
    <w:abstractNumId w:val="30"/>
  </w:num>
  <w:num w:numId="20" w16cid:durableId="1970816657">
    <w:abstractNumId w:val="27"/>
  </w:num>
  <w:num w:numId="21" w16cid:durableId="1531146514">
    <w:abstractNumId w:val="21"/>
  </w:num>
  <w:num w:numId="22" w16cid:durableId="1276465">
    <w:abstractNumId w:val="29"/>
  </w:num>
  <w:num w:numId="23" w16cid:durableId="1624310558">
    <w:abstractNumId w:val="22"/>
  </w:num>
  <w:num w:numId="24" w16cid:durableId="1692877547">
    <w:abstractNumId w:val="9"/>
  </w:num>
  <w:num w:numId="25" w16cid:durableId="50930855">
    <w:abstractNumId w:val="26"/>
  </w:num>
  <w:num w:numId="26" w16cid:durableId="176701536">
    <w:abstractNumId w:val="25"/>
  </w:num>
  <w:num w:numId="27" w16cid:durableId="2050564750">
    <w:abstractNumId w:val="35"/>
  </w:num>
  <w:num w:numId="28" w16cid:durableId="1820733422">
    <w:abstractNumId w:val="6"/>
  </w:num>
  <w:num w:numId="29" w16cid:durableId="973678124">
    <w:abstractNumId w:val="24"/>
  </w:num>
  <w:num w:numId="30" w16cid:durableId="154884452">
    <w:abstractNumId w:val="39"/>
  </w:num>
  <w:num w:numId="31" w16cid:durableId="1053964910">
    <w:abstractNumId w:val="5"/>
  </w:num>
  <w:num w:numId="32" w16cid:durableId="2073575793">
    <w:abstractNumId w:val="37"/>
  </w:num>
  <w:num w:numId="33" w16cid:durableId="1566643170">
    <w:abstractNumId w:val="32"/>
  </w:num>
  <w:num w:numId="34" w16cid:durableId="2060787732">
    <w:abstractNumId w:val="36"/>
  </w:num>
  <w:num w:numId="35" w16cid:durableId="34161354">
    <w:abstractNumId w:val="7"/>
  </w:num>
  <w:num w:numId="36" w16cid:durableId="1976908676">
    <w:abstractNumId w:val="10"/>
  </w:num>
  <w:num w:numId="37" w16cid:durableId="758528303">
    <w:abstractNumId w:val="17"/>
  </w:num>
  <w:num w:numId="38" w16cid:durableId="178396561">
    <w:abstractNumId w:val="38"/>
  </w:num>
  <w:num w:numId="39" w16cid:durableId="934825996">
    <w:abstractNumId w:val="13"/>
  </w:num>
  <w:num w:numId="40" w16cid:durableId="5673459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633AB"/>
    <w:rsid w:val="002B3C38"/>
    <w:rsid w:val="002B4DBB"/>
    <w:rsid w:val="002C50EE"/>
    <w:rsid w:val="00340A0A"/>
    <w:rsid w:val="00340E8D"/>
    <w:rsid w:val="003765DC"/>
    <w:rsid w:val="00387A66"/>
    <w:rsid w:val="00395555"/>
    <w:rsid w:val="00397072"/>
    <w:rsid w:val="003A7AE2"/>
    <w:rsid w:val="003E3126"/>
    <w:rsid w:val="00426E5F"/>
    <w:rsid w:val="00471F10"/>
    <w:rsid w:val="004A448E"/>
    <w:rsid w:val="004D4D6B"/>
    <w:rsid w:val="004F1CE7"/>
    <w:rsid w:val="004F498A"/>
    <w:rsid w:val="00517A5B"/>
    <w:rsid w:val="005726E3"/>
    <w:rsid w:val="00593A00"/>
    <w:rsid w:val="005A66D9"/>
    <w:rsid w:val="005B34EA"/>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294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6797</Words>
  <Characters>38743</Characters>
  <Application>Microsoft Office Word</Application>
  <DocSecurity>0</DocSecurity>
  <Lines>322</Lines>
  <Paragraphs>90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2023-03-18T21:09:00Z</dcterms:created>
  <dcterms:modified xsi:type="dcterms:W3CDTF">2023-03-18T21:09:00Z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