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B239815" w14:textId="348F8188" w:rsidR="00AA23EC" w:rsidRDefault="00DD466D" w:rsidP="00DD466D">
      <w:pPr>
        <w:pStyle w:val="Heading1"/>
      </w:pPr>
      <w:r>
        <w:t>1.ИМЕ НА ЛЕКАРСТВЕНИЯ ПРОДУКТ</w:t>
      </w:r>
    </w:p>
    <w:p w14:paraId="006914CE" w14:textId="5A4FC082" w:rsidR="00790351" w:rsidRDefault="00790351" w:rsidP="00790351"/>
    <w:p w14:paraId="3D499980" w14:textId="77777777" w:rsidR="00790351" w:rsidRPr="00790351" w:rsidRDefault="00790351" w:rsidP="00790351">
      <w:pPr>
        <w:rPr>
          <w:sz w:val="24"/>
          <w:szCs w:val="24"/>
          <w:lang w:val="ru-RU"/>
        </w:rPr>
      </w:pPr>
      <w:r w:rsidRPr="00790351">
        <w:rPr>
          <w:lang w:eastAsia="bg-BG"/>
        </w:rPr>
        <w:t xml:space="preserve">Линефор 50 </w:t>
      </w:r>
      <w:r w:rsidRPr="00790351">
        <w:rPr>
          <w:lang w:val="en-US"/>
        </w:rPr>
        <w:t>mg</w:t>
      </w:r>
      <w:r w:rsidRPr="00790351">
        <w:rPr>
          <w:lang w:val="ru-RU"/>
        </w:rPr>
        <w:t xml:space="preserve"> </w:t>
      </w:r>
      <w:r w:rsidRPr="00790351">
        <w:rPr>
          <w:lang w:eastAsia="bg-BG"/>
        </w:rPr>
        <w:t>твърди капсули</w:t>
      </w:r>
    </w:p>
    <w:p w14:paraId="4B92861C" w14:textId="77777777" w:rsidR="00790351" w:rsidRPr="00790351" w:rsidRDefault="00790351" w:rsidP="00790351">
      <w:pPr>
        <w:rPr>
          <w:sz w:val="24"/>
          <w:szCs w:val="24"/>
          <w:lang w:val="ru-RU"/>
        </w:rPr>
      </w:pPr>
      <w:r w:rsidRPr="00790351">
        <w:rPr>
          <w:lang w:eastAsia="bg-BG"/>
        </w:rPr>
        <w:t xml:space="preserve">Линефор 75 </w:t>
      </w:r>
      <w:r w:rsidRPr="00790351">
        <w:rPr>
          <w:lang w:val="en-US"/>
        </w:rPr>
        <w:t>mg</w:t>
      </w:r>
      <w:r w:rsidRPr="00790351">
        <w:rPr>
          <w:lang w:val="ru-RU"/>
        </w:rPr>
        <w:t xml:space="preserve"> </w:t>
      </w:r>
      <w:r w:rsidRPr="00790351">
        <w:rPr>
          <w:lang w:eastAsia="bg-BG"/>
        </w:rPr>
        <w:t>твърди капсули</w:t>
      </w:r>
    </w:p>
    <w:p w14:paraId="4F2FCC5E" w14:textId="77777777" w:rsidR="00790351" w:rsidRPr="00790351" w:rsidRDefault="00790351" w:rsidP="00790351">
      <w:pPr>
        <w:rPr>
          <w:sz w:val="24"/>
          <w:szCs w:val="24"/>
          <w:lang w:val="ru-RU"/>
        </w:rPr>
      </w:pPr>
      <w:r w:rsidRPr="00790351">
        <w:rPr>
          <w:lang w:eastAsia="bg-BG"/>
        </w:rPr>
        <w:t xml:space="preserve">Линефор 150 </w:t>
      </w:r>
      <w:r w:rsidRPr="00790351">
        <w:rPr>
          <w:lang w:val="en-US"/>
        </w:rPr>
        <w:t>mg</w:t>
      </w:r>
      <w:r w:rsidRPr="00790351">
        <w:rPr>
          <w:lang w:val="ru-RU"/>
        </w:rPr>
        <w:t xml:space="preserve"> </w:t>
      </w:r>
      <w:r w:rsidRPr="00790351">
        <w:rPr>
          <w:lang w:eastAsia="bg-BG"/>
        </w:rPr>
        <w:t>твърди капсули</w:t>
      </w:r>
    </w:p>
    <w:p w14:paraId="07A228CA" w14:textId="77777777" w:rsidR="00790351" w:rsidRDefault="00790351" w:rsidP="00790351">
      <w:pPr>
        <w:rPr>
          <w:lang w:val="en-US"/>
        </w:rPr>
      </w:pPr>
    </w:p>
    <w:p w14:paraId="77C01713" w14:textId="109A39A5" w:rsidR="00790351" w:rsidRPr="00790351" w:rsidRDefault="00790351" w:rsidP="00790351">
      <w:pPr>
        <w:rPr>
          <w:sz w:val="24"/>
          <w:szCs w:val="24"/>
          <w:lang w:val="ru-RU"/>
        </w:rPr>
      </w:pPr>
      <w:proofErr w:type="spellStart"/>
      <w:r w:rsidRPr="00790351">
        <w:rPr>
          <w:lang w:val="en-US"/>
        </w:rPr>
        <w:t>Linefor</w:t>
      </w:r>
      <w:proofErr w:type="spellEnd"/>
      <w:r w:rsidRPr="00790351">
        <w:rPr>
          <w:lang w:val="ru-RU"/>
        </w:rPr>
        <w:t xml:space="preserve"> </w:t>
      </w:r>
      <w:r w:rsidRPr="00790351">
        <w:rPr>
          <w:lang w:eastAsia="bg-BG"/>
        </w:rPr>
        <w:t xml:space="preserve">50 </w:t>
      </w:r>
      <w:r w:rsidRPr="00790351">
        <w:rPr>
          <w:lang w:val="en-US"/>
        </w:rPr>
        <w:t>mg</w:t>
      </w:r>
      <w:r w:rsidRPr="00790351">
        <w:rPr>
          <w:lang w:val="ru-RU"/>
        </w:rPr>
        <w:t xml:space="preserve"> </w:t>
      </w:r>
      <w:r w:rsidRPr="00790351">
        <w:rPr>
          <w:lang w:val="en-US"/>
        </w:rPr>
        <w:t>capsules</w:t>
      </w:r>
      <w:r w:rsidRPr="00790351">
        <w:rPr>
          <w:lang w:val="ru-RU"/>
        </w:rPr>
        <w:t xml:space="preserve">, </w:t>
      </w:r>
      <w:r w:rsidRPr="00790351">
        <w:rPr>
          <w:lang w:val="en-US"/>
        </w:rPr>
        <w:t>hard</w:t>
      </w:r>
    </w:p>
    <w:p w14:paraId="1F422772" w14:textId="77777777" w:rsidR="00790351" w:rsidRPr="00790351" w:rsidRDefault="00790351" w:rsidP="00790351">
      <w:pPr>
        <w:rPr>
          <w:sz w:val="24"/>
          <w:szCs w:val="24"/>
          <w:lang w:val="en-US"/>
        </w:rPr>
      </w:pPr>
      <w:proofErr w:type="spellStart"/>
      <w:r w:rsidRPr="00790351">
        <w:rPr>
          <w:lang w:val="en-US"/>
        </w:rPr>
        <w:t>Linefor</w:t>
      </w:r>
      <w:proofErr w:type="spellEnd"/>
      <w:r w:rsidRPr="00790351">
        <w:rPr>
          <w:lang w:val="en-US"/>
        </w:rPr>
        <w:t xml:space="preserve"> 75 mg capsules, hard</w:t>
      </w:r>
    </w:p>
    <w:p w14:paraId="47EFF77C" w14:textId="77777777" w:rsidR="00790351" w:rsidRPr="00790351" w:rsidRDefault="00790351" w:rsidP="00790351">
      <w:pPr>
        <w:rPr>
          <w:sz w:val="24"/>
          <w:szCs w:val="24"/>
          <w:lang w:val="en-US"/>
        </w:rPr>
      </w:pPr>
      <w:proofErr w:type="spellStart"/>
      <w:r w:rsidRPr="00790351">
        <w:rPr>
          <w:lang w:val="en-US"/>
        </w:rPr>
        <w:t>Linefor</w:t>
      </w:r>
      <w:proofErr w:type="spellEnd"/>
      <w:r w:rsidRPr="00790351">
        <w:rPr>
          <w:lang w:val="en-US"/>
        </w:rPr>
        <w:t xml:space="preserve"> 150 mg capsules, hard</w:t>
      </w:r>
    </w:p>
    <w:p w14:paraId="69C0BA97" w14:textId="77777777" w:rsidR="00790351" w:rsidRDefault="00790351" w:rsidP="00790351">
      <w:pPr>
        <w:rPr>
          <w:i/>
          <w:iCs/>
          <w:lang w:eastAsia="bg-BG"/>
        </w:rPr>
      </w:pPr>
    </w:p>
    <w:p w14:paraId="4099125F" w14:textId="7303898C" w:rsidR="00790351" w:rsidRPr="00790351" w:rsidRDefault="00790351" w:rsidP="00790351">
      <w:r w:rsidRPr="00790351">
        <w:rPr>
          <w:i/>
          <w:iCs/>
          <w:lang w:eastAsia="bg-BG"/>
        </w:rPr>
        <w:t>прегабалин</w:t>
      </w:r>
      <w:r w:rsidRPr="00790351">
        <w:rPr>
          <w:i/>
          <w:iCs/>
          <w:lang w:val="ru-RU"/>
        </w:rPr>
        <w:t>/</w:t>
      </w:r>
      <w:proofErr w:type="spellStart"/>
      <w:r w:rsidRPr="00790351">
        <w:rPr>
          <w:i/>
          <w:iCs/>
          <w:lang w:val="en-US"/>
        </w:rPr>
        <w:t>pregabalin</w:t>
      </w:r>
      <w:proofErr w:type="spellEnd"/>
    </w:p>
    <w:p w14:paraId="0A368469" w14:textId="21C32114" w:rsidR="00C0049F" w:rsidRDefault="00DD466D" w:rsidP="009F1313">
      <w:pPr>
        <w:pStyle w:val="Heading1"/>
      </w:pPr>
      <w:r>
        <w:t>2. КАЧЕСТВЕН И КОЛИЧЕСТВЕН СЪСТАВ</w:t>
      </w:r>
    </w:p>
    <w:p w14:paraId="55D8B729" w14:textId="75F770E4" w:rsidR="00790351" w:rsidRDefault="00790351" w:rsidP="00790351"/>
    <w:p w14:paraId="574DEB97"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Линефор 50 </w:t>
      </w:r>
      <w:r w:rsidRPr="00790351">
        <w:rPr>
          <w:rFonts w:eastAsia="Times New Roman" w:cs="Arial"/>
          <w:color w:val="000000"/>
          <w:lang w:val="en-US"/>
        </w:rPr>
        <w:t>mg</w:t>
      </w:r>
      <w:r w:rsidRPr="00790351">
        <w:rPr>
          <w:rFonts w:eastAsia="Times New Roman" w:cs="Arial"/>
          <w:color w:val="000000"/>
        </w:rPr>
        <w:t xml:space="preserve"> </w:t>
      </w:r>
      <w:r w:rsidRPr="00790351">
        <w:rPr>
          <w:rFonts w:eastAsia="Times New Roman" w:cs="Arial"/>
          <w:color w:val="000000"/>
          <w:lang w:eastAsia="bg-BG"/>
        </w:rPr>
        <w:t>твърди капсули</w:t>
      </w:r>
    </w:p>
    <w:p w14:paraId="6353E8E7"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Всяка твърда капсула съдържа 50 </w:t>
      </w:r>
      <w:r w:rsidRPr="00790351">
        <w:rPr>
          <w:rFonts w:eastAsia="Times New Roman" w:cs="Arial"/>
          <w:color w:val="000000"/>
          <w:lang w:val="en-US"/>
        </w:rPr>
        <w:t>mg</w:t>
      </w:r>
      <w:r w:rsidRPr="00790351">
        <w:rPr>
          <w:rFonts w:eastAsia="Times New Roman" w:cs="Arial"/>
          <w:color w:val="000000"/>
        </w:rPr>
        <w:t xml:space="preserve"> </w:t>
      </w:r>
      <w:r w:rsidRPr="00790351">
        <w:rPr>
          <w:rFonts w:eastAsia="Times New Roman" w:cs="Arial"/>
          <w:color w:val="000000"/>
          <w:lang w:eastAsia="bg-BG"/>
        </w:rPr>
        <w:t>прегабалин.</w:t>
      </w:r>
    </w:p>
    <w:p w14:paraId="251AD916" w14:textId="77777777"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Помощно вещество с известно действие: л</w:t>
      </w:r>
      <w:r w:rsidRPr="00790351">
        <w:rPr>
          <w:rFonts w:eastAsia="Times New Roman" w:cs="Arial"/>
          <w:color w:val="000000"/>
          <w:lang w:eastAsia="bg-BG"/>
        </w:rPr>
        <w:t>актоза монохидрат.</w:t>
      </w:r>
    </w:p>
    <w:p w14:paraId="1206DB70"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Всяка твърда капсула съдържа 18 </w:t>
      </w:r>
      <w:r w:rsidRPr="00790351">
        <w:rPr>
          <w:rFonts w:eastAsia="Times New Roman" w:cs="Arial"/>
          <w:color w:val="000000"/>
          <w:lang w:val="en-US"/>
        </w:rPr>
        <w:t>mg</w:t>
      </w:r>
      <w:r w:rsidRPr="00790351">
        <w:rPr>
          <w:rFonts w:eastAsia="Times New Roman" w:cs="Arial"/>
          <w:color w:val="000000"/>
          <w:lang w:val="ru-RU"/>
        </w:rPr>
        <w:t xml:space="preserve"> </w:t>
      </w:r>
      <w:r w:rsidRPr="00790351">
        <w:rPr>
          <w:rFonts w:eastAsia="Times New Roman" w:cs="Arial"/>
          <w:color w:val="000000"/>
          <w:lang w:eastAsia="bg-BG"/>
        </w:rPr>
        <w:t>лактоза монохидрат.</w:t>
      </w:r>
    </w:p>
    <w:p w14:paraId="2D80B0B0" w14:textId="77777777" w:rsidR="00790351" w:rsidRPr="00790351" w:rsidRDefault="00790351" w:rsidP="00790351">
      <w:pPr>
        <w:spacing w:line="240" w:lineRule="auto"/>
        <w:rPr>
          <w:rFonts w:eastAsia="Times New Roman" w:cs="Arial"/>
          <w:color w:val="000000"/>
          <w:lang w:eastAsia="bg-BG"/>
        </w:rPr>
      </w:pPr>
    </w:p>
    <w:p w14:paraId="2C1D253D" w14:textId="12A3B5C3"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Линефор 75 </w:t>
      </w:r>
      <w:r w:rsidRPr="00790351">
        <w:rPr>
          <w:rFonts w:eastAsia="Times New Roman" w:cs="Arial"/>
          <w:color w:val="000000"/>
          <w:lang w:val="en-US"/>
        </w:rPr>
        <w:t>mg</w:t>
      </w:r>
      <w:r w:rsidRPr="00790351">
        <w:rPr>
          <w:rFonts w:eastAsia="Times New Roman" w:cs="Arial"/>
          <w:color w:val="000000"/>
        </w:rPr>
        <w:t xml:space="preserve"> </w:t>
      </w:r>
      <w:r w:rsidRPr="00790351">
        <w:rPr>
          <w:rFonts w:eastAsia="Times New Roman" w:cs="Arial"/>
          <w:color w:val="000000"/>
          <w:lang w:eastAsia="bg-BG"/>
        </w:rPr>
        <w:t>твърди капсули</w:t>
      </w:r>
    </w:p>
    <w:p w14:paraId="752A6EEC"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Всяка твърда капсула съдържа 75 </w:t>
      </w:r>
      <w:r w:rsidRPr="00790351">
        <w:rPr>
          <w:rFonts w:eastAsia="Times New Roman" w:cs="Arial"/>
          <w:color w:val="000000"/>
          <w:lang w:val="en-US"/>
        </w:rPr>
        <w:t>mg</w:t>
      </w:r>
      <w:r w:rsidRPr="00790351">
        <w:rPr>
          <w:rFonts w:eastAsia="Times New Roman" w:cs="Arial"/>
          <w:color w:val="000000"/>
        </w:rPr>
        <w:t xml:space="preserve"> </w:t>
      </w:r>
      <w:r w:rsidRPr="00790351">
        <w:rPr>
          <w:rFonts w:eastAsia="Times New Roman" w:cs="Arial"/>
          <w:color w:val="000000"/>
          <w:lang w:eastAsia="bg-BG"/>
        </w:rPr>
        <w:t>прегабалин.</w:t>
      </w:r>
    </w:p>
    <w:p w14:paraId="77EE44CC" w14:textId="77777777"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 xml:space="preserve">Помощно вещество с известно действие: </w:t>
      </w:r>
      <w:r w:rsidRPr="00790351">
        <w:rPr>
          <w:rFonts w:eastAsia="Times New Roman" w:cs="Arial"/>
          <w:color w:val="000000"/>
          <w:lang w:eastAsia="bg-BG"/>
        </w:rPr>
        <w:t>лактоза монохидрат.</w:t>
      </w:r>
    </w:p>
    <w:p w14:paraId="0AD24A10"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Всяка твърда капсула съдържа 27 </w:t>
      </w:r>
      <w:r w:rsidRPr="00790351">
        <w:rPr>
          <w:rFonts w:eastAsia="Times New Roman" w:cs="Arial"/>
          <w:color w:val="000000"/>
          <w:lang w:val="en-US"/>
        </w:rPr>
        <w:t>mg</w:t>
      </w:r>
      <w:r w:rsidRPr="00790351">
        <w:rPr>
          <w:rFonts w:eastAsia="Times New Roman" w:cs="Arial"/>
          <w:color w:val="000000"/>
          <w:lang w:val="ru-RU"/>
        </w:rPr>
        <w:t xml:space="preserve"> </w:t>
      </w:r>
      <w:r w:rsidRPr="00790351">
        <w:rPr>
          <w:rFonts w:eastAsia="Times New Roman" w:cs="Arial"/>
          <w:color w:val="000000"/>
          <w:lang w:eastAsia="bg-BG"/>
        </w:rPr>
        <w:t>лактоза монохидрат.</w:t>
      </w:r>
    </w:p>
    <w:p w14:paraId="56A10B8D" w14:textId="77777777" w:rsidR="00790351" w:rsidRPr="00790351" w:rsidRDefault="00790351" w:rsidP="00790351">
      <w:pPr>
        <w:spacing w:line="240" w:lineRule="auto"/>
        <w:rPr>
          <w:rFonts w:eastAsia="Times New Roman" w:cs="Arial"/>
          <w:color w:val="000000"/>
          <w:lang w:eastAsia="bg-BG"/>
        </w:rPr>
      </w:pPr>
    </w:p>
    <w:p w14:paraId="406FF658" w14:textId="3D07284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Линефор 150 </w:t>
      </w:r>
      <w:r w:rsidRPr="00790351">
        <w:rPr>
          <w:rFonts w:eastAsia="Times New Roman" w:cs="Arial"/>
          <w:color w:val="000000"/>
          <w:lang w:val="en-US"/>
        </w:rPr>
        <w:t>mg</w:t>
      </w:r>
      <w:r w:rsidRPr="00790351">
        <w:rPr>
          <w:rFonts w:eastAsia="Times New Roman" w:cs="Arial"/>
          <w:color w:val="000000"/>
        </w:rPr>
        <w:t xml:space="preserve"> </w:t>
      </w:r>
      <w:r w:rsidRPr="00790351">
        <w:rPr>
          <w:rFonts w:eastAsia="Times New Roman" w:cs="Arial"/>
          <w:color w:val="000000"/>
          <w:lang w:eastAsia="bg-BG"/>
        </w:rPr>
        <w:t>твърди капсули</w:t>
      </w:r>
    </w:p>
    <w:p w14:paraId="224A6018"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Всяка твърда капсула съдържа 150 </w:t>
      </w:r>
      <w:r w:rsidRPr="00790351">
        <w:rPr>
          <w:rFonts w:eastAsia="Times New Roman" w:cs="Arial"/>
          <w:color w:val="000000"/>
          <w:lang w:val="en-US"/>
        </w:rPr>
        <w:t>mg</w:t>
      </w:r>
      <w:r w:rsidRPr="00790351">
        <w:rPr>
          <w:rFonts w:eastAsia="Times New Roman" w:cs="Arial"/>
          <w:color w:val="000000"/>
        </w:rPr>
        <w:t xml:space="preserve"> </w:t>
      </w:r>
      <w:r w:rsidRPr="00790351">
        <w:rPr>
          <w:rFonts w:eastAsia="Times New Roman" w:cs="Arial"/>
          <w:color w:val="000000"/>
          <w:lang w:eastAsia="bg-BG"/>
        </w:rPr>
        <w:t>прегабалин.</w:t>
      </w:r>
    </w:p>
    <w:p w14:paraId="1A552F32" w14:textId="77777777"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Помощно вещество с известно действие: л</w:t>
      </w:r>
      <w:r w:rsidRPr="00790351">
        <w:rPr>
          <w:rFonts w:eastAsia="Times New Roman" w:cs="Arial"/>
          <w:color w:val="000000"/>
          <w:lang w:eastAsia="bg-BG"/>
        </w:rPr>
        <w:t>актоза монохидрат.</w:t>
      </w:r>
    </w:p>
    <w:p w14:paraId="30B2C23B" w14:textId="510046AA" w:rsidR="00790351" w:rsidRPr="00790351" w:rsidRDefault="00790351" w:rsidP="00790351">
      <w:pPr>
        <w:rPr>
          <w:rFonts w:cs="Arial"/>
        </w:rPr>
      </w:pPr>
      <w:r w:rsidRPr="00790351">
        <w:rPr>
          <w:rFonts w:eastAsia="Times New Roman" w:cs="Arial"/>
          <w:color w:val="000000"/>
          <w:lang w:eastAsia="bg-BG"/>
        </w:rPr>
        <w:t xml:space="preserve">Всяка твърда капсула съдържа 54 </w:t>
      </w:r>
      <w:r w:rsidRPr="00790351">
        <w:rPr>
          <w:rFonts w:eastAsia="Times New Roman" w:cs="Arial"/>
          <w:color w:val="000000"/>
          <w:lang w:val="en-US"/>
        </w:rPr>
        <w:t>mg</w:t>
      </w:r>
      <w:r w:rsidRPr="00790351">
        <w:rPr>
          <w:rFonts w:eastAsia="Times New Roman" w:cs="Arial"/>
          <w:color w:val="000000"/>
          <w:lang w:val="ru-RU"/>
        </w:rPr>
        <w:t xml:space="preserve"> </w:t>
      </w:r>
      <w:r w:rsidRPr="00790351">
        <w:rPr>
          <w:rFonts w:eastAsia="Times New Roman" w:cs="Arial"/>
          <w:color w:val="000000"/>
          <w:lang w:eastAsia="bg-BG"/>
        </w:rPr>
        <w:t>лактоза монохидрат.</w:t>
      </w:r>
    </w:p>
    <w:p w14:paraId="614984C4" w14:textId="5E0CE969" w:rsidR="008A6AF2" w:rsidRDefault="00DD466D" w:rsidP="002C50EE">
      <w:pPr>
        <w:pStyle w:val="Heading1"/>
      </w:pPr>
      <w:r>
        <w:t>3. ЛЕКАРСТВЕНА ФОРМА</w:t>
      </w:r>
    </w:p>
    <w:p w14:paraId="30633E35" w14:textId="6A5641A8" w:rsidR="00790351" w:rsidRDefault="00790351" w:rsidP="00790351"/>
    <w:p w14:paraId="4D81F71F" w14:textId="77777777" w:rsidR="00790351" w:rsidRPr="00790351" w:rsidRDefault="00790351" w:rsidP="00790351">
      <w:pPr>
        <w:rPr>
          <w:sz w:val="24"/>
          <w:szCs w:val="24"/>
        </w:rPr>
      </w:pPr>
      <w:r w:rsidRPr="00790351">
        <w:rPr>
          <w:lang w:eastAsia="bg-BG"/>
        </w:rPr>
        <w:t>Твърда капсула</w:t>
      </w:r>
    </w:p>
    <w:p w14:paraId="6F1BAD35" w14:textId="77777777" w:rsidR="00790351" w:rsidRDefault="00790351" w:rsidP="00790351">
      <w:pPr>
        <w:rPr>
          <w:lang w:eastAsia="bg-BG"/>
        </w:rPr>
      </w:pPr>
    </w:p>
    <w:p w14:paraId="0DF23F59" w14:textId="432047D4" w:rsidR="00790351" w:rsidRPr="00790351" w:rsidRDefault="00790351" w:rsidP="00790351">
      <w:pPr>
        <w:rPr>
          <w:sz w:val="24"/>
          <w:szCs w:val="24"/>
        </w:rPr>
      </w:pPr>
      <w:r w:rsidRPr="00790351">
        <w:rPr>
          <w:lang w:eastAsia="bg-BG"/>
        </w:rPr>
        <w:t xml:space="preserve">Линефор 50 </w:t>
      </w:r>
      <w:r w:rsidRPr="00790351">
        <w:rPr>
          <w:lang w:val="en-US"/>
        </w:rPr>
        <w:t>mg</w:t>
      </w:r>
      <w:r>
        <w:rPr>
          <w:lang w:val="ru-RU"/>
        </w:rPr>
        <w:t xml:space="preserve">: </w:t>
      </w:r>
      <w:r w:rsidRPr="00790351">
        <w:rPr>
          <w:lang w:eastAsia="bg-BG"/>
        </w:rPr>
        <w:t>Бели, твърди желатинови капсули, с отпечатано „50“ върху</w:t>
      </w:r>
    </w:p>
    <w:p w14:paraId="21750011" w14:textId="77777777" w:rsidR="00790351" w:rsidRPr="00790351" w:rsidRDefault="00790351" w:rsidP="00790351">
      <w:pPr>
        <w:rPr>
          <w:sz w:val="24"/>
          <w:szCs w:val="24"/>
        </w:rPr>
      </w:pPr>
      <w:r w:rsidRPr="00790351">
        <w:rPr>
          <w:lang w:eastAsia="bg-BG"/>
        </w:rPr>
        <w:t xml:space="preserve">тялото, съдържащи бял или почти бял </w:t>
      </w:r>
      <w:r w:rsidRPr="00790351">
        <w:rPr>
          <w:i/>
          <w:iCs/>
          <w:lang w:eastAsia="bg-BG"/>
        </w:rPr>
        <w:t>прах или леко</w:t>
      </w:r>
      <w:r w:rsidRPr="00790351">
        <w:rPr>
          <w:lang w:eastAsia="bg-BG"/>
        </w:rPr>
        <w:t xml:space="preserve"> уплътнени агломерати. Размерът на капсулата е № 3.</w:t>
      </w:r>
    </w:p>
    <w:p w14:paraId="7A9C0CB9" w14:textId="77777777" w:rsidR="00790351" w:rsidRDefault="00790351" w:rsidP="00790351">
      <w:pPr>
        <w:rPr>
          <w:lang w:eastAsia="bg-BG"/>
        </w:rPr>
      </w:pPr>
    </w:p>
    <w:p w14:paraId="209051A3" w14:textId="4C5C634E" w:rsidR="00790351" w:rsidRPr="00790351" w:rsidRDefault="00790351" w:rsidP="00790351">
      <w:pPr>
        <w:rPr>
          <w:sz w:val="24"/>
          <w:szCs w:val="24"/>
        </w:rPr>
      </w:pPr>
      <w:r w:rsidRPr="00790351">
        <w:rPr>
          <w:lang w:eastAsia="bg-BG"/>
        </w:rPr>
        <w:t xml:space="preserve">Линефор 75 </w:t>
      </w:r>
      <w:r w:rsidRPr="00790351">
        <w:rPr>
          <w:lang w:val="en-US"/>
        </w:rPr>
        <w:t>mg</w:t>
      </w:r>
      <w:r>
        <w:rPr>
          <w:lang w:val="ru-RU"/>
        </w:rPr>
        <w:t xml:space="preserve">: </w:t>
      </w:r>
      <w:r w:rsidRPr="00790351">
        <w:rPr>
          <w:lang w:eastAsia="bg-BG"/>
        </w:rPr>
        <w:t>Твърди желатинови капсули, с бяло тяло с отпечатано „75“ и</w:t>
      </w:r>
    </w:p>
    <w:p w14:paraId="5B989C4D" w14:textId="77777777" w:rsidR="00790351" w:rsidRPr="00790351" w:rsidRDefault="00790351" w:rsidP="00790351">
      <w:pPr>
        <w:rPr>
          <w:sz w:val="24"/>
          <w:szCs w:val="24"/>
        </w:rPr>
      </w:pPr>
      <w:r w:rsidRPr="00790351">
        <w:rPr>
          <w:lang w:eastAsia="bg-BG"/>
        </w:rPr>
        <w:t>червено-кафява капачка, съдържащи бял или почти бял прах или леко уплътнени агломерати. Размерът на капсулата е № 3.</w:t>
      </w:r>
    </w:p>
    <w:p w14:paraId="7C064027" w14:textId="77777777" w:rsidR="00790351" w:rsidRDefault="00790351" w:rsidP="00790351">
      <w:pPr>
        <w:rPr>
          <w:lang w:eastAsia="bg-BG"/>
        </w:rPr>
      </w:pPr>
    </w:p>
    <w:p w14:paraId="08B117C2" w14:textId="16741473" w:rsidR="00790351" w:rsidRPr="00790351" w:rsidRDefault="00790351" w:rsidP="00790351">
      <w:pPr>
        <w:rPr>
          <w:sz w:val="24"/>
          <w:szCs w:val="24"/>
        </w:rPr>
      </w:pPr>
      <w:r w:rsidRPr="00790351">
        <w:rPr>
          <w:lang w:eastAsia="bg-BG"/>
        </w:rPr>
        <w:t xml:space="preserve">Линефор 150 </w:t>
      </w:r>
      <w:r w:rsidRPr="00790351">
        <w:rPr>
          <w:lang w:val="en-US"/>
        </w:rPr>
        <w:t>mg</w:t>
      </w:r>
      <w:r>
        <w:rPr>
          <w:lang w:val="ru-RU"/>
        </w:rPr>
        <w:t xml:space="preserve">: </w:t>
      </w:r>
      <w:r w:rsidRPr="00790351">
        <w:rPr>
          <w:lang w:eastAsia="bg-BG"/>
        </w:rPr>
        <w:t>Бели, твърди желатинови капсули, с отпечатано „150“ върху</w:t>
      </w:r>
    </w:p>
    <w:p w14:paraId="0CE92287" w14:textId="77777777" w:rsidR="00790351" w:rsidRPr="00790351" w:rsidRDefault="00790351" w:rsidP="00790351">
      <w:pPr>
        <w:rPr>
          <w:sz w:val="24"/>
          <w:szCs w:val="24"/>
        </w:rPr>
      </w:pPr>
      <w:r w:rsidRPr="00790351">
        <w:rPr>
          <w:lang w:eastAsia="bg-BG"/>
        </w:rPr>
        <w:t>тялото, съдържащи бял или почти бял прах или леко уплътнени агломерати. Размерът на капсулата е № 1.</w:t>
      </w:r>
    </w:p>
    <w:p w14:paraId="0A21B209" w14:textId="77777777" w:rsidR="00790351" w:rsidRPr="00790351" w:rsidRDefault="00790351" w:rsidP="00790351"/>
    <w:p w14:paraId="490FC2C4" w14:textId="32682B15" w:rsidR="002C50EE" w:rsidRDefault="002C50EE" w:rsidP="002C50EE">
      <w:pPr>
        <w:pStyle w:val="Heading1"/>
      </w:pPr>
      <w:r>
        <w:t>4. КЛИНИЧНИ ДАННИ</w:t>
      </w:r>
    </w:p>
    <w:p w14:paraId="08CF5669" w14:textId="14CBA7C9" w:rsidR="00426E5F" w:rsidRDefault="002C50EE" w:rsidP="00A65A81">
      <w:pPr>
        <w:pStyle w:val="Heading2"/>
      </w:pPr>
      <w:r>
        <w:t>4.1. Терапевтични показания</w:t>
      </w:r>
    </w:p>
    <w:p w14:paraId="76B18144" w14:textId="0F5A8C91" w:rsidR="00790351" w:rsidRDefault="00790351" w:rsidP="00790351"/>
    <w:p w14:paraId="4AD4F5CB"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u w:val="single"/>
          <w:lang w:eastAsia="bg-BG"/>
        </w:rPr>
        <w:t>Невропатна болка</w:t>
      </w:r>
    </w:p>
    <w:p w14:paraId="66E64C47"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Линефор е показан за лечение на периферна и централна невропатична болка при</w:t>
      </w:r>
      <w:r w:rsidRPr="00790351">
        <w:rPr>
          <w:rFonts w:eastAsia="Times New Roman" w:cs="Arial"/>
          <w:color w:val="000000"/>
          <w:szCs w:val="20"/>
          <w:lang w:val="ru-RU"/>
        </w:rPr>
        <w:t xml:space="preserve"> </w:t>
      </w:r>
      <w:r w:rsidRPr="00790351">
        <w:rPr>
          <w:rFonts w:eastAsia="Times New Roman" w:cs="Arial"/>
          <w:color w:val="000000"/>
          <w:szCs w:val="20"/>
          <w:lang w:eastAsia="bg-BG"/>
        </w:rPr>
        <w:t>възрастни</w:t>
      </w:r>
    </w:p>
    <w:p w14:paraId="1FCF595D" w14:textId="2C093056" w:rsidR="00790351" w:rsidRPr="00790351" w:rsidRDefault="00790351" w:rsidP="00790351">
      <w:pPr>
        <w:rPr>
          <w:rFonts w:cs="Arial"/>
          <w:sz w:val="24"/>
        </w:rPr>
      </w:pPr>
    </w:p>
    <w:p w14:paraId="1C348076"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u w:val="single"/>
          <w:lang w:eastAsia="bg-BG"/>
        </w:rPr>
        <w:t>Епилепсия</w:t>
      </w:r>
    </w:p>
    <w:p w14:paraId="2530FC0C"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Линефор е показан като допълнителна терапия при възрастни с парциални припадъци със или без вторична генерализация.</w:t>
      </w:r>
    </w:p>
    <w:p w14:paraId="40CF102F" w14:textId="77777777" w:rsidR="00790351" w:rsidRPr="00790351" w:rsidRDefault="00790351" w:rsidP="00790351">
      <w:pPr>
        <w:spacing w:line="240" w:lineRule="auto"/>
        <w:rPr>
          <w:rFonts w:eastAsia="Times New Roman" w:cs="Arial"/>
          <w:color w:val="000000"/>
          <w:szCs w:val="20"/>
          <w:u w:val="single"/>
          <w:lang w:eastAsia="bg-BG"/>
        </w:rPr>
      </w:pPr>
    </w:p>
    <w:p w14:paraId="63420F48" w14:textId="5ABDDCDE"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u w:val="single"/>
          <w:lang w:eastAsia="bg-BG"/>
        </w:rPr>
        <w:t>Генерализирано тревожно разстройство</w:t>
      </w:r>
    </w:p>
    <w:p w14:paraId="78511C76"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Линефор е показан за лечението на генерализирано тревожно разстройство </w:t>
      </w:r>
      <w:r w:rsidRPr="00790351">
        <w:rPr>
          <w:rFonts w:eastAsia="Times New Roman" w:cs="Arial"/>
          <w:color w:val="000000"/>
          <w:szCs w:val="20"/>
          <w:lang w:val="ru-RU"/>
        </w:rPr>
        <w:t>(</w:t>
      </w:r>
      <w:r w:rsidRPr="00790351">
        <w:rPr>
          <w:rFonts w:eastAsia="Times New Roman" w:cs="Arial"/>
          <w:color w:val="000000"/>
          <w:szCs w:val="20"/>
          <w:lang w:val="en-US"/>
        </w:rPr>
        <w:t>GAD</w:t>
      </w:r>
      <w:r w:rsidRPr="00790351">
        <w:rPr>
          <w:rFonts w:eastAsia="Times New Roman" w:cs="Arial"/>
          <w:color w:val="000000"/>
          <w:szCs w:val="20"/>
          <w:lang w:val="ru-RU"/>
        </w:rPr>
        <w:t xml:space="preserve">) </w:t>
      </w:r>
      <w:r w:rsidRPr="00790351">
        <w:rPr>
          <w:rFonts w:eastAsia="Times New Roman" w:cs="Arial"/>
          <w:color w:val="000000"/>
          <w:szCs w:val="20"/>
          <w:lang w:eastAsia="bg-BG"/>
        </w:rPr>
        <w:t>при възрастни.</w:t>
      </w:r>
    </w:p>
    <w:p w14:paraId="77902656" w14:textId="77777777" w:rsidR="00790351" w:rsidRPr="00790351" w:rsidRDefault="00790351" w:rsidP="00790351"/>
    <w:p w14:paraId="28E43CAE" w14:textId="450E539E" w:rsidR="00426E5F" w:rsidRDefault="002C50EE" w:rsidP="00A65A81">
      <w:pPr>
        <w:pStyle w:val="Heading2"/>
      </w:pPr>
      <w:r>
        <w:t>4.2. Дозировка и начин на приложение</w:t>
      </w:r>
    </w:p>
    <w:p w14:paraId="51AAAA31" w14:textId="1B4FF2D1" w:rsidR="00790351" w:rsidRDefault="00790351" w:rsidP="00790351"/>
    <w:p w14:paraId="15C6A4AA" w14:textId="77777777" w:rsidR="00790351" w:rsidRPr="00790351" w:rsidRDefault="00790351" w:rsidP="00790351">
      <w:pPr>
        <w:pStyle w:val="Heading3"/>
        <w:rPr>
          <w:rFonts w:eastAsia="Times New Roman"/>
          <w:sz w:val="28"/>
          <w:u w:val="single"/>
        </w:rPr>
      </w:pPr>
      <w:r w:rsidRPr="00790351">
        <w:rPr>
          <w:rFonts w:eastAsia="Times New Roman"/>
          <w:u w:val="single"/>
          <w:lang w:eastAsia="bg-BG"/>
        </w:rPr>
        <w:t>Дозировка</w:t>
      </w:r>
    </w:p>
    <w:p w14:paraId="00A7C788"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Дозовият интервал е от 150 до 600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разпределени в два или три приема.</w:t>
      </w:r>
    </w:p>
    <w:p w14:paraId="74C93099" w14:textId="77777777" w:rsidR="00790351" w:rsidRPr="00790351" w:rsidRDefault="00790351" w:rsidP="00790351">
      <w:pPr>
        <w:spacing w:line="240" w:lineRule="auto"/>
        <w:rPr>
          <w:rFonts w:eastAsia="Times New Roman" w:cs="Arial"/>
          <w:i/>
          <w:iCs/>
          <w:color w:val="000000"/>
          <w:szCs w:val="20"/>
          <w:lang w:eastAsia="bg-BG"/>
        </w:rPr>
      </w:pPr>
    </w:p>
    <w:p w14:paraId="3F9E619B" w14:textId="3E76F607"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lang w:eastAsia="bg-BG"/>
        </w:rPr>
        <w:t>Невропатна болка</w:t>
      </w:r>
    </w:p>
    <w:p w14:paraId="3A134FCD"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Лечението с прегабалин може да започне с доза от 150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разделена на два или три приема</w:t>
      </w:r>
    </w:p>
    <w:p w14:paraId="11E93E46"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В зависимост от индивидуалния отговор на пациента и поносимостта, дозата може да бъде увеличена до 300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 xml:space="preserve">на ден след интервал от 3 до 7 дни, а при необходимост, до максимална доза от 600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след допълнителен 7-дневен интервал.</w:t>
      </w:r>
    </w:p>
    <w:p w14:paraId="55D864D5" w14:textId="77777777" w:rsidR="00790351" w:rsidRPr="00790351" w:rsidRDefault="00790351" w:rsidP="00790351">
      <w:pPr>
        <w:spacing w:line="240" w:lineRule="auto"/>
        <w:rPr>
          <w:rFonts w:eastAsia="Times New Roman" w:cs="Arial"/>
          <w:i/>
          <w:iCs/>
          <w:color w:val="000000"/>
          <w:szCs w:val="20"/>
          <w:lang w:eastAsia="bg-BG"/>
        </w:rPr>
      </w:pPr>
    </w:p>
    <w:p w14:paraId="3C06ABE4" w14:textId="655A576A"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lang w:eastAsia="bg-BG"/>
        </w:rPr>
        <w:t>Епилепсия</w:t>
      </w:r>
    </w:p>
    <w:p w14:paraId="66FD26F6"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Лечението с прегабалин може да започне с доза от 150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разделена на два или три приема.</w:t>
      </w:r>
    </w:p>
    <w:p w14:paraId="18CCA31B"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В зависимост от индивидуалния отговор на пациента и поносимостта, дозата може да бъде увеличена до 300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 xml:space="preserve">на ден след 1 седмица. Максималната доза от 600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може да бъде достигната след още една допълнителна седмица.</w:t>
      </w:r>
    </w:p>
    <w:p w14:paraId="67174B12" w14:textId="77777777" w:rsidR="00790351" w:rsidRPr="00790351" w:rsidRDefault="00790351" w:rsidP="00790351">
      <w:pPr>
        <w:spacing w:line="240" w:lineRule="auto"/>
        <w:rPr>
          <w:rFonts w:eastAsia="Times New Roman" w:cs="Arial"/>
          <w:i/>
          <w:iCs/>
          <w:color w:val="000000"/>
          <w:szCs w:val="20"/>
          <w:lang w:eastAsia="bg-BG"/>
        </w:rPr>
      </w:pPr>
    </w:p>
    <w:p w14:paraId="7D9A0052" w14:textId="69A12BB9"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lang w:eastAsia="bg-BG"/>
        </w:rPr>
        <w:t>Генерализирано тревожно разстройство</w:t>
      </w:r>
    </w:p>
    <w:p w14:paraId="180B4EDD"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Дозовият интервал е от 150 до 600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разделени на два или три приема. Необходимостта от лечение трябва да се преоценява редовно.</w:t>
      </w:r>
    </w:p>
    <w:p w14:paraId="59CFDBC7" w14:textId="77777777" w:rsidR="00790351" w:rsidRPr="00790351" w:rsidRDefault="00790351" w:rsidP="00790351">
      <w:pPr>
        <w:spacing w:line="240" w:lineRule="auto"/>
        <w:rPr>
          <w:rFonts w:eastAsia="Times New Roman" w:cs="Arial"/>
          <w:color w:val="000000"/>
          <w:szCs w:val="20"/>
          <w:lang w:eastAsia="bg-BG"/>
        </w:rPr>
      </w:pPr>
    </w:p>
    <w:p w14:paraId="04DD3E8B" w14:textId="03A7DCD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Лечението с прегабалин може да започне с доза от 150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 xml:space="preserve">на ден. В зависимост от индивидуалния отговор на пациента и поносимостта, дозата може да бъде увеличена до 300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 xml:space="preserve">на ден след 1 седмица. След още една допълнителна седмица, дозата може да се увеличи до 450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 xml:space="preserve">на ден. Максималната доза от 600 </w:t>
      </w:r>
      <w:r w:rsidRPr="00790351">
        <w:rPr>
          <w:rFonts w:eastAsia="Times New Roman" w:cs="Arial"/>
          <w:color w:val="000000"/>
          <w:szCs w:val="20"/>
          <w:lang w:val="en-US"/>
        </w:rPr>
        <w:t>mg</w:t>
      </w:r>
      <w:r w:rsidRPr="00790351">
        <w:rPr>
          <w:rFonts w:eastAsia="Times New Roman" w:cs="Arial"/>
          <w:color w:val="000000"/>
          <w:szCs w:val="20"/>
          <w:lang w:val="ru-RU"/>
        </w:rPr>
        <w:t xml:space="preserve"> </w:t>
      </w:r>
      <w:r w:rsidRPr="00790351">
        <w:rPr>
          <w:rFonts w:eastAsia="Times New Roman" w:cs="Arial"/>
          <w:color w:val="000000"/>
          <w:szCs w:val="20"/>
          <w:lang w:eastAsia="bg-BG"/>
        </w:rPr>
        <w:t>на ден може да бъде достигната след още една допълнителна седмица.</w:t>
      </w:r>
    </w:p>
    <w:p w14:paraId="2CBFFBBE" w14:textId="77777777" w:rsidR="00790351" w:rsidRPr="00790351" w:rsidRDefault="00790351" w:rsidP="00790351">
      <w:pPr>
        <w:spacing w:line="240" w:lineRule="auto"/>
        <w:rPr>
          <w:rFonts w:eastAsia="Times New Roman" w:cs="Arial"/>
          <w:i/>
          <w:iCs/>
          <w:color w:val="000000"/>
          <w:szCs w:val="20"/>
          <w:lang w:eastAsia="bg-BG"/>
        </w:rPr>
      </w:pPr>
    </w:p>
    <w:p w14:paraId="36B50E33" w14:textId="162F3990"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lang w:eastAsia="bg-BG"/>
        </w:rPr>
        <w:t>Прекратяване на лечението с прегабалин</w:t>
      </w:r>
    </w:p>
    <w:p w14:paraId="5AEE7ABD"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lastRenderedPageBreak/>
        <w:t>В съответствие с настоящата клинична практика, ако лечението с прегабалин трябва да бъде прекратено, препоръчва се това да стане постепенно в продължение на минимум на 1 седмица, независимо от показанието (вж. точки 4.4 и 4.8).</w:t>
      </w:r>
    </w:p>
    <w:p w14:paraId="3B0F5F02" w14:textId="77777777" w:rsidR="00790351" w:rsidRPr="00790351" w:rsidRDefault="00790351" w:rsidP="00790351">
      <w:pPr>
        <w:spacing w:line="240" w:lineRule="auto"/>
        <w:rPr>
          <w:rFonts w:eastAsia="Times New Roman" w:cs="Arial"/>
          <w:i/>
          <w:iCs/>
          <w:color w:val="000000"/>
          <w:szCs w:val="20"/>
          <w:lang w:eastAsia="bg-BG"/>
        </w:rPr>
      </w:pPr>
    </w:p>
    <w:p w14:paraId="09E7980E" w14:textId="5C2964DD"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lang w:eastAsia="bg-BG"/>
        </w:rPr>
        <w:t>Бъбречно увреждане</w:t>
      </w:r>
    </w:p>
    <w:p w14:paraId="14C0FA13"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Прегабалин се елиминира от системното кръвообращение главно чрез бъбречна екскреция в непроменен вид. Тъй като клирънсът на прегабалин е правопропорционален на креатининовия клирънс (вж. точка 5.2), намаляването на дозата при пациенти с нарушена бъбречна функция трябва да се индивидуализира в съответствие с креатининовия клирънс (СгС1), както е посочено в Таблица 1, като се използва следната формула:</w:t>
      </w:r>
    </w:p>
    <w:p w14:paraId="793B2E71" w14:textId="77777777" w:rsidR="00790351" w:rsidRPr="00790351" w:rsidRDefault="00790351" w:rsidP="00790351">
      <w:pPr>
        <w:spacing w:line="240" w:lineRule="auto"/>
        <w:rPr>
          <w:rFonts w:eastAsia="Times New Roman" w:cs="Arial"/>
          <w:color w:val="000000"/>
          <w:szCs w:val="20"/>
          <w:lang w:val="en-US"/>
        </w:rPr>
      </w:pPr>
    </w:p>
    <w:p w14:paraId="4A466C17" w14:textId="57BC98B5" w:rsidR="00790351" w:rsidRPr="00790351" w:rsidRDefault="00790351" w:rsidP="00790351">
      <w:pPr>
        <w:spacing w:line="240" w:lineRule="auto"/>
        <w:rPr>
          <w:rFonts w:eastAsia="Times New Roman" w:cs="Arial"/>
          <w:sz w:val="28"/>
          <w:szCs w:val="24"/>
        </w:rPr>
      </w:pPr>
      <w:proofErr w:type="spellStart"/>
      <w:r w:rsidRPr="00790351">
        <w:rPr>
          <w:rFonts w:eastAsia="Times New Roman" w:cs="Arial"/>
          <w:color w:val="000000"/>
          <w:szCs w:val="20"/>
          <w:lang w:val="en-US"/>
        </w:rPr>
        <w:t>CrCl</w:t>
      </w:r>
      <w:proofErr w:type="spellEnd"/>
      <w:r w:rsidRPr="00790351">
        <w:rPr>
          <w:rFonts w:eastAsia="Times New Roman" w:cs="Arial"/>
          <w:color w:val="000000"/>
          <w:szCs w:val="20"/>
          <w:lang w:val="ru-RU"/>
        </w:rPr>
        <w:t xml:space="preserve"> (</w:t>
      </w:r>
      <w:r w:rsidRPr="00790351">
        <w:rPr>
          <w:rFonts w:eastAsia="Times New Roman" w:cs="Arial"/>
          <w:color w:val="000000"/>
          <w:szCs w:val="20"/>
          <w:lang w:val="en-US"/>
        </w:rPr>
        <w:t>ml</w:t>
      </w:r>
      <w:r w:rsidRPr="00790351">
        <w:rPr>
          <w:rFonts w:eastAsia="Times New Roman" w:cs="Arial"/>
          <w:color w:val="000000"/>
          <w:szCs w:val="20"/>
          <w:lang w:val="ru-RU"/>
        </w:rPr>
        <w:t>/</w:t>
      </w:r>
      <w:r w:rsidRPr="00790351">
        <w:rPr>
          <w:rFonts w:eastAsia="Times New Roman" w:cs="Arial"/>
          <w:color w:val="000000"/>
          <w:szCs w:val="20"/>
          <w:lang w:val="en-US"/>
        </w:rPr>
        <w:t>min</w:t>
      </w:r>
      <w:r w:rsidRPr="00790351">
        <w:rPr>
          <w:rFonts w:eastAsia="Times New Roman" w:cs="Arial"/>
          <w:color w:val="000000"/>
          <w:szCs w:val="20"/>
          <w:lang w:val="ru-RU"/>
        </w:rPr>
        <w:t xml:space="preserve">) </w:t>
      </w:r>
      <w:r w:rsidRPr="00790351">
        <w:rPr>
          <w:rFonts w:eastAsia="Times New Roman" w:cs="Arial"/>
          <w:color w:val="000000"/>
          <w:szCs w:val="20"/>
          <w:lang w:eastAsia="bg-BG"/>
        </w:rPr>
        <w:t>= [(1</w:t>
      </w:r>
      <w:proofErr w:type="gramStart"/>
      <w:r w:rsidRPr="00790351">
        <w:rPr>
          <w:rFonts w:eastAsia="Times New Roman" w:cs="Arial"/>
          <w:color w:val="000000"/>
          <w:szCs w:val="20"/>
          <w:lang w:eastAsia="bg-BG"/>
        </w:rPr>
        <w:t>,23</w:t>
      </w:r>
      <w:proofErr w:type="gramEnd"/>
      <w:r w:rsidRPr="00790351">
        <w:rPr>
          <w:rFonts w:eastAsia="Times New Roman" w:cs="Arial"/>
          <w:color w:val="000000"/>
          <w:szCs w:val="20"/>
          <w:lang w:eastAsia="bg-BG"/>
        </w:rPr>
        <w:t xml:space="preserve"> х [140-възраст (години)] х тегло </w:t>
      </w:r>
      <w:r w:rsidRPr="00790351">
        <w:rPr>
          <w:rFonts w:eastAsia="Times New Roman" w:cs="Arial"/>
          <w:color w:val="000000"/>
          <w:szCs w:val="20"/>
          <w:lang w:val="ru-RU"/>
        </w:rPr>
        <w:t>(</w:t>
      </w:r>
      <w:r w:rsidRPr="00790351">
        <w:rPr>
          <w:rFonts w:eastAsia="Times New Roman" w:cs="Arial"/>
          <w:color w:val="000000"/>
          <w:szCs w:val="20"/>
          <w:lang w:val="en-US"/>
        </w:rPr>
        <w:t>kg</w:t>
      </w:r>
      <w:r w:rsidRPr="00790351">
        <w:rPr>
          <w:rFonts w:eastAsia="Times New Roman" w:cs="Arial"/>
          <w:color w:val="000000"/>
          <w:szCs w:val="20"/>
          <w:lang w:val="ru-RU"/>
        </w:rPr>
        <w:t>))/(</w:t>
      </w:r>
      <w:proofErr w:type="spellStart"/>
      <w:r w:rsidRPr="00790351">
        <w:rPr>
          <w:rFonts w:eastAsia="Times New Roman" w:cs="Arial"/>
          <w:color w:val="000000"/>
          <w:szCs w:val="20"/>
          <w:lang w:val="en-US"/>
        </w:rPr>
        <w:t>cepy</w:t>
      </w:r>
      <w:proofErr w:type="spellEnd"/>
      <w:r w:rsidRPr="00790351">
        <w:rPr>
          <w:rFonts w:eastAsia="Times New Roman" w:cs="Arial"/>
          <w:color w:val="000000"/>
          <w:szCs w:val="20"/>
          <w:lang w:eastAsia="bg-BG"/>
        </w:rPr>
        <w:t>м</w:t>
      </w:r>
      <w:r w:rsidRPr="00790351">
        <w:rPr>
          <w:rFonts w:eastAsia="Times New Roman" w:cs="Arial"/>
          <w:color w:val="000000"/>
          <w:szCs w:val="20"/>
          <w:lang w:val="en-US"/>
        </w:rPr>
        <w:t>e</w:t>
      </w:r>
      <w:r w:rsidRPr="00790351">
        <w:rPr>
          <w:rFonts w:eastAsia="Times New Roman" w:cs="Arial"/>
          <w:color w:val="000000"/>
          <w:szCs w:val="20"/>
          <w:lang w:eastAsia="bg-BG"/>
        </w:rPr>
        <w:t>н</w:t>
      </w:r>
      <w:r w:rsidRPr="00790351">
        <w:rPr>
          <w:rFonts w:eastAsia="Times New Roman" w:cs="Arial"/>
          <w:color w:val="000000"/>
          <w:szCs w:val="20"/>
          <w:lang w:val="ru-RU"/>
        </w:rPr>
        <w:t xml:space="preserve"> </w:t>
      </w:r>
      <w:r w:rsidRPr="00790351">
        <w:rPr>
          <w:rFonts w:eastAsia="Times New Roman" w:cs="Arial"/>
          <w:color w:val="000000"/>
          <w:szCs w:val="20"/>
          <w:lang w:eastAsia="bg-BG"/>
        </w:rPr>
        <w:t xml:space="preserve">креатинин </w:t>
      </w:r>
      <w:r w:rsidRPr="00790351">
        <w:rPr>
          <w:rFonts w:eastAsia="Times New Roman" w:cs="Arial"/>
          <w:color w:val="000000"/>
          <w:szCs w:val="20"/>
          <w:lang w:val="ru-RU"/>
        </w:rPr>
        <w:t>(</w:t>
      </w:r>
      <w:r w:rsidRPr="00790351">
        <w:rPr>
          <w:rFonts w:eastAsia="Times New Roman" w:cs="Arial"/>
          <w:color w:val="000000"/>
          <w:szCs w:val="20"/>
          <w:lang w:eastAsia="bg-BG"/>
        </w:rPr>
        <w:t>μ</w:t>
      </w:r>
      <w:proofErr w:type="spellStart"/>
      <w:r w:rsidRPr="00790351">
        <w:rPr>
          <w:rFonts w:eastAsia="Times New Roman" w:cs="Arial"/>
          <w:color w:val="000000"/>
          <w:szCs w:val="20"/>
          <w:lang w:val="en-US"/>
        </w:rPr>
        <w:t>mol</w:t>
      </w:r>
      <w:proofErr w:type="spellEnd"/>
      <w:r w:rsidRPr="00790351">
        <w:rPr>
          <w:rFonts w:eastAsia="Times New Roman" w:cs="Arial"/>
          <w:color w:val="000000"/>
          <w:szCs w:val="20"/>
          <w:lang w:val="ru-RU"/>
        </w:rPr>
        <w:t>/</w:t>
      </w:r>
      <w:r w:rsidRPr="00790351">
        <w:rPr>
          <w:rFonts w:eastAsia="Times New Roman" w:cs="Arial"/>
          <w:color w:val="000000"/>
          <w:szCs w:val="20"/>
          <w:lang w:val="en-US"/>
        </w:rPr>
        <w:t>l</w:t>
      </w:r>
      <w:r w:rsidRPr="00790351">
        <w:rPr>
          <w:rFonts w:eastAsia="Times New Roman" w:cs="Arial"/>
          <w:color w:val="000000"/>
          <w:szCs w:val="20"/>
          <w:lang w:val="ru-RU"/>
        </w:rPr>
        <w:t xml:space="preserve">))] </w:t>
      </w:r>
      <w:r w:rsidRPr="00790351">
        <w:rPr>
          <w:rFonts w:eastAsia="Times New Roman" w:cs="Arial"/>
          <w:color w:val="000000"/>
          <w:szCs w:val="20"/>
          <w:lang w:eastAsia="bg-BG"/>
        </w:rPr>
        <w:t>(х 0,85 за жени)</w:t>
      </w:r>
    </w:p>
    <w:p w14:paraId="19C655D0" w14:textId="77777777" w:rsidR="00790351" w:rsidRPr="00790351" w:rsidRDefault="00790351" w:rsidP="00790351">
      <w:pPr>
        <w:rPr>
          <w:rFonts w:eastAsia="Times New Roman" w:cs="Arial"/>
          <w:color w:val="000000"/>
          <w:szCs w:val="20"/>
          <w:lang w:eastAsia="bg-BG"/>
        </w:rPr>
      </w:pPr>
    </w:p>
    <w:p w14:paraId="65230DAC" w14:textId="68D6CB20" w:rsidR="00790351" w:rsidRPr="00790351" w:rsidRDefault="00790351" w:rsidP="00790351">
      <w:pPr>
        <w:rPr>
          <w:rFonts w:eastAsia="Times New Roman" w:cs="Arial"/>
          <w:color w:val="000000"/>
          <w:szCs w:val="20"/>
          <w:lang w:eastAsia="bg-BG"/>
        </w:rPr>
      </w:pPr>
      <w:r w:rsidRPr="00790351">
        <w:rPr>
          <w:rFonts w:eastAsia="Times New Roman" w:cs="Arial"/>
          <w:color w:val="000000"/>
          <w:szCs w:val="20"/>
          <w:lang w:eastAsia="bg-BG"/>
        </w:rPr>
        <w:t>Прегабалин се отстранява ефективно от плазмата чрез хемодиализа (50% от лекарството за 4 часа). При пациенти на хемодиализа дневната доза прегабалин трябва да се адаптира в зависимост от бъбречната функция. В допълнение към дневната доза, непосредствено след всяка 4-часова хемодиализа, трябва да се прилага допълнителна доза (вж. Таблица 1).</w:t>
      </w:r>
    </w:p>
    <w:p w14:paraId="133B7E2B" w14:textId="6C63EE8B" w:rsidR="00790351" w:rsidRPr="00790351" w:rsidRDefault="00790351" w:rsidP="00790351">
      <w:pPr>
        <w:rPr>
          <w:rFonts w:eastAsia="Times New Roman" w:cs="Arial"/>
          <w:color w:val="000000"/>
          <w:szCs w:val="20"/>
          <w:lang w:eastAsia="bg-BG"/>
        </w:rPr>
      </w:pPr>
    </w:p>
    <w:p w14:paraId="78B28452" w14:textId="22F4CD62" w:rsidR="00790351" w:rsidRDefault="00790351" w:rsidP="00790351">
      <w:pPr>
        <w:spacing w:line="240" w:lineRule="auto"/>
        <w:rPr>
          <w:rFonts w:eastAsia="Times New Roman" w:cs="Arial"/>
          <w:b/>
          <w:bCs/>
          <w:color w:val="000000"/>
          <w:szCs w:val="20"/>
          <w:lang w:eastAsia="bg-BG"/>
        </w:rPr>
      </w:pPr>
      <w:r w:rsidRPr="00790351">
        <w:rPr>
          <w:rFonts w:eastAsia="Times New Roman" w:cs="Arial"/>
          <w:b/>
          <w:bCs/>
          <w:color w:val="000000"/>
          <w:szCs w:val="20"/>
          <w:lang w:eastAsia="bg-BG"/>
        </w:rPr>
        <w:t>Таблица 1. Адаптиране на дозата на прегабалин в зависимост от бъбречната функция</w:t>
      </w:r>
    </w:p>
    <w:tbl>
      <w:tblPr>
        <w:tblStyle w:val="TableGrid"/>
        <w:tblW w:w="0" w:type="auto"/>
        <w:tblLook w:val="04A0" w:firstRow="1" w:lastRow="0" w:firstColumn="1" w:lastColumn="0" w:noHBand="0" w:noVBand="1"/>
      </w:tblPr>
      <w:tblGrid>
        <w:gridCol w:w="2350"/>
        <w:gridCol w:w="2320"/>
        <w:gridCol w:w="2342"/>
        <w:gridCol w:w="2338"/>
      </w:tblGrid>
      <w:tr w:rsidR="00790351" w14:paraId="28A17300" w14:textId="77777777" w:rsidTr="00790351">
        <w:tc>
          <w:tcPr>
            <w:tcW w:w="2394" w:type="dxa"/>
          </w:tcPr>
          <w:p w14:paraId="59AEC4FF" w14:textId="188C6D6B" w:rsidR="00790351" w:rsidRPr="00790351" w:rsidRDefault="00790351" w:rsidP="00790351">
            <w:pPr>
              <w:spacing w:line="240" w:lineRule="auto"/>
              <w:jc w:val="center"/>
              <w:rPr>
                <w:rFonts w:eastAsia="Times New Roman" w:cs="Arial"/>
                <w:szCs w:val="24"/>
              </w:rPr>
            </w:pPr>
            <w:r w:rsidRPr="00790351">
              <w:rPr>
                <w:b/>
                <w:bCs/>
                <w:szCs w:val="20"/>
              </w:rPr>
              <w:t xml:space="preserve">Креатининов клиръне </w:t>
            </w:r>
            <w:r w:rsidRPr="00790351">
              <w:rPr>
                <w:b/>
                <w:bCs/>
                <w:szCs w:val="20"/>
                <w:lang w:val="ru-RU"/>
              </w:rPr>
              <w:t>(</w:t>
            </w:r>
            <w:proofErr w:type="spellStart"/>
            <w:r w:rsidRPr="00790351">
              <w:rPr>
                <w:b/>
                <w:bCs/>
                <w:szCs w:val="20"/>
                <w:lang w:val="en-US"/>
              </w:rPr>
              <w:t>CrCI</w:t>
            </w:r>
            <w:proofErr w:type="spellEnd"/>
            <w:r w:rsidRPr="00790351">
              <w:rPr>
                <w:b/>
                <w:bCs/>
                <w:szCs w:val="20"/>
                <w:lang w:val="ru-RU"/>
              </w:rPr>
              <w:t>) (</w:t>
            </w:r>
            <w:r w:rsidRPr="00790351">
              <w:rPr>
                <w:b/>
                <w:bCs/>
                <w:szCs w:val="20"/>
                <w:lang w:val="en-US"/>
              </w:rPr>
              <w:t>ml</w:t>
            </w:r>
            <w:r w:rsidRPr="00790351">
              <w:rPr>
                <w:b/>
                <w:bCs/>
                <w:szCs w:val="20"/>
                <w:lang w:val="ru-RU"/>
              </w:rPr>
              <w:t>/</w:t>
            </w:r>
            <w:r w:rsidRPr="00790351">
              <w:rPr>
                <w:b/>
                <w:bCs/>
                <w:szCs w:val="20"/>
                <w:lang w:val="en-US"/>
              </w:rPr>
              <w:t>min</w:t>
            </w:r>
            <w:r w:rsidRPr="00790351">
              <w:rPr>
                <w:b/>
                <w:bCs/>
                <w:szCs w:val="20"/>
                <w:lang w:val="ru-RU"/>
              </w:rPr>
              <w:t>)</w:t>
            </w:r>
          </w:p>
        </w:tc>
        <w:tc>
          <w:tcPr>
            <w:tcW w:w="4788" w:type="dxa"/>
            <w:gridSpan w:val="2"/>
          </w:tcPr>
          <w:p w14:paraId="3E062D59" w14:textId="5E4E69A7" w:rsidR="00790351" w:rsidRPr="00790351" w:rsidRDefault="00790351" w:rsidP="00790351">
            <w:pPr>
              <w:spacing w:line="240" w:lineRule="auto"/>
              <w:jc w:val="center"/>
              <w:rPr>
                <w:rFonts w:eastAsia="Times New Roman" w:cs="Arial"/>
                <w:szCs w:val="24"/>
              </w:rPr>
            </w:pPr>
            <w:r w:rsidRPr="00790351">
              <w:rPr>
                <w:b/>
                <w:bCs/>
                <w:szCs w:val="20"/>
              </w:rPr>
              <w:t>Обща дневна доза прегабалин *</w:t>
            </w:r>
          </w:p>
        </w:tc>
        <w:tc>
          <w:tcPr>
            <w:tcW w:w="2394" w:type="dxa"/>
          </w:tcPr>
          <w:p w14:paraId="0E06741F" w14:textId="013805F6" w:rsidR="00790351" w:rsidRPr="00790351" w:rsidRDefault="00790351" w:rsidP="00790351">
            <w:pPr>
              <w:spacing w:line="240" w:lineRule="auto"/>
              <w:jc w:val="center"/>
              <w:rPr>
                <w:rFonts w:eastAsia="Times New Roman" w:cs="Arial"/>
                <w:szCs w:val="24"/>
              </w:rPr>
            </w:pPr>
            <w:r w:rsidRPr="00790351">
              <w:rPr>
                <w:b/>
                <w:bCs/>
                <w:szCs w:val="20"/>
              </w:rPr>
              <w:t xml:space="preserve">Режим </w:t>
            </w:r>
            <w:r w:rsidRPr="00790351">
              <w:rPr>
                <w:b/>
                <w:bCs/>
                <w:i/>
                <w:iCs/>
                <w:szCs w:val="20"/>
              </w:rPr>
              <w:t>на дозиране</w:t>
            </w:r>
          </w:p>
        </w:tc>
      </w:tr>
      <w:tr w:rsidR="00790351" w14:paraId="13FF4225" w14:textId="77777777" w:rsidTr="00790351">
        <w:tc>
          <w:tcPr>
            <w:tcW w:w="2394" w:type="dxa"/>
          </w:tcPr>
          <w:p w14:paraId="54C58125" w14:textId="77777777" w:rsidR="00790351" w:rsidRDefault="00790351" w:rsidP="00790351">
            <w:pPr>
              <w:spacing w:line="240" w:lineRule="auto"/>
              <w:rPr>
                <w:rFonts w:eastAsia="Times New Roman" w:cs="Arial"/>
                <w:sz w:val="28"/>
                <w:szCs w:val="24"/>
              </w:rPr>
            </w:pPr>
          </w:p>
        </w:tc>
        <w:tc>
          <w:tcPr>
            <w:tcW w:w="2394" w:type="dxa"/>
          </w:tcPr>
          <w:p w14:paraId="37F8407C" w14:textId="10A4EF54" w:rsidR="00790351" w:rsidRDefault="00790351" w:rsidP="00790351">
            <w:pPr>
              <w:rPr>
                <w:rFonts w:eastAsia="Times New Roman" w:cs="Arial"/>
                <w:sz w:val="28"/>
                <w:szCs w:val="24"/>
              </w:rPr>
            </w:pPr>
            <w:r>
              <w:t xml:space="preserve">Начална доза </w:t>
            </w:r>
            <w:r>
              <w:rPr>
                <w:lang w:val="en-US"/>
              </w:rPr>
              <w:t>(mg</w:t>
            </w:r>
            <w:r>
              <w:t>/ден)</w:t>
            </w:r>
          </w:p>
        </w:tc>
        <w:tc>
          <w:tcPr>
            <w:tcW w:w="2394" w:type="dxa"/>
          </w:tcPr>
          <w:p w14:paraId="49CE98EE" w14:textId="227E28E8" w:rsidR="00790351" w:rsidRDefault="00790351" w:rsidP="00790351">
            <w:pPr>
              <w:rPr>
                <w:rFonts w:eastAsia="Times New Roman" w:cs="Arial"/>
                <w:sz w:val="28"/>
                <w:szCs w:val="24"/>
              </w:rPr>
            </w:pPr>
            <w:r>
              <w:t xml:space="preserve">Максимална доза </w:t>
            </w:r>
            <w:r>
              <w:rPr>
                <w:lang w:val="en-US"/>
              </w:rPr>
              <w:t>(mg</w:t>
            </w:r>
            <w:r>
              <w:t>/ден)</w:t>
            </w:r>
          </w:p>
        </w:tc>
        <w:tc>
          <w:tcPr>
            <w:tcW w:w="2394" w:type="dxa"/>
          </w:tcPr>
          <w:p w14:paraId="15CDD208" w14:textId="77777777" w:rsidR="00790351" w:rsidRDefault="00790351" w:rsidP="00790351">
            <w:pPr>
              <w:spacing w:line="240" w:lineRule="auto"/>
              <w:rPr>
                <w:rFonts w:eastAsia="Times New Roman" w:cs="Arial"/>
                <w:sz w:val="28"/>
                <w:szCs w:val="24"/>
              </w:rPr>
            </w:pPr>
          </w:p>
        </w:tc>
      </w:tr>
      <w:tr w:rsidR="00790351" w14:paraId="136BA890" w14:textId="77777777" w:rsidTr="00790351">
        <w:tc>
          <w:tcPr>
            <w:tcW w:w="2394" w:type="dxa"/>
          </w:tcPr>
          <w:p w14:paraId="429932A0" w14:textId="3D905D1C" w:rsidR="00790351" w:rsidRDefault="00790351" w:rsidP="00790351">
            <w:pPr>
              <w:rPr>
                <w:rFonts w:eastAsia="Times New Roman" w:cs="Arial"/>
                <w:sz w:val="28"/>
                <w:szCs w:val="24"/>
              </w:rPr>
            </w:pPr>
            <w:r>
              <w:t>&gt;60</w:t>
            </w:r>
          </w:p>
        </w:tc>
        <w:tc>
          <w:tcPr>
            <w:tcW w:w="2394" w:type="dxa"/>
          </w:tcPr>
          <w:p w14:paraId="0A37EBE9" w14:textId="6650C3C6" w:rsidR="00790351" w:rsidRDefault="00790351" w:rsidP="00790351">
            <w:pPr>
              <w:rPr>
                <w:rFonts w:eastAsia="Times New Roman" w:cs="Arial"/>
                <w:sz w:val="28"/>
                <w:szCs w:val="24"/>
              </w:rPr>
            </w:pPr>
            <w:r>
              <w:t>150</w:t>
            </w:r>
          </w:p>
        </w:tc>
        <w:tc>
          <w:tcPr>
            <w:tcW w:w="2394" w:type="dxa"/>
          </w:tcPr>
          <w:p w14:paraId="1E61FD92" w14:textId="43738382" w:rsidR="00790351" w:rsidRDefault="00790351" w:rsidP="00790351">
            <w:pPr>
              <w:rPr>
                <w:rFonts w:eastAsia="Times New Roman" w:cs="Arial"/>
                <w:sz w:val="28"/>
                <w:szCs w:val="24"/>
              </w:rPr>
            </w:pPr>
            <w:r>
              <w:t>600</w:t>
            </w:r>
          </w:p>
        </w:tc>
        <w:tc>
          <w:tcPr>
            <w:tcW w:w="2394" w:type="dxa"/>
          </w:tcPr>
          <w:p w14:paraId="30499F29" w14:textId="4188E061" w:rsidR="00790351" w:rsidRDefault="00790351" w:rsidP="00790351">
            <w:pPr>
              <w:rPr>
                <w:rFonts w:eastAsia="Times New Roman" w:cs="Arial"/>
                <w:sz w:val="28"/>
                <w:szCs w:val="24"/>
              </w:rPr>
            </w:pPr>
            <w:r>
              <w:rPr>
                <w:lang w:val="en-US"/>
              </w:rPr>
              <w:t xml:space="preserve">BID </w:t>
            </w:r>
            <w:r>
              <w:t xml:space="preserve">или </w:t>
            </w:r>
            <w:r>
              <w:rPr>
                <w:lang w:val="en-US"/>
              </w:rPr>
              <w:t>TID</w:t>
            </w:r>
          </w:p>
        </w:tc>
      </w:tr>
      <w:tr w:rsidR="00790351" w14:paraId="5DF48F7C" w14:textId="77777777" w:rsidTr="00790351">
        <w:tc>
          <w:tcPr>
            <w:tcW w:w="2394" w:type="dxa"/>
          </w:tcPr>
          <w:p w14:paraId="242E466D" w14:textId="3B14AE06" w:rsidR="00790351" w:rsidRDefault="00790351" w:rsidP="00790351">
            <w:pPr>
              <w:rPr>
                <w:rFonts w:eastAsia="Times New Roman" w:cs="Arial"/>
                <w:sz w:val="28"/>
                <w:szCs w:val="24"/>
              </w:rPr>
            </w:pPr>
            <w:r>
              <w:t>&gt;30 - &lt;60</w:t>
            </w:r>
          </w:p>
        </w:tc>
        <w:tc>
          <w:tcPr>
            <w:tcW w:w="2394" w:type="dxa"/>
          </w:tcPr>
          <w:p w14:paraId="1E507A39" w14:textId="2364EC48" w:rsidR="00790351" w:rsidRDefault="00790351" w:rsidP="00790351">
            <w:pPr>
              <w:rPr>
                <w:rFonts w:eastAsia="Times New Roman" w:cs="Arial"/>
                <w:sz w:val="28"/>
                <w:szCs w:val="24"/>
              </w:rPr>
            </w:pPr>
            <w:r>
              <w:t>75</w:t>
            </w:r>
          </w:p>
        </w:tc>
        <w:tc>
          <w:tcPr>
            <w:tcW w:w="2394" w:type="dxa"/>
          </w:tcPr>
          <w:p w14:paraId="106DA025" w14:textId="71C9404C" w:rsidR="00790351" w:rsidRDefault="00790351" w:rsidP="00790351">
            <w:pPr>
              <w:rPr>
                <w:rFonts w:eastAsia="Times New Roman" w:cs="Arial"/>
                <w:sz w:val="28"/>
                <w:szCs w:val="24"/>
              </w:rPr>
            </w:pPr>
            <w:r>
              <w:t>300</w:t>
            </w:r>
          </w:p>
        </w:tc>
        <w:tc>
          <w:tcPr>
            <w:tcW w:w="2394" w:type="dxa"/>
          </w:tcPr>
          <w:p w14:paraId="58A57133" w14:textId="50B4A203" w:rsidR="00790351" w:rsidRDefault="00790351" w:rsidP="00790351">
            <w:pPr>
              <w:rPr>
                <w:rFonts w:eastAsia="Times New Roman" w:cs="Arial"/>
                <w:sz w:val="28"/>
                <w:szCs w:val="24"/>
              </w:rPr>
            </w:pPr>
            <w:r>
              <w:rPr>
                <w:lang w:val="en-US"/>
              </w:rPr>
              <w:t xml:space="preserve">BID </w:t>
            </w:r>
            <w:r>
              <w:t xml:space="preserve">или </w:t>
            </w:r>
            <w:r>
              <w:rPr>
                <w:lang w:val="en-US"/>
              </w:rPr>
              <w:t>TID</w:t>
            </w:r>
          </w:p>
        </w:tc>
      </w:tr>
      <w:tr w:rsidR="00790351" w14:paraId="14F662E3" w14:textId="77777777" w:rsidTr="00790351">
        <w:tc>
          <w:tcPr>
            <w:tcW w:w="2394" w:type="dxa"/>
          </w:tcPr>
          <w:p w14:paraId="0A317FB6" w14:textId="3CB8376A" w:rsidR="00790351" w:rsidRDefault="00790351" w:rsidP="00790351">
            <w:pPr>
              <w:rPr>
                <w:rFonts w:eastAsia="Times New Roman" w:cs="Arial"/>
                <w:sz w:val="28"/>
                <w:szCs w:val="24"/>
              </w:rPr>
            </w:pPr>
            <w:r>
              <w:t>&gt;15- &lt;30</w:t>
            </w:r>
          </w:p>
        </w:tc>
        <w:tc>
          <w:tcPr>
            <w:tcW w:w="2394" w:type="dxa"/>
          </w:tcPr>
          <w:p w14:paraId="27FD1FAB" w14:textId="0232ADAF" w:rsidR="00790351" w:rsidRDefault="00790351" w:rsidP="00790351">
            <w:pPr>
              <w:rPr>
                <w:rFonts w:eastAsia="Times New Roman" w:cs="Arial"/>
                <w:sz w:val="28"/>
                <w:szCs w:val="24"/>
              </w:rPr>
            </w:pPr>
            <w:r>
              <w:t>25-50</w:t>
            </w:r>
          </w:p>
        </w:tc>
        <w:tc>
          <w:tcPr>
            <w:tcW w:w="2394" w:type="dxa"/>
          </w:tcPr>
          <w:p w14:paraId="34B49F97" w14:textId="6D3DD3AF" w:rsidR="00790351" w:rsidRDefault="00790351" w:rsidP="00790351">
            <w:pPr>
              <w:rPr>
                <w:rFonts w:eastAsia="Times New Roman" w:cs="Arial"/>
                <w:sz w:val="28"/>
                <w:szCs w:val="24"/>
              </w:rPr>
            </w:pPr>
            <w:r>
              <w:t>150</w:t>
            </w:r>
          </w:p>
        </w:tc>
        <w:tc>
          <w:tcPr>
            <w:tcW w:w="2394" w:type="dxa"/>
          </w:tcPr>
          <w:p w14:paraId="105B2DBD" w14:textId="77EEDADB" w:rsidR="00790351" w:rsidRDefault="00790351" w:rsidP="00790351">
            <w:pPr>
              <w:rPr>
                <w:rFonts w:eastAsia="Times New Roman" w:cs="Arial"/>
                <w:sz w:val="28"/>
                <w:szCs w:val="24"/>
              </w:rPr>
            </w:pPr>
            <w:r>
              <w:t xml:space="preserve">Веднъж дневно </w:t>
            </w:r>
            <w:r>
              <w:rPr>
                <w:i/>
                <w:iCs/>
              </w:rPr>
              <w:t xml:space="preserve">или </w:t>
            </w:r>
            <w:r>
              <w:rPr>
                <w:lang w:val="en-US"/>
              </w:rPr>
              <w:t>BID</w:t>
            </w:r>
          </w:p>
        </w:tc>
      </w:tr>
      <w:tr w:rsidR="00790351" w14:paraId="6412CDCD" w14:textId="77777777" w:rsidTr="00790351">
        <w:tc>
          <w:tcPr>
            <w:tcW w:w="2394" w:type="dxa"/>
          </w:tcPr>
          <w:p w14:paraId="4B3C4CEC" w14:textId="214F0543" w:rsidR="00790351" w:rsidRDefault="00790351" w:rsidP="00790351">
            <w:pPr>
              <w:rPr>
                <w:rFonts w:eastAsia="Times New Roman" w:cs="Arial"/>
                <w:sz w:val="28"/>
                <w:szCs w:val="24"/>
              </w:rPr>
            </w:pPr>
            <w:r>
              <w:t>&lt;15</w:t>
            </w:r>
          </w:p>
        </w:tc>
        <w:tc>
          <w:tcPr>
            <w:tcW w:w="2394" w:type="dxa"/>
          </w:tcPr>
          <w:p w14:paraId="635FC4E3" w14:textId="6F899EFF" w:rsidR="00790351" w:rsidRDefault="00790351" w:rsidP="00790351">
            <w:pPr>
              <w:rPr>
                <w:rFonts w:eastAsia="Times New Roman" w:cs="Arial"/>
                <w:sz w:val="28"/>
                <w:szCs w:val="24"/>
              </w:rPr>
            </w:pPr>
            <w:r>
              <w:t>25</w:t>
            </w:r>
          </w:p>
        </w:tc>
        <w:tc>
          <w:tcPr>
            <w:tcW w:w="2394" w:type="dxa"/>
          </w:tcPr>
          <w:p w14:paraId="6C11196B" w14:textId="0DA59DAB" w:rsidR="00790351" w:rsidRDefault="00790351" w:rsidP="00790351">
            <w:pPr>
              <w:rPr>
                <w:rFonts w:eastAsia="Times New Roman" w:cs="Arial"/>
                <w:sz w:val="28"/>
                <w:szCs w:val="24"/>
              </w:rPr>
            </w:pPr>
            <w:r>
              <w:t>75</w:t>
            </w:r>
          </w:p>
        </w:tc>
        <w:tc>
          <w:tcPr>
            <w:tcW w:w="2394" w:type="dxa"/>
          </w:tcPr>
          <w:p w14:paraId="67091FB8" w14:textId="259E5482" w:rsidR="00790351" w:rsidRDefault="00790351" w:rsidP="00790351">
            <w:pPr>
              <w:rPr>
                <w:rFonts w:eastAsia="Times New Roman" w:cs="Arial"/>
                <w:sz w:val="28"/>
                <w:szCs w:val="24"/>
              </w:rPr>
            </w:pPr>
            <w:r>
              <w:t>Веднъж дневно</w:t>
            </w:r>
          </w:p>
        </w:tc>
      </w:tr>
      <w:tr w:rsidR="00790351" w14:paraId="44342E68" w14:textId="77777777" w:rsidTr="00790351">
        <w:tc>
          <w:tcPr>
            <w:tcW w:w="9576" w:type="dxa"/>
            <w:gridSpan w:val="4"/>
          </w:tcPr>
          <w:p w14:paraId="763757E7" w14:textId="1788CB6E" w:rsidR="00790351" w:rsidRPr="00790351" w:rsidRDefault="00790351" w:rsidP="00790351">
            <w:pPr>
              <w:spacing w:line="240" w:lineRule="auto"/>
              <w:rPr>
                <w:rFonts w:eastAsia="Times New Roman" w:cs="Arial"/>
                <w:sz w:val="28"/>
                <w:szCs w:val="24"/>
                <w:lang w:val="ru-RU"/>
              </w:rPr>
            </w:pPr>
            <w:r w:rsidRPr="00790351">
              <w:rPr>
                <w:szCs w:val="20"/>
              </w:rPr>
              <w:t xml:space="preserve">Допълнителна доза след хемодиализа </w:t>
            </w:r>
            <w:r w:rsidRPr="00790351">
              <w:rPr>
                <w:szCs w:val="20"/>
                <w:lang w:val="ru-RU"/>
              </w:rPr>
              <w:t>(</w:t>
            </w:r>
            <w:r w:rsidRPr="00790351">
              <w:rPr>
                <w:szCs w:val="20"/>
                <w:lang w:val="en-US"/>
              </w:rPr>
              <w:t>mg</w:t>
            </w:r>
            <w:r w:rsidRPr="00790351">
              <w:rPr>
                <w:szCs w:val="20"/>
                <w:lang w:val="ru-RU"/>
              </w:rPr>
              <w:t>)</w:t>
            </w:r>
          </w:p>
        </w:tc>
      </w:tr>
      <w:tr w:rsidR="00790351" w14:paraId="1C9A3B16" w14:textId="77777777" w:rsidTr="00790351">
        <w:tc>
          <w:tcPr>
            <w:tcW w:w="2394" w:type="dxa"/>
          </w:tcPr>
          <w:p w14:paraId="20E51E6E" w14:textId="77777777" w:rsidR="00790351" w:rsidRDefault="00790351" w:rsidP="00790351">
            <w:pPr>
              <w:spacing w:line="240" w:lineRule="auto"/>
              <w:rPr>
                <w:rFonts w:eastAsia="Times New Roman" w:cs="Arial"/>
                <w:sz w:val="28"/>
                <w:szCs w:val="24"/>
              </w:rPr>
            </w:pPr>
          </w:p>
        </w:tc>
        <w:tc>
          <w:tcPr>
            <w:tcW w:w="2394" w:type="dxa"/>
          </w:tcPr>
          <w:p w14:paraId="10CD22DA" w14:textId="39DAB843" w:rsidR="00790351" w:rsidRDefault="00790351" w:rsidP="00790351">
            <w:pPr>
              <w:rPr>
                <w:rFonts w:eastAsia="Times New Roman" w:cs="Arial"/>
                <w:sz w:val="28"/>
                <w:szCs w:val="24"/>
              </w:rPr>
            </w:pPr>
            <w:r>
              <w:t>25</w:t>
            </w:r>
          </w:p>
        </w:tc>
        <w:tc>
          <w:tcPr>
            <w:tcW w:w="2394" w:type="dxa"/>
          </w:tcPr>
          <w:p w14:paraId="28BEC436" w14:textId="16DBB06B" w:rsidR="00790351" w:rsidRDefault="00790351" w:rsidP="00790351">
            <w:pPr>
              <w:rPr>
                <w:rFonts w:eastAsia="Times New Roman" w:cs="Arial"/>
                <w:sz w:val="28"/>
                <w:szCs w:val="24"/>
              </w:rPr>
            </w:pPr>
            <w:r>
              <w:t>100</w:t>
            </w:r>
          </w:p>
        </w:tc>
        <w:tc>
          <w:tcPr>
            <w:tcW w:w="2394" w:type="dxa"/>
          </w:tcPr>
          <w:p w14:paraId="397A1C3E" w14:textId="050BB6B1" w:rsidR="00790351" w:rsidRDefault="00790351" w:rsidP="00790351">
            <w:pPr>
              <w:rPr>
                <w:rFonts w:eastAsia="Times New Roman" w:cs="Arial"/>
                <w:sz w:val="28"/>
                <w:szCs w:val="24"/>
              </w:rPr>
            </w:pPr>
            <w:r>
              <w:t>Еднократна доза</w:t>
            </w:r>
            <w:r>
              <w:rPr>
                <w:vertAlign w:val="superscript"/>
              </w:rPr>
              <w:t>+</w:t>
            </w:r>
          </w:p>
        </w:tc>
      </w:tr>
    </w:tbl>
    <w:p w14:paraId="2D053499" w14:textId="530BDAC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val="en-US"/>
        </w:rPr>
        <w:t xml:space="preserve">TID = </w:t>
      </w:r>
      <w:r w:rsidRPr="00790351">
        <w:rPr>
          <w:rFonts w:eastAsia="Times New Roman" w:cs="Arial"/>
          <w:color w:val="000000"/>
          <w:szCs w:val="20"/>
          <w:lang w:eastAsia="bg-BG"/>
        </w:rPr>
        <w:t>Три приема дневно</w:t>
      </w:r>
    </w:p>
    <w:p w14:paraId="3BBFA5E0"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val="en-US"/>
        </w:rPr>
        <w:t xml:space="preserve">BID </w:t>
      </w:r>
      <w:r w:rsidRPr="00790351">
        <w:rPr>
          <w:rFonts w:eastAsia="Times New Roman" w:cs="Arial"/>
          <w:color w:val="000000"/>
          <w:szCs w:val="20"/>
          <w:lang w:eastAsia="bg-BG"/>
        </w:rPr>
        <w:t>= Два приема дневно</w:t>
      </w:r>
    </w:p>
    <w:p w14:paraId="424B697A"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 Общата дневна доза </w:t>
      </w:r>
      <w:r w:rsidRPr="00790351">
        <w:rPr>
          <w:rFonts w:eastAsia="Times New Roman" w:cs="Arial"/>
          <w:color w:val="000000"/>
          <w:szCs w:val="20"/>
          <w:lang w:val="ru-RU"/>
        </w:rPr>
        <w:t>(</w:t>
      </w:r>
      <w:r w:rsidRPr="00790351">
        <w:rPr>
          <w:rFonts w:eastAsia="Times New Roman" w:cs="Arial"/>
          <w:color w:val="000000"/>
          <w:szCs w:val="20"/>
          <w:lang w:val="en-US"/>
        </w:rPr>
        <w:t>mg</w:t>
      </w:r>
      <w:r w:rsidRPr="00790351">
        <w:rPr>
          <w:rFonts w:eastAsia="Times New Roman" w:cs="Arial"/>
          <w:color w:val="000000"/>
          <w:szCs w:val="20"/>
          <w:lang w:eastAsia="bg-BG"/>
        </w:rPr>
        <w:t xml:space="preserve">/ден) трябва да бъде разделена както е указано в режима на дозиране, за да се получат </w:t>
      </w:r>
      <w:r w:rsidRPr="00790351">
        <w:rPr>
          <w:rFonts w:eastAsia="Times New Roman" w:cs="Arial"/>
          <w:color w:val="000000"/>
          <w:szCs w:val="20"/>
          <w:lang w:val="en-US"/>
        </w:rPr>
        <w:t>mg</w:t>
      </w:r>
      <w:r w:rsidRPr="00790351">
        <w:rPr>
          <w:rFonts w:eastAsia="Times New Roman" w:cs="Arial"/>
          <w:color w:val="000000"/>
          <w:szCs w:val="20"/>
          <w:lang w:eastAsia="bg-BG"/>
        </w:rPr>
        <w:t>/дозата</w:t>
      </w:r>
    </w:p>
    <w:p w14:paraId="621A44C3"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+Допълнителната доза е еднократна</w:t>
      </w:r>
    </w:p>
    <w:p w14:paraId="2C040D27" w14:textId="77777777" w:rsidR="00790351" w:rsidRPr="00790351" w:rsidRDefault="00790351" w:rsidP="00790351">
      <w:pPr>
        <w:spacing w:line="240" w:lineRule="auto"/>
        <w:rPr>
          <w:rFonts w:eastAsia="Times New Roman" w:cs="Arial"/>
          <w:i/>
          <w:iCs/>
          <w:color w:val="000000"/>
          <w:szCs w:val="20"/>
          <w:u w:val="single"/>
          <w:lang w:eastAsia="bg-BG"/>
        </w:rPr>
      </w:pPr>
    </w:p>
    <w:p w14:paraId="24CCC5B5" w14:textId="7C49886F"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t>Чернодробно увреждане</w:t>
      </w:r>
    </w:p>
    <w:p w14:paraId="5EC97490"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При пациенти с чернодробно увреждане не се изисква корекция на дозата (вж. точка 5.2).</w:t>
      </w:r>
    </w:p>
    <w:p w14:paraId="7225B5C8" w14:textId="77777777" w:rsidR="00790351" w:rsidRPr="00790351" w:rsidRDefault="00790351" w:rsidP="00790351">
      <w:pPr>
        <w:spacing w:line="240" w:lineRule="auto"/>
        <w:rPr>
          <w:rFonts w:eastAsia="Times New Roman" w:cs="Arial"/>
          <w:i/>
          <w:iCs/>
          <w:color w:val="000000"/>
          <w:szCs w:val="20"/>
          <w:u w:val="single"/>
          <w:lang w:eastAsia="bg-BG"/>
        </w:rPr>
      </w:pPr>
    </w:p>
    <w:p w14:paraId="7189A0E9" w14:textId="32794A57"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t>Педиатрична популация</w:t>
      </w:r>
    </w:p>
    <w:p w14:paraId="47EEFA5D"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Безопасността и ефикасността на прегабалин при деца под 12-годишна възраст и при юноши (12-17 годишна възраст) не са установени. Наличните понастоящем данни са описани в точки 4.8, 5.1 и 5.2, но препоръки за дозировката не могат да бъдат дадени.</w:t>
      </w:r>
    </w:p>
    <w:p w14:paraId="5AD34A4F" w14:textId="77777777" w:rsidR="00790351" w:rsidRPr="00790351" w:rsidRDefault="00790351" w:rsidP="00790351">
      <w:pPr>
        <w:spacing w:line="240" w:lineRule="auto"/>
        <w:rPr>
          <w:rFonts w:eastAsia="Times New Roman" w:cs="Arial"/>
          <w:i/>
          <w:iCs/>
          <w:color w:val="000000"/>
          <w:szCs w:val="20"/>
          <w:u w:val="single"/>
          <w:lang w:eastAsia="bg-BG"/>
        </w:rPr>
      </w:pPr>
    </w:p>
    <w:p w14:paraId="36079508" w14:textId="2BBBB31E"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lastRenderedPageBreak/>
        <w:t>Старческа възраст</w:t>
      </w:r>
    </w:p>
    <w:p w14:paraId="5BED262D"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При пациенти в старческа възраст може да се наложи намаляване на дозата на прегабалин поради намалената бъбречна функция (вж. точка 5.2).</w:t>
      </w:r>
    </w:p>
    <w:p w14:paraId="1FD1F48A" w14:textId="77777777" w:rsidR="00790351" w:rsidRPr="00790351" w:rsidRDefault="00790351" w:rsidP="00790351">
      <w:pPr>
        <w:spacing w:line="240" w:lineRule="auto"/>
        <w:rPr>
          <w:rFonts w:eastAsia="Times New Roman" w:cs="Arial"/>
          <w:color w:val="000000"/>
          <w:szCs w:val="20"/>
          <w:u w:val="single"/>
          <w:lang w:eastAsia="bg-BG"/>
        </w:rPr>
      </w:pPr>
    </w:p>
    <w:p w14:paraId="33DE771F" w14:textId="76D68C51" w:rsidR="00790351" w:rsidRPr="00790351" w:rsidRDefault="00790351" w:rsidP="00790351">
      <w:pPr>
        <w:pStyle w:val="Heading3"/>
        <w:rPr>
          <w:rFonts w:eastAsia="Times New Roman"/>
          <w:sz w:val="28"/>
          <w:u w:val="single"/>
        </w:rPr>
      </w:pPr>
      <w:r w:rsidRPr="00790351">
        <w:rPr>
          <w:rFonts w:eastAsia="Times New Roman"/>
          <w:u w:val="single"/>
          <w:lang w:eastAsia="bg-BG"/>
        </w:rPr>
        <w:t>Начин на приложение</w:t>
      </w:r>
    </w:p>
    <w:p w14:paraId="788CB3E1"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Линефор може да се приема със или без храна.</w:t>
      </w:r>
    </w:p>
    <w:p w14:paraId="48DDB3DA" w14:textId="77777777" w:rsidR="00790351" w:rsidRPr="00790351" w:rsidRDefault="00790351" w:rsidP="00790351">
      <w:pPr>
        <w:spacing w:line="240" w:lineRule="auto"/>
        <w:rPr>
          <w:rFonts w:ascii="Times New Roman" w:eastAsia="Times New Roman" w:hAnsi="Times New Roman" w:cs="Times New Roman"/>
          <w:sz w:val="24"/>
          <w:szCs w:val="24"/>
        </w:rPr>
      </w:pPr>
      <w:r w:rsidRPr="00790351">
        <w:rPr>
          <w:rFonts w:eastAsia="Times New Roman" w:cs="Arial"/>
          <w:color w:val="000000"/>
          <w:szCs w:val="20"/>
          <w:lang w:eastAsia="bg-BG"/>
        </w:rPr>
        <w:t>Линефор е само за перорално приложение.</w:t>
      </w:r>
    </w:p>
    <w:p w14:paraId="50C329CE" w14:textId="77777777" w:rsidR="00790351" w:rsidRPr="00790351" w:rsidRDefault="00790351" w:rsidP="00790351"/>
    <w:p w14:paraId="45A3672A" w14:textId="08D4D3A5" w:rsidR="00426E5F" w:rsidRDefault="002C50EE" w:rsidP="00A65A81">
      <w:pPr>
        <w:pStyle w:val="Heading2"/>
      </w:pPr>
      <w:r>
        <w:t>4.3. Противопоказания</w:t>
      </w:r>
    </w:p>
    <w:p w14:paraId="67C82220" w14:textId="03D226E1" w:rsidR="00790351" w:rsidRDefault="00790351" w:rsidP="00790351"/>
    <w:p w14:paraId="302A45E1" w14:textId="460B4963" w:rsidR="00790351" w:rsidRDefault="00790351" w:rsidP="00790351">
      <w:pPr>
        <w:rPr>
          <w:lang w:eastAsia="bg-BG"/>
        </w:rPr>
      </w:pPr>
      <w:r w:rsidRPr="00790351">
        <w:rPr>
          <w:lang w:eastAsia="bg-BG"/>
        </w:rPr>
        <w:t>Свръхчувствителност към активното вещество или към някое от помощните вещества, изброени в точка 6.1.</w:t>
      </w:r>
    </w:p>
    <w:p w14:paraId="3A0B400B" w14:textId="77777777" w:rsidR="00790351" w:rsidRPr="00790351" w:rsidRDefault="00790351" w:rsidP="00790351">
      <w:pPr>
        <w:rPr>
          <w:sz w:val="24"/>
          <w:szCs w:val="24"/>
        </w:rPr>
      </w:pPr>
    </w:p>
    <w:p w14:paraId="13D1C252" w14:textId="5CA4C11C" w:rsidR="00426E5F" w:rsidRDefault="002C50EE" w:rsidP="00A65A81">
      <w:pPr>
        <w:pStyle w:val="Heading2"/>
      </w:pPr>
      <w:r>
        <w:t>4.4. Специални предупреждения и предпазни мерки при употреба</w:t>
      </w:r>
    </w:p>
    <w:p w14:paraId="37912437" w14:textId="5627320A" w:rsidR="00790351" w:rsidRDefault="00790351" w:rsidP="00790351"/>
    <w:p w14:paraId="200D01DC" w14:textId="77777777"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Пациенти с диабет</w:t>
      </w:r>
    </w:p>
    <w:p w14:paraId="2E0D24B9"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 </w:t>
      </w:r>
      <w:r w:rsidRPr="00790351">
        <w:rPr>
          <w:rFonts w:eastAsia="Times New Roman" w:cs="Arial"/>
          <w:i/>
          <w:iCs/>
          <w:color w:val="000000"/>
          <w:lang w:eastAsia="bg-BG"/>
        </w:rPr>
        <w:t>съответствие с настоящата клинична</w:t>
      </w:r>
      <w:r w:rsidRPr="00790351">
        <w:rPr>
          <w:rFonts w:eastAsia="Times New Roman" w:cs="Arial"/>
          <w:color w:val="000000"/>
          <w:lang w:eastAsia="bg-BG"/>
        </w:rPr>
        <w:t xml:space="preserve"> практика, при някои пациенти с диабет, които наддават на тегло при лечение с прегабалин, може да е необходимо адаптиране на хипогликемични лекарствени продукти.</w:t>
      </w:r>
    </w:p>
    <w:p w14:paraId="2540BC5B" w14:textId="77777777" w:rsidR="00790351" w:rsidRPr="00790351" w:rsidRDefault="00790351" w:rsidP="00790351">
      <w:pPr>
        <w:spacing w:line="240" w:lineRule="auto"/>
        <w:rPr>
          <w:rFonts w:eastAsia="Times New Roman" w:cs="Arial"/>
          <w:color w:val="000000"/>
          <w:u w:val="single"/>
          <w:lang w:eastAsia="bg-BG"/>
        </w:rPr>
      </w:pPr>
    </w:p>
    <w:p w14:paraId="494691D7" w14:textId="73051698"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Реакции на свръхчувствителност</w:t>
      </w:r>
    </w:p>
    <w:p w14:paraId="3355CDA2"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От постмаркетинговия опит има съобщения за реакции на свръхчувствителност, включително случаи на анпюедем. Лечението с прегабалин трябва да се прекрати незабавно, ако се появят симптоми на ангиоедем, като оток на лицето, около устата или на горните дихателни пътища.</w:t>
      </w:r>
    </w:p>
    <w:p w14:paraId="23905477" w14:textId="77777777" w:rsidR="00790351" w:rsidRPr="00790351" w:rsidRDefault="00790351" w:rsidP="00790351">
      <w:pPr>
        <w:spacing w:line="240" w:lineRule="auto"/>
        <w:rPr>
          <w:rFonts w:eastAsia="Times New Roman" w:cs="Arial"/>
          <w:color w:val="000000"/>
          <w:u w:val="single"/>
          <w:lang w:eastAsia="bg-BG"/>
        </w:rPr>
      </w:pPr>
    </w:p>
    <w:p w14:paraId="7DBE823C" w14:textId="13EA6E26"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Замаяност, сънливост, загуба на съзнание, объркване и умствено увреждане</w:t>
      </w:r>
    </w:p>
    <w:p w14:paraId="48E337D0" w14:textId="77777777" w:rsidR="00790351" w:rsidRPr="00790351" w:rsidRDefault="00790351" w:rsidP="00790351">
      <w:pPr>
        <w:rPr>
          <w:rFonts w:eastAsia="Times New Roman" w:cs="Arial"/>
        </w:rPr>
      </w:pPr>
      <w:r w:rsidRPr="00790351">
        <w:rPr>
          <w:rFonts w:eastAsia="Times New Roman" w:cs="Arial"/>
          <w:color w:val="000000"/>
          <w:lang w:eastAsia="bg-BG"/>
        </w:rPr>
        <w:t>Лечението с прегабалин е свързано със замаяност и сънливост, които биха могли да увеличат</w:t>
      </w:r>
      <w:r w:rsidRPr="00790351">
        <w:rPr>
          <w:rFonts w:eastAsia="Times New Roman" w:cs="Arial"/>
          <w:color w:val="000000"/>
          <w:vertAlign w:val="superscript"/>
          <w:lang w:eastAsia="bg-BG"/>
        </w:rPr>
        <w:t xml:space="preserve"> </w:t>
      </w:r>
      <w:r w:rsidRPr="00790351">
        <w:rPr>
          <w:rFonts w:eastAsia="Times New Roman" w:cs="Arial"/>
          <w:color w:val="000000"/>
          <w:lang w:eastAsia="bg-BG"/>
        </w:rPr>
        <w:t>честотата на случайно нараняване (падане) при популацията в старческа възраст. Има също и</w:t>
      </w:r>
      <w:r w:rsidRPr="00790351">
        <w:rPr>
          <w:rFonts w:eastAsia="Times New Roman" w:cs="Arial"/>
          <w:color w:val="000000"/>
          <w:lang w:val="ru-RU" w:eastAsia="bg-BG"/>
        </w:rPr>
        <w:t xml:space="preserve"> </w:t>
      </w:r>
      <w:r w:rsidRPr="00790351">
        <w:rPr>
          <w:rFonts w:eastAsia="Times New Roman" w:cs="Arial"/>
          <w:color w:val="000000"/>
          <w:lang w:eastAsia="bg-BG"/>
        </w:rPr>
        <w:t>постмаркетингови съобщения за загуба на съзнание, объркване и умствено увреждане. Следователно пациентите трябва да бъдат посъветвани да бъдат с повишено внимание, докато не опознаят възможните ефекти на лекарствения продукт.</w:t>
      </w:r>
    </w:p>
    <w:p w14:paraId="15C4E545" w14:textId="77777777" w:rsidR="00790351" w:rsidRPr="00790351" w:rsidRDefault="00790351" w:rsidP="00790351">
      <w:pPr>
        <w:spacing w:line="240" w:lineRule="auto"/>
        <w:rPr>
          <w:rFonts w:eastAsia="Times New Roman" w:cs="Arial"/>
          <w:color w:val="000000"/>
          <w:u w:val="single"/>
          <w:lang w:eastAsia="bg-BG"/>
        </w:rPr>
      </w:pPr>
    </w:p>
    <w:p w14:paraId="4FE1153B" w14:textId="74CA73AF"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Ефекти, свързани със зрението</w:t>
      </w:r>
    </w:p>
    <w:p w14:paraId="08F85D24"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В контролирани изпитвания по-голяма част от пациентите, лекувани с прегабалин, съобщават за замъглено виждане в сравнение с пациентите, лекувани с плацебо, което в повечето случаи е отзвучало в хода на лечението. В клиничните проучвания, при които са проведени офталмологични изследвания, честотата на намаляване на зрителната острота и промените в зрителното поле е по-висока при пациенти, лекувани с прегабалин, отколкото при пациенти, лекувани с плацебо; честотата на фундоскопските промени е по-голяма при пациентите, лекувани с плацебо (вж. точка 5.1).</w:t>
      </w:r>
    </w:p>
    <w:p w14:paraId="076CD23F" w14:textId="77777777" w:rsidR="00790351" w:rsidRPr="00790351" w:rsidRDefault="00790351" w:rsidP="00790351">
      <w:pPr>
        <w:spacing w:line="240" w:lineRule="auto"/>
        <w:rPr>
          <w:rFonts w:eastAsia="Times New Roman" w:cs="Arial"/>
          <w:color w:val="000000"/>
          <w:lang w:eastAsia="bg-BG"/>
        </w:rPr>
      </w:pPr>
    </w:p>
    <w:p w14:paraId="3B19E65A" w14:textId="024E0D9C" w:rsidR="00790351" w:rsidRPr="00790351" w:rsidRDefault="00790351" w:rsidP="00790351">
      <w:pPr>
        <w:spacing w:line="240" w:lineRule="auto"/>
        <w:rPr>
          <w:rFonts w:eastAsia="Times New Roman" w:cs="Arial"/>
        </w:rPr>
      </w:pPr>
      <w:r w:rsidRPr="00790351">
        <w:rPr>
          <w:rFonts w:eastAsia="Times New Roman" w:cs="Arial"/>
          <w:color w:val="000000"/>
          <w:lang w:eastAsia="bg-BG"/>
        </w:rPr>
        <w:t>От постмаркетинговия опит също се съобщава за нежелани лекарствени реакции по отношение на зрението, включително загуба на зрение, замъглено зрение или други промени на зрителната острота, много от които са преходни.</w:t>
      </w:r>
    </w:p>
    <w:p w14:paraId="6BA6CDFB"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Прекратяването на лечението с прегабалин може да доведе до отзвучаване или подобряване на тези зрителни симптоми.</w:t>
      </w:r>
    </w:p>
    <w:p w14:paraId="765A53CE" w14:textId="77777777" w:rsidR="00790351" w:rsidRPr="00790351" w:rsidRDefault="00790351" w:rsidP="00790351">
      <w:pPr>
        <w:spacing w:line="240" w:lineRule="auto"/>
        <w:rPr>
          <w:rFonts w:eastAsia="Times New Roman" w:cs="Arial"/>
          <w:color w:val="000000"/>
          <w:u w:val="single"/>
          <w:lang w:eastAsia="bg-BG"/>
        </w:rPr>
      </w:pPr>
    </w:p>
    <w:p w14:paraId="7938F45E" w14:textId="36D07662"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Бъбречна недостатъчност</w:t>
      </w:r>
    </w:p>
    <w:p w14:paraId="1903A06E" w14:textId="1372D134" w:rsidR="00790351" w:rsidRPr="00790351" w:rsidRDefault="00790351" w:rsidP="00790351">
      <w:pPr>
        <w:spacing w:line="240" w:lineRule="auto"/>
        <w:rPr>
          <w:rFonts w:eastAsia="Times New Roman" w:cs="Arial"/>
        </w:rPr>
      </w:pPr>
      <w:r w:rsidRPr="00790351">
        <w:rPr>
          <w:rFonts w:eastAsia="Times New Roman" w:cs="Arial"/>
          <w:color w:val="000000"/>
          <w:lang w:eastAsia="bg-BG"/>
        </w:rPr>
        <w:lastRenderedPageBreak/>
        <w:t>Съобщават се случаи на бъбречна недостатъчност като при някои от тях прекратяването на лечението с прегабалин показва обратимост на тази нежелана лекарствена реакция.</w:t>
      </w:r>
    </w:p>
    <w:p w14:paraId="68F0DCDC" w14:textId="77777777" w:rsidR="00790351" w:rsidRPr="00790351" w:rsidRDefault="00790351" w:rsidP="00790351">
      <w:pPr>
        <w:spacing w:line="240" w:lineRule="auto"/>
        <w:rPr>
          <w:rFonts w:eastAsia="Times New Roman" w:cs="Arial"/>
          <w:color w:val="000000"/>
          <w:u w:val="single"/>
          <w:lang w:eastAsia="bg-BG"/>
        </w:rPr>
      </w:pPr>
    </w:p>
    <w:p w14:paraId="3B2E4D30" w14:textId="726D5F60"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 xml:space="preserve">Прекратяване на лечението със съпътстващи антиепилептични лекарствени продукти </w:t>
      </w:r>
      <w:r w:rsidRPr="00790351">
        <w:rPr>
          <w:rFonts w:eastAsia="Times New Roman" w:cs="Arial"/>
          <w:color w:val="000000"/>
          <w:lang w:eastAsia="bg-BG"/>
        </w:rPr>
        <w:t>Няма достатъчно данни за прекратяването на приема на съпътстващите антиепилептични лекарствени продукти след постигане на контрол на припадъците с прегабалин като допълнително лечение, за преминаване на монотерапия с прегабалин.</w:t>
      </w:r>
    </w:p>
    <w:p w14:paraId="22A6C201" w14:textId="77777777" w:rsidR="00790351" w:rsidRPr="00790351" w:rsidRDefault="00790351" w:rsidP="00790351">
      <w:pPr>
        <w:spacing w:line="240" w:lineRule="auto"/>
        <w:rPr>
          <w:rFonts w:eastAsia="Times New Roman" w:cs="Arial"/>
          <w:color w:val="000000"/>
          <w:u w:val="single"/>
          <w:lang w:eastAsia="bg-BG"/>
        </w:rPr>
      </w:pPr>
    </w:p>
    <w:p w14:paraId="7A54113C" w14:textId="77AC28D1"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Симптоми на отнемане</w:t>
      </w:r>
    </w:p>
    <w:p w14:paraId="06263318"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При някои пациенти са наблюдавани симптоми на отнемане след спиране на краткосрочното и дългосрочното лечение с прегабалин. Следните събития са били споменати: безсъние, главоболие, гадене, тревожност, диария, грипен синдром, нервност, депресия, болка, конвулсии, хиперхидроза и замаяност, показателни за физическа зависимост. Пациентът трябва да бъде информиран за това в началото на лечението.</w:t>
      </w:r>
    </w:p>
    <w:p w14:paraId="355ACE61" w14:textId="77777777" w:rsidR="00790351" w:rsidRPr="00790351" w:rsidRDefault="00790351" w:rsidP="00790351">
      <w:pPr>
        <w:spacing w:line="240" w:lineRule="auto"/>
        <w:rPr>
          <w:rFonts w:eastAsia="Times New Roman" w:cs="Arial"/>
          <w:color w:val="000000"/>
          <w:lang w:eastAsia="bg-BG"/>
        </w:rPr>
      </w:pPr>
    </w:p>
    <w:p w14:paraId="0282E2C9" w14:textId="4E4E8540"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Конвулсии, включително </w:t>
      </w:r>
      <w:r w:rsidRPr="00790351">
        <w:rPr>
          <w:rFonts w:eastAsia="Times New Roman" w:cs="Arial"/>
          <w:i/>
          <w:iCs/>
          <w:color w:val="000000"/>
          <w:lang w:val="en-US"/>
        </w:rPr>
        <w:t>status</w:t>
      </w:r>
      <w:r w:rsidRPr="00790351">
        <w:rPr>
          <w:rFonts w:eastAsia="Times New Roman" w:cs="Arial"/>
          <w:i/>
          <w:iCs/>
          <w:color w:val="000000"/>
          <w:lang w:val="ru-RU"/>
        </w:rPr>
        <w:t xml:space="preserve"> </w:t>
      </w:r>
      <w:r w:rsidRPr="00790351">
        <w:rPr>
          <w:rFonts w:eastAsia="Times New Roman" w:cs="Arial"/>
          <w:i/>
          <w:iCs/>
          <w:color w:val="000000"/>
          <w:lang w:val="en-US"/>
        </w:rPr>
        <w:t>epilepticus</w:t>
      </w:r>
      <w:r w:rsidRPr="00790351">
        <w:rPr>
          <w:rFonts w:eastAsia="Times New Roman" w:cs="Arial"/>
          <w:color w:val="000000"/>
          <w:lang w:val="ru-RU"/>
        </w:rPr>
        <w:t xml:space="preserve"> </w:t>
      </w:r>
      <w:r w:rsidRPr="00790351">
        <w:rPr>
          <w:rFonts w:eastAsia="Times New Roman" w:cs="Arial"/>
          <w:color w:val="000000"/>
          <w:lang w:eastAsia="bg-BG"/>
        </w:rPr>
        <w:t xml:space="preserve">и </w:t>
      </w:r>
      <w:r w:rsidRPr="00790351">
        <w:rPr>
          <w:rFonts w:eastAsia="Times New Roman" w:cs="Arial"/>
          <w:i/>
          <w:iCs/>
          <w:color w:val="000000"/>
          <w:lang w:val="en-US"/>
        </w:rPr>
        <w:t>grand</w:t>
      </w:r>
      <w:r w:rsidRPr="00790351">
        <w:rPr>
          <w:rFonts w:eastAsia="Times New Roman" w:cs="Arial"/>
          <w:i/>
          <w:iCs/>
          <w:color w:val="000000"/>
          <w:lang w:val="ru-RU"/>
        </w:rPr>
        <w:t xml:space="preserve"> </w:t>
      </w:r>
      <w:r w:rsidRPr="00790351">
        <w:rPr>
          <w:rFonts w:eastAsia="Times New Roman" w:cs="Arial"/>
          <w:i/>
          <w:iCs/>
          <w:color w:val="000000"/>
          <w:lang w:val="en-US"/>
        </w:rPr>
        <w:t>mal</w:t>
      </w:r>
      <w:r w:rsidRPr="00790351">
        <w:rPr>
          <w:rFonts w:eastAsia="Times New Roman" w:cs="Arial"/>
          <w:color w:val="000000"/>
          <w:lang w:val="ru-RU"/>
        </w:rPr>
        <w:t xml:space="preserve"> </w:t>
      </w:r>
      <w:r w:rsidRPr="00790351">
        <w:rPr>
          <w:rFonts w:eastAsia="Times New Roman" w:cs="Arial"/>
          <w:color w:val="000000"/>
          <w:lang w:eastAsia="bg-BG"/>
        </w:rPr>
        <w:t>гърчове, могат да се появят по време на употребата на прегабалин или скоро след прекратяване на лечението с прегабалин.</w:t>
      </w:r>
    </w:p>
    <w:p w14:paraId="70D59F55" w14:textId="77777777" w:rsidR="00790351" w:rsidRPr="00790351" w:rsidRDefault="00790351" w:rsidP="00790351">
      <w:pPr>
        <w:spacing w:line="240" w:lineRule="auto"/>
        <w:rPr>
          <w:rFonts w:eastAsia="Times New Roman" w:cs="Arial"/>
          <w:color w:val="000000"/>
          <w:lang w:eastAsia="bg-BG"/>
        </w:rPr>
      </w:pPr>
    </w:p>
    <w:p w14:paraId="7242DBEF" w14:textId="206C2BB6" w:rsidR="00790351" w:rsidRPr="00790351" w:rsidRDefault="00790351" w:rsidP="00790351">
      <w:pPr>
        <w:spacing w:line="240" w:lineRule="auto"/>
        <w:rPr>
          <w:rFonts w:eastAsia="Times New Roman" w:cs="Arial"/>
        </w:rPr>
      </w:pPr>
      <w:r w:rsidRPr="00790351">
        <w:rPr>
          <w:rFonts w:eastAsia="Times New Roman" w:cs="Arial"/>
          <w:color w:val="000000"/>
          <w:lang w:eastAsia="bg-BG"/>
        </w:rPr>
        <w:t>Данните показват, че във връзка с прекратяването на продължителното лечение с прегабалин честотата и тежестта на симптомите на отнемане могат да бъдат дозозависими.</w:t>
      </w:r>
    </w:p>
    <w:p w14:paraId="319E493B" w14:textId="77777777" w:rsidR="00790351" w:rsidRPr="00790351" w:rsidRDefault="00790351" w:rsidP="00790351">
      <w:pPr>
        <w:spacing w:line="240" w:lineRule="auto"/>
        <w:rPr>
          <w:rFonts w:eastAsia="Times New Roman" w:cs="Arial"/>
          <w:color w:val="000000"/>
          <w:u w:val="single"/>
          <w:lang w:eastAsia="bg-BG"/>
        </w:rPr>
      </w:pPr>
    </w:p>
    <w:p w14:paraId="09FC5265" w14:textId="13FED0D5"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Застойна сърдечна недостатъчност</w:t>
      </w:r>
    </w:p>
    <w:p w14:paraId="2FF1ACC2"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Има постмаркетингови съобщения за застойна сърдечна недостатъчност при някои пациенти, приемащи прегабалин. Тези реакции се наблюдават предимно при пациенти в старческа възраст със сърдечносъдови увреждания по време на лечение с прегабалин за невропатия. Прегабалин трябва да се използва с повишено внимание при тези пациенти. Спирането на лечението с прегабалин може да доведе до отзвучаване на реакцията.</w:t>
      </w:r>
    </w:p>
    <w:p w14:paraId="6C83B68B" w14:textId="77777777" w:rsidR="00790351" w:rsidRPr="00790351" w:rsidRDefault="00790351" w:rsidP="00790351">
      <w:pPr>
        <w:spacing w:line="240" w:lineRule="auto"/>
        <w:rPr>
          <w:rFonts w:eastAsia="Times New Roman" w:cs="Arial"/>
          <w:color w:val="000000"/>
          <w:u w:val="single"/>
          <w:lang w:eastAsia="bg-BG"/>
        </w:rPr>
      </w:pPr>
    </w:p>
    <w:p w14:paraId="657D4D90" w14:textId="7D02B918"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 xml:space="preserve">Лечение на невропатна болка от централен </w:t>
      </w:r>
      <w:r w:rsidRPr="00790351">
        <w:rPr>
          <w:rFonts w:eastAsia="Times New Roman" w:cs="Arial"/>
          <w:smallCaps/>
          <w:color w:val="000000"/>
          <w:u w:val="single"/>
          <w:lang w:eastAsia="bg-BG"/>
        </w:rPr>
        <w:t>произход,</w:t>
      </w:r>
      <w:r w:rsidRPr="00790351">
        <w:rPr>
          <w:rFonts w:eastAsia="Times New Roman" w:cs="Arial"/>
          <w:color w:val="000000"/>
          <w:u w:val="single"/>
          <w:lang w:eastAsia="bg-BG"/>
        </w:rPr>
        <w:t xml:space="preserve"> вследствие на гръбначномозъчна травма </w:t>
      </w:r>
      <w:r w:rsidRPr="00790351">
        <w:rPr>
          <w:rFonts w:eastAsia="Times New Roman" w:cs="Arial"/>
          <w:color w:val="000000"/>
          <w:lang w:eastAsia="bg-BG"/>
        </w:rPr>
        <w:t>При лечението на невропатна болка от централен произход, вследствие на гръбначномозъчна травма, се увеличава общата честота на нежеланите реакции, на тези от страна на централната нервна система и особено на сънливостта. Това може да се обясни с адитивен ефект, дължащ се на съпътстващите лекарствени продукти (напр. антиспастични средства), необходими при това състояние. Това трябва да се има предвид при предписване на прегабалин за това състояние.</w:t>
      </w:r>
    </w:p>
    <w:p w14:paraId="7876B4CB" w14:textId="77777777" w:rsidR="00790351" w:rsidRPr="00790351" w:rsidRDefault="00790351" w:rsidP="00790351">
      <w:pPr>
        <w:rPr>
          <w:rFonts w:eastAsia="Times New Roman" w:cs="Arial"/>
          <w:color w:val="000000"/>
          <w:u w:val="single"/>
          <w:lang w:eastAsia="bg-BG"/>
        </w:rPr>
      </w:pPr>
    </w:p>
    <w:p w14:paraId="38B77E3A" w14:textId="3D9C5791" w:rsidR="00790351" w:rsidRPr="00790351" w:rsidRDefault="00790351" w:rsidP="00790351">
      <w:pPr>
        <w:rPr>
          <w:rFonts w:eastAsia="Times New Roman" w:cs="Arial"/>
          <w:color w:val="000000"/>
          <w:u w:val="single"/>
          <w:lang w:eastAsia="bg-BG"/>
        </w:rPr>
      </w:pPr>
      <w:r w:rsidRPr="00790351">
        <w:rPr>
          <w:rFonts w:eastAsia="Times New Roman" w:cs="Arial"/>
          <w:color w:val="000000"/>
          <w:u w:val="single"/>
          <w:lang w:eastAsia="bg-BG"/>
        </w:rPr>
        <w:t>Потискане на дишането</w:t>
      </w:r>
    </w:p>
    <w:p w14:paraId="6A130F93"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Получени са съобщения за тежко потискане на дишането във връзка с употребата на прегабалин. Пациентите с компрометирана дихателна функция, дихателно или неврологично заболяване, бъбречно увреждане, съпътстваща употреба на средства, потискащи ЦНС, и хора в старческа възраст може да са изложени на по-висок риск от получаване на тази тежка нежелана реакция. Може да са необходими корекции на дозата при тези пациенти (вж. точка 4.2).</w:t>
      </w:r>
    </w:p>
    <w:p w14:paraId="04E1B73B" w14:textId="77777777" w:rsidR="00790351" w:rsidRPr="00790351" w:rsidRDefault="00790351" w:rsidP="00790351">
      <w:pPr>
        <w:spacing w:line="240" w:lineRule="auto"/>
        <w:rPr>
          <w:rFonts w:eastAsia="Times New Roman" w:cs="Arial"/>
          <w:color w:val="000000"/>
          <w:u w:val="single"/>
          <w:lang w:eastAsia="bg-BG"/>
        </w:rPr>
      </w:pPr>
    </w:p>
    <w:p w14:paraId="78495D3B" w14:textId="1F5B192E"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Суицидна наклонност и поведение</w:t>
      </w:r>
    </w:p>
    <w:p w14:paraId="318A90AD"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При пациенти, лекувани с антиепилептични средства за различни показания, се съобщава за суицидни наклонност и поведение. Метаанализ на рандомизирани, плацебо-контролирани проучвания на антиепилептични лекарствени продукти също показва слабо повишен риск от суицидна наклонност и поведение. Механизмът на този риск не е </w:t>
      </w:r>
      <w:r w:rsidRPr="00790351">
        <w:rPr>
          <w:rFonts w:eastAsia="Times New Roman" w:cs="Arial"/>
          <w:color w:val="000000"/>
          <w:lang w:eastAsia="bg-BG"/>
        </w:rPr>
        <w:lastRenderedPageBreak/>
        <w:t>известен и наличните данни не изключват възможността за повишен риск при употреба на прегабалин.</w:t>
      </w:r>
    </w:p>
    <w:p w14:paraId="278D64E9" w14:textId="77777777" w:rsidR="00790351" w:rsidRPr="00790351" w:rsidRDefault="00790351" w:rsidP="00790351">
      <w:pPr>
        <w:spacing w:line="240" w:lineRule="auto"/>
        <w:rPr>
          <w:rFonts w:eastAsia="Times New Roman" w:cs="Arial"/>
          <w:color w:val="000000"/>
          <w:lang w:eastAsia="bg-BG"/>
        </w:rPr>
      </w:pPr>
    </w:p>
    <w:p w14:paraId="2BDD1A96" w14:textId="623F0AC7" w:rsidR="00790351" w:rsidRPr="00790351" w:rsidRDefault="00790351" w:rsidP="00790351">
      <w:pPr>
        <w:spacing w:line="240" w:lineRule="auto"/>
        <w:rPr>
          <w:rFonts w:eastAsia="Times New Roman" w:cs="Arial"/>
        </w:rPr>
      </w:pPr>
      <w:r w:rsidRPr="00790351">
        <w:rPr>
          <w:rFonts w:eastAsia="Times New Roman" w:cs="Arial"/>
          <w:color w:val="000000"/>
          <w:lang w:eastAsia="bg-BG"/>
        </w:rPr>
        <w:t>Поради това пациентите трябва да бъдат проследявани за признаци на суицидни наклонност и поведение, като трябва да се има предвид подходящо лечение. Пациентите (и полагащите грижи за тях) трябва да бъдат посъветвани да потърсят лекарски съвет, ако се появят признаци на суицидни наклонност и поведение.</w:t>
      </w:r>
    </w:p>
    <w:p w14:paraId="1F71BE55" w14:textId="77777777" w:rsidR="00790351" w:rsidRPr="00790351" w:rsidRDefault="00790351" w:rsidP="00790351">
      <w:pPr>
        <w:spacing w:line="240" w:lineRule="auto"/>
        <w:rPr>
          <w:rFonts w:eastAsia="Times New Roman" w:cs="Arial"/>
          <w:color w:val="000000"/>
          <w:u w:val="single"/>
          <w:lang w:eastAsia="bg-BG"/>
        </w:rPr>
      </w:pPr>
    </w:p>
    <w:p w14:paraId="5C51A8E2" w14:textId="766518B5"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Намалена функция на долните отдели на гаспюинтестиналния тракт</w:t>
      </w:r>
    </w:p>
    <w:p w14:paraId="43C8CF60"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Има постмаркетингови съобщения за събития, свързани с намалена функция на долните отдели на гастроинтестиналния тракт (например чревна обструкция, паралитичен илеус, запек), когато прегабалин се прилага едновременно с лекарствени продукти, които имат потенциал да предизвикват запек, като опиоидни аналгетици. Когато прегабалин и опиоиди ще се използват в комбинация, могат да се обсъдят мерки за предотвратяване на запек (особено при жени и пациенти в старческа възраст).</w:t>
      </w:r>
    </w:p>
    <w:p w14:paraId="29636681" w14:textId="77777777" w:rsidR="00790351" w:rsidRPr="00790351" w:rsidRDefault="00790351" w:rsidP="00790351">
      <w:pPr>
        <w:spacing w:line="240" w:lineRule="auto"/>
        <w:rPr>
          <w:rFonts w:eastAsia="Times New Roman" w:cs="Arial"/>
          <w:color w:val="000000"/>
          <w:u w:val="single"/>
          <w:lang w:eastAsia="bg-BG"/>
        </w:rPr>
      </w:pPr>
    </w:p>
    <w:p w14:paraId="09C87796" w14:textId="699F8FFA"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Съпътстваща употреба с опиоиди</w:t>
      </w:r>
    </w:p>
    <w:p w14:paraId="6AA06392"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Препоръчва се повишено внимание при предписване на прегабалин съпътстващо с опиоиди поради риск от потискане на ЦНС (вж. точка 4.5). В проучване „случай-контрола“ при лица, приемащи опиоиди, при пациентите със съпътстващ прием на прегабалин и опиоиди се наблюдава повишен риск от смърт, свързана с употребата на опиоиди, в сравнение със самостоятелната употреба на опиоиди (коригирано съотношение на шансовете </w:t>
      </w:r>
      <w:r w:rsidRPr="00790351">
        <w:rPr>
          <w:rFonts w:eastAsia="Times New Roman" w:cs="Arial"/>
          <w:color w:val="000000"/>
          <w:lang w:val="ru-RU"/>
        </w:rPr>
        <w:t>[</w:t>
      </w:r>
      <w:proofErr w:type="spellStart"/>
      <w:r w:rsidRPr="00790351">
        <w:rPr>
          <w:rFonts w:eastAsia="Times New Roman" w:cs="Arial"/>
          <w:color w:val="000000"/>
          <w:lang w:val="en-US"/>
        </w:rPr>
        <w:t>aOR</w:t>
      </w:r>
      <w:proofErr w:type="spellEnd"/>
      <w:r w:rsidRPr="00790351">
        <w:rPr>
          <w:rFonts w:eastAsia="Times New Roman" w:cs="Arial"/>
          <w:color w:val="000000"/>
          <w:lang w:val="ru-RU"/>
        </w:rPr>
        <w:t xml:space="preserve">], </w:t>
      </w:r>
      <w:r w:rsidRPr="00790351">
        <w:rPr>
          <w:rFonts w:eastAsia="Times New Roman" w:cs="Arial"/>
          <w:color w:val="000000"/>
          <w:lang w:eastAsia="bg-BG"/>
        </w:rPr>
        <w:t xml:space="preserve">1,68 [95% </w:t>
      </w:r>
      <w:r w:rsidRPr="00790351">
        <w:rPr>
          <w:rFonts w:eastAsia="Times New Roman" w:cs="Arial"/>
          <w:color w:val="000000"/>
          <w:lang w:val="en-US"/>
        </w:rPr>
        <w:t>CI</w:t>
      </w:r>
      <w:r w:rsidRPr="00790351">
        <w:rPr>
          <w:rFonts w:eastAsia="Times New Roman" w:cs="Arial"/>
          <w:color w:val="000000"/>
          <w:lang w:val="ru-RU"/>
        </w:rPr>
        <w:t xml:space="preserve">, </w:t>
      </w:r>
      <w:r w:rsidRPr="00790351">
        <w:rPr>
          <w:rFonts w:eastAsia="Times New Roman" w:cs="Arial"/>
          <w:color w:val="000000"/>
          <w:lang w:eastAsia="bg-BG"/>
        </w:rPr>
        <w:t xml:space="preserve">1,19-2,36]). Този повишен риск се наблюдава при ниски дози прегабалин (≤300 </w:t>
      </w:r>
      <w:r w:rsidRPr="00790351">
        <w:rPr>
          <w:rFonts w:eastAsia="Times New Roman" w:cs="Arial"/>
          <w:color w:val="000000"/>
          <w:lang w:val="en-US"/>
        </w:rPr>
        <w:t>mg</w:t>
      </w:r>
      <w:r w:rsidRPr="00790351">
        <w:rPr>
          <w:rFonts w:eastAsia="Times New Roman" w:cs="Arial"/>
          <w:color w:val="000000"/>
          <w:lang w:val="ru-RU"/>
        </w:rPr>
        <w:t xml:space="preserve">, </w:t>
      </w:r>
      <w:proofErr w:type="spellStart"/>
      <w:r w:rsidRPr="00790351">
        <w:rPr>
          <w:rFonts w:eastAsia="Times New Roman" w:cs="Arial"/>
          <w:color w:val="000000"/>
          <w:lang w:val="en-US"/>
        </w:rPr>
        <w:t>aOR</w:t>
      </w:r>
      <w:proofErr w:type="spellEnd"/>
      <w:r w:rsidRPr="00790351">
        <w:rPr>
          <w:rFonts w:eastAsia="Times New Roman" w:cs="Arial"/>
          <w:color w:val="000000"/>
          <w:lang w:val="ru-RU"/>
        </w:rPr>
        <w:t xml:space="preserve"> </w:t>
      </w:r>
      <w:r w:rsidRPr="00790351">
        <w:rPr>
          <w:rFonts w:eastAsia="Times New Roman" w:cs="Arial"/>
          <w:color w:val="000000"/>
          <w:lang w:eastAsia="bg-BG"/>
        </w:rPr>
        <w:t xml:space="preserve">1,52 [95% </w:t>
      </w:r>
      <w:r w:rsidRPr="00790351">
        <w:rPr>
          <w:rFonts w:eastAsia="Times New Roman" w:cs="Arial"/>
          <w:color w:val="000000"/>
          <w:lang w:val="en-US"/>
        </w:rPr>
        <w:t>CI</w:t>
      </w:r>
      <w:r w:rsidRPr="00790351">
        <w:rPr>
          <w:rFonts w:eastAsia="Times New Roman" w:cs="Arial"/>
          <w:color w:val="000000"/>
          <w:lang w:val="ru-RU"/>
        </w:rPr>
        <w:t xml:space="preserve">, </w:t>
      </w:r>
      <w:r w:rsidRPr="00790351">
        <w:rPr>
          <w:rFonts w:eastAsia="Times New Roman" w:cs="Arial"/>
          <w:color w:val="000000"/>
          <w:lang w:eastAsia="bg-BG"/>
        </w:rPr>
        <w:t xml:space="preserve">1,04-2,22]) и е налице тенденция за по-висок риск при по-високи дози прегабалин (&gt; 300 </w:t>
      </w:r>
      <w:r w:rsidRPr="00790351">
        <w:rPr>
          <w:rFonts w:eastAsia="Times New Roman" w:cs="Arial"/>
          <w:color w:val="000000"/>
          <w:lang w:val="en-US"/>
        </w:rPr>
        <w:t>mg</w:t>
      </w:r>
      <w:r w:rsidRPr="00790351">
        <w:rPr>
          <w:rFonts w:eastAsia="Times New Roman" w:cs="Arial"/>
          <w:color w:val="000000"/>
          <w:lang w:val="ru-RU"/>
        </w:rPr>
        <w:t xml:space="preserve">, </w:t>
      </w:r>
      <w:proofErr w:type="spellStart"/>
      <w:r w:rsidRPr="00790351">
        <w:rPr>
          <w:rFonts w:eastAsia="Times New Roman" w:cs="Arial"/>
          <w:color w:val="000000"/>
          <w:lang w:val="en-US"/>
        </w:rPr>
        <w:t>aOR</w:t>
      </w:r>
      <w:proofErr w:type="spellEnd"/>
      <w:r w:rsidRPr="00790351">
        <w:rPr>
          <w:rFonts w:eastAsia="Times New Roman" w:cs="Arial"/>
          <w:color w:val="000000"/>
          <w:lang w:val="ru-RU"/>
        </w:rPr>
        <w:t xml:space="preserve"> </w:t>
      </w:r>
      <w:r w:rsidRPr="00790351">
        <w:rPr>
          <w:rFonts w:eastAsia="Times New Roman" w:cs="Arial"/>
          <w:color w:val="000000"/>
          <w:lang w:eastAsia="bg-BG"/>
        </w:rPr>
        <w:t xml:space="preserve">2,51 [95% </w:t>
      </w:r>
      <w:r w:rsidRPr="00790351">
        <w:rPr>
          <w:rFonts w:eastAsia="Times New Roman" w:cs="Arial"/>
          <w:color w:val="000000"/>
          <w:lang w:val="en-US"/>
        </w:rPr>
        <w:t>CI</w:t>
      </w:r>
      <w:r w:rsidRPr="00790351">
        <w:rPr>
          <w:rFonts w:eastAsia="Times New Roman" w:cs="Arial"/>
          <w:color w:val="000000"/>
          <w:lang w:val="ru-RU"/>
        </w:rPr>
        <w:t xml:space="preserve"> </w:t>
      </w:r>
      <w:r w:rsidRPr="00790351">
        <w:rPr>
          <w:rFonts w:eastAsia="Times New Roman" w:cs="Arial"/>
          <w:color w:val="000000"/>
          <w:lang w:eastAsia="bg-BG"/>
        </w:rPr>
        <w:t>1,24-5,06]).</w:t>
      </w:r>
    </w:p>
    <w:p w14:paraId="40FBFB93" w14:textId="77777777" w:rsidR="00790351" w:rsidRPr="00790351" w:rsidRDefault="00790351" w:rsidP="00790351">
      <w:pPr>
        <w:spacing w:line="240" w:lineRule="auto"/>
        <w:rPr>
          <w:rFonts w:eastAsia="Times New Roman" w:cs="Arial"/>
          <w:color w:val="000000"/>
          <w:u w:val="single"/>
          <w:lang w:eastAsia="bg-BG"/>
        </w:rPr>
      </w:pPr>
    </w:p>
    <w:p w14:paraId="2618CD14" w14:textId="7B8F3BF4"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Неправилна употреба, потенциал за злоупотреба или зависимост</w:t>
      </w:r>
    </w:p>
    <w:p w14:paraId="20804778"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Съобщавани са случаи на неправилна употреба, злоупотреба и зависимост. Необходимо е повишено внимание при пациенти с анамнеза за злоупотреба с вещества, като пациентът трябва да бъде наблюдаван за симптоми на неправилна употреба, злоупотреба или зависимост към прегабалин (има съобщения за развитие на толерантност, повишаване на дозата, поведение на насочено търсене на лекарството).</w:t>
      </w:r>
    </w:p>
    <w:p w14:paraId="065EBD42" w14:textId="77777777" w:rsidR="00790351" w:rsidRPr="00790351" w:rsidRDefault="00790351" w:rsidP="00790351">
      <w:pPr>
        <w:spacing w:line="240" w:lineRule="auto"/>
        <w:rPr>
          <w:rFonts w:eastAsia="Times New Roman" w:cs="Arial"/>
          <w:color w:val="000000"/>
          <w:u w:val="single"/>
          <w:lang w:eastAsia="bg-BG"/>
        </w:rPr>
      </w:pPr>
    </w:p>
    <w:p w14:paraId="744279D8" w14:textId="5FE24430"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Енцефалопатия</w:t>
      </w:r>
    </w:p>
    <w:p w14:paraId="3549369A"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Съобщавани са случаи на енцефалопатия, най-вече при пациенти с подлежащи заболявалия, които могат да ускорят появата на енцефалопатия.</w:t>
      </w:r>
    </w:p>
    <w:p w14:paraId="33B5C8BA" w14:textId="77777777" w:rsidR="00790351" w:rsidRPr="00790351" w:rsidRDefault="00790351" w:rsidP="00790351">
      <w:pPr>
        <w:spacing w:line="240" w:lineRule="auto"/>
        <w:rPr>
          <w:rFonts w:eastAsia="Times New Roman" w:cs="Arial"/>
          <w:color w:val="000000"/>
          <w:u w:val="single"/>
          <w:lang w:eastAsia="bg-BG"/>
        </w:rPr>
      </w:pPr>
    </w:p>
    <w:p w14:paraId="54C07169" w14:textId="65601FEE"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Непоносимост към лактоза</w:t>
      </w:r>
    </w:p>
    <w:p w14:paraId="75CB9D36"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Линефор съдържа лактоза монохидрат.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14:paraId="31D824CD" w14:textId="77777777" w:rsidR="00790351" w:rsidRPr="00790351" w:rsidRDefault="00790351" w:rsidP="00790351"/>
    <w:p w14:paraId="302A1C2B" w14:textId="41DA18EA" w:rsidR="00426E5F" w:rsidRDefault="002C50EE" w:rsidP="00A65A81">
      <w:pPr>
        <w:pStyle w:val="Heading2"/>
      </w:pPr>
      <w:r>
        <w:t>4.5. Взаимодействие с други лекарствени продукти и други форми на взаимодействие</w:t>
      </w:r>
    </w:p>
    <w:p w14:paraId="66FAAB3D" w14:textId="39882205" w:rsidR="00790351" w:rsidRDefault="00790351" w:rsidP="00790351"/>
    <w:p w14:paraId="790674C3" w14:textId="77777777" w:rsidR="00790351" w:rsidRPr="00790351" w:rsidRDefault="00790351" w:rsidP="00790351">
      <w:pPr>
        <w:rPr>
          <w:rFonts w:eastAsia="Times New Roman" w:cs="Arial"/>
        </w:rPr>
      </w:pPr>
      <w:r w:rsidRPr="00790351">
        <w:rPr>
          <w:rFonts w:cs="Arial"/>
        </w:rPr>
        <w:t>Тъй като прегабалин се отделя предимно в непроменен вид с урината, метеболизира се незначително при хора (&lt; 2% от дозата се установява в урината под формата на метаболити),</w:t>
      </w:r>
      <w:r w:rsidRPr="00790351">
        <w:rPr>
          <w:rFonts w:cs="Arial"/>
          <w:lang w:val="ru-RU"/>
        </w:rPr>
        <w:t xml:space="preserve"> </w:t>
      </w:r>
      <w:r w:rsidRPr="00790351">
        <w:rPr>
          <w:rFonts w:eastAsia="Times New Roman" w:cs="Arial"/>
          <w:color w:val="000000"/>
          <w:lang w:eastAsia="bg-BG"/>
        </w:rPr>
        <w:t xml:space="preserve">инхибира лекарствения метаболизъм </w:t>
      </w:r>
      <w:r w:rsidRPr="00790351">
        <w:rPr>
          <w:rFonts w:eastAsia="Times New Roman" w:cs="Arial"/>
          <w:i/>
          <w:iCs/>
          <w:color w:val="000000"/>
          <w:lang w:val="en-US"/>
        </w:rPr>
        <w:t>in</w:t>
      </w:r>
      <w:r w:rsidRPr="00790351">
        <w:rPr>
          <w:rFonts w:eastAsia="Times New Roman" w:cs="Arial"/>
          <w:i/>
          <w:iCs/>
          <w:color w:val="000000"/>
          <w:lang w:val="ru-RU"/>
        </w:rPr>
        <w:t xml:space="preserve"> </w:t>
      </w:r>
      <w:r w:rsidRPr="00790351">
        <w:rPr>
          <w:rFonts w:eastAsia="Times New Roman" w:cs="Arial"/>
          <w:i/>
          <w:iCs/>
          <w:color w:val="000000"/>
          <w:lang w:val="en-US"/>
        </w:rPr>
        <w:t>vitro</w:t>
      </w:r>
      <w:r w:rsidRPr="00790351">
        <w:rPr>
          <w:rFonts w:eastAsia="Times New Roman" w:cs="Arial"/>
          <w:color w:val="000000"/>
          <w:lang w:val="ru-RU"/>
        </w:rPr>
        <w:t xml:space="preserve"> </w:t>
      </w:r>
      <w:r w:rsidRPr="00790351">
        <w:rPr>
          <w:rFonts w:eastAsia="Times New Roman" w:cs="Arial"/>
          <w:color w:val="000000"/>
          <w:lang w:eastAsia="bg-BG"/>
        </w:rPr>
        <w:t>и не се свързва с плазмените протеини, е малко вероятно да предизвика или да участва във фармакокинетични взаимодействия.</w:t>
      </w:r>
    </w:p>
    <w:p w14:paraId="0ADE8F8C" w14:textId="77777777" w:rsidR="00790351" w:rsidRPr="00790351" w:rsidRDefault="00790351" w:rsidP="00790351">
      <w:pPr>
        <w:spacing w:line="240" w:lineRule="auto"/>
        <w:rPr>
          <w:rFonts w:eastAsia="Times New Roman" w:cs="Arial"/>
          <w:i/>
          <w:iCs/>
          <w:color w:val="000000"/>
          <w:u w:val="single"/>
          <w:lang w:val="en-US"/>
        </w:rPr>
      </w:pPr>
    </w:p>
    <w:p w14:paraId="07BA58C6" w14:textId="6003BFB6" w:rsidR="00790351" w:rsidRPr="00790351" w:rsidRDefault="00790351" w:rsidP="00790351">
      <w:pPr>
        <w:spacing w:line="240" w:lineRule="auto"/>
        <w:rPr>
          <w:rFonts w:eastAsia="Times New Roman" w:cs="Arial"/>
        </w:rPr>
      </w:pPr>
      <w:r w:rsidRPr="00790351">
        <w:rPr>
          <w:rFonts w:eastAsia="Times New Roman" w:cs="Arial"/>
          <w:i/>
          <w:iCs/>
          <w:color w:val="000000"/>
          <w:u w:val="single"/>
          <w:lang w:val="en-US"/>
        </w:rPr>
        <w:t>In</w:t>
      </w:r>
      <w:r w:rsidRPr="00790351">
        <w:rPr>
          <w:rFonts w:eastAsia="Times New Roman" w:cs="Arial"/>
          <w:i/>
          <w:iCs/>
          <w:color w:val="000000"/>
          <w:u w:val="single"/>
          <w:lang w:val="ru-RU"/>
        </w:rPr>
        <w:t xml:space="preserve"> </w:t>
      </w:r>
      <w:r w:rsidRPr="00790351">
        <w:rPr>
          <w:rFonts w:eastAsia="Times New Roman" w:cs="Arial"/>
          <w:i/>
          <w:iCs/>
          <w:color w:val="000000"/>
          <w:u w:val="single"/>
          <w:lang w:val="en-US"/>
        </w:rPr>
        <w:t>vivo</w:t>
      </w:r>
      <w:r w:rsidRPr="00790351">
        <w:rPr>
          <w:rFonts w:eastAsia="Times New Roman" w:cs="Arial"/>
          <w:color w:val="000000"/>
          <w:u w:val="single"/>
          <w:lang w:val="ru-RU"/>
        </w:rPr>
        <w:t xml:space="preserve"> </w:t>
      </w:r>
      <w:r w:rsidRPr="00790351">
        <w:rPr>
          <w:rFonts w:eastAsia="Times New Roman" w:cs="Arial"/>
          <w:color w:val="000000"/>
          <w:u w:val="single"/>
          <w:lang w:eastAsia="bg-BG"/>
        </w:rPr>
        <w:t>проучвания и популационен фармакокинетичен анализ</w:t>
      </w:r>
    </w:p>
    <w:p w14:paraId="12EC6831"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В </w:t>
      </w:r>
      <w:r w:rsidRPr="00790351">
        <w:rPr>
          <w:rFonts w:eastAsia="Times New Roman" w:cs="Arial"/>
          <w:i/>
          <w:iCs/>
          <w:color w:val="000000"/>
          <w:lang w:val="en-US"/>
        </w:rPr>
        <w:t>in</w:t>
      </w:r>
      <w:r w:rsidRPr="00790351">
        <w:rPr>
          <w:rFonts w:eastAsia="Times New Roman" w:cs="Arial"/>
          <w:i/>
          <w:iCs/>
          <w:color w:val="000000"/>
          <w:lang w:val="ru-RU"/>
        </w:rPr>
        <w:t xml:space="preserve"> </w:t>
      </w:r>
      <w:r w:rsidRPr="00790351">
        <w:rPr>
          <w:rFonts w:eastAsia="Times New Roman" w:cs="Arial"/>
          <w:i/>
          <w:iCs/>
          <w:color w:val="000000"/>
          <w:lang w:val="en-US"/>
        </w:rPr>
        <w:t>vivo</w:t>
      </w:r>
      <w:r w:rsidRPr="00790351">
        <w:rPr>
          <w:rFonts w:eastAsia="Times New Roman" w:cs="Arial"/>
          <w:color w:val="000000"/>
          <w:lang w:val="ru-RU"/>
        </w:rPr>
        <w:t xml:space="preserve"> </w:t>
      </w:r>
      <w:r w:rsidRPr="00790351">
        <w:rPr>
          <w:rFonts w:eastAsia="Times New Roman" w:cs="Arial"/>
          <w:color w:val="000000"/>
          <w:lang w:eastAsia="bg-BG"/>
        </w:rPr>
        <w:t>проучвания не са наблюдавани клинично значими фармакокинетични взаимодействия съответно между прегабалин и фенитоин, карбамазепин, валпроева киселина, ламотригин, габапентин, лоразепам, оксикодон или етанол. Популационен фармакокинетичен анализ показва, че пероралните антидиабетни средства, диуретиците, инсулин, фенобарбитал, тиагабин и топирамат нямат клинично значим ефект върху клирънса на прегабалин.</w:t>
      </w:r>
    </w:p>
    <w:p w14:paraId="0138BDDF" w14:textId="77777777" w:rsidR="00790351" w:rsidRPr="00790351" w:rsidRDefault="00790351" w:rsidP="00790351">
      <w:pPr>
        <w:spacing w:line="240" w:lineRule="auto"/>
        <w:rPr>
          <w:rFonts w:eastAsia="Times New Roman" w:cs="Arial"/>
          <w:color w:val="000000"/>
          <w:u w:val="single"/>
          <w:lang w:eastAsia="bg-BG"/>
        </w:rPr>
      </w:pPr>
    </w:p>
    <w:p w14:paraId="1265E57D" w14:textId="1735ACF4"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Перорални контрацептиви, норетистерон и/или етинилестрадиол</w:t>
      </w:r>
    </w:p>
    <w:p w14:paraId="6A219D09"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Едновременното приложение на прегабалин с пероралните контрацептивни средства норетистерон и/или етинилестрадиол не повлиява фармакокинетиката в стационарно състояние на нито едно от тези вещества.</w:t>
      </w:r>
    </w:p>
    <w:p w14:paraId="315B21B6" w14:textId="77777777" w:rsidR="00790351" w:rsidRPr="00790351" w:rsidRDefault="00790351" w:rsidP="00790351">
      <w:pPr>
        <w:spacing w:line="240" w:lineRule="auto"/>
        <w:rPr>
          <w:rFonts w:eastAsia="Times New Roman" w:cs="Arial"/>
          <w:color w:val="000000"/>
          <w:u w:val="single"/>
          <w:lang w:eastAsia="bg-BG"/>
        </w:rPr>
      </w:pPr>
    </w:p>
    <w:p w14:paraId="26925E0E" w14:textId="78D8D472"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 xml:space="preserve">Лекарствени продукти, които оказват влияние върху централната нервна система </w:t>
      </w:r>
      <w:r w:rsidRPr="00790351">
        <w:rPr>
          <w:rFonts w:eastAsia="Times New Roman" w:cs="Arial"/>
          <w:color w:val="000000"/>
          <w:lang w:eastAsia="bg-BG"/>
        </w:rPr>
        <w:t>Прегабалин може да засили ефектите на етанол и лоразепам.</w:t>
      </w:r>
    </w:p>
    <w:p w14:paraId="12998814" w14:textId="77777777" w:rsidR="00790351" w:rsidRPr="00790351" w:rsidRDefault="00790351" w:rsidP="00790351">
      <w:pPr>
        <w:spacing w:line="240" w:lineRule="auto"/>
        <w:rPr>
          <w:rFonts w:eastAsia="Times New Roman" w:cs="Arial"/>
          <w:color w:val="000000"/>
          <w:lang w:eastAsia="bg-BG"/>
        </w:rPr>
      </w:pPr>
    </w:p>
    <w:p w14:paraId="582EF542" w14:textId="102911B8" w:rsidR="00790351" w:rsidRPr="00790351" w:rsidRDefault="00790351" w:rsidP="00790351">
      <w:pPr>
        <w:spacing w:line="240" w:lineRule="auto"/>
        <w:rPr>
          <w:rFonts w:eastAsia="Times New Roman" w:cs="Arial"/>
        </w:rPr>
      </w:pPr>
      <w:r w:rsidRPr="00790351">
        <w:rPr>
          <w:rFonts w:eastAsia="Times New Roman" w:cs="Arial"/>
          <w:color w:val="000000"/>
          <w:lang w:eastAsia="bg-BG"/>
        </w:rPr>
        <w:t>От постмаркетинговия опит има съобщения за дихателна недостатъчност, кома и смъртни случаи при пациенти, приемащи прегабалин и опиоиди и/или други лекарствени продукти, потискащи централната нервна система (ЦНС). Вероятно прегабалин има адитивно действие върху нарушенията на когнитивната и двигателната функция, причинени от оксикодон.</w:t>
      </w:r>
    </w:p>
    <w:p w14:paraId="30D235F9" w14:textId="77777777" w:rsidR="00790351" w:rsidRPr="00790351" w:rsidRDefault="00790351" w:rsidP="00790351">
      <w:pPr>
        <w:spacing w:line="240" w:lineRule="auto"/>
        <w:rPr>
          <w:rFonts w:eastAsia="Times New Roman" w:cs="Arial"/>
          <w:color w:val="000000"/>
          <w:u w:val="single"/>
          <w:lang w:eastAsia="bg-BG"/>
        </w:rPr>
      </w:pPr>
    </w:p>
    <w:p w14:paraId="1C83CB55" w14:textId="27061EA4"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Взаимодействия и пациенти в старческа възраст</w:t>
      </w:r>
    </w:p>
    <w:p w14:paraId="071C3401"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Не са провеждани специфични проучвания за фармакодинамични взаимодействия при доброволци в старческа възраст. Проучвания за взаимодействия са проведени само при възрастни.</w:t>
      </w:r>
    </w:p>
    <w:p w14:paraId="368DF202" w14:textId="624DDDF9" w:rsidR="00790351" w:rsidRPr="00790351" w:rsidRDefault="00790351" w:rsidP="00790351">
      <w:pPr>
        <w:rPr>
          <w:lang w:val="ru-RU"/>
        </w:rPr>
      </w:pPr>
    </w:p>
    <w:p w14:paraId="73662265" w14:textId="63AAE39B" w:rsidR="00426E5F" w:rsidRDefault="002C50EE" w:rsidP="00A65A81">
      <w:pPr>
        <w:pStyle w:val="Heading2"/>
      </w:pPr>
      <w:r>
        <w:t>4.6. Фертилитет, бременност и кърмене</w:t>
      </w:r>
    </w:p>
    <w:p w14:paraId="2DEA938A" w14:textId="1B2AF3FF" w:rsidR="00790351" w:rsidRDefault="00790351" w:rsidP="00790351"/>
    <w:p w14:paraId="6B723B57" w14:textId="77777777"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t>Жени с детероден потенииал/контраиепция при мъже и жени</w:t>
      </w:r>
    </w:p>
    <w:p w14:paraId="185B60D6"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Тъй като потенциалният риск за хората е неизвестен, при жени с детероден потенциал трябва да се използва ефективна контрацепция.</w:t>
      </w:r>
    </w:p>
    <w:p w14:paraId="503162E1" w14:textId="77777777" w:rsidR="00790351" w:rsidRPr="00790351" w:rsidRDefault="00790351" w:rsidP="00790351">
      <w:pPr>
        <w:spacing w:line="240" w:lineRule="auto"/>
        <w:rPr>
          <w:rFonts w:eastAsia="Times New Roman" w:cs="Arial"/>
          <w:i/>
          <w:iCs/>
          <w:color w:val="000000"/>
          <w:szCs w:val="20"/>
          <w:u w:val="single"/>
          <w:lang w:eastAsia="bg-BG"/>
        </w:rPr>
      </w:pPr>
    </w:p>
    <w:p w14:paraId="049EA61F" w14:textId="4B63D6B9"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t>Бременност</w:t>
      </w:r>
    </w:p>
    <w:p w14:paraId="5557A576"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Няма достатъчно данни за употребата на прегабалин при бременни жени.</w:t>
      </w:r>
    </w:p>
    <w:p w14:paraId="4E3C2F98" w14:textId="77777777" w:rsidR="00790351" w:rsidRPr="00790351" w:rsidRDefault="00790351" w:rsidP="00790351">
      <w:pPr>
        <w:spacing w:line="240" w:lineRule="auto"/>
        <w:rPr>
          <w:rFonts w:eastAsia="Times New Roman" w:cs="Arial"/>
          <w:color w:val="000000"/>
          <w:szCs w:val="20"/>
          <w:lang w:eastAsia="bg-BG"/>
        </w:rPr>
      </w:pPr>
    </w:p>
    <w:p w14:paraId="1E739488" w14:textId="6729EB7E"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Проучванията при животни са показали репродуктивна токсичност (вж. точка 5.3). Потенциалният риск при хора не е известен.</w:t>
      </w:r>
    </w:p>
    <w:p w14:paraId="07912AF7" w14:textId="77777777" w:rsidR="00790351" w:rsidRPr="00790351" w:rsidRDefault="00790351" w:rsidP="00790351">
      <w:pPr>
        <w:spacing w:line="240" w:lineRule="auto"/>
        <w:rPr>
          <w:rFonts w:eastAsia="Times New Roman" w:cs="Arial"/>
          <w:color w:val="000000"/>
          <w:szCs w:val="20"/>
          <w:lang w:eastAsia="bg-BG"/>
        </w:rPr>
      </w:pPr>
    </w:p>
    <w:p w14:paraId="5315F820" w14:textId="43C8C09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Линефор не трябва да се използва по време на бременност, освен при категорична необходимост (ако ползата за майката значително надхвърля потенциалния риск за плода).</w:t>
      </w:r>
    </w:p>
    <w:p w14:paraId="6ECD7D45" w14:textId="77777777" w:rsidR="00790351" w:rsidRPr="00790351" w:rsidRDefault="00790351" w:rsidP="00790351">
      <w:pPr>
        <w:spacing w:line="240" w:lineRule="auto"/>
        <w:rPr>
          <w:rFonts w:eastAsia="Times New Roman" w:cs="Arial"/>
          <w:i/>
          <w:iCs/>
          <w:color w:val="000000"/>
          <w:szCs w:val="20"/>
          <w:u w:val="single"/>
          <w:lang w:eastAsia="bg-BG"/>
        </w:rPr>
      </w:pPr>
    </w:p>
    <w:p w14:paraId="0CDCD1D9" w14:textId="11AB2C41"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t>Кърмене</w:t>
      </w:r>
    </w:p>
    <w:p w14:paraId="0E6B2CBB"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Прегабалин са екскретира в кърмата при хора (вж. точка 5.2). Влиянието на прегабалин върху новородените/кърмачетата не е известно. Трябва да се вземе решение дали да се преустанови кърменето или да се спре терапията с прегабалин, като се вземат предвид ползата от кърменето за детето и ползата от терапията за жената.</w:t>
      </w:r>
    </w:p>
    <w:p w14:paraId="613B8777" w14:textId="77777777" w:rsidR="00790351" w:rsidRPr="00790351" w:rsidRDefault="00790351" w:rsidP="00790351">
      <w:pPr>
        <w:spacing w:line="240" w:lineRule="auto"/>
        <w:rPr>
          <w:rFonts w:eastAsia="Times New Roman" w:cs="Arial"/>
          <w:i/>
          <w:iCs/>
          <w:color w:val="000000"/>
          <w:szCs w:val="20"/>
          <w:u w:val="single"/>
          <w:lang w:eastAsia="bg-BG"/>
        </w:rPr>
      </w:pPr>
    </w:p>
    <w:p w14:paraId="409FAC91" w14:textId="5C4BC117" w:rsidR="00790351" w:rsidRPr="00790351" w:rsidRDefault="00790351" w:rsidP="00790351">
      <w:pPr>
        <w:spacing w:line="240" w:lineRule="auto"/>
        <w:rPr>
          <w:rFonts w:eastAsia="Times New Roman" w:cs="Arial"/>
          <w:sz w:val="28"/>
          <w:szCs w:val="24"/>
        </w:rPr>
      </w:pPr>
      <w:r w:rsidRPr="00790351">
        <w:rPr>
          <w:rFonts w:eastAsia="Times New Roman" w:cs="Arial"/>
          <w:i/>
          <w:iCs/>
          <w:color w:val="000000"/>
          <w:szCs w:val="20"/>
          <w:u w:val="single"/>
          <w:lang w:eastAsia="bg-BG"/>
        </w:rPr>
        <w:lastRenderedPageBreak/>
        <w:t>Фертилитет</w:t>
      </w:r>
    </w:p>
    <w:p w14:paraId="48AC1E14"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Няма клинични данни за ефектите на прегабалин върху женския фертилитет.</w:t>
      </w:r>
    </w:p>
    <w:p w14:paraId="2BD22C88" w14:textId="77777777" w:rsidR="00790351" w:rsidRPr="00790351" w:rsidRDefault="00790351" w:rsidP="00790351">
      <w:pPr>
        <w:rPr>
          <w:rFonts w:eastAsia="Times New Roman" w:cs="Arial"/>
          <w:color w:val="000000"/>
          <w:szCs w:val="20"/>
          <w:lang w:eastAsia="bg-BG"/>
        </w:rPr>
      </w:pPr>
    </w:p>
    <w:p w14:paraId="59DF2F76" w14:textId="4829A310" w:rsidR="00790351" w:rsidRPr="00790351" w:rsidRDefault="00790351" w:rsidP="00790351">
      <w:pPr>
        <w:rPr>
          <w:rFonts w:eastAsia="Times New Roman" w:cs="Arial"/>
          <w:color w:val="000000"/>
          <w:szCs w:val="20"/>
          <w:lang w:val="ru-RU" w:eastAsia="bg-BG"/>
        </w:rPr>
      </w:pPr>
      <w:r w:rsidRPr="00790351">
        <w:rPr>
          <w:rFonts w:eastAsia="Times New Roman" w:cs="Arial"/>
          <w:color w:val="000000"/>
          <w:szCs w:val="20"/>
          <w:lang w:eastAsia="bg-BG"/>
        </w:rPr>
        <w:t>В клинично изпитване за оценка на ефекта на прегабалин върху подвижността на сперматозоидите здрави мъже са били изложени на прегабалин при доза от 600</w:t>
      </w:r>
      <w:r w:rsidRPr="00790351">
        <w:rPr>
          <w:rFonts w:eastAsia="Times New Roman" w:cs="Arial"/>
          <w:color w:val="000000"/>
          <w:szCs w:val="20"/>
          <w:lang w:val="en-US"/>
        </w:rPr>
        <w:t>mg</w:t>
      </w:r>
      <w:r w:rsidRPr="00790351">
        <w:rPr>
          <w:rFonts w:eastAsia="Times New Roman" w:cs="Arial"/>
          <w:color w:val="000000"/>
          <w:szCs w:val="20"/>
          <w:lang w:val="ru-RU"/>
        </w:rPr>
        <w:t>/</w:t>
      </w:r>
      <w:r w:rsidRPr="00790351">
        <w:rPr>
          <w:rFonts w:eastAsia="Times New Roman" w:cs="Arial"/>
          <w:color w:val="000000"/>
          <w:szCs w:val="20"/>
          <w:lang w:eastAsia="bg-BG"/>
        </w:rPr>
        <w:t>ден След 3 месеца на лечение не са наблюдавани ефекти върху подвижността на сперматозоидите</w:t>
      </w:r>
      <w:r w:rsidRPr="00790351">
        <w:rPr>
          <w:rFonts w:eastAsia="Times New Roman" w:cs="Arial"/>
          <w:color w:val="000000"/>
          <w:szCs w:val="20"/>
          <w:lang w:val="ru-RU" w:eastAsia="bg-BG"/>
        </w:rPr>
        <w:t>.</w:t>
      </w:r>
    </w:p>
    <w:p w14:paraId="00617C0D" w14:textId="36E0AD07" w:rsidR="00790351" w:rsidRPr="00790351" w:rsidRDefault="00790351" w:rsidP="00790351">
      <w:pPr>
        <w:rPr>
          <w:rFonts w:eastAsia="Times New Roman" w:cs="Arial"/>
          <w:color w:val="000000"/>
          <w:szCs w:val="20"/>
          <w:lang w:val="ru-RU" w:eastAsia="bg-BG"/>
        </w:rPr>
      </w:pPr>
    </w:p>
    <w:p w14:paraId="645AC91F" w14:textId="16C14822" w:rsidR="00790351" w:rsidRDefault="00790351" w:rsidP="00790351">
      <w:pPr>
        <w:rPr>
          <w:sz w:val="20"/>
          <w:szCs w:val="20"/>
        </w:rPr>
      </w:pPr>
      <w:r w:rsidRPr="00790351">
        <w:rPr>
          <w:rFonts w:cs="Arial"/>
          <w:szCs w:val="20"/>
        </w:rPr>
        <w:t>Проучване на фертилитета при женски плъхове показва вредни ефекти върху репродуктивността. Проучвания на фертилитета при мъжки плъхове са показали вредни ефекти върху репродукцията и развитието. Клиничната значимост на тези данни не е известна (вж. точка 5.3).</w:t>
      </w:r>
    </w:p>
    <w:p w14:paraId="0FF8F508" w14:textId="77777777" w:rsidR="00790351" w:rsidRPr="00790351" w:rsidRDefault="00790351" w:rsidP="00790351">
      <w:pPr>
        <w:rPr>
          <w:lang w:val="ru-RU"/>
        </w:rPr>
      </w:pPr>
    </w:p>
    <w:p w14:paraId="2B2E0E23" w14:textId="4108A1FC" w:rsidR="00426E5F" w:rsidRDefault="002C50EE" w:rsidP="00A65A81">
      <w:pPr>
        <w:pStyle w:val="Heading2"/>
      </w:pPr>
      <w:r>
        <w:t>4.7. Ефекти върху способността за шофиране и работа с машини</w:t>
      </w:r>
    </w:p>
    <w:p w14:paraId="033B20AF" w14:textId="0E618EC7" w:rsidR="00790351" w:rsidRDefault="00790351" w:rsidP="00790351"/>
    <w:p w14:paraId="67EE057F" w14:textId="77777777" w:rsidR="00790351" w:rsidRPr="00790351" w:rsidRDefault="00790351" w:rsidP="00790351">
      <w:pPr>
        <w:rPr>
          <w:sz w:val="24"/>
          <w:szCs w:val="24"/>
        </w:rPr>
      </w:pPr>
      <w:r w:rsidRPr="00790351">
        <w:rPr>
          <w:lang w:eastAsia="bg-BG"/>
        </w:rPr>
        <w:t>Линефор може да има леко или умерено влияние върху способността за шофиране и работа с машини. Линефор може да причини замаяност и сънливост и следователно може да повлияе върху способността за шофиране и работа с машини.</w:t>
      </w:r>
    </w:p>
    <w:p w14:paraId="4FAF1A6C" w14:textId="44D0582B" w:rsidR="00790351" w:rsidRDefault="00790351" w:rsidP="00790351">
      <w:pPr>
        <w:rPr>
          <w:lang w:eastAsia="bg-BG"/>
        </w:rPr>
      </w:pPr>
      <w:r w:rsidRPr="00790351">
        <w:rPr>
          <w:lang w:eastAsia="bg-BG"/>
        </w:rPr>
        <w:t>На пациентите се препоръчва да не шофират, да не работят със сложни машини или да не участват в други, потенциално рискови дейности, докато не стане известно дали този лекарствен продукт засяга тяхната способност да извършват тези дейности.</w:t>
      </w:r>
    </w:p>
    <w:p w14:paraId="07D331DB" w14:textId="77777777" w:rsidR="00790351" w:rsidRPr="00790351" w:rsidRDefault="00790351" w:rsidP="00790351"/>
    <w:p w14:paraId="25EF1252" w14:textId="4C2C55EE" w:rsidR="00426E5F" w:rsidRDefault="002C50EE" w:rsidP="00A65A81">
      <w:pPr>
        <w:pStyle w:val="Heading2"/>
      </w:pPr>
      <w:r>
        <w:t>4.8. Нежелани лекарствени реакции</w:t>
      </w:r>
    </w:p>
    <w:p w14:paraId="5BE96E37" w14:textId="25361D42" w:rsidR="00790351" w:rsidRDefault="00790351" w:rsidP="00790351"/>
    <w:p w14:paraId="14C6FD72" w14:textId="77777777"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Клиничната програма на прегабалин включва над 8 900 пациенти, лекувани с прегабалин, от които над 5 600 са били в двойнослепи, плацебо-контролирани изпитвания. Най-честите съобщавани нежелани реакции са били замаяност и сънливост. Нежеланите реакции обикновено са леки до умерено изразени. При всички контролирани проучвания честотата на прекратяване на лечението поради нежелани реакции е била 12% при пациенти, получаващи прегабалин, и 5% при пациентите, приемащи плацебо. Най-честите нежелани реакции, довели до прекъсване на лечението в групите, лекувани с прегабалин, са били замаяност и сънливост.</w:t>
      </w:r>
    </w:p>
    <w:p w14:paraId="745EF0FE" w14:textId="77777777" w:rsidR="00790351" w:rsidRPr="00790351" w:rsidRDefault="00790351" w:rsidP="00790351">
      <w:pPr>
        <w:spacing w:line="240" w:lineRule="auto"/>
        <w:rPr>
          <w:rFonts w:eastAsia="Times New Roman" w:cs="Arial"/>
          <w:color w:val="000000"/>
          <w:szCs w:val="20"/>
          <w:lang w:eastAsia="bg-BG"/>
        </w:rPr>
      </w:pPr>
    </w:p>
    <w:p w14:paraId="30F5BBB5" w14:textId="0A2CD11D"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В Таблица </w:t>
      </w:r>
      <w:r w:rsidRPr="00790351">
        <w:rPr>
          <w:rFonts w:eastAsia="Times New Roman" w:cs="Arial"/>
          <w:i/>
          <w:iCs/>
          <w:color w:val="000000"/>
          <w:szCs w:val="20"/>
          <w:lang w:eastAsia="bg-BG"/>
        </w:rPr>
        <w:t>2</w:t>
      </w:r>
      <w:r w:rsidRPr="00790351">
        <w:rPr>
          <w:rFonts w:eastAsia="Times New Roman" w:cs="Arial"/>
          <w:color w:val="000000"/>
          <w:szCs w:val="20"/>
          <w:lang w:eastAsia="bg-BG"/>
        </w:rPr>
        <w:t xml:space="preserve"> по-долу са изброени по клас и честота всички нежелани лекарствени реакции, които са наблюдавани с честота, по-голяма от плацебо и при повече от един пациент: много чести (≥ 1/10); чести (≥ 1/100 до &lt; 1/10); нечести (≥ 1/1 000 до &lt; 1/100); редки (≥ 1/10 000 до &lt; 1/1 000); много редки (&lt;1/10 000), с неизвестна честота (не може да бъде оценена от наличните данни). При всяко групиране по честота нежеланите лекарствени реакции се изброяват в низходящ ред по отношение на сериозността им.</w:t>
      </w:r>
    </w:p>
    <w:p w14:paraId="3FBB2951" w14:textId="77777777" w:rsidR="00790351" w:rsidRPr="00790351" w:rsidRDefault="00790351" w:rsidP="00790351">
      <w:pPr>
        <w:spacing w:line="240" w:lineRule="auto"/>
        <w:rPr>
          <w:rFonts w:eastAsia="Times New Roman" w:cs="Arial"/>
          <w:color w:val="000000"/>
          <w:szCs w:val="20"/>
          <w:lang w:eastAsia="bg-BG"/>
        </w:rPr>
      </w:pPr>
    </w:p>
    <w:p w14:paraId="5E2ED88F" w14:textId="01FF71BE"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Изброените нежелани реакции биха могли да бъдат свързвани и с подлежащото заболяване и/или със съпътстващи лекарствени продукти.</w:t>
      </w:r>
    </w:p>
    <w:p w14:paraId="53EB393B" w14:textId="77777777" w:rsidR="00790351" w:rsidRPr="00790351" w:rsidRDefault="00790351" w:rsidP="00790351">
      <w:pPr>
        <w:spacing w:line="240" w:lineRule="auto"/>
        <w:rPr>
          <w:rFonts w:eastAsia="Times New Roman" w:cs="Arial"/>
          <w:color w:val="000000"/>
          <w:szCs w:val="20"/>
          <w:lang w:eastAsia="bg-BG"/>
        </w:rPr>
      </w:pPr>
    </w:p>
    <w:p w14:paraId="4636BC91" w14:textId="24FB3349"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При лечението на невропатна болка от централен произход вследствие на гръбначномозъчна травма общата честота на нежеланите реакции, тази на нежеланите реакции от страна на ЦНС и особено на сънливостта се е увеличила (вж. точка 4.4).</w:t>
      </w:r>
    </w:p>
    <w:p w14:paraId="72759C54" w14:textId="77777777" w:rsidR="00790351" w:rsidRPr="00790351" w:rsidRDefault="00790351" w:rsidP="00790351">
      <w:pPr>
        <w:spacing w:line="240" w:lineRule="auto"/>
        <w:rPr>
          <w:rFonts w:eastAsia="Times New Roman" w:cs="Arial"/>
          <w:color w:val="000000"/>
          <w:szCs w:val="20"/>
          <w:lang w:eastAsia="bg-BG"/>
        </w:rPr>
      </w:pPr>
    </w:p>
    <w:p w14:paraId="3CECDF9E" w14:textId="0F029E0A" w:rsidR="00790351" w:rsidRPr="00790351" w:rsidRDefault="00790351" w:rsidP="00790351">
      <w:pPr>
        <w:spacing w:line="240" w:lineRule="auto"/>
        <w:rPr>
          <w:rFonts w:eastAsia="Times New Roman" w:cs="Arial"/>
          <w:sz w:val="28"/>
          <w:szCs w:val="24"/>
        </w:rPr>
      </w:pPr>
      <w:r w:rsidRPr="00790351">
        <w:rPr>
          <w:rFonts w:eastAsia="Times New Roman" w:cs="Arial"/>
          <w:color w:val="000000"/>
          <w:szCs w:val="20"/>
          <w:lang w:eastAsia="bg-BG"/>
        </w:rPr>
        <w:t xml:space="preserve">Допълнителни реакции, съобщавани от постмаркетинговия опит, са включени с </w:t>
      </w:r>
      <w:r w:rsidRPr="00790351">
        <w:rPr>
          <w:rFonts w:eastAsia="Times New Roman" w:cs="Arial"/>
          <w:i/>
          <w:iCs/>
          <w:color w:val="000000"/>
          <w:szCs w:val="20"/>
          <w:lang w:eastAsia="bg-BG"/>
        </w:rPr>
        <w:t>курсив</w:t>
      </w:r>
      <w:r w:rsidRPr="00790351">
        <w:rPr>
          <w:rFonts w:eastAsia="Times New Roman" w:cs="Arial"/>
          <w:color w:val="000000"/>
          <w:szCs w:val="20"/>
          <w:lang w:eastAsia="bg-BG"/>
        </w:rPr>
        <w:t xml:space="preserve"> в списъка по-долу.</w:t>
      </w:r>
    </w:p>
    <w:p w14:paraId="2B6CFBBF" w14:textId="77777777" w:rsidR="00790351" w:rsidRPr="00790351" w:rsidRDefault="00790351" w:rsidP="00790351">
      <w:pPr>
        <w:rPr>
          <w:rFonts w:eastAsia="Times New Roman" w:cs="Arial"/>
          <w:b/>
          <w:bCs/>
          <w:color w:val="000000"/>
          <w:szCs w:val="20"/>
          <w:lang w:eastAsia="bg-BG"/>
        </w:rPr>
      </w:pPr>
    </w:p>
    <w:p w14:paraId="280D2852" w14:textId="4F28CAE8" w:rsidR="00790351" w:rsidRDefault="00790351" w:rsidP="00790351">
      <w:pPr>
        <w:rPr>
          <w:rFonts w:eastAsia="Times New Roman" w:cs="Arial"/>
          <w:b/>
          <w:bCs/>
          <w:color w:val="000000"/>
          <w:szCs w:val="20"/>
          <w:lang w:eastAsia="bg-BG"/>
        </w:rPr>
      </w:pPr>
      <w:r w:rsidRPr="00790351">
        <w:rPr>
          <w:rFonts w:eastAsia="Times New Roman" w:cs="Arial"/>
          <w:b/>
          <w:bCs/>
          <w:color w:val="000000"/>
          <w:szCs w:val="20"/>
          <w:lang w:eastAsia="bg-BG"/>
        </w:rPr>
        <w:t xml:space="preserve">Таблица </w:t>
      </w:r>
      <w:r w:rsidRPr="00790351">
        <w:rPr>
          <w:rFonts w:eastAsia="Times New Roman" w:cs="Arial"/>
          <w:b/>
          <w:bCs/>
          <w:i/>
          <w:iCs/>
          <w:color w:val="000000"/>
          <w:szCs w:val="20"/>
          <w:lang w:eastAsia="bg-BG"/>
        </w:rPr>
        <w:t>2.</w:t>
      </w:r>
      <w:r w:rsidRPr="00790351">
        <w:rPr>
          <w:rFonts w:eastAsia="Times New Roman" w:cs="Arial"/>
          <w:b/>
          <w:bCs/>
          <w:color w:val="000000"/>
          <w:szCs w:val="20"/>
          <w:lang w:eastAsia="bg-BG"/>
        </w:rPr>
        <w:t xml:space="preserve"> Нежелани лекарствени реакции на прегабалин</w:t>
      </w:r>
    </w:p>
    <w:tbl>
      <w:tblPr>
        <w:tblStyle w:val="TableGrid"/>
        <w:tblW w:w="0" w:type="auto"/>
        <w:tblLook w:val="04A0" w:firstRow="1" w:lastRow="0" w:firstColumn="1" w:lastColumn="0" w:noHBand="0" w:noVBand="1"/>
      </w:tblPr>
      <w:tblGrid>
        <w:gridCol w:w="4508"/>
        <w:gridCol w:w="4842"/>
      </w:tblGrid>
      <w:tr w:rsidR="00790351" w14:paraId="397FD558" w14:textId="77777777" w:rsidTr="00790351">
        <w:tc>
          <w:tcPr>
            <w:tcW w:w="4644" w:type="dxa"/>
            <w:vAlign w:val="center"/>
          </w:tcPr>
          <w:p w14:paraId="1FE603D6" w14:textId="0EB0D219" w:rsidR="00790351" w:rsidRPr="00790351" w:rsidRDefault="00790351" w:rsidP="00790351">
            <w:pPr>
              <w:rPr>
                <w:rFonts w:cs="Arial"/>
              </w:rPr>
            </w:pPr>
            <w:r w:rsidRPr="00790351">
              <w:rPr>
                <w:b/>
                <w:bCs/>
                <w:szCs w:val="20"/>
              </w:rPr>
              <w:t>Системно-органни класове</w:t>
            </w:r>
          </w:p>
        </w:tc>
        <w:tc>
          <w:tcPr>
            <w:tcW w:w="4932" w:type="dxa"/>
            <w:vAlign w:val="center"/>
          </w:tcPr>
          <w:p w14:paraId="562DE38F" w14:textId="3078C45A" w:rsidR="00790351" w:rsidRPr="00790351" w:rsidRDefault="00790351" w:rsidP="00790351">
            <w:pPr>
              <w:rPr>
                <w:rFonts w:cs="Arial"/>
              </w:rPr>
            </w:pPr>
            <w:r w:rsidRPr="00790351">
              <w:rPr>
                <w:b/>
                <w:bCs/>
                <w:szCs w:val="20"/>
              </w:rPr>
              <w:t>Нежелани лекарствени реакции</w:t>
            </w:r>
          </w:p>
        </w:tc>
      </w:tr>
      <w:tr w:rsidR="00790351" w14:paraId="5BF212BA" w14:textId="77777777" w:rsidTr="00790351">
        <w:tc>
          <w:tcPr>
            <w:tcW w:w="9576" w:type="dxa"/>
            <w:gridSpan w:val="2"/>
          </w:tcPr>
          <w:p w14:paraId="3E7CFC91" w14:textId="24B2B13D" w:rsidR="00790351" w:rsidRPr="00790351" w:rsidRDefault="00790351" w:rsidP="00790351">
            <w:pPr>
              <w:rPr>
                <w:rFonts w:cs="Arial"/>
                <w:b/>
                <w:sz w:val="24"/>
              </w:rPr>
            </w:pPr>
            <w:r w:rsidRPr="00790351">
              <w:rPr>
                <w:b/>
                <w:lang w:eastAsia="bg-BG"/>
              </w:rPr>
              <w:t>Инфекции и инфестации</w:t>
            </w:r>
          </w:p>
        </w:tc>
      </w:tr>
      <w:tr w:rsidR="00790351" w14:paraId="694158F1" w14:textId="77777777" w:rsidTr="00790351">
        <w:tc>
          <w:tcPr>
            <w:tcW w:w="4644" w:type="dxa"/>
            <w:vAlign w:val="bottom"/>
          </w:tcPr>
          <w:p w14:paraId="70C5516B" w14:textId="5F9CC9BD" w:rsidR="00790351" w:rsidRDefault="00790351" w:rsidP="00790351">
            <w:pPr>
              <w:rPr>
                <w:rFonts w:cs="Arial"/>
                <w:sz w:val="24"/>
              </w:rPr>
            </w:pPr>
            <w:r>
              <w:t>Чести</w:t>
            </w:r>
          </w:p>
        </w:tc>
        <w:tc>
          <w:tcPr>
            <w:tcW w:w="4932" w:type="dxa"/>
            <w:vAlign w:val="bottom"/>
          </w:tcPr>
          <w:p w14:paraId="5CD16CA2" w14:textId="1CF45385" w:rsidR="00790351" w:rsidRDefault="00790351" w:rsidP="00790351">
            <w:pPr>
              <w:rPr>
                <w:rFonts w:cs="Arial"/>
                <w:sz w:val="24"/>
              </w:rPr>
            </w:pPr>
            <w:r>
              <w:t>Назофарингит</w:t>
            </w:r>
          </w:p>
        </w:tc>
      </w:tr>
      <w:tr w:rsidR="00790351" w14:paraId="01D9A8EC" w14:textId="77777777" w:rsidTr="00790351">
        <w:tc>
          <w:tcPr>
            <w:tcW w:w="9576" w:type="dxa"/>
            <w:gridSpan w:val="2"/>
          </w:tcPr>
          <w:p w14:paraId="4EE35250" w14:textId="07AA995A" w:rsidR="00790351" w:rsidRPr="00790351" w:rsidRDefault="00790351" w:rsidP="00790351">
            <w:pPr>
              <w:rPr>
                <w:rFonts w:cs="Arial"/>
                <w:b/>
                <w:sz w:val="24"/>
              </w:rPr>
            </w:pPr>
            <w:r w:rsidRPr="00790351">
              <w:rPr>
                <w:b/>
              </w:rPr>
              <w:t>Нарушения на кръвната и лимфната система</w:t>
            </w:r>
          </w:p>
        </w:tc>
      </w:tr>
      <w:tr w:rsidR="00790351" w14:paraId="386C74D0" w14:textId="77777777" w:rsidTr="00790351">
        <w:tc>
          <w:tcPr>
            <w:tcW w:w="4644" w:type="dxa"/>
            <w:vAlign w:val="bottom"/>
          </w:tcPr>
          <w:p w14:paraId="163221C1" w14:textId="01D89FF8" w:rsidR="00790351" w:rsidRDefault="00790351" w:rsidP="00790351">
            <w:pPr>
              <w:rPr>
                <w:rFonts w:cs="Arial"/>
                <w:sz w:val="24"/>
              </w:rPr>
            </w:pPr>
            <w:r>
              <w:t>Нечести</w:t>
            </w:r>
          </w:p>
        </w:tc>
        <w:tc>
          <w:tcPr>
            <w:tcW w:w="4932" w:type="dxa"/>
            <w:vAlign w:val="bottom"/>
          </w:tcPr>
          <w:p w14:paraId="1C45AF8D" w14:textId="6E7D8B83" w:rsidR="00790351" w:rsidRDefault="00790351" w:rsidP="00790351">
            <w:pPr>
              <w:rPr>
                <w:rFonts w:cs="Arial"/>
                <w:sz w:val="24"/>
              </w:rPr>
            </w:pPr>
            <w:r>
              <w:t>Неутропения</w:t>
            </w:r>
          </w:p>
        </w:tc>
      </w:tr>
      <w:tr w:rsidR="00790351" w14:paraId="3F02ED95" w14:textId="77777777" w:rsidTr="00790351">
        <w:tc>
          <w:tcPr>
            <w:tcW w:w="9576" w:type="dxa"/>
            <w:gridSpan w:val="2"/>
          </w:tcPr>
          <w:p w14:paraId="6B308248" w14:textId="4E3EB2A4" w:rsidR="00790351" w:rsidRPr="00790351" w:rsidRDefault="00790351" w:rsidP="00790351">
            <w:pPr>
              <w:rPr>
                <w:rFonts w:cs="Arial"/>
                <w:b/>
                <w:sz w:val="24"/>
              </w:rPr>
            </w:pPr>
            <w:r w:rsidRPr="00790351">
              <w:rPr>
                <w:b/>
              </w:rPr>
              <w:t>Нарушения на имунната система</w:t>
            </w:r>
          </w:p>
        </w:tc>
      </w:tr>
      <w:tr w:rsidR="00790351" w14:paraId="581F5DCC" w14:textId="77777777" w:rsidTr="00790351">
        <w:tc>
          <w:tcPr>
            <w:tcW w:w="4644" w:type="dxa"/>
            <w:vAlign w:val="bottom"/>
          </w:tcPr>
          <w:p w14:paraId="6E61367B" w14:textId="052BB103" w:rsidR="00790351" w:rsidRDefault="00790351" w:rsidP="00790351">
            <w:pPr>
              <w:rPr>
                <w:rFonts w:cs="Arial"/>
                <w:sz w:val="24"/>
              </w:rPr>
            </w:pPr>
            <w:r>
              <w:t>Нечести</w:t>
            </w:r>
          </w:p>
        </w:tc>
        <w:tc>
          <w:tcPr>
            <w:tcW w:w="4932" w:type="dxa"/>
            <w:vAlign w:val="bottom"/>
          </w:tcPr>
          <w:p w14:paraId="22740638" w14:textId="7832664D" w:rsidR="00790351" w:rsidRDefault="00790351" w:rsidP="00790351">
            <w:pPr>
              <w:rPr>
                <w:rFonts w:cs="Arial"/>
                <w:sz w:val="24"/>
              </w:rPr>
            </w:pPr>
            <w:r>
              <w:rPr>
                <w:i/>
                <w:iCs/>
              </w:rPr>
              <w:t>Свръхчувствителност</w:t>
            </w:r>
          </w:p>
        </w:tc>
      </w:tr>
      <w:tr w:rsidR="00790351" w14:paraId="00CFE997" w14:textId="77777777" w:rsidTr="00790351">
        <w:tc>
          <w:tcPr>
            <w:tcW w:w="4644" w:type="dxa"/>
            <w:vAlign w:val="bottom"/>
          </w:tcPr>
          <w:p w14:paraId="465E3194" w14:textId="408B8A3D" w:rsidR="00790351" w:rsidRDefault="00790351" w:rsidP="00790351">
            <w:pPr>
              <w:rPr>
                <w:rFonts w:cs="Arial"/>
                <w:sz w:val="24"/>
              </w:rPr>
            </w:pPr>
            <w:r>
              <w:t>Редки</w:t>
            </w:r>
          </w:p>
        </w:tc>
        <w:tc>
          <w:tcPr>
            <w:tcW w:w="4932" w:type="dxa"/>
            <w:vAlign w:val="bottom"/>
          </w:tcPr>
          <w:p w14:paraId="26A0C5C5" w14:textId="44432026" w:rsidR="00790351" w:rsidRDefault="00790351" w:rsidP="00790351">
            <w:pPr>
              <w:rPr>
                <w:rFonts w:cs="Arial"/>
                <w:sz w:val="24"/>
              </w:rPr>
            </w:pPr>
            <w:r>
              <w:rPr>
                <w:i/>
                <w:iCs/>
              </w:rPr>
              <w:t>Ангиоедем, алергична реакция</w:t>
            </w:r>
          </w:p>
        </w:tc>
      </w:tr>
      <w:tr w:rsidR="00790351" w14:paraId="27A5B6A5" w14:textId="77777777" w:rsidTr="00790351">
        <w:tc>
          <w:tcPr>
            <w:tcW w:w="9576" w:type="dxa"/>
            <w:gridSpan w:val="2"/>
          </w:tcPr>
          <w:p w14:paraId="3025727B" w14:textId="642C4A63" w:rsidR="00790351" w:rsidRPr="00790351" w:rsidRDefault="00790351" w:rsidP="00790351">
            <w:pPr>
              <w:rPr>
                <w:rFonts w:cs="Arial"/>
                <w:b/>
                <w:sz w:val="24"/>
              </w:rPr>
            </w:pPr>
            <w:r w:rsidRPr="00790351">
              <w:rPr>
                <w:b/>
              </w:rPr>
              <w:t>Нарушения на метаболизма и храненето</w:t>
            </w:r>
          </w:p>
        </w:tc>
      </w:tr>
      <w:tr w:rsidR="00790351" w14:paraId="31B9A35F" w14:textId="77777777" w:rsidTr="00790351">
        <w:tc>
          <w:tcPr>
            <w:tcW w:w="4644" w:type="dxa"/>
            <w:vAlign w:val="bottom"/>
          </w:tcPr>
          <w:p w14:paraId="1B5CA93E" w14:textId="76E938CA" w:rsidR="00790351" w:rsidRDefault="00790351" w:rsidP="00790351">
            <w:pPr>
              <w:rPr>
                <w:rFonts w:cs="Arial"/>
                <w:sz w:val="24"/>
              </w:rPr>
            </w:pPr>
            <w:r>
              <w:t>Чести</w:t>
            </w:r>
          </w:p>
        </w:tc>
        <w:tc>
          <w:tcPr>
            <w:tcW w:w="4932" w:type="dxa"/>
            <w:vAlign w:val="bottom"/>
          </w:tcPr>
          <w:p w14:paraId="4CD56612" w14:textId="6C3485C2" w:rsidR="00790351" w:rsidRDefault="00790351" w:rsidP="00790351">
            <w:pPr>
              <w:rPr>
                <w:rFonts w:cs="Arial"/>
                <w:sz w:val="24"/>
              </w:rPr>
            </w:pPr>
            <w:r>
              <w:t>Увеличен апетит</w:t>
            </w:r>
          </w:p>
        </w:tc>
      </w:tr>
      <w:tr w:rsidR="00790351" w14:paraId="25219FD4" w14:textId="77777777" w:rsidTr="00790351">
        <w:tc>
          <w:tcPr>
            <w:tcW w:w="4644" w:type="dxa"/>
          </w:tcPr>
          <w:p w14:paraId="39BD3D64" w14:textId="35FC554B" w:rsidR="00790351" w:rsidRDefault="00790351" w:rsidP="00790351">
            <w:pPr>
              <w:rPr>
                <w:rFonts w:cs="Arial"/>
                <w:sz w:val="24"/>
              </w:rPr>
            </w:pPr>
            <w:r>
              <w:t>Нечести</w:t>
            </w:r>
          </w:p>
        </w:tc>
        <w:tc>
          <w:tcPr>
            <w:tcW w:w="4932" w:type="dxa"/>
          </w:tcPr>
          <w:p w14:paraId="2BE902EA" w14:textId="2C60F4CA" w:rsidR="00790351" w:rsidRDefault="00790351" w:rsidP="00790351">
            <w:pPr>
              <w:rPr>
                <w:rFonts w:cs="Arial"/>
                <w:sz w:val="24"/>
              </w:rPr>
            </w:pPr>
            <w:r>
              <w:t>Анорексия,хипогликемия</w:t>
            </w:r>
          </w:p>
        </w:tc>
      </w:tr>
      <w:tr w:rsidR="00790351" w14:paraId="0680FE42" w14:textId="77777777" w:rsidTr="00790351">
        <w:tc>
          <w:tcPr>
            <w:tcW w:w="9576" w:type="dxa"/>
            <w:gridSpan w:val="2"/>
          </w:tcPr>
          <w:p w14:paraId="326C7994" w14:textId="2A1900CD" w:rsidR="00790351" w:rsidRPr="00790351" w:rsidRDefault="00790351" w:rsidP="00790351">
            <w:pPr>
              <w:rPr>
                <w:rFonts w:cs="Arial"/>
                <w:b/>
                <w:sz w:val="24"/>
              </w:rPr>
            </w:pPr>
            <w:r w:rsidRPr="00790351">
              <w:rPr>
                <w:b/>
                <w:lang w:eastAsia="bg-BG"/>
              </w:rPr>
              <w:t>Психични нарушения</w:t>
            </w:r>
          </w:p>
        </w:tc>
      </w:tr>
      <w:tr w:rsidR="00790351" w14:paraId="7C5B2716" w14:textId="77777777" w:rsidTr="00790351">
        <w:tc>
          <w:tcPr>
            <w:tcW w:w="4644" w:type="dxa"/>
          </w:tcPr>
          <w:p w14:paraId="1DA6D523" w14:textId="2973437F" w:rsidR="00790351" w:rsidRDefault="00790351" w:rsidP="00790351">
            <w:pPr>
              <w:rPr>
                <w:rFonts w:cs="Arial"/>
                <w:sz w:val="24"/>
              </w:rPr>
            </w:pPr>
            <w:r>
              <w:t>Чести</w:t>
            </w:r>
          </w:p>
        </w:tc>
        <w:tc>
          <w:tcPr>
            <w:tcW w:w="4932" w:type="dxa"/>
            <w:vAlign w:val="bottom"/>
          </w:tcPr>
          <w:p w14:paraId="244B6B2B" w14:textId="45F1372D" w:rsidR="00790351" w:rsidRDefault="00790351" w:rsidP="00790351">
            <w:pPr>
              <w:rPr>
                <w:rFonts w:cs="Arial"/>
                <w:sz w:val="24"/>
              </w:rPr>
            </w:pPr>
            <w:r>
              <w:t>Еуфорично настроение, обърканост, раздразнителност, дезориентация, безсъние, намалено либидо</w:t>
            </w:r>
          </w:p>
        </w:tc>
      </w:tr>
      <w:tr w:rsidR="00790351" w14:paraId="6FFC06A6" w14:textId="77777777" w:rsidTr="00790351">
        <w:tc>
          <w:tcPr>
            <w:tcW w:w="4644" w:type="dxa"/>
          </w:tcPr>
          <w:p w14:paraId="4FF7685C" w14:textId="51DEA398" w:rsidR="00790351" w:rsidRDefault="00790351" w:rsidP="00790351">
            <w:pPr>
              <w:rPr>
                <w:rFonts w:cs="Arial"/>
                <w:sz w:val="24"/>
              </w:rPr>
            </w:pPr>
            <w:r>
              <w:t>Нечести</w:t>
            </w:r>
          </w:p>
        </w:tc>
        <w:tc>
          <w:tcPr>
            <w:tcW w:w="4932" w:type="dxa"/>
            <w:vAlign w:val="bottom"/>
          </w:tcPr>
          <w:p w14:paraId="616B6484" w14:textId="6536EDC9" w:rsidR="00790351" w:rsidRDefault="00790351" w:rsidP="00790351">
            <w:pPr>
              <w:rPr>
                <w:rFonts w:cs="Arial"/>
                <w:sz w:val="24"/>
              </w:rPr>
            </w:pPr>
            <w:r>
              <w:t xml:space="preserve">Халюцинации, пристъп на паника, безпокойство, възбуда, депресия, потиснато настроение, приповдигнато настроение, </w:t>
            </w:r>
            <w:r>
              <w:rPr>
                <w:i/>
                <w:iCs/>
              </w:rPr>
              <w:t>агресия,</w:t>
            </w:r>
            <w:r>
              <w:t xml:space="preserve"> промени в настроението, деперсонализация, трудно намирането на думи, необичайни сънища, увеличено либидо, аноргазмия, апатия</w:t>
            </w:r>
          </w:p>
        </w:tc>
      </w:tr>
      <w:tr w:rsidR="00790351" w14:paraId="5E85FE0E" w14:textId="77777777" w:rsidTr="00790351">
        <w:tc>
          <w:tcPr>
            <w:tcW w:w="4644" w:type="dxa"/>
            <w:vAlign w:val="bottom"/>
          </w:tcPr>
          <w:p w14:paraId="32980152" w14:textId="074D239F" w:rsidR="00790351" w:rsidRDefault="00790351" w:rsidP="00790351">
            <w:pPr>
              <w:rPr>
                <w:rFonts w:cs="Arial"/>
                <w:sz w:val="24"/>
              </w:rPr>
            </w:pPr>
            <w:r>
              <w:t>Редки</w:t>
            </w:r>
          </w:p>
        </w:tc>
        <w:tc>
          <w:tcPr>
            <w:tcW w:w="4932" w:type="dxa"/>
            <w:vAlign w:val="bottom"/>
          </w:tcPr>
          <w:p w14:paraId="0C7779BD" w14:textId="355C37F2" w:rsidR="00790351" w:rsidRDefault="00790351" w:rsidP="00790351">
            <w:pPr>
              <w:rPr>
                <w:rFonts w:cs="Arial"/>
                <w:sz w:val="24"/>
              </w:rPr>
            </w:pPr>
            <w:r>
              <w:t>Невъздържаност</w:t>
            </w:r>
          </w:p>
        </w:tc>
      </w:tr>
      <w:tr w:rsidR="00790351" w14:paraId="7D77B330" w14:textId="77777777" w:rsidTr="00790351">
        <w:tc>
          <w:tcPr>
            <w:tcW w:w="9576" w:type="dxa"/>
            <w:gridSpan w:val="2"/>
          </w:tcPr>
          <w:p w14:paraId="5246B417" w14:textId="4276771D" w:rsidR="00790351" w:rsidRPr="00790351" w:rsidRDefault="00790351" w:rsidP="00790351">
            <w:pPr>
              <w:rPr>
                <w:b/>
                <w:sz w:val="24"/>
                <w:szCs w:val="24"/>
              </w:rPr>
            </w:pPr>
            <w:r w:rsidRPr="00790351">
              <w:rPr>
                <w:b/>
                <w:lang w:eastAsia="bg-BG"/>
              </w:rPr>
              <w:t>Нарушения на нервната система</w:t>
            </w:r>
          </w:p>
        </w:tc>
      </w:tr>
      <w:tr w:rsidR="00790351" w14:paraId="60530481" w14:textId="77777777" w:rsidTr="00790351">
        <w:tc>
          <w:tcPr>
            <w:tcW w:w="4644" w:type="dxa"/>
            <w:vAlign w:val="bottom"/>
          </w:tcPr>
          <w:p w14:paraId="74223AA9" w14:textId="11CCBFF3" w:rsidR="00790351" w:rsidRDefault="00790351" w:rsidP="00790351">
            <w:pPr>
              <w:rPr>
                <w:rFonts w:cs="Arial"/>
                <w:sz w:val="24"/>
              </w:rPr>
            </w:pPr>
            <w:r>
              <w:t>Много чести</w:t>
            </w:r>
          </w:p>
        </w:tc>
        <w:tc>
          <w:tcPr>
            <w:tcW w:w="4932" w:type="dxa"/>
            <w:vAlign w:val="bottom"/>
          </w:tcPr>
          <w:p w14:paraId="603159E8" w14:textId="76EC8A44" w:rsidR="00790351" w:rsidRDefault="00790351" w:rsidP="00790351">
            <w:pPr>
              <w:rPr>
                <w:rFonts w:cs="Arial"/>
                <w:sz w:val="24"/>
              </w:rPr>
            </w:pPr>
            <w:r>
              <w:t>Замаяност, сънливост, главоболие</w:t>
            </w:r>
          </w:p>
        </w:tc>
      </w:tr>
      <w:tr w:rsidR="00790351" w14:paraId="5971E252" w14:textId="77777777" w:rsidTr="00790351">
        <w:tc>
          <w:tcPr>
            <w:tcW w:w="4644" w:type="dxa"/>
          </w:tcPr>
          <w:p w14:paraId="6BE09FED" w14:textId="6B814D5C" w:rsidR="00790351" w:rsidRDefault="00790351" w:rsidP="00790351">
            <w:pPr>
              <w:rPr>
                <w:rFonts w:cs="Arial"/>
                <w:sz w:val="24"/>
              </w:rPr>
            </w:pPr>
            <w:r>
              <w:t>Чести</w:t>
            </w:r>
          </w:p>
        </w:tc>
        <w:tc>
          <w:tcPr>
            <w:tcW w:w="4932" w:type="dxa"/>
            <w:vAlign w:val="bottom"/>
          </w:tcPr>
          <w:p w14:paraId="236449D9" w14:textId="5A81A999" w:rsidR="00790351" w:rsidRDefault="00790351" w:rsidP="00790351">
            <w:pPr>
              <w:rPr>
                <w:rFonts w:cs="Arial"/>
                <w:sz w:val="24"/>
              </w:rPr>
            </w:pPr>
            <w:r>
              <w:t>Атаксия, нарушена координация, тремор, дизартрия, амнезия, нарушения на паметта, нарушение на вниманието, парестезия, хипоестезия, седация, нарушено равновесие, летаргия</w:t>
            </w:r>
          </w:p>
        </w:tc>
      </w:tr>
      <w:tr w:rsidR="00790351" w14:paraId="0AAB6A51" w14:textId="77777777" w:rsidTr="00790351">
        <w:tc>
          <w:tcPr>
            <w:tcW w:w="4644" w:type="dxa"/>
          </w:tcPr>
          <w:p w14:paraId="0104517D" w14:textId="3B543111" w:rsidR="00790351" w:rsidRDefault="00790351" w:rsidP="00790351">
            <w:pPr>
              <w:rPr>
                <w:rFonts w:cs="Arial"/>
                <w:sz w:val="24"/>
              </w:rPr>
            </w:pPr>
            <w:r>
              <w:t>Нечести</w:t>
            </w:r>
          </w:p>
        </w:tc>
        <w:tc>
          <w:tcPr>
            <w:tcW w:w="4932" w:type="dxa"/>
            <w:vAlign w:val="bottom"/>
          </w:tcPr>
          <w:p w14:paraId="1DB6D8E4" w14:textId="27EB34E4" w:rsidR="00790351" w:rsidRDefault="00790351" w:rsidP="00790351">
            <w:pPr>
              <w:rPr>
                <w:rFonts w:cs="Arial"/>
                <w:sz w:val="24"/>
              </w:rPr>
            </w:pPr>
            <w:r>
              <w:t xml:space="preserve">Синкоп, ступор, миоклонус, </w:t>
            </w:r>
            <w:r>
              <w:rPr>
                <w:i/>
                <w:iCs/>
              </w:rPr>
              <w:t>загуба на съзнание,</w:t>
            </w:r>
            <w:r>
              <w:t xml:space="preserve"> психомоторна хиперактивност, дискинезия, ортостатична замаяност, интенционен тремор, нистагьм, когнитивно разстройство, </w:t>
            </w:r>
            <w:r>
              <w:rPr>
                <w:i/>
                <w:iCs/>
              </w:rPr>
              <w:t>умствено увреждане,</w:t>
            </w:r>
            <w:r>
              <w:t xml:space="preserve"> нарушение на говора, хипорефлексия, хиперестезия, чувство на парене, агеузия, </w:t>
            </w:r>
            <w:r>
              <w:rPr>
                <w:i/>
                <w:iCs/>
              </w:rPr>
              <w:t>общо неразположение</w:t>
            </w:r>
          </w:p>
        </w:tc>
      </w:tr>
      <w:tr w:rsidR="00790351" w14:paraId="410CFF84" w14:textId="77777777" w:rsidTr="00790351">
        <w:tc>
          <w:tcPr>
            <w:tcW w:w="4644" w:type="dxa"/>
            <w:vAlign w:val="bottom"/>
          </w:tcPr>
          <w:p w14:paraId="6D1A48FA" w14:textId="0558CEE5" w:rsidR="00790351" w:rsidRDefault="00790351" w:rsidP="00790351">
            <w:pPr>
              <w:rPr>
                <w:rFonts w:cs="Arial"/>
                <w:sz w:val="24"/>
              </w:rPr>
            </w:pPr>
            <w:r>
              <w:t>Редки</w:t>
            </w:r>
          </w:p>
        </w:tc>
        <w:tc>
          <w:tcPr>
            <w:tcW w:w="4932" w:type="dxa"/>
            <w:vAlign w:val="bottom"/>
          </w:tcPr>
          <w:p w14:paraId="246E9313" w14:textId="3B05E648" w:rsidR="00790351" w:rsidRDefault="00790351" w:rsidP="00790351">
            <w:pPr>
              <w:rPr>
                <w:rFonts w:cs="Arial"/>
                <w:sz w:val="24"/>
              </w:rPr>
            </w:pPr>
            <w:r>
              <w:rPr>
                <w:i/>
                <w:iCs/>
              </w:rPr>
              <w:t>Гърчове,</w:t>
            </w:r>
            <w:r>
              <w:t xml:space="preserve"> паросмия, хипокинезия, дисграфия</w:t>
            </w:r>
          </w:p>
        </w:tc>
      </w:tr>
      <w:tr w:rsidR="00790351" w14:paraId="74CF8557" w14:textId="77777777" w:rsidTr="00790351">
        <w:tc>
          <w:tcPr>
            <w:tcW w:w="9576" w:type="dxa"/>
            <w:gridSpan w:val="2"/>
          </w:tcPr>
          <w:p w14:paraId="3B9C4352" w14:textId="70193503" w:rsidR="00790351" w:rsidRPr="00790351" w:rsidRDefault="00790351" w:rsidP="00790351">
            <w:pPr>
              <w:rPr>
                <w:rFonts w:cs="Arial"/>
                <w:b/>
                <w:sz w:val="24"/>
              </w:rPr>
            </w:pPr>
            <w:r w:rsidRPr="00790351">
              <w:rPr>
                <w:b/>
                <w:lang w:eastAsia="bg-BG"/>
              </w:rPr>
              <w:t>Нарушения на очите</w:t>
            </w:r>
          </w:p>
        </w:tc>
      </w:tr>
      <w:tr w:rsidR="00790351" w14:paraId="2C5F159D" w14:textId="77777777" w:rsidTr="00790351">
        <w:tc>
          <w:tcPr>
            <w:tcW w:w="4644" w:type="dxa"/>
            <w:vAlign w:val="bottom"/>
          </w:tcPr>
          <w:p w14:paraId="583B51AA" w14:textId="33DEB14D" w:rsidR="00790351" w:rsidRDefault="00790351" w:rsidP="00790351">
            <w:pPr>
              <w:rPr>
                <w:rFonts w:cs="Arial"/>
                <w:sz w:val="24"/>
              </w:rPr>
            </w:pPr>
            <w:r>
              <w:t>Чести</w:t>
            </w:r>
          </w:p>
        </w:tc>
        <w:tc>
          <w:tcPr>
            <w:tcW w:w="4932" w:type="dxa"/>
            <w:vAlign w:val="bottom"/>
          </w:tcPr>
          <w:p w14:paraId="76B8D8B9" w14:textId="0144B3E3" w:rsidR="00790351" w:rsidRDefault="00790351" w:rsidP="00790351">
            <w:pPr>
              <w:rPr>
                <w:rFonts w:cs="Arial"/>
                <w:sz w:val="24"/>
              </w:rPr>
            </w:pPr>
            <w:r>
              <w:t>Замъглено зрение, диплопия</w:t>
            </w:r>
          </w:p>
        </w:tc>
      </w:tr>
      <w:tr w:rsidR="00790351" w14:paraId="7095FF6C" w14:textId="77777777" w:rsidTr="00790351">
        <w:tc>
          <w:tcPr>
            <w:tcW w:w="4644" w:type="dxa"/>
          </w:tcPr>
          <w:p w14:paraId="56CCEACC" w14:textId="43B5C7EF" w:rsidR="00790351" w:rsidRDefault="00790351" w:rsidP="00790351">
            <w:pPr>
              <w:rPr>
                <w:rFonts w:cs="Arial"/>
                <w:sz w:val="24"/>
              </w:rPr>
            </w:pPr>
            <w:r>
              <w:t>Нечести</w:t>
            </w:r>
          </w:p>
        </w:tc>
        <w:tc>
          <w:tcPr>
            <w:tcW w:w="4932" w:type="dxa"/>
            <w:vAlign w:val="bottom"/>
          </w:tcPr>
          <w:p w14:paraId="0E5867E2" w14:textId="2FC3E5B5" w:rsidR="00790351" w:rsidRDefault="00790351" w:rsidP="00790351">
            <w:pPr>
              <w:rPr>
                <w:rFonts w:cs="Arial"/>
                <w:sz w:val="24"/>
              </w:rPr>
            </w:pPr>
            <w:r>
              <w:t xml:space="preserve">Загуба на периферно зрение, зрително нарушение, подуване на очите, дефект в зрителното поле, намалена зрителна острота, болка в очите, астенопия, </w:t>
            </w:r>
            <w:r>
              <w:lastRenderedPageBreak/>
              <w:t>фотопсия, сухота в очите, повишено сълзене, очно дразнене</w:t>
            </w:r>
          </w:p>
        </w:tc>
      </w:tr>
      <w:tr w:rsidR="00790351" w14:paraId="51BEB232" w14:textId="77777777" w:rsidTr="00790351">
        <w:tc>
          <w:tcPr>
            <w:tcW w:w="4644" w:type="dxa"/>
          </w:tcPr>
          <w:p w14:paraId="4574C686" w14:textId="09501372" w:rsidR="00790351" w:rsidRDefault="00790351" w:rsidP="00790351">
            <w:pPr>
              <w:rPr>
                <w:rFonts w:cs="Arial"/>
                <w:sz w:val="24"/>
              </w:rPr>
            </w:pPr>
            <w:r>
              <w:lastRenderedPageBreak/>
              <w:t>Редки</w:t>
            </w:r>
          </w:p>
        </w:tc>
        <w:tc>
          <w:tcPr>
            <w:tcW w:w="4932" w:type="dxa"/>
            <w:vAlign w:val="bottom"/>
          </w:tcPr>
          <w:p w14:paraId="2BF0D8EC" w14:textId="6006A2DA" w:rsidR="00790351" w:rsidRDefault="00790351" w:rsidP="00790351">
            <w:pPr>
              <w:rPr>
                <w:rFonts w:cs="Arial"/>
                <w:sz w:val="24"/>
              </w:rPr>
            </w:pPr>
            <w:r>
              <w:rPr>
                <w:i/>
                <w:iCs/>
              </w:rPr>
              <w:t>Загуба на зрение, кератит,</w:t>
            </w:r>
            <w:r>
              <w:t xml:space="preserve"> осцилопсия, променено зрително възприятие за дълбочина, мидриаза, страбизъм, повишена яркост на образите</w:t>
            </w:r>
          </w:p>
        </w:tc>
      </w:tr>
      <w:tr w:rsidR="00790351" w14:paraId="75A97891" w14:textId="77777777" w:rsidTr="00790351">
        <w:tc>
          <w:tcPr>
            <w:tcW w:w="9576" w:type="dxa"/>
            <w:gridSpan w:val="2"/>
          </w:tcPr>
          <w:p w14:paraId="3D796877" w14:textId="66C5CF77" w:rsidR="00790351" w:rsidRPr="00790351" w:rsidRDefault="00790351" w:rsidP="00790351">
            <w:pPr>
              <w:rPr>
                <w:rFonts w:cs="Arial"/>
                <w:b/>
                <w:sz w:val="24"/>
              </w:rPr>
            </w:pPr>
            <w:r w:rsidRPr="00790351">
              <w:rPr>
                <w:b/>
                <w:lang w:eastAsia="bg-BG"/>
              </w:rPr>
              <w:t>Нарушения на ухото и лабиринта</w:t>
            </w:r>
          </w:p>
        </w:tc>
      </w:tr>
      <w:tr w:rsidR="00790351" w14:paraId="4554A2C0" w14:textId="77777777" w:rsidTr="00790351">
        <w:tc>
          <w:tcPr>
            <w:tcW w:w="4644" w:type="dxa"/>
            <w:vAlign w:val="bottom"/>
          </w:tcPr>
          <w:p w14:paraId="01833CA1" w14:textId="1F6CB6A3" w:rsidR="00790351" w:rsidRDefault="00790351" w:rsidP="00790351">
            <w:pPr>
              <w:rPr>
                <w:rFonts w:cs="Arial"/>
                <w:sz w:val="24"/>
              </w:rPr>
            </w:pPr>
            <w:r>
              <w:t>Чести</w:t>
            </w:r>
          </w:p>
        </w:tc>
        <w:tc>
          <w:tcPr>
            <w:tcW w:w="4932" w:type="dxa"/>
            <w:vAlign w:val="bottom"/>
          </w:tcPr>
          <w:p w14:paraId="22B999F9" w14:textId="28A740F1" w:rsidR="00790351" w:rsidRDefault="00790351" w:rsidP="00790351">
            <w:pPr>
              <w:rPr>
                <w:rFonts w:cs="Arial"/>
                <w:sz w:val="24"/>
              </w:rPr>
            </w:pPr>
            <w:r>
              <w:t>Вертиго</w:t>
            </w:r>
          </w:p>
        </w:tc>
      </w:tr>
      <w:tr w:rsidR="00790351" w14:paraId="5892E8FB" w14:textId="77777777" w:rsidTr="00790351">
        <w:tc>
          <w:tcPr>
            <w:tcW w:w="4644" w:type="dxa"/>
            <w:vAlign w:val="bottom"/>
          </w:tcPr>
          <w:p w14:paraId="5AF4750E" w14:textId="33731A18" w:rsidR="00790351" w:rsidRDefault="00790351" w:rsidP="00790351">
            <w:pPr>
              <w:rPr>
                <w:rFonts w:cs="Arial"/>
                <w:sz w:val="24"/>
              </w:rPr>
            </w:pPr>
            <w:r>
              <w:t>Нечести</w:t>
            </w:r>
          </w:p>
        </w:tc>
        <w:tc>
          <w:tcPr>
            <w:tcW w:w="4932" w:type="dxa"/>
            <w:vAlign w:val="bottom"/>
          </w:tcPr>
          <w:p w14:paraId="6F3B7F63" w14:textId="61BCDB91" w:rsidR="00790351" w:rsidRDefault="00790351" w:rsidP="00790351">
            <w:pPr>
              <w:rPr>
                <w:rFonts w:cs="Arial"/>
                <w:sz w:val="24"/>
              </w:rPr>
            </w:pPr>
            <w:r>
              <w:t>Хиперакузис</w:t>
            </w:r>
          </w:p>
        </w:tc>
      </w:tr>
      <w:tr w:rsidR="00790351" w14:paraId="6C096F88" w14:textId="77777777" w:rsidTr="00790351">
        <w:tc>
          <w:tcPr>
            <w:tcW w:w="9576" w:type="dxa"/>
            <w:gridSpan w:val="2"/>
          </w:tcPr>
          <w:p w14:paraId="15DD7620" w14:textId="512A8915" w:rsidR="00790351" w:rsidRPr="00790351" w:rsidRDefault="00790351" w:rsidP="00790351">
            <w:pPr>
              <w:rPr>
                <w:rFonts w:cs="Arial"/>
                <w:b/>
                <w:sz w:val="24"/>
              </w:rPr>
            </w:pPr>
            <w:r w:rsidRPr="00790351">
              <w:rPr>
                <w:b/>
                <w:lang w:eastAsia="bg-BG"/>
              </w:rPr>
              <w:t>Сърдечни нарушения</w:t>
            </w:r>
          </w:p>
        </w:tc>
      </w:tr>
      <w:tr w:rsidR="00790351" w14:paraId="62DB6EFD" w14:textId="77777777" w:rsidTr="00790351">
        <w:tc>
          <w:tcPr>
            <w:tcW w:w="4644" w:type="dxa"/>
          </w:tcPr>
          <w:p w14:paraId="4108A04E" w14:textId="1D9CB075" w:rsidR="00790351" w:rsidRDefault="00790351" w:rsidP="00790351">
            <w:pPr>
              <w:rPr>
                <w:rFonts w:cs="Arial"/>
                <w:sz w:val="24"/>
              </w:rPr>
            </w:pPr>
            <w:r>
              <w:t>Нечести</w:t>
            </w:r>
          </w:p>
        </w:tc>
        <w:tc>
          <w:tcPr>
            <w:tcW w:w="4932" w:type="dxa"/>
            <w:vAlign w:val="bottom"/>
          </w:tcPr>
          <w:p w14:paraId="02FA9965" w14:textId="1F2A28FC" w:rsidR="00790351" w:rsidRDefault="00790351" w:rsidP="00790351">
            <w:pPr>
              <w:rPr>
                <w:rFonts w:cs="Arial"/>
                <w:sz w:val="24"/>
              </w:rPr>
            </w:pPr>
            <w:r>
              <w:t xml:space="preserve">Тахикардия, атриовентрикуларен блок първа степен, синусова брадикардия, </w:t>
            </w:r>
            <w:r>
              <w:rPr>
                <w:i/>
                <w:iCs/>
              </w:rPr>
              <w:t>застойна сърдечна недостатъчност</w:t>
            </w:r>
          </w:p>
        </w:tc>
      </w:tr>
      <w:tr w:rsidR="00790351" w14:paraId="34475E14" w14:textId="77777777" w:rsidTr="00790351">
        <w:tc>
          <w:tcPr>
            <w:tcW w:w="4644" w:type="dxa"/>
          </w:tcPr>
          <w:p w14:paraId="173DBBB4" w14:textId="2F731308" w:rsidR="00790351" w:rsidRDefault="00790351" w:rsidP="00790351">
            <w:pPr>
              <w:rPr>
                <w:rFonts w:cs="Arial"/>
                <w:sz w:val="24"/>
              </w:rPr>
            </w:pPr>
            <w:r>
              <w:t>Редки</w:t>
            </w:r>
          </w:p>
        </w:tc>
        <w:tc>
          <w:tcPr>
            <w:tcW w:w="4932" w:type="dxa"/>
            <w:vAlign w:val="bottom"/>
          </w:tcPr>
          <w:p w14:paraId="3656A010" w14:textId="6CADD852" w:rsidR="00790351" w:rsidRDefault="00790351" w:rsidP="00790351">
            <w:pPr>
              <w:rPr>
                <w:rFonts w:cs="Arial"/>
                <w:sz w:val="24"/>
              </w:rPr>
            </w:pPr>
            <w:r>
              <w:rPr>
                <w:i/>
                <w:iCs/>
              </w:rPr>
              <w:t xml:space="preserve">Удължаване на </w:t>
            </w:r>
            <w:r>
              <w:rPr>
                <w:i/>
                <w:iCs/>
                <w:lang w:val="en-US"/>
              </w:rPr>
              <w:t>QT</w:t>
            </w:r>
            <w:r>
              <w:rPr>
                <w:i/>
                <w:iCs/>
              </w:rPr>
              <w:t>-интервала,</w:t>
            </w:r>
            <w:r>
              <w:t xml:space="preserve"> синусова тахикардия, синусова аритмия</w:t>
            </w:r>
          </w:p>
        </w:tc>
      </w:tr>
      <w:tr w:rsidR="00790351" w14:paraId="03AEFD9C" w14:textId="77777777" w:rsidTr="00790351">
        <w:tc>
          <w:tcPr>
            <w:tcW w:w="9576" w:type="dxa"/>
            <w:gridSpan w:val="2"/>
          </w:tcPr>
          <w:p w14:paraId="284F424B" w14:textId="0EF85DCE" w:rsidR="00790351" w:rsidRPr="00790351" w:rsidRDefault="00790351" w:rsidP="00790351">
            <w:pPr>
              <w:rPr>
                <w:rFonts w:cs="Arial"/>
                <w:b/>
                <w:sz w:val="24"/>
              </w:rPr>
            </w:pPr>
            <w:r w:rsidRPr="00790351">
              <w:rPr>
                <w:b/>
                <w:lang w:eastAsia="bg-BG"/>
              </w:rPr>
              <w:t>Съдови нарушения</w:t>
            </w:r>
          </w:p>
        </w:tc>
      </w:tr>
      <w:tr w:rsidR="00790351" w14:paraId="71924C62" w14:textId="77777777" w:rsidTr="00790351">
        <w:tc>
          <w:tcPr>
            <w:tcW w:w="4644" w:type="dxa"/>
          </w:tcPr>
          <w:p w14:paraId="6B43EC49" w14:textId="059B0B7D" w:rsidR="00790351" w:rsidRDefault="00790351" w:rsidP="00790351">
            <w:pPr>
              <w:rPr>
                <w:rFonts w:cs="Arial"/>
                <w:sz w:val="24"/>
              </w:rPr>
            </w:pPr>
            <w:r>
              <w:t>Нечести</w:t>
            </w:r>
          </w:p>
        </w:tc>
        <w:tc>
          <w:tcPr>
            <w:tcW w:w="4932" w:type="dxa"/>
            <w:vAlign w:val="bottom"/>
          </w:tcPr>
          <w:p w14:paraId="27CCA994" w14:textId="2814639F" w:rsidR="00790351" w:rsidRDefault="00790351" w:rsidP="00790351">
            <w:pPr>
              <w:rPr>
                <w:rFonts w:cs="Arial"/>
                <w:sz w:val="24"/>
              </w:rPr>
            </w:pPr>
            <w:r>
              <w:t>Хипотония, хипертония, горещи вълни, зачервяване на лицето, студени крайници</w:t>
            </w:r>
          </w:p>
        </w:tc>
      </w:tr>
      <w:tr w:rsidR="00790351" w14:paraId="3074BB70" w14:textId="77777777" w:rsidTr="00790351">
        <w:tc>
          <w:tcPr>
            <w:tcW w:w="9576" w:type="dxa"/>
            <w:gridSpan w:val="2"/>
          </w:tcPr>
          <w:p w14:paraId="70596496" w14:textId="4B2AFB66" w:rsidR="00790351" w:rsidRPr="00790351" w:rsidRDefault="00790351" w:rsidP="00790351">
            <w:pPr>
              <w:rPr>
                <w:rFonts w:cs="Arial"/>
                <w:b/>
                <w:sz w:val="24"/>
              </w:rPr>
            </w:pPr>
            <w:r w:rsidRPr="00790351">
              <w:rPr>
                <w:b/>
              </w:rPr>
              <w:t>Респираторни, гръдни и медиастинални нарушения</w:t>
            </w:r>
          </w:p>
        </w:tc>
      </w:tr>
      <w:tr w:rsidR="00790351" w14:paraId="4B96A4BF" w14:textId="77777777" w:rsidTr="00790351">
        <w:tc>
          <w:tcPr>
            <w:tcW w:w="4644" w:type="dxa"/>
          </w:tcPr>
          <w:p w14:paraId="094795BA" w14:textId="47E47C64" w:rsidR="00790351" w:rsidRDefault="00790351" w:rsidP="00790351">
            <w:pPr>
              <w:rPr>
                <w:rFonts w:cs="Arial"/>
                <w:sz w:val="24"/>
              </w:rPr>
            </w:pPr>
            <w:r>
              <w:t>Нечести</w:t>
            </w:r>
          </w:p>
        </w:tc>
        <w:tc>
          <w:tcPr>
            <w:tcW w:w="4932" w:type="dxa"/>
            <w:vAlign w:val="bottom"/>
          </w:tcPr>
          <w:p w14:paraId="1A47B27A" w14:textId="2384EC0F" w:rsidR="00790351" w:rsidRDefault="00790351" w:rsidP="00790351">
            <w:pPr>
              <w:rPr>
                <w:rFonts w:cs="Arial"/>
                <w:sz w:val="24"/>
              </w:rPr>
            </w:pPr>
            <w:r>
              <w:t>Диспнея, епистаксис, кашлица, назална конгестия, ринит, хъркане, сухота в носа</w:t>
            </w:r>
          </w:p>
        </w:tc>
      </w:tr>
      <w:tr w:rsidR="00790351" w14:paraId="0A9D75D3" w14:textId="77777777" w:rsidTr="00790351">
        <w:tc>
          <w:tcPr>
            <w:tcW w:w="4644" w:type="dxa"/>
            <w:vAlign w:val="bottom"/>
          </w:tcPr>
          <w:p w14:paraId="6D3B1697" w14:textId="3D60CC39" w:rsidR="00790351" w:rsidRDefault="00790351" w:rsidP="00790351">
            <w:pPr>
              <w:rPr>
                <w:rFonts w:cs="Arial"/>
                <w:sz w:val="24"/>
              </w:rPr>
            </w:pPr>
            <w:r>
              <w:t>Редки</w:t>
            </w:r>
          </w:p>
        </w:tc>
        <w:tc>
          <w:tcPr>
            <w:tcW w:w="4932" w:type="dxa"/>
            <w:vAlign w:val="bottom"/>
          </w:tcPr>
          <w:p w14:paraId="0EDE8B94" w14:textId="45877934" w:rsidR="00790351" w:rsidRDefault="00790351" w:rsidP="00790351">
            <w:pPr>
              <w:rPr>
                <w:rFonts w:cs="Arial"/>
                <w:sz w:val="24"/>
              </w:rPr>
            </w:pPr>
            <w:r>
              <w:rPr>
                <w:i/>
                <w:iCs/>
              </w:rPr>
              <w:t>Белодробен оток,</w:t>
            </w:r>
            <w:r>
              <w:t xml:space="preserve"> стягане в гърлото</w:t>
            </w:r>
          </w:p>
        </w:tc>
      </w:tr>
      <w:tr w:rsidR="00790351" w14:paraId="6F64C735" w14:textId="77777777" w:rsidTr="00790351">
        <w:tc>
          <w:tcPr>
            <w:tcW w:w="4644" w:type="dxa"/>
            <w:vAlign w:val="bottom"/>
          </w:tcPr>
          <w:p w14:paraId="55BDD6F3" w14:textId="79419934" w:rsidR="00790351" w:rsidRDefault="00790351" w:rsidP="00790351">
            <w:pPr>
              <w:rPr>
                <w:rFonts w:cs="Arial"/>
                <w:sz w:val="24"/>
              </w:rPr>
            </w:pPr>
            <w:r>
              <w:t>С неизвестна честота</w:t>
            </w:r>
          </w:p>
        </w:tc>
        <w:tc>
          <w:tcPr>
            <w:tcW w:w="4932" w:type="dxa"/>
            <w:vAlign w:val="bottom"/>
          </w:tcPr>
          <w:p w14:paraId="6EEC0410" w14:textId="649F4D82" w:rsidR="00790351" w:rsidRDefault="00790351" w:rsidP="00790351">
            <w:pPr>
              <w:rPr>
                <w:rFonts w:cs="Arial"/>
                <w:sz w:val="24"/>
              </w:rPr>
            </w:pPr>
            <w:r>
              <w:t>Потискане на дишането</w:t>
            </w:r>
          </w:p>
        </w:tc>
      </w:tr>
      <w:tr w:rsidR="00790351" w14:paraId="72F4DAA7" w14:textId="77777777" w:rsidTr="00790351">
        <w:tc>
          <w:tcPr>
            <w:tcW w:w="9576" w:type="dxa"/>
            <w:gridSpan w:val="2"/>
          </w:tcPr>
          <w:p w14:paraId="5EEADB88" w14:textId="3237A972" w:rsidR="00790351" w:rsidRPr="00790351" w:rsidRDefault="00790351" w:rsidP="00790351">
            <w:pPr>
              <w:rPr>
                <w:rFonts w:cs="Arial"/>
                <w:b/>
                <w:sz w:val="24"/>
              </w:rPr>
            </w:pPr>
            <w:r w:rsidRPr="00790351">
              <w:rPr>
                <w:b/>
                <w:lang w:eastAsia="bg-BG"/>
              </w:rPr>
              <w:t>Стомашно-чревни нарушения</w:t>
            </w:r>
          </w:p>
        </w:tc>
      </w:tr>
      <w:tr w:rsidR="00790351" w14:paraId="4B2EE31B" w14:textId="77777777" w:rsidTr="00790351">
        <w:tc>
          <w:tcPr>
            <w:tcW w:w="4644" w:type="dxa"/>
          </w:tcPr>
          <w:p w14:paraId="3675283D" w14:textId="7253CEE4" w:rsidR="00790351" w:rsidRDefault="00790351" w:rsidP="00790351">
            <w:pPr>
              <w:rPr>
                <w:rFonts w:cs="Arial"/>
                <w:sz w:val="24"/>
              </w:rPr>
            </w:pPr>
            <w:r>
              <w:t>Чести</w:t>
            </w:r>
          </w:p>
        </w:tc>
        <w:tc>
          <w:tcPr>
            <w:tcW w:w="4932" w:type="dxa"/>
            <w:vAlign w:val="bottom"/>
          </w:tcPr>
          <w:p w14:paraId="47957178" w14:textId="1434FE90" w:rsidR="00790351" w:rsidRDefault="00790351" w:rsidP="00790351">
            <w:pPr>
              <w:rPr>
                <w:rFonts w:cs="Arial"/>
                <w:sz w:val="24"/>
              </w:rPr>
            </w:pPr>
            <w:r>
              <w:t xml:space="preserve">Повръщане, </w:t>
            </w:r>
            <w:r>
              <w:rPr>
                <w:i/>
                <w:iCs/>
              </w:rPr>
              <w:t>гадене,</w:t>
            </w:r>
            <w:r>
              <w:t xml:space="preserve"> запек, </w:t>
            </w:r>
            <w:r>
              <w:rPr>
                <w:i/>
                <w:iCs/>
              </w:rPr>
              <w:t>диария,</w:t>
            </w:r>
            <w:r>
              <w:t xml:space="preserve"> метеоризъм, подуване на корема, сухота в устата</w:t>
            </w:r>
          </w:p>
        </w:tc>
      </w:tr>
      <w:tr w:rsidR="00790351" w14:paraId="622A3197" w14:textId="77777777" w:rsidTr="00790351">
        <w:tc>
          <w:tcPr>
            <w:tcW w:w="4644" w:type="dxa"/>
          </w:tcPr>
          <w:p w14:paraId="60CB6CD5" w14:textId="501685FF" w:rsidR="00790351" w:rsidRDefault="00790351" w:rsidP="00790351">
            <w:pPr>
              <w:rPr>
                <w:rFonts w:cs="Arial"/>
                <w:sz w:val="24"/>
              </w:rPr>
            </w:pPr>
            <w:r>
              <w:t>Нечести</w:t>
            </w:r>
          </w:p>
        </w:tc>
        <w:tc>
          <w:tcPr>
            <w:tcW w:w="4932" w:type="dxa"/>
            <w:vAlign w:val="bottom"/>
          </w:tcPr>
          <w:p w14:paraId="771B020A" w14:textId="0B1F5D82" w:rsidR="00790351" w:rsidRDefault="00790351" w:rsidP="00790351">
            <w:pPr>
              <w:rPr>
                <w:rFonts w:cs="Arial"/>
                <w:sz w:val="24"/>
              </w:rPr>
            </w:pPr>
            <w:r>
              <w:t>Гастроезофагеален рефлукс, хиперсаливация, хипоестезия в устната кухина</w:t>
            </w:r>
          </w:p>
        </w:tc>
      </w:tr>
      <w:tr w:rsidR="00790351" w14:paraId="750D805D" w14:textId="77777777" w:rsidTr="00790351">
        <w:tc>
          <w:tcPr>
            <w:tcW w:w="4644" w:type="dxa"/>
            <w:vAlign w:val="bottom"/>
          </w:tcPr>
          <w:p w14:paraId="07BD66B8" w14:textId="4D52FDD9" w:rsidR="00790351" w:rsidRDefault="00790351" w:rsidP="00790351">
            <w:pPr>
              <w:rPr>
                <w:rFonts w:cs="Arial"/>
                <w:sz w:val="24"/>
              </w:rPr>
            </w:pPr>
            <w:r>
              <w:t>Редки</w:t>
            </w:r>
          </w:p>
        </w:tc>
        <w:tc>
          <w:tcPr>
            <w:tcW w:w="4932" w:type="dxa"/>
            <w:vAlign w:val="bottom"/>
          </w:tcPr>
          <w:p w14:paraId="081A53CC" w14:textId="03E13B76" w:rsidR="00790351" w:rsidRDefault="00790351" w:rsidP="00790351">
            <w:pPr>
              <w:rPr>
                <w:rFonts w:cs="Arial"/>
                <w:sz w:val="24"/>
              </w:rPr>
            </w:pPr>
            <w:r>
              <w:t xml:space="preserve">Асцит, панкреатит, </w:t>
            </w:r>
            <w:r>
              <w:rPr>
                <w:i/>
                <w:iCs/>
              </w:rPr>
              <w:t>подуване на езика,</w:t>
            </w:r>
            <w:r>
              <w:t xml:space="preserve"> дисфагия</w:t>
            </w:r>
          </w:p>
        </w:tc>
      </w:tr>
      <w:tr w:rsidR="00790351" w14:paraId="0A9FFFCE" w14:textId="77777777" w:rsidTr="00790351">
        <w:tc>
          <w:tcPr>
            <w:tcW w:w="9576" w:type="dxa"/>
            <w:gridSpan w:val="2"/>
          </w:tcPr>
          <w:p w14:paraId="5110BFEE" w14:textId="19AAB4E7" w:rsidR="00790351" w:rsidRPr="00790351" w:rsidRDefault="00790351" w:rsidP="00790351">
            <w:pPr>
              <w:rPr>
                <w:rFonts w:cs="Arial"/>
                <w:b/>
                <w:sz w:val="24"/>
              </w:rPr>
            </w:pPr>
            <w:r w:rsidRPr="00790351">
              <w:rPr>
                <w:b/>
              </w:rPr>
              <w:t>Хепатобилиарнн нарушения</w:t>
            </w:r>
          </w:p>
        </w:tc>
      </w:tr>
      <w:tr w:rsidR="00790351" w14:paraId="6EF25A68" w14:textId="77777777" w:rsidTr="00790351">
        <w:tc>
          <w:tcPr>
            <w:tcW w:w="4644" w:type="dxa"/>
            <w:vAlign w:val="bottom"/>
          </w:tcPr>
          <w:p w14:paraId="37253C5B" w14:textId="4B1DA1BD" w:rsidR="00790351" w:rsidRDefault="00790351" w:rsidP="00790351">
            <w:pPr>
              <w:rPr>
                <w:rFonts w:cs="Arial"/>
                <w:sz w:val="24"/>
              </w:rPr>
            </w:pPr>
            <w:r>
              <w:t>Нечести</w:t>
            </w:r>
          </w:p>
        </w:tc>
        <w:tc>
          <w:tcPr>
            <w:tcW w:w="4932" w:type="dxa"/>
            <w:vAlign w:val="bottom"/>
          </w:tcPr>
          <w:p w14:paraId="2A894394" w14:textId="4AD29ABD" w:rsidR="00790351" w:rsidRDefault="00790351" w:rsidP="00790351">
            <w:pPr>
              <w:rPr>
                <w:rFonts w:cs="Arial"/>
                <w:sz w:val="24"/>
              </w:rPr>
            </w:pPr>
            <w:r>
              <w:t>Повишени стойности на чернодробните ензими*</w:t>
            </w:r>
          </w:p>
        </w:tc>
      </w:tr>
      <w:tr w:rsidR="00790351" w14:paraId="5FE76103" w14:textId="77777777" w:rsidTr="00790351">
        <w:tc>
          <w:tcPr>
            <w:tcW w:w="4644" w:type="dxa"/>
            <w:vAlign w:val="bottom"/>
          </w:tcPr>
          <w:p w14:paraId="62833939" w14:textId="0C871EA7" w:rsidR="00790351" w:rsidRDefault="00790351" w:rsidP="00790351">
            <w:pPr>
              <w:rPr>
                <w:rFonts w:cs="Arial"/>
                <w:sz w:val="24"/>
              </w:rPr>
            </w:pPr>
            <w:r>
              <w:t>Редки</w:t>
            </w:r>
          </w:p>
        </w:tc>
        <w:tc>
          <w:tcPr>
            <w:tcW w:w="4932" w:type="dxa"/>
            <w:vAlign w:val="bottom"/>
          </w:tcPr>
          <w:p w14:paraId="5F3719D8" w14:textId="36AFA5EA" w:rsidR="00790351" w:rsidRDefault="00790351" w:rsidP="00790351">
            <w:pPr>
              <w:rPr>
                <w:rFonts w:cs="Arial"/>
                <w:sz w:val="24"/>
              </w:rPr>
            </w:pPr>
            <w:r>
              <w:t>Жълтеница</w:t>
            </w:r>
          </w:p>
        </w:tc>
      </w:tr>
      <w:tr w:rsidR="00790351" w14:paraId="399ADB79" w14:textId="77777777" w:rsidTr="00790351">
        <w:tc>
          <w:tcPr>
            <w:tcW w:w="4644" w:type="dxa"/>
          </w:tcPr>
          <w:p w14:paraId="4A819F5C" w14:textId="0B7CD329" w:rsidR="00790351" w:rsidRDefault="00790351" w:rsidP="00790351">
            <w:pPr>
              <w:rPr>
                <w:rFonts w:cs="Arial"/>
                <w:sz w:val="24"/>
              </w:rPr>
            </w:pPr>
            <w:r>
              <w:t>Много редки</w:t>
            </w:r>
          </w:p>
        </w:tc>
        <w:tc>
          <w:tcPr>
            <w:tcW w:w="4932" w:type="dxa"/>
          </w:tcPr>
          <w:p w14:paraId="69CB5C25" w14:textId="4EBD7481" w:rsidR="00790351" w:rsidRDefault="00790351" w:rsidP="00790351">
            <w:pPr>
              <w:rPr>
                <w:rFonts w:cs="Arial"/>
                <w:sz w:val="24"/>
              </w:rPr>
            </w:pPr>
            <w:r>
              <w:t>Чернодробна недостатъчност, хепатит</w:t>
            </w:r>
          </w:p>
        </w:tc>
      </w:tr>
      <w:tr w:rsidR="00790351" w14:paraId="08962D96" w14:textId="77777777" w:rsidTr="00790351">
        <w:tc>
          <w:tcPr>
            <w:tcW w:w="9576" w:type="dxa"/>
            <w:gridSpan w:val="2"/>
          </w:tcPr>
          <w:p w14:paraId="7F054788" w14:textId="7CC92C4F" w:rsidR="00790351" w:rsidRPr="00790351" w:rsidRDefault="00790351" w:rsidP="00790351">
            <w:pPr>
              <w:rPr>
                <w:rFonts w:cs="Arial"/>
                <w:b/>
                <w:sz w:val="24"/>
              </w:rPr>
            </w:pPr>
            <w:r w:rsidRPr="00790351">
              <w:rPr>
                <w:b/>
              </w:rPr>
              <w:t>Нарушения на кожата и подкожната тъкан</w:t>
            </w:r>
          </w:p>
        </w:tc>
      </w:tr>
      <w:tr w:rsidR="00790351" w14:paraId="136A0D49" w14:textId="77777777" w:rsidTr="00790351">
        <w:tc>
          <w:tcPr>
            <w:tcW w:w="4644" w:type="dxa"/>
          </w:tcPr>
          <w:p w14:paraId="045F8CAB" w14:textId="1ADA2948" w:rsidR="00790351" w:rsidRDefault="00790351" w:rsidP="00790351">
            <w:pPr>
              <w:rPr>
                <w:rFonts w:cs="Arial"/>
                <w:sz w:val="24"/>
              </w:rPr>
            </w:pPr>
            <w:r>
              <w:t>Нечести</w:t>
            </w:r>
          </w:p>
        </w:tc>
        <w:tc>
          <w:tcPr>
            <w:tcW w:w="4932" w:type="dxa"/>
          </w:tcPr>
          <w:p w14:paraId="60A41FEF" w14:textId="3E6E7092" w:rsidR="00790351" w:rsidRDefault="00790351" w:rsidP="00790351">
            <w:pPr>
              <w:rPr>
                <w:rFonts w:cs="Arial"/>
                <w:sz w:val="24"/>
              </w:rPr>
            </w:pPr>
            <w:r>
              <w:t xml:space="preserve">Папулозен обрив, уртикария, хиперхидроза, </w:t>
            </w:r>
            <w:r>
              <w:rPr>
                <w:i/>
                <w:iCs/>
              </w:rPr>
              <w:t>сърбеж</w:t>
            </w:r>
          </w:p>
        </w:tc>
      </w:tr>
      <w:tr w:rsidR="00790351" w14:paraId="43D5E57D" w14:textId="77777777" w:rsidTr="00790351">
        <w:tc>
          <w:tcPr>
            <w:tcW w:w="4644" w:type="dxa"/>
          </w:tcPr>
          <w:p w14:paraId="668C6DDA" w14:textId="2DE15A78" w:rsidR="00790351" w:rsidRDefault="00790351" w:rsidP="00790351">
            <w:pPr>
              <w:rPr>
                <w:rFonts w:cs="Arial"/>
                <w:sz w:val="24"/>
              </w:rPr>
            </w:pPr>
            <w:r>
              <w:t>Редки</w:t>
            </w:r>
          </w:p>
        </w:tc>
        <w:tc>
          <w:tcPr>
            <w:tcW w:w="4932" w:type="dxa"/>
          </w:tcPr>
          <w:p w14:paraId="345F3736" w14:textId="395887BC" w:rsidR="00790351" w:rsidRDefault="00790351" w:rsidP="00790351">
            <w:pPr>
              <w:rPr>
                <w:rFonts w:cs="Arial"/>
                <w:sz w:val="24"/>
              </w:rPr>
            </w:pPr>
            <w:r>
              <w:rPr>
                <w:i/>
                <w:iCs/>
              </w:rPr>
              <w:t>Синдром на Стивънс-Джонсън,</w:t>
            </w:r>
            <w:r>
              <w:t xml:space="preserve"> студена пот</w:t>
            </w:r>
          </w:p>
        </w:tc>
      </w:tr>
      <w:tr w:rsidR="00790351" w14:paraId="77CC1F06" w14:textId="77777777" w:rsidTr="00790351">
        <w:tc>
          <w:tcPr>
            <w:tcW w:w="9576" w:type="dxa"/>
            <w:gridSpan w:val="2"/>
          </w:tcPr>
          <w:p w14:paraId="2D141DE8" w14:textId="22695483" w:rsidR="00790351" w:rsidRPr="00790351" w:rsidRDefault="00790351" w:rsidP="00790351">
            <w:pPr>
              <w:rPr>
                <w:rFonts w:cs="Arial"/>
                <w:b/>
                <w:sz w:val="24"/>
              </w:rPr>
            </w:pPr>
            <w:r w:rsidRPr="00790351">
              <w:rPr>
                <w:b/>
                <w:lang w:eastAsia="bg-BG"/>
              </w:rPr>
              <w:t>Нарушения на мускуло-скелетната система и съединителната тъкан</w:t>
            </w:r>
          </w:p>
        </w:tc>
      </w:tr>
      <w:tr w:rsidR="00790351" w14:paraId="7A1B211F" w14:textId="77777777" w:rsidTr="00790351">
        <w:tc>
          <w:tcPr>
            <w:tcW w:w="4644" w:type="dxa"/>
          </w:tcPr>
          <w:p w14:paraId="6CCF2FE6" w14:textId="705158A2" w:rsidR="00790351" w:rsidRDefault="00790351" w:rsidP="00790351">
            <w:pPr>
              <w:rPr>
                <w:rFonts w:cs="Arial"/>
                <w:sz w:val="24"/>
              </w:rPr>
            </w:pPr>
            <w:r>
              <w:t>Чести</w:t>
            </w:r>
          </w:p>
        </w:tc>
        <w:tc>
          <w:tcPr>
            <w:tcW w:w="4932" w:type="dxa"/>
          </w:tcPr>
          <w:p w14:paraId="636D7B2C" w14:textId="7BC23ADB" w:rsidR="00790351" w:rsidRDefault="00790351" w:rsidP="00790351">
            <w:pPr>
              <w:rPr>
                <w:rFonts w:cs="Arial"/>
                <w:sz w:val="24"/>
              </w:rPr>
            </w:pPr>
            <w:r>
              <w:t>Мускулни крампи, артралгия, болки в гърба, болки в крайниците, цервикапен спазъм</w:t>
            </w:r>
          </w:p>
        </w:tc>
      </w:tr>
      <w:tr w:rsidR="00790351" w14:paraId="6979B859" w14:textId="77777777" w:rsidTr="00790351">
        <w:tc>
          <w:tcPr>
            <w:tcW w:w="4644" w:type="dxa"/>
          </w:tcPr>
          <w:p w14:paraId="7DD28FCE" w14:textId="6558D513" w:rsidR="00790351" w:rsidRDefault="00790351" w:rsidP="00790351">
            <w:pPr>
              <w:rPr>
                <w:rFonts w:cs="Arial"/>
                <w:sz w:val="24"/>
              </w:rPr>
            </w:pPr>
            <w:r>
              <w:lastRenderedPageBreak/>
              <w:t>Нечести</w:t>
            </w:r>
          </w:p>
        </w:tc>
        <w:tc>
          <w:tcPr>
            <w:tcW w:w="4932" w:type="dxa"/>
          </w:tcPr>
          <w:p w14:paraId="11E3C142" w14:textId="1BF31AF0" w:rsidR="00790351" w:rsidRDefault="00790351" w:rsidP="00790351">
            <w:pPr>
              <w:rPr>
                <w:rFonts w:cs="Arial"/>
                <w:sz w:val="24"/>
              </w:rPr>
            </w:pPr>
            <w:r>
              <w:t>Подуване на ставите, миалгия, мускулни потрепвалия, болки във врата, мускулна скованост</w:t>
            </w:r>
          </w:p>
        </w:tc>
      </w:tr>
      <w:tr w:rsidR="00790351" w14:paraId="51A4AC7C" w14:textId="77777777" w:rsidTr="00790351">
        <w:tc>
          <w:tcPr>
            <w:tcW w:w="4644" w:type="dxa"/>
          </w:tcPr>
          <w:p w14:paraId="7DA21116" w14:textId="585D2547" w:rsidR="00790351" w:rsidRDefault="00790351" w:rsidP="00790351">
            <w:pPr>
              <w:rPr>
                <w:rFonts w:cs="Arial"/>
                <w:sz w:val="24"/>
              </w:rPr>
            </w:pPr>
            <w:r>
              <w:t>Редки</w:t>
            </w:r>
          </w:p>
        </w:tc>
        <w:tc>
          <w:tcPr>
            <w:tcW w:w="4932" w:type="dxa"/>
          </w:tcPr>
          <w:p w14:paraId="4D766244" w14:textId="086C0890" w:rsidR="00790351" w:rsidRDefault="00790351" w:rsidP="00790351">
            <w:pPr>
              <w:rPr>
                <w:rFonts w:cs="Arial"/>
                <w:sz w:val="24"/>
              </w:rPr>
            </w:pPr>
            <w:r>
              <w:t>Рабдомиолиза</w:t>
            </w:r>
          </w:p>
        </w:tc>
      </w:tr>
      <w:tr w:rsidR="00790351" w14:paraId="0F1B3FD0" w14:textId="77777777" w:rsidTr="00790351">
        <w:tc>
          <w:tcPr>
            <w:tcW w:w="9576" w:type="dxa"/>
            <w:gridSpan w:val="2"/>
          </w:tcPr>
          <w:p w14:paraId="2171356C" w14:textId="55950908" w:rsidR="00790351" w:rsidRPr="00790351" w:rsidRDefault="00790351" w:rsidP="00790351">
            <w:pPr>
              <w:rPr>
                <w:rFonts w:cs="Arial"/>
                <w:b/>
                <w:sz w:val="24"/>
              </w:rPr>
            </w:pPr>
            <w:r w:rsidRPr="00790351">
              <w:rPr>
                <w:b/>
              </w:rPr>
              <w:t>Нарушения на бъбреците и пикочните пътища</w:t>
            </w:r>
          </w:p>
        </w:tc>
      </w:tr>
      <w:tr w:rsidR="00790351" w14:paraId="21669A32" w14:textId="77777777" w:rsidTr="00790351">
        <w:tc>
          <w:tcPr>
            <w:tcW w:w="4644" w:type="dxa"/>
          </w:tcPr>
          <w:p w14:paraId="236BBE4B" w14:textId="16C040AF" w:rsidR="00790351" w:rsidRDefault="00790351" w:rsidP="00790351">
            <w:pPr>
              <w:rPr>
                <w:rFonts w:cs="Arial"/>
                <w:sz w:val="24"/>
              </w:rPr>
            </w:pPr>
            <w:r>
              <w:t>Нечести</w:t>
            </w:r>
          </w:p>
        </w:tc>
        <w:tc>
          <w:tcPr>
            <w:tcW w:w="4932" w:type="dxa"/>
          </w:tcPr>
          <w:p w14:paraId="777011C5" w14:textId="687E3CC8" w:rsidR="00790351" w:rsidRDefault="00790351" w:rsidP="00790351">
            <w:pPr>
              <w:rPr>
                <w:rFonts w:cs="Arial"/>
                <w:sz w:val="24"/>
              </w:rPr>
            </w:pPr>
            <w:r>
              <w:t>Инконтиненция на урината, дизурия</w:t>
            </w:r>
          </w:p>
        </w:tc>
      </w:tr>
      <w:tr w:rsidR="00790351" w14:paraId="01B748FC" w14:textId="77777777" w:rsidTr="00790351">
        <w:tc>
          <w:tcPr>
            <w:tcW w:w="4644" w:type="dxa"/>
          </w:tcPr>
          <w:p w14:paraId="78362BBB" w14:textId="4DEEC23C" w:rsidR="00790351" w:rsidRDefault="00790351" w:rsidP="00790351">
            <w:pPr>
              <w:rPr>
                <w:rFonts w:cs="Arial"/>
                <w:sz w:val="24"/>
              </w:rPr>
            </w:pPr>
            <w:r>
              <w:t>Редки</w:t>
            </w:r>
          </w:p>
        </w:tc>
        <w:tc>
          <w:tcPr>
            <w:tcW w:w="4932" w:type="dxa"/>
          </w:tcPr>
          <w:p w14:paraId="51388E48" w14:textId="5B9E621E" w:rsidR="00790351" w:rsidRDefault="00790351" w:rsidP="00790351">
            <w:pPr>
              <w:rPr>
                <w:rFonts w:cs="Arial"/>
                <w:sz w:val="24"/>
              </w:rPr>
            </w:pPr>
            <w:r>
              <w:t xml:space="preserve">Бъбречна недостатъчност, олигурия, </w:t>
            </w:r>
            <w:r>
              <w:rPr>
                <w:i/>
                <w:iCs/>
              </w:rPr>
              <w:t>ретенция на урината</w:t>
            </w:r>
          </w:p>
        </w:tc>
      </w:tr>
      <w:tr w:rsidR="00790351" w14:paraId="58DC5523" w14:textId="77777777" w:rsidTr="00790351">
        <w:tc>
          <w:tcPr>
            <w:tcW w:w="9576" w:type="dxa"/>
            <w:gridSpan w:val="2"/>
          </w:tcPr>
          <w:p w14:paraId="5BC61339" w14:textId="250346D4" w:rsidR="00790351" w:rsidRPr="00790351" w:rsidRDefault="00790351" w:rsidP="00790351">
            <w:pPr>
              <w:rPr>
                <w:rFonts w:cs="Arial"/>
                <w:b/>
                <w:sz w:val="24"/>
              </w:rPr>
            </w:pPr>
            <w:r w:rsidRPr="00790351">
              <w:rPr>
                <w:b/>
                <w:lang w:eastAsia="bg-BG"/>
              </w:rPr>
              <w:t>Нарушения на възпроизводителната система и гърдата</w:t>
            </w:r>
          </w:p>
        </w:tc>
      </w:tr>
      <w:tr w:rsidR="00790351" w14:paraId="280C2F4A" w14:textId="77777777" w:rsidTr="00790351">
        <w:tc>
          <w:tcPr>
            <w:tcW w:w="4644" w:type="dxa"/>
          </w:tcPr>
          <w:p w14:paraId="17BAFAFB" w14:textId="66173E08" w:rsidR="00790351" w:rsidRDefault="00790351" w:rsidP="00790351">
            <w:pPr>
              <w:rPr>
                <w:rFonts w:cs="Arial"/>
                <w:sz w:val="24"/>
              </w:rPr>
            </w:pPr>
            <w:r>
              <w:t>Чести</w:t>
            </w:r>
          </w:p>
        </w:tc>
        <w:tc>
          <w:tcPr>
            <w:tcW w:w="4932" w:type="dxa"/>
          </w:tcPr>
          <w:p w14:paraId="7B3B2BCC" w14:textId="24B3B13E" w:rsidR="00790351" w:rsidRDefault="00790351" w:rsidP="00790351">
            <w:pPr>
              <w:rPr>
                <w:rFonts w:cs="Arial"/>
                <w:sz w:val="24"/>
              </w:rPr>
            </w:pPr>
            <w:r>
              <w:t>Еректилна дисфункция</w:t>
            </w:r>
          </w:p>
        </w:tc>
      </w:tr>
      <w:tr w:rsidR="00790351" w14:paraId="30D43CD7" w14:textId="77777777" w:rsidTr="00790351">
        <w:tc>
          <w:tcPr>
            <w:tcW w:w="4644" w:type="dxa"/>
          </w:tcPr>
          <w:p w14:paraId="767EFF39" w14:textId="1CA3666D" w:rsidR="00790351" w:rsidRDefault="00790351" w:rsidP="00790351">
            <w:pPr>
              <w:rPr>
                <w:rFonts w:cs="Arial"/>
                <w:sz w:val="24"/>
              </w:rPr>
            </w:pPr>
            <w:r>
              <w:t>Нечести</w:t>
            </w:r>
          </w:p>
        </w:tc>
        <w:tc>
          <w:tcPr>
            <w:tcW w:w="4932" w:type="dxa"/>
          </w:tcPr>
          <w:p w14:paraId="011229A5" w14:textId="439D2157" w:rsidR="00790351" w:rsidRDefault="00790351" w:rsidP="00790351">
            <w:pPr>
              <w:rPr>
                <w:rFonts w:cs="Arial"/>
                <w:sz w:val="24"/>
              </w:rPr>
            </w:pPr>
            <w:r>
              <w:t>Сексуална дисфункция, забавена еякулация, дисменорея, болки в гърдата</w:t>
            </w:r>
          </w:p>
        </w:tc>
      </w:tr>
      <w:tr w:rsidR="00790351" w14:paraId="68C6717A" w14:textId="77777777" w:rsidTr="00790351">
        <w:tc>
          <w:tcPr>
            <w:tcW w:w="4644" w:type="dxa"/>
          </w:tcPr>
          <w:p w14:paraId="592EC9CA" w14:textId="7E14D3DA" w:rsidR="00790351" w:rsidRDefault="00790351" w:rsidP="00790351">
            <w:pPr>
              <w:rPr>
                <w:rFonts w:cs="Arial"/>
                <w:sz w:val="24"/>
              </w:rPr>
            </w:pPr>
            <w:r>
              <w:t>Редки</w:t>
            </w:r>
          </w:p>
        </w:tc>
        <w:tc>
          <w:tcPr>
            <w:tcW w:w="4932" w:type="dxa"/>
          </w:tcPr>
          <w:p w14:paraId="73002CE0" w14:textId="00105CD1" w:rsidR="00790351" w:rsidRDefault="00790351" w:rsidP="00790351">
            <w:pPr>
              <w:rPr>
                <w:rFonts w:cs="Arial"/>
                <w:sz w:val="24"/>
              </w:rPr>
            </w:pPr>
            <w:r>
              <w:t xml:space="preserve">Аменорея, секреция от гърдата, уголемяване на гърдите, </w:t>
            </w:r>
            <w:r>
              <w:rPr>
                <w:i/>
                <w:iCs/>
              </w:rPr>
              <w:t>гинекомастия</w:t>
            </w:r>
          </w:p>
        </w:tc>
      </w:tr>
      <w:tr w:rsidR="00790351" w14:paraId="4CDC2374" w14:textId="77777777" w:rsidTr="00790351">
        <w:tc>
          <w:tcPr>
            <w:tcW w:w="9576" w:type="dxa"/>
            <w:gridSpan w:val="2"/>
          </w:tcPr>
          <w:p w14:paraId="2C86DD14" w14:textId="2DEFEFB5" w:rsidR="00790351" w:rsidRPr="00790351" w:rsidRDefault="00790351" w:rsidP="00790351">
            <w:pPr>
              <w:rPr>
                <w:rFonts w:cs="Arial"/>
                <w:b/>
                <w:sz w:val="24"/>
              </w:rPr>
            </w:pPr>
            <w:r w:rsidRPr="00790351">
              <w:rPr>
                <w:b/>
              </w:rPr>
              <w:t>Общи нарушения и ефекти на мястото на приложение</w:t>
            </w:r>
          </w:p>
        </w:tc>
      </w:tr>
      <w:tr w:rsidR="00790351" w14:paraId="6CBDA1C6" w14:textId="77777777" w:rsidTr="00790351">
        <w:tc>
          <w:tcPr>
            <w:tcW w:w="4644" w:type="dxa"/>
          </w:tcPr>
          <w:p w14:paraId="3448F527" w14:textId="052CB90E" w:rsidR="00790351" w:rsidRDefault="00790351" w:rsidP="00790351">
            <w:pPr>
              <w:rPr>
                <w:rFonts w:cs="Arial"/>
                <w:sz w:val="24"/>
              </w:rPr>
            </w:pPr>
            <w:r>
              <w:t>Чести</w:t>
            </w:r>
          </w:p>
        </w:tc>
        <w:tc>
          <w:tcPr>
            <w:tcW w:w="4932" w:type="dxa"/>
          </w:tcPr>
          <w:p w14:paraId="6DF1B51A" w14:textId="1FC40B14" w:rsidR="00790351" w:rsidRDefault="00790351" w:rsidP="00790351">
            <w:pPr>
              <w:rPr>
                <w:rFonts w:cs="Arial"/>
                <w:sz w:val="24"/>
              </w:rPr>
            </w:pPr>
            <w:r>
              <w:t>Периферен оток, едем, нарушена походка, падане, чувство за опиянение, необичайно усещане, умора</w:t>
            </w:r>
          </w:p>
        </w:tc>
      </w:tr>
      <w:tr w:rsidR="00790351" w14:paraId="49148350" w14:textId="77777777" w:rsidTr="00790351">
        <w:tc>
          <w:tcPr>
            <w:tcW w:w="4644" w:type="dxa"/>
          </w:tcPr>
          <w:p w14:paraId="41F42888" w14:textId="3EE9D28F" w:rsidR="00790351" w:rsidRDefault="00790351" w:rsidP="00790351">
            <w:pPr>
              <w:rPr>
                <w:rFonts w:cs="Arial"/>
                <w:sz w:val="24"/>
              </w:rPr>
            </w:pPr>
            <w:r>
              <w:t>Нечести</w:t>
            </w:r>
          </w:p>
        </w:tc>
        <w:tc>
          <w:tcPr>
            <w:tcW w:w="4932" w:type="dxa"/>
          </w:tcPr>
          <w:p w14:paraId="4EC3D022" w14:textId="2B3F9F0D" w:rsidR="00790351" w:rsidRDefault="00790351" w:rsidP="00790351">
            <w:pPr>
              <w:rPr>
                <w:rFonts w:cs="Arial"/>
                <w:sz w:val="24"/>
              </w:rPr>
            </w:pPr>
            <w:r>
              <w:t xml:space="preserve">Генерализиран оток, </w:t>
            </w:r>
            <w:r>
              <w:rPr>
                <w:i/>
                <w:iCs/>
              </w:rPr>
              <w:t>оток на лицето, стягане</w:t>
            </w:r>
            <w:r>
              <w:t xml:space="preserve"> в гърдите, болка, треска, жажда, студени тръпки, астения</w:t>
            </w:r>
          </w:p>
        </w:tc>
      </w:tr>
      <w:tr w:rsidR="00790351" w14:paraId="1525C19A" w14:textId="77777777" w:rsidTr="00790351">
        <w:tc>
          <w:tcPr>
            <w:tcW w:w="9576" w:type="dxa"/>
            <w:gridSpan w:val="2"/>
          </w:tcPr>
          <w:p w14:paraId="68BC26B4" w14:textId="74305FC6" w:rsidR="00790351" w:rsidRPr="00790351" w:rsidRDefault="00790351" w:rsidP="00790351">
            <w:pPr>
              <w:rPr>
                <w:rFonts w:cs="Arial"/>
                <w:b/>
                <w:sz w:val="24"/>
              </w:rPr>
            </w:pPr>
            <w:r w:rsidRPr="00790351">
              <w:rPr>
                <w:b/>
                <w:lang w:eastAsia="bg-BG"/>
              </w:rPr>
              <w:t>Изследвания</w:t>
            </w:r>
          </w:p>
        </w:tc>
      </w:tr>
      <w:tr w:rsidR="00790351" w14:paraId="5E47D159" w14:textId="77777777" w:rsidTr="00790351">
        <w:tc>
          <w:tcPr>
            <w:tcW w:w="4644" w:type="dxa"/>
          </w:tcPr>
          <w:p w14:paraId="6480EE3C" w14:textId="1F6F8DC9" w:rsidR="00790351" w:rsidRDefault="00790351" w:rsidP="00790351">
            <w:pPr>
              <w:rPr>
                <w:rFonts w:cs="Arial"/>
                <w:sz w:val="24"/>
              </w:rPr>
            </w:pPr>
            <w:r>
              <w:t>Чести</w:t>
            </w:r>
          </w:p>
        </w:tc>
        <w:tc>
          <w:tcPr>
            <w:tcW w:w="4932" w:type="dxa"/>
          </w:tcPr>
          <w:p w14:paraId="414063F7" w14:textId="159F269F" w:rsidR="00790351" w:rsidRDefault="00790351" w:rsidP="00790351">
            <w:pPr>
              <w:rPr>
                <w:rFonts w:cs="Arial"/>
                <w:sz w:val="24"/>
              </w:rPr>
            </w:pPr>
            <w:r>
              <w:t>Увеличено тегло</w:t>
            </w:r>
          </w:p>
        </w:tc>
      </w:tr>
      <w:tr w:rsidR="00790351" w14:paraId="4A2AF9BC" w14:textId="77777777" w:rsidTr="00790351">
        <w:tc>
          <w:tcPr>
            <w:tcW w:w="4644" w:type="dxa"/>
          </w:tcPr>
          <w:p w14:paraId="04371C47" w14:textId="159969FF" w:rsidR="00790351" w:rsidRDefault="00790351" w:rsidP="00790351">
            <w:pPr>
              <w:rPr>
                <w:rFonts w:cs="Arial"/>
                <w:sz w:val="24"/>
              </w:rPr>
            </w:pPr>
            <w:r>
              <w:t>Нечести</w:t>
            </w:r>
          </w:p>
        </w:tc>
        <w:tc>
          <w:tcPr>
            <w:tcW w:w="4932" w:type="dxa"/>
          </w:tcPr>
          <w:p w14:paraId="51447435" w14:textId="39841302" w:rsidR="00790351" w:rsidRDefault="00790351" w:rsidP="00790351">
            <w:pPr>
              <w:rPr>
                <w:rFonts w:cs="Arial"/>
                <w:sz w:val="24"/>
              </w:rPr>
            </w:pPr>
            <w:r>
              <w:t>Повишена креатинфосфокиназа в кръвта, повишена кръвна захар, намален брой тромбоцити, повишен серумен креатинин, намалено ниво на калий в кръвта, намаляване на теглото</w:t>
            </w:r>
          </w:p>
        </w:tc>
      </w:tr>
      <w:tr w:rsidR="00790351" w:rsidRPr="00790351" w14:paraId="58EB23EF" w14:textId="77777777" w:rsidTr="00790351">
        <w:tc>
          <w:tcPr>
            <w:tcW w:w="4644" w:type="dxa"/>
          </w:tcPr>
          <w:p w14:paraId="6DBB6B06" w14:textId="1ADA167C" w:rsidR="00790351" w:rsidRPr="00790351" w:rsidRDefault="00790351" w:rsidP="00790351">
            <w:pPr>
              <w:rPr>
                <w:rFonts w:cs="Arial"/>
              </w:rPr>
            </w:pPr>
            <w:r w:rsidRPr="00790351">
              <w:rPr>
                <w:rFonts w:cs="Arial"/>
              </w:rPr>
              <w:t>Редки</w:t>
            </w:r>
          </w:p>
        </w:tc>
        <w:tc>
          <w:tcPr>
            <w:tcW w:w="4932" w:type="dxa"/>
          </w:tcPr>
          <w:p w14:paraId="4A05BB31" w14:textId="3B9D55F5" w:rsidR="00790351" w:rsidRPr="00790351" w:rsidRDefault="00790351" w:rsidP="00790351">
            <w:pPr>
              <w:rPr>
                <w:rFonts w:cs="Arial"/>
              </w:rPr>
            </w:pPr>
            <w:r w:rsidRPr="00790351">
              <w:rPr>
                <w:rFonts w:cs="Arial"/>
              </w:rPr>
              <w:t>Намален брой на левкоцитите</w:t>
            </w:r>
          </w:p>
        </w:tc>
      </w:tr>
    </w:tbl>
    <w:p w14:paraId="5A57AA03"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*Повишена аланин аминотрансфераза </w:t>
      </w:r>
      <w:r w:rsidRPr="00790351">
        <w:rPr>
          <w:rFonts w:eastAsia="Times New Roman" w:cs="Arial"/>
          <w:color w:val="000000"/>
          <w:lang w:val="ru-RU"/>
        </w:rPr>
        <w:t>(</w:t>
      </w:r>
      <w:r w:rsidRPr="00790351">
        <w:rPr>
          <w:rFonts w:eastAsia="Times New Roman" w:cs="Arial"/>
          <w:color w:val="000000"/>
          <w:lang w:val="en-US"/>
        </w:rPr>
        <w:t>ALT</w:t>
      </w:r>
      <w:r w:rsidRPr="00790351">
        <w:rPr>
          <w:rFonts w:eastAsia="Times New Roman" w:cs="Arial"/>
          <w:color w:val="000000"/>
          <w:lang w:val="ru-RU"/>
        </w:rPr>
        <w:t xml:space="preserve">) </w:t>
      </w:r>
      <w:r w:rsidRPr="00790351">
        <w:rPr>
          <w:rFonts w:eastAsia="Times New Roman" w:cs="Arial"/>
          <w:color w:val="000000"/>
          <w:lang w:eastAsia="bg-BG"/>
        </w:rPr>
        <w:t xml:space="preserve">и повишена аспартат аминотрансфераза </w:t>
      </w:r>
      <w:r w:rsidRPr="00790351">
        <w:rPr>
          <w:rFonts w:eastAsia="Times New Roman" w:cs="Arial"/>
          <w:color w:val="000000"/>
          <w:lang w:val="ru-RU"/>
        </w:rPr>
        <w:t>(</w:t>
      </w:r>
      <w:r w:rsidRPr="00790351">
        <w:rPr>
          <w:rFonts w:eastAsia="Times New Roman" w:cs="Arial"/>
          <w:color w:val="000000"/>
          <w:lang w:val="en-US"/>
        </w:rPr>
        <w:t>AST</w:t>
      </w:r>
      <w:r w:rsidRPr="00790351">
        <w:rPr>
          <w:rFonts w:eastAsia="Times New Roman" w:cs="Arial"/>
          <w:color w:val="000000"/>
          <w:lang w:val="ru-RU"/>
        </w:rPr>
        <w:t>)</w:t>
      </w:r>
    </w:p>
    <w:p w14:paraId="1CF338F3" w14:textId="77777777" w:rsidR="00790351" w:rsidRPr="00790351" w:rsidRDefault="00790351" w:rsidP="00790351">
      <w:pPr>
        <w:spacing w:line="240" w:lineRule="auto"/>
        <w:rPr>
          <w:rFonts w:eastAsia="Times New Roman" w:cs="Arial"/>
          <w:color w:val="000000"/>
          <w:lang w:eastAsia="bg-BG"/>
        </w:rPr>
      </w:pPr>
    </w:p>
    <w:p w14:paraId="7022106D" w14:textId="50E5DA44" w:rsidR="00790351" w:rsidRPr="00790351" w:rsidRDefault="00790351" w:rsidP="00790351">
      <w:pPr>
        <w:spacing w:line="240" w:lineRule="auto"/>
        <w:rPr>
          <w:rFonts w:eastAsia="Times New Roman" w:cs="Arial"/>
        </w:rPr>
      </w:pPr>
      <w:r w:rsidRPr="00790351">
        <w:rPr>
          <w:rFonts w:eastAsia="Times New Roman" w:cs="Arial"/>
          <w:color w:val="000000"/>
          <w:lang w:eastAsia="bg-BG"/>
        </w:rPr>
        <w:t>При някои пациенти са наблюдавани симптоми на отнемане след спиране на краткосрочното и дългосрочното лечение с прегабалин. Наблюдавани са следните реакции, показателни за физическа зависимост: безсъние, главоболие, гадене, тревожност, диария, грипен синдром, конвулсии, нервност, депресия, болка, хиперхидроза и замаяност. Пациентът трябва да бъде информиран за това в началото на лечението.</w:t>
      </w:r>
    </w:p>
    <w:p w14:paraId="75D6EA42" w14:textId="77777777" w:rsidR="00790351" w:rsidRPr="00790351" w:rsidRDefault="00790351" w:rsidP="00790351">
      <w:pPr>
        <w:spacing w:line="240" w:lineRule="auto"/>
        <w:rPr>
          <w:rFonts w:eastAsia="Times New Roman" w:cs="Arial"/>
          <w:color w:val="000000"/>
          <w:lang w:eastAsia="bg-BG"/>
        </w:rPr>
      </w:pPr>
    </w:p>
    <w:p w14:paraId="65DD0F8B" w14:textId="6849E4AF" w:rsidR="00790351" w:rsidRPr="00790351" w:rsidRDefault="00790351" w:rsidP="00790351">
      <w:pPr>
        <w:spacing w:line="240" w:lineRule="auto"/>
        <w:rPr>
          <w:rFonts w:eastAsia="Times New Roman" w:cs="Arial"/>
        </w:rPr>
      </w:pPr>
      <w:r w:rsidRPr="00790351">
        <w:rPr>
          <w:rFonts w:eastAsia="Times New Roman" w:cs="Arial"/>
          <w:color w:val="000000"/>
          <w:lang w:eastAsia="bg-BG"/>
        </w:rPr>
        <w:t>Данните показват, че във връзка с прекратяването на продължителното лечение с прегабалин, честотата и тежестта на симптомите на отнемане могат да бъдат дозозависими.</w:t>
      </w:r>
    </w:p>
    <w:p w14:paraId="5EB531F1" w14:textId="77777777" w:rsidR="00790351" w:rsidRPr="00790351" w:rsidRDefault="00790351" w:rsidP="00790351">
      <w:pPr>
        <w:spacing w:line="240" w:lineRule="auto"/>
        <w:rPr>
          <w:rFonts w:eastAsia="Times New Roman" w:cs="Arial"/>
          <w:color w:val="000000"/>
          <w:u w:val="single"/>
          <w:lang w:eastAsia="bg-BG"/>
        </w:rPr>
      </w:pPr>
    </w:p>
    <w:p w14:paraId="6CAA41B4" w14:textId="1D7CFAFB" w:rsidR="00790351" w:rsidRPr="00790351" w:rsidRDefault="00790351" w:rsidP="00790351">
      <w:pPr>
        <w:spacing w:line="240" w:lineRule="auto"/>
        <w:rPr>
          <w:rFonts w:eastAsia="Times New Roman" w:cs="Arial"/>
        </w:rPr>
      </w:pPr>
      <w:r w:rsidRPr="00790351">
        <w:rPr>
          <w:rFonts w:eastAsia="Times New Roman" w:cs="Arial"/>
          <w:color w:val="000000"/>
          <w:u w:val="single"/>
          <w:lang w:eastAsia="bg-BG"/>
        </w:rPr>
        <w:t>Педиатрична популация</w:t>
      </w:r>
    </w:p>
    <w:p w14:paraId="5AA77A0B"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 xml:space="preserve">Профилът на безопасност на прегабалин, наблюдаван при пет педиатрични проучвания при пациенти с парциални пристъпи със или без вторична генерализация (12-седмично изпитване за оценка на ефикасността и безопасността при пациенти на възраст от 4 до 16 години, </w:t>
      </w:r>
      <w:r w:rsidRPr="00790351">
        <w:rPr>
          <w:rFonts w:eastAsia="Times New Roman" w:cs="Arial"/>
          <w:color w:val="000000"/>
          <w:lang w:val="en-US"/>
        </w:rPr>
        <w:t>n</w:t>
      </w:r>
      <w:r w:rsidRPr="00790351">
        <w:rPr>
          <w:rFonts w:eastAsia="Times New Roman" w:cs="Arial"/>
          <w:color w:val="000000"/>
          <w:lang w:eastAsia="bg-BG"/>
        </w:rPr>
        <w:t xml:space="preserve">=295; 14- дневно изпитване за оценка на ефикасността и безопасността при </w:t>
      </w:r>
      <w:r w:rsidRPr="00790351">
        <w:rPr>
          <w:rFonts w:eastAsia="Times New Roman" w:cs="Arial"/>
          <w:color w:val="000000"/>
          <w:lang w:eastAsia="bg-BG"/>
        </w:rPr>
        <w:lastRenderedPageBreak/>
        <w:t xml:space="preserve">пациенти на възраст от 1 месец до по-малко от 4 години, </w:t>
      </w:r>
      <w:r w:rsidRPr="00790351">
        <w:rPr>
          <w:rFonts w:eastAsia="Times New Roman" w:cs="Arial"/>
          <w:color w:val="000000"/>
          <w:lang w:val="en-US"/>
        </w:rPr>
        <w:t>n</w:t>
      </w:r>
      <w:r w:rsidRPr="00790351">
        <w:rPr>
          <w:rFonts w:eastAsia="Times New Roman" w:cs="Arial"/>
          <w:color w:val="000000"/>
          <w:lang w:eastAsia="bg-BG"/>
        </w:rPr>
        <w:t xml:space="preserve">=175; фармакокинетично проучване и проучване на поносимостта, </w:t>
      </w:r>
      <w:r w:rsidRPr="00790351">
        <w:rPr>
          <w:rFonts w:eastAsia="Times New Roman" w:cs="Arial"/>
          <w:color w:val="000000"/>
          <w:lang w:val="en-US"/>
        </w:rPr>
        <w:t>n</w:t>
      </w:r>
      <w:r w:rsidRPr="00790351">
        <w:rPr>
          <w:rFonts w:eastAsia="Times New Roman" w:cs="Arial"/>
          <w:color w:val="000000"/>
          <w:lang w:eastAsia="bg-BG"/>
        </w:rPr>
        <w:t xml:space="preserve">=65; две 1-годишни отворени изпитвания за проследяване на безопасност </w:t>
      </w:r>
      <w:r w:rsidRPr="00790351">
        <w:rPr>
          <w:rFonts w:eastAsia="Times New Roman" w:cs="Arial"/>
          <w:color w:val="000000"/>
          <w:lang w:val="en-US"/>
        </w:rPr>
        <w:t>n</w:t>
      </w:r>
      <w:r w:rsidRPr="00790351">
        <w:rPr>
          <w:rFonts w:eastAsia="Times New Roman" w:cs="Arial"/>
          <w:color w:val="000000"/>
          <w:lang w:eastAsia="bg-BG"/>
        </w:rPr>
        <w:t xml:space="preserve">=54и </w:t>
      </w:r>
      <w:r w:rsidRPr="00790351">
        <w:rPr>
          <w:rFonts w:eastAsia="Times New Roman" w:cs="Arial"/>
          <w:color w:val="000000"/>
          <w:lang w:val="en-US"/>
        </w:rPr>
        <w:t>n</w:t>
      </w:r>
      <w:r w:rsidRPr="00790351">
        <w:rPr>
          <w:rFonts w:eastAsia="Times New Roman" w:cs="Arial"/>
          <w:color w:val="000000"/>
          <w:lang w:eastAsia="bg-BG"/>
        </w:rPr>
        <w:t>=431), е сходен с този, наблюдаван при проучванията при възрастни с епилепсия.</w:t>
      </w:r>
    </w:p>
    <w:p w14:paraId="6601E850" w14:textId="77777777" w:rsidR="00790351" w:rsidRPr="00790351" w:rsidRDefault="00790351" w:rsidP="00790351">
      <w:pPr>
        <w:spacing w:line="240" w:lineRule="auto"/>
        <w:rPr>
          <w:rFonts w:eastAsia="Times New Roman" w:cs="Arial"/>
        </w:rPr>
      </w:pPr>
      <w:r w:rsidRPr="00790351">
        <w:rPr>
          <w:rFonts w:eastAsia="Times New Roman" w:cs="Arial"/>
          <w:color w:val="000000"/>
          <w:lang w:eastAsia="bg-BG"/>
        </w:rPr>
        <w:t>Найчестите нежелани събития, наблюдавани в 12-седмичното изпитване с лечение с прегабалин, са сънливост, пирексия, инфекция на горните дихателни пътища, повишен апетит, повишаване на теглото и назофарингит. Най-честите нежелани събития, наблюдавани в 14- дневното изпитване на лечение с прегабалин, са сънливост, инфекция на горните дихателни пътища и пирексия (вж. точки 4.2, 5.1 и 5.2).</w:t>
      </w:r>
    </w:p>
    <w:p w14:paraId="18F581B0" w14:textId="77777777" w:rsidR="00790351" w:rsidRPr="00790351" w:rsidRDefault="00790351" w:rsidP="00790351">
      <w:pPr>
        <w:rPr>
          <w:rFonts w:eastAsia="Times New Roman" w:cs="Arial"/>
          <w:color w:val="000000"/>
          <w:u w:val="single"/>
          <w:lang w:eastAsia="bg-BG"/>
        </w:rPr>
      </w:pPr>
    </w:p>
    <w:p w14:paraId="6AFD146C" w14:textId="3A7BF895" w:rsidR="00790351" w:rsidRDefault="00790351" w:rsidP="00790351">
      <w:pPr>
        <w:rPr>
          <w:rFonts w:eastAsia="Times New Roman" w:cs="Arial"/>
          <w:color w:val="000000"/>
          <w:u w:val="single"/>
          <w:lang w:eastAsia="bg-BG"/>
        </w:rPr>
      </w:pPr>
      <w:r w:rsidRPr="00790351">
        <w:rPr>
          <w:rFonts w:eastAsia="Times New Roman" w:cs="Arial"/>
          <w:color w:val="000000"/>
          <w:u w:val="single"/>
          <w:lang w:eastAsia="bg-BG"/>
        </w:rPr>
        <w:t>Съобщаване на подозирани нежелани реакции</w:t>
      </w:r>
    </w:p>
    <w:p w14:paraId="366DFB41" w14:textId="77777777" w:rsidR="00790351" w:rsidRPr="00790351" w:rsidRDefault="00790351" w:rsidP="00790351">
      <w:pPr>
        <w:rPr>
          <w:sz w:val="24"/>
          <w:szCs w:val="24"/>
        </w:rPr>
      </w:pPr>
      <w:r w:rsidRPr="00790351">
        <w:rPr>
          <w:lang w:eastAsia="bg-BG"/>
        </w:rPr>
        <w:t>Съобщаването на подозирани нежелани реакции след разрешаване за употреба на лекарствения продукт е важно.Това позволява да продължи наблюдението на съотношението полза/риск за лекарствения продукт.От медицинските специалисти се изисква да съобщават всяка подозирана нежелана реакция чрез</w:t>
      </w:r>
    </w:p>
    <w:p w14:paraId="344CC734" w14:textId="77777777" w:rsidR="00790351" w:rsidRPr="00790351" w:rsidRDefault="00790351" w:rsidP="00790351">
      <w:pPr>
        <w:rPr>
          <w:sz w:val="24"/>
          <w:szCs w:val="24"/>
        </w:rPr>
      </w:pPr>
      <w:r w:rsidRPr="00790351">
        <w:rPr>
          <w:lang w:eastAsia="bg-BG"/>
        </w:rPr>
        <w:t>Изпълнителна агенция по лекарствата ул. „Дамян Груев” № 8</w:t>
      </w:r>
    </w:p>
    <w:p w14:paraId="0082E086" w14:textId="77777777" w:rsidR="00790351" w:rsidRPr="00790351" w:rsidRDefault="00790351" w:rsidP="00790351">
      <w:pPr>
        <w:rPr>
          <w:sz w:val="24"/>
          <w:szCs w:val="24"/>
        </w:rPr>
      </w:pPr>
      <w:r w:rsidRPr="00790351">
        <w:rPr>
          <w:lang w:eastAsia="bg-BG"/>
        </w:rPr>
        <w:t>1303 София</w:t>
      </w:r>
    </w:p>
    <w:p w14:paraId="37EC24DC" w14:textId="77777777" w:rsidR="00790351" w:rsidRPr="00790351" w:rsidRDefault="00790351" w:rsidP="00790351">
      <w:pPr>
        <w:rPr>
          <w:sz w:val="24"/>
          <w:szCs w:val="24"/>
        </w:rPr>
      </w:pPr>
      <w:r w:rsidRPr="00790351">
        <w:rPr>
          <w:lang w:eastAsia="bg-BG"/>
        </w:rPr>
        <w:t>Тел.: +35 928903417</w:t>
      </w:r>
    </w:p>
    <w:p w14:paraId="794EDDE4" w14:textId="77777777" w:rsidR="00790351" w:rsidRPr="00790351" w:rsidRDefault="00790351" w:rsidP="00790351">
      <w:pPr>
        <w:rPr>
          <w:sz w:val="24"/>
          <w:szCs w:val="24"/>
        </w:rPr>
      </w:pPr>
      <w:r w:rsidRPr="00790351">
        <w:rPr>
          <w:lang w:eastAsia="bg-BG"/>
        </w:rPr>
        <w:t xml:space="preserve">уебсайт: </w:t>
      </w:r>
      <w:r w:rsidRPr="00790351">
        <w:rPr>
          <w:sz w:val="24"/>
          <w:szCs w:val="24"/>
        </w:rPr>
        <w:fldChar w:fldCharType="begin"/>
      </w:r>
      <w:r w:rsidRPr="00790351">
        <w:rPr>
          <w:sz w:val="24"/>
          <w:szCs w:val="24"/>
        </w:rPr>
        <w:instrText xml:space="preserve"> HYPERLINK "http://www.bda.bg" </w:instrText>
      </w:r>
      <w:r w:rsidRPr="00790351">
        <w:rPr>
          <w:sz w:val="24"/>
          <w:szCs w:val="24"/>
        </w:rPr>
      </w:r>
      <w:r w:rsidRPr="00790351">
        <w:rPr>
          <w:sz w:val="24"/>
          <w:szCs w:val="24"/>
        </w:rPr>
        <w:fldChar w:fldCharType="separate"/>
      </w:r>
      <w:r w:rsidRPr="00790351">
        <w:rPr>
          <w:lang w:val="en-US"/>
        </w:rPr>
        <w:t>www</w:t>
      </w:r>
      <w:r w:rsidRPr="00790351">
        <w:rPr>
          <w:lang w:val="ru-RU"/>
        </w:rPr>
        <w:t>.</w:t>
      </w:r>
      <w:proofErr w:type="spellStart"/>
      <w:r w:rsidRPr="00790351">
        <w:rPr>
          <w:lang w:val="en-US"/>
        </w:rPr>
        <w:t>bda</w:t>
      </w:r>
      <w:proofErr w:type="spellEnd"/>
      <w:r w:rsidRPr="00790351">
        <w:rPr>
          <w:lang w:val="ru-RU"/>
        </w:rPr>
        <w:t>.</w:t>
      </w:r>
      <w:proofErr w:type="spellStart"/>
      <w:r w:rsidRPr="00790351">
        <w:rPr>
          <w:lang w:val="en-US"/>
        </w:rPr>
        <w:t>bg</w:t>
      </w:r>
      <w:proofErr w:type="spellEnd"/>
      <w:r w:rsidRPr="00790351">
        <w:rPr>
          <w:sz w:val="24"/>
          <w:szCs w:val="24"/>
        </w:rPr>
        <w:fldChar w:fldCharType="end"/>
      </w:r>
    </w:p>
    <w:p w14:paraId="40FC4777" w14:textId="77777777" w:rsidR="00790351" w:rsidRPr="00790351" w:rsidRDefault="00790351" w:rsidP="00790351">
      <w:pPr>
        <w:rPr>
          <w:rFonts w:cs="Arial"/>
        </w:rPr>
      </w:pPr>
    </w:p>
    <w:p w14:paraId="5B0378B8" w14:textId="61A3748E" w:rsidR="00426E5F" w:rsidRDefault="002C50EE" w:rsidP="00A65A81">
      <w:pPr>
        <w:pStyle w:val="Heading2"/>
      </w:pPr>
      <w:r>
        <w:t>4.9. Предозиране</w:t>
      </w:r>
    </w:p>
    <w:p w14:paraId="56BB47D2" w14:textId="69BF3421" w:rsidR="00790351" w:rsidRDefault="00790351" w:rsidP="00790351"/>
    <w:p w14:paraId="4B5B1491" w14:textId="77777777" w:rsidR="00790351" w:rsidRPr="00790351" w:rsidRDefault="00790351" w:rsidP="00790351">
      <w:pPr>
        <w:rPr>
          <w:sz w:val="24"/>
          <w:szCs w:val="24"/>
        </w:rPr>
      </w:pPr>
      <w:r w:rsidRPr="00790351">
        <w:rPr>
          <w:lang w:eastAsia="bg-BG"/>
        </w:rPr>
        <w:t>Най-често съобщаваните нежелани лекарствени реакции от постмаркетинговия опит, наблюдавани при предозиране на прегабалин, включват сънливост, обърканост, възбуда и безпокойство. Получени са съобщения и за припадъци.</w:t>
      </w:r>
    </w:p>
    <w:p w14:paraId="6EB8C040" w14:textId="77777777" w:rsidR="00790351" w:rsidRDefault="00790351" w:rsidP="00790351">
      <w:pPr>
        <w:rPr>
          <w:lang w:eastAsia="bg-BG"/>
        </w:rPr>
      </w:pPr>
    </w:p>
    <w:p w14:paraId="0030EE8C" w14:textId="4F619C5F" w:rsidR="00790351" w:rsidRPr="00790351" w:rsidRDefault="00790351" w:rsidP="00790351">
      <w:pPr>
        <w:rPr>
          <w:sz w:val="24"/>
          <w:szCs w:val="24"/>
        </w:rPr>
      </w:pPr>
      <w:r w:rsidRPr="00790351">
        <w:rPr>
          <w:lang w:eastAsia="bg-BG"/>
        </w:rPr>
        <w:t>Рядко се съобщава за случаи на кома.</w:t>
      </w:r>
    </w:p>
    <w:p w14:paraId="5FD402BF" w14:textId="77777777" w:rsidR="00790351" w:rsidRDefault="00790351" w:rsidP="00790351">
      <w:pPr>
        <w:rPr>
          <w:lang w:eastAsia="bg-BG"/>
        </w:rPr>
      </w:pPr>
    </w:p>
    <w:p w14:paraId="673FC4F4" w14:textId="40B44BFD" w:rsidR="00790351" w:rsidRPr="00790351" w:rsidRDefault="00790351" w:rsidP="00790351">
      <w:r w:rsidRPr="00790351">
        <w:rPr>
          <w:lang w:eastAsia="bg-BG"/>
        </w:rPr>
        <w:t>Лечението при предозиране на прегабалин трябва да включва общи поддържащи мерки и може да включва хемодиализа при необходимост (вж. Точка 4.2 - Таблица 1).</w:t>
      </w:r>
    </w:p>
    <w:p w14:paraId="02081B24" w14:textId="1F46E296" w:rsidR="00395555" w:rsidRPr="00395555" w:rsidRDefault="002C50EE" w:rsidP="008A6AF2">
      <w:pPr>
        <w:pStyle w:val="Heading1"/>
      </w:pPr>
      <w:r>
        <w:t>5. ФАРМАКОЛОГИЧНИ СВОЙСТВА</w:t>
      </w:r>
    </w:p>
    <w:p w14:paraId="5279C268" w14:textId="637A516C" w:rsidR="00426E5F" w:rsidRDefault="002C50EE" w:rsidP="00A65A81">
      <w:pPr>
        <w:pStyle w:val="Heading2"/>
      </w:pPr>
      <w:r>
        <w:t>5.1. Фармакодинамични свойства</w:t>
      </w:r>
    </w:p>
    <w:p w14:paraId="6692759F" w14:textId="1BB7495A" w:rsidR="00790351" w:rsidRDefault="00790351" w:rsidP="00790351"/>
    <w:p w14:paraId="766BA60E" w14:textId="77777777"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 xml:space="preserve">Фармакотерапевтична група: антиепилептици, други антиепилептици, АТС код: </w:t>
      </w:r>
      <w:r w:rsidRPr="00032892">
        <w:rPr>
          <w:rFonts w:eastAsia="Times New Roman" w:cs="Arial"/>
          <w:color w:val="000000"/>
          <w:szCs w:val="20"/>
          <w:lang w:val="en-US"/>
        </w:rPr>
        <w:t>N</w:t>
      </w:r>
      <w:r w:rsidRPr="00032892">
        <w:rPr>
          <w:rFonts w:eastAsia="Times New Roman" w:cs="Arial"/>
          <w:color w:val="000000"/>
          <w:szCs w:val="20"/>
          <w:lang w:val="ru-RU"/>
        </w:rPr>
        <w:t>03</w:t>
      </w:r>
      <w:r w:rsidRPr="00032892">
        <w:rPr>
          <w:rFonts w:eastAsia="Times New Roman" w:cs="Arial"/>
          <w:color w:val="000000"/>
          <w:szCs w:val="20"/>
          <w:lang w:val="en-US"/>
        </w:rPr>
        <w:t>AX</w:t>
      </w:r>
      <w:r w:rsidRPr="00032892">
        <w:rPr>
          <w:rFonts w:eastAsia="Times New Roman" w:cs="Arial"/>
          <w:color w:val="000000"/>
          <w:szCs w:val="20"/>
          <w:lang w:val="ru-RU"/>
        </w:rPr>
        <w:t>16</w:t>
      </w:r>
    </w:p>
    <w:p w14:paraId="1ACE55AF" w14:textId="77777777"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Активното вещество прегабалин е аналог на гама-аминомаслената киселина [(</w:t>
      </w:r>
      <w:r w:rsidRPr="00032892">
        <w:rPr>
          <w:rFonts w:eastAsia="Times New Roman" w:cs="Arial"/>
          <w:color w:val="000000"/>
          <w:szCs w:val="20"/>
          <w:lang w:val="en-US"/>
        </w:rPr>
        <w:t>S</w:t>
      </w:r>
      <w:r w:rsidRPr="00032892">
        <w:rPr>
          <w:rFonts w:eastAsia="Times New Roman" w:cs="Arial"/>
          <w:color w:val="000000"/>
          <w:szCs w:val="20"/>
          <w:lang w:eastAsia="bg-BG"/>
        </w:rPr>
        <w:t>)-3-(аминоетил)-5-метилхексаноева киселина].</w:t>
      </w:r>
    </w:p>
    <w:p w14:paraId="6B7F699C" w14:textId="77777777" w:rsidR="00790351" w:rsidRPr="00032892" w:rsidRDefault="00790351" w:rsidP="00790351">
      <w:pPr>
        <w:spacing w:line="240" w:lineRule="auto"/>
        <w:rPr>
          <w:rFonts w:eastAsia="Times New Roman" w:cs="Arial"/>
          <w:color w:val="000000"/>
          <w:szCs w:val="20"/>
          <w:u w:val="single"/>
          <w:lang w:eastAsia="bg-BG"/>
        </w:rPr>
      </w:pPr>
    </w:p>
    <w:p w14:paraId="78B9D1F1" w14:textId="0DB81EB9"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u w:val="single"/>
          <w:lang w:eastAsia="bg-BG"/>
        </w:rPr>
        <w:t>Механизъм на действие</w:t>
      </w:r>
    </w:p>
    <w:p w14:paraId="0BB813AC" w14:textId="77777777"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Прегабалин се свързва с допълнителната субединица (α</w:t>
      </w:r>
      <w:r w:rsidRPr="00032892">
        <w:rPr>
          <w:rFonts w:eastAsia="Times New Roman" w:cs="Arial"/>
          <w:color w:val="000000"/>
          <w:szCs w:val="20"/>
          <w:vertAlign w:val="subscript"/>
          <w:lang w:eastAsia="bg-BG"/>
        </w:rPr>
        <w:t>2</w:t>
      </w:r>
      <w:r w:rsidRPr="00032892">
        <w:rPr>
          <w:rFonts w:eastAsia="Times New Roman" w:cs="Arial"/>
          <w:color w:val="000000"/>
          <w:szCs w:val="20"/>
          <w:lang w:eastAsia="bg-BG"/>
        </w:rPr>
        <w:t>- δ протеин) на волтаж-зависимите калциеви канали в централната нервна система.</w:t>
      </w:r>
    </w:p>
    <w:p w14:paraId="161DBBBE" w14:textId="77777777" w:rsidR="00790351" w:rsidRPr="00032892" w:rsidRDefault="00790351" w:rsidP="00790351">
      <w:pPr>
        <w:spacing w:line="240" w:lineRule="auto"/>
        <w:rPr>
          <w:rFonts w:eastAsia="Times New Roman" w:cs="Arial"/>
          <w:color w:val="000000"/>
          <w:szCs w:val="20"/>
          <w:u w:val="single"/>
          <w:lang w:eastAsia="bg-BG"/>
        </w:rPr>
      </w:pPr>
    </w:p>
    <w:p w14:paraId="2FD7708C" w14:textId="5838CD02"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u w:val="single"/>
          <w:lang w:eastAsia="bg-BG"/>
        </w:rPr>
        <w:t>Клинична ефикасност и безопасност</w:t>
      </w:r>
    </w:p>
    <w:p w14:paraId="7DE86A09" w14:textId="77777777" w:rsidR="00790351" w:rsidRPr="00032892" w:rsidRDefault="00790351" w:rsidP="00790351">
      <w:pPr>
        <w:spacing w:line="240" w:lineRule="auto"/>
        <w:rPr>
          <w:rFonts w:eastAsia="Times New Roman" w:cs="Arial"/>
          <w:i/>
          <w:iCs/>
          <w:color w:val="000000"/>
          <w:szCs w:val="20"/>
          <w:u w:val="single"/>
          <w:lang w:eastAsia="bg-BG"/>
        </w:rPr>
      </w:pPr>
    </w:p>
    <w:p w14:paraId="77057423" w14:textId="63ACF964" w:rsidR="00790351" w:rsidRPr="00032892" w:rsidRDefault="00790351" w:rsidP="00790351">
      <w:pPr>
        <w:spacing w:line="240" w:lineRule="auto"/>
        <w:rPr>
          <w:rFonts w:eastAsia="Times New Roman" w:cs="Arial"/>
          <w:sz w:val="28"/>
          <w:szCs w:val="24"/>
        </w:rPr>
      </w:pPr>
      <w:r w:rsidRPr="00032892">
        <w:rPr>
          <w:rFonts w:eastAsia="Times New Roman" w:cs="Arial"/>
          <w:i/>
          <w:iCs/>
          <w:color w:val="000000"/>
          <w:szCs w:val="20"/>
          <w:u w:val="single"/>
          <w:lang w:eastAsia="bg-BG"/>
        </w:rPr>
        <w:t>Невропатна болка</w:t>
      </w:r>
    </w:p>
    <w:p w14:paraId="27455548" w14:textId="77777777"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Ефикасността е доказана в изпитвания при диабетна невропатия, постхерпетична невралгия и увреждане на гръбначния стълб. Ефикасността не е проучвана при други модели на невропатна болка.</w:t>
      </w:r>
    </w:p>
    <w:p w14:paraId="786F5F6E" w14:textId="77777777" w:rsidR="00790351" w:rsidRPr="00032892" w:rsidRDefault="00790351" w:rsidP="00790351">
      <w:pPr>
        <w:spacing w:line="240" w:lineRule="auto"/>
        <w:rPr>
          <w:rFonts w:eastAsia="Times New Roman" w:cs="Arial"/>
          <w:color w:val="000000"/>
          <w:szCs w:val="20"/>
          <w:lang w:eastAsia="bg-BG"/>
        </w:rPr>
      </w:pPr>
    </w:p>
    <w:p w14:paraId="29E57AA8" w14:textId="04743058"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 xml:space="preserve">Прегабалин е проучен в 10 контролирани клинични изпитвания с продължителност до 13 седмици с двукратен дневен прием </w:t>
      </w:r>
      <w:r w:rsidRPr="00032892">
        <w:rPr>
          <w:rFonts w:eastAsia="Times New Roman" w:cs="Arial"/>
          <w:color w:val="000000"/>
          <w:szCs w:val="20"/>
          <w:lang w:val="ru-RU"/>
        </w:rPr>
        <w:t>(</w:t>
      </w:r>
      <w:r w:rsidRPr="00032892">
        <w:rPr>
          <w:rFonts w:eastAsia="Times New Roman" w:cs="Arial"/>
          <w:color w:val="000000"/>
          <w:szCs w:val="20"/>
          <w:lang w:val="en-US"/>
        </w:rPr>
        <w:t>BID</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и до 8 седмици с трикратен дневен прием </w:t>
      </w:r>
      <w:r w:rsidRPr="00032892">
        <w:rPr>
          <w:rFonts w:eastAsia="Times New Roman" w:cs="Arial"/>
          <w:color w:val="000000"/>
          <w:szCs w:val="20"/>
          <w:lang w:val="ru-RU"/>
        </w:rPr>
        <w:t>(</w:t>
      </w:r>
      <w:r w:rsidRPr="00032892">
        <w:rPr>
          <w:rFonts w:eastAsia="Times New Roman" w:cs="Arial"/>
          <w:color w:val="000000"/>
          <w:szCs w:val="20"/>
          <w:lang w:val="en-US"/>
        </w:rPr>
        <w:t>TID</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Като цяло, профилите на ефикасност и безопасност при схемите на прилагане с </w:t>
      </w:r>
      <w:r w:rsidRPr="00032892">
        <w:rPr>
          <w:rFonts w:eastAsia="Times New Roman" w:cs="Arial"/>
          <w:color w:val="000000"/>
          <w:szCs w:val="20"/>
          <w:lang w:val="en-US"/>
        </w:rPr>
        <w:t>BID</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и </w:t>
      </w:r>
      <w:r w:rsidRPr="00032892">
        <w:rPr>
          <w:rFonts w:eastAsia="Times New Roman" w:cs="Arial"/>
          <w:color w:val="000000"/>
          <w:szCs w:val="20"/>
          <w:lang w:val="en-US"/>
        </w:rPr>
        <w:t>TID</w:t>
      </w:r>
      <w:r w:rsidRPr="00032892">
        <w:rPr>
          <w:rFonts w:eastAsia="Times New Roman" w:cs="Arial"/>
          <w:color w:val="000000"/>
          <w:szCs w:val="20"/>
          <w:lang w:val="ru-RU"/>
        </w:rPr>
        <w:t xml:space="preserve">, </w:t>
      </w:r>
      <w:r w:rsidRPr="00032892">
        <w:rPr>
          <w:rFonts w:eastAsia="Times New Roman" w:cs="Arial"/>
          <w:color w:val="000000"/>
          <w:szCs w:val="20"/>
          <w:lang w:eastAsia="bg-BG"/>
        </w:rPr>
        <w:t>са сходни.</w:t>
      </w:r>
    </w:p>
    <w:p w14:paraId="0F24739E" w14:textId="77777777" w:rsidR="00790351" w:rsidRPr="00032892" w:rsidRDefault="00790351" w:rsidP="00790351">
      <w:pPr>
        <w:spacing w:line="240" w:lineRule="auto"/>
        <w:rPr>
          <w:rFonts w:eastAsia="Times New Roman" w:cs="Arial"/>
          <w:color w:val="000000"/>
          <w:szCs w:val="20"/>
          <w:lang w:eastAsia="bg-BG"/>
        </w:rPr>
      </w:pPr>
    </w:p>
    <w:p w14:paraId="639F4E27" w14:textId="51BB07BB"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В клинични изпитвания с продължителност до 12 седмици както за периферна невропатна болка, така и за такава с централен произход, отслабване на болката е наблюдавано да края на първата седмица и се е запазило през целия период на лечение.</w:t>
      </w:r>
    </w:p>
    <w:p w14:paraId="21E4631D" w14:textId="77777777" w:rsidR="00790351" w:rsidRPr="00032892" w:rsidRDefault="00790351" w:rsidP="00790351">
      <w:pPr>
        <w:spacing w:line="240" w:lineRule="auto"/>
        <w:rPr>
          <w:rFonts w:eastAsia="Times New Roman" w:cs="Arial"/>
          <w:color w:val="000000"/>
          <w:szCs w:val="20"/>
          <w:lang w:eastAsia="bg-BG"/>
        </w:rPr>
      </w:pPr>
    </w:p>
    <w:p w14:paraId="7186272D" w14:textId="4299D099" w:rsidR="00790351" w:rsidRPr="00032892" w:rsidRDefault="00790351" w:rsidP="00790351">
      <w:pPr>
        <w:spacing w:line="240" w:lineRule="auto"/>
        <w:rPr>
          <w:rFonts w:eastAsia="Times New Roman" w:cs="Arial"/>
          <w:sz w:val="28"/>
          <w:szCs w:val="24"/>
        </w:rPr>
      </w:pPr>
      <w:r w:rsidRPr="00032892">
        <w:rPr>
          <w:rFonts w:eastAsia="Times New Roman" w:cs="Arial"/>
          <w:color w:val="000000"/>
          <w:szCs w:val="20"/>
          <w:lang w:eastAsia="bg-BG"/>
        </w:rPr>
        <w:t>В контролирани клинични изпитвания при периферна невропатна болка 35% от пациентите, лекувани с прегабалин, и 18% от пациентите на плацебо са имали 50% подобрение в скора на оценка на болката. Сред пациентите без проява на сънливост такова подобрение е наблюдавано при 33% от лекуваните с прегабалин и при 18% от пациентите на плацебо. При пациенти</w:t>
      </w:r>
      <w:r w:rsidRPr="00032892">
        <w:rPr>
          <w:rFonts w:eastAsia="Times New Roman" w:cs="Arial"/>
          <w:color w:val="000000"/>
          <w:szCs w:val="20"/>
          <w:lang w:val="ru-RU"/>
        </w:rPr>
        <w:t xml:space="preserve"> </w:t>
      </w:r>
      <w:r w:rsidRPr="00032892">
        <w:rPr>
          <w:rFonts w:eastAsia="Times New Roman" w:cs="Arial"/>
          <w:color w:val="000000"/>
          <w:szCs w:val="20"/>
          <w:lang w:eastAsia="bg-BG"/>
        </w:rPr>
        <w:t>с</w:t>
      </w:r>
      <w:r w:rsidRPr="00032892">
        <w:rPr>
          <w:rFonts w:eastAsia="Times New Roman" w:cs="Arial"/>
          <w:color w:val="000000"/>
          <w:szCs w:val="20"/>
          <w:u w:val="single"/>
          <w:lang w:eastAsia="bg-BG"/>
        </w:rPr>
        <w:t xml:space="preserve"> </w:t>
      </w:r>
      <w:r w:rsidRPr="00032892">
        <w:rPr>
          <w:rFonts w:eastAsia="Times New Roman" w:cs="Arial"/>
          <w:color w:val="000000"/>
          <w:szCs w:val="20"/>
          <w:lang w:eastAsia="bg-BG"/>
        </w:rPr>
        <w:t>прояви на сънливост, терапевтичният отговор е 48% в групата на прегабалин и 16% в плацебо- групата.</w:t>
      </w:r>
    </w:p>
    <w:p w14:paraId="6185CD72" w14:textId="33B76F11" w:rsidR="00790351" w:rsidRPr="00032892" w:rsidRDefault="00790351" w:rsidP="00790351">
      <w:pPr>
        <w:rPr>
          <w:rFonts w:cs="Arial"/>
          <w:sz w:val="24"/>
        </w:rPr>
      </w:pPr>
    </w:p>
    <w:p w14:paraId="26D619ED"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В контролирано клинично изпитване при невропатна болка от централен произход 22% от пациентите, лекувани с прегабалин, и 7% от пациентите на плацебо са имали 50% подобрение в скора на оценка на болката.</w:t>
      </w:r>
    </w:p>
    <w:p w14:paraId="17A3F022" w14:textId="77777777" w:rsidR="00032892" w:rsidRPr="00032892" w:rsidRDefault="00032892" w:rsidP="00032892">
      <w:pPr>
        <w:spacing w:line="240" w:lineRule="auto"/>
        <w:rPr>
          <w:rFonts w:eastAsia="Times New Roman" w:cs="Arial"/>
          <w:i/>
          <w:iCs/>
          <w:color w:val="000000"/>
          <w:szCs w:val="20"/>
          <w:u w:val="single"/>
          <w:lang w:eastAsia="bg-BG"/>
        </w:rPr>
      </w:pPr>
    </w:p>
    <w:p w14:paraId="7EAD6718" w14:textId="6F3D243B" w:rsidR="00032892" w:rsidRPr="00032892" w:rsidRDefault="00032892" w:rsidP="00032892">
      <w:pPr>
        <w:spacing w:line="240" w:lineRule="auto"/>
        <w:rPr>
          <w:rFonts w:eastAsia="Times New Roman" w:cs="Arial"/>
          <w:sz w:val="28"/>
          <w:szCs w:val="24"/>
        </w:rPr>
      </w:pPr>
      <w:r w:rsidRPr="00032892">
        <w:rPr>
          <w:rFonts w:eastAsia="Times New Roman" w:cs="Arial"/>
          <w:i/>
          <w:iCs/>
          <w:color w:val="000000"/>
          <w:szCs w:val="20"/>
          <w:u w:val="single"/>
          <w:lang w:eastAsia="bg-BG"/>
        </w:rPr>
        <w:t>Епилепсия</w:t>
      </w:r>
    </w:p>
    <w:p w14:paraId="5D59074B"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Адювантна терапия</w:t>
      </w:r>
    </w:p>
    <w:p w14:paraId="3B79A096"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Прегабалин е проучен в 3 контролирани клинични изпитвания с продължителност 12 седмици както при прием два пъти дневно </w:t>
      </w:r>
      <w:r w:rsidRPr="00032892">
        <w:rPr>
          <w:rFonts w:eastAsia="Times New Roman" w:cs="Arial"/>
          <w:color w:val="000000"/>
          <w:szCs w:val="20"/>
          <w:lang w:val="ru-RU"/>
        </w:rPr>
        <w:t>(</w:t>
      </w:r>
      <w:r w:rsidRPr="00032892">
        <w:rPr>
          <w:rFonts w:eastAsia="Times New Roman" w:cs="Arial"/>
          <w:color w:val="000000"/>
          <w:szCs w:val="20"/>
          <w:lang w:val="en-US"/>
        </w:rPr>
        <w:t>BID</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така и при прием три пъти дневно </w:t>
      </w:r>
      <w:r w:rsidRPr="00032892">
        <w:rPr>
          <w:rFonts w:eastAsia="Times New Roman" w:cs="Arial"/>
          <w:color w:val="000000"/>
          <w:szCs w:val="20"/>
          <w:lang w:val="ru-RU"/>
        </w:rPr>
        <w:t>(</w:t>
      </w:r>
      <w:r w:rsidRPr="00032892">
        <w:rPr>
          <w:rFonts w:eastAsia="Times New Roman" w:cs="Arial"/>
          <w:color w:val="000000"/>
          <w:szCs w:val="20"/>
          <w:lang w:val="en-US"/>
        </w:rPr>
        <w:t>TID</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Като цяло, профилите на безопасност и ефикасност при схемите на прилагане с </w:t>
      </w:r>
      <w:r w:rsidRPr="00032892">
        <w:rPr>
          <w:rFonts w:eastAsia="Times New Roman" w:cs="Arial"/>
          <w:color w:val="000000"/>
          <w:szCs w:val="20"/>
          <w:lang w:val="en-US"/>
        </w:rPr>
        <w:t>BID</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и </w:t>
      </w:r>
      <w:r w:rsidRPr="00032892">
        <w:rPr>
          <w:rFonts w:eastAsia="Times New Roman" w:cs="Arial"/>
          <w:color w:val="000000"/>
          <w:szCs w:val="20"/>
          <w:lang w:val="en-US"/>
        </w:rPr>
        <w:t>TID</w:t>
      </w:r>
      <w:r w:rsidRPr="00032892">
        <w:rPr>
          <w:rFonts w:eastAsia="Times New Roman" w:cs="Arial"/>
          <w:color w:val="000000"/>
          <w:szCs w:val="20"/>
          <w:lang w:val="ru-RU"/>
        </w:rPr>
        <w:t xml:space="preserve"> </w:t>
      </w:r>
      <w:r w:rsidRPr="00032892">
        <w:rPr>
          <w:rFonts w:eastAsia="Times New Roman" w:cs="Arial"/>
          <w:color w:val="000000"/>
          <w:szCs w:val="20"/>
          <w:lang w:eastAsia="bg-BG"/>
        </w:rPr>
        <w:t>са сходни.</w:t>
      </w:r>
    </w:p>
    <w:p w14:paraId="7FD50E1C" w14:textId="77777777" w:rsidR="00032892" w:rsidRPr="00032892" w:rsidRDefault="00032892" w:rsidP="00032892">
      <w:pPr>
        <w:spacing w:line="240" w:lineRule="auto"/>
        <w:rPr>
          <w:rFonts w:eastAsia="Times New Roman" w:cs="Arial"/>
          <w:color w:val="000000"/>
          <w:szCs w:val="20"/>
          <w:lang w:eastAsia="bg-BG"/>
        </w:rPr>
      </w:pPr>
    </w:p>
    <w:p w14:paraId="44127A40" w14:textId="6BFA63D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Намаляване на честотата на припадъците е наблюдавано до края на първата седмица.</w:t>
      </w:r>
    </w:p>
    <w:p w14:paraId="40A0982A" w14:textId="77777777" w:rsidR="00032892" w:rsidRPr="00032892" w:rsidRDefault="00032892" w:rsidP="00032892">
      <w:pPr>
        <w:spacing w:line="240" w:lineRule="auto"/>
        <w:rPr>
          <w:rFonts w:eastAsia="Times New Roman" w:cs="Arial"/>
          <w:i/>
          <w:iCs/>
          <w:color w:val="000000"/>
          <w:szCs w:val="20"/>
          <w:u w:val="single"/>
          <w:lang w:eastAsia="bg-BG"/>
        </w:rPr>
      </w:pPr>
    </w:p>
    <w:p w14:paraId="13E8C856" w14:textId="07401635" w:rsidR="00032892" w:rsidRPr="00032892" w:rsidRDefault="00032892" w:rsidP="00032892">
      <w:pPr>
        <w:spacing w:line="240" w:lineRule="auto"/>
        <w:rPr>
          <w:rFonts w:eastAsia="Times New Roman" w:cs="Arial"/>
          <w:sz w:val="28"/>
          <w:szCs w:val="24"/>
        </w:rPr>
      </w:pPr>
      <w:r w:rsidRPr="00032892">
        <w:rPr>
          <w:rFonts w:eastAsia="Times New Roman" w:cs="Arial"/>
          <w:i/>
          <w:iCs/>
          <w:color w:val="000000"/>
          <w:szCs w:val="20"/>
          <w:u w:val="single"/>
          <w:lang w:eastAsia="bg-BG"/>
        </w:rPr>
        <w:t>Педиатрична популация</w:t>
      </w:r>
    </w:p>
    <w:p w14:paraId="645A51F9"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Ефикасността и безопасността на прегабалин като адювантна терапия за епилепсия при деца под 12-годишна възраст и юноши не са установени. Нежеланите реакции, наблюдавани при фармакокинетично проучване и проучване на поносимостта с участието на пациенти от 3 месеца до 16-годишна възраст (</w:t>
      </w:r>
      <w:r w:rsidRPr="00032892">
        <w:rPr>
          <w:rFonts w:eastAsia="Times New Roman" w:cs="Arial"/>
          <w:color w:val="000000"/>
          <w:szCs w:val="20"/>
          <w:lang w:val="en-US"/>
        </w:rPr>
        <w:t>n</w:t>
      </w:r>
      <w:r w:rsidRPr="00032892">
        <w:rPr>
          <w:rFonts w:eastAsia="Times New Roman" w:cs="Arial"/>
          <w:color w:val="000000"/>
          <w:szCs w:val="20"/>
          <w:lang w:eastAsia="bg-BG"/>
        </w:rPr>
        <w:t>=65) с парциални пристъпи, са подобни на тези, наблюдавани при възрастни. Резултатите от 12-седмично, плацебо-контролирано изпитване при 295 педиатрични пациенти на възраст от 4 до 16 години и 14-дневно плацебо контролирано изпитване при 175 педиатрични пациенти на възраст от 1 месец до по-малко от 4 години, проведени с цел оценка на ефикасността и безопасността на прегабалин като адювантна терапия за лечение на парциални пристъпи, и две 1-годишни отворени проучвания за безопасност при съответно 54 и 431 педиатрични пациенти от 3-месечна до 16-годишна възраст с епилепсия показват, че нежеланите реакции на фебрилитет и инфекции на горните дихателни пътища се наблюдават по-често, отколкото в проучванията при възрастни (вж. точки 4.2,4.8 и 5.2).</w:t>
      </w:r>
    </w:p>
    <w:p w14:paraId="1B3BC76A" w14:textId="77777777" w:rsidR="00032892" w:rsidRPr="00032892" w:rsidRDefault="00032892" w:rsidP="00032892">
      <w:pPr>
        <w:spacing w:line="240" w:lineRule="auto"/>
        <w:rPr>
          <w:rFonts w:eastAsia="Times New Roman" w:cs="Arial"/>
          <w:color w:val="000000"/>
          <w:szCs w:val="20"/>
          <w:lang w:eastAsia="bg-BG"/>
        </w:rPr>
      </w:pPr>
    </w:p>
    <w:p w14:paraId="7807A947" w14:textId="2B8B54AA"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В 12-седмично плацебо-контролирано проучване педиатричните пациенти (на възраст от 4 до 16 години) са разпределени да получават прегабалин 2,5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(максимално 150 </w:t>
      </w:r>
      <w:r w:rsidRPr="00032892">
        <w:rPr>
          <w:rFonts w:eastAsia="Times New Roman" w:cs="Arial"/>
          <w:color w:val="000000"/>
          <w:szCs w:val="20"/>
          <w:lang w:val="en-US"/>
        </w:rPr>
        <w:t>mg</w:t>
      </w:r>
      <w:r w:rsidRPr="00032892">
        <w:rPr>
          <w:rFonts w:eastAsia="Times New Roman" w:cs="Arial"/>
          <w:color w:val="000000"/>
          <w:szCs w:val="20"/>
          <w:lang w:eastAsia="bg-BG"/>
        </w:rPr>
        <w:t>/ден), прегабалин 10</w:t>
      </w:r>
      <w:r w:rsidRPr="00032892">
        <w:rPr>
          <w:rFonts w:eastAsia="Times New Roman" w:cs="Arial"/>
          <w:color w:val="000000"/>
          <w:szCs w:val="20"/>
          <w:lang w:val="ru-RU"/>
        </w:rPr>
        <w:t>/</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(максимално 600 </w:t>
      </w:r>
      <w:r w:rsidRPr="00032892">
        <w:rPr>
          <w:rFonts w:eastAsia="Times New Roman" w:cs="Arial"/>
          <w:color w:val="000000"/>
          <w:szCs w:val="20"/>
          <w:lang w:val="en-US"/>
        </w:rPr>
        <w:t>mg</w:t>
      </w:r>
      <w:r w:rsidRPr="00032892">
        <w:rPr>
          <w:rFonts w:eastAsia="Times New Roman" w:cs="Arial"/>
          <w:color w:val="000000"/>
          <w:szCs w:val="20"/>
          <w:lang w:eastAsia="bg-BG"/>
        </w:rPr>
        <w:t xml:space="preserve">/ден) или плацебо. Процентът на участниците с поне 50% намаление на парциалните пристъпи, в сравнение с изходно ниво, е 40,6% от участниците, лекувани с прегабалин 10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(р=0,0068 в сравнение </w:t>
      </w:r>
      <w:r w:rsidRPr="00032892">
        <w:rPr>
          <w:rFonts w:eastAsia="Times New Roman" w:cs="Arial"/>
          <w:color w:val="000000"/>
          <w:szCs w:val="20"/>
          <w:lang w:eastAsia="bg-BG"/>
        </w:rPr>
        <w:lastRenderedPageBreak/>
        <w:t xml:space="preserve">с плацебо), 29,1% от участниците, лекувани с прегабалин 2,5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/ден (р=0,2600 в сравнение с плацебо) и 22,6% от участниците, получаващи плацебо.</w:t>
      </w:r>
    </w:p>
    <w:p w14:paraId="32BA709F" w14:textId="77777777" w:rsidR="00032892" w:rsidRPr="00032892" w:rsidRDefault="00032892" w:rsidP="00032892">
      <w:pPr>
        <w:spacing w:line="240" w:lineRule="auto"/>
        <w:rPr>
          <w:rFonts w:eastAsia="Times New Roman" w:cs="Arial"/>
          <w:color w:val="000000"/>
          <w:szCs w:val="20"/>
          <w:lang w:eastAsia="bg-BG"/>
        </w:rPr>
      </w:pPr>
    </w:p>
    <w:p w14:paraId="58F5F13E" w14:textId="5F5DF630"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В 14-дневно плацебо-контролирано изпитване педиатрични пациенти (на възраст от 1 месец до по-малко от 4 години) са разпределени да получават прегабалин 7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прегабалин 14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или плацебо. Медианата на честота на пристъпите за 24 часа на изходното ниво и при последното посещение е съответно 4,7 и 3,8 за прегабалин 7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5,4 и 1,4 за прегабалин 14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и 2,9 и 2,3 за плацебо. Прегабалин 14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значително намалява </w:t>
      </w:r>
      <w:r w:rsidRPr="00032892">
        <w:rPr>
          <w:rFonts w:eastAsia="Times New Roman" w:cs="Arial"/>
          <w:color w:val="000000"/>
          <w:szCs w:val="20"/>
          <w:lang w:val="en-US"/>
        </w:rPr>
        <w:t>log</w:t>
      </w:r>
      <w:r w:rsidRPr="00032892">
        <w:rPr>
          <w:rFonts w:eastAsia="Times New Roman" w:cs="Arial"/>
          <w:color w:val="000000"/>
          <w:szCs w:val="20"/>
          <w:lang w:eastAsia="bg-BG"/>
        </w:rPr>
        <w:t xml:space="preserve">-трансформираната честота на парциални пристъпи спрямо плацебо (р=0,0223); при прегабалин 7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/ден не се наблюдава подобрение спрямо плацебо.</w:t>
      </w:r>
    </w:p>
    <w:p w14:paraId="05ACEC50" w14:textId="77777777" w:rsidR="00032892" w:rsidRPr="00032892" w:rsidRDefault="00032892" w:rsidP="00032892">
      <w:pPr>
        <w:spacing w:line="240" w:lineRule="auto"/>
        <w:rPr>
          <w:rFonts w:eastAsia="Times New Roman" w:cs="Arial"/>
          <w:color w:val="000000"/>
          <w:szCs w:val="20"/>
          <w:u w:val="single"/>
          <w:lang w:eastAsia="bg-BG"/>
        </w:rPr>
      </w:pPr>
    </w:p>
    <w:p w14:paraId="6E34B974" w14:textId="08D244FA"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t>Монотерапия (новодиагностицирани пациенти)</w:t>
      </w:r>
    </w:p>
    <w:p w14:paraId="1F2CA77C" w14:textId="55F26319" w:rsidR="00032892" w:rsidRPr="00032892" w:rsidRDefault="00032892" w:rsidP="00032892">
      <w:pPr>
        <w:rPr>
          <w:rFonts w:eastAsia="Times New Roman" w:cs="Arial"/>
          <w:color w:val="000000"/>
          <w:szCs w:val="20"/>
          <w:lang w:eastAsia="bg-BG"/>
        </w:rPr>
      </w:pPr>
      <w:r w:rsidRPr="00032892">
        <w:rPr>
          <w:rFonts w:eastAsia="Times New Roman" w:cs="Arial"/>
          <w:color w:val="000000"/>
          <w:szCs w:val="20"/>
          <w:lang w:eastAsia="bg-BG"/>
        </w:rPr>
        <w:t xml:space="preserve">Прегабалин е проучен в едно контролирано клинично изпитване с продължителност 56 седмици при прием два пъти дневно </w:t>
      </w:r>
      <w:r w:rsidRPr="00032892">
        <w:rPr>
          <w:rFonts w:eastAsia="Times New Roman" w:cs="Arial"/>
          <w:color w:val="000000"/>
          <w:szCs w:val="20"/>
          <w:lang w:val="ru-RU"/>
        </w:rPr>
        <w:t>(</w:t>
      </w:r>
      <w:r w:rsidRPr="00032892">
        <w:rPr>
          <w:rFonts w:eastAsia="Times New Roman" w:cs="Arial"/>
          <w:color w:val="000000"/>
          <w:szCs w:val="20"/>
          <w:lang w:val="en-US"/>
        </w:rPr>
        <w:t>BID</w:t>
      </w:r>
      <w:r w:rsidRPr="00032892">
        <w:rPr>
          <w:rFonts w:eastAsia="Times New Roman" w:cs="Arial"/>
          <w:color w:val="000000"/>
          <w:szCs w:val="20"/>
          <w:lang w:val="ru-RU"/>
        </w:rPr>
        <w:t xml:space="preserve">). </w:t>
      </w:r>
      <w:r w:rsidRPr="00032892">
        <w:rPr>
          <w:rFonts w:eastAsia="Times New Roman" w:cs="Arial"/>
          <w:color w:val="000000"/>
          <w:szCs w:val="20"/>
          <w:lang w:eastAsia="bg-BG"/>
        </w:rPr>
        <w:t>Прегабалин не е показал по-малка ефективност спрямо ламотригин по отношение на крайната точка - 6 месеца без пристъпи. Прегабалин и ламотригин са сравними по отношение на безопасност и добра поносимост.</w:t>
      </w:r>
    </w:p>
    <w:p w14:paraId="4ED08C19" w14:textId="319B8901" w:rsidR="00032892" w:rsidRPr="00032892" w:rsidRDefault="00032892" w:rsidP="00032892">
      <w:pPr>
        <w:rPr>
          <w:rFonts w:eastAsia="Times New Roman" w:cs="Arial"/>
          <w:color w:val="000000"/>
          <w:szCs w:val="20"/>
          <w:lang w:eastAsia="bg-BG"/>
        </w:rPr>
      </w:pPr>
    </w:p>
    <w:p w14:paraId="06AED953" w14:textId="77777777" w:rsidR="00032892" w:rsidRPr="00032892" w:rsidRDefault="00032892" w:rsidP="00032892">
      <w:pPr>
        <w:spacing w:line="240" w:lineRule="auto"/>
        <w:rPr>
          <w:rFonts w:eastAsia="Times New Roman" w:cs="Arial"/>
          <w:sz w:val="28"/>
          <w:szCs w:val="24"/>
        </w:rPr>
      </w:pPr>
      <w:r w:rsidRPr="00032892">
        <w:rPr>
          <w:rFonts w:eastAsia="Times New Roman" w:cs="Arial"/>
          <w:i/>
          <w:iCs/>
          <w:color w:val="000000"/>
          <w:szCs w:val="20"/>
          <w:u w:val="single"/>
          <w:lang w:eastAsia="bg-BG"/>
        </w:rPr>
        <w:t>Генерализирано тревожно разстройство</w:t>
      </w:r>
    </w:p>
    <w:p w14:paraId="7CD4036A"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Прегабалин е проучен в 6 контролирани изпитвания с продължителност 4-6 седмици, едно проучване при пациенти в старческа възраст с продължителност 8 седмици и едно дългосрочно проучване за превенция на рецидив с двойносляпа фаза на превенция на рецидива с продължителност от 6 месеца.</w:t>
      </w:r>
    </w:p>
    <w:p w14:paraId="36E3B0BF" w14:textId="6C93F789" w:rsidR="00032892" w:rsidRPr="00032892" w:rsidRDefault="00032892" w:rsidP="00032892">
      <w:pPr>
        <w:rPr>
          <w:rFonts w:cs="Arial"/>
          <w:sz w:val="24"/>
        </w:rPr>
      </w:pPr>
    </w:p>
    <w:p w14:paraId="038C30B1" w14:textId="7DB2B36C" w:rsidR="00032892" w:rsidRPr="00032892" w:rsidRDefault="00032892" w:rsidP="00032892">
      <w:pPr>
        <w:rPr>
          <w:rFonts w:cs="Arial"/>
          <w:szCs w:val="20"/>
        </w:rPr>
      </w:pPr>
      <w:r w:rsidRPr="00032892">
        <w:rPr>
          <w:rFonts w:cs="Arial"/>
          <w:szCs w:val="20"/>
        </w:rPr>
        <w:t xml:space="preserve">Облекчение на симптомите на </w:t>
      </w:r>
      <w:r w:rsidRPr="00032892">
        <w:rPr>
          <w:rFonts w:cs="Arial"/>
          <w:szCs w:val="20"/>
          <w:lang w:val="en-US"/>
        </w:rPr>
        <w:t>GAD</w:t>
      </w:r>
      <w:r w:rsidRPr="00032892">
        <w:rPr>
          <w:rFonts w:cs="Arial"/>
          <w:szCs w:val="20"/>
          <w:lang w:val="ru-RU"/>
        </w:rPr>
        <w:t xml:space="preserve">, </w:t>
      </w:r>
      <w:r w:rsidRPr="00032892">
        <w:rPr>
          <w:rFonts w:cs="Arial"/>
          <w:szCs w:val="20"/>
        </w:rPr>
        <w:t xml:space="preserve">измерено чрез скалата на </w:t>
      </w:r>
      <w:r w:rsidRPr="00032892">
        <w:rPr>
          <w:rFonts w:cs="Arial"/>
          <w:szCs w:val="20"/>
          <w:lang w:val="en-US"/>
        </w:rPr>
        <w:t>Hamilton</w:t>
      </w:r>
      <w:r w:rsidRPr="00032892">
        <w:rPr>
          <w:rFonts w:cs="Arial"/>
          <w:szCs w:val="20"/>
          <w:lang w:val="ru-RU"/>
        </w:rPr>
        <w:t xml:space="preserve"> </w:t>
      </w:r>
      <w:r w:rsidRPr="00032892">
        <w:rPr>
          <w:rFonts w:cs="Arial"/>
          <w:szCs w:val="20"/>
        </w:rPr>
        <w:t>за оценка на</w:t>
      </w:r>
    </w:p>
    <w:p w14:paraId="6C5779F4" w14:textId="77777777" w:rsidR="00032892" w:rsidRPr="00032892" w:rsidRDefault="00032892" w:rsidP="00032892">
      <w:pPr>
        <w:spacing w:line="240" w:lineRule="auto"/>
        <w:rPr>
          <w:rFonts w:ascii="Times New Roman" w:eastAsia="Times New Roman" w:hAnsi="Times New Roman" w:cs="Times New Roman"/>
          <w:sz w:val="24"/>
          <w:szCs w:val="24"/>
        </w:rPr>
      </w:pPr>
      <w:r w:rsidRPr="00032892">
        <w:rPr>
          <w:rFonts w:eastAsia="Times New Roman" w:cs="Arial"/>
          <w:color w:val="000000"/>
          <w:szCs w:val="20"/>
          <w:lang w:eastAsia="bg-BG"/>
        </w:rPr>
        <w:t>тревожността (НАМ-А) е наблюдавано до края на първата седмица.</w:t>
      </w:r>
    </w:p>
    <w:p w14:paraId="4B9A4246" w14:textId="79EB519D" w:rsidR="00032892" w:rsidRDefault="00032892" w:rsidP="00032892"/>
    <w:p w14:paraId="20F49BBD" w14:textId="77777777" w:rsidR="00032892" w:rsidRPr="00032892" w:rsidRDefault="00032892" w:rsidP="00032892">
      <w:pPr>
        <w:rPr>
          <w:sz w:val="24"/>
          <w:szCs w:val="24"/>
        </w:rPr>
      </w:pPr>
      <w:r w:rsidRPr="00032892">
        <w:rPr>
          <w:lang w:eastAsia="bg-BG"/>
        </w:rPr>
        <w:t>В контролирани клинични изпитвания (с продължителност 4-8 седмици), 52% от пациентите, лекувани с прегабалин, и 38% от пациентите на плацебо са имали поне 50% подобрение в общия скор по НАМ-А от изходното ниво до крайната точка.</w:t>
      </w:r>
    </w:p>
    <w:p w14:paraId="2FF38B13" w14:textId="77777777" w:rsidR="00032892" w:rsidRDefault="00032892" w:rsidP="00032892">
      <w:pPr>
        <w:rPr>
          <w:lang w:eastAsia="bg-BG"/>
        </w:rPr>
      </w:pPr>
    </w:p>
    <w:p w14:paraId="63075A3B" w14:textId="7F425CEA" w:rsidR="00032892" w:rsidRPr="00032892" w:rsidRDefault="00032892" w:rsidP="00032892">
      <w:pPr>
        <w:rPr>
          <w:sz w:val="24"/>
          <w:szCs w:val="24"/>
        </w:rPr>
      </w:pPr>
      <w:r w:rsidRPr="00032892">
        <w:rPr>
          <w:lang w:eastAsia="bg-BG"/>
        </w:rPr>
        <w:t>В контролирани изпитвания по-голяма част от пациентите, лекувани с прегабалин, са съобщили за замъглено зрение, в сравнение с пациентите, лекувани с плацебо, което е отзвучало в повечето случаи при продължително прилагане.</w:t>
      </w:r>
    </w:p>
    <w:p w14:paraId="1F04C3A9" w14:textId="3454E1B0" w:rsidR="00032892" w:rsidRDefault="00032892" w:rsidP="00032892">
      <w:pPr>
        <w:rPr>
          <w:lang w:eastAsia="bg-BG"/>
        </w:rPr>
      </w:pPr>
      <w:r w:rsidRPr="00032892">
        <w:rPr>
          <w:lang w:eastAsia="bg-BG"/>
        </w:rPr>
        <w:t>Проведени са офталмологични изследвания (включително изследване на зрителна острота, стандартно изследване на зрителното поле и разширен преглед на очните дъна) при повече от 3 600 пациенти в рамките на контролирани клинични изпитвания. При тези пациенти зрителната острота е намалена при 6,5% от пациентите, лекувани с прегабалин, и при 4,8% от пациентите, лекувани с плацебо. Промени в зрителното поле са установени при 12,4% от пациентите, лекувани с прегабалин, и при 11,7% от лекуваните с плацебо пациенти. Промени в очните дъна са наблюдавани при 1,7% от пациентите, лекувани с прегабалин, и при 2,1% от лекуваните с плацебо пациенти.</w:t>
      </w:r>
    </w:p>
    <w:p w14:paraId="3762FF18" w14:textId="77777777" w:rsidR="00032892" w:rsidRPr="00790351" w:rsidRDefault="00032892" w:rsidP="00032892"/>
    <w:p w14:paraId="5C51B4CC" w14:textId="2D2B1A5D" w:rsidR="00426E5F" w:rsidRDefault="002C50EE" w:rsidP="00A65A81">
      <w:pPr>
        <w:pStyle w:val="Heading2"/>
      </w:pPr>
      <w:r>
        <w:t>5.2. Фармакокинетични свойства</w:t>
      </w:r>
    </w:p>
    <w:p w14:paraId="699F400B" w14:textId="1D68D32B" w:rsidR="00032892" w:rsidRDefault="00032892" w:rsidP="00032892"/>
    <w:p w14:paraId="6185C6CC"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lastRenderedPageBreak/>
        <w:t>Фармакокинетичните показатели на прегабалин в стационарно състояние са сходни при здрави доброволци, при пациенти с епилепсия, получаващи антиепилептични лекарства, и при пациенти с хронична болка.</w:t>
      </w:r>
    </w:p>
    <w:p w14:paraId="6E8C0E3F" w14:textId="77777777" w:rsidR="00032892" w:rsidRPr="00032892" w:rsidRDefault="00032892" w:rsidP="00032892">
      <w:pPr>
        <w:spacing w:line="240" w:lineRule="auto"/>
        <w:rPr>
          <w:rFonts w:eastAsia="Times New Roman" w:cs="Arial"/>
          <w:color w:val="000000"/>
          <w:szCs w:val="20"/>
          <w:u w:val="single"/>
          <w:lang w:eastAsia="bg-BG"/>
        </w:rPr>
      </w:pPr>
    </w:p>
    <w:p w14:paraId="642863D6" w14:textId="2E4D824A" w:rsidR="00032892" w:rsidRPr="00032892" w:rsidRDefault="00032892" w:rsidP="00032892">
      <w:pPr>
        <w:pStyle w:val="Heading3"/>
        <w:rPr>
          <w:rFonts w:eastAsia="Times New Roman"/>
          <w:sz w:val="28"/>
          <w:u w:val="single"/>
        </w:rPr>
      </w:pPr>
      <w:r w:rsidRPr="00032892">
        <w:rPr>
          <w:rFonts w:eastAsia="Times New Roman"/>
          <w:u w:val="single"/>
          <w:lang w:eastAsia="bg-BG"/>
        </w:rPr>
        <w:t>Абсорбция</w:t>
      </w:r>
    </w:p>
    <w:p w14:paraId="7C8AFFE0"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Прегабалин се резорбира бързо при приложение на гладно, като максимални плазмени концентрации се достигат в рамките на 1 час както след еднократна, така и след многократни дози. Оралната бионаличност на прегабалин се изчислява на &gt; 90% и не зависи от дозата. След многократно приложение равновесно състояние се достига в рамките на 24 до 48 часа.</w:t>
      </w:r>
    </w:p>
    <w:p w14:paraId="7B872D3B"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Скоростта на абсорбция на прегабалин намалява при прием с храна, което води до намаляване на С</w:t>
      </w:r>
      <w:r w:rsidRPr="00032892">
        <w:rPr>
          <w:rFonts w:eastAsia="Times New Roman" w:cs="Arial"/>
          <w:color w:val="000000"/>
          <w:szCs w:val="20"/>
          <w:lang w:val="en-US"/>
        </w:rPr>
        <w:t>max</w:t>
      </w:r>
      <w:r w:rsidRPr="00032892">
        <w:rPr>
          <w:rFonts w:eastAsia="Times New Roman" w:cs="Arial"/>
          <w:color w:val="000000"/>
          <w:szCs w:val="20"/>
          <w:lang w:eastAsia="bg-BG"/>
        </w:rPr>
        <w:t xml:space="preserve"> с около 25-30% и забавяне на </w:t>
      </w:r>
      <w:proofErr w:type="spellStart"/>
      <w:r w:rsidRPr="00032892">
        <w:rPr>
          <w:rFonts w:eastAsia="Times New Roman" w:cs="Arial"/>
          <w:color w:val="000000"/>
          <w:szCs w:val="20"/>
          <w:lang w:val="en-US"/>
        </w:rPr>
        <w:t>t</w:t>
      </w:r>
      <w:r w:rsidRPr="00032892">
        <w:rPr>
          <w:rFonts w:eastAsia="Times New Roman" w:cs="Arial"/>
          <w:color w:val="000000"/>
          <w:szCs w:val="20"/>
          <w:vertAlign w:val="subscript"/>
          <w:lang w:val="en-US"/>
        </w:rPr>
        <w:t>max</w:t>
      </w:r>
      <w:proofErr w:type="spellEnd"/>
      <w:r w:rsidRPr="00032892">
        <w:rPr>
          <w:rFonts w:eastAsia="Times New Roman" w:cs="Arial"/>
          <w:color w:val="000000"/>
          <w:szCs w:val="20"/>
          <w:lang w:val="ru-RU"/>
        </w:rPr>
        <w:t xml:space="preserve"> </w:t>
      </w:r>
      <w:r w:rsidRPr="00032892">
        <w:rPr>
          <w:rFonts w:eastAsia="Times New Roman" w:cs="Arial"/>
          <w:color w:val="000000"/>
          <w:szCs w:val="20"/>
          <w:lang w:eastAsia="bg-BG"/>
        </w:rPr>
        <w:t>до приблизително 2,5 часа. Въпреки това приемът на прегабалин с храна няма клинично значим ефект върху степента на абсорбция на прегабалин.</w:t>
      </w:r>
    </w:p>
    <w:p w14:paraId="5AF97013" w14:textId="77777777" w:rsidR="00032892" w:rsidRPr="00032892" w:rsidRDefault="00032892" w:rsidP="00032892">
      <w:pPr>
        <w:spacing w:line="240" w:lineRule="auto"/>
        <w:rPr>
          <w:rFonts w:eastAsia="Times New Roman" w:cs="Arial"/>
          <w:color w:val="000000"/>
          <w:szCs w:val="20"/>
          <w:u w:val="single"/>
          <w:lang w:eastAsia="bg-BG"/>
        </w:rPr>
      </w:pPr>
    </w:p>
    <w:p w14:paraId="0BDF3031" w14:textId="36AE622F" w:rsidR="00032892" w:rsidRPr="00032892" w:rsidRDefault="00032892" w:rsidP="00032892">
      <w:pPr>
        <w:pStyle w:val="Heading3"/>
        <w:rPr>
          <w:rFonts w:eastAsia="Times New Roman"/>
          <w:sz w:val="28"/>
          <w:u w:val="single"/>
        </w:rPr>
      </w:pPr>
      <w:r w:rsidRPr="00032892">
        <w:rPr>
          <w:rFonts w:eastAsia="Times New Roman"/>
          <w:u w:val="single"/>
          <w:lang w:eastAsia="bg-BG"/>
        </w:rPr>
        <w:t>Разпределение</w:t>
      </w:r>
    </w:p>
    <w:p w14:paraId="0C486FBE"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Предклинични проучвания показват, че прегабалин преминава кръвно-мозъчната бариера при мишки, плъхове и маймуни. Доказано е, че прегабалин преминава през плацентата при плъхове и се открива в млякото на кърмещи плъхове. При хората явният обем на разпределение на прегабалин след перорален прием е приблизително 0,56 </w:t>
      </w:r>
      <w:r w:rsidRPr="00032892">
        <w:rPr>
          <w:rFonts w:eastAsia="Times New Roman" w:cs="Arial"/>
          <w:color w:val="000000"/>
          <w:szCs w:val="20"/>
          <w:lang w:val="ru-RU"/>
        </w:rPr>
        <w:t>1/</w:t>
      </w:r>
      <w:r w:rsidRPr="00032892">
        <w:rPr>
          <w:rFonts w:eastAsia="Times New Roman" w:cs="Arial"/>
          <w:color w:val="000000"/>
          <w:szCs w:val="20"/>
          <w:lang w:val="en-US"/>
        </w:rPr>
        <w:t>kg</w:t>
      </w:r>
      <w:r w:rsidRPr="00032892">
        <w:rPr>
          <w:rFonts w:eastAsia="Times New Roman" w:cs="Arial"/>
          <w:color w:val="000000"/>
          <w:szCs w:val="20"/>
          <w:lang w:val="ru-RU"/>
        </w:rPr>
        <w:t xml:space="preserve">. </w:t>
      </w:r>
      <w:r w:rsidRPr="00032892">
        <w:rPr>
          <w:rFonts w:eastAsia="Times New Roman" w:cs="Arial"/>
          <w:color w:val="000000"/>
          <w:szCs w:val="20"/>
          <w:lang w:eastAsia="bg-BG"/>
        </w:rPr>
        <w:t>Прегабалин не се свързва с плазмените протеини.</w:t>
      </w:r>
    </w:p>
    <w:p w14:paraId="080EB124" w14:textId="77777777" w:rsidR="00032892" w:rsidRPr="00032892" w:rsidRDefault="00032892" w:rsidP="00032892">
      <w:pPr>
        <w:spacing w:line="240" w:lineRule="auto"/>
        <w:rPr>
          <w:rFonts w:eastAsia="Times New Roman" w:cs="Arial"/>
          <w:color w:val="000000"/>
          <w:szCs w:val="20"/>
          <w:u w:val="single"/>
          <w:lang w:eastAsia="bg-BG"/>
        </w:rPr>
      </w:pPr>
    </w:p>
    <w:p w14:paraId="51F37861" w14:textId="11E7E37B" w:rsidR="00032892" w:rsidRPr="00032892" w:rsidRDefault="00032892" w:rsidP="00032892">
      <w:pPr>
        <w:pStyle w:val="Heading3"/>
        <w:rPr>
          <w:rFonts w:eastAsia="Times New Roman"/>
          <w:sz w:val="28"/>
          <w:u w:val="single"/>
        </w:rPr>
      </w:pPr>
      <w:r w:rsidRPr="00032892">
        <w:rPr>
          <w:rFonts w:eastAsia="Times New Roman"/>
          <w:u w:val="single"/>
          <w:lang w:eastAsia="bg-BG"/>
        </w:rPr>
        <w:t>Биотрансформация</w:t>
      </w:r>
    </w:p>
    <w:p w14:paraId="045E0F76"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Прегабалин претърпява незначителен метаболизъм при хора. След прием на доза радиоактивно белязан прегабалин, приблизително 98% от радиоактивността, установена в урината, е непроменен прегабалин. </w:t>
      </w:r>
      <w:r w:rsidRPr="00032892">
        <w:rPr>
          <w:rFonts w:eastAsia="Times New Roman" w:cs="Arial"/>
          <w:color w:val="000000"/>
          <w:szCs w:val="20"/>
          <w:lang w:val="en-US"/>
        </w:rPr>
        <w:t>N</w:t>
      </w:r>
      <w:r w:rsidRPr="00032892">
        <w:rPr>
          <w:rFonts w:eastAsia="Times New Roman" w:cs="Arial"/>
          <w:color w:val="000000"/>
          <w:szCs w:val="20"/>
          <w:lang w:eastAsia="bg-BG"/>
        </w:rPr>
        <w:t>-метилираният дериват на прегабалин, основният метаболит на прегабалин, откриван в урината, представлява 0</w:t>
      </w:r>
      <w:proofErr w:type="gramStart"/>
      <w:r w:rsidRPr="00032892">
        <w:rPr>
          <w:rFonts w:eastAsia="Times New Roman" w:cs="Arial"/>
          <w:color w:val="000000"/>
          <w:szCs w:val="20"/>
          <w:lang w:eastAsia="bg-BG"/>
        </w:rPr>
        <w:t>,9</w:t>
      </w:r>
      <w:proofErr w:type="gramEnd"/>
      <w:r w:rsidRPr="00032892">
        <w:rPr>
          <w:rFonts w:eastAsia="Times New Roman" w:cs="Arial"/>
          <w:color w:val="000000"/>
          <w:szCs w:val="20"/>
          <w:lang w:eastAsia="bg-BG"/>
        </w:rPr>
        <w:t xml:space="preserve">% от дозата. В предклинични проучвания не са установени данни за рацемизация между </w:t>
      </w:r>
      <w:r w:rsidRPr="00032892">
        <w:rPr>
          <w:rFonts w:eastAsia="Times New Roman" w:cs="Arial"/>
          <w:color w:val="000000"/>
          <w:szCs w:val="20"/>
          <w:lang w:val="en-US"/>
        </w:rPr>
        <w:t>S</w:t>
      </w:r>
      <w:r w:rsidRPr="00032892">
        <w:rPr>
          <w:rFonts w:eastAsia="Times New Roman" w:cs="Arial"/>
          <w:color w:val="000000"/>
          <w:szCs w:val="20"/>
          <w:lang w:eastAsia="bg-BG"/>
        </w:rPr>
        <w:t xml:space="preserve">-енантиомер и </w:t>
      </w:r>
      <w:r w:rsidRPr="00032892">
        <w:rPr>
          <w:rFonts w:eastAsia="Times New Roman" w:cs="Arial"/>
          <w:color w:val="000000"/>
          <w:szCs w:val="20"/>
          <w:lang w:val="en-US"/>
        </w:rPr>
        <w:t>R</w:t>
      </w:r>
      <w:r w:rsidRPr="00032892">
        <w:rPr>
          <w:rFonts w:eastAsia="Times New Roman" w:cs="Arial"/>
          <w:color w:val="000000"/>
          <w:szCs w:val="20"/>
          <w:lang w:eastAsia="bg-BG"/>
        </w:rPr>
        <w:t>-енантиомер на прегабалин.</w:t>
      </w:r>
    </w:p>
    <w:p w14:paraId="437B0EC1" w14:textId="77777777" w:rsidR="00032892" w:rsidRPr="00032892" w:rsidRDefault="00032892" w:rsidP="00032892">
      <w:pPr>
        <w:spacing w:line="240" w:lineRule="auto"/>
        <w:rPr>
          <w:rFonts w:eastAsia="Times New Roman" w:cs="Arial"/>
          <w:color w:val="000000"/>
          <w:szCs w:val="20"/>
          <w:u w:val="single"/>
          <w:lang w:eastAsia="bg-BG"/>
        </w:rPr>
      </w:pPr>
    </w:p>
    <w:p w14:paraId="2783DCC3" w14:textId="11A6B504" w:rsidR="00032892" w:rsidRPr="00032892" w:rsidRDefault="00032892" w:rsidP="00032892">
      <w:pPr>
        <w:pStyle w:val="Heading3"/>
        <w:rPr>
          <w:rFonts w:eastAsia="Times New Roman"/>
          <w:sz w:val="28"/>
          <w:u w:val="single"/>
        </w:rPr>
      </w:pPr>
      <w:r w:rsidRPr="00032892">
        <w:rPr>
          <w:rFonts w:eastAsia="Times New Roman"/>
          <w:u w:val="single"/>
          <w:lang w:eastAsia="bg-BG"/>
        </w:rPr>
        <w:t>Елиминиране</w:t>
      </w:r>
    </w:p>
    <w:p w14:paraId="08B8F5D7"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Прегабалин се елиминира от системното кръвообращение главно чрез бъбречна екскреция в непроменен вид.</w:t>
      </w:r>
    </w:p>
    <w:p w14:paraId="3ABBFA25"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Средният елиминационен полуживот на прегабалин е 6,3 часа. Плазменият и бъбречният клирънс на прегабалин са право пропорционални на креатининовия клирьнс (вж. точка 5.2 Бъбречно увреждане).</w:t>
      </w:r>
    </w:p>
    <w:p w14:paraId="7253BF89" w14:textId="77777777" w:rsidR="00032892" w:rsidRPr="00032892" w:rsidRDefault="00032892" w:rsidP="00032892">
      <w:pPr>
        <w:spacing w:line="240" w:lineRule="auto"/>
        <w:rPr>
          <w:rFonts w:eastAsia="Times New Roman" w:cs="Arial"/>
          <w:color w:val="000000"/>
          <w:szCs w:val="20"/>
          <w:lang w:eastAsia="bg-BG"/>
        </w:rPr>
      </w:pPr>
    </w:p>
    <w:p w14:paraId="58782A64" w14:textId="62F1D3B5"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При пациенти с намалена бъбречна функция или при такива на хемодиализа е необходимо</w:t>
      </w:r>
      <w:r w:rsidRPr="00032892">
        <w:rPr>
          <w:rFonts w:eastAsia="Times New Roman" w:cs="Arial"/>
          <w:color w:val="000000"/>
          <w:szCs w:val="20"/>
          <w:u w:val="single"/>
          <w:lang w:eastAsia="bg-BG"/>
        </w:rPr>
        <w:t xml:space="preserve"> </w:t>
      </w:r>
      <w:r w:rsidRPr="00032892">
        <w:rPr>
          <w:rFonts w:eastAsia="Times New Roman" w:cs="Arial"/>
          <w:color w:val="000000"/>
          <w:szCs w:val="20"/>
          <w:lang w:eastAsia="bg-BG"/>
        </w:rPr>
        <w:t>адаптиране на дозата (вж. точка 4.2 Таблица 1).</w:t>
      </w:r>
    </w:p>
    <w:p w14:paraId="34C8AD22" w14:textId="77777777" w:rsidR="00032892" w:rsidRPr="00032892" w:rsidRDefault="00032892" w:rsidP="00032892">
      <w:pPr>
        <w:rPr>
          <w:rFonts w:eastAsia="Times New Roman" w:cs="Arial"/>
          <w:color w:val="000000"/>
          <w:szCs w:val="20"/>
          <w:u w:val="single"/>
          <w:lang w:eastAsia="bg-BG"/>
        </w:rPr>
      </w:pPr>
    </w:p>
    <w:p w14:paraId="5979E50C" w14:textId="0E0B7E07" w:rsidR="00032892" w:rsidRPr="00032892" w:rsidRDefault="00032892" w:rsidP="00032892">
      <w:pPr>
        <w:pStyle w:val="Heading3"/>
        <w:rPr>
          <w:rFonts w:eastAsia="Times New Roman"/>
          <w:u w:val="single"/>
          <w:lang w:eastAsia="bg-BG"/>
        </w:rPr>
      </w:pPr>
      <w:r w:rsidRPr="00032892">
        <w:rPr>
          <w:rFonts w:eastAsia="Times New Roman"/>
          <w:u w:val="single"/>
          <w:lang w:eastAsia="bg-BG"/>
        </w:rPr>
        <w:t>Линейност/нелинейност</w:t>
      </w:r>
    </w:p>
    <w:p w14:paraId="55292563"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Фармакокинетичните показатели на прегабалин са линейни в рамките на препоръчителния дневен дозов интервал. Интериндивидуалната вариабилност на фармакокинетични показатели на прегабалин е ниска (&lt;20%). Фармакокинетиката при многократно приложение може да бъде предвидена от данните при прием на еднократна доза. Следователно не е необходимо рутинно проследяване на плазмените концентрации на прегабалин.</w:t>
      </w:r>
    </w:p>
    <w:p w14:paraId="150F9CE9" w14:textId="77777777" w:rsidR="00032892" w:rsidRPr="00032892" w:rsidRDefault="00032892" w:rsidP="00032892">
      <w:pPr>
        <w:spacing w:line="240" w:lineRule="auto"/>
        <w:rPr>
          <w:rFonts w:eastAsia="Times New Roman" w:cs="Arial"/>
          <w:color w:val="000000"/>
          <w:szCs w:val="20"/>
          <w:u w:val="single"/>
          <w:lang w:eastAsia="bg-BG"/>
        </w:rPr>
      </w:pPr>
    </w:p>
    <w:p w14:paraId="268C1C29" w14:textId="4B9E5AD6"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t>Пол</w:t>
      </w:r>
    </w:p>
    <w:p w14:paraId="68211886"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lastRenderedPageBreak/>
        <w:t>Клиничните изпитвания показват, че полът не оказва клинично значимо влияние върху плазмените концентрации на прегабалин.</w:t>
      </w:r>
    </w:p>
    <w:p w14:paraId="011F8EDA" w14:textId="77777777" w:rsidR="00032892" w:rsidRPr="00032892" w:rsidRDefault="00032892" w:rsidP="00032892">
      <w:pPr>
        <w:spacing w:line="240" w:lineRule="auto"/>
        <w:rPr>
          <w:rFonts w:eastAsia="Times New Roman" w:cs="Arial"/>
          <w:color w:val="000000"/>
          <w:szCs w:val="20"/>
          <w:u w:val="single"/>
          <w:lang w:eastAsia="bg-BG"/>
        </w:rPr>
      </w:pPr>
    </w:p>
    <w:p w14:paraId="58B6BF65" w14:textId="13034FF8"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t>Бъбречно увреждане</w:t>
      </w:r>
    </w:p>
    <w:p w14:paraId="75D9630D"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Клирънсът на прегабалин е пряко пропорционален на креатининовия клирънс. Освен това, прегабалин се отстранява ефективно от плазмата чрез хемодиализа (след 4-часово хемодиализно лечение плазмените концентрации на прегабалин се понижават с приблизително 50%), Тъй като бъбречното елиминиране е основният път за елиминиране, при пациенти с бъбречно увреждане е необходимо намаляване на дозата, а след хемодиализа - допълнителен прием (вж. точка 4.2 Таблица 1).</w:t>
      </w:r>
    </w:p>
    <w:p w14:paraId="53F35606" w14:textId="77777777" w:rsidR="00032892" w:rsidRPr="00032892" w:rsidRDefault="00032892" w:rsidP="00032892">
      <w:pPr>
        <w:spacing w:line="240" w:lineRule="auto"/>
        <w:rPr>
          <w:rFonts w:eastAsia="Times New Roman" w:cs="Arial"/>
          <w:color w:val="000000"/>
          <w:szCs w:val="20"/>
          <w:u w:val="single"/>
          <w:lang w:eastAsia="bg-BG"/>
        </w:rPr>
      </w:pPr>
    </w:p>
    <w:p w14:paraId="2FB9D000" w14:textId="32B7E5B0"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t>Чернодробно увреждане</w:t>
      </w:r>
    </w:p>
    <w:p w14:paraId="066D6798"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Няма проведени специфични фармакокинетични проучвания при пациенти с увредена чернодробна функция. Тъй като прегабалин не претърпява значим метаболизъм и се екскретира предимно в непроменен вид в урината, нарушената чернодробна функция не би трябвало да променя значимо плазмените концентрации на прегабалин.</w:t>
      </w:r>
    </w:p>
    <w:p w14:paraId="32C9F698" w14:textId="77777777" w:rsidR="00032892" w:rsidRPr="00032892" w:rsidRDefault="00032892" w:rsidP="00032892">
      <w:pPr>
        <w:spacing w:line="240" w:lineRule="auto"/>
        <w:rPr>
          <w:rFonts w:eastAsia="Times New Roman" w:cs="Arial"/>
          <w:color w:val="000000"/>
          <w:szCs w:val="20"/>
          <w:u w:val="single"/>
          <w:lang w:eastAsia="bg-BG"/>
        </w:rPr>
      </w:pPr>
    </w:p>
    <w:p w14:paraId="2E2BF2A9" w14:textId="3937F54A"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t>Педиатрична популация</w:t>
      </w:r>
    </w:p>
    <w:p w14:paraId="6708F8F6"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Фармакокинетичните показатели на прегабалин са оценени при педиатрични пациенти с епилепсия (възрастови групи: от 1 до 23 месеца, от 2 до 6 години, от 7 до 11 години и от 12 до 16 години) при дози от 2,5, 5, 10 и 15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/ден при фармакокинетично проучване и проучване за поносимост.</w:t>
      </w:r>
    </w:p>
    <w:p w14:paraId="43C0CF05" w14:textId="77777777" w:rsidR="00032892" w:rsidRPr="00032892" w:rsidRDefault="00032892" w:rsidP="00032892">
      <w:pPr>
        <w:spacing w:line="240" w:lineRule="auto"/>
        <w:rPr>
          <w:rFonts w:eastAsia="Times New Roman" w:cs="Arial"/>
          <w:color w:val="000000"/>
          <w:szCs w:val="20"/>
          <w:lang w:eastAsia="bg-BG"/>
        </w:rPr>
      </w:pPr>
    </w:p>
    <w:p w14:paraId="5E43DEB7" w14:textId="0905EF7A"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След перорално приложение на прегабалин при педиатрични пациенти на гладно времето за достигане на максимални плазмени концентрации по принцип е подобно в цялата възрастова група и настъпва 0,5 до 2 часа след приложение на дозата.</w:t>
      </w:r>
    </w:p>
    <w:p w14:paraId="71EAC4B7" w14:textId="77777777" w:rsidR="00032892" w:rsidRPr="00032892" w:rsidRDefault="00032892" w:rsidP="00032892">
      <w:pPr>
        <w:spacing w:line="240" w:lineRule="auto"/>
        <w:rPr>
          <w:rFonts w:eastAsia="Times New Roman" w:cs="Arial"/>
          <w:color w:val="000000"/>
          <w:szCs w:val="20"/>
          <w:lang w:eastAsia="bg-BG"/>
        </w:rPr>
      </w:pPr>
    </w:p>
    <w:p w14:paraId="6CC3FB27" w14:textId="56D2D964"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Параметрите С</w:t>
      </w:r>
      <w:r w:rsidRPr="00032892">
        <w:rPr>
          <w:rFonts w:eastAsia="Times New Roman" w:cs="Arial"/>
          <w:color w:val="000000"/>
          <w:szCs w:val="20"/>
          <w:vertAlign w:val="subscript"/>
          <w:lang w:val="en-US"/>
        </w:rPr>
        <w:t>max</w:t>
      </w:r>
      <w:r w:rsidRPr="00032892">
        <w:rPr>
          <w:rFonts w:eastAsia="Times New Roman" w:cs="Arial"/>
          <w:color w:val="000000"/>
          <w:szCs w:val="20"/>
          <w:lang w:eastAsia="bg-BG"/>
        </w:rPr>
        <w:t xml:space="preserve"> и </w:t>
      </w:r>
      <w:r w:rsidRPr="00032892">
        <w:rPr>
          <w:rFonts w:eastAsia="Times New Roman" w:cs="Arial"/>
          <w:color w:val="000000"/>
          <w:szCs w:val="20"/>
          <w:lang w:val="en-US"/>
        </w:rPr>
        <w:t>AUC</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за прегабалин нарастват линейно с повишаване на дозата в рамките на всяка една от възрастовите групи. </w:t>
      </w:r>
      <w:r w:rsidRPr="00032892">
        <w:rPr>
          <w:rFonts w:eastAsia="Times New Roman" w:cs="Arial"/>
          <w:color w:val="000000"/>
          <w:szCs w:val="20"/>
          <w:lang w:val="en-US"/>
        </w:rPr>
        <w:t>AUC</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е с 30% по-ниска при педиатричните пациенти с телесно тегло под 30 </w:t>
      </w:r>
      <w:r w:rsidRPr="00032892">
        <w:rPr>
          <w:rFonts w:eastAsia="Times New Roman" w:cs="Arial"/>
          <w:color w:val="000000"/>
          <w:szCs w:val="20"/>
          <w:lang w:val="en-US"/>
        </w:rPr>
        <w:t>kg</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поради по-високия, адаптиран към телесното тегло, клирънс от 43% при тези пациенти в сравнение с пациентите с телесно тегло ≥30 </w:t>
      </w:r>
      <w:r w:rsidRPr="00032892">
        <w:rPr>
          <w:rFonts w:eastAsia="Times New Roman" w:cs="Arial"/>
          <w:color w:val="000000"/>
          <w:szCs w:val="20"/>
          <w:lang w:val="en-US"/>
        </w:rPr>
        <w:t>kg</w:t>
      </w:r>
      <w:r w:rsidRPr="00032892">
        <w:rPr>
          <w:rFonts w:eastAsia="Times New Roman" w:cs="Arial"/>
          <w:color w:val="000000"/>
          <w:szCs w:val="20"/>
          <w:lang w:val="ru-RU"/>
        </w:rPr>
        <w:t>.</w:t>
      </w:r>
    </w:p>
    <w:p w14:paraId="7753BD6C" w14:textId="77777777" w:rsidR="00032892" w:rsidRPr="00032892" w:rsidRDefault="00032892" w:rsidP="00032892">
      <w:pPr>
        <w:spacing w:line="240" w:lineRule="auto"/>
        <w:rPr>
          <w:rFonts w:eastAsia="Times New Roman" w:cs="Arial"/>
          <w:color w:val="000000"/>
          <w:szCs w:val="20"/>
          <w:lang w:eastAsia="bg-BG"/>
        </w:rPr>
      </w:pPr>
    </w:p>
    <w:p w14:paraId="3586FDDB" w14:textId="56899631"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Терминалният полуживот на прегабалин е средно около 3 до 4 часа при педиатрични пациенти до 6-годишна възраст и 4 до 6 часа при тези на 7 години и повече.</w:t>
      </w:r>
    </w:p>
    <w:p w14:paraId="512DA4AC" w14:textId="77777777" w:rsidR="00032892" w:rsidRPr="00032892" w:rsidRDefault="00032892" w:rsidP="00032892">
      <w:pPr>
        <w:spacing w:line="240" w:lineRule="auto"/>
        <w:rPr>
          <w:rFonts w:eastAsia="Times New Roman" w:cs="Arial"/>
          <w:color w:val="000000"/>
          <w:szCs w:val="20"/>
          <w:lang w:eastAsia="bg-BG"/>
        </w:rPr>
      </w:pPr>
    </w:p>
    <w:p w14:paraId="16C5899C" w14:textId="6296E074"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Популационният фармакокинетичен анализ показва, че креатининовият клирънс е значим ковариат на клирънса на прегабалин след перорално приложение, телесното тегло е значим ковариат на явния обем на разпределение на прегабалин след перорално приложение, като тези зависимости са подобни при педиатрични и възрастни пациенти.</w:t>
      </w:r>
    </w:p>
    <w:p w14:paraId="46143A6B" w14:textId="77777777" w:rsidR="00032892" w:rsidRPr="00032892" w:rsidRDefault="00032892" w:rsidP="00032892">
      <w:pPr>
        <w:spacing w:line="240" w:lineRule="auto"/>
        <w:rPr>
          <w:rFonts w:eastAsia="Times New Roman" w:cs="Arial"/>
          <w:color w:val="000000"/>
          <w:szCs w:val="20"/>
          <w:lang w:eastAsia="bg-BG"/>
        </w:rPr>
      </w:pPr>
    </w:p>
    <w:p w14:paraId="333CF15A" w14:textId="6062B706"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Фармакокинетиката на прегабалин при пациенти под 3-месечна възраст не е проучена (вж. точки 4.2,4.8 и 5.1).</w:t>
      </w:r>
    </w:p>
    <w:p w14:paraId="7DF94F43" w14:textId="77777777" w:rsidR="00032892" w:rsidRPr="00032892" w:rsidRDefault="00032892" w:rsidP="00032892">
      <w:pPr>
        <w:spacing w:line="240" w:lineRule="auto"/>
        <w:rPr>
          <w:rFonts w:eastAsia="Times New Roman" w:cs="Arial"/>
          <w:color w:val="000000"/>
          <w:szCs w:val="20"/>
          <w:u w:val="single"/>
          <w:lang w:eastAsia="bg-BG"/>
        </w:rPr>
      </w:pPr>
    </w:p>
    <w:p w14:paraId="4403CEB4" w14:textId="5F132EDA"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t>Старческа възраст</w:t>
      </w:r>
    </w:p>
    <w:p w14:paraId="69EE7ED3" w14:textId="11120187" w:rsidR="00032892" w:rsidRPr="00032892" w:rsidRDefault="00032892" w:rsidP="00032892">
      <w:pPr>
        <w:rPr>
          <w:rFonts w:eastAsia="Times New Roman" w:cs="Arial"/>
          <w:color w:val="000000"/>
          <w:szCs w:val="20"/>
          <w:lang w:eastAsia="bg-BG"/>
        </w:rPr>
      </w:pPr>
      <w:r w:rsidRPr="00032892">
        <w:rPr>
          <w:rFonts w:eastAsia="Times New Roman" w:cs="Arial"/>
          <w:color w:val="000000"/>
          <w:szCs w:val="20"/>
          <w:lang w:eastAsia="bg-BG"/>
        </w:rPr>
        <w:t>Има тенденция за намаляване на клирънса на прегабалин с напредване на възрастта. Това намаление на пероралния клирънс на прегабалин е в съответствие с понижението на креатининовия клирънс, свързано с напредване на възрастта. При пациенти с възрастово обусловена нарушена бъбречна функция може да се наложи намаляване на дозата прегабалин (вж. точка 4.2 Таблица 1).</w:t>
      </w:r>
    </w:p>
    <w:p w14:paraId="7AD145AC" w14:textId="496AC913" w:rsidR="00032892" w:rsidRPr="00032892" w:rsidRDefault="00032892" w:rsidP="00032892">
      <w:pPr>
        <w:rPr>
          <w:rFonts w:eastAsia="Times New Roman" w:cs="Arial"/>
          <w:color w:val="000000"/>
          <w:szCs w:val="20"/>
          <w:lang w:eastAsia="bg-BG"/>
        </w:rPr>
      </w:pPr>
    </w:p>
    <w:p w14:paraId="6EAEB9F6"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u w:val="single"/>
          <w:lang w:eastAsia="bg-BG"/>
        </w:rPr>
        <w:lastRenderedPageBreak/>
        <w:t>Кърмещи майки</w:t>
      </w:r>
    </w:p>
    <w:p w14:paraId="20B0C5D5" w14:textId="4CFDEB03" w:rsidR="00032892" w:rsidRPr="00032892" w:rsidRDefault="00032892" w:rsidP="00032892">
      <w:pPr>
        <w:rPr>
          <w:rFonts w:eastAsia="Times New Roman" w:cs="Arial"/>
          <w:color w:val="000000"/>
          <w:szCs w:val="20"/>
          <w:lang w:val="ru-RU"/>
        </w:rPr>
      </w:pPr>
      <w:r w:rsidRPr="00032892">
        <w:rPr>
          <w:rFonts w:eastAsia="Times New Roman" w:cs="Arial"/>
          <w:color w:val="000000"/>
          <w:szCs w:val="20"/>
          <w:lang w:eastAsia="bg-BG"/>
        </w:rPr>
        <w:t xml:space="preserve">Оценена е фармакокинетиката на 150 </w:t>
      </w:r>
      <w:r w:rsidRPr="00032892">
        <w:rPr>
          <w:rFonts w:eastAsia="Times New Roman" w:cs="Arial"/>
          <w:color w:val="000000"/>
          <w:szCs w:val="20"/>
          <w:lang w:val="en-US"/>
        </w:rPr>
        <w:t>mg</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прегабалин, прилаган всеки 12 часа (300 </w:t>
      </w:r>
      <w:r w:rsidRPr="00032892">
        <w:rPr>
          <w:rFonts w:eastAsia="Times New Roman" w:cs="Arial"/>
          <w:color w:val="000000"/>
          <w:szCs w:val="20"/>
          <w:lang w:val="en-US"/>
        </w:rPr>
        <w:t>mg</w:t>
      </w:r>
      <w:r w:rsidRPr="00032892">
        <w:rPr>
          <w:rFonts w:eastAsia="Times New Roman" w:cs="Arial"/>
          <w:color w:val="000000"/>
          <w:szCs w:val="20"/>
          <w:lang w:val="ru-RU"/>
        </w:rPr>
        <w:t xml:space="preserve"> </w:t>
      </w:r>
      <w:r w:rsidRPr="00032892">
        <w:rPr>
          <w:rFonts w:eastAsia="Times New Roman" w:cs="Arial"/>
          <w:color w:val="000000"/>
          <w:szCs w:val="20"/>
          <w:lang w:eastAsia="bg-BG"/>
        </w:rPr>
        <w:t xml:space="preserve">дневно), при 10 кърмещи жени най-малко 12 седмици след раждането. Влиянието на кърменето върху фармакокинетиката на прегабалин е било малко или изобщо е липсвало. Прегабалин се отделя в кърмата със средни равновесни концентрации, приблизително равни на 76% от тези в плазмата на майката. Изчислената доза за кърмачето, приета с кърмата (приемайки, че средната консумация на мляко е 150 </w:t>
      </w:r>
      <w:r w:rsidRPr="00032892">
        <w:rPr>
          <w:rFonts w:eastAsia="Times New Roman" w:cs="Arial"/>
          <w:color w:val="000000"/>
          <w:szCs w:val="20"/>
          <w:lang w:val="en-US"/>
        </w:rPr>
        <w:t>ml</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от жени, приемащи 300 </w:t>
      </w:r>
      <w:r w:rsidRPr="00032892">
        <w:rPr>
          <w:rFonts w:eastAsia="Times New Roman" w:cs="Arial"/>
          <w:color w:val="000000"/>
          <w:szCs w:val="20"/>
          <w:lang w:val="en-US"/>
        </w:rPr>
        <w:t>mg</w:t>
      </w:r>
      <w:r w:rsidRPr="00032892">
        <w:rPr>
          <w:rFonts w:eastAsia="Times New Roman" w:cs="Arial"/>
          <w:color w:val="000000"/>
          <w:szCs w:val="20"/>
          <w:lang w:eastAsia="bg-BG"/>
        </w:rPr>
        <w:t xml:space="preserve">/ден или максималната доза от 600 </w:t>
      </w:r>
      <w:r w:rsidRPr="00032892">
        <w:rPr>
          <w:rFonts w:eastAsia="Times New Roman" w:cs="Arial"/>
          <w:color w:val="000000"/>
          <w:szCs w:val="20"/>
          <w:lang w:val="en-US"/>
        </w:rPr>
        <w:t>mg</w:t>
      </w:r>
      <w:r w:rsidRPr="00032892">
        <w:rPr>
          <w:rFonts w:eastAsia="Times New Roman" w:cs="Arial"/>
          <w:color w:val="000000"/>
          <w:szCs w:val="20"/>
          <w:lang w:eastAsia="bg-BG"/>
        </w:rPr>
        <w:t xml:space="preserve">/ден, би била съответно 0,31 или 0,62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eastAsia="bg-BG"/>
        </w:rPr>
        <w:t xml:space="preserve">/ден. Изчислените дози са приблизително 7% от общата дневна доза на майката на базата </w:t>
      </w:r>
      <w:r w:rsidRPr="00032892">
        <w:rPr>
          <w:rFonts w:eastAsia="Times New Roman" w:cs="Arial"/>
          <w:color w:val="000000"/>
          <w:szCs w:val="20"/>
          <w:lang w:val="en-US"/>
        </w:rPr>
        <w:t>mg</w:t>
      </w:r>
      <w:r w:rsidRPr="00032892">
        <w:rPr>
          <w:rFonts w:eastAsia="Times New Roman" w:cs="Arial"/>
          <w:color w:val="000000"/>
          <w:szCs w:val="20"/>
          <w:lang w:val="ru-RU"/>
        </w:rPr>
        <w:t>/</w:t>
      </w:r>
      <w:r w:rsidRPr="00032892">
        <w:rPr>
          <w:rFonts w:eastAsia="Times New Roman" w:cs="Arial"/>
          <w:color w:val="000000"/>
          <w:szCs w:val="20"/>
          <w:lang w:val="en-US"/>
        </w:rPr>
        <w:t>kg</w:t>
      </w:r>
      <w:r w:rsidRPr="00032892">
        <w:rPr>
          <w:rFonts w:eastAsia="Times New Roman" w:cs="Arial"/>
          <w:color w:val="000000"/>
          <w:szCs w:val="20"/>
          <w:lang w:val="ru-RU"/>
        </w:rPr>
        <w:t>.</w:t>
      </w:r>
    </w:p>
    <w:p w14:paraId="442DB765" w14:textId="77777777" w:rsidR="00032892" w:rsidRPr="00032892" w:rsidRDefault="00032892" w:rsidP="00032892">
      <w:pPr>
        <w:rPr>
          <w:lang w:val="ru-RU"/>
        </w:rPr>
      </w:pPr>
    </w:p>
    <w:p w14:paraId="028E658A" w14:textId="14C8E507" w:rsidR="00395555" w:rsidRDefault="002C50EE" w:rsidP="008A6AF2">
      <w:pPr>
        <w:pStyle w:val="Heading2"/>
      </w:pPr>
      <w:r>
        <w:t>5.3. Предклинични данни за безопасност</w:t>
      </w:r>
    </w:p>
    <w:p w14:paraId="7A070A1E" w14:textId="7B1C1329" w:rsidR="00032892" w:rsidRDefault="00032892" w:rsidP="00032892"/>
    <w:p w14:paraId="70F4A009" w14:textId="77777777"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В конвенционални фармакологични проучвания за безопасност при животни, прегабалин показва добра поносимост в клинично значими дози. В проучвания за токсичност при многократно дозиране, проведени при плъхове и маймуни, са наблюдавани ефекти върху ЦНС, включително хипоактивност, хиперактивност и атаксия. След продължителна експозиция на прегабалин при дози ≥ 5 пъти по-високи от средната експозиция при хора, при максималната препоръчвана клинична доза, се установява повишена честота на атрофия на ретината, често наблюдавана при възрастни плъхове албиноси.</w:t>
      </w:r>
    </w:p>
    <w:p w14:paraId="359D1B2C" w14:textId="77777777" w:rsidR="00032892" w:rsidRPr="00032892" w:rsidRDefault="00032892" w:rsidP="00032892">
      <w:pPr>
        <w:spacing w:line="240" w:lineRule="auto"/>
        <w:rPr>
          <w:rFonts w:eastAsia="Times New Roman" w:cs="Arial"/>
          <w:color w:val="000000"/>
          <w:szCs w:val="20"/>
          <w:lang w:eastAsia="bg-BG"/>
        </w:rPr>
      </w:pPr>
    </w:p>
    <w:p w14:paraId="73AC7174" w14:textId="5E2B13A2"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Прегабалин не е тератогенен при мишки, плъхове и зайци. Фетална токсичност при плъхове и зайци настъпва само при експозиции, надхвърлящи значително тази при хора. В пренатални/постнатални проучвания за токсичност прегабалин предизвиква токсични ефекти върху развитието на потомството при плъхове след експозиции &gt; 2 пъти по-високи от максималната препоръчвана експозиция при хора.</w:t>
      </w:r>
    </w:p>
    <w:p w14:paraId="1FB0D6BF" w14:textId="77777777" w:rsidR="00032892" w:rsidRPr="00032892" w:rsidRDefault="00032892" w:rsidP="00032892">
      <w:pPr>
        <w:spacing w:line="240" w:lineRule="auto"/>
        <w:rPr>
          <w:rFonts w:eastAsia="Times New Roman" w:cs="Arial"/>
          <w:color w:val="000000"/>
          <w:szCs w:val="20"/>
          <w:lang w:eastAsia="bg-BG"/>
        </w:rPr>
      </w:pPr>
    </w:p>
    <w:p w14:paraId="39895678" w14:textId="3C36DC5E"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Нежелани ефекти върху фертилитета при мъжки и женски плъхове са наблюдавани само при експозиции, превишаващи значително терапевтичната. Нежеланите реакции върху мъжките репродуктивни органи и параметрите на спермата са обратими и са настъпили само при експозиции, превишаващи значително терапевтичната, или са свързани със спонтанни дегенеративни процеси в мъжките репродуктивни органи при плъхове. Поради това се счита, че ефектите имат малко или никакво клинично значение.</w:t>
      </w:r>
    </w:p>
    <w:p w14:paraId="5A6DAA9B" w14:textId="77777777" w:rsidR="00032892" w:rsidRPr="00032892" w:rsidRDefault="00032892" w:rsidP="00032892">
      <w:pPr>
        <w:spacing w:line="240" w:lineRule="auto"/>
        <w:rPr>
          <w:rFonts w:eastAsia="Times New Roman" w:cs="Arial"/>
          <w:color w:val="000000"/>
          <w:szCs w:val="20"/>
          <w:lang w:eastAsia="bg-BG"/>
        </w:rPr>
      </w:pPr>
    </w:p>
    <w:p w14:paraId="64C6FFA6" w14:textId="2399B2D0"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Прегабалин не е генотоксичен, на базата на резултати от серия изследвания, проведени </w:t>
      </w:r>
      <w:r w:rsidRPr="00032892">
        <w:rPr>
          <w:rFonts w:eastAsia="Times New Roman" w:cs="Arial"/>
          <w:i/>
          <w:iCs/>
          <w:color w:val="000000"/>
          <w:szCs w:val="20"/>
          <w:lang w:val="en-US"/>
        </w:rPr>
        <w:t>in</w:t>
      </w:r>
      <w:r w:rsidRPr="00032892">
        <w:rPr>
          <w:rFonts w:eastAsia="Times New Roman" w:cs="Arial"/>
          <w:i/>
          <w:iCs/>
          <w:color w:val="000000"/>
          <w:szCs w:val="20"/>
          <w:lang w:val="ru-RU"/>
        </w:rPr>
        <w:t xml:space="preserve"> </w:t>
      </w:r>
      <w:r w:rsidRPr="00032892">
        <w:rPr>
          <w:rFonts w:eastAsia="Times New Roman" w:cs="Arial"/>
          <w:i/>
          <w:iCs/>
          <w:color w:val="000000"/>
          <w:szCs w:val="20"/>
          <w:lang w:val="en-US"/>
        </w:rPr>
        <w:t>vitro</w:t>
      </w:r>
      <w:r w:rsidRPr="00032892">
        <w:rPr>
          <w:rFonts w:eastAsia="Times New Roman" w:cs="Arial"/>
          <w:i/>
          <w:iCs/>
          <w:color w:val="000000"/>
          <w:szCs w:val="20"/>
          <w:lang w:val="ru-RU"/>
        </w:rPr>
        <w:t xml:space="preserve"> </w:t>
      </w:r>
      <w:r w:rsidRPr="00032892">
        <w:rPr>
          <w:rFonts w:eastAsia="Times New Roman" w:cs="Arial"/>
          <w:i/>
          <w:iCs/>
          <w:color w:val="000000"/>
          <w:szCs w:val="20"/>
          <w:lang w:eastAsia="bg-BG"/>
        </w:rPr>
        <w:t xml:space="preserve">и </w:t>
      </w:r>
      <w:r w:rsidRPr="00032892">
        <w:rPr>
          <w:rFonts w:eastAsia="Times New Roman" w:cs="Arial"/>
          <w:i/>
          <w:iCs/>
          <w:color w:val="000000"/>
          <w:szCs w:val="20"/>
          <w:lang w:val="en-US"/>
        </w:rPr>
        <w:t>in</w:t>
      </w:r>
      <w:r w:rsidRPr="00032892">
        <w:rPr>
          <w:rFonts w:eastAsia="Times New Roman" w:cs="Arial"/>
          <w:i/>
          <w:iCs/>
          <w:color w:val="000000"/>
          <w:szCs w:val="20"/>
          <w:lang w:val="ru-RU"/>
        </w:rPr>
        <w:t xml:space="preserve"> </w:t>
      </w:r>
      <w:r w:rsidRPr="00032892">
        <w:rPr>
          <w:rFonts w:eastAsia="Times New Roman" w:cs="Arial"/>
          <w:i/>
          <w:iCs/>
          <w:color w:val="000000"/>
          <w:szCs w:val="20"/>
          <w:lang w:val="en-US"/>
        </w:rPr>
        <w:t>vivo</w:t>
      </w:r>
      <w:r w:rsidRPr="00032892">
        <w:rPr>
          <w:rFonts w:eastAsia="Times New Roman" w:cs="Arial"/>
          <w:i/>
          <w:iCs/>
          <w:color w:val="000000"/>
          <w:szCs w:val="20"/>
          <w:lang w:val="ru-RU"/>
        </w:rPr>
        <w:t>.</w:t>
      </w:r>
    </w:p>
    <w:p w14:paraId="6252F54F" w14:textId="77777777" w:rsidR="00032892" w:rsidRPr="00032892" w:rsidRDefault="00032892" w:rsidP="00032892">
      <w:pPr>
        <w:spacing w:line="240" w:lineRule="auto"/>
        <w:rPr>
          <w:rFonts w:eastAsia="Times New Roman" w:cs="Arial"/>
          <w:color w:val="000000"/>
          <w:szCs w:val="20"/>
          <w:lang w:eastAsia="bg-BG"/>
        </w:rPr>
      </w:pPr>
    </w:p>
    <w:p w14:paraId="414A7D23" w14:textId="16EB7778" w:rsidR="00032892" w:rsidRPr="00032892" w:rsidRDefault="00032892" w:rsidP="00032892">
      <w:pPr>
        <w:spacing w:line="240" w:lineRule="auto"/>
        <w:rPr>
          <w:rFonts w:eastAsia="Times New Roman" w:cs="Arial"/>
          <w:sz w:val="28"/>
          <w:szCs w:val="24"/>
        </w:rPr>
      </w:pPr>
      <w:r w:rsidRPr="00032892">
        <w:rPr>
          <w:rFonts w:eastAsia="Times New Roman" w:cs="Arial"/>
          <w:color w:val="000000"/>
          <w:szCs w:val="20"/>
          <w:lang w:eastAsia="bg-BG"/>
        </w:rPr>
        <w:t xml:space="preserve">При плъхове и мишки са проведени двугодишни проучвания за канцерогенност на прегабалин. Не са наблюдавани тумори при плъхове след експозиции до 24 пъти по-високи от средната експозиция при хора, при максималната препоръчвана клинична доза от 600 </w:t>
      </w:r>
      <w:r w:rsidRPr="00032892">
        <w:rPr>
          <w:rFonts w:eastAsia="Times New Roman" w:cs="Arial"/>
          <w:color w:val="000000"/>
          <w:szCs w:val="20"/>
          <w:lang w:val="en-US"/>
        </w:rPr>
        <w:t>mg</w:t>
      </w:r>
      <w:r w:rsidRPr="00032892">
        <w:rPr>
          <w:rFonts w:eastAsia="Times New Roman" w:cs="Arial"/>
          <w:color w:val="000000"/>
          <w:szCs w:val="20"/>
          <w:lang w:eastAsia="bg-BG"/>
        </w:rPr>
        <w:t>/ден. При мишки не е наблюдавана повишена честота на туморите при експозиции, подобни на средната експозиция при хора, но при по-високи експозиции е наблюдавана повишена честота на хемангиосарком. Негенотоксичният механизъм на прегабалин-индуцираното образуване на тумори при мишки включва промени в тромбоцитите и пролиферация на ендотелни клетки. Такива тромбоцитни промени не са били установени при плъхове или при хора въз основа на краткосрочни и ограничени дългосрочни клинични данни. Няма доказателства, предполагащи риск при хора.</w:t>
      </w:r>
    </w:p>
    <w:p w14:paraId="372EBBE8" w14:textId="77777777" w:rsidR="00032892" w:rsidRPr="00032892" w:rsidRDefault="00032892" w:rsidP="00032892">
      <w:pPr>
        <w:rPr>
          <w:rFonts w:eastAsia="Times New Roman" w:cs="Arial"/>
          <w:color w:val="000000"/>
          <w:szCs w:val="20"/>
          <w:lang w:eastAsia="bg-BG"/>
        </w:rPr>
      </w:pPr>
    </w:p>
    <w:p w14:paraId="7F180C3E" w14:textId="27099F3D" w:rsidR="00032892" w:rsidRPr="00032892" w:rsidRDefault="00032892" w:rsidP="00032892">
      <w:pPr>
        <w:rPr>
          <w:rFonts w:cs="Arial"/>
          <w:sz w:val="24"/>
        </w:rPr>
      </w:pPr>
      <w:r w:rsidRPr="00032892">
        <w:rPr>
          <w:rFonts w:eastAsia="Times New Roman" w:cs="Arial"/>
          <w:color w:val="000000"/>
          <w:szCs w:val="20"/>
          <w:lang w:eastAsia="bg-BG"/>
        </w:rPr>
        <w:lastRenderedPageBreak/>
        <w:t>Видовете токсичност при млади плъхове не се различават качествено от тези, наблюдавани при възрастни плъхове. Все пак, младите плъхове са по-чувствителни. При терапевтични експозиции има доказателства за клинични прояви от страна на ЦНС като хиперактивност и скърцане със зъби, както и някои промени в растежа (преходно потискане на наддаването на тегло). Ефекти върху еструса са били наблюдавани при експозиция 5-кратно по-висока от терапевтичната при хора. Намален отговор към внезапен звуков стимул се наблюдава при млади плъхове 1-2 седмици след експозиция при &gt; 2 пъти по-висока от терапевтичната експозиция при хора. Девет седмици след експозицията този ефект не се наблюдава.</w:t>
      </w:r>
    </w:p>
    <w:p w14:paraId="6A7820AB" w14:textId="048C038C" w:rsidR="008A6AF2" w:rsidRDefault="002C50EE" w:rsidP="00395555">
      <w:pPr>
        <w:pStyle w:val="Heading1"/>
      </w:pPr>
      <w:r>
        <w:t>7. ПРИТЕЖАТЕЛ НА РАЗРЕШЕНИЕТО ЗА УПОТРЕБА</w:t>
      </w:r>
    </w:p>
    <w:p w14:paraId="0A70C0B1" w14:textId="229D0DEF" w:rsidR="00032892" w:rsidRDefault="00032892" w:rsidP="00032892"/>
    <w:p w14:paraId="0850E48A" w14:textId="77777777" w:rsidR="00032892" w:rsidRPr="00032892" w:rsidRDefault="00032892" w:rsidP="00032892">
      <w:pPr>
        <w:rPr>
          <w:lang w:val="en-US"/>
        </w:rPr>
      </w:pPr>
      <w:proofErr w:type="spellStart"/>
      <w:r w:rsidRPr="00032892">
        <w:rPr>
          <w:lang w:val="en-US"/>
        </w:rPr>
        <w:t>Zaklady</w:t>
      </w:r>
      <w:proofErr w:type="spellEnd"/>
      <w:r w:rsidRPr="00032892">
        <w:rPr>
          <w:lang w:val="en-US"/>
        </w:rPr>
        <w:t xml:space="preserve"> </w:t>
      </w:r>
      <w:proofErr w:type="spellStart"/>
      <w:r w:rsidRPr="00032892">
        <w:rPr>
          <w:lang w:val="en-US"/>
        </w:rPr>
        <w:t>Farmaceutyczne</w:t>
      </w:r>
      <w:proofErr w:type="spellEnd"/>
      <w:r w:rsidRPr="00032892">
        <w:rPr>
          <w:lang w:val="en-US"/>
        </w:rPr>
        <w:t xml:space="preserve"> POLPHARMA S.A.</w:t>
      </w:r>
    </w:p>
    <w:p w14:paraId="7E2C562C" w14:textId="723869CC" w:rsidR="00032892" w:rsidRPr="00032892" w:rsidRDefault="00032892" w:rsidP="00032892">
      <w:pPr>
        <w:rPr>
          <w:lang w:val="ru-RU"/>
        </w:rPr>
      </w:pPr>
      <w:proofErr w:type="spellStart"/>
      <w:proofErr w:type="gramStart"/>
      <w:r w:rsidRPr="00032892">
        <w:rPr>
          <w:lang w:val="en-US"/>
        </w:rPr>
        <w:t>ul</w:t>
      </w:r>
      <w:proofErr w:type="spellEnd"/>
      <w:proofErr w:type="gramEnd"/>
      <w:r w:rsidRPr="00032892">
        <w:rPr>
          <w:lang w:val="ru-RU"/>
        </w:rPr>
        <w:t xml:space="preserve">. </w:t>
      </w:r>
      <w:proofErr w:type="spellStart"/>
      <w:r w:rsidRPr="00032892">
        <w:rPr>
          <w:lang w:val="en-US"/>
        </w:rPr>
        <w:t>Pelplinska</w:t>
      </w:r>
      <w:proofErr w:type="spellEnd"/>
      <w:r w:rsidRPr="00032892">
        <w:rPr>
          <w:lang w:val="ru-RU"/>
        </w:rPr>
        <w:t xml:space="preserve"> 19</w:t>
      </w:r>
    </w:p>
    <w:p w14:paraId="578593F4" w14:textId="77777777" w:rsidR="00032892" w:rsidRPr="00032892" w:rsidRDefault="00032892" w:rsidP="00032892">
      <w:r w:rsidRPr="00032892">
        <w:rPr>
          <w:lang w:eastAsia="bg-BG"/>
        </w:rPr>
        <w:t xml:space="preserve">83-200 </w:t>
      </w:r>
      <w:r w:rsidRPr="00032892">
        <w:t>Starogard Gdanski</w:t>
      </w:r>
    </w:p>
    <w:p w14:paraId="793FA972" w14:textId="536456CC" w:rsidR="00032892" w:rsidRPr="00032892" w:rsidRDefault="00032892" w:rsidP="00032892">
      <w:pPr>
        <w:rPr>
          <w:lang w:val="ru-RU"/>
        </w:rPr>
      </w:pPr>
      <w:r w:rsidRPr="00032892">
        <w:rPr>
          <w:lang w:eastAsia="bg-BG"/>
        </w:rPr>
        <w:t>Полша</w:t>
      </w:r>
    </w:p>
    <w:p w14:paraId="04840D59" w14:textId="448A69FA" w:rsidR="002C50EE" w:rsidRDefault="002C50EE" w:rsidP="00395555">
      <w:pPr>
        <w:pStyle w:val="Heading1"/>
      </w:pPr>
      <w:r>
        <w:t>8. НОМЕР НА РАЗРЕШЕНИЕТО ЗА УПОТРЕБА</w:t>
      </w:r>
    </w:p>
    <w:p w14:paraId="0D106D7F" w14:textId="1D78A20F" w:rsidR="00032892" w:rsidRDefault="00032892" w:rsidP="00032892"/>
    <w:p w14:paraId="4736AC92" w14:textId="77777777" w:rsidR="00032892" w:rsidRPr="00032892" w:rsidRDefault="00032892" w:rsidP="00032892">
      <w:pPr>
        <w:rPr>
          <w:sz w:val="24"/>
          <w:szCs w:val="24"/>
          <w:lang w:val="en-US"/>
        </w:rPr>
      </w:pPr>
      <w:proofErr w:type="spellStart"/>
      <w:r w:rsidRPr="00032892">
        <w:rPr>
          <w:lang w:val="en-US"/>
        </w:rPr>
        <w:t>Linefor</w:t>
      </w:r>
      <w:proofErr w:type="spellEnd"/>
      <w:r w:rsidRPr="00032892">
        <w:rPr>
          <w:lang w:val="en-US"/>
        </w:rPr>
        <w:t xml:space="preserve"> 50 mg: Per, № 20170158</w:t>
      </w:r>
    </w:p>
    <w:p w14:paraId="17872772" w14:textId="77777777" w:rsidR="00032892" w:rsidRPr="00032892" w:rsidRDefault="00032892" w:rsidP="00032892">
      <w:pPr>
        <w:rPr>
          <w:sz w:val="24"/>
          <w:szCs w:val="24"/>
          <w:lang w:val="en-US"/>
        </w:rPr>
      </w:pPr>
      <w:proofErr w:type="spellStart"/>
      <w:r w:rsidRPr="00032892">
        <w:rPr>
          <w:lang w:val="en-US"/>
        </w:rPr>
        <w:t>Linefor</w:t>
      </w:r>
      <w:proofErr w:type="spellEnd"/>
      <w:r w:rsidRPr="00032892">
        <w:rPr>
          <w:lang w:val="en-US"/>
        </w:rPr>
        <w:t xml:space="preserve"> 75 mg: Per. № 20170159</w:t>
      </w:r>
    </w:p>
    <w:p w14:paraId="60BA9D7B" w14:textId="0EBB8C3A" w:rsidR="00032892" w:rsidRPr="00032892" w:rsidRDefault="00032892" w:rsidP="00032892">
      <w:proofErr w:type="spellStart"/>
      <w:r w:rsidRPr="00032892">
        <w:rPr>
          <w:lang w:val="en-US"/>
        </w:rPr>
        <w:t>Linefor</w:t>
      </w:r>
      <w:proofErr w:type="spellEnd"/>
      <w:r w:rsidRPr="00032892">
        <w:rPr>
          <w:lang w:val="en-US"/>
        </w:rPr>
        <w:t xml:space="preserve"> 150 mg: Per. № 20170160</w:t>
      </w:r>
    </w:p>
    <w:p w14:paraId="2CCB5832" w14:textId="4BFF5560" w:rsidR="007C605B" w:rsidRDefault="002C50EE" w:rsidP="007C605B">
      <w:pPr>
        <w:pStyle w:val="Heading1"/>
      </w:pPr>
      <w:r>
        <w:t>9. ДАТА НА ПЪРВО РАЗРЕШАВАНЕ/ПОДНОВЯВАНЕ НА РАЗРЕШЕНИЕТО ЗА УПОТРЕБА</w:t>
      </w:r>
    </w:p>
    <w:p w14:paraId="1D7B2895" w14:textId="18D09467" w:rsidR="00032892" w:rsidRDefault="00032892" w:rsidP="00032892"/>
    <w:p w14:paraId="14D9F6B5" w14:textId="077DA098" w:rsidR="00032892" w:rsidRPr="00032892" w:rsidRDefault="00032892" w:rsidP="00032892">
      <w:pPr>
        <w:rPr>
          <w:sz w:val="24"/>
          <w:szCs w:val="24"/>
        </w:rPr>
      </w:pPr>
      <w:r w:rsidRPr="00032892">
        <w:rPr>
          <w:lang w:eastAsia="bg-BG"/>
        </w:rPr>
        <w:t>Дата на първо разрешаване: 11.05.2017</w:t>
      </w:r>
      <w:bookmarkStart w:id="1" w:name="_GoBack"/>
      <w:bookmarkEnd w:id="1"/>
    </w:p>
    <w:p w14:paraId="0E9D0119" w14:textId="0245C6D7" w:rsidR="002C50EE" w:rsidRDefault="002C50EE" w:rsidP="002C50EE">
      <w:pPr>
        <w:pStyle w:val="Heading1"/>
      </w:pPr>
      <w:r>
        <w:t>10. ДАТА НА АКТУАЛИЗИРАНЕ НА ТЕКСТА</w:t>
      </w:r>
    </w:p>
    <w:bookmarkEnd w:id="0"/>
    <w:p w14:paraId="43FB38A2" w14:textId="67369EB6" w:rsidR="007C605B" w:rsidRPr="003E3126" w:rsidRDefault="007C605B" w:rsidP="00426E5F"/>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8"/>
  </w:num>
  <w:num w:numId="12">
    <w:abstractNumId w:val="13"/>
  </w:num>
  <w:num w:numId="13">
    <w:abstractNumId w:val="18"/>
  </w:num>
  <w:num w:numId="14">
    <w:abstractNumId w:val="11"/>
  </w:num>
  <w:num w:numId="15">
    <w:abstractNumId w:val="27"/>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29"/>
  </w:num>
  <w:num w:numId="28">
    <w:abstractNumId w:val="6"/>
  </w:num>
  <w:num w:numId="29">
    <w:abstractNumId w:val="19"/>
  </w:num>
  <w:num w:numId="30">
    <w:abstractNumId w:val="31"/>
  </w:num>
  <w:num w:numId="31">
    <w:abstractNumId w:val="5"/>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32892"/>
    <w:rsid w:val="00185A46"/>
    <w:rsid w:val="001915B6"/>
    <w:rsid w:val="001D1B23"/>
    <w:rsid w:val="002B3C38"/>
    <w:rsid w:val="002B4DBB"/>
    <w:rsid w:val="002C50EE"/>
    <w:rsid w:val="00340A0A"/>
    <w:rsid w:val="003765DC"/>
    <w:rsid w:val="00395555"/>
    <w:rsid w:val="003E3126"/>
    <w:rsid w:val="00426E5F"/>
    <w:rsid w:val="004D4D6B"/>
    <w:rsid w:val="00517A5B"/>
    <w:rsid w:val="00593A00"/>
    <w:rsid w:val="005A66D9"/>
    <w:rsid w:val="00605BCA"/>
    <w:rsid w:val="006158A1"/>
    <w:rsid w:val="00617B1F"/>
    <w:rsid w:val="00672487"/>
    <w:rsid w:val="00672600"/>
    <w:rsid w:val="00681D4A"/>
    <w:rsid w:val="00685882"/>
    <w:rsid w:val="0075649D"/>
    <w:rsid w:val="00790351"/>
    <w:rsid w:val="007C605B"/>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809A7"/>
    <w:rsid w:val="00C83063"/>
    <w:rsid w:val="00C87E90"/>
    <w:rsid w:val="00CA1B5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6151</Words>
  <Characters>35063</Characters>
  <Application>Microsoft Office Word</Application>
  <DocSecurity>0</DocSecurity>
  <Lines>292</Lines>
  <Paragraphs>82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2022-02-17T15:41:00Z</dcterms:created>
  <dcterms:modified xsi:type="dcterms:W3CDTF">2022-02-17T15:41:00Z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