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Pr="008A4BF3" w:rsidRDefault="002C50EE" w:rsidP="002C50EE">
      <w:pPr>
        <w:pStyle w:val="Heading1"/>
        <w:jc w:val="center"/>
      </w:pPr>
      <w:bookmarkStart w:id="0" w:name="_Hlk63124480"/>
      <w:r w:rsidRPr="008A4BF3">
        <w:t>КРАТКА ХАРАКТЕРИСТИКА НА ПРОДУКТА</w:t>
      </w:r>
    </w:p>
    <w:p w14:paraId="3320F4BE" w14:textId="1895F333" w:rsidR="00C40420" w:rsidRPr="008A4BF3" w:rsidRDefault="00DD466D" w:rsidP="004A448E">
      <w:pPr>
        <w:pStyle w:val="Heading1"/>
      </w:pPr>
      <w:r w:rsidRPr="008A4BF3">
        <w:t>1.ИМЕ НА ЛЕКАРСТВЕНИЯ ПРОДУКТ</w:t>
      </w:r>
    </w:p>
    <w:p w14:paraId="4B9FADFD" w14:textId="47E2A12B" w:rsidR="005B7910" w:rsidRPr="008A4BF3" w:rsidRDefault="005B7910" w:rsidP="005B7910"/>
    <w:p w14:paraId="238FE289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твърди капсули</w:t>
      </w:r>
    </w:p>
    <w:p w14:paraId="61F26F52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75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твърди капсули</w:t>
      </w:r>
    </w:p>
    <w:p w14:paraId="2CA5768E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твърди капсули</w:t>
      </w:r>
    </w:p>
    <w:p w14:paraId="450957F6" w14:textId="77777777" w:rsidR="005B7910" w:rsidRPr="008A4BF3" w:rsidRDefault="005B7910" w:rsidP="005B7910">
      <w:pPr>
        <w:spacing w:line="240" w:lineRule="auto"/>
        <w:rPr>
          <w:rFonts w:eastAsia="Times New Roman" w:cs="Arial"/>
          <w:color w:val="000000"/>
          <w:szCs w:val="20"/>
        </w:rPr>
      </w:pPr>
    </w:p>
    <w:p w14:paraId="62C1F04A" w14:textId="3260C243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Linefor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</w:rPr>
        <w:t>capsules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</w:rPr>
        <w:t>hard</w:t>
      </w:r>
      <w:proofErr w:type="spellEnd"/>
    </w:p>
    <w:p w14:paraId="452C2465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Linefor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75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</w:rPr>
        <w:t>capsules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</w:rPr>
        <w:t>hard</w:t>
      </w:r>
      <w:proofErr w:type="spellEnd"/>
    </w:p>
    <w:p w14:paraId="497D048B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Linefor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</w:rPr>
        <w:t>capsules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</w:rPr>
        <w:t>hard</w:t>
      </w:r>
      <w:proofErr w:type="spellEnd"/>
    </w:p>
    <w:p w14:paraId="5E352011" w14:textId="77777777" w:rsidR="005B7910" w:rsidRPr="008A4BF3" w:rsidRDefault="005B7910" w:rsidP="005B7910">
      <w:pPr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5C4DDBCA" w14:textId="1280471F" w:rsidR="005B7910" w:rsidRPr="008A4BF3" w:rsidRDefault="005B7910" w:rsidP="005B7910">
      <w:pPr>
        <w:rPr>
          <w:rFonts w:cs="Arial"/>
          <w:sz w:val="24"/>
        </w:rPr>
      </w:pPr>
      <w:proofErr w:type="spellStart"/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pregabalin</w:t>
      </w:r>
      <w:proofErr w:type="spellEnd"/>
    </w:p>
    <w:p w14:paraId="6920A680" w14:textId="371C01AB" w:rsidR="00C40420" w:rsidRPr="008A4BF3" w:rsidRDefault="00DD466D" w:rsidP="004A448E">
      <w:pPr>
        <w:pStyle w:val="Heading1"/>
      </w:pPr>
      <w:r w:rsidRPr="008A4BF3">
        <w:t>2. КАЧЕСТВЕН И КОЛИЧЕСТВЕН СЪСТАВ</w:t>
      </w:r>
    </w:p>
    <w:p w14:paraId="4878E0A0" w14:textId="604E3C5B" w:rsidR="005B7910" w:rsidRPr="008A4BF3" w:rsidRDefault="005B7910" w:rsidP="005B7910"/>
    <w:p w14:paraId="69A75B01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твърди капсули</w:t>
      </w:r>
    </w:p>
    <w:p w14:paraId="545B35B7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Всяка твърда капсула съдържа 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4A288D17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Помощно вещество с известно действие: л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10B97C82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Всяка твърда капсула съдържа 18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лактоза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7FBCFF05" w14:textId="77777777" w:rsidR="005B7910" w:rsidRPr="008A4BF3" w:rsidRDefault="005B7910" w:rsidP="005B7910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6EA2FD7" w14:textId="21060A11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75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твърди капсули</w:t>
      </w:r>
    </w:p>
    <w:p w14:paraId="513A0FD0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Всяка твърда капсула съдържа 75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3B7D8E0E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Помощно вещество с известно действие: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лактоза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5ABF93B7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Всяка твърда капсула съдържа 27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лактоза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0E25294A" w14:textId="77777777" w:rsidR="005B7910" w:rsidRPr="008A4BF3" w:rsidRDefault="005B7910" w:rsidP="005B7910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292AB27" w14:textId="109062A6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твърди капсули</w:t>
      </w:r>
    </w:p>
    <w:p w14:paraId="4FBC9836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Всяка твърда капсула съдържа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11282D6F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Помощно вещество с известно действие: л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4D63AF53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Всяка твърда капсула съдържа 54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лактоза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1B895578" w14:textId="77777777" w:rsidR="005B7910" w:rsidRPr="008A4BF3" w:rsidRDefault="005B7910" w:rsidP="005B7910">
      <w:pPr>
        <w:rPr>
          <w:rFonts w:eastAsia="Times New Roman" w:cs="Arial"/>
          <w:color w:val="000000"/>
          <w:szCs w:val="20"/>
          <w:lang w:eastAsia="bg-BG"/>
        </w:rPr>
      </w:pPr>
    </w:p>
    <w:p w14:paraId="346E4DEB" w14:textId="42ADAB16" w:rsidR="005B7910" w:rsidRPr="008A4BF3" w:rsidRDefault="005B7910" w:rsidP="005B7910">
      <w:pPr>
        <w:rPr>
          <w:rFonts w:cs="Arial"/>
          <w:sz w:val="24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За пълния списък на помощните вещества вижте точка 6.1.</w:t>
      </w:r>
    </w:p>
    <w:p w14:paraId="614984C4" w14:textId="315E88DA" w:rsidR="008A6AF2" w:rsidRPr="008A4BF3" w:rsidRDefault="00DD466D" w:rsidP="002C50EE">
      <w:pPr>
        <w:pStyle w:val="Heading1"/>
      </w:pPr>
      <w:r w:rsidRPr="008A4BF3">
        <w:t>3. ЛЕКАРСТВЕНА ФОРМА</w:t>
      </w:r>
    </w:p>
    <w:p w14:paraId="12B4D775" w14:textId="3EBA6930" w:rsidR="005B7910" w:rsidRPr="008A4BF3" w:rsidRDefault="005B7910" w:rsidP="005B7910"/>
    <w:p w14:paraId="6F49776E" w14:textId="3B503CDD" w:rsidR="005B7910" w:rsidRPr="008A4BF3" w:rsidRDefault="005B7910" w:rsidP="005B7910">
      <w:pPr>
        <w:rPr>
          <w:sz w:val="20"/>
          <w:szCs w:val="20"/>
        </w:rPr>
      </w:pPr>
      <w:r w:rsidRPr="008A4BF3">
        <w:rPr>
          <w:sz w:val="20"/>
          <w:szCs w:val="20"/>
        </w:rPr>
        <w:t>Твърда капсула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678"/>
      </w:tblGrid>
      <w:tr w:rsidR="005B7910" w:rsidRPr="008A4BF3" w14:paraId="2E061F31" w14:textId="77777777" w:rsidTr="005B7910">
        <w:tc>
          <w:tcPr>
            <w:tcW w:w="4750" w:type="dxa"/>
          </w:tcPr>
          <w:p w14:paraId="41D1E85D" w14:textId="189F53BA" w:rsidR="005B7910" w:rsidRPr="008A4BF3" w:rsidRDefault="005B7910" w:rsidP="005B7910">
            <w:proofErr w:type="spellStart"/>
            <w:r w:rsidRPr="008A4BF3">
              <w:rPr>
                <w:sz w:val="20"/>
                <w:szCs w:val="20"/>
              </w:rPr>
              <w:t>Линефор</w:t>
            </w:r>
            <w:proofErr w:type="spellEnd"/>
            <w:r w:rsidRPr="008A4BF3">
              <w:rPr>
                <w:sz w:val="20"/>
                <w:szCs w:val="20"/>
              </w:rPr>
              <w:t xml:space="preserve"> 50 </w:t>
            </w:r>
            <w:proofErr w:type="spellStart"/>
            <w:r w:rsidRPr="008A4BF3">
              <w:rPr>
                <w:sz w:val="20"/>
                <w:szCs w:val="20"/>
              </w:rPr>
              <w:t>mg</w:t>
            </w:r>
            <w:proofErr w:type="spellEnd"/>
            <w:r w:rsidRPr="008A4BF3">
              <w:rPr>
                <w:sz w:val="20"/>
                <w:szCs w:val="20"/>
              </w:rPr>
              <w:t>:</w:t>
            </w:r>
          </w:p>
        </w:tc>
        <w:tc>
          <w:tcPr>
            <w:tcW w:w="4750" w:type="dxa"/>
          </w:tcPr>
          <w:p w14:paraId="2CCC2076" w14:textId="335BBBFF" w:rsidR="005B7910" w:rsidRPr="008A4BF3" w:rsidRDefault="005B7910" w:rsidP="005B7910">
            <w:r w:rsidRPr="008A4BF3">
              <w:rPr>
                <w:sz w:val="20"/>
                <w:szCs w:val="20"/>
              </w:rPr>
              <w:t xml:space="preserve">Бели, твърди желатинови капсули, с отпечатано „50“ върху тялото, съдържащи бял или почти бял </w:t>
            </w:r>
            <w:r w:rsidRPr="008A4BF3">
              <w:rPr>
                <w:i/>
                <w:iCs/>
                <w:sz w:val="20"/>
                <w:szCs w:val="20"/>
              </w:rPr>
              <w:t>прах</w:t>
            </w:r>
            <w:r w:rsidRPr="008A4BF3">
              <w:rPr>
                <w:sz w:val="20"/>
                <w:szCs w:val="20"/>
              </w:rPr>
              <w:t xml:space="preserve"> или леко уплътнени агломерати. Размерът на капсулата е № 3.</w:t>
            </w:r>
          </w:p>
        </w:tc>
      </w:tr>
      <w:tr w:rsidR="005B7910" w:rsidRPr="008A4BF3" w14:paraId="726CA562" w14:textId="77777777" w:rsidTr="005B7910">
        <w:tc>
          <w:tcPr>
            <w:tcW w:w="4750" w:type="dxa"/>
          </w:tcPr>
          <w:p w14:paraId="3BE769DA" w14:textId="6147ECAB" w:rsidR="005B7910" w:rsidRPr="008A4BF3" w:rsidRDefault="005B7910" w:rsidP="005B7910">
            <w:proofErr w:type="spellStart"/>
            <w:r w:rsidRPr="008A4BF3">
              <w:rPr>
                <w:sz w:val="20"/>
                <w:szCs w:val="20"/>
              </w:rPr>
              <w:t>Линефор</w:t>
            </w:r>
            <w:proofErr w:type="spellEnd"/>
            <w:r w:rsidRPr="008A4BF3">
              <w:rPr>
                <w:sz w:val="20"/>
                <w:szCs w:val="20"/>
              </w:rPr>
              <w:t xml:space="preserve"> 75 </w:t>
            </w:r>
            <w:proofErr w:type="spellStart"/>
            <w:r w:rsidRPr="008A4BF3">
              <w:rPr>
                <w:sz w:val="20"/>
                <w:szCs w:val="20"/>
              </w:rPr>
              <w:t>mg</w:t>
            </w:r>
            <w:proofErr w:type="spellEnd"/>
            <w:r w:rsidRPr="008A4BF3">
              <w:rPr>
                <w:sz w:val="20"/>
                <w:szCs w:val="20"/>
              </w:rPr>
              <w:t>:</w:t>
            </w:r>
          </w:p>
        </w:tc>
        <w:tc>
          <w:tcPr>
            <w:tcW w:w="4750" w:type="dxa"/>
          </w:tcPr>
          <w:p w14:paraId="37D49BE0" w14:textId="1F4F3D75" w:rsidR="005B7910" w:rsidRPr="008A4BF3" w:rsidRDefault="005B7910" w:rsidP="005B7910">
            <w:r w:rsidRPr="008A4BF3">
              <w:rPr>
                <w:sz w:val="20"/>
                <w:szCs w:val="20"/>
              </w:rPr>
              <w:t>Твърди желатинови капсули, с бяло тяло с отпечатано „75“ и червено-кафява капачка, съдържащи бял или почти бял прах или леко уплътнени агломерати. Размерът на капсулата е № 3.</w:t>
            </w:r>
          </w:p>
        </w:tc>
      </w:tr>
      <w:tr w:rsidR="005B7910" w:rsidRPr="008A4BF3" w14:paraId="7E3DBE4D" w14:textId="77777777" w:rsidTr="005B7910">
        <w:tc>
          <w:tcPr>
            <w:tcW w:w="4750" w:type="dxa"/>
          </w:tcPr>
          <w:p w14:paraId="4D11859B" w14:textId="3DF5631B" w:rsidR="005B7910" w:rsidRPr="008A4BF3" w:rsidRDefault="005B7910" w:rsidP="005B7910">
            <w:proofErr w:type="spellStart"/>
            <w:r w:rsidRPr="008A4BF3">
              <w:rPr>
                <w:sz w:val="20"/>
                <w:szCs w:val="20"/>
              </w:rPr>
              <w:t>Линефор</w:t>
            </w:r>
            <w:proofErr w:type="spellEnd"/>
            <w:r w:rsidRPr="008A4BF3">
              <w:rPr>
                <w:sz w:val="20"/>
                <w:szCs w:val="20"/>
              </w:rPr>
              <w:t xml:space="preserve"> 150 </w:t>
            </w:r>
            <w:proofErr w:type="spellStart"/>
            <w:r w:rsidRPr="008A4BF3">
              <w:rPr>
                <w:sz w:val="20"/>
                <w:szCs w:val="20"/>
              </w:rPr>
              <w:t>mg</w:t>
            </w:r>
            <w:proofErr w:type="spellEnd"/>
            <w:r w:rsidRPr="008A4BF3">
              <w:rPr>
                <w:sz w:val="20"/>
                <w:szCs w:val="20"/>
              </w:rPr>
              <w:t>:</w:t>
            </w:r>
          </w:p>
        </w:tc>
        <w:tc>
          <w:tcPr>
            <w:tcW w:w="4750" w:type="dxa"/>
          </w:tcPr>
          <w:p w14:paraId="343F5F74" w14:textId="09E7E618" w:rsidR="005B7910" w:rsidRPr="008A4BF3" w:rsidRDefault="005B7910" w:rsidP="005B7910">
            <w:r w:rsidRPr="008A4BF3">
              <w:rPr>
                <w:sz w:val="20"/>
                <w:szCs w:val="20"/>
              </w:rPr>
              <w:t xml:space="preserve">Бели, твърди желатинови капсули, с отпечатано „150“ върху тялото, съдържащи </w:t>
            </w:r>
            <w:r w:rsidRPr="008A4BF3">
              <w:rPr>
                <w:sz w:val="20"/>
                <w:szCs w:val="20"/>
              </w:rPr>
              <w:lastRenderedPageBreak/>
              <w:t>бял или почти бял прах или леко уплътнени агломерати. Размерът на капсулата е № 1.</w:t>
            </w:r>
          </w:p>
        </w:tc>
      </w:tr>
    </w:tbl>
    <w:p w14:paraId="220E37E2" w14:textId="77777777" w:rsidR="005B7910" w:rsidRPr="008A4BF3" w:rsidRDefault="005B7910" w:rsidP="005B7910"/>
    <w:p w14:paraId="490FC2C4" w14:textId="32682B15" w:rsidR="002C50EE" w:rsidRPr="008A4BF3" w:rsidRDefault="002C50EE" w:rsidP="002C50EE">
      <w:pPr>
        <w:pStyle w:val="Heading1"/>
      </w:pPr>
      <w:r w:rsidRPr="008A4BF3">
        <w:t>4. КЛИНИЧНИ ДАННИ</w:t>
      </w:r>
    </w:p>
    <w:p w14:paraId="0C8E6903" w14:textId="103BD0B7" w:rsidR="008134C8" w:rsidRPr="008A4BF3" w:rsidRDefault="002C50EE" w:rsidP="004A448E">
      <w:pPr>
        <w:pStyle w:val="Heading2"/>
      </w:pPr>
      <w:r w:rsidRPr="008A4BF3">
        <w:t>4.1. Терапевтични показания</w:t>
      </w:r>
    </w:p>
    <w:p w14:paraId="61C2BB91" w14:textId="06A2A7A2" w:rsidR="005B7910" w:rsidRPr="008A4BF3" w:rsidRDefault="005B7910" w:rsidP="005B7910"/>
    <w:p w14:paraId="4947E42E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болка</w:t>
      </w:r>
    </w:p>
    <w:p w14:paraId="2905B24B" w14:textId="76687ABE" w:rsidR="005B7910" w:rsidRPr="008A4BF3" w:rsidRDefault="005B7910" w:rsidP="005B7910">
      <w:pPr>
        <w:rPr>
          <w:rFonts w:eastAsia="Times New Roman" w:cs="Arial"/>
          <w:color w:val="000000"/>
          <w:szCs w:val="20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показан за лечение на периферна и централна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невропатична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 при</w:t>
      </w:r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възрастни.</w:t>
      </w:r>
    </w:p>
    <w:p w14:paraId="652D9BC2" w14:textId="21BD5E62" w:rsidR="005B7910" w:rsidRPr="008A4BF3" w:rsidRDefault="005B7910" w:rsidP="005B7910">
      <w:pPr>
        <w:rPr>
          <w:rFonts w:eastAsia="Times New Roman" w:cs="Arial"/>
          <w:color w:val="000000"/>
          <w:szCs w:val="20"/>
          <w:lang w:eastAsia="bg-BG"/>
        </w:rPr>
      </w:pPr>
    </w:p>
    <w:p w14:paraId="10DD0AF8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Епилепсия</w:t>
      </w:r>
    </w:p>
    <w:p w14:paraId="0AFA9800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показан като допълнителна терапия при възрастни с парциални припадъци със или без вторична генерализация.</w:t>
      </w:r>
    </w:p>
    <w:p w14:paraId="4AA5EB8D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Генерализирано тревожно разстройство</w:t>
      </w:r>
    </w:p>
    <w:p w14:paraId="78DAA792" w14:textId="5A4A58DD" w:rsidR="005B7910" w:rsidRPr="008A4BF3" w:rsidRDefault="005B7910" w:rsidP="005B7910">
      <w:pPr>
        <w:rPr>
          <w:rFonts w:cs="Arial"/>
          <w:sz w:val="24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показан за лечението на генерализирано тревожно разстройство </w:t>
      </w:r>
      <w:r w:rsidRPr="008A4BF3">
        <w:rPr>
          <w:rFonts w:eastAsia="Times New Roman" w:cs="Arial"/>
          <w:color w:val="000000"/>
          <w:szCs w:val="20"/>
        </w:rPr>
        <w:t xml:space="preserve">(GAD) </w:t>
      </w:r>
      <w:r w:rsidRPr="008A4BF3">
        <w:rPr>
          <w:rFonts w:eastAsia="Times New Roman" w:cs="Arial"/>
          <w:color w:val="000000"/>
          <w:szCs w:val="20"/>
          <w:lang w:eastAsia="bg-BG"/>
        </w:rPr>
        <w:t>при възрастни.</w:t>
      </w:r>
    </w:p>
    <w:p w14:paraId="3993EEEA" w14:textId="77777777" w:rsidR="005B7910" w:rsidRPr="008A4BF3" w:rsidRDefault="005B7910" w:rsidP="005B7910"/>
    <w:p w14:paraId="30BE2C7B" w14:textId="74F2CEA0" w:rsidR="008134C8" w:rsidRPr="008A4BF3" w:rsidRDefault="002C50EE" w:rsidP="004A448E">
      <w:pPr>
        <w:pStyle w:val="Heading2"/>
      </w:pPr>
      <w:r w:rsidRPr="008A4BF3">
        <w:t>4.2. Дозировка и начин на приложение</w:t>
      </w:r>
    </w:p>
    <w:p w14:paraId="21EDC70A" w14:textId="39F9884D" w:rsidR="005B7910" w:rsidRPr="008A4BF3" w:rsidRDefault="005B7910" w:rsidP="005B7910"/>
    <w:p w14:paraId="28B53972" w14:textId="77777777" w:rsidR="005B7910" w:rsidRPr="008A4BF3" w:rsidRDefault="005B7910" w:rsidP="001E20C7">
      <w:pPr>
        <w:pStyle w:val="Heading3"/>
        <w:rPr>
          <w:rFonts w:eastAsia="Times New Roman"/>
          <w:sz w:val="28"/>
          <w:u w:val="single"/>
          <w:lang w:eastAsia="bg-BG"/>
        </w:rPr>
      </w:pPr>
      <w:r w:rsidRPr="008A4BF3">
        <w:rPr>
          <w:rFonts w:eastAsia="Times New Roman"/>
          <w:u w:val="single"/>
          <w:lang w:eastAsia="bg-BG"/>
        </w:rPr>
        <w:t>Дозировка</w:t>
      </w:r>
    </w:p>
    <w:p w14:paraId="4B699EA2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Дозовият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интервал е от 150 до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ден, разпределени в два или три приема.</w:t>
      </w:r>
    </w:p>
    <w:p w14:paraId="5B11E5E5" w14:textId="77777777" w:rsidR="005B7910" w:rsidRPr="008A4BF3" w:rsidRDefault="005B7910" w:rsidP="005B7910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DF78CFC" w14:textId="049ECC5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 xml:space="preserve"> болка</w:t>
      </w:r>
    </w:p>
    <w:p w14:paraId="0CE87B1D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започне с доза от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ден, разделена на два или три приема</w:t>
      </w:r>
    </w:p>
    <w:p w14:paraId="4DC7B9A9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зависимост от индивидуалния отговор на пациента и поносимостта, дозата може да бъде увеличена до 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на ден след интервал от 3 до 7 дни, а при необходимост, до максимална доза от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 след допълнителен 7-дневен интервал.</w:t>
      </w:r>
    </w:p>
    <w:p w14:paraId="0CD03AAB" w14:textId="77777777" w:rsidR="005B7910" w:rsidRPr="008A4BF3" w:rsidRDefault="005B7910" w:rsidP="005B7910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22A7618" w14:textId="58AD562F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Епилепсия</w:t>
      </w:r>
    </w:p>
    <w:p w14:paraId="32012733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започне с доза от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ден, разделена на два или три приема.</w:t>
      </w:r>
    </w:p>
    <w:p w14:paraId="71499702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зависимост от индивидуалния отговор на пациента и поносимостта, дозата може да бъде увеличена до 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на ден след 1 седмица. Максималната доза от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 може да бъде достигната след още една допълнителна седмица.</w:t>
      </w:r>
    </w:p>
    <w:p w14:paraId="3ACDD7F1" w14:textId="77777777" w:rsidR="005B7910" w:rsidRPr="008A4BF3" w:rsidRDefault="005B7910" w:rsidP="005B7910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2F332382" w14:textId="2B6773AF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Генерализирано тревожно разстройство</w:t>
      </w:r>
    </w:p>
    <w:p w14:paraId="57E60EC3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Дозовият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интервал е от 150 до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ден, разделени на два или три приема. Необходимостта от лечение трябва да се преоценява редовно.</w:t>
      </w:r>
    </w:p>
    <w:p w14:paraId="4BB7A5B5" w14:textId="77777777" w:rsidR="005B7910" w:rsidRPr="008A4BF3" w:rsidRDefault="005B7910" w:rsidP="005B7910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FD13531" w14:textId="05E20A74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започне с доза от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на ден. В зависимост от индивидуалния отговор на пациента и поносимостта, дозата може да бъде увеличена до 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на ден след 1 седмица. След още една допълнителна седмица, дозата може да се увеличи до 450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на ден. Максималната доза от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на ден може да бъде достигната след още една допълнителна седмица.</w:t>
      </w:r>
    </w:p>
    <w:p w14:paraId="0CC88210" w14:textId="77777777" w:rsidR="005B7910" w:rsidRPr="008A4BF3" w:rsidRDefault="005B7910" w:rsidP="005B7910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7F2774A" w14:textId="5F5CF8FA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 xml:space="preserve">Прекратяване на лечението с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прегабалин</w:t>
      </w:r>
      <w:proofErr w:type="spellEnd"/>
    </w:p>
    <w:p w14:paraId="7BD7073A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lastRenderedPageBreak/>
        <w:t xml:space="preserve">В съответствие с настоящата клинична практика, ако 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трябва да бъде прекратено, препоръчва се това да стане постепенно в продължение на минимум на 1 седмица, независимо от показанието (вж. точки 4.4 и 4.8).</w:t>
      </w:r>
    </w:p>
    <w:p w14:paraId="3EC8B780" w14:textId="77777777" w:rsidR="005B7910" w:rsidRPr="008A4BF3" w:rsidRDefault="005B7910" w:rsidP="005B7910">
      <w:pPr>
        <w:spacing w:line="240" w:lineRule="auto"/>
        <w:rPr>
          <w:rFonts w:eastAsia="Times New Roman" w:cs="Arial"/>
          <w:i/>
          <w:iCs/>
          <w:color w:val="000000"/>
          <w:szCs w:val="20"/>
          <w:lang w:eastAsia="bg-BG"/>
        </w:rPr>
      </w:pPr>
    </w:p>
    <w:p w14:paraId="033D48DD" w14:textId="0332613B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Бъбречно увреждане</w:t>
      </w:r>
    </w:p>
    <w:p w14:paraId="61210573" w14:textId="77777777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елиминира от системното кръвообращение главно чрез бъбречна екскреция в непроменен вид. Тъй като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клирънсът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правопропорционален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клирънс (вж. точка 5.2), намаляването на дозата при пациенти с нарушена бъбречна функция трябва да се индивидуализира в съответствие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клирънс (СгС1), както е посочено в Таблица 1, като се използва следната формула:</w:t>
      </w:r>
    </w:p>
    <w:p w14:paraId="0727018C" w14:textId="77777777" w:rsidR="005B7910" w:rsidRPr="008A4BF3" w:rsidRDefault="005B7910" w:rsidP="005B7910">
      <w:pPr>
        <w:spacing w:line="240" w:lineRule="auto"/>
        <w:rPr>
          <w:rFonts w:eastAsia="Times New Roman" w:cs="Arial"/>
          <w:color w:val="000000"/>
          <w:szCs w:val="20"/>
        </w:rPr>
      </w:pPr>
    </w:p>
    <w:p w14:paraId="4ADAEB57" w14:textId="4E7C070B" w:rsidR="005B7910" w:rsidRPr="008A4BF3" w:rsidRDefault="005B7910" w:rsidP="005B7910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CrCl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(ml/</w:t>
      </w:r>
      <w:proofErr w:type="spellStart"/>
      <w:r w:rsidRPr="008A4BF3">
        <w:rPr>
          <w:rFonts w:eastAsia="Times New Roman" w:cs="Arial"/>
          <w:color w:val="000000"/>
          <w:szCs w:val="20"/>
        </w:rPr>
        <w:t>min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) </w:t>
      </w:r>
      <w:r w:rsidRPr="008A4BF3">
        <w:rPr>
          <w:rFonts w:eastAsia="Times New Roman" w:cs="Arial"/>
          <w:color w:val="000000"/>
          <w:szCs w:val="20"/>
          <w:lang w:eastAsia="bg-BG"/>
        </w:rPr>
        <w:t>= [(1,23 х [140-възраст (години)] х тегло (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))/(серумен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8A4BF3">
        <w:rPr>
          <w:rFonts w:eastAsia="Times New Roman" w:cs="Arial"/>
          <w:color w:val="000000"/>
          <w:szCs w:val="20"/>
        </w:rPr>
        <w:t>(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μ</w:t>
      </w:r>
      <w:r w:rsidRPr="008A4BF3">
        <w:rPr>
          <w:rFonts w:eastAsia="Times New Roman" w:cs="Arial"/>
          <w:color w:val="000000"/>
          <w:szCs w:val="20"/>
        </w:rPr>
        <w:t>mol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/l))] </w:t>
      </w:r>
      <w:r w:rsidRPr="008A4BF3">
        <w:rPr>
          <w:rFonts w:eastAsia="Times New Roman" w:cs="Arial"/>
          <w:color w:val="000000"/>
          <w:szCs w:val="20"/>
          <w:lang w:eastAsia="bg-BG"/>
        </w:rPr>
        <w:t>(х 0,85 за жени)</w:t>
      </w:r>
    </w:p>
    <w:p w14:paraId="200AC275" w14:textId="77777777" w:rsidR="005B7910" w:rsidRPr="008A4BF3" w:rsidRDefault="005B7910" w:rsidP="005B7910">
      <w:pPr>
        <w:rPr>
          <w:rFonts w:eastAsia="Times New Roman" w:cs="Arial"/>
          <w:color w:val="000000"/>
          <w:szCs w:val="20"/>
          <w:lang w:eastAsia="bg-BG"/>
        </w:rPr>
      </w:pPr>
    </w:p>
    <w:p w14:paraId="34EEB842" w14:textId="7E731572" w:rsidR="005B7910" w:rsidRPr="008A4BF3" w:rsidRDefault="005B7910" w:rsidP="005B7910">
      <w:pPr>
        <w:rPr>
          <w:rFonts w:eastAsia="Times New Roman" w:cs="Arial"/>
          <w:color w:val="000000"/>
          <w:szCs w:val="20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отстранява ефективно от плазмата чрез хемодиализа (50% от лекарството за 4 часа). При пациенти на хемодиализа дневната доза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трябва да се адаптира в зависимост от бъбречната функция. В допълнение към дневната доза, непосредствено</w:t>
      </w:r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след всяка 4-часова хемодиализа, трябва да се прилага допълнителна доза (вж. Таблица 1).</w:t>
      </w:r>
    </w:p>
    <w:p w14:paraId="3AAB08C3" w14:textId="58852FDD" w:rsidR="005B7910" w:rsidRPr="008A4BF3" w:rsidRDefault="005B7910" w:rsidP="005B7910"/>
    <w:p w14:paraId="088A18FD" w14:textId="0B71EF55" w:rsidR="005B7910" w:rsidRPr="008A4BF3" w:rsidRDefault="005B7910" w:rsidP="005B7910">
      <w:pPr>
        <w:rPr>
          <w:b/>
          <w:bCs/>
          <w:szCs w:val="20"/>
        </w:rPr>
      </w:pPr>
      <w:r w:rsidRPr="008A4BF3">
        <w:rPr>
          <w:b/>
          <w:bCs/>
          <w:szCs w:val="20"/>
        </w:rPr>
        <w:t xml:space="preserve">Таблица 1. Адаптиране на дозата на </w:t>
      </w:r>
      <w:proofErr w:type="spellStart"/>
      <w:r w:rsidRPr="008A4BF3">
        <w:rPr>
          <w:b/>
          <w:bCs/>
          <w:szCs w:val="20"/>
        </w:rPr>
        <w:t>прегабалин</w:t>
      </w:r>
      <w:proofErr w:type="spellEnd"/>
      <w:r w:rsidRPr="008A4BF3">
        <w:rPr>
          <w:b/>
          <w:bCs/>
          <w:szCs w:val="20"/>
        </w:rPr>
        <w:t xml:space="preserve"> в зависимост от бъбречната функция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6"/>
        <w:gridCol w:w="2325"/>
        <w:gridCol w:w="2341"/>
        <w:gridCol w:w="2338"/>
      </w:tblGrid>
      <w:tr w:rsidR="005B7910" w:rsidRPr="008A4BF3" w14:paraId="4A0E0457" w14:textId="77777777" w:rsidTr="00A260A8">
        <w:tc>
          <w:tcPr>
            <w:tcW w:w="2375" w:type="dxa"/>
          </w:tcPr>
          <w:p w14:paraId="4AD2201D" w14:textId="4CECD5D8" w:rsidR="005B7910" w:rsidRPr="008A4BF3" w:rsidRDefault="005B7910" w:rsidP="005B7910">
            <w:proofErr w:type="spellStart"/>
            <w:r w:rsidRPr="008A4BF3">
              <w:rPr>
                <w:b/>
                <w:bCs/>
                <w:szCs w:val="20"/>
              </w:rPr>
              <w:t>Креатининов</w:t>
            </w:r>
            <w:proofErr w:type="spellEnd"/>
            <w:r w:rsidRPr="008A4BF3">
              <w:rPr>
                <w:b/>
                <w:bCs/>
                <w:szCs w:val="20"/>
              </w:rPr>
              <w:t xml:space="preserve"> клирънс (</w:t>
            </w:r>
            <w:proofErr w:type="spellStart"/>
            <w:r w:rsidRPr="008A4BF3">
              <w:rPr>
                <w:b/>
                <w:bCs/>
                <w:szCs w:val="20"/>
              </w:rPr>
              <w:t>CrCI</w:t>
            </w:r>
            <w:proofErr w:type="spellEnd"/>
            <w:r w:rsidRPr="008A4BF3">
              <w:rPr>
                <w:b/>
                <w:bCs/>
                <w:szCs w:val="20"/>
              </w:rPr>
              <w:t>) (ml/</w:t>
            </w:r>
            <w:proofErr w:type="spellStart"/>
            <w:r w:rsidRPr="008A4BF3">
              <w:rPr>
                <w:b/>
                <w:bCs/>
                <w:szCs w:val="20"/>
              </w:rPr>
              <w:t>min</w:t>
            </w:r>
            <w:proofErr w:type="spellEnd"/>
            <w:r w:rsidRPr="008A4BF3">
              <w:rPr>
                <w:b/>
                <w:bCs/>
                <w:szCs w:val="20"/>
              </w:rPr>
              <w:t>)</w:t>
            </w:r>
          </w:p>
        </w:tc>
        <w:tc>
          <w:tcPr>
            <w:tcW w:w="4750" w:type="dxa"/>
            <w:gridSpan w:val="2"/>
          </w:tcPr>
          <w:p w14:paraId="3FFC8C0E" w14:textId="1855E0F3" w:rsidR="005B7910" w:rsidRPr="008A4BF3" w:rsidRDefault="005B7910" w:rsidP="005B7910">
            <w:pPr>
              <w:jc w:val="center"/>
            </w:pPr>
            <w:r w:rsidRPr="008A4BF3">
              <w:rPr>
                <w:b/>
                <w:bCs/>
                <w:szCs w:val="20"/>
              </w:rPr>
              <w:t xml:space="preserve">Обща дневна доза </w:t>
            </w:r>
            <w:proofErr w:type="spellStart"/>
            <w:r w:rsidRPr="008A4BF3">
              <w:rPr>
                <w:b/>
                <w:bCs/>
                <w:szCs w:val="20"/>
              </w:rPr>
              <w:t>прегабалин</w:t>
            </w:r>
            <w:proofErr w:type="spellEnd"/>
            <w:r w:rsidRPr="008A4BF3">
              <w:rPr>
                <w:b/>
                <w:bCs/>
                <w:szCs w:val="20"/>
              </w:rPr>
              <w:t xml:space="preserve"> *</w:t>
            </w:r>
          </w:p>
        </w:tc>
        <w:tc>
          <w:tcPr>
            <w:tcW w:w="2375" w:type="dxa"/>
          </w:tcPr>
          <w:p w14:paraId="5695C0B0" w14:textId="31A39522" w:rsidR="005B7910" w:rsidRPr="008A4BF3" w:rsidRDefault="005B7910" w:rsidP="005B7910">
            <w:r w:rsidRPr="008A4BF3">
              <w:rPr>
                <w:b/>
                <w:bCs/>
                <w:szCs w:val="20"/>
              </w:rPr>
              <w:t xml:space="preserve">Режим </w:t>
            </w:r>
            <w:r w:rsidRPr="008A4BF3">
              <w:rPr>
                <w:b/>
                <w:bCs/>
                <w:i/>
                <w:iCs/>
                <w:szCs w:val="20"/>
              </w:rPr>
              <w:t>на</w:t>
            </w:r>
            <w:r w:rsidRPr="008A4BF3">
              <w:rPr>
                <w:b/>
                <w:bCs/>
                <w:szCs w:val="20"/>
              </w:rPr>
              <w:t xml:space="preserve"> дозиране</w:t>
            </w:r>
          </w:p>
        </w:tc>
      </w:tr>
      <w:tr w:rsidR="005B7910" w:rsidRPr="008A4BF3" w14:paraId="5C4F300B" w14:textId="77777777" w:rsidTr="005B7910">
        <w:tc>
          <w:tcPr>
            <w:tcW w:w="2375" w:type="dxa"/>
          </w:tcPr>
          <w:p w14:paraId="16C966BC" w14:textId="77777777" w:rsidR="005B7910" w:rsidRPr="008A4BF3" w:rsidRDefault="005B7910" w:rsidP="005B7910"/>
        </w:tc>
        <w:tc>
          <w:tcPr>
            <w:tcW w:w="2375" w:type="dxa"/>
          </w:tcPr>
          <w:p w14:paraId="4776E7B4" w14:textId="2E58C5E3" w:rsidR="005B7910" w:rsidRPr="008A4BF3" w:rsidRDefault="005B7910" w:rsidP="005B7910">
            <w:r w:rsidRPr="008A4BF3">
              <w:rPr>
                <w:szCs w:val="20"/>
              </w:rPr>
              <w:t>Начална доза (</w:t>
            </w:r>
            <w:proofErr w:type="spellStart"/>
            <w:r w:rsidRPr="008A4BF3">
              <w:rPr>
                <w:szCs w:val="20"/>
              </w:rPr>
              <w:t>mg</w:t>
            </w:r>
            <w:proofErr w:type="spellEnd"/>
            <w:r w:rsidRPr="008A4BF3">
              <w:rPr>
                <w:szCs w:val="20"/>
              </w:rPr>
              <w:t>/ден)</w:t>
            </w:r>
          </w:p>
        </w:tc>
        <w:tc>
          <w:tcPr>
            <w:tcW w:w="2375" w:type="dxa"/>
          </w:tcPr>
          <w:p w14:paraId="37A3C114" w14:textId="1EAC5289" w:rsidR="005B7910" w:rsidRPr="008A4BF3" w:rsidRDefault="005B7910" w:rsidP="005B7910">
            <w:r w:rsidRPr="008A4BF3">
              <w:rPr>
                <w:szCs w:val="20"/>
              </w:rPr>
              <w:t>Максимална доза (</w:t>
            </w:r>
            <w:proofErr w:type="spellStart"/>
            <w:r w:rsidRPr="008A4BF3">
              <w:rPr>
                <w:szCs w:val="20"/>
              </w:rPr>
              <w:t>mg</w:t>
            </w:r>
            <w:proofErr w:type="spellEnd"/>
            <w:r w:rsidRPr="008A4BF3">
              <w:rPr>
                <w:szCs w:val="20"/>
              </w:rPr>
              <w:t>/ден)</w:t>
            </w:r>
          </w:p>
        </w:tc>
        <w:tc>
          <w:tcPr>
            <w:tcW w:w="2375" w:type="dxa"/>
          </w:tcPr>
          <w:p w14:paraId="2032EA31" w14:textId="77777777" w:rsidR="005B7910" w:rsidRPr="008A4BF3" w:rsidRDefault="005B7910" w:rsidP="005B7910"/>
        </w:tc>
      </w:tr>
      <w:tr w:rsidR="005B7910" w:rsidRPr="008A4BF3" w14:paraId="26E6A853" w14:textId="77777777" w:rsidTr="005B7910">
        <w:tc>
          <w:tcPr>
            <w:tcW w:w="2375" w:type="dxa"/>
          </w:tcPr>
          <w:p w14:paraId="64F2F275" w14:textId="75FF843A" w:rsidR="005B7910" w:rsidRPr="008A4BF3" w:rsidRDefault="005B7910" w:rsidP="005B7910">
            <w:r w:rsidRPr="008A4BF3">
              <w:rPr>
                <w:szCs w:val="20"/>
              </w:rPr>
              <w:t>≥60</w:t>
            </w:r>
          </w:p>
        </w:tc>
        <w:tc>
          <w:tcPr>
            <w:tcW w:w="2375" w:type="dxa"/>
          </w:tcPr>
          <w:p w14:paraId="574C51E3" w14:textId="66808E6B" w:rsidR="005B7910" w:rsidRPr="008A4BF3" w:rsidRDefault="005B7910" w:rsidP="005B7910">
            <w:r w:rsidRPr="008A4BF3">
              <w:rPr>
                <w:szCs w:val="20"/>
              </w:rPr>
              <w:t>150</w:t>
            </w:r>
          </w:p>
        </w:tc>
        <w:tc>
          <w:tcPr>
            <w:tcW w:w="2375" w:type="dxa"/>
          </w:tcPr>
          <w:p w14:paraId="25EE5413" w14:textId="6CE487B1" w:rsidR="005B7910" w:rsidRPr="008A4BF3" w:rsidRDefault="005B7910" w:rsidP="005B7910">
            <w:r w:rsidRPr="008A4BF3">
              <w:rPr>
                <w:szCs w:val="20"/>
              </w:rPr>
              <w:t>600</w:t>
            </w:r>
          </w:p>
        </w:tc>
        <w:tc>
          <w:tcPr>
            <w:tcW w:w="2375" w:type="dxa"/>
          </w:tcPr>
          <w:p w14:paraId="431C11E0" w14:textId="163695ED" w:rsidR="005B7910" w:rsidRPr="008A4BF3" w:rsidRDefault="005B7910" w:rsidP="005B7910">
            <w:r w:rsidRPr="008A4BF3">
              <w:rPr>
                <w:szCs w:val="20"/>
              </w:rPr>
              <w:t>BID или TID</w:t>
            </w:r>
          </w:p>
        </w:tc>
      </w:tr>
      <w:tr w:rsidR="005B7910" w:rsidRPr="008A4BF3" w14:paraId="72E374CE" w14:textId="77777777" w:rsidTr="005B7910">
        <w:tc>
          <w:tcPr>
            <w:tcW w:w="2375" w:type="dxa"/>
          </w:tcPr>
          <w:p w14:paraId="79D44BD8" w14:textId="47226C0E" w:rsidR="005B7910" w:rsidRPr="008A4BF3" w:rsidRDefault="005B7910" w:rsidP="005B7910">
            <w:r w:rsidRPr="008A4BF3">
              <w:rPr>
                <w:szCs w:val="20"/>
              </w:rPr>
              <w:t>≥30 - &lt;60</w:t>
            </w:r>
          </w:p>
        </w:tc>
        <w:tc>
          <w:tcPr>
            <w:tcW w:w="2375" w:type="dxa"/>
          </w:tcPr>
          <w:p w14:paraId="606E998C" w14:textId="0E982F74" w:rsidR="005B7910" w:rsidRPr="008A4BF3" w:rsidRDefault="005B7910" w:rsidP="005B7910">
            <w:r w:rsidRPr="008A4BF3">
              <w:rPr>
                <w:szCs w:val="20"/>
              </w:rPr>
              <w:t>75</w:t>
            </w:r>
          </w:p>
        </w:tc>
        <w:tc>
          <w:tcPr>
            <w:tcW w:w="2375" w:type="dxa"/>
          </w:tcPr>
          <w:p w14:paraId="0E058846" w14:textId="7F612ADC" w:rsidR="005B7910" w:rsidRPr="008A4BF3" w:rsidRDefault="005B7910" w:rsidP="005B7910">
            <w:r w:rsidRPr="008A4BF3">
              <w:rPr>
                <w:szCs w:val="20"/>
              </w:rPr>
              <w:t>300</w:t>
            </w:r>
          </w:p>
        </w:tc>
        <w:tc>
          <w:tcPr>
            <w:tcW w:w="2375" w:type="dxa"/>
          </w:tcPr>
          <w:p w14:paraId="054994F0" w14:textId="4DB64331" w:rsidR="005B7910" w:rsidRPr="008A4BF3" w:rsidRDefault="005B7910" w:rsidP="005B7910">
            <w:r w:rsidRPr="008A4BF3">
              <w:rPr>
                <w:szCs w:val="20"/>
              </w:rPr>
              <w:t>BID или TID</w:t>
            </w:r>
          </w:p>
        </w:tc>
      </w:tr>
      <w:tr w:rsidR="005B7910" w:rsidRPr="008A4BF3" w14:paraId="517BAECA" w14:textId="77777777" w:rsidTr="005B7910">
        <w:tc>
          <w:tcPr>
            <w:tcW w:w="2375" w:type="dxa"/>
          </w:tcPr>
          <w:p w14:paraId="1B04F6D4" w14:textId="643C7FA6" w:rsidR="005B7910" w:rsidRPr="008A4BF3" w:rsidRDefault="005B7910" w:rsidP="005B7910">
            <w:r w:rsidRPr="008A4BF3">
              <w:rPr>
                <w:szCs w:val="20"/>
              </w:rPr>
              <w:t>≥15- &lt;30</w:t>
            </w:r>
          </w:p>
        </w:tc>
        <w:tc>
          <w:tcPr>
            <w:tcW w:w="2375" w:type="dxa"/>
          </w:tcPr>
          <w:p w14:paraId="287DDD63" w14:textId="7FF9DCC4" w:rsidR="005B7910" w:rsidRPr="008A4BF3" w:rsidRDefault="005B7910" w:rsidP="005B7910">
            <w:r w:rsidRPr="008A4BF3">
              <w:rPr>
                <w:szCs w:val="20"/>
              </w:rPr>
              <w:t>25-50</w:t>
            </w:r>
          </w:p>
        </w:tc>
        <w:tc>
          <w:tcPr>
            <w:tcW w:w="2375" w:type="dxa"/>
          </w:tcPr>
          <w:p w14:paraId="7FA2E58B" w14:textId="2F9746C3" w:rsidR="005B7910" w:rsidRPr="008A4BF3" w:rsidRDefault="005B7910" w:rsidP="005B7910">
            <w:r w:rsidRPr="008A4BF3">
              <w:rPr>
                <w:szCs w:val="20"/>
              </w:rPr>
              <w:t>150</w:t>
            </w:r>
          </w:p>
        </w:tc>
        <w:tc>
          <w:tcPr>
            <w:tcW w:w="2375" w:type="dxa"/>
          </w:tcPr>
          <w:p w14:paraId="274D09BF" w14:textId="59826E8C" w:rsidR="005B7910" w:rsidRPr="008A4BF3" w:rsidRDefault="005B7910" w:rsidP="005B7910">
            <w:r w:rsidRPr="008A4BF3">
              <w:rPr>
                <w:szCs w:val="20"/>
              </w:rPr>
              <w:t xml:space="preserve">Веднъж дневно </w:t>
            </w:r>
            <w:r w:rsidRPr="008A4BF3">
              <w:rPr>
                <w:i/>
                <w:iCs/>
                <w:szCs w:val="20"/>
              </w:rPr>
              <w:t xml:space="preserve">или </w:t>
            </w:r>
            <w:r w:rsidRPr="008A4BF3">
              <w:rPr>
                <w:szCs w:val="20"/>
              </w:rPr>
              <w:t>BID</w:t>
            </w:r>
          </w:p>
        </w:tc>
      </w:tr>
      <w:tr w:rsidR="005B7910" w:rsidRPr="008A4BF3" w14:paraId="6FC591C9" w14:textId="77777777" w:rsidTr="005B7910">
        <w:tc>
          <w:tcPr>
            <w:tcW w:w="2375" w:type="dxa"/>
          </w:tcPr>
          <w:p w14:paraId="10ED6363" w14:textId="7BD7C42D" w:rsidR="005B7910" w:rsidRPr="008A4BF3" w:rsidRDefault="005B7910" w:rsidP="005B7910">
            <w:r w:rsidRPr="008A4BF3">
              <w:rPr>
                <w:szCs w:val="20"/>
              </w:rPr>
              <w:t>&lt;15</w:t>
            </w:r>
          </w:p>
        </w:tc>
        <w:tc>
          <w:tcPr>
            <w:tcW w:w="2375" w:type="dxa"/>
          </w:tcPr>
          <w:p w14:paraId="7E0A84EF" w14:textId="1F8DF1F4" w:rsidR="005B7910" w:rsidRPr="008A4BF3" w:rsidRDefault="005B7910" w:rsidP="005B7910">
            <w:r w:rsidRPr="008A4BF3">
              <w:rPr>
                <w:szCs w:val="20"/>
              </w:rPr>
              <w:t>25</w:t>
            </w:r>
          </w:p>
        </w:tc>
        <w:tc>
          <w:tcPr>
            <w:tcW w:w="2375" w:type="dxa"/>
          </w:tcPr>
          <w:p w14:paraId="749AB8F6" w14:textId="2387DE02" w:rsidR="005B7910" w:rsidRPr="008A4BF3" w:rsidRDefault="005B7910" w:rsidP="005B7910">
            <w:r w:rsidRPr="008A4BF3">
              <w:rPr>
                <w:szCs w:val="20"/>
              </w:rPr>
              <w:t>75</w:t>
            </w:r>
          </w:p>
        </w:tc>
        <w:tc>
          <w:tcPr>
            <w:tcW w:w="2375" w:type="dxa"/>
          </w:tcPr>
          <w:p w14:paraId="6EB6A42F" w14:textId="2E5CA754" w:rsidR="005B7910" w:rsidRPr="008A4BF3" w:rsidRDefault="005B7910" w:rsidP="005B7910">
            <w:r w:rsidRPr="008A4BF3">
              <w:rPr>
                <w:szCs w:val="20"/>
              </w:rPr>
              <w:t>Веднъж дневно</w:t>
            </w:r>
          </w:p>
        </w:tc>
      </w:tr>
      <w:tr w:rsidR="005B7910" w:rsidRPr="008A4BF3" w14:paraId="6390AA25" w14:textId="77777777" w:rsidTr="00A260A8">
        <w:tc>
          <w:tcPr>
            <w:tcW w:w="9500" w:type="dxa"/>
            <w:gridSpan w:val="4"/>
          </w:tcPr>
          <w:p w14:paraId="609C3456" w14:textId="77777777" w:rsidR="005B7910" w:rsidRPr="008A4BF3" w:rsidRDefault="005B7910" w:rsidP="005B7910"/>
        </w:tc>
      </w:tr>
      <w:tr w:rsidR="005B7910" w:rsidRPr="008A4BF3" w14:paraId="4A282F7E" w14:textId="77777777" w:rsidTr="005B7910">
        <w:tc>
          <w:tcPr>
            <w:tcW w:w="2375" w:type="dxa"/>
          </w:tcPr>
          <w:p w14:paraId="3FDC44A7" w14:textId="77777777" w:rsidR="005B7910" w:rsidRPr="008A4BF3" w:rsidRDefault="005B7910" w:rsidP="005B7910"/>
        </w:tc>
        <w:tc>
          <w:tcPr>
            <w:tcW w:w="2375" w:type="dxa"/>
          </w:tcPr>
          <w:p w14:paraId="00429423" w14:textId="248084C3" w:rsidR="005B7910" w:rsidRPr="008A4BF3" w:rsidRDefault="005B7910" w:rsidP="005B7910">
            <w:r w:rsidRPr="008A4BF3">
              <w:rPr>
                <w:szCs w:val="20"/>
              </w:rPr>
              <w:t>25</w:t>
            </w:r>
          </w:p>
        </w:tc>
        <w:tc>
          <w:tcPr>
            <w:tcW w:w="2375" w:type="dxa"/>
          </w:tcPr>
          <w:p w14:paraId="1539B18C" w14:textId="7171E675" w:rsidR="005B7910" w:rsidRPr="008A4BF3" w:rsidRDefault="005B7910" w:rsidP="005B7910">
            <w:r w:rsidRPr="008A4BF3">
              <w:rPr>
                <w:szCs w:val="20"/>
              </w:rPr>
              <w:t>100</w:t>
            </w:r>
          </w:p>
        </w:tc>
        <w:tc>
          <w:tcPr>
            <w:tcW w:w="2375" w:type="dxa"/>
          </w:tcPr>
          <w:p w14:paraId="615D0F7E" w14:textId="39A30A7E" w:rsidR="005B7910" w:rsidRPr="008A4BF3" w:rsidRDefault="005B7910" w:rsidP="005B7910">
            <w:r w:rsidRPr="008A4BF3">
              <w:rPr>
                <w:szCs w:val="20"/>
              </w:rPr>
              <w:t>Еднократна доза</w:t>
            </w:r>
            <w:r w:rsidRPr="008A4BF3">
              <w:rPr>
                <w:szCs w:val="20"/>
                <w:vertAlign w:val="superscript"/>
              </w:rPr>
              <w:t>+</w:t>
            </w:r>
          </w:p>
        </w:tc>
      </w:tr>
    </w:tbl>
    <w:p w14:paraId="2CF73605" w14:textId="48EE4CD2" w:rsidR="005B7910" w:rsidRPr="008A4BF3" w:rsidRDefault="005B7910" w:rsidP="005B7910">
      <w:pPr>
        <w:rPr>
          <w:sz w:val="24"/>
        </w:rPr>
      </w:pPr>
    </w:p>
    <w:p w14:paraId="2C2F7DC5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</w:rPr>
        <w:t>TID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 = Три приема дневно</w:t>
      </w:r>
    </w:p>
    <w:p w14:paraId="34F8C08A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</w:rPr>
        <w:t xml:space="preserve">BID </w:t>
      </w:r>
      <w:r w:rsidRPr="008A4BF3">
        <w:rPr>
          <w:rFonts w:eastAsia="Times New Roman" w:cs="Arial"/>
          <w:color w:val="000000"/>
          <w:szCs w:val="20"/>
          <w:lang w:eastAsia="bg-BG"/>
        </w:rPr>
        <w:t>= Два приема дневно</w:t>
      </w:r>
    </w:p>
    <w:p w14:paraId="45FF3D08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* Общата дневна доза </w:t>
      </w:r>
      <w:r w:rsidRPr="008A4BF3">
        <w:rPr>
          <w:rFonts w:eastAsia="Times New Roman" w:cs="Arial"/>
          <w:color w:val="000000"/>
          <w:szCs w:val="20"/>
        </w:rPr>
        <w:t>(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/ден) трябва да бъде разделена както е указано в режима на дозиране, за да се получат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/дозата</w:t>
      </w:r>
    </w:p>
    <w:p w14:paraId="6BD54002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vertAlign w:val="superscript"/>
          <w:lang w:eastAsia="bg-BG"/>
        </w:rPr>
        <w:t>+</w:t>
      </w:r>
      <w:r w:rsidRPr="008A4BF3">
        <w:rPr>
          <w:rFonts w:eastAsia="Times New Roman" w:cs="Arial"/>
          <w:color w:val="000000"/>
          <w:szCs w:val="20"/>
          <w:lang w:eastAsia="bg-BG"/>
        </w:rPr>
        <w:t>Допълнителната доза е еднократна</w:t>
      </w:r>
    </w:p>
    <w:p w14:paraId="3D202011" w14:textId="77777777" w:rsidR="00B13D53" w:rsidRPr="008A4BF3" w:rsidRDefault="00B13D53" w:rsidP="00B13D53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6F058057" w14:textId="41A04912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Чернодробно увреждане</w:t>
      </w:r>
    </w:p>
    <w:p w14:paraId="41196DEF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При пациенти с чернодробно увреждане не се изисква корекция на дозата (вж. точка 5.2).</w:t>
      </w:r>
    </w:p>
    <w:p w14:paraId="4B1EE19B" w14:textId="77777777" w:rsidR="00B13D53" w:rsidRPr="008A4BF3" w:rsidRDefault="00B13D53" w:rsidP="00B13D53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079B4C0F" w14:textId="147AEE91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Педиатрична популация</w:t>
      </w:r>
    </w:p>
    <w:p w14:paraId="6BC193F1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Безопасността и ефикасността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деца под 12-годишна възраст и при юноши (12-17 годишна възраст) не са установени. Наличните понастоящем данни са описани в точки 4.8, 5.1 и 5.2, но препоръки за дозировката не могат да бъдат дадени.</w:t>
      </w:r>
    </w:p>
    <w:p w14:paraId="76456A36" w14:textId="77777777" w:rsidR="00B13D53" w:rsidRPr="008A4BF3" w:rsidRDefault="00B13D53" w:rsidP="00B13D53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7C55831A" w14:textId="7AC1C23C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Старческа възраст</w:t>
      </w:r>
    </w:p>
    <w:p w14:paraId="779374B4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При пациенти в старческа възраст може да се наложи намаляване на дозата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поради намалената бъбречна функция (вж. точка 5.2).</w:t>
      </w:r>
    </w:p>
    <w:p w14:paraId="415E88F0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EF10BC2" w14:textId="6008818B" w:rsidR="00B13D53" w:rsidRPr="008A4BF3" w:rsidRDefault="00B13D53" w:rsidP="001E20C7">
      <w:pPr>
        <w:pStyle w:val="Heading3"/>
        <w:rPr>
          <w:rFonts w:eastAsia="Times New Roman"/>
          <w:sz w:val="28"/>
          <w:u w:val="single"/>
          <w:lang w:eastAsia="bg-BG"/>
        </w:rPr>
      </w:pPr>
      <w:r w:rsidRPr="008A4BF3">
        <w:rPr>
          <w:rFonts w:eastAsia="Times New Roman"/>
          <w:u w:val="single"/>
          <w:lang w:eastAsia="bg-BG"/>
        </w:rPr>
        <w:t>Начин на приложение</w:t>
      </w:r>
    </w:p>
    <w:p w14:paraId="305D00BF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се приема със или без храна.</w:t>
      </w:r>
    </w:p>
    <w:p w14:paraId="7905F6BE" w14:textId="62B8380D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само за перорално приложение.</w:t>
      </w:r>
    </w:p>
    <w:p w14:paraId="504B34E5" w14:textId="77777777" w:rsidR="00B13D53" w:rsidRPr="008A4BF3" w:rsidRDefault="00B13D53" w:rsidP="00B13D53">
      <w:pPr>
        <w:rPr>
          <w:sz w:val="24"/>
        </w:rPr>
      </w:pPr>
    </w:p>
    <w:p w14:paraId="28C984E8" w14:textId="4DE1BEB1" w:rsidR="008134C8" w:rsidRPr="008A4BF3" w:rsidRDefault="002C50EE" w:rsidP="004A448E">
      <w:pPr>
        <w:pStyle w:val="Heading2"/>
      </w:pPr>
      <w:r w:rsidRPr="008A4BF3">
        <w:t>4.3. Противопоказания</w:t>
      </w:r>
    </w:p>
    <w:p w14:paraId="685D5E92" w14:textId="6101F1CF" w:rsidR="00B13D53" w:rsidRPr="008A4BF3" w:rsidRDefault="00B13D53" w:rsidP="00B13D53"/>
    <w:p w14:paraId="22A68C2F" w14:textId="64109C7D" w:rsidR="00B13D53" w:rsidRPr="008A4BF3" w:rsidRDefault="00B13D53" w:rsidP="00B13D53">
      <w:pPr>
        <w:rPr>
          <w:szCs w:val="20"/>
        </w:rPr>
      </w:pPr>
      <w:r w:rsidRPr="008A4BF3">
        <w:rPr>
          <w:szCs w:val="20"/>
        </w:rPr>
        <w:t>Свръхчувствителност към активното вещество или към някое от помощните вещества, изброени в точка 6.1.</w:t>
      </w:r>
    </w:p>
    <w:p w14:paraId="6C50430C" w14:textId="77777777" w:rsidR="00B13D53" w:rsidRPr="008A4BF3" w:rsidRDefault="00B13D53" w:rsidP="00B13D53"/>
    <w:p w14:paraId="212F509C" w14:textId="5E2902D1" w:rsidR="004F498A" w:rsidRPr="008A4BF3" w:rsidRDefault="002C50EE" w:rsidP="004A448E">
      <w:pPr>
        <w:pStyle w:val="Heading2"/>
      </w:pPr>
      <w:r w:rsidRPr="008A4BF3">
        <w:t>4.4. Специални предупреждения и предпазни мерки при употреба</w:t>
      </w:r>
    </w:p>
    <w:p w14:paraId="665DF5A6" w14:textId="7D424369" w:rsidR="00B13D53" w:rsidRPr="008A4BF3" w:rsidRDefault="00B13D53" w:rsidP="00B13D53"/>
    <w:p w14:paraId="13491146" w14:textId="77777777" w:rsidR="00B13D53" w:rsidRPr="008A4BF3" w:rsidRDefault="00B13D53" w:rsidP="00B13D53">
      <w:pPr>
        <w:rPr>
          <w:sz w:val="24"/>
        </w:rPr>
      </w:pPr>
      <w:r w:rsidRPr="008A4BF3">
        <w:rPr>
          <w:szCs w:val="20"/>
          <w:u w:val="single"/>
        </w:rPr>
        <w:t>Пациенти с диабет</w:t>
      </w:r>
    </w:p>
    <w:p w14:paraId="75286000" w14:textId="77777777" w:rsidR="00B13D53" w:rsidRPr="008A4BF3" w:rsidRDefault="00B13D53" w:rsidP="00B13D53">
      <w:pPr>
        <w:rPr>
          <w:sz w:val="24"/>
        </w:rPr>
      </w:pPr>
      <w:r w:rsidRPr="008A4BF3">
        <w:rPr>
          <w:szCs w:val="20"/>
        </w:rPr>
        <w:t xml:space="preserve">В </w:t>
      </w:r>
      <w:r w:rsidRPr="008A4BF3">
        <w:rPr>
          <w:i/>
          <w:iCs/>
          <w:szCs w:val="20"/>
        </w:rPr>
        <w:t>съответствие с настоящата клинична</w:t>
      </w:r>
      <w:r w:rsidRPr="008A4BF3">
        <w:rPr>
          <w:szCs w:val="20"/>
        </w:rPr>
        <w:t xml:space="preserve"> практика, при някои пациенти с диабет, които наддават на тегло при лечение с </w:t>
      </w:r>
      <w:proofErr w:type="spellStart"/>
      <w:r w:rsidRPr="008A4BF3">
        <w:rPr>
          <w:szCs w:val="20"/>
        </w:rPr>
        <w:t>прегабалин</w:t>
      </w:r>
      <w:proofErr w:type="spellEnd"/>
      <w:r w:rsidRPr="008A4BF3">
        <w:rPr>
          <w:szCs w:val="20"/>
        </w:rPr>
        <w:t>, може да е необходимо адаптиране на хипогликемични лекарствени продукти.</w:t>
      </w:r>
    </w:p>
    <w:p w14:paraId="161F66F8" w14:textId="77777777" w:rsidR="00B13D53" w:rsidRPr="008A4BF3" w:rsidRDefault="00B13D53" w:rsidP="00B13D53">
      <w:pPr>
        <w:rPr>
          <w:szCs w:val="20"/>
          <w:u w:val="single"/>
        </w:rPr>
      </w:pPr>
    </w:p>
    <w:p w14:paraId="28F7DB55" w14:textId="26293693" w:rsidR="00B13D53" w:rsidRPr="008A4BF3" w:rsidRDefault="00B13D53" w:rsidP="00B13D53">
      <w:pPr>
        <w:rPr>
          <w:sz w:val="24"/>
        </w:rPr>
      </w:pPr>
      <w:r w:rsidRPr="008A4BF3">
        <w:rPr>
          <w:szCs w:val="20"/>
          <w:u w:val="single"/>
        </w:rPr>
        <w:t>Реакции на свръхчувствителност</w:t>
      </w:r>
    </w:p>
    <w:p w14:paraId="47A6251E" w14:textId="77777777" w:rsidR="00B13D53" w:rsidRPr="008A4BF3" w:rsidRDefault="00B13D53" w:rsidP="00B13D53">
      <w:pPr>
        <w:rPr>
          <w:sz w:val="24"/>
        </w:rPr>
      </w:pPr>
      <w:r w:rsidRPr="008A4BF3">
        <w:rPr>
          <w:szCs w:val="20"/>
        </w:rPr>
        <w:t xml:space="preserve">От </w:t>
      </w:r>
      <w:proofErr w:type="spellStart"/>
      <w:r w:rsidRPr="008A4BF3">
        <w:rPr>
          <w:szCs w:val="20"/>
        </w:rPr>
        <w:t>постмаркетинговия</w:t>
      </w:r>
      <w:proofErr w:type="spellEnd"/>
      <w:r w:rsidRPr="008A4BF3">
        <w:rPr>
          <w:szCs w:val="20"/>
        </w:rPr>
        <w:t xml:space="preserve"> опит има съобщения за реакции на свръхчувствителност, включително случаи на ангиоедем. Лечението с </w:t>
      </w:r>
      <w:proofErr w:type="spellStart"/>
      <w:r w:rsidRPr="008A4BF3">
        <w:rPr>
          <w:szCs w:val="20"/>
        </w:rPr>
        <w:t>прегабалин</w:t>
      </w:r>
      <w:proofErr w:type="spellEnd"/>
      <w:r w:rsidRPr="008A4BF3">
        <w:rPr>
          <w:szCs w:val="20"/>
        </w:rPr>
        <w:t xml:space="preserve"> трябва да се прекрати незабавно, ако се появят симптоми на ангиоедем, като оток на лицето, около устата или на горните дихателни пътища.</w:t>
      </w:r>
    </w:p>
    <w:p w14:paraId="09A435FB" w14:textId="77777777" w:rsidR="00B13D53" w:rsidRPr="008A4BF3" w:rsidRDefault="00B13D53" w:rsidP="00B13D53">
      <w:pPr>
        <w:rPr>
          <w:szCs w:val="20"/>
          <w:u w:val="single"/>
        </w:rPr>
      </w:pPr>
    </w:p>
    <w:p w14:paraId="4BEAD68D" w14:textId="4DBDE919" w:rsidR="00B13D53" w:rsidRPr="008A4BF3" w:rsidRDefault="00B13D53" w:rsidP="00B13D53">
      <w:pPr>
        <w:rPr>
          <w:sz w:val="24"/>
        </w:rPr>
      </w:pPr>
      <w:r w:rsidRPr="008A4BF3">
        <w:rPr>
          <w:szCs w:val="20"/>
          <w:u w:val="single"/>
        </w:rPr>
        <w:t>Замаяност, сънливост, загуба на съзнание, объркване и умствено увреждане</w:t>
      </w:r>
    </w:p>
    <w:p w14:paraId="032F039B" w14:textId="77777777" w:rsidR="00B13D53" w:rsidRPr="008A4BF3" w:rsidRDefault="00B13D53" w:rsidP="00B13D53">
      <w:pPr>
        <w:rPr>
          <w:rFonts w:eastAsia="Times New Roman" w:cs="Arial"/>
          <w:sz w:val="28"/>
          <w:szCs w:val="24"/>
          <w:lang w:eastAsia="bg-BG"/>
        </w:rPr>
      </w:pPr>
      <w:r w:rsidRPr="008A4BF3">
        <w:rPr>
          <w:szCs w:val="20"/>
        </w:rPr>
        <w:t xml:space="preserve">Лечението с </w:t>
      </w:r>
      <w:proofErr w:type="spellStart"/>
      <w:r w:rsidRPr="008A4BF3">
        <w:rPr>
          <w:szCs w:val="20"/>
        </w:rPr>
        <w:t>прегабалин</w:t>
      </w:r>
      <w:proofErr w:type="spellEnd"/>
      <w:r w:rsidRPr="008A4BF3">
        <w:rPr>
          <w:szCs w:val="20"/>
        </w:rPr>
        <w:t xml:space="preserve"> е свързано със замаяност и сънливост, които биха могли да увеличат честотата на случайно нараняване (падане) при популацията в старческа възраст. Има също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съобщения за загуба на съзнание, объркване и умствено увреждане. Следователно пациентите трябва да бъдат посъветвани да бъдат с повишено внимание, докато не опознаят възможните ефекти на лекарствения продукт.</w:t>
      </w:r>
    </w:p>
    <w:p w14:paraId="65F942C7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DA9F978" w14:textId="023FD5C9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Ефекти, свързани със зрението</w:t>
      </w:r>
    </w:p>
    <w:p w14:paraId="3CD45839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контролирани изпитвания по-голяма част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съобщават за замъглено виждане в сравнение с пациентите, лекувани с плацебо, което в повечето случаи е отзвучало в хода на лечението. В клиничните проучвания, при които са проведени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офталмологични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изследвания, честотата на намаляване на зрителната острота и промените в зрителното поле е по-висока при пациенти,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отколкото при пациенти, лекувани с плацебо; честотата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фундоскопските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промени е по-голяма при пациентите, лекувани с плацебо (вж. точка 5.1).</w:t>
      </w:r>
    </w:p>
    <w:p w14:paraId="427C0E17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9495534" w14:textId="0E35D6BF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От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опит също се съобщава за нежелани лекарствени реакции по отношение на зрението, включително загуба на зрение, замъглено зрение или други промени на зрителната острота, много от които са преходни.</w:t>
      </w:r>
    </w:p>
    <w:p w14:paraId="4D568534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Прекратяването на 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доведе до отзвучаване или подобряване на тези зрителни симптоми.</w:t>
      </w:r>
    </w:p>
    <w:p w14:paraId="2860374A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B410984" w14:textId="2683C66E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Бъбречна недостатъчност</w:t>
      </w:r>
    </w:p>
    <w:p w14:paraId="5916B676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Съобщават се случаи на бъбречна недостатъчност като при някои от тях прекратяването на 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показва обратимост на тази нежелана лекарствена реакция.</w:t>
      </w:r>
    </w:p>
    <w:p w14:paraId="1766A571" w14:textId="77777777" w:rsidR="00B13D53" w:rsidRPr="008A4BF3" w:rsidRDefault="00B13D53" w:rsidP="00B13D53">
      <w:pPr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6B3A0E6" w14:textId="6B3FD98D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Прекратяване на лечението със съпътстващи антиепилептични лекарствени продукти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Няма достатъчно данни за прекратяването на приема на съпътстващите антиепилептични лекарствени продукти след постигане на контрол на припадъците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като допълнително лечение, за преминаване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монотерапия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0B89E75E" w14:textId="447DBF6A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</w:p>
    <w:p w14:paraId="2DD0578B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Симптоми на отнемане</w:t>
      </w:r>
    </w:p>
    <w:p w14:paraId="2CBB28BE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При някои пациенти са наблюдавани симптоми на отнемане след спиране на краткосрочното и дългосрочното лечение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Следните събития са били споменати: безсъние, главоболие, гадене, тревожност, диария, грипен синдром, нервност, депресия, болка, конвулсии,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хиперхидроза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замаяност, показателни за физическа зависимост. Пациентът трябва да бъде информиран за това в началото на лечението.</w:t>
      </w:r>
    </w:p>
    <w:p w14:paraId="18C5B933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316D22C" w14:textId="364BE610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Конвулсии, включително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status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epilepticus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и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grand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mal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гърчове, могат да се появят по време на употребата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или скоро след прекратяване на 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6B7963D7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D89B0F6" w14:textId="745E94A5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Данните показват, че във връзка с прекратяването на продължителното лечение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честотата и тежестта на симптомите на отнемане могат да бъдат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дозозависими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0E69B961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6569213" w14:textId="2AF83082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Застойна сърдечна недостатъчност</w:t>
      </w:r>
    </w:p>
    <w:p w14:paraId="222ED266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Има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съобщения за застойна сърдечна недостатъчност при някои пациенти, приемащи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Тези реакции се наблюдават предимно при пациенти в старческа възраст със сърдечносъдови увреждания по време на лечение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за невропатия.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трябва да се използва с повишено внимание при тези пациенти. Спирането на лечението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доведе до отзвучаване на реакцията.</w:t>
      </w:r>
    </w:p>
    <w:p w14:paraId="67244D47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9229818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Лечение на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болка от централен </w:t>
      </w:r>
      <w:r w:rsidRPr="008A4BF3">
        <w:rPr>
          <w:rFonts w:eastAsia="Times New Roman" w:cs="Arial"/>
          <w:smallCaps/>
          <w:color w:val="000000"/>
          <w:szCs w:val="20"/>
          <w:u w:val="single"/>
          <w:lang w:eastAsia="bg-BG"/>
        </w:rPr>
        <w:t>произход,</w:t>
      </w: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вследствие на гръбначномозъчна травма </w:t>
      </w:r>
    </w:p>
    <w:p w14:paraId="794A5151" w14:textId="7E562050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При лечението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 от централен произход, вследствие на гръбначномозъчна травма, се увеличава общата честота на нежеланите реакции, на тези от страна на централната нервна система и особено на сънливостта. Това може да се обясни с адитивен ефект, дължащ се на съпътстващите лекарствени продукти (напр. антиспастични средства), необходими при това състояние. Това трябва да се има предвид при предписване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за</w:t>
      </w:r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това състояние.</w:t>
      </w:r>
    </w:p>
    <w:p w14:paraId="2B94CB04" w14:textId="77777777" w:rsidR="00B13D53" w:rsidRPr="008A4BF3" w:rsidRDefault="00B13D53" w:rsidP="00B13D53">
      <w:pPr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7251D2D" w14:textId="1EA6A0B0" w:rsidR="00B13D53" w:rsidRPr="008A4BF3" w:rsidRDefault="00B13D53" w:rsidP="00B13D53">
      <w:pPr>
        <w:rPr>
          <w:rFonts w:eastAsia="Times New Roman" w:cs="Arial"/>
          <w:color w:val="000000"/>
          <w:szCs w:val="20"/>
          <w:u w:val="single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Потискане на дишането</w:t>
      </w:r>
    </w:p>
    <w:p w14:paraId="01F2588E" w14:textId="77777777" w:rsidR="00B13D53" w:rsidRPr="008A4BF3" w:rsidRDefault="00B13D53" w:rsidP="00B13D53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1C56B2A5" w14:textId="0092271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Получени са съобщения за тежко потискане на дишането във връзка с употребата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 Пациентите с компрометирана дихателна функция, дихателно или неврологично заболяване, бъбречно увреждане, съпътстваща употреба на средства, потискащи ЦНС, и хора в старческа възраст може да са изложени на по-висок риск от получаване на тази тежка нежелана реакция. Може да са необходими корекции на дозата при тези пациенти (вж. точка 4.2).</w:t>
      </w:r>
    </w:p>
    <w:p w14:paraId="1902EB5A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5102E7F" w14:textId="493BDFBB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lastRenderedPageBreak/>
        <w:t>Суицидна наклонност и поведение</w:t>
      </w:r>
    </w:p>
    <w:p w14:paraId="18D48DB7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При пациенти, лекувани с антиепилептични средства за различни показания, се съобщава за суицидни наклонност и поведение. Мегаанализ на рандомизирани, плацебо-контролирани проучвания на антиепилептични лекарствени продукти също показва слабо повишен риск от суицидна наклонност и поведение. Механизмът на този риск не е известен и наличните данни не изключват възможността за повишен риск при употреба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40E4708D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D4D5536" w14:textId="4F31B473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Поради това пациентите трябва да бъдат проследявани за признаци на суицидни наклонност и поведение, като трябва да се има предвид подходящо лечение. Пациентите (и полагащите грижи за тях) трябва да бъдат посъветвани да потърсят лекарски съвет, ако се появят признаци на суицидни наклонност и поведение.</w:t>
      </w:r>
    </w:p>
    <w:p w14:paraId="794C1C73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ACAC725" w14:textId="200BA1D5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Намалена функция на долните отдели на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гаспюинтестиналния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тракт</w:t>
      </w:r>
    </w:p>
    <w:p w14:paraId="204697B5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Има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съобщения за събития, свързани с намалена функция на долните отдели на гастроинтестиналния тракт (например чревна обструкция, паралитичен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илеус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запек), когато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прилага едновременно с лекарствени продукти, които имат потенциал да предизвикват запек, като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аналгетици. Когато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ще се използват в комбинация, могат да се обсъдят мерки за предотвратяване на запек (особено при жени и пациенти в старческа възраст).</w:t>
      </w:r>
    </w:p>
    <w:p w14:paraId="44BF6A19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F36B63F" w14:textId="77EC7131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Съпътстваща употреба с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опиоиди</w:t>
      </w:r>
      <w:proofErr w:type="spellEnd"/>
    </w:p>
    <w:p w14:paraId="00FA7146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Препоръчва се повишено внимание при предписване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съпътстващо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поради риск от потискане на ЦНС (вж. точка 4.5). В проучване „случай-контрола“ при лица, приемащи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при пациентите със съпътстващ прием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наблюдава повишен риск от смърт, свързана с употребата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в сравнение със самостоятелната употреба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(коригирано съотношение на шансовете </w:t>
      </w:r>
      <w:r w:rsidRPr="008A4BF3">
        <w:rPr>
          <w:rFonts w:eastAsia="Times New Roman" w:cs="Arial"/>
          <w:color w:val="000000"/>
          <w:szCs w:val="20"/>
        </w:rPr>
        <w:t>[</w:t>
      </w:r>
      <w:proofErr w:type="spellStart"/>
      <w:r w:rsidRPr="008A4BF3">
        <w:rPr>
          <w:rFonts w:eastAsia="Times New Roman" w:cs="Arial"/>
          <w:color w:val="000000"/>
          <w:szCs w:val="20"/>
        </w:rPr>
        <w:t>aOR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],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1,68 [95% </w:t>
      </w:r>
      <w:r w:rsidRPr="008A4BF3">
        <w:rPr>
          <w:rFonts w:eastAsia="Times New Roman" w:cs="Arial"/>
          <w:color w:val="000000"/>
          <w:szCs w:val="20"/>
        </w:rPr>
        <w:t xml:space="preserve">CI,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1,19-2,36]). Този повишен риск се наблюдава при ниски дози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(≤ 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</w:rPr>
        <w:t>aOR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1,52 [95% </w:t>
      </w:r>
      <w:r w:rsidRPr="008A4BF3">
        <w:rPr>
          <w:rFonts w:eastAsia="Times New Roman" w:cs="Arial"/>
          <w:color w:val="000000"/>
          <w:szCs w:val="20"/>
        </w:rPr>
        <w:t xml:space="preserve">CI,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1,04-2,22]) и е налице тенденция за по-висок риск при по-високи дози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(&gt; 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</w:rPr>
        <w:t>aOR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2,51 [95% </w:t>
      </w:r>
      <w:r w:rsidRPr="008A4BF3">
        <w:rPr>
          <w:rFonts w:eastAsia="Times New Roman" w:cs="Arial"/>
          <w:color w:val="000000"/>
          <w:szCs w:val="20"/>
        </w:rPr>
        <w:t xml:space="preserve">CI </w:t>
      </w:r>
      <w:r w:rsidRPr="008A4BF3">
        <w:rPr>
          <w:rFonts w:eastAsia="Times New Roman" w:cs="Arial"/>
          <w:color w:val="000000"/>
          <w:szCs w:val="20"/>
          <w:lang w:eastAsia="bg-BG"/>
        </w:rPr>
        <w:t>1,24-5,06]).</w:t>
      </w:r>
    </w:p>
    <w:p w14:paraId="2A9BA329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2D82A80" w14:textId="16BEA3B9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Неправилна употреба, потенциал за злоупотреба или зависимост</w:t>
      </w:r>
    </w:p>
    <w:p w14:paraId="59E34073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Съобщавани са случаи на неправилна употреба, злоупотреба и зависимост. Необходимо е повишено внимание при пациенти с анамнеза за злоупотреба с вещества, като пациентът трябва да бъде наблюдаван за симптоми на неправилна употреба, злоупотреба или зависимост към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(има съобщения за развитие на толерантност, повишаване на дозата, поведение на насочено търсене на лекарството).</w:t>
      </w:r>
    </w:p>
    <w:p w14:paraId="38845F0B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E2C59D9" w14:textId="2FCF232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Енцефалопатия</w:t>
      </w:r>
    </w:p>
    <w:p w14:paraId="067FC8BB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Съобщавани са случаи на енцефалопатия, най-вече при пациенти с подлежащи заболявалия, които могат да ускорят появата на енцефалопатия.</w:t>
      </w:r>
    </w:p>
    <w:p w14:paraId="0F3A75FD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F445AD0" w14:textId="493EF499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Непоносимост към лактоза</w:t>
      </w:r>
    </w:p>
    <w:p w14:paraId="796F53EE" w14:textId="2C5CD633" w:rsidR="00B13D53" w:rsidRPr="008A4BF3" w:rsidRDefault="00B13D53" w:rsidP="00B13D53">
      <w:pPr>
        <w:rPr>
          <w:rFonts w:eastAsia="Times New Roman" w:cs="Arial"/>
          <w:color w:val="000000"/>
          <w:sz w:val="28"/>
          <w:szCs w:val="20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съдържа лактоза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монохидрат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Пациенти с редки наследствени проблеми на непоносимост към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галактоза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пълен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лактазен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дефицит или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глюкозо-галактозна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малабсорбция не трябва да приемат този лекарствен продукт.</w:t>
      </w:r>
    </w:p>
    <w:p w14:paraId="1BBB5896" w14:textId="77777777" w:rsidR="00B13D53" w:rsidRPr="008A4BF3" w:rsidRDefault="00B13D53" w:rsidP="00B13D53"/>
    <w:p w14:paraId="619DED1E" w14:textId="3149E14D" w:rsidR="004F498A" w:rsidRPr="008A4BF3" w:rsidRDefault="002C50EE" w:rsidP="004A448E">
      <w:pPr>
        <w:pStyle w:val="Heading2"/>
      </w:pPr>
      <w:r w:rsidRPr="008A4BF3">
        <w:t>4.5. Взаимодействие с други лекарствени продукти и други форми на</w:t>
      </w:r>
      <w:r w:rsidR="004F1CE7" w:rsidRPr="008A4BF3">
        <w:t xml:space="preserve"> взаимодействие</w:t>
      </w:r>
      <w:r w:rsidRPr="008A4BF3">
        <w:t xml:space="preserve"> </w:t>
      </w:r>
    </w:p>
    <w:p w14:paraId="7A5514E5" w14:textId="7A866F4A" w:rsidR="00B13D53" w:rsidRPr="008A4BF3" w:rsidRDefault="00B13D53" w:rsidP="00B13D53"/>
    <w:p w14:paraId="4C9ED13C" w14:textId="77777777" w:rsidR="00B13D53" w:rsidRPr="00785F0B" w:rsidRDefault="00B13D53" w:rsidP="00B13D53">
      <w:pPr>
        <w:rPr>
          <w:szCs w:val="20"/>
        </w:rPr>
      </w:pPr>
      <w:r w:rsidRPr="008A4BF3">
        <w:rPr>
          <w:szCs w:val="20"/>
        </w:rPr>
        <w:lastRenderedPageBreak/>
        <w:t xml:space="preserve">Тъй като </w:t>
      </w:r>
      <w:proofErr w:type="spellStart"/>
      <w:r w:rsidRPr="008A4BF3">
        <w:rPr>
          <w:szCs w:val="20"/>
        </w:rPr>
        <w:t>прегабалин</w:t>
      </w:r>
      <w:proofErr w:type="spellEnd"/>
      <w:r w:rsidRPr="008A4BF3">
        <w:rPr>
          <w:szCs w:val="20"/>
        </w:rPr>
        <w:t xml:space="preserve"> се отделя предимно в непроменен вид с урината, </w:t>
      </w:r>
      <w:proofErr w:type="spellStart"/>
      <w:r w:rsidRPr="008A4BF3">
        <w:rPr>
          <w:szCs w:val="20"/>
        </w:rPr>
        <w:t>метаболизира</w:t>
      </w:r>
      <w:proofErr w:type="spellEnd"/>
      <w:r w:rsidRPr="008A4BF3">
        <w:rPr>
          <w:szCs w:val="20"/>
        </w:rPr>
        <w:t xml:space="preserve"> се незначително при хора (&lt; 2% от дозата се установява в урината под формата на метаболити </w:t>
      </w:r>
      <w:r w:rsidRPr="00785F0B">
        <w:rPr>
          <w:szCs w:val="20"/>
        </w:rPr>
        <w:t xml:space="preserve">инхибира лекарствения метаболизъм </w:t>
      </w:r>
      <w:proofErr w:type="spellStart"/>
      <w:r w:rsidRPr="00785F0B">
        <w:rPr>
          <w:szCs w:val="20"/>
        </w:rPr>
        <w:t>in</w:t>
      </w:r>
      <w:proofErr w:type="spellEnd"/>
      <w:r w:rsidRPr="00785F0B">
        <w:rPr>
          <w:szCs w:val="20"/>
        </w:rPr>
        <w:t xml:space="preserve"> </w:t>
      </w:r>
      <w:proofErr w:type="spellStart"/>
      <w:r w:rsidRPr="00785F0B">
        <w:rPr>
          <w:szCs w:val="20"/>
        </w:rPr>
        <w:t>vitro</w:t>
      </w:r>
      <w:proofErr w:type="spellEnd"/>
      <w:r w:rsidRPr="00785F0B">
        <w:rPr>
          <w:szCs w:val="20"/>
        </w:rPr>
        <w:t xml:space="preserve"> и не се свързва с плазмените протеини, е малко вероятно да предизвика или да участва във </w:t>
      </w:r>
      <w:proofErr w:type="spellStart"/>
      <w:r w:rsidRPr="00785F0B">
        <w:rPr>
          <w:szCs w:val="20"/>
        </w:rPr>
        <w:t>фармакокинетични</w:t>
      </w:r>
      <w:proofErr w:type="spellEnd"/>
      <w:r w:rsidRPr="00785F0B">
        <w:rPr>
          <w:szCs w:val="20"/>
        </w:rPr>
        <w:t xml:space="preserve"> взаимодействия.</w:t>
      </w:r>
    </w:p>
    <w:p w14:paraId="5DC506B5" w14:textId="77777777" w:rsidR="00B13D53" w:rsidRPr="008A4BF3" w:rsidRDefault="00B13D53" w:rsidP="00B13D53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u w:val="single"/>
        </w:rPr>
      </w:pPr>
    </w:p>
    <w:p w14:paraId="03CDBEB8" w14:textId="055D0CE9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i/>
          <w:iCs/>
          <w:color w:val="000000"/>
          <w:szCs w:val="20"/>
          <w:u w:val="single"/>
        </w:rPr>
        <w:t>In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  <w:u w:val="single"/>
        </w:rPr>
        <w:t xml:space="preserve">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  <w:u w:val="single"/>
        </w:rPr>
        <w:t>vivo</w:t>
      </w:r>
      <w:proofErr w:type="spellEnd"/>
      <w:r w:rsidRPr="008A4BF3">
        <w:rPr>
          <w:rFonts w:eastAsia="Times New Roman" w:cs="Arial"/>
          <w:color w:val="000000"/>
          <w:szCs w:val="20"/>
          <w:u w:val="single"/>
        </w:rPr>
        <w:t xml:space="preserve"> </w:t>
      </w: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проучвания и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популационен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фармакокинетичен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анализ</w:t>
      </w:r>
    </w:p>
    <w:p w14:paraId="071A5D1B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in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vivo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проучвания не са наблюдавани клинично значими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взаимодействия съответно между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фенитоин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карбамазепин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валпроева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киселина,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ламотригин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габапентин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лоразепам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оксикодон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или етанол.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Популационен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фармакокинетичен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анализ показва, че пероралните антидиабетни средства,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диуретиците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инсулин,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фенобарбитал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тиагабин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топирамат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нямат клинично значим ефект върху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клирънса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787C4FD8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9729A7F" w14:textId="6A9F3334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Перорални контрацептиви,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норетистерон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и/или 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етинилестрадиол</w:t>
      </w:r>
      <w:proofErr w:type="spellEnd"/>
    </w:p>
    <w:p w14:paraId="5C9DAAC4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Едновременното приложение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 пероралните контрацептивни средства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норетистерон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и/или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етинилестрадиол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повлиява фармакокинетиката в стационарно състояние на нито едно от тези вещества.</w:t>
      </w:r>
    </w:p>
    <w:p w14:paraId="03B45100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7ACF6A0" w14:textId="540FF845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Лекарствени продукти, които оказват влияние върху централната нервна система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засили ефектите на етанол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лоразепам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4B01BF39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17E0E4D" w14:textId="37942FFD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От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опит има съобщения за дихателна недостатъчност, кома и смъртни случаи при пациенти, приемащи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опиоиди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и/или други лекарствени продукти, потискащи централната нервна система (ЦНС). Вероятно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има адитивно действие върху нарушенията на когнитивната и двигателната функция, причинени от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оксикодон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4CB407F5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BF75FF6" w14:textId="1D11BE08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Взаимодействия и пациенти в старческа възраст</w:t>
      </w:r>
    </w:p>
    <w:p w14:paraId="12686EBC" w14:textId="6C293ED9" w:rsidR="00B13D53" w:rsidRPr="008A4BF3" w:rsidRDefault="00B13D53" w:rsidP="00B13D53">
      <w:pPr>
        <w:rPr>
          <w:rFonts w:cs="Arial"/>
          <w:sz w:val="28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Не са провеждани специфични проучвания 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фармакодинамични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взаимодействия при доброволци в старческа възраст. Проучвания за взаимодействия са проведени само при възрастни.</w:t>
      </w:r>
    </w:p>
    <w:p w14:paraId="49591BA5" w14:textId="77777777" w:rsidR="00B13D53" w:rsidRPr="008A4BF3" w:rsidRDefault="00B13D53" w:rsidP="00B13D53"/>
    <w:p w14:paraId="394A7584" w14:textId="10D6B423" w:rsidR="004F498A" w:rsidRPr="008A4BF3" w:rsidRDefault="002C50EE" w:rsidP="004A448E">
      <w:pPr>
        <w:pStyle w:val="Heading2"/>
      </w:pPr>
      <w:r w:rsidRPr="008A4BF3">
        <w:t>4.6. Фертилитет, бременност и кърмене</w:t>
      </w:r>
    </w:p>
    <w:p w14:paraId="17C95080" w14:textId="2121F14E" w:rsidR="00B13D53" w:rsidRPr="008A4BF3" w:rsidRDefault="00B13D53" w:rsidP="00B13D53"/>
    <w:p w14:paraId="3542D7EC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 xml:space="preserve">Жени с детероден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потенииал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/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контраиепция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 xml:space="preserve"> при мъже и жени</w:t>
      </w:r>
    </w:p>
    <w:p w14:paraId="6062592A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Тъй като потенциалният риск за хората е неизвестен, при жени с детероден потенциал трябва да се използва ефективна контрацепция.</w:t>
      </w:r>
    </w:p>
    <w:p w14:paraId="7D086F83" w14:textId="77777777" w:rsidR="00B13D53" w:rsidRPr="008A4BF3" w:rsidRDefault="00B13D53" w:rsidP="00B13D53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380397B2" w14:textId="4F474AAB" w:rsidR="00B13D53" w:rsidRPr="008A4BF3" w:rsidRDefault="00B13D53" w:rsidP="00B07AF3">
      <w:pPr>
        <w:pStyle w:val="Heading3"/>
        <w:rPr>
          <w:rFonts w:eastAsia="Times New Roman"/>
          <w:sz w:val="28"/>
          <w:u w:val="single"/>
          <w:lang w:eastAsia="bg-BG"/>
        </w:rPr>
      </w:pPr>
      <w:r w:rsidRPr="008A4BF3">
        <w:rPr>
          <w:rFonts w:eastAsia="Times New Roman"/>
          <w:u w:val="single"/>
          <w:lang w:eastAsia="bg-BG"/>
        </w:rPr>
        <w:t>Бременност</w:t>
      </w:r>
    </w:p>
    <w:p w14:paraId="7CDF4FAB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Няма достатъчно данни за употребата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бременни жени.</w:t>
      </w:r>
    </w:p>
    <w:p w14:paraId="7DF582D2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E004251" w14:textId="0C64469C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Проучванията при животни са показали репродуктивна токсичност (вж. точка 5.3). Потенциалният риск при хора не е известен.</w:t>
      </w:r>
    </w:p>
    <w:p w14:paraId="358183CD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AFCE62F" w14:textId="4EA89C50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трябва да се използва по време на бременност, освен при категорична необходимост (ако ползата за майката значително надхвърля потенциалния риск за плода).</w:t>
      </w:r>
    </w:p>
    <w:p w14:paraId="059D5490" w14:textId="77777777" w:rsidR="00B13D53" w:rsidRPr="008A4BF3" w:rsidRDefault="00B13D53" w:rsidP="00B13D53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23175ADD" w14:textId="47AAFC49" w:rsidR="00B13D53" w:rsidRPr="008A4BF3" w:rsidRDefault="00B13D53" w:rsidP="00B07AF3">
      <w:pPr>
        <w:pStyle w:val="Heading3"/>
        <w:rPr>
          <w:rFonts w:eastAsia="Times New Roman"/>
          <w:sz w:val="28"/>
          <w:u w:val="single"/>
          <w:lang w:eastAsia="bg-BG"/>
        </w:rPr>
      </w:pPr>
      <w:r w:rsidRPr="008A4BF3">
        <w:rPr>
          <w:rFonts w:eastAsia="Times New Roman"/>
          <w:u w:val="single"/>
          <w:lang w:eastAsia="bg-BG"/>
        </w:rPr>
        <w:lastRenderedPageBreak/>
        <w:t>Кърмене</w:t>
      </w:r>
    </w:p>
    <w:p w14:paraId="52059631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екскретира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 кърмата при хора (вж. точка 5.2). Влиянието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върху новородените/кърмачетата не е известно. Трябва да се вземе решение дали да се преустанови кърменето или да се спре терапията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, като се вземат предвид ползата от кърменето за детето и ползата от терапията за жената.</w:t>
      </w:r>
    </w:p>
    <w:p w14:paraId="4B2959BB" w14:textId="77777777" w:rsidR="00B13D53" w:rsidRPr="008A4BF3" w:rsidRDefault="00B13D53" w:rsidP="00B13D53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3B5FC1B3" w14:textId="7FC1DC32" w:rsidR="00B13D53" w:rsidRPr="008A4BF3" w:rsidRDefault="00B13D53" w:rsidP="00B07AF3">
      <w:pPr>
        <w:pStyle w:val="Heading3"/>
        <w:rPr>
          <w:rFonts w:eastAsia="Times New Roman"/>
          <w:sz w:val="28"/>
          <w:u w:val="single"/>
          <w:lang w:eastAsia="bg-BG"/>
        </w:rPr>
      </w:pPr>
      <w:r w:rsidRPr="008A4BF3">
        <w:rPr>
          <w:rFonts w:eastAsia="Times New Roman"/>
          <w:u w:val="single"/>
          <w:lang w:eastAsia="bg-BG"/>
        </w:rPr>
        <w:t>Фертилитет</w:t>
      </w:r>
    </w:p>
    <w:p w14:paraId="6396B915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Няма клинични данни за ефектите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върху женския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фертилитет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4ECED5EF" w14:textId="77777777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</w:p>
    <w:p w14:paraId="2E32F6A8" w14:textId="2532B46A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клинично изпитване за оценка на ефекта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върху подвижността на сперматозоидите здрави мъже са били изложени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доза от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r w:rsidRPr="008A4BF3">
        <w:rPr>
          <w:rFonts w:eastAsia="Times New Roman" w:cs="Arial"/>
          <w:color w:val="000000"/>
          <w:szCs w:val="20"/>
          <w:lang w:eastAsia="bg-BG"/>
        </w:rPr>
        <w:t>ден. След 3 месеца на лечение не са наблюдавани ефекти върху подвижността на сперматозоидите.</w:t>
      </w:r>
    </w:p>
    <w:p w14:paraId="25401975" w14:textId="271D53E7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</w:p>
    <w:p w14:paraId="2B2899D0" w14:textId="2374B32B" w:rsidR="00B13D53" w:rsidRPr="008A4BF3" w:rsidRDefault="00B13D53" w:rsidP="00B13D53">
      <w:pPr>
        <w:rPr>
          <w:rFonts w:eastAsia="Times New Roman" w:cs="Arial"/>
          <w:color w:val="000000"/>
          <w:sz w:val="24"/>
          <w:szCs w:val="20"/>
          <w:lang w:eastAsia="bg-BG"/>
        </w:rPr>
      </w:pPr>
      <w:r w:rsidRPr="008A4BF3">
        <w:rPr>
          <w:szCs w:val="20"/>
        </w:rPr>
        <w:t xml:space="preserve">Проучване на </w:t>
      </w:r>
      <w:proofErr w:type="spellStart"/>
      <w:r w:rsidRPr="008A4BF3">
        <w:rPr>
          <w:szCs w:val="20"/>
        </w:rPr>
        <w:t>фертилитета</w:t>
      </w:r>
      <w:proofErr w:type="spellEnd"/>
      <w:r w:rsidRPr="008A4BF3">
        <w:rPr>
          <w:szCs w:val="20"/>
        </w:rPr>
        <w:t xml:space="preserve"> при женски плъхове показва вредни ефекти върху </w:t>
      </w:r>
      <w:proofErr w:type="spellStart"/>
      <w:r w:rsidRPr="008A4BF3">
        <w:rPr>
          <w:szCs w:val="20"/>
        </w:rPr>
        <w:t>репродуктивността</w:t>
      </w:r>
      <w:proofErr w:type="spellEnd"/>
      <w:r w:rsidRPr="008A4BF3">
        <w:rPr>
          <w:szCs w:val="20"/>
        </w:rPr>
        <w:t xml:space="preserve">. Проучвания на </w:t>
      </w:r>
      <w:proofErr w:type="spellStart"/>
      <w:r w:rsidRPr="008A4BF3">
        <w:rPr>
          <w:szCs w:val="20"/>
        </w:rPr>
        <w:t>фертилитета</w:t>
      </w:r>
      <w:proofErr w:type="spellEnd"/>
      <w:r w:rsidRPr="008A4BF3">
        <w:rPr>
          <w:szCs w:val="20"/>
        </w:rPr>
        <w:t xml:space="preserve"> при мъжки плъхове са показали вредни ефекти върху репродукцията и развитието. Клиничната значимост на тези данни не е известна (вж. точка 5.3).</w:t>
      </w:r>
    </w:p>
    <w:p w14:paraId="7AD36286" w14:textId="4F0A3F0E" w:rsidR="00B13D53" w:rsidRPr="008A4BF3" w:rsidRDefault="00B13D53" w:rsidP="00B13D53"/>
    <w:p w14:paraId="064DF1DE" w14:textId="5721CC09" w:rsidR="00CF77F7" w:rsidRPr="008A4BF3" w:rsidRDefault="002C50EE" w:rsidP="004A448E">
      <w:pPr>
        <w:pStyle w:val="Heading2"/>
      </w:pPr>
      <w:r w:rsidRPr="008A4BF3">
        <w:t>4.7. Ефекти върху способността за шофиране и работа с машини</w:t>
      </w:r>
    </w:p>
    <w:p w14:paraId="469D47D7" w14:textId="1AD9E364" w:rsidR="00B13D53" w:rsidRPr="008A4BF3" w:rsidRDefault="00B13D53" w:rsidP="00B13D53"/>
    <w:p w14:paraId="342F457D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има леко или умерено влияние върху способността за шофиране и работа с машини.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Линефор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може да причини замаяност и сънливост и следователно може да повлияе върху способността за шофиране и работа с машини.</w:t>
      </w:r>
    </w:p>
    <w:p w14:paraId="33F53677" w14:textId="4E4AEB92" w:rsidR="00B13D53" w:rsidRPr="008A4BF3" w:rsidRDefault="00B13D53" w:rsidP="00B13D53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На пациентите се препоръчва да не шофират, да не работят със сложни машини или да не участват в други, потенциално рискови дейности, докато не стане известно дали този лекарствен продукт засяга тяхната способност да извършват тези дейности.</w:t>
      </w:r>
    </w:p>
    <w:p w14:paraId="2B3C227F" w14:textId="77777777" w:rsidR="00B13D53" w:rsidRPr="008A4BF3" w:rsidRDefault="00B13D53" w:rsidP="00B13D53">
      <w:pPr>
        <w:rPr>
          <w:rFonts w:cs="Arial"/>
          <w:sz w:val="24"/>
        </w:rPr>
      </w:pPr>
    </w:p>
    <w:p w14:paraId="37A3FD9F" w14:textId="3D042F8A" w:rsidR="00CF77F7" w:rsidRPr="008A4BF3" w:rsidRDefault="002C50EE" w:rsidP="004A448E">
      <w:pPr>
        <w:pStyle w:val="Heading2"/>
      </w:pPr>
      <w:r w:rsidRPr="008A4BF3">
        <w:t>4.8. Нежелани лекарствени реакции</w:t>
      </w:r>
    </w:p>
    <w:p w14:paraId="64A08CF5" w14:textId="7E4C8C4F" w:rsidR="00B13D53" w:rsidRPr="008A4BF3" w:rsidRDefault="00B13D53" w:rsidP="00B13D53"/>
    <w:p w14:paraId="4A6EA094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Клиничната програма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включва над 8 900 пациенти,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от които над 5 600 са били в двойнослепи, плацебо-контролирани изпитвания. Най-честите съобщавани нежелани реакции са били замаяност и сънливост. Нежеланите реакции обикновено са леки до умерено изразени. При всички контролирани проучвания честотата на прекратяване на лечението поради нежелани реакции е била 12% при пациенти, получаващи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 5% при пациентите, приемащи плацебо. Най-честите нежелани реакции, довели до прекъсване на лечението в групите,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, са били замаяност и сънливост.</w:t>
      </w:r>
    </w:p>
    <w:p w14:paraId="5996E848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113280F" w14:textId="6C462218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Таблица </w:t>
      </w: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2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 по-долу са изброени по клас и честота всички нежелани лекарствени реакции, които са наблюдавани с честота, по-голяма от плацебо и при повече от един пациент: много чести (≥ 1/10); чести (≥ 1/100 до &lt; 1/10); нечести (≥ 1/1 000 до &lt; 1/100); редки (≥ 1/10 000 до &lt; 1/1 000); много редки (&lt;1/10 000), с неизвестна честота (не може да бъде оценена от наличните данни). При всяко групиране по честота нежеланите лекарствени реакции се изброяват в низходящ ред по отношение на сериозността им.</w:t>
      </w:r>
    </w:p>
    <w:p w14:paraId="4DB9A791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6F483D8" w14:textId="0D59EBD9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Изброените нежелани реакции биха могли да бъдат свързвани и с подлежащото заболяване и/или със съпътстващи лекарствени продукти.</w:t>
      </w:r>
    </w:p>
    <w:p w14:paraId="49E26F2D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D72B862" w14:textId="665E474E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При лечението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 от централен произход вследствие на гръбначномозъчна травма общата честота на нежеланите реакции, тази на нежеланите реакции от страна на ЦНС и особено на сънливостта се е увеличила (вж. точка 4.4).</w:t>
      </w:r>
    </w:p>
    <w:p w14:paraId="58702E44" w14:textId="77777777" w:rsidR="00B13D53" w:rsidRPr="008A4BF3" w:rsidRDefault="00B13D53" w:rsidP="00B13D53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06486B6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Допълнителни реакции, съобщавани от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опит, са включени с </w:t>
      </w: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>курсив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 в списъка по-долу.</w:t>
      </w:r>
    </w:p>
    <w:p w14:paraId="2AD5BD39" w14:textId="77777777" w:rsidR="00B13D53" w:rsidRPr="008A4BF3" w:rsidRDefault="00B13D53" w:rsidP="00B13D53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</w:p>
    <w:p w14:paraId="59AFB5D3" w14:textId="64C90899" w:rsidR="00B13D53" w:rsidRPr="008A4BF3" w:rsidRDefault="00B13D53" w:rsidP="00B13D53">
      <w:pPr>
        <w:spacing w:line="240" w:lineRule="auto"/>
        <w:rPr>
          <w:rFonts w:eastAsia="Times New Roman" w:cs="Arial"/>
          <w:b/>
          <w:bCs/>
          <w:color w:val="000000"/>
          <w:szCs w:val="20"/>
          <w:lang w:eastAsia="bg-BG"/>
        </w:rPr>
      </w:pPr>
      <w:r w:rsidRPr="008A4BF3">
        <w:rPr>
          <w:rFonts w:eastAsia="Times New Roman" w:cs="Arial"/>
          <w:b/>
          <w:bCs/>
          <w:color w:val="000000"/>
          <w:szCs w:val="20"/>
          <w:lang w:eastAsia="bg-BG"/>
        </w:rPr>
        <w:t xml:space="preserve">Таблица </w:t>
      </w:r>
      <w:r w:rsidRPr="008A4BF3">
        <w:rPr>
          <w:rFonts w:eastAsia="Times New Roman" w:cs="Arial"/>
          <w:b/>
          <w:bCs/>
          <w:i/>
          <w:iCs/>
          <w:color w:val="000000"/>
          <w:szCs w:val="20"/>
          <w:lang w:eastAsia="bg-BG"/>
        </w:rPr>
        <w:t>2.</w:t>
      </w:r>
      <w:r w:rsidRPr="008A4BF3">
        <w:rPr>
          <w:rFonts w:eastAsia="Times New Roman" w:cs="Arial"/>
          <w:b/>
          <w:bCs/>
          <w:color w:val="000000"/>
          <w:szCs w:val="20"/>
          <w:lang w:eastAsia="bg-BG"/>
        </w:rPr>
        <w:t xml:space="preserve"> Нежелани лекарствени реакции на </w:t>
      </w:r>
      <w:proofErr w:type="spellStart"/>
      <w:r w:rsidRPr="008A4BF3">
        <w:rPr>
          <w:rFonts w:eastAsia="Times New Roman" w:cs="Arial"/>
          <w:b/>
          <w:bCs/>
          <w:color w:val="000000"/>
          <w:szCs w:val="20"/>
          <w:lang w:eastAsia="bg-BG"/>
        </w:rPr>
        <w:t>прегабалин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4"/>
        <w:gridCol w:w="4696"/>
      </w:tblGrid>
      <w:tr w:rsidR="009378E4" w:rsidRPr="008A4BF3" w14:paraId="32BD8AF1" w14:textId="77777777" w:rsidTr="009378E4">
        <w:tc>
          <w:tcPr>
            <w:tcW w:w="4755" w:type="dxa"/>
            <w:vAlign w:val="center"/>
          </w:tcPr>
          <w:p w14:paraId="33ADF024" w14:textId="21EDDB1B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>Системно-органни класове</w:t>
            </w:r>
          </w:p>
        </w:tc>
        <w:tc>
          <w:tcPr>
            <w:tcW w:w="4755" w:type="dxa"/>
            <w:vAlign w:val="center"/>
          </w:tcPr>
          <w:p w14:paraId="32E26806" w14:textId="3CFB4EE2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>Нежелани лекарствени реакции</w:t>
            </w:r>
          </w:p>
        </w:tc>
      </w:tr>
      <w:tr w:rsidR="009378E4" w:rsidRPr="008A4BF3" w14:paraId="3EE4039B" w14:textId="77777777" w:rsidTr="009378E4">
        <w:tc>
          <w:tcPr>
            <w:tcW w:w="9510" w:type="dxa"/>
            <w:gridSpan w:val="2"/>
            <w:vAlign w:val="bottom"/>
          </w:tcPr>
          <w:p w14:paraId="7B852B88" w14:textId="6A8F6467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 xml:space="preserve">Инфекции и </w:t>
            </w:r>
            <w:proofErr w:type="spellStart"/>
            <w:r w:rsidRPr="008A4BF3">
              <w:rPr>
                <w:b/>
                <w:bCs/>
                <w:szCs w:val="20"/>
              </w:rPr>
              <w:t>инфестации</w:t>
            </w:r>
            <w:proofErr w:type="spellEnd"/>
          </w:p>
        </w:tc>
      </w:tr>
      <w:tr w:rsidR="009378E4" w:rsidRPr="008A4BF3" w14:paraId="73E210A5" w14:textId="77777777" w:rsidTr="009378E4">
        <w:tc>
          <w:tcPr>
            <w:tcW w:w="4755" w:type="dxa"/>
            <w:vAlign w:val="bottom"/>
          </w:tcPr>
          <w:p w14:paraId="4C6B2D3F" w14:textId="079B3852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46B39EDB" w14:textId="68CC4CA5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Назофарингит</w:t>
            </w:r>
            <w:proofErr w:type="spellEnd"/>
          </w:p>
        </w:tc>
      </w:tr>
      <w:tr w:rsidR="009378E4" w:rsidRPr="008A4BF3" w14:paraId="35462091" w14:textId="77777777" w:rsidTr="009378E4">
        <w:tc>
          <w:tcPr>
            <w:tcW w:w="9510" w:type="dxa"/>
            <w:gridSpan w:val="2"/>
            <w:vAlign w:val="bottom"/>
          </w:tcPr>
          <w:p w14:paraId="6386610D" w14:textId="0DA93096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>Нарушения на кръвната и</w:t>
            </w:r>
            <w:r w:rsidRPr="008A4B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  <w:t xml:space="preserve"> </w:t>
            </w:r>
            <w:r w:rsidRPr="008A4BF3">
              <w:rPr>
                <w:b/>
                <w:bCs/>
                <w:szCs w:val="20"/>
              </w:rPr>
              <w:t>лимфната система</w:t>
            </w:r>
          </w:p>
        </w:tc>
      </w:tr>
      <w:tr w:rsidR="009378E4" w:rsidRPr="008A4BF3" w14:paraId="2E3819AA" w14:textId="77777777" w:rsidTr="009378E4">
        <w:tc>
          <w:tcPr>
            <w:tcW w:w="4755" w:type="dxa"/>
            <w:vAlign w:val="bottom"/>
          </w:tcPr>
          <w:p w14:paraId="5E5C2348" w14:textId="008BFE9E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0FC25B60" w14:textId="15B3933F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Неутропения</w:t>
            </w:r>
            <w:proofErr w:type="spellEnd"/>
          </w:p>
        </w:tc>
      </w:tr>
      <w:tr w:rsidR="009378E4" w:rsidRPr="008A4BF3" w14:paraId="192166BB" w14:textId="77777777" w:rsidTr="009378E4">
        <w:tc>
          <w:tcPr>
            <w:tcW w:w="9510" w:type="dxa"/>
            <w:gridSpan w:val="2"/>
            <w:vAlign w:val="bottom"/>
          </w:tcPr>
          <w:p w14:paraId="00BACB99" w14:textId="395E355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>Нарушения на имунната система</w:t>
            </w:r>
          </w:p>
        </w:tc>
      </w:tr>
      <w:tr w:rsidR="009378E4" w:rsidRPr="008A4BF3" w14:paraId="6E7DF216" w14:textId="77777777" w:rsidTr="009378E4">
        <w:tc>
          <w:tcPr>
            <w:tcW w:w="4755" w:type="dxa"/>
            <w:vAlign w:val="bottom"/>
          </w:tcPr>
          <w:p w14:paraId="316EC59D" w14:textId="494DA500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019FE76D" w14:textId="42BFBF1D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>Свръхчувствителност</w:t>
            </w:r>
          </w:p>
        </w:tc>
      </w:tr>
      <w:tr w:rsidR="009378E4" w:rsidRPr="008A4BF3" w14:paraId="5F50A6B1" w14:textId="77777777" w:rsidTr="009378E4">
        <w:tc>
          <w:tcPr>
            <w:tcW w:w="4755" w:type="dxa"/>
            <w:vAlign w:val="bottom"/>
          </w:tcPr>
          <w:p w14:paraId="70BD2200" w14:textId="5113900E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22CE4C45" w14:textId="768A3EBA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>Ангиоедем, алергична реакция</w:t>
            </w:r>
            <w:r w:rsidRPr="008A4BF3">
              <w:rPr>
                <w:i/>
                <w:iCs/>
                <w:szCs w:val="20"/>
              </w:rPr>
              <w:tab/>
            </w:r>
          </w:p>
        </w:tc>
      </w:tr>
      <w:tr w:rsidR="009378E4" w:rsidRPr="008A4BF3" w14:paraId="0406B4B9" w14:textId="77777777" w:rsidTr="009378E4">
        <w:tc>
          <w:tcPr>
            <w:tcW w:w="9510" w:type="dxa"/>
            <w:gridSpan w:val="2"/>
            <w:vAlign w:val="bottom"/>
          </w:tcPr>
          <w:p w14:paraId="0C5DC2CC" w14:textId="3D887F00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 xml:space="preserve">Нарушения на </w:t>
            </w:r>
            <w:proofErr w:type="spellStart"/>
            <w:r w:rsidRPr="008A4BF3">
              <w:rPr>
                <w:b/>
                <w:bCs/>
                <w:szCs w:val="20"/>
              </w:rPr>
              <w:t>метаболизмa</w:t>
            </w:r>
            <w:proofErr w:type="spellEnd"/>
            <w:r w:rsidRPr="008A4BF3">
              <w:rPr>
                <w:b/>
                <w:bCs/>
                <w:szCs w:val="20"/>
              </w:rPr>
              <w:t xml:space="preserve"> и храненето</w:t>
            </w:r>
          </w:p>
        </w:tc>
      </w:tr>
      <w:tr w:rsidR="009378E4" w:rsidRPr="008A4BF3" w14:paraId="4264BC21" w14:textId="77777777" w:rsidTr="009378E4">
        <w:tc>
          <w:tcPr>
            <w:tcW w:w="4755" w:type="dxa"/>
            <w:vAlign w:val="bottom"/>
          </w:tcPr>
          <w:p w14:paraId="104FE1EB" w14:textId="37D4E69E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639ABD80" w14:textId="7DA00473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Увеличен апетит</w:t>
            </w:r>
            <w:r w:rsidRPr="008A4BF3">
              <w:rPr>
                <w:szCs w:val="20"/>
              </w:rPr>
              <w:tab/>
            </w:r>
          </w:p>
        </w:tc>
      </w:tr>
      <w:tr w:rsidR="009378E4" w:rsidRPr="008A4BF3" w14:paraId="6652C77F" w14:textId="77777777" w:rsidTr="009378E4">
        <w:tc>
          <w:tcPr>
            <w:tcW w:w="4755" w:type="dxa"/>
          </w:tcPr>
          <w:p w14:paraId="2D9215A8" w14:textId="7ED7B3CC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</w:tcPr>
          <w:p w14:paraId="58559570" w14:textId="34199B6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Анорексия,хипогликемия</w:t>
            </w:r>
            <w:proofErr w:type="spellEnd"/>
          </w:p>
        </w:tc>
      </w:tr>
      <w:tr w:rsidR="009378E4" w:rsidRPr="008A4BF3" w14:paraId="0B893898" w14:textId="77777777" w:rsidTr="009378E4">
        <w:tc>
          <w:tcPr>
            <w:tcW w:w="9510" w:type="dxa"/>
            <w:gridSpan w:val="2"/>
          </w:tcPr>
          <w:p w14:paraId="4B7FF883" w14:textId="77777777" w:rsidR="009F6117" w:rsidRPr="008A4BF3" w:rsidRDefault="009F6117" w:rsidP="009F6117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>Психични нарушения</w:t>
            </w:r>
          </w:p>
          <w:p w14:paraId="5D1BB8B1" w14:textId="77777777" w:rsidR="009378E4" w:rsidRPr="008A4BF3" w:rsidRDefault="009378E4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9378E4" w:rsidRPr="008A4BF3" w14:paraId="4D2D5585" w14:textId="77777777" w:rsidTr="00A260A8">
        <w:tc>
          <w:tcPr>
            <w:tcW w:w="4755" w:type="dxa"/>
          </w:tcPr>
          <w:p w14:paraId="2A4CCDFA" w14:textId="5B81DC32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5F86B07B" w14:textId="1FE96161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Еуфорично настроение, обърканост, раздразнителност, дезориентация, безсъние, намалено либидо</w:t>
            </w:r>
          </w:p>
        </w:tc>
      </w:tr>
      <w:tr w:rsidR="009378E4" w:rsidRPr="008A4BF3" w14:paraId="070744B1" w14:textId="77777777" w:rsidTr="00A260A8">
        <w:tc>
          <w:tcPr>
            <w:tcW w:w="4755" w:type="dxa"/>
          </w:tcPr>
          <w:p w14:paraId="5F36AC4D" w14:textId="57497957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4F7CEFC5" w14:textId="38C0D3CD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Халюцинации, пристъп на паника, безпокойство, възбуда, депресия, потиснато настроение, приповдигнато настроение, </w:t>
            </w:r>
            <w:r w:rsidRPr="008A4BF3">
              <w:rPr>
                <w:i/>
                <w:iCs/>
                <w:szCs w:val="20"/>
              </w:rPr>
              <w:t>агресия,</w:t>
            </w:r>
            <w:r w:rsidRPr="008A4BF3">
              <w:rPr>
                <w:szCs w:val="20"/>
              </w:rPr>
              <w:t xml:space="preserve"> промени в настроението, деперсонализация, трудно намирането на думи, необичайни сънища, увеличено либидо, </w:t>
            </w:r>
            <w:proofErr w:type="spellStart"/>
            <w:r w:rsidRPr="008A4BF3">
              <w:rPr>
                <w:szCs w:val="20"/>
              </w:rPr>
              <w:t>аноргазмия</w:t>
            </w:r>
            <w:proofErr w:type="spellEnd"/>
            <w:r w:rsidRPr="008A4BF3">
              <w:rPr>
                <w:szCs w:val="20"/>
              </w:rPr>
              <w:t>, апатия</w:t>
            </w:r>
          </w:p>
        </w:tc>
      </w:tr>
      <w:tr w:rsidR="009378E4" w:rsidRPr="008A4BF3" w14:paraId="2926E91C" w14:textId="77777777" w:rsidTr="00A260A8">
        <w:tc>
          <w:tcPr>
            <w:tcW w:w="4755" w:type="dxa"/>
            <w:vAlign w:val="bottom"/>
          </w:tcPr>
          <w:p w14:paraId="3CE2F1E6" w14:textId="588A271A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6966D5DA" w14:textId="470B032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Невъздържаност</w:t>
            </w:r>
          </w:p>
        </w:tc>
      </w:tr>
      <w:tr w:rsidR="009378E4" w:rsidRPr="008A4BF3" w14:paraId="144A9A18" w14:textId="77777777" w:rsidTr="00A260A8">
        <w:tc>
          <w:tcPr>
            <w:tcW w:w="9510" w:type="dxa"/>
            <w:gridSpan w:val="2"/>
          </w:tcPr>
          <w:p w14:paraId="5431C475" w14:textId="56A60F69" w:rsidR="009378E4" w:rsidRPr="008A4BF3" w:rsidRDefault="009F6117" w:rsidP="00B13D5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lang w:eastAsia="bg-BG"/>
              </w:rPr>
            </w:pPr>
            <w:r w:rsidRPr="008A4BF3">
              <w:rPr>
                <w:rFonts w:cs="Arial"/>
                <w:b/>
                <w:bCs/>
              </w:rPr>
              <w:t>Нарушения на нервната система</w:t>
            </w:r>
          </w:p>
        </w:tc>
      </w:tr>
      <w:tr w:rsidR="009378E4" w:rsidRPr="008A4BF3" w14:paraId="30869575" w14:textId="77777777" w:rsidTr="00A260A8">
        <w:tc>
          <w:tcPr>
            <w:tcW w:w="4755" w:type="dxa"/>
            <w:vAlign w:val="bottom"/>
          </w:tcPr>
          <w:p w14:paraId="0D06392D" w14:textId="0975C1CB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Много чести</w:t>
            </w:r>
          </w:p>
        </w:tc>
        <w:tc>
          <w:tcPr>
            <w:tcW w:w="4755" w:type="dxa"/>
            <w:vAlign w:val="bottom"/>
          </w:tcPr>
          <w:p w14:paraId="42CC3E80" w14:textId="059850D5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Замаяност, сънливост, главоболие</w:t>
            </w:r>
          </w:p>
        </w:tc>
      </w:tr>
      <w:tr w:rsidR="009378E4" w:rsidRPr="008A4BF3" w14:paraId="0708BE91" w14:textId="77777777" w:rsidTr="00A260A8">
        <w:tc>
          <w:tcPr>
            <w:tcW w:w="4755" w:type="dxa"/>
          </w:tcPr>
          <w:p w14:paraId="362084FE" w14:textId="3F61A4D1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189AD5CC" w14:textId="1FFCAA90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Атаксия</w:t>
            </w:r>
            <w:proofErr w:type="spellEnd"/>
            <w:r w:rsidRPr="008A4BF3">
              <w:rPr>
                <w:szCs w:val="20"/>
              </w:rPr>
              <w:t xml:space="preserve">, нарушена координация, тремор, </w:t>
            </w:r>
            <w:proofErr w:type="spellStart"/>
            <w:r w:rsidRPr="008A4BF3">
              <w:rPr>
                <w:szCs w:val="20"/>
              </w:rPr>
              <w:t>дизартрия</w:t>
            </w:r>
            <w:proofErr w:type="spellEnd"/>
            <w:r w:rsidRPr="008A4BF3">
              <w:rPr>
                <w:szCs w:val="20"/>
              </w:rPr>
              <w:t xml:space="preserve">, амнезия, нарушения на паметта, нарушение на вниманието, </w:t>
            </w:r>
            <w:proofErr w:type="spellStart"/>
            <w:r w:rsidRPr="008A4BF3">
              <w:rPr>
                <w:szCs w:val="20"/>
              </w:rPr>
              <w:t>парестезия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хипоестезия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седация</w:t>
            </w:r>
            <w:proofErr w:type="spellEnd"/>
            <w:r w:rsidRPr="008A4BF3">
              <w:rPr>
                <w:szCs w:val="20"/>
              </w:rPr>
              <w:t>, нарушено равновесие, летаргия</w:t>
            </w:r>
          </w:p>
        </w:tc>
      </w:tr>
      <w:tr w:rsidR="009378E4" w:rsidRPr="008A4BF3" w14:paraId="3083ED7E" w14:textId="77777777" w:rsidTr="00A260A8">
        <w:tc>
          <w:tcPr>
            <w:tcW w:w="4755" w:type="dxa"/>
          </w:tcPr>
          <w:p w14:paraId="758370C7" w14:textId="3B28187A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4E8A73A9" w14:textId="0C3FC2B6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Синкоп</w:t>
            </w:r>
            <w:proofErr w:type="spellEnd"/>
            <w:r w:rsidRPr="008A4BF3">
              <w:rPr>
                <w:szCs w:val="20"/>
              </w:rPr>
              <w:t xml:space="preserve">, ступор, </w:t>
            </w:r>
            <w:proofErr w:type="spellStart"/>
            <w:r w:rsidRPr="008A4BF3">
              <w:rPr>
                <w:szCs w:val="20"/>
              </w:rPr>
              <w:t>миоклонус</w:t>
            </w:r>
            <w:proofErr w:type="spellEnd"/>
            <w:r w:rsidRPr="008A4BF3">
              <w:rPr>
                <w:szCs w:val="20"/>
              </w:rPr>
              <w:t xml:space="preserve">, </w:t>
            </w:r>
            <w:r w:rsidRPr="008A4BF3">
              <w:rPr>
                <w:i/>
                <w:iCs/>
                <w:szCs w:val="20"/>
              </w:rPr>
              <w:t>загуба на съзнание,</w:t>
            </w:r>
            <w:r w:rsidRPr="008A4BF3">
              <w:rPr>
                <w:szCs w:val="20"/>
              </w:rPr>
              <w:t xml:space="preserve"> психомоторна хиперактивност, дискинезия, ортостатична замаяност, </w:t>
            </w:r>
            <w:proofErr w:type="spellStart"/>
            <w:r w:rsidRPr="008A4BF3">
              <w:rPr>
                <w:szCs w:val="20"/>
              </w:rPr>
              <w:t>интенционен</w:t>
            </w:r>
            <w:proofErr w:type="spellEnd"/>
            <w:r w:rsidRPr="008A4BF3">
              <w:rPr>
                <w:szCs w:val="20"/>
              </w:rPr>
              <w:t xml:space="preserve"> тремор, </w:t>
            </w:r>
            <w:proofErr w:type="spellStart"/>
            <w:r w:rsidRPr="008A4BF3">
              <w:rPr>
                <w:szCs w:val="20"/>
              </w:rPr>
              <w:t>нистагьм</w:t>
            </w:r>
            <w:proofErr w:type="spellEnd"/>
            <w:r w:rsidRPr="008A4BF3">
              <w:rPr>
                <w:szCs w:val="20"/>
              </w:rPr>
              <w:t xml:space="preserve">, когнитивно разстройство, </w:t>
            </w:r>
            <w:r w:rsidRPr="008A4BF3">
              <w:rPr>
                <w:i/>
                <w:iCs/>
                <w:szCs w:val="20"/>
              </w:rPr>
              <w:t>умствено увреждане,</w:t>
            </w:r>
            <w:r w:rsidRPr="008A4BF3">
              <w:rPr>
                <w:szCs w:val="20"/>
              </w:rPr>
              <w:t xml:space="preserve"> нарушение на говора, </w:t>
            </w:r>
            <w:proofErr w:type="spellStart"/>
            <w:r w:rsidRPr="008A4BF3">
              <w:rPr>
                <w:szCs w:val="20"/>
              </w:rPr>
              <w:t>хипорефлексия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хиперестезия</w:t>
            </w:r>
            <w:proofErr w:type="spellEnd"/>
            <w:r w:rsidRPr="008A4BF3">
              <w:rPr>
                <w:szCs w:val="20"/>
              </w:rPr>
              <w:t xml:space="preserve">, чувство на парене, </w:t>
            </w:r>
            <w:proofErr w:type="spellStart"/>
            <w:r w:rsidRPr="008A4BF3">
              <w:rPr>
                <w:szCs w:val="20"/>
              </w:rPr>
              <w:t>агеузия</w:t>
            </w:r>
            <w:proofErr w:type="spellEnd"/>
            <w:r w:rsidRPr="008A4BF3">
              <w:rPr>
                <w:szCs w:val="20"/>
              </w:rPr>
              <w:t xml:space="preserve">, </w:t>
            </w:r>
            <w:r w:rsidRPr="008A4BF3">
              <w:rPr>
                <w:i/>
                <w:iCs/>
                <w:szCs w:val="20"/>
              </w:rPr>
              <w:t>общо неразположение</w:t>
            </w:r>
          </w:p>
        </w:tc>
      </w:tr>
      <w:tr w:rsidR="009378E4" w:rsidRPr="008A4BF3" w14:paraId="542FAE86" w14:textId="77777777" w:rsidTr="00A260A8">
        <w:tc>
          <w:tcPr>
            <w:tcW w:w="4755" w:type="dxa"/>
            <w:vAlign w:val="bottom"/>
          </w:tcPr>
          <w:p w14:paraId="503ABF1B" w14:textId="051D710D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78C261D2" w14:textId="5586A44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>Гърчове,</w:t>
            </w:r>
            <w:r w:rsidRPr="008A4BF3">
              <w:rPr>
                <w:szCs w:val="20"/>
              </w:rPr>
              <w:t xml:space="preserve"> </w:t>
            </w:r>
            <w:proofErr w:type="spellStart"/>
            <w:r w:rsidRPr="008A4BF3">
              <w:rPr>
                <w:szCs w:val="20"/>
              </w:rPr>
              <w:t>паросмия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хипокинезия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дисграфия</w:t>
            </w:r>
            <w:proofErr w:type="spellEnd"/>
          </w:p>
        </w:tc>
      </w:tr>
      <w:tr w:rsidR="009378E4" w:rsidRPr="008A4BF3" w14:paraId="6993E7FC" w14:textId="77777777" w:rsidTr="00A260A8">
        <w:tc>
          <w:tcPr>
            <w:tcW w:w="9510" w:type="dxa"/>
            <w:gridSpan w:val="2"/>
          </w:tcPr>
          <w:p w14:paraId="77BB5AB6" w14:textId="33A9367F" w:rsidR="009378E4" w:rsidRPr="008A4BF3" w:rsidRDefault="009F6117" w:rsidP="00B13D5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lang w:eastAsia="bg-BG"/>
              </w:rPr>
            </w:pPr>
            <w:r w:rsidRPr="008A4BF3">
              <w:rPr>
                <w:rFonts w:cs="Arial"/>
                <w:b/>
                <w:bCs/>
              </w:rPr>
              <w:lastRenderedPageBreak/>
              <w:t>Нарушения на очите</w:t>
            </w:r>
          </w:p>
        </w:tc>
      </w:tr>
      <w:tr w:rsidR="009378E4" w:rsidRPr="008A4BF3" w14:paraId="22F142E4" w14:textId="77777777" w:rsidTr="00A260A8">
        <w:tc>
          <w:tcPr>
            <w:tcW w:w="4755" w:type="dxa"/>
            <w:vAlign w:val="bottom"/>
          </w:tcPr>
          <w:p w14:paraId="6A378FBA" w14:textId="11B16F08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7091C2F6" w14:textId="5EFD50D5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Замъглено зрение, </w:t>
            </w:r>
            <w:proofErr w:type="spellStart"/>
            <w:r w:rsidRPr="008A4BF3">
              <w:rPr>
                <w:szCs w:val="20"/>
              </w:rPr>
              <w:t>диплопия</w:t>
            </w:r>
            <w:proofErr w:type="spellEnd"/>
          </w:p>
        </w:tc>
      </w:tr>
      <w:tr w:rsidR="009378E4" w:rsidRPr="008A4BF3" w14:paraId="76A3F360" w14:textId="77777777" w:rsidTr="00A260A8">
        <w:tc>
          <w:tcPr>
            <w:tcW w:w="4755" w:type="dxa"/>
          </w:tcPr>
          <w:p w14:paraId="1C9FF17B" w14:textId="3712EDCC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3EFFCE8E" w14:textId="6C396C98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Загуба на периферно зрение, зрително нарушение, подуване на очите, дефект в зрителното поле, намалена зрителна острота, болка в очите, </w:t>
            </w:r>
            <w:proofErr w:type="spellStart"/>
            <w:r w:rsidRPr="008A4BF3">
              <w:rPr>
                <w:szCs w:val="20"/>
              </w:rPr>
              <w:t>астенопия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фотопсия</w:t>
            </w:r>
            <w:proofErr w:type="spellEnd"/>
            <w:r w:rsidRPr="008A4BF3">
              <w:rPr>
                <w:szCs w:val="20"/>
              </w:rPr>
              <w:t>, сухота в очите, повишено сълзене, очно дразнене</w:t>
            </w:r>
          </w:p>
        </w:tc>
      </w:tr>
      <w:tr w:rsidR="009378E4" w:rsidRPr="008A4BF3" w14:paraId="196C4DC8" w14:textId="77777777" w:rsidTr="00A260A8">
        <w:tc>
          <w:tcPr>
            <w:tcW w:w="4755" w:type="dxa"/>
          </w:tcPr>
          <w:p w14:paraId="0ABCA942" w14:textId="7207F9FA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02B5F45D" w14:textId="370DE847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 xml:space="preserve">Загуба на зрение, </w:t>
            </w:r>
            <w:proofErr w:type="spellStart"/>
            <w:r w:rsidRPr="008A4BF3">
              <w:rPr>
                <w:i/>
                <w:iCs/>
                <w:szCs w:val="20"/>
              </w:rPr>
              <w:t>кератит</w:t>
            </w:r>
            <w:proofErr w:type="spellEnd"/>
            <w:r w:rsidRPr="008A4BF3">
              <w:rPr>
                <w:i/>
                <w:iCs/>
                <w:szCs w:val="20"/>
              </w:rPr>
              <w:t>,</w:t>
            </w:r>
            <w:r w:rsidRPr="008A4BF3">
              <w:rPr>
                <w:szCs w:val="20"/>
              </w:rPr>
              <w:t xml:space="preserve"> </w:t>
            </w:r>
            <w:proofErr w:type="spellStart"/>
            <w:r w:rsidRPr="008A4BF3">
              <w:rPr>
                <w:szCs w:val="20"/>
              </w:rPr>
              <w:t>осцилопсия</w:t>
            </w:r>
            <w:proofErr w:type="spellEnd"/>
            <w:r w:rsidRPr="008A4BF3">
              <w:rPr>
                <w:szCs w:val="20"/>
              </w:rPr>
              <w:t xml:space="preserve">, променено зрително възприятие за дълбочина, </w:t>
            </w:r>
            <w:proofErr w:type="spellStart"/>
            <w:r w:rsidRPr="008A4BF3">
              <w:rPr>
                <w:szCs w:val="20"/>
              </w:rPr>
              <w:t>мидриаза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страбизъм</w:t>
            </w:r>
            <w:proofErr w:type="spellEnd"/>
            <w:r w:rsidRPr="008A4BF3">
              <w:rPr>
                <w:szCs w:val="20"/>
              </w:rPr>
              <w:t>, повишена яркост на образите</w:t>
            </w:r>
          </w:p>
        </w:tc>
      </w:tr>
      <w:tr w:rsidR="009378E4" w:rsidRPr="008A4BF3" w14:paraId="6F91B1EB" w14:textId="77777777" w:rsidTr="00A260A8">
        <w:tc>
          <w:tcPr>
            <w:tcW w:w="9510" w:type="dxa"/>
            <w:gridSpan w:val="2"/>
          </w:tcPr>
          <w:p w14:paraId="30600AF9" w14:textId="492AFD5F" w:rsidR="009378E4" w:rsidRPr="008A4BF3" w:rsidRDefault="009F6117" w:rsidP="00B13D5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lang w:eastAsia="bg-BG"/>
              </w:rPr>
            </w:pPr>
            <w:r w:rsidRPr="008A4BF3">
              <w:rPr>
                <w:rFonts w:cs="Arial"/>
                <w:b/>
                <w:bCs/>
              </w:rPr>
              <w:t>Нарушения на ухото и лабиринта</w:t>
            </w:r>
          </w:p>
        </w:tc>
      </w:tr>
      <w:tr w:rsidR="009378E4" w:rsidRPr="008A4BF3" w14:paraId="555D1173" w14:textId="77777777" w:rsidTr="00A260A8">
        <w:tc>
          <w:tcPr>
            <w:tcW w:w="4755" w:type="dxa"/>
            <w:vAlign w:val="bottom"/>
          </w:tcPr>
          <w:p w14:paraId="43637ECE" w14:textId="1AA7468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5B04772E" w14:textId="1E49B9CF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Вертиго</w:t>
            </w:r>
            <w:proofErr w:type="spellEnd"/>
          </w:p>
        </w:tc>
      </w:tr>
      <w:tr w:rsidR="009378E4" w:rsidRPr="008A4BF3" w14:paraId="0B43340A" w14:textId="77777777" w:rsidTr="00A260A8">
        <w:tc>
          <w:tcPr>
            <w:tcW w:w="4755" w:type="dxa"/>
            <w:vAlign w:val="bottom"/>
          </w:tcPr>
          <w:p w14:paraId="6E735EA3" w14:textId="0D69EAFB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5B0288B3" w14:textId="33685C2D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Хиперакузис</w:t>
            </w:r>
            <w:proofErr w:type="spellEnd"/>
          </w:p>
        </w:tc>
      </w:tr>
      <w:tr w:rsidR="009378E4" w:rsidRPr="008A4BF3" w14:paraId="6DC66849" w14:textId="77777777" w:rsidTr="00A260A8">
        <w:tc>
          <w:tcPr>
            <w:tcW w:w="9510" w:type="dxa"/>
            <w:gridSpan w:val="2"/>
          </w:tcPr>
          <w:p w14:paraId="7BB5B094" w14:textId="77777777" w:rsidR="009F6117" w:rsidRPr="008A4BF3" w:rsidRDefault="009F6117" w:rsidP="009F6117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>Сърдечни нарушения</w:t>
            </w:r>
          </w:p>
          <w:p w14:paraId="4DF5E7B2" w14:textId="77777777" w:rsidR="009378E4" w:rsidRPr="008A4BF3" w:rsidRDefault="009378E4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9378E4" w:rsidRPr="008A4BF3" w14:paraId="07659221" w14:textId="77777777" w:rsidTr="00A260A8">
        <w:tc>
          <w:tcPr>
            <w:tcW w:w="4755" w:type="dxa"/>
          </w:tcPr>
          <w:p w14:paraId="6F9BA371" w14:textId="3C7B0955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40DA07AF" w14:textId="5721D79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Тахикардия, </w:t>
            </w:r>
            <w:proofErr w:type="spellStart"/>
            <w:r w:rsidRPr="008A4BF3">
              <w:rPr>
                <w:szCs w:val="20"/>
              </w:rPr>
              <w:t>атриовентрикуларен</w:t>
            </w:r>
            <w:proofErr w:type="spellEnd"/>
            <w:r w:rsidRPr="008A4BF3">
              <w:rPr>
                <w:szCs w:val="20"/>
              </w:rPr>
              <w:t xml:space="preserve"> блок първа степен, синусова брадикардия, </w:t>
            </w:r>
            <w:r w:rsidRPr="008A4BF3">
              <w:rPr>
                <w:i/>
                <w:iCs/>
                <w:szCs w:val="20"/>
              </w:rPr>
              <w:t>застойна сърдечна недостатъчност</w:t>
            </w:r>
          </w:p>
        </w:tc>
      </w:tr>
      <w:tr w:rsidR="009378E4" w:rsidRPr="008A4BF3" w14:paraId="4B66C26B" w14:textId="77777777" w:rsidTr="00A260A8">
        <w:tc>
          <w:tcPr>
            <w:tcW w:w="4755" w:type="dxa"/>
          </w:tcPr>
          <w:p w14:paraId="5EA3AF63" w14:textId="4858DAA1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488C5A08" w14:textId="13C8285C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>Удължаване на QT-интервала,</w:t>
            </w:r>
            <w:r w:rsidRPr="008A4BF3">
              <w:rPr>
                <w:szCs w:val="20"/>
              </w:rPr>
              <w:t xml:space="preserve"> синусова тахикардия, синусова аритмия</w:t>
            </w:r>
          </w:p>
        </w:tc>
      </w:tr>
      <w:tr w:rsidR="009378E4" w:rsidRPr="008A4BF3" w14:paraId="613C8744" w14:textId="77777777" w:rsidTr="00A260A8">
        <w:tc>
          <w:tcPr>
            <w:tcW w:w="9510" w:type="dxa"/>
            <w:gridSpan w:val="2"/>
          </w:tcPr>
          <w:p w14:paraId="580A9E15" w14:textId="77777777" w:rsidR="00A260A8" w:rsidRPr="008A4BF3" w:rsidRDefault="00A260A8" w:rsidP="00A260A8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>Съдови нарушения</w:t>
            </w:r>
          </w:p>
          <w:p w14:paraId="0B4E987C" w14:textId="77777777" w:rsidR="009378E4" w:rsidRPr="008A4BF3" w:rsidRDefault="009378E4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9378E4" w:rsidRPr="008A4BF3" w14:paraId="600AA077" w14:textId="77777777" w:rsidTr="00A260A8">
        <w:tc>
          <w:tcPr>
            <w:tcW w:w="4755" w:type="dxa"/>
          </w:tcPr>
          <w:p w14:paraId="6A1E1AB6" w14:textId="776D1F4D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1FF39E3F" w14:textId="3056D139" w:rsidR="009378E4" w:rsidRPr="008A4BF3" w:rsidRDefault="009378E4" w:rsidP="009378E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Хипотония, хипертония, горещи вълни, зачервяване на лицето, студени крайници</w:t>
            </w:r>
          </w:p>
        </w:tc>
      </w:tr>
      <w:tr w:rsidR="009378E4" w:rsidRPr="008A4BF3" w14:paraId="2612033C" w14:textId="77777777" w:rsidTr="00A260A8">
        <w:tc>
          <w:tcPr>
            <w:tcW w:w="9510" w:type="dxa"/>
            <w:gridSpan w:val="2"/>
          </w:tcPr>
          <w:p w14:paraId="7ABA91BD" w14:textId="77777777" w:rsidR="00A260A8" w:rsidRPr="008A4BF3" w:rsidRDefault="00A260A8" w:rsidP="00A260A8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 xml:space="preserve">Респираторни, гръдни и </w:t>
            </w:r>
            <w:proofErr w:type="spellStart"/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>медиастинални</w:t>
            </w:r>
            <w:proofErr w:type="spellEnd"/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 xml:space="preserve"> нарушения</w:t>
            </w:r>
          </w:p>
          <w:p w14:paraId="25C8DEA4" w14:textId="77777777" w:rsidR="009378E4" w:rsidRPr="008A4BF3" w:rsidRDefault="009378E4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9F6117" w:rsidRPr="008A4BF3" w14:paraId="708088E4" w14:textId="77777777" w:rsidTr="00A260A8">
        <w:tc>
          <w:tcPr>
            <w:tcW w:w="4755" w:type="dxa"/>
          </w:tcPr>
          <w:p w14:paraId="1C12DD7B" w14:textId="6FC47183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1AC77281" w14:textId="5E43A32D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Диспнея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епистаксис</w:t>
            </w:r>
            <w:proofErr w:type="spellEnd"/>
            <w:r w:rsidRPr="008A4BF3">
              <w:rPr>
                <w:szCs w:val="20"/>
              </w:rPr>
              <w:t>, кашлица, назална конгестия, ринит, хъркане, сухота в носа</w:t>
            </w:r>
          </w:p>
        </w:tc>
      </w:tr>
      <w:tr w:rsidR="009F6117" w:rsidRPr="008A4BF3" w14:paraId="14759C35" w14:textId="77777777" w:rsidTr="00A260A8">
        <w:tc>
          <w:tcPr>
            <w:tcW w:w="4755" w:type="dxa"/>
            <w:vAlign w:val="bottom"/>
          </w:tcPr>
          <w:p w14:paraId="0E107E5B" w14:textId="63D7E776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29CC0F59" w14:textId="6CD78C35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>Белодробен оток,</w:t>
            </w:r>
            <w:r w:rsidRPr="008A4BF3">
              <w:rPr>
                <w:szCs w:val="20"/>
              </w:rPr>
              <w:t xml:space="preserve"> стягане в гърлото</w:t>
            </w:r>
          </w:p>
        </w:tc>
      </w:tr>
      <w:tr w:rsidR="009F6117" w:rsidRPr="008A4BF3" w14:paraId="7E7EA899" w14:textId="77777777" w:rsidTr="00A260A8">
        <w:tc>
          <w:tcPr>
            <w:tcW w:w="4755" w:type="dxa"/>
            <w:vAlign w:val="bottom"/>
          </w:tcPr>
          <w:p w14:paraId="7EF64CAE" w14:textId="242AAE23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С неизвестна честота</w:t>
            </w:r>
          </w:p>
        </w:tc>
        <w:tc>
          <w:tcPr>
            <w:tcW w:w="4755" w:type="dxa"/>
            <w:vAlign w:val="bottom"/>
          </w:tcPr>
          <w:p w14:paraId="49E8AE97" w14:textId="14674950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Потискане на дишането</w:t>
            </w:r>
          </w:p>
        </w:tc>
      </w:tr>
      <w:tr w:rsidR="009378E4" w:rsidRPr="008A4BF3" w14:paraId="5F3BA8EB" w14:textId="77777777" w:rsidTr="00A260A8">
        <w:tc>
          <w:tcPr>
            <w:tcW w:w="9510" w:type="dxa"/>
            <w:gridSpan w:val="2"/>
          </w:tcPr>
          <w:p w14:paraId="7FA58312" w14:textId="77777777" w:rsidR="00A260A8" w:rsidRPr="008A4BF3" w:rsidRDefault="00A260A8" w:rsidP="00A260A8">
            <w:pPr>
              <w:spacing w:line="240" w:lineRule="auto"/>
              <w:rPr>
                <w:rFonts w:eastAsia="Times New Roman" w:cs="Arial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lang w:eastAsia="bg-BG"/>
              </w:rPr>
              <w:t>Стомашно-чревни нарушения</w:t>
            </w:r>
          </w:p>
          <w:p w14:paraId="78DA0696" w14:textId="77777777" w:rsidR="009378E4" w:rsidRPr="008A4BF3" w:rsidRDefault="009378E4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9F6117" w:rsidRPr="008A4BF3" w14:paraId="174A5B78" w14:textId="77777777" w:rsidTr="00A260A8">
        <w:tc>
          <w:tcPr>
            <w:tcW w:w="4755" w:type="dxa"/>
          </w:tcPr>
          <w:p w14:paraId="0ECC261A" w14:textId="26E50C5B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48DE680B" w14:textId="3C17BCF3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Повръщане, </w:t>
            </w:r>
            <w:r w:rsidRPr="008A4BF3">
              <w:rPr>
                <w:i/>
                <w:iCs/>
                <w:szCs w:val="20"/>
              </w:rPr>
              <w:t>гадене,</w:t>
            </w:r>
            <w:r w:rsidRPr="008A4BF3">
              <w:rPr>
                <w:szCs w:val="20"/>
              </w:rPr>
              <w:t xml:space="preserve"> запек, </w:t>
            </w:r>
            <w:r w:rsidRPr="008A4BF3">
              <w:rPr>
                <w:i/>
                <w:iCs/>
                <w:szCs w:val="20"/>
              </w:rPr>
              <w:t>диария,</w:t>
            </w:r>
            <w:r w:rsidRPr="008A4BF3">
              <w:rPr>
                <w:szCs w:val="20"/>
              </w:rPr>
              <w:t xml:space="preserve"> </w:t>
            </w:r>
            <w:proofErr w:type="spellStart"/>
            <w:r w:rsidRPr="008A4BF3">
              <w:rPr>
                <w:szCs w:val="20"/>
              </w:rPr>
              <w:t>метеоризъм</w:t>
            </w:r>
            <w:proofErr w:type="spellEnd"/>
            <w:r w:rsidRPr="008A4BF3">
              <w:rPr>
                <w:szCs w:val="20"/>
              </w:rPr>
              <w:t>, подуване на корема, сухота в устата</w:t>
            </w:r>
          </w:p>
        </w:tc>
      </w:tr>
      <w:tr w:rsidR="009F6117" w:rsidRPr="008A4BF3" w14:paraId="703BE7E7" w14:textId="77777777" w:rsidTr="00A260A8">
        <w:tc>
          <w:tcPr>
            <w:tcW w:w="4755" w:type="dxa"/>
          </w:tcPr>
          <w:p w14:paraId="1AA3CC89" w14:textId="75B89176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18EA5141" w14:textId="44B15E3E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Гастроезофагеален</w:t>
            </w:r>
            <w:proofErr w:type="spellEnd"/>
            <w:r w:rsidRPr="008A4BF3">
              <w:rPr>
                <w:szCs w:val="20"/>
              </w:rPr>
              <w:t xml:space="preserve"> </w:t>
            </w:r>
            <w:proofErr w:type="spellStart"/>
            <w:r w:rsidRPr="008A4BF3">
              <w:rPr>
                <w:szCs w:val="20"/>
              </w:rPr>
              <w:t>рефлукс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хиперсаливация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хипоестезия</w:t>
            </w:r>
            <w:proofErr w:type="spellEnd"/>
            <w:r w:rsidRPr="008A4BF3">
              <w:rPr>
                <w:szCs w:val="20"/>
              </w:rPr>
              <w:t xml:space="preserve"> в устната кухина</w:t>
            </w:r>
          </w:p>
        </w:tc>
      </w:tr>
      <w:tr w:rsidR="009F6117" w:rsidRPr="008A4BF3" w14:paraId="1DDF747C" w14:textId="77777777" w:rsidTr="00A260A8">
        <w:tc>
          <w:tcPr>
            <w:tcW w:w="4755" w:type="dxa"/>
            <w:vAlign w:val="bottom"/>
          </w:tcPr>
          <w:p w14:paraId="453C7916" w14:textId="63794C75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3BFE17AF" w14:textId="3F771FD6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Асцит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панкреатит</w:t>
            </w:r>
            <w:proofErr w:type="spellEnd"/>
            <w:r w:rsidRPr="008A4BF3">
              <w:rPr>
                <w:szCs w:val="20"/>
              </w:rPr>
              <w:t xml:space="preserve">, </w:t>
            </w:r>
            <w:r w:rsidRPr="008A4BF3">
              <w:rPr>
                <w:i/>
                <w:iCs/>
                <w:szCs w:val="20"/>
              </w:rPr>
              <w:t>подуване на езика,</w:t>
            </w:r>
            <w:r w:rsidRPr="008A4BF3">
              <w:rPr>
                <w:szCs w:val="20"/>
              </w:rPr>
              <w:t xml:space="preserve"> </w:t>
            </w:r>
            <w:proofErr w:type="spellStart"/>
            <w:r w:rsidRPr="008A4BF3">
              <w:rPr>
                <w:szCs w:val="20"/>
              </w:rPr>
              <w:t>дисфагия</w:t>
            </w:r>
            <w:proofErr w:type="spellEnd"/>
          </w:p>
        </w:tc>
      </w:tr>
      <w:tr w:rsidR="009378E4" w:rsidRPr="008A4BF3" w14:paraId="7E509417" w14:textId="77777777" w:rsidTr="00A260A8">
        <w:tc>
          <w:tcPr>
            <w:tcW w:w="9510" w:type="dxa"/>
            <w:gridSpan w:val="2"/>
          </w:tcPr>
          <w:p w14:paraId="1624013F" w14:textId="4D854255" w:rsidR="009378E4" w:rsidRPr="008A4BF3" w:rsidRDefault="00A260A8" w:rsidP="00B13D5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lang w:eastAsia="bg-BG"/>
              </w:rPr>
            </w:pPr>
            <w:proofErr w:type="spellStart"/>
            <w:r w:rsidRPr="008A4BF3">
              <w:rPr>
                <w:rFonts w:cs="Arial"/>
                <w:b/>
                <w:bCs/>
              </w:rPr>
              <w:t>Хепатобилиарн</w:t>
            </w:r>
            <w:r w:rsidR="00BE40DE">
              <w:rPr>
                <w:rFonts w:cs="Arial"/>
                <w:b/>
                <w:bCs/>
              </w:rPr>
              <w:t>и</w:t>
            </w:r>
            <w:proofErr w:type="spellEnd"/>
            <w:r w:rsidRPr="008A4BF3">
              <w:rPr>
                <w:rFonts w:cs="Arial"/>
                <w:b/>
                <w:bCs/>
              </w:rPr>
              <w:t xml:space="preserve"> нарушения</w:t>
            </w:r>
          </w:p>
        </w:tc>
      </w:tr>
      <w:tr w:rsidR="009F6117" w:rsidRPr="008A4BF3" w14:paraId="66FDBD2E" w14:textId="77777777" w:rsidTr="00A260A8">
        <w:tc>
          <w:tcPr>
            <w:tcW w:w="4755" w:type="dxa"/>
            <w:vAlign w:val="bottom"/>
          </w:tcPr>
          <w:p w14:paraId="744E3E1F" w14:textId="5F823D1D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78B2308E" w14:textId="226F639E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Повишени стойности на чернодробните ензими*</w:t>
            </w:r>
          </w:p>
        </w:tc>
      </w:tr>
      <w:tr w:rsidR="009F6117" w:rsidRPr="008A4BF3" w14:paraId="5FF29B09" w14:textId="77777777" w:rsidTr="00A260A8">
        <w:tc>
          <w:tcPr>
            <w:tcW w:w="4755" w:type="dxa"/>
            <w:vAlign w:val="bottom"/>
          </w:tcPr>
          <w:p w14:paraId="2F4F88D2" w14:textId="264D7553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1940A47A" w14:textId="049AAB3A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Жълтеница</w:t>
            </w:r>
          </w:p>
        </w:tc>
      </w:tr>
      <w:tr w:rsidR="009F6117" w:rsidRPr="008A4BF3" w14:paraId="3A1C6913" w14:textId="77777777" w:rsidTr="009378E4">
        <w:tc>
          <w:tcPr>
            <w:tcW w:w="4755" w:type="dxa"/>
          </w:tcPr>
          <w:p w14:paraId="79328361" w14:textId="3CA77AC8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Много редки</w:t>
            </w:r>
          </w:p>
        </w:tc>
        <w:tc>
          <w:tcPr>
            <w:tcW w:w="4755" w:type="dxa"/>
          </w:tcPr>
          <w:p w14:paraId="21E71BA6" w14:textId="001E12AB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Чернодробна недостатъчност, хепатит</w:t>
            </w:r>
            <w:r w:rsidRPr="008A4BF3">
              <w:rPr>
                <w:szCs w:val="20"/>
              </w:rPr>
              <w:tab/>
            </w:r>
          </w:p>
        </w:tc>
      </w:tr>
      <w:tr w:rsidR="009378E4" w:rsidRPr="008A4BF3" w14:paraId="05C9BA9E" w14:textId="77777777" w:rsidTr="00A260A8">
        <w:tc>
          <w:tcPr>
            <w:tcW w:w="9510" w:type="dxa"/>
            <w:gridSpan w:val="2"/>
          </w:tcPr>
          <w:p w14:paraId="355E82B9" w14:textId="5AFC19F3" w:rsidR="009378E4" w:rsidRPr="008A4BF3" w:rsidRDefault="00A260A8" w:rsidP="00B13D5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lang w:eastAsia="bg-BG"/>
              </w:rPr>
            </w:pPr>
            <w:r w:rsidRPr="008A4BF3">
              <w:rPr>
                <w:rFonts w:cs="Arial"/>
                <w:b/>
                <w:bCs/>
              </w:rPr>
              <w:t>Нарушения на кожата и подкожната тъкан</w:t>
            </w:r>
          </w:p>
        </w:tc>
      </w:tr>
      <w:tr w:rsidR="009F6117" w:rsidRPr="008A4BF3" w14:paraId="00DE8AF5" w14:textId="77777777" w:rsidTr="00A260A8">
        <w:tc>
          <w:tcPr>
            <w:tcW w:w="4755" w:type="dxa"/>
            <w:vAlign w:val="bottom"/>
          </w:tcPr>
          <w:p w14:paraId="2708F6D9" w14:textId="1C929984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1DF2A632" w14:textId="3F1826C2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Папулозен</w:t>
            </w:r>
            <w:proofErr w:type="spellEnd"/>
            <w:r w:rsidRPr="008A4BF3">
              <w:rPr>
                <w:szCs w:val="20"/>
              </w:rPr>
              <w:t xml:space="preserve"> обрив, уртикария, </w:t>
            </w:r>
            <w:proofErr w:type="spellStart"/>
            <w:r w:rsidRPr="008A4BF3">
              <w:rPr>
                <w:szCs w:val="20"/>
              </w:rPr>
              <w:t>хиперхидроза</w:t>
            </w:r>
            <w:proofErr w:type="spellEnd"/>
            <w:r w:rsidRPr="008A4BF3">
              <w:rPr>
                <w:szCs w:val="20"/>
              </w:rPr>
              <w:t xml:space="preserve">, </w:t>
            </w:r>
            <w:r w:rsidRPr="008A4BF3">
              <w:rPr>
                <w:i/>
                <w:iCs/>
                <w:szCs w:val="20"/>
              </w:rPr>
              <w:t>сърбеж</w:t>
            </w:r>
          </w:p>
        </w:tc>
      </w:tr>
      <w:tr w:rsidR="009F6117" w:rsidRPr="008A4BF3" w14:paraId="046D33F7" w14:textId="77777777" w:rsidTr="00A260A8">
        <w:tc>
          <w:tcPr>
            <w:tcW w:w="4755" w:type="dxa"/>
            <w:vAlign w:val="bottom"/>
          </w:tcPr>
          <w:p w14:paraId="748594B8" w14:textId="1C93B719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lastRenderedPageBreak/>
              <w:t>Редки</w:t>
            </w:r>
          </w:p>
        </w:tc>
        <w:tc>
          <w:tcPr>
            <w:tcW w:w="4755" w:type="dxa"/>
            <w:vAlign w:val="bottom"/>
          </w:tcPr>
          <w:p w14:paraId="43A74E22" w14:textId="69E3ECA8" w:rsidR="009F6117" w:rsidRPr="008A4BF3" w:rsidRDefault="009F6117" w:rsidP="009F61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i/>
                <w:iCs/>
                <w:szCs w:val="20"/>
              </w:rPr>
              <w:t>Синдром на Стивънс-Джонсън,</w:t>
            </w:r>
            <w:r w:rsidRPr="008A4BF3">
              <w:rPr>
                <w:szCs w:val="20"/>
              </w:rPr>
              <w:t xml:space="preserve"> студена пот</w:t>
            </w:r>
          </w:p>
        </w:tc>
      </w:tr>
      <w:tr w:rsidR="00A260A8" w:rsidRPr="008A4BF3" w14:paraId="1E9C55E3" w14:textId="77777777" w:rsidTr="00A260A8">
        <w:tc>
          <w:tcPr>
            <w:tcW w:w="9510" w:type="dxa"/>
            <w:gridSpan w:val="2"/>
          </w:tcPr>
          <w:p w14:paraId="0139B9DF" w14:textId="4C0B45F3" w:rsidR="00A260A8" w:rsidRPr="008A4BF3" w:rsidRDefault="00A260A8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 xml:space="preserve">Нарушения на </w:t>
            </w:r>
            <w:proofErr w:type="spellStart"/>
            <w:r w:rsidRPr="008A4BF3">
              <w:rPr>
                <w:b/>
                <w:bCs/>
                <w:szCs w:val="20"/>
              </w:rPr>
              <w:t>мускуло</w:t>
            </w:r>
            <w:proofErr w:type="spellEnd"/>
            <w:r w:rsidRPr="008A4BF3">
              <w:rPr>
                <w:b/>
                <w:bCs/>
                <w:szCs w:val="20"/>
              </w:rPr>
              <w:t>-скелетната система и съединителната тъкан</w:t>
            </w:r>
          </w:p>
        </w:tc>
      </w:tr>
      <w:tr w:rsidR="00A260A8" w:rsidRPr="008A4BF3" w14:paraId="27BEC7CB" w14:textId="77777777" w:rsidTr="00A260A8">
        <w:tc>
          <w:tcPr>
            <w:tcW w:w="4755" w:type="dxa"/>
          </w:tcPr>
          <w:p w14:paraId="6E97AFF1" w14:textId="05DF8B46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4C45AB05" w14:textId="6BEEB8D2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Мускулни </w:t>
            </w:r>
            <w:proofErr w:type="spellStart"/>
            <w:r w:rsidRPr="008A4BF3">
              <w:rPr>
                <w:szCs w:val="20"/>
              </w:rPr>
              <w:t>крампи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szCs w:val="20"/>
              </w:rPr>
              <w:t>артралгия</w:t>
            </w:r>
            <w:proofErr w:type="spellEnd"/>
            <w:r w:rsidRPr="008A4BF3">
              <w:rPr>
                <w:szCs w:val="20"/>
              </w:rPr>
              <w:t xml:space="preserve">, болки в гърба, болки в крайниците, </w:t>
            </w:r>
            <w:proofErr w:type="spellStart"/>
            <w:r w:rsidRPr="008A4BF3">
              <w:rPr>
                <w:szCs w:val="20"/>
              </w:rPr>
              <w:t>цервикален</w:t>
            </w:r>
            <w:proofErr w:type="spellEnd"/>
            <w:r w:rsidRPr="008A4BF3">
              <w:rPr>
                <w:szCs w:val="20"/>
              </w:rPr>
              <w:t xml:space="preserve"> спазъм</w:t>
            </w:r>
          </w:p>
        </w:tc>
      </w:tr>
      <w:tr w:rsidR="00A260A8" w:rsidRPr="008A4BF3" w14:paraId="49D95FD7" w14:textId="77777777" w:rsidTr="00A260A8">
        <w:tc>
          <w:tcPr>
            <w:tcW w:w="4755" w:type="dxa"/>
          </w:tcPr>
          <w:p w14:paraId="5D037C94" w14:textId="40353990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69CF1EB1" w14:textId="54EE2B18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Подуване на ставите, </w:t>
            </w:r>
            <w:proofErr w:type="spellStart"/>
            <w:r w:rsidRPr="008A4BF3">
              <w:rPr>
                <w:szCs w:val="20"/>
              </w:rPr>
              <w:t>миалгия</w:t>
            </w:r>
            <w:proofErr w:type="spellEnd"/>
            <w:r w:rsidRPr="008A4BF3">
              <w:rPr>
                <w:szCs w:val="20"/>
              </w:rPr>
              <w:t>, мускулни потрепвалия, болки във врата, мускулна скованост</w:t>
            </w:r>
          </w:p>
        </w:tc>
      </w:tr>
      <w:tr w:rsidR="00A260A8" w:rsidRPr="008A4BF3" w14:paraId="71232FD9" w14:textId="77777777" w:rsidTr="00A260A8">
        <w:tc>
          <w:tcPr>
            <w:tcW w:w="4755" w:type="dxa"/>
            <w:vAlign w:val="bottom"/>
          </w:tcPr>
          <w:p w14:paraId="333E9864" w14:textId="4FF81321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036913A4" w14:textId="7B02C9E7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Рабдомиолиза</w:t>
            </w:r>
            <w:proofErr w:type="spellEnd"/>
          </w:p>
        </w:tc>
      </w:tr>
      <w:tr w:rsidR="00A260A8" w:rsidRPr="008A4BF3" w14:paraId="748F568E" w14:textId="77777777" w:rsidTr="00A260A8">
        <w:tc>
          <w:tcPr>
            <w:tcW w:w="9510" w:type="dxa"/>
            <w:gridSpan w:val="2"/>
          </w:tcPr>
          <w:p w14:paraId="697AB3C4" w14:textId="77777777" w:rsidR="00A260A8" w:rsidRPr="008A4BF3" w:rsidRDefault="00A260A8" w:rsidP="00A260A8">
            <w:pPr>
              <w:spacing w:line="240" w:lineRule="auto"/>
              <w:rPr>
                <w:rFonts w:eastAsia="Times New Roman" w:cs="Arial"/>
                <w:sz w:val="28"/>
                <w:szCs w:val="24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szCs w:val="20"/>
                <w:lang w:eastAsia="bg-BG"/>
              </w:rPr>
              <w:t>Нарушения на бъбреците и пикочните пътища</w:t>
            </w:r>
          </w:p>
          <w:p w14:paraId="1C7FF965" w14:textId="44017381" w:rsidR="00A260A8" w:rsidRPr="008A4BF3" w:rsidRDefault="00A260A8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A260A8" w:rsidRPr="008A4BF3" w14:paraId="7D79AA00" w14:textId="77777777" w:rsidTr="00A260A8">
        <w:tc>
          <w:tcPr>
            <w:tcW w:w="4755" w:type="dxa"/>
            <w:vAlign w:val="bottom"/>
          </w:tcPr>
          <w:p w14:paraId="39F86EA3" w14:textId="1F9BE460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0AB9302B" w14:textId="3A950B05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Инконтиненция на урината, </w:t>
            </w:r>
            <w:proofErr w:type="spellStart"/>
            <w:r w:rsidRPr="008A4BF3">
              <w:rPr>
                <w:szCs w:val="20"/>
              </w:rPr>
              <w:t>дизурия</w:t>
            </w:r>
            <w:proofErr w:type="spellEnd"/>
          </w:p>
        </w:tc>
      </w:tr>
      <w:tr w:rsidR="00A260A8" w:rsidRPr="008A4BF3" w14:paraId="6DD1F587" w14:textId="77777777" w:rsidTr="00A260A8">
        <w:tc>
          <w:tcPr>
            <w:tcW w:w="4755" w:type="dxa"/>
            <w:vAlign w:val="bottom"/>
          </w:tcPr>
          <w:p w14:paraId="3F7BADAC" w14:textId="02D497FC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06C27A14" w14:textId="30D757DE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Бъбречна недостатъчност, </w:t>
            </w:r>
            <w:proofErr w:type="spellStart"/>
            <w:r w:rsidRPr="008A4BF3">
              <w:rPr>
                <w:szCs w:val="20"/>
              </w:rPr>
              <w:t>олигурия</w:t>
            </w:r>
            <w:proofErr w:type="spellEnd"/>
            <w:r w:rsidRPr="008A4BF3">
              <w:rPr>
                <w:szCs w:val="20"/>
              </w:rPr>
              <w:t xml:space="preserve">, </w:t>
            </w:r>
            <w:proofErr w:type="spellStart"/>
            <w:r w:rsidRPr="008A4BF3">
              <w:rPr>
                <w:i/>
                <w:iCs/>
                <w:szCs w:val="20"/>
              </w:rPr>
              <w:t>ретенция</w:t>
            </w:r>
            <w:proofErr w:type="spellEnd"/>
            <w:r w:rsidRPr="008A4BF3">
              <w:rPr>
                <w:i/>
                <w:iCs/>
                <w:szCs w:val="20"/>
              </w:rPr>
              <w:t xml:space="preserve"> на урината</w:t>
            </w:r>
          </w:p>
        </w:tc>
      </w:tr>
      <w:tr w:rsidR="00A260A8" w:rsidRPr="008A4BF3" w14:paraId="42150A05" w14:textId="77777777" w:rsidTr="00A260A8">
        <w:tc>
          <w:tcPr>
            <w:tcW w:w="9510" w:type="dxa"/>
            <w:gridSpan w:val="2"/>
          </w:tcPr>
          <w:p w14:paraId="6B269452" w14:textId="2DE31B47" w:rsidR="00A260A8" w:rsidRPr="008A4BF3" w:rsidRDefault="00A260A8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>Нарушения на възпроизводителната система и гърдата</w:t>
            </w:r>
          </w:p>
        </w:tc>
      </w:tr>
      <w:tr w:rsidR="00A260A8" w:rsidRPr="008A4BF3" w14:paraId="319F2A99" w14:textId="77777777" w:rsidTr="00A260A8">
        <w:tc>
          <w:tcPr>
            <w:tcW w:w="4755" w:type="dxa"/>
            <w:vAlign w:val="bottom"/>
          </w:tcPr>
          <w:p w14:paraId="3C2E41F3" w14:textId="76D643B4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55A4E2D7" w14:textId="14F035D9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Еректилна дисфункция</w:t>
            </w:r>
          </w:p>
        </w:tc>
      </w:tr>
      <w:tr w:rsidR="00A260A8" w:rsidRPr="008A4BF3" w14:paraId="7DB683AC" w14:textId="77777777" w:rsidTr="00A260A8">
        <w:tc>
          <w:tcPr>
            <w:tcW w:w="4755" w:type="dxa"/>
          </w:tcPr>
          <w:p w14:paraId="4231F6EA" w14:textId="5E4E7735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11DA45DA" w14:textId="034020FF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Сексуална дисфункция, забавена еякулация, </w:t>
            </w:r>
            <w:proofErr w:type="spellStart"/>
            <w:r w:rsidRPr="008A4BF3">
              <w:rPr>
                <w:szCs w:val="20"/>
              </w:rPr>
              <w:t>дисменорея</w:t>
            </w:r>
            <w:proofErr w:type="spellEnd"/>
            <w:r w:rsidRPr="008A4BF3">
              <w:rPr>
                <w:szCs w:val="20"/>
              </w:rPr>
              <w:t>, болки в гърдата</w:t>
            </w:r>
          </w:p>
        </w:tc>
      </w:tr>
      <w:tr w:rsidR="00A260A8" w:rsidRPr="008A4BF3" w14:paraId="5D5A4FF8" w14:textId="77777777" w:rsidTr="00A260A8">
        <w:tc>
          <w:tcPr>
            <w:tcW w:w="4755" w:type="dxa"/>
          </w:tcPr>
          <w:p w14:paraId="5DE668A0" w14:textId="4E3E89F6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  <w:vAlign w:val="bottom"/>
          </w:tcPr>
          <w:p w14:paraId="6B48A7CD" w14:textId="503F8C78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proofErr w:type="spellStart"/>
            <w:r w:rsidRPr="008A4BF3">
              <w:rPr>
                <w:szCs w:val="20"/>
              </w:rPr>
              <w:t>Аменорея</w:t>
            </w:r>
            <w:proofErr w:type="spellEnd"/>
            <w:r w:rsidRPr="008A4BF3">
              <w:rPr>
                <w:szCs w:val="20"/>
              </w:rPr>
              <w:t xml:space="preserve">, секреция от гърдата, уголемяване на гърдите, </w:t>
            </w:r>
            <w:proofErr w:type="spellStart"/>
            <w:r w:rsidRPr="008A4BF3">
              <w:rPr>
                <w:i/>
                <w:iCs/>
                <w:szCs w:val="20"/>
              </w:rPr>
              <w:t>гинекомастия</w:t>
            </w:r>
            <w:proofErr w:type="spellEnd"/>
          </w:p>
        </w:tc>
      </w:tr>
      <w:tr w:rsidR="00A260A8" w:rsidRPr="008A4BF3" w14:paraId="2700F0CE" w14:textId="77777777" w:rsidTr="00A260A8">
        <w:tc>
          <w:tcPr>
            <w:tcW w:w="9510" w:type="dxa"/>
            <w:gridSpan w:val="2"/>
          </w:tcPr>
          <w:p w14:paraId="521FBF76" w14:textId="3BE70C33" w:rsidR="00A260A8" w:rsidRPr="008A4BF3" w:rsidRDefault="00A260A8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b/>
                <w:bCs/>
                <w:szCs w:val="20"/>
              </w:rPr>
              <w:t>Общи нарушения и ефекти на мястото на приложение</w:t>
            </w:r>
          </w:p>
        </w:tc>
      </w:tr>
      <w:tr w:rsidR="00A260A8" w:rsidRPr="008A4BF3" w14:paraId="73CB8BEC" w14:textId="77777777" w:rsidTr="00A260A8">
        <w:tc>
          <w:tcPr>
            <w:tcW w:w="4755" w:type="dxa"/>
          </w:tcPr>
          <w:p w14:paraId="6A22C7A1" w14:textId="7A53E9E1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53515F8D" w14:textId="004055AD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Периферен оток, едем, нарушена походка, падане, чувство за опиянение, необичайно усещане, умора</w:t>
            </w:r>
          </w:p>
        </w:tc>
      </w:tr>
      <w:tr w:rsidR="00A260A8" w:rsidRPr="008A4BF3" w14:paraId="1CFC074C" w14:textId="77777777" w:rsidTr="00A260A8">
        <w:tc>
          <w:tcPr>
            <w:tcW w:w="4755" w:type="dxa"/>
          </w:tcPr>
          <w:p w14:paraId="62C3C58F" w14:textId="3F2387EB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0B7EDD4A" w14:textId="51221372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Генерализиран оток, </w:t>
            </w:r>
            <w:r w:rsidRPr="008A4BF3">
              <w:rPr>
                <w:i/>
                <w:iCs/>
                <w:szCs w:val="20"/>
              </w:rPr>
              <w:t>оток на лицето, стягане</w:t>
            </w:r>
            <w:r w:rsidRPr="008A4BF3">
              <w:rPr>
                <w:szCs w:val="20"/>
              </w:rPr>
              <w:t xml:space="preserve"> в гърдите, болка, треска, жажда, студени тръпки, </w:t>
            </w:r>
            <w:proofErr w:type="spellStart"/>
            <w:r w:rsidRPr="008A4BF3">
              <w:rPr>
                <w:szCs w:val="20"/>
              </w:rPr>
              <w:t>астения</w:t>
            </w:r>
            <w:proofErr w:type="spellEnd"/>
          </w:p>
        </w:tc>
      </w:tr>
      <w:tr w:rsidR="00A260A8" w:rsidRPr="008A4BF3" w14:paraId="080F0BC1" w14:textId="77777777" w:rsidTr="00A260A8">
        <w:tc>
          <w:tcPr>
            <w:tcW w:w="9510" w:type="dxa"/>
            <w:gridSpan w:val="2"/>
          </w:tcPr>
          <w:p w14:paraId="3C8D52FD" w14:textId="77777777" w:rsidR="00A260A8" w:rsidRPr="008A4BF3" w:rsidRDefault="00A260A8" w:rsidP="00A260A8">
            <w:pPr>
              <w:spacing w:line="240" w:lineRule="auto"/>
              <w:rPr>
                <w:rFonts w:eastAsia="Times New Roman" w:cs="Arial"/>
                <w:sz w:val="28"/>
                <w:szCs w:val="24"/>
                <w:lang w:eastAsia="bg-BG"/>
              </w:rPr>
            </w:pPr>
            <w:r w:rsidRPr="008A4BF3">
              <w:rPr>
                <w:rFonts w:eastAsia="Times New Roman" w:cs="Arial"/>
                <w:b/>
                <w:bCs/>
                <w:color w:val="000000"/>
                <w:szCs w:val="20"/>
                <w:lang w:eastAsia="bg-BG"/>
              </w:rPr>
              <w:t>Изследвания</w:t>
            </w:r>
          </w:p>
          <w:p w14:paraId="156613B7" w14:textId="77777777" w:rsidR="00A260A8" w:rsidRPr="008A4BF3" w:rsidRDefault="00A260A8" w:rsidP="00B13D5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A260A8" w:rsidRPr="008A4BF3" w14:paraId="46EAD35D" w14:textId="77777777" w:rsidTr="00A260A8">
        <w:tc>
          <w:tcPr>
            <w:tcW w:w="4755" w:type="dxa"/>
            <w:vAlign w:val="bottom"/>
          </w:tcPr>
          <w:p w14:paraId="4442AE66" w14:textId="2B50873B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Чести</w:t>
            </w:r>
          </w:p>
        </w:tc>
        <w:tc>
          <w:tcPr>
            <w:tcW w:w="4755" w:type="dxa"/>
            <w:vAlign w:val="bottom"/>
          </w:tcPr>
          <w:p w14:paraId="4D295D3D" w14:textId="4B60AE43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Увеличено тегло</w:t>
            </w:r>
          </w:p>
        </w:tc>
      </w:tr>
      <w:tr w:rsidR="00A260A8" w:rsidRPr="008A4BF3" w14:paraId="496AD00E" w14:textId="77777777" w:rsidTr="00A260A8">
        <w:tc>
          <w:tcPr>
            <w:tcW w:w="4755" w:type="dxa"/>
          </w:tcPr>
          <w:p w14:paraId="39BB6755" w14:textId="570A1349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Нечести</w:t>
            </w:r>
          </w:p>
        </w:tc>
        <w:tc>
          <w:tcPr>
            <w:tcW w:w="4755" w:type="dxa"/>
            <w:vAlign w:val="bottom"/>
          </w:tcPr>
          <w:p w14:paraId="65780BD5" w14:textId="3892B448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 xml:space="preserve">Повишена </w:t>
            </w:r>
            <w:proofErr w:type="spellStart"/>
            <w:r w:rsidRPr="008A4BF3">
              <w:rPr>
                <w:szCs w:val="20"/>
              </w:rPr>
              <w:t>креатинфосфокиназа</w:t>
            </w:r>
            <w:proofErr w:type="spellEnd"/>
            <w:r w:rsidRPr="008A4BF3">
              <w:rPr>
                <w:szCs w:val="20"/>
              </w:rPr>
              <w:t xml:space="preserve"> в кръвта, повишена кръвна захар, намален брой </w:t>
            </w:r>
            <w:proofErr w:type="spellStart"/>
            <w:r w:rsidRPr="008A4BF3">
              <w:rPr>
                <w:szCs w:val="20"/>
              </w:rPr>
              <w:t>тромбоцити</w:t>
            </w:r>
            <w:proofErr w:type="spellEnd"/>
            <w:r w:rsidRPr="008A4BF3">
              <w:rPr>
                <w:szCs w:val="20"/>
              </w:rPr>
              <w:t xml:space="preserve">, повишен серумен </w:t>
            </w:r>
            <w:proofErr w:type="spellStart"/>
            <w:r w:rsidRPr="008A4BF3">
              <w:rPr>
                <w:szCs w:val="20"/>
              </w:rPr>
              <w:t>креатинин</w:t>
            </w:r>
            <w:proofErr w:type="spellEnd"/>
            <w:r w:rsidRPr="008A4BF3">
              <w:rPr>
                <w:szCs w:val="20"/>
              </w:rPr>
              <w:t>, намалено ниво на калий в кръвта, намаляване на теглото</w:t>
            </w:r>
          </w:p>
        </w:tc>
      </w:tr>
      <w:tr w:rsidR="00A260A8" w:rsidRPr="008A4BF3" w14:paraId="11D050BC" w14:textId="77777777" w:rsidTr="009378E4">
        <w:tc>
          <w:tcPr>
            <w:tcW w:w="4755" w:type="dxa"/>
          </w:tcPr>
          <w:p w14:paraId="21BC9596" w14:textId="6F1B030C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Редки</w:t>
            </w:r>
          </w:p>
        </w:tc>
        <w:tc>
          <w:tcPr>
            <w:tcW w:w="4755" w:type="dxa"/>
          </w:tcPr>
          <w:p w14:paraId="5AC34F91" w14:textId="7A50DBD7" w:rsidR="00A260A8" w:rsidRPr="008A4BF3" w:rsidRDefault="00A260A8" w:rsidP="00A260A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bg-BG"/>
              </w:rPr>
            </w:pPr>
            <w:r w:rsidRPr="008A4BF3">
              <w:rPr>
                <w:szCs w:val="20"/>
              </w:rPr>
              <w:t>Намален брой на левкоцитите</w:t>
            </w:r>
          </w:p>
        </w:tc>
      </w:tr>
    </w:tbl>
    <w:p w14:paraId="0F5BCE12" w14:textId="4FFD3F03" w:rsidR="00B13D53" w:rsidRPr="008A4BF3" w:rsidRDefault="00B13D53" w:rsidP="00B13D5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bg-BG"/>
        </w:rPr>
      </w:pPr>
    </w:p>
    <w:p w14:paraId="4E9BF5DA" w14:textId="7777777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 xml:space="preserve">* Повишена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аланин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аминотрансфераза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</w:t>
      </w:r>
      <w:r w:rsidRPr="008A4BF3">
        <w:rPr>
          <w:rFonts w:eastAsia="Times New Roman" w:cs="Arial"/>
          <w:color w:val="000000"/>
        </w:rPr>
        <w:t xml:space="preserve">(ALT) </w:t>
      </w:r>
      <w:r w:rsidRPr="008A4BF3">
        <w:rPr>
          <w:rFonts w:eastAsia="Times New Roman" w:cs="Arial"/>
          <w:color w:val="000000"/>
          <w:lang w:eastAsia="bg-BG"/>
        </w:rPr>
        <w:t xml:space="preserve">и повишена аспартат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аминотрансфераза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</w:t>
      </w:r>
      <w:r w:rsidRPr="008A4BF3">
        <w:rPr>
          <w:rFonts w:eastAsia="Times New Roman" w:cs="Arial"/>
          <w:color w:val="000000"/>
        </w:rPr>
        <w:t>(AST)</w:t>
      </w:r>
    </w:p>
    <w:p w14:paraId="6CD3306C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0338489" w14:textId="0ED06C30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 xml:space="preserve">При някои пациенти са наблюдавани симптоми на отнемане след спиране на краткосрочното и дългосрочното лечение с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. Наблюдавани са следните реакции, показателни за физическа зависимост: безсъние, главоболие, гадене, тревожност, диария, грипен синдром, конвулсии, нервност, депресия, болка, </w:t>
      </w:r>
      <w:proofErr w:type="spellStart"/>
      <w:r w:rsidRPr="008A4BF3">
        <w:rPr>
          <w:rFonts w:eastAsia="Times New Roman" w:cs="Arial"/>
          <w:color w:val="000000"/>
          <w:lang w:eastAsia="bg-BG"/>
        </w:rPr>
        <w:t>хиперхидроза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и замаяност. Пациентът трябва да бъде информиран за това в началото на лечението.</w:t>
      </w:r>
    </w:p>
    <w:p w14:paraId="726BC60A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3705B87" w14:textId="7CF587E8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lastRenderedPageBreak/>
        <w:t xml:space="preserve">Данните показват, че във връзка с прекратяването на продължителното лечение с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, честотата и тежестта на симптомите на отнемане могат да бъдат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дозозависими</w:t>
      </w:r>
      <w:proofErr w:type="spellEnd"/>
      <w:r w:rsidRPr="008A4BF3">
        <w:rPr>
          <w:rFonts w:eastAsia="Times New Roman" w:cs="Arial"/>
          <w:color w:val="000000"/>
          <w:lang w:eastAsia="bg-BG"/>
        </w:rPr>
        <w:t>.</w:t>
      </w:r>
    </w:p>
    <w:p w14:paraId="3787C2F5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8742920" w14:textId="2B996A1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4B5A9DB8" w14:textId="7777777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 xml:space="preserve">Профилът на безопасност на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, наблюдаван при пет педиатрични проучвания при пациенти с парциални пристъпи със или без вторична генерализация (12-седмично изпитване за оценка на ефикасността и безопасността при пациенти на възраст от 4 до 16 години, </w:t>
      </w:r>
      <w:r w:rsidRPr="008A4BF3">
        <w:rPr>
          <w:rFonts w:eastAsia="Times New Roman" w:cs="Arial"/>
          <w:color w:val="000000"/>
        </w:rPr>
        <w:t>n</w:t>
      </w:r>
      <w:r w:rsidRPr="008A4BF3">
        <w:rPr>
          <w:rFonts w:eastAsia="Times New Roman" w:cs="Arial"/>
          <w:color w:val="000000"/>
          <w:lang w:eastAsia="bg-BG"/>
        </w:rPr>
        <w:t xml:space="preserve">=295; 14- дневно изпитване за оценка на ефикасността и безопасността при пациенти на възраст от 1 месец до по-малко от 4 години, </w:t>
      </w:r>
      <w:r w:rsidRPr="008A4BF3">
        <w:rPr>
          <w:rFonts w:eastAsia="Times New Roman" w:cs="Arial"/>
          <w:color w:val="000000"/>
        </w:rPr>
        <w:t>n</w:t>
      </w:r>
      <w:r w:rsidRPr="008A4BF3">
        <w:rPr>
          <w:rFonts w:eastAsia="Times New Roman" w:cs="Arial"/>
          <w:color w:val="000000"/>
          <w:lang w:eastAsia="bg-BG"/>
        </w:rPr>
        <w:t xml:space="preserve">=175; </w:t>
      </w:r>
      <w:proofErr w:type="spellStart"/>
      <w:r w:rsidRPr="008A4BF3">
        <w:rPr>
          <w:rFonts w:eastAsia="Times New Roman" w:cs="Arial"/>
          <w:color w:val="000000"/>
          <w:lang w:eastAsia="bg-BG"/>
        </w:rPr>
        <w:t>фармакокинетично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проучване и проучване на поносимостта, </w:t>
      </w:r>
      <w:r w:rsidRPr="008A4BF3">
        <w:rPr>
          <w:rFonts w:eastAsia="Times New Roman" w:cs="Arial"/>
          <w:color w:val="000000"/>
        </w:rPr>
        <w:t>n</w:t>
      </w:r>
      <w:r w:rsidRPr="008A4BF3">
        <w:rPr>
          <w:rFonts w:eastAsia="Times New Roman" w:cs="Arial"/>
          <w:color w:val="000000"/>
          <w:lang w:eastAsia="bg-BG"/>
        </w:rPr>
        <w:t xml:space="preserve">=65; две 1-годишни отворени изпитвания за проследяване на безопасност </w:t>
      </w:r>
      <w:r w:rsidRPr="008A4BF3">
        <w:rPr>
          <w:rFonts w:eastAsia="Times New Roman" w:cs="Arial"/>
          <w:color w:val="000000"/>
        </w:rPr>
        <w:t>n</w:t>
      </w:r>
      <w:r w:rsidRPr="008A4BF3">
        <w:rPr>
          <w:rFonts w:eastAsia="Times New Roman" w:cs="Arial"/>
          <w:color w:val="000000"/>
          <w:lang w:eastAsia="bg-BG"/>
        </w:rPr>
        <w:t xml:space="preserve">=54и </w:t>
      </w:r>
      <w:r w:rsidRPr="008A4BF3">
        <w:rPr>
          <w:rFonts w:eastAsia="Times New Roman" w:cs="Arial"/>
          <w:color w:val="000000"/>
        </w:rPr>
        <w:t>n</w:t>
      </w:r>
      <w:r w:rsidRPr="008A4BF3">
        <w:rPr>
          <w:rFonts w:eastAsia="Times New Roman" w:cs="Arial"/>
          <w:color w:val="000000"/>
          <w:lang w:eastAsia="bg-BG"/>
        </w:rPr>
        <w:t>=431), е сходен с този, наблюдаван при проучванията при възрастни с епилепсия.</w:t>
      </w:r>
    </w:p>
    <w:p w14:paraId="6E6187AA" w14:textId="5BD9C738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 xml:space="preserve">Най-честите нежелани събития, наблюдавани в 12-седмичното изпитване с лечение с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, са сънливост,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пирексия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, инфекция на горните дихателни пътища, повишен апетит, повишаване на теглото и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назофарингит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. Най-честите нежелани събития, наблюдавани в 14- дневното изпитване на лечение с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, са сънливост, инфекция на горните дихателни пътища и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пирексия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(вж. точки 4.2, 5.1 и 5.2).</w:t>
      </w:r>
    </w:p>
    <w:p w14:paraId="66BC5088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16731F4" w14:textId="6347F3E4" w:rsidR="00B13D53" w:rsidRPr="008A4BF3" w:rsidRDefault="00A260A8" w:rsidP="00A260A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8A4BF3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53CFC0A5" w14:textId="7777777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важно.Това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позволява да продължи наблюдението на съотношението полза/риск за лекарствения </w:t>
      </w:r>
      <w:proofErr w:type="spellStart"/>
      <w:r w:rsidRPr="008A4BF3">
        <w:rPr>
          <w:rFonts w:eastAsia="Times New Roman" w:cs="Arial"/>
          <w:color w:val="000000"/>
          <w:lang w:eastAsia="bg-BG"/>
        </w:rPr>
        <w:t>продукт.От</w:t>
      </w:r>
      <w:proofErr w:type="spellEnd"/>
      <w:r w:rsidRPr="008A4BF3">
        <w:rPr>
          <w:rFonts w:eastAsia="Times New Roman" w:cs="Arial"/>
          <w:color w:val="000000"/>
          <w:lang w:eastAsia="bg-BG"/>
        </w:rPr>
        <w:t xml:space="preserve"> медицинските специалисти се изисква да съобщават всяка подозирана нежелана реакция чрез</w:t>
      </w:r>
    </w:p>
    <w:p w14:paraId="641E66CF" w14:textId="7777777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>Изпълнителна агенция по лекарствата ул. „Дамян Груев” № 8</w:t>
      </w:r>
    </w:p>
    <w:p w14:paraId="7D5B107A" w14:textId="7777777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>1303 София</w:t>
      </w:r>
    </w:p>
    <w:p w14:paraId="29940D23" w14:textId="77777777" w:rsidR="00A260A8" w:rsidRPr="008A4BF3" w:rsidRDefault="00A260A8" w:rsidP="00A260A8">
      <w:pPr>
        <w:spacing w:line="240" w:lineRule="auto"/>
        <w:rPr>
          <w:rFonts w:eastAsia="Times New Roman" w:cs="Arial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>Тел.: +35 928903417</w:t>
      </w:r>
    </w:p>
    <w:p w14:paraId="5A645C26" w14:textId="2FC8B216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8A4BF3">
        <w:rPr>
          <w:rFonts w:eastAsia="Times New Roman" w:cs="Arial"/>
          <w:color w:val="000000"/>
          <w:lang w:eastAsia="bg-BG"/>
        </w:rPr>
        <w:t xml:space="preserve">уебсайт: </w:t>
      </w:r>
      <w:hyperlink r:id="rId5" w:history="1">
        <w:r w:rsidRPr="008A4BF3">
          <w:rPr>
            <w:rFonts w:eastAsia="Times New Roman" w:cs="Arial"/>
            <w:color w:val="000000"/>
          </w:rPr>
          <w:t>www.bda.bg</w:t>
        </w:r>
      </w:hyperlink>
    </w:p>
    <w:p w14:paraId="472E720A" w14:textId="77777777" w:rsidR="00A260A8" w:rsidRPr="008A4BF3" w:rsidRDefault="00A260A8" w:rsidP="00A260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023CE0" w14:textId="34977F57" w:rsidR="00CF77F7" w:rsidRPr="008A4BF3" w:rsidRDefault="002C50EE" w:rsidP="004A448E">
      <w:pPr>
        <w:pStyle w:val="Heading2"/>
      </w:pPr>
      <w:r w:rsidRPr="008A4BF3">
        <w:t>4.9. Предозиране</w:t>
      </w:r>
    </w:p>
    <w:p w14:paraId="32FD0180" w14:textId="2F2F6C02" w:rsidR="00A260A8" w:rsidRPr="008A4BF3" w:rsidRDefault="00A260A8" w:rsidP="00A260A8"/>
    <w:p w14:paraId="4756352D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Най-често съобщаваните нежелани лекарствени реакции от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постмаркетинговия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опит, наблюдавани при предозиране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, включват сънливост, обърканост, възбуда и безпокойство. Получени са съобщения и за припадъци.</w:t>
      </w:r>
    </w:p>
    <w:p w14:paraId="72C922CE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142CAE0" w14:textId="31F08272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Рядко се съобщава за случаи на кома.</w:t>
      </w:r>
    </w:p>
    <w:p w14:paraId="7A125B4F" w14:textId="77777777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</w:p>
    <w:p w14:paraId="494F60C4" w14:textId="29493F69" w:rsidR="00A260A8" w:rsidRPr="008A4BF3" w:rsidRDefault="00A260A8" w:rsidP="00A260A8">
      <w:pPr>
        <w:rPr>
          <w:rFonts w:cs="Arial"/>
          <w:sz w:val="24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Лечението при предозиране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трябва да включва общи поддържащи мерки и може да включва хемодиализа при необходимост (вж. Точка 4.2 - Таблица 1).</w:t>
      </w:r>
    </w:p>
    <w:p w14:paraId="02081B24" w14:textId="1F46E296" w:rsidR="00395555" w:rsidRPr="008A4BF3" w:rsidRDefault="002C50EE" w:rsidP="008A6AF2">
      <w:pPr>
        <w:pStyle w:val="Heading1"/>
      </w:pPr>
      <w:r w:rsidRPr="008A4BF3">
        <w:t>5. ФАРМАКОЛОГИЧНИ СВОЙСТВА</w:t>
      </w:r>
    </w:p>
    <w:p w14:paraId="32B6DE66" w14:textId="14BC27F9" w:rsidR="00CF77F7" w:rsidRPr="008A4BF3" w:rsidRDefault="002C50EE" w:rsidP="004A448E">
      <w:pPr>
        <w:pStyle w:val="Heading2"/>
      </w:pPr>
      <w:r w:rsidRPr="008A4BF3">
        <w:t xml:space="preserve">5.1. </w:t>
      </w:r>
      <w:proofErr w:type="spellStart"/>
      <w:r w:rsidRPr="008A4BF3">
        <w:t>Фармакодинамични</w:t>
      </w:r>
      <w:proofErr w:type="spellEnd"/>
      <w:r w:rsidRPr="008A4BF3">
        <w:t xml:space="preserve"> свойства</w:t>
      </w:r>
    </w:p>
    <w:p w14:paraId="1156263F" w14:textId="3105E780" w:rsidR="00A260A8" w:rsidRPr="008A4BF3" w:rsidRDefault="00A260A8" w:rsidP="00A260A8"/>
    <w:p w14:paraId="48E04990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Фармакотерапевтична група: антиепилептици, други антиепилептици, АТС код: </w:t>
      </w:r>
      <w:r w:rsidRPr="008A4BF3">
        <w:rPr>
          <w:rFonts w:eastAsia="Times New Roman" w:cs="Arial"/>
          <w:color w:val="000000"/>
          <w:szCs w:val="20"/>
        </w:rPr>
        <w:t>N03AX16</w:t>
      </w:r>
    </w:p>
    <w:p w14:paraId="0FE2680F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5F7303A2" w14:textId="596EEF62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Активното вещество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аналог на гама-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аминомаслената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киселина [(</w:t>
      </w:r>
      <w:r w:rsidRPr="008A4BF3">
        <w:rPr>
          <w:rFonts w:eastAsia="Times New Roman" w:cs="Arial"/>
          <w:color w:val="000000"/>
          <w:szCs w:val="20"/>
        </w:rPr>
        <w:t>S</w:t>
      </w:r>
      <w:r w:rsidRPr="008A4BF3">
        <w:rPr>
          <w:rFonts w:eastAsia="Times New Roman" w:cs="Arial"/>
          <w:color w:val="000000"/>
          <w:szCs w:val="20"/>
          <w:lang w:eastAsia="bg-BG"/>
        </w:rPr>
        <w:t>)-3-(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аминоетил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)-5-метилхексаноева киселина].</w:t>
      </w:r>
    </w:p>
    <w:p w14:paraId="5EBFABA6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A5F5463" w14:textId="7BBEB8AC" w:rsidR="00A260A8" w:rsidRPr="008A4BF3" w:rsidRDefault="00A260A8" w:rsidP="009436FF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lastRenderedPageBreak/>
        <w:t>Механизъм на действие</w:t>
      </w:r>
    </w:p>
    <w:p w14:paraId="16354172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свързва с допълнителната субединица (а</w:t>
      </w:r>
      <w:r w:rsidRPr="008A4BF3">
        <w:rPr>
          <w:rFonts w:eastAsia="Times New Roman" w:cs="Arial"/>
          <w:color w:val="000000"/>
          <w:szCs w:val="20"/>
          <w:vertAlign w:val="subscript"/>
          <w:lang w:eastAsia="bg-BG"/>
        </w:rPr>
        <w:t>2</w:t>
      </w:r>
      <w:r w:rsidRPr="008A4BF3">
        <w:rPr>
          <w:rFonts w:eastAsia="Times New Roman" w:cs="Arial"/>
          <w:color w:val="000000"/>
          <w:szCs w:val="20"/>
          <w:lang w:eastAsia="bg-BG"/>
        </w:rPr>
        <w:t>- δ протеин) на волтаж-зависимите калциеви канали в централната нервна система.</w:t>
      </w:r>
    </w:p>
    <w:p w14:paraId="3C54F6F7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41C5FF9" w14:textId="29870845" w:rsidR="00A260A8" w:rsidRPr="008A4BF3" w:rsidRDefault="00A260A8" w:rsidP="009436FF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Клинична ефикасност и безопасност</w:t>
      </w:r>
    </w:p>
    <w:p w14:paraId="0D55A426" w14:textId="77777777" w:rsidR="00A260A8" w:rsidRPr="008A4BF3" w:rsidRDefault="00A260A8" w:rsidP="00A260A8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1F9A97B8" w14:textId="7A28E13C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Невропатна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 xml:space="preserve"> болка</w:t>
      </w:r>
    </w:p>
    <w:p w14:paraId="08BB3388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Ефикасността е доказана в изпитвания при диабетна невропатия,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постхерпетична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невралгия и увреждане на гръбначния стълб. Ефикасността не е проучвана при други модели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болка.</w:t>
      </w:r>
    </w:p>
    <w:p w14:paraId="02870290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10B4990A" w14:textId="2293288A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проучен в 10 контролирани клинични изпитвания с продължителност до 13 седмици с двукратен дневен прием </w:t>
      </w:r>
      <w:r w:rsidRPr="008A4BF3">
        <w:rPr>
          <w:rFonts w:eastAsia="Times New Roman" w:cs="Arial"/>
          <w:color w:val="000000"/>
          <w:szCs w:val="20"/>
        </w:rPr>
        <w:t xml:space="preserve">(BID)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и до 8 седмици с трикратен дневен прием </w:t>
      </w:r>
      <w:r w:rsidRPr="008A4BF3">
        <w:rPr>
          <w:rFonts w:eastAsia="Times New Roman" w:cs="Arial"/>
          <w:color w:val="000000"/>
          <w:szCs w:val="20"/>
        </w:rPr>
        <w:t xml:space="preserve">(TID).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Като цяло, профилите на ефикасност и безопасност при схемите на прилагане с </w:t>
      </w:r>
      <w:r w:rsidRPr="008A4BF3">
        <w:rPr>
          <w:rFonts w:eastAsia="Times New Roman" w:cs="Arial"/>
          <w:color w:val="000000"/>
          <w:szCs w:val="20"/>
        </w:rPr>
        <w:t xml:space="preserve">BID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и </w:t>
      </w:r>
      <w:r w:rsidRPr="008A4BF3">
        <w:rPr>
          <w:rFonts w:eastAsia="Times New Roman" w:cs="Arial"/>
          <w:color w:val="000000"/>
          <w:szCs w:val="20"/>
        </w:rPr>
        <w:t xml:space="preserve">TID, </w:t>
      </w:r>
      <w:r w:rsidRPr="008A4BF3">
        <w:rPr>
          <w:rFonts w:eastAsia="Times New Roman" w:cs="Arial"/>
          <w:color w:val="000000"/>
          <w:szCs w:val="20"/>
          <w:lang w:eastAsia="bg-BG"/>
        </w:rPr>
        <w:t>са сходни.</w:t>
      </w:r>
    </w:p>
    <w:p w14:paraId="3CA1693B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B5FC3AF" w14:textId="6F2A162B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клинични изпитвания с продължителност до 12 седмици както за периферна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болка, така и за такава с централен произход, отслабване на болката е наблюдавано да края на първата седмица и се е запазило през целия период на лечение.</w:t>
      </w:r>
    </w:p>
    <w:p w14:paraId="3535E1F4" w14:textId="77777777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</w:p>
    <w:p w14:paraId="4A8EDE35" w14:textId="174ECEC8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контролирани клинични изпитвания при периферна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 35%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 18% от пациентите на плацебо са имали 50% подобрение в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скора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оценка на болката. Сред пациентите без проява на сънливост такова подобрение е наблюдавано при 33% от лекуваните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при 18% от пациентите на плацебо. При пациенти с</w:t>
      </w: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прояви на сънливост, терапевтичният отговор е 48% в групата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16%%</w:t>
      </w:r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в плацебо- групата.</w:t>
      </w:r>
    </w:p>
    <w:p w14:paraId="455F9A09" w14:textId="44D346F2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</w:p>
    <w:p w14:paraId="5861BFA5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контролирано клинично изпитване при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невропатна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болка от централен произход 22%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 7% от пациентите на плацебо са имали 50% подобрение в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скора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оценка на болката.</w:t>
      </w:r>
    </w:p>
    <w:p w14:paraId="02A421A7" w14:textId="77777777" w:rsidR="00A260A8" w:rsidRPr="008A4BF3" w:rsidRDefault="00A260A8" w:rsidP="00A260A8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3901FE0D" w14:textId="0E4B87C4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Епилепсия</w:t>
      </w:r>
    </w:p>
    <w:p w14:paraId="1C7BFBC9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Адювантна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терапия</w:t>
      </w:r>
    </w:p>
    <w:p w14:paraId="5B77174C" w14:textId="7777777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проучен в 3 контролирани клинични изпитвания с продължителност 12 седмици както при прием два пъти дневно </w:t>
      </w:r>
      <w:r w:rsidRPr="008A4BF3">
        <w:rPr>
          <w:rFonts w:eastAsia="Times New Roman" w:cs="Arial"/>
          <w:color w:val="000000"/>
          <w:szCs w:val="20"/>
        </w:rPr>
        <w:t xml:space="preserve">(BID),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така и при прием три пъти дневно </w:t>
      </w:r>
      <w:r w:rsidRPr="008A4BF3">
        <w:rPr>
          <w:rFonts w:eastAsia="Times New Roman" w:cs="Arial"/>
          <w:color w:val="000000"/>
          <w:szCs w:val="20"/>
        </w:rPr>
        <w:t xml:space="preserve">(TID).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Като цяло, профилите на безопасност и ефикасност при схемите на прилагане с </w:t>
      </w:r>
      <w:r w:rsidRPr="008A4BF3">
        <w:rPr>
          <w:rFonts w:eastAsia="Times New Roman" w:cs="Arial"/>
          <w:color w:val="000000"/>
          <w:szCs w:val="20"/>
        </w:rPr>
        <w:t xml:space="preserve">BID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и </w:t>
      </w:r>
      <w:r w:rsidRPr="008A4BF3">
        <w:rPr>
          <w:rFonts w:eastAsia="Times New Roman" w:cs="Arial"/>
          <w:color w:val="000000"/>
          <w:szCs w:val="20"/>
        </w:rPr>
        <w:t xml:space="preserve">TID </w:t>
      </w:r>
      <w:r w:rsidRPr="008A4BF3">
        <w:rPr>
          <w:rFonts w:eastAsia="Times New Roman" w:cs="Arial"/>
          <w:color w:val="000000"/>
          <w:szCs w:val="20"/>
          <w:lang w:eastAsia="bg-BG"/>
        </w:rPr>
        <w:t>са сходни.</w:t>
      </w:r>
    </w:p>
    <w:p w14:paraId="71FF3CB2" w14:textId="77777777" w:rsidR="00A260A8" w:rsidRPr="008A4BF3" w:rsidRDefault="00A260A8" w:rsidP="00A260A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2C5B12E" w14:textId="6DABC707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Намаляване на честотата на припадъците е наблюдавано до края на първата седмица.</w:t>
      </w:r>
    </w:p>
    <w:p w14:paraId="0FC37A8E" w14:textId="77777777" w:rsidR="00A260A8" w:rsidRPr="008A4BF3" w:rsidRDefault="00A260A8" w:rsidP="00A260A8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752ADAC5" w14:textId="67C871D2" w:rsidR="00A260A8" w:rsidRPr="008A4BF3" w:rsidRDefault="00A260A8" w:rsidP="00A260A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Педиатрична популация</w:t>
      </w:r>
    </w:p>
    <w:p w14:paraId="7855993D" w14:textId="1BA17866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Ефикасността и безопасността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адювантна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терапия за епилепсия при деца под 12-годишна възраст и юноши не са установени. Нежеланите реакции, наблюдавани при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фармакокинетично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проучване и проучване на поносимостта с участието на пациенти от 3 месеца до 16-годишна възраст (п=65) с парциални пристъпи, са подобни на тези, наблюдавани при възрастни. Резултатите от 12-седмично, плацебо-контролирано изпитване при 295 педиатрични пациенти на възраст от 4 до 16 години и 14-дневно плацебо контролирано изпитване при 175 педиатрични пациенти на възраст от 1 месец до по-малко от 4 години, проведени с цел оценка на ефикасността и безопасността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lastRenderedPageBreak/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адювантна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терапия за лечение на парциални пристъпи, и две 1-годишни отворени проучвания за безопасност при съответно 54 и 431 педиатрични пациенти от 3-месечна до 16-годишна възраст с епилепсия показват, че нежеланите реакции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фебрилитет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инфекции на горните дихателни пътища се наблюдават по-често, отколкото в проучванията при възрастни (вж. точки 4.2,4.8 и 5.2).</w:t>
      </w:r>
    </w:p>
    <w:p w14:paraId="1C94980E" w14:textId="0B9A1101" w:rsidR="00082D78" w:rsidRPr="008A4BF3" w:rsidRDefault="00082D78" w:rsidP="00A260A8">
      <w:pPr>
        <w:rPr>
          <w:rFonts w:eastAsia="Times New Roman" w:cs="Arial"/>
          <w:color w:val="000000"/>
          <w:szCs w:val="20"/>
          <w:lang w:eastAsia="bg-BG"/>
        </w:rPr>
      </w:pPr>
    </w:p>
    <w:p w14:paraId="1522BE82" w14:textId="77777777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12-седмично плацебо-контролирано проучване педиатричните пациенти (на възраст от 4 до 16 години) са разпределени да получават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2,5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(максимално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/ден),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</w:t>
      </w:r>
      <w:r w:rsidRPr="008A4BF3">
        <w:rPr>
          <w:rFonts w:eastAsia="Times New Roman" w:cs="Arial"/>
          <w:color w:val="000000"/>
          <w:szCs w:val="20"/>
        </w:rPr>
        <w:t>IO/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(максимално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/ден) или плацебо. Процентът на участниците с поне 50% намаление на парциалните пристъпи, в сравнение с изходно ниво, е 40,6% от участниците,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10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(р=0,0068 в сравнение с плацебо), 29,1% от участниците,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2,5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/ден (р=0,2600 в сравнение с плацебо) и 22,6% от участниците, получаващи плацебо.</w:t>
      </w:r>
    </w:p>
    <w:p w14:paraId="72FAD713" w14:textId="77777777" w:rsidR="00082D78" w:rsidRPr="008A4BF3" w:rsidRDefault="00082D78" w:rsidP="00082D7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70F32DE2" w14:textId="6629F723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14-дневно плацебо-контролирано изпитване педиатрични пациенти (на възраст от 1 месец до по-малко от 4 години) са разпределени да получават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7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14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или плацебо. Медианата на честота на пристъпите за 24 часа на изходното ниво и при последното посещение е съответно 4,7 и 3,8 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7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/ден, 5,4 и 1,4 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14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и 2,9 и 2,3 за плацебо.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14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значително намалява </w:t>
      </w:r>
      <w:proofErr w:type="spellStart"/>
      <w:r w:rsidRPr="008A4BF3">
        <w:rPr>
          <w:rFonts w:eastAsia="Times New Roman" w:cs="Arial"/>
          <w:color w:val="000000"/>
          <w:szCs w:val="20"/>
        </w:rPr>
        <w:t>log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-трансформираната честота на парциални пристъпи спрямо плацебо (р=0,0223); при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7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/ден не се наблюдава подобрение спрямо плацебо.</w:t>
      </w:r>
    </w:p>
    <w:p w14:paraId="26D3EE4E" w14:textId="77777777" w:rsidR="00082D78" w:rsidRPr="008A4BF3" w:rsidRDefault="00082D78" w:rsidP="00082D78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3C341AD5" w14:textId="1C19DA2F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Монотерапия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(</w:t>
      </w:r>
      <w:proofErr w:type="spellStart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>новодиагностицирани</w:t>
      </w:r>
      <w:proofErr w:type="spellEnd"/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пациенти)</w:t>
      </w:r>
    </w:p>
    <w:p w14:paraId="35F62E3A" w14:textId="77777777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проучен в едно контролирано клинично изпитване с продължителност 56 седмици при прием два пъти дневно </w:t>
      </w:r>
      <w:r w:rsidRPr="008A4BF3">
        <w:rPr>
          <w:rFonts w:eastAsia="Times New Roman" w:cs="Arial"/>
          <w:color w:val="000000"/>
          <w:szCs w:val="20"/>
        </w:rPr>
        <w:t xml:space="preserve">(BID).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е показал по-малка ефективност спрямо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ламотригин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 отношение на крайната точка - 6 месеца без пристъпи.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ламотригин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са сравними по отношение на безопасност и добра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поносимосг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18C71BDD" w14:textId="77777777" w:rsidR="00082D78" w:rsidRPr="008A4BF3" w:rsidRDefault="00082D78" w:rsidP="00082D78">
      <w:pPr>
        <w:spacing w:line="240" w:lineRule="auto"/>
        <w:rPr>
          <w:rFonts w:eastAsia="Times New Roman" w:cs="Arial"/>
          <w:i/>
          <w:iCs/>
          <w:color w:val="000000"/>
          <w:szCs w:val="20"/>
          <w:u w:val="single"/>
          <w:lang w:eastAsia="bg-BG"/>
        </w:rPr>
      </w:pPr>
    </w:p>
    <w:p w14:paraId="40584089" w14:textId="2B69E6C7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i/>
          <w:iCs/>
          <w:color w:val="000000"/>
          <w:szCs w:val="20"/>
          <w:u w:val="single"/>
          <w:lang w:eastAsia="bg-BG"/>
        </w:rPr>
        <w:t>Генерализирано тревожно разстройство</w:t>
      </w:r>
    </w:p>
    <w:p w14:paraId="14B09CF7" w14:textId="77777777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проучен в 6 контролирани изпитвания с продължителност 4-6 седмици, едно проучване при пациенти в старческа възраст с продължителност 8 седмици и едно дългосрочно проучване за превенция на рецидив с двойносляпа фаза на превенция на рецидива с продължителност от 6 месеца.</w:t>
      </w:r>
    </w:p>
    <w:p w14:paraId="626B2FBD" w14:textId="77777777" w:rsidR="00082D78" w:rsidRPr="008A4BF3" w:rsidRDefault="00082D78" w:rsidP="00082D78">
      <w:pPr>
        <w:rPr>
          <w:rFonts w:eastAsia="Times New Roman" w:cs="Arial"/>
          <w:color w:val="000000"/>
          <w:szCs w:val="20"/>
          <w:lang w:eastAsia="bg-BG"/>
        </w:rPr>
      </w:pPr>
    </w:p>
    <w:p w14:paraId="308B0484" w14:textId="2984B046" w:rsidR="00082D78" w:rsidRPr="008A4BF3" w:rsidRDefault="00082D78" w:rsidP="00082D78">
      <w:pPr>
        <w:rPr>
          <w:rFonts w:eastAsia="Times New Roman" w:cs="Arial"/>
          <w:color w:val="000000"/>
          <w:sz w:val="24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Облекчение на симптомите на </w:t>
      </w:r>
      <w:r w:rsidRPr="008A4BF3">
        <w:rPr>
          <w:rFonts w:eastAsia="Times New Roman" w:cs="Arial"/>
          <w:color w:val="000000"/>
          <w:szCs w:val="20"/>
        </w:rPr>
        <w:t xml:space="preserve">GAD,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измерено чрез скалата на </w:t>
      </w:r>
      <w:proofErr w:type="spellStart"/>
      <w:r w:rsidRPr="008A4BF3">
        <w:rPr>
          <w:rFonts w:eastAsia="Times New Roman" w:cs="Arial"/>
          <w:color w:val="000000"/>
          <w:szCs w:val="20"/>
        </w:rPr>
        <w:t>Hamilton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за оценка на тревожността (НАМ-А) е наблюдавано до края на първата седмица.</w:t>
      </w:r>
    </w:p>
    <w:p w14:paraId="2304BADF" w14:textId="6B7B8B43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</w:p>
    <w:p w14:paraId="1D2BECBD" w14:textId="77777777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контролирани клинични изпитвания (с продължителност 4-8 седмици), 52%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 38% от пациентите на плацебо са имали поне 50% подобрение в общия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скор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 НАМ-А от изходното ниво до крайната точка.</w:t>
      </w:r>
    </w:p>
    <w:p w14:paraId="4A503055" w14:textId="77777777" w:rsidR="00082D78" w:rsidRPr="008A4BF3" w:rsidRDefault="00082D78" w:rsidP="00082D78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925DA7D" w14:textId="1B4F3FD3" w:rsidR="00082D78" w:rsidRPr="008A4BF3" w:rsidRDefault="00082D78" w:rsidP="00082D78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контролирани изпитвания по-голяма част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, са съобщили за замъглено зрение, в сравнение с пациентите, лекувани с плацебо, което е отзвучало в повечето случаи при продължително прилагане.</w:t>
      </w:r>
    </w:p>
    <w:p w14:paraId="7D9A6BDA" w14:textId="7C3BC05A" w:rsidR="00082D78" w:rsidRPr="008A4BF3" w:rsidRDefault="00082D78" w:rsidP="00082D78">
      <w:pPr>
        <w:rPr>
          <w:rFonts w:eastAsia="Times New Roman" w:cs="Arial"/>
          <w:color w:val="000000"/>
          <w:sz w:val="24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Проведени са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офталмологични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изследвания (включително изследване на зрителна острота, стандартно изследване на зрителното поле и разширен преглед на очните дъна) при повече от 3 600 пациенти в рамките на контролирани клинични изпитвания. При тези пациенти зрителната острота е намалена при 6,5%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lastRenderedPageBreak/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 при 4,8% от пациентите, лекувани с плацебо. Промени в зрителното поле са установени при 12,4%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и при 11,7% от лекуваните с плацебо пациенти. Промени в очните дъна са наблюдавани при 1,7% от пациентите, лекувани с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, и при 2,1% от лекуваните с плацебо пациенти.</w:t>
      </w:r>
    </w:p>
    <w:p w14:paraId="19C34A64" w14:textId="77777777" w:rsidR="00A260A8" w:rsidRPr="008A4BF3" w:rsidRDefault="00A260A8" w:rsidP="00A260A8">
      <w:pPr>
        <w:rPr>
          <w:rFonts w:eastAsia="Times New Roman" w:cs="Arial"/>
          <w:color w:val="000000"/>
          <w:szCs w:val="20"/>
          <w:lang w:eastAsia="bg-BG"/>
        </w:rPr>
      </w:pPr>
    </w:p>
    <w:p w14:paraId="7C00C6B0" w14:textId="77777777" w:rsidR="00A260A8" w:rsidRPr="008A4BF3" w:rsidRDefault="00A260A8" w:rsidP="00A260A8"/>
    <w:p w14:paraId="35F84B81" w14:textId="24F2A3E0" w:rsidR="00CF77F7" w:rsidRPr="008A4BF3" w:rsidRDefault="002C50EE" w:rsidP="004A448E">
      <w:pPr>
        <w:pStyle w:val="Heading2"/>
      </w:pPr>
      <w:r w:rsidRPr="008A4BF3">
        <w:t>5.2. Фармакокинетични свойства</w:t>
      </w:r>
    </w:p>
    <w:p w14:paraId="0B858A8A" w14:textId="1D209286" w:rsidR="0005629E" w:rsidRPr="008A4BF3" w:rsidRDefault="0005629E" w:rsidP="0005629E"/>
    <w:p w14:paraId="36F30B0A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Фармакокинетичните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показатели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в стационарно състояние са сходни при здрави доброволци, при пациенти с епилепсия, получаващи антиепилептични лекарства, и при пациенти с хронична болка.</w:t>
      </w:r>
    </w:p>
    <w:p w14:paraId="0F81C392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24FB55C7" w14:textId="6642108C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Абсорбция</w:t>
      </w:r>
    </w:p>
    <w:p w14:paraId="59167049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резорбира бързо при приложение на гладно, като максимални плазмени концентрации се достигат в рамките на 1 час както след еднократна, така и след многократни дози. Оралната бионаличност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изчислява на ≥ 90% и не зависи от дозата. След многократно приложение равновесно състояние се достига в рамките на 24 до 48 часа.</w:t>
      </w:r>
    </w:p>
    <w:p w14:paraId="4CDE74D0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Скоростта на абсорбция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намалява при прием с храна, което води до намаляване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С</w:t>
      </w:r>
      <w:r w:rsidRPr="008A4BF3">
        <w:rPr>
          <w:rFonts w:eastAsia="Times New Roman" w:cs="Arial"/>
          <w:color w:val="000000"/>
          <w:szCs w:val="20"/>
          <w:vertAlign w:val="subscript"/>
        </w:rPr>
        <w:t>max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 около 25-30% и забавяне на </w:t>
      </w:r>
      <w:proofErr w:type="spellStart"/>
      <w:r w:rsidRPr="008A4BF3">
        <w:rPr>
          <w:rFonts w:eastAsia="Times New Roman" w:cs="Arial"/>
          <w:color w:val="000000"/>
          <w:szCs w:val="20"/>
        </w:rPr>
        <w:t>t</w:t>
      </w:r>
      <w:r w:rsidRPr="008A4BF3">
        <w:rPr>
          <w:rFonts w:eastAsia="Times New Roman" w:cs="Arial"/>
          <w:color w:val="000000"/>
          <w:szCs w:val="20"/>
          <w:vertAlign w:val="subscript"/>
        </w:rPr>
        <w:t>max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до приблизително 2,5 часа. Въпреки това приемът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 храна няма клинично значим ефект върху степента на абсорбция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13166F60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D3436AB" w14:textId="0038836C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Разпределение</w:t>
      </w:r>
    </w:p>
    <w:p w14:paraId="2721EF33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Предклинични проучвания показват, че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преминава кръвно-мозъчната бариера при мишки, плъхове и маймуни. Доказано е, че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преминава през плацентата при плъхове и се открива в млякото на кърмещи плъхове. При хората явният обем на разпределение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след перорален прием е приблизително 0,56 </w:t>
      </w:r>
      <w:r w:rsidRPr="008A4BF3">
        <w:rPr>
          <w:rFonts w:eastAsia="Times New Roman" w:cs="Arial"/>
          <w:color w:val="000000"/>
          <w:szCs w:val="20"/>
        </w:rPr>
        <w:t>l/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се свързва с плазмените протеини.</w:t>
      </w:r>
    </w:p>
    <w:p w14:paraId="552A743A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5BE25064" w14:textId="5EBB5EA3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Биотрансформация</w:t>
      </w:r>
    </w:p>
    <w:p w14:paraId="1432F681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претърпява незначителен метаболизъм при хора. След прием на доза радиоактивно белязан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приблизително 98% от радиоактивността, установена в урината, е непроменен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</w:t>
      </w:r>
      <w:r w:rsidRPr="008A4BF3">
        <w:rPr>
          <w:rFonts w:eastAsia="Times New Roman" w:cs="Arial"/>
          <w:color w:val="000000"/>
          <w:szCs w:val="20"/>
        </w:rPr>
        <w:t>N</w:t>
      </w:r>
      <w:r w:rsidRPr="008A4BF3">
        <w:rPr>
          <w:rFonts w:eastAsia="Times New Roman" w:cs="Arial"/>
          <w:color w:val="000000"/>
          <w:szCs w:val="20"/>
          <w:lang w:eastAsia="bg-BG"/>
        </w:rPr>
        <w:t>-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метилираният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дериват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основният метаболит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откриван в урината, представлява 0,9% от дозата. В предклинични проучвания не са установени данни 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рацемизация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между </w:t>
      </w:r>
      <w:r w:rsidRPr="008A4BF3">
        <w:rPr>
          <w:rFonts w:eastAsia="Times New Roman" w:cs="Arial"/>
          <w:color w:val="000000"/>
          <w:szCs w:val="20"/>
        </w:rPr>
        <w:t>S</w:t>
      </w:r>
      <w:r w:rsidRPr="008A4BF3">
        <w:rPr>
          <w:rFonts w:eastAsia="Times New Roman" w:cs="Arial"/>
          <w:color w:val="000000"/>
          <w:szCs w:val="20"/>
          <w:lang w:eastAsia="bg-BG"/>
        </w:rPr>
        <w:t>-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енантиомер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r w:rsidRPr="008A4BF3">
        <w:rPr>
          <w:rFonts w:eastAsia="Times New Roman" w:cs="Arial"/>
          <w:color w:val="000000"/>
          <w:szCs w:val="20"/>
        </w:rPr>
        <w:t>R</w:t>
      </w:r>
      <w:r w:rsidRPr="008A4BF3">
        <w:rPr>
          <w:rFonts w:eastAsia="Times New Roman" w:cs="Arial"/>
          <w:color w:val="000000"/>
          <w:szCs w:val="20"/>
          <w:lang w:eastAsia="bg-BG"/>
        </w:rPr>
        <w:t>-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енантиомер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68F055DD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227751B" w14:textId="58B9BF64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Елиминиране</w:t>
      </w:r>
    </w:p>
    <w:p w14:paraId="3EC42FCD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елиминира от системното кръвообращение главно чрез бъбречна екскреция в непроменен вид.</w:t>
      </w:r>
    </w:p>
    <w:p w14:paraId="076A9EA6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Средният елиминационен полуживот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6,3 часа. Плазменият и бъбречният клирънс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са право пропорционални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клирьнс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(вж. точка 5.2 Бъбречно увреждане).</w:t>
      </w:r>
    </w:p>
    <w:p w14:paraId="20F57E21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20550240" w14:textId="2124EF1A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При пациенти с намалена бъбречна функция или при такива на хемодиализа е необходимо</w:t>
      </w:r>
      <w:r w:rsidRPr="008A4BF3">
        <w:rPr>
          <w:rFonts w:eastAsia="Times New Roman" w:cs="Arial"/>
          <w:color w:val="000000"/>
          <w:szCs w:val="20"/>
          <w:u w:val="single"/>
          <w:lang w:eastAsia="bg-BG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>адаптиране на дозата (вж. точка 4.2 Таблица 1).</w:t>
      </w:r>
    </w:p>
    <w:p w14:paraId="0E139AC3" w14:textId="77777777" w:rsidR="0005629E" w:rsidRPr="008A4BF3" w:rsidRDefault="0005629E" w:rsidP="0005629E">
      <w:pPr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5A1CF9D" w14:textId="671AE6C2" w:rsidR="0005629E" w:rsidRPr="008A4BF3" w:rsidRDefault="0005629E" w:rsidP="00A30C81">
      <w:pPr>
        <w:pStyle w:val="Heading3"/>
      </w:pPr>
      <w:r w:rsidRPr="008A4BF3">
        <w:rPr>
          <w:rFonts w:eastAsia="Times New Roman"/>
          <w:lang w:eastAsia="bg-BG"/>
        </w:rPr>
        <w:lastRenderedPageBreak/>
        <w:t>Линейност/нелинейност</w:t>
      </w:r>
    </w:p>
    <w:p w14:paraId="5345278B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Фармакокинетичните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показатели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са линейни в рамките на препоръчителния дневен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дозов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интервал. Интериндивидуалната вариабилност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показатели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ниска (&lt;20%). Фармакокинетиката при многократно приложение може да бъде предвидена от данните при прием на еднократна доза. Следователно не е необходимо рутинно проследяване на плазмените концентрации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1B6C5B8C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1F0AD404" w14:textId="11419135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Пол</w:t>
      </w:r>
    </w:p>
    <w:p w14:paraId="7D747318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Клиничните изпитвания показват, че полът не оказва клинично значимо влияние върху плазмените концентрации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65C4F75F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77705128" w14:textId="2700D3AA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Бъбречно увреждане</w:t>
      </w:r>
    </w:p>
    <w:p w14:paraId="2AE66C09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Клирънсът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пряко пропорционален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клирънс. Освен това,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отстранява ефективно от плазмата чрез хемодиализа (след 4-часово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хемодиализно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лечение плазмените концентрации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понижават с приблизително 50%), Тъй като бъбречното елиминиране е основният път за елиминиране, при пациенти с бъбречно увреждане е необходимо намаляване на дозата, а след хемодиализа - допълнителен прием (вж. точка 4.2 Таблица 1).</w:t>
      </w:r>
    </w:p>
    <w:p w14:paraId="19D37AB5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64CB5C86" w14:textId="5052F6D0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Чернодробно увреждане</w:t>
      </w:r>
    </w:p>
    <w:p w14:paraId="68A976EA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Няма проведени специфични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проучвания при пациенти с увредена чернодробна функция. Тъй като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претърпява значим метаболизъм и се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екскретира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предимно в непроменен вид в урината, нарушената чернодробна функция не би трябвало да променя значимо плазмените концентрации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.</w:t>
      </w:r>
    </w:p>
    <w:p w14:paraId="519447BE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4843E0F9" w14:textId="61172FDE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Педиатрична популация</w:t>
      </w:r>
    </w:p>
    <w:p w14:paraId="6F1A94DC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Фармакокинетичните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показатели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са оценени при педиатрични пациенти с епилепсия (възрастови групи: от 1 до 23 месеца, от 2 до 6 години, от 7 до 11 години и от 12 до 16 години) при дози от 2,5, 5, 10 и 15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при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фармакокинетично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проучване и проучване за поносимост.</w:t>
      </w:r>
    </w:p>
    <w:p w14:paraId="18AC8A8C" w14:textId="77777777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</w:p>
    <w:p w14:paraId="41C8B7D3" w14:textId="167F30F1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След перорално приложение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педиатрични пациенти на гладно времето за достигане на максимални плазмени концентрации по принцип е подобно в цялата възрастова група и настъпва 0,5 до 2 часа след приложение на дозата.</w:t>
      </w:r>
    </w:p>
    <w:p w14:paraId="28855B54" w14:textId="1F0D6DD3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</w:p>
    <w:p w14:paraId="286B5201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Параметрите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С</w:t>
      </w:r>
      <w:r w:rsidRPr="008A4BF3">
        <w:rPr>
          <w:rFonts w:eastAsia="Times New Roman" w:cs="Arial"/>
          <w:color w:val="000000"/>
          <w:szCs w:val="20"/>
          <w:vertAlign w:val="subscript"/>
        </w:rPr>
        <w:t>max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</w:t>
      </w:r>
      <w:r w:rsidRPr="008A4BF3">
        <w:rPr>
          <w:rFonts w:eastAsia="Times New Roman" w:cs="Arial"/>
          <w:color w:val="000000"/>
          <w:szCs w:val="20"/>
        </w:rPr>
        <w:t xml:space="preserve">AUC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за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нарастват линейно с повишаване на дозата в рамките на всяка една от възрастовите групи. </w:t>
      </w:r>
      <w:r w:rsidRPr="008A4BF3">
        <w:rPr>
          <w:rFonts w:eastAsia="Times New Roman" w:cs="Arial"/>
          <w:color w:val="000000"/>
          <w:szCs w:val="20"/>
        </w:rPr>
        <w:t xml:space="preserve">AUC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е с 30% по-ниска при педиатричните пациенти с телесно тегло под 30 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поради по-високия, адаптиран към телесното тегло, клирънс от 43% при тези пациенти в сравнение с пациентите с телесно тегло ≥30 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</w:rPr>
        <w:t>.</w:t>
      </w:r>
    </w:p>
    <w:p w14:paraId="58A9BDBB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835C748" w14:textId="06DC9E18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Терминалният полуживот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средно около 3 до 4 часа при педиатрични пациенти до 6-годишна възраст и 4 до 6 часа при тези на 7 години и повече.</w:t>
      </w:r>
    </w:p>
    <w:p w14:paraId="7F4A134A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022AE39C" w14:textId="02E0A5EC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Популационният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фармакокинетичен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анализ показва, че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креатининовият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клирънс е значим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ковариат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клирънса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след перорално приложение, телесното тегло е значим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ковариат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явния обем на разпределение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след перорално приложение, като тези зависимости са подобни при педиатрични и възрастни пациенти.</w:t>
      </w:r>
    </w:p>
    <w:p w14:paraId="585B0D3D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26A91F7" w14:textId="72483D0D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lastRenderedPageBreak/>
        <w:t xml:space="preserve">Фармакокинетиката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пациенти под 3-месечна възраст не е проучена (вж. точки 4.2,4.8 и 5.1).</w:t>
      </w:r>
    </w:p>
    <w:p w14:paraId="55928D6C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u w:val="single"/>
          <w:lang w:eastAsia="bg-BG"/>
        </w:rPr>
      </w:pPr>
    </w:p>
    <w:p w14:paraId="0D6E96B7" w14:textId="57D305CE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Старческа възраст</w:t>
      </w:r>
    </w:p>
    <w:p w14:paraId="613AF5FE" w14:textId="52A29020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Има тенденция за намаляване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клирънса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 напредване на възрастта. Това намаление на пероралния клирънс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в съответствие с понижението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креатининовия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клирънс, свързано с напредване на възрастта. При пациенти с възрастово обусловена нарушена бъбречна функция може да се наложи намаляване на дозата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(вж. точка 4.2 Таблица 1).</w:t>
      </w:r>
    </w:p>
    <w:p w14:paraId="417FEF52" w14:textId="640CF281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</w:p>
    <w:p w14:paraId="7806294F" w14:textId="77777777" w:rsidR="0005629E" w:rsidRPr="008A4BF3" w:rsidRDefault="0005629E" w:rsidP="00A30C81">
      <w:pPr>
        <w:pStyle w:val="Heading3"/>
        <w:rPr>
          <w:rFonts w:eastAsia="Times New Roman"/>
          <w:sz w:val="28"/>
          <w:lang w:eastAsia="bg-BG"/>
        </w:rPr>
      </w:pPr>
      <w:r w:rsidRPr="008A4BF3">
        <w:rPr>
          <w:rFonts w:eastAsia="Times New Roman"/>
          <w:lang w:eastAsia="bg-BG"/>
        </w:rPr>
        <w:t>Кърмещи майки</w:t>
      </w:r>
    </w:p>
    <w:p w14:paraId="5FC03745" w14:textId="1F6BA760" w:rsidR="0005629E" w:rsidRPr="008A4BF3" w:rsidRDefault="0005629E" w:rsidP="0005629E">
      <w:pPr>
        <w:rPr>
          <w:rFonts w:cs="Arial"/>
          <w:sz w:val="32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Оценена е фармакокинетиката на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прилаган всеки 12 часа (300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r w:rsidRPr="008A4BF3">
        <w:rPr>
          <w:rFonts w:eastAsia="Times New Roman" w:cs="Arial"/>
          <w:color w:val="000000"/>
          <w:szCs w:val="20"/>
          <w:lang w:eastAsia="bg-BG"/>
        </w:rPr>
        <w:t xml:space="preserve">дневно), при 10 кърмещи жени най-малко 12 седмици след раждането. Влиянието на кърменето върху фармакокинетиката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е било малко или изобщо е липсвало.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се отделя в кърмата със средни равновесни концентрации, приблизително равни на 76% от тези в плазмата на майката. Изчислената доза за кърмачето, приета с кърмата (приемайки, че средната консумация на мляко е 150 </w:t>
      </w:r>
      <w:r w:rsidRPr="008A4BF3">
        <w:rPr>
          <w:rFonts w:eastAsia="Times New Roman" w:cs="Arial"/>
          <w:color w:val="000000"/>
          <w:szCs w:val="20"/>
        </w:rPr>
        <w:t>ml/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/ден) от жени, приемащи 300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 или максималната доза от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/ден, би била съответно 0,31 или 0,62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/ден. Изчислените дози са приблизително 7% от общата дневна доза на майката на базата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</w:rPr>
        <w:t>kg</w:t>
      </w:r>
      <w:proofErr w:type="spellEnd"/>
      <w:r w:rsidRPr="008A4BF3">
        <w:rPr>
          <w:rFonts w:eastAsia="Times New Roman" w:cs="Arial"/>
          <w:color w:val="000000"/>
          <w:szCs w:val="20"/>
        </w:rPr>
        <w:t>.</w:t>
      </w:r>
    </w:p>
    <w:p w14:paraId="5904CC9B" w14:textId="77777777" w:rsidR="00082D78" w:rsidRPr="008A4BF3" w:rsidRDefault="00082D78" w:rsidP="00082D78"/>
    <w:p w14:paraId="648E39DA" w14:textId="226A30E4" w:rsidR="00CF77F7" w:rsidRPr="008A4BF3" w:rsidRDefault="002C50EE" w:rsidP="004A448E">
      <w:pPr>
        <w:pStyle w:val="Heading2"/>
      </w:pPr>
      <w:r w:rsidRPr="008A4BF3">
        <w:t>5.3. Предклинични данни за безопасност</w:t>
      </w:r>
    </w:p>
    <w:p w14:paraId="5EE25CEA" w14:textId="2D135ECA" w:rsidR="0005629E" w:rsidRPr="008A4BF3" w:rsidRDefault="0005629E" w:rsidP="0005629E"/>
    <w:p w14:paraId="0E06BD2C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В конвенционални фармакологични проучвания за безопасност при животни,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показва добра поносимост в клинично значими дози. В проучвания за токсичност при многократно дозиране, проведени при плъхове и маймуни, са наблюдавани ефекти върху ЦНС, включително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хипоактивност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хиперактивност и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атаксия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След продължителна експозиция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дози ≥ 5 пъти по-високи от средната експозиция при хора, при максималната препоръчвана клинична доза, се установява повишена честота на атрофия на ретината, често наблюдавана при възрастни плъхове албиноси.</w:t>
      </w:r>
    </w:p>
    <w:p w14:paraId="612408D0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3393E999" w14:textId="5C20608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е тератогенен при мишки, плъхове и зайци. Фетална токсичност при плъхове и зайци настъпва само при експозиции, надхвърлящи значително тази при хора. В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пренатални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>/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постнатални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проучвания за токсичност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предизвиква токсични ефекти върху развитието на потомството при плъхове след експозиции &gt; 2 пъти по-високи от максималната препоръчвана експозиция при хора.</w:t>
      </w:r>
    </w:p>
    <w:p w14:paraId="5AA2B33C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C75574A" w14:textId="3E72F160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Нежелани ефекти върху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фертилитета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при мъжки и женски плъхове са наблюдавани само при експозиции, превишаващи значително терапевтичната. Нежеланите реакции върху мъжките репродуктивни органи и параметрите на спермата са обратими и са настъпили само при експозиции, превишаващи значително терапевтичната, или са свързани със спонтанни дегенеративни процеси в мъжките репродуктивни органи при плъхове. Поради това се счита, че ефектите имат малко или никакво клинично значение.</w:t>
      </w:r>
    </w:p>
    <w:p w14:paraId="0695F15D" w14:textId="77777777" w:rsidR="0005629E" w:rsidRPr="008A4BF3" w:rsidRDefault="0005629E" w:rsidP="0005629E">
      <w:pPr>
        <w:spacing w:line="240" w:lineRule="auto"/>
        <w:rPr>
          <w:rFonts w:eastAsia="Times New Roman" w:cs="Arial"/>
          <w:color w:val="000000"/>
          <w:szCs w:val="20"/>
          <w:lang w:eastAsia="bg-BG"/>
        </w:rPr>
      </w:pPr>
    </w:p>
    <w:p w14:paraId="4CA2A160" w14:textId="2EC2E9F4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не е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генотоксичен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, на базата на резултати от серия изследвания, проведени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in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vitro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r w:rsidRPr="008A4BF3">
        <w:rPr>
          <w:rFonts w:eastAsia="Times New Roman" w:cs="Arial"/>
          <w:i/>
          <w:iCs/>
          <w:color w:val="000000"/>
          <w:szCs w:val="20"/>
          <w:lang w:eastAsia="bg-BG"/>
        </w:rPr>
        <w:t xml:space="preserve">и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in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i/>
          <w:iCs/>
          <w:color w:val="000000"/>
          <w:szCs w:val="20"/>
        </w:rPr>
        <w:t>vivo</w:t>
      </w:r>
      <w:proofErr w:type="spellEnd"/>
      <w:r w:rsidRPr="008A4BF3">
        <w:rPr>
          <w:rFonts w:eastAsia="Times New Roman" w:cs="Arial"/>
          <w:i/>
          <w:iCs/>
          <w:color w:val="000000"/>
          <w:szCs w:val="20"/>
        </w:rPr>
        <w:t>.</w:t>
      </w:r>
    </w:p>
    <w:p w14:paraId="14473B68" w14:textId="77777777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</w:p>
    <w:p w14:paraId="5B2846CB" w14:textId="44E8DC68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lastRenderedPageBreak/>
        <w:t xml:space="preserve">При плъхове и мишки са проведени двугодишни проучвания за канцерогенност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Не са наблюдавани тумори при плъхове след експозиции до 24 пъти по-високи от средната експозиция при хора, при максималната препоръчвана клинична доза от 600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/ден. При мишки не е наблюдавана повишена честота на туморите при експозиции, подобни на средната експозиция при хора, но при по-високи експозиции е наблюдавана повишена честота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хемангиосарком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.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Негенотоксичният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механизъм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прегабалин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-индуцираното образуване на тумори при мишки включва промени в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тромбоцитите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и пролиферация на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ендотелни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клетки. Такива </w:t>
      </w:r>
      <w:proofErr w:type="spellStart"/>
      <w:r w:rsidRPr="008A4BF3">
        <w:rPr>
          <w:rFonts w:eastAsia="Times New Roman" w:cs="Arial"/>
          <w:color w:val="000000"/>
          <w:szCs w:val="20"/>
          <w:lang w:eastAsia="bg-BG"/>
        </w:rPr>
        <w:t>тромбоцитни</w:t>
      </w:r>
      <w:proofErr w:type="spellEnd"/>
      <w:r w:rsidRPr="008A4BF3">
        <w:rPr>
          <w:rFonts w:eastAsia="Times New Roman" w:cs="Arial"/>
          <w:color w:val="000000"/>
          <w:szCs w:val="20"/>
          <w:lang w:eastAsia="bg-BG"/>
        </w:rPr>
        <w:t xml:space="preserve"> промени не са били установени при плъхове или при хора въз основа на краткосрочни и ограничени дългосрочни клинични данни. Няма доказателства, предполагащи риск при хора.</w:t>
      </w:r>
    </w:p>
    <w:p w14:paraId="345C6E0E" w14:textId="58F6D49E" w:rsidR="0005629E" w:rsidRPr="008A4BF3" w:rsidRDefault="0005629E" w:rsidP="0005629E">
      <w:pPr>
        <w:rPr>
          <w:rFonts w:eastAsia="Times New Roman" w:cs="Arial"/>
          <w:color w:val="000000"/>
          <w:szCs w:val="20"/>
          <w:lang w:eastAsia="bg-BG"/>
        </w:rPr>
      </w:pPr>
    </w:p>
    <w:p w14:paraId="1047A0D2" w14:textId="5378AE19" w:rsidR="0005629E" w:rsidRPr="008A4BF3" w:rsidRDefault="0005629E" w:rsidP="0005629E">
      <w:pPr>
        <w:rPr>
          <w:rFonts w:cs="Arial"/>
          <w:sz w:val="28"/>
        </w:rPr>
      </w:pPr>
      <w:r w:rsidRPr="008A4BF3">
        <w:rPr>
          <w:szCs w:val="20"/>
        </w:rPr>
        <w:t xml:space="preserve">Видовете токсичност при млади плъхове не се различават качествено от тези, наблюдавани при възрастни плъхове. Все пак, младите плъхове са по-чувствителни. При терапевтични експозиции има доказателства за клинични прояви от страна на ЦНС като хиперактивност и скърцане със зъби, както и някои промени в растежа (преходно потискане на наддаването на тегло). Ефекти върху </w:t>
      </w:r>
      <w:proofErr w:type="spellStart"/>
      <w:r w:rsidRPr="008A4BF3">
        <w:rPr>
          <w:szCs w:val="20"/>
        </w:rPr>
        <w:t>еструса</w:t>
      </w:r>
      <w:proofErr w:type="spellEnd"/>
      <w:r w:rsidRPr="008A4BF3">
        <w:rPr>
          <w:szCs w:val="20"/>
        </w:rPr>
        <w:t xml:space="preserve"> са били наблюдавани при експозиция 5-кратно по-висока от терапевтичната при хора. Намален отговор към внезапен звуков стимул се наблюдава при млади плъхове 1-2 седмици след експозиция при &gt; 2 пъти по-висока от терапевтичната експозиция при хора. Девет седмици след експозицията този ефект не се наблюдава.</w:t>
      </w:r>
    </w:p>
    <w:p w14:paraId="2368822D" w14:textId="7B56B111" w:rsidR="0005629E" w:rsidRPr="008A4BF3" w:rsidRDefault="0005629E" w:rsidP="0005629E"/>
    <w:p w14:paraId="47D3C645" w14:textId="77777777" w:rsidR="0005629E" w:rsidRPr="008A4BF3" w:rsidRDefault="0005629E" w:rsidP="0005629E"/>
    <w:p w14:paraId="6A7820AB" w14:textId="57BBD9B6" w:rsidR="008A6AF2" w:rsidRPr="008A4BF3" w:rsidRDefault="002C50EE" w:rsidP="00395555">
      <w:pPr>
        <w:pStyle w:val="Heading1"/>
      </w:pPr>
      <w:r w:rsidRPr="008A4BF3">
        <w:t>7. ПРИТЕЖАТЕЛ НА РАЗРЕШЕНИЕТО ЗА УПОТРЕБА</w:t>
      </w:r>
    </w:p>
    <w:p w14:paraId="5C9BF2C8" w14:textId="65BDD06D" w:rsidR="0005629E" w:rsidRPr="008A4BF3" w:rsidRDefault="0005629E" w:rsidP="0005629E"/>
    <w:p w14:paraId="6E64C499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Zaklady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</w:rPr>
        <w:t>Farmaceutyczne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POLPHARMA S A.</w:t>
      </w:r>
    </w:p>
    <w:p w14:paraId="3DF1C369" w14:textId="2916487B" w:rsidR="0005629E" w:rsidRPr="008A4BF3" w:rsidRDefault="0005629E" w:rsidP="0005629E">
      <w:pPr>
        <w:rPr>
          <w:rFonts w:eastAsia="Times New Roman" w:cs="Arial"/>
          <w:color w:val="000000"/>
          <w:szCs w:val="20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ul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. </w:t>
      </w:r>
      <w:proofErr w:type="spellStart"/>
      <w:r w:rsidRPr="008A4BF3">
        <w:rPr>
          <w:rFonts w:eastAsia="Times New Roman" w:cs="Arial"/>
          <w:color w:val="000000"/>
          <w:szCs w:val="20"/>
        </w:rPr>
        <w:t>Pelpl</w:t>
      </w:r>
      <w:r w:rsidRPr="008A4BF3">
        <w:rPr>
          <w:rFonts w:eastAsia="Times New Roman" w:cs="Arial"/>
          <w:color w:val="000000"/>
          <w:szCs w:val="20"/>
          <w:lang w:eastAsia="bg-BG"/>
        </w:rPr>
        <w:t>ń</w:t>
      </w:r>
      <w:r w:rsidRPr="008A4BF3">
        <w:rPr>
          <w:rFonts w:eastAsia="Times New Roman" w:cs="Arial"/>
          <w:color w:val="000000"/>
          <w:szCs w:val="20"/>
        </w:rPr>
        <w:t>ska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19</w:t>
      </w:r>
    </w:p>
    <w:p w14:paraId="1A411FDF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 xml:space="preserve">83-200 </w:t>
      </w:r>
      <w:proofErr w:type="spellStart"/>
      <w:r w:rsidRPr="008A4BF3">
        <w:rPr>
          <w:rFonts w:eastAsia="Times New Roman" w:cs="Arial"/>
          <w:color w:val="000000"/>
          <w:szCs w:val="20"/>
        </w:rPr>
        <w:t>Starogard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</w:t>
      </w:r>
      <w:proofErr w:type="spellStart"/>
      <w:r w:rsidRPr="008A4BF3">
        <w:rPr>
          <w:rFonts w:eastAsia="Times New Roman" w:cs="Arial"/>
          <w:color w:val="000000"/>
          <w:szCs w:val="20"/>
        </w:rPr>
        <w:t>Gda</w:t>
      </w:r>
      <w:r w:rsidRPr="008A4BF3">
        <w:rPr>
          <w:rFonts w:eastAsia="Times New Roman" w:cs="Arial"/>
          <w:color w:val="000000"/>
          <w:szCs w:val="20"/>
          <w:lang w:eastAsia="bg-BG"/>
        </w:rPr>
        <w:t>ń</w:t>
      </w:r>
      <w:r w:rsidRPr="008A4BF3">
        <w:rPr>
          <w:rFonts w:eastAsia="Times New Roman" w:cs="Arial"/>
          <w:color w:val="000000"/>
          <w:szCs w:val="20"/>
        </w:rPr>
        <w:t>ski</w:t>
      </w:r>
      <w:proofErr w:type="spellEnd"/>
    </w:p>
    <w:p w14:paraId="56E769C7" w14:textId="4F7065FC" w:rsidR="0005629E" w:rsidRPr="008A4BF3" w:rsidRDefault="0005629E" w:rsidP="0005629E">
      <w:pPr>
        <w:rPr>
          <w:rFonts w:cs="Arial"/>
          <w:sz w:val="28"/>
        </w:rPr>
      </w:pPr>
      <w:r w:rsidRPr="008A4BF3">
        <w:rPr>
          <w:rFonts w:eastAsia="Times New Roman" w:cs="Arial"/>
          <w:color w:val="000000"/>
          <w:szCs w:val="20"/>
          <w:lang w:eastAsia="bg-BG"/>
        </w:rPr>
        <w:t>Полша</w:t>
      </w:r>
    </w:p>
    <w:p w14:paraId="7BA1BA64" w14:textId="2B729736" w:rsidR="00CF77F7" w:rsidRPr="008A4BF3" w:rsidRDefault="002C50EE" w:rsidP="004A448E">
      <w:pPr>
        <w:pStyle w:val="Heading1"/>
      </w:pPr>
      <w:r w:rsidRPr="008A4BF3">
        <w:t>8. НОМЕР НА РАЗРЕШЕНИЕТО ЗА УПОТРЕБА</w:t>
      </w:r>
    </w:p>
    <w:p w14:paraId="661FAAE3" w14:textId="67EBB01D" w:rsidR="0005629E" w:rsidRPr="008A4BF3" w:rsidRDefault="0005629E" w:rsidP="0005629E"/>
    <w:p w14:paraId="1B52625A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Linefor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: </w:t>
      </w:r>
      <w:proofErr w:type="spellStart"/>
      <w:r w:rsidRPr="008A4BF3">
        <w:rPr>
          <w:rFonts w:eastAsia="Times New Roman" w:cs="Arial"/>
          <w:color w:val="000000"/>
          <w:szCs w:val="20"/>
        </w:rPr>
        <w:t>Per</w:t>
      </w:r>
      <w:proofErr w:type="spellEnd"/>
      <w:r w:rsidRPr="008A4BF3">
        <w:rPr>
          <w:rFonts w:eastAsia="Times New Roman" w:cs="Arial"/>
          <w:color w:val="000000"/>
          <w:szCs w:val="20"/>
        </w:rPr>
        <w:t>, № 20170158</w:t>
      </w:r>
    </w:p>
    <w:p w14:paraId="4293CF31" w14:textId="77777777" w:rsidR="0005629E" w:rsidRPr="008A4BF3" w:rsidRDefault="0005629E" w:rsidP="0005629E">
      <w:pPr>
        <w:spacing w:line="240" w:lineRule="auto"/>
        <w:rPr>
          <w:rFonts w:eastAsia="Times New Roman" w:cs="Arial"/>
          <w:sz w:val="28"/>
          <w:szCs w:val="24"/>
          <w:lang w:eastAsia="bg-BG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Linefor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75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: </w:t>
      </w:r>
      <w:proofErr w:type="spellStart"/>
      <w:r w:rsidRPr="008A4BF3">
        <w:rPr>
          <w:rFonts w:eastAsia="Times New Roman" w:cs="Arial"/>
          <w:color w:val="000000"/>
          <w:szCs w:val="20"/>
        </w:rPr>
        <w:t>Per</w:t>
      </w:r>
      <w:proofErr w:type="spellEnd"/>
      <w:r w:rsidRPr="008A4BF3">
        <w:rPr>
          <w:rFonts w:eastAsia="Times New Roman" w:cs="Arial"/>
          <w:color w:val="000000"/>
          <w:szCs w:val="20"/>
        </w:rPr>
        <w:t>. № 20170159</w:t>
      </w:r>
    </w:p>
    <w:p w14:paraId="57D026B8" w14:textId="3B8062FE" w:rsidR="0005629E" w:rsidRPr="008A4BF3" w:rsidRDefault="0005629E" w:rsidP="0005629E">
      <w:pPr>
        <w:rPr>
          <w:rFonts w:cs="Arial"/>
          <w:sz w:val="24"/>
        </w:rPr>
      </w:pPr>
      <w:proofErr w:type="spellStart"/>
      <w:r w:rsidRPr="008A4BF3">
        <w:rPr>
          <w:rFonts w:eastAsia="Times New Roman" w:cs="Arial"/>
          <w:color w:val="000000"/>
          <w:szCs w:val="20"/>
        </w:rPr>
        <w:t>Linefor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 150 </w:t>
      </w:r>
      <w:proofErr w:type="spellStart"/>
      <w:r w:rsidRPr="008A4BF3">
        <w:rPr>
          <w:rFonts w:eastAsia="Times New Roman" w:cs="Arial"/>
          <w:color w:val="000000"/>
          <w:szCs w:val="20"/>
        </w:rPr>
        <w:t>mg</w:t>
      </w:r>
      <w:proofErr w:type="spellEnd"/>
      <w:r w:rsidRPr="008A4BF3">
        <w:rPr>
          <w:rFonts w:eastAsia="Times New Roman" w:cs="Arial"/>
          <w:color w:val="000000"/>
          <w:szCs w:val="20"/>
        </w:rPr>
        <w:t xml:space="preserve">: </w:t>
      </w:r>
      <w:proofErr w:type="spellStart"/>
      <w:r w:rsidRPr="008A4BF3">
        <w:rPr>
          <w:rFonts w:eastAsia="Times New Roman" w:cs="Arial"/>
          <w:color w:val="000000"/>
          <w:szCs w:val="20"/>
        </w:rPr>
        <w:t>Per</w:t>
      </w:r>
      <w:proofErr w:type="spellEnd"/>
      <w:r w:rsidRPr="008A4BF3">
        <w:rPr>
          <w:rFonts w:eastAsia="Times New Roman" w:cs="Arial"/>
          <w:color w:val="000000"/>
          <w:szCs w:val="20"/>
        </w:rPr>
        <w:t>. № 20170160</w:t>
      </w:r>
    </w:p>
    <w:p w14:paraId="2CCB5832" w14:textId="28EC6E58" w:rsidR="007C605B" w:rsidRPr="008A4BF3" w:rsidRDefault="002C50EE" w:rsidP="007C605B">
      <w:pPr>
        <w:pStyle w:val="Heading1"/>
      </w:pPr>
      <w:r w:rsidRPr="008A4BF3">
        <w:t>9. ДАТА НА ПЪРВО РАЗРЕШАВАНЕ/ПОДНОВЯВАНЕ НА РАЗРЕШЕНИЕТО ЗА УПОТРЕБА</w:t>
      </w:r>
    </w:p>
    <w:p w14:paraId="1151F279" w14:textId="0FCFD0E5" w:rsidR="0005629E" w:rsidRPr="008A4BF3" w:rsidRDefault="0005629E" w:rsidP="0005629E"/>
    <w:p w14:paraId="328D98DD" w14:textId="7F28E258" w:rsidR="0005629E" w:rsidRPr="008A4BF3" w:rsidRDefault="0005629E" w:rsidP="0005629E">
      <w:pPr>
        <w:rPr>
          <w:sz w:val="24"/>
        </w:rPr>
      </w:pPr>
      <w:r w:rsidRPr="008A4BF3">
        <w:rPr>
          <w:szCs w:val="20"/>
        </w:rPr>
        <w:t>Дата на първо разрешаване: 11.05.2017</w:t>
      </w:r>
    </w:p>
    <w:p w14:paraId="0E9D0119" w14:textId="0245C6D7" w:rsidR="002C50EE" w:rsidRPr="008A4BF3" w:rsidRDefault="002C50EE" w:rsidP="002C50EE">
      <w:pPr>
        <w:pStyle w:val="Heading1"/>
      </w:pPr>
      <w:r w:rsidRPr="008A4BF3">
        <w:t>10. ДАТА НА АКТУАЛИЗИРАНЕ НА ТЕКСТА</w:t>
      </w:r>
    </w:p>
    <w:bookmarkEnd w:id="0"/>
    <w:p w14:paraId="43FB38A2" w14:textId="5500C507" w:rsidR="007C605B" w:rsidRPr="008A4BF3" w:rsidRDefault="007C605B" w:rsidP="00CF77F7"/>
    <w:sectPr w:rsidR="007C605B" w:rsidRPr="008A4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 w16cid:durableId="2058359566">
    <w:abstractNumId w:val="26"/>
  </w:num>
  <w:num w:numId="2" w16cid:durableId="1555584499">
    <w:abstractNumId w:val="0"/>
  </w:num>
  <w:num w:numId="3" w16cid:durableId="1979144532">
    <w:abstractNumId w:val="12"/>
  </w:num>
  <w:num w:numId="4" w16cid:durableId="1895893187">
    <w:abstractNumId w:val="3"/>
  </w:num>
  <w:num w:numId="5" w16cid:durableId="601645527">
    <w:abstractNumId w:val="1"/>
  </w:num>
  <w:num w:numId="6" w16cid:durableId="207844992">
    <w:abstractNumId w:val="15"/>
  </w:num>
  <w:num w:numId="7" w16cid:durableId="143011599">
    <w:abstractNumId w:val="10"/>
  </w:num>
  <w:num w:numId="8" w16cid:durableId="926614979">
    <w:abstractNumId w:val="14"/>
  </w:num>
  <w:num w:numId="9" w16cid:durableId="1135413442">
    <w:abstractNumId w:val="2"/>
  </w:num>
  <w:num w:numId="10" w16cid:durableId="743646711">
    <w:abstractNumId w:val="4"/>
  </w:num>
  <w:num w:numId="11" w16cid:durableId="1274287236">
    <w:abstractNumId w:val="29"/>
  </w:num>
  <w:num w:numId="12" w16cid:durableId="316495327">
    <w:abstractNumId w:val="13"/>
  </w:num>
  <w:num w:numId="13" w16cid:durableId="255485597">
    <w:abstractNumId w:val="18"/>
  </w:num>
  <w:num w:numId="14" w16cid:durableId="1559050988">
    <w:abstractNumId w:val="11"/>
  </w:num>
  <w:num w:numId="15" w16cid:durableId="1487631306">
    <w:abstractNumId w:val="28"/>
  </w:num>
  <w:num w:numId="16" w16cid:durableId="133715267">
    <w:abstractNumId w:val="9"/>
  </w:num>
  <w:num w:numId="17" w16cid:durableId="789318399">
    <w:abstractNumId w:val="23"/>
  </w:num>
  <w:num w:numId="18" w16cid:durableId="663050149">
    <w:abstractNumId w:val="7"/>
  </w:num>
  <w:num w:numId="19" w16cid:durableId="1556237582">
    <w:abstractNumId w:val="25"/>
  </w:num>
  <w:num w:numId="20" w16cid:durableId="1408962342">
    <w:abstractNumId w:val="22"/>
  </w:num>
  <w:num w:numId="21" w16cid:durableId="1281645684">
    <w:abstractNumId w:val="16"/>
  </w:num>
  <w:num w:numId="22" w16cid:durableId="1376076668">
    <w:abstractNumId w:val="24"/>
  </w:num>
  <w:num w:numId="23" w16cid:durableId="1949044272">
    <w:abstractNumId w:val="17"/>
  </w:num>
  <w:num w:numId="24" w16cid:durableId="1215432574">
    <w:abstractNumId w:val="8"/>
  </w:num>
  <w:num w:numId="25" w16cid:durableId="1968075518">
    <w:abstractNumId w:val="21"/>
  </w:num>
  <w:num w:numId="26" w16cid:durableId="793643980">
    <w:abstractNumId w:val="20"/>
  </w:num>
  <w:num w:numId="27" w16cid:durableId="1215116787">
    <w:abstractNumId w:val="30"/>
  </w:num>
  <w:num w:numId="28" w16cid:durableId="1944066645">
    <w:abstractNumId w:val="6"/>
  </w:num>
  <w:num w:numId="29" w16cid:durableId="2081294370">
    <w:abstractNumId w:val="19"/>
  </w:num>
  <w:num w:numId="30" w16cid:durableId="1966157728">
    <w:abstractNumId w:val="33"/>
  </w:num>
  <w:num w:numId="31" w16cid:durableId="1904175500">
    <w:abstractNumId w:val="5"/>
  </w:num>
  <w:num w:numId="32" w16cid:durableId="1836144149">
    <w:abstractNumId w:val="32"/>
  </w:num>
  <w:num w:numId="33" w16cid:durableId="1812096275">
    <w:abstractNumId w:val="27"/>
  </w:num>
  <w:num w:numId="34" w16cid:durableId="6317179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00"/>
    <w:rsid w:val="0005629E"/>
    <w:rsid w:val="00082D78"/>
    <w:rsid w:val="00185A46"/>
    <w:rsid w:val="001915B6"/>
    <w:rsid w:val="001D1B23"/>
    <w:rsid w:val="001E20C7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5B7910"/>
    <w:rsid w:val="00605BCA"/>
    <w:rsid w:val="006158A1"/>
    <w:rsid w:val="00617B1F"/>
    <w:rsid w:val="00672487"/>
    <w:rsid w:val="00672600"/>
    <w:rsid w:val="00681D4A"/>
    <w:rsid w:val="00685882"/>
    <w:rsid w:val="0075649D"/>
    <w:rsid w:val="00785F0B"/>
    <w:rsid w:val="007C605B"/>
    <w:rsid w:val="008134C8"/>
    <w:rsid w:val="00814073"/>
    <w:rsid w:val="00826F0D"/>
    <w:rsid w:val="00893B92"/>
    <w:rsid w:val="008A4BF3"/>
    <w:rsid w:val="008A6AF2"/>
    <w:rsid w:val="008C70A2"/>
    <w:rsid w:val="009378E4"/>
    <w:rsid w:val="009436FF"/>
    <w:rsid w:val="009773E4"/>
    <w:rsid w:val="009B171C"/>
    <w:rsid w:val="009F1313"/>
    <w:rsid w:val="009F6117"/>
    <w:rsid w:val="00A20351"/>
    <w:rsid w:val="00A260A8"/>
    <w:rsid w:val="00A30C81"/>
    <w:rsid w:val="00A65A81"/>
    <w:rsid w:val="00AA23EC"/>
    <w:rsid w:val="00AC63CE"/>
    <w:rsid w:val="00AE2107"/>
    <w:rsid w:val="00B07AF3"/>
    <w:rsid w:val="00B13D53"/>
    <w:rsid w:val="00B275A8"/>
    <w:rsid w:val="00BE40DE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18</Pages>
  <Words>6157</Words>
  <Characters>35097</Characters>
  <Application>Microsoft Office Word</Application>
  <DocSecurity>0</DocSecurity>
  <Lines>292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Maria Vasileva</cp:lastModifiedBy>
  <cp:revision>10</cp:revision>
  <dcterms:created xsi:type="dcterms:W3CDTF">2022-04-29T12:29:00Z</dcterms:created>
  <dcterms:modified xsi:type="dcterms:W3CDTF">2022-05-07T07:16:00Z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