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328C" w14:textId="16329281" w:rsidR="002C50EE" w:rsidRDefault="002C50EE" w:rsidP="002C50EE">
      <w:pPr>
        <w:pStyle w:val="1"/>
        <w:jc w:val="center"/>
      </w:pPr>
      <w:bookmarkStart w:id="0" w:name="_Hlk63124480"/>
      <w:r>
        <w:t>КРАТКА ХАРАКТЕРИСТИКА НА ПРОДУКТА</w:t>
      </w:r>
    </w:p>
    <w:p w14:paraId="3B239815" w14:textId="6271AA27" w:rsidR="00AA23EC" w:rsidRDefault="00DD466D" w:rsidP="00DD466D">
      <w:pPr>
        <w:pStyle w:val="1"/>
      </w:pPr>
      <w:r>
        <w:t>1.ИМЕ НА ЛЕКАРСТВЕНИЯ ПРОДУКТ</w:t>
      </w:r>
    </w:p>
    <w:p w14:paraId="0B2B1D1D" w14:textId="77777777" w:rsidR="000A08D9" w:rsidRDefault="000A08D9" w:rsidP="000A08D9"/>
    <w:p w14:paraId="7678E47D" w14:textId="16E28593" w:rsidR="000A08D9" w:rsidRDefault="000A08D9" w:rsidP="000A08D9">
      <w:r>
        <w:t xml:space="preserve">ЛОМЕКСИН 2% крем </w:t>
      </w:r>
    </w:p>
    <w:p w14:paraId="3D99919B" w14:textId="5646D57C" w:rsidR="000A08D9" w:rsidRPr="000A08D9" w:rsidRDefault="000A08D9" w:rsidP="000A08D9">
      <w:r>
        <w:rPr>
          <w:lang w:val="en-US"/>
        </w:rPr>
        <w:t xml:space="preserve">LOMEXIN </w:t>
      </w:r>
      <w:r>
        <w:t xml:space="preserve">2% </w:t>
      </w:r>
      <w:r>
        <w:rPr>
          <w:lang w:val="en-US"/>
        </w:rPr>
        <w:t>cream</w:t>
      </w:r>
    </w:p>
    <w:p w14:paraId="4D88B710" w14:textId="1008AAAB" w:rsidR="00D86297" w:rsidRDefault="00DD466D" w:rsidP="00AA23EC">
      <w:pPr>
        <w:pStyle w:val="1"/>
      </w:pPr>
      <w:r>
        <w:t>2. КАЧЕСТВЕН И КОЛИЧЕСТВЕН СЪСТАВ</w:t>
      </w:r>
    </w:p>
    <w:p w14:paraId="37882063" w14:textId="7C4F4DA1" w:rsidR="000A08D9" w:rsidRDefault="000A08D9" w:rsidP="000A08D9"/>
    <w:p w14:paraId="09620743" w14:textId="0144FFE0" w:rsidR="000A08D9" w:rsidRPr="000A08D9" w:rsidRDefault="000A08D9" w:rsidP="000A08D9">
      <w:r>
        <w:rPr>
          <w:lang w:val="en-US"/>
        </w:rPr>
        <w:t xml:space="preserve">100 g </w:t>
      </w:r>
      <w:proofErr w:type="spellStart"/>
      <w:r>
        <w:t>Ломексин</w:t>
      </w:r>
      <w:proofErr w:type="spellEnd"/>
      <w:r>
        <w:t xml:space="preserve"> крем съдържат 2 </w:t>
      </w:r>
      <w:r>
        <w:rPr>
          <w:lang w:val="en-US"/>
        </w:rPr>
        <w:t xml:space="preserve">g </w:t>
      </w:r>
      <w:proofErr w:type="spellStart"/>
      <w:r>
        <w:t>фентиконазолов</w:t>
      </w:r>
      <w:proofErr w:type="spellEnd"/>
      <w:r>
        <w:t xml:space="preserve"> нитрат </w:t>
      </w:r>
      <w:r>
        <w:rPr>
          <w:i/>
          <w:iCs/>
          <w:lang w:val="en-US"/>
        </w:rPr>
        <w:t>(</w:t>
      </w:r>
      <w:proofErr w:type="spellStart"/>
      <w:r>
        <w:rPr>
          <w:i/>
          <w:iCs/>
          <w:lang w:val="en-US"/>
        </w:rPr>
        <w:t>fenticonazole</w:t>
      </w:r>
      <w:proofErr w:type="spellEnd"/>
      <w:r>
        <w:rPr>
          <w:i/>
          <w:iCs/>
          <w:lang w:val="en-US"/>
        </w:rPr>
        <w:t xml:space="preserve"> nitrate).</w:t>
      </w:r>
    </w:p>
    <w:p w14:paraId="5E332777" w14:textId="4F18E77A" w:rsidR="005A66D9" w:rsidRDefault="00DD466D" w:rsidP="00CA1B57">
      <w:pPr>
        <w:pStyle w:val="1"/>
      </w:pPr>
      <w:r>
        <w:t>3. ЛЕКАРСТВЕНА ФОРМА</w:t>
      </w:r>
    </w:p>
    <w:p w14:paraId="09750885" w14:textId="69D4830C" w:rsidR="000A08D9" w:rsidRDefault="000A08D9" w:rsidP="000A08D9"/>
    <w:p w14:paraId="78C8FB35" w14:textId="77777777" w:rsidR="000A08D9" w:rsidRPr="000A08D9" w:rsidRDefault="000A08D9" w:rsidP="000A08D9">
      <w:pPr>
        <w:rPr>
          <w:sz w:val="24"/>
          <w:szCs w:val="24"/>
        </w:rPr>
      </w:pPr>
      <w:r w:rsidRPr="000A08D9">
        <w:rPr>
          <w:lang w:eastAsia="bg-BG"/>
        </w:rPr>
        <w:t xml:space="preserve">Крем 2% по 30 </w:t>
      </w:r>
      <w:r w:rsidRPr="000A08D9">
        <w:rPr>
          <w:lang w:val="en-US"/>
        </w:rPr>
        <w:t>g.</w:t>
      </w:r>
    </w:p>
    <w:p w14:paraId="18B44E0F" w14:textId="77777777" w:rsidR="000A08D9" w:rsidRPr="000A08D9" w:rsidRDefault="000A08D9" w:rsidP="000A08D9"/>
    <w:p w14:paraId="490FC2C4" w14:textId="77777777" w:rsidR="002C50EE" w:rsidRDefault="002C50EE" w:rsidP="002C50EE">
      <w:pPr>
        <w:pStyle w:val="1"/>
      </w:pPr>
      <w:r>
        <w:t>4. КЛИНИЧНИ ДАННИ</w:t>
      </w:r>
    </w:p>
    <w:p w14:paraId="1512A286" w14:textId="2888A462" w:rsidR="00FD69E8" w:rsidRDefault="002C50EE" w:rsidP="00AA23EC">
      <w:pPr>
        <w:pStyle w:val="2"/>
      </w:pPr>
      <w:r>
        <w:t>4.1. Терапевтични показания</w:t>
      </w:r>
    </w:p>
    <w:p w14:paraId="1D171A12" w14:textId="515A1DC2" w:rsidR="003765DC" w:rsidRDefault="003765DC" w:rsidP="000A08D9"/>
    <w:p w14:paraId="3A7B5686" w14:textId="40848F7D" w:rsidR="000A08D9" w:rsidRPr="000A08D9" w:rsidRDefault="000A08D9" w:rsidP="000A08D9">
      <w:pPr>
        <w:pStyle w:val="a3"/>
        <w:numPr>
          <w:ilvl w:val="0"/>
          <w:numId w:val="26"/>
        </w:numPr>
        <w:rPr>
          <w:lang w:eastAsia="bg-BG"/>
        </w:rPr>
      </w:pPr>
      <w:proofErr w:type="spellStart"/>
      <w:r w:rsidRPr="000A08D9">
        <w:rPr>
          <w:lang w:eastAsia="bg-BG"/>
        </w:rPr>
        <w:t>Дерматомикози</w:t>
      </w:r>
      <w:proofErr w:type="spellEnd"/>
      <w:r w:rsidRPr="000A08D9">
        <w:rPr>
          <w:lang w:eastAsia="bg-BG"/>
        </w:rPr>
        <w:t xml:space="preserve">, причинени от </w:t>
      </w:r>
      <w:proofErr w:type="spellStart"/>
      <w:r w:rsidRPr="000A08D9">
        <w:rPr>
          <w:lang w:eastAsia="bg-BG"/>
        </w:rPr>
        <w:t>дерматофити</w:t>
      </w:r>
      <w:proofErr w:type="spellEnd"/>
      <w:r w:rsidRPr="000A08D9">
        <w:rPr>
          <w:lang w:eastAsia="bg-BG"/>
        </w:rPr>
        <w:t xml:space="preserve"> </w:t>
      </w:r>
      <w:r w:rsidRPr="000A08D9">
        <w:rPr>
          <w:i/>
          <w:iCs/>
          <w:lang w:val="en-US"/>
        </w:rPr>
        <w:t>(</w:t>
      </w:r>
      <w:proofErr w:type="spellStart"/>
      <w:r w:rsidRPr="000A08D9">
        <w:rPr>
          <w:i/>
          <w:iCs/>
          <w:lang w:val="en-US"/>
        </w:rPr>
        <w:t>Tricopkyton</w:t>
      </w:r>
      <w:proofErr w:type="spellEnd"/>
      <w:r w:rsidRPr="000A08D9">
        <w:rPr>
          <w:i/>
          <w:iCs/>
          <w:lang w:val="en-US"/>
        </w:rPr>
        <w:t xml:space="preserve">, </w:t>
      </w:r>
      <w:proofErr w:type="spellStart"/>
      <w:r w:rsidRPr="000A08D9">
        <w:rPr>
          <w:i/>
          <w:iCs/>
          <w:lang w:val="en-US"/>
        </w:rPr>
        <w:t>Microsporum</w:t>
      </w:r>
      <w:proofErr w:type="spellEnd"/>
      <w:r w:rsidRPr="000A08D9">
        <w:rPr>
          <w:i/>
          <w:iCs/>
          <w:lang w:val="en-US"/>
        </w:rPr>
        <w:t>, Epidermophyton)</w:t>
      </w:r>
      <w:r w:rsidRPr="000A08D9">
        <w:rPr>
          <w:lang w:val="en-US"/>
        </w:rPr>
        <w:t xml:space="preserve"> </w:t>
      </w:r>
      <w:r w:rsidRPr="000A08D9">
        <w:rPr>
          <w:lang w:eastAsia="bg-BG"/>
        </w:rPr>
        <w:t xml:space="preserve">в различни локализации: </w:t>
      </w:r>
      <w:proofErr w:type="spellStart"/>
      <w:r w:rsidRPr="000A08D9">
        <w:rPr>
          <w:lang w:eastAsia="bg-BG"/>
        </w:rPr>
        <w:t>келоид</w:t>
      </w:r>
      <w:proofErr w:type="spellEnd"/>
      <w:r w:rsidRPr="000A08D9">
        <w:rPr>
          <w:lang w:eastAsia="bg-BG"/>
        </w:rPr>
        <w:t xml:space="preserve"> на главата, тялото, подбедрицата, стъпалото (ходило на атлети), на ръката, на лицето, на брадата, на ноктите.</w:t>
      </w:r>
    </w:p>
    <w:p w14:paraId="28B32E18" w14:textId="11846D09" w:rsidR="000A08D9" w:rsidRPr="000A08D9" w:rsidRDefault="000A08D9" w:rsidP="000A08D9">
      <w:pPr>
        <w:pStyle w:val="a3"/>
        <w:numPr>
          <w:ilvl w:val="0"/>
          <w:numId w:val="26"/>
        </w:numPr>
        <w:rPr>
          <w:sz w:val="24"/>
          <w:szCs w:val="24"/>
        </w:rPr>
      </w:pPr>
      <w:r w:rsidRPr="000A08D9">
        <w:rPr>
          <w:lang w:eastAsia="bg-BG"/>
        </w:rPr>
        <w:t xml:space="preserve">Кожни </w:t>
      </w:r>
      <w:proofErr w:type="spellStart"/>
      <w:r w:rsidRPr="000A08D9">
        <w:rPr>
          <w:lang w:eastAsia="bg-BG"/>
        </w:rPr>
        <w:t>кандидози</w:t>
      </w:r>
      <w:proofErr w:type="spellEnd"/>
      <w:r w:rsidRPr="000A08D9">
        <w:rPr>
          <w:lang w:eastAsia="bg-BG"/>
        </w:rPr>
        <w:t xml:space="preserve"> (</w:t>
      </w:r>
      <w:proofErr w:type="spellStart"/>
      <w:r w:rsidRPr="000A08D9">
        <w:rPr>
          <w:lang w:eastAsia="bg-BG"/>
        </w:rPr>
        <w:t>интертриго</w:t>
      </w:r>
      <w:proofErr w:type="spellEnd"/>
      <w:r w:rsidRPr="000A08D9">
        <w:rPr>
          <w:lang w:eastAsia="bg-BG"/>
        </w:rPr>
        <w:t xml:space="preserve">, </w:t>
      </w:r>
      <w:proofErr w:type="spellStart"/>
      <w:r w:rsidRPr="000A08D9">
        <w:rPr>
          <w:lang w:eastAsia="bg-BG"/>
        </w:rPr>
        <w:t>ангуларен</w:t>
      </w:r>
      <w:proofErr w:type="spellEnd"/>
      <w:r w:rsidRPr="000A08D9">
        <w:rPr>
          <w:lang w:eastAsia="bg-BG"/>
        </w:rPr>
        <w:t xml:space="preserve"> </w:t>
      </w:r>
      <w:proofErr w:type="spellStart"/>
      <w:r w:rsidRPr="000A08D9">
        <w:rPr>
          <w:lang w:eastAsia="bg-BG"/>
        </w:rPr>
        <w:t>хейлит</w:t>
      </w:r>
      <w:proofErr w:type="spellEnd"/>
      <w:r w:rsidRPr="000A08D9">
        <w:rPr>
          <w:lang w:eastAsia="bg-BG"/>
        </w:rPr>
        <w:t xml:space="preserve">, лицева </w:t>
      </w:r>
      <w:proofErr w:type="spellStart"/>
      <w:r w:rsidRPr="000A08D9">
        <w:rPr>
          <w:lang w:eastAsia="bg-BG"/>
        </w:rPr>
        <w:t>кандидоза</w:t>
      </w:r>
      <w:proofErr w:type="spellEnd"/>
      <w:r w:rsidRPr="000A08D9">
        <w:rPr>
          <w:lang w:eastAsia="bg-BG"/>
        </w:rPr>
        <w:t xml:space="preserve">, </w:t>
      </w:r>
      <w:proofErr w:type="spellStart"/>
      <w:r w:rsidRPr="000A08D9">
        <w:rPr>
          <w:lang w:eastAsia="bg-BG"/>
        </w:rPr>
        <w:t>кандидоза</w:t>
      </w:r>
      <w:proofErr w:type="spellEnd"/>
      <w:r w:rsidRPr="000A08D9">
        <w:rPr>
          <w:lang w:eastAsia="bg-BG"/>
        </w:rPr>
        <w:t xml:space="preserve"> причинена от пелени </w:t>
      </w:r>
      <w:proofErr w:type="spellStart"/>
      <w:r w:rsidRPr="000A08D9">
        <w:rPr>
          <w:lang w:eastAsia="bg-BG"/>
        </w:rPr>
        <w:t>пелени</w:t>
      </w:r>
      <w:proofErr w:type="spellEnd"/>
      <w:r w:rsidRPr="000A08D9">
        <w:rPr>
          <w:lang w:eastAsia="bg-BG"/>
        </w:rPr>
        <w:t xml:space="preserve">, </w:t>
      </w:r>
      <w:proofErr w:type="spellStart"/>
      <w:r w:rsidRPr="000A08D9">
        <w:rPr>
          <w:lang w:eastAsia="bg-BG"/>
        </w:rPr>
        <w:t>перинеална</w:t>
      </w:r>
      <w:proofErr w:type="spellEnd"/>
      <w:r w:rsidRPr="000A08D9">
        <w:rPr>
          <w:lang w:eastAsia="bg-BG"/>
        </w:rPr>
        <w:t xml:space="preserve"> и </w:t>
      </w:r>
      <w:proofErr w:type="spellStart"/>
      <w:r w:rsidRPr="000A08D9">
        <w:rPr>
          <w:lang w:eastAsia="bg-BG"/>
        </w:rPr>
        <w:t>скротална</w:t>
      </w:r>
      <w:proofErr w:type="spellEnd"/>
      <w:r w:rsidRPr="000A08D9">
        <w:rPr>
          <w:lang w:eastAsia="bg-BG"/>
        </w:rPr>
        <w:t xml:space="preserve"> </w:t>
      </w:r>
      <w:proofErr w:type="spellStart"/>
      <w:r w:rsidRPr="000A08D9">
        <w:rPr>
          <w:lang w:eastAsia="bg-BG"/>
        </w:rPr>
        <w:t>кандидоза</w:t>
      </w:r>
      <w:proofErr w:type="spellEnd"/>
      <w:r w:rsidRPr="000A08D9">
        <w:rPr>
          <w:lang w:eastAsia="bg-BG"/>
        </w:rPr>
        <w:t xml:space="preserve">); </w:t>
      </w:r>
      <w:proofErr w:type="spellStart"/>
      <w:r w:rsidRPr="000A08D9">
        <w:rPr>
          <w:lang w:eastAsia="bg-BG"/>
        </w:rPr>
        <w:t>баланит</w:t>
      </w:r>
      <w:proofErr w:type="spellEnd"/>
      <w:r w:rsidRPr="000A08D9">
        <w:rPr>
          <w:lang w:eastAsia="bg-BG"/>
        </w:rPr>
        <w:t xml:space="preserve">, </w:t>
      </w:r>
      <w:proofErr w:type="spellStart"/>
      <w:r w:rsidRPr="000A08D9">
        <w:rPr>
          <w:lang w:eastAsia="bg-BG"/>
        </w:rPr>
        <w:t>баланопостит</w:t>
      </w:r>
      <w:proofErr w:type="spellEnd"/>
      <w:r w:rsidRPr="000A08D9">
        <w:rPr>
          <w:lang w:eastAsia="bg-BG"/>
        </w:rPr>
        <w:t xml:space="preserve">, </w:t>
      </w:r>
      <w:proofErr w:type="spellStart"/>
      <w:r w:rsidRPr="000A08D9">
        <w:rPr>
          <w:lang w:eastAsia="bg-BG"/>
        </w:rPr>
        <w:t>онихия</w:t>
      </w:r>
      <w:proofErr w:type="spellEnd"/>
      <w:r w:rsidRPr="000A08D9">
        <w:rPr>
          <w:lang w:eastAsia="bg-BG"/>
        </w:rPr>
        <w:t xml:space="preserve"> и </w:t>
      </w:r>
      <w:proofErr w:type="spellStart"/>
      <w:r w:rsidRPr="000A08D9">
        <w:rPr>
          <w:lang w:eastAsia="bg-BG"/>
        </w:rPr>
        <w:t>паронихия</w:t>
      </w:r>
      <w:proofErr w:type="spellEnd"/>
      <w:r w:rsidRPr="000A08D9">
        <w:rPr>
          <w:lang w:eastAsia="bg-BG"/>
        </w:rPr>
        <w:t>.</w:t>
      </w:r>
    </w:p>
    <w:p w14:paraId="46CC7C47" w14:textId="77777777" w:rsidR="000A08D9" w:rsidRPr="000A08D9" w:rsidRDefault="000A08D9" w:rsidP="000A08D9">
      <w:pPr>
        <w:pStyle w:val="a3"/>
        <w:numPr>
          <w:ilvl w:val="0"/>
          <w:numId w:val="26"/>
        </w:numPr>
        <w:rPr>
          <w:sz w:val="24"/>
          <w:szCs w:val="24"/>
        </w:rPr>
      </w:pPr>
      <w:proofErr w:type="spellStart"/>
      <w:r w:rsidRPr="000A08D9">
        <w:rPr>
          <w:lang w:eastAsia="bg-BG"/>
        </w:rPr>
        <w:t>Питириазис</w:t>
      </w:r>
      <w:proofErr w:type="spellEnd"/>
      <w:r w:rsidRPr="000A08D9">
        <w:rPr>
          <w:lang w:eastAsia="bg-BG"/>
        </w:rPr>
        <w:t xml:space="preserve"> </w:t>
      </w:r>
      <w:proofErr w:type="spellStart"/>
      <w:r w:rsidRPr="000A08D9">
        <w:rPr>
          <w:lang w:eastAsia="bg-BG"/>
        </w:rPr>
        <w:t>верзиколор</w:t>
      </w:r>
      <w:proofErr w:type="spellEnd"/>
      <w:r w:rsidRPr="000A08D9">
        <w:rPr>
          <w:lang w:eastAsia="bg-BG"/>
        </w:rPr>
        <w:t xml:space="preserve"> (причинен от </w:t>
      </w:r>
      <w:proofErr w:type="spellStart"/>
      <w:r w:rsidRPr="000A08D9">
        <w:rPr>
          <w:i/>
          <w:iCs/>
          <w:lang w:val="en-US"/>
        </w:rPr>
        <w:t>Pityrosporum</w:t>
      </w:r>
      <w:proofErr w:type="spellEnd"/>
      <w:r w:rsidRPr="000A08D9">
        <w:rPr>
          <w:i/>
          <w:iCs/>
          <w:lang w:val="en-US"/>
        </w:rPr>
        <w:t xml:space="preserve"> </w:t>
      </w:r>
      <w:proofErr w:type="spellStart"/>
      <w:r w:rsidRPr="000A08D9">
        <w:rPr>
          <w:i/>
          <w:iCs/>
          <w:lang w:val="en-US"/>
        </w:rPr>
        <w:t>orbiculare</w:t>
      </w:r>
      <w:proofErr w:type="spellEnd"/>
      <w:r w:rsidRPr="000A08D9">
        <w:rPr>
          <w:lang w:val="en-US"/>
        </w:rPr>
        <w:t xml:space="preserve"> </w:t>
      </w:r>
      <w:r w:rsidRPr="000A08D9">
        <w:rPr>
          <w:lang w:eastAsia="bg-BG"/>
        </w:rPr>
        <w:t xml:space="preserve">и </w:t>
      </w:r>
      <w:proofErr w:type="spellStart"/>
      <w:r w:rsidRPr="000A08D9">
        <w:rPr>
          <w:i/>
          <w:iCs/>
          <w:lang w:val="en-US"/>
        </w:rPr>
        <w:t>Pityrosporum</w:t>
      </w:r>
      <w:proofErr w:type="spellEnd"/>
      <w:r w:rsidRPr="000A08D9">
        <w:rPr>
          <w:i/>
          <w:iCs/>
          <w:lang w:val="en-US"/>
        </w:rPr>
        <w:t xml:space="preserve"> </w:t>
      </w:r>
      <w:proofErr w:type="spellStart"/>
      <w:r w:rsidRPr="000A08D9">
        <w:rPr>
          <w:i/>
          <w:iCs/>
          <w:lang w:val="en-US"/>
        </w:rPr>
        <w:t>ovale</w:t>
      </w:r>
      <w:proofErr w:type="spellEnd"/>
      <w:r w:rsidRPr="000A08D9">
        <w:rPr>
          <w:i/>
          <w:iCs/>
          <w:lang w:val="en-US"/>
        </w:rPr>
        <w:t>).</w:t>
      </w:r>
    </w:p>
    <w:p w14:paraId="7CFC1945" w14:textId="11B423C2" w:rsidR="000A08D9" w:rsidRPr="000A08D9" w:rsidRDefault="000A08D9" w:rsidP="000A08D9">
      <w:pPr>
        <w:pStyle w:val="a3"/>
        <w:numPr>
          <w:ilvl w:val="0"/>
          <w:numId w:val="26"/>
        </w:numPr>
        <w:rPr>
          <w:sz w:val="24"/>
          <w:szCs w:val="24"/>
        </w:rPr>
      </w:pPr>
      <w:proofErr w:type="spellStart"/>
      <w:r w:rsidRPr="000A08D9">
        <w:rPr>
          <w:lang w:eastAsia="bg-BG"/>
        </w:rPr>
        <w:t>Отомикози</w:t>
      </w:r>
      <w:proofErr w:type="spellEnd"/>
      <w:r w:rsidRPr="000A08D9">
        <w:rPr>
          <w:lang w:eastAsia="bg-BG"/>
        </w:rPr>
        <w:t xml:space="preserve"> (от </w:t>
      </w:r>
      <w:r w:rsidRPr="000A08D9">
        <w:rPr>
          <w:lang w:val="en-US"/>
        </w:rPr>
        <w:t xml:space="preserve">Candida </w:t>
      </w:r>
      <w:r w:rsidRPr="000A08D9">
        <w:rPr>
          <w:lang w:eastAsia="bg-BG"/>
        </w:rPr>
        <w:t xml:space="preserve">или </w:t>
      </w:r>
      <w:proofErr w:type="spellStart"/>
      <w:r w:rsidRPr="000A08D9">
        <w:rPr>
          <w:lang w:eastAsia="bg-BG"/>
        </w:rPr>
        <w:t>квасни</w:t>
      </w:r>
      <w:proofErr w:type="spellEnd"/>
      <w:r w:rsidRPr="000A08D9">
        <w:rPr>
          <w:lang w:eastAsia="bg-BG"/>
        </w:rPr>
        <w:t xml:space="preserve"> гъбички); ако няма перфорация на тъпанчето.</w:t>
      </w:r>
    </w:p>
    <w:p w14:paraId="39F87AC2" w14:textId="77777777" w:rsidR="000A08D9" w:rsidRDefault="000A08D9" w:rsidP="000A08D9">
      <w:pPr>
        <w:pStyle w:val="a3"/>
        <w:numPr>
          <w:ilvl w:val="0"/>
          <w:numId w:val="26"/>
        </w:numPr>
        <w:rPr>
          <w:lang w:eastAsia="bg-BG"/>
        </w:rPr>
      </w:pPr>
      <w:proofErr w:type="spellStart"/>
      <w:r w:rsidRPr="000A08D9">
        <w:rPr>
          <w:lang w:eastAsia="bg-BG"/>
        </w:rPr>
        <w:t>Еритразма.</w:t>
      </w:r>
      <w:proofErr w:type="spellEnd"/>
    </w:p>
    <w:p w14:paraId="6B3C78D8" w14:textId="77777777" w:rsidR="000A08D9" w:rsidRDefault="000A08D9" w:rsidP="000A08D9">
      <w:pPr>
        <w:pStyle w:val="a3"/>
        <w:numPr>
          <w:ilvl w:val="0"/>
          <w:numId w:val="26"/>
        </w:numPr>
        <w:rPr>
          <w:lang w:eastAsia="bg-BG"/>
        </w:rPr>
      </w:pPr>
      <w:r w:rsidRPr="000A08D9">
        <w:rPr>
          <w:lang w:eastAsia="bg-BG"/>
        </w:rPr>
        <w:t>Микози с бактериални суперинфекции (причинени от Грам-положителни бактерии)</w:t>
      </w:r>
    </w:p>
    <w:p w14:paraId="09347EE9" w14:textId="49377A8A" w:rsidR="000A08D9" w:rsidRPr="000A08D9" w:rsidRDefault="000A08D9" w:rsidP="000A08D9">
      <w:pPr>
        <w:pStyle w:val="a3"/>
        <w:numPr>
          <w:ilvl w:val="0"/>
          <w:numId w:val="26"/>
        </w:numPr>
        <w:rPr>
          <w:lang w:eastAsia="bg-BG"/>
        </w:rPr>
      </w:pPr>
      <w:r w:rsidRPr="000A08D9">
        <w:rPr>
          <w:lang w:eastAsia="bg-BG"/>
        </w:rPr>
        <w:t xml:space="preserve">Инфекции на кожата на главата, причинени от </w:t>
      </w:r>
      <w:proofErr w:type="spellStart"/>
      <w:r w:rsidRPr="000A08D9">
        <w:rPr>
          <w:i/>
          <w:iCs/>
          <w:lang w:val="en-US"/>
        </w:rPr>
        <w:t>Pityrosporum</w:t>
      </w:r>
      <w:proofErr w:type="spellEnd"/>
      <w:r w:rsidRPr="000A08D9">
        <w:rPr>
          <w:i/>
          <w:iCs/>
          <w:lang w:val="en-US"/>
        </w:rPr>
        <w:t>.</w:t>
      </w:r>
    </w:p>
    <w:p w14:paraId="6308BA6E" w14:textId="77777777" w:rsidR="000A08D9" w:rsidRPr="003765DC" w:rsidRDefault="000A08D9" w:rsidP="000A08D9">
      <w:pPr>
        <w:rPr>
          <w:lang w:eastAsia="bg-BG"/>
        </w:rPr>
      </w:pPr>
    </w:p>
    <w:p w14:paraId="66024DB0" w14:textId="2DC88F7A" w:rsidR="003765DC" w:rsidRDefault="002C50EE" w:rsidP="002B3C38">
      <w:pPr>
        <w:pStyle w:val="2"/>
      </w:pPr>
      <w:r>
        <w:t>4.2. Дозировка и начин на приложение</w:t>
      </w:r>
    </w:p>
    <w:p w14:paraId="02351371" w14:textId="6AAE8FBD" w:rsidR="000A08D9" w:rsidRDefault="000A08D9" w:rsidP="000A08D9"/>
    <w:p w14:paraId="107B8362" w14:textId="77777777" w:rsidR="000A08D9" w:rsidRPr="000A08D9" w:rsidRDefault="000A08D9" w:rsidP="000A08D9">
      <w:pPr>
        <w:pStyle w:val="3"/>
        <w:rPr>
          <w:rFonts w:eastAsia="Times New Roman"/>
          <w:u w:val="single"/>
        </w:rPr>
      </w:pPr>
      <w:r w:rsidRPr="000A08D9">
        <w:rPr>
          <w:rFonts w:eastAsia="Times New Roman"/>
          <w:u w:val="single"/>
          <w:lang w:eastAsia="bg-BG"/>
        </w:rPr>
        <w:t>Дозировка</w:t>
      </w:r>
    </w:p>
    <w:p w14:paraId="6D6BFA73" w14:textId="77777777" w:rsidR="000A08D9" w:rsidRPr="000A08D9" w:rsidRDefault="000A08D9" w:rsidP="000A08D9">
      <w:pPr>
        <w:spacing w:line="240" w:lineRule="auto"/>
        <w:rPr>
          <w:rFonts w:eastAsia="Times New Roman" w:cs="Arial"/>
        </w:rPr>
      </w:pPr>
      <w:r w:rsidRPr="000A08D9">
        <w:rPr>
          <w:rFonts w:eastAsia="Times New Roman" w:cs="Arial"/>
          <w:color w:val="000000"/>
          <w:lang w:eastAsia="bg-BG"/>
        </w:rPr>
        <w:t xml:space="preserve">Тънък слой </w:t>
      </w:r>
      <w:proofErr w:type="spellStart"/>
      <w:r w:rsidRPr="000A08D9">
        <w:rPr>
          <w:rFonts w:eastAsia="Times New Roman" w:cs="Arial"/>
          <w:color w:val="000000"/>
          <w:lang w:eastAsia="bg-BG"/>
        </w:rPr>
        <w:t>Ломексин</w:t>
      </w:r>
      <w:proofErr w:type="spellEnd"/>
      <w:r w:rsidRPr="000A08D9">
        <w:rPr>
          <w:rFonts w:eastAsia="Times New Roman" w:cs="Arial"/>
          <w:color w:val="000000"/>
          <w:lang w:eastAsia="bg-BG"/>
        </w:rPr>
        <w:t xml:space="preserve"> 2% крем трябва да се нанася 1-2 пъти дневно след измиване и подсушаване на засегнатия кожен участък.</w:t>
      </w:r>
    </w:p>
    <w:p w14:paraId="7F2AD31B" w14:textId="77777777" w:rsidR="000A08D9" w:rsidRPr="000A08D9" w:rsidRDefault="000A08D9" w:rsidP="000A08D9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6274024A" w14:textId="2F19785A" w:rsidR="000A08D9" w:rsidRPr="000A08D9" w:rsidRDefault="000A08D9" w:rsidP="000A08D9">
      <w:pPr>
        <w:spacing w:line="240" w:lineRule="auto"/>
        <w:rPr>
          <w:rFonts w:eastAsia="Times New Roman" w:cs="Arial"/>
        </w:rPr>
      </w:pPr>
      <w:r w:rsidRPr="000A08D9">
        <w:rPr>
          <w:rFonts w:eastAsia="Times New Roman" w:cs="Arial"/>
          <w:i/>
          <w:iCs/>
          <w:color w:val="000000"/>
          <w:lang w:eastAsia="bg-BG"/>
        </w:rPr>
        <w:t>Педиатрична популация</w:t>
      </w:r>
    </w:p>
    <w:p w14:paraId="1788BC1C" w14:textId="77777777" w:rsidR="000A08D9" w:rsidRPr="000A08D9" w:rsidRDefault="000A08D9" w:rsidP="000A08D9">
      <w:pPr>
        <w:spacing w:line="240" w:lineRule="auto"/>
        <w:rPr>
          <w:rFonts w:eastAsia="Times New Roman" w:cs="Arial"/>
        </w:rPr>
      </w:pPr>
      <w:r w:rsidRPr="000A08D9">
        <w:rPr>
          <w:rFonts w:eastAsia="Times New Roman" w:cs="Arial"/>
          <w:color w:val="000000"/>
          <w:lang w:eastAsia="bg-BG"/>
        </w:rPr>
        <w:t xml:space="preserve">Няма съответни данни за употребата на </w:t>
      </w:r>
      <w:proofErr w:type="spellStart"/>
      <w:r w:rsidRPr="000A08D9">
        <w:rPr>
          <w:rFonts w:eastAsia="Times New Roman" w:cs="Arial"/>
          <w:color w:val="000000"/>
          <w:lang w:eastAsia="bg-BG"/>
        </w:rPr>
        <w:t>Ломексин</w:t>
      </w:r>
      <w:proofErr w:type="spellEnd"/>
      <w:r w:rsidRPr="000A08D9">
        <w:rPr>
          <w:rFonts w:eastAsia="Times New Roman" w:cs="Arial"/>
          <w:color w:val="000000"/>
          <w:lang w:eastAsia="bg-BG"/>
        </w:rPr>
        <w:t xml:space="preserve"> крем при педиатричната популация за кожни микози.</w:t>
      </w:r>
    </w:p>
    <w:p w14:paraId="11F2EA76" w14:textId="77777777" w:rsidR="000A08D9" w:rsidRPr="000A08D9" w:rsidRDefault="000A08D9" w:rsidP="000A08D9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3A52EDF" w14:textId="60FE2C35" w:rsidR="000A08D9" w:rsidRPr="000A08D9" w:rsidRDefault="000A08D9" w:rsidP="000A08D9">
      <w:pPr>
        <w:pStyle w:val="3"/>
        <w:rPr>
          <w:rFonts w:eastAsia="Times New Roman"/>
          <w:u w:val="single"/>
        </w:rPr>
      </w:pPr>
      <w:r w:rsidRPr="000A08D9">
        <w:rPr>
          <w:rFonts w:eastAsia="Times New Roman"/>
          <w:u w:val="single"/>
          <w:lang w:eastAsia="bg-BG"/>
        </w:rPr>
        <w:t>Начин на приложение</w:t>
      </w:r>
    </w:p>
    <w:p w14:paraId="271ACFA6" w14:textId="77777777" w:rsidR="000A08D9" w:rsidRDefault="000A08D9" w:rsidP="000A08D9">
      <w:pPr>
        <w:spacing w:line="240" w:lineRule="auto"/>
        <w:rPr>
          <w:rFonts w:eastAsia="Times New Roman" w:cs="Arial"/>
        </w:rPr>
      </w:pPr>
      <w:r w:rsidRPr="000A08D9">
        <w:rPr>
          <w:rFonts w:eastAsia="Times New Roman" w:cs="Arial"/>
          <w:color w:val="000000"/>
          <w:lang w:eastAsia="bg-BG"/>
        </w:rPr>
        <w:t>Прилагане върху кожата</w:t>
      </w:r>
    </w:p>
    <w:p w14:paraId="1A55EB19" w14:textId="7C3D8FEB" w:rsidR="000A08D9" w:rsidRDefault="000A08D9" w:rsidP="000A08D9">
      <w:pPr>
        <w:spacing w:line="240" w:lineRule="auto"/>
        <w:rPr>
          <w:rFonts w:eastAsia="Times New Roman" w:cs="Arial"/>
        </w:rPr>
      </w:pPr>
      <w:r w:rsidRPr="000A08D9">
        <w:rPr>
          <w:rFonts w:eastAsia="Times New Roman" w:cs="Arial"/>
          <w:color w:val="000000"/>
          <w:lang w:eastAsia="bg-BG"/>
        </w:rPr>
        <w:lastRenderedPageBreak/>
        <w:t xml:space="preserve">Лечението с </w:t>
      </w:r>
      <w:proofErr w:type="spellStart"/>
      <w:r w:rsidRPr="000A08D9">
        <w:rPr>
          <w:rFonts w:eastAsia="Times New Roman" w:cs="Arial"/>
          <w:color w:val="000000"/>
          <w:lang w:eastAsia="bg-BG"/>
        </w:rPr>
        <w:t>Ломексин</w:t>
      </w:r>
      <w:proofErr w:type="spellEnd"/>
      <w:r w:rsidRPr="000A08D9">
        <w:rPr>
          <w:rFonts w:eastAsia="Times New Roman" w:cs="Arial"/>
          <w:color w:val="000000"/>
          <w:lang w:eastAsia="bg-BG"/>
        </w:rPr>
        <w:t xml:space="preserve"> 2% крем трябва да бъде продължено редовно </w:t>
      </w:r>
      <w:proofErr w:type="spellStart"/>
      <w:r w:rsidRPr="000A08D9">
        <w:rPr>
          <w:rFonts w:eastAsia="Times New Roman" w:cs="Arial"/>
          <w:color w:val="000000"/>
          <w:lang w:eastAsia="bg-BG"/>
        </w:rPr>
        <w:t>докаго</w:t>
      </w:r>
      <w:proofErr w:type="spellEnd"/>
      <w:r w:rsidRPr="000A08D9">
        <w:rPr>
          <w:rFonts w:eastAsia="Times New Roman" w:cs="Arial"/>
          <w:color w:val="000000"/>
          <w:lang w:eastAsia="bg-BG"/>
        </w:rPr>
        <w:t xml:space="preserve"> инфектираната област на кожата е напълно излекувана. Продължителността на лечението е от една до осем седмици в зависимост от тежестта на заболяването и терапевтичния ефект.</w:t>
      </w:r>
    </w:p>
    <w:p w14:paraId="60C72ACC" w14:textId="77777777" w:rsidR="000A08D9" w:rsidRPr="000A08D9" w:rsidRDefault="000A08D9" w:rsidP="000A08D9">
      <w:pPr>
        <w:spacing w:line="240" w:lineRule="auto"/>
        <w:rPr>
          <w:rFonts w:eastAsia="Times New Roman" w:cs="Arial"/>
        </w:rPr>
      </w:pPr>
    </w:p>
    <w:p w14:paraId="1A261012" w14:textId="53C1BAD6" w:rsidR="003765DC" w:rsidRDefault="002C50EE" w:rsidP="002B3C38">
      <w:pPr>
        <w:pStyle w:val="2"/>
      </w:pPr>
      <w:r>
        <w:t>4.3. Противопоказания</w:t>
      </w:r>
    </w:p>
    <w:p w14:paraId="4A297EB4" w14:textId="34EEACDD" w:rsidR="000A08D9" w:rsidRDefault="000A08D9" w:rsidP="000A08D9"/>
    <w:p w14:paraId="138E5E4F" w14:textId="77777777" w:rsidR="000A08D9" w:rsidRPr="000A08D9" w:rsidRDefault="000A08D9" w:rsidP="000A08D9">
      <w:pPr>
        <w:rPr>
          <w:sz w:val="24"/>
          <w:szCs w:val="24"/>
        </w:rPr>
      </w:pPr>
      <w:r w:rsidRPr="000A08D9">
        <w:rPr>
          <w:lang w:eastAsia="bg-BG"/>
        </w:rPr>
        <w:t xml:space="preserve">Свръхчувствителност към активното вещество или към някое от помощните вещества, изброени в точка 6.1. Ако се появи реакция на свръхчувствителност, прекратете лечението с </w:t>
      </w:r>
      <w:proofErr w:type="spellStart"/>
      <w:r w:rsidRPr="000A08D9">
        <w:rPr>
          <w:lang w:eastAsia="bg-BG"/>
        </w:rPr>
        <w:t>фентиконазол</w:t>
      </w:r>
      <w:proofErr w:type="spellEnd"/>
      <w:r w:rsidRPr="000A08D9">
        <w:rPr>
          <w:lang w:eastAsia="bg-BG"/>
        </w:rPr>
        <w:t xml:space="preserve"> 2% крем.</w:t>
      </w:r>
    </w:p>
    <w:p w14:paraId="57C4B126" w14:textId="77777777" w:rsidR="000A08D9" w:rsidRPr="000A08D9" w:rsidRDefault="000A08D9" w:rsidP="000A08D9">
      <w:pPr>
        <w:rPr>
          <w:sz w:val="24"/>
          <w:szCs w:val="24"/>
        </w:rPr>
      </w:pPr>
      <w:r w:rsidRPr="000A08D9">
        <w:rPr>
          <w:lang w:eastAsia="bg-BG"/>
        </w:rPr>
        <w:t>Педиатрична популация (виж точка 4.2).</w:t>
      </w:r>
    </w:p>
    <w:p w14:paraId="436A5C39" w14:textId="617A79C8" w:rsidR="000A08D9" w:rsidRDefault="000A08D9" w:rsidP="000A08D9">
      <w:pPr>
        <w:rPr>
          <w:lang w:eastAsia="bg-BG"/>
        </w:rPr>
      </w:pPr>
      <w:r w:rsidRPr="000A08D9">
        <w:rPr>
          <w:lang w:eastAsia="bg-BG"/>
        </w:rPr>
        <w:t>Бременност и кърмене (виж точка 4.6).</w:t>
      </w:r>
    </w:p>
    <w:p w14:paraId="329EE71E" w14:textId="77777777" w:rsidR="000A08D9" w:rsidRPr="000A08D9" w:rsidRDefault="000A08D9" w:rsidP="000A08D9"/>
    <w:p w14:paraId="5EF6E7D6" w14:textId="15152E3C" w:rsidR="003765DC" w:rsidRDefault="002C50EE" w:rsidP="002B3C38">
      <w:pPr>
        <w:pStyle w:val="2"/>
      </w:pPr>
      <w:r>
        <w:t>4.4. Специални предупреждения и предпазни мерки при употреба</w:t>
      </w:r>
    </w:p>
    <w:p w14:paraId="689B8072" w14:textId="309B8EA6" w:rsidR="000A08D9" w:rsidRDefault="000A08D9" w:rsidP="000A08D9"/>
    <w:p w14:paraId="3224268E" w14:textId="77777777" w:rsidR="000A08D9" w:rsidRPr="000A08D9" w:rsidRDefault="000A08D9" w:rsidP="000A08D9">
      <w:pPr>
        <w:rPr>
          <w:sz w:val="24"/>
          <w:szCs w:val="24"/>
        </w:rPr>
      </w:pPr>
      <w:r w:rsidRPr="000A08D9">
        <w:rPr>
          <w:lang w:eastAsia="bg-BG"/>
        </w:rPr>
        <w:t>При прилагане върху лезия може да се появи леко парене, което бързо изчезва.</w:t>
      </w:r>
    </w:p>
    <w:p w14:paraId="2FE7ED8E" w14:textId="77777777" w:rsidR="000A08D9" w:rsidRPr="000A08D9" w:rsidRDefault="000A08D9" w:rsidP="000A08D9">
      <w:pPr>
        <w:rPr>
          <w:sz w:val="24"/>
          <w:szCs w:val="24"/>
        </w:rPr>
      </w:pPr>
      <w:r w:rsidRPr="000A08D9">
        <w:rPr>
          <w:lang w:eastAsia="bg-BG"/>
        </w:rPr>
        <w:t>Да се избягва контакт с очите, а ако това се случи, да се изплакне старателно с вода.</w:t>
      </w:r>
    </w:p>
    <w:p w14:paraId="6F913481" w14:textId="77777777" w:rsidR="000A08D9" w:rsidRPr="000A08D9" w:rsidRDefault="000A08D9" w:rsidP="000A08D9">
      <w:pPr>
        <w:rPr>
          <w:sz w:val="24"/>
          <w:szCs w:val="24"/>
        </w:rPr>
      </w:pPr>
      <w:proofErr w:type="spellStart"/>
      <w:r w:rsidRPr="000A08D9">
        <w:rPr>
          <w:lang w:eastAsia="bg-BG"/>
        </w:rPr>
        <w:t>Цетиловият</w:t>
      </w:r>
      <w:proofErr w:type="spellEnd"/>
      <w:r w:rsidRPr="000A08D9">
        <w:rPr>
          <w:lang w:eastAsia="bg-BG"/>
        </w:rPr>
        <w:t xml:space="preserve"> алкохол и ланолин могат да предизвикат кожни реакции (напр. контактен дерматит). Употребата на продукти за локално приложение, особено ако е продължителна, може да доведе до повишаване на чувствителността. В този случай лечението трябва да се прекъсне и да се потърси консултация с лекар.</w:t>
      </w:r>
    </w:p>
    <w:p w14:paraId="5ABC4C19" w14:textId="77777777" w:rsidR="000A08D9" w:rsidRPr="000A08D9" w:rsidRDefault="000A08D9" w:rsidP="000A08D9"/>
    <w:p w14:paraId="297352C8" w14:textId="3098237D" w:rsidR="003765DC" w:rsidRDefault="002C50EE" w:rsidP="002B3C38">
      <w:pPr>
        <w:pStyle w:val="2"/>
      </w:pPr>
      <w:r>
        <w:t>4.5. Взаимодействие с други лекарствени продукти и други форми на взаимодействие</w:t>
      </w:r>
    </w:p>
    <w:p w14:paraId="171BFCD2" w14:textId="77777777" w:rsidR="000A08D9" w:rsidRDefault="000A08D9" w:rsidP="000A08D9"/>
    <w:p w14:paraId="5796382B" w14:textId="7734E431" w:rsidR="000A08D9" w:rsidRDefault="000A08D9" w:rsidP="000A08D9">
      <w:r>
        <w:t>Не са известни взаимодействия с други лекарствени продукти.</w:t>
      </w:r>
    </w:p>
    <w:p w14:paraId="43231CF1" w14:textId="77777777" w:rsidR="000A08D9" w:rsidRPr="000A08D9" w:rsidRDefault="000A08D9" w:rsidP="000A08D9"/>
    <w:p w14:paraId="20B09708" w14:textId="51797283" w:rsidR="003765DC" w:rsidRDefault="002C50EE" w:rsidP="002B3C38">
      <w:pPr>
        <w:pStyle w:val="2"/>
      </w:pPr>
      <w:r>
        <w:t xml:space="preserve">4.6. </w:t>
      </w:r>
      <w:proofErr w:type="spellStart"/>
      <w:r>
        <w:t>Фертилитет</w:t>
      </w:r>
      <w:proofErr w:type="spellEnd"/>
      <w:r>
        <w:t>, бременност и кърмене</w:t>
      </w:r>
    </w:p>
    <w:p w14:paraId="3B2AE235" w14:textId="77777777" w:rsidR="000A08D9" w:rsidRPr="000A08D9" w:rsidRDefault="000A08D9" w:rsidP="000A08D9"/>
    <w:p w14:paraId="2574FF73" w14:textId="77777777" w:rsidR="000A08D9" w:rsidRPr="000A08D9" w:rsidRDefault="000A08D9" w:rsidP="000A08D9">
      <w:pPr>
        <w:pStyle w:val="3"/>
        <w:rPr>
          <w:rFonts w:eastAsia="Times New Roman"/>
        </w:rPr>
      </w:pPr>
      <w:r w:rsidRPr="000A08D9">
        <w:rPr>
          <w:rFonts w:eastAsia="Times New Roman"/>
          <w:lang w:eastAsia="bg-BG"/>
        </w:rPr>
        <w:t>Бременност</w:t>
      </w:r>
    </w:p>
    <w:p w14:paraId="1478AEA7" w14:textId="77777777" w:rsidR="000A08D9" w:rsidRPr="000A08D9" w:rsidRDefault="000A08D9" w:rsidP="000A08D9">
      <w:pPr>
        <w:spacing w:line="240" w:lineRule="auto"/>
        <w:rPr>
          <w:rFonts w:eastAsia="Times New Roman" w:cs="Arial"/>
        </w:rPr>
      </w:pPr>
      <w:r w:rsidRPr="000A08D9">
        <w:rPr>
          <w:rFonts w:eastAsia="Times New Roman" w:cs="Arial"/>
          <w:color w:val="000000"/>
          <w:lang w:eastAsia="bg-BG"/>
        </w:rPr>
        <w:t xml:space="preserve">Липсват или има ограничени налични данни за ефекта на </w:t>
      </w:r>
      <w:proofErr w:type="spellStart"/>
      <w:r w:rsidRPr="000A08D9">
        <w:rPr>
          <w:rFonts w:eastAsia="Times New Roman" w:cs="Arial"/>
          <w:color w:val="000000"/>
          <w:lang w:eastAsia="bg-BG"/>
        </w:rPr>
        <w:t>фентиконазол</w:t>
      </w:r>
      <w:proofErr w:type="spellEnd"/>
      <w:r w:rsidRPr="000A08D9">
        <w:rPr>
          <w:rFonts w:eastAsia="Times New Roman" w:cs="Arial"/>
          <w:color w:val="000000"/>
          <w:lang w:eastAsia="bg-BG"/>
        </w:rPr>
        <w:t xml:space="preserve"> при бременни жени. Проучвания при животни са показали репродуктивна токсичност (виж точка 5.3) </w:t>
      </w:r>
      <w:proofErr w:type="spellStart"/>
      <w:r w:rsidRPr="000A08D9">
        <w:rPr>
          <w:rFonts w:eastAsia="Times New Roman" w:cs="Arial"/>
          <w:color w:val="000000"/>
          <w:lang w:eastAsia="bg-BG"/>
        </w:rPr>
        <w:t>Ломексин</w:t>
      </w:r>
      <w:proofErr w:type="spellEnd"/>
      <w:r w:rsidRPr="000A08D9">
        <w:rPr>
          <w:rFonts w:eastAsia="Times New Roman" w:cs="Arial"/>
          <w:color w:val="000000"/>
          <w:lang w:eastAsia="bg-BG"/>
        </w:rPr>
        <w:t xml:space="preserve"> не се препоръчва по време на бременност, освен по изрично предписание от лекар.</w:t>
      </w:r>
    </w:p>
    <w:p w14:paraId="62EAD9B9" w14:textId="77777777" w:rsidR="000A08D9" w:rsidRPr="000A08D9" w:rsidRDefault="000A08D9" w:rsidP="000A08D9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4D10845" w14:textId="7DAFF8DB" w:rsidR="000A08D9" w:rsidRPr="000A08D9" w:rsidRDefault="000A08D9" w:rsidP="000A08D9">
      <w:pPr>
        <w:pStyle w:val="3"/>
        <w:rPr>
          <w:rFonts w:eastAsia="Times New Roman"/>
        </w:rPr>
      </w:pPr>
      <w:r w:rsidRPr="000A08D9">
        <w:rPr>
          <w:rFonts w:eastAsia="Times New Roman"/>
          <w:lang w:eastAsia="bg-BG"/>
        </w:rPr>
        <w:t>Кърмене</w:t>
      </w:r>
    </w:p>
    <w:p w14:paraId="12372379" w14:textId="77777777" w:rsidR="000A08D9" w:rsidRPr="000A08D9" w:rsidRDefault="000A08D9" w:rsidP="000A08D9">
      <w:pPr>
        <w:spacing w:line="240" w:lineRule="auto"/>
        <w:rPr>
          <w:rFonts w:eastAsia="Times New Roman" w:cs="Arial"/>
        </w:rPr>
      </w:pPr>
      <w:r w:rsidRPr="000A08D9">
        <w:rPr>
          <w:rFonts w:eastAsia="Times New Roman" w:cs="Arial"/>
          <w:color w:val="000000"/>
          <w:lang w:eastAsia="bg-BG"/>
        </w:rPr>
        <w:t xml:space="preserve">Наличните </w:t>
      </w:r>
      <w:proofErr w:type="spellStart"/>
      <w:r w:rsidRPr="000A08D9">
        <w:rPr>
          <w:rFonts w:eastAsia="Times New Roman" w:cs="Arial"/>
          <w:color w:val="000000"/>
          <w:lang w:eastAsia="bg-BG"/>
        </w:rPr>
        <w:t>фармакодинамични</w:t>
      </w:r>
      <w:proofErr w:type="spellEnd"/>
      <w:r w:rsidRPr="000A08D9">
        <w:rPr>
          <w:rFonts w:eastAsia="Times New Roman" w:cs="Arial"/>
          <w:color w:val="000000"/>
          <w:lang w:eastAsia="bg-BG"/>
        </w:rPr>
        <w:t xml:space="preserve">/токсикологични данни при животни са показали екскреция на </w:t>
      </w:r>
      <w:proofErr w:type="spellStart"/>
      <w:r w:rsidRPr="000A08D9">
        <w:rPr>
          <w:rFonts w:eastAsia="Times New Roman" w:cs="Arial"/>
          <w:color w:val="000000"/>
          <w:lang w:eastAsia="bg-BG"/>
        </w:rPr>
        <w:t>фенитиконазол</w:t>
      </w:r>
      <w:proofErr w:type="spellEnd"/>
      <w:r w:rsidRPr="000A08D9">
        <w:rPr>
          <w:rFonts w:eastAsia="Times New Roman" w:cs="Arial"/>
          <w:color w:val="000000"/>
          <w:lang w:eastAsia="bg-BG"/>
        </w:rPr>
        <w:t xml:space="preserve">/метаболити в млякото (за детайли виж точка 5.3) </w:t>
      </w:r>
      <w:proofErr w:type="spellStart"/>
      <w:r w:rsidRPr="000A08D9">
        <w:rPr>
          <w:rFonts w:eastAsia="Times New Roman" w:cs="Arial"/>
          <w:color w:val="000000"/>
          <w:lang w:eastAsia="bg-BG"/>
        </w:rPr>
        <w:t>Фентиконазол</w:t>
      </w:r>
      <w:proofErr w:type="spellEnd"/>
      <w:r w:rsidRPr="000A08D9">
        <w:rPr>
          <w:rFonts w:eastAsia="Times New Roman" w:cs="Arial"/>
          <w:color w:val="000000"/>
          <w:lang w:eastAsia="bg-BG"/>
        </w:rPr>
        <w:t xml:space="preserve"> или неговите метаболити преминават </w:t>
      </w:r>
      <w:proofErr w:type="spellStart"/>
      <w:r w:rsidRPr="000A08D9">
        <w:rPr>
          <w:rFonts w:eastAsia="Times New Roman" w:cs="Arial"/>
          <w:color w:val="000000"/>
          <w:lang w:eastAsia="bg-BG"/>
        </w:rPr>
        <w:t>плацентарната</w:t>
      </w:r>
      <w:proofErr w:type="spellEnd"/>
      <w:r w:rsidRPr="000A08D9">
        <w:rPr>
          <w:rFonts w:eastAsia="Times New Roman" w:cs="Arial"/>
          <w:color w:val="000000"/>
          <w:lang w:eastAsia="bg-BG"/>
        </w:rPr>
        <w:t xml:space="preserve"> бариера при бременни плъхове и зайци след вагинално приложение и се </w:t>
      </w:r>
      <w:proofErr w:type="spellStart"/>
      <w:r w:rsidRPr="000A08D9">
        <w:rPr>
          <w:rFonts w:eastAsia="Times New Roman" w:cs="Arial"/>
          <w:color w:val="000000"/>
          <w:lang w:eastAsia="bg-BG"/>
        </w:rPr>
        <w:t>ексретират</w:t>
      </w:r>
      <w:proofErr w:type="spellEnd"/>
      <w:r w:rsidRPr="000A08D9">
        <w:rPr>
          <w:rFonts w:eastAsia="Times New Roman" w:cs="Arial"/>
          <w:color w:val="000000"/>
          <w:lang w:eastAsia="bg-BG"/>
        </w:rPr>
        <w:t xml:space="preserve"> в млякото на кърмещи плъхове.</w:t>
      </w:r>
    </w:p>
    <w:p w14:paraId="68589BB7" w14:textId="5AE8BFDC" w:rsidR="000A08D9" w:rsidRPr="000A08D9" w:rsidRDefault="000A08D9" w:rsidP="000A08D9">
      <w:pPr>
        <w:spacing w:line="240" w:lineRule="auto"/>
        <w:rPr>
          <w:rFonts w:eastAsia="Times New Roman" w:cs="Arial"/>
        </w:rPr>
      </w:pPr>
      <w:r w:rsidRPr="000A08D9">
        <w:rPr>
          <w:rFonts w:eastAsia="Times New Roman" w:cs="Arial"/>
          <w:color w:val="000000"/>
          <w:lang w:eastAsia="bg-BG"/>
        </w:rPr>
        <w:t>Рискът за новородени/бебета не може да бъде изключен.</w:t>
      </w:r>
    </w:p>
    <w:p w14:paraId="71D6DCFD" w14:textId="77777777" w:rsidR="000A08D9" w:rsidRPr="000A08D9" w:rsidRDefault="000A08D9" w:rsidP="000A08D9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A5AB59D" w14:textId="0B87BFD4" w:rsidR="000A08D9" w:rsidRPr="000A08D9" w:rsidRDefault="000A08D9" w:rsidP="000A08D9">
      <w:pPr>
        <w:spacing w:line="240" w:lineRule="auto"/>
        <w:rPr>
          <w:rFonts w:eastAsia="Times New Roman" w:cs="Arial"/>
        </w:rPr>
      </w:pPr>
      <w:proofErr w:type="spellStart"/>
      <w:r w:rsidRPr="000A08D9">
        <w:rPr>
          <w:rFonts w:eastAsia="Times New Roman" w:cs="Arial"/>
          <w:color w:val="000000"/>
          <w:lang w:eastAsia="bg-BG"/>
        </w:rPr>
        <w:t>Ломексин</w:t>
      </w:r>
      <w:proofErr w:type="spellEnd"/>
      <w:r w:rsidRPr="000A08D9">
        <w:rPr>
          <w:rFonts w:eastAsia="Times New Roman" w:cs="Arial"/>
          <w:color w:val="000000"/>
          <w:lang w:eastAsia="bg-BG"/>
        </w:rPr>
        <w:t xml:space="preserve"> не се препоръчва за употреба по време на целия период на кърмене, освен по изрично предписание от лекар.</w:t>
      </w:r>
    </w:p>
    <w:p w14:paraId="4CC70E98" w14:textId="77777777" w:rsidR="000A08D9" w:rsidRPr="000A08D9" w:rsidRDefault="000A08D9" w:rsidP="000A08D9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4F624B8" w14:textId="5266CCAE" w:rsidR="000A08D9" w:rsidRPr="000A08D9" w:rsidRDefault="000A08D9" w:rsidP="000A08D9">
      <w:pPr>
        <w:pStyle w:val="3"/>
        <w:rPr>
          <w:rFonts w:eastAsia="Times New Roman"/>
        </w:rPr>
      </w:pPr>
      <w:proofErr w:type="spellStart"/>
      <w:r w:rsidRPr="000A08D9">
        <w:rPr>
          <w:rFonts w:eastAsia="Times New Roman"/>
          <w:lang w:eastAsia="bg-BG"/>
        </w:rPr>
        <w:lastRenderedPageBreak/>
        <w:t>Фертилитет</w:t>
      </w:r>
      <w:proofErr w:type="spellEnd"/>
    </w:p>
    <w:p w14:paraId="21EB9B22" w14:textId="77777777" w:rsidR="000A08D9" w:rsidRPr="000A08D9" w:rsidRDefault="000A08D9" w:rsidP="000A08D9">
      <w:pPr>
        <w:spacing w:line="240" w:lineRule="auto"/>
        <w:rPr>
          <w:rFonts w:eastAsia="Times New Roman" w:cs="Arial"/>
        </w:rPr>
      </w:pPr>
      <w:r w:rsidRPr="000A08D9">
        <w:rPr>
          <w:rFonts w:eastAsia="Times New Roman" w:cs="Arial"/>
          <w:color w:val="000000"/>
          <w:lang w:eastAsia="bg-BG"/>
        </w:rPr>
        <w:t xml:space="preserve">Липсват или има ограничени налични данни за ефекта на </w:t>
      </w:r>
      <w:proofErr w:type="spellStart"/>
      <w:r w:rsidRPr="000A08D9">
        <w:rPr>
          <w:rFonts w:eastAsia="Times New Roman" w:cs="Arial"/>
          <w:color w:val="000000"/>
          <w:lang w:eastAsia="bg-BG"/>
        </w:rPr>
        <w:t>фентиконазол</w:t>
      </w:r>
      <w:proofErr w:type="spellEnd"/>
      <w:r w:rsidRPr="000A08D9">
        <w:rPr>
          <w:rFonts w:eastAsia="Times New Roman" w:cs="Arial"/>
          <w:color w:val="000000"/>
          <w:lang w:eastAsia="bg-BG"/>
        </w:rPr>
        <w:t xml:space="preserve"> върху </w:t>
      </w:r>
      <w:proofErr w:type="spellStart"/>
      <w:r w:rsidRPr="000A08D9">
        <w:rPr>
          <w:rFonts w:eastAsia="Times New Roman" w:cs="Arial"/>
          <w:color w:val="000000"/>
          <w:lang w:eastAsia="bg-BG"/>
        </w:rPr>
        <w:t>фертилитета</w:t>
      </w:r>
      <w:proofErr w:type="spellEnd"/>
      <w:r w:rsidRPr="000A08D9">
        <w:rPr>
          <w:rFonts w:eastAsia="Times New Roman" w:cs="Arial"/>
          <w:color w:val="000000"/>
          <w:lang w:eastAsia="bg-BG"/>
        </w:rPr>
        <w:t xml:space="preserve"> при жени/мъже.</w:t>
      </w:r>
    </w:p>
    <w:p w14:paraId="66AB3D98" w14:textId="77777777" w:rsidR="000A08D9" w:rsidRPr="000A08D9" w:rsidRDefault="000A08D9" w:rsidP="000A08D9">
      <w:pPr>
        <w:spacing w:line="240" w:lineRule="auto"/>
        <w:rPr>
          <w:rFonts w:eastAsia="Times New Roman" w:cs="Arial"/>
        </w:rPr>
      </w:pPr>
      <w:proofErr w:type="spellStart"/>
      <w:r w:rsidRPr="000A08D9">
        <w:rPr>
          <w:rFonts w:eastAsia="Times New Roman" w:cs="Arial"/>
          <w:color w:val="000000"/>
          <w:lang w:eastAsia="bg-BG"/>
        </w:rPr>
        <w:t>Ломексин</w:t>
      </w:r>
      <w:proofErr w:type="spellEnd"/>
      <w:r w:rsidRPr="000A08D9">
        <w:rPr>
          <w:rFonts w:eastAsia="Times New Roman" w:cs="Arial"/>
          <w:color w:val="000000"/>
          <w:lang w:eastAsia="bg-BG"/>
        </w:rPr>
        <w:t xml:space="preserve"> не се препоръчва при жени с детероден потенциал, които не използват </w:t>
      </w:r>
      <w:proofErr w:type="spellStart"/>
      <w:r w:rsidRPr="000A08D9">
        <w:rPr>
          <w:rFonts w:eastAsia="Times New Roman" w:cs="Arial"/>
          <w:color w:val="000000"/>
          <w:lang w:eastAsia="bg-BG"/>
        </w:rPr>
        <w:t>контарацепция</w:t>
      </w:r>
      <w:proofErr w:type="spellEnd"/>
      <w:r w:rsidRPr="000A08D9">
        <w:rPr>
          <w:rFonts w:eastAsia="Times New Roman" w:cs="Arial"/>
          <w:color w:val="000000"/>
          <w:lang w:eastAsia="bg-BG"/>
        </w:rPr>
        <w:t>.</w:t>
      </w:r>
    </w:p>
    <w:p w14:paraId="59B6B638" w14:textId="77777777" w:rsidR="000A08D9" w:rsidRPr="000A08D9" w:rsidRDefault="000A08D9" w:rsidP="000A08D9"/>
    <w:p w14:paraId="13465597" w14:textId="5B335BCB" w:rsidR="003765DC" w:rsidRDefault="002C50EE" w:rsidP="002B3C38">
      <w:pPr>
        <w:pStyle w:val="2"/>
      </w:pPr>
      <w:r>
        <w:t>4.7. Ефекти върху способността за шофиране и работа с машини</w:t>
      </w:r>
    </w:p>
    <w:p w14:paraId="5C555808" w14:textId="511F0A37" w:rsidR="000A08D9" w:rsidRDefault="000A08D9" w:rsidP="000A08D9"/>
    <w:p w14:paraId="2ED7BB9F" w14:textId="0425D6EA" w:rsidR="000A08D9" w:rsidRDefault="000A08D9" w:rsidP="000A08D9">
      <w:proofErr w:type="spellStart"/>
      <w:r>
        <w:t>Ломексин</w:t>
      </w:r>
      <w:proofErr w:type="spellEnd"/>
      <w:r>
        <w:t xml:space="preserve"> крем не оказва влияние на способността за шофиране и работа с машини.</w:t>
      </w:r>
    </w:p>
    <w:p w14:paraId="3AB2724D" w14:textId="77777777" w:rsidR="000A08D9" w:rsidRPr="000A08D9" w:rsidRDefault="000A08D9" w:rsidP="000A08D9"/>
    <w:p w14:paraId="5D66F04B" w14:textId="6AD7BCA7" w:rsidR="003765DC" w:rsidRDefault="002C50EE" w:rsidP="002B3C38">
      <w:pPr>
        <w:pStyle w:val="2"/>
      </w:pPr>
      <w:r>
        <w:t>4.8. Нежелани лекарствени реакции</w:t>
      </w:r>
    </w:p>
    <w:p w14:paraId="716D33D9" w14:textId="056AFC4E" w:rsidR="000A08D9" w:rsidRDefault="000A08D9" w:rsidP="000A08D9"/>
    <w:p w14:paraId="745DE22C" w14:textId="64D6FD88" w:rsidR="000A08D9" w:rsidRDefault="000A08D9" w:rsidP="000A08D9">
      <w:pPr>
        <w:rPr>
          <w:lang w:eastAsia="bg-BG"/>
        </w:rPr>
      </w:pPr>
      <w:r w:rsidRPr="000A08D9">
        <w:rPr>
          <w:lang w:eastAsia="bg-BG"/>
        </w:rPr>
        <w:t xml:space="preserve">В таблицата по-долу, нежеланите лекарствени реакции са изброени в съответствие с класификацията </w:t>
      </w:r>
      <w:r w:rsidRPr="000A08D9">
        <w:rPr>
          <w:lang w:val="en-US"/>
        </w:rPr>
        <w:t xml:space="preserve">MedDRA </w:t>
      </w:r>
      <w:r w:rsidRPr="000A08D9">
        <w:rPr>
          <w:lang w:eastAsia="bg-BG"/>
        </w:rPr>
        <w:t>орган -клас и честота: много чести (</w:t>
      </w:r>
      <w:r w:rsidRPr="000A08D9">
        <w:rPr>
          <w:lang w:val="en-US"/>
        </w:rPr>
        <w:t>≥</w:t>
      </w:r>
      <w:r w:rsidRPr="000A08D9">
        <w:rPr>
          <w:lang w:eastAsia="bg-BG"/>
        </w:rPr>
        <w:t xml:space="preserve">1/10); чести </w:t>
      </w:r>
      <w:r w:rsidRPr="000A08D9">
        <w:rPr>
          <w:i/>
          <w:iCs/>
          <w:lang w:eastAsia="bg-BG"/>
        </w:rPr>
        <w:t>(</w:t>
      </w:r>
      <w:r w:rsidRPr="000A08D9">
        <w:rPr>
          <w:i/>
          <w:iCs/>
          <w:lang w:val="en-US"/>
        </w:rPr>
        <w:t>≥</w:t>
      </w:r>
      <w:r w:rsidRPr="000A08D9">
        <w:rPr>
          <w:i/>
          <w:iCs/>
          <w:lang w:eastAsia="bg-BG"/>
        </w:rPr>
        <w:t>1/100 до</w:t>
      </w:r>
      <w:r w:rsidRPr="000A08D9">
        <w:rPr>
          <w:lang w:eastAsia="bg-BG"/>
        </w:rPr>
        <w:t xml:space="preserve"> &lt;1/10); нечести (</w:t>
      </w:r>
      <w:r w:rsidRPr="000A08D9">
        <w:rPr>
          <w:lang w:val="en-US"/>
        </w:rPr>
        <w:t>≥</w:t>
      </w:r>
      <w:r w:rsidRPr="000A08D9">
        <w:rPr>
          <w:lang w:eastAsia="bg-BG"/>
        </w:rPr>
        <w:t>1/1 000 до &lt;1/100); редки (</w:t>
      </w:r>
      <w:r w:rsidRPr="000A08D9">
        <w:rPr>
          <w:lang w:val="en-US"/>
        </w:rPr>
        <w:t>≥</w:t>
      </w:r>
      <w:r w:rsidRPr="000A08D9">
        <w:rPr>
          <w:lang w:eastAsia="bg-BG"/>
        </w:rPr>
        <w:t>1/10 000 до &lt;1/1 000); много редки (&lt;1/10 000),</w:t>
      </w:r>
      <w:r w:rsidRPr="000A08D9">
        <w:rPr>
          <w:lang w:val="en-US"/>
        </w:rPr>
        <w:t xml:space="preserve"> </w:t>
      </w:r>
      <w:r w:rsidRPr="000A08D9">
        <w:rPr>
          <w:lang w:eastAsia="bg-BG"/>
        </w:rPr>
        <w:t>с не</w:t>
      </w:r>
      <w:r>
        <w:rPr>
          <w:lang w:eastAsia="bg-BG"/>
        </w:rPr>
        <w:t>и</w:t>
      </w:r>
      <w:r w:rsidRPr="000A08D9">
        <w:rPr>
          <w:lang w:eastAsia="bg-BG"/>
        </w:rPr>
        <w:t>звестна</w:t>
      </w:r>
      <w:r>
        <w:rPr>
          <w:sz w:val="24"/>
          <w:szCs w:val="24"/>
          <w:lang w:val="en-US"/>
        </w:rPr>
        <w:t xml:space="preserve"> </w:t>
      </w:r>
      <w:r w:rsidRPr="000A08D9">
        <w:rPr>
          <w:lang w:eastAsia="bg-BG"/>
        </w:rPr>
        <w:t>честота (не може да се направи оценка от наличните данни).</w:t>
      </w:r>
    </w:p>
    <w:p w14:paraId="26C92991" w14:textId="0E4C6D61" w:rsidR="000A08D9" w:rsidRDefault="000A08D9" w:rsidP="000A08D9">
      <w:pPr>
        <w:rPr>
          <w:lang w:eastAsia="bg-BG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22"/>
        <w:gridCol w:w="3100"/>
        <w:gridCol w:w="3128"/>
      </w:tblGrid>
      <w:tr w:rsidR="000A08D9" w14:paraId="333632E6" w14:textId="77777777" w:rsidTr="004D7D7E">
        <w:tc>
          <w:tcPr>
            <w:tcW w:w="3192" w:type="dxa"/>
            <w:vAlign w:val="bottom"/>
          </w:tcPr>
          <w:p w14:paraId="1B5411FF" w14:textId="1BD8E326" w:rsidR="000A08D9" w:rsidRDefault="000A08D9" w:rsidP="000A08D9">
            <w:pPr>
              <w:rPr>
                <w:sz w:val="24"/>
                <w:szCs w:val="24"/>
              </w:rPr>
            </w:pPr>
            <w:proofErr w:type="spellStart"/>
            <w:r>
              <w:t>Системо</w:t>
            </w:r>
            <w:proofErr w:type="spellEnd"/>
            <w:r>
              <w:t>-органен клас</w:t>
            </w:r>
          </w:p>
        </w:tc>
        <w:tc>
          <w:tcPr>
            <w:tcW w:w="3192" w:type="dxa"/>
            <w:vAlign w:val="bottom"/>
          </w:tcPr>
          <w:p w14:paraId="03431D1C" w14:textId="6A8EEAF7" w:rsidR="000A08D9" w:rsidRDefault="000A08D9" w:rsidP="000A08D9">
            <w:pPr>
              <w:rPr>
                <w:sz w:val="24"/>
                <w:szCs w:val="24"/>
              </w:rPr>
            </w:pPr>
            <w:r>
              <w:t>Честота</w:t>
            </w:r>
          </w:p>
        </w:tc>
        <w:tc>
          <w:tcPr>
            <w:tcW w:w="3192" w:type="dxa"/>
          </w:tcPr>
          <w:p w14:paraId="40C07ADC" w14:textId="40769886" w:rsidR="000A08D9" w:rsidRDefault="000A08D9" w:rsidP="000A08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Предпочитан термин</w:t>
            </w:r>
          </w:p>
        </w:tc>
      </w:tr>
      <w:tr w:rsidR="000A08D9" w14:paraId="093914B0" w14:textId="77777777" w:rsidTr="000A08D9">
        <w:trPr>
          <w:trHeight w:val="1880"/>
        </w:trPr>
        <w:tc>
          <w:tcPr>
            <w:tcW w:w="3192" w:type="dxa"/>
          </w:tcPr>
          <w:p w14:paraId="414B7E64" w14:textId="38A488B7" w:rsidR="000A08D9" w:rsidRPr="000A08D9" w:rsidRDefault="000A08D9" w:rsidP="000A08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</w:rPr>
              <w:t xml:space="preserve">Нарушения на кожата и </w:t>
            </w:r>
            <w:r w:rsidRPr="000A08D9">
              <w:rPr>
                <w:b/>
                <w:bCs/>
                <w:lang w:eastAsia="bg-BG"/>
              </w:rPr>
              <w:t>подкожната тъкан</w:t>
            </w:r>
          </w:p>
        </w:tc>
        <w:tc>
          <w:tcPr>
            <w:tcW w:w="3192" w:type="dxa"/>
            <w:vAlign w:val="bottom"/>
          </w:tcPr>
          <w:p w14:paraId="083C9E32" w14:textId="2841BBFA" w:rsidR="000A08D9" w:rsidRDefault="000A08D9" w:rsidP="000A08D9">
            <w:pPr>
              <w:rPr>
                <w:sz w:val="24"/>
                <w:szCs w:val="24"/>
              </w:rPr>
            </w:pPr>
            <w:r>
              <w:t>много редки</w:t>
            </w:r>
          </w:p>
        </w:tc>
        <w:tc>
          <w:tcPr>
            <w:tcW w:w="3192" w:type="dxa"/>
          </w:tcPr>
          <w:p w14:paraId="591D7AD8" w14:textId="77777777" w:rsidR="000A08D9" w:rsidRDefault="000A08D9" w:rsidP="000A08D9">
            <w:pPr>
              <w:rPr>
                <w:lang w:val="en-US"/>
              </w:rPr>
            </w:pPr>
            <w:r>
              <w:t>Еритем</w:t>
            </w:r>
            <w:r>
              <w:rPr>
                <w:lang w:val="en-US"/>
              </w:rPr>
              <w:t>a</w:t>
            </w:r>
          </w:p>
          <w:p w14:paraId="36A72C28" w14:textId="77777777" w:rsidR="000A08D9" w:rsidRPr="000A08D9" w:rsidRDefault="000A08D9" w:rsidP="000A08D9">
            <w:pPr>
              <w:spacing w:line="240" w:lineRule="auto"/>
              <w:rPr>
                <w:rFonts w:eastAsia="Times New Roman" w:cs="Arial"/>
              </w:rPr>
            </w:pPr>
            <w:proofErr w:type="spellStart"/>
            <w:r w:rsidRPr="000A08D9">
              <w:rPr>
                <w:rFonts w:eastAsia="Times New Roman" w:cs="Arial"/>
                <w:color w:val="000000"/>
                <w:lang w:eastAsia="bg-BG"/>
              </w:rPr>
              <w:t>Пруритус</w:t>
            </w:r>
            <w:proofErr w:type="spellEnd"/>
          </w:p>
          <w:p w14:paraId="4655BCEB" w14:textId="77777777" w:rsidR="000A08D9" w:rsidRPr="000A08D9" w:rsidRDefault="000A08D9" w:rsidP="000A08D9">
            <w:pPr>
              <w:spacing w:line="240" w:lineRule="auto"/>
              <w:rPr>
                <w:rFonts w:eastAsia="Times New Roman" w:cs="Arial"/>
              </w:rPr>
            </w:pPr>
            <w:r w:rsidRPr="000A08D9">
              <w:rPr>
                <w:rFonts w:eastAsia="Times New Roman" w:cs="Arial"/>
                <w:color w:val="000000"/>
                <w:lang w:eastAsia="bg-BG"/>
              </w:rPr>
              <w:t>Обрив</w:t>
            </w:r>
          </w:p>
          <w:p w14:paraId="623D5AA9" w14:textId="77777777" w:rsidR="000A08D9" w:rsidRPr="000A08D9" w:rsidRDefault="000A08D9" w:rsidP="000A08D9">
            <w:pPr>
              <w:spacing w:line="240" w:lineRule="auto"/>
              <w:rPr>
                <w:rFonts w:eastAsia="Times New Roman" w:cs="Arial"/>
              </w:rPr>
            </w:pPr>
            <w:proofErr w:type="spellStart"/>
            <w:r w:rsidRPr="000A08D9">
              <w:rPr>
                <w:rFonts w:eastAsia="Times New Roman" w:cs="Arial"/>
                <w:color w:val="000000"/>
                <w:lang w:eastAsia="bg-BG"/>
              </w:rPr>
              <w:t>Еритемозен</w:t>
            </w:r>
            <w:proofErr w:type="spellEnd"/>
            <w:r w:rsidRPr="000A08D9">
              <w:rPr>
                <w:rFonts w:eastAsia="Times New Roman" w:cs="Arial"/>
                <w:color w:val="000000"/>
                <w:lang w:eastAsia="bg-BG"/>
              </w:rPr>
              <w:t xml:space="preserve"> обрив</w:t>
            </w:r>
          </w:p>
          <w:p w14:paraId="66CBF6AF" w14:textId="77777777" w:rsidR="000A08D9" w:rsidRPr="000A08D9" w:rsidRDefault="000A08D9" w:rsidP="000A08D9">
            <w:pPr>
              <w:spacing w:line="240" w:lineRule="auto"/>
              <w:rPr>
                <w:rFonts w:eastAsia="Times New Roman" w:cs="Arial"/>
              </w:rPr>
            </w:pPr>
            <w:r w:rsidRPr="000A08D9">
              <w:rPr>
                <w:rFonts w:eastAsia="Times New Roman" w:cs="Arial"/>
                <w:color w:val="000000"/>
                <w:lang w:eastAsia="bg-BG"/>
              </w:rPr>
              <w:t>Дразнене на кожата</w:t>
            </w:r>
          </w:p>
          <w:p w14:paraId="39C389FE" w14:textId="77777777" w:rsidR="000A08D9" w:rsidRPr="000A08D9" w:rsidRDefault="000A08D9" w:rsidP="000A08D9">
            <w:pPr>
              <w:spacing w:line="240" w:lineRule="auto"/>
              <w:rPr>
                <w:rFonts w:eastAsia="Times New Roman" w:cs="Arial"/>
              </w:rPr>
            </w:pPr>
            <w:r w:rsidRPr="000A08D9">
              <w:rPr>
                <w:rFonts w:eastAsia="Times New Roman" w:cs="Arial"/>
                <w:color w:val="000000"/>
                <w:lang w:eastAsia="bg-BG"/>
              </w:rPr>
              <w:t>Чувство на парене на кожата</w:t>
            </w:r>
          </w:p>
          <w:p w14:paraId="188D8BCE" w14:textId="1B1D9658" w:rsidR="000A08D9" w:rsidRDefault="000A08D9" w:rsidP="000A08D9">
            <w:pPr>
              <w:rPr>
                <w:sz w:val="24"/>
                <w:szCs w:val="24"/>
              </w:rPr>
            </w:pPr>
          </w:p>
        </w:tc>
      </w:tr>
      <w:tr w:rsidR="000A08D9" w14:paraId="1A2E3C5C" w14:textId="77777777" w:rsidTr="000A08D9">
        <w:tc>
          <w:tcPr>
            <w:tcW w:w="3192" w:type="dxa"/>
          </w:tcPr>
          <w:p w14:paraId="6DDB55EA" w14:textId="1C09CE9A" w:rsidR="000A08D9" w:rsidRPr="000A08D9" w:rsidRDefault="000A08D9" w:rsidP="000A08D9">
            <w:pPr>
              <w:rPr>
                <w:b/>
                <w:bCs/>
                <w:sz w:val="24"/>
                <w:szCs w:val="24"/>
              </w:rPr>
            </w:pPr>
            <w:r w:rsidRPr="000A08D9">
              <w:rPr>
                <w:b/>
                <w:bCs/>
              </w:rPr>
              <w:t>Общи нарушения и ефекти на мястото на приложение</w:t>
            </w:r>
          </w:p>
        </w:tc>
        <w:tc>
          <w:tcPr>
            <w:tcW w:w="3192" w:type="dxa"/>
          </w:tcPr>
          <w:p w14:paraId="127BD1C5" w14:textId="3F47A61D" w:rsidR="000A08D9" w:rsidRDefault="000A08D9" w:rsidP="000A08D9">
            <w:pPr>
              <w:rPr>
                <w:sz w:val="24"/>
                <w:szCs w:val="24"/>
              </w:rPr>
            </w:pPr>
            <w:r>
              <w:t>много редки</w:t>
            </w:r>
          </w:p>
        </w:tc>
        <w:tc>
          <w:tcPr>
            <w:tcW w:w="3192" w:type="dxa"/>
          </w:tcPr>
          <w:p w14:paraId="332B2B70" w14:textId="3ABC7AE8" w:rsidR="000A08D9" w:rsidRDefault="000A08D9" w:rsidP="000A08D9">
            <w:pPr>
              <w:rPr>
                <w:sz w:val="24"/>
                <w:szCs w:val="24"/>
              </w:rPr>
            </w:pPr>
            <w:r>
              <w:t>Едем</w:t>
            </w:r>
          </w:p>
        </w:tc>
      </w:tr>
    </w:tbl>
    <w:p w14:paraId="567BE605" w14:textId="77777777" w:rsidR="000A08D9" w:rsidRDefault="000A08D9" w:rsidP="000A08D9">
      <w:pPr>
        <w:rPr>
          <w:lang w:eastAsia="bg-BG"/>
        </w:rPr>
      </w:pPr>
    </w:p>
    <w:p w14:paraId="1A230237" w14:textId="77CB8A0C" w:rsidR="000A08D9" w:rsidRPr="000A08D9" w:rsidRDefault="000A08D9" w:rsidP="000A08D9">
      <w:pPr>
        <w:rPr>
          <w:sz w:val="24"/>
          <w:szCs w:val="24"/>
        </w:rPr>
      </w:pPr>
      <w:proofErr w:type="spellStart"/>
      <w:r w:rsidRPr="000A08D9">
        <w:rPr>
          <w:lang w:eastAsia="bg-BG"/>
        </w:rPr>
        <w:t>Ломексин</w:t>
      </w:r>
      <w:proofErr w:type="spellEnd"/>
      <w:r w:rsidRPr="000A08D9">
        <w:rPr>
          <w:lang w:eastAsia="bg-BG"/>
        </w:rPr>
        <w:t xml:space="preserve"> се абсорбира незначително в препоръчваните условия за употреба; могат да се изключат системни поражения.</w:t>
      </w:r>
    </w:p>
    <w:p w14:paraId="12418D04" w14:textId="77777777" w:rsidR="000A08D9" w:rsidRDefault="000A08D9" w:rsidP="000A08D9">
      <w:pPr>
        <w:rPr>
          <w:lang w:eastAsia="bg-BG"/>
        </w:rPr>
      </w:pPr>
    </w:p>
    <w:p w14:paraId="7F897DAA" w14:textId="58A6CE34" w:rsidR="000A08D9" w:rsidRDefault="000A08D9" w:rsidP="000A08D9">
      <w:pPr>
        <w:rPr>
          <w:lang w:eastAsia="bg-BG"/>
        </w:rPr>
      </w:pPr>
      <w:r w:rsidRPr="000A08D9">
        <w:rPr>
          <w:lang w:eastAsia="bg-BG"/>
        </w:rPr>
        <w:t xml:space="preserve">В случаи на реакции на свръхчувствителност или </w:t>
      </w:r>
    </w:p>
    <w:p w14:paraId="4C18AB02" w14:textId="6A84B10F" w:rsidR="000A08D9" w:rsidRPr="000A08D9" w:rsidRDefault="000A08D9" w:rsidP="000A08D9">
      <w:pPr>
        <w:rPr>
          <w:sz w:val="24"/>
          <w:szCs w:val="24"/>
        </w:rPr>
      </w:pPr>
      <w:r w:rsidRPr="000A08D9">
        <w:rPr>
          <w:lang w:eastAsia="bg-BG"/>
        </w:rPr>
        <w:t>развитие на резистентни микроорганизми, лечението трябва да се преустанови.</w:t>
      </w:r>
    </w:p>
    <w:p w14:paraId="26AD899A" w14:textId="77777777" w:rsidR="000A08D9" w:rsidRDefault="000A08D9" w:rsidP="000A08D9">
      <w:pPr>
        <w:rPr>
          <w:u w:val="single"/>
          <w:lang w:eastAsia="bg-BG"/>
        </w:rPr>
      </w:pPr>
    </w:p>
    <w:p w14:paraId="696539F3" w14:textId="5BFD7CE7" w:rsidR="000A08D9" w:rsidRPr="000A08D9" w:rsidRDefault="000A08D9" w:rsidP="000A08D9">
      <w:pPr>
        <w:rPr>
          <w:sz w:val="24"/>
          <w:szCs w:val="24"/>
        </w:rPr>
      </w:pPr>
      <w:r w:rsidRPr="000A08D9">
        <w:rPr>
          <w:u w:val="single"/>
          <w:lang w:eastAsia="bg-BG"/>
        </w:rPr>
        <w:t>Съобщаване на подозирани нежелани реакции</w:t>
      </w:r>
    </w:p>
    <w:p w14:paraId="6B6D1164" w14:textId="77777777" w:rsidR="000A08D9" w:rsidRPr="000A08D9" w:rsidRDefault="000A08D9" w:rsidP="000A08D9">
      <w:pPr>
        <w:rPr>
          <w:sz w:val="24"/>
          <w:szCs w:val="24"/>
        </w:rPr>
      </w:pPr>
      <w:r w:rsidRPr="000A08D9">
        <w:rPr>
          <w:lang w:eastAsia="bg-BG"/>
        </w:rPr>
        <w:t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чрез</w:t>
      </w:r>
    </w:p>
    <w:p w14:paraId="52411BAB" w14:textId="77777777" w:rsidR="000A08D9" w:rsidRPr="000A08D9" w:rsidRDefault="000A08D9" w:rsidP="000A08D9">
      <w:pPr>
        <w:rPr>
          <w:sz w:val="24"/>
          <w:szCs w:val="24"/>
        </w:rPr>
      </w:pPr>
      <w:r w:rsidRPr="000A08D9">
        <w:rPr>
          <w:lang w:eastAsia="bg-BG"/>
        </w:rPr>
        <w:t>Изпълнителна агенция по лекарствата</w:t>
      </w:r>
    </w:p>
    <w:p w14:paraId="26CF5028" w14:textId="77777777" w:rsidR="000A08D9" w:rsidRPr="000A08D9" w:rsidRDefault="000A08D9" w:rsidP="000A08D9">
      <w:pPr>
        <w:rPr>
          <w:sz w:val="24"/>
          <w:szCs w:val="24"/>
        </w:rPr>
      </w:pPr>
      <w:r w:rsidRPr="000A08D9">
        <w:rPr>
          <w:lang w:eastAsia="bg-BG"/>
        </w:rPr>
        <w:t>ул. „Дамян Груев” № 8</w:t>
      </w:r>
    </w:p>
    <w:p w14:paraId="7A42CA9F" w14:textId="77777777" w:rsidR="000A08D9" w:rsidRPr="000A08D9" w:rsidRDefault="000A08D9" w:rsidP="000A08D9">
      <w:pPr>
        <w:rPr>
          <w:sz w:val="24"/>
          <w:szCs w:val="24"/>
        </w:rPr>
      </w:pPr>
      <w:r w:rsidRPr="000A08D9">
        <w:rPr>
          <w:lang w:eastAsia="bg-BG"/>
        </w:rPr>
        <w:t>1303 София</w:t>
      </w:r>
    </w:p>
    <w:p w14:paraId="6F642986" w14:textId="77777777" w:rsidR="000A08D9" w:rsidRPr="000A08D9" w:rsidRDefault="000A08D9" w:rsidP="000A08D9">
      <w:pPr>
        <w:rPr>
          <w:sz w:val="24"/>
          <w:szCs w:val="24"/>
        </w:rPr>
      </w:pPr>
      <w:r w:rsidRPr="000A08D9">
        <w:rPr>
          <w:lang w:eastAsia="bg-BG"/>
        </w:rPr>
        <w:t>Тел.: +35 928903417</w:t>
      </w:r>
    </w:p>
    <w:p w14:paraId="7099EBF1" w14:textId="77777777" w:rsidR="000A08D9" w:rsidRPr="000A08D9" w:rsidRDefault="000A08D9" w:rsidP="000A08D9">
      <w:pPr>
        <w:rPr>
          <w:sz w:val="24"/>
          <w:szCs w:val="24"/>
        </w:rPr>
      </w:pPr>
      <w:r w:rsidRPr="000A08D9">
        <w:rPr>
          <w:lang w:eastAsia="bg-BG"/>
        </w:rPr>
        <w:t xml:space="preserve">уебсайт: </w:t>
      </w:r>
      <w:hyperlink r:id="rId5" w:history="1">
        <w:r w:rsidRPr="000A08D9">
          <w:rPr>
            <w:u w:val="single"/>
            <w:lang w:val="en-US"/>
          </w:rPr>
          <w:t>www.bda.bg</w:t>
        </w:r>
      </w:hyperlink>
    </w:p>
    <w:p w14:paraId="250CE394" w14:textId="77777777" w:rsidR="000A08D9" w:rsidRPr="000A08D9" w:rsidRDefault="000A08D9" w:rsidP="000A08D9">
      <w:pPr>
        <w:rPr>
          <w:sz w:val="24"/>
          <w:szCs w:val="24"/>
        </w:rPr>
      </w:pPr>
    </w:p>
    <w:p w14:paraId="42DF9851" w14:textId="6A342ACD" w:rsidR="003765DC" w:rsidRDefault="002C50EE" w:rsidP="002B3C38">
      <w:pPr>
        <w:pStyle w:val="2"/>
      </w:pPr>
      <w:r>
        <w:lastRenderedPageBreak/>
        <w:t>4.9. Предозиране</w:t>
      </w:r>
    </w:p>
    <w:p w14:paraId="018E77BB" w14:textId="77777777" w:rsidR="000A08D9" w:rsidRDefault="000A08D9" w:rsidP="000A08D9">
      <w:pPr>
        <w:rPr>
          <w:lang w:eastAsia="bg-BG"/>
        </w:rPr>
      </w:pPr>
    </w:p>
    <w:p w14:paraId="78AA4BBC" w14:textId="38286A9A" w:rsidR="000A08D9" w:rsidRPr="000A08D9" w:rsidRDefault="000A08D9" w:rsidP="000A08D9">
      <w:pPr>
        <w:rPr>
          <w:sz w:val="24"/>
          <w:szCs w:val="24"/>
        </w:rPr>
      </w:pPr>
      <w:r w:rsidRPr="000A08D9">
        <w:rPr>
          <w:lang w:eastAsia="bg-BG"/>
        </w:rPr>
        <w:t>При пост-маркетинговия опит не е наблюдаван риск от предозиране.</w:t>
      </w:r>
    </w:p>
    <w:p w14:paraId="6E5AE445" w14:textId="77777777" w:rsidR="000A08D9" w:rsidRPr="000A08D9" w:rsidRDefault="000A08D9" w:rsidP="000A08D9"/>
    <w:p w14:paraId="18EF4AFE" w14:textId="77777777" w:rsidR="002C50EE" w:rsidRDefault="002C50EE" w:rsidP="002C50EE">
      <w:pPr>
        <w:pStyle w:val="1"/>
      </w:pPr>
      <w:r>
        <w:t>5. ФАРМАКОЛОГИЧНИ СВОЙСТВА</w:t>
      </w:r>
    </w:p>
    <w:p w14:paraId="7635AD51" w14:textId="5193F5FB" w:rsidR="003765DC" w:rsidRDefault="002C50EE" w:rsidP="002B3C38">
      <w:pPr>
        <w:pStyle w:val="2"/>
      </w:pPr>
      <w:r>
        <w:t xml:space="preserve">5.1. </w:t>
      </w:r>
      <w:proofErr w:type="spellStart"/>
      <w:r>
        <w:t>Фармакодинамични</w:t>
      </w:r>
      <w:proofErr w:type="spellEnd"/>
      <w:r>
        <w:t xml:space="preserve"> свойства</w:t>
      </w:r>
    </w:p>
    <w:p w14:paraId="34508F1A" w14:textId="118EB37D" w:rsidR="000A08D9" w:rsidRPr="000A08D9" w:rsidRDefault="000A08D9" w:rsidP="000A08D9">
      <w:pPr>
        <w:rPr>
          <w:rFonts w:cs="Arial"/>
        </w:rPr>
      </w:pPr>
    </w:p>
    <w:p w14:paraId="1B0692F5" w14:textId="77777777" w:rsidR="000A08D9" w:rsidRPr="000A08D9" w:rsidRDefault="000A08D9" w:rsidP="000A08D9">
      <w:pPr>
        <w:rPr>
          <w:rFonts w:eastAsia="Times New Roman" w:cs="Arial"/>
        </w:rPr>
      </w:pPr>
      <w:proofErr w:type="spellStart"/>
      <w:r w:rsidRPr="000A08D9">
        <w:rPr>
          <w:rFonts w:eastAsia="Times New Roman" w:cs="Arial"/>
          <w:color w:val="000000"/>
          <w:lang w:eastAsia="bg-BG"/>
        </w:rPr>
        <w:t>Фармакотерапевтична</w:t>
      </w:r>
      <w:proofErr w:type="spellEnd"/>
      <w:r w:rsidRPr="000A08D9">
        <w:rPr>
          <w:rFonts w:eastAsia="Times New Roman" w:cs="Arial"/>
          <w:color w:val="000000"/>
          <w:lang w:eastAsia="bg-BG"/>
        </w:rPr>
        <w:t xml:space="preserve"> група: Противогъбични средства за локално приложение; </w:t>
      </w:r>
      <w:proofErr w:type="spellStart"/>
      <w:r w:rsidRPr="000A08D9">
        <w:rPr>
          <w:rFonts w:eastAsia="Times New Roman" w:cs="Arial"/>
          <w:color w:val="000000"/>
          <w:lang w:eastAsia="bg-BG"/>
        </w:rPr>
        <w:t>имидазолови</w:t>
      </w:r>
      <w:proofErr w:type="spellEnd"/>
      <w:r w:rsidRPr="000A08D9">
        <w:rPr>
          <w:rFonts w:eastAsia="Times New Roman" w:cs="Arial"/>
          <w:color w:val="000000"/>
          <w:lang w:eastAsia="bg-BG"/>
        </w:rPr>
        <w:t xml:space="preserve"> производни</w:t>
      </w:r>
    </w:p>
    <w:p w14:paraId="6640844A" w14:textId="77777777" w:rsidR="000A08D9" w:rsidRPr="000A08D9" w:rsidRDefault="000A08D9" w:rsidP="000A08D9">
      <w:pPr>
        <w:rPr>
          <w:rFonts w:eastAsia="Times New Roman" w:cs="Arial"/>
        </w:rPr>
      </w:pPr>
      <w:proofErr w:type="spellStart"/>
      <w:r w:rsidRPr="000A08D9">
        <w:rPr>
          <w:rFonts w:eastAsia="Times New Roman" w:cs="Arial"/>
          <w:color w:val="000000"/>
          <w:lang w:eastAsia="bg-BG"/>
        </w:rPr>
        <w:t>АТСкод</w:t>
      </w:r>
      <w:proofErr w:type="spellEnd"/>
      <w:r w:rsidRPr="000A08D9">
        <w:rPr>
          <w:rFonts w:eastAsia="Times New Roman" w:cs="Arial"/>
          <w:color w:val="000000"/>
          <w:lang w:eastAsia="bg-BG"/>
        </w:rPr>
        <w:t xml:space="preserve">: </w:t>
      </w:r>
      <w:r w:rsidRPr="000A08D9">
        <w:rPr>
          <w:rFonts w:eastAsia="Times New Roman" w:cs="Arial"/>
          <w:color w:val="000000"/>
          <w:lang w:val="en-US"/>
        </w:rPr>
        <w:t>D01AC12.</w:t>
      </w:r>
    </w:p>
    <w:p w14:paraId="762DE02A" w14:textId="77777777" w:rsidR="000A08D9" w:rsidRPr="000A08D9" w:rsidRDefault="000A08D9" w:rsidP="000A08D9">
      <w:pPr>
        <w:rPr>
          <w:rFonts w:eastAsia="Times New Roman" w:cs="Arial"/>
          <w:color w:val="000000"/>
          <w:lang w:eastAsia="bg-BG"/>
        </w:rPr>
      </w:pPr>
    </w:p>
    <w:p w14:paraId="541FE911" w14:textId="601A90B2" w:rsidR="000A08D9" w:rsidRPr="000A08D9" w:rsidRDefault="000A08D9" w:rsidP="000A08D9">
      <w:pPr>
        <w:rPr>
          <w:rFonts w:eastAsia="Times New Roman" w:cs="Arial"/>
        </w:rPr>
      </w:pPr>
      <w:proofErr w:type="spellStart"/>
      <w:r w:rsidRPr="000A08D9">
        <w:rPr>
          <w:rFonts w:eastAsia="Times New Roman" w:cs="Arial"/>
          <w:color w:val="000000"/>
          <w:lang w:eastAsia="bg-BG"/>
        </w:rPr>
        <w:t>Ломексин</w:t>
      </w:r>
      <w:proofErr w:type="spellEnd"/>
      <w:r w:rsidRPr="000A08D9">
        <w:rPr>
          <w:rFonts w:eastAsia="Times New Roman" w:cs="Arial"/>
          <w:color w:val="000000"/>
          <w:lang w:eastAsia="bg-BG"/>
        </w:rPr>
        <w:t xml:space="preserve"> е широко-спектърен </w:t>
      </w:r>
      <w:proofErr w:type="spellStart"/>
      <w:r w:rsidRPr="000A08D9">
        <w:rPr>
          <w:rFonts w:eastAsia="Times New Roman" w:cs="Arial"/>
          <w:color w:val="000000"/>
          <w:lang w:eastAsia="bg-BG"/>
        </w:rPr>
        <w:t>антимикотик</w:t>
      </w:r>
      <w:proofErr w:type="spellEnd"/>
      <w:r w:rsidRPr="000A08D9">
        <w:rPr>
          <w:rFonts w:eastAsia="Times New Roman" w:cs="Arial"/>
          <w:color w:val="000000"/>
          <w:lang w:eastAsia="bg-BG"/>
        </w:rPr>
        <w:t>.</w:t>
      </w:r>
    </w:p>
    <w:p w14:paraId="673D1760" w14:textId="77777777" w:rsidR="000A08D9" w:rsidRPr="000A08D9" w:rsidRDefault="000A08D9" w:rsidP="000A08D9">
      <w:pPr>
        <w:rPr>
          <w:rFonts w:eastAsia="Times New Roman" w:cs="Arial"/>
        </w:rPr>
      </w:pPr>
      <w:r w:rsidRPr="000A08D9">
        <w:rPr>
          <w:rFonts w:eastAsia="Times New Roman" w:cs="Arial"/>
          <w:color w:val="000000"/>
          <w:lang w:eastAsia="bg-BG"/>
        </w:rPr>
        <w:t xml:space="preserve">Както и при другите </w:t>
      </w:r>
      <w:proofErr w:type="spellStart"/>
      <w:r w:rsidRPr="000A08D9">
        <w:rPr>
          <w:rFonts w:eastAsia="Times New Roman" w:cs="Arial"/>
          <w:color w:val="000000"/>
          <w:lang w:eastAsia="bg-BG"/>
        </w:rPr>
        <w:t>имидазоли</w:t>
      </w:r>
      <w:proofErr w:type="spellEnd"/>
      <w:r w:rsidRPr="000A08D9">
        <w:rPr>
          <w:rFonts w:eastAsia="Times New Roman" w:cs="Arial"/>
          <w:color w:val="000000"/>
          <w:lang w:eastAsia="bg-BG"/>
        </w:rPr>
        <w:t xml:space="preserve">, действието на </w:t>
      </w:r>
      <w:proofErr w:type="spellStart"/>
      <w:r w:rsidRPr="000A08D9">
        <w:rPr>
          <w:rFonts w:eastAsia="Times New Roman" w:cs="Arial"/>
          <w:color w:val="000000"/>
          <w:lang w:eastAsia="bg-BG"/>
        </w:rPr>
        <w:t>фентиконазол</w:t>
      </w:r>
      <w:proofErr w:type="spellEnd"/>
      <w:r w:rsidRPr="000A08D9">
        <w:rPr>
          <w:rFonts w:eastAsia="Times New Roman" w:cs="Arial"/>
          <w:color w:val="000000"/>
          <w:lang w:eastAsia="bg-BG"/>
        </w:rPr>
        <w:t xml:space="preserve"> може да се отдаде на инхибиране на биосинтезата на </w:t>
      </w:r>
      <w:proofErr w:type="spellStart"/>
      <w:r w:rsidRPr="000A08D9">
        <w:rPr>
          <w:rFonts w:eastAsia="Times New Roman" w:cs="Arial"/>
          <w:color w:val="000000"/>
          <w:lang w:eastAsia="bg-BG"/>
        </w:rPr>
        <w:t>ергостерол</w:t>
      </w:r>
      <w:proofErr w:type="spellEnd"/>
      <w:r w:rsidRPr="000A08D9">
        <w:rPr>
          <w:rFonts w:eastAsia="Times New Roman" w:cs="Arial"/>
          <w:color w:val="000000"/>
          <w:lang w:eastAsia="bg-BG"/>
        </w:rPr>
        <w:t xml:space="preserve">. </w:t>
      </w:r>
      <w:proofErr w:type="spellStart"/>
      <w:r w:rsidRPr="000A08D9">
        <w:rPr>
          <w:rFonts w:eastAsia="Times New Roman" w:cs="Arial"/>
          <w:color w:val="000000"/>
          <w:lang w:eastAsia="bg-BG"/>
        </w:rPr>
        <w:t>Оксидативната</w:t>
      </w:r>
      <w:proofErr w:type="spellEnd"/>
      <w:r w:rsidRPr="000A08D9">
        <w:rPr>
          <w:rFonts w:eastAsia="Times New Roman" w:cs="Arial"/>
          <w:color w:val="000000"/>
          <w:lang w:eastAsia="bg-BG"/>
        </w:rPr>
        <w:t xml:space="preserve"> ензимна активност вероятно също е блокирана, като концентрацията на водороден </w:t>
      </w:r>
      <w:proofErr w:type="spellStart"/>
      <w:r w:rsidRPr="000A08D9">
        <w:rPr>
          <w:rFonts w:eastAsia="Times New Roman" w:cs="Arial"/>
          <w:color w:val="000000"/>
          <w:lang w:eastAsia="bg-BG"/>
        </w:rPr>
        <w:t>пероксид</w:t>
      </w:r>
      <w:proofErr w:type="spellEnd"/>
      <w:r w:rsidRPr="000A08D9">
        <w:rPr>
          <w:rFonts w:eastAsia="Times New Roman" w:cs="Arial"/>
          <w:color w:val="000000"/>
          <w:lang w:eastAsia="bg-BG"/>
        </w:rPr>
        <w:t xml:space="preserve"> се увеличава до токсични нива и допринася за смъртта на гъбичната клетка.</w:t>
      </w:r>
    </w:p>
    <w:p w14:paraId="55740CC4" w14:textId="77777777" w:rsidR="000A08D9" w:rsidRPr="000A08D9" w:rsidRDefault="000A08D9" w:rsidP="000A08D9">
      <w:pPr>
        <w:rPr>
          <w:rFonts w:eastAsia="Times New Roman" w:cs="Arial"/>
          <w:i/>
          <w:iCs/>
          <w:color w:val="000000"/>
          <w:lang w:val="en-US"/>
        </w:rPr>
      </w:pPr>
    </w:p>
    <w:p w14:paraId="2DB6B4CA" w14:textId="7338647D" w:rsidR="000A08D9" w:rsidRPr="000A08D9" w:rsidRDefault="000A08D9" w:rsidP="000A08D9">
      <w:pPr>
        <w:rPr>
          <w:rFonts w:eastAsia="Times New Roman" w:cs="Arial"/>
        </w:rPr>
      </w:pPr>
      <w:r w:rsidRPr="000A08D9">
        <w:rPr>
          <w:rFonts w:eastAsia="Times New Roman" w:cs="Arial"/>
          <w:i/>
          <w:iCs/>
          <w:color w:val="000000"/>
          <w:lang w:val="en-US"/>
        </w:rPr>
        <w:t>In vitro:</w:t>
      </w:r>
      <w:r w:rsidRPr="000A08D9">
        <w:rPr>
          <w:rFonts w:eastAsia="Times New Roman" w:cs="Arial"/>
          <w:color w:val="000000"/>
          <w:lang w:val="en-US"/>
        </w:rPr>
        <w:t xml:space="preserve"> </w:t>
      </w:r>
      <w:proofErr w:type="spellStart"/>
      <w:r w:rsidRPr="000A08D9">
        <w:rPr>
          <w:rFonts w:eastAsia="Times New Roman" w:cs="Arial"/>
          <w:color w:val="000000"/>
          <w:lang w:eastAsia="bg-BG"/>
        </w:rPr>
        <w:t>Фентиконазол</w:t>
      </w:r>
      <w:proofErr w:type="spellEnd"/>
      <w:r w:rsidRPr="000A08D9">
        <w:rPr>
          <w:rFonts w:eastAsia="Times New Roman" w:cs="Arial"/>
          <w:color w:val="000000"/>
          <w:lang w:eastAsia="bg-BG"/>
        </w:rPr>
        <w:t xml:space="preserve"> има мощно </w:t>
      </w:r>
      <w:proofErr w:type="spellStart"/>
      <w:r w:rsidRPr="000A08D9">
        <w:rPr>
          <w:rFonts w:eastAsia="Times New Roman" w:cs="Arial"/>
          <w:color w:val="000000"/>
          <w:lang w:eastAsia="bg-BG"/>
        </w:rPr>
        <w:t>фунгицидно</w:t>
      </w:r>
      <w:proofErr w:type="spellEnd"/>
      <w:r w:rsidRPr="000A08D9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0A08D9">
        <w:rPr>
          <w:rFonts w:eastAsia="Times New Roman" w:cs="Arial"/>
          <w:color w:val="000000"/>
          <w:lang w:eastAsia="bg-BG"/>
        </w:rPr>
        <w:t>фунгистатично</w:t>
      </w:r>
      <w:proofErr w:type="spellEnd"/>
      <w:r w:rsidRPr="000A08D9">
        <w:rPr>
          <w:rFonts w:eastAsia="Times New Roman" w:cs="Arial"/>
          <w:color w:val="000000"/>
          <w:lang w:eastAsia="bg-BG"/>
        </w:rPr>
        <w:t xml:space="preserve"> действие срещу </w:t>
      </w:r>
      <w:proofErr w:type="spellStart"/>
      <w:r w:rsidRPr="000A08D9">
        <w:rPr>
          <w:rFonts w:eastAsia="Times New Roman" w:cs="Arial"/>
          <w:color w:val="000000"/>
          <w:lang w:eastAsia="bg-BG"/>
        </w:rPr>
        <w:t>дерматофити</w:t>
      </w:r>
      <w:proofErr w:type="spellEnd"/>
      <w:r w:rsidRPr="000A08D9">
        <w:rPr>
          <w:rFonts w:eastAsia="Times New Roman" w:cs="Arial"/>
          <w:color w:val="000000"/>
          <w:lang w:eastAsia="bg-BG"/>
        </w:rPr>
        <w:t xml:space="preserve"> (всички </w:t>
      </w:r>
      <w:proofErr w:type="spellStart"/>
      <w:r w:rsidRPr="000A08D9">
        <w:rPr>
          <w:rFonts w:eastAsia="Times New Roman" w:cs="Arial"/>
          <w:color w:val="000000"/>
          <w:lang w:eastAsia="bg-BG"/>
        </w:rPr>
        <w:t>шамове</w:t>
      </w:r>
      <w:proofErr w:type="spellEnd"/>
      <w:r w:rsidRPr="000A08D9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0A08D9">
        <w:rPr>
          <w:rFonts w:eastAsia="Times New Roman" w:cs="Arial"/>
          <w:i/>
          <w:iCs/>
          <w:color w:val="000000"/>
          <w:lang w:val="en-US"/>
        </w:rPr>
        <w:t>trichophyta</w:t>
      </w:r>
      <w:proofErr w:type="spellEnd"/>
      <w:r w:rsidRPr="000A08D9">
        <w:rPr>
          <w:rFonts w:eastAsia="Times New Roman" w:cs="Arial"/>
          <w:i/>
          <w:iCs/>
          <w:color w:val="000000"/>
          <w:lang w:val="en-US"/>
        </w:rPr>
        <w:t>,</w:t>
      </w:r>
      <w:r w:rsidRPr="000A08D9">
        <w:rPr>
          <w:rFonts w:eastAsia="Times New Roman" w:cs="Arial"/>
          <w:color w:val="000000"/>
          <w:lang w:val="en-US"/>
        </w:rPr>
        <w:t xml:space="preserve"> </w:t>
      </w:r>
      <w:r w:rsidRPr="000A08D9">
        <w:rPr>
          <w:rFonts w:eastAsia="Times New Roman" w:cs="Arial"/>
          <w:color w:val="000000"/>
          <w:lang w:eastAsia="bg-BG"/>
        </w:rPr>
        <w:t xml:space="preserve">видовете </w:t>
      </w:r>
      <w:proofErr w:type="spellStart"/>
      <w:r w:rsidRPr="000A08D9">
        <w:rPr>
          <w:rFonts w:eastAsia="Times New Roman" w:cs="Arial"/>
          <w:i/>
          <w:iCs/>
          <w:color w:val="000000"/>
          <w:lang w:val="en-US"/>
        </w:rPr>
        <w:t>mircrosporum</w:t>
      </w:r>
      <w:proofErr w:type="spellEnd"/>
      <w:r w:rsidRPr="000A08D9">
        <w:rPr>
          <w:rFonts w:eastAsia="Times New Roman" w:cs="Arial"/>
          <w:i/>
          <w:iCs/>
          <w:color w:val="000000"/>
          <w:lang w:val="en-US"/>
        </w:rPr>
        <w:t xml:space="preserve">, </w:t>
      </w:r>
      <w:r w:rsidRPr="000A08D9">
        <w:rPr>
          <w:rFonts w:eastAsia="Times New Roman" w:cs="Arial"/>
          <w:i/>
          <w:iCs/>
          <w:color w:val="000000"/>
          <w:lang w:eastAsia="bg-BG"/>
        </w:rPr>
        <w:t>Е</w:t>
      </w:r>
      <w:proofErr w:type="spellStart"/>
      <w:r w:rsidRPr="000A08D9">
        <w:rPr>
          <w:rFonts w:eastAsia="Times New Roman" w:cs="Arial"/>
          <w:i/>
          <w:iCs/>
          <w:color w:val="000000"/>
          <w:lang w:val="en-US"/>
        </w:rPr>
        <w:t>pidermophyton</w:t>
      </w:r>
      <w:proofErr w:type="spellEnd"/>
      <w:r w:rsidRPr="000A08D9">
        <w:rPr>
          <w:rFonts w:eastAsia="Times New Roman" w:cs="Arial"/>
          <w:i/>
          <w:iCs/>
          <w:color w:val="000000"/>
          <w:lang w:val="en-US"/>
        </w:rPr>
        <w:t xml:space="preserve"> </w:t>
      </w:r>
      <w:proofErr w:type="spellStart"/>
      <w:r w:rsidRPr="000A08D9">
        <w:rPr>
          <w:rFonts w:eastAsia="Times New Roman" w:cs="Arial"/>
          <w:i/>
          <w:iCs/>
          <w:color w:val="000000"/>
          <w:lang w:val="en-US"/>
        </w:rPr>
        <w:t>floccosum</w:t>
      </w:r>
      <w:proofErr w:type="spellEnd"/>
      <w:r w:rsidRPr="000A08D9">
        <w:rPr>
          <w:rFonts w:eastAsia="Times New Roman" w:cs="Arial"/>
          <w:i/>
          <w:iCs/>
          <w:color w:val="000000"/>
          <w:lang w:val="en-US"/>
        </w:rPr>
        <w:t>),</w:t>
      </w:r>
      <w:r w:rsidRPr="000A08D9">
        <w:rPr>
          <w:rFonts w:eastAsia="Times New Roman" w:cs="Arial"/>
          <w:color w:val="000000"/>
          <w:lang w:val="en-US"/>
        </w:rPr>
        <w:t xml:space="preserve"> </w:t>
      </w:r>
      <w:r w:rsidRPr="000A08D9">
        <w:rPr>
          <w:rFonts w:eastAsia="Times New Roman" w:cs="Arial"/>
          <w:color w:val="000000"/>
          <w:lang w:eastAsia="bg-BG"/>
        </w:rPr>
        <w:t>дрожди (</w:t>
      </w:r>
      <w:r w:rsidRPr="000A08D9">
        <w:rPr>
          <w:rFonts w:eastAsia="Times New Roman" w:cs="Arial"/>
          <w:i/>
          <w:iCs/>
          <w:color w:val="000000"/>
          <w:lang w:val="en-US"/>
        </w:rPr>
        <w:t xml:space="preserve">Candida albicans, Cryptococcus neoformans, </w:t>
      </w:r>
      <w:proofErr w:type="spellStart"/>
      <w:r w:rsidRPr="000A08D9">
        <w:rPr>
          <w:rFonts w:eastAsia="Times New Roman" w:cs="Arial"/>
          <w:i/>
          <w:iCs/>
          <w:color w:val="000000"/>
          <w:lang w:val="en-US"/>
        </w:rPr>
        <w:t>Torulopsis</w:t>
      </w:r>
      <w:proofErr w:type="spellEnd"/>
      <w:r w:rsidRPr="000A08D9">
        <w:rPr>
          <w:rFonts w:eastAsia="Times New Roman" w:cs="Arial"/>
          <w:i/>
          <w:iCs/>
          <w:color w:val="000000"/>
          <w:lang w:val="en-US"/>
        </w:rPr>
        <w:t xml:space="preserve"> </w:t>
      </w:r>
      <w:proofErr w:type="spellStart"/>
      <w:r w:rsidRPr="000A08D9">
        <w:rPr>
          <w:rFonts w:eastAsia="Times New Roman" w:cs="Arial"/>
          <w:i/>
          <w:iCs/>
          <w:color w:val="000000"/>
          <w:lang w:val="en-US"/>
        </w:rPr>
        <w:t>glabrat</w:t>
      </w:r>
      <w:proofErr w:type="spellEnd"/>
      <w:r w:rsidRPr="000A08D9">
        <w:rPr>
          <w:rFonts w:eastAsia="Times New Roman" w:cs="Arial"/>
          <w:i/>
          <w:iCs/>
          <w:color w:val="000000"/>
          <w:lang w:eastAsia="bg-BG"/>
        </w:rPr>
        <w:t>а</w:t>
      </w:r>
      <w:r w:rsidRPr="000A08D9">
        <w:rPr>
          <w:rFonts w:eastAsia="Times New Roman" w:cs="Arial"/>
          <w:i/>
          <w:iCs/>
          <w:color w:val="000000"/>
          <w:lang w:val="en-US"/>
        </w:rPr>
        <w:t>)</w:t>
      </w:r>
      <w:r w:rsidRPr="000A08D9">
        <w:rPr>
          <w:rFonts w:eastAsia="Times New Roman" w:cs="Arial"/>
          <w:color w:val="000000"/>
          <w:lang w:val="en-US"/>
        </w:rPr>
        <w:t xml:space="preserve"> </w:t>
      </w:r>
      <w:r w:rsidRPr="000A08D9">
        <w:rPr>
          <w:rFonts w:eastAsia="Times New Roman" w:cs="Arial"/>
          <w:color w:val="000000"/>
          <w:lang w:eastAsia="bg-BG"/>
        </w:rPr>
        <w:t xml:space="preserve">и срещу повечето други </w:t>
      </w:r>
      <w:proofErr w:type="spellStart"/>
      <w:r w:rsidRPr="000A08D9">
        <w:rPr>
          <w:rFonts w:eastAsia="Times New Roman" w:cs="Arial"/>
          <w:color w:val="000000"/>
          <w:lang w:eastAsia="bg-BG"/>
        </w:rPr>
        <w:t>гьбични</w:t>
      </w:r>
      <w:proofErr w:type="spellEnd"/>
      <w:r w:rsidRPr="000A08D9">
        <w:rPr>
          <w:rFonts w:eastAsia="Times New Roman" w:cs="Arial"/>
          <w:color w:val="000000"/>
          <w:lang w:eastAsia="bg-BG"/>
        </w:rPr>
        <w:t xml:space="preserve"> видове, които причиняват кожни микози, като например </w:t>
      </w:r>
      <w:proofErr w:type="spellStart"/>
      <w:r w:rsidRPr="000A08D9">
        <w:rPr>
          <w:rFonts w:eastAsia="Times New Roman" w:cs="Arial"/>
          <w:i/>
          <w:iCs/>
          <w:color w:val="000000"/>
          <w:lang w:val="en-US"/>
        </w:rPr>
        <w:t>Pityrosporon</w:t>
      </w:r>
      <w:proofErr w:type="spellEnd"/>
      <w:r w:rsidRPr="000A08D9">
        <w:rPr>
          <w:rFonts w:eastAsia="Times New Roman" w:cs="Arial"/>
          <w:i/>
          <w:iCs/>
          <w:color w:val="000000"/>
          <w:lang w:val="en-US"/>
        </w:rPr>
        <w:t xml:space="preserve"> </w:t>
      </w:r>
      <w:proofErr w:type="spellStart"/>
      <w:r w:rsidRPr="000A08D9">
        <w:rPr>
          <w:rFonts w:eastAsia="Times New Roman" w:cs="Arial"/>
          <w:i/>
          <w:iCs/>
          <w:color w:val="000000"/>
          <w:lang w:val="en-US"/>
        </w:rPr>
        <w:t>orbiculare</w:t>
      </w:r>
      <w:proofErr w:type="spellEnd"/>
      <w:r w:rsidRPr="000A08D9">
        <w:rPr>
          <w:rFonts w:eastAsia="Times New Roman" w:cs="Arial"/>
          <w:i/>
          <w:iCs/>
          <w:color w:val="000000"/>
          <w:lang w:val="en-US"/>
        </w:rPr>
        <w:t xml:space="preserve"> (Malassezia furfur). </w:t>
      </w:r>
      <w:proofErr w:type="spellStart"/>
      <w:r w:rsidRPr="000A08D9">
        <w:rPr>
          <w:rFonts w:eastAsia="Times New Roman" w:cs="Arial"/>
          <w:color w:val="000000"/>
          <w:lang w:eastAsia="bg-BG"/>
        </w:rPr>
        <w:t>Фентиконазол</w:t>
      </w:r>
      <w:proofErr w:type="spellEnd"/>
      <w:r w:rsidRPr="000A08D9">
        <w:rPr>
          <w:rFonts w:eastAsia="Times New Roman" w:cs="Arial"/>
          <w:color w:val="000000"/>
          <w:lang w:eastAsia="bg-BG"/>
        </w:rPr>
        <w:t xml:space="preserve"> също така е ефективен срещу грам-положителните бактерии.</w:t>
      </w:r>
    </w:p>
    <w:p w14:paraId="00C3B8DA" w14:textId="77777777" w:rsidR="000A08D9" w:rsidRPr="000A08D9" w:rsidRDefault="000A08D9" w:rsidP="000A08D9">
      <w:pPr>
        <w:rPr>
          <w:rFonts w:eastAsia="Times New Roman" w:cs="Arial"/>
          <w:i/>
          <w:iCs/>
          <w:color w:val="000000"/>
          <w:lang w:val="en-US"/>
        </w:rPr>
      </w:pPr>
    </w:p>
    <w:p w14:paraId="554266F9" w14:textId="6F754422" w:rsidR="000A08D9" w:rsidRPr="000A08D9" w:rsidRDefault="000A08D9" w:rsidP="000A08D9">
      <w:pPr>
        <w:rPr>
          <w:rFonts w:eastAsia="Times New Roman" w:cs="Arial"/>
        </w:rPr>
      </w:pPr>
      <w:r w:rsidRPr="000A08D9">
        <w:rPr>
          <w:rFonts w:eastAsia="Times New Roman" w:cs="Arial"/>
          <w:i/>
          <w:iCs/>
          <w:color w:val="000000"/>
          <w:lang w:val="en-US"/>
        </w:rPr>
        <w:t>In vivo:</w:t>
      </w:r>
      <w:r w:rsidRPr="000A08D9">
        <w:rPr>
          <w:rFonts w:eastAsia="Times New Roman" w:cs="Arial"/>
          <w:color w:val="000000"/>
          <w:lang w:val="en-US"/>
        </w:rPr>
        <w:t xml:space="preserve"> </w:t>
      </w:r>
      <w:r w:rsidRPr="000A08D9">
        <w:rPr>
          <w:rFonts w:eastAsia="Times New Roman" w:cs="Arial"/>
          <w:color w:val="000000"/>
          <w:lang w:eastAsia="bg-BG"/>
        </w:rPr>
        <w:t xml:space="preserve">Кожна микоза, развита при морски свинчета с </w:t>
      </w:r>
      <w:proofErr w:type="spellStart"/>
      <w:r w:rsidRPr="000A08D9">
        <w:rPr>
          <w:rFonts w:eastAsia="Times New Roman" w:cs="Arial"/>
          <w:color w:val="000000"/>
          <w:lang w:eastAsia="bg-BG"/>
        </w:rPr>
        <w:t>дерматофити</w:t>
      </w:r>
      <w:proofErr w:type="spellEnd"/>
      <w:r w:rsidRPr="000A08D9">
        <w:rPr>
          <w:rFonts w:eastAsia="Times New Roman" w:cs="Arial"/>
          <w:color w:val="000000"/>
          <w:lang w:eastAsia="bg-BG"/>
        </w:rPr>
        <w:t xml:space="preserve"> и </w:t>
      </w:r>
      <w:r w:rsidRPr="000A08D9">
        <w:rPr>
          <w:rFonts w:eastAsia="Times New Roman" w:cs="Arial"/>
          <w:i/>
          <w:iCs/>
          <w:color w:val="000000"/>
          <w:lang w:val="en-US"/>
        </w:rPr>
        <w:t>Candida,</w:t>
      </w:r>
      <w:r w:rsidRPr="000A08D9">
        <w:rPr>
          <w:rFonts w:eastAsia="Times New Roman" w:cs="Arial"/>
          <w:color w:val="000000"/>
          <w:lang w:val="en-US"/>
        </w:rPr>
        <w:t xml:space="preserve"> </w:t>
      </w:r>
      <w:r w:rsidRPr="000A08D9">
        <w:rPr>
          <w:rFonts w:eastAsia="Times New Roman" w:cs="Arial"/>
          <w:color w:val="000000"/>
          <w:lang w:eastAsia="bg-BG"/>
        </w:rPr>
        <w:t xml:space="preserve">е била напълно излекувана с </w:t>
      </w:r>
      <w:proofErr w:type="spellStart"/>
      <w:r w:rsidRPr="000A08D9">
        <w:rPr>
          <w:rFonts w:eastAsia="Times New Roman" w:cs="Arial"/>
          <w:color w:val="000000"/>
          <w:lang w:eastAsia="bg-BG"/>
        </w:rPr>
        <w:t>фентиконазол</w:t>
      </w:r>
      <w:proofErr w:type="spellEnd"/>
      <w:r w:rsidRPr="000A08D9">
        <w:rPr>
          <w:rFonts w:eastAsia="Times New Roman" w:cs="Arial"/>
          <w:color w:val="000000"/>
          <w:lang w:eastAsia="bg-BG"/>
        </w:rPr>
        <w:t xml:space="preserve"> в рамките на седем дни.</w:t>
      </w:r>
    </w:p>
    <w:p w14:paraId="2A886A20" w14:textId="77777777" w:rsidR="000A08D9" w:rsidRPr="000A08D9" w:rsidRDefault="000A08D9" w:rsidP="000A08D9"/>
    <w:p w14:paraId="4D7DA0E3" w14:textId="1C25A434" w:rsidR="004D4D6B" w:rsidRDefault="002C50EE" w:rsidP="002B3C38">
      <w:pPr>
        <w:pStyle w:val="2"/>
      </w:pPr>
      <w:r>
        <w:t xml:space="preserve">5.2. </w:t>
      </w:r>
      <w:proofErr w:type="spellStart"/>
      <w:r>
        <w:t>Фармакокинетични</w:t>
      </w:r>
      <w:proofErr w:type="spellEnd"/>
      <w:r>
        <w:t xml:space="preserve"> свойства</w:t>
      </w:r>
    </w:p>
    <w:p w14:paraId="6B191B6E" w14:textId="3D3E422C" w:rsidR="000A08D9" w:rsidRDefault="000A08D9" w:rsidP="000A08D9"/>
    <w:p w14:paraId="3521FC71" w14:textId="77777777" w:rsidR="000A08D9" w:rsidRPr="000A08D9" w:rsidRDefault="000A08D9" w:rsidP="000A08D9">
      <w:pPr>
        <w:rPr>
          <w:sz w:val="24"/>
          <w:szCs w:val="24"/>
        </w:rPr>
      </w:pPr>
      <w:r w:rsidRPr="000A08D9">
        <w:rPr>
          <w:lang w:eastAsia="bg-BG"/>
        </w:rPr>
        <w:t xml:space="preserve">В проучвания, проведени чрез прилагане на радиоактивен крем върху кожата, </w:t>
      </w:r>
      <w:proofErr w:type="spellStart"/>
      <w:r w:rsidRPr="000A08D9">
        <w:rPr>
          <w:lang w:eastAsia="bg-BG"/>
        </w:rPr>
        <w:t>фентиконазол</w:t>
      </w:r>
      <w:proofErr w:type="spellEnd"/>
      <w:r w:rsidRPr="000A08D9">
        <w:rPr>
          <w:lang w:eastAsia="bg-BG"/>
        </w:rPr>
        <w:t xml:space="preserve"> практически не е бил намерен в плазмата. Следователно системните реакции не трябва да бъдат вземани под внимание.</w:t>
      </w:r>
    </w:p>
    <w:p w14:paraId="187D6B87" w14:textId="77777777" w:rsidR="000A08D9" w:rsidRPr="000A08D9" w:rsidRDefault="000A08D9" w:rsidP="000A08D9"/>
    <w:p w14:paraId="1BDBE06B" w14:textId="73DE56D6" w:rsidR="004D4D6B" w:rsidRDefault="002C50EE" w:rsidP="002B3C38">
      <w:pPr>
        <w:pStyle w:val="2"/>
      </w:pPr>
      <w:r>
        <w:t>5.3. Предклинични данни за безопасност</w:t>
      </w:r>
    </w:p>
    <w:p w14:paraId="3C54631D" w14:textId="77777777" w:rsidR="000A08D9" w:rsidRDefault="000A08D9" w:rsidP="000A08D9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1" w:name="bookmark0"/>
    </w:p>
    <w:p w14:paraId="5E355C9E" w14:textId="51802691" w:rsidR="000A08D9" w:rsidRPr="000A08D9" w:rsidRDefault="000A08D9" w:rsidP="000A08D9">
      <w:pPr>
        <w:spacing w:line="240" w:lineRule="auto"/>
        <w:rPr>
          <w:rFonts w:eastAsia="Times New Roman" w:cs="Arial"/>
        </w:rPr>
      </w:pPr>
      <w:r w:rsidRPr="000A08D9">
        <w:rPr>
          <w:rFonts w:eastAsia="Times New Roman" w:cs="Arial"/>
          <w:b/>
          <w:bCs/>
          <w:color w:val="000000"/>
          <w:lang w:eastAsia="bg-BG"/>
        </w:rPr>
        <w:t>Токсикологични характеристики</w:t>
      </w:r>
      <w:bookmarkEnd w:id="1"/>
    </w:p>
    <w:p w14:paraId="402F0811" w14:textId="77777777" w:rsidR="000A08D9" w:rsidRPr="000A08D9" w:rsidRDefault="000A08D9" w:rsidP="000A08D9">
      <w:pPr>
        <w:spacing w:line="240" w:lineRule="auto"/>
        <w:rPr>
          <w:rFonts w:eastAsia="Times New Roman" w:cs="Arial"/>
        </w:rPr>
      </w:pPr>
      <w:r w:rsidRPr="000A08D9">
        <w:rPr>
          <w:rFonts w:eastAsia="Times New Roman" w:cs="Arial"/>
          <w:b/>
          <w:bCs/>
          <w:color w:val="000000"/>
          <w:lang w:eastAsia="bg-BG"/>
        </w:rPr>
        <w:t xml:space="preserve">Остра токсичност </w:t>
      </w:r>
      <w:r w:rsidRPr="000A08D9">
        <w:rPr>
          <w:rFonts w:eastAsia="Times New Roman" w:cs="Arial"/>
          <w:b/>
          <w:bCs/>
          <w:color w:val="000000"/>
          <w:lang w:val="en-US"/>
        </w:rPr>
        <w:t>(LD</w:t>
      </w:r>
      <w:r w:rsidRPr="000A08D9">
        <w:rPr>
          <w:rFonts w:eastAsia="Times New Roman" w:cs="Arial"/>
          <w:b/>
          <w:bCs/>
          <w:color w:val="000000"/>
          <w:vertAlign w:val="subscript"/>
          <w:lang w:val="en-US"/>
        </w:rPr>
        <w:t>50</w:t>
      </w:r>
      <w:r w:rsidRPr="000A08D9">
        <w:rPr>
          <w:rFonts w:eastAsia="Times New Roman" w:cs="Arial"/>
          <w:b/>
          <w:bCs/>
          <w:color w:val="000000"/>
          <w:lang w:val="en-US"/>
        </w:rPr>
        <w:t>)</w:t>
      </w:r>
    </w:p>
    <w:p w14:paraId="675558E1" w14:textId="5CD7EDC7" w:rsidR="000A08D9" w:rsidRPr="000A08D9" w:rsidRDefault="000A08D9" w:rsidP="000A08D9">
      <w:pPr>
        <w:spacing w:line="240" w:lineRule="auto"/>
        <w:rPr>
          <w:rFonts w:eastAsia="Times New Roman" w:cs="Arial"/>
        </w:rPr>
      </w:pPr>
      <w:r w:rsidRPr="000A08D9">
        <w:rPr>
          <w:rFonts w:eastAsia="Times New Roman" w:cs="Arial"/>
          <w:color w:val="000000"/>
          <w:lang w:eastAsia="bg-BG"/>
        </w:rPr>
        <w:t>Мишки:</w:t>
      </w:r>
      <w:r w:rsidRPr="000A08D9">
        <w:rPr>
          <w:rFonts w:eastAsia="Times New Roman" w:cs="Arial"/>
          <w:color w:val="000000"/>
          <w:lang w:eastAsia="bg-BG"/>
        </w:rPr>
        <w:tab/>
      </w:r>
      <w:proofErr w:type="spellStart"/>
      <w:r w:rsidRPr="000A08D9">
        <w:rPr>
          <w:rFonts w:eastAsia="Times New Roman" w:cs="Arial"/>
          <w:color w:val="000000"/>
          <w:lang w:val="en-US"/>
        </w:rPr>
        <w:t>os</w:t>
      </w:r>
      <w:proofErr w:type="spellEnd"/>
      <w:r w:rsidRPr="000A08D9">
        <w:rPr>
          <w:rFonts w:eastAsia="Times New Roman" w:cs="Arial"/>
          <w:color w:val="000000"/>
          <w:lang w:val="en-US"/>
        </w:rPr>
        <w:t>&gt;3000 mg/kg</w:t>
      </w:r>
      <w:r>
        <w:rPr>
          <w:rFonts w:eastAsia="Times New Roman" w:cs="Arial"/>
          <w:color w:val="000000"/>
        </w:rPr>
        <w:t xml:space="preserve"> - </w:t>
      </w:r>
      <w:proofErr w:type="spellStart"/>
      <w:r w:rsidRPr="000A08D9">
        <w:rPr>
          <w:rFonts w:eastAsia="Times New Roman" w:cs="Arial"/>
          <w:color w:val="000000"/>
          <w:lang w:val="en-US"/>
        </w:rPr>
        <w:t>i.p.</w:t>
      </w:r>
      <w:proofErr w:type="spellEnd"/>
      <w:r w:rsidRPr="000A08D9">
        <w:rPr>
          <w:rFonts w:eastAsia="Times New Roman" w:cs="Arial"/>
          <w:color w:val="000000"/>
          <w:lang w:val="en-US"/>
        </w:rPr>
        <w:t xml:space="preserve"> </w:t>
      </w:r>
      <w:r w:rsidRPr="000A08D9">
        <w:rPr>
          <w:rFonts w:eastAsia="Times New Roman" w:cs="Arial"/>
          <w:color w:val="000000"/>
          <w:lang w:eastAsia="bg-BG"/>
        </w:rPr>
        <w:t xml:space="preserve">1276 </w:t>
      </w:r>
      <w:r w:rsidRPr="000A08D9">
        <w:rPr>
          <w:rFonts w:eastAsia="Times New Roman" w:cs="Arial"/>
          <w:color w:val="000000"/>
          <w:lang w:val="en-US"/>
        </w:rPr>
        <w:t xml:space="preserve">mg/kg </w:t>
      </w:r>
      <w:r w:rsidRPr="000A08D9">
        <w:rPr>
          <w:rFonts w:eastAsia="Times New Roman" w:cs="Arial"/>
          <w:color w:val="000000"/>
          <w:lang w:eastAsia="bg-BG"/>
        </w:rPr>
        <w:t xml:space="preserve">(м), </w:t>
      </w:r>
      <w:r w:rsidRPr="000A08D9">
        <w:rPr>
          <w:rFonts w:eastAsia="Times New Roman" w:cs="Arial"/>
          <w:color w:val="000000"/>
          <w:lang w:val="en-US"/>
        </w:rPr>
        <w:t xml:space="preserve">1265 mg/kg </w:t>
      </w:r>
      <w:r w:rsidRPr="000A08D9">
        <w:rPr>
          <w:rFonts w:eastAsia="Times New Roman" w:cs="Arial"/>
          <w:color w:val="000000"/>
          <w:lang w:eastAsia="bg-BG"/>
        </w:rPr>
        <w:t>(ж)</w:t>
      </w:r>
    </w:p>
    <w:p w14:paraId="503F8E5F" w14:textId="382F73E5" w:rsidR="000A08D9" w:rsidRPr="000A08D9" w:rsidRDefault="000A08D9" w:rsidP="000A08D9">
      <w:pPr>
        <w:spacing w:line="240" w:lineRule="auto"/>
        <w:rPr>
          <w:rFonts w:eastAsia="Times New Roman" w:cs="Arial"/>
        </w:rPr>
      </w:pPr>
      <w:r w:rsidRPr="000A08D9">
        <w:rPr>
          <w:rFonts w:eastAsia="Times New Roman" w:cs="Arial"/>
          <w:color w:val="000000"/>
          <w:lang w:eastAsia="bg-BG"/>
        </w:rPr>
        <w:t>Плъхове:</w:t>
      </w:r>
      <w:r w:rsidRPr="000A08D9">
        <w:rPr>
          <w:rFonts w:eastAsia="Times New Roman" w:cs="Arial"/>
          <w:color w:val="000000"/>
          <w:lang w:eastAsia="bg-BG"/>
        </w:rPr>
        <w:tab/>
      </w:r>
      <w:proofErr w:type="spellStart"/>
      <w:r w:rsidRPr="000A08D9">
        <w:rPr>
          <w:rFonts w:eastAsia="Times New Roman" w:cs="Arial"/>
          <w:color w:val="000000"/>
          <w:lang w:val="en-US"/>
        </w:rPr>
        <w:t>os</w:t>
      </w:r>
      <w:proofErr w:type="spellEnd"/>
      <w:r w:rsidRPr="000A08D9">
        <w:rPr>
          <w:rFonts w:eastAsia="Times New Roman" w:cs="Arial"/>
          <w:color w:val="000000"/>
          <w:lang w:val="en-US"/>
        </w:rPr>
        <w:t>&gt;3000 mg/kg</w:t>
      </w:r>
      <w:r>
        <w:rPr>
          <w:rFonts w:eastAsia="Times New Roman" w:cs="Arial"/>
          <w:color w:val="000000"/>
        </w:rPr>
        <w:t xml:space="preserve"> - </w:t>
      </w:r>
      <w:proofErr w:type="spellStart"/>
      <w:r w:rsidRPr="000A08D9">
        <w:rPr>
          <w:rFonts w:eastAsia="Times New Roman" w:cs="Arial"/>
          <w:color w:val="000000"/>
          <w:lang w:val="en-US"/>
        </w:rPr>
        <w:t>s.c.</w:t>
      </w:r>
      <w:proofErr w:type="spellEnd"/>
      <w:r w:rsidRPr="000A08D9">
        <w:rPr>
          <w:rFonts w:eastAsia="Times New Roman" w:cs="Arial"/>
          <w:color w:val="000000"/>
          <w:lang w:val="en-US"/>
        </w:rPr>
        <w:t xml:space="preserve"> 750 mg/kg</w:t>
      </w:r>
      <w:r>
        <w:rPr>
          <w:rFonts w:eastAsia="Times New Roman" w:cs="Arial"/>
          <w:color w:val="000000"/>
        </w:rPr>
        <w:t xml:space="preserve"> - </w:t>
      </w:r>
      <w:proofErr w:type="spellStart"/>
      <w:r w:rsidRPr="000A08D9">
        <w:rPr>
          <w:rFonts w:eastAsia="Times New Roman" w:cs="Arial"/>
          <w:color w:val="000000"/>
          <w:lang w:val="en-US"/>
        </w:rPr>
        <w:t>i.p.</w:t>
      </w:r>
      <w:proofErr w:type="spellEnd"/>
      <w:r w:rsidRPr="000A08D9">
        <w:rPr>
          <w:rFonts w:eastAsia="Times New Roman" w:cs="Arial"/>
          <w:color w:val="000000"/>
          <w:lang w:val="en-US"/>
        </w:rPr>
        <w:t xml:space="preserve"> 440 mg/kg </w:t>
      </w:r>
      <w:r w:rsidRPr="000A08D9">
        <w:rPr>
          <w:rFonts w:eastAsia="Times New Roman" w:cs="Arial"/>
          <w:smallCaps/>
          <w:color w:val="000000"/>
          <w:lang w:val="en-US"/>
        </w:rPr>
        <w:t>(</w:t>
      </w:r>
      <w:r w:rsidRPr="000A08D9">
        <w:rPr>
          <w:rFonts w:eastAsia="Times New Roman" w:cs="Arial"/>
          <w:smallCaps/>
          <w:color w:val="000000"/>
          <w:lang w:eastAsia="bg-BG"/>
        </w:rPr>
        <w:t>м</w:t>
      </w:r>
      <w:r w:rsidRPr="000A08D9">
        <w:rPr>
          <w:rFonts w:eastAsia="Times New Roman" w:cs="Arial"/>
          <w:smallCaps/>
          <w:color w:val="000000"/>
          <w:lang w:val="en-US"/>
        </w:rPr>
        <w:t>),</w:t>
      </w:r>
      <w:r w:rsidRPr="000A08D9">
        <w:rPr>
          <w:rFonts w:eastAsia="Times New Roman" w:cs="Arial"/>
          <w:color w:val="000000"/>
          <w:lang w:val="en-US"/>
        </w:rPr>
        <w:t xml:space="preserve"> 309 mg/kg </w:t>
      </w:r>
      <w:r w:rsidRPr="000A08D9">
        <w:rPr>
          <w:rFonts w:eastAsia="Times New Roman" w:cs="Arial"/>
          <w:color w:val="000000"/>
          <w:lang w:eastAsia="bg-BG"/>
        </w:rPr>
        <w:t>(ж)</w:t>
      </w:r>
    </w:p>
    <w:p w14:paraId="3145BC29" w14:textId="753A1D3A" w:rsidR="000A08D9" w:rsidRPr="000A08D9" w:rsidRDefault="000A08D9" w:rsidP="000A08D9">
      <w:pPr>
        <w:spacing w:line="240" w:lineRule="auto"/>
        <w:rPr>
          <w:rFonts w:eastAsia="Times New Roman" w:cs="Arial"/>
        </w:rPr>
      </w:pPr>
      <w:r w:rsidRPr="000A08D9">
        <w:rPr>
          <w:rFonts w:eastAsia="Times New Roman" w:cs="Arial"/>
          <w:color w:val="000000"/>
          <w:lang w:eastAsia="bg-BG"/>
        </w:rPr>
        <w:t>Кучета:</w:t>
      </w:r>
      <w:r w:rsidRPr="000A08D9">
        <w:rPr>
          <w:rFonts w:eastAsia="Times New Roman" w:cs="Arial"/>
          <w:color w:val="000000"/>
          <w:lang w:eastAsia="bg-BG"/>
        </w:rPr>
        <w:tab/>
      </w:r>
      <w:proofErr w:type="spellStart"/>
      <w:r w:rsidRPr="000A08D9">
        <w:rPr>
          <w:rFonts w:eastAsia="Times New Roman" w:cs="Arial"/>
          <w:color w:val="000000"/>
          <w:lang w:val="en-US"/>
        </w:rPr>
        <w:t>os</w:t>
      </w:r>
      <w:proofErr w:type="spellEnd"/>
      <w:r w:rsidRPr="000A08D9">
        <w:rPr>
          <w:rFonts w:eastAsia="Times New Roman" w:cs="Arial"/>
          <w:color w:val="000000"/>
          <w:lang w:val="en-US"/>
        </w:rPr>
        <w:t>&gt;1000 mg/kg</w:t>
      </w:r>
      <w:r>
        <w:rPr>
          <w:rFonts w:eastAsia="Times New Roman" w:cs="Arial"/>
          <w:color w:val="000000"/>
        </w:rPr>
        <w:t xml:space="preserve"> - </w:t>
      </w:r>
      <w:proofErr w:type="spellStart"/>
      <w:r w:rsidRPr="000A08D9">
        <w:rPr>
          <w:rFonts w:eastAsia="Times New Roman" w:cs="Arial"/>
          <w:color w:val="000000"/>
          <w:lang w:val="en-US"/>
        </w:rPr>
        <w:t>s.c.</w:t>
      </w:r>
      <w:proofErr w:type="spellEnd"/>
      <w:r w:rsidRPr="000A08D9">
        <w:rPr>
          <w:rFonts w:eastAsia="Times New Roman" w:cs="Arial"/>
          <w:color w:val="000000"/>
          <w:lang w:val="en-US"/>
        </w:rPr>
        <w:t xml:space="preserve"> 500 mg/kg</w:t>
      </w:r>
    </w:p>
    <w:p w14:paraId="010B43AD" w14:textId="77777777" w:rsidR="000A08D9" w:rsidRPr="000A08D9" w:rsidRDefault="000A08D9" w:rsidP="000A08D9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2" w:name="bookmark3"/>
    </w:p>
    <w:p w14:paraId="5B504F14" w14:textId="1FE07593" w:rsidR="000A08D9" w:rsidRPr="000A08D9" w:rsidRDefault="000A08D9" w:rsidP="000A08D9">
      <w:pPr>
        <w:spacing w:line="240" w:lineRule="auto"/>
        <w:rPr>
          <w:rFonts w:eastAsia="Times New Roman" w:cs="Arial"/>
        </w:rPr>
      </w:pPr>
      <w:r w:rsidRPr="000A08D9">
        <w:rPr>
          <w:rFonts w:eastAsia="Times New Roman" w:cs="Arial"/>
          <w:b/>
          <w:bCs/>
          <w:color w:val="000000"/>
          <w:lang w:eastAsia="bg-BG"/>
        </w:rPr>
        <w:t>Хронична токсичност</w:t>
      </w:r>
      <w:bookmarkEnd w:id="2"/>
    </w:p>
    <w:p w14:paraId="32F69878" w14:textId="77777777" w:rsidR="000A08D9" w:rsidRPr="000A08D9" w:rsidRDefault="000A08D9" w:rsidP="000A08D9">
      <w:pPr>
        <w:spacing w:line="240" w:lineRule="auto"/>
        <w:rPr>
          <w:rFonts w:eastAsia="Times New Roman" w:cs="Arial"/>
        </w:rPr>
      </w:pPr>
      <w:r w:rsidRPr="000A08D9">
        <w:rPr>
          <w:rFonts w:eastAsia="Times New Roman" w:cs="Arial"/>
          <w:color w:val="000000"/>
          <w:lang w:eastAsia="bg-BG"/>
        </w:rPr>
        <w:t xml:space="preserve">При хронична перорална токсичност с </w:t>
      </w:r>
      <w:proofErr w:type="spellStart"/>
      <w:r w:rsidRPr="000A08D9">
        <w:rPr>
          <w:rFonts w:eastAsia="Times New Roman" w:cs="Arial"/>
          <w:color w:val="000000"/>
          <w:lang w:eastAsia="bg-BG"/>
        </w:rPr>
        <w:t>фентиконазол</w:t>
      </w:r>
      <w:proofErr w:type="spellEnd"/>
      <w:r w:rsidRPr="000A08D9">
        <w:rPr>
          <w:rFonts w:eastAsia="Times New Roman" w:cs="Arial"/>
          <w:color w:val="000000"/>
          <w:lang w:eastAsia="bg-BG"/>
        </w:rPr>
        <w:t xml:space="preserve"> при плъхове и кучета са показани леки до умерени токсични ефекти, започващи от 60 </w:t>
      </w:r>
      <w:r w:rsidRPr="000A08D9">
        <w:rPr>
          <w:rFonts w:eastAsia="Times New Roman" w:cs="Arial"/>
          <w:color w:val="000000"/>
          <w:lang w:val="en-US"/>
        </w:rPr>
        <w:t xml:space="preserve">mg/kg. </w:t>
      </w:r>
      <w:r w:rsidRPr="000A08D9">
        <w:rPr>
          <w:rFonts w:eastAsia="Times New Roman" w:cs="Arial"/>
          <w:color w:val="000000"/>
          <w:lang w:eastAsia="bg-BG"/>
        </w:rPr>
        <w:t xml:space="preserve">Таргетният орган е бил черният дроб. Теглото на черния дроб и стойности на чернодробните ензими се увеличават, като влиянието на липидния метаболизъм също се увеличава. При кучета </w:t>
      </w:r>
      <w:r w:rsidRPr="000A08D9">
        <w:rPr>
          <w:rFonts w:eastAsia="Times New Roman" w:cs="Arial"/>
          <w:color w:val="000000"/>
          <w:lang w:eastAsia="bg-BG"/>
        </w:rPr>
        <w:lastRenderedPageBreak/>
        <w:t xml:space="preserve">също така са </w:t>
      </w:r>
      <w:proofErr w:type="spellStart"/>
      <w:r w:rsidRPr="000A08D9">
        <w:rPr>
          <w:rFonts w:eastAsia="Times New Roman" w:cs="Arial"/>
          <w:color w:val="000000"/>
          <w:lang w:eastAsia="bg-BG"/>
        </w:rPr>
        <w:t>повявяват</w:t>
      </w:r>
      <w:proofErr w:type="spellEnd"/>
      <w:r w:rsidRPr="000A08D9">
        <w:rPr>
          <w:rFonts w:eastAsia="Times New Roman" w:cs="Arial"/>
          <w:color w:val="000000"/>
          <w:lang w:eastAsia="bg-BG"/>
        </w:rPr>
        <w:t xml:space="preserve"> утаяване на пигменти в черния дроб, нежелани кожни реакции (</w:t>
      </w:r>
      <w:proofErr w:type="spellStart"/>
      <w:r w:rsidRPr="000A08D9">
        <w:rPr>
          <w:rFonts w:eastAsia="Times New Roman" w:cs="Arial"/>
          <w:color w:val="000000"/>
          <w:lang w:eastAsia="bg-BG"/>
        </w:rPr>
        <w:t>акантозис</w:t>
      </w:r>
      <w:proofErr w:type="spellEnd"/>
      <w:r w:rsidRPr="000A08D9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0A08D9">
        <w:rPr>
          <w:rFonts w:eastAsia="Times New Roman" w:cs="Arial"/>
          <w:color w:val="000000"/>
          <w:lang w:eastAsia="bg-BG"/>
        </w:rPr>
        <w:t>хиперкератоза</w:t>
      </w:r>
      <w:proofErr w:type="spellEnd"/>
      <w:r w:rsidRPr="000A08D9">
        <w:rPr>
          <w:rFonts w:eastAsia="Times New Roman" w:cs="Arial"/>
          <w:color w:val="000000"/>
          <w:lang w:eastAsia="bg-BG"/>
        </w:rPr>
        <w:t>), както и потъмняване на роговицата.</w:t>
      </w:r>
    </w:p>
    <w:p w14:paraId="0E34EFCE" w14:textId="77777777" w:rsidR="000A08D9" w:rsidRPr="000A08D9" w:rsidRDefault="000A08D9" w:rsidP="000A08D9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3" w:name="bookmark5"/>
    </w:p>
    <w:p w14:paraId="39440424" w14:textId="26F132C1" w:rsidR="000A08D9" w:rsidRPr="000A08D9" w:rsidRDefault="000A08D9" w:rsidP="000A08D9">
      <w:pPr>
        <w:spacing w:line="240" w:lineRule="auto"/>
        <w:rPr>
          <w:rFonts w:eastAsia="Times New Roman" w:cs="Arial"/>
        </w:rPr>
      </w:pPr>
      <w:r w:rsidRPr="000A08D9">
        <w:rPr>
          <w:rFonts w:eastAsia="Times New Roman" w:cs="Arial"/>
          <w:b/>
          <w:bCs/>
          <w:color w:val="000000"/>
          <w:lang w:eastAsia="bg-BG"/>
        </w:rPr>
        <w:t>Репродуктивна токсичност</w:t>
      </w:r>
      <w:bookmarkEnd w:id="3"/>
    </w:p>
    <w:p w14:paraId="015FBD09" w14:textId="77777777" w:rsidR="000A08D9" w:rsidRPr="000A08D9" w:rsidRDefault="000A08D9" w:rsidP="000A08D9">
      <w:pPr>
        <w:spacing w:line="240" w:lineRule="auto"/>
        <w:rPr>
          <w:rFonts w:eastAsia="Times New Roman" w:cs="Arial"/>
        </w:rPr>
      </w:pPr>
      <w:r w:rsidRPr="000A08D9">
        <w:rPr>
          <w:rFonts w:eastAsia="Times New Roman" w:cs="Arial"/>
          <w:color w:val="000000"/>
          <w:lang w:eastAsia="bg-BG"/>
        </w:rPr>
        <w:t xml:space="preserve">Проучвания, включващи перорално приложение на </w:t>
      </w:r>
      <w:proofErr w:type="spellStart"/>
      <w:r w:rsidRPr="000A08D9">
        <w:rPr>
          <w:rFonts w:eastAsia="Times New Roman" w:cs="Arial"/>
          <w:color w:val="000000"/>
          <w:lang w:eastAsia="bg-BG"/>
        </w:rPr>
        <w:t>фентиконазол</w:t>
      </w:r>
      <w:proofErr w:type="spellEnd"/>
      <w:r w:rsidRPr="000A08D9">
        <w:rPr>
          <w:rFonts w:eastAsia="Times New Roman" w:cs="Arial"/>
          <w:color w:val="000000"/>
          <w:lang w:eastAsia="bg-BG"/>
        </w:rPr>
        <w:t xml:space="preserve"> при плъхове и зайци, не са показали тератогенен потенциал. </w:t>
      </w:r>
      <w:proofErr w:type="spellStart"/>
      <w:r w:rsidRPr="000A08D9">
        <w:rPr>
          <w:rFonts w:eastAsia="Times New Roman" w:cs="Arial"/>
          <w:color w:val="000000"/>
          <w:lang w:eastAsia="bg-BG"/>
        </w:rPr>
        <w:t>Ембриотоксични</w:t>
      </w:r>
      <w:proofErr w:type="spellEnd"/>
      <w:r w:rsidRPr="000A08D9">
        <w:rPr>
          <w:rFonts w:eastAsia="Times New Roman" w:cs="Arial"/>
          <w:color w:val="000000"/>
          <w:lang w:eastAsia="bg-BG"/>
        </w:rPr>
        <w:t xml:space="preserve"> ефекти се наблюдават при доза от 80 </w:t>
      </w:r>
      <w:r w:rsidRPr="000A08D9">
        <w:rPr>
          <w:rFonts w:eastAsia="Times New Roman" w:cs="Arial"/>
          <w:color w:val="000000"/>
          <w:lang w:val="en-US"/>
        </w:rPr>
        <w:t xml:space="preserve">mg/kg </w:t>
      </w:r>
      <w:r w:rsidRPr="000A08D9">
        <w:rPr>
          <w:rFonts w:eastAsia="Times New Roman" w:cs="Arial"/>
          <w:color w:val="000000"/>
          <w:lang w:eastAsia="bg-BG"/>
        </w:rPr>
        <w:t xml:space="preserve">дневно. Дози от 40 </w:t>
      </w:r>
      <w:r w:rsidRPr="000A08D9">
        <w:rPr>
          <w:rFonts w:eastAsia="Times New Roman" w:cs="Arial"/>
          <w:color w:val="000000"/>
          <w:lang w:val="en-US"/>
        </w:rPr>
        <w:t xml:space="preserve">mg/kg </w:t>
      </w:r>
      <w:r w:rsidRPr="000A08D9">
        <w:rPr>
          <w:rFonts w:eastAsia="Times New Roman" w:cs="Arial"/>
          <w:color w:val="000000"/>
          <w:lang w:eastAsia="bg-BG"/>
        </w:rPr>
        <w:t xml:space="preserve">дневно в </w:t>
      </w:r>
      <w:proofErr w:type="spellStart"/>
      <w:r w:rsidRPr="000A08D9">
        <w:rPr>
          <w:rFonts w:eastAsia="Times New Roman" w:cs="Arial"/>
          <w:color w:val="000000"/>
          <w:lang w:eastAsia="bg-BG"/>
        </w:rPr>
        <w:t>перинаталния</w:t>
      </w:r>
      <w:proofErr w:type="spellEnd"/>
      <w:r w:rsidRPr="000A08D9">
        <w:rPr>
          <w:rFonts w:eastAsia="Times New Roman" w:cs="Arial"/>
          <w:color w:val="000000"/>
          <w:lang w:eastAsia="bg-BG"/>
        </w:rPr>
        <w:t xml:space="preserve"> период са причинили </w:t>
      </w:r>
      <w:proofErr w:type="spellStart"/>
      <w:r w:rsidRPr="000A08D9">
        <w:rPr>
          <w:rFonts w:eastAsia="Times New Roman" w:cs="Arial"/>
          <w:color w:val="000000"/>
          <w:lang w:eastAsia="bg-BG"/>
        </w:rPr>
        <w:t>дистоция</w:t>
      </w:r>
      <w:proofErr w:type="spellEnd"/>
      <w:r w:rsidRPr="000A08D9">
        <w:rPr>
          <w:rFonts w:eastAsia="Times New Roman" w:cs="Arial"/>
          <w:color w:val="000000"/>
          <w:lang w:eastAsia="bg-BG"/>
        </w:rPr>
        <w:t xml:space="preserve"> при плъхове и повишена смъртност на малки кучета. </w:t>
      </w:r>
      <w:proofErr w:type="spellStart"/>
      <w:r w:rsidRPr="000A08D9">
        <w:rPr>
          <w:rFonts w:eastAsia="Times New Roman" w:cs="Arial"/>
          <w:color w:val="000000"/>
          <w:lang w:eastAsia="bg-BG"/>
        </w:rPr>
        <w:t>Фертилитетът</w:t>
      </w:r>
      <w:proofErr w:type="spellEnd"/>
      <w:r w:rsidRPr="000A08D9">
        <w:rPr>
          <w:rFonts w:eastAsia="Times New Roman" w:cs="Arial"/>
          <w:color w:val="000000"/>
          <w:lang w:eastAsia="bg-BG"/>
        </w:rPr>
        <w:t xml:space="preserve"> обаче не е изложен на риск. </w:t>
      </w:r>
      <w:proofErr w:type="spellStart"/>
      <w:r w:rsidRPr="000A08D9">
        <w:rPr>
          <w:rFonts w:eastAsia="Times New Roman" w:cs="Arial"/>
          <w:color w:val="000000"/>
          <w:lang w:eastAsia="bg-BG"/>
        </w:rPr>
        <w:t>Фентиконазол</w:t>
      </w:r>
      <w:proofErr w:type="spellEnd"/>
      <w:r w:rsidRPr="000A08D9">
        <w:rPr>
          <w:rFonts w:eastAsia="Times New Roman" w:cs="Arial"/>
          <w:color w:val="000000"/>
          <w:lang w:eastAsia="bg-BG"/>
        </w:rPr>
        <w:t xml:space="preserve"> и/или неговите метаболити са установени в млякото при кърмещи плъхове.</w:t>
      </w:r>
    </w:p>
    <w:p w14:paraId="387CCDD5" w14:textId="77777777" w:rsidR="000A08D9" w:rsidRPr="000A08D9" w:rsidRDefault="000A08D9" w:rsidP="000A08D9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4" w:name="bookmark7"/>
    </w:p>
    <w:p w14:paraId="50E3C195" w14:textId="12CF5F04" w:rsidR="000A08D9" w:rsidRPr="000A08D9" w:rsidRDefault="000A08D9" w:rsidP="000A08D9">
      <w:pPr>
        <w:spacing w:line="240" w:lineRule="auto"/>
        <w:rPr>
          <w:rFonts w:eastAsia="Times New Roman" w:cs="Arial"/>
        </w:rPr>
      </w:pPr>
      <w:r w:rsidRPr="000A08D9">
        <w:rPr>
          <w:rFonts w:eastAsia="Times New Roman" w:cs="Arial"/>
          <w:b/>
          <w:bCs/>
          <w:color w:val="000000"/>
          <w:lang w:eastAsia="bg-BG"/>
        </w:rPr>
        <w:t>Канцерогенност</w:t>
      </w:r>
      <w:bookmarkEnd w:id="4"/>
    </w:p>
    <w:p w14:paraId="4C865DA0" w14:textId="77777777" w:rsidR="000A08D9" w:rsidRPr="000A08D9" w:rsidRDefault="000A08D9" w:rsidP="000A08D9">
      <w:pPr>
        <w:spacing w:line="240" w:lineRule="auto"/>
        <w:rPr>
          <w:rFonts w:eastAsia="Times New Roman" w:cs="Arial"/>
        </w:rPr>
      </w:pPr>
      <w:r w:rsidRPr="000A08D9">
        <w:rPr>
          <w:rFonts w:eastAsia="Times New Roman" w:cs="Arial"/>
          <w:color w:val="000000"/>
          <w:lang w:eastAsia="bg-BG"/>
        </w:rPr>
        <w:t>Не са провеждани дългосрочни проучвания за канцерогенност.</w:t>
      </w:r>
    </w:p>
    <w:p w14:paraId="7A11AAB8" w14:textId="77777777" w:rsidR="000A08D9" w:rsidRPr="000A08D9" w:rsidRDefault="000A08D9" w:rsidP="000A08D9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5" w:name="bookmark9"/>
    </w:p>
    <w:p w14:paraId="59C2A907" w14:textId="3236C433" w:rsidR="000A08D9" w:rsidRPr="000A08D9" w:rsidRDefault="000A08D9" w:rsidP="000A08D9">
      <w:pPr>
        <w:spacing w:line="240" w:lineRule="auto"/>
        <w:rPr>
          <w:rFonts w:eastAsia="Times New Roman" w:cs="Arial"/>
        </w:rPr>
      </w:pPr>
      <w:proofErr w:type="spellStart"/>
      <w:r w:rsidRPr="000A08D9">
        <w:rPr>
          <w:rFonts w:eastAsia="Times New Roman" w:cs="Arial"/>
          <w:b/>
          <w:bCs/>
          <w:color w:val="000000"/>
          <w:lang w:eastAsia="bg-BG"/>
        </w:rPr>
        <w:t>Мутагенност</w:t>
      </w:r>
      <w:bookmarkEnd w:id="5"/>
      <w:proofErr w:type="spellEnd"/>
    </w:p>
    <w:p w14:paraId="33B63D23" w14:textId="1BDB4C95" w:rsidR="000A08D9" w:rsidRPr="000A08D9" w:rsidRDefault="000A08D9" w:rsidP="000A08D9">
      <w:pPr>
        <w:rPr>
          <w:rFonts w:cs="Arial"/>
        </w:rPr>
      </w:pPr>
      <w:proofErr w:type="spellStart"/>
      <w:r w:rsidRPr="000A08D9">
        <w:rPr>
          <w:rFonts w:eastAsia="Times New Roman" w:cs="Arial"/>
          <w:color w:val="000000"/>
          <w:lang w:eastAsia="bg-BG"/>
        </w:rPr>
        <w:t>Фентиконазол</w:t>
      </w:r>
      <w:proofErr w:type="spellEnd"/>
      <w:r w:rsidRPr="000A08D9">
        <w:rPr>
          <w:rFonts w:eastAsia="Times New Roman" w:cs="Arial"/>
          <w:color w:val="000000"/>
          <w:lang w:eastAsia="bg-BG"/>
        </w:rPr>
        <w:t xml:space="preserve"> не показва мутагенни ефекти при задълбочено изследване на </w:t>
      </w:r>
      <w:proofErr w:type="spellStart"/>
      <w:r w:rsidRPr="000A08D9">
        <w:rPr>
          <w:rFonts w:eastAsia="Times New Roman" w:cs="Arial"/>
          <w:color w:val="000000"/>
          <w:lang w:eastAsia="bg-BG"/>
        </w:rPr>
        <w:t>мутагенеза</w:t>
      </w:r>
      <w:proofErr w:type="spellEnd"/>
      <w:r w:rsidRPr="000A08D9">
        <w:rPr>
          <w:rFonts w:eastAsia="Times New Roman" w:cs="Arial"/>
          <w:color w:val="000000"/>
          <w:lang w:eastAsia="bg-BG"/>
        </w:rPr>
        <w:t>.</w:t>
      </w:r>
    </w:p>
    <w:p w14:paraId="6940F72E" w14:textId="0C6B3298" w:rsidR="009B171C" w:rsidRDefault="002C50EE" w:rsidP="00CA1B57">
      <w:pPr>
        <w:pStyle w:val="1"/>
      </w:pPr>
      <w:r>
        <w:t>7. ПРИТЕЖАТЕЛ НА РАЗРЕШЕНИЕТО ЗА УПОТРЕБА</w:t>
      </w:r>
    </w:p>
    <w:p w14:paraId="0259A041" w14:textId="77777777" w:rsidR="000A08D9" w:rsidRDefault="000A08D9" w:rsidP="000A08D9">
      <w:pPr>
        <w:rPr>
          <w:lang w:val="en-US"/>
        </w:rPr>
      </w:pPr>
    </w:p>
    <w:p w14:paraId="04FB17B5" w14:textId="140797DC" w:rsidR="000A08D9" w:rsidRPr="000A08D9" w:rsidRDefault="000A08D9" w:rsidP="000A08D9">
      <w:pPr>
        <w:rPr>
          <w:sz w:val="24"/>
          <w:szCs w:val="24"/>
          <w:lang w:val="en-US"/>
        </w:rPr>
      </w:pPr>
      <w:proofErr w:type="spellStart"/>
      <w:r w:rsidRPr="000A08D9">
        <w:rPr>
          <w:lang w:val="en-US"/>
        </w:rPr>
        <w:t>Recordati</w:t>
      </w:r>
      <w:proofErr w:type="spellEnd"/>
      <w:r w:rsidRPr="000A08D9">
        <w:rPr>
          <w:lang w:val="en-US"/>
        </w:rPr>
        <w:t xml:space="preserve"> Ireland Ltd.,</w:t>
      </w:r>
    </w:p>
    <w:p w14:paraId="67E695A4" w14:textId="77777777" w:rsidR="000A08D9" w:rsidRDefault="000A08D9" w:rsidP="000A08D9">
      <w:pPr>
        <w:rPr>
          <w:lang w:val="en-US"/>
        </w:rPr>
      </w:pPr>
      <w:proofErr w:type="spellStart"/>
      <w:r w:rsidRPr="000A08D9">
        <w:rPr>
          <w:lang w:val="en-US"/>
        </w:rPr>
        <w:t>Raheens</w:t>
      </w:r>
      <w:proofErr w:type="spellEnd"/>
      <w:r w:rsidRPr="000A08D9">
        <w:rPr>
          <w:lang w:val="en-US"/>
        </w:rPr>
        <w:t xml:space="preserve"> East, </w:t>
      </w:r>
      <w:proofErr w:type="spellStart"/>
      <w:r w:rsidRPr="000A08D9">
        <w:rPr>
          <w:lang w:val="en-US"/>
        </w:rPr>
        <w:t>Ringaskiddy</w:t>
      </w:r>
      <w:proofErr w:type="spellEnd"/>
      <w:r w:rsidRPr="000A08D9">
        <w:rPr>
          <w:lang w:val="en-US"/>
        </w:rPr>
        <w:t xml:space="preserve"> Co. Cork, </w:t>
      </w:r>
    </w:p>
    <w:p w14:paraId="0780A9A5" w14:textId="512DDF91" w:rsidR="000A08D9" w:rsidRPr="000A08D9" w:rsidRDefault="000A08D9" w:rsidP="000A08D9">
      <w:r w:rsidRPr="000A08D9">
        <w:rPr>
          <w:lang w:eastAsia="bg-BG"/>
        </w:rPr>
        <w:t>Ирландия</w:t>
      </w:r>
    </w:p>
    <w:p w14:paraId="04840D59" w14:textId="43657C1C" w:rsidR="002C50EE" w:rsidRDefault="002C50EE" w:rsidP="002C50EE">
      <w:pPr>
        <w:pStyle w:val="1"/>
      </w:pPr>
      <w:r>
        <w:t>8. НОМЕР НА РАЗРЕШЕНИЕТО ЗА УПОТРЕБА</w:t>
      </w:r>
    </w:p>
    <w:p w14:paraId="2757153E" w14:textId="52D6B88D" w:rsidR="000A08D9" w:rsidRDefault="000A08D9" w:rsidP="000A08D9"/>
    <w:p w14:paraId="1272C893" w14:textId="3B11C5EE" w:rsidR="000A08D9" w:rsidRPr="000A08D9" w:rsidRDefault="000A08D9" w:rsidP="000A08D9">
      <w:r>
        <w:t>20040139</w:t>
      </w:r>
    </w:p>
    <w:p w14:paraId="5900CBF3" w14:textId="33E307D0" w:rsidR="002C50EE" w:rsidRDefault="002C50EE" w:rsidP="002C50EE">
      <w:pPr>
        <w:pStyle w:val="1"/>
      </w:pPr>
      <w:r>
        <w:t>9. ДАТА НА ПЪРВО РАЗРЕШАВАНЕ/ПОДНОВЯВАНЕ НА РАЗРЕШЕНИЕТО ЗА УПОТРЕБА</w:t>
      </w:r>
    </w:p>
    <w:p w14:paraId="27AF93ED" w14:textId="15CAAB04" w:rsidR="000A08D9" w:rsidRDefault="000A08D9" w:rsidP="000A08D9"/>
    <w:p w14:paraId="1B0F699C" w14:textId="7E653700" w:rsidR="000A08D9" w:rsidRPr="000A08D9" w:rsidRDefault="000A08D9" w:rsidP="000A08D9">
      <w:r>
        <w:t>30.03.2004/09.07.2009</w:t>
      </w:r>
    </w:p>
    <w:p w14:paraId="0E9D0119" w14:textId="0245C6D7" w:rsidR="002C50EE" w:rsidRDefault="002C50EE" w:rsidP="002C50EE">
      <w:pPr>
        <w:pStyle w:val="1"/>
      </w:pPr>
      <w:r>
        <w:t>10. ДАТА НА АКТУАЛИЗИРАНЕ НА ТЕКСТА</w:t>
      </w:r>
    </w:p>
    <w:bookmarkEnd w:id="0"/>
    <w:p w14:paraId="423F4C2A" w14:textId="0E47AB49" w:rsidR="00C87E90" w:rsidRPr="003E3126" w:rsidRDefault="000A08D9" w:rsidP="000A08D9">
      <w:r>
        <w:t>01/2017</w:t>
      </w:r>
    </w:p>
    <w:sectPr w:rsidR="00C87E90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8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15E53"/>
    <w:multiLevelType w:val="hybridMultilevel"/>
    <w:tmpl w:val="99B40D04"/>
    <w:lvl w:ilvl="0" w:tplc="4776FFD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4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10"/>
  </w:num>
  <w:num w:numId="4">
    <w:abstractNumId w:val="3"/>
  </w:num>
  <w:num w:numId="5">
    <w:abstractNumId w:val="1"/>
  </w:num>
  <w:num w:numId="6">
    <w:abstractNumId w:val="14"/>
  </w:num>
  <w:num w:numId="7">
    <w:abstractNumId w:val="8"/>
  </w:num>
  <w:num w:numId="8">
    <w:abstractNumId w:val="13"/>
  </w:num>
  <w:num w:numId="9">
    <w:abstractNumId w:val="2"/>
  </w:num>
  <w:num w:numId="10">
    <w:abstractNumId w:val="4"/>
  </w:num>
  <w:num w:numId="11">
    <w:abstractNumId w:val="25"/>
  </w:num>
  <w:num w:numId="12">
    <w:abstractNumId w:val="12"/>
  </w:num>
  <w:num w:numId="13">
    <w:abstractNumId w:val="17"/>
  </w:num>
  <w:num w:numId="14">
    <w:abstractNumId w:val="9"/>
  </w:num>
  <w:num w:numId="15">
    <w:abstractNumId w:val="24"/>
  </w:num>
  <w:num w:numId="16">
    <w:abstractNumId w:val="7"/>
  </w:num>
  <w:num w:numId="17">
    <w:abstractNumId w:val="20"/>
  </w:num>
  <w:num w:numId="18">
    <w:abstractNumId w:val="5"/>
  </w:num>
  <w:num w:numId="19">
    <w:abstractNumId w:val="22"/>
  </w:num>
  <w:num w:numId="20">
    <w:abstractNumId w:val="19"/>
  </w:num>
  <w:num w:numId="21">
    <w:abstractNumId w:val="15"/>
  </w:num>
  <w:num w:numId="22">
    <w:abstractNumId w:val="21"/>
  </w:num>
  <w:num w:numId="23">
    <w:abstractNumId w:val="16"/>
  </w:num>
  <w:num w:numId="24">
    <w:abstractNumId w:val="6"/>
  </w:num>
  <w:num w:numId="25">
    <w:abstractNumId w:val="18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00"/>
    <w:rsid w:val="000A08D9"/>
    <w:rsid w:val="00185A46"/>
    <w:rsid w:val="001915B6"/>
    <w:rsid w:val="001D1B23"/>
    <w:rsid w:val="002B3C38"/>
    <w:rsid w:val="002B4DBB"/>
    <w:rsid w:val="002C50EE"/>
    <w:rsid w:val="00340A0A"/>
    <w:rsid w:val="003765DC"/>
    <w:rsid w:val="003E3126"/>
    <w:rsid w:val="004D4D6B"/>
    <w:rsid w:val="00517A5B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75649D"/>
    <w:rsid w:val="00814073"/>
    <w:rsid w:val="00826F0D"/>
    <w:rsid w:val="00893B92"/>
    <w:rsid w:val="008C70A2"/>
    <w:rsid w:val="009773E4"/>
    <w:rsid w:val="009B171C"/>
    <w:rsid w:val="00A20351"/>
    <w:rsid w:val="00AA23EC"/>
    <w:rsid w:val="00AC63CE"/>
    <w:rsid w:val="00AE2107"/>
    <w:rsid w:val="00B275A8"/>
    <w:rsid w:val="00BF2600"/>
    <w:rsid w:val="00C07B84"/>
    <w:rsid w:val="00C33464"/>
    <w:rsid w:val="00C809A7"/>
    <w:rsid w:val="00C83063"/>
    <w:rsid w:val="00C87E90"/>
    <w:rsid w:val="00CA1B57"/>
    <w:rsid w:val="00D86297"/>
    <w:rsid w:val="00DD466D"/>
    <w:rsid w:val="00EB6364"/>
    <w:rsid w:val="00F37B64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1">
    <w:name w:val="heading 1"/>
    <w:basedOn w:val="a"/>
    <w:next w:val="a"/>
    <w:link w:val="10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1"/>
    <w:basedOn w:val="3"/>
    <w:next w:val="a"/>
    <w:link w:val="12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2">
    <w:name w:val="Стил1 Знак"/>
    <w:basedOn w:val="30"/>
    <w:link w:val="1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30">
    <w:name w:val="Заглавие 3 Знак"/>
    <w:basedOn w:val="a0"/>
    <w:link w:val="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a3">
    <w:name w:val="List Paragraph"/>
    <w:basedOn w:val="a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a4">
    <w:name w:val="Table Grid"/>
    <w:basedOn w:val="a1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d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ВАСИЛЕВ</cp:lastModifiedBy>
  <cp:revision>2</cp:revision>
  <dcterms:created xsi:type="dcterms:W3CDTF">2021-10-07T13:59:00Z</dcterms:created>
  <dcterms:modified xsi:type="dcterms:W3CDTF">2021-10-07T13:59:00Z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