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7A328C" w14:textId="16329281" w:rsidR="002C50EE" w:rsidRDefault="002C50EE" w:rsidP="002C50EE">
      <w:pPr>
        <w:pStyle w:val="Heading1"/>
        <w:jc w:val="center"/>
      </w:pPr>
      <w:bookmarkStart w:id="0" w:name="_Hlk63124480"/>
      <w:r>
        <w:t>КРАТКА ХАРАКТЕРИСТИКА НА ПРОДУКТА</w:t>
      </w:r>
    </w:p>
    <w:p w14:paraId="3B239815" w14:textId="60343AD4" w:rsidR="00AA23EC" w:rsidRDefault="00DD466D" w:rsidP="00DD466D">
      <w:pPr>
        <w:pStyle w:val="Heading1"/>
      </w:pPr>
      <w:r>
        <w:t>1.ИМЕ НА ЛЕКАРСТВЕНИЯ ПРОДУКТ</w:t>
      </w:r>
    </w:p>
    <w:p w14:paraId="4EC1B187" w14:textId="77C47210" w:rsidR="00695897" w:rsidRDefault="00695897" w:rsidP="00695897"/>
    <w:p w14:paraId="3EF93770" w14:textId="77777777" w:rsidR="00695897" w:rsidRPr="00695897" w:rsidRDefault="00695897" w:rsidP="00695897">
      <w:pPr>
        <w:spacing w:line="240" w:lineRule="auto"/>
        <w:rPr>
          <w:rFonts w:eastAsia="Times New Roman" w:cs="Arial"/>
          <w:sz w:val="24"/>
          <w:szCs w:val="24"/>
          <w:lang w:val="ru-RU"/>
        </w:rPr>
      </w:pPr>
      <w:r w:rsidRPr="00695897">
        <w:rPr>
          <w:rFonts w:eastAsia="Times New Roman" w:cs="Arial"/>
          <w:color w:val="000000"/>
          <w:lang w:eastAsia="bg-BG"/>
        </w:rPr>
        <w:t xml:space="preserve">Лориста Н 50 </w:t>
      </w:r>
      <w:r w:rsidRPr="00695897">
        <w:rPr>
          <w:rFonts w:eastAsia="Times New Roman" w:cs="Arial"/>
          <w:color w:val="000000"/>
          <w:lang w:val="en-US"/>
        </w:rPr>
        <w:t>mg</w:t>
      </w:r>
      <w:r w:rsidRPr="00695897">
        <w:rPr>
          <w:rFonts w:eastAsia="Times New Roman" w:cs="Arial"/>
          <w:color w:val="000000"/>
          <w:lang w:val="ru-RU"/>
        </w:rPr>
        <w:t>/</w:t>
      </w:r>
      <w:r w:rsidRPr="00695897">
        <w:rPr>
          <w:rFonts w:eastAsia="Times New Roman" w:cs="Arial"/>
          <w:color w:val="000000"/>
          <w:lang w:eastAsia="bg-BG"/>
        </w:rPr>
        <w:t xml:space="preserve">12,5 </w:t>
      </w:r>
      <w:r w:rsidRPr="00695897">
        <w:rPr>
          <w:rFonts w:eastAsia="Times New Roman" w:cs="Arial"/>
          <w:color w:val="000000"/>
          <w:lang w:val="en-US"/>
        </w:rPr>
        <w:t>mg</w:t>
      </w:r>
      <w:r w:rsidRPr="00695897">
        <w:rPr>
          <w:rFonts w:eastAsia="Times New Roman" w:cs="Arial"/>
          <w:color w:val="000000"/>
          <w:lang w:val="ru-RU"/>
        </w:rPr>
        <w:t xml:space="preserve"> </w:t>
      </w:r>
      <w:r w:rsidRPr="00695897">
        <w:rPr>
          <w:rFonts w:eastAsia="Times New Roman" w:cs="Arial"/>
          <w:color w:val="000000"/>
          <w:lang w:eastAsia="bg-BG"/>
        </w:rPr>
        <w:t>филмирани таблетки</w:t>
      </w:r>
    </w:p>
    <w:p w14:paraId="79D0A744" w14:textId="77777777" w:rsidR="00695897" w:rsidRPr="00695897" w:rsidRDefault="00695897" w:rsidP="00695897">
      <w:pPr>
        <w:spacing w:line="240" w:lineRule="auto"/>
        <w:rPr>
          <w:rFonts w:eastAsia="Times New Roman" w:cs="Arial"/>
          <w:sz w:val="24"/>
          <w:szCs w:val="24"/>
          <w:lang w:val="en-US"/>
        </w:rPr>
      </w:pPr>
      <w:proofErr w:type="spellStart"/>
      <w:r w:rsidRPr="00695897">
        <w:rPr>
          <w:rFonts w:eastAsia="Times New Roman" w:cs="Arial"/>
          <w:color w:val="000000"/>
          <w:lang w:val="en-US"/>
        </w:rPr>
        <w:t>Lorista</w:t>
      </w:r>
      <w:proofErr w:type="spellEnd"/>
      <w:r w:rsidRPr="00695897">
        <w:rPr>
          <w:rFonts w:eastAsia="Times New Roman" w:cs="Arial"/>
          <w:color w:val="000000"/>
          <w:lang w:val="en-US"/>
        </w:rPr>
        <w:t xml:space="preserve"> </w:t>
      </w:r>
      <w:r w:rsidRPr="00695897">
        <w:rPr>
          <w:rFonts w:eastAsia="Times New Roman" w:cs="Arial"/>
          <w:color w:val="000000"/>
          <w:lang w:eastAsia="bg-BG"/>
        </w:rPr>
        <w:t xml:space="preserve">Н 50 </w:t>
      </w:r>
      <w:r w:rsidRPr="00695897">
        <w:rPr>
          <w:rFonts w:eastAsia="Times New Roman" w:cs="Arial"/>
          <w:color w:val="000000"/>
          <w:lang w:val="en-US"/>
        </w:rPr>
        <w:t>mg/12</w:t>
      </w:r>
      <w:proofErr w:type="gramStart"/>
      <w:r w:rsidRPr="00695897">
        <w:rPr>
          <w:rFonts w:eastAsia="Times New Roman" w:cs="Arial"/>
          <w:color w:val="000000"/>
          <w:lang w:val="en-US"/>
        </w:rPr>
        <w:t>,5</w:t>
      </w:r>
      <w:proofErr w:type="gramEnd"/>
      <w:r w:rsidRPr="00695897">
        <w:rPr>
          <w:rFonts w:eastAsia="Times New Roman" w:cs="Arial"/>
          <w:color w:val="000000"/>
          <w:lang w:val="en-US"/>
        </w:rPr>
        <w:t xml:space="preserve"> mg film- coated tablets</w:t>
      </w:r>
    </w:p>
    <w:p w14:paraId="4658D0D7" w14:textId="77777777" w:rsidR="00695897" w:rsidRPr="00695897" w:rsidRDefault="00695897" w:rsidP="00695897"/>
    <w:p w14:paraId="0A368469" w14:textId="73DCE8D2" w:rsidR="00C0049F" w:rsidRDefault="00DD466D" w:rsidP="009F1313">
      <w:pPr>
        <w:pStyle w:val="Heading1"/>
      </w:pPr>
      <w:r>
        <w:t>2. КАЧЕСТВЕН И КОЛИЧЕСТВЕН СЪСТАВ</w:t>
      </w:r>
    </w:p>
    <w:p w14:paraId="7CDCAE81" w14:textId="391F928F" w:rsidR="00695897" w:rsidRDefault="00695897" w:rsidP="00695897"/>
    <w:p w14:paraId="65B6D101" w14:textId="77777777" w:rsidR="00695897" w:rsidRPr="00695897" w:rsidRDefault="00695897" w:rsidP="00695897">
      <w:pPr>
        <w:spacing w:line="240" w:lineRule="auto"/>
        <w:rPr>
          <w:rFonts w:eastAsia="Times New Roman" w:cs="Arial"/>
          <w:sz w:val="24"/>
          <w:szCs w:val="24"/>
        </w:rPr>
      </w:pPr>
      <w:r w:rsidRPr="00695897">
        <w:rPr>
          <w:rFonts w:eastAsia="Times New Roman" w:cs="Arial"/>
          <w:color w:val="000000"/>
          <w:lang w:eastAsia="bg-BG"/>
        </w:rPr>
        <w:t xml:space="preserve">Всяка Лориста Н 50 </w:t>
      </w:r>
      <w:r w:rsidRPr="00695897">
        <w:rPr>
          <w:rFonts w:eastAsia="Times New Roman" w:cs="Arial"/>
          <w:color w:val="000000"/>
          <w:lang w:val="en-US"/>
        </w:rPr>
        <w:t>mg</w:t>
      </w:r>
      <w:r w:rsidRPr="00695897">
        <w:rPr>
          <w:rFonts w:eastAsia="Times New Roman" w:cs="Arial"/>
          <w:color w:val="000000"/>
        </w:rPr>
        <w:t xml:space="preserve">/12,5 </w:t>
      </w:r>
      <w:r w:rsidRPr="00695897">
        <w:rPr>
          <w:rFonts w:eastAsia="Times New Roman" w:cs="Arial"/>
          <w:color w:val="000000"/>
          <w:lang w:val="en-US"/>
        </w:rPr>
        <w:t>mg</w:t>
      </w:r>
      <w:r w:rsidRPr="00695897">
        <w:rPr>
          <w:rFonts w:eastAsia="Times New Roman" w:cs="Arial"/>
          <w:color w:val="000000"/>
        </w:rPr>
        <w:t xml:space="preserve"> </w:t>
      </w:r>
      <w:r w:rsidRPr="00695897">
        <w:rPr>
          <w:rFonts w:eastAsia="Times New Roman" w:cs="Arial"/>
          <w:color w:val="000000"/>
          <w:lang w:eastAsia="bg-BG"/>
        </w:rPr>
        <w:t xml:space="preserve">филмирана таблетка съдържа 50 </w:t>
      </w:r>
      <w:r w:rsidRPr="00695897">
        <w:rPr>
          <w:rFonts w:eastAsia="Times New Roman" w:cs="Arial"/>
          <w:color w:val="000000"/>
          <w:lang w:val="en-US"/>
        </w:rPr>
        <w:t>mg</w:t>
      </w:r>
      <w:r w:rsidRPr="00695897">
        <w:rPr>
          <w:rFonts w:eastAsia="Times New Roman" w:cs="Arial"/>
          <w:color w:val="000000"/>
        </w:rPr>
        <w:t xml:space="preserve"> </w:t>
      </w:r>
      <w:r w:rsidRPr="00695897">
        <w:rPr>
          <w:rFonts w:eastAsia="Times New Roman" w:cs="Arial"/>
          <w:color w:val="000000"/>
          <w:lang w:eastAsia="bg-BG"/>
        </w:rPr>
        <w:t xml:space="preserve">лосартан калий </w:t>
      </w:r>
      <w:r w:rsidRPr="00695897">
        <w:rPr>
          <w:rFonts w:eastAsia="Times New Roman" w:cs="Arial"/>
          <w:i/>
          <w:iCs/>
          <w:color w:val="000000"/>
        </w:rPr>
        <w:t>(</w:t>
      </w:r>
      <w:r w:rsidRPr="00695897">
        <w:rPr>
          <w:rFonts w:eastAsia="Times New Roman" w:cs="Arial"/>
          <w:i/>
          <w:iCs/>
          <w:color w:val="000000"/>
          <w:lang w:val="en-US"/>
        </w:rPr>
        <w:t>losartan</w:t>
      </w:r>
      <w:r w:rsidRPr="00695897">
        <w:rPr>
          <w:rFonts w:eastAsia="Times New Roman" w:cs="Arial"/>
          <w:i/>
          <w:iCs/>
          <w:color w:val="000000"/>
        </w:rPr>
        <w:t xml:space="preserve"> </w:t>
      </w:r>
      <w:r w:rsidRPr="00695897">
        <w:rPr>
          <w:rFonts w:eastAsia="Times New Roman" w:cs="Arial"/>
          <w:i/>
          <w:iCs/>
          <w:color w:val="000000"/>
          <w:lang w:val="en-US"/>
        </w:rPr>
        <w:t>potassium</w:t>
      </w:r>
      <w:r w:rsidRPr="00695897">
        <w:rPr>
          <w:rFonts w:eastAsia="Times New Roman" w:cs="Arial"/>
          <w:i/>
          <w:iCs/>
          <w:color w:val="000000"/>
        </w:rPr>
        <w:t>)</w:t>
      </w:r>
      <w:r w:rsidRPr="00695897">
        <w:rPr>
          <w:rFonts w:eastAsia="Times New Roman" w:cs="Arial"/>
          <w:color w:val="000000"/>
        </w:rPr>
        <w:t xml:space="preserve"> </w:t>
      </w:r>
      <w:r w:rsidRPr="00695897">
        <w:rPr>
          <w:rFonts w:eastAsia="Times New Roman" w:cs="Arial"/>
          <w:color w:val="000000"/>
          <w:lang w:eastAsia="bg-BG"/>
        </w:rPr>
        <w:t xml:space="preserve">и 12,5 </w:t>
      </w:r>
      <w:r w:rsidRPr="00695897">
        <w:rPr>
          <w:rFonts w:eastAsia="Times New Roman" w:cs="Arial"/>
          <w:color w:val="000000"/>
          <w:lang w:val="en-US"/>
        </w:rPr>
        <w:t>mg</w:t>
      </w:r>
      <w:r w:rsidRPr="00695897">
        <w:rPr>
          <w:rFonts w:eastAsia="Times New Roman" w:cs="Arial"/>
          <w:color w:val="000000"/>
        </w:rPr>
        <w:t xml:space="preserve"> </w:t>
      </w:r>
      <w:r w:rsidRPr="00695897">
        <w:rPr>
          <w:rFonts w:eastAsia="Times New Roman" w:cs="Arial"/>
          <w:color w:val="000000"/>
          <w:lang w:eastAsia="bg-BG"/>
        </w:rPr>
        <w:t xml:space="preserve">хидрохлоротиазид </w:t>
      </w:r>
      <w:r w:rsidRPr="00695897">
        <w:rPr>
          <w:rFonts w:eastAsia="Times New Roman" w:cs="Arial"/>
          <w:i/>
          <w:iCs/>
          <w:color w:val="000000"/>
        </w:rPr>
        <w:t>(</w:t>
      </w:r>
      <w:r w:rsidRPr="00695897">
        <w:rPr>
          <w:rFonts w:eastAsia="Times New Roman" w:cs="Arial"/>
          <w:i/>
          <w:iCs/>
          <w:color w:val="000000"/>
          <w:lang w:val="en-US"/>
        </w:rPr>
        <w:t>hydrochlorothiazide</w:t>
      </w:r>
      <w:r w:rsidRPr="00695897">
        <w:rPr>
          <w:rFonts w:eastAsia="Times New Roman" w:cs="Arial"/>
          <w:i/>
          <w:iCs/>
          <w:color w:val="000000"/>
        </w:rPr>
        <w:t>).</w:t>
      </w:r>
    </w:p>
    <w:p w14:paraId="757DC14C" w14:textId="77777777" w:rsidR="00695897" w:rsidRPr="00695897" w:rsidRDefault="00695897" w:rsidP="00695897">
      <w:pPr>
        <w:spacing w:line="240" w:lineRule="auto"/>
        <w:rPr>
          <w:rFonts w:eastAsia="Times New Roman" w:cs="Arial"/>
          <w:color w:val="000000"/>
          <w:u w:val="single"/>
          <w:lang w:eastAsia="bg-BG"/>
        </w:rPr>
      </w:pPr>
    </w:p>
    <w:p w14:paraId="317CF3A6" w14:textId="2BEDF7EB" w:rsidR="00695897" w:rsidRDefault="00695897" w:rsidP="00695897">
      <w:pPr>
        <w:spacing w:line="240" w:lineRule="auto"/>
        <w:rPr>
          <w:rFonts w:eastAsia="Times New Roman" w:cs="Arial"/>
          <w:color w:val="000000"/>
          <w:u w:val="single"/>
          <w:lang w:eastAsia="bg-BG"/>
        </w:rPr>
      </w:pPr>
      <w:r w:rsidRPr="00695897">
        <w:rPr>
          <w:rFonts w:eastAsia="Times New Roman" w:cs="Arial"/>
          <w:color w:val="000000"/>
          <w:u w:val="single"/>
          <w:lang w:eastAsia="bg-BG"/>
        </w:rPr>
        <w:t>Помощно вещество с известно действие:</w:t>
      </w:r>
    </w:p>
    <w:tbl>
      <w:tblPr>
        <w:tblStyle w:val="TableGrid"/>
        <w:tblW w:w="0" w:type="auto"/>
        <w:tblLook w:val="04A0" w:firstRow="1" w:lastRow="0" w:firstColumn="1" w:lastColumn="0" w:noHBand="0" w:noVBand="1"/>
      </w:tblPr>
      <w:tblGrid>
        <w:gridCol w:w="1101"/>
        <w:gridCol w:w="2976"/>
      </w:tblGrid>
      <w:tr w:rsidR="00695897" w14:paraId="4C94EF9B" w14:textId="77777777" w:rsidTr="00695897">
        <w:tc>
          <w:tcPr>
            <w:tcW w:w="1101" w:type="dxa"/>
          </w:tcPr>
          <w:p w14:paraId="10E2C403" w14:textId="77777777" w:rsidR="00695897" w:rsidRDefault="00695897" w:rsidP="00695897">
            <w:pPr>
              <w:spacing w:line="240" w:lineRule="auto"/>
              <w:rPr>
                <w:rFonts w:eastAsia="Times New Roman" w:cs="Arial"/>
                <w:sz w:val="24"/>
                <w:szCs w:val="24"/>
              </w:rPr>
            </w:pPr>
          </w:p>
        </w:tc>
        <w:tc>
          <w:tcPr>
            <w:tcW w:w="2976" w:type="dxa"/>
          </w:tcPr>
          <w:p w14:paraId="6686631B" w14:textId="3944DCAF" w:rsidR="00695897" w:rsidRDefault="00695897" w:rsidP="00695897">
            <w:pPr>
              <w:spacing w:line="240" w:lineRule="auto"/>
              <w:rPr>
                <w:rFonts w:eastAsia="Times New Roman" w:cs="Arial"/>
                <w:sz w:val="24"/>
                <w:szCs w:val="24"/>
              </w:rPr>
            </w:pPr>
            <w:r>
              <w:t xml:space="preserve">Lorista </w:t>
            </w:r>
            <w:r>
              <w:rPr>
                <w:lang w:eastAsia="bg-BG"/>
              </w:rPr>
              <w:t xml:space="preserve">Н 50 </w:t>
            </w:r>
            <w:r>
              <w:t>mg/12,5 mg</w:t>
            </w:r>
          </w:p>
        </w:tc>
      </w:tr>
      <w:tr w:rsidR="00695897" w14:paraId="08B47E25" w14:textId="77777777" w:rsidTr="00695897">
        <w:tc>
          <w:tcPr>
            <w:tcW w:w="1101" w:type="dxa"/>
          </w:tcPr>
          <w:p w14:paraId="08B8DD43" w14:textId="21D2EE8E" w:rsidR="00695897" w:rsidRDefault="00695897" w:rsidP="00695897">
            <w:pPr>
              <w:spacing w:line="240" w:lineRule="auto"/>
              <w:rPr>
                <w:rFonts w:eastAsia="Times New Roman" w:cs="Arial"/>
                <w:sz w:val="24"/>
                <w:szCs w:val="24"/>
              </w:rPr>
            </w:pPr>
            <w:r>
              <w:rPr>
                <w:lang w:eastAsia="bg-BG"/>
              </w:rPr>
              <w:t>лактоза</w:t>
            </w:r>
          </w:p>
        </w:tc>
        <w:tc>
          <w:tcPr>
            <w:tcW w:w="2976" w:type="dxa"/>
          </w:tcPr>
          <w:p w14:paraId="370CFF8C" w14:textId="34169447" w:rsidR="00695897" w:rsidRDefault="00695897" w:rsidP="00695897">
            <w:pPr>
              <w:spacing w:line="240" w:lineRule="auto"/>
              <w:rPr>
                <w:rFonts w:eastAsia="Times New Roman" w:cs="Arial"/>
                <w:sz w:val="24"/>
                <w:szCs w:val="24"/>
              </w:rPr>
            </w:pPr>
            <w:r>
              <w:rPr>
                <w:lang w:eastAsia="bg-BG"/>
              </w:rPr>
              <w:t xml:space="preserve">59,98 </w:t>
            </w:r>
            <w:r>
              <w:t>mg</w:t>
            </w:r>
          </w:p>
        </w:tc>
      </w:tr>
    </w:tbl>
    <w:p w14:paraId="0B464FFE" w14:textId="3F9AC8DB" w:rsidR="00695897" w:rsidRPr="00695897" w:rsidRDefault="00695897" w:rsidP="00695897"/>
    <w:p w14:paraId="614984C4" w14:textId="3FF78348" w:rsidR="008A6AF2" w:rsidRDefault="00DD466D" w:rsidP="002C50EE">
      <w:pPr>
        <w:pStyle w:val="Heading1"/>
      </w:pPr>
      <w:r>
        <w:t>3. ЛЕКАРСТВЕНА ФОРМА</w:t>
      </w:r>
    </w:p>
    <w:p w14:paraId="15742AD0" w14:textId="249B363F" w:rsidR="00695897" w:rsidRDefault="00695897" w:rsidP="00695897"/>
    <w:p w14:paraId="2F6649D5" w14:textId="77777777" w:rsidR="00695897" w:rsidRPr="00695897" w:rsidRDefault="00695897" w:rsidP="00695897">
      <w:pPr>
        <w:rPr>
          <w:sz w:val="24"/>
          <w:szCs w:val="24"/>
        </w:rPr>
      </w:pPr>
      <w:r w:rsidRPr="00695897">
        <w:rPr>
          <w:lang w:eastAsia="bg-BG"/>
        </w:rPr>
        <w:t>филмирана таблетка</w:t>
      </w:r>
    </w:p>
    <w:p w14:paraId="03E17E62" w14:textId="77777777" w:rsidR="00695897" w:rsidRDefault="00695897" w:rsidP="00695897">
      <w:pPr>
        <w:rPr>
          <w:lang w:eastAsia="bg-BG"/>
        </w:rPr>
      </w:pPr>
    </w:p>
    <w:p w14:paraId="022B419B" w14:textId="6DC3996B" w:rsidR="00695897" w:rsidRPr="00695897" w:rsidRDefault="00695897" w:rsidP="00695897">
      <w:pPr>
        <w:rPr>
          <w:sz w:val="24"/>
          <w:szCs w:val="24"/>
        </w:rPr>
      </w:pPr>
      <w:r w:rsidRPr="00695897">
        <w:rPr>
          <w:lang w:eastAsia="bg-BG"/>
        </w:rPr>
        <w:t xml:space="preserve">Лориста Н 50 </w:t>
      </w:r>
      <w:r w:rsidRPr="00695897">
        <w:rPr>
          <w:lang w:val="en-US"/>
        </w:rPr>
        <w:t>mg</w:t>
      </w:r>
      <w:r w:rsidRPr="00695897">
        <w:rPr>
          <w:lang w:val="ru-RU"/>
        </w:rPr>
        <w:t xml:space="preserve">/12,5 </w:t>
      </w:r>
      <w:r w:rsidRPr="00695897">
        <w:rPr>
          <w:lang w:val="en-US"/>
        </w:rPr>
        <w:t>mg</w:t>
      </w:r>
      <w:r w:rsidRPr="00695897">
        <w:rPr>
          <w:lang w:val="ru-RU"/>
        </w:rPr>
        <w:t xml:space="preserve"> </w:t>
      </w:r>
      <w:r w:rsidRPr="00695897">
        <w:rPr>
          <w:lang w:eastAsia="bg-BG"/>
        </w:rPr>
        <w:t>филмирани таблетки: жълти, овални, леко двойнизпъкнали таблетки с делителна черта от едната страна.</w:t>
      </w:r>
    </w:p>
    <w:p w14:paraId="508086E3" w14:textId="77777777" w:rsidR="00695897" w:rsidRPr="00695897" w:rsidRDefault="00695897" w:rsidP="00695897">
      <w:pPr>
        <w:rPr>
          <w:sz w:val="24"/>
          <w:szCs w:val="24"/>
        </w:rPr>
      </w:pPr>
      <w:r w:rsidRPr="00695897">
        <w:rPr>
          <w:lang w:eastAsia="bg-BG"/>
        </w:rPr>
        <w:t>Делителната черта не е предназначена за счупване на таблетката.</w:t>
      </w:r>
    </w:p>
    <w:p w14:paraId="717CC9B4" w14:textId="77777777" w:rsidR="00695897" w:rsidRPr="00695897" w:rsidRDefault="00695897" w:rsidP="00695897"/>
    <w:p w14:paraId="490FC2C4" w14:textId="32682B15" w:rsidR="002C50EE" w:rsidRDefault="002C50EE" w:rsidP="002C50EE">
      <w:pPr>
        <w:pStyle w:val="Heading1"/>
      </w:pPr>
      <w:r>
        <w:t>4. КЛИНИЧНИ ДАННИ</w:t>
      </w:r>
    </w:p>
    <w:p w14:paraId="754A29C8" w14:textId="34304510" w:rsidR="00C0049F" w:rsidRDefault="002C50EE" w:rsidP="009F1313">
      <w:pPr>
        <w:pStyle w:val="Heading2"/>
      </w:pPr>
      <w:r>
        <w:t>4.1. Терапевтични показания</w:t>
      </w:r>
    </w:p>
    <w:p w14:paraId="1A864943" w14:textId="7CBA2747" w:rsidR="00395555" w:rsidRDefault="00395555" w:rsidP="00395555"/>
    <w:p w14:paraId="2A13FB5D" w14:textId="77777777" w:rsidR="00695897" w:rsidRPr="00695897" w:rsidRDefault="00695897" w:rsidP="00695897">
      <w:pPr>
        <w:rPr>
          <w:sz w:val="24"/>
          <w:szCs w:val="24"/>
        </w:rPr>
      </w:pPr>
      <w:r w:rsidRPr="00695897">
        <w:rPr>
          <w:lang w:eastAsia="bg-BG"/>
        </w:rPr>
        <w:t>Лориста Н е показан за лечение на есенциална хипертония при пациенти, чието кръвно налягане не е задоволително контролирано с лосартан или хидрохлоротиазид самостоятелно.</w:t>
      </w:r>
    </w:p>
    <w:p w14:paraId="0C81B90B" w14:textId="77777777" w:rsidR="00695897" w:rsidRPr="00395555" w:rsidRDefault="00695897" w:rsidP="00395555"/>
    <w:p w14:paraId="7C0CA5EB" w14:textId="5B9ED6C1" w:rsidR="00C0049F" w:rsidRDefault="002C50EE" w:rsidP="009F1313">
      <w:pPr>
        <w:pStyle w:val="Heading2"/>
      </w:pPr>
      <w:r>
        <w:t>4.2. Дозировка и начин на приложение</w:t>
      </w:r>
    </w:p>
    <w:p w14:paraId="77A19E40" w14:textId="0E40EBEC" w:rsidR="00695897" w:rsidRDefault="00695897" w:rsidP="00695897"/>
    <w:p w14:paraId="2EFE741C" w14:textId="77777777" w:rsidR="00695897" w:rsidRPr="00695897" w:rsidRDefault="00695897" w:rsidP="00695897">
      <w:pPr>
        <w:pStyle w:val="Heading3"/>
        <w:rPr>
          <w:rFonts w:eastAsia="Times New Roman"/>
          <w:u w:val="single"/>
        </w:rPr>
      </w:pPr>
      <w:r w:rsidRPr="00695897">
        <w:rPr>
          <w:rFonts w:eastAsia="Times New Roman"/>
          <w:u w:val="single"/>
          <w:lang w:eastAsia="bg-BG"/>
        </w:rPr>
        <w:t>Дозировка</w:t>
      </w:r>
    </w:p>
    <w:p w14:paraId="3F77053B" w14:textId="77777777" w:rsidR="00695897" w:rsidRPr="00695897" w:rsidRDefault="00695897" w:rsidP="00695897">
      <w:pPr>
        <w:spacing w:line="240" w:lineRule="auto"/>
        <w:rPr>
          <w:rFonts w:eastAsia="Times New Roman" w:cs="Arial"/>
          <w:color w:val="000000"/>
          <w:u w:val="single"/>
          <w:lang w:eastAsia="bg-BG"/>
        </w:rPr>
      </w:pPr>
    </w:p>
    <w:p w14:paraId="72B92BF6" w14:textId="102390CF" w:rsidR="00695897" w:rsidRPr="00695897" w:rsidRDefault="00695897" w:rsidP="00695897">
      <w:pPr>
        <w:spacing w:line="240" w:lineRule="auto"/>
        <w:rPr>
          <w:rFonts w:eastAsia="Times New Roman" w:cs="Arial"/>
          <w:sz w:val="24"/>
          <w:szCs w:val="24"/>
        </w:rPr>
      </w:pPr>
      <w:r w:rsidRPr="00695897">
        <w:rPr>
          <w:rFonts w:eastAsia="Times New Roman" w:cs="Arial"/>
          <w:color w:val="000000"/>
          <w:u w:val="single"/>
          <w:lang w:eastAsia="bg-BG"/>
        </w:rPr>
        <w:t>Хипертония</w:t>
      </w:r>
    </w:p>
    <w:p w14:paraId="44D87BBF" w14:textId="77777777" w:rsidR="00695897" w:rsidRPr="00695897" w:rsidRDefault="00695897" w:rsidP="00695897">
      <w:pPr>
        <w:spacing w:line="240" w:lineRule="auto"/>
        <w:rPr>
          <w:rFonts w:eastAsia="Times New Roman" w:cs="Arial"/>
          <w:sz w:val="24"/>
          <w:szCs w:val="24"/>
        </w:rPr>
      </w:pPr>
      <w:r w:rsidRPr="00695897">
        <w:rPr>
          <w:rFonts w:eastAsia="Times New Roman" w:cs="Arial"/>
          <w:color w:val="000000"/>
          <w:lang w:eastAsia="bg-BG"/>
        </w:rPr>
        <w:t>Комбинацията лосартан и хидрохлоротиазид не е предназначена за начална терапия, а е за пациенти, чието кръвно налягане не е адекватно контролирано от монотерапия с лосартан калий или хидрохлоротиазид.</w:t>
      </w:r>
    </w:p>
    <w:p w14:paraId="151E0EBD" w14:textId="77777777" w:rsidR="00695897" w:rsidRPr="00695897" w:rsidRDefault="00695897" w:rsidP="00695897">
      <w:pPr>
        <w:spacing w:line="240" w:lineRule="auto"/>
        <w:rPr>
          <w:rFonts w:eastAsia="Times New Roman" w:cs="Arial"/>
          <w:color w:val="000000"/>
          <w:lang w:eastAsia="bg-BG"/>
        </w:rPr>
      </w:pPr>
    </w:p>
    <w:p w14:paraId="40102022" w14:textId="54106C78" w:rsidR="00695897" w:rsidRPr="00695897" w:rsidRDefault="00695897" w:rsidP="00695897">
      <w:pPr>
        <w:spacing w:line="240" w:lineRule="auto"/>
        <w:rPr>
          <w:rFonts w:eastAsia="Times New Roman" w:cs="Arial"/>
          <w:sz w:val="24"/>
          <w:szCs w:val="24"/>
        </w:rPr>
      </w:pPr>
      <w:r w:rsidRPr="00695897">
        <w:rPr>
          <w:rFonts w:eastAsia="Times New Roman" w:cs="Arial"/>
          <w:color w:val="000000"/>
          <w:lang w:eastAsia="bg-BG"/>
        </w:rPr>
        <w:t xml:space="preserve">Препоръчва се титриране на дозата на отделните компоненти (лосартан и хидрохлоротиазид). Когато е клинично подходящо, може да се обмисли директна промяна </w:t>
      </w:r>
      <w:r w:rsidRPr="00695897">
        <w:rPr>
          <w:rFonts w:eastAsia="Times New Roman" w:cs="Arial"/>
          <w:color w:val="000000"/>
          <w:lang w:eastAsia="bg-BG"/>
        </w:rPr>
        <w:lastRenderedPageBreak/>
        <w:t>от монотерапия към фиксирана комбинация при пациенти, чието кръвно налягане не е достатъчно контролирано.</w:t>
      </w:r>
    </w:p>
    <w:p w14:paraId="48394BF6" w14:textId="77777777" w:rsidR="00695897" w:rsidRPr="00695897" w:rsidRDefault="00695897" w:rsidP="00695897">
      <w:pPr>
        <w:spacing w:line="240" w:lineRule="auto"/>
        <w:rPr>
          <w:rFonts w:eastAsia="Times New Roman" w:cs="Arial"/>
          <w:color w:val="000000"/>
          <w:lang w:eastAsia="bg-BG"/>
        </w:rPr>
      </w:pPr>
    </w:p>
    <w:p w14:paraId="45AD98B6" w14:textId="3D2825A7" w:rsidR="00695897" w:rsidRPr="00695897" w:rsidRDefault="00695897" w:rsidP="00695897">
      <w:pPr>
        <w:spacing w:line="240" w:lineRule="auto"/>
        <w:rPr>
          <w:rFonts w:eastAsia="Times New Roman" w:cs="Arial"/>
          <w:sz w:val="24"/>
          <w:szCs w:val="24"/>
        </w:rPr>
      </w:pPr>
      <w:r w:rsidRPr="00695897">
        <w:rPr>
          <w:rFonts w:eastAsia="Times New Roman" w:cs="Arial"/>
          <w:color w:val="000000"/>
          <w:lang w:eastAsia="bg-BG"/>
        </w:rPr>
        <w:t xml:space="preserve">Обичайната поддържаща доза лосартан/хидрохлоротиазид е една таблетка Лориста Н (лосартан 50 </w:t>
      </w:r>
      <w:r w:rsidRPr="00695897">
        <w:rPr>
          <w:rFonts w:eastAsia="Times New Roman" w:cs="Arial"/>
          <w:color w:val="000000"/>
          <w:lang w:val="en-US"/>
        </w:rPr>
        <w:t>mg</w:t>
      </w:r>
      <w:r w:rsidRPr="00695897">
        <w:rPr>
          <w:rFonts w:eastAsia="Times New Roman" w:cs="Arial"/>
          <w:color w:val="000000"/>
        </w:rPr>
        <w:t xml:space="preserve">/ </w:t>
      </w:r>
      <w:r w:rsidRPr="00695897">
        <w:rPr>
          <w:rFonts w:eastAsia="Times New Roman" w:cs="Arial"/>
          <w:color w:val="000000"/>
          <w:lang w:eastAsia="bg-BG"/>
        </w:rPr>
        <w:t xml:space="preserve">хидрохлоротиазид 12,5 </w:t>
      </w:r>
      <w:r w:rsidRPr="00695897">
        <w:rPr>
          <w:rFonts w:eastAsia="Times New Roman" w:cs="Arial"/>
          <w:color w:val="000000"/>
          <w:lang w:val="en-US"/>
        </w:rPr>
        <w:t>mg</w:t>
      </w:r>
      <w:r w:rsidRPr="00695897">
        <w:rPr>
          <w:rFonts w:eastAsia="Times New Roman" w:cs="Arial"/>
          <w:color w:val="000000"/>
        </w:rPr>
        <w:t xml:space="preserve">) </w:t>
      </w:r>
      <w:r w:rsidRPr="00695897">
        <w:rPr>
          <w:rFonts w:eastAsia="Times New Roman" w:cs="Arial"/>
          <w:color w:val="000000"/>
          <w:lang w:eastAsia="bg-BG"/>
        </w:rPr>
        <w:t xml:space="preserve">веднъж дневно. За пациенти, които не отговарят адекватно на Лориста Н, дозировката може да се повиши на една таблетка Лориста </w:t>
      </w:r>
      <w:r w:rsidRPr="00695897">
        <w:rPr>
          <w:rFonts w:eastAsia="Times New Roman" w:cs="Arial"/>
          <w:color w:val="000000"/>
          <w:lang w:val="en-US"/>
        </w:rPr>
        <w:t>HD</w:t>
      </w:r>
      <w:r w:rsidRPr="00695897">
        <w:rPr>
          <w:rFonts w:eastAsia="Times New Roman" w:cs="Arial"/>
          <w:color w:val="000000"/>
          <w:lang w:val="ru-RU"/>
        </w:rPr>
        <w:t xml:space="preserve"> </w:t>
      </w:r>
      <w:r w:rsidRPr="00695897">
        <w:rPr>
          <w:rFonts w:eastAsia="Times New Roman" w:cs="Arial"/>
          <w:color w:val="000000"/>
          <w:lang w:eastAsia="bg-BG"/>
        </w:rPr>
        <w:t xml:space="preserve">(лосартан 100 </w:t>
      </w:r>
      <w:r w:rsidRPr="00695897">
        <w:rPr>
          <w:rFonts w:eastAsia="Times New Roman" w:cs="Arial"/>
          <w:color w:val="000000"/>
          <w:lang w:val="en-US"/>
        </w:rPr>
        <w:t>mg</w:t>
      </w:r>
      <w:r w:rsidRPr="00695897">
        <w:rPr>
          <w:rFonts w:eastAsia="Times New Roman" w:cs="Arial"/>
          <w:color w:val="000000"/>
          <w:lang w:eastAsia="bg-BG"/>
        </w:rPr>
        <w:t xml:space="preserve">/хидрохлоротиазид 25 </w:t>
      </w:r>
      <w:r w:rsidRPr="00695897">
        <w:rPr>
          <w:rFonts w:eastAsia="Times New Roman" w:cs="Arial"/>
          <w:color w:val="000000"/>
          <w:lang w:val="en-US"/>
        </w:rPr>
        <w:t>mg</w:t>
      </w:r>
      <w:r w:rsidRPr="00695897">
        <w:rPr>
          <w:rFonts w:eastAsia="Times New Roman" w:cs="Arial"/>
          <w:color w:val="000000"/>
          <w:lang w:val="ru-RU"/>
        </w:rPr>
        <w:t xml:space="preserve">) </w:t>
      </w:r>
      <w:r w:rsidRPr="00695897">
        <w:rPr>
          <w:rFonts w:eastAsia="Times New Roman" w:cs="Arial"/>
          <w:color w:val="000000"/>
          <w:lang w:eastAsia="bg-BG"/>
        </w:rPr>
        <w:t>веднъж дневно.</w:t>
      </w:r>
    </w:p>
    <w:p w14:paraId="6BA77B26" w14:textId="2BF16EEB" w:rsidR="00695897" w:rsidRPr="00695897" w:rsidRDefault="00695897" w:rsidP="00695897">
      <w:pPr>
        <w:spacing w:line="240" w:lineRule="auto"/>
        <w:rPr>
          <w:rFonts w:eastAsia="Times New Roman" w:cs="Arial"/>
          <w:sz w:val="24"/>
          <w:szCs w:val="24"/>
        </w:rPr>
      </w:pPr>
      <w:r w:rsidRPr="00695897">
        <w:rPr>
          <w:rFonts w:eastAsia="Times New Roman" w:cs="Arial"/>
          <w:color w:val="000000"/>
          <w:lang w:eastAsia="bg-BG"/>
        </w:rPr>
        <w:t xml:space="preserve">Максималната доза е една таблетка Лориста </w:t>
      </w:r>
      <w:r w:rsidRPr="00695897">
        <w:rPr>
          <w:rFonts w:eastAsia="Times New Roman" w:cs="Arial"/>
          <w:color w:val="000000"/>
          <w:lang w:val="en-US"/>
        </w:rPr>
        <w:t>HD</w:t>
      </w:r>
      <w:r w:rsidRPr="00695897">
        <w:rPr>
          <w:rFonts w:eastAsia="Times New Roman" w:cs="Arial"/>
          <w:color w:val="000000"/>
          <w:lang w:val="ru-RU"/>
        </w:rPr>
        <w:t xml:space="preserve"> </w:t>
      </w:r>
      <w:r w:rsidRPr="00695897">
        <w:rPr>
          <w:rFonts w:eastAsia="Times New Roman" w:cs="Arial"/>
          <w:color w:val="000000"/>
          <w:lang w:eastAsia="bg-BG"/>
        </w:rPr>
        <w:t>веднъж дневно. Като цяло</w:t>
      </w:r>
      <w:r w:rsidRPr="00695897">
        <w:rPr>
          <w:rFonts w:eastAsia="Times New Roman" w:cs="Arial"/>
          <w:i/>
          <w:iCs/>
          <w:color w:val="000000"/>
          <w:sz w:val="17"/>
          <w:szCs w:val="17"/>
          <w:lang w:eastAsia="bg-BG"/>
        </w:rPr>
        <w:t xml:space="preserve"> </w:t>
      </w:r>
      <w:r w:rsidRPr="00695897">
        <w:rPr>
          <w:rFonts w:eastAsia="Times New Roman" w:cs="Arial"/>
          <w:color w:val="000000"/>
          <w:lang w:eastAsia="bg-BG"/>
        </w:rPr>
        <w:t xml:space="preserve">антихипертензивният ефект се постига в рамките на три до четири седмици от започване на лечението. Лориста </w:t>
      </w:r>
      <w:r w:rsidRPr="00695897">
        <w:rPr>
          <w:rFonts w:eastAsia="Times New Roman" w:cs="Arial"/>
          <w:color w:val="000000"/>
          <w:lang w:val="en-US"/>
        </w:rPr>
        <w:t>HD</w:t>
      </w:r>
      <w:r w:rsidRPr="00695897">
        <w:rPr>
          <w:rFonts w:eastAsia="Times New Roman" w:cs="Arial"/>
          <w:color w:val="000000"/>
          <w:lang w:val="ru-RU"/>
        </w:rPr>
        <w:t xml:space="preserve"> </w:t>
      </w:r>
      <w:r w:rsidRPr="00695897">
        <w:rPr>
          <w:rFonts w:eastAsia="Times New Roman" w:cs="Arial"/>
          <w:color w:val="000000"/>
          <w:lang w:eastAsia="bg-BG"/>
        </w:rPr>
        <w:t xml:space="preserve">(лосартан 100 </w:t>
      </w:r>
      <w:r w:rsidRPr="00695897">
        <w:rPr>
          <w:rFonts w:eastAsia="Times New Roman" w:cs="Arial"/>
          <w:color w:val="000000"/>
          <w:lang w:val="en-US"/>
        </w:rPr>
        <w:t>mg</w:t>
      </w:r>
      <w:r w:rsidRPr="00695897">
        <w:rPr>
          <w:rFonts w:eastAsia="Times New Roman" w:cs="Arial"/>
          <w:color w:val="000000"/>
          <w:lang w:eastAsia="bg-BG"/>
        </w:rPr>
        <w:t xml:space="preserve">/хидрохлоритиазид 25 </w:t>
      </w:r>
      <w:r w:rsidRPr="00695897">
        <w:rPr>
          <w:rFonts w:eastAsia="Times New Roman" w:cs="Arial"/>
          <w:color w:val="000000"/>
          <w:lang w:val="en-US"/>
        </w:rPr>
        <w:t>mg</w:t>
      </w:r>
      <w:r w:rsidRPr="00695897">
        <w:rPr>
          <w:rFonts w:eastAsia="Times New Roman" w:cs="Arial"/>
          <w:color w:val="000000"/>
          <w:lang w:val="ru-RU"/>
        </w:rPr>
        <w:t xml:space="preserve">) </w:t>
      </w:r>
      <w:r w:rsidRPr="00695897">
        <w:rPr>
          <w:rFonts w:eastAsia="Times New Roman" w:cs="Arial"/>
          <w:color w:val="000000"/>
          <w:lang w:eastAsia="bg-BG"/>
        </w:rPr>
        <w:t>е подходящ за пациенти с</w:t>
      </w:r>
      <w:r>
        <w:rPr>
          <w:rFonts w:eastAsia="Times New Roman" w:cs="Arial"/>
          <w:sz w:val="24"/>
          <w:szCs w:val="24"/>
        </w:rPr>
        <w:t xml:space="preserve"> </w:t>
      </w:r>
      <w:r w:rsidRPr="00695897">
        <w:rPr>
          <w:rFonts w:eastAsia="Times New Roman" w:cs="Arial"/>
          <w:color w:val="000000"/>
          <w:lang w:eastAsia="bg-BG"/>
        </w:rPr>
        <w:t xml:space="preserve">титрирана доза до 100 </w:t>
      </w:r>
      <w:r w:rsidRPr="00695897">
        <w:rPr>
          <w:rFonts w:eastAsia="Times New Roman" w:cs="Arial"/>
          <w:color w:val="000000"/>
          <w:lang w:val="en-US"/>
        </w:rPr>
        <w:t>mg</w:t>
      </w:r>
      <w:r w:rsidRPr="00695897">
        <w:rPr>
          <w:rFonts w:eastAsia="Times New Roman" w:cs="Arial"/>
          <w:color w:val="000000"/>
          <w:lang w:val="ru-RU"/>
        </w:rPr>
        <w:t xml:space="preserve"> </w:t>
      </w:r>
      <w:r w:rsidRPr="00695897">
        <w:rPr>
          <w:rFonts w:eastAsia="Times New Roman" w:cs="Arial"/>
          <w:color w:val="000000"/>
          <w:lang w:eastAsia="bg-BG"/>
        </w:rPr>
        <w:t>Лориста, които се нуждаят от допълнителен контрол на кръвното</w:t>
      </w:r>
      <w:r>
        <w:rPr>
          <w:rFonts w:eastAsia="Times New Roman" w:cs="Arial"/>
          <w:sz w:val="24"/>
          <w:szCs w:val="24"/>
        </w:rPr>
        <w:t xml:space="preserve"> </w:t>
      </w:r>
      <w:r w:rsidRPr="00695897">
        <w:rPr>
          <w:rFonts w:eastAsia="Times New Roman" w:cs="Arial"/>
          <w:color w:val="000000"/>
          <w:lang w:eastAsia="bg-BG"/>
        </w:rPr>
        <w:t>налягане.</w:t>
      </w:r>
    </w:p>
    <w:p w14:paraId="59103422" w14:textId="5DACE686" w:rsidR="00695897" w:rsidRPr="00695897" w:rsidRDefault="00695897" w:rsidP="00695897">
      <w:pPr>
        <w:rPr>
          <w:rFonts w:eastAsia="Times New Roman" w:cs="Arial"/>
          <w:color w:val="000000"/>
          <w:lang w:eastAsia="bg-BG"/>
        </w:rPr>
      </w:pPr>
    </w:p>
    <w:p w14:paraId="759FBDEE" w14:textId="77777777" w:rsidR="00695897" w:rsidRPr="00695897" w:rsidRDefault="00695897" w:rsidP="00695897">
      <w:pPr>
        <w:spacing w:line="240" w:lineRule="auto"/>
        <w:rPr>
          <w:rFonts w:eastAsia="Times New Roman" w:cs="Arial"/>
          <w:sz w:val="24"/>
          <w:szCs w:val="24"/>
        </w:rPr>
      </w:pPr>
      <w:r w:rsidRPr="00695897">
        <w:rPr>
          <w:rFonts w:eastAsia="Times New Roman" w:cs="Arial"/>
          <w:color w:val="000000"/>
          <w:u w:val="single"/>
          <w:lang w:eastAsia="bg-BG"/>
        </w:rPr>
        <w:t>Употреба при пациенти с бъбречна недостатъчност и пациенти на хемодиализа</w:t>
      </w:r>
    </w:p>
    <w:p w14:paraId="0C463A91" w14:textId="77777777" w:rsidR="00695897" w:rsidRPr="00695897" w:rsidRDefault="00695897" w:rsidP="00695897">
      <w:pPr>
        <w:spacing w:line="240" w:lineRule="auto"/>
        <w:rPr>
          <w:rFonts w:eastAsia="Times New Roman" w:cs="Arial"/>
          <w:sz w:val="24"/>
          <w:szCs w:val="24"/>
        </w:rPr>
      </w:pPr>
      <w:r w:rsidRPr="00695897">
        <w:rPr>
          <w:rFonts w:eastAsia="Times New Roman" w:cs="Arial"/>
          <w:color w:val="000000"/>
          <w:lang w:eastAsia="bg-BG"/>
        </w:rPr>
        <w:t xml:space="preserve">Не е необходима промяна на началната доза при пациенти с лека бъбречна недостатъчност (т.е. креатининов клирънс 30-50 </w:t>
      </w:r>
      <w:r w:rsidRPr="00695897">
        <w:rPr>
          <w:rFonts w:eastAsia="Times New Roman" w:cs="Arial"/>
          <w:color w:val="000000"/>
          <w:lang w:val="en-US"/>
        </w:rPr>
        <w:t>ml</w:t>
      </w:r>
      <w:r w:rsidRPr="00695897">
        <w:rPr>
          <w:rFonts w:eastAsia="Times New Roman" w:cs="Arial"/>
          <w:color w:val="000000"/>
          <w:lang w:val="ru-RU"/>
        </w:rPr>
        <w:t>/</w:t>
      </w:r>
      <w:r w:rsidRPr="00695897">
        <w:rPr>
          <w:rFonts w:eastAsia="Times New Roman" w:cs="Arial"/>
          <w:color w:val="000000"/>
          <w:lang w:val="en-US"/>
        </w:rPr>
        <w:t>min</w:t>
      </w:r>
      <w:r w:rsidRPr="00695897">
        <w:rPr>
          <w:rFonts w:eastAsia="Times New Roman" w:cs="Arial"/>
          <w:color w:val="000000"/>
          <w:lang w:val="ru-RU"/>
        </w:rPr>
        <w:t xml:space="preserve">). </w:t>
      </w:r>
      <w:r w:rsidRPr="00695897">
        <w:rPr>
          <w:rFonts w:eastAsia="Times New Roman" w:cs="Arial"/>
          <w:color w:val="000000"/>
          <w:lang w:eastAsia="bg-BG"/>
        </w:rPr>
        <w:t xml:space="preserve">Таблетките лосартан и хидрохлоротиазид не се препоръчват при пациенти на хемодиализа. Таблетките лосартан/хидрохлоротиазид не трябва да се използват при пациенти с тежка бъбречна недостатъчност (т.е. креатининов клирънс &lt; 30 </w:t>
      </w:r>
      <w:r w:rsidRPr="00695897">
        <w:rPr>
          <w:rFonts w:eastAsia="Times New Roman" w:cs="Arial"/>
          <w:color w:val="000000"/>
          <w:lang w:val="en-US"/>
        </w:rPr>
        <w:t>ml</w:t>
      </w:r>
      <w:r w:rsidRPr="00695897">
        <w:rPr>
          <w:rFonts w:eastAsia="Times New Roman" w:cs="Arial"/>
          <w:color w:val="000000"/>
          <w:lang w:val="ru-RU"/>
        </w:rPr>
        <w:t>/</w:t>
      </w:r>
      <w:r w:rsidRPr="00695897">
        <w:rPr>
          <w:rFonts w:eastAsia="Times New Roman" w:cs="Arial"/>
          <w:color w:val="000000"/>
          <w:lang w:val="en-US"/>
        </w:rPr>
        <w:t>min</w:t>
      </w:r>
      <w:r w:rsidRPr="00695897">
        <w:rPr>
          <w:rFonts w:eastAsia="Times New Roman" w:cs="Arial"/>
          <w:color w:val="000000"/>
          <w:lang w:val="ru-RU"/>
        </w:rPr>
        <w:t xml:space="preserve">) </w:t>
      </w:r>
      <w:r w:rsidRPr="00695897">
        <w:rPr>
          <w:rFonts w:eastAsia="Times New Roman" w:cs="Arial"/>
          <w:color w:val="000000"/>
          <w:lang w:eastAsia="bg-BG"/>
        </w:rPr>
        <w:t>(вж. точка 4.3).</w:t>
      </w:r>
    </w:p>
    <w:p w14:paraId="308F05A6" w14:textId="77777777" w:rsidR="00695897" w:rsidRPr="00695897" w:rsidRDefault="00695897" w:rsidP="00695897">
      <w:pPr>
        <w:spacing w:line="240" w:lineRule="auto"/>
        <w:rPr>
          <w:rFonts w:eastAsia="Times New Roman" w:cs="Arial"/>
          <w:color w:val="000000"/>
          <w:u w:val="single"/>
          <w:lang w:eastAsia="bg-BG"/>
        </w:rPr>
      </w:pPr>
    </w:p>
    <w:p w14:paraId="7D417DC0" w14:textId="2B4927F7" w:rsidR="00695897" w:rsidRPr="00695897" w:rsidRDefault="00695897" w:rsidP="00695897">
      <w:pPr>
        <w:spacing w:line="240" w:lineRule="auto"/>
        <w:rPr>
          <w:rFonts w:eastAsia="Times New Roman" w:cs="Arial"/>
          <w:sz w:val="24"/>
          <w:szCs w:val="24"/>
        </w:rPr>
      </w:pPr>
      <w:r w:rsidRPr="00695897">
        <w:rPr>
          <w:rFonts w:eastAsia="Times New Roman" w:cs="Arial"/>
          <w:color w:val="000000"/>
          <w:u w:val="single"/>
          <w:lang w:eastAsia="bg-BG"/>
        </w:rPr>
        <w:t>Употреба при пациенти с намален интоаваскуларен обем</w:t>
      </w:r>
    </w:p>
    <w:p w14:paraId="54822DFA" w14:textId="77777777" w:rsidR="00695897" w:rsidRPr="00695897" w:rsidRDefault="00695897" w:rsidP="00695897">
      <w:pPr>
        <w:spacing w:line="240" w:lineRule="auto"/>
        <w:rPr>
          <w:rFonts w:eastAsia="Times New Roman" w:cs="Arial"/>
          <w:sz w:val="24"/>
          <w:szCs w:val="24"/>
        </w:rPr>
      </w:pPr>
      <w:r w:rsidRPr="00695897">
        <w:rPr>
          <w:rFonts w:eastAsia="Times New Roman" w:cs="Arial"/>
          <w:color w:val="000000"/>
          <w:lang w:eastAsia="bg-BG"/>
        </w:rPr>
        <w:t>Намалението на обема и/или изчерпването на натрия трябва да се коригират преди приложението на таблетки лосартан/ хидрохлоротиазид.</w:t>
      </w:r>
    </w:p>
    <w:p w14:paraId="40C045F9" w14:textId="77777777" w:rsidR="00695897" w:rsidRPr="00695897" w:rsidRDefault="00695897" w:rsidP="00695897">
      <w:pPr>
        <w:spacing w:line="240" w:lineRule="auto"/>
        <w:rPr>
          <w:rFonts w:eastAsia="Times New Roman" w:cs="Arial"/>
          <w:color w:val="000000"/>
          <w:u w:val="single"/>
          <w:lang w:eastAsia="bg-BG"/>
        </w:rPr>
      </w:pPr>
    </w:p>
    <w:p w14:paraId="212ABA25" w14:textId="11889B73" w:rsidR="00695897" w:rsidRPr="00695897" w:rsidRDefault="00695897" w:rsidP="00695897">
      <w:pPr>
        <w:spacing w:line="240" w:lineRule="auto"/>
        <w:rPr>
          <w:rFonts w:eastAsia="Times New Roman" w:cs="Arial"/>
          <w:sz w:val="24"/>
          <w:szCs w:val="24"/>
        </w:rPr>
      </w:pPr>
      <w:r w:rsidRPr="00695897">
        <w:rPr>
          <w:rFonts w:eastAsia="Times New Roman" w:cs="Arial"/>
          <w:color w:val="000000"/>
          <w:u w:val="single"/>
          <w:lang w:eastAsia="bg-BG"/>
        </w:rPr>
        <w:t>Употреба при пациенти с чернодробно увреждане</w:t>
      </w:r>
    </w:p>
    <w:p w14:paraId="7F33ED9C" w14:textId="77777777" w:rsidR="00695897" w:rsidRPr="00695897" w:rsidRDefault="00695897" w:rsidP="00695897">
      <w:pPr>
        <w:spacing w:line="240" w:lineRule="auto"/>
        <w:rPr>
          <w:rFonts w:eastAsia="Times New Roman" w:cs="Arial"/>
          <w:sz w:val="24"/>
          <w:szCs w:val="24"/>
        </w:rPr>
      </w:pPr>
      <w:r w:rsidRPr="00695897">
        <w:rPr>
          <w:rFonts w:eastAsia="Times New Roman" w:cs="Arial"/>
          <w:color w:val="000000"/>
          <w:lang w:eastAsia="bg-BG"/>
        </w:rPr>
        <w:t>Лосартан/ хидрохлоротиазид не се препоръчва при пациенти с тежко чернодробно увреждане (вж. точка 4.3).</w:t>
      </w:r>
    </w:p>
    <w:p w14:paraId="43899E3E" w14:textId="77777777" w:rsidR="00695897" w:rsidRPr="00695897" w:rsidRDefault="00695897" w:rsidP="00695897">
      <w:pPr>
        <w:spacing w:line="240" w:lineRule="auto"/>
        <w:rPr>
          <w:rFonts w:eastAsia="Times New Roman" w:cs="Arial"/>
          <w:color w:val="000000"/>
          <w:u w:val="single"/>
          <w:lang w:eastAsia="bg-BG"/>
        </w:rPr>
      </w:pPr>
    </w:p>
    <w:p w14:paraId="062F8784" w14:textId="7C5E2A4C" w:rsidR="00695897" w:rsidRPr="00695897" w:rsidRDefault="00695897" w:rsidP="00695897">
      <w:pPr>
        <w:spacing w:line="240" w:lineRule="auto"/>
        <w:rPr>
          <w:rFonts w:eastAsia="Times New Roman" w:cs="Arial"/>
          <w:sz w:val="24"/>
          <w:szCs w:val="24"/>
        </w:rPr>
      </w:pPr>
      <w:r w:rsidRPr="00695897">
        <w:rPr>
          <w:rFonts w:eastAsia="Times New Roman" w:cs="Arial"/>
          <w:color w:val="000000"/>
          <w:u w:val="single"/>
          <w:lang w:eastAsia="bg-BG"/>
        </w:rPr>
        <w:t>Употреба при старческа възраст</w:t>
      </w:r>
    </w:p>
    <w:p w14:paraId="686E8095" w14:textId="77777777" w:rsidR="00695897" w:rsidRPr="00695897" w:rsidRDefault="00695897" w:rsidP="00695897">
      <w:pPr>
        <w:spacing w:line="240" w:lineRule="auto"/>
        <w:rPr>
          <w:rFonts w:eastAsia="Times New Roman" w:cs="Arial"/>
          <w:sz w:val="24"/>
          <w:szCs w:val="24"/>
        </w:rPr>
      </w:pPr>
      <w:r w:rsidRPr="00695897">
        <w:rPr>
          <w:rFonts w:eastAsia="Times New Roman" w:cs="Arial"/>
          <w:color w:val="000000"/>
          <w:lang w:eastAsia="bg-BG"/>
        </w:rPr>
        <w:t>Обикновено не е необходима промяна на дозировката при пациенти в старческа възраст.</w:t>
      </w:r>
    </w:p>
    <w:p w14:paraId="684D6665" w14:textId="77777777" w:rsidR="00695897" w:rsidRPr="00695897" w:rsidRDefault="00695897" w:rsidP="00695897">
      <w:pPr>
        <w:spacing w:line="240" w:lineRule="auto"/>
        <w:rPr>
          <w:rFonts w:eastAsia="Times New Roman" w:cs="Arial"/>
          <w:color w:val="000000"/>
          <w:u w:val="single"/>
          <w:lang w:eastAsia="bg-BG"/>
        </w:rPr>
      </w:pPr>
    </w:p>
    <w:p w14:paraId="7247C5B8" w14:textId="713DBB75" w:rsidR="00695897" w:rsidRPr="00695897" w:rsidRDefault="00695897" w:rsidP="00695897">
      <w:pPr>
        <w:spacing w:line="240" w:lineRule="auto"/>
        <w:rPr>
          <w:rFonts w:eastAsia="Times New Roman" w:cs="Arial"/>
          <w:sz w:val="24"/>
          <w:szCs w:val="24"/>
        </w:rPr>
      </w:pPr>
      <w:r w:rsidRPr="00695897">
        <w:rPr>
          <w:rFonts w:eastAsia="Times New Roman" w:cs="Arial"/>
          <w:color w:val="000000"/>
          <w:u w:val="single"/>
          <w:lang w:eastAsia="bg-BG"/>
        </w:rPr>
        <w:t>Педиатрична популация</w:t>
      </w:r>
    </w:p>
    <w:p w14:paraId="46790BC5" w14:textId="77777777" w:rsidR="00695897" w:rsidRPr="00695897" w:rsidRDefault="00695897" w:rsidP="00695897">
      <w:pPr>
        <w:spacing w:line="240" w:lineRule="auto"/>
        <w:rPr>
          <w:rFonts w:eastAsia="Times New Roman" w:cs="Arial"/>
          <w:sz w:val="24"/>
          <w:szCs w:val="24"/>
        </w:rPr>
      </w:pPr>
      <w:r w:rsidRPr="00695897">
        <w:rPr>
          <w:rFonts w:eastAsia="Times New Roman" w:cs="Arial"/>
          <w:color w:val="000000"/>
          <w:lang w:eastAsia="bg-BG"/>
        </w:rPr>
        <w:t xml:space="preserve">Няма опит от клинични изпитвания с деца и юноши </w:t>
      </w:r>
      <w:r w:rsidRPr="00695897">
        <w:rPr>
          <w:rFonts w:eastAsia="Times New Roman" w:cs="Arial"/>
          <w:color w:val="000000"/>
          <w:u w:val="single"/>
          <w:lang w:eastAsia="bg-BG"/>
        </w:rPr>
        <w:t>(&lt; 18 години)</w:t>
      </w:r>
      <w:r w:rsidRPr="00695897">
        <w:rPr>
          <w:rFonts w:eastAsia="Times New Roman" w:cs="Arial"/>
          <w:color w:val="000000"/>
          <w:lang w:eastAsia="bg-BG"/>
        </w:rPr>
        <w:t>. Следователно лосартан/хидрохлоротиазид не трябва да се прилага при деца и юноши.</w:t>
      </w:r>
    </w:p>
    <w:p w14:paraId="47505E48" w14:textId="77777777" w:rsidR="00695897" w:rsidRPr="00695897" w:rsidRDefault="00695897" w:rsidP="00695897">
      <w:pPr>
        <w:spacing w:line="240" w:lineRule="auto"/>
        <w:rPr>
          <w:rFonts w:eastAsia="Times New Roman" w:cs="Arial"/>
          <w:color w:val="000000"/>
          <w:u w:val="single"/>
          <w:lang w:eastAsia="bg-BG"/>
        </w:rPr>
      </w:pPr>
    </w:p>
    <w:p w14:paraId="2CC55C02" w14:textId="03574DCD" w:rsidR="00695897" w:rsidRPr="00695897" w:rsidRDefault="00695897" w:rsidP="00695897">
      <w:pPr>
        <w:pStyle w:val="Heading3"/>
        <w:rPr>
          <w:rFonts w:eastAsia="Times New Roman"/>
          <w:u w:val="single"/>
        </w:rPr>
      </w:pPr>
      <w:r w:rsidRPr="00695897">
        <w:rPr>
          <w:rFonts w:eastAsia="Times New Roman"/>
          <w:u w:val="single"/>
          <w:lang w:eastAsia="bg-BG"/>
        </w:rPr>
        <w:t>Начин на приложение</w:t>
      </w:r>
    </w:p>
    <w:p w14:paraId="2A679198" w14:textId="77777777" w:rsidR="00695897" w:rsidRPr="00695897" w:rsidRDefault="00695897" w:rsidP="00695897">
      <w:pPr>
        <w:spacing w:line="240" w:lineRule="auto"/>
        <w:rPr>
          <w:rFonts w:eastAsia="Times New Roman" w:cs="Arial"/>
          <w:sz w:val="24"/>
          <w:szCs w:val="24"/>
        </w:rPr>
      </w:pPr>
      <w:r w:rsidRPr="00695897">
        <w:rPr>
          <w:rFonts w:eastAsia="Times New Roman" w:cs="Arial"/>
          <w:color w:val="000000"/>
          <w:lang w:eastAsia="bg-BG"/>
        </w:rPr>
        <w:t>Лориста Н може да се прилага с други антихипертензивни средства (вж. точки 4.3,4.4,4.5 и 5.1).</w:t>
      </w:r>
    </w:p>
    <w:p w14:paraId="62493807" w14:textId="77777777" w:rsidR="00695897" w:rsidRPr="00695897" w:rsidRDefault="00695897" w:rsidP="00695897">
      <w:pPr>
        <w:spacing w:line="240" w:lineRule="auto"/>
        <w:rPr>
          <w:rFonts w:eastAsia="Times New Roman" w:cs="Arial"/>
          <w:sz w:val="24"/>
          <w:szCs w:val="24"/>
        </w:rPr>
      </w:pPr>
      <w:r w:rsidRPr="00695897">
        <w:rPr>
          <w:rFonts w:eastAsia="Times New Roman" w:cs="Arial"/>
          <w:color w:val="000000"/>
          <w:lang w:eastAsia="bg-BG"/>
        </w:rPr>
        <w:t>Лориста Н трябва да се приема с чаша вода.</w:t>
      </w:r>
    </w:p>
    <w:p w14:paraId="2DF74D25" w14:textId="77777777" w:rsidR="00695897" w:rsidRPr="00695897" w:rsidRDefault="00695897" w:rsidP="00695897">
      <w:pPr>
        <w:spacing w:line="240" w:lineRule="auto"/>
        <w:rPr>
          <w:rFonts w:ascii="Times New Roman" w:eastAsia="Times New Roman" w:hAnsi="Times New Roman" w:cs="Times New Roman"/>
          <w:sz w:val="24"/>
          <w:szCs w:val="24"/>
        </w:rPr>
      </w:pPr>
      <w:r w:rsidRPr="00695897">
        <w:rPr>
          <w:rFonts w:eastAsia="Times New Roman" w:cs="Arial"/>
          <w:color w:val="000000"/>
          <w:lang w:eastAsia="bg-BG"/>
        </w:rPr>
        <w:t>Лориста Н може да се прилага със или без храна.</w:t>
      </w:r>
    </w:p>
    <w:p w14:paraId="4D148B47" w14:textId="77777777" w:rsidR="00695897" w:rsidRPr="00695897" w:rsidRDefault="00695897" w:rsidP="00695897"/>
    <w:p w14:paraId="62B13D0B" w14:textId="68390675" w:rsidR="00395555" w:rsidRDefault="002C50EE" w:rsidP="008A6AF2">
      <w:pPr>
        <w:pStyle w:val="Heading2"/>
      </w:pPr>
      <w:r>
        <w:t>4.3. Противопоказания</w:t>
      </w:r>
    </w:p>
    <w:p w14:paraId="6EB9B594" w14:textId="6577F15D" w:rsidR="00695897" w:rsidRDefault="00695897" w:rsidP="00695897"/>
    <w:p w14:paraId="699C3750" w14:textId="77777777" w:rsidR="00695897" w:rsidRPr="00695897" w:rsidRDefault="00695897" w:rsidP="00695897">
      <w:pPr>
        <w:pStyle w:val="ListParagraph"/>
        <w:numPr>
          <w:ilvl w:val="0"/>
          <w:numId w:val="32"/>
        </w:numPr>
        <w:rPr>
          <w:sz w:val="24"/>
          <w:szCs w:val="24"/>
        </w:rPr>
      </w:pPr>
      <w:r w:rsidRPr="00695897">
        <w:rPr>
          <w:lang w:eastAsia="bg-BG"/>
        </w:rPr>
        <w:t xml:space="preserve">Свръхчувствителност към лосартан, към вещества, производни на сулфонамидите (като хидрохлоротиазид) или към което и да е от помощните вещества, изброени в точка 6.1; </w:t>
      </w:r>
    </w:p>
    <w:p w14:paraId="5C614AC1" w14:textId="6723F5DE" w:rsidR="00695897" w:rsidRPr="00695897" w:rsidRDefault="00695897" w:rsidP="00695897">
      <w:pPr>
        <w:pStyle w:val="ListParagraph"/>
        <w:numPr>
          <w:ilvl w:val="0"/>
          <w:numId w:val="32"/>
        </w:numPr>
        <w:rPr>
          <w:sz w:val="24"/>
          <w:szCs w:val="24"/>
        </w:rPr>
      </w:pPr>
      <w:r w:rsidRPr="00695897">
        <w:rPr>
          <w:lang w:eastAsia="bg-BG"/>
        </w:rPr>
        <w:t>Терапевтично резистентна хипокалнемия или хиперкалцемия;</w:t>
      </w:r>
    </w:p>
    <w:p w14:paraId="1B7DB9DD" w14:textId="77777777" w:rsidR="00695897" w:rsidRPr="00695897" w:rsidRDefault="00695897" w:rsidP="00695897">
      <w:pPr>
        <w:pStyle w:val="ListParagraph"/>
        <w:numPr>
          <w:ilvl w:val="0"/>
          <w:numId w:val="32"/>
        </w:numPr>
        <w:rPr>
          <w:sz w:val="24"/>
          <w:szCs w:val="24"/>
        </w:rPr>
      </w:pPr>
      <w:r w:rsidRPr="00695897">
        <w:rPr>
          <w:lang w:eastAsia="bg-BG"/>
        </w:rPr>
        <w:t>Тежко чернодробно нарушение; холестаза и билиарни обструктивни нарушения;</w:t>
      </w:r>
    </w:p>
    <w:p w14:paraId="41500E67" w14:textId="77777777" w:rsidR="00695897" w:rsidRPr="00695897" w:rsidRDefault="00695897" w:rsidP="00695897">
      <w:pPr>
        <w:pStyle w:val="ListParagraph"/>
        <w:numPr>
          <w:ilvl w:val="0"/>
          <w:numId w:val="32"/>
        </w:numPr>
        <w:rPr>
          <w:sz w:val="24"/>
          <w:szCs w:val="24"/>
        </w:rPr>
      </w:pPr>
      <w:r w:rsidRPr="00695897">
        <w:rPr>
          <w:lang w:eastAsia="bg-BG"/>
        </w:rPr>
        <w:t>Рефрактерна хипонатриемия;</w:t>
      </w:r>
    </w:p>
    <w:p w14:paraId="37456B52" w14:textId="77777777" w:rsidR="00695897" w:rsidRPr="00695897" w:rsidRDefault="00695897" w:rsidP="00695897">
      <w:pPr>
        <w:pStyle w:val="ListParagraph"/>
        <w:numPr>
          <w:ilvl w:val="0"/>
          <w:numId w:val="32"/>
        </w:numPr>
        <w:rPr>
          <w:sz w:val="24"/>
          <w:szCs w:val="24"/>
        </w:rPr>
      </w:pPr>
      <w:r w:rsidRPr="00695897">
        <w:rPr>
          <w:lang w:eastAsia="bg-BG"/>
        </w:rPr>
        <w:lastRenderedPageBreak/>
        <w:t>Симптоматична хиперурикемия/подагра;</w:t>
      </w:r>
    </w:p>
    <w:p w14:paraId="7D3303D3" w14:textId="77777777" w:rsidR="00695897" w:rsidRPr="00695897" w:rsidRDefault="00695897" w:rsidP="00695897">
      <w:pPr>
        <w:pStyle w:val="ListParagraph"/>
        <w:numPr>
          <w:ilvl w:val="0"/>
          <w:numId w:val="32"/>
        </w:numPr>
        <w:rPr>
          <w:sz w:val="24"/>
          <w:szCs w:val="24"/>
        </w:rPr>
      </w:pPr>
      <w:r w:rsidRPr="00695897">
        <w:rPr>
          <w:lang w:eastAsia="bg-BG"/>
        </w:rPr>
        <w:t>2</w:t>
      </w:r>
      <w:r w:rsidRPr="00695897">
        <w:rPr>
          <w:vertAlign w:val="superscript"/>
          <w:lang w:eastAsia="bg-BG"/>
        </w:rPr>
        <w:t>ри</w:t>
      </w:r>
      <w:r w:rsidRPr="00695897">
        <w:rPr>
          <w:lang w:eastAsia="bg-BG"/>
        </w:rPr>
        <w:t xml:space="preserve"> и 3</w:t>
      </w:r>
      <w:r w:rsidRPr="00695897">
        <w:rPr>
          <w:vertAlign w:val="superscript"/>
          <w:lang w:eastAsia="bg-BG"/>
        </w:rPr>
        <w:t>ти</w:t>
      </w:r>
      <w:r w:rsidRPr="00695897">
        <w:rPr>
          <w:lang w:eastAsia="bg-BG"/>
        </w:rPr>
        <w:t xml:space="preserve"> триместър на бременността (вж. точки 4.4 и 4.6);</w:t>
      </w:r>
    </w:p>
    <w:p w14:paraId="2926AA18" w14:textId="77777777" w:rsidR="00695897" w:rsidRPr="00695897" w:rsidRDefault="00695897" w:rsidP="00695897">
      <w:pPr>
        <w:pStyle w:val="ListParagraph"/>
        <w:numPr>
          <w:ilvl w:val="0"/>
          <w:numId w:val="32"/>
        </w:numPr>
        <w:rPr>
          <w:sz w:val="24"/>
          <w:szCs w:val="24"/>
        </w:rPr>
      </w:pPr>
      <w:r w:rsidRPr="00695897">
        <w:rPr>
          <w:lang w:eastAsia="bg-BG"/>
        </w:rPr>
        <w:t xml:space="preserve">Тежко бъбречно нарушение (напр. креатининов клирънс &lt; 30 </w:t>
      </w:r>
      <w:r w:rsidRPr="00695897">
        <w:rPr>
          <w:lang w:val="en-US"/>
        </w:rPr>
        <w:t>ml</w:t>
      </w:r>
      <w:r w:rsidRPr="00695897">
        <w:rPr>
          <w:lang w:val="ru-RU"/>
        </w:rPr>
        <w:t>/</w:t>
      </w:r>
      <w:r w:rsidRPr="00695897">
        <w:rPr>
          <w:lang w:val="en-US"/>
        </w:rPr>
        <w:t>min</w:t>
      </w:r>
      <w:r w:rsidRPr="00695897">
        <w:rPr>
          <w:lang w:val="ru-RU"/>
        </w:rPr>
        <w:t>);</w:t>
      </w:r>
    </w:p>
    <w:p w14:paraId="4B5818AF" w14:textId="4023CB2E" w:rsidR="00695897" w:rsidRPr="00695897" w:rsidRDefault="00695897" w:rsidP="00695897">
      <w:pPr>
        <w:pStyle w:val="ListParagraph"/>
        <w:numPr>
          <w:ilvl w:val="0"/>
          <w:numId w:val="32"/>
        </w:numPr>
        <w:rPr>
          <w:sz w:val="24"/>
          <w:szCs w:val="24"/>
        </w:rPr>
      </w:pPr>
      <w:r w:rsidRPr="00695897">
        <w:rPr>
          <w:lang w:eastAsia="bg-BG"/>
        </w:rPr>
        <w:t>Анурия;</w:t>
      </w:r>
    </w:p>
    <w:p w14:paraId="0DB7D3BC" w14:textId="77777777" w:rsidR="00695897" w:rsidRPr="00695897" w:rsidRDefault="00695897" w:rsidP="00695897">
      <w:pPr>
        <w:pStyle w:val="ListParagraph"/>
        <w:numPr>
          <w:ilvl w:val="0"/>
          <w:numId w:val="32"/>
        </w:numPr>
        <w:rPr>
          <w:sz w:val="24"/>
          <w:szCs w:val="24"/>
        </w:rPr>
      </w:pPr>
      <w:r w:rsidRPr="00695897">
        <w:rPr>
          <w:lang w:eastAsia="bg-BG"/>
        </w:rPr>
        <w:t xml:space="preserve">Едновременната употреба на Лориста Н с алискирен-съдържащи продукти е противопоказана при пациенти със захарен диабет или бъбречно увреждане </w:t>
      </w:r>
      <w:r w:rsidRPr="00695897">
        <w:rPr>
          <w:lang w:val="ru-RU"/>
        </w:rPr>
        <w:t>(</w:t>
      </w:r>
      <w:r w:rsidRPr="00695897">
        <w:rPr>
          <w:lang w:val="en-US"/>
        </w:rPr>
        <w:t>GFR</w:t>
      </w:r>
      <w:r w:rsidRPr="00695897">
        <w:rPr>
          <w:lang w:val="ru-RU"/>
        </w:rPr>
        <w:t xml:space="preserve"> </w:t>
      </w:r>
      <w:r w:rsidRPr="00695897">
        <w:rPr>
          <w:lang w:eastAsia="bg-BG"/>
        </w:rPr>
        <w:t xml:space="preserve">&lt; 60 </w:t>
      </w:r>
      <w:r w:rsidRPr="00695897">
        <w:rPr>
          <w:lang w:val="en-US"/>
        </w:rPr>
        <w:t>ml</w:t>
      </w:r>
      <w:r w:rsidRPr="00695897">
        <w:rPr>
          <w:lang w:val="ru-RU"/>
        </w:rPr>
        <w:t>/</w:t>
      </w:r>
      <w:r w:rsidRPr="00695897">
        <w:rPr>
          <w:lang w:val="en-US"/>
        </w:rPr>
        <w:t>min</w:t>
      </w:r>
      <w:r w:rsidRPr="00695897">
        <w:rPr>
          <w:lang w:val="ru-RU"/>
        </w:rPr>
        <w:t xml:space="preserve">/1,73 </w:t>
      </w:r>
      <w:r w:rsidRPr="00695897">
        <w:rPr>
          <w:lang w:eastAsia="bg-BG"/>
        </w:rPr>
        <w:t>ш</w:t>
      </w:r>
      <w:r w:rsidRPr="00695897">
        <w:rPr>
          <w:vertAlign w:val="superscript"/>
          <w:lang w:eastAsia="bg-BG"/>
        </w:rPr>
        <w:t>2</w:t>
      </w:r>
      <w:r w:rsidRPr="00695897">
        <w:rPr>
          <w:lang w:eastAsia="bg-BG"/>
        </w:rPr>
        <w:t>) (вж. точки 4.5 и 5.1).</w:t>
      </w:r>
    </w:p>
    <w:p w14:paraId="45736DB4" w14:textId="77777777" w:rsidR="00695897" w:rsidRPr="00695897" w:rsidRDefault="00695897" w:rsidP="00695897"/>
    <w:p w14:paraId="5A4AC413" w14:textId="2902E6F5" w:rsidR="00395555" w:rsidRDefault="002C50EE" w:rsidP="008A6AF2">
      <w:pPr>
        <w:pStyle w:val="Heading2"/>
      </w:pPr>
      <w:r>
        <w:t>4.4. Специални предупреждения и предпазни мерки при употреба</w:t>
      </w:r>
    </w:p>
    <w:p w14:paraId="6F63183F" w14:textId="47A62185" w:rsidR="00695897" w:rsidRDefault="00695897" w:rsidP="00695897"/>
    <w:p w14:paraId="289A2091" w14:textId="77777777" w:rsidR="00695897" w:rsidRPr="00695897" w:rsidRDefault="00695897" w:rsidP="00695897">
      <w:pPr>
        <w:spacing w:line="240" w:lineRule="auto"/>
        <w:rPr>
          <w:rFonts w:eastAsia="Times New Roman" w:cs="Arial"/>
        </w:rPr>
      </w:pPr>
      <w:r w:rsidRPr="00695897">
        <w:rPr>
          <w:rFonts w:eastAsia="Times New Roman" w:cs="Arial"/>
          <w:color w:val="000000"/>
          <w:u w:val="single"/>
          <w:lang w:eastAsia="bg-BG"/>
        </w:rPr>
        <w:t>Лосартан</w:t>
      </w:r>
    </w:p>
    <w:p w14:paraId="7DF75F1C" w14:textId="77777777" w:rsidR="00695897" w:rsidRPr="00695897" w:rsidRDefault="00695897" w:rsidP="00695897">
      <w:pPr>
        <w:spacing w:line="240" w:lineRule="auto"/>
        <w:rPr>
          <w:rFonts w:eastAsia="Times New Roman" w:cs="Arial"/>
          <w:i/>
          <w:iCs/>
          <w:color w:val="000000"/>
          <w:lang w:eastAsia="bg-BG"/>
        </w:rPr>
      </w:pPr>
    </w:p>
    <w:p w14:paraId="3BE018DE" w14:textId="23EE09B6" w:rsidR="00695897" w:rsidRPr="00695897" w:rsidRDefault="00695897" w:rsidP="00695897">
      <w:pPr>
        <w:spacing w:line="240" w:lineRule="auto"/>
        <w:rPr>
          <w:rFonts w:eastAsia="Times New Roman" w:cs="Arial"/>
        </w:rPr>
      </w:pPr>
      <w:r w:rsidRPr="00695897">
        <w:rPr>
          <w:rFonts w:eastAsia="Times New Roman" w:cs="Arial"/>
          <w:i/>
          <w:iCs/>
          <w:color w:val="000000"/>
          <w:lang w:eastAsia="bg-BG"/>
        </w:rPr>
        <w:t>Ангиоедем</w:t>
      </w:r>
    </w:p>
    <w:p w14:paraId="1F26CD59" w14:textId="07E9805C" w:rsidR="00695897" w:rsidRPr="00695897" w:rsidRDefault="00695897" w:rsidP="00695897">
      <w:pPr>
        <w:spacing w:line="240" w:lineRule="auto"/>
        <w:rPr>
          <w:rFonts w:eastAsia="Times New Roman" w:cs="Arial"/>
        </w:rPr>
      </w:pPr>
      <w:r w:rsidRPr="00695897">
        <w:rPr>
          <w:rFonts w:eastAsia="Times New Roman" w:cs="Arial"/>
          <w:color w:val="000000"/>
          <w:lang w:eastAsia="bg-BG"/>
        </w:rPr>
        <w:t>Пациенти с анамнеза за ангиоедем (подуване на лицето, устните, гърлото и/или</w:t>
      </w:r>
    </w:p>
    <w:p w14:paraId="2EA09ADC" w14:textId="77777777" w:rsidR="00695897" w:rsidRPr="00695897" w:rsidRDefault="00695897" w:rsidP="00695897">
      <w:pPr>
        <w:spacing w:line="240" w:lineRule="auto"/>
        <w:rPr>
          <w:rFonts w:eastAsia="Times New Roman" w:cs="Arial"/>
        </w:rPr>
      </w:pPr>
      <w:r w:rsidRPr="00695897">
        <w:rPr>
          <w:rFonts w:eastAsia="Times New Roman" w:cs="Arial"/>
          <w:color w:val="000000"/>
          <w:lang w:eastAsia="bg-BG"/>
        </w:rPr>
        <w:t>да бъдат внимателно наблюдавани (вж. точка 4.8).</w:t>
      </w:r>
      <w:bookmarkStart w:id="1" w:name="bookmark0"/>
      <w:bookmarkEnd w:id="1"/>
    </w:p>
    <w:p w14:paraId="6257F00A" w14:textId="77777777" w:rsidR="00695897" w:rsidRPr="00695897" w:rsidRDefault="00695897" w:rsidP="00695897">
      <w:pPr>
        <w:spacing w:line="240" w:lineRule="auto"/>
        <w:rPr>
          <w:rFonts w:eastAsia="Times New Roman" w:cs="Arial"/>
        </w:rPr>
      </w:pPr>
    </w:p>
    <w:p w14:paraId="5C29DB4D" w14:textId="27F0F79C" w:rsidR="00695897" w:rsidRPr="00695897" w:rsidRDefault="00695897" w:rsidP="00695897">
      <w:pPr>
        <w:spacing w:line="240" w:lineRule="auto"/>
        <w:rPr>
          <w:rFonts w:eastAsia="Times New Roman" w:cs="Arial"/>
        </w:rPr>
      </w:pPr>
      <w:r w:rsidRPr="00695897">
        <w:rPr>
          <w:rFonts w:eastAsia="Times New Roman" w:cs="Arial"/>
          <w:i/>
          <w:iCs/>
          <w:color w:val="000000"/>
          <w:lang w:eastAsia="bg-BG"/>
        </w:rPr>
        <w:t>Хипотония и намаление на интраваскуларния обем</w:t>
      </w:r>
    </w:p>
    <w:p w14:paraId="762B4C62" w14:textId="77777777" w:rsidR="00695897" w:rsidRPr="00695897" w:rsidRDefault="00695897" w:rsidP="00695897">
      <w:pPr>
        <w:rPr>
          <w:rFonts w:eastAsia="Times New Roman" w:cs="Arial"/>
        </w:rPr>
      </w:pPr>
      <w:r w:rsidRPr="00695897">
        <w:rPr>
          <w:rFonts w:eastAsia="Times New Roman" w:cs="Arial"/>
          <w:color w:val="000000"/>
          <w:lang w:eastAsia="bg-BG"/>
        </w:rPr>
        <w:t>Може да се появи симптоматична хипотония, особено след първата доза, при пациенти, които имат намален обем и/или натрий от лечение с мощни диуретици, ограничена на сол диета, диария или повръщане. Такива състояния трябва да се коригират преди приложението на таблетките лосартан/ хидрохлоротиазид (вж. точки 4.2. и 4.3.).</w:t>
      </w:r>
    </w:p>
    <w:p w14:paraId="2015D014" w14:textId="77777777" w:rsidR="00695897" w:rsidRPr="00695897" w:rsidRDefault="00695897" w:rsidP="00695897">
      <w:pPr>
        <w:spacing w:line="240" w:lineRule="auto"/>
        <w:rPr>
          <w:rFonts w:eastAsia="Times New Roman" w:cs="Arial"/>
          <w:i/>
          <w:iCs/>
          <w:color w:val="000000"/>
          <w:lang w:eastAsia="bg-BG"/>
        </w:rPr>
      </w:pPr>
    </w:p>
    <w:p w14:paraId="761E4103" w14:textId="602254A3" w:rsidR="00695897" w:rsidRPr="00695897" w:rsidRDefault="00695897" w:rsidP="00695897">
      <w:pPr>
        <w:spacing w:line="240" w:lineRule="auto"/>
        <w:rPr>
          <w:rFonts w:eastAsia="Times New Roman" w:cs="Arial"/>
        </w:rPr>
      </w:pPr>
      <w:r w:rsidRPr="00695897">
        <w:rPr>
          <w:rFonts w:eastAsia="Times New Roman" w:cs="Arial"/>
          <w:i/>
          <w:iCs/>
          <w:color w:val="000000"/>
          <w:lang w:eastAsia="bg-BG"/>
        </w:rPr>
        <w:t>Електролитен дисбаланс</w:t>
      </w:r>
    </w:p>
    <w:p w14:paraId="01B10236" w14:textId="77777777" w:rsidR="00695897" w:rsidRPr="00695897" w:rsidRDefault="00695897" w:rsidP="00695897">
      <w:pPr>
        <w:spacing w:line="240" w:lineRule="auto"/>
        <w:rPr>
          <w:rFonts w:eastAsia="Times New Roman" w:cs="Arial"/>
        </w:rPr>
      </w:pPr>
      <w:r w:rsidRPr="00695897">
        <w:rPr>
          <w:rFonts w:eastAsia="Times New Roman" w:cs="Arial"/>
          <w:color w:val="000000"/>
          <w:lang w:eastAsia="bg-BG"/>
        </w:rPr>
        <w:t xml:space="preserve">Електролитните дисбаланси са чести при пациенти с бъбречни нарушения, с или без диабет и трябва да се внимава. Поради това стойностите на плазмените концентрации на калий и креатининовия клирънс трябва да бъдат непрекъснато наблюдавани, особено при пациенти със сърдечна недостатъчност и креатининов клирънс 30-50 </w:t>
      </w:r>
      <w:r w:rsidRPr="00695897">
        <w:rPr>
          <w:rFonts w:eastAsia="Times New Roman" w:cs="Arial"/>
          <w:color w:val="000000"/>
          <w:lang w:val="en-US"/>
        </w:rPr>
        <w:t>ml</w:t>
      </w:r>
      <w:r w:rsidRPr="00695897">
        <w:rPr>
          <w:rFonts w:eastAsia="Times New Roman" w:cs="Arial"/>
          <w:color w:val="000000"/>
          <w:lang w:val="ru-RU"/>
        </w:rPr>
        <w:t>/</w:t>
      </w:r>
      <w:r w:rsidRPr="00695897">
        <w:rPr>
          <w:rFonts w:eastAsia="Times New Roman" w:cs="Arial"/>
          <w:color w:val="000000"/>
          <w:lang w:val="en-US"/>
        </w:rPr>
        <w:t>min</w:t>
      </w:r>
      <w:r w:rsidRPr="00695897">
        <w:rPr>
          <w:rFonts w:eastAsia="Times New Roman" w:cs="Arial"/>
          <w:color w:val="000000"/>
          <w:lang w:val="ru-RU"/>
        </w:rPr>
        <w:t>.</w:t>
      </w:r>
    </w:p>
    <w:p w14:paraId="7EAE774D" w14:textId="77777777" w:rsidR="00695897" w:rsidRPr="00695897" w:rsidRDefault="00695897" w:rsidP="00695897">
      <w:pPr>
        <w:spacing w:line="240" w:lineRule="auto"/>
        <w:rPr>
          <w:rFonts w:eastAsia="Times New Roman" w:cs="Arial"/>
        </w:rPr>
      </w:pPr>
      <w:r w:rsidRPr="00695897">
        <w:rPr>
          <w:rFonts w:eastAsia="Times New Roman" w:cs="Arial"/>
          <w:color w:val="000000"/>
          <w:lang w:eastAsia="bg-BG"/>
        </w:rPr>
        <w:t>Едновременното приложение на калий-съхраняващи диуретици, калиеви добавки, калий- съдържащи заместители на солта или други лекарства, които могат да повишат серумния калий (напр. продукти, съдържащи триметоприм) заедно с лосартан не се препоръчва (вж. точка 4.5).</w:t>
      </w:r>
    </w:p>
    <w:p w14:paraId="66B24588" w14:textId="77777777" w:rsidR="00695897" w:rsidRPr="00695897" w:rsidRDefault="00695897" w:rsidP="00695897">
      <w:pPr>
        <w:spacing w:line="240" w:lineRule="auto"/>
        <w:rPr>
          <w:rFonts w:eastAsia="Times New Roman" w:cs="Arial"/>
          <w:i/>
          <w:iCs/>
          <w:color w:val="000000"/>
          <w:lang w:eastAsia="bg-BG"/>
        </w:rPr>
      </w:pPr>
    </w:p>
    <w:p w14:paraId="0623D331" w14:textId="74E3EAC4" w:rsidR="00695897" w:rsidRPr="00695897" w:rsidRDefault="00695897" w:rsidP="00695897">
      <w:pPr>
        <w:spacing w:line="240" w:lineRule="auto"/>
        <w:rPr>
          <w:rFonts w:eastAsia="Times New Roman" w:cs="Arial"/>
        </w:rPr>
      </w:pPr>
      <w:r w:rsidRPr="00695897">
        <w:rPr>
          <w:rFonts w:eastAsia="Times New Roman" w:cs="Arial"/>
          <w:i/>
          <w:iCs/>
          <w:color w:val="000000"/>
          <w:lang w:eastAsia="bg-BG"/>
        </w:rPr>
        <w:t>Увреждане на чернодробната функция</w:t>
      </w:r>
    </w:p>
    <w:p w14:paraId="2769BFEA" w14:textId="77777777" w:rsidR="00695897" w:rsidRPr="00695897" w:rsidRDefault="00695897" w:rsidP="00695897">
      <w:pPr>
        <w:spacing w:line="240" w:lineRule="auto"/>
        <w:rPr>
          <w:rFonts w:eastAsia="Times New Roman" w:cs="Arial"/>
        </w:rPr>
      </w:pPr>
      <w:r w:rsidRPr="00695897">
        <w:rPr>
          <w:rFonts w:eastAsia="Times New Roman" w:cs="Arial"/>
          <w:color w:val="000000"/>
          <w:lang w:eastAsia="bg-BG"/>
        </w:rPr>
        <w:t>На базата на фармакокинетични данни, които показват значително повишение на плазмените концентрации на лосартан при пациенти с цироза, лосартан/ хидрохлоротиазид трябва да се използва с повишено внимание при пациенти с анамнеза за леко до средно чернодробно увреждане. Няма терапевтичен опит за употребата на лосартан при пациенти с тежко чернодробно увреждане. Следователно лосартан/ хидрохлоротиазид е противопоказан при пациенти с тежко чернодробно увреждане (вж. точки 4.2,4.3 и 5.2).</w:t>
      </w:r>
    </w:p>
    <w:p w14:paraId="6C5E3353" w14:textId="77777777" w:rsidR="00695897" w:rsidRPr="00695897" w:rsidRDefault="00695897" w:rsidP="00695897">
      <w:pPr>
        <w:spacing w:line="240" w:lineRule="auto"/>
        <w:rPr>
          <w:rFonts w:eastAsia="Times New Roman" w:cs="Arial"/>
          <w:i/>
          <w:iCs/>
          <w:color w:val="000000"/>
          <w:lang w:eastAsia="bg-BG"/>
        </w:rPr>
      </w:pPr>
    </w:p>
    <w:p w14:paraId="1EF447EE" w14:textId="7D24159D" w:rsidR="00695897" w:rsidRPr="00695897" w:rsidRDefault="00695897" w:rsidP="00695897">
      <w:pPr>
        <w:spacing w:line="240" w:lineRule="auto"/>
        <w:rPr>
          <w:rFonts w:eastAsia="Times New Roman" w:cs="Arial"/>
        </w:rPr>
      </w:pPr>
      <w:r w:rsidRPr="00695897">
        <w:rPr>
          <w:rFonts w:eastAsia="Times New Roman" w:cs="Arial"/>
          <w:i/>
          <w:iCs/>
          <w:color w:val="000000"/>
          <w:lang w:eastAsia="bg-BG"/>
        </w:rPr>
        <w:t>Увреждане на бъбречната функция:</w:t>
      </w:r>
    </w:p>
    <w:p w14:paraId="1C7839B9" w14:textId="77777777" w:rsidR="00695897" w:rsidRPr="00695897" w:rsidRDefault="00695897" w:rsidP="00695897">
      <w:pPr>
        <w:spacing w:line="240" w:lineRule="auto"/>
        <w:rPr>
          <w:rFonts w:eastAsia="Times New Roman" w:cs="Arial"/>
        </w:rPr>
      </w:pPr>
      <w:r w:rsidRPr="00695897">
        <w:rPr>
          <w:rFonts w:eastAsia="Times New Roman" w:cs="Arial"/>
          <w:color w:val="000000"/>
          <w:lang w:eastAsia="bg-BG"/>
        </w:rPr>
        <w:t xml:space="preserve">Съобщени са промени в бъбречната функция, включително и бъбречна недостатъчност, като следствие от инхибицията на системата ренин-ангиотензин-алдостерон (най-вече при пациенти, чиято бъбречна функция зависи от системата ренин-ангиотензин-алдостерон, като такива с тежка сърдечна недостатъчност или предварително съществуващо бъбречно нарушение). Подобно на други лекарства, които повлияват системата ренин-ангиотензин-алдостерон е съобщено повишение на кръвната урея и серумния креатинин при пациенти с двустранна стеноза на бъбречната артерия или със </w:t>
      </w:r>
      <w:r w:rsidRPr="00695897">
        <w:rPr>
          <w:rFonts w:eastAsia="Times New Roman" w:cs="Arial"/>
          <w:color w:val="000000"/>
          <w:lang w:eastAsia="bg-BG"/>
        </w:rPr>
        <w:lastRenderedPageBreak/>
        <w:t>стеноза на артерията на единствен бъбрек; тези промени на бъбречната функция може да са обратими при прекратяване на лечението. Лосартан трябва да се използва с повишено внимание при пациенти с двустранна стеноза на бъбречната артерия или със стеноза на артерията на единствен бъбрек.</w:t>
      </w:r>
    </w:p>
    <w:p w14:paraId="7C6300D6" w14:textId="77777777" w:rsidR="00695897" w:rsidRPr="00695897" w:rsidRDefault="00695897" w:rsidP="00695897">
      <w:pPr>
        <w:spacing w:line="240" w:lineRule="auto"/>
        <w:rPr>
          <w:rFonts w:eastAsia="Times New Roman" w:cs="Arial"/>
          <w:i/>
          <w:iCs/>
          <w:color w:val="000000"/>
          <w:lang w:eastAsia="bg-BG"/>
        </w:rPr>
      </w:pPr>
    </w:p>
    <w:p w14:paraId="4B4B33E4" w14:textId="02010680" w:rsidR="00695897" w:rsidRPr="00695897" w:rsidRDefault="00695897" w:rsidP="00695897">
      <w:pPr>
        <w:spacing w:line="240" w:lineRule="auto"/>
        <w:rPr>
          <w:rFonts w:eastAsia="Times New Roman" w:cs="Arial"/>
        </w:rPr>
      </w:pPr>
      <w:r w:rsidRPr="00695897">
        <w:rPr>
          <w:rFonts w:eastAsia="Times New Roman" w:cs="Arial"/>
          <w:i/>
          <w:iCs/>
          <w:color w:val="000000"/>
          <w:lang w:eastAsia="bg-BG"/>
        </w:rPr>
        <w:t>Бъбречна трансплантация</w:t>
      </w:r>
    </w:p>
    <w:p w14:paraId="1F1288D2" w14:textId="77777777" w:rsidR="00695897" w:rsidRPr="00695897" w:rsidRDefault="00695897" w:rsidP="00695897">
      <w:pPr>
        <w:spacing w:line="240" w:lineRule="auto"/>
        <w:rPr>
          <w:rFonts w:eastAsia="Times New Roman" w:cs="Arial"/>
        </w:rPr>
      </w:pPr>
      <w:r w:rsidRPr="00695897">
        <w:rPr>
          <w:rFonts w:eastAsia="Times New Roman" w:cs="Arial"/>
          <w:color w:val="000000"/>
          <w:lang w:eastAsia="bg-BG"/>
        </w:rPr>
        <w:t>Няма опит при пациенти с неотдавнашна бъбречна трансплантация.</w:t>
      </w:r>
    </w:p>
    <w:p w14:paraId="75315E71" w14:textId="77777777" w:rsidR="00695897" w:rsidRPr="00695897" w:rsidRDefault="00695897" w:rsidP="00695897">
      <w:pPr>
        <w:spacing w:line="240" w:lineRule="auto"/>
        <w:rPr>
          <w:rFonts w:eastAsia="Times New Roman" w:cs="Arial"/>
          <w:i/>
          <w:iCs/>
          <w:color w:val="000000"/>
          <w:lang w:eastAsia="bg-BG"/>
        </w:rPr>
      </w:pPr>
    </w:p>
    <w:p w14:paraId="2517B5B6" w14:textId="023CE532" w:rsidR="00695897" w:rsidRPr="00695897" w:rsidRDefault="00695897" w:rsidP="00695897">
      <w:pPr>
        <w:spacing w:line="240" w:lineRule="auto"/>
        <w:rPr>
          <w:rFonts w:eastAsia="Times New Roman" w:cs="Arial"/>
        </w:rPr>
      </w:pPr>
      <w:r w:rsidRPr="00695897">
        <w:rPr>
          <w:rFonts w:eastAsia="Times New Roman" w:cs="Arial"/>
          <w:i/>
          <w:iCs/>
          <w:color w:val="000000"/>
          <w:lang w:eastAsia="bg-BG"/>
        </w:rPr>
        <w:t>Първичен хипералдостеронизъм</w:t>
      </w:r>
    </w:p>
    <w:p w14:paraId="19A2BD4B" w14:textId="77777777" w:rsidR="00695897" w:rsidRPr="00695897" w:rsidRDefault="00695897" w:rsidP="00695897">
      <w:pPr>
        <w:spacing w:line="240" w:lineRule="auto"/>
        <w:rPr>
          <w:rFonts w:eastAsia="Times New Roman" w:cs="Arial"/>
        </w:rPr>
      </w:pPr>
      <w:r w:rsidRPr="00695897">
        <w:rPr>
          <w:rFonts w:eastAsia="Times New Roman" w:cs="Arial"/>
          <w:color w:val="000000"/>
          <w:lang w:eastAsia="bg-BG"/>
        </w:rPr>
        <w:t>Пациенти с първичен хипералдостеронизъм обикновено не отговарят на антихипертензивни медикаменти, действащи чрез потискане на ренин-ангиотензин системата. Поради това използването на таблетки лосартан/ хидрохлоротиазид не се препоръчва.</w:t>
      </w:r>
    </w:p>
    <w:p w14:paraId="2A90709C" w14:textId="77777777" w:rsidR="00695897" w:rsidRPr="00695897" w:rsidRDefault="00695897" w:rsidP="00695897">
      <w:pPr>
        <w:spacing w:line="240" w:lineRule="auto"/>
        <w:rPr>
          <w:rFonts w:eastAsia="Times New Roman" w:cs="Arial"/>
          <w:i/>
          <w:iCs/>
          <w:color w:val="000000"/>
          <w:lang w:eastAsia="bg-BG"/>
        </w:rPr>
      </w:pPr>
    </w:p>
    <w:p w14:paraId="1344A63D" w14:textId="0C761F03" w:rsidR="00695897" w:rsidRPr="00695897" w:rsidRDefault="00695897" w:rsidP="00695897">
      <w:pPr>
        <w:spacing w:line="240" w:lineRule="auto"/>
        <w:rPr>
          <w:rFonts w:eastAsia="Times New Roman" w:cs="Arial"/>
        </w:rPr>
      </w:pPr>
      <w:r w:rsidRPr="00695897">
        <w:rPr>
          <w:rFonts w:eastAsia="Times New Roman" w:cs="Arial"/>
          <w:i/>
          <w:iCs/>
          <w:color w:val="000000"/>
          <w:lang w:eastAsia="bg-BG"/>
        </w:rPr>
        <w:t>Коронарно сърдечно заболяване и цереброваскуларна болест</w:t>
      </w:r>
    </w:p>
    <w:p w14:paraId="4BAA2A48" w14:textId="77777777" w:rsidR="00695897" w:rsidRPr="00695897" w:rsidRDefault="00695897" w:rsidP="00695897">
      <w:pPr>
        <w:spacing w:line="240" w:lineRule="auto"/>
        <w:rPr>
          <w:rFonts w:eastAsia="Times New Roman" w:cs="Arial"/>
        </w:rPr>
      </w:pPr>
      <w:r w:rsidRPr="00695897">
        <w:rPr>
          <w:rFonts w:eastAsia="Times New Roman" w:cs="Arial"/>
          <w:color w:val="000000"/>
          <w:lang w:eastAsia="bg-BG"/>
        </w:rPr>
        <w:t>Както при всеки антихипертензивен продукт, прекомерното понижение на кръвното налягане при пациенти с исхемична сърдечносъдова болест и мозъчносъдова болест може да причини инфаркт на миокарда или инсулт.</w:t>
      </w:r>
    </w:p>
    <w:p w14:paraId="08825EA9" w14:textId="77777777" w:rsidR="00695897" w:rsidRPr="00695897" w:rsidRDefault="00695897" w:rsidP="00695897">
      <w:pPr>
        <w:spacing w:line="240" w:lineRule="auto"/>
        <w:rPr>
          <w:rFonts w:eastAsia="Times New Roman" w:cs="Arial"/>
          <w:i/>
          <w:iCs/>
          <w:color w:val="000000"/>
          <w:lang w:eastAsia="bg-BG"/>
        </w:rPr>
      </w:pPr>
    </w:p>
    <w:p w14:paraId="5A24E7DE" w14:textId="435E0213" w:rsidR="00695897" w:rsidRPr="00695897" w:rsidRDefault="00695897" w:rsidP="00695897">
      <w:pPr>
        <w:spacing w:line="240" w:lineRule="auto"/>
        <w:rPr>
          <w:rFonts w:eastAsia="Times New Roman" w:cs="Arial"/>
        </w:rPr>
      </w:pPr>
      <w:r w:rsidRPr="00695897">
        <w:rPr>
          <w:rFonts w:eastAsia="Times New Roman" w:cs="Arial"/>
          <w:i/>
          <w:iCs/>
          <w:color w:val="000000"/>
          <w:lang w:eastAsia="bg-BG"/>
        </w:rPr>
        <w:t>Сърдечна недостатъчност</w:t>
      </w:r>
    </w:p>
    <w:p w14:paraId="54E01613" w14:textId="77777777" w:rsidR="00695897" w:rsidRPr="00695897" w:rsidRDefault="00695897" w:rsidP="00695897">
      <w:pPr>
        <w:spacing w:line="240" w:lineRule="auto"/>
        <w:rPr>
          <w:rFonts w:eastAsia="Times New Roman" w:cs="Arial"/>
        </w:rPr>
      </w:pPr>
      <w:r w:rsidRPr="00695897">
        <w:rPr>
          <w:rFonts w:eastAsia="Times New Roman" w:cs="Arial"/>
          <w:color w:val="000000"/>
          <w:lang w:eastAsia="bg-BG"/>
        </w:rPr>
        <w:t>При пациенти със сърдечна недостатъчност, с или без бъбречно увреждане, съществува - както и при други лекарства действащи на системата ренин-ангиотензин риск от тежка артериална хипотония и (често остро) бъбречно увреждане.</w:t>
      </w:r>
    </w:p>
    <w:p w14:paraId="790802BD" w14:textId="77777777" w:rsidR="00695897" w:rsidRPr="00695897" w:rsidRDefault="00695897" w:rsidP="00695897">
      <w:pPr>
        <w:spacing w:line="240" w:lineRule="auto"/>
        <w:rPr>
          <w:rFonts w:eastAsia="Times New Roman" w:cs="Arial"/>
          <w:i/>
          <w:iCs/>
          <w:color w:val="000000"/>
          <w:lang w:eastAsia="bg-BG"/>
        </w:rPr>
      </w:pPr>
    </w:p>
    <w:p w14:paraId="33BBBC5B" w14:textId="4CF89F67" w:rsidR="00695897" w:rsidRPr="00695897" w:rsidRDefault="00695897" w:rsidP="00695897">
      <w:pPr>
        <w:spacing w:line="240" w:lineRule="auto"/>
        <w:rPr>
          <w:rFonts w:eastAsia="Times New Roman" w:cs="Arial"/>
        </w:rPr>
      </w:pPr>
      <w:r w:rsidRPr="00695897">
        <w:rPr>
          <w:rFonts w:eastAsia="Times New Roman" w:cs="Arial"/>
          <w:i/>
          <w:iCs/>
          <w:color w:val="000000"/>
          <w:lang w:eastAsia="bg-BG"/>
        </w:rPr>
        <w:t xml:space="preserve">Стеноза на аортна и митрална клапа, обструктивна хипертрофична кардиомиопатия </w:t>
      </w:r>
      <w:r w:rsidRPr="00695897">
        <w:rPr>
          <w:rFonts w:eastAsia="Times New Roman" w:cs="Arial"/>
          <w:color w:val="000000"/>
          <w:lang w:eastAsia="bg-BG"/>
        </w:rPr>
        <w:t>Както и при други вазодилататори, препоръчва се специално внимание при пациенти страдащи от аортна или митрална стеноза, или обструктивна хипертрофична кардиомиопатия.</w:t>
      </w:r>
    </w:p>
    <w:p w14:paraId="2ACE7203" w14:textId="77777777" w:rsidR="00695897" w:rsidRPr="00695897" w:rsidRDefault="00695897" w:rsidP="00695897">
      <w:pPr>
        <w:spacing w:line="240" w:lineRule="auto"/>
        <w:rPr>
          <w:rFonts w:eastAsia="Times New Roman" w:cs="Arial"/>
          <w:i/>
          <w:iCs/>
          <w:color w:val="000000"/>
          <w:lang w:eastAsia="bg-BG"/>
        </w:rPr>
      </w:pPr>
    </w:p>
    <w:p w14:paraId="4435C6A6" w14:textId="0EBAAEBE" w:rsidR="00695897" w:rsidRPr="00695897" w:rsidRDefault="00695897" w:rsidP="00695897">
      <w:pPr>
        <w:spacing w:line="240" w:lineRule="auto"/>
        <w:rPr>
          <w:rFonts w:eastAsia="Times New Roman" w:cs="Arial"/>
        </w:rPr>
      </w:pPr>
      <w:r w:rsidRPr="00695897">
        <w:rPr>
          <w:rFonts w:eastAsia="Times New Roman" w:cs="Arial"/>
          <w:i/>
          <w:iCs/>
          <w:color w:val="000000"/>
          <w:lang w:eastAsia="bg-BG"/>
        </w:rPr>
        <w:t>Расови различия</w:t>
      </w:r>
    </w:p>
    <w:p w14:paraId="61BBBDBA" w14:textId="77777777" w:rsidR="00695897" w:rsidRPr="00695897" w:rsidRDefault="00695897" w:rsidP="00695897">
      <w:pPr>
        <w:rPr>
          <w:rFonts w:eastAsia="Times New Roman" w:cs="Arial"/>
        </w:rPr>
      </w:pPr>
      <w:r w:rsidRPr="00695897">
        <w:rPr>
          <w:rFonts w:eastAsia="Times New Roman" w:cs="Arial"/>
          <w:color w:val="000000"/>
          <w:lang w:eastAsia="bg-BG"/>
        </w:rPr>
        <w:t>Както е наблюдавано при инхибиторите на ангиотензин-конвертиращия ензим, лосартан и другите антагонисти на ангиотензина са очевидно по-малко ефективни за намаляване на кръвното налягане при чернокожи, отколкото при не-чернокожи, вероятно поради по-голя мото преобладаване на състояния на намален ренин в популацията на чернокожи с хипертония.</w:t>
      </w:r>
    </w:p>
    <w:p w14:paraId="04DD458D" w14:textId="77777777" w:rsidR="00695897" w:rsidRPr="00695897" w:rsidRDefault="00695897" w:rsidP="00695897">
      <w:pPr>
        <w:spacing w:line="240" w:lineRule="auto"/>
        <w:rPr>
          <w:rFonts w:eastAsia="Times New Roman" w:cs="Arial"/>
          <w:i/>
          <w:iCs/>
          <w:color w:val="000000"/>
          <w:lang w:eastAsia="bg-BG"/>
        </w:rPr>
      </w:pPr>
    </w:p>
    <w:p w14:paraId="7A6A8147" w14:textId="38B7F921" w:rsidR="00695897" w:rsidRPr="00695897" w:rsidRDefault="00695897" w:rsidP="00695897">
      <w:pPr>
        <w:spacing w:line="240" w:lineRule="auto"/>
        <w:rPr>
          <w:rFonts w:eastAsia="Times New Roman" w:cs="Arial"/>
        </w:rPr>
      </w:pPr>
      <w:r w:rsidRPr="00695897">
        <w:rPr>
          <w:rFonts w:eastAsia="Times New Roman" w:cs="Arial"/>
          <w:i/>
          <w:iCs/>
          <w:color w:val="000000"/>
          <w:lang w:eastAsia="bg-BG"/>
        </w:rPr>
        <w:t>Бременност</w:t>
      </w:r>
    </w:p>
    <w:p w14:paraId="62EE7288" w14:textId="77777777" w:rsidR="00695897" w:rsidRPr="00695897" w:rsidRDefault="00695897" w:rsidP="00695897">
      <w:pPr>
        <w:spacing w:line="240" w:lineRule="auto"/>
        <w:rPr>
          <w:rFonts w:eastAsia="Times New Roman" w:cs="Arial"/>
        </w:rPr>
      </w:pPr>
      <w:r w:rsidRPr="00695897">
        <w:rPr>
          <w:rFonts w:eastAsia="Times New Roman" w:cs="Arial"/>
          <w:color w:val="000000"/>
          <w:lang w:eastAsia="bg-BG"/>
        </w:rPr>
        <w:t>АПРБ не трябва да се започват по време на бременност. Освен в случай когато терапията се счита за крайно необходима, пациентките планиращи бременност трябва да преминат на алтернативно антихипертензивно лечение, което има установен профил на безопасност за употреба по време на бременност. Когато се диагностицира бременност, лечението с АПРБ трябва да бъде преустановено незабавно и, ако е уместно, трябва да се започне алтернативна терапия (вж. точки 4.3 и 4.6).</w:t>
      </w:r>
    </w:p>
    <w:p w14:paraId="3CFFB462" w14:textId="77777777" w:rsidR="00695897" w:rsidRPr="00695897" w:rsidRDefault="00695897" w:rsidP="00695897">
      <w:pPr>
        <w:spacing w:line="240" w:lineRule="auto"/>
        <w:rPr>
          <w:rFonts w:eastAsia="Times New Roman" w:cs="Arial"/>
          <w:i/>
          <w:iCs/>
          <w:color w:val="000000"/>
          <w:lang w:eastAsia="bg-BG"/>
        </w:rPr>
      </w:pPr>
    </w:p>
    <w:p w14:paraId="70ACC16A" w14:textId="2FAA8D69" w:rsidR="00695897" w:rsidRPr="00695897" w:rsidRDefault="00695897" w:rsidP="00695897">
      <w:pPr>
        <w:spacing w:line="240" w:lineRule="auto"/>
        <w:rPr>
          <w:rFonts w:eastAsia="Times New Roman" w:cs="Arial"/>
        </w:rPr>
      </w:pPr>
      <w:r w:rsidRPr="00695897">
        <w:rPr>
          <w:rFonts w:eastAsia="Times New Roman" w:cs="Arial"/>
          <w:i/>
          <w:iCs/>
          <w:color w:val="000000"/>
          <w:lang w:eastAsia="bg-BG"/>
        </w:rPr>
        <w:t>Двойно блокиране наренин ангиотензин -алдостероновата система (РААС)</w:t>
      </w:r>
    </w:p>
    <w:p w14:paraId="2E8502EF" w14:textId="77777777" w:rsidR="00695897" w:rsidRPr="00695897" w:rsidRDefault="00695897" w:rsidP="00695897">
      <w:pPr>
        <w:spacing w:line="240" w:lineRule="auto"/>
        <w:rPr>
          <w:rFonts w:eastAsia="Times New Roman" w:cs="Arial"/>
        </w:rPr>
      </w:pPr>
      <w:r w:rsidRPr="00695897">
        <w:rPr>
          <w:rFonts w:eastAsia="Times New Roman" w:cs="Arial"/>
          <w:color w:val="000000"/>
          <w:lang w:eastAsia="bg-BG"/>
        </w:rPr>
        <w:t>Има данни, че едновременната употреба на АСЕ инхибитори, ангиотензин П-рецепторни блокери или алискирен повишава риска от хипотония, хиперкалисмия и намаляване на бъбречната функция (включително остра бъбречна недостатъчност). Поради това не се препоръчва двойно блокиране на РААС чрез комбинираната употреба на АСЕ инхибитори, ангиотензин П-рецепторни блокери или алискирен (вж. точки 4.5 и 5.1).</w:t>
      </w:r>
    </w:p>
    <w:p w14:paraId="3FCE5561" w14:textId="77777777" w:rsidR="00695897" w:rsidRPr="00695897" w:rsidRDefault="00695897" w:rsidP="00695897">
      <w:pPr>
        <w:spacing w:line="240" w:lineRule="auto"/>
        <w:rPr>
          <w:rFonts w:eastAsia="Times New Roman" w:cs="Arial"/>
        </w:rPr>
      </w:pPr>
      <w:r w:rsidRPr="00695897">
        <w:rPr>
          <w:rFonts w:eastAsia="Times New Roman" w:cs="Arial"/>
          <w:color w:val="000000"/>
          <w:lang w:eastAsia="bg-BG"/>
        </w:rPr>
        <w:lastRenderedPageBreak/>
        <w:t>Ако се прецени, че терапията с двойно блокиране е абсолютно необходима, това трябва да става само под наблюдението на специалист и при често внимателно мониториране на бъбречната функция, електролитите и кръвното налягане.</w:t>
      </w:r>
    </w:p>
    <w:p w14:paraId="69AE39CF" w14:textId="77777777" w:rsidR="00695897" w:rsidRPr="00695897" w:rsidRDefault="00695897" w:rsidP="00695897">
      <w:pPr>
        <w:spacing w:line="240" w:lineRule="auto"/>
        <w:rPr>
          <w:rFonts w:eastAsia="Times New Roman" w:cs="Arial"/>
        </w:rPr>
      </w:pPr>
      <w:r w:rsidRPr="00695897">
        <w:rPr>
          <w:rFonts w:eastAsia="Times New Roman" w:cs="Arial"/>
          <w:color w:val="000000"/>
          <w:lang w:eastAsia="bg-BG"/>
        </w:rPr>
        <w:t>АСЕ инхибитори и ангиотензин П-рецепторни блокери не трябва да се използват едновременно при пациенти с диабетна нефропатия.</w:t>
      </w:r>
    </w:p>
    <w:p w14:paraId="3DF65F15" w14:textId="77777777" w:rsidR="00695897" w:rsidRPr="00695897" w:rsidRDefault="00695897" w:rsidP="00695897">
      <w:pPr>
        <w:spacing w:line="240" w:lineRule="auto"/>
        <w:rPr>
          <w:rFonts w:eastAsia="Times New Roman" w:cs="Arial"/>
          <w:color w:val="000000"/>
          <w:u w:val="single"/>
          <w:lang w:eastAsia="bg-BG"/>
        </w:rPr>
      </w:pPr>
    </w:p>
    <w:p w14:paraId="5BECB6A7" w14:textId="3DC80862" w:rsidR="00695897" w:rsidRPr="00695897" w:rsidRDefault="00695897" w:rsidP="00695897">
      <w:pPr>
        <w:spacing w:line="240" w:lineRule="auto"/>
        <w:rPr>
          <w:rFonts w:eastAsia="Times New Roman" w:cs="Arial"/>
        </w:rPr>
      </w:pPr>
      <w:r w:rsidRPr="00695897">
        <w:rPr>
          <w:rFonts w:eastAsia="Times New Roman" w:cs="Arial"/>
          <w:color w:val="000000"/>
          <w:u w:val="single"/>
          <w:lang w:eastAsia="bg-BG"/>
        </w:rPr>
        <w:t>Хидрохлоротиазид</w:t>
      </w:r>
    </w:p>
    <w:p w14:paraId="2328198F" w14:textId="77777777" w:rsidR="00695897" w:rsidRPr="00695897" w:rsidRDefault="00695897" w:rsidP="00695897">
      <w:pPr>
        <w:spacing w:line="240" w:lineRule="auto"/>
        <w:rPr>
          <w:rFonts w:eastAsia="Times New Roman" w:cs="Arial"/>
        </w:rPr>
      </w:pPr>
      <w:r w:rsidRPr="00695897">
        <w:rPr>
          <w:rFonts w:eastAsia="Times New Roman" w:cs="Arial"/>
          <w:i/>
          <w:iCs/>
          <w:color w:val="000000"/>
          <w:lang w:eastAsia="bg-BG"/>
        </w:rPr>
        <w:t>Хипотония и електролитен/воден дисбаланс</w:t>
      </w:r>
    </w:p>
    <w:p w14:paraId="54694436" w14:textId="77777777" w:rsidR="00695897" w:rsidRPr="00695897" w:rsidRDefault="00695897" w:rsidP="00695897">
      <w:pPr>
        <w:spacing w:line="240" w:lineRule="auto"/>
        <w:rPr>
          <w:rFonts w:eastAsia="Times New Roman" w:cs="Arial"/>
        </w:rPr>
      </w:pPr>
      <w:r w:rsidRPr="00695897">
        <w:rPr>
          <w:rFonts w:eastAsia="Times New Roman" w:cs="Arial"/>
          <w:color w:val="000000"/>
          <w:lang w:eastAsia="bg-BG"/>
        </w:rPr>
        <w:t>Както при всяка антихипертензивна терапия, при някои пациенти може да се появи симптоматична хипотония. Пациентите следва да се наблюдават за клинични признаци на електролитен или воден дисбаланс, напр. хиповолемия, хипонатриемия, хипохлоремична алкалоза, хипомагнезиемия или хипокалиемия, които може да се появят при междувременна диария или повръщане. При такива пациенти трябва да се извършва периодично определяне на електролитите през подходящи интервали. Дилуционна хипонатриемия може да възникне при едематозни пациенти в горещо време.</w:t>
      </w:r>
    </w:p>
    <w:p w14:paraId="1F348B13" w14:textId="77777777" w:rsidR="00695897" w:rsidRPr="00695897" w:rsidRDefault="00695897" w:rsidP="00695897">
      <w:pPr>
        <w:spacing w:line="240" w:lineRule="auto"/>
        <w:rPr>
          <w:rFonts w:eastAsia="Times New Roman" w:cs="Arial"/>
          <w:i/>
          <w:iCs/>
          <w:color w:val="000000"/>
          <w:lang w:eastAsia="bg-BG"/>
        </w:rPr>
      </w:pPr>
    </w:p>
    <w:p w14:paraId="656AAD79" w14:textId="1E257CE1" w:rsidR="00695897" w:rsidRPr="00695897" w:rsidRDefault="00695897" w:rsidP="00695897">
      <w:pPr>
        <w:spacing w:line="240" w:lineRule="auto"/>
        <w:rPr>
          <w:rFonts w:eastAsia="Times New Roman" w:cs="Arial"/>
        </w:rPr>
      </w:pPr>
      <w:r w:rsidRPr="00695897">
        <w:rPr>
          <w:rFonts w:eastAsia="Times New Roman" w:cs="Arial"/>
          <w:i/>
          <w:iCs/>
          <w:color w:val="000000"/>
          <w:lang w:eastAsia="bg-BG"/>
        </w:rPr>
        <w:t>Метаболитни и ендокринни ефекти</w:t>
      </w:r>
    </w:p>
    <w:p w14:paraId="488DDD56" w14:textId="77777777" w:rsidR="00695897" w:rsidRPr="00695897" w:rsidRDefault="00695897" w:rsidP="00695897">
      <w:pPr>
        <w:spacing w:line="240" w:lineRule="auto"/>
        <w:rPr>
          <w:rFonts w:eastAsia="Times New Roman" w:cs="Arial"/>
        </w:rPr>
      </w:pPr>
      <w:r w:rsidRPr="00695897">
        <w:rPr>
          <w:rFonts w:eastAsia="Times New Roman" w:cs="Arial"/>
          <w:color w:val="000000"/>
          <w:lang w:eastAsia="bg-BG"/>
        </w:rPr>
        <w:t>Тиазидната терапия може да наруши глюкозния толеранс. Възможно е да се наложи промяна в дозировките на антидиабетни лекарства, включително на инсулин (вж. точка 4.5). По време на лечението с тиазиди може да се прояви латентен захарен диабет.</w:t>
      </w:r>
    </w:p>
    <w:p w14:paraId="5081C9BF" w14:textId="77777777" w:rsidR="00695897" w:rsidRPr="00695897" w:rsidRDefault="00695897" w:rsidP="00695897">
      <w:pPr>
        <w:spacing w:line="240" w:lineRule="auto"/>
        <w:rPr>
          <w:rFonts w:eastAsia="Times New Roman" w:cs="Arial"/>
          <w:color w:val="000000"/>
          <w:lang w:eastAsia="bg-BG"/>
        </w:rPr>
      </w:pPr>
    </w:p>
    <w:p w14:paraId="0571190B" w14:textId="2ED585FB" w:rsidR="00695897" w:rsidRPr="00695897" w:rsidRDefault="00695897" w:rsidP="00695897">
      <w:pPr>
        <w:spacing w:line="240" w:lineRule="auto"/>
        <w:rPr>
          <w:rFonts w:eastAsia="Times New Roman" w:cs="Arial"/>
        </w:rPr>
      </w:pPr>
      <w:r w:rsidRPr="00695897">
        <w:rPr>
          <w:rFonts w:eastAsia="Times New Roman" w:cs="Arial"/>
          <w:color w:val="000000"/>
          <w:lang w:eastAsia="bg-BG"/>
        </w:rPr>
        <w:t>Тиазидите могат да намалят уринната екскреция на калций и да причинят слабо и временно покачване на серумния калций. Значителна хиперкалцемия може да бъде доказателство за скрит хиперпаратиреоидизъм. Тиазидите трябва да се спрат преди провеждането на тестовете за паратироидната функция.</w:t>
      </w:r>
    </w:p>
    <w:p w14:paraId="44EC0DAD" w14:textId="77777777" w:rsidR="00695897" w:rsidRPr="00695897" w:rsidRDefault="00695897" w:rsidP="00695897">
      <w:pPr>
        <w:spacing w:line="240" w:lineRule="auto"/>
        <w:rPr>
          <w:rFonts w:eastAsia="Times New Roman" w:cs="Arial"/>
          <w:color w:val="000000"/>
          <w:lang w:eastAsia="bg-BG"/>
        </w:rPr>
      </w:pPr>
    </w:p>
    <w:p w14:paraId="5EDA6494" w14:textId="6FBD1C1A" w:rsidR="00695897" w:rsidRPr="00695897" w:rsidRDefault="00695897" w:rsidP="00695897">
      <w:pPr>
        <w:spacing w:line="240" w:lineRule="auto"/>
        <w:rPr>
          <w:rFonts w:eastAsia="Times New Roman" w:cs="Arial"/>
        </w:rPr>
      </w:pPr>
      <w:r w:rsidRPr="00695897">
        <w:rPr>
          <w:rFonts w:eastAsia="Times New Roman" w:cs="Arial"/>
          <w:color w:val="000000"/>
          <w:lang w:eastAsia="bg-BG"/>
        </w:rPr>
        <w:t>Увеличение на нивата на холестерола и триглицеридите може да бъде свързано с терапията с тиазидни диуретици.</w:t>
      </w:r>
    </w:p>
    <w:p w14:paraId="30D4D35B" w14:textId="77777777" w:rsidR="00695897" w:rsidRPr="00695897" w:rsidRDefault="00695897" w:rsidP="00695897">
      <w:pPr>
        <w:spacing w:line="240" w:lineRule="auto"/>
        <w:rPr>
          <w:rFonts w:eastAsia="Times New Roman" w:cs="Arial"/>
          <w:color w:val="000000"/>
          <w:lang w:eastAsia="bg-BG"/>
        </w:rPr>
      </w:pPr>
    </w:p>
    <w:p w14:paraId="7B517AB2" w14:textId="7D4A9220" w:rsidR="00695897" w:rsidRPr="00695897" w:rsidRDefault="00695897" w:rsidP="00695897">
      <w:pPr>
        <w:spacing w:line="240" w:lineRule="auto"/>
        <w:rPr>
          <w:rFonts w:eastAsia="Times New Roman" w:cs="Arial"/>
        </w:rPr>
      </w:pPr>
      <w:r w:rsidRPr="00695897">
        <w:rPr>
          <w:rFonts w:eastAsia="Times New Roman" w:cs="Arial"/>
          <w:color w:val="000000"/>
          <w:lang w:eastAsia="bg-BG"/>
        </w:rPr>
        <w:t>Тиазидната терапия може да предизвика хиперурикемия и/или подагра при определени пациенти. Понеже лосартан намалява пикочната киселина, в комбинация с хидрохлоротиазид, той отслабва причинената от диуретика хиперурикемия.</w:t>
      </w:r>
    </w:p>
    <w:p w14:paraId="34A6C7C5" w14:textId="77777777" w:rsidR="00695897" w:rsidRPr="00695897" w:rsidRDefault="00695897" w:rsidP="00695897">
      <w:pPr>
        <w:spacing w:line="240" w:lineRule="auto"/>
        <w:rPr>
          <w:rFonts w:eastAsia="Times New Roman" w:cs="Arial"/>
          <w:i/>
          <w:iCs/>
          <w:color w:val="000000"/>
          <w:lang w:eastAsia="bg-BG"/>
        </w:rPr>
      </w:pPr>
    </w:p>
    <w:p w14:paraId="7FDD054E" w14:textId="7F81E122" w:rsidR="00695897" w:rsidRPr="00695897" w:rsidRDefault="00695897" w:rsidP="00695897">
      <w:pPr>
        <w:spacing w:line="240" w:lineRule="auto"/>
        <w:rPr>
          <w:rFonts w:eastAsia="Times New Roman" w:cs="Arial"/>
        </w:rPr>
      </w:pPr>
      <w:r w:rsidRPr="00695897">
        <w:rPr>
          <w:rFonts w:eastAsia="Times New Roman" w:cs="Arial"/>
          <w:i/>
          <w:iCs/>
          <w:color w:val="000000"/>
          <w:lang w:eastAsia="bg-BG"/>
        </w:rPr>
        <w:t>Чернодробно увреждане</w:t>
      </w:r>
    </w:p>
    <w:p w14:paraId="5D219146" w14:textId="77777777" w:rsidR="00695897" w:rsidRPr="00695897" w:rsidRDefault="00695897" w:rsidP="00695897">
      <w:pPr>
        <w:spacing w:line="240" w:lineRule="auto"/>
        <w:rPr>
          <w:rFonts w:eastAsia="Times New Roman" w:cs="Arial"/>
        </w:rPr>
      </w:pPr>
      <w:r w:rsidRPr="00695897">
        <w:rPr>
          <w:rFonts w:eastAsia="Times New Roman" w:cs="Arial"/>
          <w:color w:val="000000"/>
          <w:lang w:eastAsia="bg-BG"/>
        </w:rPr>
        <w:t>Тиазидите трябва да се използват с повишено внимание при пациенти с нарушена чернодробна функция или прогресиращо чернодробно заболяване, тъй като може да причини интрахепатална холестаза и след това малки колебания във водния и електролитния баланс може да ускорят появата на чернодробна кома.</w:t>
      </w:r>
    </w:p>
    <w:p w14:paraId="61C427E0" w14:textId="77777777" w:rsidR="00695897" w:rsidRPr="00695897" w:rsidRDefault="00695897" w:rsidP="00695897">
      <w:pPr>
        <w:rPr>
          <w:rFonts w:eastAsia="Times New Roman" w:cs="Arial"/>
        </w:rPr>
      </w:pPr>
      <w:r w:rsidRPr="00695897">
        <w:rPr>
          <w:rFonts w:eastAsia="Times New Roman" w:cs="Arial"/>
          <w:color w:val="000000"/>
          <w:lang w:eastAsia="bg-BG"/>
        </w:rPr>
        <w:t>Лосартан/хидрохлоротиазид е противопоказан при пациенти с тежко чернодробно увреждане (вж. точки 4.3 и 5.2).</w:t>
      </w:r>
    </w:p>
    <w:p w14:paraId="730A4ACD" w14:textId="77777777" w:rsidR="00695897" w:rsidRPr="00695897" w:rsidRDefault="00695897" w:rsidP="00695897">
      <w:pPr>
        <w:spacing w:line="240" w:lineRule="auto"/>
        <w:rPr>
          <w:rFonts w:eastAsia="Times New Roman" w:cs="Arial"/>
          <w:i/>
          <w:iCs/>
          <w:color w:val="000000"/>
          <w:lang w:eastAsia="bg-BG"/>
        </w:rPr>
      </w:pPr>
    </w:p>
    <w:p w14:paraId="3D3AAE57" w14:textId="4A45CE5B" w:rsidR="00695897" w:rsidRPr="00695897" w:rsidRDefault="00695897" w:rsidP="00695897">
      <w:pPr>
        <w:spacing w:line="240" w:lineRule="auto"/>
        <w:rPr>
          <w:rFonts w:eastAsia="Times New Roman" w:cs="Arial"/>
        </w:rPr>
      </w:pPr>
      <w:r w:rsidRPr="00695897">
        <w:rPr>
          <w:rFonts w:eastAsia="Times New Roman" w:cs="Arial"/>
          <w:i/>
          <w:iCs/>
          <w:color w:val="000000"/>
          <w:lang w:eastAsia="bg-BG"/>
        </w:rPr>
        <w:t>Немеланомен рак на кожата</w:t>
      </w:r>
    </w:p>
    <w:p w14:paraId="0F3F2403" w14:textId="77777777" w:rsidR="00695897" w:rsidRPr="00695897" w:rsidRDefault="00695897" w:rsidP="00695897">
      <w:pPr>
        <w:spacing w:line="240" w:lineRule="auto"/>
        <w:rPr>
          <w:rFonts w:eastAsia="Times New Roman" w:cs="Arial"/>
        </w:rPr>
      </w:pPr>
      <w:r w:rsidRPr="00695897">
        <w:rPr>
          <w:rFonts w:eastAsia="Times New Roman" w:cs="Arial"/>
          <w:color w:val="000000"/>
          <w:lang w:eastAsia="bg-BG"/>
        </w:rPr>
        <w:t>В две епидемиологични проучвания, основаващи се на датския национален раков регистър, е наблюдаван повишен риск от немеланомен рак на кожата (НМРК) [базалноклетъчен карцином (БКК) и сквамозноклетьчен карцином (СКК)] при нарастваща експозиция на кумулативна доза хидрохлоротиазид (ХХТЗ). Фотосенсибилизиращите ефекти на ХХТЗ могат да действат като вероятен механизъм за развитие на НМРК.</w:t>
      </w:r>
    </w:p>
    <w:p w14:paraId="045549DB" w14:textId="77777777" w:rsidR="00695897" w:rsidRPr="00695897" w:rsidRDefault="00695897" w:rsidP="00695897">
      <w:pPr>
        <w:spacing w:line="240" w:lineRule="auto"/>
        <w:rPr>
          <w:rFonts w:eastAsia="Times New Roman" w:cs="Arial"/>
        </w:rPr>
      </w:pPr>
      <w:r w:rsidRPr="00695897">
        <w:rPr>
          <w:rFonts w:eastAsia="Times New Roman" w:cs="Arial"/>
          <w:color w:val="000000"/>
          <w:lang w:eastAsia="bg-BG"/>
        </w:rPr>
        <w:t xml:space="preserve">Пациентите, приемащи ХХТЗ, трябва да бъдат информирани за риска от НМРК и съветвани редовно да проверяват кожата си за нови лезии и незабавно да съобщават при поява на подозрителни кожни лезии. На пациентите трябва да се препоръчат възможни превантивни мерки, като ограничено излагане на слънчева светлина и ултравиолетови </w:t>
      </w:r>
      <w:r w:rsidRPr="00695897">
        <w:rPr>
          <w:rFonts w:eastAsia="Times New Roman" w:cs="Arial"/>
          <w:color w:val="000000"/>
          <w:lang w:eastAsia="bg-BG"/>
        </w:rPr>
        <w:lastRenderedPageBreak/>
        <w:t>лъчи, а в случай на експозиция, подходяща защита, за да се сведе до минимум рискът от рак на кожата. Подозрителните кожни лезии трябва да бъдат подложени на незабавно изследване, потенциално включващо хистологични изследвания на биопсични материали. Преразглеждане на употребата на ХХТЗ може да се наложи и при пациенти, които са имали предходен НМРК (вж. също точка 4.8).</w:t>
      </w:r>
    </w:p>
    <w:p w14:paraId="33C5E743" w14:textId="77777777" w:rsidR="00695897" w:rsidRPr="00695897" w:rsidRDefault="00695897" w:rsidP="00695897">
      <w:pPr>
        <w:spacing w:line="240" w:lineRule="auto"/>
        <w:rPr>
          <w:rFonts w:eastAsia="Times New Roman" w:cs="Arial"/>
          <w:i/>
          <w:iCs/>
          <w:color w:val="000000"/>
          <w:lang w:eastAsia="bg-BG"/>
        </w:rPr>
      </w:pPr>
    </w:p>
    <w:p w14:paraId="56FF03F7" w14:textId="2FAA4FD8" w:rsidR="00695897" w:rsidRPr="00695897" w:rsidRDefault="00695897" w:rsidP="00695897">
      <w:pPr>
        <w:spacing w:line="240" w:lineRule="auto"/>
        <w:rPr>
          <w:rFonts w:eastAsia="Times New Roman" w:cs="Arial"/>
        </w:rPr>
      </w:pPr>
      <w:r w:rsidRPr="00695897">
        <w:rPr>
          <w:rFonts w:eastAsia="Times New Roman" w:cs="Arial"/>
          <w:i/>
          <w:iCs/>
          <w:color w:val="000000"/>
          <w:lang w:eastAsia="bg-BG"/>
        </w:rPr>
        <w:t>Хороидален излив, остра миопия и вторична закритоъгълна глаукома</w:t>
      </w:r>
    </w:p>
    <w:p w14:paraId="1047F76C" w14:textId="77777777" w:rsidR="00695897" w:rsidRPr="00695897" w:rsidRDefault="00695897" w:rsidP="00695897">
      <w:pPr>
        <w:spacing w:line="240" w:lineRule="auto"/>
        <w:rPr>
          <w:rFonts w:eastAsia="Times New Roman" w:cs="Arial"/>
        </w:rPr>
      </w:pPr>
      <w:r w:rsidRPr="00695897">
        <w:rPr>
          <w:rFonts w:eastAsia="Times New Roman" w:cs="Arial"/>
          <w:color w:val="000000"/>
          <w:lang w:eastAsia="bg-BG"/>
        </w:rPr>
        <w:t>Сулфонамидите или лекарствата, производни на сулфонамидите, могат да предизвикат идиосинкратична реакция, водеща до хороидален излив с дефект на зрителното поле, преходна миопия и остра закритоъгълна глаукома. Симптомите включват в началото остро понижение на зрителната острота или очна болка, и обикновено се появяват в рамките на часове до седмици от началото на лечението. Нелекуваната, остра, закритоъгълна глаукома може да доведе до трайна загуба на зрение. Първичното лечение е, да се спре приема на хидрохлоротиазид, колкото е възможно по-скоро. Навременно лечение или хирургична интервенция може да се наложи да се обмислят, ако вътреочното налагане остава неконтролирано. Рисковите фактори за развиване на остра закритоъгълна глаукома може да включват анамнеза за алергия към сулфонамиди или пеницилини.</w:t>
      </w:r>
    </w:p>
    <w:p w14:paraId="41748F4D" w14:textId="77777777" w:rsidR="00695897" w:rsidRPr="00695897" w:rsidRDefault="00695897" w:rsidP="00695897">
      <w:pPr>
        <w:spacing w:line="240" w:lineRule="auto"/>
        <w:rPr>
          <w:rFonts w:eastAsia="Times New Roman" w:cs="Arial"/>
          <w:i/>
          <w:iCs/>
          <w:color w:val="000000"/>
          <w:lang w:eastAsia="bg-BG"/>
        </w:rPr>
      </w:pPr>
    </w:p>
    <w:p w14:paraId="33EB91CC" w14:textId="3A3C96DE" w:rsidR="00695897" w:rsidRPr="00695897" w:rsidRDefault="00695897" w:rsidP="00695897">
      <w:pPr>
        <w:spacing w:line="240" w:lineRule="auto"/>
        <w:rPr>
          <w:rFonts w:eastAsia="Times New Roman" w:cs="Arial"/>
        </w:rPr>
      </w:pPr>
      <w:r w:rsidRPr="00695897">
        <w:rPr>
          <w:rFonts w:eastAsia="Times New Roman" w:cs="Arial"/>
          <w:i/>
          <w:iCs/>
          <w:color w:val="000000"/>
          <w:lang w:eastAsia="bg-BG"/>
        </w:rPr>
        <w:t>Други</w:t>
      </w:r>
    </w:p>
    <w:p w14:paraId="6F451559" w14:textId="77777777" w:rsidR="00695897" w:rsidRPr="00695897" w:rsidRDefault="00695897" w:rsidP="00695897">
      <w:pPr>
        <w:spacing w:line="240" w:lineRule="auto"/>
        <w:rPr>
          <w:rFonts w:eastAsia="Times New Roman" w:cs="Arial"/>
        </w:rPr>
      </w:pPr>
      <w:r w:rsidRPr="00695897">
        <w:rPr>
          <w:rFonts w:eastAsia="Times New Roman" w:cs="Arial"/>
          <w:color w:val="000000"/>
          <w:lang w:eastAsia="bg-BG"/>
        </w:rPr>
        <w:t>При пациенти, приемащи тиазиди, с или без анамнеза за алергия или бронхиална астма могат да възникнат реакции на свръхчувствителност. При употребата на тиазиди, има случаи на екзацербация или активиране на лупус еритематодес.</w:t>
      </w:r>
    </w:p>
    <w:p w14:paraId="430BE427" w14:textId="77777777" w:rsidR="00695897" w:rsidRPr="00695897" w:rsidRDefault="00695897" w:rsidP="00695897">
      <w:pPr>
        <w:spacing w:line="240" w:lineRule="auto"/>
        <w:rPr>
          <w:rFonts w:eastAsia="Times New Roman" w:cs="Arial"/>
          <w:i/>
          <w:iCs/>
          <w:color w:val="000000"/>
          <w:lang w:eastAsia="bg-BG"/>
        </w:rPr>
      </w:pPr>
    </w:p>
    <w:p w14:paraId="4850FA28" w14:textId="5404465B" w:rsidR="00695897" w:rsidRPr="00695897" w:rsidRDefault="00695897" w:rsidP="00695897">
      <w:pPr>
        <w:spacing w:line="240" w:lineRule="auto"/>
        <w:rPr>
          <w:rFonts w:eastAsia="Times New Roman" w:cs="Arial"/>
        </w:rPr>
      </w:pPr>
      <w:r w:rsidRPr="00695897">
        <w:rPr>
          <w:rFonts w:eastAsia="Times New Roman" w:cs="Arial"/>
          <w:i/>
          <w:iCs/>
          <w:color w:val="000000"/>
          <w:lang w:eastAsia="bg-BG"/>
        </w:rPr>
        <w:t>Помощни вещества</w:t>
      </w:r>
    </w:p>
    <w:p w14:paraId="6599B010" w14:textId="77777777" w:rsidR="00695897" w:rsidRPr="00695897" w:rsidRDefault="00695897" w:rsidP="00695897">
      <w:pPr>
        <w:spacing w:line="240" w:lineRule="auto"/>
        <w:rPr>
          <w:rFonts w:eastAsia="Times New Roman" w:cs="Arial"/>
        </w:rPr>
      </w:pPr>
      <w:r w:rsidRPr="00695897">
        <w:rPr>
          <w:rFonts w:eastAsia="Times New Roman" w:cs="Arial"/>
          <w:color w:val="000000"/>
          <w:lang w:eastAsia="bg-BG"/>
        </w:rPr>
        <w:t>Пациенти с редки наследствени проблеми на непоносимост към галактоза, пълен лактазен дефицит или глюкозо-галактозна малабсорбция не трябва да приемат това лекарство (вж. точка 6.1).</w:t>
      </w:r>
    </w:p>
    <w:p w14:paraId="6BCF01B8" w14:textId="37C1EE8A" w:rsidR="00695897" w:rsidRPr="00695897" w:rsidRDefault="00695897" w:rsidP="00695897">
      <w:pPr>
        <w:spacing w:line="240" w:lineRule="auto"/>
        <w:rPr>
          <w:rFonts w:ascii="Times New Roman" w:eastAsia="Times New Roman" w:hAnsi="Times New Roman" w:cs="Times New Roman"/>
          <w:sz w:val="24"/>
          <w:szCs w:val="24"/>
        </w:rPr>
      </w:pPr>
    </w:p>
    <w:p w14:paraId="5E12B51B" w14:textId="7FDC4117" w:rsidR="00695897" w:rsidRPr="00695897" w:rsidRDefault="00695897" w:rsidP="00695897">
      <w:pPr>
        <w:spacing w:line="240" w:lineRule="auto"/>
        <w:rPr>
          <w:rFonts w:ascii="Times New Roman" w:eastAsia="Times New Roman" w:hAnsi="Times New Roman" w:cs="Times New Roman"/>
          <w:sz w:val="24"/>
          <w:szCs w:val="24"/>
        </w:rPr>
      </w:pPr>
    </w:p>
    <w:p w14:paraId="4CCF12BB" w14:textId="1608A6C4" w:rsidR="00695897" w:rsidRPr="00695897" w:rsidRDefault="00695897" w:rsidP="00695897">
      <w:pPr>
        <w:spacing w:line="240" w:lineRule="auto"/>
        <w:rPr>
          <w:rFonts w:ascii="Times New Roman" w:eastAsia="Times New Roman" w:hAnsi="Times New Roman" w:cs="Times New Roman"/>
          <w:sz w:val="24"/>
          <w:szCs w:val="24"/>
        </w:rPr>
      </w:pPr>
    </w:p>
    <w:p w14:paraId="4B60D63D" w14:textId="77777777" w:rsidR="00695897" w:rsidRPr="00695897" w:rsidRDefault="00695897" w:rsidP="00695897"/>
    <w:p w14:paraId="1244F76A" w14:textId="7503C7B8" w:rsidR="00395555" w:rsidRDefault="002C50EE" w:rsidP="008A6AF2">
      <w:pPr>
        <w:pStyle w:val="Heading2"/>
      </w:pPr>
      <w:r>
        <w:t>4.5. Взаимодействие с други лекарствени продукти и други форми на взаимодействие</w:t>
      </w:r>
    </w:p>
    <w:p w14:paraId="2D11DA60" w14:textId="20F36A85" w:rsidR="00695897" w:rsidRDefault="00695897" w:rsidP="00695897"/>
    <w:p w14:paraId="5E75C155" w14:textId="77777777" w:rsidR="00695897" w:rsidRPr="00695897" w:rsidRDefault="00695897" w:rsidP="00695897">
      <w:pPr>
        <w:spacing w:line="240" w:lineRule="auto"/>
        <w:rPr>
          <w:rFonts w:eastAsia="Times New Roman" w:cs="Arial"/>
          <w:sz w:val="24"/>
          <w:szCs w:val="24"/>
        </w:rPr>
      </w:pPr>
      <w:r w:rsidRPr="00695897">
        <w:rPr>
          <w:rFonts w:eastAsia="Times New Roman" w:cs="Arial"/>
          <w:color w:val="000000"/>
          <w:u w:val="single"/>
          <w:lang w:eastAsia="bg-BG"/>
        </w:rPr>
        <w:t>Лосартан</w:t>
      </w:r>
    </w:p>
    <w:p w14:paraId="6686D270" w14:textId="77777777" w:rsidR="00695897" w:rsidRPr="00695897" w:rsidRDefault="00695897" w:rsidP="00695897">
      <w:pPr>
        <w:spacing w:line="240" w:lineRule="auto"/>
        <w:rPr>
          <w:rFonts w:eastAsia="Times New Roman" w:cs="Arial"/>
          <w:sz w:val="24"/>
          <w:szCs w:val="24"/>
        </w:rPr>
      </w:pPr>
      <w:r w:rsidRPr="00695897">
        <w:rPr>
          <w:rFonts w:eastAsia="Times New Roman" w:cs="Arial"/>
          <w:color w:val="000000"/>
          <w:lang w:eastAsia="bg-BG"/>
        </w:rPr>
        <w:t>Съобщавано е, че рифампицин и флуконазол намаляват нивата на активния метаболит. Не може да се направи оценка на клиничните последици на тези взаимодействия.</w:t>
      </w:r>
    </w:p>
    <w:p w14:paraId="5D43F67E" w14:textId="77777777" w:rsidR="00695897" w:rsidRPr="00695897" w:rsidRDefault="00695897" w:rsidP="00695897">
      <w:pPr>
        <w:spacing w:line="240" w:lineRule="auto"/>
        <w:rPr>
          <w:rFonts w:eastAsia="Times New Roman" w:cs="Arial"/>
          <w:sz w:val="24"/>
          <w:szCs w:val="24"/>
        </w:rPr>
      </w:pPr>
      <w:r w:rsidRPr="00695897">
        <w:rPr>
          <w:rFonts w:eastAsia="Times New Roman" w:cs="Arial"/>
          <w:color w:val="000000"/>
          <w:lang w:eastAsia="bg-BG"/>
        </w:rPr>
        <w:t>Както и при други лекарства, които блокират ангиотензин II или неговите ефекти, едновременното приложение на лекарства, които задържат калий (напр. спиронолакгон, триамтерен, амилорид ), калиеви добавки, заместители на готварската сол, съдържащи калий, или други лекарства, които могат да повишат серумния калий (напр. продукти, съдържащи триметоприм) може да доведе до увеличение на серумния калий. Едновременното приложение не се препоръчва.</w:t>
      </w:r>
    </w:p>
    <w:p w14:paraId="3734FD35" w14:textId="77777777" w:rsidR="00695897" w:rsidRPr="00695897" w:rsidRDefault="00695897" w:rsidP="00695897">
      <w:pPr>
        <w:spacing w:line="240" w:lineRule="auto"/>
        <w:rPr>
          <w:rFonts w:eastAsia="Times New Roman" w:cs="Arial"/>
          <w:color w:val="000000"/>
          <w:lang w:eastAsia="bg-BG"/>
        </w:rPr>
      </w:pPr>
    </w:p>
    <w:p w14:paraId="13541784" w14:textId="1C16F155" w:rsidR="00695897" w:rsidRPr="00695897" w:rsidRDefault="00695897" w:rsidP="00695897">
      <w:pPr>
        <w:spacing w:line="240" w:lineRule="auto"/>
        <w:rPr>
          <w:rFonts w:eastAsia="Times New Roman" w:cs="Arial"/>
          <w:sz w:val="24"/>
          <w:szCs w:val="24"/>
        </w:rPr>
      </w:pPr>
      <w:r w:rsidRPr="00695897">
        <w:rPr>
          <w:rFonts w:eastAsia="Times New Roman" w:cs="Arial"/>
          <w:color w:val="000000"/>
          <w:lang w:eastAsia="bg-BG"/>
        </w:rPr>
        <w:t xml:space="preserve">Както при други лекарства, които повлияват отделянето на натрий, отделянето на литии може да бъде намалено. Поради това, трябва да се проследяват внимателно нивата на литии в серума, </w:t>
      </w:r>
      <w:r w:rsidRPr="00695897">
        <w:rPr>
          <w:rFonts w:eastAsia="Times New Roman" w:cs="Arial"/>
          <w:i/>
          <w:iCs/>
          <w:color w:val="000000"/>
          <w:lang w:eastAsia="bg-BG"/>
        </w:rPr>
        <w:t>ако ще се</w:t>
      </w:r>
      <w:r w:rsidRPr="00695897">
        <w:rPr>
          <w:rFonts w:eastAsia="Times New Roman" w:cs="Arial"/>
          <w:color w:val="000000"/>
          <w:lang w:eastAsia="bg-BG"/>
        </w:rPr>
        <w:t xml:space="preserve"> приемат литиевите соли едновременно с ангиотензин II рецепторен антагонист.</w:t>
      </w:r>
    </w:p>
    <w:p w14:paraId="354A3B65" w14:textId="06E29DFE" w:rsidR="00695897" w:rsidRPr="00695897" w:rsidRDefault="00695897" w:rsidP="00695897">
      <w:pPr>
        <w:rPr>
          <w:rFonts w:cs="Arial"/>
        </w:rPr>
      </w:pPr>
    </w:p>
    <w:p w14:paraId="4B343DF1" w14:textId="77777777" w:rsidR="00695897" w:rsidRPr="00695897" w:rsidRDefault="00695897" w:rsidP="00695897">
      <w:pPr>
        <w:spacing w:line="240" w:lineRule="auto"/>
        <w:rPr>
          <w:rFonts w:eastAsia="Times New Roman" w:cs="Arial"/>
          <w:sz w:val="24"/>
          <w:szCs w:val="24"/>
        </w:rPr>
      </w:pPr>
      <w:r w:rsidRPr="00695897">
        <w:rPr>
          <w:rFonts w:eastAsia="Times New Roman" w:cs="Arial"/>
          <w:color w:val="000000"/>
          <w:lang w:eastAsia="bg-BG"/>
        </w:rPr>
        <w:lastRenderedPageBreak/>
        <w:t>Когато ангиотензин II антагонисти се прилагат едновременно с НСПВС (т.е. селективни СОХ-2 инхибитори, ацетилсалицилова киселина в противовъзпалителни дози и неселективни НСПВС), може да се настъпи отслабване на антихипертензивния ефект. Едновременното приложение на ангиотензин II антагонисти или диуретици и НСПВС може да доведе до повишен риск от влошаване на бъбречната функция, включително възможност от остра бъбречна недостатъчност, и повишаване на серумния калий, особено при пациенти с незадоволителна преди това бъбречна функция. Комбинацията следва да се прилага внимателно, особено в старческа възраст. Пациентите следва да бъдат адекватно оводнявани и трябва да се обсъди наблюдение на бъбречната функция след започване на едновременно лечение, както и периодично след това.</w:t>
      </w:r>
    </w:p>
    <w:p w14:paraId="0ECF726C" w14:textId="77777777" w:rsidR="00695897" w:rsidRPr="00695897" w:rsidRDefault="00695897" w:rsidP="00695897">
      <w:pPr>
        <w:spacing w:line="240" w:lineRule="auto"/>
        <w:rPr>
          <w:rFonts w:eastAsia="Times New Roman" w:cs="Arial"/>
          <w:color w:val="000000"/>
          <w:lang w:eastAsia="bg-BG"/>
        </w:rPr>
      </w:pPr>
    </w:p>
    <w:p w14:paraId="2E3928B5" w14:textId="0853B83B" w:rsidR="00695897" w:rsidRPr="00695897" w:rsidRDefault="00695897" w:rsidP="00695897">
      <w:pPr>
        <w:spacing w:line="240" w:lineRule="auto"/>
        <w:rPr>
          <w:rFonts w:eastAsia="Times New Roman" w:cs="Arial"/>
          <w:sz w:val="24"/>
          <w:szCs w:val="24"/>
        </w:rPr>
      </w:pPr>
      <w:r w:rsidRPr="00695897">
        <w:rPr>
          <w:rFonts w:eastAsia="Times New Roman" w:cs="Arial"/>
          <w:color w:val="000000"/>
          <w:lang w:eastAsia="bg-BG"/>
        </w:rPr>
        <w:t xml:space="preserve">При някои пациенти с компрометирана бъбречна функция, които са лекувани с нестероидни противовъзпалителни средства, включително селективни циклооксигеназа-2-инхибитори, едновременното приложение на ангиотензинт </w:t>
      </w:r>
      <w:r w:rsidRPr="00695897">
        <w:rPr>
          <w:rFonts w:eastAsia="Times New Roman" w:cs="Arial"/>
          <w:color w:val="000000"/>
          <w:lang w:val="en-US"/>
        </w:rPr>
        <w:t>II</w:t>
      </w:r>
      <w:r w:rsidRPr="00695897">
        <w:rPr>
          <w:rFonts w:eastAsia="Times New Roman" w:cs="Arial"/>
          <w:color w:val="000000"/>
          <w:lang w:eastAsia="bg-BG"/>
        </w:rPr>
        <w:t xml:space="preserve"> рецепторни антагонисти може да доведе до по нататъшно влошаване на бъбречната функция. Тези ефекти обикновено са обратими.</w:t>
      </w:r>
    </w:p>
    <w:p w14:paraId="3896B2BC" w14:textId="77777777" w:rsidR="00695897" w:rsidRPr="00695897" w:rsidRDefault="00695897" w:rsidP="00695897">
      <w:pPr>
        <w:spacing w:line="240" w:lineRule="auto"/>
        <w:rPr>
          <w:rFonts w:eastAsia="Times New Roman" w:cs="Arial"/>
          <w:color w:val="000000"/>
          <w:lang w:eastAsia="bg-BG"/>
        </w:rPr>
      </w:pPr>
    </w:p>
    <w:p w14:paraId="61DB7FA5" w14:textId="73FC7EBB" w:rsidR="00695897" w:rsidRPr="00695897" w:rsidRDefault="00695897" w:rsidP="00695897">
      <w:pPr>
        <w:spacing w:line="240" w:lineRule="auto"/>
        <w:rPr>
          <w:rFonts w:eastAsia="Times New Roman" w:cs="Arial"/>
          <w:sz w:val="24"/>
          <w:szCs w:val="24"/>
        </w:rPr>
      </w:pPr>
      <w:r w:rsidRPr="00695897">
        <w:rPr>
          <w:rFonts w:eastAsia="Times New Roman" w:cs="Arial"/>
          <w:color w:val="000000"/>
          <w:lang w:eastAsia="bg-BG"/>
        </w:rPr>
        <w:t xml:space="preserve">Данни от клинични проучвания показват, че двойното блокиране на ренин ангиотензин алдостероновата система (РААС) чрез комбинираната употреба на АСЕ инхибитори, ангиотензин </w:t>
      </w:r>
      <w:r w:rsidRPr="00695897">
        <w:rPr>
          <w:rFonts w:eastAsia="Times New Roman" w:cs="Arial"/>
          <w:color w:val="000000"/>
          <w:lang w:val="en-US"/>
        </w:rPr>
        <w:t>II</w:t>
      </w:r>
      <w:r w:rsidRPr="00695897">
        <w:rPr>
          <w:rFonts w:eastAsia="Times New Roman" w:cs="Arial"/>
          <w:color w:val="000000"/>
          <w:lang w:eastAsia="bg-BG"/>
        </w:rPr>
        <w:t>-рецепторни блокери или алискирен се свързва с по-висока честота на нежелани събития, като например хипотония, хиперкалиемия и намаляване на бъбречната функция (включително остра бъбречна недостатъчност), в сравнение с употребата само на едно средство, действащо върху РААС (вж. точки 4.3,4.4 и 5.1).</w:t>
      </w:r>
    </w:p>
    <w:p w14:paraId="13490975" w14:textId="77777777" w:rsidR="00695897" w:rsidRPr="00695897" w:rsidRDefault="00695897" w:rsidP="00695897">
      <w:pPr>
        <w:spacing w:line="240" w:lineRule="auto"/>
        <w:rPr>
          <w:rFonts w:eastAsia="Times New Roman" w:cs="Arial"/>
          <w:color w:val="000000"/>
          <w:lang w:eastAsia="bg-BG"/>
        </w:rPr>
      </w:pPr>
    </w:p>
    <w:p w14:paraId="3CBCB941" w14:textId="20A27401" w:rsidR="00695897" w:rsidRPr="00695897" w:rsidRDefault="00695897" w:rsidP="00695897">
      <w:pPr>
        <w:spacing w:line="240" w:lineRule="auto"/>
        <w:rPr>
          <w:rFonts w:eastAsia="Times New Roman" w:cs="Arial"/>
          <w:sz w:val="24"/>
          <w:szCs w:val="24"/>
        </w:rPr>
      </w:pPr>
      <w:r w:rsidRPr="00695897">
        <w:rPr>
          <w:rFonts w:eastAsia="Times New Roman" w:cs="Arial"/>
          <w:color w:val="000000"/>
          <w:lang w:eastAsia="bg-BG"/>
        </w:rPr>
        <w:t>Други вещества, предизвикващи хипотония, като трициклични антидепресанти, антипсихотици, баклофен, амифостин: едновременното приложение с тези лекарства, които намаляват кръвното налягане като основна нежелана лекарствена реакция, могат да повишат риска от хипотония.</w:t>
      </w:r>
    </w:p>
    <w:p w14:paraId="0A8B64B0" w14:textId="77777777" w:rsidR="00695897" w:rsidRPr="00695897" w:rsidRDefault="00695897" w:rsidP="00695897">
      <w:pPr>
        <w:spacing w:line="240" w:lineRule="auto"/>
        <w:rPr>
          <w:rFonts w:eastAsia="Times New Roman" w:cs="Arial"/>
          <w:color w:val="000000"/>
          <w:u w:val="single"/>
          <w:lang w:eastAsia="bg-BG"/>
        </w:rPr>
      </w:pPr>
    </w:p>
    <w:p w14:paraId="2F1BC410" w14:textId="6B071A5D" w:rsidR="00695897" w:rsidRPr="00695897" w:rsidRDefault="00695897" w:rsidP="00695897">
      <w:pPr>
        <w:spacing w:line="240" w:lineRule="auto"/>
        <w:rPr>
          <w:rFonts w:eastAsia="Times New Roman" w:cs="Arial"/>
          <w:sz w:val="24"/>
          <w:szCs w:val="24"/>
        </w:rPr>
      </w:pPr>
      <w:r w:rsidRPr="00695897">
        <w:rPr>
          <w:rFonts w:eastAsia="Times New Roman" w:cs="Arial"/>
          <w:color w:val="000000"/>
          <w:u w:val="single"/>
          <w:lang w:eastAsia="bg-BG"/>
        </w:rPr>
        <w:t>Хидрохлоротиазид</w:t>
      </w:r>
    </w:p>
    <w:p w14:paraId="573D5E4C" w14:textId="77777777" w:rsidR="00695897" w:rsidRPr="00695897" w:rsidRDefault="00695897" w:rsidP="00695897">
      <w:pPr>
        <w:spacing w:line="240" w:lineRule="auto"/>
        <w:rPr>
          <w:rFonts w:eastAsia="Times New Roman" w:cs="Arial"/>
          <w:sz w:val="24"/>
          <w:szCs w:val="24"/>
        </w:rPr>
      </w:pPr>
      <w:r w:rsidRPr="00695897">
        <w:rPr>
          <w:rFonts w:eastAsia="Times New Roman" w:cs="Arial"/>
          <w:color w:val="000000"/>
          <w:lang w:eastAsia="bg-BG"/>
        </w:rPr>
        <w:t>Следните лекарства, при едновременно приложение, могат да взаимодействат с тиазидните диуретици:</w:t>
      </w:r>
    </w:p>
    <w:p w14:paraId="7A9CC38E" w14:textId="77777777" w:rsidR="00695897" w:rsidRPr="00695897" w:rsidRDefault="00695897" w:rsidP="00695897">
      <w:pPr>
        <w:spacing w:line="240" w:lineRule="auto"/>
        <w:rPr>
          <w:rFonts w:eastAsia="Times New Roman" w:cs="Arial"/>
          <w:i/>
          <w:iCs/>
          <w:color w:val="000000"/>
          <w:lang w:eastAsia="bg-BG"/>
        </w:rPr>
      </w:pPr>
    </w:p>
    <w:p w14:paraId="68576432" w14:textId="226793C5" w:rsidR="00695897" w:rsidRPr="00695897" w:rsidRDefault="00695897" w:rsidP="00695897">
      <w:pPr>
        <w:spacing w:line="240" w:lineRule="auto"/>
        <w:rPr>
          <w:rFonts w:eastAsia="Times New Roman" w:cs="Arial"/>
          <w:sz w:val="24"/>
          <w:szCs w:val="24"/>
        </w:rPr>
      </w:pPr>
      <w:r w:rsidRPr="00695897">
        <w:rPr>
          <w:rFonts w:eastAsia="Times New Roman" w:cs="Arial"/>
          <w:i/>
          <w:iCs/>
          <w:color w:val="000000"/>
          <w:lang w:eastAsia="bg-BG"/>
        </w:rPr>
        <w:t xml:space="preserve">Алкохол, барбитурати, наркотици или антидепресанти: </w:t>
      </w:r>
      <w:r w:rsidRPr="00695897">
        <w:rPr>
          <w:rFonts w:eastAsia="Times New Roman" w:cs="Arial"/>
          <w:color w:val="000000"/>
          <w:lang w:eastAsia="bg-BG"/>
        </w:rPr>
        <w:t>Може да възникне потенциране на ортостатична хипотония.</w:t>
      </w:r>
    </w:p>
    <w:p w14:paraId="3126390E" w14:textId="77777777" w:rsidR="00695897" w:rsidRPr="00695897" w:rsidRDefault="00695897" w:rsidP="00695897">
      <w:pPr>
        <w:spacing w:line="240" w:lineRule="auto"/>
        <w:rPr>
          <w:rFonts w:eastAsia="Times New Roman" w:cs="Arial"/>
          <w:i/>
          <w:iCs/>
          <w:color w:val="000000"/>
          <w:lang w:eastAsia="bg-BG"/>
        </w:rPr>
      </w:pPr>
    </w:p>
    <w:p w14:paraId="7BABC327" w14:textId="179B0547" w:rsidR="00695897" w:rsidRPr="00695897" w:rsidRDefault="00695897" w:rsidP="00695897">
      <w:pPr>
        <w:spacing w:line="240" w:lineRule="auto"/>
        <w:rPr>
          <w:rFonts w:eastAsia="Times New Roman" w:cs="Arial"/>
          <w:sz w:val="24"/>
          <w:szCs w:val="24"/>
        </w:rPr>
      </w:pPr>
      <w:r w:rsidRPr="00695897">
        <w:rPr>
          <w:rFonts w:eastAsia="Times New Roman" w:cs="Arial"/>
          <w:i/>
          <w:iCs/>
          <w:color w:val="000000"/>
          <w:lang w:eastAsia="bg-BG"/>
        </w:rPr>
        <w:t>Антпидиабетни лекарства (перорални лекарства и инсулин):</w:t>
      </w:r>
    </w:p>
    <w:p w14:paraId="076AAC14" w14:textId="77777777" w:rsidR="00695897" w:rsidRPr="00695897" w:rsidRDefault="00695897" w:rsidP="00695897">
      <w:pPr>
        <w:spacing w:line="240" w:lineRule="auto"/>
        <w:rPr>
          <w:rFonts w:eastAsia="Times New Roman" w:cs="Arial"/>
          <w:sz w:val="24"/>
          <w:szCs w:val="24"/>
        </w:rPr>
      </w:pPr>
      <w:r w:rsidRPr="00695897">
        <w:rPr>
          <w:rFonts w:eastAsia="Times New Roman" w:cs="Arial"/>
          <w:color w:val="000000"/>
          <w:lang w:eastAsia="bg-BG"/>
        </w:rPr>
        <w:t>Лечението с високи дози тиазиди може да повлияе глюкозния толеранс. Може да се наложи промяна в дозировката на антидиабетното лекарство. Метформин трябва да се използва внимателно, поради риска от лактатна ацидоза, предизвикана от вероятно увреждане на бъбречната функция, свързано с хидрохлоротиазида.</w:t>
      </w:r>
    </w:p>
    <w:p w14:paraId="233B1B19" w14:textId="77777777" w:rsidR="00695897" w:rsidRPr="00695897" w:rsidRDefault="00695897" w:rsidP="00695897">
      <w:pPr>
        <w:spacing w:line="240" w:lineRule="auto"/>
        <w:rPr>
          <w:rFonts w:eastAsia="Times New Roman" w:cs="Arial"/>
          <w:i/>
          <w:iCs/>
          <w:color w:val="000000"/>
          <w:lang w:eastAsia="bg-BG"/>
        </w:rPr>
      </w:pPr>
    </w:p>
    <w:p w14:paraId="56ABCB17" w14:textId="77777777" w:rsidR="00695897" w:rsidRPr="00695897" w:rsidRDefault="00695897" w:rsidP="00695897">
      <w:pPr>
        <w:spacing w:line="240" w:lineRule="auto"/>
        <w:rPr>
          <w:rFonts w:eastAsia="Times New Roman" w:cs="Arial"/>
          <w:i/>
          <w:iCs/>
          <w:color w:val="000000"/>
          <w:lang w:eastAsia="bg-BG"/>
        </w:rPr>
      </w:pPr>
      <w:r w:rsidRPr="00695897">
        <w:rPr>
          <w:rFonts w:eastAsia="Times New Roman" w:cs="Arial"/>
          <w:i/>
          <w:iCs/>
          <w:color w:val="000000"/>
          <w:lang w:eastAsia="bg-BG"/>
        </w:rPr>
        <w:t xml:space="preserve">Други антихипертензивни лекарства: </w:t>
      </w:r>
    </w:p>
    <w:p w14:paraId="225826F3" w14:textId="2D8B5E42" w:rsidR="00695897" w:rsidRPr="00695897" w:rsidRDefault="00695897" w:rsidP="00695897">
      <w:pPr>
        <w:spacing w:line="240" w:lineRule="auto"/>
        <w:rPr>
          <w:rFonts w:eastAsia="Times New Roman" w:cs="Arial"/>
          <w:sz w:val="24"/>
          <w:szCs w:val="24"/>
        </w:rPr>
      </w:pPr>
      <w:r w:rsidRPr="00695897">
        <w:rPr>
          <w:rFonts w:eastAsia="Times New Roman" w:cs="Arial"/>
          <w:color w:val="000000"/>
          <w:lang w:eastAsia="bg-BG"/>
        </w:rPr>
        <w:t>Адитивен ефект.</w:t>
      </w:r>
    </w:p>
    <w:p w14:paraId="5B7C22F3" w14:textId="77777777" w:rsidR="00695897" w:rsidRPr="00695897" w:rsidRDefault="00695897" w:rsidP="00695897">
      <w:pPr>
        <w:spacing w:line="240" w:lineRule="auto"/>
        <w:rPr>
          <w:rFonts w:eastAsia="Times New Roman" w:cs="Arial"/>
          <w:i/>
          <w:iCs/>
          <w:color w:val="000000"/>
          <w:lang w:eastAsia="bg-BG"/>
        </w:rPr>
      </w:pPr>
    </w:p>
    <w:p w14:paraId="2ADB0E26" w14:textId="3C59C8E1" w:rsidR="00695897" w:rsidRPr="00695897" w:rsidRDefault="00695897" w:rsidP="00695897">
      <w:pPr>
        <w:spacing w:line="240" w:lineRule="auto"/>
        <w:rPr>
          <w:rFonts w:eastAsia="Times New Roman" w:cs="Arial"/>
          <w:sz w:val="24"/>
          <w:szCs w:val="24"/>
        </w:rPr>
      </w:pPr>
      <w:r w:rsidRPr="00695897">
        <w:rPr>
          <w:rFonts w:eastAsia="Times New Roman" w:cs="Arial"/>
          <w:i/>
          <w:iCs/>
          <w:color w:val="000000"/>
          <w:lang w:eastAsia="bg-BG"/>
        </w:rPr>
        <w:t>Холестирамин и холестиполови смоли:</w:t>
      </w:r>
    </w:p>
    <w:p w14:paraId="30BA816D" w14:textId="77777777" w:rsidR="00695897" w:rsidRPr="00695897" w:rsidRDefault="00695897" w:rsidP="00695897">
      <w:pPr>
        <w:spacing w:line="240" w:lineRule="auto"/>
        <w:rPr>
          <w:rFonts w:eastAsia="Times New Roman" w:cs="Arial"/>
          <w:sz w:val="24"/>
          <w:szCs w:val="24"/>
        </w:rPr>
      </w:pPr>
      <w:r w:rsidRPr="00695897">
        <w:rPr>
          <w:rFonts w:eastAsia="Times New Roman" w:cs="Arial"/>
          <w:color w:val="000000"/>
          <w:lang w:eastAsia="bg-BG"/>
        </w:rPr>
        <w:t>Абсорбцията на хидрохлоротиазид се нарушава при наличието на аниони обменни смоли. Единична доза холестирамин или холестиполова смола свързва хидрохлоротиазид и редуцира абсорбцията му от гастроинтестиналния тракт с до 85 и 43 процента, съответно.</w:t>
      </w:r>
    </w:p>
    <w:p w14:paraId="1C27C268" w14:textId="77777777" w:rsidR="00695897" w:rsidRPr="00695897" w:rsidRDefault="00695897" w:rsidP="00695897">
      <w:pPr>
        <w:spacing w:line="240" w:lineRule="auto"/>
        <w:rPr>
          <w:rFonts w:eastAsia="Times New Roman" w:cs="Arial"/>
          <w:i/>
          <w:iCs/>
          <w:color w:val="000000"/>
          <w:lang w:eastAsia="bg-BG"/>
        </w:rPr>
      </w:pPr>
    </w:p>
    <w:p w14:paraId="7E040038" w14:textId="263A0D95" w:rsidR="00695897" w:rsidRPr="00695897" w:rsidRDefault="00695897" w:rsidP="00695897">
      <w:pPr>
        <w:spacing w:line="240" w:lineRule="auto"/>
        <w:rPr>
          <w:rFonts w:eastAsia="Times New Roman" w:cs="Arial"/>
          <w:sz w:val="24"/>
          <w:szCs w:val="24"/>
        </w:rPr>
      </w:pPr>
      <w:r w:rsidRPr="00695897">
        <w:rPr>
          <w:rFonts w:eastAsia="Times New Roman" w:cs="Arial"/>
          <w:i/>
          <w:iCs/>
          <w:color w:val="000000"/>
          <w:lang w:eastAsia="bg-BG"/>
        </w:rPr>
        <w:t>Кортикостероиди, АСТН:</w:t>
      </w:r>
    </w:p>
    <w:p w14:paraId="7A896B70" w14:textId="77777777" w:rsidR="00695897" w:rsidRPr="00695897" w:rsidRDefault="00695897" w:rsidP="00695897">
      <w:pPr>
        <w:spacing w:line="240" w:lineRule="auto"/>
        <w:rPr>
          <w:rFonts w:eastAsia="Times New Roman" w:cs="Arial"/>
          <w:sz w:val="24"/>
          <w:szCs w:val="24"/>
        </w:rPr>
      </w:pPr>
      <w:r w:rsidRPr="00695897">
        <w:rPr>
          <w:rFonts w:eastAsia="Times New Roman" w:cs="Arial"/>
          <w:color w:val="000000"/>
          <w:lang w:eastAsia="bg-BG"/>
        </w:rPr>
        <w:lastRenderedPageBreak/>
        <w:t>Ускорено отделяне на електролитите, най-често хипокалиемия.</w:t>
      </w:r>
    </w:p>
    <w:p w14:paraId="3CD3D909" w14:textId="77777777" w:rsidR="00695897" w:rsidRPr="00695897" w:rsidRDefault="00695897" w:rsidP="00695897">
      <w:pPr>
        <w:spacing w:line="240" w:lineRule="auto"/>
        <w:rPr>
          <w:rFonts w:eastAsia="Times New Roman" w:cs="Arial"/>
          <w:i/>
          <w:iCs/>
          <w:color w:val="000000"/>
          <w:lang w:eastAsia="bg-BG"/>
        </w:rPr>
      </w:pPr>
    </w:p>
    <w:p w14:paraId="04EB94B6" w14:textId="1E83AEC1" w:rsidR="00695897" w:rsidRPr="00695897" w:rsidRDefault="00695897" w:rsidP="00695897">
      <w:pPr>
        <w:spacing w:line="240" w:lineRule="auto"/>
        <w:rPr>
          <w:rFonts w:eastAsia="Times New Roman" w:cs="Arial"/>
          <w:sz w:val="24"/>
          <w:szCs w:val="24"/>
        </w:rPr>
      </w:pPr>
      <w:r w:rsidRPr="00695897">
        <w:rPr>
          <w:rFonts w:eastAsia="Times New Roman" w:cs="Arial"/>
          <w:i/>
          <w:iCs/>
          <w:color w:val="000000"/>
          <w:lang w:eastAsia="bg-BG"/>
        </w:rPr>
        <w:t>Катехоламини (напр. адреналин):</w:t>
      </w:r>
    </w:p>
    <w:p w14:paraId="3ED3D48B" w14:textId="42400C20" w:rsidR="00695897" w:rsidRDefault="00695897" w:rsidP="00695897">
      <w:pPr>
        <w:rPr>
          <w:rFonts w:eastAsia="Times New Roman" w:cs="Arial"/>
          <w:color w:val="000000"/>
          <w:lang w:eastAsia="bg-BG"/>
        </w:rPr>
      </w:pPr>
      <w:r w:rsidRPr="00695897">
        <w:rPr>
          <w:rFonts w:eastAsia="Times New Roman" w:cs="Arial"/>
          <w:color w:val="000000"/>
          <w:lang w:eastAsia="bg-BG"/>
        </w:rPr>
        <w:t>Възможно е намаляване на реакцията към пресорните амини, но не достатъчно, за да се изключи едновременната им употреба.</w:t>
      </w:r>
    </w:p>
    <w:p w14:paraId="2E1DF34E" w14:textId="4E0BBC58" w:rsidR="00695897" w:rsidRDefault="00695897" w:rsidP="00695897">
      <w:pPr>
        <w:rPr>
          <w:rFonts w:eastAsia="Times New Roman" w:cs="Arial"/>
          <w:color w:val="000000"/>
          <w:lang w:eastAsia="bg-BG"/>
        </w:rPr>
      </w:pPr>
    </w:p>
    <w:p w14:paraId="791250C1" w14:textId="77777777" w:rsidR="00695897" w:rsidRPr="00695897" w:rsidRDefault="00695897" w:rsidP="00695897">
      <w:pPr>
        <w:spacing w:line="240" w:lineRule="auto"/>
        <w:rPr>
          <w:rFonts w:eastAsia="Times New Roman" w:cs="Arial"/>
          <w:i/>
          <w:iCs/>
          <w:color w:val="000000"/>
          <w:lang w:eastAsia="bg-BG"/>
        </w:rPr>
      </w:pPr>
      <w:r w:rsidRPr="00695897">
        <w:rPr>
          <w:rFonts w:eastAsia="Times New Roman" w:cs="Arial"/>
          <w:i/>
          <w:iCs/>
          <w:color w:val="000000"/>
          <w:lang w:eastAsia="bg-BG"/>
        </w:rPr>
        <w:t xml:space="preserve">Скелетно-мускулни релаксанти, недеполяризиращи (напр. тубокурарин): </w:t>
      </w:r>
    </w:p>
    <w:p w14:paraId="58DDC954" w14:textId="60355532" w:rsidR="00695897" w:rsidRPr="00695897" w:rsidRDefault="00695897" w:rsidP="00695897">
      <w:pPr>
        <w:spacing w:line="240" w:lineRule="auto"/>
        <w:rPr>
          <w:rFonts w:eastAsia="Times New Roman" w:cs="Arial"/>
          <w:sz w:val="24"/>
          <w:szCs w:val="24"/>
        </w:rPr>
      </w:pPr>
      <w:r w:rsidRPr="00695897">
        <w:rPr>
          <w:rFonts w:eastAsia="Times New Roman" w:cs="Arial"/>
          <w:color w:val="000000"/>
          <w:lang w:eastAsia="bg-BG"/>
        </w:rPr>
        <w:t>Възможно е повишена чувствителност към мускулни релаксанти.</w:t>
      </w:r>
    </w:p>
    <w:p w14:paraId="12018AC5" w14:textId="77777777" w:rsidR="00695897" w:rsidRPr="00695897" w:rsidRDefault="00695897" w:rsidP="00695897">
      <w:pPr>
        <w:spacing w:line="240" w:lineRule="auto"/>
        <w:rPr>
          <w:rFonts w:eastAsia="Times New Roman" w:cs="Arial"/>
          <w:i/>
          <w:iCs/>
          <w:color w:val="000000"/>
          <w:lang w:eastAsia="bg-BG"/>
        </w:rPr>
      </w:pPr>
    </w:p>
    <w:p w14:paraId="4F817787" w14:textId="2E4B18C2" w:rsidR="00695897" w:rsidRPr="00695897" w:rsidRDefault="00695897" w:rsidP="00695897">
      <w:pPr>
        <w:spacing w:line="240" w:lineRule="auto"/>
        <w:rPr>
          <w:rFonts w:eastAsia="Times New Roman" w:cs="Arial"/>
          <w:sz w:val="24"/>
          <w:szCs w:val="24"/>
        </w:rPr>
      </w:pPr>
      <w:r w:rsidRPr="00695897">
        <w:rPr>
          <w:rFonts w:eastAsia="Times New Roman" w:cs="Arial"/>
          <w:i/>
          <w:iCs/>
          <w:color w:val="000000"/>
          <w:lang w:eastAsia="bg-BG"/>
        </w:rPr>
        <w:t>Литий:</w:t>
      </w:r>
    </w:p>
    <w:p w14:paraId="34D3605E" w14:textId="77777777" w:rsidR="00695897" w:rsidRPr="00695897" w:rsidRDefault="00695897" w:rsidP="00695897">
      <w:pPr>
        <w:spacing w:line="240" w:lineRule="auto"/>
        <w:rPr>
          <w:rFonts w:eastAsia="Times New Roman" w:cs="Arial"/>
          <w:sz w:val="24"/>
          <w:szCs w:val="24"/>
        </w:rPr>
      </w:pPr>
      <w:r w:rsidRPr="00695897">
        <w:rPr>
          <w:rFonts w:eastAsia="Times New Roman" w:cs="Arial"/>
          <w:color w:val="000000"/>
          <w:lang w:eastAsia="bg-BG"/>
        </w:rPr>
        <w:t>Диуретиците редуцират бъбречния клирънс на лития и силно увеличават риска от литиева интоксикация; не се препоръчва едновременно прилагане.</w:t>
      </w:r>
    </w:p>
    <w:p w14:paraId="466BBD54" w14:textId="77777777" w:rsidR="00695897" w:rsidRPr="00695897" w:rsidRDefault="00695897" w:rsidP="00695897">
      <w:pPr>
        <w:spacing w:line="240" w:lineRule="auto"/>
        <w:rPr>
          <w:rFonts w:eastAsia="Times New Roman" w:cs="Arial"/>
          <w:i/>
          <w:iCs/>
          <w:color w:val="000000"/>
          <w:lang w:eastAsia="bg-BG"/>
        </w:rPr>
      </w:pPr>
    </w:p>
    <w:p w14:paraId="2C24C653" w14:textId="439BADEA" w:rsidR="00695897" w:rsidRPr="00695897" w:rsidRDefault="00695897" w:rsidP="00695897">
      <w:pPr>
        <w:spacing w:line="240" w:lineRule="auto"/>
        <w:rPr>
          <w:rFonts w:eastAsia="Times New Roman" w:cs="Arial"/>
          <w:sz w:val="24"/>
          <w:szCs w:val="24"/>
        </w:rPr>
      </w:pPr>
      <w:r w:rsidRPr="00695897">
        <w:rPr>
          <w:rFonts w:eastAsia="Times New Roman" w:cs="Arial"/>
          <w:i/>
          <w:iCs/>
          <w:color w:val="000000"/>
          <w:lang w:eastAsia="bg-BG"/>
        </w:rPr>
        <w:t>Лекарствени продукти, използвани за лечение на подагра (пробеницид, сулфинпиразон и алопуринол):</w:t>
      </w:r>
    </w:p>
    <w:p w14:paraId="19D91F45" w14:textId="77777777" w:rsidR="00695897" w:rsidRPr="00695897" w:rsidRDefault="00695897" w:rsidP="00695897">
      <w:pPr>
        <w:spacing w:line="240" w:lineRule="auto"/>
        <w:rPr>
          <w:rFonts w:eastAsia="Times New Roman" w:cs="Arial"/>
          <w:sz w:val="24"/>
          <w:szCs w:val="24"/>
        </w:rPr>
      </w:pPr>
      <w:r w:rsidRPr="00695897">
        <w:rPr>
          <w:rFonts w:eastAsia="Times New Roman" w:cs="Arial"/>
          <w:color w:val="000000"/>
          <w:lang w:eastAsia="bg-BG"/>
        </w:rPr>
        <w:t>Може да се наложи корекция на дозировката на урикозуричните лекарствени продукти, тъй като хидрохлоротиазид може да повиши нивото на пикочната киселина. Може да е нужно повишаване на дозите на пробеницид или сулфинпиразон. Едновременното приложение с тиазид може да повиши честотата на реакциите на свръхчувствителност към алопуринол.</w:t>
      </w:r>
    </w:p>
    <w:p w14:paraId="311311B9" w14:textId="77777777" w:rsidR="00695897" w:rsidRPr="00695897" w:rsidRDefault="00695897" w:rsidP="00695897">
      <w:pPr>
        <w:spacing w:line="240" w:lineRule="auto"/>
        <w:rPr>
          <w:rFonts w:eastAsia="Times New Roman" w:cs="Arial"/>
          <w:i/>
          <w:iCs/>
          <w:color w:val="000000"/>
          <w:lang w:eastAsia="bg-BG"/>
        </w:rPr>
      </w:pPr>
    </w:p>
    <w:p w14:paraId="399147A0" w14:textId="11096923" w:rsidR="00695897" w:rsidRPr="00695897" w:rsidRDefault="00695897" w:rsidP="00695897">
      <w:pPr>
        <w:spacing w:line="240" w:lineRule="auto"/>
        <w:rPr>
          <w:rFonts w:eastAsia="Times New Roman" w:cs="Arial"/>
          <w:sz w:val="24"/>
          <w:szCs w:val="24"/>
        </w:rPr>
      </w:pPr>
      <w:r w:rsidRPr="00695897">
        <w:rPr>
          <w:rFonts w:eastAsia="Times New Roman" w:cs="Arial"/>
          <w:i/>
          <w:iCs/>
          <w:color w:val="000000"/>
          <w:lang w:eastAsia="bg-BG"/>
        </w:rPr>
        <w:t>Антихолинергични продукти (напр. атропин, бипериден):</w:t>
      </w:r>
    </w:p>
    <w:p w14:paraId="15758963" w14:textId="77777777" w:rsidR="00695897" w:rsidRPr="00695897" w:rsidRDefault="00695897" w:rsidP="00695897">
      <w:pPr>
        <w:spacing w:line="240" w:lineRule="auto"/>
        <w:rPr>
          <w:rFonts w:eastAsia="Times New Roman" w:cs="Arial"/>
          <w:sz w:val="24"/>
          <w:szCs w:val="24"/>
        </w:rPr>
      </w:pPr>
      <w:r w:rsidRPr="00695897">
        <w:rPr>
          <w:rFonts w:eastAsia="Times New Roman" w:cs="Arial"/>
          <w:color w:val="000000"/>
          <w:lang w:eastAsia="bg-BG"/>
        </w:rPr>
        <w:t>Повишаване бионаличността на тиазидните диуретици чрез понижен стомашно-чревен мотилитет и намалена скорост на изпразване на стомаха.</w:t>
      </w:r>
    </w:p>
    <w:p w14:paraId="2639C363" w14:textId="77777777" w:rsidR="00695897" w:rsidRPr="00695897" w:rsidRDefault="00695897" w:rsidP="00695897">
      <w:pPr>
        <w:spacing w:line="240" w:lineRule="auto"/>
        <w:rPr>
          <w:rFonts w:eastAsia="Times New Roman" w:cs="Arial"/>
          <w:i/>
          <w:iCs/>
          <w:color w:val="000000"/>
          <w:lang w:eastAsia="bg-BG"/>
        </w:rPr>
      </w:pPr>
    </w:p>
    <w:p w14:paraId="592460A6" w14:textId="33A04311" w:rsidR="00695897" w:rsidRPr="00695897" w:rsidRDefault="00695897" w:rsidP="00695897">
      <w:pPr>
        <w:spacing w:line="240" w:lineRule="auto"/>
        <w:rPr>
          <w:rFonts w:eastAsia="Times New Roman" w:cs="Arial"/>
          <w:sz w:val="24"/>
          <w:szCs w:val="24"/>
        </w:rPr>
      </w:pPr>
      <w:r w:rsidRPr="00695897">
        <w:rPr>
          <w:rFonts w:eastAsia="Times New Roman" w:cs="Arial"/>
          <w:i/>
          <w:iCs/>
          <w:color w:val="000000"/>
          <w:lang w:eastAsia="bg-BG"/>
        </w:rPr>
        <w:t>Цитотоксични продукти (напр. циклофосфамид, метотрексат):</w:t>
      </w:r>
    </w:p>
    <w:p w14:paraId="639C974B" w14:textId="77777777" w:rsidR="00695897" w:rsidRPr="00695897" w:rsidRDefault="00695897" w:rsidP="00695897">
      <w:pPr>
        <w:spacing w:line="240" w:lineRule="auto"/>
        <w:rPr>
          <w:rFonts w:eastAsia="Times New Roman" w:cs="Arial"/>
          <w:sz w:val="24"/>
          <w:szCs w:val="24"/>
        </w:rPr>
      </w:pPr>
      <w:r w:rsidRPr="00695897">
        <w:rPr>
          <w:rFonts w:eastAsia="Times New Roman" w:cs="Arial"/>
          <w:color w:val="000000"/>
          <w:lang w:eastAsia="bg-BG"/>
        </w:rPr>
        <w:t>Тиазидите могат да намалят бъбречната екскреция на цитотоксични лекарствени продукти и да засилят техните миелосупресивни ефекти.</w:t>
      </w:r>
    </w:p>
    <w:p w14:paraId="36AD5B9C" w14:textId="77777777" w:rsidR="00695897" w:rsidRPr="00695897" w:rsidRDefault="00695897" w:rsidP="00695897">
      <w:pPr>
        <w:spacing w:line="240" w:lineRule="auto"/>
        <w:rPr>
          <w:rFonts w:eastAsia="Times New Roman" w:cs="Arial"/>
          <w:i/>
          <w:iCs/>
          <w:color w:val="000000"/>
          <w:lang w:eastAsia="bg-BG"/>
        </w:rPr>
      </w:pPr>
    </w:p>
    <w:p w14:paraId="09651408" w14:textId="7362F712" w:rsidR="00695897" w:rsidRPr="00695897" w:rsidRDefault="00695897" w:rsidP="00695897">
      <w:pPr>
        <w:spacing w:line="240" w:lineRule="auto"/>
        <w:rPr>
          <w:rFonts w:eastAsia="Times New Roman" w:cs="Arial"/>
          <w:sz w:val="24"/>
          <w:szCs w:val="24"/>
        </w:rPr>
      </w:pPr>
      <w:r w:rsidRPr="00695897">
        <w:rPr>
          <w:rFonts w:eastAsia="Times New Roman" w:cs="Arial"/>
          <w:i/>
          <w:iCs/>
          <w:color w:val="000000"/>
          <w:lang w:eastAsia="bg-BG"/>
        </w:rPr>
        <w:t>Салицилати:</w:t>
      </w:r>
    </w:p>
    <w:p w14:paraId="05BE2D15" w14:textId="77777777" w:rsidR="00695897" w:rsidRPr="00695897" w:rsidRDefault="00695897" w:rsidP="00695897">
      <w:pPr>
        <w:spacing w:line="240" w:lineRule="auto"/>
        <w:rPr>
          <w:rFonts w:eastAsia="Times New Roman" w:cs="Arial"/>
          <w:sz w:val="24"/>
          <w:szCs w:val="24"/>
        </w:rPr>
      </w:pPr>
      <w:r w:rsidRPr="00695897">
        <w:rPr>
          <w:rFonts w:eastAsia="Times New Roman" w:cs="Arial"/>
          <w:color w:val="000000"/>
          <w:lang w:eastAsia="bg-BG"/>
        </w:rPr>
        <w:t>При високи дози салицилати, хидрохлоротиазид може да усили токсичния ефект на салицилатите върху централната нервна система.</w:t>
      </w:r>
    </w:p>
    <w:p w14:paraId="6BD43E9E" w14:textId="77777777" w:rsidR="00695897" w:rsidRPr="00695897" w:rsidRDefault="00695897" w:rsidP="00695897">
      <w:pPr>
        <w:spacing w:line="240" w:lineRule="auto"/>
        <w:rPr>
          <w:rFonts w:eastAsia="Times New Roman" w:cs="Arial"/>
          <w:sz w:val="24"/>
          <w:szCs w:val="24"/>
        </w:rPr>
      </w:pPr>
      <w:r w:rsidRPr="00695897">
        <w:rPr>
          <w:rFonts w:eastAsia="Times New Roman" w:cs="Arial"/>
          <w:i/>
          <w:iCs/>
          <w:color w:val="000000"/>
          <w:lang w:eastAsia="bg-BG"/>
        </w:rPr>
        <w:t>Метилдопа:</w:t>
      </w:r>
    </w:p>
    <w:p w14:paraId="487311E2" w14:textId="77777777" w:rsidR="00695897" w:rsidRPr="00695897" w:rsidRDefault="00695897" w:rsidP="00695897">
      <w:pPr>
        <w:spacing w:line="240" w:lineRule="auto"/>
        <w:rPr>
          <w:rFonts w:eastAsia="Times New Roman" w:cs="Arial"/>
          <w:sz w:val="24"/>
          <w:szCs w:val="24"/>
        </w:rPr>
      </w:pPr>
      <w:r w:rsidRPr="00695897">
        <w:rPr>
          <w:rFonts w:eastAsia="Times New Roman" w:cs="Arial"/>
          <w:color w:val="000000"/>
          <w:lang w:eastAsia="bg-BG"/>
        </w:rPr>
        <w:t>Има отделни съобщения за хемолитична анемия, развила се при едновременно приложение на хидрохлоротиазид и метилдопа.</w:t>
      </w:r>
    </w:p>
    <w:p w14:paraId="42989A44" w14:textId="77777777" w:rsidR="00695897" w:rsidRPr="00695897" w:rsidRDefault="00695897" w:rsidP="00695897">
      <w:pPr>
        <w:spacing w:line="240" w:lineRule="auto"/>
        <w:rPr>
          <w:rFonts w:eastAsia="Times New Roman" w:cs="Arial"/>
          <w:i/>
          <w:iCs/>
          <w:color w:val="000000"/>
          <w:lang w:eastAsia="bg-BG"/>
        </w:rPr>
      </w:pPr>
    </w:p>
    <w:p w14:paraId="0181E6E5" w14:textId="669022EC" w:rsidR="00695897" w:rsidRPr="00695897" w:rsidRDefault="00695897" w:rsidP="00695897">
      <w:pPr>
        <w:spacing w:line="240" w:lineRule="auto"/>
        <w:rPr>
          <w:rFonts w:eastAsia="Times New Roman" w:cs="Arial"/>
          <w:sz w:val="24"/>
          <w:szCs w:val="24"/>
        </w:rPr>
      </w:pPr>
      <w:r w:rsidRPr="00695897">
        <w:rPr>
          <w:rFonts w:eastAsia="Times New Roman" w:cs="Arial"/>
          <w:i/>
          <w:iCs/>
          <w:color w:val="000000"/>
          <w:lang w:eastAsia="bg-BG"/>
        </w:rPr>
        <w:t>Циклоспорин:</w:t>
      </w:r>
    </w:p>
    <w:p w14:paraId="6F837FDC" w14:textId="77777777" w:rsidR="00695897" w:rsidRPr="00695897" w:rsidRDefault="00695897" w:rsidP="00695897">
      <w:pPr>
        <w:spacing w:line="240" w:lineRule="auto"/>
        <w:rPr>
          <w:rFonts w:eastAsia="Times New Roman" w:cs="Arial"/>
          <w:sz w:val="24"/>
          <w:szCs w:val="24"/>
        </w:rPr>
      </w:pPr>
      <w:r w:rsidRPr="00695897">
        <w:rPr>
          <w:rFonts w:eastAsia="Times New Roman" w:cs="Arial"/>
          <w:color w:val="000000"/>
          <w:lang w:eastAsia="bg-BG"/>
        </w:rPr>
        <w:t>Съпровождащо лечение с циклоспорин може да повиши риска от хиперурикемия и подобни на подагра усложнения.</w:t>
      </w:r>
    </w:p>
    <w:p w14:paraId="0D0DD424" w14:textId="77777777" w:rsidR="00695897" w:rsidRPr="00695897" w:rsidRDefault="00695897" w:rsidP="00695897">
      <w:pPr>
        <w:spacing w:line="240" w:lineRule="auto"/>
        <w:rPr>
          <w:rFonts w:eastAsia="Times New Roman" w:cs="Arial"/>
          <w:i/>
          <w:iCs/>
          <w:color w:val="000000"/>
          <w:lang w:eastAsia="bg-BG"/>
        </w:rPr>
      </w:pPr>
    </w:p>
    <w:p w14:paraId="22CCFC42" w14:textId="3997BBD6" w:rsidR="00695897" w:rsidRPr="00695897" w:rsidRDefault="00695897" w:rsidP="00695897">
      <w:pPr>
        <w:spacing w:line="240" w:lineRule="auto"/>
        <w:rPr>
          <w:rFonts w:eastAsia="Times New Roman" w:cs="Arial"/>
          <w:sz w:val="24"/>
          <w:szCs w:val="24"/>
        </w:rPr>
      </w:pPr>
      <w:r w:rsidRPr="00695897">
        <w:rPr>
          <w:rFonts w:eastAsia="Times New Roman" w:cs="Arial"/>
          <w:i/>
          <w:iCs/>
          <w:color w:val="000000"/>
          <w:lang w:eastAsia="bg-BG"/>
        </w:rPr>
        <w:t>Дигиталисови гликозиди:</w:t>
      </w:r>
    </w:p>
    <w:p w14:paraId="2CF62D32" w14:textId="77777777" w:rsidR="00695897" w:rsidRPr="00695897" w:rsidRDefault="00695897" w:rsidP="00695897">
      <w:pPr>
        <w:spacing w:line="240" w:lineRule="auto"/>
        <w:rPr>
          <w:rFonts w:eastAsia="Times New Roman" w:cs="Arial"/>
          <w:sz w:val="24"/>
          <w:szCs w:val="24"/>
        </w:rPr>
      </w:pPr>
      <w:r w:rsidRPr="00695897">
        <w:rPr>
          <w:rFonts w:eastAsia="Times New Roman" w:cs="Arial"/>
          <w:color w:val="000000"/>
          <w:lang w:eastAsia="bg-BG"/>
        </w:rPr>
        <w:t>Тиазид-индуцирана хипокалиемия или хипомагнезиемия могат да благоприятстват появата на дигиталис-индуцирани сърдечни аритмии</w:t>
      </w:r>
    </w:p>
    <w:p w14:paraId="16E71184" w14:textId="77777777" w:rsidR="00695897" w:rsidRPr="00695897" w:rsidRDefault="00695897" w:rsidP="00695897">
      <w:pPr>
        <w:spacing w:line="240" w:lineRule="auto"/>
        <w:rPr>
          <w:rFonts w:eastAsia="Times New Roman" w:cs="Arial"/>
          <w:i/>
          <w:iCs/>
          <w:color w:val="000000"/>
          <w:lang w:eastAsia="bg-BG"/>
        </w:rPr>
      </w:pPr>
    </w:p>
    <w:p w14:paraId="7B3099FF" w14:textId="285D1B25" w:rsidR="00695897" w:rsidRPr="00695897" w:rsidRDefault="00695897" w:rsidP="00695897">
      <w:pPr>
        <w:spacing w:line="240" w:lineRule="auto"/>
        <w:rPr>
          <w:rFonts w:eastAsia="Times New Roman" w:cs="Arial"/>
          <w:sz w:val="24"/>
          <w:szCs w:val="24"/>
        </w:rPr>
      </w:pPr>
      <w:r w:rsidRPr="00695897">
        <w:rPr>
          <w:rFonts w:eastAsia="Times New Roman" w:cs="Arial"/>
          <w:i/>
          <w:iCs/>
          <w:color w:val="000000"/>
          <w:lang w:eastAsia="bg-BG"/>
        </w:rPr>
        <w:t>Лекарствени продукти, повлиявани от смущения в серумния калий:</w:t>
      </w:r>
    </w:p>
    <w:p w14:paraId="1290CCBE" w14:textId="77777777" w:rsidR="00695897" w:rsidRPr="00695897" w:rsidRDefault="00695897" w:rsidP="00695897">
      <w:pPr>
        <w:spacing w:line="240" w:lineRule="auto"/>
        <w:rPr>
          <w:rFonts w:eastAsia="Times New Roman" w:cs="Arial"/>
          <w:sz w:val="24"/>
          <w:szCs w:val="24"/>
        </w:rPr>
      </w:pPr>
      <w:r w:rsidRPr="00695897">
        <w:rPr>
          <w:rFonts w:eastAsia="Times New Roman" w:cs="Arial"/>
          <w:color w:val="000000"/>
          <w:lang w:eastAsia="bg-BG"/>
        </w:rPr>
        <w:t xml:space="preserve">При приложение на лосартан/хидрохлоротиазид с лекарствени продукти, повлиявани от изменения в стойностите на серумния калий (напр. дигиталисови гликозиди и противоаритмични средства) и със следните </w:t>
      </w:r>
      <w:proofErr w:type="spellStart"/>
      <w:r w:rsidRPr="00695897">
        <w:rPr>
          <w:rFonts w:eastAsia="Times New Roman" w:cs="Arial"/>
          <w:color w:val="000000"/>
          <w:lang w:val="en-US"/>
        </w:rPr>
        <w:t>torsades</w:t>
      </w:r>
      <w:proofErr w:type="spellEnd"/>
      <w:r w:rsidRPr="00695897">
        <w:rPr>
          <w:rFonts w:eastAsia="Times New Roman" w:cs="Arial"/>
          <w:color w:val="000000"/>
          <w:lang w:val="ru-RU"/>
        </w:rPr>
        <w:t xml:space="preserve"> </w:t>
      </w:r>
      <w:r w:rsidRPr="00695897">
        <w:rPr>
          <w:rFonts w:eastAsia="Times New Roman" w:cs="Arial"/>
          <w:color w:val="000000"/>
          <w:lang w:val="en-US"/>
        </w:rPr>
        <w:t>de</w:t>
      </w:r>
      <w:r w:rsidRPr="00695897">
        <w:rPr>
          <w:rFonts w:eastAsia="Times New Roman" w:cs="Arial"/>
          <w:color w:val="000000"/>
          <w:lang w:val="ru-RU"/>
        </w:rPr>
        <w:t xml:space="preserve"> </w:t>
      </w:r>
      <w:r w:rsidRPr="00695897">
        <w:rPr>
          <w:rFonts w:eastAsia="Times New Roman" w:cs="Arial"/>
          <w:color w:val="000000"/>
          <w:lang w:val="en-US"/>
        </w:rPr>
        <w:t>pointes</w:t>
      </w:r>
      <w:r w:rsidRPr="00695897">
        <w:rPr>
          <w:rFonts w:eastAsia="Times New Roman" w:cs="Arial"/>
          <w:color w:val="000000"/>
          <w:lang w:val="ru-RU"/>
        </w:rPr>
        <w:t xml:space="preserve"> </w:t>
      </w:r>
      <w:r w:rsidRPr="00695897">
        <w:rPr>
          <w:rFonts w:eastAsia="Times New Roman" w:cs="Arial"/>
          <w:color w:val="000000"/>
          <w:lang w:eastAsia="bg-BG"/>
        </w:rPr>
        <w:t xml:space="preserve">(камерна тахикардия) - индуциращи лекарствени продукти (включително някои противоаритмични), се препоръчва периодично мониториране на серумния калий и ЕКГ, тъй като хипокалиемията е фактор предразполагащ към </w:t>
      </w:r>
      <w:proofErr w:type="spellStart"/>
      <w:r w:rsidRPr="00695897">
        <w:rPr>
          <w:rFonts w:eastAsia="Times New Roman" w:cs="Arial"/>
          <w:color w:val="000000"/>
          <w:lang w:val="en-US"/>
        </w:rPr>
        <w:t>torsades</w:t>
      </w:r>
      <w:proofErr w:type="spellEnd"/>
      <w:r w:rsidRPr="00695897">
        <w:rPr>
          <w:rFonts w:eastAsia="Times New Roman" w:cs="Arial"/>
          <w:color w:val="000000"/>
          <w:lang w:val="ru-RU"/>
        </w:rPr>
        <w:t xml:space="preserve"> </w:t>
      </w:r>
      <w:r w:rsidRPr="00695897">
        <w:rPr>
          <w:rFonts w:eastAsia="Times New Roman" w:cs="Arial"/>
          <w:color w:val="000000"/>
          <w:lang w:val="en-US"/>
        </w:rPr>
        <w:t>de</w:t>
      </w:r>
      <w:r w:rsidRPr="00695897">
        <w:rPr>
          <w:rFonts w:eastAsia="Times New Roman" w:cs="Arial"/>
          <w:color w:val="000000"/>
          <w:lang w:val="ru-RU"/>
        </w:rPr>
        <w:t xml:space="preserve"> </w:t>
      </w:r>
      <w:r w:rsidRPr="00695897">
        <w:rPr>
          <w:rFonts w:eastAsia="Times New Roman" w:cs="Arial"/>
          <w:color w:val="000000"/>
          <w:lang w:val="en-US"/>
        </w:rPr>
        <w:t>pointes</w:t>
      </w:r>
      <w:r w:rsidRPr="00695897">
        <w:rPr>
          <w:rFonts w:eastAsia="Times New Roman" w:cs="Arial"/>
          <w:color w:val="000000"/>
          <w:lang w:val="ru-RU"/>
        </w:rPr>
        <w:t xml:space="preserve"> </w:t>
      </w:r>
      <w:r w:rsidRPr="00695897">
        <w:rPr>
          <w:rFonts w:eastAsia="Times New Roman" w:cs="Arial"/>
          <w:color w:val="000000"/>
          <w:lang w:eastAsia="bg-BG"/>
        </w:rPr>
        <w:t>(камерна тахикардия):</w:t>
      </w:r>
    </w:p>
    <w:p w14:paraId="7293BA40" w14:textId="77777777" w:rsidR="00695897" w:rsidRPr="00695897" w:rsidRDefault="00695897" w:rsidP="00695897">
      <w:pPr>
        <w:spacing w:line="240" w:lineRule="auto"/>
        <w:rPr>
          <w:rFonts w:eastAsia="Times New Roman" w:cs="Arial"/>
          <w:color w:val="000000"/>
          <w:lang w:eastAsia="bg-BG"/>
        </w:rPr>
      </w:pPr>
    </w:p>
    <w:p w14:paraId="580B474D" w14:textId="52EE2D7F" w:rsidR="00695897" w:rsidRPr="00695897" w:rsidRDefault="00695897" w:rsidP="00695897">
      <w:pPr>
        <w:pStyle w:val="ListParagraph"/>
        <w:numPr>
          <w:ilvl w:val="0"/>
          <w:numId w:val="32"/>
        </w:numPr>
        <w:spacing w:line="240" w:lineRule="auto"/>
        <w:rPr>
          <w:rFonts w:eastAsia="Times New Roman" w:cs="Arial"/>
          <w:sz w:val="24"/>
          <w:szCs w:val="24"/>
        </w:rPr>
      </w:pPr>
      <w:r w:rsidRPr="00695897">
        <w:rPr>
          <w:rFonts w:eastAsia="Times New Roman" w:cs="Arial"/>
          <w:color w:val="000000"/>
          <w:lang w:eastAsia="bg-BG"/>
        </w:rPr>
        <w:t xml:space="preserve">Клас </w:t>
      </w:r>
      <w:r w:rsidRPr="00695897">
        <w:rPr>
          <w:rFonts w:eastAsia="Times New Roman" w:cs="Arial"/>
          <w:color w:val="000000"/>
          <w:lang w:val="en-US"/>
        </w:rPr>
        <w:t>I</w:t>
      </w:r>
      <w:r w:rsidRPr="00695897">
        <w:rPr>
          <w:rFonts w:eastAsia="Times New Roman" w:cs="Arial"/>
          <w:color w:val="000000"/>
          <w:lang w:eastAsia="bg-BG"/>
        </w:rPr>
        <w:t>а противоаритмични (напр. хинидин, хидрохинидин, дизопирамид).</w:t>
      </w:r>
    </w:p>
    <w:p w14:paraId="2E48A5BD" w14:textId="77777777" w:rsidR="00695897" w:rsidRPr="00695897" w:rsidRDefault="00695897" w:rsidP="00695897">
      <w:pPr>
        <w:pStyle w:val="ListParagraph"/>
        <w:numPr>
          <w:ilvl w:val="0"/>
          <w:numId w:val="32"/>
        </w:numPr>
        <w:spacing w:line="240" w:lineRule="auto"/>
        <w:rPr>
          <w:rFonts w:eastAsia="Times New Roman" w:cs="Arial"/>
          <w:sz w:val="24"/>
          <w:szCs w:val="24"/>
        </w:rPr>
      </w:pPr>
      <w:r w:rsidRPr="00695897">
        <w:rPr>
          <w:rFonts w:eastAsia="Times New Roman" w:cs="Arial"/>
          <w:color w:val="000000"/>
          <w:lang w:eastAsia="bg-BG"/>
        </w:rPr>
        <w:t>Клас III противоаритмични (напр. амиодарон,</w:t>
      </w:r>
      <w:r>
        <w:rPr>
          <w:rFonts w:eastAsia="Times New Roman" w:cs="Arial"/>
          <w:color w:val="000000"/>
          <w:lang w:eastAsia="bg-BG"/>
        </w:rPr>
        <w:t xml:space="preserve"> соталол, дофетилид, ибутилид).</w:t>
      </w:r>
    </w:p>
    <w:p w14:paraId="0F15CCCD" w14:textId="77777777" w:rsidR="00695897" w:rsidRPr="00695897" w:rsidRDefault="00695897" w:rsidP="00695897">
      <w:pPr>
        <w:pStyle w:val="ListParagraph"/>
        <w:numPr>
          <w:ilvl w:val="0"/>
          <w:numId w:val="32"/>
        </w:numPr>
        <w:spacing w:line="240" w:lineRule="auto"/>
        <w:rPr>
          <w:rFonts w:eastAsia="Times New Roman" w:cs="Arial"/>
          <w:sz w:val="24"/>
          <w:szCs w:val="24"/>
        </w:rPr>
      </w:pPr>
      <w:r w:rsidRPr="00695897">
        <w:rPr>
          <w:rFonts w:eastAsia="Times New Roman" w:cs="Arial"/>
          <w:color w:val="000000"/>
          <w:lang w:eastAsia="bg-BG"/>
        </w:rPr>
        <w:t>Някои антипсихотични (напр. тиоридазин, хлорпромазин, левомепромазин, трифлуоперазин, циамемазин, сулпирид, султоприд, амисулприд, тиаприд, пимозид халоперидол, дроперцдол).</w:t>
      </w:r>
    </w:p>
    <w:p w14:paraId="7E505B1F" w14:textId="54DF2185" w:rsidR="00695897" w:rsidRPr="00695897" w:rsidRDefault="00695897" w:rsidP="00695897">
      <w:pPr>
        <w:pStyle w:val="ListParagraph"/>
        <w:numPr>
          <w:ilvl w:val="0"/>
          <w:numId w:val="32"/>
        </w:numPr>
        <w:spacing w:line="240" w:lineRule="auto"/>
        <w:rPr>
          <w:rFonts w:eastAsia="Times New Roman" w:cs="Arial"/>
          <w:sz w:val="24"/>
          <w:szCs w:val="24"/>
        </w:rPr>
      </w:pPr>
      <w:r w:rsidRPr="00695897">
        <w:rPr>
          <w:rFonts w:eastAsia="Times New Roman" w:cs="Arial"/>
          <w:color w:val="000000"/>
          <w:lang w:eastAsia="bg-BG"/>
        </w:rPr>
        <w:t xml:space="preserve">Други (напр. бепридил, цисаприд, дифеманил, еритромицин </w:t>
      </w:r>
      <w:proofErr w:type="spellStart"/>
      <w:r w:rsidRPr="00695897">
        <w:rPr>
          <w:rFonts w:eastAsia="Times New Roman" w:cs="Arial"/>
          <w:color w:val="000000"/>
          <w:lang w:val="en-US"/>
        </w:rPr>
        <w:t>i</w:t>
      </w:r>
      <w:proofErr w:type="spellEnd"/>
      <w:r w:rsidRPr="00695897">
        <w:rPr>
          <w:rFonts w:eastAsia="Times New Roman" w:cs="Arial"/>
          <w:color w:val="000000"/>
          <w:lang w:val="ru-RU"/>
        </w:rPr>
        <w:t>.</w:t>
      </w:r>
      <w:r w:rsidRPr="00695897">
        <w:rPr>
          <w:rFonts w:eastAsia="Times New Roman" w:cs="Arial"/>
          <w:color w:val="000000"/>
          <w:lang w:val="en-US"/>
        </w:rPr>
        <w:t>v</w:t>
      </w:r>
      <w:r w:rsidRPr="00695897">
        <w:rPr>
          <w:rFonts w:eastAsia="Times New Roman" w:cs="Arial"/>
          <w:color w:val="000000"/>
          <w:lang w:val="ru-RU"/>
        </w:rPr>
        <w:t xml:space="preserve">., </w:t>
      </w:r>
      <w:r w:rsidRPr="00695897">
        <w:rPr>
          <w:rFonts w:eastAsia="Times New Roman" w:cs="Arial"/>
          <w:color w:val="000000"/>
          <w:lang w:eastAsia="bg-BG"/>
        </w:rPr>
        <w:t xml:space="preserve">халофантрин, мизоластин, пентамидин, терфанадин, винкамин </w:t>
      </w:r>
      <w:proofErr w:type="spellStart"/>
      <w:r w:rsidRPr="00695897">
        <w:rPr>
          <w:rFonts w:eastAsia="Times New Roman" w:cs="Arial"/>
          <w:color w:val="000000"/>
          <w:lang w:val="en-US"/>
        </w:rPr>
        <w:t>i</w:t>
      </w:r>
      <w:proofErr w:type="spellEnd"/>
      <w:r w:rsidRPr="00695897">
        <w:rPr>
          <w:rFonts w:eastAsia="Times New Roman" w:cs="Arial"/>
          <w:color w:val="000000"/>
          <w:lang w:val="ru-RU"/>
        </w:rPr>
        <w:t>.</w:t>
      </w:r>
      <w:r w:rsidRPr="00695897">
        <w:rPr>
          <w:rFonts w:eastAsia="Times New Roman" w:cs="Arial"/>
          <w:color w:val="000000"/>
          <w:lang w:val="en-US"/>
        </w:rPr>
        <w:t>v</w:t>
      </w:r>
      <w:r w:rsidRPr="00695897">
        <w:rPr>
          <w:rFonts w:eastAsia="Times New Roman" w:cs="Arial"/>
          <w:color w:val="000000"/>
          <w:lang w:val="ru-RU"/>
        </w:rPr>
        <w:t>.)</w:t>
      </w:r>
    </w:p>
    <w:p w14:paraId="690BFA38" w14:textId="77777777" w:rsidR="00695897" w:rsidRPr="00695897" w:rsidRDefault="00695897" w:rsidP="00695897">
      <w:pPr>
        <w:spacing w:line="240" w:lineRule="auto"/>
        <w:rPr>
          <w:rFonts w:eastAsia="Times New Roman" w:cs="Arial"/>
          <w:i/>
          <w:iCs/>
          <w:color w:val="000000"/>
          <w:lang w:eastAsia="bg-BG"/>
        </w:rPr>
      </w:pPr>
    </w:p>
    <w:p w14:paraId="6BC4A2DB" w14:textId="69A7E513" w:rsidR="00695897" w:rsidRPr="00695897" w:rsidRDefault="00695897" w:rsidP="00695897">
      <w:pPr>
        <w:spacing w:line="240" w:lineRule="auto"/>
        <w:rPr>
          <w:rFonts w:eastAsia="Times New Roman" w:cs="Arial"/>
          <w:sz w:val="24"/>
          <w:szCs w:val="24"/>
        </w:rPr>
      </w:pPr>
      <w:r w:rsidRPr="00695897">
        <w:rPr>
          <w:rFonts w:eastAsia="Times New Roman" w:cs="Arial"/>
          <w:i/>
          <w:iCs/>
          <w:color w:val="000000"/>
          <w:lang w:eastAsia="bg-BG"/>
        </w:rPr>
        <w:t>Калциеви соли:</w:t>
      </w:r>
    </w:p>
    <w:p w14:paraId="08942106" w14:textId="77777777" w:rsidR="00695897" w:rsidRPr="00695897" w:rsidRDefault="00695897" w:rsidP="00695897">
      <w:pPr>
        <w:rPr>
          <w:rFonts w:eastAsia="Times New Roman" w:cs="Arial"/>
          <w:sz w:val="24"/>
          <w:szCs w:val="24"/>
        </w:rPr>
      </w:pPr>
      <w:r w:rsidRPr="00695897">
        <w:rPr>
          <w:rFonts w:eastAsia="Times New Roman" w:cs="Arial"/>
          <w:color w:val="000000"/>
          <w:lang w:eastAsia="bg-BG"/>
        </w:rPr>
        <w:t>Тиазидните диуретици могат да повишат нивата на калциевите соли, поради понижена</w:t>
      </w:r>
      <w:r>
        <w:rPr>
          <w:rFonts w:eastAsia="Times New Roman" w:cs="Arial"/>
          <w:color w:val="000000"/>
          <w:lang w:eastAsia="bg-BG"/>
        </w:rPr>
        <w:t xml:space="preserve"> </w:t>
      </w:r>
      <w:r w:rsidRPr="00695897">
        <w:rPr>
          <w:rFonts w:eastAsia="Times New Roman" w:cs="Arial"/>
          <w:color w:val="000000"/>
          <w:lang w:eastAsia="bg-BG"/>
        </w:rPr>
        <w:t>екскреция. Ако трябва да се предпишат калциеви добавки, следва да се контролират нивата на серумния калций и дозата на калций съответно да се коригира.</w:t>
      </w:r>
    </w:p>
    <w:p w14:paraId="42168ACC" w14:textId="77777777" w:rsidR="00695897" w:rsidRPr="00695897" w:rsidRDefault="00695897" w:rsidP="00695897">
      <w:pPr>
        <w:spacing w:line="240" w:lineRule="auto"/>
        <w:rPr>
          <w:rFonts w:eastAsia="Times New Roman" w:cs="Arial"/>
          <w:i/>
          <w:iCs/>
          <w:color w:val="000000"/>
          <w:lang w:eastAsia="bg-BG"/>
        </w:rPr>
      </w:pPr>
    </w:p>
    <w:p w14:paraId="35C3989B" w14:textId="754062AD" w:rsidR="00695897" w:rsidRPr="00695897" w:rsidRDefault="00695897" w:rsidP="00695897">
      <w:pPr>
        <w:spacing w:line="240" w:lineRule="auto"/>
        <w:rPr>
          <w:rFonts w:eastAsia="Times New Roman" w:cs="Arial"/>
          <w:sz w:val="24"/>
          <w:szCs w:val="24"/>
        </w:rPr>
      </w:pPr>
      <w:r w:rsidRPr="00695897">
        <w:rPr>
          <w:rFonts w:eastAsia="Times New Roman" w:cs="Arial"/>
          <w:i/>
          <w:iCs/>
          <w:color w:val="000000"/>
          <w:lang w:eastAsia="bg-BG"/>
        </w:rPr>
        <w:t>Повлияване на лабораторните/лекарствените изследвания:</w:t>
      </w:r>
    </w:p>
    <w:p w14:paraId="2BC23958" w14:textId="77777777" w:rsidR="00695897" w:rsidRPr="00695897" w:rsidRDefault="00695897" w:rsidP="00695897">
      <w:pPr>
        <w:spacing w:line="240" w:lineRule="auto"/>
        <w:rPr>
          <w:rFonts w:eastAsia="Times New Roman" w:cs="Arial"/>
          <w:sz w:val="24"/>
          <w:szCs w:val="24"/>
        </w:rPr>
      </w:pPr>
      <w:r w:rsidRPr="00695897">
        <w:rPr>
          <w:rFonts w:eastAsia="Times New Roman" w:cs="Arial"/>
          <w:color w:val="000000"/>
          <w:lang w:eastAsia="bg-BG"/>
        </w:rPr>
        <w:t>Поради ефекта, който имат върху калциевия метаболизъм, тиазидите могат да повлияят функционалните тестове на паратироидната жлеза (вж. точка 4.4).</w:t>
      </w:r>
    </w:p>
    <w:p w14:paraId="21773531" w14:textId="77777777" w:rsidR="00695897" w:rsidRPr="00695897" w:rsidRDefault="00695897" w:rsidP="00695897">
      <w:pPr>
        <w:spacing w:line="240" w:lineRule="auto"/>
        <w:rPr>
          <w:rFonts w:eastAsia="Times New Roman" w:cs="Arial"/>
          <w:i/>
          <w:iCs/>
          <w:color w:val="000000"/>
          <w:lang w:eastAsia="bg-BG"/>
        </w:rPr>
      </w:pPr>
    </w:p>
    <w:p w14:paraId="551E9FF0" w14:textId="23B63E0D" w:rsidR="00695897" w:rsidRPr="00695897" w:rsidRDefault="00695897" w:rsidP="00695897">
      <w:pPr>
        <w:spacing w:line="240" w:lineRule="auto"/>
        <w:rPr>
          <w:rFonts w:eastAsia="Times New Roman" w:cs="Arial"/>
          <w:sz w:val="24"/>
          <w:szCs w:val="24"/>
        </w:rPr>
      </w:pPr>
      <w:r w:rsidRPr="00695897">
        <w:rPr>
          <w:rFonts w:eastAsia="Times New Roman" w:cs="Arial"/>
          <w:i/>
          <w:iCs/>
          <w:color w:val="000000"/>
          <w:lang w:eastAsia="bg-BG"/>
        </w:rPr>
        <w:t>Карбамазепин:</w:t>
      </w:r>
    </w:p>
    <w:p w14:paraId="12EA9228" w14:textId="77777777" w:rsidR="00695897" w:rsidRPr="00695897" w:rsidRDefault="00695897" w:rsidP="00695897">
      <w:pPr>
        <w:spacing w:line="240" w:lineRule="auto"/>
        <w:rPr>
          <w:rFonts w:eastAsia="Times New Roman" w:cs="Arial"/>
          <w:sz w:val="24"/>
          <w:szCs w:val="24"/>
        </w:rPr>
      </w:pPr>
      <w:r w:rsidRPr="00695897">
        <w:rPr>
          <w:rFonts w:eastAsia="Times New Roman" w:cs="Arial"/>
          <w:color w:val="000000"/>
          <w:lang w:eastAsia="bg-BG"/>
        </w:rPr>
        <w:t>Риск от симптоматична хипонатриемия. Необходимо е клинично и биологично проследяване.</w:t>
      </w:r>
    </w:p>
    <w:p w14:paraId="75644BA0" w14:textId="77777777" w:rsidR="00695897" w:rsidRPr="00695897" w:rsidRDefault="00695897" w:rsidP="00695897">
      <w:pPr>
        <w:spacing w:line="240" w:lineRule="auto"/>
        <w:rPr>
          <w:rFonts w:eastAsia="Times New Roman" w:cs="Arial"/>
          <w:i/>
          <w:iCs/>
          <w:color w:val="000000"/>
          <w:lang w:eastAsia="bg-BG"/>
        </w:rPr>
      </w:pPr>
    </w:p>
    <w:p w14:paraId="4BF5C573" w14:textId="13A328E3" w:rsidR="00695897" w:rsidRPr="00695897" w:rsidRDefault="00695897" w:rsidP="00695897">
      <w:pPr>
        <w:spacing w:line="240" w:lineRule="auto"/>
        <w:rPr>
          <w:rFonts w:eastAsia="Times New Roman" w:cs="Arial"/>
          <w:sz w:val="24"/>
          <w:szCs w:val="24"/>
        </w:rPr>
      </w:pPr>
      <w:r w:rsidRPr="00695897">
        <w:rPr>
          <w:rFonts w:eastAsia="Times New Roman" w:cs="Arial"/>
          <w:i/>
          <w:iCs/>
          <w:color w:val="000000"/>
          <w:lang w:eastAsia="bg-BG"/>
        </w:rPr>
        <w:t>Йодно-контрастни вещества:</w:t>
      </w:r>
    </w:p>
    <w:p w14:paraId="2EA49A1B" w14:textId="77777777" w:rsidR="00695897" w:rsidRPr="00695897" w:rsidRDefault="00695897" w:rsidP="00695897">
      <w:pPr>
        <w:spacing w:line="240" w:lineRule="auto"/>
        <w:rPr>
          <w:rFonts w:eastAsia="Times New Roman" w:cs="Arial"/>
          <w:sz w:val="24"/>
          <w:szCs w:val="24"/>
        </w:rPr>
      </w:pPr>
      <w:r w:rsidRPr="00695897">
        <w:rPr>
          <w:rFonts w:eastAsia="Times New Roman" w:cs="Arial"/>
          <w:color w:val="000000"/>
          <w:lang w:eastAsia="bg-BG"/>
        </w:rPr>
        <w:t>В случай на диуретик-индуцирана дехидратация, има повишен риск от остра бъбречна недостатъчност, особено с високи дози на йодни продукти. Пациентите трябва да бъдат рехидратирани преди приема.</w:t>
      </w:r>
    </w:p>
    <w:p w14:paraId="77019AF9" w14:textId="77777777" w:rsidR="00695897" w:rsidRPr="00695897" w:rsidRDefault="00695897" w:rsidP="00695897">
      <w:pPr>
        <w:spacing w:line="240" w:lineRule="auto"/>
        <w:rPr>
          <w:rFonts w:eastAsia="Times New Roman" w:cs="Arial"/>
          <w:i/>
          <w:iCs/>
          <w:color w:val="000000"/>
          <w:lang w:eastAsia="bg-BG"/>
        </w:rPr>
      </w:pPr>
    </w:p>
    <w:p w14:paraId="71A8894B" w14:textId="7A10F12F" w:rsidR="00695897" w:rsidRPr="00695897" w:rsidRDefault="00695897" w:rsidP="00695897">
      <w:pPr>
        <w:spacing w:line="240" w:lineRule="auto"/>
        <w:rPr>
          <w:rFonts w:eastAsia="Times New Roman" w:cs="Arial"/>
          <w:sz w:val="24"/>
          <w:szCs w:val="24"/>
        </w:rPr>
      </w:pPr>
      <w:r w:rsidRPr="00695897">
        <w:rPr>
          <w:rFonts w:eastAsia="Times New Roman" w:cs="Arial"/>
          <w:i/>
          <w:iCs/>
          <w:color w:val="000000"/>
          <w:lang w:eastAsia="bg-BG"/>
        </w:rPr>
        <w:t xml:space="preserve">Амфотерицин В (парентерален), кортикостероиди, АСТН, лаксативи или глициризин (вещество, което се изолира от сладка папрат): </w:t>
      </w:r>
      <w:r w:rsidRPr="00695897">
        <w:rPr>
          <w:rFonts w:eastAsia="Times New Roman" w:cs="Arial"/>
          <w:color w:val="000000"/>
          <w:lang w:eastAsia="bg-BG"/>
        </w:rPr>
        <w:t>Хидрохлоротиазид може да засили електролитния дисбаланс, особено хипокалиемията.</w:t>
      </w:r>
    </w:p>
    <w:p w14:paraId="334560F9" w14:textId="77777777" w:rsidR="00695897" w:rsidRPr="00695897" w:rsidRDefault="00695897" w:rsidP="00695897">
      <w:pPr>
        <w:rPr>
          <w:rFonts w:cs="Arial"/>
        </w:rPr>
      </w:pPr>
    </w:p>
    <w:p w14:paraId="6EADE4D6" w14:textId="59D470BB" w:rsidR="00395555" w:rsidRDefault="002C50EE" w:rsidP="008A6AF2">
      <w:pPr>
        <w:pStyle w:val="Heading2"/>
      </w:pPr>
      <w:r>
        <w:t>4.6. Фертилитет, бременност и кърмене</w:t>
      </w:r>
    </w:p>
    <w:p w14:paraId="45F59325" w14:textId="791ACAC7" w:rsidR="00695897" w:rsidRDefault="00695897" w:rsidP="00695897"/>
    <w:p w14:paraId="5D8D61E2" w14:textId="77777777" w:rsidR="00695897" w:rsidRPr="00695897" w:rsidRDefault="00695897" w:rsidP="00695897">
      <w:pPr>
        <w:pStyle w:val="Heading3"/>
        <w:rPr>
          <w:rFonts w:eastAsia="Times New Roman"/>
          <w:i/>
        </w:rPr>
      </w:pPr>
      <w:r w:rsidRPr="00695897">
        <w:rPr>
          <w:rFonts w:eastAsia="Times New Roman"/>
          <w:i/>
          <w:lang w:eastAsia="bg-BG"/>
        </w:rPr>
        <w:t>Бременност:</w:t>
      </w:r>
    </w:p>
    <w:p w14:paraId="13F106DA" w14:textId="77777777" w:rsidR="00695897" w:rsidRPr="00695897" w:rsidRDefault="00695897" w:rsidP="00695897">
      <w:pPr>
        <w:spacing w:line="240" w:lineRule="auto"/>
        <w:rPr>
          <w:rFonts w:eastAsia="Times New Roman" w:cs="Arial"/>
          <w:sz w:val="24"/>
          <w:szCs w:val="24"/>
        </w:rPr>
      </w:pPr>
      <w:r w:rsidRPr="00695897">
        <w:rPr>
          <w:rFonts w:eastAsia="Times New Roman" w:cs="Arial"/>
          <w:i/>
          <w:iCs/>
          <w:color w:val="000000"/>
          <w:lang w:eastAsia="bg-BG"/>
        </w:rPr>
        <w:t>Ангиотензин IIрецепторни антагонисти (АПРБ):</w:t>
      </w:r>
    </w:p>
    <w:p w14:paraId="20A09451" w14:textId="77777777" w:rsidR="00695897" w:rsidRPr="00695897" w:rsidRDefault="00695897" w:rsidP="00695897">
      <w:pPr>
        <w:spacing w:line="240" w:lineRule="auto"/>
        <w:rPr>
          <w:rFonts w:eastAsia="Times New Roman" w:cs="Arial"/>
          <w:sz w:val="24"/>
          <w:szCs w:val="24"/>
        </w:rPr>
      </w:pPr>
      <w:r w:rsidRPr="00695897">
        <w:rPr>
          <w:rFonts w:eastAsia="Times New Roman" w:cs="Arial"/>
          <w:color w:val="000000"/>
          <w:lang w:eastAsia="bg-BG"/>
        </w:rPr>
        <w:t>Употребата на АПРБ не се препоръчва по време на първия триместьр на бременността (вж. точка 4.4). Употребата на А</w:t>
      </w:r>
      <w:r w:rsidRPr="00695897">
        <w:rPr>
          <w:rFonts w:eastAsia="Times New Roman" w:cs="Arial"/>
          <w:color w:val="000000"/>
          <w:lang w:val="en-US"/>
        </w:rPr>
        <w:t>II</w:t>
      </w:r>
      <w:r w:rsidRPr="00695897">
        <w:rPr>
          <w:rFonts w:eastAsia="Times New Roman" w:cs="Arial"/>
          <w:color w:val="000000"/>
          <w:lang w:eastAsia="bg-BG"/>
        </w:rPr>
        <w:t>РБ е противопоказана по време на втория и третия триместьр на бременността (вж. точки 4.3 и 4.4).</w:t>
      </w:r>
    </w:p>
    <w:p w14:paraId="12065CE6" w14:textId="77777777" w:rsidR="00695897" w:rsidRPr="00695897" w:rsidRDefault="00695897" w:rsidP="00695897">
      <w:pPr>
        <w:spacing w:line="240" w:lineRule="auto"/>
        <w:rPr>
          <w:rFonts w:eastAsia="Times New Roman" w:cs="Arial"/>
          <w:color w:val="000000"/>
          <w:lang w:eastAsia="bg-BG"/>
        </w:rPr>
      </w:pPr>
    </w:p>
    <w:p w14:paraId="4B66A6F7" w14:textId="5A83EC20" w:rsidR="00695897" w:rsidRPr="00695897" w:rsidRDefault="00695897" w:rsidP="00695897">
      <w:pPr>
        <w:spacing w:line="240" w:lineRule="auto"/>
        <w:rPr>
          <w:rFonts w:eastAsia="Times New Roman" w:cs="Arial"/>
          <w:sz w:val="24"/>
          <w:szCs w:val="24"/>
        </w:rPr>
      </w:pPr>
      <w:r w:rsidRPr="00695897">
        <w:rPr>
          <w:rFonts w:eastAsia="Times New Roman" w:cs="Arial"/>
          <w:color w:val="000000"/>
          <w:lang w:eastAsia="bg-BG"/>
        </w:rPr>
        <w:t xml:space="preserve">Епидемиологичните данни относно риска от тератогенност след експозиция на АСЕ- инхибитори по време на първия триместьр на бременността не са убедителни, но леко повишение на риска, обаче не може да се изключи. Макар че няма контролирани епидемиологични данни за риска при ангиотензин </w:t>
      </w:r>
      <w:r w:rsidRPr="00695897">
        <w:rPr>
          <w:rFonts w:eastAsia="Times New Roman" w:cs="Arial"/>
          <w:color w:val="000000"/>
          <w:lang w:val="en-US"/>
        </w:rPr>
        <w:t>II</w:t>
      </w:r>
      <w:r w:rsidRPr="00695897">
        <w:rPr>
          <w:rFonts w:eastAsia="Times New Roman" w:cs="Arial"/>
          <w:color w:val="000000"/>
          <w:lang w:val="ru-RU"/>
        </w:rPr>
        <w:t xml:space="preserve"> </w:t>
      </w:r>
      <w:r w:rsidRPr="00695897">
        <w:rPr>
          <w:rFonts w:eastAsia="Times New Roman" w:cs="Arial"/>
          <w:color w:val="000000"/>
          <w:lang w:eastAsia="bg-BG"/>
        </w:rPr>
        <w:t xml:space="preserve">рецепторни инхибитори (АПРБ), подобен риск може да съществува и за този клас лекарства. Освен в случай, че терапията се счита за крайно необходима, пациентките, планиращи бременност трябва да преминат на алтернативно антихипертензивно лечение, което има установен профил на безопасност за употреба по време на бременност. Когато се диагностицира бременност, лечението с </w:t>
      </w:r>
      <w:r w:rsidRPr="00695897">
        <w:rPr>
          <w:rFonts w:eastAsia="Times New Roman" w:cs="Arial"/>
          <w:color w:val="000000"/>
          <w:lang w:val="en-US"/>
        </w:rPr>
        <w:t>AIIRAs</w:t>
      </w:r>
      <w:r w:rsidRPr="00695897">
        <w:rPr>
          <w:rFonts w:eastAsia="Times New Roman" w:cs="Arial"/>
          <w:color w:val="000000"/>
          <w:lang w:val="ru-RU"/>
        </w:rPr>
        <w:t xml:space="preserve"> </w:t>
      </w:r>
      <w:r w:rsidRPr="00695897">
        <w:rPr>
          <w:rFonts w:eastAsia="Times New Roman" w:cs="Arial"/>
          <w:color w:val="000000"/>
          <w:lang w:eastAsia="bg-BG"/>
        </w:rPr>
        <w:t xml:space="preserve">трябва да бъде преустановено незабавно и, ако е необходимо трябва да се започне алтернативна терапия. Известно е, че експозиция с АПРБ през втория и третия триместьр индуцира фетотоксичност при хора (намалена </w:t>
      </w:r>
      <w:r w:rsidRPr="00695897">
        <w:rPr>
          <w:rFonts w:eastAsia="Times New Roman" w:cs="Arial"/>
          <w:color w:val="000000"/>
          <w:lang w:eastAsia="bg-BG"/>
        </w:rPr>
        <w:lastRenderedPageBreak/>
        <w:t xml:space="preserve">бъбречна функция, олигохидрамнион, забавена осификация на черепа) и неонатална токсичност (бъбречна недостатъчност, хипотония, хиперкалиемия). (Вижте точка </w:t>
      </w:r>
      <w:r w:rsidRPr="00695897">
        <w:rPr>
          <w:rFonts w:eastAsia="Times New Roman" w:cs="Arial"/>
          <w:color w:val="000000"/>
          <w:lang w:val="ru-RU"/>
        </w:rPr>
        <w:t>5.3.).</w:t>
      </w:r>
    </w:p>
    <w:p w14:paraId="3C202CC5" w14:textId="77777777" w:rsidR="00695897" w:rsidRPr="00695897" w:rsidRDefault="00695897" w:rsidP="00695897">
      <w:pPr>
        <w:spacing w:line="240" w:lineRule="auto"/>
        <w:rPr>
          <w:rFonts w:eastAsia="Times New Roman" w:cs="Arial"/>
          <w:sz w:val="24"/>
          <w:szCs w:val="24"/>
        </w:rPr>
      </w:pPr>
      <w:r w:rsidRPr="00695897">
        <w:rPr>
          <w:rFonts w:eastAsia="Times New Roman" w:cs="Arial"/>
          <w:color w:val="000000"/>
          <w:lang w:eastAsia="bg-BG"/>
        </w:rPr>
        <w:t>Ако експозицията на АПРБ е настъпила през втория триместьр на бременността, се препоръчва ултразвуково изследване на бъбречната функция и черепа.</w:t>
      </w:r>
    </w:p>
    <w:p w14:paraId="39624FA4" w14:textId="77777777" w:rsidR="00695897" w:rsidRPr="00695897" w:rsidRDefault="00695897" w:rsidP="00695897">
      <w:pPr>
        <w:spacing w:line="240" w:lineRule="auto"/>
        <w:rPr>
          <w:rFonts w:eastAsia="Times New Roman" w:cs="Arial"/>
          <w:sz w:val="24"/>
          <w:szCs w:val="24"/>
        </w:rPr>
      </w:pPr>
      <w:r w:rsidRPr="00695897">
        <w:rPr>
          <w:rFonts w:eastAsia="Times New Roman" w:cs="Arial"/>
          <w:color w:val="000000"/>
          <w:lang w:eastAsia="bg-BG"/>
        </w:rPr>
        <w:t>Новородени, чиито майки са приемали АПРБ трябва да бъдат внимателно наблюдавани за хипотония (вж. точки 4.3 и 4.4).</w:t>
      </w:r>
    </w:p>
    <w:p w14:paraId="76CDB2F9" w14:textId="77777777" w:rsidR="00695897" w:rsidRPr="00695897" w:rsidRDefault="00695897" w:rsidP="00695897">
      <w:pPr>
        <w:spacing w:line="240" w:lineRule="auto"/>
        <w:rPr>
          <w:rFonts w:eastAsia="Times New Roman" w:cs="Arial"/>
          <w:i/>
          <w:iCs/>
          <w:color w:val="000000"/>
          <w:lang w:eastAsia="bg-BG"/>
        </w:rPr>
      </w:pPr>
    </w:p>
    <w:p w14:paraId="0B962AC3" w14:textId="19268BCB" w:rsidR="00695897" w:rsidRPr="00695897" w:rsidRDefault="00695897" w:rsidP="00695897">
      <w:pPr>
        <w:spacing w:line="240" w:lineRule="auto"/>
        <w:rPr>
          <w:rFonts w:eastAsia="Times New Roman" w:cs="Arial"/>
          <w:sz w:val="24"/>
          <w:szCs w:val="24"/>
        </w:rPr>
      </w:pPr>
      <w:r w:rsidRPr="00695897">
        <w:rPr>
          <w:rFonts w:eastAsia="Times New Roman" w:cs="Arial"/>
          <w:i/>
          <w:iCs/>
          <w:color w:val="000000"/>
          <w:lang w:eastAsia="bg-BG"/>
        </w:rPr>
        <w:t>Хидрохлоротиазид</w:t>
      </w:r>
    </w:p>
    <w:p w14:paraId="1AF328B3" w14:textId="77777777" w:rsidR="00695897" w:rsidRPr="00695897" w:rsidRDefault="00695897" w:rsidP="00695897">
      <w:pPr>
        <w:spacing w:line="240" w:lineRule="auto"/>
        <w:rPr>
          <w:rFonts w:eastAsia="Times New Roman" w:cs="Arial"/>
          <w:sz w:val="24"/>
          <w:szCs w:val="24"/>
        </w:rPr>
      </w:pPr>
      <w:r w:rsidRPr="00695897">
        <w:rPr>
          <w:rFonts w:eastAsia="Times New Roman" w:cs="Arial"/>
          <w:color w:val="000000"/>
          <w:lang w:eastAsia="bg-BG"/>
        </w:rPr>
        <w:t>Има ограничен опит от употреба на хидрохлоротиазид по време на бременност, особено през първия триместьр. Проучванията при животни са недостатъчни. Хидрохлоротиазид преминава през плацентата. Въз основа на фармакологичния механизъм на действие на хидрохлоротиазид, употребата му по време на втория и третия триместьр може да компрометира плацентарната перфузия и могат да настъпят фетални и неонатална ефекти, като жълтеница, нарушение на електролитния баланс и тромбоцитопения.</w:t>
      </w:r>
    </w:p>
    <w:p w14:paraId="7D6D14CB" w14:textId="77777777" w:rsidR="00695897" w:rsidRPr="00695897" w:rsidRDefault="00695897" w:rsidP="00695897">
      <w:pPr>
        <w:spacing w:line="240" w:lineRule="auto"/>
        <w:rPr>
          <w:rFonts w:eastAsia="Times New Roman" w:cs="Arial"/>
          <w:sz w:val="24"/>
          <w:szCs w:val="24"/>
        </w:rPr>
      </w:pPr>
      <w:r w:rsidRPr="00695897">
        <w:rPr>
          <w:rFonts w:eastAsia="Times New Roman" w:cs="Arial"/>
          <w:color w:val="000000"/>
          <w:lang w:eastAsia="bg-BG"/>
        </w:rPr>
        <w:t>Хидрохлоротиазид не трябва да се използва при гестационен оток, гестационна хипертония или прееклампсия, поради риск от намаляване на плазмения обем и плацентарната хипоперфузия без благоприятен ефект върху хода на заболяването.</w:t>
      </w:r>
    </w:p>
    <w:p w14:paraId="5880568C" w14:textId="77777777" w:rsidR="00695897" w:rsidRPr="00695897" w:rsidRDefault="00695897" w:rsidP="00695897">
      <w:pPr>
        <w:rPr>
          <w:rFonts w:eastAsia="Times New Roman" w:cs="Arial"/>
          <w:sz w:val="24"/>
          <w:szCs w:val="24"/>
        </w:rPr>
      </w:pPr>
      <w:r w:rsidRPr="00695897">
        <w:rPr>
          <w:rFonts w:eastAsia="Times New Roman" w:cs="Arial"/>
          <w:color w:val="000000"/>
          <w:lang w:eastAsia="bg-BG"/>
        </w:rPr>
        <w:t>Хидрохлоротиазид не трябва да се използва при есенциална хипертония при бременни жени, освен в редки ситуации, когато друго лечение не може да бъде използвано.</w:t>
      </w:r>
    </w:p>
    <w:p w14:paraId="62268512" w14:textId="77777777" w:rsidR="00695897" w:rsidRPr="00695897" w:rsidRDefault="00695897" w:rsidP="00695897">
      <w:pPr>
        <w:spacing w:line="240" w:lineRule="auto"/>
        <w:rPr>
          <w:rFonts w:eastAsia="Times New Roman" w:cs="Arial"/>
          <w:i/>
          <w:iCs/>
          <w:color w:val="000000"/>
          <w:lang w:eastAsia="bg-BG"/>
        </w:rPr>
      </w:pPr>
    </w:p>
    <w:p w14:paraId="4E85171E" w14:textId="2CBCCD8E" w:rsidR="00695897" w:rsidRPr="00695897" w:rsidRDefault="00695897" w:rsidP="00695897">
      <w:pPr>
        <w:pStyle w:val="Heading3"/>
        <w:rPr>
          <w:rFonts w:eastAsia="Times New Roman"/>
          <w:i/>
        </w:rPr>
      </w:pPr>
      <w:r w:rsidRPr="00695897">
        <w:rPr>
          <w:rFonts w:eastAsia="Times New Roman"/>
          <w:i/>
          <w:lang w:eastAsia="bg-BG"/>
        </w:rPr>
        <w:t>Кърмене:</w:t>
      </w:r>
    </w:p>
    <w:p w14:paraId="62D4C711" w14:textId="77777777" w:rsidR="00695897" w:rsidRPr="00695897" w:rsidRDefault="00695897" w:rsidP="00695897">
      <w:pPr>
        <w:spacing w:line="240" w:lineRule="auto"/>
        <w:rPr>
          <w:rFonts w:eastAsia="Times New Roman" w:cs="Arial"/>
          <w:sz w:val="24"/>
          <w:szCs w:val="24"/>
        </w:rPr>
      </w:pPr>
      <w:r w:rsidRPr="00695897">
        <w:rPr>
          <w:rFonts w:eastAsia="Times New Roman" w:cs="Arial"/>
          <w:i/>
          <w:iCs/>
          <w:color w:val="000000"/>
          <w:lang w:eastAsia="bg-BG"/>
        </w:rPr>
        <w:t>Ангиотензин IIрецепторни антагонисти (АПРБ):</w:t>
      </w:r>
    </w:p>
    <w:p w14:paraId="17E5C9F8" w14:textId="77777777" w:rsidR="00695897" w:rsidRPr="00695897" w:rsidRDefault="00695897" w:rsidP="00695897">
      <w:pPr>
        <w:spacing w:line="240" w:lineRule="auto"/>
        <w:rPr>
          <w:rFonts w:eastAsia="Times New Roman" w:cs="Arial"/>
          <w:sz w:val="24"/>
          <w:szCs w:val="24"/>
        </w:rPr>
      </w:pPr>
      <w:r w:rsidRPr="00695897">
        <w:rPr>
          <w:rFonts w:eastAsia="Times New Roman" w:cs="Arial"/>
          <w:color w:val="000000"/>
          <w:lang w:eastAsia="bg-BG"/>
        </w:rPr>
        <w:t>Тъй като не е налична информация по отношение на използването на лосартан/хидрохлоротиазид по време на кърмене, лосартан/хидрохлоротиазид не се препоръчва и е за предпочитане алтернативно лечение с по-добре установен профил на безопасност по време на кърмене, особено при кърмене на новородено или недоносено бебе.</w:t>
      </w:r>
    </w:p>
    <w:p w14:paraId="2ECA94D7" w14:textId="77777777" w:rsidR="00695897" w:rsidRPr="00695897" w:rsidRDefault="00695897" w:rsidP="00695897">
      <w:pPr>
        <w:spacing w:line="240" w:lineRule="auto"/>
        <w:rPr>
          <w:rFonts w:eastAsia="Times New Roman" w:cs="Arial"/>
          <w:i/>
          <w:iCs/>
          <w:color w:val="000000"/>
          <w:lang w:eastAsia="bg-BG"/>
        </w:rPr>
      </w:pPr>
    </w:p>
    <w:p w14:paraId="6581ED0F" w14:textId="20852434" w:rsidR="00695897" w:rsidRPr="00695897" w:rsidRDefault="00695897" w:rsidP="00695897">
      <w:pPr>
        <w:spacing w:line="240" w:lineRule="auto"/>
        <w:rPr>
          <w:rFonts w:eastAsia="Times New Roman" w:cs="Arial"/>
          <w:sz w:val="24"/>
          <w:szCs w:val="24"/>
        </w:rPr>
      </w:pPr>
      <w:r w:rsidRPr="00695897">
        <w:rPr>
          <w:rFonts w:eastAsia="Times New Roman" w:cs="Arial"/>
          <w:i/>
          <w:iCs/>
          <w:color w:val="000000"/>
          <w:lang w:eastAsia="bg-BG"/>
        </w:rPr>
        <w:t>Хидрохлоротиазид:</w:t>
      </w:r>
    </w:p>
    <w:p w14:paraId="44703A9B" w14:textId="77777777" w:rsidR="00695897" w:rsidRPr="00695897" w:rsidRDefault="00695897" w:rsidP="00695897">
      <w:pPr>
        <w:spacing w:line="240" w:lineRule="auto"/>
        <w:rPr>
          <w:rFonts w:ascii="Times New Roman" w:eastAsia="Times New Roman" w:hAnsi="Times New Roman" w:cs="Times New Roman"/>
          <w:sz w:val="24"/>
          <w:szCs w:val="24"/>
        </w:rPr>
      </w:pPr>
      <w:r w:rsidRPr="00695897">
        <w:rPr>
          <w:rFonts w:eastAsia="Times New Roman" w:cs="Arial"/>
          <w:color w:val="000000"/>
          <w:lang w:eastAsia="bg-BG"/>
        </w:rPr>
        <w:t>Хидрохлоротиазид се екскретира в майчината кърма в малки количества. Тиазидите в по- високи дози, водещи до интензивна диуреза, може да възпрепятстват отделянето на кърма. Използването на Лориста Н по време на кърмене не се препоръчва. Ако Лориста Н се използва по време на кърмене, трябва да се използва най-ниската възможна доза.</w:t>
      </w:r>
    </w:p>
    <w:p w14:paraId="13E23A6B" w14:textId="4C57FE8E" w:rsidR="00695897" w:rsidRPr="00695897" w:rsidRDefault="00695897" w:rsidP="00695897"/>
    <w:p w14:paraId="5766770B" w14:textId="21751DF1" w:rsidR="00395555" w:rsidRDefault="002C50EE" w:rsidP="008A6AF2">
      <w:pPr>
        <w:pStyle w:val="Heading2"/>
      </w:pPr>
      <w:r>
        <w:t>4.7. Ефекти върху способността за шофиране и работа с машини</w:t>
      </w:r>
    </w:p>
    <w:p w14:paraId="250A7899" w14:textId="1DC15B74" w:rsidR="00695897" w:rsidRDefault="00695897" w:rsidP="00695897"/>
    <w:p w14:paraId="44A70378" w14:textId="77777777" w:rsidR="00695897" w:rsidRPr="00695897" w:rsidRDefault="00695897" w:rsidP="00695897">
      <w:pPr>
        <w:rPr>
          <w:sz w:val="24"/>
          <w:szCs w:val="24"/>
        </w:rPr>
      </w:pPr>
      <w:r w:rsidRPr="00695897">
        <w:rPr>
          <w:lang w:eastAsia="bg-BG"/>
        </w:rPr>
        <w:t>Не са провеждани изпитвания върху способността за шофиране и работа с машини. Въпреки това трябва да се има предвид, че понякога може да възникне замайване и сънливост по време на антихипертензивно лечение, най-вече в началото на лечението или при повишаване на дозата.</w:t>
      </w:r>
    </w:p>
    <w:p w14:paraId="1DDE2AC3" w14:textId="77777777" w:rsidR="00695897" w:rsidRPr="00695897" w:rsidRDefault="00695897" w:rsidP="00695897"/>
    <w:p w14:paraId="4FE16E21" w14:textId="563CDA60" w:rsidR="00395555" w:rsidRDefault="002C50EE" w:rsidP="008A6AF2">
      <w:pPr>
        <w:pStyle w:val="Heading2"/>
      </w:pPr>
      <w:r>
        <w:t>4.8. Нежелани лекарствени реакции</w:t>
      </w:r>
    </w:p>
    <w:p w14:paraId="77926F29" w14:textId="47BF7360" w:rsidR="00695897" w:rsidRDefault="00695897" w:rsidP="00695897"/>
    <w:p w14:paraId="50A7E605" w14:textId="77777777" w:rsidR="00695897" w:rsidRPr="00695897" w:rsidRDefault="00695897" w:rsidP="00695897">
      <w:pPr>
        <w:spacing w:line="240" w:lineRule="auto"/>
        <w:rPr>
          <w:rFonts w:eastAsia="Times New Roman" w:cs="Arial"/>
          <w:sz w:val="24"/>
          <w:szCs w:val="24"/>
        </w:rPr>
      </w:pPr>
      <w:r w:rsidRPr="00695897">
        <w:rPr>
          <w:rFonts w:eastAsia="Times New Roman" w:cs="Arial"/>
          <w:color w:val="000000"/>
          <w:lang w:eastAsia="bg-BG"/>
        </w:rPr>
        <w:t>Нежеланите лекарствени реакции по-долу са определени, където е възможно по системо- органни клас и честота, съгласно следната класификация:</w:t>
      </w:r>
    </w:p>
    <w:p w14:paraId="54301E70" w14:textId="77777777" w:rsidR="00695897" w:rsidRPr="00695897" w:rsidRDefault="00695897" w:rsidP="00695897">
      <w:pPr>
        <w:spacing w:line="240" w:lineRule="auto"/>
        <w:rPr>
          <w:rFonts w:eastAsia="Times New Roman" w:cs="Arial"/>
          <w:sz w:val="24"/>
          <w:szCs w:val="24"/>
        </w:rPr>
      </w:pPr>
      <w:r w:rsidRPr="00695897">
        <w:rPr>
          <w:rFonts w:eastAsia="Times New Roman" w:cs="Arial"/>
          <w:color w:val="000000"/>
          <w:lang w:eastAsia="bg-BG"/>
        </w:rPr>
        <w:t>Много чести: ≥1/10</w:t>
      </w:r>
    </w:p>
    <w:p w14:paraId="550C999C" w14:textId="77777777" w:rsidR="00695897" w:rsidRPr="00695897" w:rsidRDefault="00695897" w:rsidP="00695897">
      <w:pPr>
        <w:spacing w:line="240" w:lineRule="auto"/>
        <w:rPr>
          <w:rFonts w:eastAsia="Times New Roman" w:cs="Arial"/>
          <w:sz w:val="24"/>
          <w:szCs w:val="24"/>
        </w:rPr>
      </w:pPr>
      <w:r w:rsidRPr="00695897">
        <w:rPr>
          <w:rFonts w:eastAsia="Times New Roman" w:cs="Arial"/>
          <w:color w:val="000000"/>
          <w:lang w:eastAsia="bg-BG"/>
        </w:rPr>
        <w:t>Чести: ≥1/100, ≤1/10</w:t>
      </w:r>
    </w:p>
    <w:p w14:paraId="5F6DD73A" w14:textId="77777777" w:rsidR="00695897" w:rsidRPr="00695897" w:rsidRDefault="00695897" w:rsidP="00695897">
      <w:pPr>
        <w:spacing w:line="240" w:lineRule="auto"/>
        <w:rPr>
          <w:rFonts w:eastAsia="Times New Roman" w:cs="Arial"/>
          <w:sz w:val="24"/>
          <w:szCs w:val="24"/>
        </w:rPr>
      </w:pPr>
      <w:r w:rsidRPr="00695897">
        <w:rPr>
          <w:rFonts w:eastAsia="Times New Roman" w:cs="Arial"/>
          <w:color w:val="000000"/>
          <w:lang w:eastAsia="bg-BG"/>
        </w:rPr>
        <w:t>Нечести: ≥1/1 000, ≤1/100</w:t>
      </w:r>
    </w:p>
    <w:p w14:paraId="13E6B8F2" w14:textId="77777777" w:rsidR="00695897" w:rsidRPr="00695897" w:rsidRDefault="00695897" w:rsidP="00695897">
      <w:pPr>
        <w:spacing w:line="240" w:lineRule="auto"/>
        <w:rPr>
          <w:rFonts w:eastAsia="Times New Roman" w:cs="Arial"/>
          <w:sz w:val="24"/>
          <w:szCs w:val="24"/>
        </w:rPr>
      </w:pPr>
      <w:r w:rsidRPr="00695897">
        <w:rPr>
          <w:rFonts w:eastAsia="Times New Roman" w:cs="Arial"/>
          <w:color w:val="000000"/>
          <w:lang w:eastAsia="bg-BG"/>
        </w:rPr>
        <w:t>Редки: ≥1/10 000, ≤1/1 000</w:t>
      </w:r>
    </w:p>
    <w:p w14:paraId="1551CC78" w14:textId="77777777" w:rsidR="00695897" w:rsidRPr="00695897" w:rsidRDefault="00695897" w:rsidP="00695897">
      <w:pPr>
        <w:spacing w:line="240" w:lineRule="auto"/>
        <w:rPr>
          <w:rFonts w:eastAsia="Times New Roman" w:cs="Arial"/>
          <w:sz w:val="24"/>
          <w:szCs w:val="24"/>
        </w:rPr>
      </w:pPr>
      <w:r w:rsidRPr="00695897">
        <w:rPr>
          <w:rFonts w:eastAsia="Times New Roman" w:cs="Arial"/>
          <w:color w:val="000000"/>
          <w:lang w:eastAsia="bg-BG"/>
        </w:rPr>
        <w:lastRenderedPageBreak/>
        <w:t>Много редки: ≤1/10 000</w:t>
      </w:r>
    </w:p>
    <w:p w14:paraId="7E1DE60A" w14:textId="77777777" w:rsidR="00695897" w:rsidRPr="00695897" w:rsidRDefault="00695897" w:rsidP="00695897">
      <w:pPr>
        <w:spacing w:line="240" w:lineRule="auto"/>
        <w:rPr>
          <w:rFonts w:eastAsia="Times New Roman" w:cs="Arial"/>
          <w:sz w:val="24"/>
          <w:szCs w:val="24"/>
        </w:rPr>
      </w:pPr>
      <w:r w:rsidRPr="00695897">
        <w:rPr>
          <w:rFonts w:eastAsia="Times New Roman" w:cs="Arial"/>
          <w:color w:val="000000"/>
          <w:lang w:eastAsia="bg-BG"/>
        </w:rPr>
        <w:t>С неизвестна честота: не може да се определи по наличните данни</w:t>
      </w:r>
    </w:p>
    <w:p w14:paraId="2C874338" w14:textId="77777777" w:rsidR="00695897" w:rsidRPr="00695897" w:rsidRDefault="00695897" w:rsidP="00695897">
      <w:pPr>
        <w:spacing w:line="240" w:lineRule="auto"/>
        <w:rPr>
          <w:rFonts w:eastAsia="Times New Roman" w:cs="Arial"/>
          <w:color w:val="000000"/>
          <w:lang w:eastAsia="bg-BG"/>
        </w:rPr>
      </w:pPr>
    </w:p>
    <w:p w14:paraId="5C0F14A7" w14:textId="6EB4E377" w:rsidR="00695897" w:rsidRPr="00695897" w:rsidRDefault="00695897" w:rsidP="00695897">
      <w:pPr>
        <w:spacing w:line="240" w:lineRule="auto"/>
        <w:rPr>
          <w:rFonts w:eastAsia="Times New Roman" w:cs="Arial"/>
          <w:sz w:val="24"/>
          <w:szCs w:val="24"/>
        </w:rPr>
      </w:pPr>
      <w:r w:rsidRPr="00695897">
        <w:rPr>
          <w:rFonts w:eastAsia="Times New Roman" w:cs="Arial"/>
          <w:color w:val="000000"/>
          <w:lang w:eastAsia="bg-BG"/>
        </w:rPr>
        <w:t>При клинични изследвания с лосартан калий и хидрохлоротиазид, не са наблюдавани нежелани лекарствени реакции, които да са специфични за тази комбинация.</w:t>
      </w:r>
    </w:p>
    <w:p w14:paraId="499830CC" w14:textId="77777777" w:rsidR="00695897" w:rsidRPr="00695897" w:rsidRDefault="00695897" w:rsidP="00695897">
      <w:pPr>
        <w:spacing w:line="240" w:lineRule="auto"/>
        <w:rPr>
          <w:rFonts w:eastAsia="Times New Roman" w:cs="Arial"/>
          <w:sz w:val="24"/>
          <w:szCs w:val="24"/>
        </w:rPr>
      </w:pPr>
      <w:r w:rsidRPr="00695897">
        <w:rPr>
          <w:rFonts w:eastAsia="Times New Roman" w:cs="Arial"/>
          <w:color w:val="000000"/>
          <w:lang w:eastAsia="bg-BG"/>
        </w:rPr>
        <w:t>Нежеланите реакции са били ограничени до тези, съобщавани преди за лосартан калий и/или хидрохлоротиазид.</w:t>
      </w:r>
    </w:p>
    <w:p w14:paraId="6579A279" w14:textId="77777777" w:rsidR="00695897" w:rsidRPr="00695897" w:rsidRDefault="00695897" w:rsidP="00695897">
      <w:pPr>
        <w:spacing w:line="240" w:lineRule="auto"/>
        <w:rPr>
          <w:rFonts w:eastAsia="Times New Roman" w:cs="Arial"/>
          <w:color w:val="000000"/>
          <w:lang w:eastAsia="bg-BG"/>
        </w:rPr>
      </w:pPr>
    </w:p>
    <w:p w14:paraId="6E94CBB0" w14:textId="5C2A7FE7" w:rsidR="00695897" w:rsidRPr="00695897" w:rsidRDefault="00695897" w:rsidP="00695897">
      <w:pPr>
        <w:spacing w:line="240" w:lineRule="auto"/>
        <w:rPr>
          <w:rFonts w:eastAsia="Times New Roman" w:cs="Arial"/>
          <w:sz w:val="24"/>
          <w:szCs w:val="24"/>
        </w:rPr>
      </w:pPr>
      <w:r w:rsidRPr="00695897">
        <w:rPr>
          <w:rFonts w:eastAsia="Times New Roman" w:cs="Arial"/>
          <w:color w:val="000000"/>
          <w:lang w:eastAsia="bg-BG"/>
        </w:rPr>
        <w:t>При контролирани клинични изпитвания за есенциална хипертония, световъртеж е единствената съобщена нежелана лекарствена реакция като лекарствено-свързана, която възниква с честота по-голяма от плацебо при 1 % или повече от пациентите, лекувани с лосартан и хидрохлоротиазид.</w:t>
      </w:r>
    </w:p>
    <w:p w14:paraId="68A2E3EE" w14:textId="77777777" w:rsidR="00695897" w:rsidRPr="00695897" w:rsidRDefault="00695897" w:rsidP="00695897">
      <w:pPr>
        <w:spacing w:line="240" w:lineRule="auto"/>
        <w:rPr>
          <w:rFonts w:eastAsia="Times New Roman" w:cs="Arial"/>
          <w:color w:val="000000"/>
          <w:lang w:eastAsia="bg-BG"/>
        </w:rPr>
      </w:pPr>
    </w:p>
    <w:p w14:paraId="5D570703" w14:textId="4C0F1646" w:rsidR="00695897" w:rsidRPr="00695897" w:rsidRDefault="00695897" w:rsidP="00695897">
      <w:pPr>
        <w:spacing w:line="240" w:lineRule="auto"/>
        <w:rPr>
          <w:rFonts w:eastAsia="Times New Roman" w:cs="Arial"/>
          <w:i/>
          <w:iCs/>
          <w:color w:val="000000"/>
          <w:lang w:eastAsia="bg-BG"/>
        </w:rPr>
      </w:pPr>
      <w:r w:rsidRPr="00695897">
        <w:rPr>
          <w:rFonts w:eastAsia="Times New Roman" w:cs="Arial"/>
          <w:color w:val="000000"/>
          <w:lang w:eastAsia="bg-BG"/>
        </w:rPr>
        <w:t xml:space="preserve">Следните допълнителни нежелани лекарствени реакции са съобщавани след пускане на продукта </w:t>
      </w:r>
      <w:r w:rsidRPr="00695897">
        <w:rPr>
          <w:rFonts w:eastAsia="Times New Roman" w:cs="Arial"/>
          <w:i/>
          <w:iCs/>
          <w:color w:val="000000"/>
          <w:lang w:eastAsia="bg-BG"/>
        </w:rPr>
        <w:t>на пазара:</w:t>
      </w:r>
    </w:p>
    <w:tbl>
      <w:tblPr>
        <w:tblStyle w:val="TableGrid"/>
        <w:tblW w:w="0" w:type="auto"/>
        <w:tblLook w:val="04A0" w:firstRow="1" w:lastRow="0" w:firstColumn="1" w:lastColumn="0" w:noHBand="0" w:noVBand="1"/>
      </w:tblPr>
      <w:tblGrid>
        <w:gridCol w:w="3119"/>
        <w:gridCol w:w="3134"/>
        <w:gridCol w:w="3097"/>
      </w:tblGrid>
      <w:tr w:rsidR="00695897" w14:paraId="335EC23E" w14:textId="77777777" w:rsidTr="00695897">
        <w:tc>
          <w:tcPr>
            <w:tcW w:w="3192" w:type="dxa"/>
          </w:tcPr>
          <w:p w14:paraId="2D744072" w14:textId="5F80B8B2" w:rsidR="00695897" w:rsidRDefault="00695897" w:rsidP="00695897">
            <w:pPr>
              <w:spacing w:line="240" w:lineRule="auto"/>
              <w:rPr>
                <w:rFonts w:ascii="Times New Roman" w:eastAsia="Times New Roman" w:hAnsi="Times New Roman" w:cs="Times New Roman"/>
                <w:sz w:val="24"/>
                <w:szCs w:val="24"/>
              </w:rPr>
            </w:pPr>
            <w:r>
              <w:rPr>
                <w:b/>
                <w:bCs/>
              </w:rPr>
              <w:t>Системно-органен клас</w:t>
            </w:r>
          </w:p>
        </w:tc>
        <w:tc>
          <w:tcPr>
            <w:tcW w:w="3192" w:type="dxa"/>
          </w:tcPr>
          <w:p w14:paraId="5FD917B9" w14:textId="683A7A00" w:rsidR="00695897" w:rsidRDefault="00695897" w:rsidP="00695897">
            <w:pPr>
              <w:spacing w:line="240" w:lineRule="auto"/>
              <w:rPr>
                <w:rFonts w:ascii="Times New Roman" w:eastAsia="Times New Roman" w:hAnsi="Times New Roman" w:cs="Times New Roman"/>
                <w:sz w:val="24"/>
                <w:szCs w:val="24"/>
              </w:rPr>
            </w:pPr>
            <w:r>
              <w:rPr>
                <w:b/>
                <w:bCs/>
              </w:rPr>
              <w:t>Нежелана реакция</w:t>
            </w:r>
          </w:p>
        </w:tc>
        <w:tc>
          <w:tcPr>
            <w:tcW w:w="3192" w:type="dxa"/>
          </w:tcPr>
          <w:p w14:paraId="26700AE5" w14:textId="26673D13" w:rsidR="00695897" w:rsidRDefault="00695897" w:rsidP="00695897">
            <w:pPr>
              <w:spacing w:line="240" w:lineRule="auto"/>
              <w:rPr>
                <w:rFonts w:ascii="Times New Roman" w:eastAsia="Times New Roman" w:hAnsi="Times New Roman" w:cs="Times New Roman"/>
                <w:sz w:val="24"/>
                <w:szCs w:val="24"/>
              </w:rPr>
            </w:pPr>
            <w:r>
              <w:rPr>
                <w:b/>
                <w:bCs/>
              </w:rPr>
              <w:t>Честота</w:t>
            </w:r>
          </w:p>
        </w:tc>
      </w:tr>
      <w:tr w:rsidR="00695897" w14:paraId="5FBEC518" w14:textId="77777777" w:rsidTr="00695897">
        <w:tc>
          <w:tcPr>
            <w:tcW w:w="3192" w:type="dxa"/>
          </w:tcPr>
          <w:p w14:paraId="554E9033" w14:textId="619ECB08" w:rsidR="00695897" w:rsidRDefault="00695897" w:rsidP="00695897">
            <w:pPr>
              <w:spacing w:line="240" w:lineRule="auto"/>
              <w:rPr>
                <w:rFonts w:ascii="Times New Roman" w:eastAsia="Times New Roman" w:hAnsi="Times New Roman" w:cs="Times New Roman"/>
                <w:sz w:val="24"/>
                <w:szCs w:val="24"/>
              </w:rPr>
            </w:pPr>
            <w:r>
              <w:t>Хепато-билиарни нарушения</w:t>
            </w:r>
          </w:p>
        </w:tc>
        <w:tc>
          <w:tcPr>
            <w:tcW w:w="3192" w:type="dxa"/>
          </w:tcPr>
          <w:p w14:paraId="41FEDFE6" w14:textId="23DFD689" w:rsidR="00695897" w:rsidRDefault="00695897" w:rsidP="00695897">
            <w:pPr>
              <w:spacing w:line="240" w:lineRule="auto"/>
              <w:rPr>
                <w:rFonts w:ascii="Times New Roman" w:eastAsia="Times New Roman" w:hAnsi="Times New Roman" w:cs="Times New Roman"/>
                <w:sz w:val="24"/>
                <w:szCs w:val="24"/>
              </w:rPr>
            </w:pPr>
            <w:r>
              <w:t>Хепатит</w:t>
            </w:r>
          </w:p>
        </w:tc>
        <w:tc>
          <w:tcPr>
            <w:tcW w:w="3192" w:type="dxa"/>
          </w:tcPr>
          <w:p w14:paraId="69E05F8E" w14:textId="5D361D6F" w:rsidR="00695897" w:rsidRDefault="00695897" w:rsidP="00695897">
            <w:pPr>
              <w:spacing w:line="240" w:lineRule="auto"/>
              <w:rPr>
                <w:rFonts w:ascii="Times New Roman" w:eastAsia="Times New Roman" w:hAnsi="Times New Roman" w:cs="Times New Roman"/>
                <w:sz w:val="24"/>
                <w:szCs w:val="24"/>
              </w:rPr>
            </w:pPr>
            <w:r>
              <w:t>редки</w:t>
            </w:r>
          </w:p>
        </w:tc>
      </w:tr>
      <w:tr w:rsidR="00695897" w14:paraId="452F3391" w14:textId="77777777" w:rsidTr="00695897">
        <w:tc>
          <w:tcPr>
            <w:tcW w:w="3192" w:type="dxa"/>
          </w:tcPr>
          <w:p w14:paraId="349C02E2" w14:textId="00141919" w:rsidR="00695897" w:rsidRDefault="00695897" w:rsidP="00695897">
            <w:pPr>
              <w:spacing w:line="240" w:lineRule="auto"/>
              <w:rPr>
                <w:rFonts w:ascii="Times New Roman" w:eastAsia="Times New Roman" w:hAnsi="Times New Roman" w:cs="Times New Roman"/>
                <w:sz w:val="24"/>
                <w:szCs w:val="24"/>
              </w:rPr>
            </w:pPr>
            <w:r>
              <w:t>Изследвания</w:t>
            </w:r>
          </w:p>
        </w:tc>
        <w:tc>
          <w:tcPr>
            <w:tcW w:w="3192" w:type="dxa"/>
          </w:tcPr>
          <w:p w14:paraId="602777C9" w14:textId="1E138B88" w:rsidR="00695897" w:rsidRDefault="00695897" w:rsidP="00695897">
            <w:pPr>
              <w:spacing w:line="240" w:lineRule="auto"/>
              <w:rPr>
                <w:rFonts w:ascii="Times New Roman" w:eastAsia="Times New Roman" w:hAnsi="Times New Roman" w:cs="Times New Roman"/>
                <w:sz w:val="24"/>
                <w:szCs w:val="24"/>
              </w:rPr>
            </w:pPr>
            <w:r>
              <w:t xml:space="preserve">Хиперкалиемия, повишаване на </w:t>
            </w:r>
            <w:r>
              <w:rPr>
                <w:lang w:val="en-US"/>
              </w:rPr>
              <w:t>ALT</w:t>
            </w:r>
          </w:p>
        </w:tc>
        <w:tc>
          <w:tcPr>
            <w:tcW w:w="3192" w:type="dxa"/>
          </w:tcPr>
          <w:p w14:paraId="652B3222" w14:textId="6EDCA3C4" w:rsidR="00695897" w:rsidRDefault="00695897" w:rsidP="00695897">
            <w:pPr>
              <w:spacing w:line="240" w:lineRule="auto"/>
              <w:rPr>
                <w:rFonts w:ascii="Times New Roman" w:eastAsia="Times New Roman" w:hAnsi="Times New Roman" w:cs="Times New Roman"/>
                <w:sz w:val="24"/>
                <w:szCs w:val="24"/>
              </w:rPr>
            </w:pPr>
            <w:r>
              <w:t>редки</w:t>
            </w:r>
          </w:p>
        </w:tc>
      </w:tr>
    </w:tbl>
    <w:p w14:paraId="79D65C15" w14:textId="218388FF" w:rsidR="00695897" w:rsidRDefault="00695897" w:rsidP="00695897">
      <w:pPr>
        <w:spacing w:line="240" w:lineRule="auto"/>
        <w:rPr>
          <w:rFonts w:ascii="Times New Roman" w:eastAsia="Times New Roman" w:hAnsi="Times New Roman" w:cs="Times New Roman"/>
          <w:sz w:val="24"/>
          <w:szCs w:val="24"/>
        </w:rPr>
      </w:pPr>
    </w:p>
    <w:p w14:paraId="5B45AAD1" w14:textId="77777777" w:rsidR="00695897" w:rsidRPr="00695897" w:rsidRDefault="00695897" w:rsidP="00695897">
      <w:pPr>
        <w:spacing w:line="240" w:lineRule="auto"/>
        <w:rPr>
          <w:rFonts w:eastAsia="Times New Roman" w:cs="Arial"/>
          <w:sz w:val="24"/>
          <w:szCs w:val="24"/>
        </w:rPr>
      </w:pPr>
      <w:r w:rsidRPr="00695897">
        <w:rPr>
          <w:rFonts w:eastAsia="Times New Roman" w:cs="Arial"/>
          <w:color w:val="000000"/>
          <w:lang w:eastAsia="bg-BG"/>
        </w:rPr>
        <w:t>Други нежелани реакции, наблюдавани при един от отделните компоненти, които могат да се</w:t>
      </w:r>
    </w:p>
    <w:p w14:paraId="1AB6E85F" w14:textId="77777777" w:rsidR="00695897" w:rsidRPr="00695897" w:rsidRDefault="00695897" w:rsidP="00695897">
      <w:pPr>
        <w:spacing w:line="240" w:lineRule="auto"/>
        <w:rPr>
          <w:rFonts w:eastAsia="Times New Roman" w:cs="Arial"/>
          <w:sz w:val="24"/>
          <w:szCs w:val="24"/>
        </w:rPr>
      </w:pPr>
      <w:r w:rsidRPr="00695897">
        <w:rPr>
          <w:rFonts w:eastAsia="Times New Roman" w:cs="Arial"/>
          <w:color w:val="000000"/>
          <w:lang w:eastAsia="bg-BG"/>
        </w:rPr>
        <w:t>проявят потенциално като нежелани реакции и при приложение на лосартан калий/хидрохлоротиазид, са следните:</w:t>
      </w:r>
    </w:p>
    <w:p w14:paraId="009671E9" w14:textId="77777777" w:rsidR="00695897" w:rsidRPr="00695897" w:rsidRDefault="00695897" w:rsidP="00695897">
      <w:pPr>
        <w:spacing w:line="240" w:lineRule="auto"/>
        <w:rPr>
          <w:rFonts w:eastAsia="Times New Roman" w:cs="Arial"/>
          <w:color w:val="000000"/>
          <w:u w:val="single"/>
          <w:lang w:eastAsia="bg-BG"/>
        </w:rPr>
      </w:pPr>
    </w:p>
    <w:p w14:paraId="4E2B5C9A" w14:textId="126D27A4" w:rsidR="00695897" w:rsidRPr="00695897" w:rsidRDefault="00695897" w:rsidP="00695897">
      <w:pPr>
        <w:spacing w:line="240" w:lineRule="auto"/>
        <w:rPr>
          <w:rFonts w:eastAsia="Times New Roman" w:cs="Arial"/>
          <w:sz w:val="24"/>
          <w:szCs w:val="24"/>
        </w:rPr>
      </w:pPr>
      <w:r w:rsidRPr="00695897">
        <w:rPr>
          <w:rFonts w:eastAsia="Times New Roman" w:cs="Arial"/>
          <w:color w:val="000000"/>
          <w:u w:val="single"/>
          <w:lang w:eastAsia="bg-BG"/>
        </w:rPr>
        <w:t>Лосартан</w:t>
      </w:r>
    </w:p>
    <w:tbl>
      <w:tblPr>
        <w:tblStyle w:val="TableGrid"/>
        <w:tblW w:w="0" w:type="auto"/>
        <w:tblLook w:val="04A0" w:firstRow="1" w:lastRow="0" w:firstColumn="1" w:lastColumn="0" w:noHBand="0" w:noVBand="1"/>
      </w:tblPr>
      <w:tblGrid>
        <w:gridCol w:w="3133"/>
        <w:gridCol w:w="3171"/>
        <w:gridCol w:w="3046"/>
      </w:tblGrid>
      <w:tr w:rsidR="00695897" w14:paraId="132E513A" w14:textId="77777777" w:rsidTr="005B72A3">
        <w:tc>
          <w:tcPr>
            <w:tcW w:w="3192" w:type="dxa"/>
            <w:vAlign w:val="bottom"/>
          </w:tcPr>
          <w:p w14:paraId="5EB5D767" w14:textId="364F38AB" w:rsidR="00695897" w:rsidRDefault="00695897" w:rsidP="00695897">
            <w:r>
              <w:rPr>
                <w:b/>
                <w:bCs/>
              </w:rPr>
              <w:t>Системно-органен клас</w:t>
            </w:r>
          </w:p>
        </w:tc>
        <w:tc>
          <w:tcPr>
            <w:tcW w:w="3192" w:type="dxa"/>
            <w:vAlign w:val="bottom"/>
          </w:tcPr>
          <w:p w14:paraId="01157F4F" w14:textId="183DBE7B" w:rsidR="00695897" w:rsidRDefault="00695897" w:rsidP="00695897">
            <w:r>
              <w:rPr>
                <w:b/>
                <w:bCs/>
              </w:rPr>
              <w:t>Нежелана реакция</w:t>
            </w:r>
          </w:p>
        </w:tc>
        <w:tc>
          <w:tcPr>
            <w:tcW w:w="3192" w:type="dxa"/>
            <w:vAlign w:val="bottom"/>
          </w:tcPr>
          <w:p w14:paraId="30C1BAF7" w14:textId="13C13DAB" w:rsidR="00695897" w:rsidRDefault="00695897" w:rsidP="00695897">
            <w:r>
              <w:rPr>
                <w:b/>
                <w:bCs/>
              </w:rPr>
              <w:t>Честота</w:t>
            </w:r>
          </w:p>
        </w:tc>
      </w:tr>
      <w:tr w:rsidR="00695897" w14:paraId="212FF183" w14:textId="77777777" w:rsidTr="000D08D0">
        <w:tc>
          <w:tcPr>
            <w:tcW w:w="3192" w:type="dxa"/>
            <w:vMerge w:val="restart"/>
            <w:vAlign w:val="bottom"/>
          </w:tcPr>
          <w:p w14:paraId="72EEE596" w14:textId="57115561" w:rsidR="00695897" w:rsidRDefault="00695897" w:rsidP="00695897">
            <w:r>
              <w:t>Нарушения на кръвоносната и лимфна системи</w:t>
            </w:r>
          </w:p>
        </w:tc>
        <w:tc>
          <w:tcPr>
            <w:tcW w:w="3192" w:type="dxa"/>
            <w:vAlign w:val="bottom"/>
          </w:tcPr>
          <w:p w14:paraId="51EAA6F0" w14:textId="4F056139" w:rsidR="00695897" w:rsidRDefault="00695897" w:rsidP="00695897">
            <w:r>
              <w:t xml:space="preserve">Анемия, пурпура на </w:t>
            </w:r>
            <w:r>
              <w:rPr>
                <w:lang w:val="en-US"/>
              </w:rPr>
              <w:t>Henoch</w:t>
            </w:r>
            <w:r w:rsidRPr="00695897">
              <w:t xml:space="preserve">- </w:t>
            </w:r>
            <w:proofErr w:type="spellStart"/>
            <w:r>
              <w:rPr>
                <w:lang w:val="en-US"/>
              </w:rPr>
              <w:t>Schonein</w:t>
            </w:r>
            <w:proofErr w:type="spellEnd"/>
            <w:r w:rsidRPr="00695897">
              <w:t xml:space="preserve">, </w:t>
            </w:r>
            <w:r>
              <w:t>екхимоза, хемолиза</w:t>
            </w:r>
          </w:p>
        </w:tc>
        <w:tc>
          <w:tcPr>
            <w:tcW w:w="3192" w:type="dxa"/>
          </w:tcPr>
          <w:p w14:paraId="32131596" w14:textId="1C6FB2A2" w:rsidR="00695897" w:rsidRDefault="00695897" w:rsidP="00695897">
            <w:r>
              <w:t>нечести</w:t>
            </w:r>
          </w:p>
        </w:tc>
      </w:tr>
      <w:tr w:rsidR="00695897" w14:paraId="7F45E445" w14:textId="77777777" w:rsidTr="000D08D0">
        <w:tc>
          <w:tcPr>
            <w:tcW w:w="3192" w:type="dxa"/>
            <w:vMerge/>
            <w:vAlign w:val="bottom"/>
          </w:tcPr>
          <w:p w14:paraId="4750F625" w14:textId="77777777" w:rsidR="00695897" w:rsidRDefault="00695897" w:rsidP="00695897"/>
        </w:tc>
        <w:tc>
          <w:tcPr>
            <w:tcW w:w="3192" w:type="dxa"/>
            <w:vAlign w:val="bottom"/>
          </w:tcPr>
          <w:p w14:paraId="07FFD531" w14:textId="0424AC0D" w:rsidR="00695897" w:rsidRDefault="00695897" w:rsidP="00695897">
            <w:r>
              <w:t>Тромбоцитопения</w:t>
            </w:r>
          </w:p>
        </w:tc>
        <w:tc>
          <w:tcPr>
            <w:tcW w:w="3192" w:type="dxa"/>
            <w:vAlign w:val="bottom"/>
          </w:tcPr>
          <w:p w14:paraId="7CA273EA" w14:textId="0DE90EDF" w:rsidR="00695897" w:rsidRDefault="00695897" w:rsidP="00695897">
            <w:r>
              <w:t>с неизвестна честота</w:t>
            </w:r>
          </w:p>
        </w:tc>
      </w:tr>
      <w:tr w:rsidR="00695897" w14:paraId="6D856915" w14:textId="77777777" w:rsidTr="000D08D0">
        <w:tc>
          <w:tcPr>
            <w:tcW w:w="3192" w:type="dxa"/>
          </w:tcPr>
          <w:p w14:paraId="37532C78" w14:textId="40EC3191" w:rsidR="00695897" w:rsidRDefault="00695897" w:rsidP="00695897">
            <w:r>
              <w:t>Сърдечни нарушения</w:t>
            </w:r>
          </w:p>
        </w:tc>
        <w:tc>
          <w:tcPr>
            <w:tcW w:w="3192" w:type="dxa"/>
            <w:vAlign w:val="bottom"/>
          </w:tcPr>
          <w:p w14:paraId="0CDDC5BF" w14:textId="40365620" w:rsidR="00695897" w:rsidRDefault="00695897" w:rsidP="00695897">
            <w:r>
              <w:t xml:space="preserve">Хипотензия, ортостатична хипотензия, стерналгия, стенокардия, </w:t>
            </w:r>
            <w:r>
              <w:rPr>
                <w:lang w:val="en-US"/>
              </w:rPr>
              <w:t>AV</w:t>
            </w:r>
            <w:r w:rsidRPr="00695897">
              <w:rPr>
                <w:lang w:val="ru-RU"/>
              </w:rPr>
              <w:t xml:space="preserve"> </w:t>
            </w:r>
            <w:r>
              <w:t>блок II степен, цереброваскуларно събитие, инфаркт на миокарда, палпитация, аритмии (предсърдно трептене, синусова брадикардия, тахикардия, камерна тахикардия, камерно мъждене)</w:t>
            </w:r>
          </w:p>
        </w:tc>
        <w:tc>
          <w:tcPr>
            <w:tcW w:w="3192" w:type="dxa"/>
          </w:tcPr>
          <w:p w14:paraId="32F7F52C" w14:textId="7F92EA47" w:rsidR="00695897" w:rsidRDefault="00695897" w:rsidP="00695897">
            <w:r>
              <w:t>нечести</w:t>
            </w:r>
          </w:p>
        </w:tc>
      </w:tr>
      <w:tr w:rsidR="00695897" w14:paraId="69AC93FD" w14:textId="77777777" w:rsidTr="000D08D0">
        <w:tc>
          <w:tcPr>
            <w:tcW w:w="3192" w:type="dxa"/>
            <w:vAlign w:val="bottom"/>
          </w:tcPr>
          <w:p w14:paraId="321D2B23" w14:textId="4232B222" w:rsidR="00695897" w:rsidRDefault="00695897" w:rsidP="00695897">
            <w:r>
              <w:t>Нарушения на ухото и лабиринта</w:t>
            </w:r>
          </w:p>
        </w:tc>
        <w:tc>
          <w:tcPr>
            <w:tcW w:w="3192" w:type="dxa"/>
          </w:tcPr>
          <w:p w14:paraId="240CB5C2" w14:textId="2DE8A46F" w:rsidR="00695897" w:rsidRDefault="00695897" w:rsidP="00695897">
            <w:r>
              <w:t>Вертиго, шум в ушите</w:t>
            </w:r>
          </w:p>
        </w:tc>
        <w:tc>
          <w:tcPr>
            <w:tcW w:w="3192" w:type="dxa"/>
          </w:tcPr>
          <w:p w14:paraId="16A5975D" w14:textId="50F9073F" w:rsidR="00695897" w:rsidRDefault="00695897" w:rsidP="00695897">
            <w:r>
              <w:t>нечести</w:t>
            </w:r>
          </w:p>
        </w:tc>
      </w:tr>
      <w:tr w:rsidR="00695897" w14:paraId="01085169" w14:textId="77777777" w:rsidTr="000D08D0">
        <w:tc>
          <w:tcPr>
            <w:tcW w:w="3192" w:type="dxa"/>
          </w:tcPr>
          <w:p w14:paraId="1CB63C82" w14:textId="7C97DC51" w:rsidR="00695897" w:rsidRDefault="00695897" w:rsidP="00695897">
            <w:r>
              <w:t>Нарушения на окото</w:t>
            </w:r>
          </w:p>
        </w:tc>
        <w:tc>
          <w:tcPr>
            <w:tcW w:w="3192" w:type="dxa"/>
            <w:vAlign w:val="bottom"/>
          </w:tcPr>
          <w:p w14:paraId="163C1AC6" w14:textId="68EC06DC" w:rsidR="00695897" w:rsidRDefault="00695897" w:rsidP="00695897">
            <w:r>
              <w:t>Замъглено зрение, парене/смъдене в окото, конюнктивит, понижена зрителна острота</w:t>
            </w:r>
          </w:p>
        </w:tc>
        <w:tc>
          <w:tcPr>
            <w:tcW w:w="3192" w:type="dxa"/>
          </w:tcPr>
          <w:p w14:paraId="1ADBE5B7" w14:textId="41D01471" w:rsidR="00695897" w:rsidRDefault="00695897" w:rsidP="00695897">
            <w:r>
              <w:t>нечести</w:t>
            </w:r>
          </w:p>
        </w:tc>
      </w:tr>
      <w:tr w:rsidR="00695897" w14:paraId="0B4DD226" w14:textId="77777777" w:rsidTr="00131312">
        <w:tc>
          <w:tcPr>
            <w:tcW w:w="3192" w:type="dxa"/>
            <w:vMerge w:val="restart"/>
          </w:tcPr>
          <w:p w14:paraId="3727D7E7" w14:textId="4CC52342" w:rsidR="00695897" w:rsidRDefault="00695897" w:rsidP="00695897">
            <w:r>
              <w:lastRenderedPageBreak/>
              <w:t>Стомашно-чревни нарушения</w:t>
            </w:r>
          </w:p>
        </w:tc>
        <w:tc>
          <w:tcPr>
            <w:tcW w:w="3192" w:type="dxa"/>
            <w:vAlign w:val="bottom"/>
          </w:tcPr>
          <w:p w14:paraId="0E927996" w14:textId="41E676D7" w:rsidR="00695897" w:rsidRDefault="00695897" w:rsidP="00695897">
            <w:r>
              <w:t>Коремна болка, гадене, диария, диспепсия</w:t>
            </w:r>
          </w:p>
        </w:tc>
        <w:tc>
          <w:tcPr>
            <w:tcW w:w="3192" w:type="dxa"/>
          </w:tcPr>
          <w:p w14:paraId="244F2511" w14:textId="4169E41B" w:rsidR="00695897" w:rsidRDefault="00695897" w:rsidP="00695897">
            <w:r>
              <w:t>чести</w:t>
            </w:r>
          </w:p>
        </w:tc>
      </w:tr>
      <w:tr w:rsidR="00695897" w14:paraId="400CC5FB" w14:textId="77777777" w:rsidTr="00131312">
        <w:tc>
          <w:tcPr>
            <w:tcW w:w="3192" w:type="dxa"/>
            <w:vMerge/>
          </w:tcPr>
          <w:p w14:paraId="4383AE88" w14:textId="77777777" w:rsidR="00695897" w:rsidRDefault="00695897" w:rsidP="00695897"/>
        </w:tc>
        <w:tc>
          <w:tcPr>
            <w:tcW w:w="3192" w:type="dxa"/>
            <w:vAlign w:val="bottom"/>
          </w:tcPr>
          <w:p w14:paraId="2DCB701F" w14:textId="1660BD06" w:rsidR="00695897" w:rsidRDefault="00695897" w:rsidP="00695897">
            <w:r>
              <w:t>Запек, зъбна болка, сухота в устата, газове в корема, гастрит, повръщане, запек</w:t>
            </w:r>
          </w:p>
        </w:tc>
        <w:tc>
          <w:tcPr>
            <w:tcW w:w="3192" w:type="dxa"/>
          </w:tcPr>
          <w:p w14:paraId="7099317F" w14:textId="18404129" w:rsidR="00695897" w:rsidRDefault="00695897" w:rsidP="00695897">
            <w:r>
              <w:t>нечести</w:t>
            </w:r>
          </w:p>
        </w:tc>
      </w:tr>
      <w:tr w:rsidR="00695897" w14:paraId="4AD0A57C" w14:textId="77777777" w:rsidTr="00131312">
        <w:tc>
          <w:tcPr>
            <w:tcW w:w="3192" w:type="dxa"/>
            <w:vMerge/>
          </w:tcPr>
          <w:p w14:paraId="4513F6F0" w14:textId="77777777" w:rsidR="00695897" w:rsidRDefault="00695897" w:rsidP="00695897"/>
        </w:tc>
        <w:tc>
          <w:tcPr>
            <w:tcW w:w="3192" w:type="dxa"/>
            <w:vAlign w:val="bottom"/>
          </w:tcPr>
          <w:p w14:paraId="29F53D57" w14:textId="74107B49" w:rsidR="00695897" w:rsidRDefault="00695897" w:rsidP="00695897">
            <w:r>
              <w:t>Панкреатит</w:t>
            </w:r>
          </w:p>
        </w:tc>
        <w:tc>
          <w:tcPr>
            <w:tcW w:w="3192" w:type="dxa"/>
            <w:vAlign w:val="bottom"/>
          </w:tcPr>
          <w:p w14:paraId="403EF884" w14:textId="3756A4F8" w:rsidR="00695897" w:rsidRDefault="00695897" w:rsidP="00695897">
            <w:r>
              <w:t>с неизвестна честота</w:t>
            </w:r>
          </w:p>
        </w:tc>
      </w:tr>
      <w:tr w:rsidR="00695897" w14:paraId="5218AD6E" w14:textId="77777777" w:rsidTr="00695897">
        <w:tc>
          <w:tcPr>
            <w:tcW w:w="3192" w:type="dxa"/>
            <w:vMerge w:val="restart"/>
          </w:tcPr>
          <w:p w14:paraId="41697577" w14:textId="120384E7" w:rsidR="00695897" w:rsidRDefault="00695897" w:rsidP="00695897">
            <w:r>
              <w:t>Общи нарушения и ефекти на мястото на приложение</w:t>
            </w:r>
          </w:p>
        </w:tc>
        <w:tc>
          <w:tcPr>
            <w:tcW w:w="3192" w:type="dxa"/>
          </w:tcPr>
          <w:p w14:paraId="05CC33E5" w14:textId="2C0E5E59" w:rsidR="00695897" w:rsidRDefault="00695897" w:rsidP="00695897">
            <w:r>
              <w:t>Астения, умора, болка в гърдите</w:t>
            </w:r>
          </w:p>
        </w:tc>
        <w:tc>
          <w:tcPr>
            <w:tcW w:w="3192" w:type="dxa"/>
          </w:tcPr>
          <w:p w14:paraId="05EF8D9F" w14:textId="3E463A4C" w:rsidR="00695897" w:rsidRDefault="00695897" w:rsidP="00695897">
            <w:r>
              <w:t>чести</w:t>
            </w:r>
          </w:p>
        </w:tc>
      </w:tr>
      <w:tr w:rsidR="00695897" w14:paraId="7A4EA1E1" w14:textId="77777777" w:rsidTr="00131312">
        <w:tc>
          <w:tcPr>
            <w:tcW w:w="3192" w:type="dxa"/>
            <w:vMerge/>
          </w:tcPr>
          <w:p w14:paraId="17C2364C" w14:textId="77777777" w:rsidR="00695897" w:rsidRDefault="00695897" w:rsidP="00695897"/>
        </w:tc>
        <w:tc>
          <w:tcPr>
            <w:tcW w:w="3192" w:type="dxa"/>
            <w:vAlign w:val="bottom"/>
          </w:tcPr>
          <w:p w14:paraId="10A9B337" w14:textId="273757C4" w:rsidR="00695897" w:rsidRDefault="00695897" w:rsidP="00695897">
            <w:r>
              <w:t>Оток на лицето, оток, треска</w:t>
            </w:r>
          </w:p>
        </w:tc>
        <w:tc>
          <w:tcPr>
            <w:tcW w:w="3192" w:type="dxa"/>
            <w:vAlign w:val="bottom"/>
          </w:tcPr>
          <w:p w14:paraId="594D01E5" w14:textId="112ED219" w:rsidR="00695897" w:rsidRDefault="00695897" w:rsidP="00695897">
            <w:r>
              <w:t>нечести</w:t>
            </w:r>
          </w:p>
        </w:tc>
      </w:tr>
      <w:tr w:rsidR="00695897" w14:paraId="35353D6D" w14:textId="77777777" w:rsidTr="00131312">
        <w:tc>
          <w:tcPr>
            <w:tcW w:w="3192" w:type="dxa"/>
            <w:vMerge/>
          </w:tcPr>
          <w:p w14:paraId="35A51FF6" w14:textId="77777777" w:rsidR="00695897" w:rsidRDefault="00695897" w:rsidP="00695897"/>
        </w:tc>
        <w:tc>
          <w:tcPr>
            <w:tcW w:w="3192" w:type="dxa"/>
            <w:vAlign w:val="bottom"/>
          </w:tcPr>
          <w:p w14:paraId="1AC7F783" w14:textId="4C3EBF08" w:rsidR="00695897" w:rsidRDefault="00695897" w:rsidP="00695897">
            <w:r>
              <w:t>Грипо-подобни симптоми, обща отпадналост</w:t>
            </w:r>
          </w:p>
        </w:tc>
        <w:tc>
          <w:tcPr>
            <w:tcW w:w="3192" w:type="dxa"/>
          </w:tcPr>
          <w:p w14:paraId="046F1996" w14:textId="1E33675B" w:rsidR="00695897" w:rsidRDefault="00695897" w:rsidP="00695897">
            <w:r>
              <w:t>с неизвестна честота</w:t>
            </w:r>
          </w:p>
        </w:tc>
      </w:tr>
      <w:tr w:rsidR="00695897" w14:paraId="2F4381DD" w14:textId="77777777" w:rsidTr="00131312">
        <w:tc>
          <w:tcPr>
            <w:tcW w:w="3192" w:type="dxa"/>
            <w:vAlign w:val="bottom"/>
          </w:tcPr>
          <w:p w14:paraId="56823F56" w14:textId="3510D28B" w:rsidR="00695897" w:rsidRDefault="00695897" w:rsidP="00695897">
            <w:r>
              <w:t>Хепато-билиарни смущения</w:t>
            </w:r>
          </w:p>
        </w:tc>
        <w:tc>
          <w:tcPr>
            <w:tcW w:w="3192" w:type="dxa"/>
            <w:vAlign w:val="bottom"/>
          </w:tcPr>
          <w:p w14:paraId="5DC49DAF" w14:textId="6169F915" w:rsidR="00695897" w:rsidRDefault="00695897" w:rsidP="00695897">
            <w:r>
              <w:t>Аномалии в чернодробната функция</w:t>
            </w:r>
          </w:p>
        </w:tc>
        <w:tc>
          <w:tcPr>
            <w:tcW w:w="3192" w:type="dxa"/>
          </w:tcPr>
          <w:p w14:paraId="5AE21B70" w14:textId="39858B9F" w:rsidR="00695897" w:rsidRDefault="00695897" w:rsidP="00695897">
            <w:r>
              <w:t>с неизвестна честота</w:t>
            </w:r>
          </w:p>
        </w:tc>
      </w:tr>
      <w:tr w:rsidR="00695897" w14:paraId="1A68B582" w14:textId="77777777" w:rsidTr="000A7F21">
        <w:tc>
          <w:tcPr>
            <w:tcW w:w="3192" w:type="dxa"/>
          </w:tcPr>
          <w:p w14:paraId="4BD9BD85" w14:textId="65C2BBAC" w:rsidR="00695897" w:rsidRDefault="00695897" w:rsidP="00695897">
            <w:r>
              <w:t>Нарушения на имунната система</w:t>
            </w:r>
          </w:p>
        </w:tc>
        <w:tc>
          <w:tcPr>
            <w:tcW w:w="3192" w:type="dxa"/>
            <w:vAlign w:val="bottom"/>
          </w:tcPr>
          <w:p w14:paraId="7B488708" w14:textId="7AA6B5D5" w:rsidR="00695897" w:rsidRDefault="00695897" w:rsidP="00695897">
            <w:r>
              <w:t>Свръхчувствителност, анафилактични реакции, ангиоедем, включително подуване на ларинкса и езика, предизвикаващо обструкция на дихателните пътища, и/или подуване на лицето, устните, фаринкса и/или езика; при нчкои от тези пациенти ангиоедем е бил докладван в миналото във връзка с приложение на други лекарства, включително АСЕ- инхибитори</w:t>
            </w:r>
          </w:p>
        </w:tc>
        <w:tc>
          <w:tcPr>
            <w:tcW w:w="3192" w:type="dxa"/>
          </w:tcPr>
          <w:p w14:paraId="28713771" w14:textId="689AB259" w:rsidR="00695897" w:rsidRDefault="00695897" w:rsidP="00695897">
            <w:r>
              <w:t>редки</w:t>
            </w:r>
          </w:p>
        </w:tc>
      </w:tr>
      <w:tr w:rsidR="00695897" w14:paraId="2C8B70FE" w14:textId="77777777" w:rsidTr="000A7F21">
        <w:tc>
          <w:tcPr>
            <w:tcW w:w="3192" w:type="dxa"/>
            <w:vAlign w:val="bottom"/>
          </w:tcPr>
          <w:p w14:paraId="3E07EC55" w14:textId="11B8F7D9" w:rsidR="00695897" w:rsidRDefault="00695897" w:rsidP="00695897">
            <w:r>
              <w:t>Нарушения на метаболизма и храненето</w:t>
            </w:r>
          </w:p>
        </w:tc>
        <w:tc>
          <w:tcPr>
            <w:tcW w:w="3192" w:type="dxa"/>
          </w:tcPr>
          <w:p w14:paraId="510243E2" w14:textId="0008E873" w:rsidR="00695897" w:rsidRDefault="00695897" w:rsidP="00695897">
            <w:r>
              <w:t>Анорексия, подагра</w:t>
            </w:r>
          </w:p>
        </w:tc>
        <w:tc>
          <w:tcPr>
            <w:tcW w:w="3192" w:type="dxa"/>
          </w:tcPr>
          <w:p w14:paraId="5EF3081F" w14:textId="70CA221F" w:rsidR="00695897" w:rsidRDefault="00695897" w:rsidP="00695897">
            <w:r>
              <w:t>нечести</w:t>
            </w:r>
          </w:p>
        </w:tc>
      </w:tr>
      <w:tr w:rsidR="00695897" w14:paraId="5FD0DD80" w14:textId="77777777" w:rsidTr="000A7F21">
        <w:tc>
          <w:tcPr>
            <w:tcW w:w="3192" w:type="dxa"/>
            <w:vMerge w:val="restart"/>
          </w:tcPr>
          <w:p w14:paraId="7C7A910B" w14:textId="158BEEC2" w:rsidR="00695897" w:rsidRDefault="00695897" w:rsidP="00695897">
            <w:r>
              <w:t>Нарушения на мускулно- скелетната система и съединителната тъкан</w:t>
            </w:r>
          </w:p>
        </w:tc>
        <w:tc>
          <w:tcPr>
            <w:tcW w:w="3192" w:type="dxa"/>
            <w:vAlign w:val="bottom"/>
          </w:tcPr>
          <w:p w14:paraId="051B4BDC" w14:textId="34535488" w:rsidR="00695897" w:rsidRDefault="00695897" w:rsidP="00695897">
            <w:r>
              <w:t>Мускулен спазъм, болка в гърба, болка в крака, миалгия</w:t>
            </w:r>
          </w:p>
        </w:tc>
        <w:tc>
          <w:tcPr>
            <w:tcW w:w="3192" w:type="dxa"/>
          </w:tcPr>
          <w:p w14:paraId="0339E9F4" w14:textId="7BDEA6E4" w:rsidR="00695897" w:rsidRDefault="00695897" w:rsidP="00695897">
            <w:r>
              <w:t>чести</w:t>
            </w:r>
          </w:p>
        </w:tc>
      </w:tr>
      <w:tr w:rsidR="00695897" w14:paraId="257F284D" w14:textId="77777777" w:rsidTr="00695897">
        <w:tc>
          <w:tcPr>
            <w:tcW w:w="3192" w:type="dxa"/>
            <w:vMerge/>
          </w:tcPr>
          <w:p w14:paraId="6ACE699E" w14:textId="77777777" w:rsidR="00695897" w:rsidRDefault="00695897" w:rsidP="00695897"/>
        </w:tc>
        <w:tc>
          <w:tcPr>
            <w:tcW w:w="3192" w:type="dxa"/>
          </w:tcPr>
          <w:p w14:paraId="0BB6B562" w14:textId="27B56F97" w:rsidR="00695897" w:rsidRDefault="00695897" w:rsidP="00695897">
            <w:r>
              <w:t>Болка в ръката, подуване на ставата, болка в коляното, костно-мускулна болка, болка в рамото, схващане, артралгия, артрит, коксалгия,</w:t>
            </w:r>
          </w:p>
        </w:tc>
        <w:tc>
          <w:tcPr>
            <w:tcW w:w="3192" w:type="dxa"/>
          </w:tcPr>
          <w:p w14:paraId="7B592220" w14:textId="7686C9F2" w:rsidR="00695897" w:rsidRDefault="00695897" w:rsidP="00695897">
            <w:r>
              <w:t>нечести</w:t>
            </w:r>
          </w:p>
        </w:tc>
      </w:tr>
      <w:tr w:rsidR="00695897" w14:paraId="44963FF4" w14:textId="77777777" w:rsidTr="00695897">
        <w:tc>
          <w:tcPr>
            <w:tcW w:w="3192" w:type="dxa"/>
            <w:vMerge/>
          </w:tcPr>
          <w:p w14:paraId="1A39E36C" w14:textId="77777777" w:rsidR="00695897" w:rsidRDefault="00695897" w:rsidP="00695897"/>
        </w:tc>
        <w:tc>
          <w:tcPr>
            <w:tcW w:w="3192" w:type="dxa"/>
          </w:tcPr>
          <w:p w14:paraId="39D66AB8" w14:textId="199A9CDC" w:rsidR="00695897" w:rsidRDefault="00695897" w:rsidP="00695897">
            <w:r>
              <w:t>фибромиалгия, мускулна слабост</w:t>
            </w:r>
          </w:p>
        </w:tc>
        <w:tc>
          <w:tcPr>
            <w:tcW w:w="3192" w:type="dxa"/>
          </w:tcPr>
          <w:p w14:paraId="71C8EF6E" w14:textId="77777777" w:rsidR="00695897" w:rsidRDefault="00695897" w:rsidP="00695897"/>
        </w:tc>
      </w:tr>
      <w:tr w:rsidR="00695897" w14:paraId="419A0E15" w14:textId="77777777" w:rsidTr="00695897">
        <w:tc>
          <w:tcPr>
            <w:tcW w:w="3192" w:type="dxa"/>
            <w:vMerge/>
          </w:tcPr>
          <w:p w14:paraId="53204A2F" w14:textId="77777777" w:rsidR="00695897" w:rsidRDefault="00695897" w:rsidP="00695897"/>
        </w:tc>
        <w:tc>
          <w:tcPr>
            <w:tcW w:w="3192" w:type="dxa"/>
          </w:tcPr>
          <w:p w14:paraId="18CABF0C" w14:textId="5B807332" w:rsidR="00695897" w:rsidRDefault="00695897" w:rsidP="00695897">
            <w:r>
              <w:t>Рабдомиозлиза</w:t>
            </w:r>
          </w:p>
        </w:tc>
        <w:tc>
          <w:tcPr>
            <w:tcW w:w="3192" w:type="dxa"/>
          </w:tcPr>
          <w:p w14:paraId="350FFE43" w14:textId="69D025BF" w:rsidR="00695897" w:rsidRDefault="00695897" w:rsidP="00695897">
            <w:r>
              <w:t>с неизвестна честота</w:t>
            </w:r>
          </w:p>
        </w:tc>
      </w:tr>
      <w:tr w:rsidR="00695897" w14:paraId="2D4DC4F5" w14:textId="77777777" w:rsidTr="00695897">
        <w:tc>
          <w:tcPr>
            <w:tcW w:w="3192" w:type="dxa"/>
            <w:vMerge w:val="restart"/>
          </w:tcPr>
          <w:p w14:paraId="4E1B08E1" w14:textId="3B4E1DF4" w:rsidR="00695897" w:rsidRDefault="00695897" w:rsidP="00695897">
            <w:r>
              <w:t>Нарушения на нервната система</w:t>
            </w:r>
          </w:p>
        </w:tc>
        <w:tc>
          <w:tcPr>
            <w:tcW w:w="3192" w:type="dxa"/>
          </w:tcPr>
          <w:p w14:paraId="7E3083FD" w14:textId="3EDFED43" w:rsidR="00695897" w:rsidRDefault="00695897" w:rsidP="00695897">
            <w:r>
              <w:t>Главоболие, замайване</w:t>
            </w:r>
          </w:p>
        </w:tc>
        <w:tc>
          <w:tcPr>
            <w:tcW w:w="3192" w:type="dxa"/>
          </w:tcPr>
          <w:p w14:paraId="26448277" w14:textId="2F9DF217" w:rsidR="00695897" w:rsidRDefault="00695897" w:rsidP="00695897">
            <w:r>
              <w:t>чести</w:t>
            </w:r>
          </w:p>
        </w:tc>
      </w:tr>
      <w:tr w:rsidR="00695897" w14:paraId="56205489" w14:textId="77777777" w:rsidTr="00695897">
        <w:tc>
          <w:tcPr>
            <w:tcW w:w="3192" w:type="dxa"/>
            <w:vMerge/>
          </w:tcPr>
          <w:p w14:paraId="1B89A78C" w14:textId="77777777" w:rsidR="00695897" w:rsidRDefault="00695897" w:rsidP="00695897"/>
        </w:tc>
        <w:tc>
          <w:tcPr>
            <w:tcW w:w="3192" w:type="dxa"/>
          </w:tcPr>
          <w:p w14:paraId="0AED76B6" w14:textId="595D3286" w:rsidR="00695897" w:rsidRDefault="00695897" w:rsidP="00695897">
            <w:r>
              <w:t>Нервност, парестезия, периферна невропатия, тремор, мигрена, синкоп</w:t>
            </w:r>
          </w:p>
        </w:tc>
        <w:tc>
          <w:tcPr>
            <w:tcW w:w="3192" w:type="dxa"/>
          </w:tcPr>
          <w:p w14:paraId="52EFD738" w14:textId="6768142C" w:rsidR="00695897" w:rsidRDefault="00695897" w:rsidP="00695897">
            <w:r>
              <w:t>нечести</w:t>
            </w:r>
          </w:p>
        </w:tc>
      </w:tr>
      <w:tr w:rsidR="00695897" w14:paraId="7F0ADE30" w14:textId="77777777" w:rsidTr="00695897">
        <w:tc>
          <w:tcPr>
            <w:tcW w:w="3192" w:type="dxa"/>
            <w:vMerge/>
          </w:tcPr>
          <w:p w14:paraId="3157F9C4" w14:textId="77777777" w:rsidR="00695897" w:rsidRDefault="00695897" w:rsidP="00695897"/>
        </w:tc>
        <w:tc>
          <w:tcPr>
            <w:tcW w:w="3192" w:type="dxa"/>
          </w:tcPr>
          <w:p w14:paraId="1715A08F" w14:textId="1EDABF7E" w:rsidR="00695897" w:rsidRDefault="00695897" w:rsidP="00695897">
            <w:r>
              <w:t>Дисгеузия</w:t>
            </w:r>
          </w:p>
        </w:tc>
        <w:tc>
          <w:tcPr>
            <w:tcW w:w="3192" w:type="dxa"/>
          </w:tcPr>
          <w:p w14:paraId="33BD44F3" w14:textId="48F100A4" w:rsidR="00695897" w:rsidRDefault="00695897" w:rsidP="00695897">
            <w:r>
              <w:t>с неизвестна честота</w:t>
            </w:r>
          </w:p>
        </w:tc>
      </w:tr>
      <w:tr w:rsidR="00695897" w14:paraId="2F79DB85" w14:textId="77777777" w:rsidTr="00695897">
        <w:tc>
          <w:tcPr>
            <w:tcW w:w="3192" w:type="dxa"/>
            <w:vMerge w:val="restart"/>
          </w:tcPr>
          <w:p w14:paraId="5EFAD551" w14:textId="60B27270" w:rsidR="00695897" w:rsidRDefault="00695897" w:rsidP="00695897">
            <w:r>
              <w:lastRenderedPageBreak/>
              <w:t>Психични нарушения</w:t>
            </w:r>
          </w:p>
        </w:tc>
        <w:tc>
          <w:tcPr>
            <w:tcW w:w="3192" w:type="dxa"/>
          </w:tcPr>
          <w:p w14:paraId="57D66442" w14:textId="38DD0AE1" w:rsidR="00695897" w:rsidRDefault="00695897" w:rsidP="00695897">
            <w:r>
              <w:t>Безсъние</w:t>
            </w:r>
          </w:p>
        </w:tc>
        <w:tc>
          <w:tcPr>
            <w:tcW w:w="3192" w:type="dxa"/>
          </w:tcPr>
          <w:p w14:paraId="56D11E07" w14:textId="12F72B90" w:rsidR="00695897" w:rsidRDefault="00695897" w:rsidP="00695897">
            <w:r>
              <w:t>чести</w:t>
            </w:r>
          </w:p>
        </w:tc>
      </w:tr>
      <w:tr w:rsidR="00695897" w14:paraId="0C2C6931" w14:textId="77777777" w:rsidTr="00695897">
        <w:tc>
          <w:tcPr>
            <w:tcW w:w="3192" w:type="dxa"/>
            <w:vMerge/>
          </w:tcPr>
          <w:p w14:paraId="70E74326" w14:textId="77777777" w:rsidR="00695897" w:rsidRDefault="00695897" w:rsidP="00695897"/>
        </w:tc>
        <w:tc>
          <w:tcPr>
            <w:tcW w:w="3192" w:type="dxa"/>
          </w:tcPr>
          <w:p w14:paraId="7307EDBB" w14:textId="2F4EF447" w:rsidR="00695897" w:rsidRDefault="00695897" w:rsidP="00695897">
            <w:r>
              <w:t>Тревожност, паническо разстройство, объркване, депресия, патологични сънища, нарушения на съня, сънливост, увредена памет</w:t>
            </w:r>
          </w:p>
        </w:tc>
        <w:tc>
          <w:tcPr>
            <w:tcW w:w="3192" w:type="dxa"/>
          </w:tcPr>
          <w:p w14:paraId="1238128D" w14:textId="02FE0DC8" w:rsidR="00695897" w:rsidRDefault="00695897" w:rsidP="00695897">
            <w:r>
              <w:t>нечести</w:t>
            </w:r>
          </w:p>
        </w:tc>
      </w:tr>
      <w:tr w:rsidR="00695897" w14:paraId="027D6B7F" w14:textId="77777777" w:rsidTr="00695897">
        <w:tc>
          <w:tcPr>
            <w:tcW w:w="3192" w:type="dxa"/>
            <w:vMerge w:val="restart"/>
          </w:tcPr>
          <w:p w14:paraId="1ECC3899" w14:textId="676357CB" w:rsidR="00695897" w:rsidRDefault="00695897" w:rsidP="00695897">
            <w:r>
              <w:t>Нарушения на бъбреците и пикочните пътища</w:t>
            </w:r>
          </w:p>
        </w:tc>
        <w:tc>
          <w:tcPr>
            <w:tcW w:w="3192" w:type="dxa"/>
          </w:tcPr>
          <w:p w14:paraId="1BA3F71D" w14:textId="692BF20B" w:rsidR="00695897" w:rsidRDefault="00695897" w:rsidP="00695897">
            <w:r>
              <w:t>Бъбречно увреждане, бъбречна недостатъчност</w:t>
            </w:r>
          </w:p>
        </w:tc>
        <w:tc>
          <w:tcPr>
            <w:tcW w:w="3192" w:type="dxa"/>
          </w:tcPr>
          <w:p w14:paraId="7C4BC97B" w14:textId="55F18508" w:rsidR="00695897" w:rsidRDefault="00695897" w:rsidP="00695897">
            <w:r>
              <w:t>чести</w:t>
            </w:r>
          </w:p>
        </w:tc>
      </w:tr>
      <w:tr w:rsidR="00695897" w14:paraId="78A0CF31" w14:textId="77777777" w:rsidTr="00695897">
        <w:tc>
          <w:tcPr>
            <w:tcW w:w="3192" w:type="dxa"/>
            <w:vMerge/>
          </w:tcPr>
          <w:p w14:paraId="2091ABB3" w14:textId="77777777" w:rsidR="00695897" w:rsidRDefault="00695897" w:rsidP="00695897"/>
        </w:tc>
        <w:tc>
          <w:tcPr>
            <w:tcW w:w="3192" w:type="dxa"/>
          </w:tcPr>
          <w:p w14:paraId="0F74AD3A" w14:textId="2D897978" w:rsidR="00695897" w:rsidRDefault="00695897" w:rsidP="00695897">
            <w:r>
              <w:t>Никтурия, често уриниране, инфекция на пикочните пътища</w:t>
            </w:r>
          </w:p>
        </w:tc>
        <w:tc>
          <w:tcPr>
            <w:tcW w:w="3192" w:type="dxa"/>
          </w:tcPr>
          <w:p w14:paraId="0A264139" w14:textId="0E05CA36" w:rsidR="00695897" w:rsidRDefault="00695897" w:rsidP="00695897">
            <w:r>
              <w:t>нечести</w:t>
            </w:r>
          </w:p>
        </w:tc>
      </w:tr>
      <w:tr w:rsidR="00695897" w14:paraId="713D61CF" w14:textId="77777777" w:rsidTr="00695897">
        <w:tc>
          <w:tcPr>
            <w:tcW w:w="3192" w:type="dxa"/>
          </w:tcPr>
          <w:p w14:paraId="4C398070" w14:textId="0055C44D" w:rsidR="00695897" w:rsidRDefault="00695897" w:rsidP="00695897">
            <w:r>
              <w:t>Нарушения на възпроизводителната система и гърдата</w:t>
            </w:r>
          </w:p>
        </w:tc>
        <w:tc>
          <w:tcPr>
            <w:tcW w:w="3192" w:type="dxa"/>
          </w:tcPr>
          <w:p w14:paraId="5501296B" w14:textId="75586708" w:rsidR="00695897" w:rsidRDefault="00695897" w:rsidP="00695897">
            <w:r>
              <w:t>Понижено либидо,еректилна дисфункция/импотентност</w:t>
            </w:r>
          </w:p>
        </w:tc>
        <w:tc>
          <w:tcPr>
            <w:tcW w:w="3192" w:type="dxa"/>
          </w:tcPr>
          <w:p w14:paraId="289EDAD2" w14:textId="5B758C6D" w:rsidR="00695897" w:rsidRDefault="00695897" w:rsidP="00695897">
            <w:r>
              <w:t>нечести</w:t>
            </w:r>
          </w:p>
        </w:tc>
      </w:tr>
      <w:tr w:rsidR="00695897" w14:paraId="249525A4" w14:textId="77777777" w:rsidTr="00695897">
        <w:tc>
          <w:tcPr>
            <w:tcW w:w="3192" w:type="dxa"/>
            <w:vMerge w:val="restart"/>
          </w:tcPr>
          <w:p w14:paraId="5ADE32E4" w14:textId="479916D3" w:rsidR="00695897" w:rsidRDefault="00695897" w:rsidP="00695897">
            <w:r>
              <w:t>Респираторни, гръдни и медиастинални нарушения</w:t>
            </w:r>
          </w:p>
        </w:tc>
        <w:tc>
          <w:tcPr>
            <w:tcW w:w="3192" w:type="dxa"/>
          </w:tcPr>
          <w:p w14:paraId="195335DD" w14:textId="570D85B3" w:rsidR="00695897" w:rsidRDefault="00695897" w:rsidP="00695897">
            <w:r>
              <w:t>Кашлица, инфекция на горните дихателни пътища, запушване на носа, синузит, нарушения в синусите</w:t>
            </w:r>
          </w:p>
        </w:tc>
        <w:tc>
          <w:tcPr>
            <w:tcW w:w="3192" w:type="dxa"/>
          </w:tcPr>
          <w:p w14:paraId="28461B61" w14:textId="3CCF1731" w:rsidR="00695897" w:rsidRDefault="00695897" w:rsidP="00695897">
            <w:r>
              <w:t>чести</w:t>
            </w:r>
          </w:p>
        </w:tc>
      </w:tr>
      <w:tr w:rsidR="00695897" w14:paraId="657C95EC" w14:textId="77777777" w:rsidTr="00695897">
        <w:tc>
          <w:tcPr>
            <w:tcW w:w="3192" w:type="dxa"/>
            <w:vMerge/>
          </w:tcPr>
          <w:p w14:paraId="08D1D069" w14:textId="77777777" w:rsidR="00695897" w:rsidRDefault="00695897" w:rsidP="00695897"/>
        </w:tc>
        <w:tc>
          <w:tcPr>
            <w:tcW w:w="3192" w:type="dxa"/>
          </w:tcPr>
          <w:p w14:paraId="7434F8B9" w14:textId="6FB9939B" w:rsidR="00695897" w:rsidRDefault="00695897" w:rsidP="00695897">
            <w:r>
              <w:t>Фарингеален дискомфорт, фарингит, ларингит, диспнея, бронхит, епистаксис, ринит, респираторна конгестия</w:t>
            </w:r>
          </w:p>
        </w:tc>
        <w:tc>
          <w:tcPr>
            <w:tcW w:w="3192" w:type="dxa"/>
          </w:tcPr>
          <w:p w14:paraId="2F36D455" w14:textId="3D609539" w:rsidR="00695897" w:rsidRDefault="00695897" w:rsidP="00695897">
            <w:r>
              <w:t>нечести</w:t>
            </w:r>
          </w:p>
        </w:tc>
      </w:tr>
      <w:tr w:rsidR="00695897" w14:paraId="681BAF3F" w14:textId="77777777" w:rsidTr="00695897">
        <w:tc>
          <w:tcPr>
            <w:tcW w:w="3192" w:type="dxa"/>
          </w:tcPr>
          <w:p w14:paraId="77905ECA" w14:textId="3D49858C" w:rsidR="00695897" w:rsidRDefault="00695897" w:rsidP="00695897">
            <w:r>
              <w:t>Нарушения на кожата и подкожната тъкан</w:t>
            </w:r>
          </w:p>
        </w:tc>
        <w:tc>
          <w:tcPr>
            <w:tcW w:w="3192" w:type="dxa"/>
          </w:tcPr>
          <w:p w14:paraId="78916656" w14:textId="48951D88" w:rsidR="00695897" w:rsidRDefault="00695897" w:rsidP="00695897">
            <w:r>
              <w:t>Алопеция, дерматит, суха кожа, еритема, зачервяване, фоточувствителност, сърбеж, обрив, уртикария, изпотяване</w:t>
            </w:r>
          </w:p>
        </w:tc>
        <w:tc>
          <w:tcPr>
            <w:tcW w:w="3192" w:type="dxa"/>
          </w:tcPr>
          <w:p w14:paraId="7D0FF44A" w14:textId="1B9AC3CC" w:rsidR="00695897" w:rsidRDefault="00695897" w:rsidP="00695897">
            <w:r>
              <w:t>нечести</w:t>
            </w:r>
          </w:p>
        </w:tc>
      </w:tr>
      <w:tr w:rsidR="00695897" w14:paraId="31054990" w14:textId="77777777" w:rsidTr="00695897">
        <w:tc>
          <w:tcPr>
            <w:tcW w:w="3192" w:type="dxa"/>
            <w:vMerge w:val="restart"/>
          </w:tcPr>
          <w:p w14:paraId="091EE12D" w14:textId="5D3F30A0" w:rsidR="00695897" w:rsidRDefault="00695897" w:rsidP="00695897">
            <w:r>
              <w:t>Съдови нарушения</w:t>
            </w:r>
          </w:p>
        </w:tc>
        <w:tc>
          <w:tcPr>
            <w:tcW w:w="3192" w:type="dxa"/>
          </w:tcPr>
          <w:p w14:paraId="00B1344C" w14:textId="5C395FB0" w:rsidR="00695897" w:rsidRDefault="00695897" w:rsidP="00695897">
            <w:r>
              <w:t>Васкулит</w:t>
            </w:r>
          </w:p>
        </w:tc>
        <w:tc>
          <w:tcPr>
            <w:tcW w:w="3192" w:type="dxa"/>
          </w:tcPr>
          <w:p w14:paraId="292FFCE3" w14:textId="2018BC8E" w:rsidR="00695897" w:rsidRDefault="00695897" w:rsidP="00695897">
            <w:r>
              <w:t>нечести</w:t>
            </w:r>
          </w:p>
        </w:tc>
      </w:tr>
      <w:tr w:rsidR="00695897" w14:paraId="7DF7ED5C" w14:textId="77777777" w:rsidTr="00695897">
        <w:tc>
          <w:tcPr>
            <w:tcW w:w="3192" w:type="dxa"/>
            <w:vMerge/>
          </w:tcPr>
          <w:p w14:paraId="32E3E807" w14:textId="77777777" w:rsidR="00695897" w:rsidRDefault="00695897" w:rsidP="00695897"/>
        </w:tc>
        <w:tc>
          <w:tcPr>
            <w:tcW w:w="3192" w:type="dxa"/>
          </w:tcPr>
          <w:p w14:paraId="6C49140B" w14:textId="7006505A" w:rsidR="00695897" w:rsidRDefault="00695897" w:rsidP="00695897">
            <w:r>
              <w:t>Дозо-зависими оргостатични ефекти</w:t>
            </w:r>
          </w:p>
        </w:tc>
        <w:tc>
          <w:tcPr>
            <w:tcW w:w="3192" w:type="dxa"/>
          </w:tcPr>
          <w:p w14:paraId="4A92D4BB" w14:textId="3D457273" w:rsidR="00695897" w:rsidRDefault="00695897" w:rsidP="00695897">
            <w:r>
              <w:t>с неизвестна честота</w:t>
            </w:r>
          </w:p>
        </w:tc>
      </w:tr>
      <w:tr w:rsidR="00695897" w14:paraId="4D12705C" w14:textId="77777777" w:rsidTr="00695897">
        <w:tc>
          <w:tcPr>
            <w:tcW w:w="3192" w:type="dxa"/>
            <w:vMerge w:val="restart"/>
          </w:tcPr>
          <w:p w14:paraId="2B59E40D" w14:textId="2C447308" w:rsidR="00695897" w:rsidRDefault="00695897" w:rsidP="00695897">
            <w:r>
              <w:t>Изследвания</w:t>
            </w:r>
          </w:p>
        </w:tc>
        <w:tc>
          <w:tcPr>
            <w:tcW w:w="3192" w:type="dxa"/>
          </w:tcPr>
          <w:p w14:paraId="328E837E" w14:textId="58FDB7CC" w:rsidR="00695897" w:rsidRDefault="00695897" w:rsidP="00695897">
            <w:r>
              <w:t>Хиперкалиемия, леко понижени хематокрит и хемоглобин, хипогликемия</w:t>
            </w:r>
          </w:p>
        </w:tc>
        <w:tc>
          <w:tcPr>
            <w:tcW w:w="3192" w:type="dxa"/>
          </w:tcPr>
          <w:p w14:paraId="2057382A" w14:textId="1880E84D" w:rsidR="00695897" w:rsidRDefault="00695897" w:rsidP="00695897">
            <w:r>
              <w:t>чести</w:t>
            </w:r>
          </w:p>
        </w:tc>
      </w:tr>
      <w:tr w:rsidR="00695897" w14:paraId="1D927A62" w14:textId="77777777" w:rsidTr="00695897">
        <w:tc>
          <w:tcPr>
            <w:tcW w:w="3192" w:type="dxa"/>
            <w:vMerge/>
          </w:tcPr>
          <w:p w14:paraId="576D4FBD" w14:textId="77777777" w:rsidR="00695897" w:rsidRDefault="00695897" w:rsidP="00695897"/>
        </w:tc>
        <w:tc>
          <w:tcPr>
            <w:tcW w:w="3192" w:type="dxa"/>
          </w:tcPr>
          <w:p w14:paraId="1798E918" w14:textId="245C87A0" w:rsidR="00695897" w:rsidRDefault="00695897" w:rsidP="00695897">
            <w:r>
              <w:t>Леко повишаване в серумните нива на урея и креатинин</w:t>
            </w:r>
          </w:p>
        </w:tc>
        <w:tc>
          <w:tcPr>
            <w:tcW w:w="3192" w:type="dxa"/>
          </w:tcPr>
          <w:p w14:paraId="6032F29E" w14:textId="0CCBBAB4" w:rsidR="00695897" w:rsidRDefault="00695897" w:rsidP="00695897">
            <w:r>
              <w:t>нечести</w:t>
            </w:r>
          </w:p>
        </w:tc>
      </w:tr>
      <w:tr w:rsidR="00695897" w14:paraId="5738EF84" w14:textId="77777777" w:rsidTr="00695897">
        <w:tc>
          <w:tcPr>
            <w:tcW w:w="3192" w:type="dxa"/>
            <w:vMerge/>
          </w:tcPr>
          <w:p w14:paraId="176DB30F" w14:textId="77777777" w:rsidR="00695897" w:rsidRDefault="00695897" w:rsidP="00695897"/>
        </w:tc>
        <w:tc>
          <w:tcPr>
            <w:tcW w:w="3192" w:type="dxa"/>
          </w:tcPr>
          <w:p w14:paraId="667AF56D" w14:textId="7EC639FE" w:rsidR="00695897" w:rsidRDefault="00695897" w:rsidP="00695897">
            <w:r>
              <w:t>Повишаване на чернодробните ензими и билирубин</w:t>
            </w:r>
          </w:p>
        </w:tc>
        <w:tc>
          <w:tcPr>
            <w:tcW w:w="3192" w:type="dxa"/>
          </w:tcPr>
          <w:p w14:paraId="16265288" w14:textId="15ABC4BB" w:rsidR="00695897" w:rsidRDefault="00695897" w:rsidP="00695897">
            <w:r>
              <w:t>много редки</w:t>
            </w:r>
          </w:p>
        </w:tc>
      </w:tr>
      <w:tr w:rsidR="00695897" w14:paraId="7429F71F" w14:textId="77777777" w:rsidTr="00695897">
        <w:tc>
          <w:tcPr>
            <w:tcW w:w="3192" w:type="dxa"/>
            <w:vMerge/>
          </w:tcPr>
          <w:p w14:paraId="3E497910" w14:textId="77777777" w:rsidR="00695897" w:rsidRDefault="00695897" w:rsidP="00695897"/>
        </w:tc>
        <w:tc>
          <w:tcPr>
            <w:tcW w:w="3192" w:type="dxa"/>
          </w:tcPr>
          <w:p w14:paraId="23B63A0C" w14:textId="79A6EC5B" w:rsidR="00695897" w:rsidRDefault="00695897" w:rsidP="00695897">
            <w:r>
              <w:t>Хипонатриемия</w:t>
            </w:r>
          </w:p>
        </w:tc>
        <w:tc>
          <w:tcPr>
            <w:tcW w:w="3192" w:type="dxa"/>
          </w:tcPr>
          <w:p w14:paraId="20DDB308" w14:textId="13C668A1" w:rsidR="00695897" w:rsidRDefault="00695897" w:rsidP="00695897">
            <w:r>
              <w:rPr>
                <w:u w:val="single"/>
              </w:rPr>
              <w:t>с неизвестна честота</w:t>
            </w:r>
          </w:p>
        </w:tc>
      </w:tr>
    </w:tbl>
    <w:p w14:paraId="16BA10E7" w14:textId="3DA8AED9" w:rsidR="00695897" w:rsidRDefault="00695897" w:rsidP="00695897"/>
    <w:p w14:paraId="0B4883D1" w14:textId="431392E1" w:rsidR="00695897" w:rsidRDefault="00695897" w:rsidP="00695897">
      <w:pPr>
        <w:rPr>
          <w:u w:val="single"/>
        </w:rPr>
      </w:pPr>
      <w:r>
        <w:rPr>
          <w:u w:val="single"/>
        </w:rPr>
        <w:t>Хидрохлоротиазид</w:t>
      </w:r>
    </w:p>
    <w:tbl>
      <w:tblPr>
        <w:tblStyle w:val="TableGrid"/>
        <w:tblW w:w="0" w:type="auto"/>
        <w:tblLook w:val="04A0" w:firstRow="1" w:lastRow="0" w:firstColumn="1" w:lastColumn="0" w:noHBand="0" w:noVBand="1"/>
      </w:tblPr>
      <w:tblGrid>
        <w:gridCol w:w="3123"/>
        <w:gridCol w:w="3144"/>
        <w:gridCol w:w="3083"/>
      </w:tblGrid>
      <w:tr w:rsidR="00695897" w14:paraId="69B4B012" w14:textId="77777777" w:rsidTr="003A6B90">
        <w:tc>
          <w:tcPr>
            <w:tcW w:w="3192" w:type="dxa"/>
            <w:vAlign w:val="bottom"/>
          </w:tcPr>
          <w:p w14:paraId="04AC25AF" w14:textId="43799A3B" w:rsidR="00695897" w:rsidRDefault="00695897" w:rsidP="00695897">
            <w:r>
              <w:rPr>
                <w:b/>
                <w:bCs/>
              </w:rPr>
              <w:t>Системно-органен клас</w:t>
            </w:r>
          </w:p>
        </w:tc>
        <w:tc>
          <w:tcPr>
            <w:tcW w:w="3192" w:type="dxa"/>
            <w:vAlign w:val="bottom"/>
          </w:tcPr>
          <w:p w14:paraId="5B2E6BC3" w14:textId="2B1EB0E9" w:rsidR="00695897" w:rsidRDefault="00695897" w:rsidP="00695897">
            <w:r>
              <w:rPr>
                <w:b/>
                <w:bCs/>
              </w:rPr>
              <w:t>Нежелани реакции</w:t>
            </w:r>
          </w:p>
        </w:tc>
        <w:tc>
          <w:tcPr>
            <w:tcW w:w="3192" w:type="dxa"/>
            <w:vAlign w:val="bottom"/>
          </w:tcPr>
          <w:p w14:paraId="1EE8F2BB" w14:textId="5375AE90" w:rsidR="00695897" w:rsidRDefault="00695897" w:rsidP="00695897">
            <w:r>
              <w:rPr>
                <w:b/>
                <w:bCs/>
              </w:rPr>
              <w:t>Честота</w:t>
            </w:r>
          </w:p>
        </w:tc>
      </w:tr>
      <w:tr w:rsidR="00695897" w14:paraId="745B23DA" w14:textId="77777777" w:rsidTr="003A6B90">
        <w:tc>
          <w:tcPr>
            <w:tcW w:w="3192" w:type="dxa"/>
            <w:vAlign w:val="bottom"/>
          </w:tcPr>
          <w:p w14:paraId="53D38EF6" w14:textId="64B6B4EF" w:rsidR="00695897" w:rsidRDefault="00695897" w:rsidP="00695897">
            <w:r>
              <w:lastRenderedPageBreak/>
              <w:t>Неоплазми — доброкачествени, злокачествени и неопределени (вкл. кисти и полипи)</w:t>
            </w:r>
          </w:p>
        </w:tc>
        <w:tc>
          <w:tcPr>
            <w:tcW w:w="3192" w:type="dxa"/>
          </w:tcPr>
          <w:p w14:paraId="762046D6" w14:textId="504820DF" w:rsidR="00695897" w:rsidRDefault="00695897" w:rsidP="00695897">
            <w:r>
              <w:t>Немеланомен рак на кожата (базалноклетьчен карцином и сквамозноклетьчен карцином)</w:t>
            </w:r>
            <w:r>
              <w:rPr>
                <w:vertAlign w:val="superscript"/>
              </w:rPr>
              <w:t>1</w:t>
            </w:r>
          </w:p>
        </w:tc>
        <w:tc>
          <w:tcPr>
            <w:tcW w:w="3192" w:type="dxa"/>
          </w:tcPr>
          <w:p w14:paraId="4F4A66EB" w14:textId="7A21E200" w:rsidR="00695897" w:rsidRDefault="00695897" w:rsidP="00695897">
            <w:r>
              <w:t>с неизвестна честота</w:t>
            </w:r>
          </w:p>
        </w:tc>
      </w:tr>
      <w:tr w:rsidR="00695897" w14:paraId="74FBACA9" w14:textId="77777777" w:rsidTr="00695897">
        <w:tc>
          <w:tcPr>
            <w:tcW w:w="3192" w:type="dxa"/>
          </w:tcPr>
          <w:p w14:paraId="677B6445" w14:textId="00E815C9" w:rsidR="00695897" w:rsidRDefault="00695897" w:rsidP="00695897">
            <w:r>
              <w:t>Нарушения на кръвоносната и лимфна системи</w:t>
            </w:r>
          </w:p>
        </w:tc>
        <w:tc>
          <w:tcPr>
            <w:tcW w:w="3192" w:type="dxa"/>
          </w:tcPr>
          <w:p w14:paraId="03C2917F" w14:textId="62987631" w:rsidR="00695897" w:rsidRDefault="00695897" w:rsidP="00695897">
            <w:r>
              <w:t>Агранулоцитоза, апластична анемия, хемалитична анемия, левкопения, пурпура, тромбоцитопения</w:t>
            </w:r>
          </w:p>
        </w:tc>
        <w:tc>
          <w:tcPr>
            <w:tcW w:w="3192" w:type="dxa"/>
          </w:tcPr>
          <w:p w14:paraId="5A54743A" w14:textId="0DFB1C28" w:rsidR="00695897" w:rsidRDefault="00695897" w:rsidP="00695897">
            <w:r>
              <w:t>нечести</w:t>
            </w:r>
          </w:p>
        </w:tc>
      </w:tr>
      <w:tr w:rsidR="00695897" w14:paraId="47F77CB9" w14:textId="77777777" w:rsidTr="00695897">
        <w:tc>
          <w:tcPr>
            <w:tcW w:w="3192" w:type="dxa"/>
          </w:tcPr>
          <w:p w14:paraId="761BB631" w14:textId="48A81A66" w:rsidR="00695897" w:rsidRDefault="00695897" w:rsidP="00695897">
            <w:r>
              <w:t>Нарушения на имунната система</w:t>
            </w:r>
          </w:p>
        </w:tc>
        <w:tc>
          <w:tcPr>
            <w:tcW w:w="3192" w:type="dxa"/>
          </w:tcPr>
          <w:p w14:paraId="20297E19" w14:textId="740994E4" w:rsidR="00695897" w:rsidRDefault="00695897" w:rsidP="00695897">
            <w:r>
              <w:t>Анафилактична реакция</w:t>
            </w:r>
          </w:p>
        </w:tc>
        <w:tc>
          <w:tcPr>
            <w:tcW w:w="3192" w:type="dxa"/>
          </w:tcPr>
          <w:p w14:paraId="72D74824" w14:textId="2EA1E6DD" w:rsidR="00695897" w:rsidRDefault="00695897" w:rsidP="00695897">
            <w:r>
              <w:t>редки</w:t>
            </w:r>
          </w:p>
        </w:tc>
      </w:tr>
      <w:tr w:rsidR="00695897" w14:paraId="560B1214" w14:textId="77777777" w:rsidTr="00695897">
        <w:tc>
          <w:tcPr>
            <w:tcW w:w="3192" w:type="dxa"/>
          </w:tcPr>
          <w:p w14:paraId="7C78918E" w14:textId="142285D4" w:rsidR="00695897" w:rsidRDefault="00695897" w:rsidP="00695897">
            <w:r>
              <w:t>Нарушения на метаболизма и храненето</w:t>
            </w:r>
          </w:p>
        </w:tc>
        <w:tc>
          <w:tcPr>
            <w:tcW w:w="3192" w:type="dxa"/>
          </w:tcPr>
          <w:p w14:paraId="3874F850" w14:textId="0B74CBD1" w:rsidR="00695897" w:rsidRDefault="00695897" w:rsidP="00695897">
            <w:r>
              <w:t>Анорексия, хипергликемия, хиперурикемия, хипокалиемия, хипонатриемия</w:t>
            </w:r>
          </w:p>
        </w:tc>
        <w:tc>
          <w:tcPr>
            <w:tcW w:w="3192" w:type="dxa"/>
          </w:tcPr>
          <w:p w14:paraId="7A66D51F" w14:textId="1ABBD470" w:rsidR="00695897" w:rsidRDefault="00695897" w:rsidP="00695897">
            <w:r>
              <w:t>нечести</w:t>
            </w:r>
          </w:p>
        </w:tc>
      </w:tr>
      <w:tr w:rsidR="00695897" w14:paraId="0B499475" w14:textId="77777777" w:rsidTr="00695897">
        <w:tc>
          <w:tcPr>
            <w:tcW w:w="3192" w:type="dxa"/>
          </w:tcPr>
          <w:p w14:paraId="01C16103" w14:textId="32D1996A" w:rsidR="00695897" w:rsidRDefault="00695897" w:rsidP="00695897">
            <w:r>
              <w:t>Психични нарушения</w:t>
            </w:r>
          </w:p>
        </w:tc>
        <w:tc>
          <w:tcPr>
            <w:tcW w:w="3192" w:type="dxa"/>
          </w:tcPr>
          <w:p w14:paraId="72B35819" w14:textId="2DF75159" w:rsidR="00695897" w:rsidRDefault="00695897" w:rsidP="00695897">
            <w:r>
              <w:t>Безсъние</w:t>
            </w:r>
          </w:p>
        </w:tc>
        <w:tc>
          <w:tcPr>
            <w:tcW w:w="3192" w:type="dxa"/>
          </w:tcPr>
          <w:p w14:paraId="6547B723" w14:textId="03F89502" w:rsidR="00695897" w:rsidRDefault="00695897" w:rsidP="00695897">
            <w:r>
              <w:t>нечести</w:t>
            </w:r>
          </w:p>
        </w:tc>
      </w:tr>
      <w:tr w:rsidR="00695897" w14:paraId="4A0E000E" w14:textId="77777777" w:rsidTr="00695897">
        <w:tc>
          <w:tcPr>
            <w:tcW w:w="3192" w:type="dxa"/>
          </w:tcPr>
          <w:p w14:paraId="20D0FEB5" w14:textId="727920C0" w:rsidR="00695897" w:rsidRDefault="00695897" w:rsidP="00695897">
            <w:r>
              <w:t>Нарушения на нервната система</w:t>
            </w:r>
          </w:p>
        </w:tc>
        <w:tc>
          <w:tcPr>
            <w:tcW w:w="3192" w:type="dxa"/>
          </w:tcPr>
          <w:p w14:paraId="0CC8340F" w14:textId="2BEA5A57" w:rsidR="00695897" w:rsidRDefault="00695897" w:rsidP="00695897">
            <w:r>
              <w:t>Цефалгия</w:t>
            </w:r>
          </w:p>
        </w:tc>
        <w:tc>
          <w:tcPr>
            <w:tcW w:w="3192" w:type="dxa"/>
          </w:tcPr>
          <w:p w14:paraId="7781CFCE" w14:textId="5898875B" w:rsidR="00695897" w:rsidRDefault="00695897" w:rsidP="00695897">
            <w:r>
              <w:t>чести</w:t>
            </w:r>
          </w:p>
        </w:tc>
      </w:tr>
      <w:tr w:rsidR="00695897" w14:paraId="41D57682" w14:textId="77777777" w:rsidTr="00695897">
        <w:tc>
          <w:tcPr>
            <w:tcW w:w="3192" w:type="dxa"/>
            <w:vMerge w:val="restart"/>
          </w:tcPr>
          <w:p w14:paraId="1624FA6C" w14:textId="6E8DA066" w:rsidR="00695897" w:rsidRDefault="00695897" w:rsidP="00695897">
            <w:r>
              <w:t>Нарушения на окото</w:t>
            </w:r>
          </w:p>
        </w:tc>
        <w:tc>
          <w:tcPr>
            <w:tcW w:w="3192" w:type="dxa"/>
          </w:tcPr>
          <w:p w14:paraId="23A7B2D7" w14:textId="4A4F49F0" w:rsidR="00695897" w:rsidRDefault="00695897" w:rsidP="00695897">
            <w:r>
              <w:t>Преходно замъглено зрение, ксантопсия</w:t>
            </w:r>
          </w:p>
        </w:tc>
        <w:tc>
          <w:tcPr>
            <w:tcW w:w="3192" w:type="dxa"/>
          </w:tcPr>
          <w:p w14:paraId="73849F05" w14:textId="5ED450C8" w:rsidR="00695897" w:rsidRDefault="00695897" w:rsidP="00695897">
            <w:r>
              <w:t>нечести</w:t>
            </w:r>
          </w:p>
        </w:tc>
      </w:tr>
      <w:tr w:rsidR="00695897" w14:paraId="4F8ECA28" w14:textId="77777777" w:rsidTr="00695897">
        <w:tc>
          <w:tcPr>
            <w:tcW w:w="3192" w:type="dxa"/>
            <w:vMerge/>
          </w:tcPr>
          <w:p w14:paraId="35301E16" w14:textId="77777777" w:rsidR="00695897" w:rsidRDefault="00695897" w:rsidP="00695897"/>
        </w:tc>
        <w:tc>
          <w:tcPr>
            <w:tcW w:w="3192" w:type="dxa"/>
          </w:tcPr>
          <w:p w14:paraId="11FF0910" w14:textId="122BE545" w:rsidR="00695897" w:rsidRDefault="00695897" w:rsidP="00695897">
            <w:r>
              <w:t>Остра миопия</w:t>
            </w:r>
          </w:p>
        </w:tc>
        <w:tc>
          <w:tcPr>
            <w:tcW w:w="3192" w:type="dxa"/>
          </w:tcPr>
          <w:p w14:paraId="000B60D7" w14:textId="39074F06" w:rsidR="00695897" w:rsidRDefault="00695897" w:rsidP="00695897">
            <w:r>
              <w:t>с неизвестна честота</w:t>
            </w:r>
          </w:p>
        </w:tc>
      </w:tr>
      <w:tr w:rsidR="00695897" w14:paraId="2510C26F" w14:textId="77777777" w:rsidTr="00695897">
        <w:tc>
          <w:tcPr>
            <w:tcW w:w="3192" w:type="dxa"/>
            <w:vMerge/>
          </w:tcPr>
          <w:p w14:paraId="33EE4743" w14:textId="77777777" w:rsidR="00695897" w:rsidRDefault="00695897" w:rsidP="00695897"/>
        </w:tc>
        <w:tc>
          <w:tcPr>
            <w:tcW w:w="3192" w:type="dxa"/>
          </w:tcPr>
          <w:p w14:paraId="57309793" w14:textId="686F738B" w:rsidR="00695897" w:rsidRDefault="00695897" w:rsidP="00695897">
            <w:r>
              <w:t>Остра закритоъгълна глаукома</w:t>
            </w:r>
          </w:p>
        </w:tc>
        <w:tc>
          <w:tcPr>
            <w:tcW w:w="3192" w:type="dxa"/>
          </w:tcPr>
          <w:p w14:paraId="7E33D21E" w14:textId="16B07796" w:rsidR="00695897" w:rsidRDefault="00695897" w:rsidP="00695897">
            <w:r>
              <w:t>с неизвестна честота</w:t>
            </w:r>
          </w:p>
        </w:tc>
      </w:tr>
      <w:tr w:rsidR="00695897" w14:paraId="7CDFB37C" w14:textId="77777777" w:rsidTr="00695897">
        <w:tc>
          <w:tcPr>
            <w:tcW w:w="3192" w:type="dxa"/>
            <w:vMerge/>
          </w:tcPr>
          <w:p w14:paraId="0EFFE7C8" w14:textId="77777777" w:rsidR="00695897" w:rsidRDefault="00695897" w:rsidP="00695897"/>
        </w:tc>
        <w:tc>
          <w:tcPr>
            <w:tcW w:w="3192" w:type="dxa"/>
          </w:tcPr>
          <w:p w14:paraId="0A6B93C4" w14:textId="0AE8720A" w:rsidR="00695897" w:rsidRDefault="00695897" w:rsidP="00695897">
            <w:r>
              <w:t>Хороидален излив</w:t>
            </w:r>
          </w:p>
        </w:tc>
        <w:tc>
          <w:tcPr>
            <w:tcW w:w="3192" w:type="dxa"/>
          </w:tcPr>
          <w:p w14:paraId="5C106AD7" w14:textId="126B941F" w:rsidR="00695897" w:rsidRDefault="00695897" w:rsidP="00695897">
            <w:r>
              <w:t>с неизвестна честота</w:t>
            </w:r>
          </w:p>
        </w:tc>
      </w:tr>
      <w:tr w:rsidR="00695897" w14:paraId="036B0D83" w14:textId="77777777" w:rsidTr="00695897">
        <w:tc>
          <w:tcPr>
            <w:tcW w:w="3192" w:type="dxa"/>
          </w:tcPr>
          <w:p w14:paraId="2CF5A624" w14:textId="1CB2C1BD" w:rsidR="00695897" w:rsidRDefault="00695897" w:rsidP="00695897">
            <w:r>
              <w:t>Съдови нарушения</w:t>
            </w:r>
          </w:p>
        </w:tc>
        <w:tc>
          <w:tcPr>
            <w:tcW w:w="3192" w:type="dxa"/>
          </w:tcPr>
          <w:p w14:paraId="66F383EC" w14:textId="10BF2430" w:rsidR="00695897" w:rsidRDefault="00695897" w:rsidP="00695897">
            <w:r>
              <w:t>Некротизиращ ангиит (васкулит, кожен васкулит)</w:t>
            </w:r>
          </w:p>
        </w:tc>
        <w:tc>
          <w:tcPr>
            <w:tcW w:w="3192" w:type="dxa"/>
          </w:tcPr>
          <w:p w14:paraId="2718F490" w14:textId="0FDC0594" w:rsidR="00695897" w:rsidRDefault="00695897" w:rsidP="00695897">
            <w:r>
              <w:t>нечести</w:t>
            </w:r>
          </w:p>
        </w:tc>
      </w:tr>
      <w:tr w:rsidR="00695897" w14:paraId="6477A8A8" w14:textId="77777777" w:rsidTr="00695897">
        <w:tc>
          <w:tcPr>
            <w:tcW w:w="3192" w:type="dxa"/>
          </w:tcPr>
          <w:p w14:paraId="3CF1FBDC" w14:textId="06CEC4D4" w:rsidR="00695897" w:rsidRDefault="00695897" w:rsidP="00695897">
            <w:r>
              <w:t>Респираторни, гръдни и мед настинал ни нарушения</w:t>
            </w:r>
          </w:p>
        </w:tc>
        <w:tc>
          <w:tcPr>
            <w:tcW w:w="3192" w:type="dxa"/>
          </w:tcPr>
          <w:p w14:paraId="2A57F347" w14:textId="4561A61F" w:rsidR="00695897" w:rsidRDefault="00695897" w:rsidP="00695897">
            <w:r>
              <w:t>Респираторен дистрес, включително пневмонит и белодробен оток</w:t>
            </w:r>
          </w:p>
        </w:tc>
        <w:tc>
          <w:tcPr>
            <w:tcW w:w="3192" w:type="dxa"/>
          </w:tcPr>
          <w:p w14:paraId="0B1CA1CB" w14:textId="4E2EDA70" w:rsidR="00695897" w:rsidRDefault="00695897" w:rsidP="00695897">
            <w:r>
              <w:t>нечести</w:t>
            </w:r>
          </w:p>
        </w:tc>
      </w:tr>
      <w:tr w:rsidR="00695897" w14:paraId="0DC16F7D" w14:textId="77777777" w:rsidTr="00695897">
        <w:tc>
          <w:tcPr>
            <w:tcW w:w="3192" w:type="dxa"/>
          </w:tcPr>
          <w:p w14:paraId="5D8E32E9" w14:textId="767ED918" w:rsidR="00695897" w:rsidRDefault="00695897" w:rsidP="00695897">
            <w:r>
              <w:t>Стомашно-чревни нарушения</w:t>
            </w:r>
          </w:p>
        </w:tc>
        <w:tc>
          <w:tcPr>
            <w:tcW w:w="3192" w:type="dxa"/>
          </w:tcPr>
          <w:p w14:paraId="3343F47B" w14:textId="7B5B68D3" w:rsidR="00695897" w:rsidRDefault="00695897" w:rsidP="00695897">
            <w:r>
              <w:t>Сиалоаденит, спазми, стомашно дразнене, гадене, повръщане, диария, запек</w:t>
            </w:r>
          </w:p>
        </w:tc>
        <w:tc>
          <w:tcPr>
            <w:tcW w:w="3192" w:type="dxa"/>
          </w:tcPr>
          <w:p w14:paraId="5106D25F" w14:textId="7CD15146" w:rsidR="00695897" w:rsidRDefault="00695897" w:rsidP="00695897">
            <w:r>
              <w:t>нечести</w:t>
            </w:r>
          </w:p>
        </w:tc>
      </w:tr>
      <w:tr w:rsidR="00695897" w14:paraId="0C221EB7" w14:textId="77777777" w:rsidTr="00695897">
        <w:tc>
          <w:tcPr>
            <w:tcW w:w="3192" w:type="dxa"/>
          </w:tcPr>
          <w:p w14:paraId="50DED43E" w14:textId="0527D68E" w:rsidR="00695897" w:rsidRDefault="00695897" w:rsidP="00695897">
            <w:r>
              <w:t>Хепато-билиарни смущения</w:t>
            </w:r>
          </w:p>
        </w:tc>
        <w:tc>
          <w:tcPr>
            <w:tcW w:w="3192" w:type="dxa"/>
          </w:tcPr>
          <w:p w14:paraId="0F813375" w14:textId="645EBD41" w:rsidR="00695897" w:rsidRDefault="00695897" w:rsidP="00695897">
            <w:r>
              <w:t>Иктер (интрахепатална холестаза), панкреатит</w:t>
            </w:r>
          </w:p>
        </w:tc>
        <w:tc>
          <w:tcPr>
            <w:tcW w:w="3192" w:type="dxa"/>
          </w:tcPr>
          <w:p w14:paraId="6A9FB651" w14:textId="218F653F" w:rsidR="00695897" w:rsidRDefault="00695897" w:rsidP="00695897">
            <w:r>
              <w:t>нечести</w:t>
            </w:r>
          </w:p>
        </w:tc>
      </w:tr>
      <w:tr w:rsidR="00695897" w14:paraId="5C8BA030" w14:textId="77777777" w:rsidTr="00695897">
        <w:tc>
          <w:tcPr>
            <w:tcW w:w="3192" w:type="dxa"/>
            <w:vMerge w:val="restart"/>
          </w:tcPr>
          <w:p w14:paraId="14010B6E" w14:textId="152BD451" w:rsidR="00695897" w:rsidRDefault="00695897" w:rsidP="00695897">
            <w:r>
              <w:t>Нарушения на кожата и подкожната тъкан</w:t>
            </w:r>
          </w:p>
        </w:tc>
        <w:tc>
          <w:tcPr>
            <w:tcW w:w="3192" w:type="dxa"/>
          </w:tcPr>
          <w:p w14:paraId="0720303D" w14:textId="4D7CE444" w:rsidR="00695897" w:rsidRDefault="00695897" w:rsidP="00695897">
            <w:r>
              <w:t>Фоточувствителност, уртикария, токсична епидермална некролиза</w:t>
            </w:r>
          </w:p>
        </w:tc>
        <w:tc>
          <w:tcPr>
            <w:tcW w:w="3192" w:type="dxa"/>
          </w:tcPr>
          <w:p w14:paraId="78E74D41" w14:textId="4B4DF16C" w:rsidR="00695897" w:rsidRDefault="00695897" w:rsidP="00695897">
            <w:r>
              <w:t>нечести</w:t>
            </w:r>
          </w:p>
        </w:tc>
      </w:tr>
      <w:tr w:rsidR="00695897" w14:paraId="7120E517" w14:textId="77777777" w:rsidTr="00695897">
        <w:tc>
          <w:tcPr>
            <w:tcW w:w="3192" w:type="dxa"/>
            <w:vMerge/>
          </w:tcPr>
          <w:p w14:paraId="738D28BA" w14:textId="77777777" w:rsidR="00695897" w:rsidRDefault="00695897" w:rsidP="00695897"/>
        </w:tc>
        <w:tc>
          <w:tcPr>
            <w:tcW w:w="3192" w:type="dxa"/>
          </w:tcPr>
          <w:p w14:paraId="096058DE" w14:textId="0833AB95" w:rsidR="00695897" w:rsidRDefault="00695897" w:rsidP="00695897">
            <w:r>
              <w:t>Кожен лупус еритематодес</w:t>
            </w:r>
          </w:p>
        </w:tc>
        <w:tc>
          <w:tcPr>
            <w:tcW w:w="3192" w:type="dxa"/>
          </w:tcPr>
          <w:p w14:paraId="503DE256" w14:textId="414A2375" w:rsidR="00695897" w:rsidRDefault="00695897" w:rsidP="00695897">
            <w:r>
              <w:t>с неизвестна честота</w:t>
            </w:r>
          </w:p>
        </w:tc>
      </w:tr>
      <w:tr w:rsidR="00695897" w14:paraId="5D9115BC" w14:textId="77777777" w:rsidTr="00695897">
        <w:tc>
          <w:tcPr>
            <w:tcW w:w="3192" w:type="dxa"/>
          </w:tcPr>
          <w:p w14:paraId="16019A1F" w14:textId="69F1815E" w:rsidR="00695897" w:rsidRDefault="00695897" w:rsidP="00695897">
            <w:r>
              <w:t>Нарушения на мускулно- скелетната система и съединителната тъкан</w:t>
            </w:r>
          </w:p>
        </w:tc>
        <w:tc>
          <w:tcPr>
            <w:tcW w:w="3192" w:type="dxa"/>
          </w:tcPr>
          <w:p w14:paraId="568246FD" w14:textId="70FCED94" w:rsidR="00695897" w:rsidRDefault="00695897" w:rsidP="00695897">
            <w:r>
              <w:t>Мускулни спазми</w:t>
            </w:r>
          </w:p>
        </w:tc>
        <w:tc>
          <w:tcPr>
            <w:tcW w:w="3192" w:type="dxa"/>
          </w:tcPr>
          <w:p w14:paraId="5EEA4CCC" w14:textId="32333F54" w:rsidR="00695897" w:rsidRDefault="00695897" w:rsidP="00695897">
            <w:r>
              <w:t>нечести</w:t>
            </w:r>
          </w:p>
        </w:tc>
      </w:tr>
      <w:tr w:rsidR="00695897" w14:paraId="61695CFA" w14:textId="77777777" w:rsidTr="00695897">
        <w:tc>
          <w:tcPr>
            <w:tcW w:w="3192" w:type="dxa"/>
          </w:tcPr>
          <w:p w14:paraId="21FBAF28" w14:textId="73113707" w:rsidR="00695897" w:rsidRDefault="00695897" w:rsidP="00695897">
            <w:r>
              <w:t>Нарушения на бъбреците и пикочните пътища</w:t>
            </w:r>
          </w:p>
        </w:tc>
        <w:tc>
          <w:tcPr>
            <w:tcW w:w="3192" w:type="dxa"/>
          </w:tcPr>
          <w:p w14:paraId="76790C9D" w14:textId="77777777" w:rsidR="00695897" w:rsidRDefault="00695897" w:rsidP="00695897">
            <w:r>
              <w:t>Глюкозурия, интерстициален нефрит, бъбречна дисфункция, бъбречна</w:t>
            </w:r>
          </w:p>
          <w:p w14:paraId="4F7B4D8C" w14:textId="1CE5D3A8" w:rsidR="00695897" w:rsidRDefault="00695897" w:rsidP="00695897">
            <w:r>
              <w:lastRenderedPageBreak/>
              <w:t>недостатъчност</w:t>
            </w:r>
          </w:p>
        </w:tc>
        <w:tc>
          <w:tcPr>
            <w:tcW w:w="3192" w:type="dxa"/>
          </w:tcPr>
          <w:p w14:paraId="485AE0A8" w14:textId="37F587CF" w:rsidR="00695897" w:rsidRDefault="00695897" w:rsidP="00695897">
            <w:r>
              <w:lastRenderedPageBreak/>
              <w:t>нечести</w:t>
            </w:r>
          </w:p>
        </w:tc>
      </w:tr>
      <w:tr w:rsidR="00695897" w14:paraId="5835F70C" w14:textId="77777777" w:rsidTr="00695897">
        <w:tc>
          <w:tcPr>
            <w:tcW w:w="3192" w:type="dxa"/>
          </w:tcPr>
          <w:p w14:paraId="2220DBC2" w14:textId="6167D761" w:rsidR="00695897" w:rsidRDefault="00695897" w:rsidP="00695897">
            <w:r>
              <w:t>Общи нарушения и ефекти на мястото на приложение</w:t>
            </w:r>
          </w:p>
        </w:tc>
        <w:tc>
          <w:tcPr>
            <w:tcW w:w="3192" w:type="dxa"/>
          </w:tcPr>
          <w:p w14:paraId="619B5B65" w14:textId="67BE9381" w:rsidR="00695897" w:rsidRDefault="00695897" w:rsidP="00695897">
            <w:r>
              <w:t>Треска, замайване</w:t>
            </w:r>
          </w:p>
        </w:tc>
        <w:tc>
          <w:tcPr>
            <w:tcW w:w="3192" w:type="dxa"/>
          </w:tcPr>
          <w:p w14:paraId="200E1B31" w14:textId="152DB1F4" w:rsidR="00695897" w:rsidRDefault="00695897" w:rsidP="00695897">
            <w:r>
              <w:t>нечести</w:t>
            </w:r>
          </w:p>
        </w:tc>
      </w:tr>
    </w:tbl>
    <w:p w14:paraId="2B939A79" w14:textId="77777777" w:rsidR="00695897" w:rsidRPr="00695897" w:rsidRDefault="00695897" w:rsidP="00695897">
      <w:pPr>
        <w:spacing w:line="240" w:lineRule="auto"/>
        <w:rPr>
          <w:rFonts w:eastAsia="Times New Roman" w:cs="Arial"/>
        </w:rPr>
      </w:pPr>
      <w:r w:rsidRPr="00695897">
        <w:rPr>
          <w:rFonts w:eastAsia="Times New Roman" w:cs="Arial"/>
          <w:color w:val="000000"/>
          <w:vertAlign w:val="superscript"/>
          <w:lang w:eastAsia="bg-BG"/>
        </w:rPr>
        <w:t>1</w:t>
      </w:r>
      <w:r w:rsidRPr="00695897">
        <w:rPr>
          <w:rFonts w:eastAsia="Times New Roman" w:cs="Arial"/>
          <w:color w:val="000000"/>
          <w:lang w:eastAsia="bg-BG"/>
        </w:rPr>
        <w:t xml:space="preserve"> Немеланомен рак на кожата: Въз основа на наличните данни от епидемиологични проучвания е наблюдавана зависима от кумулативната доза връзка между ХХТЗ и НМРК (вж. също точки 4.4 и 5.1).</w:t>
      </w:r>
    </w:p>
    <w:p w14:paraId="7321DE40" w14:textId="77777777" w:rsidR="00695897" w:rsidRPr="00695897" w:rsidRDefault="00695897" w:rsidP="00695897">
      <w:pPr>
        <w:spacing w:line="240" w:lineRule="auto"/>
        <w:rPr>
          <w:rFonts w:eastAsia="Times New Roman" w:cs="Arial"/>
          <w:color w:val="000000"/>
          <w:u w:val="single"/>
          <w:lang w:eastAsia="bg-BG"/>
        </w:rPr>
      </w:pPr>
    </w:p>
    <w:p w14:paraId="5899D332" w14:textId="4F47089A" w:rsidR="00695897" w:rsidRPr="00695897" w:rsidRDefault="00695897" w:rsidP="00695897">
      <w:pPr>
        <w:spacing w:line="240" w:lineRule="auto"/>
        <w:rPr>
          <w:rFonts w:eastAsia="Times New Roman" w:cs="Arial"/>
        </w:rPr>
      </w:pPr>
      <w:r w:rsidRPr="00695897">
        <w:rPr>
          <w:rFonts w:eastAsia="Times New Roman" w:cs="Arial"/>
          <w:color w:val="000000"/>
          <w:u w:val="single"/>
          <w:lang w:eastAsia="bg-BG"/>
        </w:rPr>
        <w:t>Съобщаване на подозирани нежелани реакнии</w:t>
      </w:r>
    </w:p>
    <w:p w14:paraId="20480AB2" w14:textId="77777777" w:rsidR="00695897" w:rsidRPr="00695897" w:rsidRDefault="00695897" w:rsidP="00695897">
      <w:pPr>
        <w:spacing w:line="240" w:lineRule="auto"/>
        <w:rPr>
          <w:rFonts w:eastAsia="Times New Roman" w:cs="Arial"/>
        </w:rPr>
      </w:pPr>
      <w:r w:rsidRPr="00695897">
        <w:rPr>
          <w:rFonts w:eastAsia="Times New Roman" w:cs="Arial"/>
          <w:color w:val="000000"/>
          <w:lang w:eastAsia="bg-BG"/>
        </w:rPr>
        <w:t>Съобщаването на подозирани нежелани реакции след разрешаване за употреба на лекарствения продукт е важно. Това позволява да продължи наблюдението на съотношението полза/риск за лекарствения продукт. От медицинските специалисти се изисква да съобщават всяка подозирана нежелана реакция чрез Изпълнителна агенция по лекарствата ул. „Дамян Груев” № 8 1303 София Тел.:+35 928903417</w:t>
      </w:r>
    </w:p>
    <w:p w14:paraId="06CF06DD" w14:textId="77777777" w:rsidR="00695897" w:rsidRPr="00695897" w:rsidRDefault="00695897" w:rsidP="00695897">
      <w:pPr>
        <w:spacing w:line="240" w:lineRule="auto"/>
        <w:rPr>
          <w:rFonts w:eastAsia="Times New Roman" w:cs="Arial"/>
        </w:rPr>
      </w:pPr>
      <w:r w:rsidRPr="00695897">
        <w:rPr>
          <w:rFonts w:eastAsia="Times New Roman" w:cs="Arial"/>
          <w:color w:val="000000"/>
          <w:lang w:eastAsia="bg-BG"/>
        </w:rPr>
        <w:t xml:space="preserve">уебсайт: </w:t>
      </w:r>
      <w:hyperlink r:id="rId5" w:history="1">
        <w:r w:rsidRPr="00695897">
          <w:rPr>
            <w:rFonts w:eastAsia="Times New Roman" w:cs="Arial"/>
            <w:color w:val="000000"/>
            <w:lang w:val="en-US"/>
          </w:rPr>
          <w:t>www.bda.bg</w:t>
        </w:r>
      </w:hyperlink>
    </w:p>
    <w:p w14:paraId="60F69A87" w14:textId="77777777" w:rsidR="00695897" w:rsidRPr="00695897" w:rsidRDefault="00695897" w:rsidP="00695897"/>
    <w:p w14:paraId="4ED30546" w14:textId="0B02BE9D" w:rsidR="007C605B" w:rsidRDefault="002C50EE" w:rsidP="009F1313">
      <w:pPr>
        <w:pStyle w:val="Heading2"/>
      </w:pPr>
      <w:r>
        <w:t>4.9. Предозиране</w:t>
      </w:r>
    </w:p>
    <w:p w14:paraId="4F6D6BE4" w14:textId="77777777" w:rsidR="00695897" w:rsidRDefault="00695897" w:rsidP="00695897">
      <w:pPr>
        <w:spacing w:line="240" w:lineRule="auto"/>
        <w:rPr>
          <w:rFonts w:ascii="Times New Roman" w:eastAsia="Times New Roman" w:hAnsi="Times New Roman" w:cs="Times New Roman"/>
          <w:color w:val="000000"/>
          <w:lang w:eastAsia="bg-BG"/>
        </w:rPr>
      </w:pPr>
    </w:p>
    <w:p w14:paraId="1DA84D0E" w14:textId="77777777" w:rsidR="00695897" w:rsidRPr="00695897" w:rsidRDefault="00695897" w:rsidP="00695897">
      <w:pPr>
        <w:rPr>
          <w:rFonts w:eastAsia="Times New Roman" w:cs="Arial"/>
          <w:sz w:val="24"/>
          <w:szCs w:val="24"/>
        </w:rPr>
      </w:pPr>
      <w:r w:rsidRPr="00695897">
        <w:rPr>
          <w:rFonts w:cs="Arial"/>
          <w:lang w:eastAsia="bg-BG"/>
        </w:rPr>
        <w:t xml:space="preserve">Няма налична специфична информация за лечението на предозиране с лосартан/хидрохлоротиазид. Лечението е симптоматично и поддържащо. Лечението с </w:t>
      </w:r>
      <w:r w:rsidRPr="00695897">
        <w:rPr>
          <w:rFonts w:eastAsia="Times New Roman" w:cs="Arial"/>
          <w:color w:val="000000"/>
          <w:lang w:eastAsia="bg-BG"/>
        </w:rPr>
        <w:t>лосартан/хидрохлоротиазид трябва да се прекрати и пациентът да се наблюдава внимателно. Предполагаемите мерки включват навременно предизвикване на повръщане и коригиране на дехидратацията, електролитния дисбаланс, чернодробната кома и хипотонията чрез установените процедури.</w:t>
      </w:r>
    </w:p>
    <w:p w14:paraId="130CD317" w14:textId="77777777" w:rsidR="00695897" w:rsidRPr="00695897" w:rsidRDefault="00695897" w:rsidP="00695897">
      <w:pPr>
        <w:spacing w:line="240" w:lineRule="auto"/>
        <w:rPr>
          <w:rFonts w:eastAsia="Times New Roman" w:cs="Arial"/>
          <w:color w:val="000000"/>
          <w:u w:val="single"/>
          <w:lang w:eastAsia="bg-BG"/>
        </w:rPr>
      </w:pPr>
    </w:p>
    <w:p w14:paraId="5CA0C9D5" w14:textId="6197AE76" w:rsidR="00695897" w:rsidRPr="00695897" w:rsidRDefault="00695897" w:rsidP="00695897">
      <w:pPr>
        <w:spacing w:line="240" w:lineRule="auto"/>
        <w:rPr>
          <w:rFonts w:eastAsia="Times New Roman" w:cs="Arial"/>
          <w:sz w:val="24"/>
          <w:szCs w:val="24"/>
        </w:rPr>
      </w:pPr>
      <w:r w:rsidRPr="00695897">
        <w:rPr>
          <w:rFonts w:eastAsia="Times New Roman" w:cs="Arial"/>
          <w:color w:val="000000"/>
          <w:u w:val="single"/>
          <w:lang w:eastAsia="bg-BG"/>
        </w:rPr>
        <w:t>Лосартан</w:t>
      </w:r>
    </w:p>
    <w:p w14:paraId="1F6BCF9D" w14:textId="77777777" w:rsidR="00695897" w:rsidRPr="00695897" w:rsidRDefault="00695897" w:rsidP="00695897">
      <w:pPr>
        <w:spacing w:line="240" w:lineRule="auto"/>
        <w:rPr>
          <w:rFonts w:eastAsia="Times New Roman" w:cs="Arial"/>
          <w:sz w:val="24"/>
          <w:szCs w:val="24"/>
        </w:rPr>
      </w:pPr>
      <w:r w:rsidRPr="00695897">
        <w:rPr>
          <w:rFonts w:eastAsia="Times New Roman" w:cs="Arial"/>
          <w:color w:val="000000"/>
          <w:lang w:eastAsia="bg-BG"/>
        </w:rPr>
        <w:t>Има ограничени данни по отношение предозиране на лосартан при хора. Най-вероятната проява на предозиране би била хипотензия и брадикардия; брадикардията може да е в резултат на парасимпатикусово (вагусово) стимулиране. Ако се развие симптоматична хипотония, трябва да се започне поддържащо лечение.</w:t>
      </w:r>
    </w:p>
    <w:p w14:paraId="027E87B5" w14:textId="77777777" w:rsidR="00695897" w:rsidRPr="00695897" w:rsidRDefault="00695897" w:rsidP="00695897">
      <w:pPr>
        <w:spacing w:line="240" w:lineRule="auto"/>
        <w:rPr>
          <w:rFonts w:eastAsia="Times New Roman" w:cs="Arial"/>
          <w:color w:val="000000"/>
          <w:lang w:eastAsia="bg-BG"/>
        </w:rPr>
      </w:pPr>
    </w:p>
    <w:p w14:paraId="06088EB5" w14:textId="56AE945D" w:rsidR="00695897" w:rsidRPr="00695897" w:rsidRDefault="00695897" w:rsidP="00695897">
      <w:pPr>
        <w:spacing w:line="240" w:lineRule="auto"/>
        <w:rPr>
          <w:rFonts w:eastAsia="Times New Roman" w:cs="Arial"/>
          <w:sz w:val="24"/>
          <w:szCs w:val="24"/>
        </w:rPr>
      </w:pPr>
      <w:r w:rsidRPr="00695897">
        <w:rPr>
          <w:rFonts w:eastAsia="Times New Roman" w:cs="Arial"/>
          <w:color w:val="000000"/>
          <w:lang w:eastAsia="bg-BG"/>
        </w:rPr>
        <w:t>Нито лосартан, нито активният метаболит могат да се отстранят с хемоднализа.</w:t>
      </w:r>
    </w:p>
    <w:p w14:paraId="1E9552D6" w14:textId="77777777" w:rsidR="00695897" w:rsidRPr="00695897" w:rsidRDefault="00695897" w:rsidP="00695897">
      <w:pPr>
        <w:spacing w:line="240" w:lineRule="auto"/>
        <w:rPr>
          <w:rFonts w:eastAsia="Times New Roman" w:cs="Arial"/>
          <w:color w:val="000000"/>
          <w:u w:val="single"/>
          <w:lang w:eastAsia="bg-BG"/>
        </w:rPr>
      </w:pPr>
    </w:p>
    <w:p w14:paraId="115772F9" w14:textId="237A1C1D" w:rsidR="00695897" w:rsidRPr="00695897" w:rsidRDefault="00695897" w:rsidP="00695897">
      <w:pPr>
        <w:spacing w:line="240" w:lineRule="auto"/>
        <w:rPr>
          <w:rFonts w:eastAsia="Times New Roman" w:cs="Arial"/>
          <w:sz w:val="24"/>
          <w:szCs w:val="24"/>
        </w:rPr>
      </w:pPr>
      <w:r w:rsidRPr="00695897">
        <w:rPr>
          <w:rFonts w:eastAsia="Times New Roman" w:cs="Arial"/>
          <w:color w:val="000000"/>
          <w:u w:val="single"/>
          <w:lang w:eastAsia="bg-BG"/>
        </w:rPr>
        <w:t>Хидрохлоротиазид</w:t>
      </w:r>
    </w:p>
    <w:p w14:paraId="62E27D4B" w14:textId="77777777" w:rsidR="00695897" w:rsidRPr="00695897" w:rsidRDefault="00695897" w:rsidP="00695897">
      <w:pPr>
        <w:spacing w:line="240" w:lineRule="auto"/>
        <w:rPr>
          <w:rFonts w:eastAsia="Times New Roman" w:cs="Arial"/>
          <w:sz w:val="24"/>
          <w:szCs w:val="24"/>
        </w:rPr>
      </w:pPr>
      <w:r w:rsidRPr="00695897">
        <w:rPr>
          <w:rFonts w:eastAsia="Times New Roman" w:cs="Arial"/>
          <w:color w:val="000000"/>
          <w:lang w:eastAsia="bg-BG"/>
        </w:rPr>
        <w:t>Най-честите наблюдавани признаци и симптоми са тези причинени от намаляване на електролитите (хипокалиемия, хипохлоремия, хипонатриемия) и дехидратация като резултат от прекомерна диуреза. Ако се приложи и дигиталис, хипокалиемията може да предизвика сърдечни аритмии.</w:t>
      </w:r>
    </w:p>
    <w:p w14:paraId="307D6C40" w14:textId="77777777" w:rsidR="00695897" w:rsidRPr="00695897" w:rsidRDefault="00695897" w:rsidP="00695897">
      <w:pPr>
        <w:spacing w:line="240" w:lineRule="auto"/>
        <w:rPr>
          <w:rFonts w:eastAsia="Times New Roman" w:cs="Arial"/>
          <w:color w:val="000000"/>
          <w:lang w:eastAsia="bg-BG"/>
        </w:rPr>
      </w:pPr>
    </w:p>
    <w:p w14:paraId="25ED80FC" w14:textId="6E0AD43F" w:rsidR="00695897" w:rsidRPr="00695897" w:rsidRDefault="00695897" w:rsidP="00695897">
      <w:pPr>
        <w:spacing w:line="240" w:lineRule="auto"/>
        <w:rPr>
          <w:rFonts w:eastAsia="Times New Roman" w:cs="Arial"/>
          <w:sz w:val="24"/>
          <w:szCs w:val="24"/>
        </w:rPr>
      </w:pPr>
      <w:r w:rsidRPr="00695897">
        <w:rPr>
          <w:rFonts w:eastAsia="Times New Roman" w:cs="Arial"/>
          <w:color w:val="000000"/>
          <w:lang w:eastAsia="bg-BG"/>
        </w:rPr>
        <w:t>Не е установена степента, до която хидрохлоротиазид се отстранява с хемодиализа.</w:t>
      </w:r>
    </w:p>
    <w:p w14:paraId="035731E7" w14:textId="078FA909" w:rsidR="00695897" w:rsidRPr="00695897" w:rsidRDefault="00695897" w:rsidP="00695897"/>
    <w:p w14:paraId="02081B24" w14:textId="1F46E296" w:rsidR="00395555" w:rsidRPr="00395555" w:rsidRDefault="002C50EE" w:rsidP="008A6AF2">
      <w:pPr>
        <w:pStyle w:val="Heading1"/>
      </w:pPr>
      <w:r>
        <w:t>5. ФАРМАКОЛОГИЧНИ СВОЙСТВА</w:t>
      </w:r>
    </w:p>
    <w:p w14:paraId="5350637D" w14:textId="6628E907" w:rsidR="00395555" w:rsidRDefault="002C50EE" w:rsidP="008A6AF2">
      <w:pPr>
        <w:pStyle w:val="Heading2"/>
      </w:pPr>
      <w:r>
        <w:t>5.1. Фармакодинамични свойства</w:t>
      </w:r>
    </w:p>
    <w:p w14:paraId="4A809ECA" w14:textId="43587EC7" w:rsidR="00695897" w:rsidRDefault="00695897" w:rsidP="00695897"/>
    <w:p w14:paraId="159FD0FC" w14:textId="77777777" w:rsidR="00695897" w:rsidRPr="00695897" w:rsidRDefault="00695897" w:rsidP="00695897">
      <w:pPr>
        <w:spacing w:line="240" w:lineRule="auto"/>
        <w:rPr>
          <w:rFonts w:eastAsia="Times New Roman" w:cs="Arial"/>
        </w:rPr>
      </w:pPr>
      <w:r w:rsidRPr="00695897">
        <w:rPr>
          <w:rFonts w:eastAsia="Times New Roman" w:cs="Arial"/>
          <w:color w:val="000000"/>
          <w:lang w:eastAsia="bg-BG"/>
        </w:rPr>
        <w:t xml:space="preserve">Фармакотерапевтична група: комбинация съдържаща ангиотензин II рецепторен антагонист и тиазиден диуретик АТС код: </w:t>
      </w:r>
      <w:r w:rsidRPr="00695897">
        <w:rPr>
          <w:rFonts w:eastAsia="Times New Roman" w:cs="Arial"/>
          <w:color w:val="000000"/>
          <w:lang w:val="en-US"/>
        </w:rPr>
        <w:t>C</w:t>
      </w:r>
      <w:r w:rsidRPr="00695897">
        <w:rPr>
          <w:rFonts w:eastAsia="Times New Roman" w:cs="Arial"/>
          <w:color w:val="000000"/>
          <w:lang w:val="ru-RU"/>
        </w:rPr>
        <w:t>09</w:t>
      </w:r>
      <w:r w:rsidRPr="00695897">
        <w:rPr>
          <w:rFonts w:eastAsia="Times New Roman" w:cs="Arial"/>
          <w:color w:val="000000"/>
          <w:lang w:val="en-US"/>
        </w:rPr>
        <w:t>DA</w:t>
      </w:r>
      <w:r w:rsidRPr="00695897">
        <w:rPr>
          <w:rFonts w:eastAsia="Times New Roman" w:cs="Arial"/>
          <w:color w:val="000000"/>
          <w:lang w:val="ru-RU"/>
        </w:rPr>
        <w:t>01</w:t>
      </w:r>
      <w:r w:rsidRPr="00695897">
        <w:rPr>
          <w:rFonts w:eastAsia="Times New Roman" w:cs="Arial"/>
          <w:color w:val="000000"/>
          <w:lang w:eastAsia="bg-BG"/>
        </w:rPr>
        <w:t>.</w:t>
      </w:r>
    </w:p>
    <w:p w14:paraId="178EE626" w14:textId="77777777" w:rsidR="00695897" w:rsidRPr="00695897" w:rsidRDefault="00695897" w:rsidP="00695897">
      <w:pPr>
        <w:spacing w:line="240" w:lineRule="auto"/>
        <w:rPr>
          <w:rFonts w:eastAsia="Times New Roman" w:cs="Arial"/>
          <w:color w:val="000000"/>
          <w:lang w:eastAsia="bg-BG"/>
        </w:rPr>
      </w:pPr>
    </w:p>
    <w:p w14:paraId="2F2108F9" w14:textId="6FAE94C9" w:rsidR="00695897" w:rsidRPr="00695897" w:rsidRDefault="00695897" w:rsidP="00695897">
      <w:pPr>
        <w:spacing w:line="240" w:lineRule="auto"/>
        <w:rPr>
          <w:rFonts w:eastAsia="Times New Roman" w:cs="Arial"/>
        </w:rPr>
      </w:pPr>
      <w:r w:rsidRPr="00695897">
        <w:rPr>
          <w:rFonts w:eastAsia="Times New Roman" w:cs="Arial"/>
          <w:color w:val="000000"/>
          <w:lang w:eastAsia="bg-BG"/>
        </w:rPr>
        <w:lastRenderedPageBreak/>
        <w:t xml:space="preserve">Лориста Н 50 </w:t>
      </w:r>
      <w:r w:rsidRPr="00695897">
        <w:rPr>
          <w:rFonts w:eastAsia="Times New Roman" w:cs="Arial"/>
          <w:color w:val="000000"/>
          <w:lang w:val="en-US"/>
        </w:rPr>
        <w:t>mg</w:t>
      </w:r>
      <w:r w:rsidRPr="00695897">
        <w:rPr>
          <w:rFonts w:eastAsia="Times New Roman" w:cs="Arial"/>
          <w:color w:val="000000"/>
          <w:lang w:val="ru-RU"/>
        </w:rPr>
        <w:t xml:space="preserve">/12,5 </w:t>
      </w:r>
      <w:r w:rsidRPr="00695897">
        <w:rPr>
          <w:rFonts w:eastAsia="Times New Roman" w:cs="Arial"/>
          <w:color w:val="000000"/>
          <w:lang w:val="en-US"/>
        </w:rPr>
        <w:t>mg</w:t>
      </w:r>
      <w:r w:rsidRPr="00695897">
        <w:rPr>
          <w:rFonts w:eastAsia="Times New Roman" w:cs="Arial"/>
          <w:color w:val="000000"/>
          <w:lang w:val="ru-RU"/>
        </w:rPr>
        <w:t xml:space="preserve"> </w:t>
      </w:r>
      <w:r w:rsidRPr="00695897">
        <w:rPr>
          <w:rFonts w:eastAsia="Times New Roman" w:cs="Arial"/>
          <w:color w:val="000000"/>
          <w:lang w:eastAsia="bg-BG"/>
        </w:rPr>
        <w:t>е комбинация с фиксирани дози от лосартан и хидрохлоротиазид.</w:t>
      </w:r>
    </w:p>
    <w:p w14:paraId="440CEB1B" w14:textId="77777777" w:rsidR="00695897" w:rsidRPr="00695897" w:rsidRDefault="00695897" w:rsidP="00695897">
      <w:pPr>
        <w:spacing w:line="240" w:lineRule="auto"/>
        <w:rPr>
          <w:rFonts w:eastAsia="Times New Roman" w:cs="Arial"/>
          <w:color w:val="000000"/>
          <w:u w:val="single"/>
          <w:lang w:eastAsia="bg-BG"/>
        </w:rPr>
      </w:pPr>
    </w:p>
    <w:p w14:paraId="2161FF7E" w14:textId="601FEE7C" w:rsidR="00695897" w:rsidRPr="00695897" w:rsidRDefault="00695897" w:rsidP="00695897">
      <w:pPr>
        <w:spacing w:line="240" w:lineRule="auto"/>
        <w:rPr>
          <w:rFonts w:eastAsia="Times New Roman" w:cs="Arial"/>
        </w:rPr>
      </w:pPr>
      <w:r w:rsidRPr="00695897">
        <w:rPr>
          <w:rFonts w:eastAsia="Times New Roman" w:cs="Arial"/>
          <w:color w:val="000000"/>
          <w:u w:val="single"/>
          <w:lang w:eastAsia="bg-BG"/>
        </w:rPr>
        <w:t>Лосартан-Хидрохлоротиазид</w:t>
      </w:r>
    </w:p>
    <w:p w14:paraId="47933FBE" w14:textId="77777777" w:rsidR="00695897" w:rsidRPr="00695897" w:rsidRDefault="00695897" w:rsidP="00695897">
      <w:pPr>
        <w:spacing w:line="240" w:lineRule="auto"/>
        <w:rPr>
          <w:rFonts w:eastAsia="Times New Roman" w:cs="Arial"/>
        </w:rPr>
      </w:pPr>
      <w:r w:rsidRPr="00695897">
        <w:rPr>
          <w:rFonts w:eastAsia="Times New Roman" w:cs="Arial"/>
          <w:color w:val="000000"/>
          <w:lang w:eastAsia="bg-BG"/>
        </w:rPr>
        <w:t>Компонентите на Лориста Н са показали, че имат адитивен ефект върху редукцията на кръвното налягане, като намаляват кръвното налягане в по-голяма степен, в сравнение с всеки от компонентите поотделно. Счита се, че този ефект е резултат от сполучливото действие на двата компонента. В допълнение, хидрохлоротиазид, в резултат на диуретичния си ефект, увеличава плазмената ренинова активност, повишава алдостероновата секреция, намалява серумния калий и повишава нивата на ангиотензин II. Прилагането на лосартан блокира всички физиологично - обусловени действия на ангиотензин II и чрез инхибирането на алдостерон, може да предизвика намаляване на свързаната с диуретика загуба на калий.</w:t>
      </w:r>
    </w:p>
    <w:p w14:paraId="3E212F08" w14:textId="77777777" w:rsidR="00695897" w:rsidRPr="00695897" w:rsidRDefault="00695897" w:rsidP="00695897">
      <w:pPr>
        <w:spacing w:line="240" w:lineRule="auto"/>
        <w:rPr>
          <w:rFonts w:eastAsia="Times New Roman" w:cs="Arial"/>
          <w:color w:val="000000"/>
          <w:lang w:eastAsia="bg-BG"/>
        </w:rPr>
      </w:pPr>
    </w:p>
    <w:p w14:paraId="770133FC" w14:textId="3EA43F67" w:rsidR="00695897" w:rsidRPr="00695897" w:rsidRDefault="00695897" w:rsidP="00695897">
      <w:pPr>
        <w:spacing w:line="240" w:lineRule="auto"/>
        <w:rPr>
          <w:rFonts w:eastAsia="Times New Roman" w:cs="Arial"/>
        </w:rPr>
      </w:pPr>
      <w:r w:rsidRPr="00695897">
        <w:rPr>
          <w:rFonts w:eastAsia="Times New Roman" w:cs="Arial"/>
          <w:color w:val="000000"/>
          <w:lang w:eastAsia="bg-BG"/>
        </w:rPr>
        <w:t>Лосартан е показал, че има временен и лек урикозуричен ефект. Хидрохлоротиазид може да причини умерено увеличение на пикочната киселина; комбинацията от лосартан и хидрохлоротиазид показва тенденции към отслабване на причинената от диуретика хиперурикемия.</w:t>
      </w:r>
    </w:p>
    <w:p w14:paraId="5AF854A6" w14:textId="77777777" w:rsidR="00695897" w:rsidRPr="00695897" w:rsidRDefault="00695897" w:rsidP="00695897">
      <w:pPr>
        <w:spacing w:line="240" w:lineRule="auto"/>
        <w:rPr>
          <w:rFonts w:eastAsia="Times New Roman" w:cs="Arial"/>
          <w:color w:val="000000"/>
          <w:lang w:eastAsia="bg-BG"/>
        </w:rPr>
      </w:pPr>
    </w:p>
    <w:p w14:paraId="04345432" w14:textId="1A160CDE" w:rsidR="00695897" w:rsidRPr="00695897" w:rsidRDefault="00695897" w:rsidP="00695897">
      <w:pPr>
        <w:spacing w:line="240" w:lineRule="auto"/>
        <w:rPr>
          <w:rFonts w:eastAsia="Times New Roman" w:cs="Arial"/>
        </w:rPr>
      </w:pPr>
      <w:r w:rsidRPr="00695897">
        <w:rPr>
          <w:rFonts w:eastAsia="Times New Roman" w:cs="Arial"/>
          <w:color w:val="000000"/>
          <w:lang w:eastAsia="bg-BG"/>
        </w:rPr>
        <w:t>Антихипертензивният ефект на лосартан/хидрохлоротиазид продължава за период от 24 часа. При клинични изпитвания, продължили най-малко една година, антихипертензивният ефект се е запазил с продължаване на терапията. Независимо от същественото понижаване на кръвното налягане, лосартан/хидрохлоротиазид не е оказал клинично значим ефект върху сърдечната честота. При клинични изпитвания, след 12-седмична терапия с лосартан</w:t>
      </w:r>
    </w:p>
    <w:p w14:paraId="668EA933" w14:textId="77777777" w:rsidR="00695897" w:rsidRPr="00695897" w:rsidRDefault="00695897" w:rsidP="00695897">
      <w:pPr>
        <w:spacing w:line="240" w:lineRule="auto"/>
        <w:rPr>
          <w:rFonts w:eastAsia="Times New Roman" w:cs="Arial"/>
        </w:rPr>
      </w:pPr>
      <w:r w:rsidRPr="00695897">
        <w:rPr>
          <w:rFonts w:eastAsia="Times New Roman" w:cs="Arial"/>
          <w:color w:val="000000"/>
          <w:lang w:eastAsia="bg-BG"/>
        </w:rPr>
        <w:t xml:space="preserve">50 </w:t>
      </w:r>
      <w:r w:rsidRPr="00695897">
        <w:rPr>
          <w:rFonts w:eastAsia="Times New Roman" w:cs="Arial"/>
          <w:color w:val="000000"/>
          <w:lang w:val="en-US"/>
        </w:rPr>
        <w:t>mg</w:t>
      </w:r>
      <w:r w:rsidRPr="00695897">
        <w:rPr>
          <w:rFonts w:eastAsia="Times New Roman" w:cs="Arial"/>
          <w:color w:val="000000"/>
          <w:lang w:eastAsia="bg-BG"/>
        </w:rPr>
        <w:t xml:space="preserve">/хидрохлоротиазид 12,5 </w:t>
      </w:r>
      <w:r w:rsidRPr="00695897">
        <w:rPr>
          <w:rFonts w:eastAsia="Times New Roman" w:cs="Arial"/>
          <w:color w:val="000000"/>
          <w:lang w:val="en-US"/>
        </w:rPr>
        <w:t>mg</w:t>
      </w:r>
      <w:r w:rsidRPr="00695897">
        <w:rPr>
          <w:rFonts w:eastAsia="Times New Roman" w:cs="Arial"/>
          <w:color w:val="000000"/>
          <w:lang w:val="ru-RU"/>
        </w:rPr>
        <w:t xml:space="preserve">, </w:t>
      </w:r>
      <w:r w:rsidRPr="00695897">
        <w:rPr>
          <w:rFonts w:eastAsia="Times New Roman" w:cs="Arial"/>
          <w:color w:val="000000"/>
          <w:lang w:eastAsia="bg-BG"/>
        </w:rPr>
        <w:t xml:space="preserve">измерваното в седнало положение диастолично кръвно налягане е било намалено средно с до 13,2 </w:t>
      </w:r>
      <w:r w:rsidRPr="00695897">
        <w:rPr>
          <w:rFonts w:eastAsia="Times New Roman" w:cs="Arial"/>
          <w:color w:val="000000"/>
          <w:lang w:val="en-US"/>
        </w:rPr>
        <w:t>mmHg</w:t>
      </w:r>
      <w:r w:rsidRPr="00695897">
        <w:rPr>
          <w:rFonts w:eastAsia="Times New Roman" w:cs="Arial"/>
          <w:color w:val="000000"/>
          <w:lang w:val="ru-RU"/>
        </w:rPr>
        <w:t>.</w:t>
      </w:r>
    </w:p>
    <w:p w14:paraId="00B71F3D" w14:textId="77777777" w:rsidR="00695897" w:rsidRPr="00695897" w:rsidRDefault="00695897" w:rsidP="00695897">
      <w:pPr>
        <w:rPr>
          <w:rFonts w:eastAsia="Times New Roman" w:cs="Arial"/>
          <w:color w:val="000000"/>
          <w:lang w:eastAsia="bg-BG"/>
        </w:rPr>
      </w:pPr>
    </w:p>
    <w:p w14:paraId="1826270A" w14:textId="77777777" w:rsidR="00695897" w:rsidRPr="00695897" w:rsidRDefault="00695897" w:rsidP="00695897">
      <w:pPr>
        <w:rPr>
          <w:rFonts w:eastAsia="Times New Roman" w:cs="Arial"/>
        </w:rPr>
      </w:pPr>
      <w:r w:rsidRPr="00695897">
        <w:rPr>
          <w:rFonts w:eastAsia="Times New Roman" w:cs="Arial"/>
          <w:color w:val="000000"/>
          <w:lang w:eastAsia="bg-BG"/>
        </w:rPr>
        <w:t xml:space="preserve">Лосартан/ хидрохлоротиазид е ефективен при понижаване на кръвното налягане на мъже и жени, чернокожи и нечернокожи, по-млади </w:t>
      </w:r>
      <w:r w:rsidRPr="00695897">
        <w:rPr>
          <w:rFonts w:eastAsia="Times New Roman" w:cs="Arial"/>
          <w:i/>
          <w:iCs/>
          <w:color w:val="000000"/>
          <w:lang w:eastAsia="bg-BG"/>
        </w:rPr>
        <w:t>(&lt; 65</w:t>
      </w:r>
      <w:r w:rsidRPr="00695897">
        <w:rPr>
          <w:rFonts w:eastAsia="Times New Roman" w:cs="Arial"/>
          <w:color w:val="000000"/>
          <w:lang w:eastAsia="bg-BG"/>
        </w:rPr>
        <w:t xml:space="preserve"> години) и по-възрастни (нам 69 години) пациенти, както и за всички степени на хипертония.</w:t>
      </w:r>
    </w:p>
    <w:p w14:paraId="120F993B" w14:textId="77777777" w:rsidR="00695897" w:rsidRPr="00695897" w:rsidRDefault="00695897" w:rsidP="00695897">
      <w:pPr>
        <w:spacing w:line="240" w:lineRule="auto"/>
        <w:rPr>
          <w:rFonts w:eastAsia="Times New Roman" w:cs="Arial"/>
          <w:color w:val="000000"/>
          <w:u w:val="single"/>
          <w:lang w:eastAsia="bg-BG"/>
        </w:rPr>
      </w:pPr>
    </w:p>
    <w:p w14:paraId="0AB4611C" w14:textId="6DCDFA7E" w:rsidR="00695897" w:rsidRPr="00695897" w:rsidRDefault="00695897" w:rsidP="00695897">
      <w:pPr>
        <w:spacing w:line="240" w:lineRule="auto"/>
        <w:rPr>
          <w:rFonts w:eastAsia="Times New Roman" w:cs="Arial"/>
        </w:rPr>
      </w:pPr>
      <w:r w:rsidRPr="00695897">
        <w:rPr>
          <w:rFonts w:eastAsia="Times New Roman" w:cs="Arial"/>
          <w:color w:val="000000"/>
          <w:u w:val="single"/>
          <w:lang w:eastAsia="bg-BG"/>
        </w:rPr>
        <w:t>Лосартан</w:t>
      </w:r>
    </w:p>
    <w:p w14:paraId="44FE24AC" w14:textId="77777777" w:rsidR="00695897" w:rsidRPr="00695897" w:rsidRDefault="00695897" w:rsidP="00695897">
      <w:pPr>
        <w:spacing w:line="240" w:lineRule="auto"/>
        <w:rPr>
          <w:rFonts w:eastAsia="Times New Roman" w:cs="Arial"/>
        </w:rPr>
      </w:pPr>
      <w:r w:rsidRPr="00695897">
        <w:rPr>
          <w:rFonts w:eastAsia="Times New Roman" w:cs="Arial"/>
          <w:color w:val="000000"/>
          <w:lang w:eastAsia="bg-BG"/>
        </w:rPr>
        <w:t xml:space="preserve">Лосартан е синтетичен перорален антагонист на ангиотензин II рецептор (тип </w:t>
      </w:r>
      <w:r w:rsidRPr="00695897">
        <w:rPr>
          <w:rFonts w:eastAsia="Times New Roman" w:cs="Arial"/>
          <w:color w:val="000000"/>
          <w:lang w:val="en-US"/>
        </w:rPr>
        <w:t>ATI</w:t>
      </w:r>
      <w:r w:rsidRPr="00695897">
        <w:rPr>
          <w:rFonts w:eastAsia="Times New Roman" w:cs="Arial"/>
          <w:color w:val="000000"/>
          <w:lang w:val="ru-RU"/>
        </w:rPr>
        <w:t xml:space="preserve">). </w:t>
      </w:r>
      <w:r w:rsidRPr="00695897">
        <w:rPr>
          <w:rFonts w:eastAsia="Times New Roman" w:cs="Arial"/>
          <w:color w:val="000000"/>
          <w:lang w:eastAsia="bg-BG"/>
        </w:rPr>
        <w:t xml:space="preserve">Ангиотензин II, мощен вазоконстриктор, е основен активен хормон на системата ренин/ангиотензин и е основен определящ фактор в патофизиологията на хипертонията. Ангиотензин П се свързва с </w:t>
      </w:r>
      <w:r w:rsidRPr="00695897">
        <w:rPr>
          <w:rFonts w:eastAsia="Times New Roman" w:cs="Arial"/>
          <w:color w:val="000000"/>
          <w:lang w:val="en-US"/>
        </w:rPr>
        <w:t>ATI</w:t>
      </w:r>
      <w:r w:rsidRPr="00695897">
        <w:rPr>
          <w:rFonts w:eastAsia="Times New Roman" w:cs="Arial"/>
          <w:color w:val="000000"/>
          <w:lang w:val="ru-RU"/>
        </w:rPr>
        <w:t xml:space="preserve"> </w:t>
      </w:r>
      <w:r w:rsidRPr="00695897">
        <w:rPr>
          <w:rFonts w:eastAsia="Times New Roman" w:cs="Arial"/>
          <w:color w:val="000000"/>
          <w:lang w:eastAsia="bg-BG"/>
        </w:rPr>
        <w:t xml:space="preserve">- рецептора, който се намира в много тъкани (напр. васкуларната гладка мускулатура, надбъбречната жлеза, бъбреците и сърцето) и предизвиква важни биологични действия, включително вазоконстрикция и отделяне на алдостерон. Също така, ангиотензин II стимулира пролиферацията на клетките на гладката мускулатура. Лосартан селективно блокира </w:t>
      </w:r>
      <w:r w:rsidRPr="00695897">
        <w:rPr>
          <w:rFonts w:eastAsia="Times New Roman" w:cs="Arial"/>
          <w:color w:val="000000"/>
          <w:lang w:val="en-US"/>
        </w:rPr>
        <w:t>ATI</w:t>
      </w:r>
      <w:r w:rsidRPr="00695897">
        <w:rPr>
          <w:rFonts w:eastAsia="Times New Roman" w:cs="Arial"/>
          <w:color w:val="000000"/>
          <w:lang w:val="ru-RU"/>
        </w:rPr>
        <w:t xml:space="preserve"> </w:t>
      </w:r>
      <w:r w:rsidRPr="00695897">
        <w:rPr>
          <w:rFonts w:eastAsia="Times New Roman" w:cs="Arial"/>
          <w:color w:val="000000"/>
          <w:lang w:eastAsia="bg-BG"/>
        </w:rPr>
        <w:t xml:space="preserve">рецептора. </w:t>
      </w:r>
      <w:r w:rsidRPr="00695897">
        <w:rPr>
          <w:rFonts w:eastAsia="Times New Roman" w:cs="Arial"/>
          <w:i/>
          <w:iCs/>
          <w:color w:val="000000"/>
          <w:lang w:val="en-US"/>
        </w:rPr>
        <w:t>In</w:t>
      </w:r>
      <w:r w:rsidRPr="00695897">
        <w:rPr>
          <w:rFonts w:eastAsia="Times New Roman" w:cs="Arial"/>
          <w:i/>
          <w:iCs/>
          <w:color w:val="000000"/>
          <w:lang w:val="ru-RU"/>
        </w:rPr>
        <w:t xml:space="preserve"> </w:t>
      </w:r>
      <w:r w:rsidRPr="00695897">
        <w:rPr>
          <w:rFonts w:eastAsia="Times New Roman" w:cs="Arial"/>
          <w:i/>
          <w:iCs/>
          <w:color w:val="000000"/>
          <w:lang w:val="en-US"/>
        </w:rPr>
        <w:t>vitro</w:t>
      </w:r>
      <w:r w:rsidRPr="00695897">
        <w:rPr>
          <w:rFonts w:eastAsia="Times New Roman" w:cs="Arial"/>
          <w:color w:val="000000"/>
          <w:lang w:val="ru-RU"/>
        </w:rPr>
        <w:t xml:space="preserve"> </w:t>
      </w:r>
      <w:r w:rsidRPr="00695897">
        <w:rPr>
          <w:rFonts w:eastAsia="Times New Roman" w:cs="Arial"/>
          <w:color w:val="000000"/>
          <w:lang w:eastAsia="bg-BG"/>
        </w:rPr>
        <w:t xml:space="preserve">и </w:t>
      </w:r>
      <w:r w:rsidRPr="00695897">
        <w:rPr>
          <w:rFonts w:eastAsia="Times New Roman" w:cs="Arial"/>
          <w:i/>
          <w:iCs/>
          <w:color w:val="000000"/>
          <w:lang w:val="en-US"/>
        </w:rPr>
        <w:t>in</w:t>
      </w:r>
      <w:r w:rsidRPr="00695897">
        <w:rPr>
          <w:rFonts w:eastAsia="Times New Roman" w:cs="Arial"/>
          <w:i/>
          <w:iCs/>
          <w:color w:val="000000"/>
          <w:lang w:val="ru-RU"/>
        </w:rPr>
        <w:t xml:space="preserve"> </w:t>
      </w:r>
      <w:r w:rsidRPr="00695897">
        <w:rPr>
          <w:rFonts w:eastAsia="Times New Roman" w:cs="Arial"/>
          <w:i/>
          <w:iCs/>
          <w:color w:val="000000"/>
          <w:lang w:val="en-US"/>
        </w:rPr>
        <w:t>vivo</w:t>
      </w:r>
      <w:r w:rsidRPr="00695897">
        <w:rPr>
          <w:rFonts w:eastAsia="Times New Roman" w:cs="Arial"/>
          <w:color w:val="000000"/>
          <w:lang w:val="ru-RU"/>
        </w:rPr>
        <w:t xml:space="preserve"> </w:t>
      </w:r>
      <w:r w:rsidRPr="00695897">
        <w:rPr>
          <w:rFonts w:eastAsia="Times New Roman" w:cs="Arial"/>
          <w:color w:val="000000"/>
          <w:lang w:eastAsia="bg-BG"/>
        </w:rPr>
        <w:t>лосартан и неговият физиологично активен карбоксилен метаболит (Е-З 174) блокират всички действия на ангиотензин II, независимо от източника и пътя на синтеза.</w:t>
      </w:r>
    </w:p>
    <w:p w14:paraId="64D1A87C" w14:textId="77777777" w:rsidR="00695897" w:rsidRPr="00695897" w:rsidRDefault="00695897" w:rsidP="00695897">
      <w:pPr>
        <w:spacing w:line="240" w:lineRule="auto"/>
        <w:rPr>
          <w:rFonts w:eastAsia="Times New Roman" w:cs="Arial"/>
        </w:rPr>
      </w:pPr>
      <w:r w:rsidRPr="00695897">
        <w:rPr>
          <w:rFonts w:eastAsia="Times New Roman" w:cs="Arial"/>
          <w:color w:val="000000"/>
          <w:lang w:eastAsia="bg-BG"/>
        </w:rPr>
        <w:t>Лосартан няма агонистичен ефект и не блокира други хормонални рецептори или йонни канали важни в сърдечносъдовата регулация. При това лосартан не инхибира АСЕ (киназа II), ензимът, който разгражда брадикинините. Следователно, няма потенциране на предизвиканите от брадикинин нежелани ефекти.</w:t>
      </w:r>
    </w:p>
    <w:p w14:paraId="5BBFF2AF" w14:textId="77777777" w:rsidR="00695897" w:rsidRPr="00695897" w:rsidRDefault="00695897" w:rsidP="00695897">
      <w:pPr>
        <w:spacing w:line="240" w:lineRule="auto"/>
        <w:rPr>
          <w:rFonts w:eastAsia="Times New Roman" w:cs="Arial"/>
          <w:color w:val="000000"/>
          <w:lang w:eastAsia="bg-BG"/>
        </w:rPr>
      </w:pPr>
    </w:p>
    <w:p w14:paraId="5A397A42" w14:textId="03292012" w:rsidR="00695897" w:rsidRPr="00695897" w:rsidRDefault="00695897" w:rsidP="00695897">
      <w:pPr>
        <w:spacing w:line="240" w:lineRule="auto"/>
        <w:rPr>
          <w:rFonts w:eastAsia="Times New Roman" w:cs="Arial"/>
        </w:rPr>
      </w:pPr>
      <w:r w:rsidRPr="00695897">
        <w:rPr>
          <w:rFonts w:eastAsia="Times New Roman" w:cs="Arial"/>
          <w:color w:val="000000"/>
          <w:lang w:eastAsia="bg-BG"/>
        </w:rPr>
        <w:t xml:space="preserve">По време на приложение на лосартан, премахването на ангиотензин II негативното въздействие върху рениновата секреция води до повишаване на плазмената ренинова </w:t>
      </w:r>
      <w:r w:rsidRPr="00695897">
        <w:rPr>
          <w:rFonts w:eastAsia="Times New Roman" w:cs="Arial"/>
          <w:color w:val="000000"/>
          <w:lang w:eastAsia="bg-BG"/>
        </w:rPr>
        <w:lastRenderedPageBreak/>
        <w:t xml:space="preserve">активност </w:t>
      </w:r>
      <w:r w:rsidRPr="00695897">
        <w:rPr>
          <w:rFonts w:eastAsia="Times New Roman" w:cs="Arial"/>
          <w:color w:val="000000"/>
          <w:lang w:val="ru-RU"/>
        </w:rPr>
        <w:t>(</w:t>
      </w:r>
      <w:r w:rsidRPr="00695897">
        <w:rPr>
          <w:rFonts w:eastAsia="Times New Roman" w:cs="Arial"/>
          <w:color w:val="000000"/>
          <w:lang w:val="en-US"/>
        </w:rPr>
        <w:t>PRA</w:t>
      </w:r>
      <w:r w:rsidRPr="00695897">
        <w:rPr>
          <w:rFonts w:eastAsia="Times New Roman" w:cs="Arial"/>
          <w:color w:val="000000"/>
          <w:lang w:val="ru-RU"/>
        </w:rPr>
        <w:t xml:space="preserve">). </w:t>
      </w:r>
      <w:r w:rsidRPr="00695897">
        <w:rPr>
          <w:rFonts w:eastAsia="Times New Roman" w:cs="Arial"/>
          <w:color w:val="000000"/>
          <w:lang w:eastAsia="bg-BG"/>
        </w:rPr>
        <w:t xml:space="preserve">Повишаването на </w:t>
      </w:r>
      <w:r w:rsidRPr="00695897">
        <w:rPr>
          <w:rFonts w:eastAsia="Times New Roman" w:cs="Arial"/>
          <w:color w:val="000000"/>
          <w:lang w:val="en-US"/>
        </w:rPr>
        <w:t>PRA</w:t>
      </w:r>
      <w:r w:rsidRPr="00695897">
        <w:rPr>
          <w:rFonts w:eastAsia="Times New Roman" w:cs="Arial"/>
          <w:color w:val="000000"/>
          <w:lang w:val="ru-RU"/>
        </w:rPr>
        <w:t xml:space="preserve"> </w:t>
      </w:r>
      <w:r w:rsidRPr="00695897">
        <w:rPr>
          <w:rFonts w:eastAsia="Times New Roman" w:cs="Arial"/>
          <w:color w:val="000000"/>
          <w:lang w:eastAsia="bg-BG"/>
        </w:rPr>
        <w:t xml:space="preserve">води до повишаване на ангиотензин II в плазмата. Въпреки тези повишения, антихипертензивният ефект и потискането на плазмените концентрации алдостерон се поддържат, показвайки ефективна блокада на ангиотензин II рецептора. След прекъсване на лосартан, </w:t>
      </w:r>
      <w:r w:rsidRPr="00695897">
        <w:rPr>
          <w:rFonts w:eastAsia="Times New Roman" w:cs="Arial"/>
          <w:color w:val="000000"/>
          <w:lang w:val="en-US"/>
        </w:rPr>
        <w:t>PRA</w:t>
      </w:r>
      <w:r w:rsidRPr="00695897">
        <w:rPr>
          <w:rFonts w:eastAsia="Times New Roman" w:cs="Arial"/>
          <w:color w:val="000000"/>
          <w:lang w:val="ru-RU"/>
        </w:rPr>
        <w:t xml:space="preserve"> </w:t>
      </w:r>
      <w:r w:rsidRPr="00695897">
        <w:rPr>
          <w:rFonts w:eastAsia="Times New Roman" w:cs="Arial"/>
          <w:color w:val="000000"/>
          <w:lang w:eastAsia="bg-BG"/>
        </w:rPr>
        <w:t>стойностите на ангиотензин II спадат до 3 дни до изходните стойности.</w:t>
      </w:r>
    </w:p>
    <w:p w14:paraId="1B400C6B" w14:textId="77777777" w:rsidR="00695897" w:rsidRPr="00695897" w:rsidRDefault="00695897" w:rsidP="00695897">
      <w:pPr>
        <w:spacing w:line="240" w:lineRule="auto"/>
        <w:rPr>
          <w:rFonts w:eastAsia="Times New Roman" w:cs="Arial"/>
          <w:color w:val="000000"/>
          <w:lang w:eastAsia="bg-BG"/>
        </w:rPr>
      </w:pPr>
    </w:p>
    <w:p w14:paraId="6A140E51" w14:textId="1E96D397" w:rsidR="00695897" w:rsidRPr="00695897" w:rsidRDefault="00695897" w:rsidP="00695897">
      <w:pPr>
        <w:spacing w:line="240" w:lineRule="auto"/>
        <w:rPr>
          <w:rFonts w:eastAsia="Times New Roman" w:cs="Arial"/>
        </w:rPr>
      </w:pPr>
      <w:r w:rsidRPr="00695897">
        <w:rPr>
          <w:rFonts w:eastAsia="Times New Roman" w:cs="Arial"/>
          <w:color w:val="000000"/>
          <w:lang w:eastAsia="bg-BG"/>
        </w:rPr>
        <w:t xml:space="preserve">И лосартан, и неговият основен активен метаболит имат много по-голям афинитет към </w:t>
      </w:r>
      <w:r w:rsidRPr="00695897">
        <w:rPr>
          <w:rFonts w:eastAsia="Times New Roman" w:cs="Arial"/>
          <w:color w:val="000000"/>
          <w:lang w:val="en-US"/>
        </w:rPr>
        <w:t>ATI</w:t>
      </w:r>
      <w:r w:rsidRPr="00695897">
        <w:rPr>
          <w:rFonts w:eastAsia="Times New Roman" w:cs="Arial"/>
          <w:color w:val="000000"/>
          <w:lang w:val="ru-RU"/>
        </w:rPr>
        <w:t xml:space="preserve"> </w:t>
      </w:r>
      <w:r w:rsidRPr="00695897">
        <w:rPr>
          <w:rFonts w:eastAsia="Times New Roman" w:cs="Arial"/>
          <w:color w:val="000000"/>
          <w:lang w:eastAsia="bg-BG"/>
        </w:rPr>
        <w:t>— рецептора, отколкото към АТ2-рецептора. Активният метаболит е 10- до 40- пъти по-активен от лосартан по сила на тази основа.</w:t>
      </w:r>
    </w:p>
    <w:p w14:paraId="37BB1163" w14:textId="77777777" w:rsidR="00695897" w:rsidRPr="00695897" w:rsidRDefault="00695897" w:rsidP="00695897">
      <w:pPr>
        <w:spacing w:line="240" w:lineRule="auto"/>
        <w:rPr>
          <w:rFonts w:eastAsia="Times New Roman" w:cs="Arial"/>
          <w:color w:val="000000"/>
          <w:lang w:eastAsia="bg-BG"/>
        </w:rPr>
      </w:pPr>
    </w:p>
    <w:p w14:paraId="1E761930" w14:textId="226FD7EB" w:rsidR="00695897" w:rsidRPr="00695897" w:rsidRDefault="00695897" w:rsidP="00695897">
      <w:pPr>
        <w:spacing w:line="240" w:lineRule="auto"/>
        <w:rPr>
          <w:rFonts w:eastAsia="Times New Roman" w:cs="Arial"/>
        </w:rPr>
      </w:pPr>
      <w:r w:rsidRPr="00695897">
        <w:rPr>
          <w:rFonts w:eastAsia="Times New Roman" w:cs="Arial"/>
          <w:color w:val="000000"/>
          <w:lang w:eastAsia="bg-BG"/>
        </w:rPr>
        <w:t>В едно проучване, специално предназначено за оценка на честотата на кашлица при пациенти, лекувани с лосартан, в сравнение с пациентите, лекувани с АСЕ инхибитори, честотата на кашлицата, отчетена от пациентите, получаващи лосартан или хидрохлоротиазид е подобна и е значително по-малко, отколкото при пациентите, лекувани с АСЕ инхибитор. В допълнение, по-цялостен анализ на 16 двойно-слепи клинични проучвания при 4131 пациенти, честотата на спонтанни съобщения за кашлица при пациенти, лекувани с лосартан е подобна (3,1%) с тази на пациентите, лекувани с плацебо (2,6%) или хидрохлоротиазид (4,1 %), докато честотата с АСЕ инхибитори е била 8,8%.</w:t>
      </w:r>
    </w:p>
    <w:p w14:paraId="1EDD14B3" w14:textId="77777777" w:rsidR="00695897" w:rsidRPr="00695897" w:rsidRDefault="00695897" w:rsidP="00695897">
      <w:pPr>
        <w:spacing w:line="240" w:lineRule="auto"/>
        <w:rPr>
          <w:rFonts w:eastAsia="Times New Roman" w:cs="Arial"/>
          <w:color w:val="000000"/>
          <w:lang w:eastAsia="bg-BG"/>
        </w:rPr>
      </w:pPr>
    </w:p>
    <w:p w14:paraId="33B0FF29" w14:textId="33C16F71" w:rsidR="00695897" w:rsidRPr="00695897" w:rsidRDefault="00695897" w:rsidP="00695897">
      <w:pPr>
        <w:spacing w:line="240" w:lineRule="auto"/>
        <w:rPr>
          <w:rFonts w:eastAsia="Times New Roman" w:cs="Arial"/>
        </w:rPr>
      </w:pPr>
      <w:r w:rsidRPr="00695897">
        <w:rPr>
          <w:rFonts w:eastAsia="Times New Roman" w:cs="Arial"/>
          <w:color w:val="000000"/>
          <w:lang w:eastAsia="bg-BG"/>
        </w:rPr>
        <w:t xml:space="preserve">При хипертоници без диабет с протеинурия, приложението на лосартан калий значително намалява протеинурията, частичната екскреция на албумин и </w:t>
      </w:r>
      <w:r w:rsidRPr="00695897">
        <w:rPr>
          <w:rFonts w:eastAsia="Times New Roman" w:cs="Arial"/>
          <w:color w:val="000000"/>
          <w:lang w:val="en-US"/>
        </w:rPr>
        <w:t>IgG</w:t>
      </w:r>
      <w:r w:rsidRPr="00695897">
        <w:rPr>
          <w:rFonts w:eastAsia="Times New Roman" w:cs="Arial"/>
          <w:color w:val="000000"/>
          <w:lang w:val="ru-RU"/>
        </w:rPr>
        <w:t xml:space="preserve">. </w:t>
      </w:r>
      <w:r w:rsidRPr="00695897">
        <w:rPr>
          <w:rFonts w:eastAsia="Times New Roman" w:cs="Arial"/>
          <w:color w:val="000000"/>
          <w:lang w:eastAsia="bg-BG"/>
        </w:rPr>
        <w:t xml:space="preserve">Лосартан запазва скоростта на гломерулна филтрация и намалява филтрираната фракция. Като цяло, лосартан води до намаляване на пикочната киселина в серума (обикновенно &lt;0,4 </w:t>
      </w:r>
      <w:r w:rsidRPr="00695897">
        <w:rPr>
          <w:rFonts w:eastAsia="Times New Roman" w:cs="Arial"/>
          <w:color w:val="000000"/>
          <w:lang w:val="en-US"/>
        </w:rPr>
        <w:t>mg</w:t>
      </w:r>
      <w:r w:rsidRPr="00695897">
        <w:rPr>
          <w:rFonts w:eastAsia="Times New Roman" w:cs="Arial"/>
          <w:color w:val="000000"/>
          <w:lang w:val="ru-RU"/>
        </w:rPr>
        <w:t>/</w:t>
      </w:r>
      <w:r w:rsidRPr="00695897">
        <w:rPr>
          <w:rFonts w:eastAsia="Times New Roman" w:cs="Arial"/>
          <w:color w:val="000000"/>
          <w:lang w:val="en-US"/>
        </w:rPr>
        <w:t>dl</w:t>
      </w:r>
      <w:r w:rsidRPr="00695897">
        <w:rPr>
          <w:rFonts w:eastAsia="Times New Roman" w:cs="Arial"/>
          <w:color w:val="000000"/>
          <w:lang w:val="ru-RU"/>
        </w:rPr>
        <w:t xml:space="preserve">) </w:t>
      </w:r>
      <w:r w:rsidRPr="00695897">
        <w:rPr>
          <w:rFonts w:eastAsia="Times New Roman" w:cs="Arial"/>
          <w:color w:val="000000"/>
          <w:lang w:eastAsia="bg-BG"/>
        </w:rPr>
        <w:t>което е постоянно при хронично лечение.</w:t>
      </w:r>
    </w:p>
    <w:p w14:paraId="3D745A85" w14:textId="77777777" w:rsidR="00695897" w:rsidRPr="00695897" w:rsidRDefault="00695897" w:rsidP="00695897">
      <w:pPr>
        <w:spacing w:line="240" w:lineRule="auto"/>
        <w:rPr>
          <w:rFonts w:eastAsia="Times New Roman" w:cs="Arial"/>
          <w:color w:val="000000"/>
          <w:lang w:eastAsia="bg-BG"/>
        </w:rPr>
      </w:pPr>
    </w:p>
    <w:p w14:paraId="28398EA1" w14:textId="1E805CC9" w:rsidR="00695897" w:rsidRPr="00695897" w:rsidRDefault="00695897" w:rsidP="00695897">
      <w:pPr>
        <w:spacing w:line="240" w:lineRule="auto"/>
        <w:rPr>
          <w:rFonts w:eastAsia="Times New Roman" w:cs="Arial"/>
        </w:rPr>
      </w:pPr>
      <w:r w:rsidRPr="00695897">
        <w:rPr>
          <w:rFonts w:eastAsia="Times New Roman" w:cs="Arial"/>
          <w:color w:val="000000"/>
          <w:lang w:eastAsia="bg-BG"/>
        </w:rPr>
        <w:t>Лосартан няма ефект върху автономните рефлекси и няма продължителен ефект върху плазмения норепинефрин.</w:t>
      </w:r>
    </w:p>
    <w:p w14:paraId="1688F088" w14:textId="77777777" w:rsidR="00695897" w:rsidRPr="00695897" w:rsidRDefault="00695897" w:rsidP="00695897">
      <w:pPr>
        <w:spacing w:line="240" w:lineRule="auto"/>
        <w:rPr>
          <w:rFonts w:eastAsia="Times New Roman" w:cs="Arial"/>
          <w:color w:val="000000"/>
          <w:lang w:eastAsia="bg-BG"/>
        </w:rPr>
      </w:pPr>
    </w:p>
    <w:p w14:paraId="43217BF2" w14:textId="182675FC" w:rsidR="00695897" w:rsidRPr="00695897" w:rsidRDefault="00695897" w:rsidP="00695897">
      <w:pPr>
        <w:spacing w:line="240" w:lineRule="auto"/>
        <w:rPr>
          <w:rFonts w:eastAsia="Times New Roman" w:cs="Arial"/>
        </w:rPr>
      </w:pPr>
      <w:r w:rsidRPr="00695897">
        <w:rPr>
          <w:rFonts w:eastAsia="Times New Roman" w:cs="Arial"/>
          <w:color w:val="000000"/>
          <w:lang w:eastAsia="bg-BG"/>
        </w:rPr>
        <w:t xml:space="preserve">При пациенти с ляво камерна недостатъчност, дози от </w:t>
      </w:r>
      <w:r w:rsidRPr="00695897">
        <w:rPr>
          <w:rFonts w:eastAsia="Times New Roman" w:cs="Arial"/>
          <w:color w:val="000000"/>
          <w:lang w:val="ru-RU"/>
        </w:rPr>
        <w:t>25-</w:t>
      </w:r>
      <w:r w:rsidRPr="00695897">
        <w:rPr>
          <w:rFonts w:eastAsia="Times New Roman" w:cs="Arial"/>
          <w:color w:val="000000"/>
          <w:lang w:val="en-US"/>
        </w:rPr>
        <w:t>mg</w:t>
      </w:r>
      <w:r w:rsidRPr="00695897">
        <w:rPr>
          <w:rFonts w:eastAsia="Times New Roman" w:cs="Arial"/>
          <w:color w:val="000000"/>
          <w:lang w:val="ru-RU"/>
        </w:rPr>
        <w:t xml:space="preserve"> </w:t>
      </w:r>
      <w:r w:rsidRPr="00695897">
        <w:rPr>
          <w:rFonts w:eastAsia="Times New Roman" w:cs="Arial"/>
          <w:color w:val="000000"/>
          <w:lang w:eastAsia="bg-BG"/>
        </w:rPr>
        <w:t>и 50-</w:t>
      </w:r>
      <w:r w:rsidRPr="00695897">
        <w:rPr>
          <w:rFonts w:eastAsia="Times New Roman" w:cs="Arial"/>
          <w:color w:val="000000"/>
          <w:lang w:val="en-US"/>
        </w:rPr>
        <w:t>mg</w:t>
      </w:r>
      <w:r w:rsidRPr="00695897">
        <w:rPr>
          <w:rFonts w:eastAsia="Times New Roman" w:cs="Arial"/>
          <w:color w:val="000000"/>
          <w:lang w:val="ru-RU"/>
        </w:rPr>
        <w:t xml:space="preserve"> </w:t>
      </w:r>
      <w:r w:rsidRPr="00695897">
        <w:rPr>
          <w:rFonts w:eastAsia="Times New Roman" w:cs="Arial"/>
          <w:color w:val="000000"/>
          <w:lang w:eastAsia="bg-BG"/>
        </w:rPr>
        <w:t>лосартан водят до позитивни хемодинамични и неврохормонални ефекти, характеризиращи се с повишаване на сърдечния индекс и намаляване на белодробното капилярно налягане, системната съдова резистентност, средното системно артериално налягане и сърдечната честота и съответно</w:t>
      </w:r>
    </w:p>
    <w:p w14:paraId="769CDB5C" w14:textId="77777777" w:rsidR="00695897" w:rsidRPr="00695897" w:rsidRDefault="00695897" w:rsidP="00695897">
      <w:pPr>
        <w:spacing w:line="240" w:lineRule="auto"/>
        <w:rPr>
          <w:rFonts w:eastAsia="Times New Roman" w:cs="Arial"/>
        </w:rPr>
      </w:pPr>
      <w:r w:rsidRPr="00695897">
        <w:rPr>
          <w:rFonts w:eastAsia="Times New Roman" w:cs="Arial"/>
          <w:color w:val="000000"/>
          <w:lang w:eastAsia="bg-BG"/>
        </w:rPr>
        <w:t>намаление на циркулиращите нива на алдостерон и норепинефрин. Появата на хипотония при тези пациенти със сърдечна недостатъчност е дозо-зависима.</w:t>
      </w:r>
    </w:p>
    <w:p w14:paraId="796AFADA" w14:textId="77777777" w:rsidR="00695897" w:rsidRPr="00695897" w:rsidRDefault="00695897" w:rsidP="00695897">
      <w:pPr>
        <w:rPr>
          <w:rFonts w:eastAsia="Times New Roman" w:cs="Arial"/>
          <w:color w:val="000000"/>
          <w:u w:val="single"/>
          <w:lang w:eastAsia="bg-BG"/>
        </w:rPr>
      </w:pPr>
    </w:p>
    <w:p w14:paraId="35047880" w14:textId="7B761DCF" w:rsidR="00695897" w:rsidRPr="00695897" w:rsidRDefault="00695897" w:rsidP="00695897">
      <w:pPr>
        <w:rPr>
          <w:rFonts w:eastAsia="Times New Roman" w:cs="Arial"/>
          <w:color w:val="000000"/>
          <w:u w:val="single"/>
          <w:lang w:eastAsia="bg-BG"/>
        </w:rPr>
      </w:pPr>
      <w:r w:rsidRPr="00695897">
        <w:rPr>
          <w:rFonts w:eastAsia="Times New Roman" w:cs="Arial"/>
          <w:color w:val="000000"/>
          <w:u w:val="single"/>
          <w:lang w:eastAsia="bg-BG"/>
        </w:rPr>
        <w:t>Хипертонични изпитвания</w:t>
      </w:r>
    </w:p>
    <w:p w14:paraId="1C3A54F1" w14:textId="77777777" w:rsidR="00695897" w:rsidRPr="00695897" w:rsidRDefault="00695897" w:rsidP="00695897">
      <w:pPr>
        <w:spacing w:line="240" w:lineRule="auto"/>
        <w:rPr>
          <w:rFonts w:eastAsia="Times New Roman" w:cs="Arial"/>
        </w:rPr>
      </w:pPr>
      <w:r w:rsidRPr="00695897">
        <w:rPr>
          <w:rFonts w:eastAsia="Times New Roman" w:cs="Arial"/>
          <w:color w:val="000000"/>
          <w:lang w:eastAsia="bg-BG"/>
        </w:rPr>
        <w:t>При контролирани клинични изпитвания върху пациенти с лека до средна есенциална хипертония, прилагането на лосартан един път дневно, е предизвикало статистически значимо понижение на систоличното и диастоличното кръвно налягане. Измерванията на кръвното налягане 24-часа след дозиране отнесено към 5-6 часа след дозата показва относително плавна редукция на кръвното налягане за период от 24 часа; естествените дневни ритми се запазват. Редукцията на кръвното налягане към края на дозовия интервал е била приблизително 70-80 % от ефекта, наблюдаван 5-6 часа след прилагане на дозата.</w:t>
      </w:r>
    </w:p>
    <w:p w14:paraId="6F70F1B1" w14:textId="77777777" w:rsidR="00695897" w:rsidRPr="00695897" w:rsidRDefault="00695897" w:rsidP="00695897">
      <w:pPr>
        <w:spacing w:line="240" w:lineRule="auto"/>
        <w:rPr>
          <w:rFonts w:eastAsia="Times New Roman" w:cs="Arial"/>
          <w:color w:val="000000"/>
          <w:lang w:eastAsia="bg-BG"/>
        </w:rPr>
      </w:pPr>
    </w:p>
    <w:p w14:paraId="04D97420" w14:textId="46ACD4EA" w:rsidR="00695897" w:rsidRPr="00695897" w:rsidRDefault="00695897" w:rsidP="00695897">
      <w:pPr>
        <w:spacing w:line="240" w:lineRule="auto"/>
        <w:rPr>
          <w:rFonts w:eastAsia="Times New Roman" w:cs="Arial"/>
        </w:rPr>
      </w:pPr>
      <w:r w:rsidRPr="00695897">
        <w:rPr>
          <w:rFonts w:eastAsia="Times New Roman" w:cs="Arial"/>
          <w:color w:val="000000"/>
          <w:lang w:eastAsia="bg-BG"/>
        </w:rPr>
        <w:t xml:space="preserve">Спирането на лосартан, при хипертонични пациенти, не е водело до рязко възстановяване на кръвното налягане (рибаунд). Независимо от значителното намаляване на кръвното налягане, прилагането на лосартан не е оказало клинично </w:t>
      </w:r>
      <w:r w:rsidRPr="00695897">
        <w:rPr>
          <w:rFonts w:eastAsia="Times New Roman" w:cs="Arial"/>
          <w:color w:val="000000"/>
          <w:lang w:eastAsia="bg-BG"/>
        </w:rPr>
        <w:lastRenderedPageBreak/>
        <w:t>значим ефект върху сърдечната честота. Лосартан е еднакво ефективен за мъже и жени, за по-млади (под 65 години) и по-стари хипертоници.</w:t>
      </w:r>
    </w:p>
    <w:p w14:paraId="61A30968" w14:textId="77777777" w:rsidR="00695897" w:rsidRPr="00695897" w:rsidRDefault="00695897" w:rsidP="00695897">
      <w:pPr>
        <w:spacing w:line="240" w:lineRule="auto"/>
        <w:rPr>
          <w:rFonts w:eastAsia="Times New Roman" w:cs="Arial"/>
          <w:color w:val="000000"/>
          <w:u w:val="single"/>
          <w:lang w:eastAsia="bg-BG"/>
        </w:rPr>
      </w:pPr>
    </w:p>
    <w:p w14:paraId="2548A98C" w14:textId="32B4EADE" w:rsidR="00695897" w:rsidRPr="00695897" w:rsidRDefault="00695897" w:rsidP="00695897">
      <w:pPr>
        <w:spacing w:line="240" w:lineRule="auto"/>
        <w:rPr>
          <w:rFonts w:eastAsia="Times New Roman" w:cs="Arial"/>
        </w:rPr>
      </w:pPr>
      <w:r w:rsidRPr="00695897">
        <w:rPr>
          <w:rFonts w:eastAsia="Times New Roman" w:cs="Arial"/>
          <w:color w:val="000000"/>
          <w:u w:val="single"/>
          <w:lang w:eastAsia="bg-BG"/>
        </w:rPr>
        <w:t xml:space="preserve">Изпитване </w:t>
      </w:r>
      <w:r w:rsidRPr="00695897">
        <w:rPr>
          <w:rFonts w:eastAsia="Times New Roman" w:cs="Arial"/>
          <w:color w:val="000000"/>
          <w:u w:val="single"/>
          <w:lang w:val="en-US"/>
        </w:rPr>
        <w:t>LIFE</w:t>
      </w:r>
    </w:p>
    <w:p w14:paraId="6F9D22FE" w14:textId="77777777" w:rsidR="00695897" w:rsidRPr="00695897" w:rsidRDefault="00695897" w:rsidP="00695897">
      <w:pPr>
        <w:spacing w:line="240" w:lineRule="auto"/>
        <w:rPr>
          <w:rFonts w:eastAsia="Times New Roman" w:cs="Arial"/>
        </w:rPr>
      </w:pPr>
      <w:r w:rsidRPr="00695897">
        <w:rPr>
          <w:rFonts w:eastAsia="Times New Roman" w:cs="Arial"/>
          <w:color w:val="000000"/>
          <w:lang w:eastAsia="bg-BG"/>
        </w:rPr>
        <w:t xml:space="preserve">Изпитването </w:t>
      </w:r>
      <w:r w:rsidRPr="00695897">
        <w:rPr>
          <w:rFonts w:eastAsia="Times New Roman" w:cs="Arial"/>
          <w:color w:val="000000"/>
          <w:lang w:val="en-US"/>
        </w:rPr>
        <w:t>Losartan</w:t>
      </w:r>
      <w:r w:rsidRPr="00695897">
        <w:rPr>
          <w:rFonts w:eastAsia="Times New Roman" w:cs="Arial"/>
          <w:color w:val="000000"/>
        </w:rPr>
        <w:t xml:space="preserve"> </w:t>
      </w:r>
      <w:r w:rsidRPr="00695897">
        <w:rPr>
          <w:rFonts w:eastAsia="Times New Roman" w:cs="Arial"/>
          <w:color w:val="000000"/>
          <w:lang w:val="en-US"/>
        </w:rPr>
        <w:t>Intervention</w:t>
      </w:r>
      <w:r w:rsidRPr="00695897">
        <w:rPr>
          <w:rFonts w:eastAsia="Times New Roman" w:cs="Arial"/>
          <w:color w:val="000000"/>
        </w:rPr>
        <w:t xml:space="preserve"> </w:t>
      </w:r>
      <w:r w:rsidRPr="00695897">
        <w:rPr>
          <w:rFonts w:eastAsia="Times New Roman" w:cs="Arial"/>
          <w:color w:val="000000"/>
          <w:lang w:val="en-US"/>
        </w:rPr>
        <w:t>For</w:t>
      </w:r>
      <w:r w:rsidRPr="00695897">
        <w:rPr>
          <w:rFonts w:eastAsia="Times New Roman" w:cs="Arial"/>
          <w:color w:val="000000"/>
        </w:rPr>
        <w:t xml:space="preserve"> </w:t>
      </w:r>
      <w:r w:rsidRPr="00695897">
        <w:rPr>
          <w:rFonts w:eastAsia="Times New Roman" w:cs="Arial"/>
          <w:color w:val="000000"/>
          <w:lang w:val="en-US"/>
        </w:rPr>
        <w:t>Endpoint</w:t>
      </w:r>
      <w:r w:rsidRPr="00695897">
        <w:rPr>
          <w:rFonts w:eastAsia="Times New Roman" w:cs="Arial"/>
          <w:color w:val="000000"/>
        </w:rPr>
        <w:t xml:space="preserve"> </w:t>
      </w:r>
      <w:r w:rsidRPr="00695897">
        <w:rPr>
          <w:rFonts w:eastAsia="Times New Roman" w:cs="Arial"/>
          <w:color w:val="000000"/>
          <w:lang w:val="en-US"/>
        </w:rPr>
        <w:t>reduction</w:t>
      </w:r>
      <w:r w:rsidRPr="00695897">
        <w:rPr>
          <w:rFonts w:eastAsia="Times New Roman" w:cs="Arial"/>
          <w:color w:val="000000"/>
        </w:rPr>
        <w:t xml:space="preserve"> </w:t>
      </w:r>
      <w:r w:rsidRPr="00695897">
        <w:rPr>
          <w:rFonts w:eastAsia="Times New Roman" w:cs="Arial"/>
          <w:color w:val="000000"/>
          <w:lang w:val="en-US"/>
        </w:rPr>
        <w:t>in</w:t>
      </w:r>
      <w:r w:rsidRPr="00695897">
        <w:rPr>
          <w:rFonts w:eastAsia="Times New Roman" w:cs="Arial"/>
          <w:color w:val="000000"/>
        </w:rPr>
        <w:t xml:space="preserve"> </w:t>
      </w:r>
      <w:r w:rsidRPr="00695897">
        <w:rPr>
          <w:rFonts w:eastAsia="Times New Roman" w:cs="Arial"/>
          <w:color w:val="000000"/>
          <w:lang w:val="en-US"/>
        </w:rPr>
        <w:t>hypertension</w:t>
      </w:r>
      <w:r w:rsidRPr="00695897">
        <w:rPr>
          <w:rFonts w:eastAsia="Times New Roman" w:cs="Arial"/>
          <w:color w:val="000000"/>
        </w:rPr>
        <w:t xml:space="preserve"> (</w:t>
      </w:r>
      <w:r w:rsidRPr="00695897">
        <w:rPr>
          <w:rFonts w:eastAsia="Times New Roman" w:cs="Arial"/>
          <w:color w:val="000000"/>
          <w:lang w:val="en-US"/>
        </w:rPr>
        <w:t>LIFE</w:t>
      </w:r>
      <w:r w:rsidRPr="00695897">
        <w:rPr>
          <w:rFonts w:eastAsia="Times New Roman" w:cs="Arial"/>
          <w:color w:val="000000"/>
        </w:rPr>
        <w:t xml:space="preserve"> ) </w:t>
      </w:r>
      <w:r w:rsidRPr="00695897">
        <w:rPr>
          <w:rFonts w:eastAsia="Times New Roman" w:cs="Arial"/>
          <w:color w:val="000000"/>
          <w:lang w:eastAsia="bg-BG"/>
        </w:rPr>
        <w:t xml:space="preserve">е било рандомизирано, тройно-сляпо, активно контролирано проучване при 9193 хипертоници на възраст между 55 и 80 години с ЕКГ-документирана лявокамерна хипертрофия. Пациентите се рандомизират да получават веднъж дневно лосартан 50 или веднъж дневно атенолол 50 </w:t>
      </w:r>
      <w:r w:rsidRPr="00695897">
        <w:rPr>
          <w:rFonts w:eastAsia="Times New Roman" w:cs="Arial"/>
          <w:color w:val="000000"/>
          <w:lang w:val="en-US"/>
        </w:rPr>
        <w:t>mg</w:t>
      </w:r>
      <w:r w:rsidRPr="00695897">
        <w:rPr>
          <w:rFonts w:eastAsia="Times New Roman" w:cs="Arial"/>
          <w:color w:val="000000"/>
          <w:lang w:val="ru-RU"/>
        </w:rPr>
        <w:t xml:space="preserve">. </w:t>
      </w:r>
      <w:r w:rsidRPr="00695897">
        <w:rPr>
          <w:rFonts w:eastAsia="Times New Roman" w:cs="Arial"/>
          <w:color w:val="000000"/>
          <w:lang w:eastAsia="bg-BG"/>
        </w:rPr>
        <w:t xml:space="preserve">Ако желаното кръвно налягане (&lt;140/90 </w:t>
      </w:r>
      <w:r w:rsidRPr="00695897">
        <w:rPr>
          <w:rFonts w:eastAsia="Times New Roman" w:cs="Arial"/>
          <w:color w:val="000000"/>
          <w:lang w:val="en-US"/>
        </w:rPr>
        <w:t>mmHg</w:t>
      </w:r>
      <w:r w:rsidRPr="00695897">
        <w:rPr>
          <w:rFonts w:eastAsia="Times New Roman" w:cs="Arial"/>
          <w:color w:val="000000"/>
          <w:lang w:val="ru-RU"/>
        </w:rPr>
        <w:t xml:space="preserve">) </w:t>
      </w:r>
      <w:r w:rsidRPr="00695897">
        <w:rPr>
          <w:rFonts w:eastAsia="Times New Roman" w:cs="Arial"/>
          <w:color w:val="000000"/>
          <w:lang w:eastAsia="bg-BG"/>
        </w:rPr>
        <w:t xml:space="preserve">не е било постигнато, първо е прибавян хидрохлоротиазид (12,5 </w:t>
      </w:r>
      <w:r w:rsidRPr="00695897">
        <w:rPr>
          <w:rFonts w:eastAsia="Times New Roman" w:cs="Arial"/>
          <w:color w:val="000000"/>
          <w:lang w:val="en-US"/>
        </w:rPr>
        <w:t>mg</w:t>
      </w:r>
      <w:r w:rsidRPr="00695897">
        <w:rPr>
          <w:rFonts w:eastAsia="Times New Roman" w:cs="Arial"/>
          <w:color w:val="000000"/>
          <w:lang w:val="ru-RU"/>
        </w:rPr>
        <w:t xml:space="preserve">) </w:t>
      </w:r>
      <w:r w:rsidRPr="00695897">
        <w:rPr>
          <w:rFonts w:eastAsia="Times New Roman" w:cs="Arial"/>
          <w:color w:val="000000"/>
          <w:lang w:eastAsia="bg-BG"/>
        </w:rPr>
        <w:t xml:space="preserve">и при нужда след това е увеличавана дозата на лосартан или атенолол на 100 </w:t>
      </w:r>
      <w:r w:rsidRPr="00695897">
        <w:rPr>
          <w:rFonts w:eastAsia="Times New Roman" w:cs="Arial"/>
          <w:color w:val="000000"/>
          <w:lang w:val="en-US"/>
        </w:rPr>
        <w:t>mg</w:t>
      </w:r>
      <w:r w:rsidRPr="00695897">
        <w:rPr>
          <w:rFonts w:eastAsia="Times New Roman" w:cs="Arial"/>
          <w:color w:val="000000"/>
          <w:lang w:val="ru-RU"/>
        </w:rPr>
        <w:t xml:space="preserve"> </w:t>
      </w:r>
      <w:r w:rsidRPr="00695897">
        <w:rPr>
          <w:rFonts w:eastAsia="Times New Roman" w:cs="Arial"/>
          <w:color w:val="000000"/>
          <w:lang w:eastAsia="bg-BG"/>
        </w:rPr>
        <w:t>веднъж дневно. Допълнително антихипертензивно лекарство, с изключение на АСЕ инхибитор, ангиотензин-П- антагонист или бета блокер е добавяно към двете групи, за да се постигне желаното сравнимо понижение на кръвното налягане между групите.</w:t>
      </w:r>
    </w:p>
    <w:p w14:paraId="7DEE1BFE" w14:textId="77777777" w:rsidR="00695897" w:rsidRPr="00695897" w:rsidRDefault="00695897" w:rsidP="00695897">
      <w:pPr>
        <w:spacing w:line="240" w:lineRule="auto"/>
        <w:rPr>
          <w:rFonts w:eastAsia="Times New Roman" w:cs="Arial"/>
          <w:color w:val="000000"/>
          <w:lang w:eastAsia="bg-BG"/>
        </w:rPr>
      </w:pPr>
    </w:p>
    <w:p w14:paraId="7A5460E2" w14:textId="0E9B7BEE" w:rsidR="00695897" w:rsidRPr="00695897" w:rsidRDefault="00695897" w:rsidP="00695897">
      <w:pPr>
        <w:spacing w:line="240" w:lineRule="auto"/>
        <w:rPr>
          <w:rFonts w:eastAsia="Times New Roman" w:cs="Arial"/>
        </w:rPr>
      </w:pPr>
      <w:r w:rsidRPr="00695897">
        <w:rPr>
          <w:rFonts w:eastAsia="Times New Roman" w:cs="Arial"/>
          <w:color w:val="000000"/>
          <w:lang w:eastAsia="bg-BG"/>
        </w:rPr>
        <w:t>Средната продължителност на проследяване е 4,8 години.</w:t>
      </w:r>
    </w:p>
    <w:p w14:paraId="658DDE71" w14:textId="77777777" w:rsidR="00695897" w:rsidRPr="00695897" w:rsidRDefault="00695897" w:rsidP="00695897">
      <w:pPr>
        <w:spacing w:line="240" w:lineRule="auto"/>
        <w:rPr>
          <w:rFonts w:eastAsia="Times New Roman" w:cs="Arial"/>
          <w:color w:val="000000"/>
          <w:lang w:eastAsia="bg-BG"/>
        </w:rPr>
      </w:pPr>
    </w:p>
    <w:p w14:paraId="1215ACA0" w14:textId="0729B192" w:rsidR="00695897" w:rsidRPr="00695897" w:rsidRDefault="00695897" w:rsidP="00695897">
      <w:pPr>
        <w:spacing w:line="240" w:lineRule="auto"/>
        <w:rPr>
          <w:rFonts w:eastAsia="Times New Roman" w:cs="Arial"/>
        </w:rPr>
      </w:pPr>
      <w:r w:rsidRPr="00695897">
        <w:rPr>
          <w:rFonts w:eastAsia="Times New Roman" w:cs="Arial"/>
          <w:color w:val="000000"/>
          <w:lang w:eastAsia="bg-BG"/>
        </w:rPr>
        <w:t>Първичен краен показател за проучването е бил съставният от кардиоваскуларната заболеваемост и смъртност, което се измерва чрез понижаване на общата честота на настъпване на сърдечносъдова смърт, инсулт и миокарден инфаркт. Кръвното налягане е значително намалено до сходни нива в двете групи. Лечението с лосартан води до понижаване на риска с 13,0 % (р=0,021, 95 % доверителен интервал 0,77-0,98) спрямо атенолол за пациенти, при които настъпва събитие, включено в първичния съставен краен показател. Това се обяснява най-вече с намаление честотата на инсулт. Лечението с лосартан намалява риска от инсулт с 25 % спрямо атенолол (р=0,00195 % доверителен интервал 0,63-0,89). Нивата на сърдечносъдова смърт и миокарден инфаркт не се различават в лекуваните групи.</w:t>
      </w:r>
    </w:p>
    <w:p w14:paraId="1D74067D" w14:textId="77777777" w:rsidR="00695897" w:rsidRPr="00695897" w:rsidRDefault="00695897" w:rsidP="00695897">
      <w:pPr>
        <w:spacing w:line="240" w:lineRule="auto"/>
        <w:rPr>
          <w:rFonts w:eastAsia="Times New Roman" w:cs="Arial"/>
          <w:color w:val="000000"/>
          <w:u w:val="single"/>
          <w:lang w:eastAsia="bg-BG"/>
        </w:rPr>
      </w:pPr>
    </w:p>
    <w:p w14:paraId="648C269A" w14:textId="7C60824F" w:rsidR="00695897" w:rsidRPr="00695897" w:rsidRDefault="00695897" w:rsidP="00695897">
      <w:pPr>
        <w:spacing w:line="240" w:lineRule="auto"/>
        <w:rPr>
          <w:rFonts w:eastAsia="Times New Roman" w:cs="Arial"/>
        </w:rPr>
      </w:pPr>
      <w:r w:rsidRPr="00695897">
        <w:rPr>
          <w:rFonts w:eastAsia="Times New Roman" w:cs="Arial"/>
          <w:color w:val="000000"/>
          <w:u w:val="single"/>
          <w:lang w:eastAsia="bg-BG"/>
        </w:rPr>
        <w:t>Двойно блокиране на ренин ангиотензин -алдостероновата система (РААС)</w:t>
      </w:r>
    </w:p>
    <w:p w14:paraId="6FB1CFCA" w14:textId="77777777" w:rsidR="00695897" w:rsidRPr="00695897" w:rsidRDefault="00695897" w:rsidP="00695897">
      <w:pPr>
        <w:spacing w:line="240" w:lineRule="auto"/>
        <w:rPr>
          <w:rFonts w:eastAsia="Times New Roman" w:cs="Arial"/>
        </w:rPr>
      </w:pPr>
      <w:r w:rsidRPr="00695897">
        <w:rPr>
          <w:rFonts w:eastAsia="Times New Roman" w:cs="Arial"/>
          <w:color w:val="000000"/>
          <w:lang w:eastAsia="bg-BG"/>
        </w:rPr>
        <w:t xml:space="preserve">Две големи рандомизирани контролирани проучвания - </w:t>
      </w:r>
      <w:r w:rsidRPr="00695897">
        <w:rPr>
          <w:rFonts w:eastAsia="Times New Roman" w:cs="Arial"/>
          <w:color w:val="000000"/>
          <w:lang w:val="en-US"/>
        </w:rPr>
        <w:t>ONTARGET</w:t>
      </w:r>
      <w:r w:rsidRPr="00695897">
        <w:rPr>
          <w:rFonts w:eastAsia="Times New Roman" w:cs="Arial"/>
          <w:color w:val="000000"/>
        </w:rPr>
        <w:t xml:space="preserve"> (</w:t>
      </w:r>
      <w:proofErr w:type="spellStart"/>
      <w:r w:rsidRPr="00695897">
        <w:rPr>
          <w:rFonts w:eastAsia="Times New Roman" w:cs="Arial"/>
          <w:color w:val="000000"/>
          <w:lang w:val="en-US"/>
        </w:rPr>
        <w:t>ONgoing</w:t>
      </w:r>
      <w:proofErr w:type="spellEnd"/>
      <w:r w:rsidRPr="00695897">
        <w:rPr>
          <w:rFonts w:eastAsia="Times New Roman" w:cs="Arial"/>
          <w:color w:val="000000"/>
        </w:rPr>
        <w:t xml:space="preserve"> </w:t>
      </w:r>
      <w:proofErr w:type="spellStart"/>
      <w:r w:rsidRPr="00695897">
        <w:rPr>
          <w:rFonts w:eastAsia="Times New Roman" w:cs="Arial"/>
          <w:color w:val="000000"/>
          <w:lang w:val="en-US"/>
        </w:rPr>
        <w:t>Telmisartan</w:t>
      </w:r>
      <w:proofErr w:type="spellEnd"/>
      <w:r w:rsidRPr="00695897">
        <w:rPr>
          <w:rFonts w:eastAsia="Times New Roman" w:cs="Arial"/>
          <w:color w:val="000000"/>
        </w:rPr>
        <w:t xml:space="preserve"> </w:t>
      </w:r>
      <w:r w:rsidRPr="00695897">
        <w:rPr>
          <w:rFonts w:eastAsia="Times New Roman" w:cs="Arial"/>
          <w:color w:val="000000"/>
          <w:lang w:val="en-US"/>
        </w:rPr>
        <w:t>Alone</w:t>
      </w:r>
      <w:r w:rsidRPr="00695897">
        <w:rPr>
          <w:rFonts w:eastAsia="Times New Roman" w:cs="Arial"/>
          <w:color w:val="000000"/>
        </w:rPr>
        <w:t xml:space="preserve"> </w:t>
      </w:r>
      <w:r w:rsidRPr="00695897">
        <w:rPr>
          <w:rFonts w:eastAsia="Times New Roman" w:cs="Arial"/>
          <w:color w:val="000000"/>
          <w:lang w:val="en-US"/>
        </w:rPr>
        <w:t>and</w:t>
      </w:r>
      <w:r w:rsidRPr="00695897">
        <w:rPr>
          <w:rFonts w:eastAsia="Times New Roman" w:cs="Arial"/>
          <w:color w:val="000000"/>
        </w:rPr>
        <w:t xml:space="preserve"> </w:t>
      </w:r>
      <w:r w:rsidRPr="00695897">
        <w:rPr>
          <w:rFonts w:eastAsia="Times New Roman" w:cs="Arial"/>
          <w:color w:val="000000"/>
          <w:lang w:val="en-US"/>
        </w:rPr>
        <w:t>in</w:t>
      </w:r>
      <w:r w:rsidRPr="00695897">
        <w:rPr>
          <w:rFonts w:eastAsia="Times New Roman" w:cs="Arial"/>
          <w:color w:val="000000"/>
        </w:rPr>
        <w:t xml:space="preserve"> </w:t>
      </w:r>
      <w:r w:rsidRPr="00695897">
        <w:rPr>
          <w:rFonts w:eastAsia="Times New Roman" w:cs="Arial"/>
          <w:color w:val="000000"/>
          <w:lang w:val="en-US"/>
        </w:rPr>
        <w:t>combination</w:t>
      </w:r>
      <w:r w:rsidRPr="00695897">
        <w:rPr>
          <w:rFonts w:eastAsia="Times New Roman" w:cs="Arial"/>
          <w:color w:val="000000"/>
        </w:rPr>
        <w:t xml:space="preserve"> </w:t>
      </w:r>
      <w:r w:rsidRPr="00695897">
        <w:rPr>
          <w:rFonts w:eastAsia="Times New Roman" w:cs="Arial"/>
          <w:color w:val="000000"/>
          <w:lang w:val="en-US"/>
        </w:rPr>
        <w:t>with</w:t>
      </w:r>
      <w:r w:rsidRPr="00695897">
        <w:rPr>
          <w:rFonts w:eastAsia="Times New Roman" w:cs="Arial"/>
          <w:color w:val="000000"/>
        </w:rPr>
        <w:t xml:space="preserve"> </w:t>
      </w:r>
      <w:r w:rsidRPr="00695897">
        <w:rPr>
          <w:rFonts w:eastAsia="Times New Roman" w:cs="Arial"/>
          <w:color w:val="000000"/>
          <w:lang w:val="en-US"/>
        </w:rPr>
        <w:t>Ramipril</w:t>
      </w:r>
      <w:r w:rsidRPr="00695897">
        <w:rPr>
          <w:rFonts w:eastAsia="Times New Roman" w:cs="Arial"/>
          <w:color w:val="000000"/>
        </w:rPr>
        <w:t xml:space="preserve"> </w:t>
      </w:r>
      <w:r w:rsidRPr="00695897">
        <w:rPr>
          <w:rFonts w:eastAsia="Times New Roman" w:cs="Arial"/>
          <w:color w:val="000000"/>
          <w:lang w:val="en-US"/>
        </w:rPr>
        <w:t>Global</w:t>
      </w:r>
      <w:r w:rsidRPr="00695897">
        <w:rPr>
          <w:rFonts w:eastAsia="Times New Roman" w:cs="Arial"/>
          <w:color w:val="000000"/>
        </w:rPr>
        <w:t xml:space="preserve"> </w:t>
      </w:r>
      <w:r w:rsidRPr="00695897">
        <w:rPr>
          <w:rFonts w:eastAsia="Times New Roman" w:cs="Arial"/>
          <w:color w:val="000000"/>
          <w:lang w:val="en-US"/>
        </w:rPr>
        <w:t>Endpoint</w:t>
      </w:r>
      <w:r w:rsidRPr="00695897">
        <w:rPr>
          <w:rFonts w:eastAsia="Times New Roman" w:cs="Arial"/>
          <w:color w:val="000000"/>
        </w:rPr>
        <w:t xml:space="preserve"> </w:t>
      </w:r>
      <w:r w:rsidRPr="00695897">
        <w:rPr>
          <w:rFonts w:eastAsia="Times New Roman" w:cs="Arial"/>
          <w:color w:val="000000"/>
          <w:lang w:val="en-US"/>
        </w:rPr>
        <w:t>Trial</w:t>
      </w:r>
      <w:r w:rsidRPr="00695897">
        <w:rPr>
          <w:rFonts w:eastAsia="Times New Roman" w:cs="Arial"/>
          <w:color w:val="000000"/>
        </w:rPr>
        <w:t xml:space="preserve"> - </w:t>
      </w:r>
      <w:r w:rsidRPr="00695897">
        <w:rPr>
          <w:rFonts w:eastAsia="Times New Roman" w:cs="Arial"/>
          <w:color w:val="000000"/>
          <w:lang w:eastAsia="bg-BG"/>
        </w:rPr>
        <w:t xml:space="preserve">текущо глобално изпитване за крайни точки на телмисартан, самостоятелно и в комбинация с рамиприл) и </w:t>
      </w:r>
      <w:r w:rsidRPr="00695897">
        <w:rPr>
          <w:rFonts w:eastAsia="Times New Roman" w:cs="Arial"/>
          <w:color w:val="000000"/>
          <w:lang w:val="en-US"/>
        </w:rPr>
        <w:t>VA</w:t>
      </w:r>
      <w:r w:rsidRPr="00695897">
        <w:rPr>
          <w:rFonts w:eastAsia="Times New Roman" w:cs="Arial"/>
          <w:color w:val="000000"/>
        </w:rPr>
        <w:t xml:space="preserve"> </w:t>
      </w:r>
      <w:r w:rsidRPr="00695897">
        <w:rPr>
          <w:rFonts w:eastAsia="Times New Roman" w:cs="Arial"/>
          <w:color w:val="000000"/>
          <w:lang w:val="en-US"/>
        </w:rPr>
        <w:t>NEPHRON</w:t>
      </w:r>
      <w:r w:rsidRPr="00695897">
        <w:rPr>
          <w:rFonts w:eastAsia="Times New Roman" w:cs="Arial"/>
          <w:color w:val="000000"/>
        </w:rPr>
        <w:t>-</w:t>
      </w:r>
      <w:r w:rsidRPr="00695897">
        <w:rPr>
          <w:rFonts w:eastAsia="Times New Roman" w:cs="Arial"/>
          <w:color w:val="000000"/>
          <w:lang w:val="en-US"/>
        </w:rPr>
        <w:t>D</w:t>
      </w:r>
      <w:r w:rsidRPr="00695897">
        <w:rPr>
          <w:rFonts w:eastAsia="Times New Roman" w:cs="Arial"/>
          <w:color w:val="000000"/>
        </w:rPr>
        <w:t xml:space="preserve"> </w:t>
      </w:r>
      <w:r w:rsidRPr="00695897">
        <w:rPr>
          <w:rFonts w:eastAsia="Times New Roman" w:cs="Arial"/>
          <w:color w:val="000000"/>
          <w:lang w:eastAsia="bg-BG"/>
        </w:rPr>
        <w:t>(Клинично проучване свързано с развитие на нефропатия при диабет, проведено от Министерство по въпросите на ветераните) - проучват употребата на комбинацията от АСЕ инхибитор и ангиотензин П-рецепторен блокер.</w:t>
      </w:r>
    </w:p>
    <w:p w14:paraId="137D5D2A" w14:textId="77777777" w:rsidR="00695897" w:rsidRPr="00695897" w:rsidRDefault="00695897" w:rsidP="00695897">
      <w:pPr>
        <w:spacing w:line="240" w:lineRule="auto"/>
        <w:rPr>
          <w:rFonts w:eastAsia="Times New Roman" w:cs="Arial"/>
        </w:rPr>
      </w:pPr>
      <w:r w:rsidRPr="00695897">
        <w:rPr>
          <w:rFonts w:eastAsia="Times New Roman" w:cs="Arial"/>
          <w:color w:val="000000"/>
          <w:lang w:val="en-US"/>
        </w:rPr>
        <w:t>ONTARGET</w:t>
      </w:r>
      <w:r w:rsidRPr="00695897">
        <w:rPr>
          <w:rFonts w:eastAsia="Times New Roman" w:cs="Arial"/>
          <w:color w:val="000000"/>
          <w:lang w:val="ru-RU"/>
        </w:rPr>
        <w:t xml:space="preserve"> </w:t>
      </w:r>
      <w:r w:rsidRPr="00695897">
        <w:rPr>
          <w:rFonts w:eastAsia="Times New Roman" w:cs="Arial"/>
          <w:color w:val="000000"/>
          <w:lang w:eastAsia="bg-BG"/>
        </w:rPr>
        <w:t xml:space="preserve">е проучване, проведено при пациенти с анамнеза за сърдечносъдова или мозъчносъдова болест, или захарен диабет тип 2, придружени с данни за увреждане на ефекторни органи. </w:t>
      </w:r>
      <w:r w:rsidRPr="00695897">
        <w:rPr>
          <w:rFonts w:eastAsia="Times New Roman" w:cs="Arial"/>
          <w:color w:val="000000"/>
          <w:lang w:val="en-US"/>
        </w:rPr>
        <w:t>VA</w:t>
      </w:r>
      <w:r w:rsidRPr="00695897">
        <w:rPr>
          <w:rFonts w:eastAsia="Times New Roman" w:cs="Arial"/>
          <w:color w:val="000000"/>
          <w:lang w:val="ru-RU"/>
        </w:rPr>
        <w:t xml:space="preserve"> </w:t>
      </w:r>
      <w:r w:rsidRPr="00695897">
        <w:rPr>
          <w:rFonts w:eastAsia="Times New Roman" w:cs="Arial"/>
          <w:color w:val="000000"/>
          <w:lang w:val="en-US"/>
        </w:rPr>
        <w:t>NEPHRON</w:t>
      </w:r>
      <w:r w:rsidRPr="00695897">
        <w:rPr>
          <w:rFonts w:eastAsia="Times New Roman" w:cs="Arial"/>
          <w:color w:val="000000"/>
          <w:lang w:val="ru-RU"/>
        </w:rPr>
        <w:t>-</w:t>
      </w:r>
      <w:r w:rsidRPr="00695897">
        <w:rPr>
          <w:rFonts w:eastAsia="Times New Roman" w:cs="Arial"/>
          <w:color w:val="000000"/>
          <w:lang w:val="en-US"/>
        </w:rPr>
        <w:t>D</w:t>
      </w:r>
      <w:r w:rsidRPr="00695897">
        <w:rPr>
          <w:rFonts w:eastAsia="Times New Roman" w:cs="Arial"/>
          <w:color w:val="000000"/>
          <w:lang w:val="ru-RU"/>
        </w:rPr>
        <w:t xml:space="preserve"> </w:t>
      </w:r>
      <w:r w:rsidRPr="00695897">
        <w:rPr>
          <w:rFonts w:eastAsia="Times New Roman" w:cs="Arial"/>
          <w:color w:val="000000"/>
          <w:lang w:eastAsia="bg-BG"/>
        </w:rPr>
        <w:t>е проучване при пациенти със захарен диабет тип 2 и диабетна нефропатия.</w:t>
      </w:r>
    </w:p>
    <w:p w14:paraId="4B6BD392" w14:textId="77777777" w:rsidR="00695897" w:rsidRPr="00695897" w:rsidRDefault="00695897" w:rsidP="00695897">
      <w:pPr>
        <w:spacing w:line="240" w:lineRule="auto"/>
        <w:rPr>
          <w:rFonts w:eastAsia="Times New Roman" w:cs="Arial"/>
        </w:rPr>
      </w:pPr>
      <w:r w:rsidRPr="00695897">
        <w:rPr>
          <w:rFonts w:eastAsia="Times New Roman" w:cs="Arial"/>
          <w:color w:val="000000"/>
          <w:lang w:eastAsia="bg-BG"/>
        </w:rPr>
        <w:t>Тези проучвания не показват значим благоприятен ефект върху бъбречните и/или сърдечносъдовите последици и смъртност, като същевременно са наблюдавани повишен риск от хиперкалиемия, остро увреждане на бъбреците и/или хипотония в сравнение с</w:t>
      </w:r>
      <w:r w:rsidRPr="00695897">
        <w:rPr>
          <w:rFonts w:eastAsia="Times New Roman" w:cs="Arial"/>
          <w:color w:val="000000"/>
          <w:vertAlign w:val="superscript"/>
          <w:lang w:eastAsia="bg-BG"/>
        </w:rPr>
        <w:t xml:space="preserve"> </w:t>
      </w:r>
      <w:r w:rsidRPr="00695897">
        <w:rPr>
          <w:rFonts w:eastAsia="Times New Roman" w:cs="Arial"/>
          <w:color w:val="000000"/>
          <w:lang w:eastAsia="bg-BG"/>
        </w:rPr>
        <w:t xml:space="preserve">монотерапията. Като се имат предвид сходните им фармакодинамични свойства, тези резултати са приложими и за други АСЕ инхибитори и ангиотензин </w:t>
      </w:r>
      <w:r w:rsidRPr="00695897">
        <w:rPr>
          <w:rFonts w:eastAsia="Times New Roman" w:cs="Arial"/>
          <w:color w:val="000000"/>
          <w:lang w:val="en-US"/>
        </w:rPr>
        <w:t>II</w:t>
      </w:r>
      <w:r w:rsidRPr="00695897">
        <w:rPr>
          <w:rFonts w:eastAsia="Times New Roman" w:cs="Arial"/>
          <w:color w:val="000000"/>
          <w:lang w:eastAsia="bg-BG"/>
        </w:rPr>
        <w:t>-рецепторни блокери.</w:t>
      </w:r>
    </w:p>
    <w:p w14:paraId="02A0748A" w14:textId="77777777" w:rsidR="00695897" w:rsidRPr="00695897" w:rsidRDefault="00695897" w:rsidP="00695897">
      <w:pPr>
        <w:spacing w:line="240" w:lineRule="auto"/>
        <w:rPr>
          <w:rFonts w:eastAsia="Times New Roman" w:cs="Arial"/>
        </w:rPr>
      </w:pPr>
      <w:r w:rsidRPr="00695897">
        <w:rPr>
          <w:rFonts w:eastAsia="Times New Roman" w:cs="Arial"/>
          <w:color w:val="000000"/>
          <w:lang w:eastAsia="bg-BG"/>
        </w:rPr>
        <w:t>АСЕ инхибитори и ангиотензин И-рецепторни блокери следователно не трябва да се използват едновременно при пациенти с диабетна нефропатия.</w:t>
      </w:r>
    </w:p>
    <w:p w14:paraId="5410D58A" w14:textId="77777777" w:rsidR="00695897" w:rsidRPr="00695897" w:rsidRDefault="00695897" w:rsidP="00695897">
      <w:pPr>
        <w:rPr>
          <w:rFonts w:eastAsia="Times New Roman" w:cs="Arial"/>
        </w:rPr>
      </w:pPr>
      <w:r w:rsidRPr="00695897">
        <w:rPr>
          <w:rFonts w:eastAsia="Times New Roman" w:cs="Arial"/>
          <w:color w:val="000000"/>
          <w:lang w:val="en-US"/>
        </w:rPr>
        <w:t>ALTITUDE</w:t>
      </w:r>
      <w:r w:rsidRPr="00695897">
        <w:rPr>
          <w:rFonts w:eastAsia="Times New Roman" w:cs="Arial"/>
          <w:color w:val="000000"/>
          <w:lang w:val="ru-RU"/>
        </w:rPr>
        <w:t xml:space="preserve"> </w:t>
      </w:r>
      <w:r w:rsidRPr="00695897">
        <w:rPr>
          <w:rFonts w:eastAsia="Times New Roman" w:cs="Arial"/>
          <w:color w:val="000000"/>
          <w:lang w:eastAsia="bg-BG"/>
        </w:rPr>
        <w:t xml:space="preserve">(Клинично проучване проведено с алискирен при пациенти със загарен диабет тип 2 с използване на сърдечносъдови и бъбречни заболявания като крайни точки) е проучване, предназначено да изследва ползата от добавянето на алискирен към стандартна терапия с АСЕ инхибитор или ангиотензин </w:t>
      </w:r>
      <w:r w:rsidRPr="00695897">
        <w:rPr>
          <w:rFonts w:eastAsia="Times New Roman" w:cs="Arial"/>
          <w:color w:val="000000"/>
          <w:lang w:val="en-US"/>
        </w:rPr>
        <w:t>II</w:t>
      </w:r>
      <w:r w:rsidRPr="00695897">
        <w:rPr>
          <w:rFonts w:eastAsia="Times New Roman" w:cs="Arial"/>
          <w:color w:val="000000"/>
          <w:lang w:eastAsia="bg-BG"/>
        </w:rPr>
        <w:t xml:space="preserve">-рецепторен блокер при пациенти </w:t>
      </w:r>
      <w:r w:rsidRPr="00695897">
        <w:rPr>
          <w:rFonts w:eastAsia="Times New Roman" w:cs="Arial"/>
          <w:color w:val="000000"/>
          <w:lang w:eastAsia="bg-BG"/>
        </w:rPr>
        <w:lastRenderedPageBreak/>
        <w:t>със захарен диабет тип 2 и хронично бъбречно заболяване, сърдечносъдово заболяване или и двете. Проучването е прекратено преждевременно поради повишен риск от неблагоприятни последици. Както сърдечносъдовата смърт, така и инсултът са по-чести в групата на алискирен, отколкото в групата на плацебо, а представляващите интерес нежелани събития и сериозни нежелани събития (хиперкалиемия, хипотония и бъбречна дисфункция) се съобщават по-често в групата на алискирен, отколкото в групата на плацебо.</w:t>
      </w:r>
    </w:p>
    <w:p w14:paraId="04834CA3" w14:textId="77777777" w:rsidR="00695897" w:rsidRPr="00695897" w:rsidRDefault="00695897" w:rsidP="00695897">
      <w:pPr>
        <w:spacing w:line="240" w:lineRule="auto"/>
        <w:rPr>
          <w:rFonts w:eastAsia="Times New Roman" w:cs="Arial"/>
          <w:color w:val="000000"/>
          <w:u w:val="single"/>
          <w:lang w:eastAsia="bg-BG"/>
        </w:rPr>
      </w:pPr>
    </w:p>
    <w:p w14:paraId="24DCF8B5" w14:textId="17391911" w:rsidR="00695897" w:rsidRPr="00695897" w:rsidRDefault="00695897" w:rsidP="00695897">
      <w:pPr>
        <w:spacing w:line="240" w:lineRule="auto"/>
        <w:rPr>
          <w:rFonts w:eastAsia="Times New Roman" w:cs="Arial"/>
        </w:rPr>
      </w:pPr>
      <w:r w:rsidRPr="00695897">
        <w:rPr>
          <w:rFonts w:eastAsia="Times New Roman" w:cs="Arial"/>
          <w:color w:val="000000"/>
          <w:u w:val="single"/>
          <w:lang w:eastAsia="bg-BG"/>
        </w:rPr>
        <w:t>Хидрохлоротиазид</w:t>
      </w:r>
    </w:p>
    <w:p w14:paraId="4C3E0EF8" w14:textId="77777777" w:rsidR="00695897" w:rsidRPr="00695897" w:rsidRDefault="00695897" w:rsidP="00695897">
      <w:pPr>
        <w:spacing w:line="240" w:lineRule="auto"/>
        <w:rPr>
          <w:rFonts w:eastAsia="Times New Roman" w:cs="Arial"/>
        </w:rPr>
      </w:pPr>
      <w:r w:rsidRPr="00695897">
        <w:rPr>
          <w:rFonts w:eastAsia="Times New Roman" w:cs="Arial"/>
          <w:color w:val="000000"/>
          <w:lang w:eastAsia="bg-BG"/>
        </w:rPr>
        <w:t>Хидрохлоротиазид е тиазиден диуретик. Механизмът на антихипертензивния ефект на тиазидните диуретици не е напълно известен. Тиазидите действат върху реналния тубулен механизъм на електролитната реабсорбция като повишава директно екскрецията на натрий и хлор в приблизително еквивалентни количества. Дуретичното действие на хидрохлоротиазид намалява плазмения обем, повишава плазмената ренинова активност и повишава секрецията на алдостерон с последващо повишаване на калия в урината и загубата на бикарбонати и намаляване на серумния калий. Ренин-алдостероновата връзка се медиира от ангиотензин II и затова едновременното приложение на ангиотензин II рецепторен антагонист показва тенденция към намаляване на загубата на калий, свързана с тиазидните диуретици.</w:t>
      </w:r>
    </w:p>
    <w:p w14:paraId="5B59986B" w14:textId="77777777" w:rsidR="00695897" w:rsidRPr="00695897" w:rsidRDefault="00695897" w:rsidP="00695897">
      <w:pPr>
        <w:spacing w:line="240" w:lineRule="auto"/>
        <w:rPr>
          <w:rFonts w:eastAsia="Times New Roman" w:cs="Arial"/>
          <w:color w:val="000000"/>
          <w:lang w:eastAsia="bg-BG"/>
        </w:rPr>
      </w:pPr>
    </w:p>
    <w:p w14:paraId="03D12A6C" w14:textId="394D08DB" w:rsidR="00695897" w:rsidRPr="00695897" w:rsidRDefault="00695897" w:rsidP="00695897">
      <w:pPr>
        <w:spacing w:line="240" w:lineRule="auto"/>
        <w:rPr>
          <w:rFonts w:eastAsia="Times New Roman" w:cs="Arial"/>
        </w:rPr>
      </w:pPr>
      <w:r w:rsidRPr="00695897">
        <w:rPr>
          <w:rFonts w:eastAsia="Times New Roman" w:cs="Arial"/>
          <w:color w:val="000000"/>
          <w:lang w:eastAsia="bg-BG"/>
        </w:rPr>
        <w:t>След перорална доза, диурезата започва до 2 часа, достига пиково ниво след около 4 часа и продължава около 6 до 12 часа, антихипертензивният ефект продължава до 24 часа.</w:t>
      </w:r>
    </w:p>
    <w:p w14:paraId="275D1721" w14:textId="77777777" w:rsidR="00695897" w:rsidRPr="00695897" w:rsidRDefault="00695897" w:rsidP="00695897">
      <w:pPr>
        <w:spacing w:line="240" w:lineRule="auto"/>
        <w:rPr>
          <w:rFonts w:eastAsia="Times New Roman" w:cs="Arial"/>
          <w:color w:val="000000"/>
          <w:u w:val="single"/>
          <w:lang w:eastAsia="bg-BG"/>
        </w:rPr>
      </w:pPr>
    </w:p>
    <w:p w14:paraId="0A551B0C" w14:textId="7110AA2B" w:rsidR="00695897" w:rsidRPr="00695897" w:rsidRDefault="00695897" w:rsidP="00695897">
      <w:pPr>
        <w:spacing w:line="240" w:lineRule="auto"/>
        <w:rPr>
          <w:rFonts w:eastAsia="Times New Roman" w:cs="Arial"/>
        </w:rPr>
      </w:pPr>
      <w:r w:rsidRPr="00695897">
        <w:rPr>
          <w:rFonts w:eastAsia="Times New Roman" w:cs="Arial"/>
          <w:color w:val="000000"/>
          <w:u w:val="single"/>
          <w:lang w:eastAsia="bg-BG"/>
        </w:rPr>
        <w:t>Немеланомен рак на кожата</w:t>
      </w:r>
    </w:p>
    <w:p w14:paraId="7DFB5C78" w14:textId="77777777" w:rsidR="00695897" w:rsidRPr="00695897" w:rsidRDefault="00695897" w:rsidP="00695897">
      <w:pPr>
        <w:spacing w:line="240" w:lineRule="auto"/>
        <w:rPr>
          <w:rFonts w:eastAsia="Times New Roman" w:cs="Arial"/>
        </w:rPr>
      </w:pPr>
      <w:r w:rsidRPr="00695897">
        <w:rPr>
          <w:rFonts w:eastAsia="Times New Roman" w:cs="Arial"/>
          <w:color w:val="000000"/>
          <w:lang w:eastAsia="bg-BG"/>
        </w:rPr>
        <w:t xml:space="preserve">Въз основа на наличните данни от епидемиологични проучвания е наблюдавана зависима от кумулативната доза връзка между ХХТЗ и НМРК. Едно проучване включва популация, състояща се от 71 533 случаи на БКК и 8 629 случаи на СКК, и популация от съответно 1 430 833 и 172 462 подходящи контроли. Високата употреба на ХХТЗ (кумулативно ≥50 000 </w:t>
      </w:r>
      <w:r w:rsidRPr="00695897">
        <w:rPr>
          <w:rFonts w:eastAsia="Times New Roman" w:cs="Arial"/>
          <w:color w:val="000000"/>
          <w:lang w:val="en-US"/>
        </w:rPr>
        <w:t>mg</w:t>
      </w:r>
      <w:r w:rsidRPr="00695897">
        <w:rPr>
          <w:rFonts w:eastAsia="Times New Roman" w:cs="Arial"/>
          <w:color w:val="000000"/>
          <w:lang w:val="ru-RU"/>
        </w:rPr>
        <w:t xml:space="preserve">) </w:t>
      </w:r>
      <w:r w:rsidRPr="00695897">
        <w:rPr>
          <w:rFonts w:eastAsia="Times New Roman" w:cs="Arial"/>
          <w:color w:val="000000"/>
          <w:lang w:eastAsia="bg-BG"/>
        </w:rPr>
        <w:t xml:space="preserve">е свързана с коригиран </w:t>
      </w:r>
      <w:r w:rsidRPr="00695897">
        <w:rPr>
          <w:rFonts w:eastAsia="Times New Roman" w:cs="Arial"/>
          <w:color w:val="000000"/>
          <w:lang w:val="en-US"/>
        </w:rPr>
        <w:t>OR</w:t>
      </w:r>
      <w:r w:rsidRPr="00695897">
        <w:rPr>
          <w:rFonts w:eastAsia="Times New Roman" w:cs="Arial"/>
          <w:color w:val="000000"/>
          <w:lang w:val="ru-RU"/>
        </w:rPr>
        <w:t xml:space="preserve"> </w:t>
      </w:r>
      <w:r w:rsidRPr="00695897">
        <w:rPr>
          <w:rFonts w:eastAsia="Times New Roman" w:cs="Arial"/>
          <w:color w:val="000000"/>
          <w:lang w:eastAsia="bg-BG"/>
        </w:rPr>
        <w:t xml:space="preserve">1,29 (95% ДИ: 1,23-1,35) за БКК и 3,98 (95% ДИ: 3,68-4,31) за СКК. Наблюдавана е ясна връзка кумулативна доза-отговор както за БКК, така и за СКК. Друго проучване показва възможна връзка между рака на устните (СКК) и експозицията на ХХТЗ: за 633 случаи на рак на устните е подбрана популация от 63 067 подходящи контроли, като се използва стратегия за вземане на проби, определена от риска. Демонстрирана е връзка кумулативна доза-отговор с коригиран </w:t>
      </w:r>
      <w:r w:rsidRPr="00695897">
        <w:rPr>
          <w:rFonts w:eastAsia="Times New Roman" w:cs="Arial"/>
          <w:color w:val="000000"/>
          <w:lang w:val="en-US"/>
        </w:rPr>
        <w:t>OR</w:t>
      </w:r>
      <w:r w:rsidRPr="00695897">
        <w:rPr>
          <w:rFonts w:eastAsia="Times New Roman" w:cs="Arial"/>
          <w:color w:val="000000"/>
          <w:lang w:val="ru-RU"/>
        </w:rPr>
        <w:t xml:space="preserve"> </w:t>
      </w:r>
      <w:r w:rsidRPr="00695897">
        <w:rPr>
          <w:rFonts w:eastAsia="Times New Roman" w:cs="Arial"/>
          <w:color w:val="000000"/>
          <w:lang w:eastAsia="bg-BG"/>
        </w:rPr>
        <w:t xml:space="preserve">2,1 (95% ДИ: 1,7-2,6), нарастващ до </w:t>
      </w:r>
      <w:r w:rsidRPr="00695897">
        <w:rPr>
          <w:rFonts w:eastAsia="Times New Roman" w:cs="Arial"/>
          <w:color w:val="000000"/>
          <w:lang w:val="en-US"/>
        </w:rPr>
        <w:t>OR</w:t>
      </w:r>
      <w:r w:rsidRPr="00695897">
        <w:rPr>
          <w:rFonts w:eastAsia="Times New Roman" w:cs="Arial"/>
          <w:color w:val="000000"/>
          <w:lang w:val="ru-RU"/>
        </w:rPr>
        <w:t xml:space="preserve"> </w:t>
      </w:r>
      <w:r w:rsidRPr="00695897">
        <w:rPr>
          <w:rFonts w:eastAsia="Times New Roman" w:cs="Arial"/>
          <w:color w:val="000000"/>
          <w:lang w:eastAsia="bg-BG"/>
        </w:rPr>
        <w:t xml:space="preserve">3,9 (3,0-4,9) за висока употреба (~ 25 000 </w:t>
      </w:r>
      <w:r w:rsidRPr="00695897">
        <w:rPr>
          <w:rFonts w:eastAsia="Times New Roman" w:cs="Arial"/>
          <w:color w:val="000000"/>
          <w:lang w:val="en-US"/>
        </w:rPr>
        <w:t>mg</w:t>
      </w:r>
      <w:r w:rsidRPr="00695897">
        <w:rPr>
          <w:rFonts w:eastAsia="Times New Roman" w:cs="Arial"/>
          <w:color w:val="000000"/>
          <w:lang w:val="ru-RU"/>
        </w:rPr>
        <w:t xml:space="preserve">) </w:t>
      </w:r>
      <w:r w:rsidRPr="00695897">
        <w:rPr>
          <w:rFonts w:eastAsia="Times New Roman" w:cs="Arial"/>
          <w:color w:val="000000"/>
          <w:lang w:eastAsia="bg-BG"/>
        </w:rPr>
        <w:t xml:space="preserve">и </w:t>
      </w:r>
      <w:r w:rsidRPr="00695897">
        <w:rPr>
          <w:rFonts w:eastAsia="Times New Roman" w:cs="Arial"/>
          <w:color w:val="000000"/>
          <w:lang w:val="en-US"/>
        </w:rPr>
        <w:t>OR</w:t>
      </w:r>
      <w:r w:rsidRPr="00695897">
        <w:rPr>
          <w:rFonts w:eastAsia="Times New Roman" w:cs="Arial"/>
          <w:color w:val="000000"/>
          <w:lang w:val="ru-RU"/>
        </w:rPr>
        <w:t xml:space="preserve"> </w:t>
      </w:r>
      <w:r w:rsidRPr="00695897">
        <w:rPr>
          <w:rFonts w:eastAsia="Times New Roman" w:cs="Arial"/>
          <w:color w:val="000000"/>
          <w:lang w:eastAsia="bg-BG"/>
        </w:rPr>
        <w:t xml:space="preserve">7,7 (5,7-10,5) за най-високата кумулативна доза (~ 100 000 </w:t>
      </w:r>
      <w:r w:rsidRPr="00695897">
        <w:rPr>
          <w:rFonts w:eastAsia="Times New Roman" w:cs="Arial"/>
          <w:color w:val="000000"/>
          <w:lang w:val="en-US"/>
        </w:rPr>
        <w:t>mg</w:t>
      </w:r>
      <w:r w:rsidRPr="00695897">
        <w:rPr>
          <w:rFonts w:eastAsia="Times New Roman" w:cs="Arial"/>
          <w:color w:val="000000"/>
          <w:lang w:val="ru-RU"/>
        </w:rPr>
        <w:t xml:space="preserve">) </w:t>
      </w:r>
      <w:r w:rsidRPr="00695897">
        <w:rPr>
          <w:rFonts w:eastAsia="Times New Roman" w:cs="Arial"/>
          <w:color w:val="000000"/>
          <w:lang w:eastAsia="bg-BG"/>
        </w:rPr>
        <w:t>(вж. също точка 4.4).</w:t>
      </w:r>
    </w:p>
    <w:p w14:paraId="7D6282EF" w14:textId="6028B717" w:rsidR="00695897" w:rsidRPr="00695897" w:rsidRDefault="00695897" w:rsidP="00695897"/>
    <w:p w14:paraId="26535098" w14:textId="3F9FD52B" w:rsidR="00395555" w:rsidRDefault="002C50EE" w:rsidP="008A6AF2">
      <w:pPr>
        <w:pStyle w:val="Heading2"/>
      </w:pPr>
      <w:r>
        <w:t>5.2. Фармакокинетични свойства</w:t>
      </w:r>
    </w:p>
    <w:p w14:paraId="71C1978D" w14:textId="2AE0009F" w:rsidR="00695897" w:rsidRDefault="00695897" w:rsidP="00695897"/>
    <w:p w14:paraId="0C13AA03" w14:textId="77777777" w:rsidR="00695897" w:rsidRPr="00695897" w:rsidRDefault="00695897" w:rsidP="00695897">
      <w:pPr>
        <w:pStyle w:val="Heading3"/>
        <w:rPr>
          <w:rFonts w:eastAsia="Times New Roman"/>
          <w:u w:val="single"/>
        </w:rPr>
      </w:pPr>
      <w:r w:rsidRPr="00695897">
        <w:rPr>
          <w:rFonts w:eastAsia="Times New Roman"/>
          <w:u w:val="single"/>
          <w:lang w:eastAsia="bg-BG"/>
        </w:rPr>
        <w:t>Абсорбция</w:t>
      </w:r>
    </w:p>
    <w:p w14:paraId="548FB658" w14:textId="77777777" w:rsidR="00695897" w:rsidRPr="00695897" w:rsidRDefault="00695897" w:rsidP="00695897">
      <w:pPr>
        <w:spacing w:line="240" w:lineRule="auto"/>
        <w:rPr>
          <w:rFonts w:eastAsia="Times New Roman" w:cs="Arial"/>
          <w:i/>
          <w:iCs/>
          <w:color w:val="000000"/>
          <w:lang w:eastAsia="bg-BG"/>
        </w:rPr>
      </w:pPr>
    </w:p>
    <w:p w14:paraId="696DE6C4" w14:textId="473843D9" w:rsidR="00695897" w:rsidRPr="00695897" w:rsidRDefault="00695897" w:rsidP="00695897">
      <w:pPr>
        <w:spacing w:line="240" w:lineRule="auto"/>
        <w:rPr>
          <w:rFonts w:eastAsia="Times New Roman" w:cs="Arial"/>
          <w:sz w:val="24"/>
          <w:szCs w:val="24"/>
        </w:rPr>
      </w:pPr>
      <w:r w:rsidRPr="00695897">
        <w:rPr>
          <w:rFonts w:eastAsia="Times New Roman" w:cs="Arial"/>
          <w:i/>
          <w:iCs/>
          <w:color w:val="000000"/>
          <w:lang w:eastAsia="bg-BG"/>
        </w:rPr>
        <w:t>Лосартан</w:t>
      </w:r>
    </w:p>
    <w:p w14:paraId="383AD774" w14:textId="77777777" w:rsidR="00695897" w:rsidRPr="00695897" w:rsidRDefault="00695897" w:rsidP="00695897">
      <w:pPr>
        <w:spacing w:line="240" w:lineRule="auto"/>
        <w:rPr>
          <w:rFonts w:eastAsia="Times New Roman" w:cs="Arial"/>
          <w:sz w:val="24"/>
          <w:szCs w:val="24"/>
        </w:rPr>
      </w:pPr>
      <w:r w:rsidRPr="00695897">
        <w:rPr>
          <w:rFonts w:eastAsia="Times New Roman" w:cs="Arial"/>
          <w:color w:val="000000"/>
          <w:lang w:eastAsia="bg-BG"/>
        </w:rPr>
        <w:t xml:space="preserve">След пероралното приложение, лосартан се абсорбира добре и претърпява метаболизъм при първото преминаване като формира първоначален активен карбоксилен метаболит - и други неактивни метаболити. Системната бионаличност на таблетките лосартан е приблизително 33 %. Средната пикова концентрация на лосартан и активния му метаболит се достига, съответно, за 1 час и за 3-4 часа. Клинично значим ефект върху </w:t>
      </w:r>
      <w:r w:rsidRPr="00695897">
        <w:rPr>
          <w:rFonts w:eastAsia="Times New Roman" w:cs="Arial"/>
          <w:color w:val="000000"/>
          <w:lang w:eastAsia="bg-BG"/>
        </w:rPr>
        <w:lastRenderedPageBreak/>
        <w:t>профила на плазмените концентрации на лосартан не се е получил при прилагане на стандартизирани храни.</w:t>
      </w:r>
    </w:p>
    <w:p w14:paraId="47273C11" w14:textId="77777777" w:rsidR="00695897" w:rsidRPr="00695897" w:rsidRDefault="00695897" w:rsidP="00695897">
      <w:pPr>
        <w:spacing w:line="240" w:lineRule="auto"/>
        <w:rPr>
          <w:rFonts w:eastAsia="Times New Roman" w:cs="Arial"/>
          <w:color w:val="000000"/>
          <w:u w:val="single"/>
          <w:lang w:eastAsia="bg-BG"/>
        </w:rPr>
      </w:pPr>
    </w:p>
    <w:p w14:paraId="44684658" w14:textId="48DFA76F" w:rsidR="00695897" w:rsidRPr="00695897" w:rsidRDefault="00695897" w:rsidP="00695897">
      <w:pPr>
        <w:pStyle w:val="Heading3"/>
        <w:rPr>
          <w:rFonts w:eastAsia="Times New Roman"/>
          <w:u w:val="single"/>
        </w:rPr>
      </w:pPr>
      <w:r w:rsidRPr="00695897">
        <w:rPr>
          <w:rFonts w:eastAsia="Times New Roman"/>
          <w:u w:val="single"/>
          <w:lang w:eastAsia="bg-BG"/>
        </w:rPr>
        <w:t>Разпределение</w:t>
      </w:r>
    </w:p>
    <w:p w14:paraId="1C6424AC" w14:textId="77777777" w:rsidR="00695897" w:rsidRPr="00695897" w:rsidRDefault="00695897" w:rsidP="00695897">
      <w:pPr>
        <w:spacing w:line="240" w:lineRule="auto"/>
        <w:rPr>
          <w:rFonts w:eastAsia="Times New Roman" w:cs="Arial"/>
          <w:sz w:val="24"/>
          <w:szCs w:val="24"/>
        </w:rPr>
      </w:pPr>
    </w:p>
    <w:p w14:paraId="3F2D5339" w14:textId="51073409" w:rsidR="00695897" w:rsidRPr="00695897" w:rsidRDefault="00695897" w:rsidP="00695897">
      <w:pPr>
        <w:spacing w:line="240" w:lineRule="auto"/>
        <w:rPr>
          <w:rFonts w:eastAsia="Times New Roman" w:cs="Arial"/>
          <w:sz w:val="24"/>
          <w:szCs w:val="24"/>
        </w:rPr>
      </w:pPr>
      <w:r w:rsidRPr="00695897">
        <w:rPr>
          <w:rFonts w:eastAsia="Times New Roman" w:cs="Arial"/>
          <w:i/>
          <w:iCs/>
          <w:color w:val="000000"/>
          <w:lang w:eastAsia="bg-BG"/>
        </w:rPr>
        <w:t>Лосартан</w:t>
      </w:r>
    </w:p>
    <w:p w14:paraId="52AC66F6" w14:textId="77777777" w:rsidR="00695897" w:rsidRPr="00695897" w:rsidRDefault="00695897" w:rsidP="00695897">
      <w:pPr>
        <w:rPr>
          <w:rFonts w:eastAsia="Times New Roman" w:cs="Arial"/>
          <w:sz w:val="24"/>
          <w:szCs w:val="24"/>
        </w:rPr>
      </w:pPr>
      <w:r w:rsidRPr="00695897">
        <w:rPr>
          <w:rFonts w:eastAsia="Times New Roman" w:cs="Arial"/>
          <w:color w:val="000000"/>
          <w:lang w:eastAsia="bg-BG"/>
        </w:rPr>
        <w:t>Както лосартан, така и активният му метаболит са&gt; 99 % свързани с плазмените протеини особено с албумините. Обемът на разпределение на лосартан е 34 литра. Изследвания върху плъхове показват, че лосартан трудно преминава кръвно-мозъчната бариера,</w:t>
      </w:r>
      <w:r w:rsidRPr="00695897">
        <w:rPr>
          <w:rFonts w:eastAsia="Times New Roman" w:cs="Arial"/>
          <w:color w:val="000000"/>
          <w:lang w:val="ru-RU"/>
        </w:rPr>
        <w:t xml:space="preserve"> </w:t>
      </w:r>
      <w:r w:rsidRPr="00695897">
        <w:rPr>
          <w:rFonts w:eastAsia="Times New Roman" w:cs="Arial"/>
          <w:color w:val="000000"/>
          <w:lang w:eastAsia="bg-BG"/>
        </w:rPr>
        <w:t>ако въобще я преминава.</w:t>
      </w:r>
    </w:p>
    <w:p w14:paraId="3DE6E507" w14:textId="77777777" w:rsidR="00695897" w:rsidRPr="00695897" w:rsidRDefault="00695897" w:rsidP="00695897">
      <w:pPr>
        <w:spacing w:line="240" w:lineRule="auto"/>
        <w:rPr>
          <w:rFonts w:eastAsia="Times New Roman" w:cs="Arial"/>
          <w:i/>
          <w:iCs/>
          <w:color w:val="000000"/>
          <w:lang w:eastAsia="bg-BG"/>
        </w:rPr>
      </w:pPr>
    </w:p>
    <w:p w14:paraId="3AF6DC6F" w14:textId="09708D3C" w:rsidR="00695897" w:rsidRPr="00695897" w:rsidRDefault="00695897" w:rsidP="00695897">
      <w:pPr>
        <w:spacing w:line="240" w:lineRule="auto"/>
        <w:rPr>
          <w:rFonts w:eastAsia="Times New Roman" w:cs="Arial"/>
          <w:sz w:val="24"/>
          <w:szCs w:val="24"/>
        </w:rPr>
      </w:pPr>
      <w:r w:rsidRPr="00695897">
        <w:rPr>
          <w:rFonts w:eastAsia="Times New Roman" w:cs="Arial"/>
          <w:i/>
          <w:iCs/>
          <w:color w:val="000000"/>
          <w:lang w:eastAsia="bg-BG"/>
        </w:rPr>
        <w:t>Хидрохлоротиазид</w:t>
      </w:r>
    </w:p>
    <w:p w14:paraId="2B736BD6" w14:textId="77777777" w:rsidR="00695897" w:rsidRPr="00695897" w:rsidRDefault="00695897" w:rsidP="00695897">
      <w:pPr>
        <w:spacing w:line="240" w:lineRule="auto"/>
        <w:rPr>
          <w:rFonts w:eastAsia="Times New Roman" w:cs="Arial"/>
          <w:sz w:val="24"/>
          <w:szCs w:val="24"/>
        </w:rPr>
      </w:pPr>
      <w:r w:rsidRPr="00695897">
        <w:rPr>
          <w:rFonts w:eastAsia="Times New Roman" w:cs="Arial"/>
          <w:color w:val="000000"/>
          <w:lang w:eastAsia="bg-BG"/>
        </w:rPr>
        <w:t>Хидрохлоротиазид преминава плацентарната, но не и кръвно-мозъчната бариера и се отделя в майчиното мляко.</w:t>
      </w:r>
    </w:p>
    <w:p w14:paraId="298FB71D" w14:textId="77777777" w:rsidR="00695897" w:rsidRPr="00695897" w:rsidRDefault="00695897" w:rsidP="00695897">
      <w:pPr>
        <w:spacing w:line="240" w:lineRule="auto"/>
        <w:rPr>
          <w:rFonts w:eastAsia="Times New Roman" w:cs="Arial"/>
          <w:color w:val="000000"/>
          <w:u w:val="single"/>
          <w:lang w:eastAsia="bg-BG"/>
        </w:rPr>
      </w:pPr>
    </w:p>
    <w:p w14:paraId="05FCBE99" w14:textId="145C0746" w:rsidR="00695897" w:rsidRPr="00695897" w:rsidRDefault="00695897" w:rsidP="00695897">
      <w:pPr>
        <w:pStyle w:val="Heading3"/>
        <w:rPr>
          <w:rFonts w:eastAsia="Times New Roman"/>
          <w:u w:val="single"/>
        </w:rPr>
      </w:pPr>
      <w:r w:rsidRPr="00695897">
        <w:rPr>
          <w:rFonts w:eastAsia="Times New Roman"/>
          <w:u w:val="single"/>
          <w:lang w:eastAsia="bg-BG"/>
        </w:rPr>
        <w:t>Биотрансформация</w:t>
      </w:r>
    </w:p>
    <w:p w14:paraId="72B7E869" w14:textId="77777777" w:rsidR="00695897" w:rsidRPr="00695897" w:rsidRDefault="00695897" w:rsidP="00695897">
      <w:pPr>
        <w:spacing w:line="240" w:lineRule="auto"/>
        <w:rPr>
          <w:rFonts w:eastAsia="Times New Roman" w:cs="Arial"/>
          <w:i/>
          <w:iCs/>
          <w:color w:val="000000"/>
          <w:lang w:eastAsia="bg-BG"/>
        </w:rPr>
      </w:pPr>
    </w:p>
    <w:p w14:paraId="4C289C7E" w14:textId="5EBC23D7" w:rsidR="00695897" w:rsidRPr="00695897" w:rsidRDefault="00695897" w:rsidP="00695897">
      <w:pPr>
        <w:spacing w:line="240" w:lineRule="auto"/>
        <w:rPr>
          <w:rFonts w:eastAsia="Times New Roman" w:cs="Arial"/>
          <w:sz w:val="24"/>
          <w:szCs w:val="24"/>
        </w:rPr>
      </w:pPr>
      <w:r w:rsidRPr="00695897">
        <w:rPr>
          <w:rFonts w:eastAsia="Times New Roman" w:cs="Arial"/>
          <w:i/>
          <w:iCs/>
          <w:color w:val="000000"/>
          <w:lang w:eastAsia="bg-BG"/>
        </w:rPr>
        <w:t>Лосартан</w:t>
      </w:r>
    </w:p>
    <w:p w14:paraId="4D086E5B" w14:textId="77777777" w:rsidR="00695897" w:rsidRPr="00695897" w:rsidRDefault="00695897" w:rsidP="00695897">
      <w:pPr>
        <w:spacing w:line="240" w:lineRule="auto"/>
        <w:rPr>
          <w:rFonts w:eastAsia="Times New Roman" w:cs="Arial"/>
          <w:sz w:val="24"/>
          <w:szCs w:val="24"/>
        </w:rPr>
      </w:pPr>
      <w:r w:rsidRPr="00695897">
        <w:rPr>
          <w:rFonts w:eastAsia="Times New Roman" w:cs="Arial"/>
          <w:color w:val="000000"/>
          <w:lang w:eastAsia="bg-BG"/>
        </w:rPr>
        <w:t>Около 14 % от иетравенозно или перорално- приложената доза лосартан, се превръща в активен метаболит. След пероралното или интравенозното прилагане на 14С-маркер на лосартан калий, циркулиращата плазмена радиоактивност се дължи на лосартан и активния му метаболит. Минимално конвертиране на лосартан до активния му метаболит се наблюдава при един процент от изследваните пациенти.</w:t>
      </w:r>
    </w:p>
    <w:p w14:paraId="577E7811" w14:textId="77777777" w:rsidR="00695897" w:rsidRPr="00695897" w:rsidRDefault="00695897" w:rsidP="00695897">
      <w:pPr>
        <w:spacing w:line="240" w:lineRule="auto"/>
        <w:rPr>
          <w:rFonts w:eastAsia="Times New Roman" w:cs="Arial"/>
          <w:sz w:val="24"/>
          <w:szCs w:val="24"/>
        </w:rPr>
      </w:pPr>
      <w:r w:rsidRPr="00695897">
        <w:rPr>
          <w:rFonts w:eastAsia="Times New Roman" w:cs="Arial"/>
          <w:color w:val="000000"/>
          <w:lang w:eastAsia="bg-BG"/>
        </w:rPr>
        <w:t xml:space="preserve">Освен активния метаболит, се формират и неактивни метаболиги, от които два се формират чрез хидроксилиране на бутиловата странична верига и един второстепенен метаболит - </w:t>
      </w:r>
      <w:r w:rsidRPr="00695897">
        <w:rPr>
          <w:rFonts w:eastAsia="Times New Roman" w:cs="Arial"/>
          <w:color w:val="000000"/>
          <w:lang w:val="en-US"/>
        </w:rPr>
        <w:t>N</w:t>
      </w:r>
      <w:r w:rsidRPr="00695897">
        <w:rPr>
          <w:rFonts w:eastAsia="Times New Roman" w:cs="Arial"/>
          <w:color w:val="000000"/>
          <w:lang w:val="ru-RU"/>
        </w:rPr>
        <w:t xml:space="preserve">-2 </w:t>
      </w:r>
      <w:r w:rsidRPr="00695897">
        <w:rPr>
          <w:rFonts w:eastAsia="Times New Roman" w:cs="Arial"/>
          <w:color w:val="000000"/>
          <w:lang w:eastAsia="bg-BG"/>
        </w:rPr>
        <w:t>тетразол глюкоронид.</w:t>
      </w:r>
    </w:p>
    <w:p w14:paraId="4D4EAFD4" w14:textId="77777777" w:rsidR="00695897" w:rsidRPr="00695897" w:rsidRDefault="00695897" w:rsidP="00695897">
      <w:pPr>
        <w:spacing w:line="240" w:lineRule="auto"/>
        <w:rPr>
          <w:rFonts w:eastAsia="Times New Roman" w:cs="Arial"/>
          <w:color w:val="000000"/>
          <w:u w:val="single"/>
          <w:lang w:eastAsia="bg-BG"/>
        </w:rPr>
      </w:pPr>
    </w:p>
    <w:p w14:paraId="29D10A4E" w14:textId="5252CB50" w:rsidR="00695897" w:rsidRPr="00695897" w:rsidRDefault="00695897" w:rsidP="00695897">
      <w:pPr>
        <w:pStyle w:val="Heading3"/>
        <w:rPr>
          <w:rFonts w:eastAsia="Times New Roman"/>
          <w:u w:val="single"/>
        </w:rPr>
      </w:pPr>
      <w:r w:rsidRPr="00695897">
        <w:rPr>
          <w:rFonts w:eastAsia="Times New Roman"/>
          <w:u w:val="single"/>
          <w:lang w:eastAsia="bg-BG"/>
        </w:rPr>
        <w:t>Елиминиране</w:t>
      </w:r>
    </w:p>
    <w:p w14:paraId="3D49C68C" w14:textId="77777777" w:rsidR="00695897" w:rsidRPr="00695897" w:rsidRDefault="00695897" w:rsidP="00695897">
      <w:pPr>
        <w:spacing w:line="240" w:lineRule="auto"/>
        <w:rPr>
          <w:rFonts w:eastAsia="Times New Roman" w:cs="Arial"/>
          <w:i/>
          <w:iCs/>
          <w:color w:val="000000"/>
          <w:lang w:eastAsia="bg-BG"/>
        </w:rPr>
      </w:pPr>
    </w:p>
    <w:p w14:paraId="53851BEA" w14:textId="5B6E9B54" w:rsidR="00695897" w:rsidRPr="00695897" w:rsidRDefault="00695897" w:rsidP="00695897">
      <w:pPr>
        <w:spacing w:line="240" w:lineRule="auto"/>
        <w:rPr>
          <w:rFonts w:eastAsia="Times New Roman" w:cs="Arial"/>
          <w:sz w:val="24"/>
          <w:szCs w:val="24"/>
        </w:rPr>
      </w:pPr>
      <w:r w:rsidRPr="00695897">
        <w:rPr>
          <w:rFonts w:eastAsia="Times New Roman" w:cs="Arial"/>
          <w:i/>
          <w:iCs/>
          <w:color w:val="000000"/>
          <w:lang w:eastAsia="bg-BG"/>
        </w:rPr>
        <w:t>Лосартан</w:t>
      </w:r>
    </w:p>
    <w:p w14:paraId="348CC816" w14:textId="77777777" w:rsidR="00695897" w:rsidRPr="00695897" w:rsidRDefault="00695897" w:rsidP="00695897">
      <w:pPr>
        <w:spacing w:line="240" w:lineRule="auto"/>
        <w:rPr>
          <w:rFonts w:eastAsia="Times New Roman" w:cs="Arial"/>
          <w:sz w:val="24"/>
          <w:szCs w:val="24"/>
        </w:rPr>
      </w:pPr>
      <w:r w:rsidRPr="00695897">
        <w:rPr>
          <w:rFonts w:eastAsia="Times New Roman" w:cs="Arial"/>
          <w:color w:val="000000"/>
          <w:lang w:eastAsia="bg-BG"/>
        </w:rPr>
        <w:t xml:space="preserve">Плазменият клирънс на лосартан и активния му метаболит е съответно, около 600 </w:t>
      </w:r>
      <w:r w:rsidRPr="00695897">
        <w:rPr>
          <w:rFonts w:eastAsia="Times New Roman" w:cs="Arial"/>
          <w:color w:val="000000"/>
          <w:lang w:val="en-US"/>
        </w:rPr>
        <w:t>mL</w:t>
      </w:r>
      <w:r w:rsidRPr="00695897">
        <w:rPr>
          <w:rFonts w:eastAsia="Times New Roman" w:cs="Arial"/>
          <w:color w:val="000000"/>
          <w:lang w:val="ru-RU"/>
        </w:rPr>
        <w:t>/</w:t>
      </w:r>
      <w:r w:rsidRPr="00695897">
        <w:rPr>
          <w:rFonts w:eastAsia="Times New Roman" w:cs="Arial"/>
          <w:color w:val="000000"/>
          <w:lang w:val="en-US"/>
        </w:rPr>
        <w:t>min</w:t>
      </w:r>
      <w:r w:rsidRPr="00695897">
        <w:rPr>
          <w:rFonts w:eastAsia="Times New Roman" w:cs="Arial"/>
          <w:color w:val="000000"/>
          <w:lang w:val="ru-RU"/>
        </w:rPr>
        <w:t xml:space="preserve"> </w:t>
      </w:r>
      <w:r w:rsidRPr="00695897">
        <w:rPr>
          <w:rFonts w:eastAsia="Times New Roman" w:cs="Arial"/>
          <w:color w:val="000000"/>
          <w:lang w:eastAsia="bg-BG"/>
        </w:rPr>
        <w:t xml:space="preserve">и 50 </w:t>
      </w:r>
      <w:r w:rsidRPr="00695897">
        <w:rPr>
          <w:rFonts w:eastAsia="Times New Roman" w:cs="Arial"/>
          <w:color w:val="000000"/>
          <w:lang w:val="en-US"/>
        </w:rPr>
        <w:t>mL</w:t>
      </w:r>
      <w:r w:rsidRPr="00695897">
        <w:rPr>
          <w:rFonts w:eastAsia="Times New Roman" w:cs="Arial"/>
          <w:color w:val="000000"/>
          <w:lang w:val="ru-RU"/>
        </w:rPr>
        <w:t>/</w:t>
      </w:r>
      <w:r w:rsidRPr="00695897">
        <w:rPr>
          <w:rFonts w:eastAsia="Times New Roman" w:cs="Arial"/>
          <w:color w:val="000000"/>
          <w:lang w:val="en-US"/>
        </w:rPr>
        <w:t>min</w:t>
      </w:r>
      <w:r w:rsidRPr="00695897">
        <w:rPr>
          <w:rFonts w:eastAsia="Times New Roman" w:cs="Arial"/>
          <w:color w:val="000000"/>
          <w:lang w:val="ru-RU"/>
        </w:rPr>
        <w:t xml:space="preserve"> </w:t>
      </w:r>
      <w:r w:rsidRPr="00695897">
        <w:rPr>
          <w:rFonts w:eastAsia="Times New Roman" w:cs="Arial"/>
          <w:color w:val="000000"/>
          <w:lang w:eastAsia="bg-BG"/>
        </w:rPr>
        <w:t xml:space="preserve">респективно. Бъбречният клирънс на лосартан и активния му метаболит е съответно около 74 </w:t>
      </w:r>
      <w:r w:rsidRPr="00695897">
        <w:rPr>
          <w:rFonts w:eastAsia="Times New Roman" w:cs="Arial"/>
          <w:color w:val="000000"/>
          <w:lang w:val="en-US"/>
        </w:rPr>
        <w:t>mL</w:t>
      </w:r>
      <w:r w:rsidRPr="00695897">
        <w:rPr>
          <w:rFonts w:eastAsia="Times New Roman" w:cs="Arial"/>
          <w:color w:val="000000"/>
          <w:lang w:val="ru-RU"/>
        </w:rPr>
        <w:t>/</w:t>
      </w:r>
      <w:r w:rsidRPr="00695897">
        <w:rPr>
          <w:rFonts w:eastAsia="Times New Roman" w:cs="Arial"/>
          <w:color w:val="000000"/>
          <w:lang w:val="en-US"/>
        </w:rPr>
        <w:t>min</w:t>
      </w:r>
      <w:r w:rsidRPr="00695897">
        <w:rPr>
          <w:rFonts w:eastAsia="Times New Roman" w:cs="Arial"/>
          <w:color w:val="000000"/>
          <w:lang w:val="ru-RU"/>
        </w:rPr>
        <w:t xml:space="preserve"> </w:t>
      </w:r>
      <w:r w:rsidRPr="00695897">
        <w:rPr>
          <w:rFonts w:eastAsia="Times New Roman" w:cs="Arial"/>
          <w:color w:val="000000"/>
          <w:lang w:eastAsia="bg-BG"/>
        </w:rPr>
        <w:t xml:space="preserve">и 26 </w:t>
      </w:r>
      <w:r w:rsidRPr="00695897">
        <w:rPr>
          <w:rFonts w:eastAsia="Times New Roman" w:cs="Arial"/>
          <w:color w:val="000000"/>
          <w:lang w:val="en-US"/>
        </w:rPr>
        <w:t>mL</w:t>
      </w:r>
      <w:r w:rsidRPr="00695897">
        <w:rPr>
          <w:rFonts w:eastAsia="Times New Roman" w:cs="Arial"/>
          <w:color w:val="000000"/>
          <w:lang w:val="ru-RU"/>
        </w:rPr>
        <w:t>/</w:t>
      </w:r>
      <w:r w:rsidRPr="00695897">
        <w:rPr>
          <w:rFonts w:eastAsia="Times New Roman" w:cs="Arial"/>
          <w:color w:val="000000"/>
          <w:lang w:val="en-US"/>
        </w:rPr>
        <w:t>min</w:t>
      </w:r>
      <w:r w:rsidRPr="00695897">
        <w:rPr>
          <w:rFonts w:eastAsia="Times New Roman" w:cs="Arial"/>
          <w:color w:val="000000"/>
          <w:lang w:val="ru-RU"/>
        </w:rPr>
        <w:t xml:space="preserve"> </w:t>
      </w:r>
      <w:r w:rsidRPr="00695897">
        <w:rPr>
          <w:rFonts w:eastAsia="Times New Roman" w:cs="Arial"/>
          <w:color w:val="000000"/>
          <w:lang w:eastAsia="bg-BG"/>
        </w:rPr>
        <w:t xml:space="preserve">респективно. Когато лосартан се прилага орално, около 4% от дозата се отделя непроменена в урината, а 6 % от дозата се отделя като активен метаболит. Фармакокинетиката на лосартан и активния му метаболит са линейни при перорални дози лосартан калий до 200 </w:t>
      </w:r>
      <w:r w:rsidRPr="00695897">
        <w:rPr>
          <w:rFonts w:eastAsia="Times New Roman" w:cs="Arial"/>
          <w:color w:val="000000"/>
          <w:lang w:val="en-US"/>
        </w:rPr>
        <w:t>mg</w:t>
      </w:r>
      <w:r w:rsidRPr="00695897">
        <w:rPr>
          <w:rFonts w:eastAsia="Times New Roman" w:cs="Arial"/>
          <w:color w:val="000000"/>
          <w:lang w:val="ru-RU"/>
        </w:rPr>
        <w:t>.</w:t>
      </w:r>
    </w:p>
    <w:p w14:paraId="400A0500" w14:textId="77777777" w:rsidR="00695897" w:rsidRPr="00695897" w:rsidRDefault="00695897" w:rsidP="00695897">
      <w:pPr>
        <w:spacing w:line="240" w:lineRule="auto"/>
        <w:rPr>
          <w:rFonts w:eastAsia="Times New Roman" w:cs="Arial"/>
          <w:color w:val="000000"/>
          <w:lang w:eastAsia="bg-BG"/>
        </w:rPr>
      </w:pPr>
    </w:p>
    <w:p w14:paraId="17E4B2EF" w14:textId="388777C1" w:rsidR="00695897" w:rsidRPr="00695897" w:rsidRDefault="00695897" w:rsidP="00695897">
      <w:pPr>
        <w:spacing w:line="240" w:lineRule="auto"/>
        <w:rPr>
          <w:rFonts w:eastAsia="Times New Roman" w:cs="Arial"/>
          <w:sz w:val="24"/>
          <w:szCs w:val="24"/>
        </w:rPr>
      </w:pPr>
      <w:r w:rsidRPr="00695897">
        <w:rPr>
          <w:rFonts w:eastAsia="Times New Roman" w:cs="Arial"/>
          <w:color w:val="000000"/>
          <w:lang w:eastAsia="bg-BG"/>
        </w:rPr>
        <w:t xml:space="preserve">След перорално приложение, плазмените концентрации на лосартан и активния му метаболит намаляват полиекспоненциално като крайният полуживот е съответно около 2 часа и 6-9 часа. Нито лосартан, нито активният му метаболит кумулират значително в плазмата по време на третиране с дози от 100 </w:t>
      </w:r>
      <w:r w:rsidRPr="00695897">
        <w:rPr>
          <w:rFonts w:eastAsia="Times New Roman" w:cs="Arial"/>
          <w:color w:val="000000"/>
          <w:lang w:val="en-US"/>
        </w:rPr>
        <w:t>mg</w:t>
      </w:r>
      <w:r w:rsidRPr="00695897">
        <w:rPr>
          <w:rFonts w:eastAsia="Times New Roman" w:cs="Arial"/>
          <w:color w:val="000000"/>
          <w:lang w:val="ru-RU"/>
        </w:rPr>
        <w:t xml:space="preserve">, </w:t>
      </w:r>
      <w:r w:rsidRPr="00695897">
        <w:rPr>
          <w:rFonts w:eastAsia="Times New Roman" w:cs="Arial"/>
          <w:color w:val="000000"/>
          <w:lang w:eastAsia="bg-BG"/>
        </w:rPr>
        <w:t>един път дневно.</w:t>
      </w:r>
    </w:p>
    <w:p w14:paraId="1D0A8B1C" w14:textId="77777777" w:rsidR="00695897" w:rsidRPr="00695897" w:rsidRDefault="00695897" w:rsidP="00695897">
      <w:pPr>
        <w:spacing w:line="240" w:lineRule="auto"/>
        <w:rPr>
          <w:rFonts w:eastAsia="Times New Roman" w:cs="Arial"/>
          <w:color w:val="000000"/>
          <w:lang w:eastAsia="bg-BG"/>
        </w:rPr>
      </w:pPr>
    </w:p>
    <w:p w14:paraId="3BB1447B" w14:textId="4238EDE0" w:rsidR="00695897" w:rsidRPr="00695897" w:rsidRDefault="00695897" w:rsidP="00695897">
      <w:pPr>
        <w:spacing w:line="240" w:lineRule="auto"/>
        <w:rPr>
          <w:rFonts w:eastAsia="Times New Roman" w:cs="Arial"/>
          <w:sz w:val="24"/>
          <w:szCs w:val="24"/>
        </w:rPr>
      </w:pPr>
      <w:r w:rsidRPr="00695897">
        <w:rPr>
          <w:rFonts w:eastAsia="Times New Roman" w:cs="Arial"/>
          <w:color w:val="000000"/>
          <w:lang w:eastAsia="bg-BG"/>
        </w:rPr>
        <w:t>За елиминирането на лосартан допринасят, както жлъчната, така и уринната екскреция. След перорална доза от 14С-маркиран лосартан при човека, се открива около 35 % от радиоактивността в урината и 58 % в изпражненията.</w:t>
      </w:r>
    </w:p>
    <w:p w14:paraId="2D521D40" w14:textId="77777777" w:rsidR="00695897" w:rsidRPr="00695897" w:rsidRDefault="00695897" w:rsidP="00695897">
      <w:pPr>
        <w:spacing w:line="240" w:lineRule="auto"/>
        <w:rPr>
          <w:rFonts w:eastAsia="Times New Roman" w:cs="Arial"/>
          <w:i/>
          <w:iCs/>
          <w:color w:val="000000"/>
          <w:lang w:eastAsia="bg-BG"/>
        </w:rPr>
      </w:pPr>
    </w:p>
    <w:p w14:paraId="1A9CEB5E" w14:textId="26EB5615" w:rsidR="00695897" w:rsidRPr="00695897" w:rsidRDefault="00695897" w:rsidP="00695897">
      <w:pPr>
        <w:spacing w:line="240" w:lineRule="auto"/>
        <w:rPr>
          <w:rFonts w:eastAsia="Times New Roman" w:cs="Arial"/>
          <w:sz w:val="24"/>
          <w:szCs w:val="24"/>
        </w:rPr>
      </w:pPr>
      <w:r w:rsidRPr="00695897">
        <w:rPr>
          <w:rFonts w:eastAsia="Times New Roman" w:cs="Arial"/>
          <w:i/>
          <w:iCs/>
          <w:color w:val="000000"/>
          <w:lang w:eastAsia="bg-BG"/>
        </w:rPr>
        <w:t>Хидрохлоротиазид</w:t>
      </w:r>
    </w:p>
    <w:p w14:paraId="10FE2FF8" w14:textId="77777777" w:rsidR="00695897" w:rsidRPr="00695897" w:rsidRDefault="00695897" w:rsidP="00695897">
      <w:pPr>
        <w:spacing w:line="240" w:lineRule="auto"/>
        <w:rPr>
          <w:rFonts w:eastAsia="Times New Roman" w:cs="Arial"/>
          <w:sz w:val="24"/>
          <w:szCs w:val="24"/>
        </w:rPr>
      </w:pPr>
      <w:r w:rsidRPr="00695897">
        <w:rPr>
          <w:rFonts w:eastAsia="Times New Roman" w:cs="Arial"/>
          <w:color w:val="000000"/>
          <w:lang w:eastAsia="bg-BG"/>
        </w:rPr>
        <w:t xml:space="preserve">Хидрохлоротиазид не се метаболизира, но се елиминира бързо чрез бъбреците. При наблюдаване на плазмените нива, най-малко за 24 часа, се забелязва, че плазменият </w:t>
      </w:r>
      <w:r w:rsidRPr="00695897">
        <w:rPr>
          <w:rFonts w:eastAsia="Times New Roman" w:cs="Arial"/>
          <w:color w:val="000000"/>
          <w:lang w:eastAsia="bg-BG"/>
        </w:rPr>
        <w:lastRenderedPageBreak/>
        <w:t>полуживот варира между 5,6 и 14,8 часа. Най-малко 61 % от пероралната доза се елиминира непроменена до 24 часа.</w:t>
      </w:r>
    </w:p>
    <w:p w14:paraId="221551AE" w14:textId="77777777" w:rsidR="00695897" w:rsidRPr="00695897" w:rsidRDefault="00695897" w:rsidP="00695897">
      <w:pPr>
        <w:spacing w:line="240" w:lineRule="auto"/>
        <w:rPr>
          <w:rFonts w:eastAsia="Times New Roman" w:cs="Arial"/>
          <w:color w:val="000000"/>
          <w:u w:val="single"/>
          <w:lang w:eastAsia="bg-BG"/>
        </w:rPr>
      </w:pPr>
    </w:p>
    <w:p w14:paraId="02830721" w14:textId="44B3000A" w:rsidR="00695897" w:rsidRPr="00695897" w:rsidRDefault="00695897" w:rsidP="00695897">
      <w:pPr>
        <w:spacing w:line="240" w:lineRule="auto"/>
        <w:rPr>
          <w:rFonts w:eastAsia="Times New Roman" w:cs="Arial"/>
          <w:sz w:val="24"/>
          <w:szCs w:val="24"/>
        </w:rPr>
      </w:pPr>
      <w:r w:rsidRPr="00695897">
        <w:rPr>
          <w:rFonts w:eastAsia="Times New Roman" w:cs="Arial"/>
          <w:color w:val="000000"/>
          <w:u w:val="single"/>
          <w:lang w:eastAsia="bg-BG"/>
        </w:rPr>
        <w:t>Характеристики на пациентите</w:t>
      </w:r>
    </w:p>
    <w:p w14:paraId="7377598A" w14:textId="77777777" w:rsidR="00695897" w:rsidRPr="00695897" w:rsidRDefault="00695897" w:rsidP="00695897">
      <w:pPr>
        <w:spacing w:line="240" w:lineRule="auto"/>
        <w:rPr>
          <w:rFonts w:eastAsia="Times New Roman" w:cs="Arial"/>
          <w:i/>
          <w:iCs/>
          <w:color w:val="000000"/>
          <w:lang w:eastAsia="bg-BG"/>
        </w:rPr>
      </w:pPr>
    </w:p>
    <w:p w14:paraId="77B51BC8" w14:textId="1504C7F2" w:rsidR="00695897" w:rsidRPr="00695897" w:rsidRDefault="00695897" w:rsidP="00695897">
      <w:pPr>
        <w:spacing w:line="240" w:lineRule="auto"/>
        <w:rPr>
          <w:rFonts w:eastAsia="Times New Roman" w:cs="Arial"/>
          <w:sz w:val="24"/>
          <w:szCs w:val="24"/>
        </w:rPr>
      </w:pPr>
      <w:r w:rsidRPr="00695897">
        <w:rPr>
          <w:rFonts w:eastAsia="Times New Roman" w:cs="Arial"/>
          <w:i/>
          <w:iCs/>
          <w:color w:val="000000"/>
          <w:lang w:eastAsia="bg-BG"/>
        </w:rPr>
        <w:t>Лосартан-хидрохлоротиазид</w:t>
      </w:r>
    </w:p>
    <w:p w14:paraId="79F7BA98" w14:textId="77777777" w:rsidR="00695897" w:rsidRPr="00695897" w:rsidRDefault="00695897" w:rsidP="00695897">
      <w:pPr>
        <w:spacing w:line="240" w:lineRule="auto"/>
        <w:rPr>
          <w:rFonts w:eastAsia="Times New Roman" w:cs="Arial"/>
          <w:sz w:val="24"/>
          <w:szCs w:val="24"/>
        </w:rPr>
      </w:pPr>
      <w:r w:rsidRPr="00695897">
        <w:rPr>
          <w:rFonts w:eastAsia="Times New Roman" w:cs="Arial"/>
          <w:color w:val="000000"/>
          <w:lang w:eastAsia="bg-BG"/>
        </w:rPr>
        <w:t>При по-възрастни хипертоници, плазмените концентрации на лосартан и активния му метаболит и абсорбцията на хидрохлоротиазид не се различават значително от тези при по- младите хипертоници.</w:t>
      </w:r>
    </w:p>
    <w:p w14:paraId="3F69FD57" w14:textId="77777777" w:rsidR="00695897" w:rsidRPr="00695897" w:rsidRDefault="00695897" w:rsidP="00695897">
      <w:pPr>
        <w:spacing w:line="240" w:lineRule="auto"/>
        <w:rPr>
          <w:rFonts w:eastAsia="Times New Roman" w:cs="Arial"/>
          <w:i/>
          <w:iCs/>
          <w:color w:val="000000"/>
          <w:lang w:eastAsia="bg-BG"/>
        </w:rPr>
      </w:pPr>
    </w:p>
    <w:p w14:paraId="2FBE6290" w14:textId="3B72D534" w:rsidR="00695897" w:rsidRPr="00695897" w:rsidRDefault="00695897" w:rsidP="00695897">
      <w:pPr>
        <w:spacing w:line="240" w:lineRule="auto"/>
        <w:rPr>
          <w:rFonts w:eastAsia="Times New Roman" w:cs="Arial"/>
          <w:sz w:val="24"/>
          <w:szCs w:val="24"/>
        </w:rPr>
      </w:pPr>
      <w:r w:rsidRPr="00695897">
        <w:rPr>
          <w:rFonts w:eastAsia="Times New Roman" w:cs="Arial"/>
          <w:i/>
          <w:iCs/>
          <w:color w:val="000000"/>
          <w:lang w:eastAsia="bg-BG"/>
        </w:rPr>
        <w:t>Лосартан</w:t>
      </w:r>
    </w:p>
    <w:p w14:paraId="6E84AC1A" w14:textId="5DED1A27" w:rsidR="00695897" w:rsidRPr="00695897" w:rsidRDefault="00695897" w:rsidP="00695897">
      <w:pPr>
        <w:rPr>
          <w:rFonts w:eastAsia="Times New Roman" w:cs="Arial"/>
          <w:color w:val="000000"/>
          <w:lang w:eastAsia="bg-BG"/>
        </w:rPr>
      </w:pPr>
      <w:r w:rsidRPr="00695897">
        <w:rPr>
          <w:rFonts w:eastAsia="Times New Roman" w:cs="Arial"/>
          <w:color w:val="000000"/>
          <w:lang w:eastAsia="bg-BG"/>
        </w:rPr>
        <w:t>След перорално приложение при пациенти с лека до средна алкохолна цироза ма черния дроб плазмените концентрации на лосартан и активния му метаболит са, съответно, 5 пъти и 1,7 пъти по-високи от наблюдаваните при млади мъже - доброволци.</w:t>
      </w:r>
    </w:p>
    <w:p w14:paraId="6C11377C" w14:textId="6B8A90C5" w:rsidR="00695897" w:rsidRPr="00695897" w:rsidRDefault="00695897" w:rsidP="00695897">
      <w:pPr>
        <w:rPr>
          <w:rFonts w:eastAsia="Times New Roman" w:cs="Arial"/>
          <w:color w:val="000000"/>
          <w:lang w:eastAsia="bg-BG"/>
        </w:rPr>
      </w:pPr>
    </w:p>
    <w:p w14:paraId="44E2B5A7" w14:textId="77777777" w:rsidR="00695897" w:rsidRPr="00695897" w:rsidRDefault="00695897" w:rsidP="00695897">
      <w:pPr>
        <w:spacing w:line="240" w:lineRule="auto"/>
        <w:rPr>
          <w:rFonts w:eastAsia="Times New Roman" w:cs="Arial"/>
          <w:sz w:val="24"/>
          <w:szCs w:val="24"/>
        </w:rPr>
      </w:pPr>
      <w:r w:rsidRPr="00695897">
        <w:rPr>
          <w:rFonts w:eastAsia="Times New Roman" w:cs="Arial"/>
          <w:color w:val="000000"/>
          <w:lang w:eastAsia="bg-BG"/>
        </w:rPr>
        <w:t xml:space="preserve">Фармакокинетични проучвания показват, че </w:t>
      </w:r>
      <w:r w:rsidRPr="00695897">
        <w:rPr>
          <w:rFonts w:eastAsia="Times New Roman" w:cs="Arial"/>
          <w:color w:val="000000"/>
          <w:lang w:val="en-US"/>
        </w:rPr>
        <w:t>AUC</w:t>
      </w:r>
      <w:r w:rsidRPr="00695897">
        <w:rPr>
          <w:rFonts w:eastAsia="Times New Roman" w:cs="Arial"/>
          <w:color w:val="000000"/>
          <w:lang w:val="ru-RU"/>
        </w:rPr>
        <w:t xml:space="preserve"> </w:t>
      </w:r>
      <w:r w:rsidRPr="00695897">
        <w:rPr>
          <w:rFonts w:eastAsia="Times New Roman" w:cs="Arial"/>
          <w:color w:val="000000"/>
          <w:lang w:eastAsia="bg-BG"/>
        </w:rPr>
        <w:t xml:space="preserve">на лосартан при здрави мъже от японската и неяпонска популация не се различават. Въпреки това </w:t>
      </w:r>
      <w:r w:rsidRPr="00695897">
        <w:rPr>
          <w:rFonts w:eastAsia="Times New Roman" w:cs="Arial"/>
          <w:color w:val="000000"/>
          <w:lang w:val="en-US"/>
        </w:rPr>
        <w:t>AUC</w:t>
      </w:r>
      <w:r w:rsidRPr="00695897">
        <w:rPr>
          <w:rFonts w:eastAsia="Times New Roman" w:cs="Arial"/>
          <w:color w:val="000000"/>
          <w:lang w:val="ru-RU"/>
        </w:rPr>
        <w:t xml:space="preserve"> </w:t>
      </w:r>
      <w:r w:rsidRPr="00695897">
        <w:rPr>
          <w:rFonts w:eastAsia="Times New Roman" w:cs="Arial"/>
          <w:color w:val="000000"/>
          <w:lang w:eastAsia="bg-BG"/>
        </w:rPr>
        <w:t>на карбоксилно-киселия метаболит (Е-3174) показва различия между двете групи, като експозицията е приблизително 1.5 пъти по- висока при мъжете японци в сравнение с не-японците. Клиничната значимост на тези резултати е неизвестна.</w:t>
      </w:r>
    </w:p>
    <w:p w14:paraId="4B3E71E1" w14:textId="77777777" w:rsidR="00695897" w:rsidRPr="00695897" w:rsidRDefault="00695897" w:rsidP="00695897">
      <w:pPr>
        <w:spacing w:line="240" w:lineRule="auto"/>
        <w:rPr>
          <w:rFonts w:eastAsia="Times New Roman" w:cs="Arial"/>
          <w:color w:val="000000"/>
          <w:lang w:eastAsia="bg-BG"/>
        </w:rPr>
      </w:pPr>
    </w:p>
    <w:p w14:paraId="485F9ECF" w14:textId="175C4E8F" w:rsidR="00695897" w:rsidRPr="00695897" w:rsidRDefault="00695897" w:rsidP="00695897">
      <w:pPr>
        <w:spacing w:line="240" w:lineRule="auto"/>
        <w:rPr>
          <w:rFonts w:eastAsia="Times New Roman" w:cs="Arial"/>
          <w:sz w:val="24"/>
          <w:szCs w:val="24"/>
        </w:rPr>
      </w:pPr>
      <w:r w:rsidRPr="00695897">
        <w:rPr>
          <w:rFonts w:eastAsia="Times New Roman" w:cs="Arial"/>
          <w:color w:val="000000"/>
          <w:lang w:eastAsia="bg-BG"/>
        </w:rPr>
        <w:t>Нито лосартан, нито активният му метаболит, могат да бъдат отстранени чрез хемодиализа.</w:t>
      </w:r>
    </w:p>
    <w:p w14:paraId="3DE0D82B" w14:textId="77777777" w:rsidR="00695897" w:rsidRPr="00695897" w:rsidRDefault="00695897" w:rsidP="00695897"/>
    <w:p w14:paraId="028E658A" w14:textId="516B39D6" w:rsidR="00395555" w:rsidRDefault="002C50EE" w:rsidP="008A6AF2">
      <w:pPr>
        <w:pStyle w:val="Heading2"/>
      </w:pPr>
      <w:r>
        <w:t>5.3. Предклинични данни за безопасност</w:t>
      </w:r>
    </w:p>
    <w:p w14:paraId="1996B677" w14:textId="45E2A00A" w:rsidR="00695897" w:rsidRDefault="00695897" w:rsidP="00695897"/>
    <w:p w14:paraId="1B2DE3B8" w14:textId="77777777" w:rsidR="00695897" w:rsidRPr="00695897" w:rsidRDefault="00695897" w:rsidP="00695897">
      <w:pPr>
        <w:rPr>
          <w:sz w:val="24"/>
          <w:szCs w:val="24"/>
        </w:rPr>
      </w:pPr>
      <w:r w:rsidRPr="00695897">
        <w:rPr>
          <w:lang w:eastAsia="bg-BG"/>
        </w:rPr>
        <w:t>Предклиничните данни от конвенционални проучвания - фармакологични, генотоксични и за карциногенен потенциал, не разкриват потенциални рискове при лечение на хора. Токсичният потенциал на комбинацията лосартан/хидрохлоротиазид се оценява в проучвания за хронична токсичност с продължителност до шест месеца при плъхове и кучета, след орално приложение, а наблюдаваните промени в тези проучвания с прилагане на комбинация са главно причинени от лосартановия компонент. Прилагането на комбинацията лосартан/хидрохлоротиазид предизвиква понижение на параметрите на червените кръвни клетки (еритроцити, хемоглобин, хематокрит) и повишаване на урея</w:t>
      </w:r>
      <w:r w:rsidRPr="00695897">
        <w:rPr>
          <w:lang w:val="ru-RU"/>
        </w:rPr>
        <w:t>-</w:t>
      </w:r>
      <w:r w:rsidRPr="00695897">
        <w:rPr>
          <w:lang w:val="en-US"/>
        </w:rPr>
        <w:t>N</w:t>
      </w:r>
      <w:r w:rsidRPr="00695897">
        <w:rPr>
          <w:lang w:val="ru-RU"/>
        </w:rPr>
        <w:t xml:space="preserve"> </w:t>
      </w:r>
      <w:r w:rsidRPr="00695897">
        <w:rPr>
          <w:lang w:eastAsia="bg-BG"/>
        </w:rPr>
        <w:t xml:space="preserve">в серума, понижаване на теглото на сърцето (без хистологично съответствие) и стомашно-чревни промени (лезии по лигавицата, язви, ерозии, кръвоизливи). Няма данни за тератогенност при плъхове или зайци третирани с комбинацията лосартан/хидрохлоротиазид. Токсичност за плода, изразяваща се в леко повишение на броя на ребрата в поколение </w:t>
      </w:r>
      <w:r w:rsidRPr="00695897">
        <w:rPr>
          <w:lang w:val="en-US"/>
        </w:rPr>
        <w:t>F</w:t>
      </w:r>
      <w:r w:rsidRPr="00695897">
        <w:rPr>
          <w:lang w:val="ru-RU"/>
        </w:rPr>
        <w:t xml:space="preserve">1 </w:t>
      </w:r>
      <w:r w:rsidRPr="00695897">
        <w:rPr>
          <w:lang w:eastAsia="bg-BG"/>
        </w:rPr>
        <w:t>се наблюдава, когато женските се третират преди и по време на гестационния период. Както се наблюдава в проучвания само с лосартан, странични ефекти за плода и новородените, включително бъбречна токсичност и смърт на плода, се наблюдават, когато бременни плъхове се третират с комбинацията лосартан/хидрохлоротиазид в късния гестационен период и/или през лактационния период.</w:t>
      </w:r>
    </w:p>
    <w:p w14:paraId="22226AF0" w14:textId="77777777" w:rsidR="00695897" w:rsidRPr="00695897" w:rsidRDefault="00695897" w:rsidP="00695897"/>
    <w:p w14:paraId="6A7820AB" w14:textId="4A85DB37" w:rsidR="008A6AF2" w:rsidRDefault="002C50EE" w:rsidP="00395555">
      <w:pPr>
        <w:pStyle w:val="Heading1"/>
      </w:pPr>
      <w:r>
        <w:t>7. ПРИТЕЖАТЕЛ НА РАЗРЕШЕНИЕТО ЗА УПОТРЕБА</w:t>
      </w:r>
    </w:p>
    <w:p w14:paraId="0C37B0DD" w14:textId="4F88C6A1" w:rsidR="00695897" w:rsidRDefault="00695897" w:rsidP="00695897"/>
    <w:p w14:paraId="0FADE5D6" w14:textId="77777777" w:rsidR="00695897" w:rsidRPr="00695897" w:rsidRDefault="00695897" w:rsidP="00695897">
      <w:pPr>
        <w:rPr>
          <w:sz w:val="24"/>
          <w:szCs w:val="24"/>
          <w:lang w:val="en-US"/>
        </w:rPr>
      </w:pPr>
      <w:r w:rsidRPr="00695897">
        <w:rPr>
          <w:lang w:val="en-US"/>
        </w:rPr>
        <w:lastRenderedPageBreak/>
        <w:t xml:space="preserve">KRKA, </w:t>
      </w:r>
      <w:proofErr w:type="spellStart"/>
      <w:r w:rsidRPr="00695897">
        <w:rPr>
          <w:lang w:val="en-US"/>
        </w:rPr>
        <w:t>d.d</w:t>
      </w:r>
      <w:proofErr w:type="spellEnd"/>
      <w:proofErr w:type="gramStart"/>
      <w:r w:rsidRPr="00695897">
        <w:rPr>
          <w:lang w:val="en-US"/>
        </w:rPr>
        <w:t>..</w:t>
      </w:r>
      <w:proofErr w:type="gramEnd"/>
      <w:r w:rsidRPr="00695897">
        <w:rPr>
          <w:lang w:val="en-US"/>
        </w:rPr>
        <w:t xml:space="preserve"> Novo </w:t>
      </w:r>
      <w:proofErr w:type="spellStart"/>
      <w:r w:rsidRPr="00695897">
        <w:rPr>
          <w:lang w:val="en-US"/>
        </w:rPr>
        <w:t>mesto</w:t>
      </w:r>
      <w:proofErr w:type="spellEnd"/>
      <w:r w:rsidRPr="00695897">
        <w:rPr>
          <w:lang w:val="en-US"/>
        </w:rPr>
        <w:t xml:space="preserve">, </w:t>
      </w:r>
      <w:proofErr w:type="spellStart"/>
      <w:r w:rsidRPr="00695897">
        <w:rPr>
          <w:lang w:val="en-US"/>
        </w:rPr>
        <w:t>Smarjeska</w:t>
      </w:r>
      <w:proofErr w:type="spellEnd"/>
      <w:r w:rsidRPr="00695897">
        <w:rPr>
          <w:lang w:val="en-US"/>
        </w:rPr>
        <w:t xml:space="preserve"> </w:t>
      </w:r>
      <w:proofErr w:type="spellStart"/>
      <w:r w:rsidRPr="00695897">
        <w:rPr>
          <w:lang w:val="en-US"/>
        </w:rPr>
        <w:t>cesta</w:t>
      </w:r>
      <w:proofErr w:type="spellEnd"/>
      <w:r w:rsidRPr="00695897">
        <w:rPr>
          <w:lang w:val="en-US"/>
        </w:rPr>
        <w:t xml:space="preserve"> 6, 8501 Novo </w:t>
      </w:r>
      <w:proofErr w:type="spellStart"/>
      <w:r w:rsidRPr="00695897">
        <w:rPr>
          <w:lang w:val="en-US"/>
        </w:rPr>
        <w:t>mesto</w:t>
      </w:r>
      <w:proofErr w:type="spellEnd"/>
      <w:r w:rsidRPr="00695897">
        <w:rPr>
          <w:lang w:val="en-US"/>
        </w:rPr>
        <w:t xml:space="preserve">, </w:t>
      </w:r>
      <w:r w:rsidRPr="00695897">
        <w:rPr>
          <w:lang w:eastAsia="bg-BG"/>
        </w:rPr>
        <w:t>Словения</w:t>
      </w:r>
    </w:p>
    <w:p w14:paraId="4D38FF1B" w14:textId="77777777" w:rsidR="00695897" w:rsidRPr="00695897" w:rsidRDefault="00695897" w:rsidP="00695897">
      <w:pPr>
        <w:rPr>
          <w:lang w:val="en-US"/>
        </w:rPr>
      </w:pPr>
    </w:p>
    <w:p w14:paraId="04840D59" w14:textId="1D5704AE" w:rsidR="002C50EE" w:rsidRDefault="002C50EE" w:rsidP="00395555">
      <w:pPr>
        <w:pStyle w:val="Heading1"/>
      </w:pPr>
      <w:r>
        <w:t>8. НОМЕР НА РАЗРЕШЕНИЕТО ЗА УПОТРЕБА</w:t>
      </w:r>
    </w:p>
    <w:p w14:paraId="2E5B5B0F" w14:textId="01C10BBF" w:rsidR="00695897" w:rsidRDefault="00695897" w:rsidP="00695897"/>
    <w:p w14:paraId="0BDFD33E" w14:textId="77777777" w:rsidR="00695897" w:rsidRPr="00695897" w:rsidRDefault="00695897" w:rsidP="00695897">
      <w:pPr>
        <w:rPr>
          <w:sz w:val="24"/>
          <w:szCs w:val="24"/>
          <w:lang w:val="en-US"/>
        </w:rPr>
      </w:pPr>
      <w:r w:rsidRPr="00695897">
        <w:rPr>
          <w:lang w:val="en-US"/>
        </w:rPr>
        <w:t>Per. №: 20050137</w:t>
      </w:r>
    </w:p>
    <w:p w14:paraId="65EC41D3" w14:textId="77777777" w:rsidR="00695897" w:rsidRPr="00695897" w:rsidRDefault="00695897" w:rsidP="00695897"/>
    <w:p w14:paraId="2CCB5832" w14:textId="24B7A00E" w:rsidR="007C605B" w:rsidRDefault="002C50EE" w:rsidP="007C605B">
      <w:pPr>
        <w:pStyle w:val="Heading1"/>
      </w:pPr>
      <w:r>
        <w:t>9. ДАТА НА ПЪРВО РАЗРЕШАВАНЕ/ПОДНОВЯВАНЕ НА РАЗРЕШЕНИЕТО ЗА УПОТРЕБА</w:t>
      </w:r>
    </w:p>
    <w:p w14:paraId="33840B35" w14:textId="6BAECD16" w:rsidR="00695897" w:rsidRDefault="00695897" w:rsidP="00695897"/>
    <w:p w14:paraId="225C8745" w14:textId="77777777" w:rsidR="00695897" w:rsidRPr="00695897" w:rsidRDefault="00695897" w:rsidP="00695897">
      <w:pPr>
        <w:rPr>
          <w:sz w:val="24"/>
          <w:szCs w:val="24"/>
        </w:rPr>
      </w:pPr>
      <w:r w:rsidRPr="00695897">
        <w:rPr>
          <w:lang w:eastAsia="bg-BG"/>
        </w:rPr>
        <w:t>Дата на първо разрешаване: 08.03.2005</w:t>
      </w:r>
    </w:p>
    <w:p w14:paraId="52BE3323" w14:textId="77777777" w:rsidR="00695897" w:rsidRPr="00695897" w:rsidRDefault="00695897" w:rsidP="00695897">
      <w:pPr>
        <w:rPr>
          <w:sz w:val="24"/>
          <w:szCs w:val="24"/>
        </w:rPr>
      </w:pPr>
      <w:r w:rsidRPr="00695897">
        <w:rPr>
          <w:lang w:eastAsia="bg-BG"/>
        </w:rPr>
        <w:t>Дата на последно подновяване: 03.05.2010</w:t>
      </w:r>
    </w:p>
    <w:p w14:paraId="2BFEC738" w14:textId="77777777" w:rsidR="00695897" w:rsidRPr="00695897" w:rsidRDefault="00695897" w:rsidP="00695897"/>
    <w:p w14:paraId="0E9D0119" w14:textId="0245C6D7" w:rsidR="002C50EE" w:rsidRDefault="002C50EE" w:rsidP="002C50EE">
      <w:pPr>
        <w:pStyle w:val="Heading1"/>
      </w:pPr>
      <w:r>
        <w:t>10. ДАТА НА АКТУАЛИЗИРАНЕ НА ТЕКСТА</w:t>
      </w:r>
    </w:p>
    <w:p w14:paraId="43FB38A2" w14:textId="1E3C40CE" w:rsidR="007C605B" w:rsidRPr="00695897" w:rsidRDefault="00695897" w:rsidP="00695897">
      <w:pPr>
        <w:rPr>
          <w:lang w:val="ru-RU"/>
        </w:rPr>
      </w:pPr>
      <w:bookmarkStart w:id="2" w:name="_GoBack"/>
      <w:bookmarkEnd w:id="0"/>
      <w:r>
        <w:t xml:space="preserve">Подробна информация за този </w:t>
      </w:r>
      <w:r w:rsidRPr="00695897">
        <w:t>лекарствен продукт</w:t>
      </w:r>
      <w:r w:rsidRPr="00695897">
        <w:t xml:space="preserve"> </w:t>
      </w:r>
      <w:r w:rsidRPr="00695897">
        <w:t>е предоставена на уебсайта на</w:t>
      </w:r>
      <w:r>
        <w:rPr>
          <w:u w:val="single"/>
        </w:rPr>
        <w:t xml:space="preserve"> </w:t>
      </w:r>
      <w:r>
        <w:t xml:space="preserve">Изпълнителна Агенция по Лекарствата (ИАЛ) </w:t>
      </w:r>
      <w:r>
        <w:fldChar w:fldCharType="begin"/>
      </w:r>
      <w:r>
        <w:instrText xml:space="preserve"> HYPERLINK "http://www.bda.bg" </w:instrText>
      </w:r>
      <w:r>
        <w:fldChar w:fldCharType="separate"/>
      </w:r>
      <w:r>
        <w:rPr>
          <w:lang w:val="en-US"/>
        </w:rPr>
        <w:t>http</w:t>
      </w:r>
      <w:r w:rsidRPr="00695897">
        <w:rPr>
          <w:lang w:val="ru-RU"/>
        </w:rPr>
        <w:t>://</w:t>
      </w:r>
      <w:r>
        <w:rPr>
          <w:lang w:val="en-US"/>
        </w:rPr>
        <w:t>www</w:t>
      </w:r>
      <w:r w:rsidRPr="00695897">
        <w:rPr>
          <w:lang w:val="ru-RU"/>
        </w:rPr>
        <w:t>.</w:t>
      </w:r>
      <w:proofErr w:type="spellStart"/>
      <w:r>
        <w:rPr>
          <w:lang w:val="en-US"/>
        </w:rPr>
        <w:t>bda</w:t>
      </w:r>
      <w:proofErr w:type="spellEnd"/>
      <w:r w:rsidRPr="00695897">
        <w:rPr>
          <w:lang w:val="ru-RU"/>
        </w:rPr>
        <w:t>.</w:t>
      </w:r>
      <w:proofErr w:type="spellStart"/>
      <w:r>
        <w:rPr>
          <w:lang w:val="en-US"/>
        </w:rPr>
        <w:t>bg</w:t>
      </w:r>
      <w:proofErr w:type="spellEnd"/>
      <w:r>
        <w:fldChar w:fldCharType="end"/>
      </w:r>
      <w:r w:rsidRPr="00695897">
        <w:rPr>
          <w:lang w:val="ru-RU"/>
        </w:rPr>
        <w:t>.</w:t>
      </w:r>
      <w:bookmarkEnd w:id="2"/>
    </w:p>
    <w:sectPr w:rsidR="007C605B" w:rsidRPr="006958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00000002"/>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 w15:restartNumberingAfterBreak="0">
    <w:nsid w:val="00894126"/>
    <w:multiLevelType w:val="multilevel"/>
    <w:tmpl w:val="588ED07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0AE4925"/>
    <w:multiLevelType w:val="multilevel"/>
    <w:tmpl w:val="4CC8ED5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4834C69"/>
    <w:multiLevelType w:val="multilevel"/>
    <w:tmpl w:val="DC0A14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4E91C0A"/>
    <w:multiLevelType w:val="hybridMultilevel"/>
    <w:tmpl w:val="C3D8ECF2"/>
    <w:lvl w:ilvl="0" w:tplc="61A8CAF0">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9A0F47"/>
    <w:multiLevelType w:val="hybridMultilevel"/>
    <w:tmpl w:val="5F3E3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3A2C2D"/>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8" w15:restartNumberingAfterBreak="0">
    <w:nsid w:val="19016EEE"/>
    <w:multiLevelType w:val="hybridMultilevel"/>
    <w:tmpl w:val="52F6376E"/>
    <w:lvl w:ilvl="0" w:tplc="4F7A9382">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6343B0"/>
    <w:multiLevelType w:val="hybridMultilevel"/>
    <w:tmpl w:val="DD4E8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1258ED"/>
    <w:multiLevelType w:val="hybridMultilevel"/>
    <w:tmpl w:val="AA423BD4"/>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1" w15:restartNumberingAfterBreak="0">
    <w:nsid w:val="26177103"/>
    <w:multiLevelType w:val="multilevel"/>
    <w:tmpl w:val="E82C6D4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2C0F0359"/>
    <w:multiLevelType w:val="hybridMultilevel"/>
    <w:tmpl w:val="44CA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A60FB9"/>
    <w:multiLevelType w:val="hybridMultilevel"/>
    <w:tmpl w:val="BA3E8EEE"/>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A002FE"/>
    <w:multiLevelType w:val="hybridMultilevel"/>
    <w:tmpl w:val="60D4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687B8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6" w15:restartNumberingAfterBreak="0">
    <w:nsid w:val="403D3417"/>
    <w:multiLevelType w:val="multilevel"/>
    <w:tmpl w:val="B57254D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15:restartNumberingAfterBreak="0">
    <w:nsid w:val="42823E3C"/>
    <w:multiLevelType w:val="hybridMultilevel"/>
    <w:tmpl w:val="80B0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0E33D8"/>
    <w:multiLevelType w:val="hybridMultilevel"/>
    <w:tmpl w:val="71309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ED0C31"/>
    <w:multiLevelType w:val="hybridMultilevel"/>
    <w:tmpl w:val="2946DD8C"/>
    <w:lvl w:ilvl="0" w:tplc="83C2330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817B77"/>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1" w15:restartNumberingAfterBreak="0">
    <w:nsid w:val="4B960DEC"/>
    <w:multiLevelType w:val="hybridMultilevel"/>
    <w:tmpl w:val="DE7AABEA"/>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31061F"/>
    <w:multiLevelType w:val="hybridMultilevel"/>
    <w:tmpl w:val="7BE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FE48DA"/>
    <w:multiLevelType w:val="hybridMultilevel"/>
    <w:tmpl w:val="8D98AC54"/>
    <w:lvl w:ilvl="0" w:tplc="04090001">
      <w:start w:val="1"/>
      <w:numFmt w:val="bullet"/>
      <w:lvlText w:val=""/>
      <w:lvlJc w:val="left"/>
      <w:pPr>
        <w:ind w:left="720" w:hanging="360"/>
      </w:pPr>
      <w:rPr>
        <w:rFonts w:ascii="Symbol" w:hAnsi="Symbol" w:hint="default"/>
      </w:rPr>
    </w:lvl>
    <w:lvl w:ilvl="1" w:tplc="9F088CA4">
      <w:numFmt w:val="bullet"/>
      <w:lvlText w:val="•"/>
      <w:lvlJc w:val="left"/>
      <w:pPr>
        <w:ind w:left="1800" w:hanging="720"/>
      </w:pPr>
      <w:rPr>
        <w:rFonts w:ascii="Arial" w:eastAsiaTheme="minorHAnsi" w:hAnsi="Arial" w:cs="Arial"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AB1ABA"/>
    <w:multiLevelType w:val="hybridMultilevel"/>
    <w:tmpl w:val="EEEC7F7E"/>
    <w:lvl w:ilvl="0" w:tplc="E38E44DA">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A8116B"/>
    <w:multiLevelType w:val="hybridMultilevel"/>
    <w:tmpl w:val="F18C2434"/>
    <w:lvl w:ilvl="0" w:tplc="04B87F8E">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C2302E"/>
    <w:multiLevelType w:val="hybridMultilevel"/>
    <w:tmpl w:val="FF02B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1F677A"/>
    <w:multiLevelType w:val="hybridMultilevel"/>
    <w:tmpl w:val="96EC7004"/>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B539E2"/>
    <w:multiLevelType w:val="hybridMultilevel"/>
    <w:tmpl w:val="E3B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BC7DEC"/>
    <w:multiLevelType w:val="hybridMultilevel"/>
    <w:tmpl w:val="EE04B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3AD1413"/>
    <w:multiLevelType w:val="hybridMultilevel"/>
    <w:tmpl w:val="9B941132"/>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EFB2D7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num w:numId="1">
    <w:abstractNumId w:val="27"/>
  </w:num>
  <w:num w:numId="2">
    <w:abstractNumId w:val="0"/>
  </w:num>
  <w:num w:numId="3">
    <w:abstractNumId w:val="13"/>
  </w:num>
  <w:num w:numId="4">
    <w:abstractNumId w:val="3"/>
  </w:num>
  <w:num w:numId="5">
    <w:abstractNumId w:val="1"/>
  </w:num>
  <w:num w:numId="6">
    <w:abstractNumId w:val="16"/>
  </w:num>
  <w:num w:numId="7">
    <w:abstractNumId w:val="11"/>
  </w:num>
  <w:num w:numId="8">
    <w:abstractNumId w:val="15"/>
  </w:num>
  <w:num w:numId="9">
    <w:abstractNumId w:val="2"/>
  </w:num>
  <w:num w:numId="10">
    <w:abstractNumId w:val="4"/>
  </w:num>
  <w:num w:numId="11">
    <w:abstractNumId w:val="29"/>
  </w:num>
  <w:num w:numId="12">
    <w:abstractNumId w:val="14"/>
  </w:num>
  <w:num w:numId="13">
    <w:abstractNumId w:val="19"/>
  </w:num>
  <w:num w:numId="14">
    <w:abstractNumId w:val="12"/>
  </w:num>
  <w:num w:numId="15">
    <w:abstractNumId w:val="28"/>
  </w:num>
  <w:num w:numId="16">
    <w:abstractNumId w:val="10"/>
  </w:num>
  <w:num w:numId="17">
    <w:abstractNumId w:val="24"/>
  </w:num>
  <w:num w:numId="18">
    <w:abstractNumId w:val="8"/>
  </w:num>
  <w:num w:numId="19">
    <w:abstractNumId w:val="26"/>
  </w:num>
  <w:num w:numId="20">
    <w:abstractNumId w:val="23"/>
  </w:num>
  <w:num w:numId="21">
    <w:abstractNumId w:val="17"/>
  </w:num>
  <w:num w:numId="22">
    <w:abstractNumId w:val="25"/>
  </w:num>
  <w:num w:numId="23">
    <w:abstractNumId w:val="18"/>
  </w:num>
  <w:num w:numId="24">
    <w:abstractNumId w:val="9"/>
  </w:num>
  <w:num w:numId="25">
    <w:abstractNumId w:val="22"/>
  </w:num>
  <w:num w:numId="26">
    <w:abstractNumId w:val="21"/>
  </w:num>
  <w:num w:numId="27">
    <w:abstractNumId w:val="30"/>
  </w:num>
  <w:num w:numId="28">
    <w:abstractNumId w:val="7"/>
  </w:num>
  <w:num w:numId="29">
    <w:abstractNumId w:val="20"/>
  </w:num>
  <w:num w:numId="30">
    <w:abstractNumId w:val="31"/>
  </w:num>
  <w:num w:numId="31">
    <w:abstractNumId w:val="6"/>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00"/>
    <w:rsid w:val="00185A46"/>
    <w:rsid w:val="001915B6"/>
    <w:rsid w:val="001D1B23"/>
    <w:rsid w:val="002B3C38"/>
    <w:rsid w:val="002B4DBB"/>
    <w:rsid w:val="002C50EE"/>
    <w:rsid w:val="00340A0A"/>
    <w:rsid w:val="003765DC"/>
    <w:rsid w:val="00395555"/>
    <w:rsid w:val="003E3126"/>
    <w:rsid w:val="004D4D6B"/>
    <w:rsid w:val="00517A5B"/>
    <w:rsid w:val="00593A00"/>
    <w:rsid w:val="005A66D9"/>
    <w:rsid w:val="00605BCA"/>
    <w:rsid w:val="006158A1"/>
    <w:rsid w:val="00617B1F"/>
    <w:rsid w:val="00672487"/>
    <w:rsid w:val="00672600"/>
    <w:rsid w:val="00681D4A"/>
    <w:rsid w:val="00685882"/>
    <w:rsid w:val="00695897"/>
    <w:rsid w:val="0075649D"/>
    <w:rsid w:val="007C605B"/>
    <w:rsid w:val="00814073"/>
    <w:rsid w:val="00826F0D"/>
    <w:rsid w:val="00893B92"/>
    <w:rsid w:val="008A6AF2"/>
    <w:rsid w:val="008C70A2"/>
    <w:rsid w:val="009773E4"/>
    <w:rsid w:val="009B171C"/>
    <w:rsid w:val="009F1313"/>
    <w:rsid w:val="00A20351"/>
    <w:rsid w:val="00AA23EC"/>
    <w:rsid w:val="00AC63CE"/>
    <w:rsid w:val="00AE2107"/>
    <w:rsid w:val="00B275A8"/>
    <w:rsid w:val="00BF2600"/>
    <w:rsid w:val="00C0049F"/>
    <w:rsid w:val="00C07B84"/>
    <w:rsid w:val="00C33464"/>
    <w:rsid w:val="00C809A7"/>
    <w:rsid w:val="00C83063"/>
    <w:rsid w:val="00C87E90"/>
    <w:rsid w:val="00CA1B57"/>
    <w:rsid w:val="00D86297"/>
    <w:rsid w:val="00DD466D"/>
    <w:rsid w:val="00EB6364"/>
    <w:rsid w:val="00F37B64"/>
    <w:rsid w:val="00FD6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4BA7"/>
  <w15:docId w15:val="{3DA60348-CCDC-4D6D-877F-EA9575E0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364"/>
    <w:pPr>
      <w:spacing w:after="0" w:line="256" w:lineRule="auto"/>
    </w:pPr>
    <w:rPr>
      <w:rFonts w:ascii="Arial" w:hAnsi="Arial"/>
      <w:lang w:val="bg-BG"/>
    </w:rPr>
  </w:style>
  <w:style w:type="paragraph" w:styleId="Heading1">
    <w:name w:val="heading 1"/>
    <w:basedOn w:val="Normal"/>
    <w:next w:val="Normal"/>
    <w:link w:val="Heading1Char"/>
    <w:uiPriority w:val="9"/>
    <w:qFormat/>
    <w:rsid w:val="00681D4A"/>
    <w:pPr>
      <w:keepNext/>
      <w:keepLines/>
      <w:spacing w:before="240" w:line="259" w:lineRule="auto"/>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681D4A"/>
    <w:pPr>
      <w:keepNext/>
      <w:keepLines/>
      <w:spacing w:before="40" w:line="259" w:lineRule="auto"/>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681D4A"/>
    <w:pPr>
      <w:keepNext/>
      <w:keepLines/>
      <w:spacing w:before="40" w:line="259" w:lineRule="auto"/>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681D4A"/>
    <w:pPr>
      <w:keepNext/>
      <w:keepLines/>
      <w:spacing w:before="4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Стил1"/>
    <w:basedOn w:val="Heading3"/>
    <w:next w:val="Normal"/>
    <w:link w:val="10"/>
    <w:qFormat/>
    <w:rsid w:val="00C87E90"/>
    <w:pPr>
      <w:widowControl w:val="0"/>
      <w:spacing w:after="1080" w:line="240" w:lineRule="auto"/>
      <w:ind w:left="4400"/>
      <w:jc w:val="center"/>
    </w:pPr>
    <w:rPr>
      <w:b/>
      <w:sz w:val="22"/>
      <w:szCs w:val="22"/>
    </w:rPr>
  </w:style>
  <w:style w:type="character" w:customStyle="1" w:styleId="10">
    <w:name w:val="Стил1 Знак"/>
    <w:basedOn w:val="Heading3Char"/>
    <w:link w:val="1"/>
    <w:rsid w:val="00C87E90"/>
    <w:rPr>
      <w:rFonts w:ascii="Arial" w:eastAsiaTheme="majorEastAsia" w:hAnsi="Arial" w:cstheme="majorBidi"/>
      <w:b/>
      <w:color w:val="000000" w:themeColor="text1"/>
      <w:sz w:val="24"/>
      <w:szCs w:val="24"/>
    </w:rPr>
  </w:style>
  <w:style w:type="character" w:customStyle="1" w:styleId="Heading3Char">
    <w:name w:val="Heading 3 Char"/>
    <w:basedOn w:val="DefaultParagraphFont"/>
    <w:link w:val="Heading3"/>
    <w:uiPriority w:val="9"/>
    <w:rsid w:val="00681D4A"/>
    <w:rPr>
      <w:rFonts w:ascii="Arial" w:eastAsiaTheme="majorEastAsia" w:hAnsi="Arial" w:cstheme="majorBidi"/>
      <w:color w:val="000000" w:themeColor="text1"/>
      <w:sz w:val="24"/>
      <w:szCs w:val="24"/>
    </w:rPr>
  </w:style>
  <w:style w:type="paragraph" w:styleId="ListParagraph">
    <w:name w:val="List Paragraph"/>
    <w:basedOn w:val="Normal"/>
    <w:uiPriority w:val="34"/>
    <w:qFormat/>
    <w:rsid w:val="00685882"/>
    <w:pPr>
      <w:spacing w:line="259" w:lineRule="auto"/>
      <w:ind w:left="720"/>
      <w:contextualSpacing/>
    </w:pPr>
  </w:style>
  <w:style w:type="character" w:customStyle="1" w:styleId="Heading1Char">
    <w:name w:val="Heading 1 Char"/>
    <w:basedOn w:val="DefaultParagraphFont"/>
    <w:link w:val="Heading1"/>
    <w:uiPriority w:val="9"/>
    <w:rsid w:val="00681D4A"/>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681D4A"/>
    <w:rPr>
      <w:rFonts w:ascii="Arial" w:eastAsiaTheme="majorEastAsia" w:hAnsi="Arial" w:cstheme="majorBidi"/>
      <w:color w:val="000000" w:themeColor="text1"/>
      <w:sz w:val="26"/>
      <w:szCs w:val="26"/>
    </w:rPr>
  </w:style>
  <w:style w:type="character" w:customStyle="1" w:styleId="Heading4Char">
    <w:name w:val="Heading 4 Char"/>
    <w:basedOn w:val="DefaultParagraphFont"/>
    <w:link w:val="Heading4"/>
    <w:uiPriority w:val="9"/>
    <w:rsid w:val="00681D4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75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462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da.b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7608</Words>
  <Characters>43367</Characters>
  <Application>Microsoft Office Word</Application>
  <DocSecurity>0</DocSecurity>
  <Lines>361</Lines>
  <Paragraphs>101</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50874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vasilev</dc:creator>
  <cp:keywords/>
  <dc:description/>
  <cp:lastModifiedBy>petar vasilev</cp:lastModifiedBy>
  <cp:revision>2</cp:revision>
  <dcterms:created xsi:type="dcterms:W3CDTF">2022-01-05T18:08:00Z</dcterms:created>
  <dcterms:modified xsi:type="dcterms:W3CDTF">2022-01-05T18:08:00Z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080e56-8894-418a-9b19-f357e77b996f_Enabled">
    <vt:lpwstr>true</vt:lpwstr>
  </property>
  <property fmtid="{D5CDD505-2E9C-101B-9397-08002B2CF9AE}" pid="3" name="MSIP_Label_78080e56-8894-418a-9b19-f357e77b996f_SetDate">
    <vt:lpwstr>2021-02-06T20:50:59Z</vt:lpwstr>
  </property>
  <property fmtid="{D5CDD505-2E9C-101B-9397-08002B2CF9AE}" pid="4" name="MSIP_Label_78080e56-8894-418a-9b19-f357e77b996f_Method">
    <vt:lpwstr>Standard</vt:lpwstr>
  </property>
  <property fmtid="{D5CDD505-2E9C-101B-9397-08002B2CF9AE}" pid="5" name="MSIP_Label_78080e56-8894-418a-9b19-f357e77b996f_Name">
    <vt:lpwstr>Internal Use Unencrypted</vt:lpwstr>
  </property>
  <property fmtid="{D5CDD505-2E9C-101B-9397-08002B2CF9AE}" pid="6" name="MSIP_Label_78080e56-8894-418a-9b19-f357e77b996f_SiteId">
    <vt:lpwstr>6c7fadf5-6b9d-485a-85cb-f8112e9720ec</vt:lpwstr>
  </property>
  <property fmtid="{D5CDD505-2E9C-101B-9397-08002B2CF9AE}" pid="7" name="MSIP_Label_78080e56-8894-418a-9b19-f357e77b996f_ActionId">
    <vt:lpwstr>0a32757c-47c4-4949-90c3-637a5e65fde2</vt:lpwstr>
  </property>
  <property fmtid="{D5CDD505-2E9C-101B-9397-08002B2CF9AE}" pid="8" name="MSIP_Label_78080e56-8894-418a-9b19-f357e77b996f_ContentBits">
    <vt:lpwstr>2</vt:lpwstr>
  </property>
</Properties>
</file>