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675180DF" w14:textId="77777777" w:rsidR="002D4D2D" w:rsidRPr="002D4D2D" w:rsidRDefault="002D4D2D" w:rsidP="002D4D2D">
      <w:pPr>
        <w:spacing w:line="240" w:lineRule="auto"/>
        <w:rPr>
          <w:rFonts w:eastAsia="Times New Roman" w:cs="Arial"/>
          <w:sz w:val="24"/>
          <w:szCs w:val="24"/>
          <w:lang w:val="en-US" w:eastAsia="bg-BG"/>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100 </w:t>
      </w:r>
      <w:r w:rsidRPr="002D4D2D">
        <w:rPr>
          <w:rFonts w:eastAsia="Times New Roman" w:cs="Arial"/>
          <w:color w:val="000000"/>
          <w:lang w:val="en-US"/>
        </w:rPr>
        <w:t xml:space="preserve">mg/25 mg </w:t>
      </w:r>
      <w:r w:rsidRPr="002D4D2D">
        <w:rPr>
          <w:rFonts w:eastAsia="Times New Roman" w:cs="Arial"/>
          <w:color w:val="000000"/>
          <w:lang w:eastAsia="bg-BG"/>
        </w:rPr>
        <w:t>филмирани таблетки</w:t>
      </w:r>
    </w:p>
    <w:p w14:paraId="5015A1FD" w14:textId="3CC9DD81" w:rsidR="00A73575" w:rsidRPr="002D4D2D" w:rsidRDefault="002D4D2D" w:rsidP="002D4D2D">
      <w:pPr>
        <w:rPr>
          <w:rFonts w:cs="Arial"/>
        </w:rPr>
      </w:pPr>
      <w:proofErr w:type="spellStart"/>
      <w:r w:rsidRPr="002D4D2D">
        <w:rPr>
          <w:rFonts w:eastAsia="Times New Roman" w:cs="Arial"/>
          <w:color w:val="000000"/>
          <w:lang w:val="en-US"/>
        </w:rPr>
        <w:t>Lorista</w:t>
      </w:r>
      <w:proofErr w:type="spellEnd"/>
      <w:r w:rsidRPr="002D4D2D">
        <w:rPr>
          <w:rFonts w:eastAsia="Times New Roman" w:cs="Arial"/>
          <w:color w:val="000000"/>
          <w:lang w:val="en-US"/>
        </w:rPr>
        <w:t xml:space="preserve"> HD </w:t>
      </w:r>
      <w:r w:rsidRPr="002D4D2D">
        <w:rPr>
          <w:rFonts w:eastAsia="Times New Roman" w:cs="Arial"/>
          <w:color w:val="000000"/>
          <w:lang w:eastAsia="bg-BG"/>
        </w:rPr>
        <w:t xml:space="preserve">100 </w:t>
      </w:r>
      <w:r w:rsidRPr="002D4D2D">
        <w:rPr>
          <w:rFonts w:eastAsia="Times New Roman" w:cs="Arial"/>
          <w:color w:val="000000"/>
          <w:lang w:val="en-US"/>
        </w:rPr>
        <w:t>mg/25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49EC2C3C"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Всяка 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100 </w:t>
      </w:r>
      <w:r w:rsidRPr="002D4D2D">
        <w:rPr>
          <w:rFonts w:eastAsia="Times New Roman" w:cs="Arial"/>
          <w:color w:val="000000"/>
          <w:lang w:val="en-US"/>
        </w:rPr>
        <w:t xml:space="preserve">mg/25 mg </w:t>
      </w:r>
      <w:r w:rsidRPr="002D4D2D">
        <w:rPr>
          <w:rFonts w:eastAsia="Times New Roman" w:cs="Arial"/>
          <w:color w:val="000000"/>
          <w:lang w:eastAsia="bg-BG"/>
        </w:rPr>
        <w:t xml:space="preserve">филмирана таблетка съдържа 100 </w:t>
      </w:r>
      <w:r w:rsidRPr="002D4D2D">
        <w:rPr>
          <w:rFonts w:eastAsia="Times New Roman" w:cs="Arial"/>
          <w:color w:val="000000"/>
          <w:lang w:val="en-US"/>
        </w:rPr>
        <w:t xml:space="preserve">mg </w:t>
      </w:r>
      <w:r w:rsidRPr="002D4D2D">
        <w:rPr>
          <w:rFonts w:eastAsia="Times New Roman" w:cs="Arial"/>
          <w:color w:val="000000"/>
          <w:lang w:eastAsia="bg-BG"/>
        </w:rPr>
        <w:t xml:space="preserve">лосартан калий </w:t>
      </w:r>
      <w:r w:rsidRPr="002D4D2D">
        <w:rPr>
          <w:rFonts w:eastAsia="Times New Roman" w:cs="Arial"/>
          <w:i/>
          <w:iCs/>
          <w:color w:val="000000"/>
          <w:lang w:val="en-US"/>
        </w:rPr>
        <w:t>(losartan potassium)</w:t>
      </w:r>
      <w:r w:rsidRPr="002D4D2D">
        <w:rPr>
          <w:rFonts w:eastAsia="Times New Roman" w:cs="Arial"/>
          <w:color w:val="000000"/>
          <w:lang w:val="en-US"/>
        </w:rPr>
        <w:t xml:space="preserve"> </w:t>
      </w:r>
      <w:r w:rsidRPr="002D4D2D">
        <w:rPr>
          <w:rFonts w:eastAsia="Times New Roman" w:cs="Arial"/>
          <w:color w:val="000000"/>
          <w:lang w:eastAsia="bg-BG"/>
        </w:rPr>
        <w:t xml:space="preserve">и 25 </w:t>
      </w:r>
      <w:r w:rsidRPr="002D4D2D">
        <w:rPr>
          <w:rFonts w:eastAsia="Times New Roman" w:cs="Arial"/>
          <w:color w:val="000000"/>
          <w:lang w:val="en-US"/>
        </w:rPr>
        <w:t xml:space="preserve">mg </w:t>
      </w:r>
      <w:r w:rsidRPr="002D4D2D">
        <w:rPr>
          <w:rFonts w:eastAsia="Times New Roman" w:cs="Arial"/>
          <w:color w:val="000000"/>
          <w:lang w:eastAsia="bg-BG"/>
        </w:rPr>
        <w:t xml:space="preserve">хидрохлоротиазид </w:t>
      </w:r>
      <w:r w:rsidRPr="002D4D2D">
        <w:rPr>
          <w:rFonts w:eastAsia="Times New Roman" w:cs="Arial"/>
          <w:i/>
          <w:iCs/>
          <w:color w:val="000000"/>
          <w:lang w:val="en-US"/>
        </w:rPr>
        <w:t>(hydrochlorothiazide).</w:t>
      </w:r>
    </w:p>
    <w:p w14:paraId="24C85608" w14:textId="77777777" w:rsidR="002D4D2D" w:rsidRPr="002D4D2D" w:rsidRDefault="002D4D2D" w:rsidP="002D4D2D">
      <w:pPr>
        <w:spacing w:line="240" w:lineRule="auto"/>
        <w:rPr>
          <w:rFonts w:eastAsia="Times New Roman" w:cs="Arial"/>
          <w:color w:val="000000"/>
          <w:lang w:eastAsia="bg-BG"/>
        </w:rPr>
      </w:pPr>
    </w:p>
    <w:p w14:paraId="0469CBC6" w14:textId="52A1D07E"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Помощни вещества с известно действие:</w:t>
      </w:r>
    </w:p>
    <w:p w14:paraId="69BB1377" w14:textId="77777777" w:rsidR="002D4D2D" w:rsidRPr="002D4D2D" w:rsidRDefault="002D4D2D" w:rsidP="002D4D2D">
      <w:pPr>
        <w:pStyle w:val="ListParagraph"/>
        <w:numPr>
          <w:ilvl w:val="0"/>
          <w:numId w:val="36"/>
        </w:numPr>
        <w:spacing w:line="240" w:lineRule="auto"/>
        <w:rPr>
          <w:rFonts w:eastAsia="Times New Roman" w:cs="Arial"/>
          <w:sz w:val="24"/>
          <w:szCs w:val="24"/>
          <w:lang w:eastAsia="bg-BG"/>
        </w:rPr>
      </w:pPr>
      <w:r w:rsidRPr="002D4D2D">
        <w:rPr>
          <w:rFonts w:eastAsia="Times New Roman" w:cs="Arial"/>
          <w:color w:val="000000"/>
          <w:lang w:eastAsia="bg-BG"/>
        </w:rPr>
        <w:t xml:space="preserve">лактоза монохидрат: 126, 26 </w:t>
      </w:r>
      <w:r w:rsidRPr="002D4D2D">
        <w:rPr>
          <w:rFonts w:eastAsia="Times New Roman" w:cs="Arial"/>
          <w:color w:val="000000"/>
          <w:lang w:val="en-US"/>
        </w:rPr>
        <w:t>mg</w:t>
      </w:r>
      <w:r w:rsidRPr="002D4D2D">
        <w:rPr>
          <w:rFonts w:eastAsia="Times New Roman" w:cs="Arial"/>
          <w:color w:val="000000"/>
          <w:lang w:eastAsia="bg-BG"/>
        </w:rPr>
        <w:t>/таблетка.</w:t>
      </w:r>
    </w:p>
    <w:p w14:paraId="724952F1" w14:textId="77777777" w:rsidR="002D4D2D" w:rsidRPr="002D4D2D" w:rsidRDefault="002D4D2D" w:rsidP="002D4D2D">
      <w:pPr>
        <w:rPr>
          <w:rFonts w:eastAsia="Times New Roman" w:cs="Arial"/>
          <w:color w:val="000000"/>
          <w:lang w:eastAsia="bg-BG"/>
        </w:rPr>
      </w:pPr>
    </w:p>
    <w:p w14:paraId="03110A50" w14:textId="349925BB" w:rsidR="0091385D" w:rsidRPr="002D4D2D" w:rsidRDefault="002D4D2D" w:rsidP="002D4D2D">
      <w:pPr>
        <w:rPr>
          <w:rFonts w:cs="Arial"/>
        </w:rPr>
      </w:pPr>
      <w:r w:rsidRPr="002D4D2D">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3E002209" w14:textId="1B18B26A"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Филмирана таблетка</w:t>
      </w:r>
    </w:p>
    <w:p w14:paraId="043934B6" w14:textId="77777777" w:rsidR="002D4D2D" w:rsidRPr="002D4D2D" w:rsidRDefault="002D4D2D" w:rsidP="002D4D2D">
      <w:pPr>
        <w:rPr>
          <w:rFonts w:eastAsia="Times New Roman" w:cs="Arial"/>
          <w:color w:val="000000"/>
          <w:lang w:eastAsia="bg-BG"/>
        </w:rPr>
      </w:pPr>
    </w:p>
    <w:p w14:paraId="4129ADBB" w14:textId="31256FA7" w:rsidR="0091385D" w:rsidRPr="002D4D2D" w:rsidRDefault="002D4D2D" w:rsidP="002D4D2D">
      <w:pPr>
        <w:rPr>
          <w:rFonts w:cs="Arial"/>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100 </w:t>
      </w:r>
      <w:r w:rsidRPr="002D4D2D">
        <w:rPr>
          <w:rFonts w:eastAsia="Times New Roman" w:cs="Arial"/>
          <w:color w:val="000000"/>
          <w:lang w:val="en-US"/>
        </w:rPr>
        <w:t xml:space="preserve">mg/25 mg </w:t>
      </w:r>
      <w:r w:rsidRPr="002D4D2D">
        <w:rPr>
          <w:rFonts w:eastAsia="Times New Roman" w:cs="Arial"/>
          <w:color w:val="000000"/>
          <w:lang w:eastAsia="bg-BG"/>
        </w:rPr>
        <w:t>филмирани таблетки: жълти, овални, леко двойнизпъкнали филмирани таблетки.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3454005B" w:rsidR="0091385D" w:rsidRPr="002D4D2D" w:rsidRDefault="002D4D2D" w:rsidP="0091385D">
      <w:pPr>
        <w:rPr>
          <w:rFonts w:cs="Arial"/>
        </w:rPr>
      </w:pPr>
      <w:r w:rsidRPr="002D4D2D">
        <w:rPr>
          <w:rFonts w:cs="Arial"/>
        </w:rPr>
        <w:t xml:space="preserve">Лориста </w:t>
      </w:r>
      <w:r w:rsidRPr="002D4D2D">
        <w:rPr>
          <w:rFonts w:cs="Arial"/>
          <w:lang w:val="en-US"/>
        </w:rPr>
        <w:t xml:space="preserve">HD </w:t>
      </w:r>
      <w:r w:rsidRPr="002D4D2D">
        <w:rPr>
          <w:rFonts w:cs="Arial"/>
        </w:rPr>
        <w:t>е показан за лечение на есенциална хипертония при пациенти, чието кръвно налягане не е задоволително контролирано с лосартан или хидрохлоротиазид самостоятелно.</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1AFC52B" w14:textId="77777777" w:rsidR="002D4D2D" w:rsidRPr="0038166B" w:rsidRDefault="002D4D2D" w:rsidP="0038166B">
      <w:pPr>
        <w:pStyle w:val="Heading3"/>
        <w:rPr>
          <w:rFonts w:eastAsia="Times New Roman"/>
          <w:u w:val="single"/>
          <w:lang w:eastAsia="bg-BG"/>
        </w:rPr>
      </w:pPr>
      <w:r w:rsidRPr="0038166B">
        <w:rPr>
          <w:rFonts w:eastAsia="Times New Roman"/>
          <w:u w:val="single"/>
          <w:lang w:eastAsia="bg-BG"/>
        </w:rPr>
        <w:t>Хипертония</w:t>
      </w:r>
    </w:p>
    <w:p w14:paraId="1F2BC349"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не е предназначен за начална терапия, а само при пациенти, чието кръвно налягане не е достатъчно контролирано чрез лосартан и хидрохлоротиазид самостоятелно.</w:t>
      </w:r>
    </w:p>
    <w:p w14:paraId="73996AB5" w14:textId="77777777" w:rsidR="002D4D2D" w:rsidRPr="002D4D2D" w:rsidRDefault="002D4D2D" w:rsidP="002D4D2D">
      <w:pPr>
        <w:spacing w:line="240" w:lineRule="auto"/>
        <w:rPr>
          <w:rFonts w:eastAsia="Times New Roman" w:cs="Arial"/>
          <w:color w:val="000000"/>
          <w:lang w:eastAsia="bg-BG"/>
        </w:rPr>
      </w:pPr>
    </w:p>
    <w:p w14:paraId="6CEF97FD" w14:textId="4822A179"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lastRenderedPageBreak/>
        <w:t>Препоръчва се титриране на дозата на отделните компоненти (лосартан и хидрохлоротиазид).</w:t>
      </w:r>
    </w:p>
    <w:p w14:paraId="08013DC1" w14:textId="77777777" w:rsidR="002D4D2D" w:rsidRPr="002D4D2D" w:rsidRDefault="002D4D2D" w:rsidP="002D4D2D">
      <w:pPr>
        <w:spacing w:line="240" w:lineRule="auto"/>
        <w:rPr>
          <w:rFonts w:eastAsia="Times New Roman" w:cs="Arial"/>
          <w:color w:val="000000"/>
          <w:lang w:eastAsia="bg-BG"/>
        </w:rPr>
      </w:pPr>
    </w:p>
    <w:p w14:paraId="3EA6C843" w14:textId="5F9F9418"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Когато е клинично подходящо, може да се обмисли директна промяна от монотерапия към фиксирана комбинация при пациенти, чието кръвно налягане не е достатъчно контролирано.</w:t>
      </w:r>
    </w:p>
    <w:p w14:paraId="5E28ABA7" w14:textId="77777777" w:rsidR="002D4D2D" w:rsidRPr="002D4D2D" w:rsidRDefault="002D4D2D" w:rsidP="002D4D2D">
      <w:pPr>
        <w:spacing w:line="240" w:lineRule="auto"/>
        <w:rPr>
          <w:rFonts w:eastAsia="Times New Roman" w:cs="Arial"/>
          <w:color w:val="000000"/>
          <w:lang w:eastAsia="bg-BG"/>
        </w:rPr>
      </w:pPr>
    </w:p>
    <w:p w14:paraId="1F5D75DA" w14:textId="32AAD135"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Обичайната поддържаща доза лосартан/хидрохлоротиазид е една таблетка Лориста Н (лосартан 50 </w:t>
      </w:r>
      <w:r w:rsidRPr="002D4D2D">
        <w:rPr>
          <w:rFonts w:eastAsia="Times New Roman" w:cs="Arial"/>
          <w:color w:val="000000"/>
          <w:lang w:val="en-US"/>
        </w:rPr>
        <w:t>mg</w:t>
      </w:r>
      <w:r w:rsidRPr="002D4D2D">
        <w:rPr>
          <w:rFonts w:eastAsia="Times New Roman" w:cs="Arial"/>
          <w:color w:val="000000"/>
          <w:lang w:eastAsia="bg-BG"/>
        </w:rPr>
        <w:t xml:space="preserve">/хидрохлоротиазид 12,5 </w:t>
      </w:r>
      <w:r w:rsidRPr="002D4D2D">
        <w:rPr>
          <w:rFonts w:eastAsia="Times New Roman" w:cs="Arial"/>
          <w:color w:val="000000"/>
          <w:lang w:val="en-US"/>
        </w:rPr>
        <w:t xml:space="preserve">mg) </w:t>
      </w:r>
      <w:r w:rsidRPr="002D4D2D">
        <w:rPr>
          <w:rFonts w:eastAsia="Times New Roman" w:cs="Arial"/>
          <w:color w:val="000000"/>
          <w:lang w:eastAsia="bg-BG"/>
        </w:rPr>
        <w:t xml:space="preserve">веднъж дневно. За пациенти, които не отговарят адекватно на Лориста Н, дозировката може да се повиши на една таблетка 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(лосартан 100 </w:t>
      </w:r>
      <w:r w:rsidRPr="002D4D2D">
        <w:rPr>
          <w:rFonts w:eastAsia="Times New Roman" w:cs="Arial"/>
          <w:color w:val="000000"/>
          <w:lang w:val="en-US"/>
        </w:rPr>
        <w:t>mg</w:t>
      </w:r>
      <w:r w:rsidRPr="002D4D2D">
        <w:rPr>
          <w:rFonts w:eastAsia="Times New Roman" w:cs="Arial"/>
          <w:color w:val="000000"/>
          <w:lang w:eastAsia="bg-BG"/>
        </w:rPr>
        <w:t xml:space="preserve">/хидрохлоротиазид 25 </w:t>
      </w:r>
      <w:r w:rsidRPr="002D4D2D">
        <w:rPr>
          <w:rFonts w:eastAsia="Times New Roman" w:cs="Arial"/>
          <w:color w:val="000000"/>
          <w:lang w:val="en-US"/>
        </w:rPr>
        <w:t xml:space="preserve">mg) </w:t>
      </w:r>
      <w:r w:rsidRPr="002D4D2D">
        <w:rPr>
          <w:rFonts w:eastAsia="Times New Roman" w:cs="Arial"/>
          <w:color w:val="000000"/>
          <w:lang w:eastAsia="bg-BG"/>
        </w:rPr>
        <w:t>веднъж дневно. Максималната доза е една таблетка</w:t>
      </w:r>
    </w:p>
    <w:p w14:paraId="5F7EF8EC"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веднъж дневно. Като цяло антихипертензивният ефект се постига в рамките на три до четири седмици от започване на лечението. Лориста </w:t>
      </w:r>
      <w:r w:rsidRPr="002D4D2D">
        <w:rPr>
          <w:rFonts w:eastAsia="Times New Roman" w:cs="Arial"/>
          <w:color w:val="000000"/>
          <w:lang w:val="en-US"/>
        </w:rPr>
        <w:t xml:space="preserve">HD </w:t>
      </w:r>
      <w:r w:rsidRPr="002D4D2D">
        <w:rPr>
          <w:rFonts w:eastAsia="Times New Roman" w:cs="Arial"/>
          <w:color w:val="000000"/>
          <w:lang w:eastAsia="bg-BG"/>
        </w:rPr>
        <w:t xml:space="preserve">(лосартан 100 </w:t>
      </w:r>
      <w:r w:rsidRPr="002D4D2D">
        <w:rPr>
          <w:rFonts w:eastAsia="Times New Roman" w:cs="Arial"/>
          <w:color w:val="000000"/>
          <w:lang w:val="en-US"/>
        </w:rPr>
        <w:t xml:space="preserve">mg/ </w:t>
      </w:r>
      <w:r w:rsidRPr="002D4D2D">
        <w:rPr>
          <w:rFonts w:eastAsia="Times New Roman" w:cs="Arial"/>
          <w:color w:val="000000"/>
          <w:lang w:eastAsia="bg-BG"/>
        </w:rPr>
        <w:t xml:space="preserve">хидрохлортиазид 12,5 </w:t>
      </w:r>
      <w:r w:rsidRPr="002D4D2D">
        <w:rPr>
          <w:rFonts w:eastAsia="Times New Roman" w:cs="Arial"/>
          <w:color w:val="000000"/>
          <w:lang w:val="en-US"/>
        </w:rPr>
        <w:t xml:space="preserve">mg) </w:t>
      </w:r>
      <w:r w:rsidRPr="002D4D2D">
        <w:rPr>
          <w:rFonts w:eastAsia="Times New Roman" w:cs="Arial"/>
          <w:color w:val="000000"/>
          <w:lang w:eastAsia="bg-BG"/>
        </w:rPr>
        <w:t xml:space="preserve">е подходящ за пациенти, титрирани до доза от 100 </w:t>
      </w:r>
      <w:r w:rsidRPr="002D4D2D">
        <w:rPr>
          <w:rFonts w:eastAsia="Times New Roman" w:cs="Arial"/>
          <w:color w:val="000000"/>
          <w:lang w:val="en-US"/>
        </w:rPr>
        <w:t xml:space="preserve">mg </w:t>
      </w:r>
      <w:r w:rsidRPr="002D4D2D">
        <w:rPr>
          <w:rFonts w:eastAsia="Times New Roman" w:cs="Arial"/>
          <w:color w:val="000000"/>
          <w:lang w:eastAsia="bg-BG"/>
        </w:rPr>
        <w:t>Лориста, при които се изи</w:t>
      </w:r>
      <w:r w:rsidRPr="002D4D2D">
        <w:rPr>
          <w:rFonts w:eastAsia="Times New Roman" w:cs="Arial"/>
          <w:color w:val="000000"/>
          <w:u w:val="single"/>
          <w:lang w:eastAsia="bg-BG"/>
        </w:rPr>
        <w:t xml:space="preserve">сква </w:t>
      </w:r>
      <w:r w:rsidRPr="002D4D2D">
        <w:rPr>
          <w:rFonts w:eastAsia="Times New Roman" w:cs="Arial"/>
          <w:color w:val="000000"/>
          <w:lang w:eastAsia="bg-BG"/>
        </w:rPr>
        <w:t>допълнителен контрол на кръвното налягане.</w:t>
      </w:r>
    </w:p>
    <w:p w14:paraId="25204F93" w14:textId="77777777" w:rsidR="002D4D2D" w:rsidRPr="002D4D2D" w:rsidRDefault="002D4D2D" w:rsidP="002D4D2D">
      <w:pPr>
        <w:spacing w:line="240" w:lineRule="auto"/>
        <w:rPr>
          <w:rFonts w:eastAsia="Times New Roman" w:cs="Arial"/>
          <w:sz w:val="24"/>
          <w:szCs w:val="24"/>
          <w:lang w:eastAsia="bg-BG"/>
        </w:rPr>
      </w:pPr>
    </w:p>
    <w:p w14:paraId="63998C13"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u w:val="single"/>
          <w:lang w:eastAsia="bg-BG"/>
        </w:rPr>
        <w:t>Употреба при</w:t>
      </w:r>
      <w:r w:rsidRPr="002D4D2D">
        <w:rPr>
          <w:rFonts w:eastAsia="Times New Roman" w:cs="Arial"/>
          <w:color w:val="000000"/>
          <w:u w:val="single"/>
          <w:lang w:eastAsia="bg-BG"/>
        </w:rPr>
        <w:t xml:space="preserve"> пациенти </w:t>
      </w:r>
      <w:r w:rsidRPr="002D4D2D">
        <w:rPr>
          <w:rFonts w:eastAsia="Times New Roman" w:cs="Arial"/>
          <w:i/>
          <w:iCs/>
          <w:color w:val="000000"/>
          <w:u w:val="single"/>
          <w:lang w:eastAsia="bg-BG"/>
        </w:rPr>
        <w:t>с бъбречна недостатъчност</w:t>
      </w:r>
      <w:r w:rsidRPr="002D4D2D">
        <w:rPr>
          <w:rFonts w:eastAsia="Times New Roman" w:cs="Arial"/>
          <w:color w:val="000000"/>
          <w:u w:val="single"/>
          <w:lang w:eastAsia="bg-BG"/>
        </w:rPr>
        <w:t xml:space="preserve"> и </w:t>
      </w:r>
      <w:r w:rsidRPr="002D4D2D">
        <w:rPr>
          <w:rFonts w:eastAsia="Times New Roman" w:cs="Arial"/>
          <w:i/>
          <w:iCs/>
          <w:color w:val="000000"/>
          <w:u w:val="single"/>
          <w:lang w:eastAsia="bg-BG"/>
        </w:rPr>
        <w:t>пациенти на</w:t>
      </w:r>
      <w:r w:rsidRPr="002D4D2D">
        <w:rPr>
          <w:rFonts w:eastAsia="Times New Roman" w:cs="Arial"/>
          <w:color w:val="000000"/>
          <w:u w:val="single"/>
          <w:lang w:eastAsia="bg-BG"/>
        </w:rPr>
        <w:t xml:space="preserve"> хемодиализа</w:t>
      </w:r>
      <w:r w:rsidRPr="002D4D2D">
        <w:rPr>
          <w:rFonts w:eastAsia="Times New Roman" w:cs="Arial"/>
          <w:color w:val="000000"/>
          <w:lang w:eastAsia="bg-BG"/>
        </w:rPr>
        <w:t xml:space="preserve"> </w:t>
      </w:r>
    </w:p>
    <w:p w14:paraId="6A9D0174" w14:textId="77777777" w:rsidR="002D4D2D" w:rsidRPr="002D4D2D" w:rsidRDefault="002D4D2D" w:rsidP="002D4D2D">
      <w:pPr>
        <w:rPr>
          <w:rFonts w:eastAsia="Times New Roman" w:cs="Arial"/>
          <w:sz w:val="24"/>
          <w:szCs w:val="24"/>
          <w:lang w:eastAsia="bg-BG"/>
        </w:rPr>
      </w:pPr>
      <w:r w:rsidRPr="002D4D2D">
        <w:rPr>
          <w:rFonts w:eastAsia="Times New Roman" w:cs="Arial"/>
          <w:color w:val="000000"/>
          <w:lang w:eastAsia="bg-BG"/>
        </w:rPr>
        <w:t xml:space="preserve">Не е необходима промяна на началната доза при пациенти с лека бъбречна недостатъчност (т.е. креатининов клирънс 30-50 </w:t>
      </w:r>
      <w:r w:rsidRPr="002D4D2D">
        <w:rPr>
          <w:rFonts w:eastAsia="Times New Roman" w:cs="Arial"/>
          <w:color w:val="000000"/>
          <w:lang w:val="en-US"/>
        </w:rPr>
        <w:t xml:space="preserve">ml/min). </w:t>
      </w:r>
      <w:r w:rsidRPr="002D4D2D">
        <w:rPr>
          <w:rFonts w:eastAsia="Times New Roman" w:cs="Arial"/>
          <w:color w:val="000000"/>
          <w:lang w:eastAsia="bg-BG"/>
        </w:rPr>
        <w:t>Таблетките лосартан и хидрохлоротиазид не се  препоръчват при пациенти на хемодиализа. Таблетките лосартан/хидрохлоротиазид не трябва</w:t>
      </w:r>
      <w:r>
        <w:rPr>
          <w:rFonts w:eastAsia="Times New Roman" w:cs="Arial"/>
          <w:color w:val="000000"/>
          <w:lang w:eastAsia="bg-BG"/>
        </w:rPr>
        <w:t xml:space="preserve"> </w:t>
      </w:r>
      <w:r w:rsidRPr="002D4D2D">
        <w:rPr>
          <w:rFonts w:eastAsia="Times New Roman" w:cs="Arial"/>
          <w:color w:val="000000"/>
          <w:lang w:eastAsia="bg-BG"/>
        </w:rPr>
        <w:t xml:space="preserve">да се използват при пациенти с тежка бъбречна недостатъчност (т.е. креатининов клирънс &lt; 30 </w:t>
      </w:r>
      <w:r w:rsidRPr="002D4D2D">
        <w:rPr>
          <w:rFonts w:eastAsia="Times New Roman" w:cs="Arial"/>
          <w:color w:val="000000"/>
          <w:lang w:val="en-US"/>
        </w:rPr>
        <w:t xml:space="preserve">ml/min) </w:t>
      </w:r>
      <w:r w:rsidRPr="002D4D2D">
        <w:rPr>
          <w:rFonts w:eastAsia="Times New Roman" w:cs="Arial"/>
          <w:color w:val="000000"/>
          <w:lang w:eastAsia="bg-BG"/>
        </w:rPr>
        <w:t>(вж. точка 4.3).</w:t>
      </w:r>
    </w:p>
    <w:p w14:paraId="17060A35" w14:textId="77777777" w:rsidR="002D4D2D" w:rsidRPr="002D4D2D" w:rsidRDefault="002D4D2D" w:rsidP="002D4D2D">
      <w:pPr>
        <w:spacing w:line="240" w:lineRule="auto"/>
        <w:rPr>
          <w:rFonts w:eastAsia="Times New Roman" w:cs="Arial"/>
          <w:color w:val="000000"/>
          <w:u w:val="single"/>
          <w:lang w:eastAsia="bg-BG"/>
        </w:rPr>
      </w:pPr>
    </w:p>
    <w:p w14:paraId="244D9EAD" w14:textId="3FC58181"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u w:val="single"/>
          <w:lang w:eastAsia="bg-BG"/>
        </w:rPr>
        <w:t xml:space="preserve">Употреба при пациенти с </w:t>
      </w:r>
      <w:r w:rsidRPr="002D4D2D">
        <w:rPr>
          <w:rFonts w:eastAsia="Times New Roman" w:cs="Arial"/>
          <w:i/>
          <w:iCs/>
          <w:color w:val="000000"/>
          <w:u w:val="single"/>
          <w:lang w:eastAsia="bg-BG"/>
        </w:rPr>
        <w:t>намален</w:t>
      </w:r>
      <w:r w:rsidRPr="002D4D2D">
        <w:rPr>
          <w:rFonts w:eastAsia="Times New Roman" w:cs="Arial"/>
          <w:color w:val="000000"/>
          <w:u w:val="single"/>
          <w:lang w:eastAsia="bg-BG"/>
        </w:rPr>
        <w:t xml:space="preserve"> интраваскуларен обем</w:t>
      </w:r>
    </w:p>
    <w:p w14:paraId="50CD1D07"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Намалението на обема и/или изчерпването на натрия трябва да се коригират преди приложението на таблетки лосартан/ хидрохлоротиазид.</w:t>
      </w:r>
    </w:p>
    <w:p w14:paraId="02035B65" w14:textId="77777777" w:rsidR="002D4D2D" w:rsidRPr="002D4D2D" w:rsidRDefault="002D4D2D" w:rsidP="002D4D2D">
      <w:pPr>
        <w:spacing w:line="240" w:lineRule="auto"/>
        <w:rPr>
          <w:rFonts w:eastAsia="Times New Roman" w:cs="Arial"/>
          <w:color w:val="000000"/>
          <w:u w:val="single"/>
          <w:lang w:eastAsia="bg-BG"/>
        </w:rPr>
      </w:pPr>
    </w:p>
    <w:p w14:paraId="67DF68A3" w14:textId="5DC24CA6"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u w:val="single"/>
          <w:lang w:eastAsia="bg-BG"/>
        </w:rPr>
        <w:t>Употреба при пациенти с чернодробно увреждане</w:t>
      </w:r>
    </w:p>
    <w:p w14:paraId="00BE1FEB"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Лосартан/ хидрохлоротиазид не се препоръчва при пациенти с тежко чернодробно увреждане (вж. точка 4.3).</w:t>
      </w:r>
    </w:p>
    <w:p w14:paraId="06E87547" w14:textId="77777777" w:rsidR="002D4D2D" w:rsidRPr="002D4D2D" w:rsidRDefault="002D4D2D" w:rsidP="002D4D2D">
      <w:pPr>
        <w:spacing w:line="240" w:lineRule="auto"/>
        <w:rPr>
          <w:rFonts w:eastAsia="Times New Roman" w:cs="Arial"/>
          <w:color w:val="000000"/>
          <w:u w:val="single"/>
          <w:lang w:eastAsia="bg-BG"/>
        </w:rPr>
      </w:pPr>
    </w:p>
    <w:p w14:paraId="18DB20AA" w14:textId="55D5D20F"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u w:val="single"/>
          <w:lang w:eastAsia="bg-BG"/>
        </w:rPr>
        <w:t>Употреба при старческа възраст</w:t>
      </w:r>
    </w:p>
    <w:p w14:paraId="2980C645"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Обикновено не е необходима промяна на дозировката при пациенти в старческа възраст.</w:t>
      </w:r>
    </w:p>
    <w:p w14:paraId="3F43E208" w14:textId="77777777" w:rsidR="002D4D2D" w:rsidRPr="002D4D2D" w:rsidRDefault="002D4D2D" w:rsidP="002D4D2D">
      <w:pPr>
        <w:spacing w:line="240" w:lineRule="auto"/>
        <w:rPr>
          <w:rFonts w:eastAsia="Times New Roman" w:cs="Arial"/>
          <w:i/>
          <w:iCs/>
          <w:color w:val="000000"/>
          <w:u w:val="single"/>
          <w:lang w:eastAsia="bg-BG"/>
        </w:rPr>
      </w:pPr>
    </w:p>
    <w:p w14:paraId="4C42FFFF" w14:textId="1EE7D786"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u w:val="single"/>
          <w:lang w:eastAsia="bg-BG"/>
        </w:rPr>
        <w:t>Педиатрична популация</w:t>
      </w:r>
    </w:p>
    <w:p w14:paraId="4163C14D"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Няма опит от клинични изпитвания с деца и юноши </w:t>
      </w:r>
      <w:r w:rsidRPr="002D4D2D">
        <w:rPr>
          <w:rFonts w:eastAsia="Times New Roman" w:cs="Arial"/>
          <w:color w:val="000000"/>
          <w:u w:val="single"/>
          <w:lang w:eastAsia="bg-BG"/>
        </w:rPr>
        <w:t>( &lt; 18 години)</w:t>
      </w:r>
      <w:r w:rsidRPr="002D4D2D">
        <w:rPr>
          <w:rFonts w:eastAsia="Times New Roman" w:cs="Arial"/>
          <w:color w:val="000000"/>
          <w:lang w:eastAsia="bg-BG"/>
        </w:rPr>
        <w:t>. Следователно лосартан/хидрохлоротиазид не трябва да се прилага при деца и юноши.</w:t>
      </w:r>
    </w:p>
    <w:p w14:paraId="6D8E3AEB" w14:textId="77777777" w:rsidR="002D4D2D" w:rsidRPr="002D4D2D" w:rsidRDefault="002D4D2D" w:rsidP="002D4D2D">
      <w:pPr>
        <w:spacing w:line="240" w:lineRule="auto"/>
        <w:rPr>
          <w:rFonts w:eastAsia="Times New Roman" w:cs="Arial"/>
          <w:color w:val="000000"/>
          <w:u w:val="single"/>
          <w:lang w:eastAsia="bg-BG"/>
        </w:rPr>
      </w:pPr>
    </w:p>
    <w:p w14:paraId="2AFB7918" w14:textId="2A432925" w:rsidR="002D4D2D" w:rsidRPr="0038166B" w:rsidRDefault="002D4D2D" w:rsidP="0038166B">
      <w:pPr>
        <w:pStyle w:val="Heading3"/>
        <w:rPr>
          <w:rFonts w:eastAsia="Times New Roman"/>
          <w:u w:val="single"/>
          <w:lang w:eastAsia="bg-BG"/>
        </w:rPr>
      </w:pPr>
      <w:r w:rsidRPr="0038166B">
        <w:rPr>
          <w:rFonts w:eastAsia="Times New Roman"/>
          <w:u w:val="single"/>
          <w:lang w:eastAsia="bg-BG"/>
        </w:rPr>
        <w:t>Начин на приложение</w:t>
      </w:r>
    </w:p>
    <w:p w14:paraId="0C616A8F"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може да се прилага с други антихипертензивни средства (вж. точки 4.3,4.4,4.5 и 5.1).</w:t>
      </w:r>
    </w:p>
    <w:p w14:paraId="1041A574"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трябва да се приема с чаша вода.</w:t>
      </w:r>
    </w:p>
    <w:p w14:paraId="475300EC" w14:textId="4174FAC7" w:rsidR="0091385D" w:rsidRPr="002D4D2D" w:rsidRDefault="002D4D2D" w:rsidP="002D4D2D">
      <w:pPr>
        <w:rPr>
          <w:rFonts w:cs="Arial"/>
        </w:rPr>
      </w:pPr>
      <w:r w:rsidRPr="002D4D2D">
        <w:rPr>
          <w:rFonts w:eastAsia="Times New Roman" w:cs="Arial"/>
          <w:color w:val="000000"/>
          <w:lang w:eastAsia="bg-BG"/>
        </w:rPr>
        <w:t xml:space="preserve">Лориста </w:t>
      </w:r>
      <w:r w:rsidRPr="002D4D2D">
        <w:rPr>
          <w:rFonts w:eastAsia="Times New Roman" w:cs="Arial"/>
          <w:color w:val="000000"/>
          <w:lang w:val="en-US"/>
        </w:rPr>
        <w:t xml:space="preserve">HD </w:t>
      </w:r>
      <w:r w:rsidRPr="002D4D2D">
        <w:rPr>
          <w:rFonts w:eastAsia="Times New Roman" w:cs="Arial"/>
          <w:color w:val="000000"/>
          <w:lang w:eastAsia="bg-BG"/>
        </w:rPr>
        <w:t>може да се прилага със или без храна.</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CD2F4AF"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lastRenderedPageBreak/>
        <w:t>-Свръхчувствителност към лосартан, към вещества, производни на сулфонамидите (като хидрохлоротиазид) или към някое от помощните вещества, изброени в точка 6.1. -Терапевтично резистентна хипокалиемия или хиперкалциемия.</w:t>
      </w:r>
    </w:p>
    <w:p w14:paraId="34019732"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-Тежко чернодробно нарушение; холестаза и билиарни обструктивни нарушения.</w:t>
      </w:r>
    </w:p>
    <w:p w14:paraId="3C1226CA"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-Рефрактерна хипонатриемия.</w:t>
      </w:r>
    </w:p>
    <w:p w14:paraId="1F66F41E"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-Симптоматична хиперурикемия/подагра.</w:t>
      </w:r>
    </w:p>
    <w:p w14:paraId="4BAFE97B"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2</w:t>
      </w:r>
      <w:r w:rsidRPr="0038166B">
        <w:rPr>
          <w:rFonts w:eastAsia="Times New Roman" w:cs="Arial"/>
          <w:color w:val="000000"/>
          <w:vertAlign w:val="superscript"/>
          <w:lang w:eastAsia="bg-BG"/>
        </w:rPr>
        <w:t>ри</w:t>
      </w:r>
      <w:r w:rsidRPr="0038166B">
        <w:rPr>
          <w:rFonts w:eastAsia="Times New Roman" w:cs="Arial"/>
          <w:color w:val="000000"/>
          <w:lang w:eastAsia="bg-BG"/>
        </w:rPr>
        <w:t xml:space="preserve"> и 3</w:t>
      </w:r>
      <w:r w:rsidRPr="0038166B">
        <w:rPr>
          <w:rFonts w:eastAsia="Times New Roman" w:cs="Arial"/>
          <w:color w:val="000000"/>
          <w:vertAlign w:val="superscript"/>
          <w:lang w:eastAsia="bg-BG"/>
        </w:rPr>
        <w:t xml:space="preserve">ти </w:t>
      </w:r>
      <w:r w:rsidRPr="0038166B">
        <w:rPr>
          <w:rFonts w:eastAsia="Times New Roman" w:cs="Arial"/>
          <w:color w:val="000000"/>
          <w:lang w:eastAsia="bg-BG"/>
        </w:rPr>
        <w:t>триместри на бременността (вж. точки 4.4 и 4.6).</w:t>
      </w:r>
    </w:p>
    <w:p w14:paraId="369CF192"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 xml:space="preserve">-Тежко бъбречно нарушение (напр. креатининов клирънс &lt;30 </w:t>
      </w:r>
      <w:r w:rsidRPr="0038166B">
        <w:rPr>
          <w:rFonts w:eastAsia="Times New Roman" w:cs="Arial"/>
          <w:color w:val="000000"/>
          <w:lang w:val="en-US"/>
        </w:rPr>
        <w:t>ml/min).</w:t>
      </w:r>
    </w:p>
    <w:p w14:paraId="3DEC385E" w14:textId="77777777" w:rsidR="002D4D2D" w:rsidRPr="0038166B" w:rsidRDefault="002D4D2D" w:rsidP="002D4D2D">
      <w:pPr>
        <w:spacing w:line="240" w:lineRule="auto"/>
        <w:rPr>
          <w:rFonts w:eastAsia="Times New Roman" w:cs="Arial"/>
          <w:sz w:val="24"/>
          <w:szCs w:val="24"/>
          <w:lang w:eastAsia="bg-BG"/>
        </w:rPr>
      </w:pPr>
      <w:r w:rsidRPr="0038166B">
        <w:rPr>
          <w:rFonts w:eastAsia="Times New Roman" w:cs="Arial"/>
          <w:color w:val="000000"/>
          <w:lang w:eastAsia="bg-BG"/>
        </w:rPr>
        <w:t>-Анурия.</w:t>
      </w:r>
    </w:p>
    <w:p w14:paraId="2309EAB0" w14:textId="2A3B4F2F" w:rsidR="0091385D" w:rsidRPr="0038166B" w:rsidRDefault="002D4D2D" w:rsidP="002D4D2D">
      <w:pPr>
        <w:rPr>
          <w:rFonts w:cs="Arial"/>
        </w:rPr>
      </w:pPr>
      <w:r w:rsidRPr="0038166B">
        <w:rPr>
          <w:rFonts w:eastAsia="Times New Roman" w:cs="Arial"/>
          <w:color w:val="000000"/>
          <w:lang w:eastAsia="bg-BG"/>
        </w:rPr>
        <w:t xml:space="preserve">-Едновременната употреба на Лориста </w:t>
      </w:r>
      <w:r w:rsidRPr="0038166B">
        <w:rPr>
          <w:rFonts w:eastAsia="Times New Roman" w:cs="Arial"/>
          <w:color w:val="000000"/>
          <w:lang w:val="en-US"/>
        </w:rPr>
        <w:t xml:space="preserve">HD </w:t>
      </w:r>
      <w:r w:rsidRPr="0038166B">
        <w:rPr>
          <w:rFonts w:eastAsia="Times New Roman" w:cs="Arial"/>
          <w:color w:val="000000"/>
          <w:lang w:eastAsia="bg-BG"/>
        </w:rPr>
        <w:t xml:space="preserve">с алискирен-съдържащи продукти е противопоказана при пациенти със захарен диабет или бъбречно увреждане </w:t>
      </w:r>
      <w:r w:rsidRPr="0038166B">
        <w:rPr>
          <w:rFonts w:eastAsia="Times New Roman" w:cs="Arial"/>
          <w:color w:val="000000"/>
          <w:lang w:val="en-US"/>
        </w:rPr>
        <w:t xml:space="preserve">(GFR </w:t>
      </w:r>
      <w:r w:rsidRPr="0038166B">
        <w:rPr>
          <w:rFonts w:eastAsia="Times New Roman" w:cs="Arial"/>
          <w:color w:val="000000"/>
          <w:lang w:eastAsia="bg-BG"/>
        </w:rPr>
        <w:t xml:space="preserve">&lt; 60 </w:t>
      </w:r>
      <w:r w:rsidRPr="0038166B">
        <w:rPr>
          <w:rFonts w:eastAsia="Times New Roman" w:cs="Arial"/>
          <w:color w:val="000000"/>
          <w:lang w:val="en-US"/>
        </w:rPr>
        <w:t>ml/min/1,73 m</w:t>
      </w:r>
      <w:r w:rsidRPr="0038166B">
        <w:rPr>
          <w:rFonts w:eastAsia="Times New Roman" w:cs="Arial"/>
          <w:color w:val="000000"/>
          <w:vertAlign w:val="superscript"/>
          <w:lang w:val="en-US"/>
        </w:rPr>
        <w:t>2</w:t>
      </w:r>
      <w:r w:rsidRPr="0038166B">
        <w:rPr>
          <w:rFonts w:eastAsia="Times New Roman" w:cs="Arial"/>
          <w:color w:val="000000"/>
          <w:lang w:val="en-US"/>
        </w:rPr>
        <w:t xml:space="preserve">) </w:t>
      </w:r>
      <w:r w:rsidRPr="0038166B">
        <w:rPr>
          <w:rFonts w:eastAsia="Times New Roman" w:cs="Arial"/>
          <w:color w:val="000000"/>
          <w:lang w:eastAsia="bg-BG"/>
        </w:rPr>
        <w:t>(вж. точки 4.5 и 5.1).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70C19804"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u w:val="single"/>
          <w:lang w:eastAsia="bg-BG"/>
        </w:rPr>
        <w:t>Лосартан</w:t>
      </w:r>
    </w:p>
    <w:p w14:paraId="534D4D78" w14:textId="77777777" w:rsidR="002D4D2D" w:rsidRPr="002D4D2D" w:rsidRDefault="002D4D2D" w:rsidP="002D4D2D">
      <w:pPr>
        <w:spacing w:line="240" w:lineRule="auto"/>
        <w:rPr>
          <w:rFonts w:eastAsia="Times New Roman" w:cs="Arial"/>
          <w:i/>
          <w:iCs/>
          <w:color w:val="000000"/>
          <w:lang w:eastAsia="bg-BG"/>
        </w:rPr>
      </w:pPr>
    </w:p>
    <w:p w14:paraId="4DF1D4A7" w14:textId="00FBB4A2"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Ангиоедем</w:t>
      </w:r>
    </w:p>
    <w:p w14:paraId="5177E69B"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Пациенти с анамнеза за ангиоедем (подуване на лицето, устните, гърлото и/или езика) трябва да бъдат внимателно наблюдавани (вж. точка 4.8).</w:t>
      </w:r>
    </w:p>
    <w:p w14:paraId="1B009909" w14:textId="77777777" w:rsidR="002D4D2D" w:rsidRPr="002D4D2D" w:rsidRDefault="002D4D2D" w:rsidP="002D4D2D">
      <w:pPr>
        <w:spacing w:line="240" w:lineRule="auto"/>
        <w:rPr>
          <w:rFonts w:eastAsia="Times New Roman" w:cs="Arial"/>
          <w:i/>
          <w:iCs/>
          <w:color w:val="000000"/>
          <w:lang w:eastAsia="bg-BG"/>
        </w:rPr>
      </w:pPr>
    </w:p>
    <w:p w14:paraId="7FD69D46" w14:textId="638907E4"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Хипотония и намаление на интраваскуларния обем</w:t>
      </w:r>
    </w:p>
    <w:p w14:paraId="0B3BEE35" w14:textId="675C85E1" w:rsidR="0091385D" w:rsidRPr="002D4D2D" w:rsidRDefault="002D4D2D" w:rsidP="002D4D2D">
      <w:pPr>
        <w:rPr>
          <w:rFonts w:cs="Arial"/>
        </w:rPr>
      </w:pPr>
      <w:r w:rsidRPr="002D4D2D">
        <w:rPr>
          <w:rFonts w:eastAsia="Times New Roman" w:cs="Arial"/>
          <w:color w:val="000000"/>
          <w:lang w:eastAsia="bg-BG"/>
        </w:rPr>
        <w:t>Може да се появи симптоматична хипотония, особено след първата доза, при пациенти, които имат намален обем и/или натрий от лечение с мощни диуретици, ограничена на сол диета, диария или повръщане. Такива състояния трябва да се коригират преди приложението на таблетките лосартан/ хидрохлоротиазид (вж. точки 4.2. и 4.3.).</w:t>
      </w:r>
    </w:p>
    <w:p w14:paraId="24E3E82F" w14:textId="57A1CB49" w:rsidR="0091385D" w:rsidRPr="002D4D2D" w:rsidRDefault="0091385D" w:rsidP="0091385D">
      <w:pPr>
        <w:rPr>
          <w:rFonts w:cs="Arial"/>
        </w:rPr>
      </w:pPr>
    </w:p>
    <w:p w14:paraId="75009AE4" w14:textId="71DF5FBE" w:rsidR="002D4D2D" w:rsidRPr="002D4D2D" w:rsidRDefault="002D4D2D" w:rsidP="0091385D">
      <w:pPr>
        <w:rPr>
          <w:rFonts w:cs="Arial"/>
          <w:i/>
        </w:rPr>
      </w:pPr>
      <w:r w:rsidRPr="002D4D2D">
        <w:rPr>
          <w:rFonts w:cs="Arial"/>
          <w:i/>
        </w:rPr>
        <w:t>Електролитен дисбаланс</w:t>
      </w:r>
    </w:p>
    <w:p w14:paraId="5D23AE50" w14:textId="77777777" w:rsidR="002D4D2D" w:rsidRPr="002D4D2D" w:rsidRDefault="002D4D2D" w:rsidP="002D4D2D">
      <w:pPr>
        <w:rPr>
          <w:rFonts w:eastAsia="Times New Roman" w:cs="Arial"/>
          <w:sz w:val="24"/>
          <w:szCs w:val="24"/>
          <w:lang w:eastAsia="bg-BG"/>
        </w:rPr>
      </w:pPr>
      <w:r w:rsidRPr="002D4D2D">
        <w:rPr>
          <w:rFonts w:cs="Arial"/>
        </w:rPr>
        <w:t xml:space="preserve">Електролитните дисбалански са чести при пациенти с бъбречни нарушения, с или без диабет и трябва да се внимава. Поради това стойностите на плазмените концентрации на калий </w:t>
      </w:r>
      <w:r w:rsidRPr="002D4D2D">
        <w:rPr>
          <w:rFonts w:eastAsia="Times New Roman" w:cs="Arial"/>
          <w:color w:val="000000"/>
          <w:lang w:eastAsia="bg-BG"/>
        </w:rPr>
        <w:t xml:space="preserve">креатининовия клирънс трябва да бъдат непрекъснато наблюдавани, особено при пациенти със сърдечна недостатъчност </w:t>
      </w:r>
      <w:r w:rsidRPr="002D4D2D">
        <w:rPr>
          <w:rFonts w:eastAsia="Times New Roman" w:cs="Arial"/>
          <w:i/>
          <w:iCs/>
          <w:color w:val="000000"/>
          <w:lang w:eastAsia="bg-BG"/>
        </w:rPr>
        <w:t>и</w:t>
      </w:r>
      <w:r w:rsidRPr="002D4D2D">
        <w:rPr>
          <w:rFonts w:eastAsia="Times New Roman" w:cs="Arial"/>
          <w:color w:val="000000"/>
          <w:lang w:eastAsia="bg-BG"/>
        </w:rPr>
        <w:t xml:space="preserve"> креатининов клирънс </w:t>
      </w:r>
      <w:r w:rsidRPr="002D4D2D">
        <w:rPr>
          <w:rFonts w:eastAsia="Times New Roman" w:cs="Arial"/>
          <w:iCs/>
          <w:color w:val="000000"/>
          <w:lang w:eastAsia="bg-BG"/>
        </w:rPr>
        <w:t xml:space="preserve">30-50 </w:t>
      </w:r>
      <w:r w:rsidRPr="002D4D2D">
        <w:rPr>
          <w:rFonts w:eastAsia="Times New Roman" w:cs="Arial"/>
          <w:iCs/>
          <w:color w:val="000000"/>
          <w:lang w:val="en-US"/>
        </w:rPr>
        <w:t>ml/min</w:t>
      </w:r>
      <w:r w:rsidRPr="002D4D2D">
        <w:rPr>
          <w:rFonts w:eastAsia="Times New Roman" w:cs="Arial"/>
          <w:i/>
          <w:iCs/>
          <w:color w:val="000000"/>
          <w:lang w:val="en-US"/>
        </w:rPr>
        <w:t>.</w:t>
      </w:r>
    </w:p>
    <w:p w14:paraId="3CE30A34"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Едновременното приложение на калий-съхраняващи диуретици, калиеви добавки, калий- съдържащи заместители на солта или други лекарства, които могат да повишат серумния калий (напр. продукти, съдържащи триметоприм) заедно с лосартан не се препоръчва (вж. точка 4.5).</w:t>
      </w:r>
    </w:p>
    <w:p w14:paraId="6A4ED468" w14:textId="77777777" w:rsidR="002D4D2D" w:rsidRDefault="002D4D2D" w:rsidP="002D4D2D">
      <w:pPr>
        <w:spacing w:line="240" w:lineRule="auto"/>
        <w:rPr>
          <w:rFonts w:ascii="Times New Roman" w:eastAsia="Times New Roman" w:hAnsi="Times New Roman" w:cs="Times New Roman"/>
          <w:i/>
          <w:iCs/>
          <w:color w:val="000000"/>
          <w:lang w:eastAsia="bg-BG"/>
        </w:rPr>
      </w:pPr>
    </w:p>
    <w:p w14:paraId="6D0B503E" w14:textId="74BF4F3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Увреждане на чернодробната функция</w:t>
      </w:r>
    </w:p>
    <w:p w14:paraId="6612552E"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На базата на фармакокинетични данни, които показват значително повишение на плазмените концентрации на лосартан при пациенти с цироза, лосартан/ хидрохлоротиазид трябва да се използва с повишено внимание при пациенти с анамнеза за леко до средно чернодробно увреждане. Няма терапевтичен опит за употребата на лосартан при пациенти с тежко чернодробно увреждане. Следователно лосартан/ хидрохлоротиазид е противопоказан при пациенти с тежко чернодробно увреждане (вж. точки 4.2,4.3 и 5.2).</w:t>
      </w:r>
    </w:p>
    <w:p w14:paraId="3E52421E" w14:textId="77777777" w:rsidR="002D4D2D" w:rsidRDefault="002D4D2D" w:rsidP="002D4D2D">
      <w:pPr>
        <w:spacing w:line="240" w:lineRule="auto"/>
        <w:rPr>
          <w:rFonts w:ascii="Times New Roman" w:eastAsia="Times New Roman" w:hAnsi="Times New Roman" w:cs="Times New Roman"/>
          <w:i/>
          <w:iCs/>
          <w:color w:val="000000"/>
          <w:lang w:eastAsia="bg-BG"/>
        </w:rPr>
      </w:pPr>
    </w:p>
    <w:p w14:paraId="685AACE3" w14:textId="5C0170D3"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Увреждане на бъбречната функция</w:t>
      </w:r>
    </w:p>
    <w:p w14:paraId="79A75EDF"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Съобщени са промени в бъбречната функция, включително и бъбречна недостатъчност, като следствие от инхибицията на системата ренин-ангиотензин-алдостерон (най-вече </w:t>
      </w:r>
      <w:r w:rsidRPr="002D4D2D">
        <w:rPr>
          <w:rFonts w:eastAsia="Times New Roman" w:cs="Arial"/>
          <w:color w:val="000000"/>
          <w:lang w:eastAsia="bg-BG"/>
        </w:rPr>
        <w:lastRenderedPageBreak/>
        <w:t>при пациенти, чиято бъбречна функция</w:t>
      </w:r>
      <w:r w:rsidRPr="002D4D2D">
        <w:rPr>
          <w:rFonts w:ascii="Times New Roman" w:eastAsia="Times New Roman" w:hAnsi="Times New Roman" w:cs="Times New Roman"/>
          <w:color w:val="000000"/>
          <w:lang w:eastAsia="bg-BG"/>
        </w:rPr>
        <w:t xml:space="preserve"> </w:t>
      </w:r>
      <w:r w:rsidRPr="002D4D2D">
        <w:rPr>
          <w:rFonts w:eastAsia="Times New Roman" w:cs="Arial"/>
          <w:color w:val="000000"/>
          <w:lang w:eastAsia="bg-BG"/>
        </w:rPr>
        <w:t>зависи от системата ренин-ангиотензин-алдостерон, като такива с тежка сърдечна недостатъчност или предварително съществуващо бъбречно нарушение). Подобно на други лекарства, които повлияват системата ренин-ангиотензин-алдостерон е съобщено повишение на кръвната урея и серумния креатинин при пациенти с двустранна стеноза на бъбречната артерия или със стеноза на артерията на единствен бъбрек; тези промени на бъбречната функция може да са обратими при прекратяване на лечението. Лосартан трябва да се използва с повишено внимание при пациенти с двустранна стеноза на бъбречната артерия или със стеноза на артерията на единствен бъбрек.</w:t>
      </w:r>
    </w:p>
    <w:p w14:paraId="2ACB8030" w14:textId="77777777" w:rsidR="002D4D2D" w:rsidRPr="002D4D2D" w:rsidRDefault="002D4D2D" w:rsidP="002D4D2D">
      <w:pPr>
        <w:spacing w:line="240" w:lineRule="auto"/>
        <w:rPr>
          <w:rFonts w:eastAsia="Times New Roman" w:cs="Arial"/>
          <w:i/>
          <w:iCs/>
          <w:color w:val="000000"/>
          <w:lang w:eastAsia="bg-BG"/>
        </w:rPr>
      </w:pPr>
    </w:p>
    <w:p w14:paraId="24EF8C1F" w14:textId="324F646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Бъбречна трансплантация</w:t>
      </w:r>
    </w:p>
    <w:p w14:paraId="14DF4586"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Няма опит при пациенти с неотдавнашна бъбречна трансплантация.</w:t>
      </w:r>
    </w:p>
    <w:p w14:paraId="7170FE59" w14:textId="77777777" w:rsidR="002D4D2D" w:rsidRPr="002D4D2D" w:rsidRDefault="002D4D2D" w:rsidP="002D4D2D">
      <w:pPr>
        <w:spacing w:line="240" w:lineRule="auto"/>
        <w:rPr>
          <w:rFonts w:eastAsia="Times New Roman" w:cs="Arial"/>
          <w:i/>
          <w:iCs/>
          <w:color w:val="000000"/>
          <w:lang w:eastAsia="bg-BG"/>
        </w:rPr>
      </w:pPr>
    </w:p>
    <w:p w14:paraId="547AEB5D" w14:textId="35BEBD4D"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Първичен хипералдостеронизъм</w:t>
      </w:r>
    </w:p>
    <w:p w14:paraId="0AA425C8"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Пациенти с първичен хипералдостеронизъм обикновено не отговарят на антихипертензивни медикаменти, действащи чрез потискане на ренин-ангиотензин системата. Поради това използването на таблетки лосартан/ хидрохлоротиазид не се препоръчва.</w:t>
      </w:r>
    </w:p>
    <w:p w14:paraId="154290EE" w14:textId="77777777" w:rsidR="002D4D2D" w:rsidRPr="002D4D2D" w:rsidRDefault="002D4D2D" w:rsidP="002D4D2D">
      <w:pPr>
        <w:spacing w:line="240" w:lineRule="auto"/>
        <w:rPr>
          <w:rFonts w:eastAsia="Times New Roman" w:cs="Arial"/>
          <w:i/>
          <w:iCs/>
          <w:color w:val="000000"/>
          <w:lang w:eastAsia="bg-BG"/>
        </w:rPr>
      </w:pPr>
    </w:p>
    <w:p w14:paraId="564A18B6" w14:textId="023DBB2E"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Коронарно сърдечно заболяване и цереброваскуларна болест</w:t>
      </w:r>
    </w:p>
    <w:p w14:paraId="73A2DAA7"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Както при всеки антихипертензивен продукт, прекомерното понижение на кръвното налягане при пациенти с исхемична сърдечносъдова болест и мозъчносъдова болест може да причини инфаркт на миокарда или инсулт.</w:t>
      </w:r>
    </w:p>
    <w:p w14:paraId="30121E8A" w14:textId="77777777" w:rsidR="002D4D2D" w:rsidRPr="002D4D2D" w:rsidRDefault="002D4D2D" w:rsidP="002D4D2D">
      <w:pPr>
        <w:spacing w:line="240" w:lineRule="auto"/>
        <w:rPr>
          <w:rFonts w:eastAsia="Times New Roman" w:cs="Arial"/>
          <w:i/>
          <w:iCs/>
          <w:color w:val="000000"/>
          <w:lang w:eastAsia="bg-BG"/>
        </w:rPr>
      </w:pPr>
    </w:p>
    <w:p w14:paraId="49AB1F05" w14:textId="6D71568C"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Сърдечна недостатъчност</w:t>
      </w:r>
    </w:p>
    <w:p w14:paraId="44D1E173"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При пациенти със сърдечна недостатъчност, с или без бъбречно увреждане, съществува - както и при други лекарства действащи на системата ренин-ангиотензин, риск от тежка артериална хипотония и (често остро) бъбречно увреждане.</w:t>
      </w:r>
    </w:p>
    <w:p w14:paraId="6DD89D03" w14:textId="77777777" w:rsidR="002D4D2D" w:rsidRPr="002D4D2D" w:rsidRDefault="002D4D2D" w:rsidP="002D4D2D">
      <w:pPr>
        <w:spacing w:line="240" w:lineRule="auto"/>
        <w:rPr>
          <w:rFonts w:eastAsia="Times New Roman" w:cs="Arial"/>
          <w:i/>
          <w:iCs/>
          <w:color w:val="000000"/>
          <w:lang w:eastAsia="bg-BG"/>
        </w:rPr>
      </w:pPr>
    </w:p>
    <w:p w14:paraId="42C2E26D" w14:textId="422A5A5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 xml:space="preserve">Стеноза на аортна и митрална клапа, обструктивна хипертрофична кардиомиопатия </w:t>
      </w:r>
      <w:r w:rsidRPr="002D4D2D">
        <w:rPr>
          <w:rFonts w:eastAsia="Times New Roman" w:cs="Arial"/>
          <w:color w:val="000000"/>
          <w:lang w:eastAsia="bg-BG"/>
        </w:rPr>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370CD46A" w14:textId="77777777" w:rsidR="002D4D2D" w:rsidRPr="002D4D2D" w:rsidRDefault="002D4D2D" w:rsidP="002D4D2D">
      <w:pPr>
        <w:spacing w:line="240" w:lineRule="auto"/>
        <w:rPr>
          <w:rFonts w:eastAsia="Times New Roman" w:cs="Arial"/>
          <w:i/>
          <w:iCs/>
          <w:color w:val="000000"/>
          <w:lang w:eastAsia="bg-BG"/>
        </w:rPr>
      </w:pPr>
    </w:p>
    <w:p w14:paraId="49754DC8" w14:textId="2A0C5B0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Етнически различия</w:t>
      </w:r>
    </w:p>
    <w:p w14:paraId="3435D7DC"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Както е наблюдавано при инхибиторите на ангиотензин-конвертиращия ензим, лосартан и другите антагонисти на ангиотензина, са очевидно по-малко ефективни за намаляване на кръвното налягане при чернокожи, отколкото при не-чернокожи, вероятно поради по-голямото преобладаване на състояния на намален ренин в популацията на чернокожи с хипертония</w:t>
      </w:r>
    </w:p>
    <w:p w14:paraId="5A27575D" w14:textId="77777777" w:rsidR="002D4D2D" w:rsidRPr="002D4D2D" w:rsidRDefault="002D4D2D" w:rsidP="002D4D2D">
      <w:pPr>
        <w:rPr>
          <w:rFonts w:eastAsia="Times New Roman" w:cs="Arial"/>
          <w:i/>
          <w:iCs/>
          <w:color w:val="000000"/>
          <w:lang w:eastAsia="bg-BG"/>
        </w:rPr>
      </w:pPr>
    </w:p>
    <w:p w14:paraId="21690239" w14:textId="16DA9232" w:rsidR="002D4D2D" w:rsidRPr="002D4D2D" w:rsidRDefault="002D4D2D" w:rsidP="002D4D2D">
      <w:pPr>
        <w:rPr>
          <w:rFonts w:cs="Arial"/>
        </w:rPr>
      </w:pPr>
      <w:r w:rsidRPr="002D4D2D">
        <w:rPr>
          <w:rFonts w:eastAsia="Times New Roman" w:cs="Arial"/>
          <w:i/>
          <w:iCs/>
          <w:color w:val="000000"/>
          <w:lang w:eastAsia="bg-BG"/>
        </w:rPr>
        <w:t>Бременност</w:t>
      </w:r>
    </w:p>
    <w:p w14:paraId="04AC6071" w14:textId="0AB6FE39" w:rsidR="002D4D2D" w:rsidRPr="002D4D2D" w:rsidRDefault="002D4D2D" w:rsidP="002D4D2D">
      <w:pPr>
        <w:spacing w:line="240" w:lineRule="auto"/>
        <w:rPr>
          <w:rFonts w:eastAsia="Times New Roman" w:cs="Arial"/>
          <w:sz w:val="24"/>
          <w:szCs w:val="24"/>
          <w:lang w:eastAsia="bg-BG"/>
        </w:rPr>
      </w:pPr>
      <w:r>
        <w:rPr>
          <w:rFonts w:eastAsia="Times New Roman" w:cs="Arial"/>
          <w:color w:val="000000"/>
          <w:lang w:eastAsia="bg-BG"/>
        </w:rPr>
        <w:t>А</w:t>
      </w:r>
      <w:r>
        <w:rPr>
          <w:rFonts w:cs="Arial"/>
          <w:color w:val="333333"/>
          <w:shd w:val="clear" w:color="auto" w:fill="FFFFFF"/>
        </w:rPr>
        <w:t>II</w:t>
      </w:r>
      <w:r w:rsidRPr="002D4D2D">
        <w:rPr>
          <w:rFonts w:eastAsia="Times New Roman" w:cs="Arial"/>
          <w:color w:val="000000"/>
          <w:lang w:eastAsia="bg-BG"/>
        </w:rPr>
        <w:t>РБ не трябва да се започват по време на бременност. Освен в случай, когато терапията се счита за крайно необходима, пациентките, планиращи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w:t>
      </w:r>
      <w:r>
        <w:rPr>
          <w:rFonts w:eastAsia="Times New Roman" w:cs="Arial"/>
          <w:color w:val="000000"/>
          <w:lang w:eastAsia="bg-BG"/>
        </w:rPr>
        <w:t>ицира бременност, лечението с А</w:t>
      </w:r>
      <w:r>
        <w:rPr>
          <w:rFonts w:cs="Arial"/>
          <w:color w:val="333333"/>
          <w:shd w:val="clear" w:color="auto" w:fill="FFFFFF"/>
        </w:rPr>
        <w:t>II</w:t>
      </w:r>
      <w:r w:rsidRPr="002D4D2D">
        <w:rPr>
          <w:rFonts w:eastAsia="Times New Roman" w:cs="Arial"/>
          <w:color w:val="000000"/>
          <w:lang w:eastAsia="bg-BG"/>
        </w:rPr>
        <w:t>РБ трябва да бъде преустановено незабавно и, ако е уместно, трябва да се започне алтернативна терапия (вж. точки 4.3 и 4.6).</w:t>
      </w:r>
    </w:p>
    <w:p w14:paraId="35542611" w14:textId="77777777" w:rsidR="002D4D2D" w:rsidRPr="002D4D2D" w:rsidRDefault="002D4D2D" w:rsidP="002D4D2D">
      <w:pPr>
        <w:spacing w:line="240" w:lineRule="auto"/>
        <w:rPr>
          <w:rFonts w:eastAsia="Times New Roman" w:cs="Arial"/>
          <w:i/>
          <w:iCs/>
          <w:color w:val="000000"/>
          <w:lang w:eastAsia="bg-BG"/>
        </w:rPr>
      </w:pPr>
    </w:p>
    <w:p w14:paraId="63FC79D5" w14:textId="5BADCB11"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Двойно блокиране на ренин ангиотензин -алдостероновата система (РААС)</w:t>
      </w:r>
    </w:p>
    <w:p w14:paraId="67DAD5B7"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lastRenderedPageBreak/>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5145B88D"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AC5E8B6"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0FC727B3" w14:textId="77777777" w:rsidR="002D4D2D" w:rsidRPr="002D4D2D" w:rsidRDefault="002D4D2D" w:rsidP="002D4D2D">
      <w:pPr>
        <w:spacing w:line="240" w:lineRule="auto"/>
        <w:rPr>
          <w:rFonts w:eastAsia="Times New Roman" w:cs="Arial"/>
          <w:color w:val="000000"/>
          <w:u w:val="single"/>
          <w:lang w:eastAsia="bg-BG"/>
        </w:rPr>
      </w:pPr>
    </w:p>
    <w:p w14:paraId="157D991D" w14:textId="784525C6"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u w:val="single"/>
          <w:lang w:eastAsia="bg-BG"/>
        </w:rPr>
        <w:t>Хидрохлоротиазид</w:t>
      </w:r>
    </w:p>
    <w:p w14:paraId="0166B155" w14:textId="77777777" w:rsidR="002D4D2D" w:rsidRPr="002D4D2D" w:rsidRDefault="002D4D2D" w:rsidP="002D4D2D">
      <w:pPr>
        <w:spacing w:line="240" w:lineRule="auto"/>
        <w:rPr>
          <w:rFonts w:eastAsia="Times New Roman" w:cs="Arial"/>
          <w:i/>
          <w:iCs/>
          <w:color w:val="000000"/>
          <w:lang w:eastAsia="bg-BG"/>
        </w:rPr>
      </w:pPr>
    </w:p>
    <w:p w14:paraId="0E679EEB" w14:textId="0AB5F438"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Хипотония и електролитен/воден дисбаланс</w:t>
      </w:r>
    </w:p>
    <w:p w14:paraId="38484562"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Както при всяка антихипертензивна терапия, при някои пациенти може да се появи симптоматична хипотония. Пациентите следва да се наблюдават за клинични признаци на електролитен или воден дисбаланс, напр. хиповолемия, хипонатриемия, хипохлоремична алкалоза, хипомагнезиемия или хипокалиемия, които може да се появят при междувременна диария или повръщане. При такива пациенти трябва да се извършва периодично определяне на електролитите през подходящи интервали. Дилуционна хипонатриемия може да възникне при едематозни пациенти в горещо време.</w:t>
      </w:r>
    </w:p>
    <w:p w14:paraId="2757342C" w14:textId="77777777" w:rsidR="002D4D2D" w:rsidRPr="002D4D2D" w:rsidRDefault="002D4D2D" w:rsidP="002D4D2D">
      <w:pPr>
        <w:spacing w:line="240" w:lineRule="auto"/>
        <w:rPr>
          <w:rFonts w:eastAsia="Times New Roman" w:cs="Arial"/>
          <w:i/>
          <w:iCs/>
          <w:color w:val="000000"/>
          <w:lang w:eastAsia="bg-BG"/>
        </w:rPr>
      </w:pPr>
    </w:p>
    <w:p w14:paraId="479A9A4A" w14:textId="49323CE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Метаболитни и ендокринни ефекти</w:t>
      </w:r>
    </w:p>
    <w:p w14:paraId="111DF2FC"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Тиазидната терапия може да наруши глюкозния толеранс. Възможно е да се наложи промяна в дозировките на антидиабетни лекарства, включително на инсулин (вж. точка 4.5). По време на лечението с тиазиди може да се прояви латентен захарен диабет.</w:t>
      </w:r>
    </w:p>
    <w:p w14:paraId="44FF68D1"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Тиазидите могат да намалят уринната екскреция на калций и да причинят слабо и временно покачване на серумния калций. Значителна хиперкалцемия може да бъде доказателство за скрит хиперпаратиреоидизъм. Тиазидите трябва да се спрат преди провеждането на тестовете за паратироидната функция.</w:t>
      </w:r>
    </w:p>
    <w:p w14:paraId="1564E768"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Увеличение на нивата на холестерола и триглицеридите може да бъде свързано с терапията с тиазидни диуретици.</w:t>
      </w:r>
    </w:p>
    <w:p w14:paraId="5B0E2D36"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Тиазидната терапия може да предизвика хиперурикемия и/или подагра при определени пациенти. Понеже лосартан намалява пикочната киселина, в комбинация с хидрохлоротиазид, той отслабва причинената от диуретика хиперурикемия.</w:t>
      </w:r>
    </w:p>
    <w:p w14:paraId="64E6F0EF" w14:textId="77777777" w:rsidR="002D4D2D" w:rsidRPr="002D4D2D" w:rsidRDefault="002D4D2D" w:rsidP="002D4D2D">
      <w:pPr>
        <w:spacing w:line="240" w:lineRule="auto"/>
        <w:rPr>
          <w:rFonts w:eastAsia="Times New Roman" w:cs="Arial"/>
          <w:i/>
          <w:iCs/>
          <w:color w:val="000000"/>
          <w:lang w:eastAsia="bg-BG"/>
        </w:rPr>
      </w:pPr>
    </w:p>
    <w:p w14:paraId="49E965CE" w14:textId="5779560C"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Чернодробно увреждане</w:t>
      </w:r>
    </w:p>
    <w:p w14:paraId="19F36CF9"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Тиазидите трябва да се използват с повишено внимание при пациенти с нарушена чернодробна функция или прогресиращо чернодробно заболяване, тъй като може да причини интрахелатална холестаза и след това малки колебания във водния и електролитния баланс може да ускорят появата на чернодробна кома. Лосартан/ хидрохлоротиазид е противопоказан при пациенти с тежко чернодробно увреждане (вж. точки 4.3 и 5.2).</w:t>
      </w:r>
    </w:p>
    <w:p w14:paraId="2AA85DD5" w14:textId="77777777" w:rsidR="002D4D2D" w:rsidRPr="002D4D2D" w:rsidRDefault="002D4D2D" w:rsidP="002D4D2D">
      <w:pPr>
        <w:spacing w:line="240" w:lineRule="auto"/>
        <w:rPr>
          <w:rFonts w:eastAsia="Times New Roman" w:cs="Arial"/>
          <w:sz w:val="24"/>
          <w:szCs w:val="24"/>
          <w:lang w:eastAsia="bg-BG"/>
        </w:rPr>
      </w:pPr>
    </w:p>
    <w:p w14:paraId="2CAA1C86" w14:textId="182471E6" w:rsidR="002D4D2D" w:rsidRPr="002D4D2D" w:rsidRDefault="002D4D2D" w:rsidP="002D4D2D">
      <w:pPr>
        <w:rPr>
          <w:rFonts w:cs="Arial"/>
        </w:rPr>
      </w:pPr>
      <w:r w:rsidRPr="002D4D2D">
        <w:rPr>
          <w:rFonts w:eastAsia="Times New Roman" w:cs="Arial"/>
          <w:i/>
          <w:iCs/>
          <w:color w:val="000000"/>
          <w:lang w:eastAsia="bg-BG"/>
        </w:rPr>
        <w:t>Немеланомен рак на кожата</w:t>
      </w:r>
    </w:p>
    <w:p w14:paraId="782F5C36" w14:textId="294397AA" w:rsidR="002D4D2D" w:rsidRDefault="002D4D2D" w:rsidP="0091385D"/>
    <w:p w14:paraId="1E2E4AC3"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70F6D19C"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lastRenderedPageBreak/>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FFBEE72" w14:textId="77777777" w:rsidR="002D4D2D" w:rsidRPr="002D4D2D" w:rsidRDefault="002D4D2D" w:rsidP="002D4D2D">
      <w:pPr>
        <w:spacing w:line="240" w:lineRule="auto"/>
        <w:rPr>
          <w:rFonts w:eastAsia="Times New Roman" w:cs="Arial"/>
          <w:i/>
          <w:iCs/>
          <w:color w:val="000000"/>
          <w:lang w:eastAsia="bg-BG"/>
        </w:rPr>
      </w:pPr>
    </w:p>
    <w:p w14:paraId="47D44568" w14:textId="59334C1E"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Остра респираторна токсичност</w:t>
      </w:r>
    </w:p>
    <w:p w14:paraId="35778AD0"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Лориста </w:t>
      </w:r>
      <w:r w:rsidRPr="002D4D2D">
        <w:rPr>
          <w:rFonts w:eastAsia="Times New Roman" w:cs="Arial"/>
          <w:color w:val="000000"/>
          <w:lang w:val="en-US"/>
        </w:rPr>
        <w:t xml:space="preserve">HD </w:t>
      </w:r>
      <w:r w:rsidRPr="002D4D2D">
        <w:rPr>
          <w:rFonts w:eastAsia="Times New Roman" w:cs="Arial"/>
          <w:color w:val="000000"/>
          <w:lang w:eastAsia="bg-BG"/>
        </w:rPr>
        <w:t>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CC83F5A" w14:textId="77777777" w:rsidR="002D4D2D" w:rsidRPr="002D4D2D" w:rsidRDefault="002D4D2D" w:rsidP="002D4D2D">
      <w:pPr>
        <w:spacing w:line="240" w:lineRule="auto"/>
        <w:rPr>
          <w:rFonts w:eastAsia="Times New Roman" w:cs="Arial"/>
          <w:i/>
          <w:iCs/>
          <w:color w:val="000000"/>
          <w:lang w:eastAsia="bg-BG"/>
        </w:rPr>
      </w:pPr>
    </w:p>
    <w:p w14:paraId="461513D8" w14:textId="399A3AA3"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Хороидален излив, остра миопия и вторична закритоъгълна глаукома</w:t>
      </w:r>
    </w:p>
    <w:p w14:paraId="31A72DD8"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хидрохлоротиазид, колкото е възможно по-скоро.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4FA63521" w14:textId="77777777" w:rsidR="002D4D2D" w:rsidRPr="002D4D2D" w:rsidRDefault="002D4D2D" w:rsidP="002D4D2D">
      <w:pPr>
        <w:spacing w:line="240" w:lineRule="auto"/>
        <w:rPr>
          <w:rFonts w:eastAsia="Times New Roman" w:cs="Arial"/>
          <w:i/>
          <w:iCs/>
          <w:color w:val="000000"/>
          <w:lang w:eastAsia="bg-BG"/>
        </w:rPr>
      </w:pPr>
    </w:p>
    <w:p w14:paraId="75969247" w14:textId="328912E2"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Други</w:t>
      </w:r>
    </w:p>
    <w:p w14:paraId="2C76B3B1"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При пациенти, приемащи тиазиди, с или без анамнеза за алергия или бронхиална астма, могат да възникнат реакции на свръхчувствителност. При употребата на тиазиди има случаи на екзацербация или активиране на лупус еритематодес.</w:t>
      </w:r>
    </w:p>
    <w:p w14:paraId="5CD384CB" w14:textId="77777777" w:rsidR="002D4D2D" w:rsidRPr="002D4D2D" w:rsidRDefault="002D4D2D" w:rsidP="002D4D2D">
      <w:pPr>
        <w:spacing w:line="240" w:lineRule="auto"/>
        <w:rPr>
          <w:rFonts w:eastAsia="Times New Roman" w:cs="Arial"/>
          <w:i/>
          <w:iCs/>
          <w:color w:val="000000"/>
          <w:lang w:eastAsia="bg-BG"/>
        </w:rPr>
      </w:pPr>
    </w:p>
    <w:p w14:paraId="60D8578E" w14:textId="36510257" w:rsidR="002D4D2D" w:rsidRPr="002D4D2D" w:rsidRDefault="002D4D2D" w:rsidP="002D4D2D">
      <w:pPr>
        <w:spacing w:line="240" w:lineRule="auto"/>
        <w:rPr>
          <w:rFonts w:eastAsia="Times New Roman" w:cs="Arial"/>
          <w:sz w:val="24"/>
          <w:szCs w:val="24"/>
          <w:lang w:eastAsia="bg-BG"/>
        </w:rPr>
      </w:pPr>
      <w:r w:rsidRPr="002D4D2D">
        <w:rPr>
          <w:rFonts w:eastAsia="Times New Roman" w:cs="Arial"/>
          <w:i/>
          <w:iCs/>
          <w:color w:val="000000"/>
          <w:lang w:eastAsia="bg-BG"/>
        </w:rPr>
        <w:t>Помощни вещества</w:t>
      </w:r>
    </w:p>
    <w:p w14:paraId="211E2F20" w14:textId="66A3BCA6" w:rsidR="002D4D2D" w:rsidRPr="002D4D2D" w:rsidRDefault="002D4D2D" w:rsidP="002D4D2D">
      <w:pPr>
        <w:rPr>
          <w:rFonts w:cs="Arial"/>
        </w:rPr>
      </w:pPr>
      <w:r w:rsidRPr="002D4D2D">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 (вж. точка 6.1).</w:t>
      </w:r>
    </w:p>
    <w:p w14:paraId="6401FD3C" w14:textId="77777777" w:rsidR="002D4D2D" w:rsidRPr="0091385D" w:rsidRDefault="002D4D2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37984A8" w14:textId="77777777" w:rsidR="002D4D2D" w:rsidRPr="0038166B" w:rsidRDefault="002D4D2D" w:rsidP="0038166B">
      <w:pPr>
        <w:pStyle w:val="Heading3"/>
        <w:rPr>
          <w:rFonts w:eastAsia="Times New Roman"/>
          <w:u w:val="single"/>
          <w:lang w:eastAsia="bg-BG"/>
        </w:rPr>
      </w:pPr>
      <w:r w:rsidRPr="0038166B">
        <w:rPr>
          <w:rFonts w:eastAsia="Times New Roman"/>
          <w:u w:val="single"/>
          <w:lang w:eastAsia="bg-BG"/>
        </w:rPr>
        <w:t>Лосартан</w:t>
      </w:r>
    </w:p>
    <w:p w14:paraId="77E31431" w14:textId="77777777"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t>Съобщавано е, че рифампицин и флуконазол намаляват нивата на активния метаболит. Не може да се направи оценка на клиничните последици на тези взаимодействия.</w:t>
      </w:r>
    </w:p>
    <w:p w14:paraId="5D8AA2F8" w14:textId="768AE0EB" w:rsidR="002D4D2D" w:rsidRPr="002D4D2D" w:rsidRDefault="002D4D2D" w:rsidP="002D4D2D">
      <w:pPr>
        <w:spacing w:line="240" w:lineRule="auto"/>
        <w:rPr>
          <w:rFonts w:eastAsia="Times New Roman" w:cs="Arial"/>
          <w:sz w:val="24"/>
          <w:szCs w:val="24"/>
          <w:lang w:eastAsia="bg-BG"/>
        </w:rPr>
      </w:pPr>
      <w:r w:rsidRPr="002D4D2D">
        <w:rPr>
          <w:rFonts w:eastAsia="Times New Roman" w:cs="Arial"/>
          <w:color w:val="000000"/>
          <w:lang w:eastAsia="bg-BG"/>
        </w:rPr>
        <w:lastRenderedPageBreak/>
        <w:t xml:space="preserve">Както и при други лекарства, които блокират ангиотензин II или неговите ефекти, </w:t>
      </w:r>
    </w:p>
    <w:p w14:paraId="0127E338" w14:textId="77777777" w:rsidR="004F5812" w:rsidRPr="004F5812" w:rsidRDefault="002D4D2D" w:rsidP="004F5812">
      <w:pPr>
        <w:rPr>
          <w:rFonts w:eastAsia="Times New Roman" w:cs="Arial"/>
          <w:sz w:val="24"/>
          <w:szCs w:val="24"/>
          <w:lang w:eastAsia="bg-BG"/>
        </w:rPr>
      </w:pPr>
      <w:r w:rsidRPr="004F5812">
        <w:rPr>
          <w:rFonts w:eastAsia="Times New Roman" w:cs="Arial"/>
          <w:color w:val="000000"/>
          <w:lang w:eastAsia="bg-BG"/>
        </w:rPr>
        <w:t>едновременното приложение на лекарства, които задържат калий (напр. спиронолактон,</w:t>
      </w:r>
      <w:r w:rsidRPr="004F5812">
        <w:rPr>
          <w:rFonts w:eastAsia="Times New Roman" w:cs="Arial"/>
          <w:color w:val="000000"/>
          <w:u w:val="single"/>
          <w:lang w:eastAsia="bg-BG"/>
        </w:rPr>
        <w:t xml:space="preserve"> </w:t>
      </w:r>
      <w:r w:rsidRPr="004F5812">
        <w:rPr>
          <w:rFonts w:eastAsia="Times New Roman" w:cs="Arial"/>
          <w:color w:val="000000"/>
          <w:lang w:eastAsia="bg-BG"/>
        </w:rPr>
        <w:t>триамтерен, амилорид) калиеви добавки, заместители на готварската сол, съдържащи калий или други лекарства, които могат да повишат серумния калий (напр. продукти, съдържащи</w:t>
      </w:r>
      <w:r w:rsidR="004F5812">
        <w:rPr>
          <w:rFonts w:eastAsia="Times New Roman" w:cs="Arial"/>
          <w:color w:val="000000"/>
          <w:lang w:eastAsia="bg-BG"/>
        </w:rPr>
        <w:t xml:space="preserve"> </w:t>
      </w:r>
      <w:r w:rsidR="004F5812" w:rsidRPr="004F5812">
        <w:rPr>
          <w:rFonts w:eastAsia="Times New Roman" w:cs="Arial"/>
          <w:color w:val="000000"/>
          <w:lang w:eastAsia="bg-BG"/>
        </w:rPr>
        <w:t>триметоприм) може да доведе до увеличение на серумния калий. Едновременното приложение не се препоръчва.</w:t>
      </w:r>
    </w:p>
    <w:p w14:paraId="5ED038F6" w14:textId="77777777" w:rsidR="004F5812" w:rsidRPr="004F5812" w:rsidRDefault="004F5812" w:rsidP="004F5812">
      <w:pPr>
        <w:spacing w:line="240" w:lineRule="auto"/>
        <w:rPr>
          <w:rFonts w:eastAsia="Times New Roman" w:cs="Arial"/>
          <w:color w:val="000000"/>
          <w:lang w:eastAsia="bg-BG"/>
        </w:rPr>
      </w:pPr>
    </w:p>
    <w:p w14:paraId="72447D35" w14:textId="48E39B78"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Както при други лекарства, които повлияват отделянето на натрий, отделянето на литий може да бъде намалено. Поради това, трябва да се проследяват внимателно нивата на литий в серума, ако ще се приемат литиевите соли едновременно с ангиотензин II рецепторен антагонист.</w:t>
      </w:r>
    </w:p>
    <w:p w14:paraId="018F6E66" w14:textId="77777777" w:rsidR="004F5812" w:rsidRPr="004F5812" w:rsidRDefault="004F5812" w:rsidP="004F5812">
      <w:pPr>
        <w:spacing w:line="240" w:lineRule="auto"/>
        <w:rPr>
          <w:rFonts w:eastAsia="Times New Roman" w:cs="Arial"/>
          <w:color w:val="000000"/>
          <w:lang w:eastAsia="bg-BG"/>
        </w:rPr>
      </w:pPr>
    </w:p>
    <w:p w14:paraId="48845E5A" w14:textId="21602C4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Когато ангиотензин II антагонист се прилага едновременно с НСПВС (т.е. селективни СОХ-2 инхибитори, ацетилсалицилова киселина в противовъзпалителни дози и неселективни НСПВС), може да се настъпи отслабване на антихипертензивния ефект. Едновременното приложение на ангиотензин II антагонисти или диуретици и НСПВС може да доведе до повишен риск от влошаване на бъбречната функция, включително възможност от остра бъбречна недостатъчност, и повишаване на серумния калий, особено при пациенти с 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оводнявани и трябва да се обсъди наблюдение на бъбречната функция след започване на едновременно лечение, както и периодично след това.</w:t>
      </w:r>
    </w:p>
    <w:p w14:paraId="53557111" w14:textId="77777777" w:rsidR="004F5812" w:rsidRPr="004F5812" w:rsidRDefault="004F5812" w:rsidP="004F5812">
      <w:pPr>
        <w:spacing w:line="240" w:lineRule="auto"/>
        <w:rPr>
          <w:rFonts w:eastAsia="Times New Roman" w:cs="Arial"/>
          <w:color w:val="000000"/>
          <w:lang w:eastAsia="bg-BG"/>
        </w:rPr>
      </w:pPr>
    </w:p>
    <w:p w14:paraId="19249111" w14:textId="7526248F"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При някои пациенти с компрометирана бъбречна функция, които са лекувани с нестероидни противовъзпалителни средства, включително селективни циклооксигеназа-2-инхибитори, едновременното приложение на ангиотензин II рецепторни антагонисти може да доведе до по</w:t>
      </w:r>
      <w:r w:rsidRPr="004F5812">
        <w:rPr>
          <w:rFonts w:eastAsia="Times New Roman" w:cs="Arial"/>
          <w:color w:val="000000"/>
          <w:lang w:eastAsia="bg-BG"/>
        </w:rPr>
        <w:softHyphen/>
        <w:t>нататъшно влошаване на бъбречната функция. Тези ефекти обикновено са обратими.</w:t>
      </w:r>
    </w:p>
    <w:p w14:paraId="0C74194C" w14:textId="77777777" w:rsidR="004F5812" w:rsidRPr="004F5812" w:rsidRDefault="004F5812" w:rsidP="004F5812">
      <w:pPr>
        <w:spacing w:line="240" w:lineRule="auto"/>
        <w:rPr>
          <w:rFonts w:eastAsia="Times New Roman" w:cs="Arial"/>
          <w:color w:val="000000"/>
          <w:lang w:eastAsia="bg-BG"/>
        </w:rPr>
      </w:pPr>
    </w:p>
    <w:p w14:paraId="2ADE0202" w14:textId="0FDF8168"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2CEDC19C" w14:textId="77777777" w:rsidR="004F5812" w:rsidRPr="004F5812" w:rsidRDefault="004F5812" w:rsidP="004F5812">
      <w:pPr>
        <w:spacing w:line="240" w:lineRule="auto"/>
        <w:rPr>
          <w:rFonts w:eastAsia="Times New Roman" w:cs="Arial"/>
          <w:color w:val="000000"/>
          <w:lang w:eastAsia="bg-BG"/>
        </w:rPr>
      </w:pPr>
    </w:p>
    <w:p w14:paraId="21FFCF7C" w14:textId="5CFB3A05"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Други вещества предизвикващи хипотония като трициклични антидепресанти, антипсихотици, баклофен, амифостин: едновременното приложение с тези лекарства, които намаляват кръвното налягане, като основна нежелана лекарствена реакция, могат да повишат риска от хипотония.</w:t>
      </w:r>
    </w:p>
    <w:p w14:paraId="60B566D0" w14:textId="77777777" w:rsidR="004F5812" w:rsidRPr="004F5812" w:rsidRDefault="004F5812" w:rsidP="004F5812">
      <w:pPr>
        <w:spacing w:line="240" w:lineRule="auto"/>
        <w:rPr>
          <w:rFonts w:eastAsia="Times New Roman" w:cs="Arial"/>
          <w:color w:val="000000"/>
          <w:u w:val="single"/>
          <w:lang w:eastAsia="bg-BG"/>
        </w:rPr>
      </w:pPr>
    </w:p>
    <w:p w14:paraId="6DC789D5" w14:textId="1F06BE0B" w:rsidR="004F5812" w:rsidRPr="0038166B" w:rsidRDefault="004F5812" w:rsidP="0038166B">
      <w:pPr>
        <w:pStyle w:val="Heading3"/>
        <w:rPr>
          <w:rFonts w:eastAsia="Times New Roman"/>
          <w:u w:val="single"/>
          <w:lang w:eastAsia="bg-BG"/>
        </w:rPr>
      </w:pPr>
      <w:r w:rsidRPr="0038166B">
        <w:rPr>
          <w:rFonts w:eastAsia="Times New Roman"/>
          <w:u w:val="single"/>
          <w:lang w:eastAsia="bg-BG"/>
        </w:rPr>
        <w:t>Хидрохлоротиазид</w:t>
      </w:r>
    </w:p>
    <w:p w14:paraId="1AFF9CA7"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Следните лекарства, при едновременно приложение, могат да взаимодействат с тиазидните диуретици:</w:t>
      </w:r>
    </w:p>
    <w:p w14:paraId="7AF46129" w14:textId="77777777" w:rsidR="004F5812" w:rsidRPr="004F5812" w:rsidRDefault="004F5812" w:rsidP="004F5812">
      <w:pPr>
        <w:spacing w:line="240" w:lineRule="auto"/>
        <w:rPr>
          <w:rFonts w:eastAsia="Times New Roman" w:cs="Arial"/>
          <w:i/>
          <w:iCs/>
          <w:color w:val="000000"/>
          <w:lang w:eastAsia="bg-BG"/>
        </w:rPr>
      </w:pPr>
    </w:p>
    <w:p w14:paraId="5B297846" w14:textId="2A3629F5"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 xml:space="preserve">Алкохол, барбитурати, наркотици или антидепресанти </w:t>
      </w:r>
      <w:r w:rsidRPr="004F5812">
        <w:rPr>
          <w:rFonts w:eastAsia="Times New Roman" w:cs="Arial"/>
          <w:color w:val="000000"/>
          <w:lang w:eastAsia="bg-BG"/>
        </w:rPr>
        <w:t>Може да възникне потенциране на ортостатична хипотония.</w:t>
      </w:r>
    </w:p>
    <w:p w14:paraId="1B0361CC" w14:textId="77777777" w:rsidR="004F5812" w:rsidRPr="004F5812" w:rsidRDefault="004F5812" w:rsidP="004F5812">
      <w:pPr>
        <w:spacing w:line="240" w:lineRule="auto"/>
        <w:rPr>
          <w:rFonts w:eastAsia="Times New Roman" w:cs="Arial"/>
          <w:i/>
          <w:iCs/>
          <w:color w:val="000000"/>
          <w:lang w:eastAsia="bg-BG"/>
        </w:rPr>
      </w:pPr>
    </w:p>
    <w:p w14:paraId="60F80BD1" w14:textId="0C4054D7"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Антидиабетни лекарства (перорални лекарства и инсулин)</w:t>
      </w:r>
    </w:p>
    <w:p w14:paraId="26EA2A78"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lastRenderedPageBreak/>
        <w:t>Лечението с високи дози тиазиди може да повлияе глюкозния толеранс. Може да се наложи промяна в дозировката на антидиабетното лекарство. Метформин трябва да се използва внимателно, поради риска от лактатна ацидоза, предизвикана от вероятно увреждане на бъбречната функция, свързано с хидрохлоротиазида.</w:t>
      </w:r>
    </w:p>
    <w:p w14:paraId="0D8489F9" w14:textId="77777777" w:rsidR="004F5812" w:rsidRPr="004F5812" w:rsidRDefault="004F5812" w:rsidP="004F5812">
      <w:pPr>
        <w:spacing w:line="240" w:lineRule="auto"/>
        <w:rPr>
          <w:rFonts w:eastAsia="Times New Roman" w:cs="Arial"/>
          <w:i/>
          <w:iCs/>
          <w:color w:val="000000"/>
          <w:lang w:eastAsia="bg-BG"/>
        </w:rPr>
      </w:pPr>
      <w:r w:rsidRPr="004F5812">
        <w:rPr>
          <w:rFonts w:eastAsia="Times New Roman" w:cs="Arial"/>
          <w:i/>
          <w:iCs/>
          <w:color w:val="000000"/>
          <w:lang w:eastAsia="bg-BG"/>
        </w:rPr>
        <w:t xml:space="preserve">Други антихипертензивни лекарства </w:t>
      </w:r>
    </w:p>
    <w:p w14:paraId="006BF365" w14:textId="06BCA14C"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Адитивен ефект.</w:t>
      </w:r>
    </w:p>
    <w:p w14:paraId="48652D34" w14:textId="251A8DBF" w:rsidR="004F5812" w:rsidRPr="004F5812" w:rsidRDefault="004F5812" w:rsidP="004F5812">
      <w:pPr>
        <w:spacing w:line="240" w:lineRule="auto"/>
        <w:rPr>
          <w:rFonts w:eastAsia="Times New Roman" w:cs="Arial"/>
          <w:sz w:val="24"/>
          <w:szCs w:val="24"/>
          <w:lang w:eastAsia="bg-BG"/>
        </w:rPr>
      </w:pPr>
    </w:p>
    <w:p w14:paraId="6C83F09E"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Холестирамин и холестиполови смоли</w:t>
      </w:r>
    </w:p>
    <w:p w14:paraId="1CB2C2B4"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Абсорбцията на хидрохлоротиазид се нарушава при наличието на аниони обменни смоли. Единична доза холестирамин или холестиполова смола свързва хидрохлоротиазид и редуцира абсорбцията му от гастроинтестиналния тракт с до 85 и 43 % съответно. </w:t>
      </w:r>
    </w:p>
    <w:p w14:paraId="1807478E" w14:textId="77777777" w:rsidR="004F5812" w:rsidRDefault="004F5812" w:rsidP="004F5812">
      <w:pPr>
        <w:rPr>
          <w:rFonts w:eastAsia="Times New Roman" w:cs="Arial"/>
          <w:i/>
          <w:iCs/>
          <w:color w:val="000000"/>
          <w:lang w:eastAsia="bg-BG"/>
        </w:rPr>
      </w:pPr>
    </w:p>
    <w:p w14:paraId="172AE819" w14:textId="5B3EEC97" w:rsidR="0091385D" w:rsidRPr="004F5812" w:rsidRDefault="004F5812" w:rsidP="004F5812">
      <w:pPr>
        <w:rPr>
          <w:rFonts w:cs="Arial"/>
        </w:rPr>
      </w:pPr>
      <w:r w:rsidRPr="004F5812">
        <w:rPr>
          <w:rFonts w:eastAsia="Times New Roman" w:cs="Arial"/>
          <w:i/>
          <w:iCs/>
          <w:color w:val="000000"/>
          <w:lang w:eastAsia="bg-BG"/>
        </w:rPr>
        <w:t>Кортикостероиди, АСТН</w:t>
      </w:r>
    </w:p>
    <w:p w14:paraId="68DBF4F3"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Ускорено отделяне на електролитите, най-често хипокалиемия.</w:t>
      </w:r>
    </w:p>
    <w:p w14:paraId="0C59AFF9" w14:textId="77777777" w:rsidR="004F5812" w:rsidRPr="004F5812" w:rsidRDefault="004F5812" w:rsidP="004F5812">
      <w:pPr>
        <w:spacing w:line="240" w:lineRule="auto"/>
        <w:rPr>
          <w:rFonts w:eastAsia="Times New Roman" w:cs="Arial"/>
          <w:i/>
          <w:iCs/>
          <w:color w:val="000000"/>
          <w:lang w:eastAsia="bg-BG"/>
        </w:rPr>
      </w:pPr>
    </w:p>
    <w:p w14:paraId="59510364" w14:textId="62E1D29D"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Катехоламини (напр. адреналин)</w:t>
      </w:r>
    </w:p>
    <w:p w14:paraId="13FBE980"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Възможно е намаляваме на реакцията към пресорните амини, но не достатъчно, за да се изключи едновременната им употреба.</w:t>
      </w:r>
    </w:p>
    <w:p w14:paraId="63373750" w14:textId="77777777" w:rsidR="004F5812" w:rsidRPr="004F5812" w:rsidRDefault="004F5812" w:rsidP="004F5812">
      <w:pPr>
        <w:spacing w:line="240" w:lineRule="auto"/>
        <w:rPr>
          <w:rFonts w:eastAsia="Times New Roman" w:cs="Arial"/>
          <w:i/>
          <w:iCs/>
          <w:color w:val="000000"/>
          <w:lang w:eastAsia="bg-BG"/>
        </w:rPr>
      </w:pPr>
    </w:p>
    <w:p w14:paraId="334DC2A0" w14:textId="77777777" w:rsidR="004F5812" w:rsidRPr="004F5812" w:rsidRDefault="004F5812" w:rsidP="004F5812">
      <w:pPr>
        <w:spacing w:line="240" w:lineRule="auto"/>
        <w:rPr>
          <w:rFonts w:eastAsia="Times New Roman" w:cs="Arial"/>
          <w:i/>
          <w:iCs/>
          <w:color w:val="000000"/>
          <w:lang w:eastAsia="bg-BG"/>
        </w:rPr>
      </w:pPr>
      <w:r w:rsidRPr="004F5812">
        <w:rPr>
          <w:rFonts w:eastAsia="Times New Roman" w:cs="Arial"/>
          <w:i/>
          <w:iCs/>
          <w:color w:val="000000"/>
          <w:lang w:eastAsia="bg-BG"/>
        </w:rPr>
        <w:t xml:space="preserve">Скелетно-мускулни релаксанти, недеполяризиращи (напр. тубокурарин) </w:t>
      </w:r>
    </w:p>
    <w:p w14:paraId="423982A1" w14:textId="65456C04"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Възможно е повишена чувствителност към мускулни релаксанти.</w:t>
      </w:r>
    </w:p>
    <w:p w14:paraId="580224AA" w14:textId="77777777" w:rsidR="004F5812" w:rsidRPr="004F5812" w:rsidRDefault="004F5812" w:rsidP="004F5812">
      <w:pPr>
        <w:spacing w:line="240" w:lineRule="auto"/>
        <w:rPr>
          <w:rFonts w:eastAsia="Times New Roman" w:cs="Arial"/>
          <w:i/>
          <w:iCs/>
          <w:color w:val="000000"/>
          <w:lang w:eastAsia="bg-BG"/>
        </w:rPr>
      </w:pPr>
    </w:p>
    <w:p w14:paraId="33553DFF" w14:textId="5851DFC3"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Литий</w:t>
      </w:r>
    </w:p>
    <w:p w14:paraId="68381B81"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Диуретиците редуцират бъбречния клирънс на лития и силно увеличават риска от литиева интоксикация; не се препоръчва едновременно прилагане.</w:t>
      </w:r>
    </w:p>
    <w:p w14:paraId="5B29458D" w14:textId="77777777" w:rsidR="004F5812" w:rsidRPr="004F5812" w:rsidRDefault="004F5812" w:rsidP="004F5812">
      <w:pPr>
        <w:spacing w:line="240" w:lineRule="auto"/>
        <w:rPr>
          <w:rFonts w:eastAsia="Times New Roman" w:cs="Arial"/>
          <w:i/>
          <w:iCs/>
          <w:color w:val="000000"/>
          <w:lang w:eastAsia="bg-BG"/>
        </w:rPr>
      </w:pPr>
    </w:p>
    <w:p w14:paraId="4B8402B9" w14:textId="4930408D"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Лекарствени продукти, използвани за лечение на подагра (пробеницид, сулфинпиразон и алопуринол)</w:t>
      </w:r>
    </w:p>
    <w:p w14:paraId="22694B66"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Може да се наложи корекция на дозировката на урикозуричните лекарствени продукти, тъй като хидрохлоротиазид може да повиши нивото на пикочната киселина. Може да е нужно повишаване на дозите на пробеницид или сулфинпиразон. Едновременното приложение с тиазид може да повиши честотата на реакциите на свръхчувствителност към алопуринол.</w:t>
      </w:r>
    </w:p>
    <w:p w14:paraId="0940A522" w14:textId="77777777" w:rsidR="004F5812" w:rsidRPr="004F5812" w:rsidRDefault="004F5812" w:rsidP="004F5812">
      <w:pPr>
        <w:spacing w:line="240" w:lineRule="auto"/>
        <w:rPr>
          <w:rFonts w:eastAsia="Times New Roman" w:cs="Arial"/>
          <w:i/>
          <w:iCs/>
          <w:color w:val="000000"/>
          <w:lang w:eastAsia="bg-BG"/>
        </w:rPr>
      </w:pPr>
    </w:p>
    <w:p w14:paraId="3C7E59E0" w14:textId="595E1461"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Антихолинергични продукти (напр. атропин, бипериден)</w:t>
      </w:r>
    </w:p>
    <w:p w14:paraId="564ACDB3"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Повишаване бионаличностга на тиазидните диуретици чрез понижен стомашно-чревен мотилитет и намалена скорост на изпразване на стомаха.</w:t>
      </w:r>
    </w:p>
    <w:p w14:paraId="2DB6BE6C" w14:textId="77777777" w:rsidR="004F5812" w:rsidRPr="004F5812" w:rsidRDefault="004F5812" w:rsidP="004F5812">
      <w:pPr>
        <w:spacing w:line="240" w:lineRule="auto"/>
        <w:rPr>
          <w:rFonts w:eastAsia="Times New Roman" w:cs="Arial"/>
          <w:i/>
          <w:iCs/>
          <w:color w:val="000000"/>
          <w:lang w:eastAsia="bg-BG"/>
        </w:rPr>
      </w:pPr>
    </w:p>
    <w:p w14:paraId="0EC23861" w14:textId="100BBF4E"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Цитотоксични продукти (напр. циклофосфамид, метотрексат)</w:t>
      </w:r>
    </w:p>
    <w:p w14:paraId="4BF98760"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Тиазидите могат да намалят бъбречната екскреция на цитотоксични лекарствени продукти и да засилят техните миелосупресивни ефекти.</w:t>
      </w:r>
    </w:p>
    <w:p w14:paraId="517FE26E" w14:textId="77777777" w:rsidR="004F5812" w:rsidRPr="004F5812" w:rsidRDefault="004F5812" w:rsidP="004F5812">
      <w:pPr>
        <w:spacing w:line="240" w:lineRule="auto"/>
        <w:rPr>
          <w:rFonts w:eastAsia="Times New Roman" w:cs="Arial"/>
          <w:i/>
          <w:iCs/>
          <w:color w:val="000000"/>
          <w:lang w:eastAsia="bg-BG"/>
        </w:rPr>
      </w:pPr>
    </w:p>
    <w:p w14:paraId="3ECB592C" w14:textId="56B3F9B8"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Салицилати</w:t>
      </w:r>
    </w:p>
    <w:p w14:paraId="1A28CB06"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При високи дози салицилати, хидрохлоротиазид може да усили токсичния ефект на салицилатите върху централната нервна система.</w:t>
      </w:r>
    </w:p>
    <w:p w14:paraId="582C152F" w14:textId="77777777" w:rsidR="004F5812" w:rsidRPr="004F5812" w:rsidRDefault="004F5812" w:rsidP="004F5812">
      <w:pPr>
        <w:spacing w:line="240" w:lineRule="auto"/>
        <w:rPr>
          <w:rFonts w:eastAsia="Times New Roman" w:cs="Arial"/>
          <w:i/>
          <w:iCs/>
          <w:color w:val="000000"/>
          <w:lang w:eastAsia="bg-BG"/>
        </w:rPr>
      </w:pPr>
    </w:p>
    <w:p w14:paraId="2A015715" w14:textId="321E86F4"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Метилдопа</w:t>
      </w:r>
    </w:p>
    <w:p w14:paraId="1076996C"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Има отделни съобщения за хемолитична анемия, развила се при едновременно приложение на хидрохлоротиазид и метилдопа.</w:t>
      </w:r>
    </w:p>
    <w:p w14:paraId="55316142" w14:textId="77777777" w:rsidR="004F5812" w:rsidRPr="004F5812" w:rsidRDefault="004F5812" w:rsidP="004F5812">
      <w:pPr>
        <w:spacing w:line="240" w:lineRule="auto"/>
        <w:rPr>
          <w:rFonts w:eastAsia="Times New Roman" w:cs="Arial"/>
          <w:i/>
          <w:iCs/>
          <w:color w:val="000000"/>
          <w:lang w:eastAsia="bg-BG"/>
        </w:rPr>
      </w:pPr>
    </w:p>
    <w:p w14:paraId="30E88114" w14:textId="2E357E0C"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Циклоспорин</w:t>
      </w:r>
    </w:p>
    <w:p w14:paraId="62ACA29F"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lastRenderedPageBreak/>
        <w:t>Съпровождащо лечение с циклоспорин може да повиши риска от хиперурикемия и подобни на подагра усложнения.</w:t>
      </w:r>
    </w:p>
    <w:p w14:paraId="0B68C3E2" w14:textId="77777777" w:rsidR="004F5812" w:rsidRPr="004F5812" w:rsidRDefault="004F5812" w:rsidP="004F5812">
      <w:pPr>
        <w:spacing w:line="240" w:lineRule="auto"/>
        <w:rPr>
          <w:rFonts w:eastAsia="Times New Roman" w:cs="Arial"/>
          <w:i/>
          <w:iCs/>
          <w:color w:val="000000"/>
          <w:lang w:eastAsia="bg-BG"/>
        </w:rPr>
      </w:pPr>
    </w:p>
    <w:p w14:paraId="13E79D1C" w14:textId="626D0514"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Дигиталисови гликозиди</w:t>
      </w:r>
    </w:p>
    <w:p w14:paraId="3782EB80"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Тиазид-индуцирана хипокалиемия или хипомагнезиемия могат да благоприятстват появата на дигиталис-индуцирани сърдечни аритмии</w:t>
      </w:r>
    </w:p>
    <w:p w14:paraId="305B5576" w14:textId="77777777" w:rsidR="004F5812" w:rsidRPr="004F5812" w:rsidRDefault="004F5812" w:rsidP="004F5812">
      <w:pPr>
        <w:spacing w:line="240" w:lineRule="auto"/>
        <w:rPr>
          <w:rFonts w:eastAsia="Times New Roman" w:cs="Arial"/>
          <w:i/>
          <w:iCs/>
          <w:color w:val="000000"/>
          <w:lang w:eastAsia="bg-BG"/>
        </w:rPr>
      </w:pPr>
    </w:p>
    <w:p w14:paraId="34916D69" w14:textId="4D2F72FE"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Лекарствени продукти, повлиявани от смущения в серумния калий</w:t>
      </w:r>
    </w:p>
    <w:p w14:paraId="4A1F1BCD"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При приложение на лосартан/хидрохлоротиазид с лекарствени продукти, повлиявани от изменения в стойностите на серумния калий (напр. дигиталисови гликозиди и противоаритмични средства) и със следните </w:t>
      </w:r>
      <w:proofErr w:type="spellStart"/>
      <w:r w:rsidRPr="004F5812">
        <w:rPr>
          <w:rFonts w:eastAsia="Times New Roman" w:cs="Arial"/>
          <w:color w:val="000000"/>
          <w:lang w:val="en-US"/>
        </w:rPr>
        <w:t>torsades</w:t>
      </w:r>
      <w:proofErr w:type="spellEnd"/>
      <w:r w:rsidRPr="004F5812">
        <w:rPr>
          <w:rFonts w:eastAsia="Times New Roman" w:cs="Arial"/>
          <w:color w:val="000000"/>
          <w:lang w:val="en-US"/>
        </w:rPr>
        <w:t xml:space="preserve"> de pointes </w:t>
      </w:r>
      <w:r w:rsidRPr="004F5812">
        <w:rPr>
          <w:rFonts w:eastAsia="Times New Roman" w:cs="Arial"/>
          <w:color w:val="000000"/>
          <w:lang w:eastAsia="bg-BG"/>
        </w:rPr>
        <w:t xml:space="preserve">(камерна тахикардия) - индуциращи лекарствени продукти (включително някои противоаритмични), се препоръчва периодично мониториране на серумния калий и ЕКГ, тъй като хипокалиемията е фактор предразполагащ към </w:t>
      </w:r>
      <w:proofErr w:type="spellStart"/>
      <w:r w:rsidRPr="004F5812">
        <w:rPr>
          <w:rFonts w:eastAsia="Times New Roman" w:cs="Arial"/>
          <w:color w:val="000000"/>
          <w:lang w:val="en-US"/>
        </w:rPr>
        <w:t>torsades</w:t>
      </w:r>
      <w:proofErr w:type="spellEnd"/>
      <w:r w:rsidRPr="004F5812">
        <w:rPr>
          <w:rFonts w:eastAsia="Times New Roman" w:cs="Arial"/>
          <w:color w:val="000000"/>
          <w:lang w:val="en-US"/>
        </w:rPr>
        <w:t xml:space="preserve"> de pointes </w:t>
      </w:r>
      <w:r w:rsidRPr="004F5812">
        <w:rPr>
          <w:rFonts w:eastAsia="Times New Roman" w:cs="Arial"/>
          <w:color w:val="000000"/>
          <w:lang w:eastAsia="bg-BG"/>
        </w:rPr>
        <w:t>(камерна тахикардия):</w:t>
      </w:r>
    </w:p>
    <w:p w14:paraId="267A6C54" w14:textId="77777777" w:rsidR="004F5812" w:rsidRPr="004F5812" w:rsidRDefault="004F5812" w:rsidP="004F5812">
      <w:pPr>
        <w:spacing w:line="240" w:lineRule="auto"/>
        <w:rPr>
          <w:rFonts w:eastAsia="Times New Roman" w:cs="Arial"/>
          <w:sz w:val="24"/>
          <w:szCs w:val="24"/>
          <w:lang w:eastAsia="bg-BG"/>
        </w:rPr>
      </w:pPr>
    </w:p>
    <w:p w14:paraId="23DF6F2A" w14:textId="77777777" w:rsidR="004F5812" w:rsidRPr="004F5812" w:rsidRDefault="004F5812" w:rsidP="004F5812">
      <w:pPr>
        <w:pStyle w:val="ListParagraph"/>
        <w:numPr>
          <w:ilvl w:val="0"/>
          <w:numId w:val="36"/>
        </w:numPr>
        <w:rPr>
          <w:rFonts w:eastAsia="Times New Roman" w:cs="Arial"/>
          <w:color w:val="000000"/>
          <w:lang w:eastAsia="bg-BG"/>
        </w:rPr>
      </w:pPr>
      <w:r w:rsidRPr="004F5812">
        <w:rPr>
          <w:rFonts w:eastAsia="Times New Roman" w:cs="Arial"/>
          <w:color w:val="000000"/>
          <w:lang w:eastAsia="bg-BG"/>
        </w:rPr>
        <w:t>Клас I</w:t>
      </w:r>
      <w:r w:rsidRPr="004F5812">
        <w:rPr>
          <w:rFonts w:eastAsia="Times New Roman" w:cs="Arial"/>
          <w:color w:val="000000"/>
          <w:lang w:val="en-US"/>
        </w:rPr>
        <w:t xml:space="preserve">a </w:t>
      </w:r>
      <w:r w:rsidRPr="004F5812">
        <w:rPr>
          <w:rFonts w:eastAsia="Times New Roman" w:cs="Arial"/>
          <w:color w:val="000000"/>
          <w:lang w:eastAsia="bg-BG"/>
        </w:rPr>
        <w:t xml:space="preserve">противоаритмични (напр. хинидин, хидрохинидин, дизопирамимид). </w:t>
      </w:r>
    </w:p>
    <w:p w14:paraId="68CB52FE" w14:textId="77777777" w:rsidR="004F5812" w:rsidRPr="004F5812" w:rsidRDefault="004F5812" w:rsidP="004F5812">
      <w:pPr>
        <w:pStyle w:val="ListParagraph"/>
        <w:numPr>
          <w:ilvl w:val="0"/>
          <w:numId w:val="36"/>
        </w:numPr>
        <w:rPr>
          <w:rFonts w:eastAsia="Times New Roman" w:cs="Arial"/>
          <w:color w:val="000000"/>
          <w:lang w:eastAsia="bg-BG"/>
        </w:rPr>
      </w:pPr>
      <w:r w:rsidRPr="004F5812">
        <w:rPr>
          <w:rFonts w:eastAsia="Times New Roman" w:cs="Arial"/>
          <w:color w:val="000000"/>
          <w:lang w:eastAsia="bg-BG"/>
        </w:rPr>
        <w:t xml:space="preserve">Клас III противоаритмични (напр. амиодарон, соталол, дофетилид, ибутилид). </w:t>
      </w:r>
    </w:p>
    <w:p w14:paraId="74E98711" w14:textId="77777777" w:rsidR="004F5812" w:rsidRPr="004F5812" w:rsidRDefault="004F5812" w:rsidP="004F5812">
      <w:pPr>
        <w:rPr>
          <w:rFonts w:eastAsia="Times New Roman" w:cs="Arial"/>
          <w:sz w:val="24"/>
          <w:szCs w:val="24"/>
          <w:lang w:eastAsia="bg-BG"/>
        </w:rPr>
      </w:pPr>
      <w:r w:rsidRPr="004F5812">
        <w:rPr>
          <w:rFonts w:eastAsia="Times New Roman" w:cs="Arial"/>
          <w:color w:val="000000"/>
          <w:lang w:eastAsia="bg-BG"/>
        </w:rPr>
        <w:t>Някои антипсихотични (напр. тиоридази</w:t>
      </w:r>
      <w:r>
        <w:rPr>
          <w:rFonts w:eastAsia="Times New Roman" w:cs="Arial"/>
          <w:color w:val="000000"/>
          <w:lang w:eastAsia="bg-BG"/>
        </w:rPr>
        <w:t xml:space="preserve">н, хлорпромазин, левомепромазин, </w:t>
      </w:r>
      <w:r w:rsidRPr="004F5812">
        <w:rPr>
          <w:rFonts w:eastAsia="Times New Roman" w:cs="Arial"/>
          <w:color w:val="000000"/>
          <w:lang w:eastAsia="bg-BG"/>
        </w:rPr>
        <w:t>трифлуоперазин, циамемазин, сулпирид, султоприд, амисулприд, тиаприд, пимозид, халоперидол, дроперидол).</w:t>
      </w:r>
    </w:p>
    <w:p w14:paraId="3DEFA04C"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 Други (напр. бепридил, цисаприд, дифеманил, еритромицин </w:t>
      </w:r>
      <w:proofErr w:type="spellStart"/>
      <w:r w:rsidRPr="004F5812">
        <w:rPr>
          <w:rFonts w:eastAsia="Times New Roman" w:cs="Arial"/>
          <w:color w:val="000000"/>
          <w:lang w:val="en-US"/>
        </w:rPr>
        <w:t>i.v.</w:t>
      </w:r>
      <w:proofErr w:type="spellEnd"/>
      <w:r w:rsidRPr="004F5812">
        <w:rPr>
          <w:rFonts w:eastAsia="Times New Roman" w:cs="Arial"/>
          <w:color w:val="000000"/>
          <w:lang w:val="en-US"/>
        </w:rPr>
        <w:t xml:space="preserve">, </w:t>
      </w:r>
      <w:r w:rsidRPr="004F5812">
        <w:rPr>
          <w:rFonts w:eastAsia="Times New Roman" w:cs="Arial"/>
          <w:color w:val="000000"/>
          <w:lang w:eastAsia="bg-BG"/>
        </w:rPr>
        <w:t xml:space="preserve">халофантрин, мизоластин, пентамидин, терфанадин, винкамин </w:t>
      </w:r>
      <w:proofErr w:type="spellStart"/>
      <w:r w:rsidRPr="004F5812">
        <w:rPr>
          <w:rFonts w:eastAsia="Times New Roman" w:cs="Arial"/>
          <w:color w:val="000000"/>
          <w:lang w:val="en-US"/>
        </w:rPr>
        <w:t>i.v.</w:t>
      </w:r>
      <w:proofErr w:type="spellEnd"/>
      <w:r w:rsidRPr="004F5812">
        <w:rPr>
          <w:rFonts w:eastAsia="Times New Roman" w:cs="Arial"/>
          <w:color w:val="000000"/>
          <w:lang w:val="en-US"/>
        </w:rPr>
        <w:t>)</w:t>
      </w:r>
    </w:p>
    <w:p w14:paraId="30191D81" w14:textId="77777777" w:rsidR="004F5812" w:rsidRPr="004F5812" w:rsidRDefault="004F5812" w:rsidP="004F5812">
      <w:pPr>
        <w:spacing w:line="240" w:lineRule="auto"/>
        <w:rPr>
          <w:rFonts w:eastAsia="Times New Roman" w:cs="Arial"/>
          <w:i/>
          <w:iCs/>
          <w:color w:val="000000"/>
          <w:lang w:eastAsia="bg-BG"/>
        </w:rPr>
      </w:pPr>
    </w:p>
    <w:p w14:paraId="2CE546AC" w14:textId="14FFB03F"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Калциеви соли</w:t>
      </w:r>
    </w:p>
    <w:p w14:paraId="72D4FDC3"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Тиазидните диуретици могат да повишат нивата на калциевите соли, поради понижена екскреция. Ако трябва да се предпишат калциеви добавки, следва да се контролират нивата на серумния калций и дозата на калций съответно да се коригира.</w:t>
      </w:r>
    </w:p>
    <w:p w14:paraId="2D7FA98E" w14:textId="77777777" w:rsidR="004F5812" w:rsidRPr="004F5812" w:rsidRDefault="004F5812" w:rsidP="004F5812">
      <w:pPr>
        <w:spacing w:line="240" w:lineRule="auto"/>
        <w:rPr>
          <w:rFonts w:eastAsia="Times New Roman" w:cs="Arial"/>
          <w:i/>
          <w:iCs/>
          <w:color w:val="000000"/>
          <w:lang w:eastAsia="bg-BG"/>
        </w:rPr>
      </w:pPr>
    </w:p>
    <w:p w14:paraId="70181467" w14:textId="4E8DB5AE"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Повлияване на лабораторните/лекарствените изследвания</w:t>
      </w:r>
    </w:p>
    <w:p w14:paraId="66D3A947"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Поради ефекта, който имат върху калциевия метаболизъм, тиазидите могат да повлияят функционалните тестове на паратироидната жлеза (вж. точка 4.4).</w:t>
      </w:r>
    </w:p>
    <w:p w14:paraId="16C5FCA5" w14:textId="77777777" w:rsidR="004F5812" w:rsidRPr="004F5812" w:rsidRDefault="004F5812" w:rsidP="004F5812">
      <w:pPr>
        <w:spacing w:line="240" w:lineRule="auto"/>
        <w:rPr>
          <w:rFonts w:eastAsia="Times New Roman" w:cs="Arial"/>
          <w:i/>
          <w:iCs/>
          <w:color w:val="000000"/>
          <w:lang w:eastAsia="bg-BG"/>
        </w:rPr>
      </w:pPr>
    </w:p>
    <w:p w14:paraId="6111FE5B" w14:textId="15988228"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Карбамазепин</w:t>
      </w:r>
    </w:p>
    <w:p w14:paraId="0A57C2AD"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Риск от симптоматична хипонатриемия. Необходимо е клинично и биологично проследяване.</w:t>
      </w:r>
    </w:p>
    <w:p w14:paraId="1706282D" w14:textId="77777777" w:rsidR="004F5812" w:rsidRPr="004F5812" w:rsidRDefault="004F5812" w:rsidP="004F5812">
      <w:pPr>
        <w:spacing w:line="240" w:lineRule="auto"/>
        <w:rPr>
          <w:rFonts w:eastAsia="Times New Roman" w:cs="Arial"/>
          <w:i/>
          <w:iCs/>
          <w:color w:val="000000"/>
          <w:lang w:eastAsia="bg-BG"/>
        </w:rPr>
      </w:pPr>
    </w:p>
    <w:p w14:paraId="63D4239D" w14:textId="4479FDB0"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Йодно-контрастни вещества</w:t>
      </w:r>
    </w:p>
    <w:p w14:paraId="5C6723C9"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В случай на диуретик-индуцирана дехидратация, има повишен риск от остра бъбречна недостатъчност, особено с високи дози на йодни продукти.</w:t>
      </w:r>
    </w:p>
    <w:p w14:paraId="7BD4C97B"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Пациентите трябва да бъдат рехидратирани преди приемът.</w:t>
      </w:r>
    </w:p>
    <w:p w14:paraId="4A998E3F" w14:textId="77777777" w:rsidR="004F5812" w:rsidRPr="004F5812" w:rsidRDefault="004F5812" w:rsidP="004F5812">
      <w:pPr>
        <w:spacing w:line="240" w:lineRule="auto"/>
        <w:rPr>
          <w:rFonts w:eastAsia="Times New Roman" w:cs="Arial"/>
          <w:i/>
          <w:iCs/>
          <w:color w:val="000000"/>
          <w:lang w:eastAsia="bg-BG"/>
        </w:rPr>
      </w:pPr>
    </w:p>
    <w:p w14:paraId="2D42705E" w14:textId="623FF4A7"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Амфотерицин В (парентерален), кортикостероиди, АСТН, лаксативи или глициризин (вещество, което се изолира от сладка папрат)</w:t>
      </w:r>
    </w:p>
    <w:p w14:paraId="5B2761C5" w14:textId="68DD8336" w:rsidR="0091385D" w:rsidRPr="004F5812" w:rsidRDefault="004F5812" w:rsidP="004F5812">
      <w:pPr>
        <w:rPr>
          <w:rFonts w:eastAsia="Times New Roman" w:cs="Arial"/>
          <w:color w:val="000000"/>
          <w:lang w:eastAsia="bg-BG"/>
        </w:rPr>
      </w:pPr>
      <w:r w:rsidRPr="004F5812">
        <w:rPr>
          <w:rFonts w:eastAsia="Times New Roman" w:cs="Arial"/>
          <w:color w:val="000000"/>
          <w:lang w:eastAsia="bg-BG"/>
        </w:rPr>
        <w:t>Хидрохлоротиазид може да засили електролитния дисбаланс, особено хипокалиемията.</w:t>
      </w:r>
    </w:p>
    <w:p w14:paraId="20147BD9" w14:textId="4CDFED00" w:rsidR="004F5812" w:rsidRDefault="004F5812" w:rsidP="0091385D"/>
    <w:p w14:paraId="4594098B" w14:textId="77777777" w:rsidR="004F5812" w:rsidRPr="0091385D" w:rsidRDefault="004F5812"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4179742B" w14:textId="77777777" w:rsidR="004F5812" w:rsidRPr="0038166B" w:rsidRDefault="004F5812" w:rsidP="0038166B">
      <w:pPr>
        <w:pStyle w:val="Heading3"/>
        <w:rPr>
          <w:rFonts w:eastAsia="Times New Roman"/>
          <w:u w:val="single"/>
          <w:lang w:eastAsia="bg-BG"/>
        </w:rPr>
      </w:pPr>
      <w:r w:rsidRPr="0038166B">
        <w:rPr>
          <w:rFonts w:eastAsia="Times New Roman"/>
          <w:u w:val="single"/>
          <w:lang w:eastAsia="bg-BG"/>
        </w:rPr>
        <w:lastRenderedPageBreak/>
        <w:t>Бременност:</w:t>
      </w:r>
    </w:p>
    <w:p w14:paraId="6B6A7082"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Ангиотензин II рецепторни антагонисти (АПРБ) :</w:t>
      </w:r>
    </w:p>
    <w:p w14:paraId="6D6B11BA"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Употребата на АПРБ не се препоръчва по време на първия триместър на бременността (вж. точка 4.4). Употребата на АПРБ е противопоказана по време на втория и третия триместър на бременността (вж. точки 4.3 и 4.4).</w:t>
      </w:r>
    </w:p>
    <w:p w14:paraId="6B068F51" w14:textId="77777777" w:rsidR="004F5812" w:rsidRPr="004F5812" w:rsidRDefault="004F5812" w:rsidP="004F5812">
      <w:pPr>
        <w:spacing w:line="240" w:lineRule="auto"/>
        <w:rPr>
          <w:rFonts w:eastAsia="Times New Roman" w:cs="Arial"/>
          <w:color w:val="000000"/>
          <w:lang w:eastAsia="bg-BG"/>
        </w:rPr>
      </w:pPr>
    </w:p>
    <w:p w14:paraId="3F93F8FE" w14:textId="6CF0C01A"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Епидемиологичните данни относно риска от тератогенност след експозиция на АСЕ- инхибитори по време на първия триместър на бременността </w:t>
      </w:r>
      <w:r w:rsidRPr="004F5812">
        <w:rPr>
          <w:rFonts w:eastAsia="Times New Roman" w:cs="Arial"/>
          <w:i/>
          <w:iCs/>
          <w:color w:val="000000"/>
          <w:lang w:eastAsia="bg-BG"/>
        </w:rPr>
        <w:t>не</w:t>
      </w:r>
      <w:r w:rsidRPr="004F5812">
        <w:rPr>
          <w:rFonts w:eastAsia="Times New Roman" w:cs="Arial"/>
          <w:color w:val="000000"/>
          <w:lang w:eastAsia="bg-BG"/>
        </w:rPr>
        <w:t xml:space="preserve"> са убедителни, но леко повишение на риска, обаче не може да се изключи. Макар че няма контролирани епидемиологични данни за риска при ангиотензин II рецепторни инхибитори (АIIРБ), подобен риск може да съществува и за този клас лекарства. Освен в случай, че терапията се счита за крайно необходима, пациентките, планиращи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w:t>
      </w:r>
      <w:r w:rsidRPr="004F5812">
        <w:rPr>
          <w:rFonts w:eastAsia="Times New Roman" w:cs="Arial"/>
          <w:color w:val="000000"/>
          <w:lang w:val="en-US"/>
        </w:rPr>
        <w:t xml:space="preserve">AIIRAs </w:t>
      </w:r>
      <w:r w:rsidRPr="004F5812">
        <w:rPr>
          <w:rFonts w:eastAsia="Times New Roman" w:cs="Arial"/>
          <w:color w:val="000000"/>
          <w:lang w:eastAsia="bg-BG"/>
        </w:rPr>
        <w:t xml:space="preserve">трябва да бъде преустановено незабавно и, ако е необходимо трябва да се започне алтернативна терапия. Известно е, че експозиция с АIIРБ през втория и третия триместър индуцира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(Вижте точка </w:t>
      </w:r>
      <w:r w:rsidRPr="004F5812">
        <w:rPr>
          <w:rFonts w:eastAsia="Times New Roman" w:cs="Arial"/>
          <w:color w:val="000000"/>
          <w:lang w:val="en-US"/>
        </w:rPr>
        <w:t>5.3.).</w:t>
      </w:r>
    </w:p>
    <w:p w14:paraId="2AC3FBD2"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Ако експозицията на АIIРБ е настъпила през втория триместър на бременността, се препоръчва ултразвуково изследване на бъбречната функция и черепа.</w:t>
      </w:r>
    </w:p>
    <w:p w14:paraId="3BA06F12"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Новородени, чиито майки са приемали АIIРБ трябва да бъдат внимателно наблюдавани за</w:t>
      </w:r>
      <w:r w:rsidRPr="004F5812">
        <w:rPr>
          <w:rFonts w:eastAsia="Times New Roman" w:cs="Arial"/>
          <w:color w:val="000000"/>
          <w:u w:val="single"/>
          <w:lang w:eastAsia="bg-BG"/>
        </w:rPr>
        <w:t xml:space="preserve"> </w:t>
      </w:r>
      <w:r w:rsidRPr="004F5812">
        <w:rPr>
          <w:rFonts w:eastAsia="Times New Roman" w:cs="Arial"/>
          <w:color w:val="000000"/>
          <w:lang w:eastAsia="bg-BG"/>
        </w:rPr>
        <w:t>хипотония (вж. точки 4.3 и 4.4),</w:t>
      </w:r>
    </w:p>
    <w:p w14:paraId="718741B5" w14:textId="77777777" w:rsidR="004F5812" w:rsidRPr="004F5812" w:rsidRDefault="004F5812" w:rsidP="004F5812">
      <w:pPr>
        <w:spacing w:line="240" w:lineRule="auto"/>
        <w:rPr>
          <w:rFonts w:eastAsia="Times New Roman" w:cs="Arial"/>
          <w:i/>
          <w:iCs/>
          <w:color w:val="000000"/>
          <w:lang w:eastAsia="bg-BG"/>
        </w:rPr>
      </w:pPr>
    </w:p>
    <w:p w14:paraId="14D1DFD5" w14:textId="448D0861"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Хидрохлоротиазид</w:t>
      </w:r>
    </w:p>
    <w:p w14:paraId="6867FDCD" w14:textId="77777777" w:rsidR="004F5812" w:rsidRPr="004F5812" w:rsidRDefault="004F5812" w:rsidP="004F5812">
      <w:pPr>
        <w:rPr>
          <w:rFonts w:eastAsia="Times New Roman" w:cs="Arial"/>
          <w:sz w:val="24"/>
          <w:szCs w:val="24"/>
          <w:lang w:eastAsia="bg-BG"/>
        </w:rPr>
      </w:pPr>
      <w:r w:rsidRPr="004F5812">
        <w:rPr>
          <w:rFonts w:eastAsia="Times New Roman" w:cs="Arial"/>
          <w:color w:val="000000"/>
          <w:lang w:eastAsia="bg-BG"/>
        </w:rPr>
        <w:t xml:space="preserve">Има ограничен опит от употреба на хидрохлоротиазид по време на </w:t>
      </w:r>
      <w:r w:rsidRPr="004F5812">
        <w:rPr>
          <w:rFonts w:eastAsia="Times New Roman" w:cs="Arial"/>
          <w:i/>
          <w:iCs/>
          <w:color w:val="000000"/>
          <w:lang w:eastAsia="bg-BG"/>
        </w:rPr>
        <w:t xml:space="preserve">бременност, особено през </w:t>
      </w:r>
      <w:r w:rsidRPr="004F5812">
        <w:rPr>
          <w:rFonts w:eastAsia="Times New Roman" w:cs="Arial"/>
          <w:color w:val="000000"/>
          <w:lang w:eastAsia="bg-BG"/>
        </w:rPr>
        <w:t>първия триместър. Проучванията при животни са недостатъчни. Хидроадорозид преминава през плацентата. Въз основа на фармакологичния механизъм на действие на хидрохлоротиазид,</w:t>
      </w:r>
      <w:r>
        <w:rPr>
          <w:rFonts w:eastAsia="Times New Roman" w:cs="Arial"/>
          <w:color w:val="000000"/>
          <w:lang w:eastAsia="bg-BG"/>
        </w:rPr>
        <w:t xml:space="preserve"> </w:t>
      </w:r>
      <w:r w:rsidRPr="004F5812">
        <w:rPr>
          <w:rFonts w:eastAsia="Times New Roman" w:cs="Arial"/>
          <w:color w:val="000000"/>
          <w:lang w:eastAsia="bg-BG"/>
        </w:rPr>
        <w:t>употребата му по време на втория и третия триместър може да компрометира фето- плацентарната перфузия и могат да настъпят фетални и неонатална ефекти, като жълтеница, нарушение на електролитния баланс и тромбоцитопения.</w:t>
      </w:r>
    </w:p>
    <w:p w14:paraId="78809CE0"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намаляване на плазмения обем и плацентарната хипоперфузия, без благоприятен ефект върху хода на заболяването.</w:t>
      </w:r>
    </w:p>
    <w:p w14:paraId="790F43CB"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ситуации, когато друго лечение не може да бъде използвано.</w:t>
      </w:r>
    </w:p>
    <w:p w14:paraId="0ED5BA62" w14:textId="77777777" w:rsidR="004F5812" w:rsidRPr="004F5812" w:rsidRDefault="004F5812" w:rsidP="004F5812">
      <w:pPr>
        <w:spacing w:line="240" w:lineRule="auto"/>
        <w:rPr>
          <w:rFonts w:eastAsia="Times New Roman" w:cs="Arial"/>
          <w:i/>
          <w:iCs/>
          <w:color w:val="000000"/>
          <w:lang w:eastAsia="bg-BG"/>
        </w:rPr>
      </w:pPr>
    </w:p>
    <w:p w14:paraId="59A8BDDA" w14:textId="4D63F5B3" w:rsidR="004F5812" w:rsidRPr="0038166B" w:rsidRDefault="004F5812" w:rsidP="0038166B">
      <w:pPr>
        <w:pStyle w:val="Heading3"/>
        <w:rPr>
          <w:rFonts w:eastAsia="Times New Roman"/>
          <w:u w:val="single"/>
          <w:lang w:eastAsia="bg-BG"/>
        </w:rPr>
      </w:pPr>
      <w:bookmarkStart w:id="1" w:name="_GoBack"/>
      <w:r w:rsidRPr="0038166B">
        <w:rPr>
          <w:rFonts w:eastAsia="Times New Roman"/>
          <w:u w:val="single"/>
          <w:lang w:eastAsia="bg-BG"/>
        </w:rPr>
        <w:t>Кърмене:</w:t>
      </w:r>
    </w:p>
    <w:bookmarkEnd w:id="1"/>
    <w:p w14:paraId="39883ED2"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Ангиотензин II рецепторни антагонисти (АПРБ):</w:t>
      </w:r>
    </w:p>
    <w:p w14:paraId="3ADEC3F9"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Тъй като не е налична информация по отношение на използването на лосартан/хидрохлоротиазид по време на кърмене, лосартан/хидрохлоротиазид не се препоръчва и е за предпочитене алтернативно лечение с по-добре установен профил на безопасност по време на кърмене, особено при кърмене на новородено или недоносено бебе.</w:t>
      </w:r>
    </w:p>
    <w:p w14:paraId="3B8809EB" w14:textId="77777777" w:rsidR="004F5812" w:rsidRPr="004F5812" w:rsidRDefault="004F5812" w:rsidP="004F5812">
      <w:pPr>
        <w:spacing w:line="240" w:lineRule="auto"/>
        <w:rPr>
          <w:rFonts w:eastAsia="Times New Roman" w:cs="Arial"/>
          <w:i/>
          <w:iCs/>
          <w:color w:val="000000"/>
          <w:lang w:eastAsia="bg-BG"/>
        </w:rPr>
      </w:pPr>
    </w:p>
    <w:p w14:paraId="0F10FE74" w14:textId="385BF9B9"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lang w:eastAsia="bg-BG"/>
        </w:rPr>
        <w:t>Хидрохлоротиазид</w:t>
      </w:r>
    </w:p>
    <w:p w14:paraId="776662C5" w14:textId="19FE5733" w:rsidR="0091385D" w:rsidRPr="004F5812" w:rsidRDefault="004F5812" w:rsidP="004F5812">
      <w:pPr>
        <w:rPr>
          <w:rFonts w:cs="Arial"/>
        </w:rPr>
      </w:pPr>
      <w:r w:rsidRPr="004F5812">
        <w:rPr>
          <w:rFonts w:eastAsia="Times New Roman" w:cs="Arial"/>
          <w:color w:val="000000"/>
          <w:lang w:eastAsia="bg-BG"/>
        </w:rPr>
        <w:t xml:space="preserve">Хидрохлоротиазид се екскретира в майчината кърма в малки количества. Тиазидите в по- високи дози, водещи до интензивна диуреза, може да възпрепятстват отделянето на кърма. Използването на Лориста </w:t>
      </w:r>
      <w:r w:rsidRPr="004F5812">
        <w:rPr>
          <w:rFonts w:eastAsia="Times New Roman" w:cs="Arial"/>
          <w:color w:val="000000"/>
          <w:lang w:val="en-US"/>
        </w:rPr>
        <w:t xml:space="preserve">HD </w:t>
      </w:r>
      <w:r w:rsidRPr="004F5812">
        <w:rPr>
          <w:rFonts w:eastAsia="Times New Roman" w:cs="Arial"/>
          <w:color w:val="000000"/>
          <w:lang w:eastAsia="bg-BG"/>
        </w:rPr>
        <w:t xml:space="preserve">по време на кърмене не се препоръчва. Ако Лориста </w:t>
      </w:r>
      <w:r w:rsidRPr="004F5812">
        <w:rPr>
          <w:rFonts w:eastAsia="Times New Roman" w:cs="Arial"/>
          <w:color w:val="000000"/>
          <w:lang w:val="en-US"/>
        </w:rPr>
        <w:t xml:space="preserve">HD </w:t>
      </w:r>
      <w:r w:rsidRPr="004F5812">
        <w:rPr>
          <w:rFonts w:eastAsia="Times New Roman" w:cs="Arial"/>
          <w:color w:val="000000"/>
          <w:lang w:eastAsia="bg-BG"/>
        </w:rPr>
        <w:t>се използва по време на кърмене, трябва да се използва най-ниската възможна доза.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4E7E50F0" w:rsidR="0091385D" w:rsidRDefault="004F5812" w:rsidP="0091385D">
      <w:r>
        <w:t>Не са провеждани изпитвания върху способността за шофиране и работа с машини. Въпреки това трябва да се има предвид, че понякога може да възникне замайване и сънливост по време на антихипертензивно лечение, най-вече в началото на лечението или при повишаване на дозата.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2F10107D"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Нежеланите лекарствени реакции по-долу са определени, където е възможно по системо- органни клас и честота, съгласно следната класификация:</w:t>
      </w:r>
    </w:p>
    <w:p w14:paraId="1655481B"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Много чести: ≥ 1/10</w:t>
      </w:r>
    </w:p>
    <w:p w14:paraId="60BBEC3A"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Чести: ≥ 1/100, &lt; 1/10</w:t>
      </w:r>
    </w:p>
    <w:p w14:paraId="246264A8"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Нечести:  ≥ 1/1 000, &lt; 1/100</w:t>
      </w:r>
    </w:p>
    <w:p w14:paraId="6DBC56F9"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Редки: ≥ 1/10 000, &lt; 1/1 000</w:t>
      </w:r>
    </w:p>
    <w:p w14:paraId="6D617568"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Много редки: &lt; 1/10 000</w:t>
      </w:r>
    </w:p>
    <w:p w14:paraId="4EE206CC"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С неизвестна честота: &lt; 1/10 000 (не може да се определи по наличните данни)</w:t>
      </w:r>
    </w:p>
    <w:p w14:paraId="7972609C" w14:textId="77777777" w:rsidR="004F5812" w:rsidRPr="004F5812" w:rsidRDefault="004F5812" w:rsidP="004F5812">
      <w:pPr>
        <w:spacing w:line="240" w:lineRule="auto"/>
        <w:rPr>
          <w:rFonts w:eastAsia="Times New Roman" w:cs="Arial"/>
          <w:color w:val="000000"/>
          <w:lang w:eastAsia="bg-BG"/>
        </w:rPr>
      </w:pPr>
    </w:p>
    <w:p w14:paraId="502BAF3A" w14:textId="0BEF613F"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При клинични изследвания с лосартан калий и хидрохлоротиазид, не са наблюдавани нежелани лекарствени реакции, които да са специфични за тази комбинация. Те са били ограничени до тези, съобщавани преди за лосартан калий и/или хидрохлоротиазид.</w:t>
      </w:r>
    </w:p>
    <w:p w14:paraId="176EACFF" w14:textId="77777777" w:rsidR="004F5812" w:rsidRPr="004F5812" w:rsidRDefault="004F5812" w:rsidP="004F5812">
      <w:pPr>
        <w:spacing w:line="240" w:lineRule="auto"/>
        <w:rPr>
          <w:rFonts w:eastAsia="Times New Roman" w:cs="Arial"/>
          <w:color w:val="000000"/>
          <w:lang w:eastAsia="bg-BG"/>
        </w:rPr>
      </w:pPr>
    </w:p>
    <w:p w14:paraId="36EE2C39" w14:textId="42642866"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В контролирани клинични изпитвания за есенциална хипертония, световъртеж е единствената съобщена нежелана лекарствена реакция като лекарствено-свързана, която възниква с честота по-голяма от плацебо при 1 % или повече от пациентите, лекувани с лосартан и хидрохлоротиазид.</w:t>
      </w:r>
    </w:p>
    <w:p w14:paraId="792CAFE0" w14:textId="77777777" w:rsidR="004F5812" w:rsidRPr="004F5812" w:rsidRDefault="004F5812" w:rsidP="004F5812">
      <w:pPr>
        <w:rPr>
          <w:rFonts w:eastAsia="Times New Roman" w:cs="Arial"/>
          <w:color w:val="000000"/>
          <w:lang w:eastAsia="bg-BG"/>
        </w:rPr>
      </w:pPr>
    </w:p>
    <w:p w14:paraId="570508C4" w14:textId="673F0EEE" w:rsidR="0091385D" w:rsidRPr="004F5812" w:rsidRDefault="004F5812" w:rsidP="004F5812">
      <w:pPr>
        <w:rPr>
          <w:rFonts w:cs="Arial"/>
        </w:rPr>
      </w:pPr>
      <w:r w:rsidRPr="004F5812">
        <w:rPr>
          <w:rFonts w:eastAsia="Times New Roman" w:cs="Arial"/>
          <w:color w:val="000000"/>
          <w:lang w:eastAsia="bg-BG"/>
        </w:rPr>
        <w:t>Следните допълнителни нежелани лекарствени реакции са съобщавани след пускане на продукта на пазара:</w:t>
      </w:r>
    </w:p>
    <w:p w14:paraId="43E3C48F" w14:textId="0C25A864" w:rsidR="0091385D" w:rsidRDefault="0091385D" w:rsidP="0091385D"/>
    <w:tbl>
      <w:tblPr>
        <w:tblStyle w:val="TableGrid"/>
        <w:tblW w:w="0" w:type="auto"/>
        <w:tblLook w:val="04A0" w:firstRow="1" w:lastRow="0" w:firstColumn="1" w:lastColumn="0" w:noHBand="0" w:noVBand="1"/>
      </w:tblPr>
      <w:tblGrid>
        <w:gridCol w:w="3166"/>
        <w:gridCol w:w="3167"/>
        <w:gridCol w:w="3167"/>
      </w:tblGrid>
      <w:tr w:rsidR="004F5812" w14:paraId="173E728E" w14:textId="77777777" w:rsidTr="004F5812">
        <w:tc>
          <w:tcPr>
            <w:tcW w:w="3166" w:type="dxa"/>
          </w:tcPr>
          <w:p w14:paraId="7D0AC125" w14:textId="6F517BAE" w:rsidR="004F5812" w:rsidRDefault="004F5812" w:rsidP="004F5812">
            <w:r>
              <w:rPr>
                <w:b/>
                <w:bCs/>
              </w:rPr>
              <w:t>Системно-органен клас</w:t>
            </w:r>
          </w:p>
        </w:tc>
        <w:tc>
          <w:tcPr>
            <w:tcW w:w="3167" w:type="dxa"/>
          </w:tcPr>
          <w:p w14:paraId="20A091F1" w14:textId="2402A6EB" w:rsidR="004F5812" w:rsidRDefault="004F5812" w:rsidP="004F5812">
            <w:r>
              <w:rPr>
                <w:b/>
                <w:bCs/>
              </w:rPr>
              <w:t>Нежелана реакция</w:t>
            </w:r>
          </w:p>
        </w:tc>
        <w:tc>
          <w:tcPr>
            <w:tcW w:w="3167" w:type="dxa"/>
          </w:tcPr>
          <w:p w14:paraId="4B0B9ACC" w14:textId="14CA3DA5" w:rsidR="004F5812" w:rsidRDefault="004F5812" w:rsidP="004F5812">
            <w:r>
              <w:rPr>
                <w:b/>
                <w:bCs/>
              </w:rPr>
              <w:t>Честота</w:t>
            </w:r>
          </w:p>
        </w:tc>
      </w:tr>
      <w:tr w:rsidR="004F5812" w14:paraId="50B321A2" w14:textId="77777777" w:rsidTr="004F5812">
        <w:tc>
          <w:tcPr>
            <w:tcW w:w="3166" w:type="dxa"/>
          </w:tcPr>
          <w:p w14:paraId="51BD8162" w14:textId="2DABA63A" w:rsidR="004F5812" w:rsidRDefault="004F5812" w:rsidP="004F5812">
            <w:r>
              <w:t>Хепато-билиарни нарушения</w:t>
            </w:r>
          </w:p>
        </w:tc>
        <w:tc>
          <w:tcPr>
            <w:tcW w:w="3167" w:type="dxa"/>
          </w:tcPr>
          <w:p w14:paraId="6E197799" w14:textId="2D14DD42" w:rsidR="004F5812" w:rsidRDefault="004F5812" w:rsidP="004F5812">
            <w:r>
              <w:t>Хепатит</w:t>
            </w:r>
          </w:p>
        </w:tc>
        <w:tc>
          <w:tcPr>
            <w:tcW w:w="3167" w:type="dxa"/>
          </w:tcPr>
          <w:p w14:paraId="620E111B" w14:textId="1478ECD2" w:rsidR="004F5812" w:rsidRDefault="004F5812" w:rsidP="004F5812">
            <w:r>
              <w:t>редки</w:t>
            </w:r>
          </w:p>
        </w:tc>
      </w:tr>
      <w:tr w:rsidR="004F5812" w14:paraId="746FAB05" w14:textId="77777777" w:rsidTr="004F5812">
        <w:tc>
          <w:tcPr>
            <w:tcW w:w="3166" w:type="dxa"/>
          </w:tcPr>
          <w:p w14:paraId="031E221E" w14:textId="7E21DE78" w:rsidR="004F5812" w:rsidRDefault="004F5812" w:rsidP="004F5812">
            <w:r>
              <w:t>Изследвания</w:t>
            </w:r>
          </w:p>
        </w:tc>
        <w:tc>
          <w:tcPr>
            <w:tcW w:w="3167" w:type="dxa"/>
          </w:tcPr>
          <w:p w14:paraId="360F7958" w14:textId="7460ABE9" w:rsidR="004F5812" w:rsidRDefault="004F5812" w:rsidP="004F5812">
            <w:r>
              <w:t xml:space="preserve">Хиперкалиемия, повишаване на </w:t>
            </w:r>
            <w:r>
              <w:rPr>
                <w:lang w:val="en-US"/>
              </w:rPr>
              <w:t>ALT</w:t>
            </w:r>
          </w:p>
        </w:tc>
        <w:tc>
          <w:tcPr>
            <w:tcW w:w="3167" w:type="dxa"/>
          </w:tcPr>
          <w:p w14:paraId="0AAEF167" w14:textId="3BAFEF79" w:rsidR="004F5812" w:rsidRDefault="004F5812" w:rsidP="004F5812">
            <w:r>
              <w:t>редки</w:t>
            </w:r>
          </w:p>
        </w:tc>
      </w:tr>
    </w:tbl>
    <w:p w14:paraId="1BB9CCF0" w14:textId="41F7C70A" w:rsidR="004F5812" w:rsidRDefault="004F5812" w:rsidP="0091385D"/>
    <w:p w14:paraId="5913E430"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Други нежелани реакции, наблюдавани при един от отделните компоненти, които могат да се проявят потенциално като нежелани реакции и при приложение на лосартан калий/хидрохлоротиазид, са следните:</w:t>
      </w:r>
    </w:p>
    <w:p w14:paraId="0E6A0200" w14:textId="77777777" w:rsidR="004F5812" w:rsidRPr="0074598E" w:rsidRDefault="004F5812" w:rsidP="004F5812">
      <w:pPr>
        <w:rPr>
          <w:rFonts w:eastAsia="Times New Roman" w:cs="Arial"/>
          <w:color w:val="000000"/>
          <w:u w:val="single"/>
          <w:lang w:eastAsia="bg-BG"/>
        </w:rPr>
      </w:pPr>
    </w:p>
    <w:p w14:paraId="599B98C8" w14:textId="13DB8289" w:rsidR="004F5812" w:rsidRPr="0074598E" w:rsidRDefault="004F5812" w:rsidP="004F5812">
      <w:pPr>
        <w:rPr>
          <w:rFonts w:eastAsia="Times New Roman" w:cs="Arial"/>
          <w:color w:val="000000"/>
          <w:u w:val="single"/>
          <w:lang w:eastAsia="bg-BG"/>
        </w:rPr>
      </w:pPr>
      <w:r w:rsidRPr="0074598E">
        <w:rPr>
          <w:rFonts w:eastAsia="Times New Roman" w:cs="Arial"/>
          <w:color w:val="000000"/>
          <w:u w:val="single"/>
          <w:lang w:eastAsia="bg-BG"/>
        </w:rPr>
        <w:t>Лосартан</w:t>
      </w:r>
    </w:p>
    <w:p w14:paraId="672B6EA6" w14:textId="0840CEF1" w:rsidR="004F5812" w:rsidRDefault="004F5812" w:rsidP="004F5812">
      <w:pPr>
        <w:rPr>
          <w:rFonts w:ascii="Times New Roman" w:eastAsia="Times New Roman" w:hAnsi="Times New Roman" w:cs="Times New Roman"/>
          <w:color w:val="000000"/>
          <w:u w:val="single"/>
          <w:lang w:eastAsia="bg-BG"/>
        </w:rPr>
      </w:pPr>
    </w:p>
    <w:tbl>
      <w:tblPr>
        <w:tblStyle w:val="TableGrid"/>
        <w:tblW w:w="0" w:type="auto"/>
        <w:tblLook w:val="04A0" w:firstRow="1" w:lastRow="0" w:firstColumn="1" w:lastColumn="0" w:noHBand="0" w:noVBand="1"/>
      </w:tblPr>
      <w:tblGrid>
        <w:gridCol w:w="3166"/>
        <w:gridCol w:w="3167"/>
        <w:gridCol w:w="3167"/>
      </w:tblGrid>
      <w:tr w:rsidR="0074598E" w14:paraId="2C2B200E" w14:textId="77777777" w:rsidTr="004F5812">
        <w:tc>
          <w:tcPr>
            <w:tcW w:w="3166" w:type="dxa"/>
          </w:tcPr>
          <w:p w14:paraId="51A0AE28" w14:textId="544018FD" w:rsidR="0074598E" w:rsidRDefault="0074598E" w:rsidP="0074598E">
            <w:r>
              <w:rPr>
                <w:b/>
                <w:bCs/>
              </w:rPr>
              <w:t>Системно-органен клас</w:t>
            </w:r>
          </w:p>
        </w:tc>
        <w:tc>
          <w:tcPr>
            <w:tcW w:w="3167" w:type="dxa"/>
          </w:tcPr>
          <w:p w14:paraId="1C46066E" w14:textId="74804BB7" w:rsidR="0074598E" w:rsidRDefault="0074598E" w:rsidP="0074598E">
            <w:r>
              <w:rPr>
                <w:b/>
                <w:bCs/>
              </w:rPr>
              <w:t>Нежелана реакция</w:t>
            </w:r>
          </w:p>
        </w:tc>
        <w:tc>
          <w:tcPr>
            <w:tcW w:w="3167" w:type="dxa"/>
          </w:tcPr>
          <w:p w14:paraId="457171E4" w14:textId="78E5AFF3" w:rsidR="0074598E" w:rsidRDefault="0074598E" w:rsidP="0074598E">
            <w:r>
              <w:rPr>
                <w:b/>
                <w:bCs/>
              </w:rPr>
              <w:t>Честота</w:t>
            </w:r>
          </w:p>
        </w:tc>
      </w:tr>
      <w:tr w:rsidR="0074598E" w14:paraId="0F1B0F27" w14:textId="77777777" w:rsidTr="004F5812">
        <w:tc>
          <w:tcPr>
            <w:tcW w:w="3166" w:type="dxa"/>
            <w:vMerge w:val="restart"/>
          </w:tcPr>
          <w:p w14:paraId="0D7985F7" w14:textId="3A0B8903" w:rsidR="0074598E" w:rsidRDefault="0074598E" w:rsidP="0074598E">
            <w:r>
              <w:t>Нарушения на кръвоносната и лимфна системи</w:t>
            </w:r>
          </w:p>
        </w:tc>
        <w:tc>
          <w:tcPr>
            <w:tcW w:w="3167" w:type="dxa"/>
          </w:tcPr>
          <w:p w14:paraId="1E9C02E0" w14:textId="77777777" w:rsidR="0074598E" w:rsidRDefault="0074598E" w:rsidP="0074598E">
            <w:r>
              <w:t>Анемия, пурпура на Henoch-</w:t>
            </w:r>
          </w:p>
          <w:p w14:paraId="0A151626" w14:textId="6227201E" w:rsidR="0074598E" w:rsidRDefault="0074598E" w:rsidP="0074598E">
            <w:r>
              <w:t>Schönlein</w:t>
            </w:r>
            <w:r>
              <w:rPr>
                <w:lang w:val="en-US"/>
              </w:rPr>
              <w:t xml:space="preserve">, </w:t>
            </w:r>
            <w:r>
              <w:t>екхимоза, хемолиза</w:t>
            </w:r>
          </w:p>
        </w:tc>
        <w:tc>
          <w:tcPr>
            <w:tcW w:w="3167" w:type="dxa"/>
          </w:tcPr>
          <w:p w14:paraId="65FF52DF" w14:textId="12080973" w:rsidR="0074598E" w:rsidRDefault="0074598E" w:rsidP="0074598E">
            <w:r>
              <w:t>нечести</w:t>
            </w:r>
          </w:p>
        </w:tc>
      </w:tr>
      <w:tr w:rsidR="0074598E" w14:paraId="2B288227" w14:textId="77777777" w:rsidTr="004F5812">
        <w:tc>
          <w:tcPr>
            <w:tcW w:w="3166" w:type="dxa"/>
            <w:vMerge/>
          </w:tcPr>
          <w:p w14:paraId="1C21125A" w14:textId="77777777" w:rsidR="0074598E" w:rsidRDefault="0074598E" w:rsidP="0074598E"/>
        </w:tc>
        <w:tc>
          <w:tcPr>
            <w:tcW w:w="3167" w:type="dxa"/>
          </w:tcPr>
          <w:p w14:paraId="3BC9CF9A" w14:textId="595F3F7E" w:rsidR="0074598E" w:rsidRDefault="0074598E" w:rsidP="0074598E">
            <w:r>
              <w:t>Тромбоцитопения</w:t>
            </w:r>
          </w:p>
        </w:tc>
        <w:tc>
          <w:tcPr>
            <w:tcW w:w="3167" w:type="dxa"/>
          </w:tcPr>
          <w:p w14:paraId="482E16AB" w14:textId="36139FE3" w:rsidR="0074598E" w:rsidRDefault="0074598E" w:rsidP="0074598E">
            <w:r>
              <w:t>с неизвестна честота</w:t>
            </w:r>
          </w:p>
        </w:tc>
      </w:tr>
      <w:tr w:rsidR="0074598E" w14:paraId="33D4A2B8" w14:textId="77777777" w:rsidTr="004F5812">
        <w:tc>
          <w:tcPr>
            <w:tcW w:w="3166" w:type="dxa"/>
          </w:tcPr>
          <w:p w14:paraId="4C15D873" w14:textId="67940F87" w:rsidR="0074598E" w:rsidRDefault="0074598E" w:rsidP="0074598E">
            <w:r>
              <w:lastRenderedPageBreak/>
              <w:t>Сърдечни нарушения</w:t>
            </w:r>
          </w:p>
        </w:tc>
        <w:tc>
          <w:tcPr>
            <w:tcW w:w="3167" w:type="dxa"/>
          </w:tcPr>
          <w:p w14:paraId="7D1D9C26" w14:textId="29E99C83" w:rsidR="0074598E" w:rsidRDefault="0074598E" w:rsidP="0074598E">
            <w:r>
              <w:t xml:space="preserve">Хипотензия, ортостатична хипотензия, стерналгия, стенокардия, </w:t>
            </w:r>
            <w:r>
              <w:rPr>
                <w:lang w:val="en-US"/>
              </w:rPr>
              <w:t xml:space="preserve">AV </w:t>
            </w:r>
            <w:r>
              <w:t>блок II степен, цереброваскуларно събитие, инфаркт на миокарда, палпитация, аритмии (предсърдно трептене, синусова брадикардия, тахикардия, камерна тахикардия, камерно мъждене)</w:t>
            </w:r>
          </w:p>
        </w:tc>
        <w:tc>
          <w:tcPr>
            <w:tcW w:w="3167" w:type="dxa"/>
          </w:tcPr>
          <w:p w14:paraId="73FC5EFA" w14:textId="0226074A" w:rsidR="0074598E" w:rsidRDefault="0074598E" w:rsidP="0074598E">
            <w:r>
              <w:t>нечести</w:t>
            </w:r>
          </w:p>
        </w:tc>
      </w:tr>
      <w:tr w:rsidR="0074598E" w14:paraId="2AE7EA97" w14:textId="77777777" w:rsidTr="004F5812">
        <w:tc>
          <w:tcPr>
            <w:tcW w:w="3166" w:type="dxa"/>
          </w:tcPr>
          <w:p w14:paraId="7F733718" w14:textId="3624AD46" w:rsidR="0074598E" w:rsidRDefault="0074598E" w:rsidP="0074598E">
            <w:r>
              <w:t>Нарушения на ухото и лабиринта</w:t>
            </w:r>
          </w:p>
        </w:tc>
        <w:tc>
          <w:tcPr>
            <w:tcW w:w="3167" w:type="dxa"/>
          </w:tcPr>
          <w:p w14:paraId="02159426" w14:textId="07F2501E" w:rsidR="0074598E" w:rsidRDefault="0074598E" w:rsidP="0074598E">
            <w:r>
              <w:t>Вертиго, шум в ушите</w:t>
            </w:r>
          </w:p>
        </w:tc>
        <w:tc>
          <w:tcPr>
            <w:tcW w:w="3167" w:type="dxa"/>
          </w:tcPr>
          <w:p w14:paraId="10E1362C" w14:textId="75F84525" w:rsidR="0074598E" w:rsidRDefault="0074598E" w:rsidP="0074598E">
            <w:r>
              <w:t>нечести</w:t>
            </w:r>
          </w:p>
        </w:tc>
      </w:tr>
      <w:tr w:rsidR="0074598E" w14:paraId="48492ED1" w14:textId="77777777" w:rsidTr="004F5812">
        <w:tc>
          <w:tcPr>
            <w:tcW w:w="3166" w:type="dxa"/>
          </w:tcPr>
          <w:p w14:paraId="1E1F5A9B" w14:textId="38181A3E" w:rsidR="0074598E" w:rsidRDefault="0074598E" w:rsidP="0074598E">
            <w:r>
              <w:t>Нарушения на окото</w:t>
            </w:r>
          </w:p>
        </w:tc>
        <w:tc>
          <w:tcPr>
            <w:tcW w:w="3167" w:type="dxa"/>
          </w:tcPr>
          <w:p w14:paraId="33E3A52E" w14:textId="5081A0C1" w:rsidR="0074598E" w:rsidRDefault="0074598E" w:rsidP="0074598E">
            <w:r>
              <w:t>Замъглено зрение, парене/смъдене в окото, конюнктивит, понижена зрителна острота</w:t>
            </w:r>
          </w:p>
        </w:tc>
        <w:tc>
          <w:tcPr>
            <w:tcW w:w="3167" w:type="dxa"/>
          </w:tcPr>
          <w:p w14:paraId="3F44AA61" w14:textId="1800F4A4" w:rsidR="0074598E" w:rsidRDefault="0074598E" w:rsidP="0074598E">
            <w:r>
              <w:t>нечести</w:t>
            </w:r>
          </w:p>
        </w:tc>
      </w:tr>
      <w:tr w:rsidR="0074598E" w14:paraId="7C23FDFE" w14:textId="77777777" w:rsidTr="004F5812">
        <w:tc>
          <w:tcPr>
            <w:tcW w:w="3166" w:type="dxa"/>
            <w:vMerge w:val="restart"/>
          </w:tcPr>
          <w:p w14:paraId="3A95F120" w14:textId="0A30889E" w:rsidR="0074598E" w:rsidRDefault="0074598E" w:rsidP="0074598E">
            <w:r>
              <w:t>Стомашно-чревни нарушения</w:t>
            </w:r>
          </w:p>
        </w:tc>
        <w:tc>
          <w:tcPr>
            <w:tcW w:w="3167" w:type="dxa"/>
          </w:tcPr>
          <w:p w14:paraId="2550335D" w14:textId="5877EDE2" w:rsidR="0074598E" w:rsidRDefault="0074598E" w:rsidP="0074598E">
            <w:r>
              <w:t>Коремна болка, гадене, диария, диспепсия</w:t>
            </w:r>
          </w:p>
        </w:tc>
        <w:tc>
          <w:tcPr>
            <w:tcW w:w="3167" w:type="dxa"/>
          </w:tcPr>
          <w:p w14:paraId="10CF4F5B" w14:textId="0BEDE76C" w:rsidR="0074598E" w:rsidRDefault="0074598E" w:rsidP="0074598E">
            <w:r>
              <w:t>чести</w:t>
            </w:r>
          </w:p>
        </w:tc>
      </w:tr>
      <w:tr w:rsidR="0074598E" w14:paraId="4A74A7B8" w14:textId="77777777" w:rsidTr="004F5812">
        <w:tc>
          <w:tcPr>
            <w:tcW w:w="3166" w:type="dxa"/>
            <w:vMerge/>
          </w:tcPr>
          <w:p w14:paraId="0BD3F25C" w14:textId="77777777" w:rsidR="0074598E" w:rsidRDefault="0074598E" w:rsidP="0074598E"/>
        </w:tc>
        <w:tc>
          <w:tcPr>
            <w:tcW w:w="3167" w:type="dxa"/>
          </w:tcPr>
          <w:p w14:paraId="5D057B47" w14:textId="40D3D86D" w:rsidR="0074598E" w:rsidRDefault="0074598E" w:rsidP="0074598E">
            <w:r>
              <w:t>Запек, зъбна болка, сухота в устата, газове в корема, гастрит, повръщане, запек</w:t>
            </w:r>
          </w:p>
        </w:tc>
        <w:tc>
          <w:tcPr>
            <w:tcW w:w="3167" w:type="dxa"/>
          </w:tcPr>
          <w:p w14:paraId="3657340D" w14:textId="1A229E4C" w:rsidR="0074598E" w:rsidRDefault="0074598E" w:rsidP="0074598E">
            <w:r>
              <w:t>нечести</w:t>
            </w:r>
          </w:p>
        </w:tc>
      </w:tr>
      <w:tr w:rsidR="0074598E" w14:paraId="2881FE97" w14:textId="77777777" w:rsidTr="004F5812">
        <w:tc>
          <w:tcPr>
            <w:tcW w:w="3166" w:type="dxa"/>
            <w:vMerge/>
          </w:tcPr>
          <w:p w14:paraId="7853253E" w14:textId="77777777" w:rsidR="0074598E" w:rsidRDefault="0074598E" w:rsidP="0074598E"/>
        </w:tc>
        <w:tc>
          <w:tcPr>
            <w:tcW w:w="3167" w:type="dxa"/>
          </w:tcPr>
          <w:p w14:paraId="28C8AED7" w14:textId="3D1F9523" w:rsidR="0074598E" w:rsidRDefault="0074598E" w:rsidP="0074598E">
            <w:r>
              <w:t>Панкреатит</w:t>
            </w:r>
          </w:p>
        </w:tc>
        <w:tc>
          <w:tcPr>
            <w:tcW w:w="3167" w:type="dxa"/>
          </w:tcPr>
          <w:p w14:paraId="35E83690" w14:textId="7FA93D26" w:rsidR="0074598E" w:rsidRDefault="0074598E" w:rsidP="0074598E">
            <w:r>
              <w:t>с неизвестна честота</w:t>
            </w:r>
          </w:p>
        </w:tc>
      </w:tr>
      <w:tr w:rsidR="0074598E" w14:paraId="160BA5C1" w14:textId="77777777" w:rsidTr="004F5812">
        <w:tc>
          <w:tcPr>
            <w:tcW w:w="3166" w:type="dxa"/>
            <w:vMerge w:val="restart"/>
          </w:tcPr>
          <w:p w14:paraId="1E10BD40" w14:textId="02F5D910" w:rsidR="0074598E" w:rsidRDefault="0074598E" w:rsidP="0074598E">
            <w:r>
              <w:t>Общи нарушения и ефекти на мястото на приложение</w:t>
            </w:r>
          </w:p>
        </w:tc>
        <w:tc>
          <w:tcPr>
            <w:tcW w:w="3167" w:type="dxa"/>
          </w:tcPr>
          <w:p w14:paraId="0339044A" w14:textId="1A9BC80E" w:rsidR="0074598E" w:rsidRDefault="0074598E" w:rsidP="0074598E">
            <w:r>
              <w:t>Астения, умора, болка в гърдите</w:t>
            </w:r>
          </w:p>
        </w:tc>
        <w:tc>
          <w:tcPr>
            <w:tcW w:w="3167" w:type="dxa"/>
          </w:tcPr>
          <w:p w14:paraId="3D663BA9" w14:textId="65566E44" w:rsidR="0074598E" w:rsidRDefault="0074598E" w:rsidP="0074598E">
            <w:r>
              <w:t>чести</w:t>
            </w:r>
          </w:p>
        </w:tc>
      </w:tr>
      <w:tr w:rsidR="0074598E" w14:paraId="4F7A05CB" w14:textId="77777777" w:rsidTr="004F5812">
        <w:tc>
          <w:tcPr>
            <w:tcW w:w="3166" w:type="dxa"/>
            <w:vMerge/>
          </w:tcPr>
          <w:p w14:paraId="57E2A20C" w14:textId="77777777" w:rsidR="0074598E" w:rsidRDefault="0074598E" w:rsidP="0074598E"/>
        </w:tc>
        <w:tc>
          <w:tcPr>
            <w:tcW w:w="3167" w:type="dxa"/>
          </w:tcPr>
          <w:p w14:paraId="2C6F8465" w14:textId="3FD114D9" w:rsidR="0074598E" w:rsidRDefault="0074598E" w:rsidP="0074598E">
            <w:r>
              <w:t>Оток на лицето, оток, треска</w:t>
            </w:r>
          </w:p>
        </w:tc>
        <w:tc>
          <w:tcPr>
            <w:tcW w:w="3167" w:type="dxa"/>
          </w:tcPr>
          <w:p w14:paraId="4D36EEF5" w14:textId="5319A31F" w:rsidR="0074598E" w:rsidRDefault="0074598E" w:rsidP="0074598E">
            <w:r>
              <w:t>нечести</w:t>
            </w:r>
          </w:p>
        </w:tc>
      </w:tr>
      <w:tr w:rsidR="0074598E" w14:paraId="45E905E0" w14:textId="77777777" w:rsidTr="004F5812">
        <w:tc>
          <w:tcPr>
            <w:tcW w:w="3166" w:type="dxa"/>
            <w:vMerge/>
          </w:tcPr>
          <w:p w14:paraId="173D1FF4" w14:textId="77777777" w:rsidR="0074598E" w:rsidRDefault="0074598E" w:rsidP="0074598E"/>
        </w:tc>
        <w:tc>
          <w:tcPr>
            <w:tcW w:w="3167" w:type="dxa"/>
          </w:tcPr>
          <w:p w14:paraId="1EFF9A00" w14:textId="1993B162" w:rsidR="0074598E" w:rsidRDefault="0074598E" w:rsidP="0074598E">
            <w:r>
              <w:t>Грипо-подобни симптоми, обща отпадналост</w:t>
            </w:r>
          </w:p>
        </w:tc>
        <w:tc>
          <w:tcPr>
            <w:tcW w:w="3167" w:type="dxa"/>
          </w:tcPr>
          <w:p w14:paraId="4EC3BAFB" w14:textId="5208BD44" w:rsidR="0074598E" w:rsidRDefault="0074598E" w:rsidP="0074598E">
            <w:r>
              <w:t>с неизвестна честота</w:t>
            </w:r>
          </w:p>
        </w:tc>
      </w:tr>
      <w:tr w:rsidR="0074598E" w14:paraId="1392C11A" w14:textId="77777777" w:rsidTr="004F5812">
        <w:tc>
          <w:tcPr>
            <w:tcW w:w="3166" w:type="dxa"/>
          </w:tcPr>
          <w:p w14:paraId="17934249" w14:textId="2C94EF1D" w:rsidR="0074598E" w:rsidRDefault="0074598E" w:rsidP="0074598E">
            <w:r>
              <w:t>Хепато-билиарни смущения</w:t>
            </w:r>
          </w:p>
        </w:tc>
        <w:tc>
          <w:tcPr>
            <w:tcW w:w="3167" w:type="dxa"/>
          </w:tcPr>
          <w:p w14:paraId="0762B12E" w14:textId="3451AA2D" w:rsidR="0074598E" w:rsidRDefault="0074598E" w:rsidP="0074598E">
            <w:r>
              <w:t>Аномалии в чернодробната функция</w:t>
            </w:r>
          </w:p>
        </w:tc>
        <w:tc>
          <w:tcPr>
            <w:tcW w:w="3167" w:type="dxa"/>
          </w:tcPr>
          <w:p w14:paraId="7033F033" w14:textId="3BFA5D56" w:rsidR="0074598E" w:rsidRDefault="0074598E" w:rsidP="0074598E">
            <w:r>
              <w:t>с неизвестна честота</w:t>
            </w:r>
          </w:p>
        </w:tc>
      </w:tr>
      <w:tr w:rsidR="0074598E" w14:paraId="665B2B87" w14:textId="77777777" w:rsidTr="004F5812">
        <w:tc>
          <w:tcPr>
            <w:tcW w:w="3166" w:type="dxa"/>
          </w:tcPr>
          <w:p w14:paraId="0006BD91" w14:textId="3DBE7999" w:rsidR="0074598E" w:rsidRDefault="0074598E" w:rsidP="0074598E">
            <w:r>
              <w:t>Нарушения на имунната система</w:t>
            </w:r>
          </w:p>
        </w:tc>
        <w:tc>
          <w:tcPr>
            <w:tcW w:w="3167" w:type="dxa"/>
          </w:tcPr>
          <w:p w14:paraId="1DA32338" w14:textId="4F4BB5E7" w:rsidR="0074598E" w:rsidRDefault="0074598E" w:rsidP="0074598E">
            <w:r>
              <w:t>Свръхчувствителност, анафилактични реакции, ангиоедем, включително подуване на ларинкса и езика, предизвикаващо обструкция на дихателните пътища, и/или подуване на лицето, устните, фаринкса и/или езика; при някои от тези пациенти ангиоедем е бил докладван в миналото във връзка с приложение на други лекарства, включително АСЕ- инхибитори</w:t>
            </w:r>
          </w:p>
        </w:tc>
        <w:tc>
          <w:tcPr>
            <w:tcW w:w="3167" w:type="dxa"/>
          </w:tcPr>
          <w:p w14:paraId="268E3829" w14:textId="77777777" w:rsidR="0074598E" w:rsidRDefault="0074598E" w:rsidP="0074598E">
            <w:r>
              <w:t>редки</w:t>
            </w:r>
          </w:p>
          <w:p w14:paraId="168AD006" w14:textId="77777777" w:rsidR="0074598E" w:rsidRDefault="0074598E" w:rsidP="0074598E"/>
        </w:tc>
      </w:tr>
      <w:tr w:rsidR="0074598E" w14:paraId="4D38F114" w14:textId="77777777" w:rsidTr="004F5812">
        <w:tc>
          <w:tcPr>
            <w:tcW w:w="3166" w:type="dxa"/>
          </w:tcPr>
          <w:p w14:paraId="52A1C078" w14:textId="390D3D2F" w:rsidR="0074598E" w:rsidRDefault="0074598E" w:rsidP="0074598E">
            <w:r>
              <w:t>Нарушения на метаболизма и храненето</w:t>
            </w:r>
          </w:p>
        </w:tc>
        <w:tc>
          <w:tcPr>
            <w:tcW w:w="3167" w:type="dxa"/>
          </w:tcPr>
          <w:p w14:paraId="2261A10C" w14:textId="4BF10812" w:rsidR="0074598E" w:rsidRDefault="0074598E" w:rsidP="0074598E">
            <w:r>
              <w:t>Анорексия, подагра</w:t>
            </w:r>
          </w:p>
        </w:tc>
        <w:tc>
          <w:tcPr>
            <w:tcW w:w="3167" w:type="dxa"/>
          </w:tcPr>
          <w:p w14:paraId="166C20F4" w14:textId="78CF65C4" w:rsidR="0074598E" w:rsidRDefault="0074598E" w:rsidP="0074598E">
            <w:r>
              <w:t>нечести</w:t>
            </w:r>
          </w:p>
        </w:tc>
      </w:tr>
      <w:tr w:rsidR="0074598E" w14:paraId="6D002806" w14:textId="77777777" w:rsidTr="004F5812">
        <w:tc>
          <w:tcPr>
            <w:tcW w:w="3166" w:type="dxa"/>
          </w:tcPr>
          <w:p w14:paraId="1C856E33" w14:textId="477FF821" w:rsidR="0074598E" w:rsidRDefault="0074598E" w:rsidP="0074598E">
            <w:r>
              <w:lastRenderedPageBreak/>
              <w:t>Нарушения на мускулно-</w:t>
            </w:r>
          </w:p>
        </w:tc>
        <w:tc>
          <w:tcPr>
            <w:tcW w:w="3167" w:type="dxa"/>
            <w:vMerge w:val="restart"/>
          </w:tcPr>
          <w:p w14:paraId="567FBA81" w14:textId="77777777" w:rsidR="0074598E" w:rsidRDefault="0074598E" w:rsidP="0074598E">
            <w:r>
              <w:t>Мускулен спазъм, болка в гърба,</w:t>
            </w:r>
          </w:p>
          <w:p w14:paraId="45E15D83" w14:textId="7D22C558" w:rsidR="0074598E" w:rsidRDefault="0074598E" w:rsidP="0074598E">
            <w:r>
              <w:t>болка в крака, миалгия</w:t>
            </w:r>
          </w:p>
        </w:tc>
        <w:tc>
          <w:tcPr>
            <w:tcW w:w="3167" w:type="dxa"/>
            <w:vMerge w:val="restart"/>
          </w:tcPr>
          <w:p w14:paraId="71CD5343" w14:textId="39FB11D4" w:rsidR="0074598E" w:rsidRDefault="0074598E" w:rsidP="0074598E">
            <w:r>
              <w:t>чести</w:t>
            </w:r>
          </w:p>
        </w:tc>
      </w:tr>
      <w:tr w:rsidR="0074598E" w14:paraId="54C74035" w14:textId="77777777" w:rsidTr="0074598E">
        <w:trPr>
          <w:trHeight w:val="270"/>
        </w:trPr>
        <w:tc>
          <w:tcPr>
            <w:tcW w:w="3166" w:type="dxa"/>
            <w:vMerge w:val="restart"/>
          </w:tcPr>
          <w:p w14:paraId="3A0C6398" w14:textId="77777777" w:rsidR="0074598E" w:rsidRDefault="0074598E" w:rsidP="0074598E"/>
        </w:tc>
        <w:tc>
          <w:tcPr>
            <w:tcW w:w="3167" w:type="dxa"/>
            <w:vMerge/>
            <w:vAlign w:val="bottom"/>
          </w:tcPr>
          <w:p w14:paraId="085589FA" w14:textId="2151B454" w:rsidR="0074598E" w:rsidRDefault="0074598E" w:rsidP="0074598E"/>
        </w:tc>
        <w:tc>
          <w:tcPr>
            <w:tcW w:w="3167" w:type="dxa"/>
            <w:vMerge/>
          </w:tcPr>
          <w:p w14:paraId="549AE16F" w14:textId="77777777" w:rsidR="0074598E" w:rsidRDefault="0074598E" w:rsidP="0074598E"/>
        </w:tc>
      </w:tr>
      <w:tr w:rsidR="0074598E" w14:paraId="184BD49F" w14:textId="77777777" w:rsidTr="0074598E">
        <w:tc>
          <w:tcPr>
            <w:tcW w:w="3166" w:type="dxa"/>
            <w:vMerge/>
          </w:tcPr>
          <w:p w14:paraId="7AF705C5" w14:textId="77777777" w:rsidR="0074598E" w:rsidRDefault="0074598E" w:rsidP="0074598E"/>
        </w:tc>
        <w:tc>
          <w:tcPr>
            <w:tcW w:w="3167" w:type="dxa"/>
            <w:vAlign w:val="bottom"/>
          </w:tcPr>
          <w:p w14:paraId="71A55292" w14:textId="378C5EF3" w:rsidR="0074598E" w:rsidRDefault="0074598E" w:rsidP="0074598E">
            <w:r>
              <w:t>Болка в ръката, подуване на ставата, болка в коляното, костно-мускулна болка, болка в рамото, схващане, артралгия, артрит, коксалгия, фибромиалгия, мускулна слабост</w:t>
            </w:r>
          </w:p>
        </w:tc>
        <w:tc>
          <w:tcPr>
            <w:tcW w:w="3167" w:type="dxa"/>
          </w:tcPr>
          <w:p w14:paraId="6E5D9C8E" w14:textId="1F23543D" w:rsidR="0074598E" w:rsidRDefault="0074598E" w:rsidP="0074598E">
            <w:r>
              <w:t>нечести</w:t>
            </w:r>
          </w:p>
        </w:tc>
      </w:tr>
      <w:tr w:rsidR="0074598E" w14:paraId="119AF351" w14:textId="77777777" w:rsidTr="0074598E">
        <w:tc>
          <w:tcPr>
            <w:tcW w:w="3166" w:type="dxa"/>
            <w:vMerge/>
          </w:tcPr>
          <w:p w14:paraId="302893EE" w14:textId="77777777" w:rsidR="0074598E" w:rsidRDefault="0074598E" w:rsidP="0074598E"/>
        </w:tc>
        <w:tc>
          <w:tcPr>
            <w:tcW w:w="3167" w:type="dxa"/>
            <w:vAlign w:val="bottom"/>
          </w:tcPr>
          <w:p w14:paraId="1FBFE5D5" w14:textId="29637856" w:rsidR="0074598E" w:rsidRDefault="0074598E" w:rsidP="0074598E">
            <w:r>
              <w:t>Рабдомиолиза</w:t>
            </w:r>
          </w:p>
        </w:tc>
        <w:tc>
          <w:tcPr>
            <w:tcW w:w="3167" w:type="dxa"/>
            <w:vAlign w:val="bottom"/>
          </w:tcPr>
          <w:p w14:paraId="1FE0E416" w14:textId="680C3C5A" w:rsidR="0074598E" w:rsidRDefault="0074598E" w:rsidP="0074598E">
            <w:r>
              <w:t>с неизвестна честота</w:t>
            </w:r>
          </w:p>
        </w:tc>
      </w:tr>
      <w:tr w:rsidR="0074598E" w14:paraId="36D5D2FE" w14:textId="77777777" w:rsidTr="0074598E">
        <w:tc>
          <w:tcPr>
            <w:tcW w:w="3166" w:type="dxa"/>
            <w:vMerge w:val="restart"/>
          </w:tcPr>
          <w:p w14:paraId="00751D4E" w14:textId="53220DA4" w:rsidR="0074598E" w:rsidRDefault="0074598E" w:rsidP="0074598E">
            <w:r>
              <w:t>Нарушения на нервната система</w:t>
            </w:r>
          </w:p>
        </w:tc>
        <w:tc>
          <w:tcPr>
            <w:tcW w:w="3167" w:type="dxa"/>
            <w:vAlign w:val="bottom"/>
          </w:tcPr>
          <w:p w14:paraId="27F1F9A0" w14:textId="5F55D986" w:rsidR="0074598E" w:rsidRDefault="0074598E" w:rsidP="0074598E">
            <w:r>
              <w:t>Главоболие, замайване</w:t>
            </w:r>
          </w:p>
        </w:tc>
        <w:tc>
          <w:tcPr>
            <w:tcW w:w="3167" w:type="dxa"/>
            <w:vAlign w:val="bottom"/>
          </w:tcPr>
          <w:p w14:paraId="09024320" w14:textId="7B86C0D1" w:rsidR="0074598E" w:rsidRDefault="0074598E" w:rsidP="0074598E">
            <w:r>
              <w:t>чести</w:t>
            </w:r>
          </w:p>
        </w:tc>
      </w:tr>
      <w:tr w:rsidR="0074598E" w14:paraId="525CDB0E" w14:textId="77777777" w:rsidTr="0074598E">
        <w:tc>
          <w:tcPr>
            <w:tcW w:w="3166" w:type="dxa"/>
            <w:vMerge/>
          </w:tcPr>
          <w:p w14:paraId="440C2A7C" w14:textId="77777777" w:rsidR="0074598E" w:rsidRDefault="0074598E" w:rsidP="0074598E"/>
        </w:tc>
        <w:tc>
          <w:tcPr>
            <w:tcW w:w="3167" w:type="dxa"/>
            <w:vAlign w:val="bottom"/>
          </w:tcPr>
          <w:p w14:paraId="21C6AEDD" w14:textId="7BA01BA4" w:rsidR="0074598E" w:rsidRDefault="0074598E" w:rsidP="0074598E">
            <w:r>
              <w:t>Нервност, парестезия, периферна невропатия, тремор, мигрена, синкоп</w:t>
            </w:r>
          </w:p>
        </w:tc>
        <w:tc>
          <w:tcPr>
            <w:tcW w:w="3167" w:type="dxa"/>
          </w:tcPr>
          <w:p w14:paraId="5E2F29A1" w14:textId="48515D63" w:rsidR="0074598E" w:rsidRDefault="0074598E" w:rsidP="0074598E">
            <w:r>
              <w:t>нечести</w:t>
            </w:r>
          </w:p>
        </w:tc>
      </w:tr>
      <w:tr w:rsidR="0074598E" w14:paraId="36B17A3E" w14:textId="77777777" w:rsidTr="0074598E">
        <w:tc>
          <w:tcPr>
            <w:tcW w:w="3166" w:type="dxa"/>
            <w:vMerge/>
          </w:tcPr>
          <w:p w14:paraId="4F4C928F" w14:textId="77777777" w:rsidR="0074598E" w:rsidRDefault="0074598E" w:rsidP="0074598E"/>
        </w:tc>
        <w:tc>
          <w:tcPr>
            <w:tcW w:w="3167" w:type="dxa"/>
            <w:vAlign w:val="bottom"/>
          </w:tcPr>
          <w:p w14:paraId="479F560F" w14:textId="74786DB6" w:rsidR="0074598E" w:rsidRDefault="0074598E" w:rsidP="0074598E">
            <w:r>
              <w:t>Дисгеузия</w:t>
            </w:r>
          </w:p>
        </w:tc>
        <w:tc>
          <w:tcPr>
            <w:tcW w:w="3167" w:type="dxa"/>
            <w:vAlign w:val="bottom"/>
          </w:tcPr>
          <w:p w14:paraId="46B55CAF" w14:textId="4B15DBA6" w:rsidR="0074598E" w:rsidRDefault="0074598E" w:rsidP="0074598E">
            <w:r>
              <w:t>с неизвестна честота</w:t>
            </w:r>
          </w:p>
        </w:tc>
      </w:tr>
      <w:tr w:rsidR="0074598E" w14:paraId="7A66EDC6" w14:textId="77777777" w:rsidTr="0074598E">
        <w:tc>
          <w:tcPr>
            <w:tcW w:w="3166" w:type="dxa"/>
            <w:vMerge w:val="restart"/>
          </w:tcPr>
          <w:p w14:paraId="51AB801A" w14:textId="5C721FAC" w:rsidR="0074598E" w:rsidRDefault="0074598E" w:rsidP="0074598E">
            <w:r>
              <w:t>Психични нарушения</w:t>
            </w:r>
          </w:p>
        </w:tc>
        <w:tc>
          <w:tcPr>
            <w:tcW w:w="3167" w:type="dxa"/>
            <w:vAlign w:val="bottom"/>
          </w:tcPr>
          <w:p w14:paraId="3B5E4EA5" w14:textId="209844F3" w:rsidR="0074598E" w:rsidRDefault="0074598E" w:rsidP="0074598E">
            <w:r>
              <w:t>Безсъние</w:t>
            </w:r>
          </w:p>
        </w:tc>
        <w:tc>
          <w:tcPr>
            <w:tcW w:w="3167" w:type="dxa"/>
            <w:vAlign w:val="bottom"/>
          </w:tcPr>
          <w:p w14:paraId="2BFBEAAE" w14:textId="0C99E95C" w:rsidR="0074598E" w:rsidRDefault="0074598E" w:rsidP="0074598E">
            <w:r>
              <w:t>чести</w:t>
            </w:r>
          </w:p>
        </w:tc>
      </w:tr>
      <w:tr w:rsidR="0074598E" w14:paraId="1643CFEF" w14:textId="77777777" w:rsidTr="0074598E">
        <w:tc>
          <w:tcPr>
            <w:tcW w:w="3166" w:type="dxa"/>
            <w:vMerge/>
          </w:tcPr>
          <w:p w14:paraId="59BCB998" w14:textId="77777777" w:rsidR="0074598E" w:rsidRDefault="0074598E" w:rsidP="0074598E"/>
        </w:tc>
        <w:tc>
          <w:tcPr>
            <w:tcW w:w="3167" w:type="dxa"/>
            <w:vAlign w:val="bottom"/>
          </w:tcPr>
          <w:p w14:paraId="3828CF04" w14:textId="079A220D" w:rsidR="0074598E" w:rsidRDefault="0074598E" w:rsidP="0074598E">
            <w:r>
              <w:t>Тревожност, паническо разстройство, объркване, депресия, патологични сънища, нарушения на съня, сънливост, увредена памет</w:t>
            </w:r>
          </w:p>
        </w:tc>
        <w:tc>
          <w:tcPr>
            <w:tcW w:w="3167" w:type="dxa"/>
          </w:tcPr>
          <w:p w14:paraId="109A9B48" w14:textId="3F1905F8" w:rsidR="0074598E" w:rsidRDefault="0074598E" w:rsidP="0074598E">
            <w:r>
              <w:t>нечести</w:t>
            </w:r>
          </w:p>
        </w:tc>
      </w:tr>
      <w:tr w:rsidR="0074598E" w14:paraId="4DE89131" w14:textId="77777777" w:rsidTr="0074598E">
        <w:tc>
          <w:tcPr>
            <w:tcW w:w="3166" w:type="dxa"/>
            <w:vMerge w:val="restart"/>
          </w:tcPr>
          <w:p w14:paraId="428CAED5" w14:textId="2135F42F" w:rsidR="0074598E" w:rsidRDefault="0074598E" w:rsidP="0074598E">
            <w:r>
              <w:t>Нарушения на бъбреците и пикочните пътища</w:t>
            </w:r>
          </w:p>
        </w:tc>
        <w:tc>
          <w:tcPr>
            <w:tcW w:w="3167" w:type="dxa"/>
            <w:vAlign w:val="bottom"/>
          </w:tcPr>
          <w:p w14:paraId="2A1C0543" w14:textId="3E06CC3E" w:rsidR="0074598E" w:rsidRDefault="0074598E" w:rsidP="0074598E">
            <w:r>
              <w:t>Бъбречно увреждане, бъбречна недостатъчност</w:t>
            </w:r>
          </w:p>
        </w:tc>
        <w:tc>
          <w:tcPr>
            <w:tcW w:w="3167" w:type="dxa"/>
          </w:tcPr>
          <w:p w14:paraId="100293B0" w14:textId="25D63580" w:rsidR="0074598E" w:rsidRDefault="0074598E" w:rsidP="0074598E">
            <w:r>
              <w:t>чести</w:t>
            </w:r>
          </w:p>
        </w:tc>
      </w:tr>
      <w:tr w:rsidR="0074598E" w14:paraId="15A3855C" w14:textId="77777777" w:rsidTr="0074598E">
        <w:tc>
          <w:tcPr>
            <w:tcW w:w="3166" w:type="dxa"/>
            <w:vMerge/>
          </w:tcPr>
          <w:p w14:paraId="6E16DEDD" w14:textId="77777777" w:rsidR="0074598E" w:rsidRDefault="0074598E" w:rsidP="0074598E"/>
        </w:tc>
        <w:tc>
          <w:tcPr>
            <w:tcW w:w="3167" w:type="dxa"/>
            <w:vAlign w:val="bottom"/>
          </w:tcPr>
          <w:p w14:paraId="7E70AADC" w14:textId="25CF3436" w:rsidR="0074598E" w:rsidRDefault="0074598E" w:rsidP="0074598E">
            <w:r>
              <w:t>Никтурия, често уриниране, инфекция на пикочните пътища</w:t>
            </w:r>
          </w:p>
        </w:tc>
        <w:tc>
          <w:tcPr>
            <w:tcW w:w="3167" w:type="dxa"/>
          </w:tcPr>
          <w:p w14:paraId="4357AD63" w14:textId="1912C4C0" w:rsidR="0074598E" w:rsidRDefault="0074598E" w:rsidP="0074598E">
            <w:r>
              <w:t>нечести</w:t>
            </w:r>
          </w:p>
        </w:tc>
      </w:tr>
      <w:tr w:rsidR="0074598E" w14:paraId="36BB2DE8" w14:textId="77777777" w:rsidTr="0074598E">
        <w:tc>
          <w:tcPr>
            <w:tcW w:w="3166" w:type="dxa"/>
            <w:vAlign w:val="bottom"/>
          </w:tcPr>
          <w:p w14:paraId="3D3FDE75" w14:textId="67866D00" w:rsidR="0074598E" w:rsidRDefault="0074598E" w:rsidP="0074598E">
            <w:r>
              <w:t>Нарушения на възпроизводителната система и гърдата</w:t>
            </w:r>
          </w:p>
        </w:tc>
        <w:tc>
          <w:tcPr>
            <w:tcW w:w="3167" w:type="dxa"/>
          </w:tcPr>
          <w:p w14:paraId="564605A5" w14:textId="54EB95EF" w:rsidR="0074598E" w:rsidRDefault="0074598E" w:rsidP="0074598E">
            <w:r>
              <w:t>Понижено либидо,еректилна дисфункция/импотентност</w:t>
            </w:r>
          </w:p>
        </w:tc>
        <w:tc>
          <w:tcPr>
            <w:tcW w:w="3167" w:type="dxa"/>
          </w:tcPr>
          <w:p w14:paraId="57536E4C" w14:textId="6CE3CEBC" w:rsidR="0074598E" w:rsidRDefault="0074598E" w:rsidP="0074598E">
            <w:r>
              <w:t>нечести</w:t>
            </w:r>
          </w:p>
        </w:tc>
      </w:tr>
      <w:tr w:rsidR="0074598E" w14:paraId="263E5348" w14:textId="77777777" w:rsidTr="0074598E">
        <w:tc>
          <w:tcPr>
            <w:tcW w:w="3166" w:type="dxa"/>
            <w:vMerge w:val="restart"/>
          </w:tcPr>
          <w:p w14:paraId="45DCDE05" w14:textId="2B1082CD" w:rsidR="0074598E" w:rsidRDefault="0074598E" w:rsidP="0074598E">
            <w:r>
              <w:t>Респираторни, гръдни и медиастинални нарушения</w:t>
            </w:r>
          </w:p>
        </w:tc>
        <w:tc>
          <w:tcPr>
            <w:tcW w:w="3167" w:type="dxa"/>
            <w:vAlign w:val="bottom"/>
          </w:tcPr>
          <w:p w14:paraId="453E3D42" w14:textId="7A7EE520" w:rsidR="0074598E" w:rsidRDefault="0074598E" w:rsidP="0074598E">
            <w:r>
              <w:t>Кашлица, инфекция на горните дихателни пътища, запушване на носа, синузит, нарушения в синусите</w:t>
            </w:r>
          </w:p>
        </w:tc>
        <w:tc>
          <w:tcPr>
            <w:tcW w:w="3167" w:type="dxa"/>
          </w:tcPr>
          <w:p w14:paraId="7FC0E5D7" w14:textId="7128ECF1" w:rsidR="0074598E" w:rsidRDefault="0074598E" w:rsidP="0074598E">
            <w:r>
              <w:t>чести</w:t>
            </w:r>
          </w:p>
        </w:tc>
      </w:tr>
      <w:tr w:rsidR="0074598E" w14:paraId="159C0AEA" w14:textId="77777777" w:rsidTr="0074598E">
        <w:tc>
          <w:tcPr>
            <w:tcW w:w="3166" w:type="dxa"/>
            <w:vMerge/>
          </w:tcPr>
          <w:p w14:paraId="400DB378" w14:textId="77777777" w:rsidR="0074598E" w:rsidRDefault="0074598E" w:rsidP="0074598E"/>
        </w:tc>
        <w:tc>
          <w:tcPr>
            <w:tcW w:w="3167" w:type="dxa"/>
            <w:vAlign w:val="bottom"/>
          </w:tcPr>
          <w:p w14:paraId="68AAD2EA" w14:textId="4A16BE2E" w:rsidR="0074598E" w:rsidRDefault="0074598E" w:rsidP="0074598E">
            <w:r>
              <w:t>Фарингеален дискомфорт, фарингит, ларингит, диспнея, бронхит, епистаксис, ринит, респираторна конгестия</w:t>
            </w:r>
          </w:p>
        </w:tc>
        <w:tc>
          <w:tcPr>
            <w:tcW w:w="3167" w:type="dxa"/>
          </w:tcPr>
          <w:p w14:paraId="7C6A506B" w14:textId="658AC273" w:rsidR="0074598E" w:rsidRDefault="0074598E" w:rsidP="0074598E">
            <w:r>
              <w:t>нечести</w:t>
            </w:r>
          </w:p>
        </w:tc>
      </w:tr>
      <w:tr w:rsidR="0074598E" w14:paraId="28950BE0" w14:textId="77777777" w:rsidTr="0074598E">
        <w:tc>
          <w:tcPr>
            <w:tcW w:w="3166" w:type="dxa"/>
          </w:tcPr>
          <w:p w14:paraId="1E5B782B" w14:textId="3376C3B2" w:rsidR="0074598E" w:rsidRDefault="0074598E" w:rsidP="0074598E">
            <w:r>
              <w:t>Нарушения на кожата и подкожната тъкан</w:t>
            </w:r>
          </w:p>
        </w:tc>
        <w:tc>
          <w:tcPr>
            <w:tcW w:w="3167" w:type="dxa"/>
            <w:vAlign w:val="bottom"/>
          </w:tcPr>
          <w:p w14:paraId="361DD633" w14:textId="1752AA85" w:rsidR="0074598E" w:rsidRDefault="0074598E" w:rsidP="0074598E">
            <w:r>
              <w:t>Алопеция, дерматит, суха кожа, еритема, зачервяване, фоточувствителност, сърбеж, обрив, уртикария, изпотяване</w:t>
            </w:r>
          </w:p>
        </w:tc>
        <w:tc>
          <w:tcPr>
            <w:tcW w:w="3167" w:type="dxa"/>
          </w:tcPr>
          <w:p w14:paraId="31AF2E6E" w14:textId="596463A4" w:rsidR="0074598E" w:rsidRDefault="0074598E" w:rsidP="0074598E">
            <w:r>
              <w:t>нечести</w:t>
            </w:r>
          </w:p>
        </w:tc>
      </w:tr>
      <w:tr w:rsidR="0074598E" w14:paraId="5889033F" w14:textId="77777777" w:rsidTr="0074598E">
        <w:tc>
          <w:tcPr>
            <w:tcW w:w="3166" w:type="dxa"/>
            <w:vMerge w:val="restart"/>
          </w:tcPr>
          <w:p w14:paraId="78F56903" w14:textId="6E3E599B" w:rsidR="0074598E" w:rsidRDefault="0074598E" w:rsidP="0074598E">
            <w:r>
              <w:t>Съдови нарушения</w:t>
            </w:r>
          </w:p>
        </w:tc>
        <w:tc>
          <w:tcPr>
            <w:tcW w:w="3167" w:type="dxa"/>
            <w:vAlign w:val="bottom"/>
          </w:tcPr>
          <w:p w14:paraId="79CA93B8" w14:textId="7B4F74AC" w:rsidR="0074598E" w:rsidRDefault="0074598E" w:rsidP="0074598E">
            <w:r>
              <w:t>Васкулит</w:t>
            </w:r>
          </w:p>
        </w:tc>
        <w:tc>
          <w:tcPr>
            <w:tcW w:w="3167" w:type="dxa"/>
            <w:vAlign w:val="bottom"/>
          </w:tcPr>
          <w:p w14:paraId="6B91EEF4" w14:textId="323BF27B" w:rsidR="0074598E" w:rsidRDefault="0074598E" w:rsidP="0074598E">
            <w:r>
              <w:t>нечести</w:t>
            </w:r>
          </w:p>
        </w:tc>
      </w:tr>
      <w:tr w:rsidR="0074598E" w14:paraId="5617BB88" w14:textId="77777777" w:rsidTr="0074598E">
        <w:tc>
          <w:tcPr>
            <w:tcW w:w="3166" w:type="dxa"/>
            <w:vMerge/>
          </w:tcPr>
          <w:p w14:paraId="1B4E646D" w14:textId="77777777" w:rsidR="0074598E" w:rsidRDefault="0074598E" w:rsidP="0074598E"/>
        </w:tc>
        <w:tc>
          <w:tcPr>
            <w:tcW w:w="3167" w:type="dxa"/>
            <w:vAlign w:val="bottom"/>
          </w:tcPr>
          <w:p w14:paraId="296F6997" w14:textId="40D2263C" w:rsidR="0074598E" w:rsidRDefault="0074598E" w:rsidP="0074598E">
            <w:r>
              <w:t>Дозо-зависими ортостатични ефекти</w:t>
            </w:r>
          </w:p>
        </w:tc>
        <w:tc>
          <w:tcPr>
            <w:tcW w:w="3167" w:type="dxa"/>
          </w:tcPr>
          <w:p w14:paraId="32327DFA" w14:textId="5911A58F" w:rsidR="0074598E" w:rsidRDefault="0074598E" w:rsidP="0074598E">
            <w:r>
              <w:t>с неизвестна честота</w:t>
            </w:r>
          </w:p>
        </w:tc>
      </w:tr>
      <w:tr w:rsidR="0074598E" w14:paraId="7CBAE8E4" w14:textId="77777777" w:rsidTr="0074598E">
        <w:tc>
          <w:tcPr>
            <w:tcW w:w="3166" w:type="dxa"/>
            <w:vMerge w:val="restart"/>
          </w:tcPr>
          <w:p w14:paraId="678236D5" w14:textId="3A04ABA3" w:rsidR="0074598E" w:rsidRDefault="0074598E" w:rsidP="0074598E">
            <w:r>
              <w:t>Изследвания</w:t>
            </w:r>
          </w:p>
        </w:tc>
        <w:tc>
          <w:tcPr>
            <w:tcW w:w="3167" w:type="dxa"/>
            <w:vAlign w:val="bottom"/>
          </w:tcPr>
          <w:p w14:paraId="097E6ED6" w14:textId="62FFA852" w:rsidR="0074598E" w:rsidRDefault="0074598E" w:rsidP="0074598E">
            <w:r>
              <w:t>Хиперкалиемия, леко понижени хематокрит и хемоглобин, хипогликемия</w:t>
            </w:r>
          </w:p>
        </w:tc>
        <w:tc>
          <w:tcPr>
            <w:tcW w:w="3167" w:type="dxa"/>
          </w:tcPr>
          <w:p w14:paraId="526EB8F8" w14:textId="04E945B5" w:rsidR="0074598E" w:rsidRDefault="0074598E" w:rsidP="0074598E">
            <w:r>
              <w:t>чести</w:t>
            </w:r>
          </w:p>
        </w:tc>
      </w:tr>
      <w:tr w:rsidR="0074598E" w14:paraId="69B6FA8B" w14:textId="77777777" w:rsidTr="0074598E">
        <w:tc>
          <w:tcPr>
            <w:tcW w:w="3166" w:type="dxa"/>
            <w:vMerge/>
          </w:tcPr>
          <w:p w14:paraId="29857B20" w14:textId="77777777" w:rsidR="0074598E" w:rsidRDefault="0074598E" w:rsidP="0074598E"/>
        </w:tc>
        <w:tc>
          <w:tcPr>
            <w:tcW w:w="3167" w:type="dxa"/>
            <w:vAlign w:val="bottom"/>
          </w:tcPr>
          <w:p w14:paraId="00D13DB1" w14:textId="0423E429" w:rsidR="0074598E" w:rsidRDefault="0074598E" w:rsidP="0074598E">
            <w:r>
              <w:t>Леко повишаване в серумните нива на урея и креатинин</w:t>
            </w:r>
          </w:p>
        </w:tc>
        <w:tc>
          <w:tcPr>
            <w:tcW w:w="3167" w:type="dxa"/>
          </w:tcPr>
          <w:p w14:paraId="76385237" w14:textId="6FF49D3B" w:rsidR="0074598E" w:rsidRDefault="0074598E" w:rsidP="0074598E">
            <w:r>
              <w:t>нечести</w:t>
            </w:r>
          </w:p>
        </w:tc>
      </w:tr>
      <w:tr w:rsidR="0074598E" w14:paraId="61485857" w14:textId="77777777" w:rsidTr="0074598E">
        <w:tc>
          <w:tcPr>
            <w:tcW w:w="3166" w:type="dxa"/>
            <w:vMerge/>
          </w:tcPr>
          <w:p w14:paraId="2BB6A7E6" w14:textId="77777777" w:rsidR="0074598E" w:rsidRDefault="0074598E" w:rsidP="0074598E"/>
        </w:tc>
        <w:tc>
          <w:tcPr>
            <w:tcW w:w="3167" w:type="dxa"/>
            <w:vAlign w:val="bottom"/>
          </w:tcPr>
          <w:p w14:paraId="1953F0A2" w14:textId="1640E44F" w:rsidR="0074598E" w:rsidRDefault="0074598E" w:rsidP="0074598E">
            <w:r>
              <w:t>Повишаване на чернодробните ензими и билирубин</w:t>
            </w:r>
          </w:p>
        </w:tc>
        <w:tc>
          <w:tcPr>
            <w:tcW w:w="3167" w:type="dxa"/>
          </w:tcPr>
          <w:p w14:paraId="444334AB" w14:textId="5283788D" w:rsidR="0074598E" w:rsidRDefault="0074598E" w:rsidP="0074598E">
            <w:r>
              <w:t>много редки</w:t>
            </w:r>
          </w:p>
        </w:tc>
      </w:tr>
      <w:tr w:rsidR="0074598E" w14:paraId="02D7E5DD" w14:textId="77777777" w:rsidTr="0074598E">
        <w:tc>
          <w:tcPr>
            <w:tcW w:w="3166" w:type="dxa"/>
            <w:vMerge/>
          </w:tcPr>
          <w:p w14:paraId="2F71E1BD" w14:textId="77777777" w:rsidR="0074598E" w:rsidRDefault="0074598E" w:rsidP="0074598E"/>
        </w:tc>
        <w:tc>
          <w:tcPr>
            <w:tcW w:w="3167" w:type="dxa"/>
            <w:vAlign w:val="bottom"/>
          </w:tcPr>
          <w:p w14:paraId="3EEDEB39" w14:textId="18B48880" w:rsidR="0074598E" w:rsidRDefault="0074598E" w:rsidP="0074598E">
            <w:r>
              <w:t>Хипонатриемия</w:t>
            </w:r>
          </w:p>
        </w:tc>
        <w:tc>
          <w:tcPr>
            <w:tcW w:w="3167" w:type="dxa"/>
            <w:vAlign w:val="bottom"/>
          </w:tcPr>
          <w:p w14:paraId="4865C232" w14:textId="60E550B8" w:rsidR="0074598E" w:rsidRDefault="0074598E" w:rsidP="0074598E">
            <w:r>
              <w:t>с неизвестна честота</w:t>
            </w:r>
          </w:p>
        </w:tc>
      </w:tr>
      <w:tr w:rsidR="0038166B" w14:paraId="00969199" w14:textId="77777777" w:rsidTr="009104AB">
        <w:trPr>
          <w:trHeight w:val="550"/>
        </w:trPr>
        <w:tc>
          <w:tcPr>
            <w:tcW w:w="9500" w:type="dxa"/>
            <w:gridSpan w:val="3"/>
          </w:tcPr>
          <w:p w14:paraId="0D473A5C" w14:textId="3D65A150" w:rsidR="0038166B" w:rsidRDefault="0038166B" w:rsidP="004F5812">
            <w:r>
              <w:rPr>
                <w:u w:val="single"/>
              </w:rPr>
              <w:t>Хидрохлоротиазид</w:t>
            </w:r>
          </w:p>
        </w:tc>
      </w:tr>
      <w:tr w:rsidR="0038166B" w14:paraId="66DD0420" w14:textId="77777777" w:rsidTr="00613E0E">
        <w:tc>
          <w:tcPr>
            <w:tcW w:w="3166" w:type="dxa"/>
            <w:vAlign w:val="bottom"/>
          </w:tcPr>
          <w:p w14:paraId="4D9D0EE5" w14:textId="5AF6126E" w:rsidR="0038166B" w:rsidRDefault="0038166B" w:rsidP="0038166B">
            <w:r>
              <w:rPr>
                <w:b/>
                <w:bCs/>
              </w:rPr>
              <w:t>Системно-органен клас</w:t>
            </w:r>
          </w:p>
        </w:tc>
        <w:tc>
          <w:tcPr>
            <w:tcW w:w="3167" w:type="dxa"/>
            <w:vAlign w:val="bottom"/>
          </w:tcPr>
          <w:p w14:paraId="1D514946" w14:textId="2D2DF335" w:rsidR="0038166B" w:rsidRDefault="0038166B" w:rsidP="0038166B">
            <w:r>
              <w:rPr>
                <w:b/>
                <w:bCs/>
              </w:rPr>
              <w:t>Нежелани реакции</w:t>
            </w:r>
          </w:p>
        </w:tc>
        <w:tc>
          <w:tcPr>
            <w:tcW w:w="3167" w:type="dxa"/>
            <w:vAlign w:val="bottom"/>
          </w:tcPr>
          <w:p w14:paraId="5274D35A" w14:textId="56D80BA6" w:rsidR="0038166B" w:rsidRDefault="0038166B" w:rsidP="0038166B">
            <w:r>
              <w:rPr>
                <w:b/>
                <w:bCs/>
              </w:rPr>
              <w:t>Честота</w:t>
            </w:r>
          </w:p>
        </w:tc>
      </w:tr>
      <w:tr w:rsidR="0038166B" w14:paraId="19AB7305" w14:textId="77777777" w:rsidTr="0096761B">
        <w:trPr>
          <w:trHeight w:val="1349"/>
        </w:trPr>
        <w:tc>
          <w:tcPr>
            <w:tcW w:w="3166" w:type="dxa"/>
            <w:vAlign w:val="bottom"/>
          </w:tcPr>
          <w:p w14:paraId="6BB7AB53" w14:textId="77777777" w:rsidR="0038166B" w:rsidRDefault="0038166B" w:rsidP="0038166B">
            <w:r>
              <w:t>Неоплазми - доброкачествени,</w:t>
            </w:r>
          </w:p>
          <w:p w14:paraId="47F4370F" w14:textId="00347103" w:rsidR="0038166B" w:rsidRDefault="0038166B" w:rsidP="0038166B">
            <w:r>
              <w:t>злокачествени и неопределени (вкл. кисти и полипи)</w:t>
            </w:r>
          </w:p>
        </w:tc>
        <w:tc>
          <w:tcPr>
            <w:tcW w:w="3167" w:type="dxa"/>
            <w:vAlign w:val="bottom"/>
          </w:tcPr>
          <w:p w14:paraId="1B8AB06B" w14:textId="77777777" w:rsidR="0038166B" w:rsidRDefault="0038166B" w:rsidP="0038166B">
            <w:r>
              <w:t>Немеланомен рак на кожата (базалноклетъчен карцином и</w:t>
            </w:r>
          </w:p>
          <w:p w14:paraId="7EF128D1" w14:textId="329EC8D2" w:rsidR="0038166B" w:rsidRDefault="0038166B" w:rsidP="0038166B">
            <w:r>
              <w:t>сквамозноклетьчен карцином)</w:t>
            </w:r>
            <w:r>
              <w:rPr>
                <w:vertAlign w:val="superscript"/>
              </w:rPr>
              <w:t>1</w:t>
            </w:r>
          </w:p>
        </w:tc>
        <w:tc>
          <w:tcPr>
            <w:tcW w:w="3167" w:type="dxa"/>
            <w:vAlign w:val="bottom"/>
          </w:tcPr>
          <w:p w14:paraId="04B7C920" w14:textId="44AD64A2" w:rsidR="0038166B" w:rsidRDefault="0038166B" w:rsidP="0038166B">
            <w:r>
              <w:t>с неизвестна честота</w:t>
            </w:r>
          </w:p>
        </w:tc>
      </w:tr>
      <w:tr w:rsidR="0038166B" w14:paraId="2DFE2ED1" w14:textId="77777777" w:rsidTr="004F5812">
        <w:tc>
          <w:tcPr>
            <w:tcW w:w="3166" w:type="dxa"/>
          </w:tcPr>
          <w:p w14:paraId="7EC0C27A" w14:textId="79E29CAE" w:rsidR="0038166B" w:rsidRDefault="0038166B" w:rsidP="0038166B">
            <w:r>
              <w:t>Нарушения на кръвоносната и лимфна системи</w:t>
            </w:r>
          </w:p>
        </w:tc>
        <w:tc>
          <w:tcPr>
            <w:tcW w:w="3167" w:type="dxa"/>
          </w:tcPr>
          <w:p w14:paraId="43F1CB70" w14:textId="05A1BC92" w:rsidR="0038166B" w:rsidRDefault="0038166B" w:rsidP="0038166B">
            <w:r>
              <w:t>Агранулоцитоза, апластична анемия, хемалитична анемия, левкопения, пурпура, тромбоцитопения</w:t>
            </w:r>
          </w:p>
        </w:tc>
        <w:tc>
          <w:tcPr>
            <w:tcW w:w="3167" w:type="dxa"/>
          </w:tcPr>
          <w:p w14:paraId="2E16711D" w14:textId="28CBDC2C" w:rsidR="0038166B" w:rsidRDefault="0038166B" w:rsidP="0038166B">
            <w:r>
              <w:t>нечести</w:t>
            </w:r>
          </w:p>
        </w:tc>
      </w:tr>
      <w:tr w:rsidR="0038166B" w14:paraId="5B8BBF86" w14:textId="77777777" w:rsidTr="004F5812">
        <w:tc>
          <w:tcPr>
            <w:tcW w:w="3166" w:type="dxa"/>
          </w:tcPr>
          <w:p w14:paraId="0B56D422" w14:textId="2FCA4121" w:rsidR="0038166B" w:rsidRDefault="0038166B" w:rsidP="0038166B">
            <w:r>
              <w:t>Нарушения на имунната система</w:t>
            </w:r>
          </w:p>
        </w:tc>
        <w:tc>
          <w:tcPr>
            <w:tcW w:w="3167" w:type="dxa"/>
          </w:tcPr>
          <w:p w14:paraId="1D14C56A" w14:textId="7D314ADA" w:rsidR="0038166B" w:rsidRDefault="0038166B" w:rsidP="0038166B">
            <w:r>
              <w:t>Анафилактична реакция</w:t>
            </w:r>
          </w:p>
        </w:tc>
        <w:tc>
          <w:tcPr>
            <w:tcW w:w="3167" w:type="dxa"/>
          </w:tcPr>
          <w:p w14:paraId="40E63BAA" w14:textId="6711926A" w:rsidR="0038166B" w:rsidRDefault="0038166B" w:rsidP="0038166B">
            <w:r>
              <w:t>редки</w:t>
            </w:r>
          </w:p>
        </w:tc>
      </w:tr>
      <w:tr w:rsidR="0038166B" w14:paraId="00973E7C" w14:textId="77777777" w:rsidTr="004F5812">
        <w:tc>
          <w:tcPr>
            <w:tcW w:w="3166" w:type="dxa"/>
          </w:tcPr>
          <w:p w14:paraId="1B3F5E8F" w14:textId="282AEB37" w:rsidR="0038166B" w:rsidRDefault="0038166B" w:rsidP="0038166B">
            <w:r>
              <w:t>Нарушения на метаболизма и храненето</w:t>
            </w:r>
          </w:p>
        </w:tc>
        <w:tc>
          <w:tcPr>
            <w:tcW w:w="3167" w:type="dxa"/>
          </w:tcPr>
          <w:p w14:paraId="691B567C" w14:textId="118E5661" w:rsidR="0038166B" w:rsidRDefault="0038166B" w:rsidP="0038166B">
            <w:r>
              <w:t>Анорексия, хипергликемия, хиперурикемия, хипокалиемия, хипонатриемия</w:t>
            </w:r>
          </w:p>
        </w:tc>
        <w:tc>
          <w:tcPr>
            <w:tcW w:w="3167" w:type="dxa"/>
          </w:tcPr>
          <w:p w14:paraId="58D1B846" w14:textId="1C947FF6" w:rsidR="0038166B" w:rsidRDefault="0038166B" w:rsidP="0038166B">
            <w:r>
              <w:t>нечести</w:t>
            </w:r>
          </w:p>
        </w:tc>
      </w:tr>
      <w:tr w:rsidR="0038166B" w14:paraId="36293D26" w14:textId="77777777" w:rsidTr="004F5812">
        <w:tc>
          <w:tcPr>
            <w:tcW w:w="3166" w:type="dxa"/>
          </w:tcPr>
          <w:p w14:paraId="4544C17C" w14:textId="07FDC71A" w:rsidR="0038166B" w:rsidRDefault="0038166B" w:rsidP="0038166B">
            <w:r>
              <w:t>Психични нарушения</w:t>
            </w:r>
          </w:p>
        </w:tc>
        <w:tc>
          <w:tcPr>
            <w:tcW w:w="3167" w:type="dxa"/>
          </w:tcPr>
          <w:p w14:paraId="79BF92DA" w14:textId="2DCBF5E8" w:rsidR="0038166B" w:rsidRDefault="0038166B" w:rsidP="0038166B">
            <w:r>
              <w:t>Безсъние</w:t>
            </w:r>
          </w:p>
        </w:tc>
        <w:tc>
          <w:tcPr>
            <w:tcW w:w="3167" w:type="dxa"/>
          </w:tcPr>
          <w:p w14:paraId="4571B493" w14:textId="04A5875F" w:rsidR="0038166B" w:rsidRDefault="0038166B" w:rsidP="0038166B">
            <w:r>
              <w:t>нечести</w:t>
            </w:r>
          </w:p>
        </w:tc>
      </w:tr>
      <w:tr w:rsidR="0038166B" w14:paraId="2F9B5C77" w14:textId="77777777" w:rsidTr="004F5812">
        <w:tc>
          <w:tcPr>
            <w:tcW w:w="3166" w:type="dxa"/>
          </w:tcPr>
          <w:p w14:paraId="400A42AE" w14:textId="68A0382A" w:rsidR="0038166B" w:rsidRDefault="0038166B" w:rsidP="0038166B">
            <w:r>
              <w:t>Нарушения на нервната система</w:t>
            </w:r>
          </w:p>
        </w:tc>
        <w:tc>
          <w:tcPr>
            <w:tcW w:w="3167" w:type="dxa"/>
          </w:tcPr>
          <w:p w14:paraId="64ACE4E0" w14:textId="178A4EAB" w:rsidR="0038166B" w:rsidRDefault="0038166B" w:rsidP="0038166B">
            <w:r>
              <w:t>Цефалгия</w:t>
            </w:r>
          </w:p>
        </w:tc>
        <w:tc>
          <w:tcPr>
            <w:tcW w:w="3167" w:type="dxa"/>
          </w:tcPr>
          <w:p w14:paraId="57D55E9C" w14:textId="2FF8C386" w:rsidR="0038166B" w:rsidRDefault="0038166B" w:rsidP="0038166B">
            <w:r>
              <w:t>чести</w:t>
            </w:r>
          </w:p>
        </w:tc>
      </w:tr>
      <w:tr w:rsidR="0038166B" w14:paraId="2249E2AD" w14:textId="77777777" w:rsidTr="004F5812">
        <w:tc>
          <w:tcPr>
            <w:tcW w:w="3166" w:type="dxa"/>
            <w:vMerge w:val="restart"/>
          </w:tcPr>
          <w:p w14:paraId="35F84098" w14:textId="65979226" w:rsidR="0038166B" w:rsidRDefault="0038166B" w:rsidP="0038166B">
            <w:r>
              <w:t>Нарушения на окото</w:t>
            </w:r>
          </w:p>
        </w:tc>
        <w:tc>
          <w:tcPr>
            <w:tcW w:w="3167" w:type="dxa"/>
          </w:tcPr>
          <w:p w14:paraId="0FD2CF3A" w14:textId="7571B781" w:rsidR="0038166B" w:rsidRDefault="0038166B" w:rsidP="0038166B">
            <w:r>
              <w:t>Преходно замъглено зрение, ксантопсия</w:t>
            </w:r>
          </w:p>
        </w:tc>
        <w:tc>
          <w:tcPr>
            <w:tcW w:w="3167" w:type="dxa"/>
          </w:tcPr>
          <w:p w14:paraId="2564ACE7" w14:textId="2699C92D" w:rsidR="0038166B" w:rsidRDefault="0038166B" w:rsidP="0038166B">
            <w:r>
              <w:t>нечести</w:t>
            </w:r>
          </w:p>
        </w:tc>
      </w:tr>
      <w:tr w:rsidR="0038166B" w14:paraId="15441EDC" w14:textId="77777777" w:rsidTr="004F5812">
        <w:tc>
          <w:tcPr>
            <w:tcW w:w="3166" w:type="dxa"/>
            <w:vMerge/>
          </w:tcPr>
          <w:p w14:paraId="01C78DF4" w14:textId="77777777" w:rsidR="0038166B" w:rsidRDefault="0038166B" w:rsidP="0038166B"/>
        </w:tc>
        <w:tc>
          <w:tcPr>
            <w:tcW w:w="3167" w:type="dxa"/>
          </w:tcPr>
          <w:p w14:paraId="5F9D80F0" w14:textId="74C779D1" w:rsidR="0038166B" w:rsidRDefault="0038166B" w:rsidP="0038166B">
            <w:r>
              <w:t>Остра миопия</w:t>
            </w:r>
          </w:p>
        </w:tc>
        <w:tc>
          <w:tcPr>
            <w:tcW w:w="3167" w:type="dxa"/>
          </w:tcPr>
          <w:p w14:paraId="386852FA" w14:textId="23994927" w:rsidR="0038166B" w:rsidRDefault="0038166B" w:rsidP="0038166B">
            <w:r>
              <w:t>с неизвестна честота</w:t>
            </w:r>
          </w:p>
        </w:tc>
      </w:tr>
      <w:tr w:rsidR="0038166B" w14:paraId="744F2F54" w14:textId="77777777" w:rsidTr="004F5812">
        <w:tc>
          <w:tcPr>
            <w:tcW w:w="3166" w:type="dxa"/>
            <w:vMerge/>
          </w:tcPr>
          <w:p w14:paraId="587A0E34" w14:textId="77777777" w:rsidR="0038166B" w:rsidRDefault="0038166B" w:rsidP="0038166B"/>
        </w:tc>
        <w:tc>
          <w:tcPr>
            <w:tcW w:w="3167" w:type="dxa"/>
          </w:tcPr>
          <w:p w14:paraId="5D7FCC1D" w14:textId="4A982B51" w:rsidR="0038166B" w:rsidRDefault="0038166B" w:rsidP="0038166B">
            <w:r>
              <w:t>Остра закритоъгълна глаукома</w:t>
            </w:r>
          </w:p>
        </w:tc>
        <w:tc>
          <w:tcPr>
            <w:tcW w:w="3167" w:type="dxa"/>
          </w:tcPr>
          <w:p w14:paraId="0AC64B9B" w14:textId="4AC2AD93" w:rsidR="0038166B" w:rsidRDefault="0038166B" w:rsidP="0038166B">
            <w:r>
              <w:t>с неизвестна честота</w:t>
            </w:r>
          </w:p>
        </w:tc>
      </w:tr>
      <w:tr w:rsidR="0038166B" w14:paraId="60D5D847" w14:textId="77777777" w:rsidTr="004F5812">
        <w:tc>
          <w:tcPr>
            <w:tcW w:w="3166" w:type="dxa"/>
            <w:vMerge/>
          </w:tcPr>
          <w:p w14:paraId="26F95858" w14:textId="77777777" w:rsidR="0038166B" w:rsidRDefault="0038166B" w:rsidP="0038166B"/>
        </w:tc>
        <w:tc>
          <w:tcPr>
            <w:tcW w:w="3167" w:type="dxa"/>
          </w:tcPr>
          <w:p w14:paraId="46BEE9E8" w14:textId="2989B081" w:rsidR="0038166B" w:rsidRDefault="0038166B" w:rsidP="0038166B">
            <w:r>
              <w:t>Хороидален излив</w:t>
            </w:r>
          </w:p>
        </w:tc>
        <w:tc>
          <w:tcPr>
            <w:tcW w:w="3167" w:type="dxa"/>
          </w:tcPr>
          <w:p w14:paraId="25203D21" w14:textId="2244FF03" w:rsidR="0038166B" w:rsidRDefault="0038166B" w:rsidP="0038166B">
            <w:r>
              <w:t>с неизвестна честота</w:t>
            </w:r>
          </w:p>
        </w:tc>
      </w:tr>
      <w:tr w:rsidR="0038166B" w14:paraId="38274F87" w14:textId="77777777" w:rsidTr="004F5812">
        <w:tc>
          <w:tcPr>
            <w:tcW w:w="3166" w:type="dxa"/>
          </w:tcPr>
          <w:p w14:paraId="4BA1F431" w14:textId="02CEB56B" w:rsidR="0038166B" w:rsidRDefault="0038166B" w:rsidP="0038166B">
            <w:r>
              <w:t>Съдови нарушения</w:t>
            </w:r>
          </w:p>
        </w:tc>
        <w:tc>
          <w:tcPr>
            <w:tcW w:w="3167" w:type="dxa"/>
          </w:tcPr>
          <w:p w14:paraId="1F21D0EC" w14:textId="4BF7C7C4" w:rsidR="0038166B" w:rsidRDefault="0038166B" w:rsidP="0038166B">
            <w:r>
              <w:t>Некротизиращ ангиит (васкулит, кожен васкулит)</w:t>
            </w:r>
          </w:p>
        </w:tc>
        <w:tc>
          <w:tcPr>
            <w:tcW w:w="3167" w:type="dxa"/>
          </w:tcPr>
          <w:p w14:paraId="6F58AE65" w14:textId="7BB79473" w:rsidR="0038166B" w:rsidRDefault="0038166B" w:rsidP="0038166B">
            <w:r>
              <w:t>нечести</w:t>
            </w:r>
          </w:p>
        </w:tc>
      </w:tr>
      <w:tr w:rsidR="0038166B" w14:paraId="7A2DEE34" w14:textId="77777777" w:rsidTr="004F5812">
        <w:tc>
          <w:tcPr>
            <w:tcW w:w="3166" w:type="dxa"/>
            <w:vMerge w:val="restart"/>
          </w:tcPr>
          <w:p w14:paraId="1E677C03" w14:textId="7F4E2494" w:rsidR="0038166B" w:rsidRDefault="0038166B" w:rsidP="0038166B">
            <w:r>
              <w:t>Респираторни, гръдни и медиастинални нарушения</w:t>
            </w:r>
          </w:p>
        </w:tc>
        <w:tc>
          <w:tcPr>
            <w:tcW w:w="3167" w:type="dxa"/>
          </w:tcPr>
          <w:p w14:paraId="030D5064" w14:textId="0F35EA90" w:rsidR="0038166B" w:rsidRDefault="0038166B" w:rsidP="0038166B">
            <w:r>
              <w:t>Респираторен дистрес, включително пневмонит и белодробен оток</w:t>
            </w:r>
          </w:p>
        </w:tc>
        <w:tc>
          <w:tcPr>
            <w:tcW w:w="3167" w:type="dxa"/>
          </w:tcPr>
          <w:p w14:paraId="30D1C2E1" w14:textId="22744ED0" w:rsidR="0038166B" w:rsidRDefault="0038166B" w:rsidP="0038166B">
            <w:r>
              <w:t>нечести</w:t>
            </w:r>
          </w:p>
        </w:tc>
      </w:tr>
      <w:tr w:rsidR="0038166B" w14:paraId="0591B505" w14:textId="77777777" w:rsidTr="004F5812">
        <w:tc>
          <w:tcPr>
            <w:tcW w:w="3166" w:type="dxa"/>
            <w:vMerge/>
          </w:tcPr>
          <w:p w14:paraId="3F951E05" w14:textId="77777777" w:rsidR="0038166B" w:rsidRDefault="0038166B" w:rsidP="0038166B"/>
        </w:tc>
        <w:tc>
          <w:tcPr>
            <w:tcW w:w="3167" w:type="dxa"/>
          </w:tcPr>
          <w:p w14:paraId="56AD802E" w14:textId="63003363" w:rsidR="0038166B" w:rsidRDefault="0038166B" w:rsidP="0038166B">
            <w:r>
              <w:t xml:space="preserve">Остър респираторен дистрес синдром (ОРДС) </w:t>
            </w:r>
            <w:r>
              <w:lastRenderedPageBreak/>
              <w:t>(вж. точка 4.4)</w:t>
            </w:r>
          </w:p>
        </w:tc>
        <w:tc>
          <w:tcPr>
            <w:tcW w:w="3167" w:type="dxa"/>
          </w:tcPr>
          <w:p w14:paraId="591B40CC" w14:textId="19C05527" w:rsidR="0038166B" w:rsidRDefault="0038166B" w:rsidP="0038166B">
            <w:r>
              <w:lastRenderedPageBreak/>
              <w:t>много редки</w:t>
            </w:r>
          </w:p>
        </w:tc>
      </w:tr>
      <w:tr w:rsidR="0038166B" w14:paraId="21DC0109" w14:textId="77777777" w:rsidTr="004F5812">
        <w:tc>
          <w:tcPr>
            <w:tcW w:w="3166" w:type="dxa"/>
          </w:tcPr>
          <w:p w14:paraId="2A5640BC" w14:textId="73DE3886" w:rsidR="0038166B" w:rsidRDefault="0038166B" w:rsidP="0038166B">
            <w:r>
              <w:t>Стомашно-чревни нарушения</w:t>
            </w:r>
          </w:p>
        </w:tc>
        <w:tc>
          <w:tcPr>
            <w:tcW w:w="3167" w:type="dxa"/>
          </w:tcPr>
          <w:p w14:paraId="49FE38A6" w14:textId="028F7A23" w:rsidR="0038166B" w:rsidRDefault="0038166B" w:rsidP="0038166B">
            <w:r>
              <w:t>Сиалоаденит, спазми, стомашно дразнене, гадене, повръщане, диария, запек</w:t>
            </w:r>
          </w:p>
        </w:tc>
        <w:tc>
          <w:tcPr>
            <w:tcW w:w="3167" w:type="dxa"/>
          </w:tcPr>
          <w:p w14:paraId="38D015AB" w14:textId="554D3055" w:rsidR="0038166B" w:rsidRDefault="0038166B" w:rsidP="0038166B">
            <w:r>
              <w:t>нечести</w:t>
            </w:r>
          </w:p>
        </w:tc>
      </w:tr>
      <w:tr w:rsidR="0038166B" w14:paraId="7B209630" w14:textId="77777777" w:rsidTr="004F5812">
        <w:tc>
          <w:tcPr>
            <w:tcW w:w="3166" w:type="dxa"/>
          </w:tcPr>
          <w:p w14:paraId="483C35DC" w14:textId="2F2B6923" w:rsidR="0038166B" w:rsidRDefault="0038166B" w:rsidP="0038166B">
            <w:r>
              <w:t>Хепато-билиарни смущения</w:t>
            </w:r>
          </w:p>
        </w:tc>
        <w:tc>
          <w:tcPr>
            <w:tcW w:w="3167" w:type="dxa"/>
          </w:tcPr>
          <w:p w14:paraId="48EB251E" w14:textId="0D441FC0" w:rsidR="0038166B" w:rsidRDefault="0038166B" w:rsidP="0038166B">
            <w:r>
              <w:t>Иктер (интрахепатална холестаза), панкреатит</w:t>
            </w:r>
          </w:p>
        </w:tc>
        <w:tc>
          <w:tcPr>
            <w:tcW w:w="3167" w:type="dxa"/>
          </w:tcPr>
          <w:p w14:paraId="7FFBD4D3" w14:textId="0982BE54" w:rsidR="0038166B" w:rsidRDefault="0038166B" w:rsidP="0038166B">
            <w:r>
              <w:t>нечести</w:t>
            </w:r>
          </w:p>
        </w:tc>
      </w:tr>
      <w:tr w:rsidR="0038166B" w14:paraId="3795B995" w14:textId="77777777" w:rsidTr="004F5812">
        <w:tc>
          <w:tcPr>
            <w:tcW w:w="3166" w:type="dxa"/>
            <w:vMerge w:val="restart"/>
          </w:tcPr>
          <w:p w14:paraId="2D103D6E" w14:textId="2F6D3251" w:rsidR="0038166B" w:rsidRDefault="0038166B" w:rsidP="0038166B">
            <w:r>
              <w:t>Нарушения на кожата и подкожната тъкан</w:t>
            </w:r>
          </w:p>
        </w:tc>
        <w:tc>
          <w:tcPr>
            <w:tcW w:w="3167" w:type="dxa"/>
          </w:tcPr>
          <w:p w14:paraId="63116180" w14:textId="77CC4B1E" w:rsidR="0038166B" w:rsidRDefault="0038166B" w:rsidP="0038166B">
            <w:r>
              <w:t>Фоточувствителност, уртикария, токсична епидермална некролиза</w:t>
            </w:r>
          </w:p>
        </w:tc>
        <w:tc>
          <w:tcPr>
            <w:tcW w:w="3167" w:type="dxa"/>
          </w:tcPr>
          <w:p w14:paraId="2CD662B6" w14:textId="736ABD59" w:rsidR="0038166B" w:rsidRDefault="0038166B" w:rsidP="0038166B">
            <w:r>
              <w:t>нечести</w:t>
            </w:r>
          </w:p>
        </w:tc>
      </w:tr>
      <w:tr w:rsidR="0038166B" w14:paraId="5DCCA8E3" w14:textId="77777777" w:rsidTr="004F5812">
        <w:tc>
          <w:tcPr>
            <w:tcW w:w="3166" w:type="dxa"/>
            <w:vMerge/>
          </w:tcPr>
          <w:p w14:paraId="4F5E7DDF" w14:textId="77777777" w:rsidR="0038166B" w:rsidRDefault="0038166B" w:rsidP="0038166B"/>
        </w:tc>
        <w:tc>
          <w:tcPr>
            <w:tcW w:w="3167" w:type="dxa"/>
          </w:tcPr>
          <w:p w14:paraId="770FBA49" w14:textId="60EEFE7C" w:rsidR="0038166B" w:rsidRDefault="0038166B" w:rsidP="0038166B">
            <w:r>
              <w:t>Кожен лупус еритематодес</w:t>
            </w:r>
          </w:p>
        </w:tc>
        <w:tc>
          <w:tcPr>
            <w:tcW w:w="3167" w:type="dxa"/>
          </w:tcPr>
          <w:p w14:paraId="316A8066" w14:textId="4BA5BE54" w:rsidR="0038166B" w:rsidRDefault="0038166B" w:rsidP="0038166B">
            <w:r>
              <w:t>с неизвестна честота</w:t>
            </w:r>
          </w:p>
        </w:tc>
      </w:tr>
      <w:tr w:rsidR="0038166B" w14:paraId="7DB5B9A9" w14:textId="77777777" w:rsidTr="004F5812">
        <w:tc>
          <w:tcPr>
            <w:tcW w:w="3166" w:type="dxa"/>
          </w:tcPr>
          <w:p w14:paraId="32C98047" w14:textId="2E8E6627" w:rsidR="0038166B" w:rsidRDefault="0038166B" w:rsidP="0038166B">
            <w:r>
              <w:t>Нарушения на мускулно- скелетната система и съединителната тъкан</w:t>
            </w:r>
          </w:p>
        </w:tc>
        <w:tc>
          <w:tcPr>
            <w:tcW w:w="3167" w:type="dxa"/>
          </w:tcPr>
          <w:p w14:paraId="774B057F" w14:textId="27F1C16F" w:rsidR="0038166B" w:rsidRDefault="0038166B" w:rsidP="0038166B">
            <w:r>
              <w:t>Мускулни спазми</w:t>
            </w:r>
          </w:p>
        </w:tc>
        <w:tc>
          <w:tcPr>
            <w:tcW w:w="3167" w:type="dxa"/>
          </w:tcPr>
          <w:p w14:paraId="141ED3F2" w14:textId="00967BF2" w:rsidR="0038166B" w:rsidRDefault="0038166B" w:rsidP="0038166B">
            <w:r>
              <w:t>нечести</w:t>
            </w:r>
          </w:p>
        </w:tc>
      </w:tr>
      <w:tr w:rsidR="0038166B" w14:paraId="36CD6D6F" w14:textId="77777777" w:rsidTr="004F5812">
        <w:tc>
          <w:tcPr>
            <w:tcW w:w="3166" w:type="dxa"/>
          </w:tcPr>
          <w:p w14:paraId="7C13E86E" w14:textId="281DA45E" w:rsidR="0038166B" w:rsidRDefault="0038166B" w:rsidP="0038166B">
            <w:r>
              <w:t>Нарушения на бъбреците и пикочните пътища</w:t>
            </w:r>
          </w:p>
        </w:tc>
        <w:tc>
          <w:tcPr>
            <w:tcW w:w="3167" w:type="dxa"/>
          </w:tcPr>
          <w:p w14:paraId="22C8C9EF" w14:textId="14377F7F" w:rsidR="0038166B" w:rsidRDefault="0038166B" w:rsidP="0038166B">
            <w:r>
              <w:t>Глюкозурия, интерстициален нефрит, бъбречна дисфункция, бъбречна недостатъчност</w:t>
            </w:r>
          </w:p>
        </w:tc>
        <w:tc>
          <w:tcPr>
            <w:tcW w:w="3167" w:type="dxa"/>
          </w:tcPr>
          <w:p w14:paraId="0BF7A6FA" w14:textId="3022E5D8" w:rsidR="0038166B" w:rsidRDefault="0038166B" w:rsidP="0038166B">
            <w:r>
              <w:t>нечести</w:t>
            </w:r>
          </w:p>
        </w:tc>
      </w:tr>
      <w:tr w:rsidR="0038166B" w14:paraId="038DBC0B" w14:textId="77777777" w:rsidTr="004F5812">
        <w:tc>
          <w:tcPr>
            <w:tcW w:w="3166" w:type="dxa"/>
          </w:tcPr>
          <w:p w14:paraId="17E0333F" w14:textId="45D8623A" w:rsidR="0038166B" w:rsidRDefault="0038166B" w:rsidP="0038166B">
            <w:r>
              <w:t>Общи нарушения и ефекти на мястото на приложение</w:t>
            </w:r>
          </w:p>
        </w:tc>
        <w:tc>
          <w:tcPr>
            <w:tcW w:w="3167" w:type="dxa"/>
          </w:tcPr>
          <w:p w14:paraId="0F1AB63B" w14:textId="193D2998" w:rsidR="0038166B" w:rsidRDefault="0038166B" w:rsidP="0038166B">
            <w:r>
              <w:t>Треска, замайване</w:t>
            </w:r>
          </w:p>
        </w:tc>
        <w:tc>
          <w:tcPr>
            <w:tcW w:w="3167" w:type="dxa"/>
          </w:tcPr>
          <w:p w14:paraId="0ECDADB5" w14:textId="5A717832" w:rsidR="0038166B" w:rsidRDefault="0038166B" w:rsidP="0038166B">
            <w:r>
              <w:t>нечести</w:t>
            </w:r>
          </w:p>
        </w:tc>
      </w:tr>
    </w:tbl>
    <w:p w14:paraId="77FF8E33"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vertAlign w:val="superscript"/>
          <w:lang w:eastAsia="bg-BG"/>
        </w:rPr>
        <w:t>1</w:t>
      </w:r>
      <w:r w:rsidRPr="004F5812">
        <w:rPr>
          <w:rFonts w:eastAsia="Times New Roman" w:cs="Arial"/>
          <w:color w:val="000000"/>
          <w:lang w:eastAsia="bg-BG"/>
        </w:rPr>
        <w:t xml:space="preserve">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7353910D" w14:textId="77777777" w:rsidR="004F5812" w:rsidRPr="004F5812" w:rsidRDefault="004F5812" w:rsidP="004F5812">
      <w:pPr>
        <w:spacing w:line="240" w:lineRule="auto"/>
        <w:rPr>
          <w:rFonts w:eastAsia="Times New Roman" w:cs="Arial"/>
          <w:color w:val="000000"/>
          <w:u w:val="single"/>
          <w:lang w:eastAsia="bg-BG"/>
        </w:rPr>
      </w:pPr>
    </w:p>
    <w:p w14:paraId="21FF37E2" w14:textId="56A0D68C"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u w:val="single"/>
          <w:lang w:eastAsia="bg-BG"/>
        </w:rPr>
        <w:t>Съобщаване на подозирани нежелани реакции</w:t>
      </w:r>
    </w:p>
    <w:p w14:paraId="570FAE98"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Съобщаването на подозирани нежелани реакции след разрешаване за употреба на продукт е важно. Това позволява да продължи наблюдението на съотношението лекарствения продукт. От медицинските специалисти се изисква да съобщават подозирана нежелана реакция чрез</w:t>
      </w:r>
    </w:p>
    <w:p w14:paraId="0FA9E0BA"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Изпълнителна агенция по лекарствата</w:t>
      </w:r>
    </w:p>
    <w:p w14:paraId="394FB7F6" w14:textId="031EFB71" w:rsidR="004F5812" w:rsidRPr="004F5812" w:rsidRDefault="004F5812" w:rsidP="004F5812">
      <w:pPr>
        <w:rPr>
          <w:rFonts w:cs="Arial"/>
        </w:rPr>
      </w:pPr>
      <w:r w:rsidRPr="004F5812">
        <w:rPr>
          <w:rFonts w:eastAsia="Times New Roman" w:cs="Arial"/>
          <w:color w:val="000000"/>
          <w:lang w:eastAsia="bg-BG"/>
        </w:rPr>
        <w:t>ул. „Дамян Груев” № 8</w:t>
      </w:r>
    </w:p>
    <w:p w14:paraId="19BC91CE" w14:textId="77777777" w:rsidR="004F5812" w:rsidRPr="004F5812" w:rsidRDefault="004F5812" w:rsidP="004F5812">
      <w:pPr>
        <w:spacing w:line="240" w:lineRule="auto"/>
        <w:rPr>
          <w:rFonts w:eastAsia="Times New Roman" w:cs="Arial"/>
          <w:lang w:eastAsia="bg-BG"/>
        </w:rPr>
      </w:pPr>
      <w:r w:rsidRPr="004F5812">
        <w:rPr>
          <w:rFonts w:eastAsia="Times New Roman" w:cs="Arial"/>
          <w:color w:val="000000"/>
          <w:lang w:eastAsia="bg-BG"/>
        </w:rPr>
        <w:t>1303 София</w:t>
      </w:r>
    </w:p>
    <w:p w14:paraId="0C07F649" w14:textId="77777777" w:rsidR="004F5812" w:rsidRPr="004F5812" w:rsidRDefault="004F5812" w:rsidP="004F5812">
      <w:pPr>
        <w:rPr>
          <w:rFonts w:eastAsia="Times New Roman" w:cs="Arial"/>
          <w:color w:val="000000"/>
          <w:lang w:eastAsia="bg-BG"/>
        </w:rPr>
      </w:pPr>
      <w:r w:rsidRPr="004F5812">
        <w:rPr>
          <w:rFonts w:eastAsia="Times New Roman" w:cs="Arial"/>
          <w:color w:val="000000"/>
          <w:lang w:eastAsia="bg-BG"/>
        </w:rPr>
        <w:t xml:space="preserve">тел.:+35 928903417 </w:t>
      </w:r>
    </w:p>
    <w:p w14:paraId="1F69C39D" w14:textId="7EFB5C11" w:rsidR="004F5812" w:rsidRPr="004F5812" w:rsidRDefault="004F5812" w:rsidP="004F5812">
      <w:pPr>
        <w:rPr>
          <w:rFonts w:eastAsia="Times New Roman" w:cs="Arial"/>
          <w:lang w:eastAsia="bg-BG"/>
        </w:rPr>
      </w:pPr>
      <w:r w:rsidRPr="004F5812">
        <w:rPr>
          <w:rFonts w:eastAsia="Times New Roman" w:cs="Arial"/>
          <w:color w:val="000000"/>
          <w:lang w:eastAsia="bg-BG"/>
        </w:rPr>
        <w:t xml:space="preserve">уебсайт: </w:t>
      </w:r>
      <w:r w:rsidRPr="004F5812">
        <w:rPr>
          <w:rFonts w:eastAsia="Times New Roman" w:cs="Arial"/>
          <w:lang w:eastAsia="bg-BG"/>
        </w:rPr>
        <w:fldChar w:fldCharType="begin"/>
      </w:r>
      <w:r w:rsidRPr="004F5812">
        <w:rPr>
          <w:rFonts w:eastAsia="Times New Roman" w:cs="Arial"/>
          <w:lang w:eastAsia="bg-BG"/>
        </w:rPr>
        <w:instrText xml:space="preserve"> HYPERLINK "http://www.bda.bg" </w:instrText>
      </w:r>
      <w:r w:rsidRPr="004F5812">
        <w:rPr>
          <w:rFonts w:eastAsia="Times New Roman" w:cs="Arial"/>
          <w:lang w:eastAsia="bg-BG"/>
        </w:rPr>
      </w:r>
      <w:r w:rsidRPr="004F5812">
        <w:rPr>
          <w:rFonts w:eastAsia="Times New Roman" w:cs="Arial"/>
          <w:lang w:eastAsia="bg-BG"/>
        </w:rPr>
        <w:fldChar w:fldCharType="separate"/>
      </w:r>
      <w:r w:rsidRPr="004F5812">
        <w:rPr>
          <w:rFonts w:eastAsia="Times New Roman" w:cs="Arial"/>
          <w:color w:val="000000"/>
          <w:lang w:val="en-US"/>
        </w:rPr>
        <w:t>www.bda.bg</w:t>
      </w:r>
      <w:r w:rsidRPr="004F5812">
        <w:rPr>
          <w:rFonts w:eastAsia="Times New Roman" w:cs="Arial"/>
          <w:lang w:eastAsia="bg-BG"/>
        </w:rPr>
        <w:fldChar w:fldCharType="end"/>
      </w:r>
    </w:p>
    <w:p w14:paraId="7A7BEB35" w14:textId="77777777" w:rsidR="004F5812" w:rsidRPr="0091385D" w:rsidRDefault="004F5812" w:rsidP="004F5812"/>
    <w:p w14:paraId="0A023CE0" w14:textId="13F87CFD" w:rsidR="00CF77F7" w:rsidRDefault="002C50EE" w:rsidP="004A448E">
      <w:pPr>
        <w:pStyle w:val="Heading2"/>
      </w:pPr>
      <w:r>
        <w:t>4.9. Предозиране</w:t>
      </w:r>
    </w:p>
    <w:p w14:paraId="3EDFC3FC" w14:textId="296E7EBA" w:rsidR="0091385D" w:rsidRDefault="0091385D" w:rsidP="0091385D"/>
    <w:p w14:paraId="2782E538"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Няма налична специфична информация за лечението на предозиране с лосартан/хидрохлоротиазид. Лечението е симптоматично и поддържащо. Лечението с лосартан/хидрохлоротиазид трябва да се прекрати и пациента да се наблюдава внимателно. Предполагаемите мерки включват навременно предизвикване на повръщане и коригиране на дехидратацията, електролитния дисбаланс, чернодробната кома и хипотонията чрез установените процедури.</w:t>
      </w:r>
    </w:p>
    <w:p w14:paraId="1D2ED260" w14:textId="77777777" w:rsidR="004F5812" w:rsidRPr="004F5812" w:rsidRDefault="004F5812" w:rsidP="004F5812">
      <w:pPr>
        <w:spacing w:line="240" w:lineRule="auto"/>
        <w:rPr>
          <w:rFonts w:eastAsia="Times New Roman" w:cs="Arial"/>
          <w:color w:val="000000"/>
          <w:u w:val="single"/>
          <w:lang w:eastAsia="bg-BG"/>
        </w:rPr>
      </w:pPr>
    </w:p>
    <w:p w14:paraId="63A0607F" w14:textId="3C5ED56F" w:rsidR="004F5812" w:rsidRPr="004F5812" w:rsidRDefault="004F5812" w:rsidP="004F5812">
      <w:pPr>
        <w:pStyle w:val="Heading3"/>
        <w:rPr>
          <w:rFonts w:eastAsia="Times New Roman"/>
          <w:u w:val="single"/>
          <w:lang w:eastAsia="bg-BG"/>
        </w:rPr>
      </w:pPr>
      <w:r w:rsidRPr="004F5812">
        <w:rPr>
          <w:rFonts w:eastAsia="Times New Roman"/>
          <w:u w:val="single"/>
          <w:lang w:eastAsia="bg-BG"/>
        </w:rPr>
        <w:t>Лосартан</w:t>
      </w:r>
    </w:p>
    <w:p w14:paraId="1AA2C919"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Има ограничени данни по отношение предозиране на лосартан при хора. Най-вероятната проява на предозиране би била хипотензия и брадикардия; брадикардията може да е в резултат на парасимпатикусово (вагусово) стимулиране. Ако се развие симптоматична хипотония, трябва да се започне поддържащо лечение.</w:t>
      </w:r>
    </w:p>
    <w:p w14:paraId="25A2A499" w14:textId="77777777" w:rsidR="004F5812" w:rsidRPr="004F5812" w:rsidRDefault="004F5812" w:rsidP="004F5812">
      <w:pPr>
        <w:spacing w:line="240" w:lineRule="auto"/>
        <w:rPr>
          <w:rFonts w:eastAsia="Times New Roman" w:cs="Arial"/>
          <w:color w:val="000000"/>
          <w:lang w:eastAsia="bg-BG"/>
        </w:rPr>
      </w:pPr>
    </w:p>
    <w:p w14:paraId="72097934" w14:textId="2849788E"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Нито лосартан, нито активният метаболит могат да се отстранят с хемодиализа.</w:t>
      </w:r>
    </w:p>
    <w:p w14:paraId="3E599EDA" w14:textId="77777777" w:rsidR="004F5812" w:rsidRPr="004F5812" w:rsidRDefault="004F5812" w:rsidP="004F5812">
      <w:pPr>
        <w:spacing w:line="240" w:lineRule="auto"/>
        <w:rPr>
          <w:rFonts w:eastAsia="Times New Roman" w:cs="Arial"/>
          <w:color w:val="000000"/>
          <w:u w:val="single"/>
          <w:lang w:eastAsia="bg-BG"/>
        </w:rPr>
      </w:pPr>
    </w:p>
    <w:p w14:paraId="707BB7C6" w14:textId="6B914038" w:rsidR="004F5812" w:rsidRPr="004F5812" w:rsidRDefault="004F5812" w:rsidP="004F5812">
      <w:pPr>
        <w:pStyle w:val="Heading3"/>
        <w:rPr>
          <w:rFonts w:eastAsia="Times New Roman"/>
          <w:u w:val="single"/>
          <w:lang w:eastAsia="bg-BG"/>
        </w:rPr>
      </w:pPr>
      <w:r w:rsidRPr="004F5812">
        <w:rPr>
          <w:rFonts w:eastAsia="Times New Roman"/>
          <w:u w:val="single"/>
          <w:lang w:eastAsia="bg-BG"/>
        </w:rPr>
        <w:t>Хидрохлоротиазид</w:t>
      </w:r>
    </w:p>
    <w:p w14:paraId="554618BF"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Най-честите наблюдавани признаци и симптоми са тези причинени от намаляване на електролитите (хипокалиемия, хипохлоремия, хипонатриемия) и дехидратация като резултат от прекомерна диуреза. Ако се приложи и дигиталис, хипокалиемията може да предизвика сърдечни аритмии.</w:t>
      </w:r>
    </w:p>
    <w:p w14:paraId="3C418AFA" w14:textId="77777777" w:rsidR="004F5812" w:rsidRPr="004F5812" w:rsidRDefault="004F5812" w:rsidP="004F5812">
      <w:pPr>
        <w:rPr>
          <w:rFonts w:eastAsia="Times New Roman" w:cs="Arial"/>
          <w:color w:val="000000"/>
          <w:lang w:eastAsia="bg-BG"/>
        </w:rPr>
      </w:pPr>
    </w:p>
    <w:p w14:paraId="0F0079CB" w14:textId="0F2FEA70" w:rsidR="0091385D" w:rsidRPr="004F5812" w:rsidRDefault="004F5812" w:rsidP="004F5812">
      <w:pPr>
        <w:rPr>
          <w:rFonts w:cs="Arial"/>
        </w:rPr>
      </w:pPr>
      <w:r w:rsidRPr="004F5812">
        <w:rPr>
          <w:rFonts w:eastAsia="Times New Roman" w:cs="Arial"/>
          <w:color w:val="000000"/>
          <w:lang w:eastAsia="bg-BG"/>
        </w:rPr>
        <w:t>Не е установена степента, до която хидрохлоротиазид се отстранява с хемодиализа.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1C5DD3E"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Фармакотерапевтична група: комбинация съдържаща ангиотензин II рецепторен антагонист и тиазиден диуретик АТС код: </w:t>
      </w:r>
      <w:r w:rsidRPr="004F5812">
        <w:rPr>
          <w:rFonts w:eastAsia="Times New Roman" w:cs="Arial"/>
          <w:color w:val="000000"/>
          <w:lang w:val="en-US"/>
        </w:rPr>
        <w:t>C09DA01</w:t>
      </w:r>
    </w:p>
    <w:p w14:paraId="39DED6B3" w14:textId="77777777" w:rsidR="004F5812" w:rsidRPr="004F5812" w:rsidRDefault="004F5812" w:rsidP="004F5812">
      <w:pPr>
        <w:spacing w:line="240" w:lineRule="auto"/>
        <w:rPr>
          <w:rFonts w:eastAsia="Times New Roman" w:cs="Arial"/>
          <w:color w:val="000000"/>
          <w:lang w:eastAsia="bg-BG"/>
        </w:rPr>
      </w:pPr>
    </w:p>
    <w:p w14:paraId="5EC5754E" w14:textId="03003430"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Лориста </w:t>
      </w:r>
      <w:r w:rsidRPr="004F5812">
        <w:rPr>
          <w:rFonts w:eastAsia="Times New Roman" w:cs="Arial"/>
          <w:color w:val="000000"/>
          <w:lang w:val="en-US"/>
        </w:rPr>
        <w:t xml:space="preserve">HD </w:t>
      </w:r>
      <w:r w:rsidRPr="004F5812">
        <w:rPr>
          <w:rFonts w:eastAsia="Times New Roman" w:cs="Arial"/>
          <w:color w:val="000000"/>
          <w:lang w:eastAsia="bg-BG"/>
        </w:rPr>
        <w:t xml:space="preserve">100 </w:t>
      </w:r>
      <w:r w:rsidRPr="004F5812">
        <w:rPr>
          <w:rFonts w:eastAsia="Times New Roman" w:cs="Arial"/>
          <w:color w:val="000000"/>
          <w:lang w:val="en-US"/>
        </w:rPr>
        <w:t xml:space="preserve">mg/25 mg </w:t>
      </w:r>
      <w:r w:rsidRPr="004F5812">
        <w:rPr>
          <w:rFonts w:eastAsia="Times New Roman" w:cs="Arial"/>
          <w:color w:val="000000"/>
          <w:lang w:eastAsia="bg-BG"/>
        </w:rPr>
        <w:t>е фиксирана комбинация от лосартан и хидрохлоротиазид.</w:t>
      </w:r>
    </w:p>
    <w:p w14:paraId="7B47417B" w14:textId="77777777" w:rsidR="004F5812" w:rsidRPr="004F5812" w:rsidRDefault="004F5812" w:rsidP="004F5812">
      <w:pPr>
        <w:spacing w:line="240" w:lineRule="auto"/>
        <w:rPr>
          <w:rFonts w:eastAsia="Times New Roman" w:cs="Arial"/>
          <w:color w:val="000000"/>
          <w:u w:val="single"/>
          <w:lang w:eastAsia="bg-BG"/>
        </w:rPr>
      </w:pPr>
    </w:p>
    <w:p w14:paraId="58320CBF" w14:textId="34DF72E3"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u w:val="single"/>
          <w:lang w:eastAsia="bg-BG"/>
        </w:rPr>
        <w:t>Лосартан-Хидрохлоротиазид</w:t>
      </w:r>
    </w:p>
    <w:p w14:paraId="131FEC4F"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Компонентите на Лориста </w:t>
      </w:r>
      <w:r w:rsidRPr="004F5812">
        <w:rPr>
          <w:rFonts w:eastAsia="Times New Roman" w:cs="Arial"/>
          <w:color w:val="000000"/>
          <w:lang w:val="en-US"/>
        </w:rPr>
        <w:t xml:space="preserve">HD </w:t>
      </w:r>
      <w:r w:rsidRPr="004F5812">
        <w:rPr>
          <w:rFonts w:eastAsia="Times New Roman" w:cs="Arial"/>
          <w:color w:val="000000"/>
          <w:lang w:eastAsia="bg-BG"/>
        </w:rPr>
        <w:t>са показали, че имат адитивен ефект върху редукцията на кръвното налягане, като намаляват кръвното налягане в по-голяма степен, в сравнение с всеки от компонентите поотделно. Счита се, че този ефект е резултат от сполучливото действие на двата компонента. В допълнение, хидрохлоротиазид, в резултат на диуретичния си ефект, увеличава плазмената ренинова активност, повишава алдостероновата секреция, намалява серумния калий и повишава нивата на ангиотензин II. Прилагането на лосартан блокира всички физиологично - обусловени действия на ангиотензин II и чрез инхибирането на алдостерон, може да предизвика намаляване на свързаната с диуретика загуба на калий.</w:t>
      </w:r>
    </w:p>
    <w:p w14:paraId="06584425" w14:textId="77777777" w:rsidR="004F5812" w:rsidRPr="004F5812" w:rsidRDefault="004F5812" w:rsidP="004F5812">
      <w:pPr>
        <w:spacing w:line="240" w:lineRule="auto"/>
        <w:rPr>
          <w:rFonts w:eastAsia="Times New Roman" w:cs="Arial"/>
          <w:color w:val="000000"/>
          <w:lang w:eastAsia="bg-BG"/>
        </w:rPr>
      </w:pPr>
    </w:p>
    <w:p w14:paraId="4AB93BE9" w14:textId="77A815C6"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Лосартан е показал, че има временен и лек урикозуричен ефект. Хидрохлоротиазид може причини умерено увеличение на пикочната киселина; комбинацията от лосартан и хидрохлоротиазид показва тенденции към отслабване на причинената от диуретика</w:t>
      </w:r>
    </w:p>
    <w:p w14:paraId="28252AA0" w14:textId="3F3C2FBD" w:rsidR="0091385D" w:rsidRPr="004F5812" w:rsidRDefault="004F5812" w:rsidP="004F5812">
      <w:pPr>
        <w:rPr>
          <w:rFonts w:cs="Arial"/>
        </w:rPr>
      </w:pPr>
      <w:r w:rsidRPr="004F5812">
        <w:rPr>
          <w:rFonts w:eastAsia="Times New Roman" w:cs="Arial"/>
          <w:color w:val="000000"/>
          <w:lang w:eastAsia="bg-BG"/>
        </w:rPr>
        <w:t>хиперурикемия.</w:t>
      </w:r>
    </w:p>
    <w:p w14:paraId="36152471" w14:textId="3EFFEC70" w:rsidR="0091385D" w:rsidRDefault="0091385D" w:rsidP="0091385D"/>
    <w:p w14:paraId="21978375"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Антихипертензивният ефект на лосартан/хидрохлоротиазид продължава за период от 24 часа. При клинични изпитвания, продължили най-малко една година, антихипертензивният ефект се е запазил с продължаване на терапията. Независимо от същественото понижаване на кръвното налягане, лосартан/хидрохлоротиазид не е оказал клинично значим ефект върху сърдечната честота. При клинични изпитвания, след 12-седмична терапия с лосартан 50 </w:t>
      </w:r>
      <w:r w:rsidRPr="004F5812">
        <w:rPr>
          <w:rFonts w:eastAsia="Times New Roman" w:cs="Arial"/>
          <w:color w:val="000000"/>
          <w:lang w:val="en-US"/>
        </w:rPr>
        <w:t>mg</w:t>
      </w:r>
      <w:r w:rsidRPr="004F5812">
        <w:rPr>
          <w:rFonts w:eastAsia="Times New Roman" w:cs="Arial"/>
          <w:color w:val="000000"/>
          <w:lang w:eastAsia="bg-BG"/>
        </w:rPr>
        <w:t xml:space="preserve">/хидрохлоротиазид 12,5 </w:t>
      </w:r>
      <w:r w:rsidRPr="004F5812">
        <w:rPr>
          <w:rFonts w:eastAsia="Times New Roman" w:cs="Arial"/>
          <w:color w:val="000000"/>
          <w:lang w:val="en-US"/>
        </w:rPr>
        <w:t xml:space="preserve">mg, </w:t>
      </w:r>
      <w:r w:rsidRPr="004F5812">
        <w:rPr>
          <w:rFonts w:eastAsia="Times New Roman" w:cs="Arial"/>
          <w:color w:val="000000"/>
          <w:lang w:eastAsia="bg-BG"/>
        </w:rPr>
        <w:t xml:space="preserve">измерваното в седнало положение диастолично кръвно налягане е било намалено средно с до 13,2 </w:t>
      </w:r>
      <w:r w:rsidRPr="004F5812">
        <w:rPr>
          <w:rFonts w:eastAsia="Times New Roman" w:cs="Arial"/>
          <w:color w:val="000000"/>
          <w:lang w:val="en-US"/>
        </w:rPr>
        <w:t>mmHg.</w:t>
      </w:r>
    </w:p>
    <w:p w14:paraId="05396DFB" w14:textId="77777777" w:rsidR="0074598E" w:rsidRPr="0074598E" w:rsidRDefault="0074598E" w:rsidP="004F5812">
      <w:pPr>
        <w:spacing w:line="240" w:lineRule="auto"/>
        <w:rPr>
          <w:rFonts w:eastAsia="Times New Roman" w:cs="Arial"/>
          <w:color w:val="000000"/>
          <w:lang w:eastAsia="bg-BG"/>
        </w:rPr>
      </w:pPr>
    </w:p>
    <w:p w14:paraId="4C9AEACE" w14:textId="7339A344"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Лосартан/ хидрохлоротиазид е ефективен при понижаване на кръвното налягане на мъже и жени, чернокожи и нечернокожи, по-млади (&lt; 65 години) и по-възрастни (над 65 години) пациенти, както и за всички степени на хипертония.</w:t>
      </w:r>
    </w:p>
    <w:p w14:paraId="1A044B05" w14:textId="77777777" w:rsidR="004F5812" w:rsidRPr="0074598E" w:rsidRDefault="004F5812" w:rsidP="004F5812">
      <w:pPr>
        <w:spacing w:line="240" w:lineRule="auto"/>
        <w:rPr>
          <w:rFonts w:eastAsia="Times New Roman" w:cs="Arial"/>
          <w:i/>
          <w:iCs/>
          <w:color w:val="000000"/>
          <w:u w:val="single"/>
          <w:lang w:eastAsia="bg-BG"/>
        </w:rPr>
      </w:pPr>
    </w:p>
    <w:p w14:paraId="6E2ECFBA" w14:textId="13F0DABD" w:rsidR="004F5812" w:rsidRPr="004F5812" w:rsidRDefault="004F5812" w:rsidP="004F5812">
      <w:pPr>
        <w:spacing w:line="240" w:lineRule="auto"/>
        <w:rPr>
          <w:rFonts w:eastAsia="Times New Roman" w:cs="Arial"/>
          <w:sz w:val="24"/>
          <w:szCs w:val="24"/>
          <w:lang w:eastAsia="bg-BG"/>
        </w:rPr>
      </w:pPr>
      <w:r w:rsidRPr="004F5812">
        <w:rPr>
          <w:rFonts w:eastAsia="Times New Roman" w:cs="Arial"/>
          <w:i/>
          <w:iCs/>
          <w:color w:val="000000"/>
          <w:u w:val="single"/>
          <w:lang w:eastAsia="bg-BG"/>
        </w:rPr>
        <w:lastRenderedPageBreak/>
        <w:t>Лосартан</w:t>
      </w:r>
    </w:p>
    <w:p w14:paraId="14E40C2F" w14:textId="77777777"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Лосартан е синтетичен перорален антагонист на ангиотензин II рецептор (тип </w:t>
      </w:r>
      <w:r w:rsidRPr="004F5812">
        <w:rPr>
          <w:rFonts w:eastAsia="Times New Roman" w:cs="Arial"/>
          <w:color w:val="000000"/>
          <w:lang w:val="en-US"/>
        </w:rPr>
        <w:t xml:space="preserve">ATI). </w:t>
      </w:r>
      <w:r w:rsidRPr="004F5812">
        <w:rPr>
          <w:rFonts w:eastAsia="Times New Roman" w:cs="Arial"/>
          <w:color w:val="000000"/>
          <w:lang w:eastAsia="bg-BG"/>
        </w:rPr>
        <w:t xml:space="preserve">Ангиотензин II, мощен вазоконстриктор, е основен активен хормон на системата ренин/ангиотензин и е основен определящ фактор в патофизиологията на хипертонията. Ангиотензин II се свързва с </w:t>
      </w:r>
      <w:r w:rsidRPr="004F5812">
        <w:rPr>
          <w:rFonts w:eastAsia="Times New Roman" w:cs="Arial"/>
          <w:color w:val="000000"/>
          <w:lang w:val="en-US"/>
        </w:rPr>
        <w:t xml:space="preserve">ATI </w:t>
      </w:r>
      <w:r w:rsidRPr="004F5812">
        <w:rPr>
          <w:rFonts w:eastAsia="Times New Roman" w:cs="Arial"/>
          <w:color w:val="000000"/>
          <w:lang w:eastAsia="bg-BG"/>
        </w:rPr>
        <w:t xml:space="preserve">- рецепторът, който се намира в много тъкани (напр. васкуларната гладка мускулатура, надбъбречната жлеза, бъбреците и сърцето) и предизвиква важни биологични действия, включително вазоконстрикция и отделяне на алдостерон. Също така, ангиотензин II стимулира пролиферацията на клетките на гладката мускулатура. Лосартан селективно блокира </w:t>
      </w:r>
      <w:r w:rsidRPr="004F5812">
        <w:rPr>
          <w:rFonts w:eastAsia="Times New Roman" w:cs="Arial"/>
          <w:color w:val="000000"/>
          <w:lang w:val="en-US"/>
        </w:rPr>
        <w:t xml:space="preserve">ATI </w:t>
      </w:r>
      <w:r w:rsidRPr="004F5812">
        <w:rPr>
          <w:rFonts w:eastAsia="Times New Roman" w:cs="Arial"/>
          <w:color w:val="000000"/>
          <w:lang w:eastAsia="bg-BG"/>
        </w:rPr>
        <w:t xml:space="preserve">рецептора. </w:t>
      </w:r>
      <w:r w:rsidRPr="004F5812">
        <w:rPr>
          <w:rFonts w:eastAsia="Times New Roman" w:cs="Arial"/>
          <w:i/>
          <w:iCs/>
          <w:color w:val="000000"/>
          <w:lang w:val="en-US"/>
        </w:rPr>
        <w:t>In vitro</w:t>
      </w:r>
      <w:r w:rsidRPr="004F5812">
        <w:rPr>
          <w:rFonts w:eastAsia="Times New Roman" w:cs="Arial"/>
          <w:color w:val="000000"/>
          <w:lang w:val="en-US"/>
        </w:rPr>
        <w:t xml:space="preserve"> </w:t>
      </w:r>
      <w:r w:rsidRPr="004F5812">
        <w:rPr>
          <w:rFonts w:eastAsia="Times New Roman" w:cs="Arial"/>
          <w:color w:val="000000"/>
          <w:lang w:eastAsia="bg-BG"/>
        </w:rPr>
        <w:t xml:space="preserve">и </w:t>
      </w:r>
      <w:r w:rsidRPr="004F5812">
        <w:rPr>
          <w:rFonts w:eastAsia="Times New Roman" w:cs="Arial"/>
          <w:i/>
          <w:iCs/>
          <w:color w:val="000000"/>
          <w:lang w:val="en-US"/>
        </w:rPr>
        <w:t>in vivo</w:t>
      </w:r>
      <w:r w:rsidRPr="004F5812">
        <w:rPr>
          <w:rFonts w:eastAsia="Times New Roman" w:cs="Arial"/>
          <w:color w:val="000000"/>
          <w:lang w:val="en-US"/>
        </w:rPr>
        <w:t xml:space="preserve"> </w:t>
      </w:r>
      <w:r w:rsidRPr="004F5812">
        <w:rPr>
          <w:rFonts w:eastAsia="Times New Roman" w:cs="Arial"/>
          <w:color w:val="000000"/>
          <w:lang w:eastAsia="bg-BG"/>
        </w:rPr>
        <w:t xml:space="preserve">лосартан и неговият физиологично активен карбоксилен метаболит (Е-З 174) блокират всички действия на </w:t>
      </w:r>
      <w:proofErr w:type="gramStart"/>
      <w:r w:rsidRPr="004F5812">
        <w:rPr>
          <w:rFonts w:eastAsia="Times New Roman" w:cs="Arial"/>
          <w:color w:val="000000"/>
          <w:lang w:eastAsia="bg-BG"/>
        </w:rPr>
        <w:t>ангиотензин  II</w:t>
      </w:r>
      <w:proofErr w:type="gramEnd"/>
      <w:r w:rsidRPr="004F5812">
        <w:rPr>
          <w:rFonts w:eastAsia="Times New Roman" w:cs="Arial"/>
          <w:color w:val="000000"/>
          <w:lang w:eastAsia="bg-BG"/>
        </w:rPr>
        <w:t>, независимо от източника и пътя на синтеза.</w:t>
      </w:r>
    </w:p>
    <w:p w14:paraId="0BB41310" w14:textId="4C159F61"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Лосартан няма агонистичен ефект и не блокира други хормонални рецептори или йонни канали важни в сърдечносъдовата регулация. При това лосартан не инхибира АСЕ (киназа II), ензимът, който разгражда брадикинините. Следователно, няма потенциране на предизвиканите от брадикинин нежелани ефекти.</w:t>
      </w:r>
    </w:p>
    <w:p w14:paraId="25644D29" w14:textId="77777777" w:rsidR="004F5812" w:rsidRPr="0074598E" w:rsidRDefault="004F5812" w:rsidP="004F5812">
      <w:pPr>
        <w:spacing w:line="240" w:lineRule="auto"/>
        <w:rPr>
          <w:rFonts w:eastAsia="Times New Roman" w:cs="Arial"/>
          <w:color w:val="000000"/>
          <w:lang w:eastAsia="bg-BG"/>
        </w:rPr>
      </w:pPr>
    </w:p>
    <w:p w14:paraId="164BF1D4" w14:textId="25C583F6"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По време на приложение на лосартан, премахването на ангиотензин II негативното въздействие върху рениновата секреция води до повишаване на плазмената ренинова активност </w:t>
      </w:r>
      <w:r w:rsidRPr="004F5812">
        <w:rPr>
          <w:rFonts w:eastAsia="Times New Roman" w:cs="Arial"/>
          <w:color w:val="000000"/>
          <w:lang w:val="en-US"/>
        </w:rPr>
        <w:t xml:space="preserve">(PRA). </w:t>
      </w:r>
      <w:r w:rsidRPr="004F5812">
        <w:rPr>
          <w:rFonts w:eastAsia="Times New Roman" w:cs="Arial"/>
          <w:color w:val="000000"/>
          <w:lang w:eastAsia="bg-BG"/>
        </w:rPr>
        <w:t xml:space="preserve">Повишаването на </w:t>
      </w:r>
      <w:r w:rsidRPr="004F5812">
        <w:rPr>
          <w:rFonts w:eastAsia="Times New Roman" w:cs="Arial"/>
          <w:color w:val="000000"/>
          <w:lang w:val="en-US"/>
        </w:rPr>
        <w:t xml:space="preserve">PRA </w:t>
      </w:r>
      <w:r w:rsidRPr="004F5812">
        <w:rPr>
          <w:rFonts w:eastAsia="Times New Roman" w:cs="Arial"/>
          <w:color w:val="000000"/>
          <w:lang w:eastAsia="bg-BG"/>
        </w:rPr>
        <w:t xml:space="preserve">води до повишаване на ангиотензин II в плазмата. Въпреки тези повишения, антихипертензивният ефект и потискането на плазмените концентрации алдостерон се поддържат, показвайки ефективна блокада на ангиотензин II рецептора. След прекъсване на лосартан, </w:t>
      </w:r>
      <w:r w:rsidRPr="004F5812">
        <w:rPr>
          <w:rFonts w:eastAsia="Times New Roman" w:cs="Arial"/>
          <w:color w:val="000000"/>
          <w:lang w:val="en-US"/>
        </w:rPr>
        <w:t xml:space="preserve">PRA </w:t>
      </w:r>
      <w:r w:rsidRPr="004F5812">
        <w:rPr>
          <w:rFonts w:eastAsia="Times New Roman" w:cs="Arial"/>
          <w:color w:val="000000"/>
          <w:lang w:eastAsia="bg-BG"/>
        </w:rPr>
        <w:t>стойностите на ангиотензин II спадат до 3 дни до изходните стойности.</w:t>
      </w:r>
    </w:p>
    <w:p w14:paraId="4C66FB5A" w14:textId="77777777" w:rsidR="004F5812" w:rsidRPr="0074598E" w:rsidRDefault="004F5812" w:rsidP="004F5812">
      <w:pPr>
        <w:spacing w:line="240" w:lineRule="auto"/>
        <w:rPr>
          <w:rFonts w:eastAsia="Times New Roman" w:cs="Arial"/>
          <w:color w:val="000000"/>
          <w:lang w:eastAsia="bg-BG"/>
        </w:rPr>
      </w:pPr>
    </w:p>
    <w:p w14:paraId="7A892183" w14:textId="0DBDFB86"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И лосартан и неговия основен активен метаболит имат много по-голям афинитет към </w:t>
      </w:r>
      <w:r w:rsidRPr="004F5812">
        <w:rPr>
          <w:rFonts w:eastAsia="Times New Roman" w:cs="Arial"/>
          <w:color w:val="000000"/>
          <w:lang w:val="en-US"/>
        </w:rPr>
        <w:t xml:space="preserve">AT1 </w:t>
      </w:r>
      <w:r w:rsidRPr="004F5812">
        <w:rPr>
          <w:rFonts w:eastAsia="Times New Roman" w:cs="Arial"/>
          <w:color w:val="000000"/>
          <w:lang w:eastAsia="bg-BG"/>
        </w:rPr>
        <w:t>- рецептора, отколкото към АТ2-рецептора. Активният метаболит е 10- до 40- пъти по-активен от лосартан по сила на тази основа.</w:t>
      </w:r>
    </w:p>
    <w:p w14:paraId="5B8EBB8D" w14:textId="77777777" w:rsidR="004F5812" w:rsidRPr="0074598E" w:rsidRDefault="004F5812" w:rsidP="004F5812">
      <w:pPr>
        <w:spacing w:line="240" w:lineRule="auto"/>
        <w:rPr>
          <w:rFonts w:eastAsia="Times New Roman" w:cs="Arial"/>
          <w:color w:val="000000"/>
          <w:lang w:eastAsia="bg-BG"/>
        </w:rPr>
      </w:pPr>
    </w:p>
    <w:p w14:paraId="79D79413" w14:textId="39250071"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В едно проучване, специално предназначено за оценка на честотата на кашлица при пациенти, лекувани с лосартан, в сравнение с пациентите, лекувани с АСЕ инхибитори, честотата на кашлицата, отчетена от пациентите, получаващи лосартан или хидрохлоротиазид е подобна и е значително по-малко, отколкото при пациентите, лекувани с АСЕ инхибитор. В допълнение, по-цялостен анализ на 16 двойно-слепи клинични проучвания при 4131 пациенти, честотата на спонтанни съобщения за кашлица при пациенти, лекувани с лосартан е подобна (3,1%) с тази на пациентите, лекувани с плацебо (2,6%) или хидрохлоротиазид (4,1 %), докато честотата с АСЕ инхибитори е била 8,8%.</w:t>
      </w:r>
    </w:p>
    <w:p w14:paraId="43FCEB2D" w14:textId="77777777" w:rsidR="0074598E" w:rsidRPr="0074598E" w:rsidRDefault="0074598E" w:rsidP="004F5812">
      <w:pPr>
        <w:spacing w:line="240" w:lineRule="auto"/>
        <w:rPr>
          <w:rFonts w:eastAsia="Times New Roman" w:cs="Arial"/>
          <w:color w:val="000000"/>
          <w:lang w:eastAsia="bg-BG"/>
        </w:rPr>
      </w:pPr>
    </w:p>
    <w:p w14:paraId="5E5895E9" w14:textId="073CD67B" w:rsidR="004F5812" w:rsidRPr="004F5812" w:rsidRDefault="004F5812" w:rsidP="004F5812">
      <w:pPr>
        <w:spacing w:line="240" w:lineRule="auto"/>
        <w:rPr>
          <w:rFonts w:eastAsia="Times New Roman" w:cs="Arial"/>
          <w:sz w:val="24"/>
          <w:szCs w:val="24"/>
          <w:lang w:eastAsia="bg-BG"/>
        </w:rPr>
      </w:pPr>
      <w:r w:rsidRPr="004F5812">
        <w:rPr>
          <w:rFonts w:eastAsia="Times New Roman" w:cs="Arial"/>
          <w:color w:val="000000"/>
          <w:lang w:eastAsia="bg-BG"/>
        </w:rPr>
        <w:t xml:space="preserve">При хипертоници без диабет с протеинурия, приложението на лосартан калий значително намалява протеинурията, частичната екскреция на албумин и </w:t>
      </w:r>
      <w:r w:rsidRPr="004F5812">
        <w:rPr>
          <w:rFonts w:eastAsia="Times New Roman" w:cs="Arial"/>
          <w:color w:val="000000"/>
          <w:lang w:val="en-US"/>
        </w:rPr>
        <w:t xml:space="preserve">IgG. </w:t>
      </w:r>
      <w:r w:rsidRPr="004F5812">
        <w:rPr>
          <w:rFonts w:eastAsia="Times New Roman" w:cs="Arial"/>
          <w:color w:val="000000"/>
          <w:lang w:eastAsia="bg-BG"/>
        </w:rPr>
        <w:t>Лосартан запазва скоростта на гломерулна филтрация и намалява филтрираната фракция. Като цяло, лосартан води до намаляване на пикочната киселина в серума (обикновено</w:t>
      </w:r>
    </w:p>
    <w:p w14:paraId="7B1E5C0D" w14:textId="077BF2F9" w:rsidR="004F5812" w:rsidRPr="0074598E" w:rsidRDefault="004F5812" w:rsidP="004F5812">
      <w:pPr>
        <w:rPr>
          <w:rFonts w:cs="Arial"/>
        </w:rPr>
      </w:pPr>
      <w:r w:rsidRPr="0074598E">
        <w:rPr>
          <w:rFonts w:eastAsia="Times New Roman" w:cs="Arial"/>
          <w:color w:val="000000"/>
          <w:lang w:eastAsia="bg-BG"/>
        </w:rPr>
        <w:t xml:space="preserve">&lt;0,4 </w:t>
      </w:r>
      <w:r w:rsidRPr="0074598E">
        <w:rPr>
          <w:rFonts w:eastAsia="Times New Roman" w:cs="Arial"/>
          <w:color w:val="000000"/>
          <w:lang w:val="en-US"/>
        </w:rPr>
        <w:t xml:space="preserve">mg/dl) </w:t>
      </w:r>
      <w:r w:rsidRPr="0074598E">
        <w:rPr>
          <w:rFonts w:eastAsia="Times New Roman" w:cs="Arial"/>
          <w:color w:val="000000"/>
          <w:lang w:eastAsia="bg-BG"/>
        </w:rPr>
        <w:t>което е постоянно при хронично лечение.</w:t>
      </w:r>
    </w:p>
    <w:p w14:paraId="5F1BC98D" w14:textId="4BDAB235" w:rsidR="004F5812" w:rsidRDefault="004F5812" w:rsidP="0091385D"/>
    <w:p w14:paraId="29E8E371"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Лосартан няма ефект върху автономните рефлекси и няма продължителен ефект върху плазмения норепинефрин.</w:t>
      </w:r>
    </w:p>
    <w:p w14:paraId="3D6133C3" w14:textId="77777777" w:rsidR="0074598E" w:rsidRPr="0074598E" w:rsidRDefault="0074598E" w:rsidP="0074598E">
      <w:pPr>
        <w:spacing w:line="240" w:lineRule="auto"/>
        <w:rPr>
          <w:rFonts w:eastAsia="Times New Roman" w:cs="Arial"/>
          <w:color w:val="000000"/>
          <w:lang w:eastAsia="bg-BG"/>
        </w:rPr>
      </w:pPr>
    </w:p>
    <w:p w14:paraId="666A21FE" w14:textId="4C92F8D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При пациенти с ляво камерна недостатъчност, дози от </w:t>
      </w:r>
      <w:r w:rsidRPr="0074598E">
        <w:rPr>
          <w:rFonts w:eastAsia="Times New Roman" w:cs="Arial"/>
          <w:color w:val="000000"/>
          <w:lang w:val="en-US"/>
        </w:rPr>
        <w:t xml:space="preserve">25-mg </w:t>
      </w:r>
      <w:r w:rsidRPr="0074598E">
        <w:rPr>
          <w:rFonts w:eastAsia="Times New Roman" w:cs="Arial"/>
          <w:color w:val="000000"/>
          <w:lang w:eastAsia="bg-BG"/>
        </w:rPr>
        <w:t xml:space="preserve">и </w:t>
      </w:r>
      <w:r w:rsidRPr="0074598E">
        <w:rPr>
          <w:rFonts w:eastAsia="Times New Roman" w:cs="Arial"/>
          <w:color w:val="000000"/>
          <w:lang w:val="en-US"/>
        </w:rPr>
        <w:t xml:space="preserve">50-mg </w:t>
      </w:r>
      <w:r w:rsidRPr="0074598E">
        <w:rPr>
          <w:rFonts w:eastAsia="Times New Roman" w:cs="Arial"/>
          <w:color w:val="000000"/>
          <w:lang w:eastAsia="bg-BG"/>
        </w:rPr>
        <w:t xml:space="preserve">лосартан водят до позитивни хемодинамични и неврохормонални ефекти, характеризиращи се с повишаване на сърдечния индекс и намаляване на вклиненото белодробно капилярно налягане, системната съдова резистентност, средното системно артериално налягане и </w:t>
      </w:r>
      <w:r w:rsidRPr="0074598E">
        <w:rPr>
          <w:rFonts w:eastAsia="Times New Roman" w:cs="Arial"/>
          <w:color w:val="000000"/>
          <w:lang w:eastAsia="bg-BG"/>
        </w:rPr>
        <w:lastRenderedPageBreak/>
        <w:t>сърдечната честота и съответно намаление на циркулиращите нива на алдостерон и норепинефрин. Появата на хипотония при тези пациенти със сърдечна недостатъчност е дозо-зависима.</w:t>
      </w:r>
    </w:p>
    <w:p w14:paraId="64708B0A" w14:textId="77777777" w:rsidR="0074598E" w:rsidRPr="0074598E" w:rsidRDefault="0074598E" w:rsidP="0074598E">
      <w:pPr>
        <w:spacing w:line="240" w:lineRule="auto"/>
        <w:rPr>
          <w:rFonts w:eastAsia="Times New Roman" w:cs="Arial"/>
          <w:color w:val="000000"/>
          <w:u w:val="single"/>
          <w:lang w:eastAsia="bg-BG"/>
        </w:rPr>
      </w:pPr>
    </w:p>
    <w:p w14:paraId="10A6F31B" w14:textId="62D6C5D6"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u w:val="single"/>
          <w:lang w:eastAsia="bg-BG"/>
        </w:rPr>
        <w:t>Хипертонични изпитвания</w:t>
      </w:r>
    </w:p>
    <w:p w14:paraId="36AC558F" w14:textId="77777777" w:rsidR="0074598E" w:rsidRPr="0074598E" w:rsidRDefault="0074598E" w:rsidP="0074598E">
      <w:pPr>
        <w:spacing w:line="240" w:lineRule="auto"/>
        <w:rPr>
          <w:rFonts w:eastAsia="Times New Roman" w:cs="Arial"/>
          <w:color w:val="000000"/>
          <w:lang w:eastAsia="bg-BG"/>
        </w:rPr>
      </w:pPr>
    </w:p>
    <w:p w14:paraId="6FC90083" w14:textId="550B89A5"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При контролирани клинични изпитвания върху пациенти с лека до средна есенциална хипертония, прилагането на лосартан един път дневно, е предизвикало статистически значимо понижение на систоличното и диастоличното кръвно налягане. Измерванията на кръвното налягане 24-часа след дозиране отнесено към 5-6 часа след дозата показва относително плавна редукция на кръвното налягане за период от 24 часа; естествените дневни ритми се запазват. Редукцията на кръвното налягане към края на дозовия интервал е била приблизително 70-80 % от ефекта, наблюдаван 5-6 часа след прилагане на дозата.</w:t>
      </w:r>
    </w:p>
    <w:p w14:paraId="2016209C" w14:textId="77777777" w:rsidR="0074598E" w:rsidRPr="0074598E" w:rsidRDefault="0074598E" w:rsidP="0074598E">
      <w:pPr>
        <w:spacing w:line="240" w:lineRule="auto"/>
        <w:rPr>
          <w:rFonts w:eastAsia="Times New Roman" w:cs="Arial"/>
          <w:color w:val="000000"/>
          <w:lang w:eastAsia="bg-BG"/>
        </w:rPr>
      </w:pPr>
    </w:p>
    <w:p w14:paraId="0D259A27" w14:textId="0C5B27E5"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Спирането на лосартан, при хипертонични пациенти, не е водело до рязко възстановяване на кръвното налягане (рибаунд). Независимо от значителното намаляване на кръвното налягане, прилагането на лосартан не е оказало клинично значим ефект върху сърдечната честота. Лосартан е еднакво ефективен за мъже и жени, за по-млади (под 65 години) и по-стари хипертоници.</w:t>
      </w:r>
    </w:p>
    <w:p w14:paraId="3ABD151D" w14:textId="77777777" w:rsidR="0074598E" w:rsidRPr="0074598E" w:rsidRDefault="0074598E" w:rsidP="0074598E">
      <w:pPr>
        <w:spacing w:line="240" w:lineRule="auto"/>
        <w:rPr>
          <w:rFonts w:eastAsia="Times New Roman" w:cs="Arial"/>
          <w:color w:val="000000"/>
          <w:u w:val="single"/>
          <w:lang w:eastAsia="bg-BG"/>
        </w:rPr>
      </w:pPr>
    </w:p>
    <w:p w14:paraId="769787AE" w14:textId="0BEDBECA"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u w:val="single"/>
          <w:lang w:eastAsia="bg-BG"/>
        </w:rPr>
        <w:t xml:space="preserve">Изпитване </w:t>
      </w:r>
      <w:r w:rsidRPr="0074598E">
        <w:rPr>
          <w:rFonts w:eastAsia="Times New Roman" w:cs="Arial"/>
          <w:color w:val="000000"/>
          <w:u w:val="single"/>
          <w:lang w:val="en-US"/>
        </w:rPr>
        <w:t>LIFE</w:t>
      </w:r>
    </w:p>
    <w:p w14:paraId="2E3D2349"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Изпитването </w:t>
      </w:r>
      <w:r w:rsidRPr="0074598E">
        <w:rPr>
          <w:rFonts w:eastAsia="Times New Roman" w:cs="Arial"/>
          <w:color w:val="000000"/>
          <w:lang w:val="en-US"/>
        </w:rPr>
        <w:t xml:space="preserve">Losartan Intervention For Endpoint reduction in hypertension (LIFE ) </w:t>
      </w:r>
      <w:r w:rsidRPr="0074598E">
        <w:rPr>
          <w:rFonts w:eastAsia="Times New Roman" w:cs="Arial"/>
          <w:color w:val="000000"/>
          <w:lang w:eastAsia="bg-BG"/>
        </w:rPr>
        <w:t xml:space="preserve">е било рандомизирано, тройно-сляпо, активно контролирано проучване при 9193 хипертоници на възраст между 55 и 80 години с ЕКГ-документирана лявокамерна хипертрофия. Пациентите се рандомизират да получават веднъж дневно лосартан 50 или веднъж дневно атенолол 50 </w:t>
      </w:r>
      <w:r w:rsidRPr="0074598E">
        <w:rPr>
          <w:rFonts w:eastAsia="Times New Roman" w:cs="Arial"/>
          <w:color w:val="000000"/>
          <w:lang w:val="en-US"/>
        </w:rPr>
        <w:t xml:space="preserve">mg. </w:t>
      </w:r>
      <w:r w:rsidRPr="0074598E">
        <w:rPr>
          <w:rFonts w:eastAsia="Times New Roman" w:cs="Arial"/>
          <w:color w:val="000000"/>
          <w:lang w:eastAsia="bg-BG"/>
        </w:rPr>
        <w:t xml:space="preserve">Ако желаното кръвно налягане (&lt; 140/90 </w:t>
      </w:r>
      <w:r w:rsidRPr="0074598E">
        <w:rPr>
          <w:rFonts w:eastAsia="Times New Roman" w:cs="Arial"/>
          <w:color w:val="000000"/>
          <w:lang w:val="en-US"/>
        </w:rPr>
        <w:t xml:space="preserve">mmHg) </w:t>
      </w:r>
      <w:r w:rsidRPr="0074598E">
        <w:rPr>
          <w:rFonts w:eastAsia="Times New Roman" w:cs="Arial"/>
          <w:color w:val="000000"/>
          <w:lang w:eastAsia="bg-BG"/>
        </w:rPr>
        <w:t xml:space="preserve">не е било постигнато, първо е прибавян хидрохлоротиазид (12,5 </w:t>
      </w:r>
      <w:r w:rsidRPr="0074598E">
        <w:rPr>
          <w:rFonts w:eastAsia="Times New Roman" w:cs="Arial"/>
          <w:color w:val="000000"/>
          <w:lang w:val="en-US"/>
        </w:rPr>
        <w:t xml:space="preserve">mg) </w:t>
      </w:r>
      <w:r w:rsidRPr="0074598E">
        <w:rPr>
          <w:rFonts w:eastAsia="Times New Roman" w:cs="Arial"/>
          <w:color w:val="000000"/>
          <w:lang w:eastAsia="bg-BG"/>
        </w:rPr>
        <w:t xml:space="preserve">и при нужда след това е увеличавана дозата на лосартан или атенолол на 100 </w:t>
      </w:r>
      <w:r w:rsidRPr="0074598E">
        <w:rPr>
          <w:rFonts w:eastAsia="Times New Roman" w:cs="Arial"/>
          <w:color w:val="000000"/>
          <w:lang w:val="en-US"/>
        </w:rPr>
        <w:t xml:space="preserve">mg </w:t>
      </w:r>
      <w:r w:rsidRPr="0074598E">
        <w:rPr>
          <w:rFonts w:eastAsia="Times New Roman" w:cs="Arial"/>
          <w:color w:val="000000"/>
          <w:lang w:eastAsia="bg-BG"/>
        </w:rPr>
        <w:t>веднъж дневно. Допълнително антихипертензивно лекарство, с изключение на АСЕ инхибитор, ангиотензин II антагонисти или бета-блокер е добавено към двете групи, за да се постигне желаното сравнимо понижение на кръвното налягане между групите.</w:t>
      </w:r>
    </w:p>
    <w:p w14:paraId="5E35ED22" w14:textId="77777777" w:rsidR="0074598E" w:rsidRPr="0074598E" w:rsidRDefault="0074598E" w:rsidP="0074598E">
      <w:pPr>
        <w:spacing w:line="240" w:lineRule="auto"/>
        <w:rPr>
          <w:rFonts w:eastAsia="Times New Roman" w:cs="Arial"/>
          <w:color w:val="000000"/>
          <w:lang w:eastAsia="bg-BG"/>
        </w:rPr>
      </w:pPr>
    </w:p>
    <w:p w14:paraId="7A7F71C5" w14:textId="02DFC930"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Средната продължителност на проследяване е 4,8 години.</w:t>
      </w:r>
    </w:p>
    <w:p w14:paraId="392A960A" w14:textId="77777777" w:rsidR="0074598E" w:rsidRPr="0074598E" w:rsidRDefault="0074598E" w:rsidP="0074598E">
      <w:pPr>
        <w:spacing w:line="240" w:lineRule="auto"/>
        <w:rPr>
          <w:rFonts w:eastAsia="Times New Roman" w:cs="Arial"/>
          <w:color w:val="000000"/>
          <w:lang w:eastAsia="bg-BG"/>
        </w:rPr>
      </w:pPr>
    </w:p>
    <w:p w14:paraId="063C92FF" w14:textId="211B8E30"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Първичен краен показател за проучването е бил съставният от кардиоваскуларната заболеваемост и смъртност, което се измерва чрез понижаване на общата честота на настъпване на сърдечносъдова смърт, инсулт и миокарден инфаркт. Кръвното налягане е значително намалено до сходни нива в двете групи.</w:t>
      </w:r>
    </w:p>
    <w:p w14:paraId="5CE00100"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Лечението с лосартан води до понижаване на риска с 13,0 % (р=0,021,95 % доверителен интервал 0,77-0,98) спрямо атенолол за пациенти, при които настъпва събитие, включено в първичния съставен краен показател. Това се обяснява най-вече с намаление честотата на инсулт. Лечението с лосартан намалява риска от инсулт с 25 % спрямо атенолол (р=0,001 95 % доверителен интервал 0,63-0,89). Нивата на сърдечносъдова смърт и миокарден инфаркт не се различават в лекуваните групи.</w:t>
      </w:r>
    </w:p>
    <w:p w14:paraId="3944D7E7" w14:textId="77777777" w:rsidR="0074598E" w:rsidRPr="0074598E" w:rsidRDefault="0074598E" w:rsidP="0074598E">
      <w:pPr>
        <w:rPr>
          <w:rFonts w:eastAsia="Times New Roman" w:cs="Arial"/>
          <w:color w:val="000000"/>
          <w:u w:val="single"/>
          <w:lang w:eastAsia="bg-BG"/>
        </w:rPr>
      </w:pPr>
    </w:p>
    <w:p w14:paraId="685ECD94" w14:textId="77777777" w:rsidR="0074598E" w:rsidRPr="0074598E" w:rsidRDefault="0074598E" w:rsidP="0074598E">
      <w:pPr>
        <w:rPr>
          <w:rFonts w:eastAsia="Times New Roman" w:cs="Arial"/>
          <w:sz w:val="24"/>
          <w:szCs w:val="24"/>
          <w:lang w:eastAsia="bg-BG"/>
        </w:rPr>
      </w:pPr>
      <w:r w:rsidRPr="0074598E">
        <w:rPr>
          <w:rFonts w:eastAsia="Times New Roman" w:cs="Arial"/>
          <w:color w:val="000000"/>
          <w:u w:val="single"/>
          <w:lang w:eastAsia="bg-BG"/>
        </w:rPr>
        <w:t xml:space="preserve">Двойно блокиране на ренин ангиотензин -алдостероновата система (РААС) </w:t>
      </w:r>
      <w:r w:rsidRPr="0074598E">
        <w:rPr>
          <w:rFonts w:eastAsia="Times New Roman" w:cs="Arial"/>
          <w:color w:val="000000"/>
          <w:lang w:eastAsia="bg-BG"/>
        </w:rPr>
        <w:t xml:space="preserve">Две големи рандомизирани контролирани проучвания - </w:t>
      </w:r>
      <w:r w:rsidRPr="0074598E">
        <w:rPr>
          <w:rFonts w:eastAsia="Times New Roman" w:cs="Arial"/>
          <w:color w:val="000000"/>
          <w:lang w:val="en-US"/>
        </w:rPr>
        <w:t>ONTARGET (</w:t>
      </w:r>
      <w:proofErr w:type="spellStart"/>
      <w:r w:rsidRPr="0074598E">
        <w:rPr>
          <w:rFonts w:eastAsia="Times New Roman" w:cs="Arial"/>
          <w:color w:val="000000"/>
          <w:lang w:val="en-US"/>
        </w:rPr>
        <w:t>ONgoing</w:t>
      </w:r>
      <w:proofErr w:type="spellEnd"/>
      <w:r w:rsidRPr="0074598E">
        <w:rPr>
          <w:rFonts w:eastAsia="Times New Roman" w:cs="Arial"/>
          <w:color w:val="000000"/>
          <w:lang w:eastAsia="bg-BG"/>
        </w:rPr>
        <w:t xml:space="preserve"> </w:t>
      </w:r>
      <w:proofErr w:type="spellStart"/>
      <w:r w:rsidRPr="0074598E">
        <w:rPr>
          <w:rFonts w:eastAsia="Times New Roman" w:cs="Arial"/>
          <w:color w:val="000000"/>
          <w:lang w:val="en-US"/>
        </w:rPr>
        <w:t>Telmisartan</w:t>
      </w:r>
      <w:proofErr w:type="spellEnd"/>
      <w:r w:rsidRPr="0074598E">
        <w:rPr>
          <w:rFonts w:eastAsia="Times New Roman" w:cs="Arial"/>
          <w:color w:val="000000"/>
          <w:lang w:val="en-US"/>
        </w:rPr>
        <w:t xml:space="preserve"> Alone and in combination with Ramipril Global Endpoint Trial - </w:t>
      </w:r>
      <w:r w:rsidRPr="0074598E">
        <w:rPr>
          <w:rFonts w:eastAsia="Times New Roman" w:cs="Arial"/>
          <w:color w:val="000000"/>
          <w:lang w:eastAsia="bg-BG"/>
        </w:rPr>
        <w:t>текущо глобално изпитване на</w:t>
      </w:r>
      <w:r w:rsidRPr="0074598E">
        <w:rPr>
          <w:rFonts w:eastAsia="Times New Roman" w:cs="Arial"/>
          <w:smallCaps/>
          <w:color w:val="000000"/>
          <w:lang w:eastAsia="bg-BG"/>
        </w:rPr>
        <w:t xml:space="preserve"> </w:t>
      </w:r>
      <w:r w:rsidRPr="0074598E">
        <w:rPr>
          <w:rFonts w:eastAsia="Times New Roman" w:cs="Arial"/>
          <w:color w:val="000000"/>
          <w:lang w:eastAsia="bg-BG"/>
        </w:rPr>
        <w:t xml:space="preserve">крайни точки на телмисартан, самостоятелно и в комбинация с рамиприл) и </w:t>
      </w:r>
      <w:r w:rsidRPr="0074598E">
        <w:rPr>
          <w:rFonts w:eastAsia="Times New Roman" w:cs="Arial"/>
          <w:color w:val="000000"/>
          <w:lang w:val="en-US"/>
        </w:rPr>
        <w:t>VA NEPHRON-D</w:t>
      </w:r>
      <w:r w:rsidRPr="0074598E">
        <w:rPr>
          <w:rFonts w:eastAsia="Times New Roman" w:cs="Arial"/>
          <w:color w:val="000000"/>
          <w:lang w:eastAsia="bg-BG"/>
        </w:rPr>
        <w:t xml:space="preserve"> (Клинично </w:t>
      </w:r>
      <w:r w:rsidRPr="0074598E">
        <w:rPr>
          <w:rFonts w:eastAsia="Times New Roman" w:cs="Arial"/>
          <w:color w:val="000000"/>
          <w:lang w:eastAsia="bg-BG"/>
        </w:rPr>
        <w:lastRenderedPageBreak/>
        <w:t>проучване свързано с развитие на нефропатия при диабет, проведено от</w:t>
      </w:r>
      <w:r>
        <w:rPr>
          <w:rFonts w:eastAsia="Times New Roman" w:cs="Arial"/>
          <w:color w:val="000000"/>
          <w:lang w:eastAsia="bg-BG"/>
        </w:rPr>
        <w:t xml:space="preserve"> </w:t>
      </w:r>
      <w:r w:rsidRPr="0074598E">
        <w:rPr>
          <w:rFonts w:eastAsia="Times New Roman" w:cs="Arial"/>
          <w:color w:val="000000"/>
          <w:lang w:eastAsia="bg-BG"/>
        </w:rPr>
        <w:t>Министерство по въпросите на ветераните) - проучват употребата на комбинацията от АСЕ инхибитор и ангиотензин П-рецепторен блокер.</w:t>
      </w:r>
    </w:p>
    <w:p w14:paraId="18019F67"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val="en-US"/>
        </w:rPr>
        <w:t xml:space="preserve">ONTARGET </w:t>
      </w:r>
      <w:r w:rsidRPr="0074598E">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74598E">
        <w:rPr>
          <w:rFonts w:eastAsia="Times New Roman" w:cs="Arial"/>
          <w:color w:val="000000"/>
          <w:lang w:val="en-US"/>
        </w:rPr>
        <w:t xml:space="preserve">VA NEPHRON-D </w:t>
      </w:r>
      <w:r w:rsidRPr="0074598E">
        <w:rPr>
          <w:rFonts w:eastAsia="Times New Roman" w:cs="Arial"/>
          <w:color w:val="000000"/>
          <w:lang w:eastAsia="bg-BG"/>
        </w:rPr>
        <w:t>е проучване при пациенти със захарен диабет тип 2 и диабетна нефропатия.</w:t>
      </w:r>
    </w:p>
    <w:p w14:paraId="114CF6D5"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50A5F6A3"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09F399F8"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val="en-US"/>
        </w:rPr>
        <w:t xml:space="preserve">ALTITUDE </w:t>
      </w:r>
      <w:r w:rsidRPr="0074598E">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3115B4F" w14:textId="77777777" w:rsidR="0074598E" w:rsidRPr="0074598E" w:rsidRDefault="0074598E" w:rsidP="0074598E">
      <w:pPr>
        <w:spacing w:line="240" w:lineRule="auto"/>
        <w:rPr>
          <w:rFonts w:eastAsia="Times New Roman" w:cs="Arial"/>
          <w:color w:val="000000"/>
          <w:u w:val="single"/>
          <w:lang w:eastAsia="bg-BG"/>
        </w:rPr>
      </w:pPr>
    </w:p>
    <w:p w14:paraId="61666EE5" w14:textId="1D208169"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u w:val="single"/>
          <w:lang w:eastAsia="bg-BG"/>
        </w:rPr>
        <w:t>Хидрохлоротиазид</w:t>
      </w:r>
    </w:p>
    <w:p w14:paraId="31B9430D"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Хидрохлоротиазид е тиазиден диуретик. Механизмът на антихипертензивния ефект на тиазидните диуретици не е напълно известен. Тиазидите действат върху реналния тубулен механизъм на електролитната реабсорбция като повишава директно екскрецията на натрий и хлор в приблизително еквивалентни количества. Дуретичното действие на хидрохлоротиазид намалява плазмения обем, повишава плазмената ренинова активност и повишава секрецията на алдостерон с последващо повишаване на калия в урината и загубата на бикарбонати и намаляване на серумния калий. Ренин-алдостероновата връзка се медиира от ангиотензин II и затова едновременното приложение на ангиотензин II рецепторен антагонист показва тенденция към намаляване на загубата на калий, свързана с тиазидните диуретици.</w:t>
      </w:r>
    </w:p>
    <w:p w14:paraId="7FB6A68E" w14:textId="77777777" w:rsidR="0074598E" w:rsidRPr="0074598E" w:rsidRDefault="0074598E" w:rsidP="0074598E">
      <w:pPr>
        <w:spacing w:line="240" w:lineRule="auto"/>
        <w:rPr>
          <w:rFonts w:eastAsia="Times New Roman" w:cs="Arial"/>
          <w:color w:val="000000"/>
          <w:lang w:eastAsia="bg-BG"/>
        </w:rPr>
      </w:pPr>
    </w:p>
    <w:p w14:paraId="2B4E06DE" w14:textId="1E3F5BEF"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След перорална доза, диурезата започва до 2 часа, достига пиково ниво след около 4 часа и продължава около 6 до 12 часа, антихипертензивният ефект продължава до 24 часа.</w:t>
      </w:r>
    </w:p>
    <w:p w14:paraId="3AD1D0AD" w14:textId="77777777" w:rsidR="0074598E" w:rsidRPr="0074598E" w:rsidRDefault="0074598E" w:rsidP="0074598E">
      <w:pPr>
        <w:spacing w:line="240" w:lineRule="auto"/>
        <w:rPr>
          <w:rFonts w:eastAsia="Times New Roman" w:cs="Arial"/>
          <w:color w:val="000000"/>
          <w:u w:val="single"/>
          <w:lang w:eastAsia="bg-BG"/>
        </w:rPr>
      </w:pPr>
    </w:p>
    <w:p w14:paraId="6B6A2E84" w14:textId="5B006FE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u w:val="single"/>
          <w:lang w:eastAsia="bg-BG"/>
        </w:rPr>
        <w:t>Немеланомен рак на кожата</w:t>
      </w:r>
    </w:p>
    <w:p w14:paraId="1FF37A6A" w14:textId="63875CCF" w:rsidR="0074598E" w:rsidRPr="0074598E" w:rsidRDefault="0074598E" w:rsidP="0074598E">
      <w:pPr>
        <w:rPr>
          <w:rFonts w:cs="Arial"/>
        </w:rPr>
      </w:pPr>
      <w:r w:rsidRPr="0074598E">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74598E">
        <w:rPr>
          <w:rFonts w:eastAsia="Times New Roman" w:cs="Arial"/>
          <w:color w:val="000000"/>
          <w:lang w:val="en-US"/>
        </w:rPr>
        <w:t xml:space="preserve">mg) </w:t>
      </w:r>
      <w:r w:rsidRPr="0074598E">
        <w:rPr>
          <w:rFonts w:eastAsia="Times New Roman" w:cs="Arial"/>
          <w:color w:val="000000"/>
          <w:lang w:eastAsia="bg-BG"/>
        </w:rPr>
        <w:t xml:space="preserve">е свързана с коригиран </w:t>
      </w:r>
      <w:r w:rsidRPr="0074598E">
        <w:rPr>
          <w:rFonts w:eastAsia="Times New Roman" w:cs="Arial"/>
          <w:color w:val="000000"/>
          <w:lang w:val="en-US"/>
        </w:rPr>
        <w:t xml:space="preserve">OR </w:t>
      </w:r>
      <w:r w:rsidRPr="0074598E">
        <w:rPr>
          <w:rFonts w:eastAsia="Times New Roman" w:cs="Arial"/>
          <w:color w:val="000000"/>
          <w:lang w:eastAsia="bg-BG"/>
        </w:rPr>
        <w:t xml:space="preserve">1,29 (95% ДИ: 1,23-1,35) за БКК и 3,98 (95% ДИ: 3,68-4,31) за СКК. Наблюдавана е ясна връзка кумулативна доза-отговор </w:t>
      </w:r>
      <w:r w:rsidRPr="0074598E">
        <w:rPr>
          <w:rFonts w:eastAsia="Times New Roman" w:cs="Arial"/>
          <w:color w:val="000000"/>
          <w:lang w:eastAsia="bg-BG"/>
        </w:rPr>
        <w:lastRenderedPageBreak/>
        <w:t xml:space="preserve">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74598E">
        <w:rPr>
          <w:rFonts w:eastAsia="Times New Roman" w:cs="Arial"/>
          <w:color w:val="000000"/>
          <w:lang w:val="en-US"/>
        </w:rPr>
        <w:t xml:space="preserve">OR </w:t>
      </w:r>
      <w:r w:rsidRPr="0074598E">
        <w:rPr>
          <w:rFonts w:eastAsia="Times New Roman" w:cs="Arial"/>
          <w:color w:val="000000"/>
          <w:lang w:eastAsia="bg-BG"/>
        </w:rPr>
        <w:t xml:space="preserve">2,1 (95% ДИ: 1,7-2,6), нарастващ до </w:t>
      </w:r>
      <w:r w:rsidRPr="0074598E">
        <w:rPr>
          <w:rFonts w:eastAsia="Times New Roman" w:cs="Arial"/>
          <w:color w:val="000000"/>
          <w:lang w:val="en-US"/>
        </w:rPr>
        <w:t xml:space="preserve">OR </w:t>
      </w:r>
      <w:r w:rsidRPr="0074598E">
        <w:rPr>
          <w:rFonts w:eastAsia="Times New Roman" w:cs="Arial"/>
          <w:color w:val="000000"/>
          <w:lang w:eastAsia="bg-BG"/>
        </w:rPr>
        <w:t>3,9 (3,0-4,9)</w:t>
      </w:r>
      <w:r w:rsidRPr="0074598E">
        <w:rPr>
          <w:rFonts w:eastAsia="Times New Roman" w:cs="Arial"/>
          <w:color w:val="000000"/>
          <w:u w:val="single"/>
          <w:lang w:eastAsia="bg-BG"/>
        </w:rPr>
        <w:t xml:space="preserve"> </w:t>
      </w:r>
      <w:r w:rsidRPr="0074598E">
        <w:rPr>
          <w:rFonts w:eastAsia="Times New Roman" w:cs="Arial"/>
          <w:color w:val="000000"/>
          <w:lang w:eastAsia="bg-BG"/>
        </w:rPr>
        <w:t xml:space="preserve">за висока употреба (~ 25 000 </w:t>
      </w:r>
      <w:r w:rsidRPr="0074598E">
        <w:rPr>
          <w:rFonts w:eastAsia="Times New Roman" w:cs="Arial"/>
          <w:color w:val="000000"/>
          <w:lang w:val="en-US"/>
        </w:rPr>
        <w:t xml:space="preserve">mg) </w:t>
      </w:r>
      <w:r w:rsidRPr="0074598E">
        <w:rPr>
          <w:rFonts w:eastAsia="Times New Roman" w:cs="Arial"/>
          <w:color w:val="000000"/>
          <w:lang w:eastAsia="bg-BG"/>
        </w:rPr>
        <w:t xml:space="preserve">и </w:t>
      </w:r>
      <w:r w:rsidRPr="0074598E">
        <w:rPr>
          <w:rFonts w:eastAsia="Times New Roman" w:cs="Arial"/>
          <w:color w:val="000000"/>
          <w:lang w:val="en-US"/>
        </w:rPr>
        <w:t xml:space="preserve">OR </w:t>
      </w:r>
      <w:r w:rsidRPr="0074598E">
        <w:rPr>
          <w:rFonts w:eastAsia="Times New Roman" w:cs="Arial"/>
          <w:color w:val="000000"/>
          <w:lang w:eastAsia="bg-BG"/>
        </w:rPr>
        <w:t>7,7 (5,7-10,5) за най-високата кумулативна доза (~</w:t>
      </w:r>
      <w:r w:rsidRPr="0074598E">
        <w:rPr>
          <w:rFonts w:eastAsia="Times New Roman" w:cs="Arial"/>
          <w:color w:val="000000"/>
          <w:lang w:val="en-US"/>
        </w:rPr>
        <w:t xml:space="preserve"> 100</w:t>
      </w:r>
      <w:r w:rsidRPr="0074598E">
        <w:rPr>
          <w:rFonts w:eastAsia="Times New Roman" w:cs="Arial"/>
          <w:color w:val="000000"/>
          <w:lang w:eastAsia="bg-BG"/>
        </w:rPr>
        <w:t xml:space="preserve"> 000 </w:t>
      </w:r>
      <w:r w:rsidRPr="0074598E">
        <w:rPr>
          <w:rFonts w:eastAsia="Times New Roman" w:cs="Arial"/>
          <w:color w:val="000000"/>
          <w:lang w:val="en-US"/>
        </w:rPr>
        <w:t xml:space="preserve">mg) </w:t>
      </w:r>
      <w:r w:rsidRPr="0074598E">
        <w:rPr>
          <w:rFonts w:eastAsia="Times New Roman" w:cs="Arial"/>
          <w:color w:val="000000"/>
          <w:lang w:eastAsia="bg-BG"/>
        </w:rPr>
        <w:t>(вж. също точка 4.4).</w:t>
      </w:r>
    </w:p>
    <w:p w14:paraId="13DD92F5" w14:textId="77777777" w:rsidR="0074598E" w:rsidRPr="0091385D" w:rsidRDefault="0074598E"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BBD42F7" w14:textId="77777777" w:rsidR="0074598E" w:rsidRPr="0074598E" w:rsidRDefault="0074598E" w:rsidP="0074598E">
      <w:pPr>
        <w:pStyle w:val="Heading3"/>
        <w:rPr>
          <w:rFonts w:eastAsia="Times New Roman"/>
          <w:u w:val="single"/>
          <w:lang w:eastAsia="bg-BG"/>
        </w:rPr>
      </w:pPr>
      <w:bookmarkStart w:id="2" w:name="bookmark0"/>
      <w:bookmarkEnd w:id="2"/>
      <w:r w:rsidRPr="0074598E">
        <w:rPr>
          <w:rFonts w:eastAsia="Times New Roman"/>
          <w:u w:val="single"/>
          <w:lang w:eastAsia="bg-BG"/>
        </w:rPr>
        <w:t>Абсорбция</w:t>
      </w:r>
    </w:p>
    <w:p w14:paraId="148BA3FC" w14:textId="53A59F19" w:rsidR="0091385D" w:rsidRPr="0074598E" w:rsidRDefault="0074598E" w:rsidP="0074598E">
      <w:pPr>
        <w:rPr>
          <w:rFonts w:eastAsia="Times New Roman" w:cs="Arial"/>
          <w:i/>
          <w:iCs/>
          <w:color w:val="000000"/>
          <w:lang w:eastAsia="bg-BG"/>
        </w:rPr>
      </w:pPr>
      <w:r w:rsidRPr="0074598E">
        <w:rPr>
          <w:rFonts w:eastAsia="Times New Roman" w:cs="Arial"/>
          <w:i/>
          <w:iCs/>
          <w:color w:val="000000"/>
          <w:lang w:eastAsia="bg-BG"/>
        </w:rPr>
        <w:t>Лосартан</w:t>
      </w:r>
    </w:p>
    <w:p w14:paraId="13D55628" w14:textId="7A56E85C" w:rsidR="0074598E" w:rsidRPr="0074598E" w:rsidRDefault="0074598E" w:rsidP="0074598E">
      <w:pPr>
        <w:rPr>
          <w:rFonts w:eastAsia="Times New Roman" w:cs="Arial"/>
          <w:i/>
          <w:iCs/>
          <w:color w:val="000000"/>
          <w:lang w:eastAsia="bg-BG"/>
        </w:rPr>
      </w:pPr>
    </w:p>
    <w:p w14:paraId="20358461"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След пероралното приложение, лосартан се абсорбира добре и претърпява метаболизъм при първото преминаване като формира първоначален активен карбоксилен метаболит - и други неактивни метаболити. Системната бионаличност на таблетките лосартан е приблизително 33 %. Средната пикова концентрация на лосартан и активния му метаболит се достига, съответно, за 1 час и за 3-4 часа. Клинично значим ефект върху профила на плазмените концентрации на лосартан не се е получил при прилагане на стандартизирани храни.</w:t>
      </w:r>
    </w:p>
    <w:p w14:paraId="19BAB59D" w14:textId="77777777" w:rsidR="0074598E" w:rsidRPr="0074598E" w:rsidRDefault="0074598E" w:rsidP="0074598E">
      <w:pPr>
        <w:spacing w:line="240" w:lineRule="auto"/>
        <w:rPr>
          <w:rFonts w:eastAsia="Times New Roman" w:cs="Arial"/>
          <w:color w:val="000000"/>
          <w:u w:val="single"/>
          <w:lang w:eastAsia="bg-BG"/>
        </w:rPr>
      </w:pPr>
    </w:p>
    <w:p w14:paraId="402447DE" w14:textId="011EE819" w:rsidR="0074598E" w:rsidRPr="0074598E" w:rsidRDefault="0074598E" w:rsidP="0074598E">
      <w:pPr>
        <w:pStyle w:val="Heading3"/>
        <w:rPr>
          <w:rFonts w:eastAsia="Times New Roman"/>
          <w:u w:val="single"/>
          <w:lang w:eastAsia="bg-BG"/>
        </w:rPr>
      </w:pPr>
      <w:r w:rsidRPr="0074598E">
        <w:rPr>
          <w:rFonts w:eastAsia="Times New Roman"/>
          <w:u w:val="single"/>
          <w:lang w:eastAsia="bg-BG"/>
        </w:rPr>
        <w:t>Разпределение</w:t>
      </w:r>
    </w:p>
    <w:p w14:paraId="72B658DE" w14:textId="77777777" w:rsidR="0074598E" w:rsidRPr="0074598E" w:rsidRDefault="0074598E" w:rsidP="0074598E">
      <w:pPr>
        <w:spacing w:line="240" w:lineRule="auto"/>
        <w:rPr>
          <w:rFonts w:eastAsia="Times New Roman" w:cs="Arial"/>
          <w:i/>
          <w:iCs/>
          <w:color w:val="000000"/>
          <w:lang w:eastAsia="bg-BG"/>
        </w:rPr>
      </w:pPr>
    </w:p>
    <w:p w14:paraId="4AE5E631" w14:textId="2AD61A29"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Лосартан</w:t>
      </w:r>
    </w:p>
    <w:p w14:paraId="70BCB7C5"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Както лосартан, така и активният му метаболит, са &gt; 99 % свързани с плазмените протеини, особено с албумините. Обемът на разпределение на лосартан е 34 литра. Изследвания върху плъхове показват, че лосартан трудно преминава кръвно-мозъчната бариера, ако въобще я преминава.</w:t>
      </w:r>
    </w:p>
    <w:p w14:paraId="2DF71E59" w14:textId="77777777" w:rsidR="0074598E" w:rsidRPr="0074598E" w:rsidRDefault="0074598E" w:rsidP="0074598E">
      <w:pPr>
        <w:spacing w:line="240" w:lineRule="auto"/>
        <w:rPr>
          <w:rFonts w:eastAsia="Times New Roman" w:cs="Arial"/>
          <w:i/>
          <w:iCs/>
          <w:color w:val="000000"/>
          <w:lang w:eastAsia="bg-BG"/>
        </w:rPr>
      </w:pPr>
    </w:p>
    <w:p w14:paraId="12E2F5D5" w14:textId="587C2728"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Хидрохлоротиазид</w:t>
      </w:r>
    </w:p>
    <w:p w14:paraId="27FDAA32"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Хидрохлоротиазид преминава плацентарната, но не и кръвно-мозъчната бариера и се отделя в майчиното мляко</w:t>
      </w:r>
    </w:p>
    <w:p w14:paraId="3C293E1A" w14:textId="77777777" w:rsidR="0074598E" w:rsidRPr="0074598E" w:rsidRDefault="0074598E" w:rsidP="0074598E">
      <w:pPr>
        <w:spacing w:line="240" w:lineRule="auto"/>
        <w:rPr>
          <w:rFonts w:eastAsia="Times New Roman" w:cs="Arial"/>
          <w:color w:val="000000"/>
          <w:u w:val="single"/>
          <w:lang w:eastAsia="bg-BG"/>
        </w:rPr>
      </w:pPr>
    </w:p>
    <w:p w14:paraId="49771462" w14:textId="7C53F69F" w:rsidR="0074598E" w:rsidRPr="0074598E" w:rsidRDefault="0074598E" w:rsidP="0074598E">
      <w:pPr>
        <w:pStyle w:val="Heading3"/>
        <w:rPr>
          <w:rFonts w:eastAsia="Times New Roman"/>
          <w:u w:val="single"/>
          <w:lang w:eastAsia="bg-BG"/>
        </w:rPr>
      </w:pPr>
      <w:r w:rsidRPr="0074598E">
        <w:rPr>
          <w:rFonts w:eastAsia="Times New Roman"/>
          <w:u w:val="single"/>
          <w:lang w:eastAsia="bg-BG"/>
        </w:rPr>
        <w:t>Биотрансформация</w:t>
      </w:r>
    </w:p>
    <w:p w14:paraId="5EEB04F7" w14:textId="77777777" w:rsidR="0074598E" w:rsidRPr="0074598E" w:rsidRDefault="0074598E" w:rsidP="0074598E">
      <w:pPr>
        <w:spacing w:line="240" w:lineRule="auto"/>
        <w:rPr>
          <w:rFonts w:eastAsia="Times New Roman" w:cs="Arial"/>
          <w:i/>
          <w:iCs/>
          <w:color w:val="000000"/>
          <w:lang w:eastAsia="bg-BG"/>
        </w:rPr>
      </w:pPr>
    </w:p>
    <w:p w14:paraId="7855D3BB" w14:textId="15404D88"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Лосартан</w:t>
      </w:r>
    </w:p>
    <w:p w14:paraId="0FA8AEDD"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Около 14 % от интравенозно или перорално приложената доза лосартан, се превръща в активен метаболит. След пероралното или интравенозното прилагане на 14С-маркер на лосартан калий, циркулиращата плазмена радиоактивност се дължи на лосартан и активния му метаболит. Минимално конвертиране на лосартан до активния му метаболит се наблюдава при един процент от изследваните пациенти.</w:t>
      </w:r>
    </w:p>
    <w:p w14:paraId="68851454" w14:textId="77777777" w:rsidR="0074598E" w:rsidRPr="0074598E" w:rsidRDefault="0074598E" w:rsidP="0074598E">
      <w:pPr>
        <w:spacing w:line="240" w:lineRule="auto"/>
        <w:rPr>
          <w:rFonts w:eastAsia="Times New Roman" w:cs="Arial"/>
          <w:color w:val="000000"/>
          <w:lang w:eastAsia="bg-BG"/>
        </w:rPr>
      </w:pPr>
    </w:p>
    <w:p w14:paraId="55490690" w14:textId="792A5829"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Освен активния метаболит, се формират и неактивни метаболити, от които два се формират чрез хидроксилиране на бутиловата странична верига и един второстепенен метаболит - </w:t>
      </w:r>
      <w:r w:rsidRPr="0074598E">
        <w:rPr>
          <w:rFonts w:eastAsia="Times New Roman" w:cs="Arial"/>
          <w:color w:val="000000"/>
          <w:lang w:val="en-US"/>
        </w:rPr>
        <w:t xml:space="preserve">N-2 </w:t>
      </w:r>
      <w:r w:rsidRPr="0074598E">
        <w:rPr>
          <w:rFonts w:eastAsia="Times New Roman" w:cs="Arial"/>
          <w:color w:val="000000"/>
          <w:lang w:eastAsia="bg-BG"/>
        </w:rPr>
        <w:t>тетразол глюкоронид.</w:t>
      </w:r>
    </w:p>
    <w:p w14:paraId="79523509" w14:textId="77777777" w:rsidR="0074598E" w:rsidRPr="0074598E" w:rsidRDefault="0074598E" w:rsidP="0074598E">
      <w:pPr>
        <w:spacing w:line="240" w:lineRule="auto"/>
        <w:rPr>
          <w:rFonts w:eastAsia="Times New Roman" w:cs="Arial"/>
          <w:color w:val="000000"/>
          <w:u w:val="single"/>
          <w:lang w:eastAsia="bg-BG"/>
        </w:rPr>
      </w:pPr>
    </w:p>
    <w:p w14:paraId="6D8D9794" w14:textId="5469C909" w:rsidR="0074598E" w:rsidRPr="0074598E" w:rsidRDefault="0074598E" w:rsidP="0074598E">
      <w:pPr>
        <w:pStyle w:val="Heading3"/>
        <w:rPr>
          <w:rFonts w:eastAsia="Times New Roman"/>
          <w:u w:val="single"/>
          <w:lang w:eastAsia="bg-BG"/>
        </w:rPr>
      </w:pPr>
      <w:r w:rsidRPr="0074598E">
        <w:rPr>
          <w:rFonts w:eastAsia="Times New Roman"/>
          <w:u w:val="single"/>
          <w:lang w:eastAsia="bg-BG"/>
        </w:rPr>
        <w:t>Елиминиране</w:t>
      </w:r>
    </w:p>
    <w:p w14:paraId="0A6C516B" w14:textId="77777777" w:rsidR="0074598E" w:rsidRPr="0074598E" w:rsidRDefault="0074598E" w:rsidP="0074598E">
      <w:pPr>
        <w:spacing w:line="240" w:lineRule="auto"/>
        <w:rPr>
          <w:rFonts w:eastAsia="Times New Roman" w:cs="Arial"/>
          <w:i/>
          <w:iCs/>
          <w:color w:val="000000"/>
          <w:lang w:eastAsia="bg-BG"/>
        </w:rPr>
      </w:pPr>
    </w:p>
    <w:p w14:paraId="6BFCFDBA" w14:textId="61C98125"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lastRenderedPageBreak/>
        <w:t>Лосартан</w:t>
      </w:r>
    </w:p>
    <w:p w14:paraId="639EB73D"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Плазменият клирънс на лосартан и активния му метаболит е съответно, около 600 </w:t>
      </w:r>
      <w:r w:rsidRPr="0074598E">
        <w:rPr>
          <w:rFonts w:eastAsia="Times New Roman" w:cs="Arial"/>
          <w:color w:val="000000"/>
          <w:lang w:val="en-US"/>
        </w:rPr>
        <w:t xml:space="preserve">mL/min </w:t>
      </w:r>
      <w:r w:rsidRPr="0074598E">
        <w:rPr>
          <w:rFonts w:eastAsia="Times New Roman" w:cs="Arial"/>
          <w:color w:val="000000"/>
          <w:lang w:eastAsia="bg-BG"/>
        </w:rPr>
        <w:t xml:space="preserve">и 50 </w:t>
      </w:r>
      <w:r w:rsidRPr="0074598E">
        <w:rPr>
          <w:rFonts w:eastAsia="Times New Roman" w:cs="Arial"/>
          <w:color w:val="000000"/>
          <w:lang w:val="en-US"/>
        </w:rPr>
        <w:t xml:space="preserve">mL/min </w:t>
      </w:r>
      <w:r w:rsidRPr="0074598E">
        <w:rPr>
          <w:rFonts w:eastAsia="Times New Roman" w:cs="Arial"/>
          <w:color w:val="000000"/>
          <w:lang w:eastAsia="bg-BG"/>
        </w:rPr>
        <w:t xml:space="preserve">респективно. Бъбречният клирънс на лосартан и активния му метаболит е съответно около 74 </w:t>
      </w:r>
      <w:r w:rsidRPr="0074598E">
        <w:rPr>
          <w:rFonts w:eastAsia="Times New Roman" w:cs="Arial"/>
          <w:color w:val="000000"/>
          <w:lang w:val="en-US"/>
        </w:rPr>
        <w:t xml:space="preserve">mL/min </w:t>
      </w:r>
      <w:r w:rsidRPr="0074598E">
        <w:rPr>
          <w:rFonts w:eastAsia="Times New Roman" w:cs="Arial"/>
          <w:color w:val="000000"/>
          <w:lang w:eastAsia="bg-BG"/>
        </w:rPr>
        <w:t xml:space="preserve">и 26 </w:t>
      </w:r>
      <w:r w:rsidRPr="0074598E">
        <w:rPr>
          <w:rFonts w:eastAsia="Times New Roman" w:cs="Arial"/>
          <w:color w:val="000000"/>
          <w:lang w:val="en-US"/>
        </w:rPr>
        <w:t xml:space="preserve">mL/min </w:t>
      </w:r>
      <w:r w:rsidRPr="0074598E">
        <w:rPr>
          <w:rFonts w:eastAsia="Times New Roman" w:cs="Arial"/>
          <w:color w:val="000000"/>
          <w:lang w:eastAsia="bg-BG"/>
        </w:rPr>
        <w:t xml:space="preserve">респективно. Когато лосартан се прилага орално, около 4% от дозата се отделя непроменена в урината, а 6 % от дозата се отделя като активен метаболит. Фармакокинетиката на лосартан и активния му метаболит са линейни при перорални дози лосартан калий до 200 </w:t>
      </w:r>
      <w:r w:rsidRPr="0074598E">
        <w:rPr>
          <w:rFonts w:eastAsia="Times New Roman" w:cs="Arial"/>
          <w:color w:val="000000"/>
          <w:lang w:val="en-US"/>
        </w:rPr>
        <w:t>mg.</w:t>
      </w:r>
    </w:p>
    <w:p w14:paraId="510B4D51" w14:textId="77777777" w:rsidR="0074598E" w:rsidRPr="0074598E" w:rsidRDefault="0074598E" w:rsidP="0074598E">
      <w:pPr>
        <w:spacing w:line="240" w:lineRule="auto"/>
        <w:rPr>
          <w:rFonts w:eastAsia="Times New Roman" w:cs="Arial"/>
          <w:color w:val="000000"/>
          <w:lang w:eastAsia="bg-BG"/>
        </w:rPr>
      </w:pPr>
    </w:p>
    <w:p w14:paraId="5AE883F0" w14:textId="787C3BB3"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След перорално приложение, плазмените концентрации на лосартан и активния му метаболит намаляват полиекспоненциално като крайният полуживот е съответно около</w:t>
      </w:r>
    </w:p>
    <w:p w14:paraId="251A73CB"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2 часа и 6-9 часа. Нито лосартан, нито активният му метаболит, кумулират значително в плазмата по време на третиране с дози от 100 </w:t>
      </w:r>
      <w:r w:rsidRPr="0074598E">
        <w:rPr>
          <w:rFonts w:eastAsia="Times New Roman" w:cs="Arial"/>
          <w:color w:val="000000"/>
          <w:lang w:val="en-US"/>
        </w:rPr>
        <w:t xml:space="preserve">mg, </w:t>
      </w:r>
      <w:r w:rsidRPr="0074598E">
        <w:rPr>
          <w:rFonts w:eastAsia="Times New Roman" w:cs="Arial"/>
          <w:color w:val="000000"/>
          <w:lang w:eastAsia="bg-BG"/>
        </w:rPr>
        <w:t>един път дневно.</w:t>
      </w:r>
    </w:p>
    <w:p w14:paraId="194E33E4" w14:textId="77777777" w:rsidR="0074598E" w:rsidRPr="0074598E" w:rsidRDefault="0074598E" w:rsidP="0074598E">
      <w:pPr>
        <w:spacing w:line="240" w:lineRule="auto"/>
        <w:rPr>
          <w:rFonts w:eastAsia="Times New Roman" w:cs="Arial"/>
          <w:color w:val="000000"/>
          <w:lang w:eastAsia="bg-BG"/>
        </w:rPr>
      </w:pPr>
    </w:p>
    <w:p w14:paraId="02D8F1EA" w14:textId="39A2100A"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За елиминирането на лосартан допринасят, както жлъчната, така и уринната екскреция. След перорална доза от 14С-маркиран лосартан при човека, се открива около 35 % от радиоактивността в урината и 58 % в изпражненията.</w:t>
      </w:r>
    </w:p>
    <w:p w14:paraId="1753F0AF" w14:textId="77777777" w:rsidR="0074598E" w:rsidRPr="0074598E" w:rsidRDefault="0074598E" w:rsidP="0074598E">
      <w:pPr>
        <w:spacing w:line="240" w:lineRule="auto"/>
        <w:rPr>
          <w:rFonts w:eastAsia="Times New Roman" w:cs="Arial"/>
          <w:i/>
          <w:iCs/>
          <w:color w:val="000000"/>
          <w:lang w:eastAsia="bg-BG"/>
        </w:rPr>
      </w:pPr>
    </w:p>
    <w:p w14:paraId="57C55634" w14:textId="682966A7"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Хидрохлоротиазид</w:t>
      </w:r>
    </w:p>
    <w:p w14:paraId="4888EB93"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Хидрохлоротиазид не се метаболизира, но се елиминира бързо чрез бъбреците. При </w:t>
      </w:r>
    </w:p>
    <w:p w14:paraId="731D1B96" w14:textId="69F18A04" w:rsidR="0074598E" w:rsidRDefault="0074598E" w:rsidP="0074598E">
      <w:pPr>
        <w:rPr>
          <w:rFonts w:eastAsia="Times New Roman" w:cs="Arial"/>
          <w:color w:val="000000"/>
          <w:lang w:eastAsia="bg-BG"/>
        </w:rPr>
      </w:pPr>
      <w:r w:rsidRPr="0074598E">
        <w:rPr>
          <w:rFonts w:eastAsia="Times New Roman" w:cs="Arial"/>
          <w:color w:val="000000"/>
          <w:lang w:eastAsia="bg-BG"/>
        </w:rPr>
        <w:t>наблюдаване на плазмените нива, най-малко за 24 часа, се забелязва, че плазменият полуживот варира между 5,6 и 14,8 часа. Най-малко 61 % от пероралната доза се елиминира непроменена до 24 часа.</w:t>
      </w:r>
    </w:p>
    <w:p w14:paraId="7248BA87" w14:textId="6B28CFA4" w:rsidR="0074598E" w:rsidRDefault="0074598E" w:rsidP="0074598E">
      <w:pPr>
        <w:rPr>
          <w:rFonts w:eastAsia="Times New Roman" w:cs="Arial"/>
          <w:color w:val="000000"/>
          <w:lang w:eastAsia="bg-BG"/>
        </w:rPr>
      </w:pPr>
    </w:p>
    <w:p w14:paraId="422B2840" w14:textId="77777777" w:rsidR="0074598E" w:rsidRDefault="0074598E" w:rsidP="0074598E">
      <w:pPr>
        <w:spacing w:line="240" w:lineRule="auto"/>
        <w:rPr>
          <w:rFonts w:eastAsia="Times New Roman" w:cs="Arial"/>
          <w:color w:val="000000"/>
          <w:u w:val="single"/>
          <w:lang w:eastAsia="bg-BG"/>
        </w:rPr>
      </w:pPr>
      <w:r w:rsidRPr="0074598E">
        <w:rPr>
          <w:rFonts w:eastAsia="Times New Roman" w:cs="Arial"/>
          <w:color w:val="000000"/>
          <w:u w:val="single"/>
          <w:lang w:eastAsia="bg-BG"/>
        </w:rPr>
        <w:t xml:space="preserve">Характеристики на пациентите </w:t>
      </w:r>
    </w:p>
    <w:p w14:paraId="67B9F2FC" w14:textId="09775601"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 xml:space="preserve">Лосартан-хидрохлоротиазид </w:t>
      </w:r>
      <w:r w:rsidRPr="0074598E">
        <w:rPr>
          <w:rFonts w:eastAsia="Times New Roman" w:cs="Arial"/>
          <w:color w:val="000000"/>
          <w:lang w:eastAsia="bg-BG"/>
        </w:rPr>
        <w:t>При по-възрастни хипертоници, плазмените концентрации на лосартан и активния му метаболит, и абсорбцията на хидрохлоротиазид не се различават значително от тези при по- младите хипертоници.</w:t>
      </w:r>
    </w:p>
    <w:p w14:paraId="2D9A30C7" w14:textId="77777777" w:rsidR="0074598E" w:rsidRPr="0074598E" w:rsidRDefault="0074598E" w:rsidP="0074598E">
      <w:pPr>
        <w:spacing w:line="240" w:lineRule="auto"/>
        <w:rPr>
          <w:rFonts w:eastAsia="Times New Roman" w:cs="Arial"/>
          <w:i/>
          <w:iCs/>
          <w:color w:val="000000"/>
          <w:lang w:eastAsia="bg-BG"/>
        </w:rPr>
      </w:pPr>
    </w:p>
    <w:p w14:paraId="63AB90E6" w14:textId="32818363" w:rsidR="0074598E" w:rsidRPr="0074598E" w:rsidRDefault="0074598E" w:rsidP="0074598E">
      <w:pPr>
        <w:spacing w:line="240" w:lineRule="auto"/>
        <w:rPr>
          <w:rFonts w:eastAsia="Times New Roman" w:cs="Arial"/>
          <w:sz w:val="24"/>
          <w:szCs w:val="24"/>
          <w:lang w:eastAsia="bg-BG"/>
        </w:rPr>
      </w:pPr>
      <w:r w:rsidRPr="0074598E">
        <w:rPr>
          <w:rFonts w:eastAsia="Times New Roman" w:cs="Arial"/>
          <w:i/>
          <w:iCs/>
          <w:color w:val="000000"/>
          <w:lang w:eastAsia="bg-BG"/>
        </w:rPr>
        <w:t>Лосартан</w:t>
      </w:r>
    </w:p>
    <w:p w14:paraId="47E2C236"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След перорално приложение при пациенти с лека до средна алкохолна цироза на черния дроб, плазмените концентрации на лосартан и активния му метаболит са, съответно, 5 пъти и 1,7 пъти по-високи от наблюдаваните при млади мъже - доброволци.</w:t>
      </w:r>
    </w:p>
    <w:p w14:paraId="3F109EC3" w14:textId="77777777" w:rsidR="0074598E" w:rsidRPr="0074598E" w:rsidRDefault="0074598E" w:rsidP="0074598E">
      <w:pPr>
        <w:spacing w:line="240" w:lineRule="auto"/>
        <w:rPr>
          <w:rFonts w:eastAsia="Times New Roman" w:cs="Arial"/>
          <w:color w:val="000000"/>
          <w:lang w:eastAsia="bg-BG"/>
        </w:rPr>
      </w:pPr>
    </w:p>
    <w:p w14:paraId="614178B8" w14:textId="0F4E0488"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 xml:space="preserve">Фармакокинетични проучвания показват, че </w:t>
      </w:r>
      <w:r w:rsidRPr="0074598E">
        <w:rPr>
          <w:rFonts w:eastAsia="Times New Roman" w:cs="Arial"/>
          <w:color w:val="000000"/>
          <w:lang w:val="en-US"/>
        </w:rPr>
        <w:t xml:space="preserve">AUC </w:t>
      </w:r>
      <w:r w:rsidRPr="0074598E">
        <w:rPr>
          <w:rFonts w:eastAsia="Times New Roman" w:cs="Arial"/>
          <w:color w:val="000000"/>
          <w:lang w:eastAsia="bg-BG"/>
        </w:rPr>
        <w:t xml:space="preserve">на лосартан при здрави мъже от японската и неяпонска популация не се различават. Въпреки това </w:t>
      </w:r>
      <w:r w:rsidRPr="0074598E">
        <w:rPr>
          <w:rFonts w:eastAsia="Times New Roman" w:cs="Arial"/>
          <w:color w:val="000000"/>
          <w:lang w:val="en-US"/>
        </w:rPr>
        <w:t xml:space="preserve">AUC </w:t>
      </w:r>
      <w:r w:rsidRPr="0074598E">
        <w:rPr>
          <w:rFonts w:eastAsia="Times New Roman" w:cs="Arial"/>
          <w:color w:val="000000"/>
          <w:lang w:eastAsia="bg-BG"/>
        </w:rPr>
        <w:t>на карбоксилно-киселия метаболит (Е-З 174) показва различия между двете групи, като експозицията е приблизително 1.5 пъти по- висока при мъжете японци в сравнение с не-японците. Клиничната значимост на тези резултати е неизвестна.</w:t>
      </w:r>
    </w:p>
    <w:p w14:paraId="61CDA864" w14:textId="77777777" w:rsidR="0074598E" w:rsidRPr="0074598E" w:rsidRDefault="0074598E" w:rsidP="0074598E">
      <w:pPr>
        <w:rPr>
          <w:rFonts w:eastAsia="Times New Roman" w:cs="Arial"/>
          <w:color w:val="000000"/>
          <w:lang w:eastAsia="bg-BG"/>
        </w:rPr>
      </w:pPr>
    </w:p>
    <w:p w14:paraId="17B2B77F" w14:textId="7BA77202" w:rsidR="0074598E" w:rsidRPr="0074598E" w:rsidRDefault="0074598E" w:rsidP="0074598E">
      <w:pPr>
        <w:rPr>
          <w:rFonts w:cs="Arial"/>
        </w:rPr>
      </w:pPr>
      <w:r w:rsidRPr="0074598E">
        <w:rPr>
          <w:rFonts w:eastAsia="Times New Roman" w:cs="Arial"/>
          <w:color w:val="000000"/>
          <w:lang w:eastAsia="bg-BG"/>
        </w:rPr>
        <w:t>Нито лосартан, нито активният му метаболит могат да бъдат отстранени чрез хемодиализа.</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57964F4B" w:rsidR="0091385D" w:rsidRDefault="0074598E" w:rsidP="0091385D">
      <w:r>
        <w:t xml:space="preserve">Предклиничните данни от конвенционални проучвания - фармакологични, генотоксични и за карциногенен потенциал, не разкриват потенциални рискове при лечение на хора. Токсичният потенциал на комбинацията лосартан/хидрохлоротиазид се оценява в проучвания за хронична токсичност с продължителност до шест месеца при плъхове и кучета, след орално приложение, а наблюдаваните промени в тези проучвания с </w:t>
      </w:r>
      <w:r>
        <w:lastRenderedPageBreak/>
        <w:t>прилагане на комбинация са главно причинени от лосартановия компонент. Прилагането на комбинацията лосартан/хидрохлоротиазид предизвиква понижение на параметрите на червените кръвни клетки (еритроцити, хемоглобин, хематокрит) и повишаване на урея</w:t>
      </w:r>
      <w:r>
        <w:rPr>
          <w:lang w:val="en-US"/>
        </w:rPr>
        <w:t xml:space="preserve">-N </w:t>
      </w:r>
      <w:r>
        <w:t xml:space="preserve">в серума, понижаване на теглото на сърцето (без хистологично съответствие) и стомашно-чревни промени (лезии по лигавицата, язви, ерозии, кръвоизливи). Няма данни за тератогенност при плъхове или зайци третирани с комбинацията лосартан/хидрохлоротиазид. Токсичност за плода, изразяваща се в леко повишение на броя на ребрата в поколение </w:t>
      </w:r>
      <w:r>
        <w:rPr>
          <w:lang w:val="en-US"/>
        </w:rPr>
        <w:t xml:space="preserve">F1 </w:t>
      </w:r>
      <w:r>
        <w:t>се наблюдава, когато женските се третират преди и по време на гестационния период. Както се наблюдава в проучвания само с лосартан, странични ефекти за плода и новородените, включително бъбречна токсичност и смърт на плода, се наблюдават, когато бременни плъхове се третират с комбинацията лосартан/хидрохлоротиазид в късния гестационен период и/или през лактационния период.</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FD825DB" w14:textId="5B33EDA3" w:rsidR="0091385D" w:rsidRPr="0074598E" w:rsidRDefault="0074598E" w:rsidP="0091385D">
      <w:pPr>
        <w:rPr>
          <w:rFonts w:cs="Arial"/>
        </w:rPr>
      </w:pPr>
      <w:r w:rsidRPr="0074598E">
        <w:rPr>
          <w:rFonts w:cs="Arial"/>
        </w:rPr>
        <w:t xml:space="preserve">KRK.A, d.d., Novo mesto, </w:t>
      </w:r>
      <w:r w:rsidRPr="0074598E">
        <w:rPr>
          <w:rFonts w:cs="Arial"/>
          <w:lang w:eastAsia="bg-BG"/>
        </w:rPr>
        <w:t>Šmarješka cesta</w:t>
      </w:r>
      <w:r w:rsidRPr="0074598E">
        <w:rPr>
          <w:rFonts w:cs="Arial"/>
        </w:rPr>
        <w:t xml:space="preserve"> 6, 8501 Novo mesto, </w:t>
      </w:r>
      <w:r w:rsidRPr="0074598E">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5B10FE3D" w:rsidR="0091385D" w:rsidRPr="0074598E" w:rsidRDefault="0074598E" w:rsidP="0091385D">
      <w:pPr>
        <w:rPr>
          <w:rFonts w:cs="Arial"/>
        </w:rPr>
      </w:pPr>
      <w:r w:rsidRPr="0074598E">
        <w:rPr>
          <w:rFonts w:cs="Arial"/>
        </w:rPr>
        <w:t>Pe</w:t>
      </w:r>
      <w:r w:rsidRPr="0074598E">
        <w:rPr>
          <w:rFonts w:cs="Arial"/>
          <w:lang w:eastAsia="bg-BG"/>
        </w:rPr>
        <w:t>г</w:t>
      </w:r>
      <w:r w:rsidRPr="0074598E">
        <w:rPr>
          <w:rFonts w:cs="Arial"/>
        </w:rPr>
        <w:t>. №: 20060153</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B1E9631" w14:textId="77777777" w:rsidR="0074598E"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Дата на първо разрешаване: 04.04.2006</w:t>
      </w:r>
    </w:p>
    <w:p w14:paraId="497007FA" w14:textId="2F7490B2" w:rsidR="0091385D" w:rsidRPr="0074598E" w:rsidRDefault="0074598E" w:rsidP="0074598E">
      <w:pPr>
        <w:rPr>
          <w:rFonts w:cs="Arial"/>
        </w:rPr>
      </w:pPr>
      <w:r w:rsidRPr="0074598E">
        <w:rPr>
          <w:rFonts w:eastAsia="Times New Roman" w:cs="Arial"/>
          <w:color w:val="000000"/>
          <w:lang w:eastAsia="bg-BG"/>
        </w:rPr>
        <w:t>Дата на последно подновяване: 15.12.2011</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0CEDD7EC" w:rsidR="0091385D" w:rsidRPr="0074598E" w:rsidRDefault="0074598E" w:rsidP="0074598E">
      <w:pPr>
        <w:spacing w:line="240" w:lineRule="auto"/>
        <w:rPr>
          <w:rFonts w:eastAsia="Times New Roman" w:cs="Arial"/>
          <w:sz w:val="24"/>
          <w:szCs w:val="24"/>
          <w:lang w:eastAsia="bg-BG"/>
        </w:rPr>
      </w:pPr>
      <w:r w:rsidRPr="0074598E">
        <w:rPr>
          <w:rFonts w:eastAsia="Times New Roman" w:cs="Arial"/>
          <w:color w:val="000000"/>
          <w:lang w:eastAsia="bg-BG"/>
        </w:rPr>
        <w:t>Подробна информация за този лекарствен продукт</w:t>
      </w:r>
      <w:r w:rsidRPr="0074598E">
        <w:rPr>
          <w:rFonts w:eastAsia="Times New Roman" w:cs="Arial"/>
          <w:color w:val="000000"/>
          <w:lang w:val="en-US"/>
        </w:rPr>
        <w:t xml:space="preserve"> </w:t>
      </w:r>
      <w:r w:rsidRPr="0074598E">
        <w:rPr>
          <w:rFonts w:eastAsia="Times New Roman" w:cs="Arial"/>
          <w:color w:val="000000"/>
          <w:lang w:eastAsia="bg-BG"/>
        </w:rPr>
        <w:t>е</w:t>
      </w:r>
      <w:r w:rsidRPr="0074598E">
        <w:rPr>
          <w:rFonts w:eastAsia="Times New Roman" w:cs="Arial"/>
          <w:color w:val="000000"/>
          <w:lang w:val="en-US"/>
        </w:rPr>
        <w:t xml:space="preserve"> </w:t>
      </w:r>
      <w:r w:rsidRPr="0074598E">
        <w:rPr>
          <w:rFonts w:eastAsia="Times New Roman" w:cs="Arial"/>
          <w:color w:val="000000"/>
          <w:lang w:eastAsia="bg-BG"/>
        </w:rPr>
        <w:t>предоставена</w:t>
      </w:r>
      <w:r w:rsidRPr="0074598E">
        <w:rPr>
          <w:rFonts w:eastAsia="Times New Roman" w:cs="Arial"/>
          <w:color w:val="000000"/>
          <w:lang w:val="en-US"/>
        </w:rPr>
        <w:t xml:space="preserve"> </w:t>
      </w:r>
      <w:r w:rsidRPr="0074598E">
        <w:rPr>
          <w:rFonts w:eastAsia="Times New Roman" w:cs="Arial"/>
          <w:color w:val="000000"/>
          <w:lang w:eastAsia="bg-BG"/>
        </w:rPr>
        <w:t>на</w:t>
      </w:r>
      <w:r w:rsidRPr="0074598E">
        <w:rPr>
          <w:rFonts w:eastAsia="Times New Roman" w:cs="Arial"/>
          <w:color w:val="000000"/>
          <w:lang w:val="en-US"/>
        </w:rPr>
        <w:t xml:space="preserve"> </w:t>
      </w:r>
      <w:r w:rsidRPr="0074598E">
        <w:rPr>
          <w:rFonts w:eastAsia="Times New Roman" w:cs="Arial"/>
          <w:color w:val="000000"/>
          <w:lang w:eastAsia="bg-BG"/>
        </w:rPr>
        <w:t>уебсайта</w:t>
      </w:r>
      <w:r w:rsidRPr="0074598E">
        <w:rPr>
          <w:rFonts w:eastAsia="Times New Roman" w:cs="Arial"/>
          <w:color w:val="000000"/>
          <w:lang w:val="en-US"/>
        </w:rPr>
        <w:t xml:space="preserve"> </w:t>
      </w:r>
      <w:r w:rsidRPr="0074598E">
        <w:rPr>
          <w:rFonts w:eastAsia="Times New Roman" w:cs="Arial"/>
          <w:color w:val="000000"/>
          <w:lang w:eastAsia="bg-BG"/>
        </w:rPr>
        <w:t>на</w:t>
      </w:r>
      <w:r w:rsidRPr="0074598E">
        <w:rPr>
          <w:rFonts w:eastAsia="Times New Roman" w:cs="Arial"/>
          <w:color w:val="000000"/>
          <w:lang w:val="en-US"/>
        </w:rPr>
        <w:t xml:space="preserve"> </w:t>
      </w:r>
      <w:r w:rsidRPr="0074598E">
        <w:rPr>
          <w:rFonts w:eastAsia="Times New Roman" w:cs="Arial"/>
          <w:color w:val="000000"/>
          <w:lang w:eastAsia="bg-BG"/>
        </w:rPr>
        <w:t>Изпълнителна</w:t>
      </w:r>
      <w:r>
        <w:rPr>
          <w:rFonts w:eastAsia="Times New Roman" w:cs="Arial"/>
          <w:sz w:val="24"/>
          <w:szCs w:val="24"/>
          <w:lang w:eastAsia="bg-BG"/>
        </w:rPr>
        <w:t xml:space="preserve"> </w:t>
      </w:r>
      <w:r w:rsidRPr="0074598E">
        <w:rPr>
          <w:rFonts w:eastAsia="Times New Roman" w:cs="Arial"/>
          <w:color w:val="000000"/>
          <w:lang w:eastAsia="bg-BG"/>
        </w:rPr>
        <w:t xml:space="preserve">Агенция по Лекарствата (ИАЛ) </w:t>
      </w:r>
      <w:hyperlink r:id="rId5" w:history="1">
        <w:r w:rsidRPr="0074598E">
          <w:rPr>
            <w:rFonts w:eastAsia="Times New Roman" w:cs="Arial"/>
            <w:color w:val="000000"/>
            <w:lang w:val="en-US"/>
          </w:rPr>
          <w:t>http://www.bda</w:t>
        </w:r>
      </w:hyperlink>
      <w:r w:rsidRPr="0074598E">
        <w:rPr>
          <w:rFonts w:eastAsia="Times New Roman" w:cs="Arial"/>
          <w:color w:val="000000"/>
          <w:lang w:val="en-US"/>
        </w:rPr>
        <w:t xml:space="preserve">. </w:t>
      </w:r>
      <w:proofErr w:type="gramStart"/>
      <w:r w:rsidRPr="0074598E">
        <w:rPr>
          <w:rFonts w:eastAsia="Times New Roman" w:cs="Arial"/>
          <w:color w:val="000000"/>
          <w:lang w:val="en-US"/>
        </w:rPr>
        <w:t>bg</w:t>
      </w:r>
      <w:proofErr w:type="gramEnd"/>
      <w:r w:rsidRPr="0074598E">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FF51BA"/>
    <w:multiLevelType w:val="hybridMultilevel"/>
    <w:tmpl w:val="27204F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216F79"/>
    <w:multiLevelType w:val="hybridMultilevel"/>
    <w:tmpl w:val="C0D8B77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1"/>
  </w:num>
  <w:num w:numId="8">
    <w:abstractNumId w:val="16"/>
  </w:num>
  <w:num w:numId="9">
    <w:abstractNumId w:val="2"/>
  </w:num>
  <w:num w:numId="10">
    <w:abstractNumId w:val="5"/>
  </w:num>
  <w:num w:numId="11">
    <w:abstractNumId w:val="31"/>
  </w:num>
  <w:num w:numId="12">
    <w:abstractNumId w:val="15"/>
  </w:num>
  <w:num w:numId="13">
    <w:abstractNumId w:val="20"/>
  </w:num>
  <w:num w:numId="14">
    <w:abstractNumId w:val="13"/>
  </w:num>
  <w:num w:numId="15">
    <w:abstractNumId w:val="30"/>
  </w:num>
  <w:num w:numId="16">
    <w:abstractNumId w:val="10"/>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7"/>
  </w:num>
  <w:num w:numId="29">
    <w:abstractNumId w:val="21"/>
  </w:num>
  <w:num w:numId="30">
    <w:abstractNumId w:val="35"/>
  </w:num>
  <w:num w:numId="31">
    <w:abstractNumId w:val="6"/>
  </w:num>
  <w:num w:numId="32">
    <w:abstractNumId w:val="34"/>
  </w:num>
  <w:num w:numId="33">
    <w:abstractNumId w:val="29"/>
  </w:num>
  <w:num w:numId="34">
    <w:abstractNumId w:val="33"/>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D4D2D"/>
    <w:rsid w:val="00340A0A"/>
    <w:rsid w:val="003765DC"/>
    <w:rsid w:val="0038166B"/>
    <w:rsid w:val="00395555"/>
    <w:rsid w:val="003E3126"/>
    <w:rsid w:val="00426E5F"/>
    <w:rsid w:val="004A448E"/>
    <w:rsid w:val="004D4D6B"/>
    <w:rsid w:val="004F1CE7"/>
    <w:rsid w:val="004F498A"/>
    <w:rsid w:val="004F5812"/>
    <w:rsid w:val="00517A5B"/>
    <w:rsid w:val="00593A00"/>
    <w:rsid w:val="005A66D9"/>
    <w:rsid w:val="00605BCA"/>
    <w:rsid w:val="006158A1"/>
    <w:rsid w:val="00617B1F"/>
    <w:rsid w:val="00672487"/>
    <w:rsid w:val="00672600"/>
    <w:rsid w:val="00681D4A"/>
    <w:rsid w:val="00685882"/>
    <w:rsid w:val="0074598E"/>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7693</Words>
  <Characters>43856</Characters>
  <Application>Microsoft Office Word</Application>
  <DocSecurity>0</DocSecurity>
  <Lines>365</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2022-09-05T15:40:00Z</dcterms:created>
  <dcterms:modified xsi:type="dcterms:W3CDTF">2022-09-05T15:40:00Z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