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139707E2" w14:textId="77777777" w:rsidR="00935BA2" w:rsidRPr="00935BA2" w:rsidRDefault="00935BA2" w:rsidP="00935BA2">
      <w:pPr>
        <w:spacing w:line="240" w:lineRule="auto"/>
        <w:rPr>
          <w:rFonts w:eastAsia="Times New Roman" w:cs="Arial"/>
          <w:sz w:val="24"/>
          <w:szCs w:val="24"/>
          <w:lang w:val="en-US" w:eastAsia="bg-BG"/>
        </w:rPr>
      </w:pPr>
      <w:r w:rsidRPr="00935BA2">
        <w:rPr>
          <w:rFonts w:eastAsia="Times New Roman" w:cs="Arial"/>
          <w:color w:val="000000"/>
          <w:lang w:eastAsia="bg-BG"/>
        </w:rPr>
        <w:t xml:space="preserve">Лориста </w:t>
      </w:r>
      <w:r w:rsidRPr="00935BA2">
        <w:rPr>
          <w:rFonts w:eastAsia="Times New Roman" w:cs="Arial"/>
          <w:color w:val="000000"/>
          <w:lang w:val="en-US"/>
        </w:rPr>
        <w:t xml:space="preserve">HL </w:t>
      </w:r>
      <w:r w:rsidRPr="00935BA2">
        <w:rPr>
          <w:rFonts w:eastAsia="Times New Roman" w:cs="Arial"/>
          <w:color w:val="000000"/>
          <w:lang w:eastAsia="bg-BG"/>
        </w:rPr>
        <w:t xml:space="preserve">100 </w:t>
      </w:r>
      <w:r w:rsidRPr="00935BA2">
        <w:rPr>
          <w:rFonts w:eastAsia="Times New Roman" w:cs="Arial"/>
          <w:color w:val="000000"/>
          <w:lang w:val="en-US"/>
        </w:rPr>
        <w:t xml:space="preserve">mg/12,5 mg </w:t>
      </w:r>
      <w:r w:rsidRPr="00935BA2">
        <w:rPr>
          <w:rFonts w:eastAsia="Times New Roman" w:cs="Arial"/>
          <w:color w:val="000000"/>
          <w:lang w:eastAsia="bg-BG"/>
        </w:rPr>
        <w:t>филмирани таблетки</w:t>
      </w:r>
    </w:p>
    <w:p w14:paraId="233AE52F" w14:textId="77777777" w:rsidR="00935BA2" w:rsidRPr="00935BA2" w:rsidRDefault="00935BA2" w:rsidP="00935BA2">
      <w:pPr>
        <w:rPr>
          <w:rFonts w:eastAsia="Times New Roman" w:cs="Arial"/>
          <w:color w:val="000000"/>
          <w:lang w:val="en-US"/>
        </w:rPr>
      </w:pPr>
    </w:p>
    <w:p w14:paraId="5015A1FD" w14:textId="7DE05C1E" w:rsidR="00A73575" w:rsidRPr="00935BA2" w:rsidRDefault="00935BA2" w:rsidP="00935BA2">
      <w:pPr>
        <w:rPr>
          <w:rFonts w:cs="Arial"/>
        </w:rPr>
      </w:pPr>
      <w:proofErr w:type="spellStart"/>
      <w:r w:rsidRPr="00935BA2">
        <w:rPr>
          <w:rFonts w:eastAsia="Times New Roman" w:cs="Arial"/>
          <w:color w:val="000000"/>
          <w:lang w:val="en-US"/>
        </w:rPr>
        <w:t>Lorista</w:t>
      </w:r>
      <w:proofErr w:type="spellEnd"/>
      <w:r w:rsidRPr="00935BA2">
        <w:rPr>
          <w:rFonts w:eastAsia="Times New Roman" w:cs="Arial"/>
          <w:color w:val="000000"/>
          <w:lang w:val="en-US"/>
        </w:rPr>
        <w:t xml:space="preserve"> HL 100 mg/12.5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63817EB5"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Всяка филмирана таблетка съдържа 100 </w:t>
      </w:r>
      <w:r w:rsidRPr="00935BA2">
        <w:rPr>
          <w:rFonts w:eastAsia="Times New Roman" w:cs="Arial"/>
          <w:color w:val="000000"/>
          <w:lang w:val="en-US"/>
        </w:rPr>
        <w:t xml:space="preserve">mg </w:t>
      </w:r>
      <w:r w:rsidRPr="00935BA2">
        <w:rPr>
          <w:rFonts w:eastAsia="Times New Roman" w:cs="Arial"/>
          <w:color w:val="000000"/>
          <w:lang w:eastAsia="bg-BG"/>
        </w:rPr>
        <w:t xml:space="preserve">лосартан калий </w:t>
      </w:r>
      <w:r w:rsidRPr="00935BA2">
        <w:rPr>
          <w:rFonts w:eastAsia="Times New Roman" w:cs="Arial"/>
          <w:i/>
          <w:iCs/>
          <w:color w:val="000000"/>
          <w:lang w:val="en-US"/>
        </w:rPr>
        <w:t>(losartan potassium),</w:t>
      </w:r>
      <w:r w:rsidRPr="00935BA2">
        <w:rPr>
          <w:rFonts w:eastAsia="Times New Roman" w:cs="Arial"/>
          <w:color w:val="000000"/>
          <w:lang w:val="en-US"/>
        </w:rPr>
        <w:t xml:space="preserve"> </w:t>
      </w:r>
      <w:r w:rsidRPr="00935BA2">
        <w:rPr>
          <w:rFonts w:eastAsia="Times New Roman" w:cs="Arial"/>
          <w:color w:val="000000"/>
          <w:lang w:eastAsia="bg-BG"/>
        </w:rPr>
        <w:t>еквивалентен на</w:t>
      </w:r>
      <w:r w:rsidRPr="00935BA2">
        <w:rPr>
          <w:rFonts w:ascii="Times New Roman" w:eastAsia="Times New Roman" w:hAnsi="Times New Roman" w:cs="Times New Roman"/>
          <w:color w:val="000000"/>
          <w:lang w:eastAsia="bg-BG"/>
        </w:rPr>
        <w:t xml:space="preserve"> </w:t>
      </w:r>
      <w:r w:rsidRPr="00935BA2">
        <w:rPr>
          <w:rFonts w:eastAsia="Times New Roman" w:cs="Arial"/>
          <w:color w:val="000000"/>
          <w:lang w:eastAsia="bg-BG"/>
        </w:rPr>
        <w:t xml:space="preserve">91,52 </w:t>
      </w:r>
      <w:r w:rsidRPr="00935BA2">
        <w:rPr>
          <w:rFonts w:eastAsia="Times New Roman" w:cs="Arial"/>
          <w:color w:val="000000"/>
          <w:lang w:val="en-US"/>
        </w:rPr>
        <w:t xml:space="preserve">mg </w:t>
      </w:r>
      <w:r w:rsidRPr="00935BA2">
        <w:rPr>
          <w:rFonts w:eastAsia="Times New Roman" w:cs="Arial"/>
          <w:color w:val="000000"/>
          <w:lang w:eastAsia="bg-BG"/>
        </w:rPr>
        <w:t xml:space="preserve">лосартан </w:t>
      </w:r>
      <w:r w:rsidRPr="00935BA2">
        <w:rPr>
          <w:rFonts w:eastAsia="Times New Roman" w:cs="Arial"/>
          <w:i/>
          <w:iCs/>
          <w:color w:val="000000"/>
          <w:lang w:val="en-US"/>
        </w:rPr>
        <w:t>(losartan)</w:t>
      </w:r>
      <w:r w:rsidRPr="00935BA2">
        <w:rPr>
          <w:rFonts w:eastAsia="Times New Roman" w:cs="Arial"/>
          <w:color w:val="000000"/>
          <w:lang w:val="en-US"/>
        </w:rPr>
        <w:t xml:space="preserve"> </w:t>
      </w:r>
      <w:r w:rsidRPr="00935BA2">
        <w:rPr>
          <w:rFonts w:eastAsia="Times New Roman" w:cs="Arial"/>
          <w:color w:val="000000"/>
          <w:lang w:eastAsia="bg-BG"/>
        </w:rPr>
        <w:t xml:space="preserve">и 12,5 </w:t>
      </w:r>
      <w:r w:rsidRPr="00935BA2">
        <w:rPr>
          <w:rFonts w:eastAsia="Times New Roman" w:cs="Arial"/>
          <w:color w:val="000000"/>
          <w:lang w:val="en-US"/>
        </w:rPr>
        <w:t xml:space="preserve">mg </w:t>
      </w:r>
      <w:r w:rsidRPr="00935BA2">
        <w:rPr>
          <w:rFonts w:eastAsia="Times New Roman" w:cs="Arial"/>
          <w:color w:val="000000"/>
          <w:lang w:eastAsia="bg-BG"/>
        </w:rPr>
        <w:t xml:space="preserve">хидрохлоротиазид </w:t>
      </w:r>
      <w:r w:rsidRPr="00935BA2">
        <w:rPr>
          <w:rFonts w:eastAsia="Times New Roman" w:cs="Arial"/>
          <w:i/>
          <w:iCs/>
          <w:color w:val="000000"/>
          <w:lang w:val="en-US"/>
        </w:rPr>
        <w:t>(hydrochlorothiazide).</w:t>
      </w:r>
    </w:p>
    <w:p w14:paraId="60FBF5A0" w14:textId="77777777" w:rsidR="00935BA2" w:rsidRPr="00935BA2" w:rsidRDefault="00935BA2" w:rsidP="00935BA2">
      <w:pPr>
        <w:spacing w:line="240" w:lineRule="auto"/>
        <w:rPr>
          <w:rFonts w:eastAsia="Times New Roman" w:cs="Arial"/>
          <w:color w:val="000000"/>
          <w:u w:val="single"/>
          <w:lang w:eastAsia="bg-BG"/>
        </w:rPr>
      </w:pPr>
      <w:bookmarkStart w:id="1" w:name="_GoBack"/>
      <w:bookmarkEnd w:id="1"/>
    </w:p>
    <w:p w14:paraId="79E6E19B" w14:textId="62BBFD94"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u w:val="single"/>
          <w:lang w:eastAsia="bg-BG"/>
        </w:rPr>
        <w:t>Помощно вещество с известно действие</w:t>
      </w:r>
      <w:r w:rsidRPr="00935BA2">
        <w:rPr>
          <w:rFonts w:eastAsia="Times New Roman" w:cs="Arial"/>
          <w:color w:val="000000"/>
          <w:lang w:eastAsia="bg-BG"/>
        </w:rPr>
        <w:t xml:space="preserve">: лактоза 83,98 </w:t>
      </w:r>
      <w:r w:rsidRPr="00935BA2">
        <w:rPr>
          <w:rFonts w:eastAsia="Times New Roman" w:cs="Arial"/>
          <w:color w:val="000000"/>
          <w:lang w:val="en-US"/>
        </w:rPr>
        <w:t>mg</w:t>
      </w:r>
      <w:r w:rsidRPr="00935BA2">
        <w:rPr>
          <w:rFonts w:eastAsia="Times New Roman" w:cs="Arial"/>
          <w:color w:val="000000"/>
          <w:lang w:eastAsia="bg-BG"/>
        </w:rPr>
        <w:t>/таблетка.</w:t>
      </w:r>
    </w:p>
    <w:p w14:paraId="63599C3F" w14:textId="77777777" w:rsidR="00935BA2" w:rsidRPr="00935BA2" w:rsidRDefault="00935BA2" w:rsidP="00935BA2">
      <w:pPr>
        <w:rPr>
          <w:rFonts w:eastAsia="Times New Roman" w:cs="Arial"/>
          <w:color w:val="000000"/>
          <w:lang w:eastAsia="bg-BG"/>
        </w:rPr>
      </w:pPr>
    </w:p>
    <w:p w14:paraId="03110A50" w14:textId="3D0AD351" w:rsidR="0091385D" w:rsidRPr="00935BA2" w:rsidRDefault="00935BA2" w:rsidP="00935BA2">
      <w:pPr>
        <w:rPr>
          <w:rFonts w:cs="Arial"/>
        </w:rPr>
      </w:pPr>
      <w:r w:rsidRPr="00935BA2">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4E43578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Филмирана таблетка</w:t>
      </w:r>
    </w:p>
    <w:p w14:paraId="50FEBA37" w14:textId="77777777" w:rsidR="00935BA2" w:rsidRPr="00935BA2" w:rsidRDefault="00935BA2" w:rsidP="00935BA2">
      <w:pPr>
        <w:rPr>
          <w:rFonts w:eastAsia="Times New Roman" w:cs="Arial"/>
          <w:color w:val="000000"/>
          <w:lang w:eastAsia="bg-BG"/>
        </w:rPr>
      </w:pPr>
    </w:p>
    <w:p w14:paraId="4129ADBB" w14:textId="06B7B746" w:rsidR="0091385D" w:rsidRPr="00935BA2" w:rsidRDefault="00935BA2" w:rsidP="00935BA2">
      <w:pPr>
        <w:rPr>
          <w:rFonts w:cs="Arial"/>
        </w:rPr>
      </w:pPr>
      <w:r w:rsidRPr="00935BA2">
        <w:rPr>
          <w:rFonts w:eastAsia="Times New Roman" w:cs="Arial"/>
          <w:color w:val="000000"/>
          <w:lang w:eastAsia="bg-BG"/>
        </w:rPr>
        <w:t xml:space="preserve">Лориста </w:t>
      </w:r>
      <w:r w:rsidRPr="00935BA2">
        <w:rPr>
          <w:rFonts w:eastAsia="Times New Roman" w:cs="Arial"/>
          <w:color w:val="000000"/>
          <w:lang w:val="en-US"/>
        </w:rPr>
        <w:t xml:space="preserve">HL </w:t>
      </w:r>
      <w:r w:rsidRPr="00935BA2">
        <w:rPr>
          <w:rFonts w:eastAsia="Times New Roman" w:cs="Arial"/>
          <w:color w:val="000000"/>
          <w:lang w:eastAsia="bg-BG"/>
        </w:rPr>
        <w:t xml:space="preserve">100 </w:t>
      </w:r>
      <w:r w:rsidRPr="00935BA2">
        <w:rPr>
          <w:rFonts w:eastAsia="Times New Roman" w:cs="Arial"/>
          <w:color w:val="000000"/>
          <w:lang w:val="en-US"/>
        </w:rPr>
        <w:t xml:space="preserve">mg/12,5 mg </w:t>
      </w:r>
      <w:r w:rsidRPr="00935BA2">
        <w:rPr>
          <w:rFonts w:eastAsia="Times New Roman" w:cs="Arial"/>
          <w:color w:val="000000"/>
          <w:lang w:eastAsia="bg-BG"/>
        </w:rPr>
        <w:t xml:space="preserve">филмирани таблетки: бели, овални, двойноизпъкнали филмирани таблетки. Размери на таблетката: 13 </w:t>
      </w:r>
      <w:r w:rsidRPr="00935BA2">
        <w:rPr>
          <w:rFonts w:eastAsia="Times New Roman" w:cs="Arial"/>
          <w:color w:val="000000"/>
          <w:lang w:val="en-US"/>
        </w:rPr>
        <w:t xml:space="preserve">mm </w:t>
      </w:r>
      <w:r w:rsidRPr="00935BA2">
        <w:rPr>
          <w:rFonts w:eastAsia="Times New Roman" w:cs="Arial"/>
          <w:color w:val="000000"/>
          <w:lang w:eastAsia="bg-BG"/>
        </w:rPr>
        <w:t xml:space="preserve">х 8 </w:t>
      </w:r>
      <w:r w:rsidRPr="00935BA2">
        <w:rPr>
          <w:rFonts w:eastAsia="Times New Roman" w:cs="Arial"/>
          <w:color w:val="000000"/>
          <w:lang w:val="en-US"/>
        </w:rPr>
        <w:t>mm.</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0FF75F5D" w:rsidR="0091385D" w:rsidRPr="00935BA2" w:rsidRDefault="00935BA2" w:rsidP="0091385D">
      <w:pPr>
        <w:rPr>
          <w:rFonts w:cs="Arial"/>
        </w:rPr>
      </w:pPr>
      <w:r w:rsidRPr="00935BA2">
        <w:rPr>
          <w:rFonts w:cs="Arial"/>
        </w:rPr>
        <w:t xml:space="preserve">Лориста </w:t>
      </w:r>
      <w:r w:rsidRPr="00935BA2">
        <w:rPr>
          <w:rFonts w:cs="Arial"/>
          <w:lang w:val="en-US"/>
        </w:rPr>
        <w:t xml:space="preserve">HL </w:t>
      </w:r>
      <w:r w:rsidRPr="00935BA2">
        <w:rPr>
          <w:rFonts w:cs="Arial"/>
        </w:rPr>
        <w:t>е показан за лечение на есенциална хипертония при пациенти, чието кръвно налягане не е задоволително контролирано с лосартан или хидрохлоротиазид самостоятелно.</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64E98175"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Лосартан/Хидрохлортиазид се предлага в три концентрации: Лориста Н 50 </w:t>
      </w:r>
      <w:r w:rsidRPr="00935BA2">
        <w:rPr>
          <w:rFonts w:eastAsia="Times New Roman" w:cs="Arial"/>
          <w:color w:val="000000"/>
          <w:lang w:val="en-US"/>
        </w:rPr>
        <w:t>mg/12,5 mg</w:t>
      </w:r>
    </w:p>
    <w:p w14:paraId="6D18439D"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филмирани таблетки, Лориста </w:t>
      </w:r>
      <w:r w:rsidRPr="00935BA2">
        <w:rPr>
          <w:rFonts w:eastAsia="Times New Roman" w:cs="Arial"/>
          <w:color w:val="000000"/>
          <w:lang w:val="en-US"/>
        </w:rPr>
        <w:t xml:space="preserve">HL </w:t>
      </w:r>
      <w:r w:rsidRPr="00935BA2">
        <w:rPr>
          <w:rFonts w:eastAsia="Times New Roman" w:cs="Arial"/>
          <w:color w:val="000000"/>
          <w:lang w:eastAsia="bg-BG"/>
        </w:rPr>
        <w:t xml:space="preserve">100 </w:t>
      </w:r>
      <w:r w:rsidRPr="00935BA2">
        <w:rPr>
          <w:rFonts w:eastAsia="Times New Roman" w:cs="Arial"/>
          <w:color w:val="000000"/>
          <w:lang w:val="en-US"/>
        </w:rPr>
        <w:t>mg/</w:t>
      </w:r>
      <w:r w:rsidRPr="00935BA2">
        <w:rPr>
          <w:rFonts w:eastAsia="Times New Roman" w:cs="Arial"/>
          <w:color w:val="000000"/>
          <w:lang w:eastAsia="bg-BG"/>
        </w:rPr>
        <w:t xml:space="preserve">12,5 </w:t>
      </w:r>
      <w:r w:rsidRPr="00935BA2">
        <w:rPr>
          <w:rFonts w:eastAsia="Times New Roman" w:cs="Arial"/>
          <w:color w:val="000000"/>
          <w:lang w:val="en-US"/>
        </w:rPr>
        <w:t xml:space="preserve">mg </w:t>
      </w:r>
      <w:r w:rsidRPr="00935BA2">
        <w:rPr>
          <w:rFonts w:eastAsia="Times New Roman" w:cs="Arial"/>
          <w:color w:val="000000"/>
          <w:lang w:eastAsia="bg-BG"/>
        </w:rPr>
        <w:t xml:space="preserve">филмирани таблетки и Лориста </w:t>
      </w:r>
      <w:r w:rsidRPr="00935BA2">
        <w:rPr>
          <w:rFonts w:eastAsia="Times New Roman" w:cs="Arial"/>
          <w:color w:val="000000"/>
          <w:lang w:val="en-US"/>
        </w:rPr>
        <w:t xml:space="preserve">HD </w:t>
      </w:r>
      <w:r w:rsidRPr="00935BA2">
        <w:rPr>
          <w:rFonts w:eastAsia="Times New Roman" w:cs="Arial"/>
          <w:color w:val="000000"/>
          <w:lang w:eastAsia="bg-BG"/>
        </w:rPr>
        <w:t xml:space="preserve">100 </w:t>
      </w:r>
      <w:r w:rsidRPr="00935BA2">
        <w:rPr>
          <w:rFonts w:eastAsia="Times New Roman" w:cs="Arial"/>
          <w:color w:val="000000"/>
          <w:lang w:val="en-US"/>
        </w:rPr>
        <w:t xml:space="preserve">mg/25 mg </w:t>
      </w:r>
      <w:r w:rsidRPr="00935BA2">
        <w:rPr>
          <w:rFonts w:eastAsia="Times New Roman" w:cs="Arial"/>
          <w:color w:val="000000"/>
          <w:lang w:eastAsia="bg-BG"/>
        </w:rPr>
        <w:t>филмирани таблетки.</w:t>
      </w:r>
    </w:p>
    <w:p w14:paraId="3F014E0F" w14:textId="77777777" w:rsidR="00935BA2" w:rsidRPr="00935BA2" w:rsidRDefault="00935BA2" w:rsidP="00935BA2">
      <w:pPr>
        <w:spacing w:line="240" w:lineRule="auto"/>
        <w:rPr>
          <w:rFonts w:eastAsia="Times New Roman" w:cs="Arial"/>
          <w:color w:val="000000"/>
          <w:u w:val="single"/>
          <w:lang w:eastAsia="bg-BG"/>
        </w:rPr>
      </w:pPr>
    </w:p>
    <w:p w14:paraId="56E6BD45" w14:textId="4F20F91B" w:rsidR="00935BA2" w:rsidRPr="00935BA2" w:rsidRDefault="00935BA2" w:rsidP="00935BA2">
      <w:pPr>
        <w:pStyle w:val="Heading3"/>
        <w:rPr>
          <w:rFonts w:eastAsia="Times New Roman"/>
          <w:u w:val="single"/>
          <w:lang w:eastAsia="bg-BG"/>
        </w:rPr>
      </w:pPr>
      <w:r w:rsidRPr="00935BA2">
        <w:rPr>
          <w:rFonts w:eastAsia="Times New Roman"/>
          <w:u w:val="single"/>
          <w:lang w:eastAsia="bg-BG"/>
        </w:rPr>
        <w:t>Дозировка</w:t>
      </w:r>
    </w:p>
    <w:p w14:paraId="22591901" w14:textId="77777777" w:rsidR="00935BA2" w:rsidRPr="00935BA2" w:rsidRDefault="00935BA2" w:rsidP="00935BA2">
      <w:pPr>
        <w:spacing w:line="240" w:lineRule="auto"/>
        <w:rPr>
          <w:rFonts w:eastAsia="Times New Roman" w:cs="Arial"/>
          <w:color w:val="000000"/>
          <w:u w:val="single"/>
          <w:lang w:eastAsia="bg-BG"/>
        </w:rPr>
      </w:pPr>
    </w:p>
    <w:p w14:paraId="6CF7D4CF" w14:textId="66D55CE1"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u w:val="single"/>
          <w:lang w:eastAsia="bg-BG"/>
        </w:rPr>
        <w:lastRenderedPageBreak/>
        <w:t>Хипертония:</w:t>
      </w:r>
    </w:p>
    <w:p w14:paraId="7AABF3BE"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Лосартан и хидрохолоротиазид (ХХТ) не е предназначен за начална терапия, а само при пациенти, чието кръвно налягане не е достатъчно контролирано чрез лосартан или хидрохлоротиазид самостоятелно.</w:t>
      </w:r>
    </w:p>
    <w:p w14:paraId="48A115FD" w14:textId="77777777" w:rsidR="00935BA2" w:rsidRPr="00935BA2" w:rsidRDefault="00935BA2" w:rsidP="00935BA2">
      <w:pPr>
        <w:spacing w:line="240" w:lineRule="auto"/>
        <w:rPr>
          <w:rFonts w:eastAsia="Times New Roman" w:cs="Arial"/>
          <w:color w:val="000000"/>
          <w:lang w:eastAsia="bg-BG"/>
        </w:rPr>
      </w:pPr>
    </w:p>
    <w:p w14:paraId="31B2CB9E" w14:textId="52D8221A"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Препоръчва се титриране на дозата на отделните компоненти (лосартан и хидрохлоротиазид).</w:t>
      </w:r>
    </w:p>
    <w:p w14:paraId="4F75C994" w14:textId="77777777" w:rsidR="00935BA2" w:rsidRPr="00935BA2" w:rsidRDefault="00935BA2" w:rsidP="00935BA2">
      <w:pPr>
        <w:spacing w:line="240" w:lineRule="auto"/>
        <w:rPr>
          <w:rFonts w:eastAsia="Times New Roman" w:cs="Arial"/>
          <w:color w:val="000000"/>
          <w:lang w:eastAsia="bg-BG"/>
        </w:rPr>
      </w:pPr>
    </w:p>
    <w:p w14:paraId="333A2F29" w14:textId="301C79B4"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Когато е клинично подходящо, може да се обмисли директна промяна от монотерапия към фиксирана комбинация при пациенти, чието кръвно налягане не е достатъчно контролирано.</w:t>
      </w:r>
    </w:p>
    <w:p w14:paraId="0C772BCD" w14:textId="77777777" w:rsidR="00935BA2" w:rsidRPr="00935BA2" w:rsidRDefault="00935BA2" w:rsidP="00935BA2">
      <w:pPr>
        <w:spacing w:line="240" w:lineRule="auto"/>
        <w:rPr>
          <w:rFonts w:eastAsia="Times New Roman" w:cs="Arial"/>
          <w:color w:val="000000"/>
          <w:lang w:eastAsia="bg-BG"/>
        </w:rPr>
      </w:pPr>
    </w:p>
    <w:p w14:paraId="5A300BAA" w14:textId="355156AE"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Обичайната поддържаща доза лосартан и хидрохлоротиазид фиксирана комбинация с една таблетка Лориста Н (лосартан 50 </w:t>
      </w:r>
      <w:r w:rsidRPr="00935BA2">
        <w:rPr>
          <w:rFonts w:eastAsia="Times New Roman" w:cs="Arial"/>
          <w:color w:val="000000"/>
          <w:lang w:val="en-US"/>
        </w:rPr>
        <w:t>mg</w:t>
      </w:r>
      <w:r w:rsidRPr="00935BA2">
        <w:rPr>
          <w:rFonts w:eastAsia="Times New Roman" w:cs="Arial"/>
          <w:color w:val="000000"/>
          <w:lang w:eastAsia="bg-BG"/>
        </w:rPr>
        <w:t xml:space="preserve">/хидрохлоротиазид 12,5 </w:t>
      </w:r>
      <w:r w:rsidRPr="00935BA2">
        <w:rPr>
          <w:rFonts w:eastAsia="Times New Roman" w:cs="Arial"/>
          <w:color w:val="000000"/>
          <w:lang w:val="en-US"/>
        </w:rPr>
        <w:t xml:space="preserve">mg) </w:t>
      </w:r>
      <w:r w:rsidRPr="00935BA2">
        <w:rPr>
          <w:rFonts w:eastAsia="Times New Roman" w:cs="Arial"/>
          <w:color w:val="000000"/>
          <w:lang w:eastAsia="bg-BG"/>
        </w:rPr>
        <w:t>веднъж дневно.</w:t>
      </w:r>
    </w:p>
    <w:p w14:paraId="25A6C457" w14:textId="6890A37B"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За пациенти, които не отговарят адекватно на Лориста Н 50 </w:t>
      </w:r>
      <w:r w:rsidRPr="00935BA2">
        <w:rPr>
          <w:rFonts w:eastAsia="Times New Roman" w:cs="Arial"/>
          <w:color w:val="000000"/>
          <w:lang w:val="en-US"/>
        </w:rPr>
        <w:t xml:space="preserve">mg/12,5 mg, </w:t>
      </w:r>
      <w:r w:rsidRPr="00935BA2">
        <w:rPr>
          <w:rFonts w:eastAsia="Times New Roman" w:cs="Arial"/>
          <w:color w:val="000000"/>
          <w:lang w:eastAsia="bg-BG"/>
        </w:rPr>
        <w:t xml:space="preserve">дозировката може да се повиши на една таблетка Лориста </w:t>
      </w:r>
      <w:r w:rsidRPr="00935BA2">
        <w:rPr>
          <w:rFonts w:eastAsia="Times New Roman" w:cs="Arial"/>
          <w:color w:val="000000"/>
          <w:lang w:val="en-US"/>
        </w:rPr>
        <w:t xml:space="preserve">HD </w:t>
      </w:r>
      <w:r w:rsidRPr="00935BA2">
        <w:rPr>
          <w:rFonts w:eastAsia="Times New Roman" w:cs="Arial"/>
          <w:color w:val="000000"/>
          <w:lang w:eastAsia="bg-BG"/>
        </w:rPr>
        <w:t xml:space="preserve">(лосартан 100 </w:t>
      </w:r>
      <w:r w:rsidRPr="00935BA2">
        <w:rPr>
          <w:rFonts w:eastAsia="Times New Roman" w:cs="Arial"/>
          <w:color w:val="000000"/>
          <w:lang w:val="en-US"/>
        </w:rPr>
        <w:t>mg</w:t>
      </w:r>
      <w:r w:rsidRPr="00935BA2">
        <w:rPr>
          <w:rFonts w:eastAsia="Times New Roman" w:cs="Arial"/>
          <w:color w:val="000000"/>
          <w:lang w:eastAsia="bg-BG"/>
        </w:rPr>
        <w:t xml:space="preserve">/хидрохлоротиазид 25 </w:t>
      </w:r>
      <w:r w:rsidRPr="00935BA2">
        <w:rPr>
          <w:rFonts w:eastAsia="Times New Roman" w:cs="Arial"/>
          <w:color w:val="000000"/>
          <w:lang w:val="en-US"/>
        </w:rPr>
        <w:t xml:space="preserve">mg </w:t>
      </w:r>
      <w:r w:rsidRPr="00935BA2">
        <w:rPr>
          <w:rFonts w:eastAsia="Times New Roman" w:cs="Arial"/>
          <w:color w:val="000000"/>
          <w:lang w:eastAsia="bg-BG"/>
        </w:rPr>
        <w:t>веднъж</w:t>
      </w:r>
      <w:r w:rsidR="004C08A1">
        <w:rPr>
          <w:rFonts w:eastAsia="Times New Roman" w:cs="Arial"/>
          <w:sz w:val="24"/>
          <w:szCs w:val="24"/>
          <w:lang w:eastAsia="bg-BG"/>
        </w:rPr>
        <w:t xml:space="preserve"> </w:t>
      </w:r>
      <w:r w:rsidRPr="00935BA2">
        <w:rPr>
          <w:rFonts w:eastAsia="Times New Roman" w:cs="Arial"/>
          <w:color w:val="000000"/>
          <w:lang w:eastAsia="bg-BG"/>
        </w:rPr>
        <w:t>дневно.</w:t>
      </w:r>
    </w:p>
    <w:p w14:paraId="6ACAF645" w14:textId="4A840305" w:rsidR="0091385D" w:rsidRPr="00935BA2" w:rsidRDefault="00935BA2" w:rsidP="0091385D">
      <w:pPr>
        <w:rPr>
          <w:rFonts w:cs="Arial"/>
        </w:rPr>
      </w:pPr>
      <w:r w:rsidRPr="00935BA2">
        <w:rPr>
          <w:rFonts w:eastAsia="Times New Roman" w:cs="Arial"/>
          <w:color w:val="000000"/>
          <w:lang w:eastAsia="bg-BG"/>
        </w:rPr>
        <w:t xml:space="preserve">Максималната доза е една таблетка Лориста </w:t>
      </w:r>
      <w:r w:rsidRPr="00935BA2">
        <w:rPr>
          <w:rFonts w:eastAsia="Times New Roman" w:cs="Arial"/>
          <w:color w:val="000000"/>
          <w:lang w:val="en-US"/>
        </w:rPr>
        <w:t xml:space="preserve">HD </w:t>
      </w:r>
      <w:r w:rsidRPr="00935BA2">
        <w:rPr>
          <w:rFonts w:eastAsia="Times New Roman" w:cs="Arial"/>
          <w:color w:val="000000"/>
          <w:lang w:eastAsia="bg-BG"/>
        </w:rPr>
        <w:t xml:space="preserve">100 </w:t>
      </w:r>
      <w:r w:rsidRPr="00935BA2">
        <w:rPr>
          <w:rFonts w:eastAsia="Times New Roman" w:cs="Arial"/>
          <w:color w:val="000000"/>
          <w:lang w:val="en-US"/>
        </w:rPr>
        <w:t xml:space="preserve">mg/25 mg </w:t>
      </w:r>
      <w:r w:rsidRPr="00935BA2">
        <w:rPr>
          <w:rFonts w:eastAsia="Times New Roman" w:cs="Arial"/>
          <w:color w:val="000000"/>
          <w:lang w:eastAsia="bg-BG"/>
        </w:rPr>
        <w:t>веднъж дневно.</w:t>
      </w:r>
    </w:p>
    <w:p w14:paraId="31DF47CD"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Като цяло антихипертензивният ефект се постига в рамките на три до четири седмици от започване на лечението.</w:t>
      </w:r>
    </w:p>
    <w:p w14:paraId="7229BD96" w14:textId="77777777" w:rsidR="00935BA2" w:rsidRPr="00935BA2" w:rsidRDefault="00935BA2" w:rsidP="00935BA2">
      <w:pPr>
        <w:spacing w:line="240" w:lineRule="auto"/>
        <w:rPr>
          <w:rFonts w:eastAsia="Times New Roman" w:cs="Arial"/>
          <w:color w:val="000000"/>
          <w:lang w:eastAsia="bg-BG"/>
        </w:rPr>
      </w:pPr>
    </w:p>
    <w:p w14:paraId="5DD24209" w14:textId="10B45B93"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Лориста </w:t>
      </w:r>
      <w:r w:rsidRPr="00935BA2">
        <w:rPr>
          <w:rFonts w:eastAsia="Times New Roman" w:cs="Arial"/>
          <w:color w:val="000000"/>
          <w:lang w:val="en-US"/>
        </w:rPr>
        <w:t xml:space="preserve">HL </w:t>
      </w:r>
      <w:r w:rsidRPr="00935BA2">
        <w:rPr>
          <w:rFonts w:eastAsia="Times New Roman" w:cs="Arial"/>
          <w:color w:val="000000"/>
          <w:lang w:eastAsia="bg-BG"/>
        </w:rPr>
        <w:t xml:space="preserve">100/12,5 (лосартан 100 </w:t>
      </w:r>
      <w:r w:rsidRPr="00935BA2">
        <w:rPr>
          <w:rFonts w:eastAsia="Times New Roman" w:cs="Arial"/>
          <w:color w:val="000000"/>
          <w:lang w:val="en-US"/>
        </w:rPr>
        <w:t>mg</w:t>
      </w:r>
      <w:r w:rsidRPr="00935BA2">
        <w:rPr>
          <w:rFonts w:eastAsia="Times New Roman" w:cs="Arial"/>
          <w:color w:val="000000"/>
          <w:lang w:eastAsia="bg-BG"/>
        </w:rPr>
        <w:t xml:space="preserve">/хидрохлоротиазид 12,5 </w:t>
      </w:r>
      <w:r w:rsidRPr="00935BA2">
        <w:rPr>
          <w:rFonts w:eastAsia="Times New Roman" w:cs="Arial"/>
          <w:color w:val="000000"/>
          <w:lang w:val="en-US"/>
        </w:rPr>
        <w:t xml:space="preserve">mg) </w:t>
      </w:r>
      <w:r w:rsidRPr="00935BA2">
        <w:rPr>
          <w:rFonts w:eastAsia="Times New Roman" w:cs="Arial"/>
          <w:color w:val="000000"/>
          <w:lang w:eastAsia="bg-BG"/>
        </w:rPr>
        <w:t xml:space="preserve">е подходящ за тези пациенти, които са титрирани до 100 </w:t>
      </w:r>
      <w:r w:rsidRPr="00935BA2">
        <w:rPr>
          <w:rFonts w:eastAsia="Times New Roman" w:cs="Arial"/>
          <w:color w:val="000000"/>
          <w:lang w:val="en-US"/>
        </w:rPr>
        <w:t xml:space="preserve">mg </w:t>
      </w:r>
      <w:r w:rsidRPr="00935BA2">
        <w:rPr>
          <w:rFonts w:eastAsia="Times New Roman" w:cs="Arial"/>
          <w:color w:val="000000"/>
          <w:lang w:eastAsia="bg-BG"/>
        </w:rPr>
        <w:t>лосартан и които изискват допълнителен контрол на кръвното налягане.</w:t>
      </w:r>
    </w:p>
    <w:p w14:paraId="4CA5D39F" w14:textId="77777777" w:rsidR="00935BA2" w:rsidRPr="00935BA2" w:rsidRDefault="00935BA2" w:rsidP="00935BA2">
      <w:pPr>
        <w:spacing w:line="240" w:lineRule="auto"/>
        <w:rPr>
          <w:rFonts w:eastAsia="Times New Roman" w:cs="Arial"/>
          <w:color w:val="000000"/>
          <w:u w:val="single"/>
          <w:lang w:eastAsia="bg-BG"/>
        </w:rPr>
      </w:pPr>
    </w:p>
    <w:p w14:paraId="663C46CF" w14:textId="26E8D0FA"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u w:val="single"/>
          <w:lang w:eastAsia="bg-BG"/>
        </w:rPr>
        <w:t>Употреба при пациенти с бъбречна недостатъчност и пациенти на хемодиализа</w:t>
      </w:r>
    </w:p>
    <w:p w14:paraId="3175507C"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Не е необходима корекция на дозата при пациенти с умерена бъбречна недостатъчност (т.е. креатининов клирънс 30-50 </w:t>
      </w:r>
      <w:r w:rsidRPr="00935BA2">
        <w:rPr>
          <w:rFonts w:eastAsia="Times New Roman" w:cs="Arial"/>
          <w:color w:val="000000"/>
          <w:lang w:val="en-US"/>
        </w:rPr>
        <w:t xml:space="preserve">ml/ min). </w:t>
      </w:r>
      <w:r w:rsidRPr="00935BA2">
        <w:rPr>
          <w:rFonts w:eastAsia="Times New Roman" w:cs="Arial"/>
          <w:color w:val="000000"/>
          <w:lang w:eastAsia="bg-BG"/>
        </w:rPr>
        <w:t>Таблетките лосартан и хидрохлоротиазид не се препоръчват при пациенти на хемодиализа.</w:t>
      </w:r>
    </w:p>
    <w:p w14:paraId="7C9D845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Таблетките лосартан/хидрохлоротиазид не трябва да се използват при пациенти с тежка бъбречна недостатъчност (т.е. креатининов клирънс &lt;30 </w:t>
      </w:r>
      <w:r w:rsidRPr="00935BA2">
        <w:rPr>
          <w:rFonts w:eastAsia="Times New Roman" w:cs="Arial"/>
          <w:color w:val="000000"/>
          <w:lang w:val="en-US"/>
        </w:rPr>
        <w:t xml:space="preserve">ml/min) </w:t>
      </w:r>
      <w:r w:rsidRPr="00935BA2">
        <w:rPr>
          <w:rFonts w:eastAsia="Times New Roman" w:cs="Arial"/>
          <w:color w:val="000000"/>
          <w:lang w:eastAsia="bg-BG"/>
        </w:rPr>
        <w:t>(вж. точка 4.3).</w:t>
      </w:r>
    </w:p>
    <w:p w14:paraId="3172559E" w14:textId="77777777" w:rsidR="00935BA2" w:rsidRPr="00935BA2" w:rsidRDefault="00935BA2" w:rsidP="00935BA2">
      <w:pPr>
        <w:spacing w:line="240" w:lineRule="auto"/>
        <w:rPr>
          <w:rFonts w:eastAsia="Times New Roman" w:cs="Arial"/>
          <w:color w:val="000000"/>
          <w:u w:val="single"/>
          <w:lang w:eastAsia="bg-BG"/>
        </w:rPr>
      </w:pPr>
    </w:p>
    <w:p w14:paraId="41EB72B2" w14:textId="465B239F"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u w:val="single"/>
          <w:lang w:eastAsia="bg-BG"/>
        </w:rPr>
        <w:t>Употреба при пациенти с намален интраваскуларен обем</w:t>
      </w:r>
    </w:p>
    <w:p w14:paraId="009BF634"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Намалението на обема и/или изчерпването на натрия трябва да се коригират преди приложението на таблетки лосартан/хидрохлоротиазид.</w:t>
      </w:r>
    </w:p>
    <w:p w14:paraId="06CE81A9" w14:textId="77777777" w:rsidR="00935BA2" w:rsidRPr="00935BA2" w:rsidRDefault="00935BA2" w:rsidP="00935BA2">
      <w:pPr>
        <w:spacing w:line="240" w:lineRule="auto"/>
        <w:rPr>
          <w:rFonts w:eastAsia="Times New Roman" w:cs="Arial"/>
          <w:color w:val="000000"/>
          <w:u w:val="single"/>
          <w:lang w:eastAsia="bg-BG"/>
        </w:rPr>
      </w:pPr>
    </w:p>
    <w:p w14:paraId="7A40CCB4" w14:textId="0A4B537C"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u w:val="single"/>
          <w:lang w:eastAsia="bg-BG"/>
        </w:rPr>
        <w:t>Употреба при пациенти с чернодробно увреждане</w:t>
      </w:r>
    </w:p>
    <w:p w14:paraId="22FA0ED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Лосартан и хидрохолоротиазид е противопоказан при пациенти с тежко чернодробно увреждане (вж. точка 4.3).</w:t>
      </w:r>
    </w:p>
    <w:p w14:paraId="27CA24A1" w14:textId="77777777" w:rsidR="00935BA2" w:rsidRPr="00935BA2" w:rsidRDefault="00935BA2" w:rsidP="00935BA2">
      <w:pPr>
        <w:spacing w:line="240" w:lineRule="auto"/>
        <w:rPr>
          <w:rFonts w:eastAsia="Times New Roman" w:cs="Arial"/>
          <w:color w:val="000000"/>
          <w:u w:val="single"/>
          <w:lang w:eastAsia="bg-BG"/>
        </w:rPr>
      </w:pPr>
    </w:p>
    <w:p w14:paraId="6E189124" w14:textId="3B50DA0E"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u w:val="single"/>
          <w:lang w:eastAsia="bg-BG"/>
        </w:rPr>
        <w:t>Употреба в старческа възраст</w:t>
      </w:r>
    </w:p>
    <w:p w14:paraId="3F850B03"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Обикновено не е необходима промяна на дозировката при пациенти в старческа възраст.</w:t>
      </w:r>
    </w:p>
    <w:p w14:paraId="4587DC65" w14:textId="77777777" w:rsidR="00935BA2" w:rsidRPr="00935BA2" w:rsidRDefault="00935BA2" w:rsidP="00935BA2">
      <w:pPr>
        <w:spacing w:line="240" w:lineRule="auto"/>
        <w:rPr>
          <w:rFonts w:eastAsia="Times New Roman" w:cs="Arial"/>
          <w:i/>
          <w:iCs/>
          <w:color w:val="000000"/>
          <w:u w:val="single"/>
          <w:lang w:eastAsia="bg-BG"/>
        </w:rPr>
      </w:pPr>
    </w:p>
    <w:p w14:paraId="6E045285" w14:textId="10EBEA4A"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u w:val="single"/>
          <w:lang w:eastAsia="bg-BG"/>
        </w:rPr>
        <w:t>Педиадитрична популация</w:t>
      </w:r>
    </w:p>
    <w:p w14:paraId="36DEAFC1"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b/>
          <w:bCs/>
          <w:color w:val="000000"/>
          <w:lang w:eastAsia="bg-BG"/>
        </w:rPr>
        <w:t xml:space="preserve">Употреба при деца и юноши (&lt; </w:t>
      </w:r>
      <w:r w:rsidRPr="00935BA2">
        <w:rPr>
          <w:rFonts w:eastAsia="Times New Roman" w:cs="Arial"/>
          <w:color w:val="000000"/>
          <w:lang w:eastAsia="bg-BG"/>
        </w:rPr>
        <w:t>18 години)</w:t>
      </w:r>
    </w:p>
    <w:p w14:paraId="18094746"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Няма клиничен опит при деца и юноши. Поради тази причина лосартан/хидрохлортиазид не трябва да се прилага при деца и юноши.</w:t>
      </w:r>
    </w:p>
    <w:p w14:paraId="22D471B6" w14:textId="77777777" w:rsidR="00935BA2" w:rsidRPr="00935BA2" w:rsidRDefault="00935BA2" w:rsidP="00935BA2">
      <w:pPr>
        <w:spacing w:line="240" w:lineRule="auto"/>
        <w:rPr>
          <w:rFonts w:eastAsia="Times New Roman" w:cs="Arial"/>
          <w:color w:val="000000"/>
          <w:u w:val="single"/>
          <w:lang w:eastAsia="bg-BG"/>
        </w:rPr>
      </w:pPr>
    </w:p>
    <w:p w14:paraId="36FFF8D6" w14:textId="081EDB6C" w:rsidR="00935BA2" w:rsidRPr="00935BA2" w:rsidRDefault="00935BA2" w:rsidP="00935BA2">
      <w:pPr>
        <w:pStyle w:val="Heading3"/>
        <w:rPr>
          <w:rFonts w:eastAsia="Times New Roman"/>
          <w:u w:val="single"/>
          <w:lang w:eastAsia="bg-BG"/>
        </w:rPr>
      </w:pPr>
      <w:r w:rsidRPr="00935BA2">
        <w:rPr>
          <w:rFonts w:eastAsia="Times New Roman"/>
          <w:u w:val="single"/>
          <w:lang w:eastAsia="bg-BG"/>
        </w:rPr>
        <w:lastRenderedPageBreak/>
        <w:t>Начин на приложение</w:t>
      </w:r>
    </w:p>
    <w:p w14:paraId="14F9EA42"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Лориста </w:t>
      </w:r>
      <w:r w:rsidRPr="00935BA2">
        <w:rPr>
          <w:rFonts w:eastAsia="Times New Roman" w:cs="Arial"/>
          <w:color w:val="000000"/>
          <w:lang w:val="en-US"/>
        </w:rPr>
        <w:t xml:space="preserve">HL </w:t>
      </w:r>
      <w:r w:rsidRPr="00935BA2">
        <w:rPr>
          <w:rFonts w:eastAsia="Times New Roman" w:cs="Arial"/>
          <w:color w:val="000000"/>
          <w:lang w:eastAsia="bg-BG"/>
        </w:rPr>
        <w:t>може да се прилага с други антихипертензивни лекарства (вж. точки 4.3,4.4,4.5 и 5.1).</w:t>
      </w:r>
    </w:p>
    <w:p w14:paraId="529CA883"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Филмираните таблетки Лориста </w:t>
      </w:r>
      <w:r w:rsidRPr="00935BA2">
        <w:rPr>
          <w:rFonts w:eastAsia="Times New Roman" w:cs="Arial"/>
          <w:color w:val="000000"/>
          <w:lang w:val="en-US"/>
        </w:rPr>
        <w:t xml:space="preserve">HL </w:t>
      </w:r>
      <w:r w:rsidRPr="00935BA2">
        <w:rPr>
          <w:rFonts w:eastAsia="Times New Roman" w:cs="Arial"/>
          <w:color w:val="000000"/>
          <w:lang w:eastAsia="bg-BG"/>
        </w:rPr>
        <w:t>трябва да се приемат цели с чаша вода.</w:t>
      </w:r>
    </w:p>
    <w:p w14:paraId="44B5A2C0" w14:textId="5EF98ED1" w:rsidR="00935BA2" w:rsidRPr="00935BA2" w:rsidRDefault="00935BA2" w:rsidP="00935BA2">
      <w:pPr>
        <w:rPr>
          <w:rFonts w:cs="Arial"/>
        </w:rPr>
      </w:pPr>
      <w:r w:rsidRPr="00935BA2">
        <w:rPr>
          <w:rFonts w:eastAsia="Times New Roman" w:cs="Arial"/>
          <w:color w:val="000000"/>
          <w:lang w:eastAsia="bg-BG"/>
        </w:rPr>
        <w:t xml:space="preserve">Филмираните таблетки Лориста </w:t>
      </w:r>
      <w:r w:rsidRPr="00935BA2">
        <w:rPr>
          <w:rFonts w:eastAsia="Times New Roman" w:cs="Arial"/>
          <w:color w:val="000000"/>
          <w:lang w:val="en-US"/>
        </w:rPr>
        <w:t xml:space="preserve">HL </w:t>
      </w:r>
      <w:r w:rsidRPr="00935BA2">
        <w:rPr>
          <w:rFonts w:eastAsia="Times New Roman" w:cs="Arial"/>
          <w:color w:val="000000"/>
          <w:lang w:eastAsia="bg-BG"/>
        </w:rPr>
        <w:t>може да се прилагат със или без храна.</w:t>
      </w:r>
    </w:p>
    <w:p w14:paraId="126E0C5F" w14:textId="77777777" w:rsidR="00935BA2" w:rsidRPr="0091385D" w:rsidRDefault="00935BA2"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486C3C1F" w14:textId="77777777" w:rsidR="00935BA2" w:rsidRPr="00935BA2" w:rsidRDefault="00935BA2" w:rsidP="00935BA2">
      <w:pPr>
        <w:pStyle w:val="ListParagraph"/>
        <w:numPr>
          <w:ilvl w:val="0"/>
          <w:numId w:val="37"/>
        </w:numPr>
        <w:spacing w:line="240" w:lineRule="auto"/>
        <w:rPr>
          <w:rFonts w:eastAsia="Times New Roman" w:cs="Arial"/>
          <w:sz w:val="24"/>
          <w:szCs w:val="24"/>
          <w:lang w:eastAsia="bg-BG"/>
        </w:rPr>
      </w:pPr>
      <w:r w:rsidRPr="00935BA2">
        <w:rPr>
          <w:rFonts w:eastAsia="Times New Roman" w:cs="Arial"/>
          <w:color w:val="000000"/>
          <w:lang w:eastAsia="bg-BG"/>
        </w:rPr>
        <w:t>Свръхчувствителност към лосартан, към вещества, производни на сулфонамидите (като хидрохлоротиазид) или към което и да е от помощните вещества, изброени в точка 6.1. -Терапевтично резистентна хипокалиемия или хиперкалциемия.</w:t>
      </w:r>
    </w:p>
    <w:p w14:paraId="390DA496" w14:textId="77777777" w:rsidR="00935BA2" w:rsidRPr="00935BA2" w:rsidRDefault="00935BA2" w:rsidP="00935BA2">
      <w:pPr>
        <w:pStyle w:val="ListParagraph"/>
        <w:numPr>
          <w:ilvl w:val="0"/>
          <w:numId w:val="37"/>
        </w:numPr>
        <w:spacing w:line="240" w:lineRule="auto"/>
        <w:rPr>
          <w:rFonts w:eastAsia="Times New Roman" w:cs="Arial"/>
          <w:sz w:val="24"/>
          <w:szCs w:val="24"/>
          <w:lang w:eastAsia="bg-BG"/>
        </w:rPr>
      </w:pPr>
      <w:r w:rsidRPr="00935BA2">
        <w:rPr>
          <w:rFonts w:eastAsia="Times New Roman" w:cs="Arial"/>
          <w:color w:val="000000"/>
          <w:lang w:eastAsia="bg-BG"/>
        </w:rPr>
        <w:t>Тежко чернодробно нарушение; холестаза и билиарни обструктивни нарушения.</w:t>
      </w:r>
    </w:p>
    <w:p w14:paraId="22A4734C" w14:textId="77777777" w:rsidR="00935BA2" w:rsidRPr="00935BA2" w:rsidRDefault="00935BA2" w:rsidP="00935BA2">
      <w:pPr>
        <w:pStyle w:val="ListParagraph"/>
        <w:numPr>
          <w:ilvl w:val="0"/>
          <w:numId w:val="37"/>
        </w:numPr>
        <w:spacing w:line="240" w:lineRule="auto"/>
        <w:rPr>
          <w:rFonts w:eastAsia="Times New Roman" w:cs="Arial"/>
          <w:sz w:val="24"/>
          <w:szCs w:val="24"/>
          <w:lang w:eastAsia="bg-BG"/>
        </w:rPr>
      </w:pPr>
      <w:r w:rsidRPr="00935BA2">
        <w:rPr>
          <w:rFonts w:eastAsia="Times New Roman" w:cs="Arial"/>
          <w:color w:val="000000"/>
          <w:lang w:eastAsia="bg-BG"/>
        </w:rPr>
        <w:t>Рефрактерна хипонатриемия.</w:t>
      </w:r>
    </w:p>
    <w:p w14:paraId="2AFD9A8B" w14:textId="77777777" w:rsidR="00935BA2" w:rsidRPr="00935BA2" w:rsidRDefault="00935BA2" w:rsidP="00935BA2">
      <w:pPr>
        <w:pStyle w:val="ListParagraph"/>
        <w:numPr>
          <w:ilvl w:val="0"/>
          <w:numId w:val="37"/>
        </w:numPr>
        <w:spacing w:line="240" w:lineRule="auto"/>
        <w:rPr>
          <w:rFonts w:eastAsia="Times New Roman" w:cs="Arial"/>
          <w:sz w:val="24"/>
          <w:szCs w:val="24"/>
          <w:lang w:eastAsia="bg-BG"/>
        </w:rPr>
      </w:pPr>
      <w:r w:rsidRPr="00935BA2">
        <w:rPr>
          <w:rFonts w:eastAsia="Times New Roman" w:cs="Arial"/>
          <w:color w:val="000000"/>
          <w:lang w:eastAsia="bg-BG"/>
        </w:rPr>
        <w:t>Симптоматична хиперурикемия/подагра.</w:t>
      </w:r>
    </w:p>
    <w:p w14:paraId="46490A56" w14:textId="729A7814" w:rsidR="00935BA2" w:rsidRPr="00935BA2" w:rsidRDefault="00935BA2" w:rsidP="00935BA2">
      <w:pPr>
        <w:pStyle w:val="ListParagraph"/>
        <w:numPr>
          <w:ilvl w:val="0"/>
          <w:numId w:val="37"/>
        </w:numPr>
        <w:spacing w:line="240" w:lineRule="auto"/>
        <w:rPr>
          <w:rFonts w:eastAsia="Times New Roman" w:cs="Arial"/>
          <w:sz w:val="24"/>
          <w:szCs w:val="24"/>
          <w:lang w:eastAsia="bg-BG"/>
        </w:rPr>
      </w:pPr>
      <w:r w:rsidRPr="00935BA2">
        <w:rPr>
          <w:rFonts w:eastAsia="Times New Roman" w:cs="Arial"/>
          <w:color w:val="000000"/>
          <w:lang w:eastAsia="bg-BG"/>
        </w:rPr>
        <w:t>2-ри и 3-ти триместър на бременността (вж. точки 4.4 и 4.6).</w:t>
      </w:r>
    </w:p>
    <w:p w14:paraId="662681FB" w14:textId="77777777" w:rsidR="00935BA2" w:rsidRPr="00935BA2" w:rsidRDefault="00935BA2" w:rsidP="00935BA2">
      <w:pPr>
        <w:pStyle w:val="ListParagraph"/>
        <w:numPr>
          <w:ilvl w:val="0"/>
          <w:numId w:val="38"/>
        </w:numPr>
        <w:spacing w:line="240" w:lineRule="auto"/>
        <w:rPr>
          <w:rFonts w:eastAsia="Times New Roman" w:cs="Arial"/>
          <w:sz w:val="24"/>
          <w:szCs w:val="24"/>
          <w:lang w:eastAsia="bg-BG"/>
        </w:rPr>
      </w:pPr>
      <w:r w:rsidRPr="00935BA2">
        <w:rPr>
          <w:rFonts w:eastAsia="Times New Roman" w:cs="Arial"/>
          <w:color w:val="000000"/>
          <w:lang w:eastAsia="bg-BG"/>
        </w:rPr>
        <w:t xml:space="preserve">Тежко бъбречно нарушение (напр. креатининов клирънс &lt;30 </w:t>
      </w:r>
      <w:r w:rsidRPr="00935BA2">
        <w:rPr>
          <w:rFonts w:eastAsia="Times New Roman" w:cs="Arial"/>
          <w:color w:val="000000"/>
          <w:lang w:val="en-US"/>
        </w:rPr>
        <w:t>ml/min).</w:t>
      </w:r>
    </w:p>
    <w:p w14:paraId="3320B5E8" w14:textId="77777777" w:rsidR="00935BA2" w:rsidRPr="00935BA2" w:rsidRDefault="00935BA2" w:rsidP="00935BA2">
      <w:pPr>
        <w:pStyle w:val="ListParagraph"/>
        <w:numPr>
          <w:ilvl w:val="0"/>
          <w:numId w:val="38"/>
        </w:numPr>
        <w:spacing w:line="240" w:lineRule="auto"/>
        <w:rPr>
          <w:rFonts w:eastAsia="Times New Roman" w:cs="Arial"/>
          <w:sz w:val="24"/>
          <w:szCs w:val="24"/>
          <w:lang w:eastAsia="bg-BG"/>
        </w:rPr>
      </w:pPr>
      <w:r w:rsidRPr="00935BA2">
        <w:rPr>
          <w:rFonts w:eastAsia="Times New Roman" w:cs="Arial"/>
          <w:color w:val="000000"/>
          <w:lang w:eastAsia="bg-BG"/>
        </w:rPr>
        <w:t>Анурия.</w:t>
      </w:r>
    </w:p>
    <w:p w14:paraId="2309EAB0" w14:textId="222CFE33" w:rsidR="0091385D" w:rsidRPr="00935BA2" w:rsidRDefault="00935BA2" w:rsidP="00935BA2">
      <w:pPr>
        <w:pStyle w:val="ListParagraph"/>
        <w:numPr>
          <w:ilvl w:val="0"/>
          <w:numId w:val="38"/>
        </w:numPr>
        <w:spacing w:line="240" w:lineRule="auto"/>
        <w:rPr>
          <w:rFonts w:eastAsia="Times New Roman" w:cs="Arial"/>
          <w:sz w:val="24"/>
          <w:szCs w:val="24"/>
          <w:lang w:eastAsia="bg-BG"/>
        </w:rPr>
      </w:pPr>
      <w:r w:rsidRPr="00935BA2">
        <w:rPr>
          <w:rFonts w:eastAsia="Times New Roman" w:cs="Arial"/>
          <w:color w:val="000000"/>
          <w:lang w:eastAsia="bg-BG"/>
        </w:rPr>
        <w:t xml:space="preserve">Едновременната употреба на Лориста </w:t>
      </w:r>
      <w:r w:rsidRPr="00935BA2">
        <w:rPr>
          <w:rFonts w:eastAsia="Times New Roman" w:cs="Arial"/>
          <w:color w:val="000000"/>
          <w:lang w:val="en-US"/>
        </w:rPr>
        <w:t xml:space="preserve">HL </w:t>
      </w:r>
      <w:r w:rsidRPr="00935BA2">
        <w:rPr>
          <w:rFonts w:eastAsia="Times New Roman" w:cs="Arial"/>
          <w:color w:val="000000"/>
          <w:lang w:eastAsia="bg-BG"/>
        </w:rPr>
        <w:t>с алискирен-съдържащи продукти е противопоказана при пациенти със захарен диабет или бъбречно увреждане (</w:t>
      </w:r>
      <w:r w:rsidRPr="00935BA2">
        <w:rPr>
          <w:rFonts w:eastAsia="Times New Roman" w:cs="Arial"/>
          <w:color w:val="000000"/>
          <w:lang w:val="en-US"/>
        </w:rPr>
        <w:t>GFR &lt; 60 ml/min/1</w:t>
      </w:r>
      <w:r w:rsidRPr="00935BA2">
        <w:rPr>
          <w:rFonts w:eastAsia="Times New Roman" w:cs="Arial"/>
          <w:color w:val="000000"/>
          <w:lang w:eastAsia="bg-BG"/>
        </w:rPr>
        <w:t xml:space="preserve">,73 </w:t>
      </w:r>
      <w:r w:rsidRPr="00935BA2">
        <w:rPr>
          <w:rFonts w:eastAsia="Times New Roman" w:cs="Arial"/>
          <w:color w:val="000000"/>
          <w:lang w:val="en-US"/>
        </w:rPr>
        <w:t>m</w:t>
      </w:r>
      <w:r w:rsidRPr="00935BA2">
        <w:rPr>
          <w:rFonts w:eastAsia="Times New Roman" w:cs="Arial"/>
          <w:color w:val="000000"/>
          <w:vertAlign w:val="superscript"/>
          <w:lang w:val="en-US"/>
        </w:rPr>
        <w:t>2</w:t>
      </w:r>
      <w:r w:rsidRPr="00935BA2">
        <w:rPr>
          <w:rFonts w:eastAsia="Times New Roman" w:cs="Arial"/>
          <w:color w:val="000000"/>
          <w:lang w:val="en-US"/>
        </w:rPr>
        <w:t xml:space="preserve">) </w:t>
      </w:r>
      <w:r w:rsidRPr="00935BA2">
        <w:rPr>
          <w:rFonts w:eastAsia="Times New Roman" w:cs="Arial"/>
          <w:color w:val="000000"/>
          <w:lang w:eastAsia="bg-BG"/>
        </w:rPr>
        <w:t>(вж. точки 4.5 и 5.</w:t>
      </w:r>
      <w:r w:rsidRPr="00935BA2">
        <w:rPr>
          <w:rFonts w:eastAsia="Times New Roman" w:cs="Arial"/>
          <w:color w:val="000000"/>
          <w:lang w:val="en-US"/>
        </w:rPr>
        <w:t>1</w:t>
      </w:r>
      <w:r w:rsidRPr="00935BA2">
        <w:rPr>
          <w:rFonts w:eastAsia="Times New Roman" w:cs="Arial"/>
          <w:color w:val="000000"/>
          <w:lang w:eastAsia="bg-BG"/>
        </w:rPr>
        <w:t>).</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2DAE249B" w14:textId="1C518D08" w:rsidR="00935BA2" w:rsidRPr="00935BA2" w:rsidRDefault="00935BA2" w:rsidP="0091385D">
      <w:pPr>
        <w:rPr>
          <w:b/>
          <w:bCs/>
        </w:rPr>
      </w:pPr>
      <w:r>
        <w:rPr>
          <w:b/>
          <w:bCs/>
        </w:rPr>
        <w:t>Лосартан</w:t>
      </w:r>
    </w:p>
    <w:p w14:paraId="732E438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Ангиоедем</w:t>
      </w:r>
    </w:p>
    <w:p w14:paraId="50E1F899"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Пациенти с анамнеза за ангиоедем (подуване на лицето, устните, гърлото и/или езика) трябва да бъдат внимателно наблюдавани (вж, точка 4.8).</w:t>
      </w:r>
    </w:p>
    <w:p w14:paraId="4EFAC932" w14:textId="77777777" w:rsidR="00935BA2" w:rsidRPr="00935BA2" w:rsidRDefault="00935BA2" w:rsidP="00935BA2">
      <w:pPr>
        <w:spacing w:line="240" w:lineRule="auto"/>
        <w:rPr>
          <w:rFonts w:eastAsia="Times New Roman" w:cs="Arial"/>
          <w:i/>
          <w:iCs/>
          <w:color w:val="000000"/>
          <w:lang w:eastAsia="bg-BG"/>
        </w:rPr>
      </w:pPr>
    </w:p>
    <w:p w14:paraId="080ADBFA" w14:textId="3C20BCE1"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Хипотония и намаление на интраваскуларния обем</w:t>
      </w:r>
    </w:p>
    <w:p w14:paraId="23A5C9DB"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Може да се появи симптоматична хипотония, особено след първата доза, при пациенти, които имат намален интраваскуларен обем и/или натрий от лечение с мощни диуретици, ограничена на сол диета, диария или повръщане. Такива състояния трябва да се коригират преди приложението на таблетките Лориста </w:t>
      </w:r>
      <w:r w:rsidRPr="00935BA2">
        <w:rPr>
          <w:rFonts w:eastAsia="Times New Roman" w:cs="Arial"/>
          <w:color w:val="000000"/>
          <w:lang w:val="en-US"/>
        </w:rPr>
        <w:t xml:space="preserve">HL </w:t>
      </w:r>
      <w:r w:rsidRPr="00935BA2">
        <w:rPr>
          <w:rFonts w:eastAsia="Times New Roman" w:cs="Arial"/>
          <w:color w:val="000000"/>
          <w:lang w:eastAsia="bg-BG"/>
        </w:rPr>
        <w:t>(вж. точки 4.2. и 4.3.).</w:t>
      </w:r>
    </w:p>
    <w:p w14:paraId="72C9A08A" w14:textId="77777777" w:rsidR="00935BA2" w:rsidRPr="00935BA2" w:rsidRDefault="00935BA2" w:rsidP="00935BA2">
      <w:pPr>
        <w:spacing w:line="240" w:lineRule="auto"/>
        <w:rPr>
          <w:rFonts w:eastAsia="Times New Roman" w:cs="Arial"/>
          <w:i/>
          <w:iCs/>
          <w:color w:val="000000"/>
          <w:lang w:eastAsia="bg-BG"/>
        </w:rPr>
      </w:pPr>
    </w:p>
    <w:p w14:paraId="2A3DADB4" w14:textId="6716DA82"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Електролитен дисбаланс</w:t>
      </w:r>
    </w:p>
    <w:p w14:paraId="1B3D8F63"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Електролитните дисбаланси са чести при пациенти с бъбречни нарушения, с или без диабет и трябва да се внимава. Поради това стойностите на плазмените концентрации на калий и креатининовия клирънс трябва да бъдат непрекъснато наблюдавани, особено при пациенти със сърдечна недостатъчност и креатининов клирънс 30-50 </w:t>
      </w:r>
      <w:r w:rsidRPr="00935BA2">
        <w:rPr>
          <w:rFonts w:eastAsia="Times New Roman" w:cs="Arial"/>
          <w:color w:val="000000"/>
          <w:lang w:val="en-US"/>
        </w:rPr>
        <w:t>ml/min.</w:t>
      </w:r>
    </w:p>
    <w:p w14:paraId="23B276E6"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Едновременното приложение на калий-съхраняващи диуретици, калиеви добавки, калий- съдържащи заместители на солта или други лекарства, които могат да повишат серумния калий (напр. продукти, съдържащи триметоприм) заедно с лосартан не се препоръчва (вж. точка 4.5).</w:t>
      </w:r>
    </w:p>
    <w:p w14:paraId="1C00D5CD" w14:textId="77777777" w:rsidR="00935BA2" w:rsidRPr="00935BA2" w:rsidRDefault="00935BA2" w:rsidP="00935BA2">
      <w:pPr>
        <w:spacing w:line="240" w:lineRule="auto"/>
        <w:rPr>
          <w:rFonts w:eastAsia="Times New Roman" w:cs="Arial"/>
          <w:i/>
          <w:iCs/>
          <w:color w:val="000000"/>
          <w:lang w:eastAsia="bg-BG"/>
        </w:rPr>
      </w:pPr>
    </w:p>
    <w:p w14:paraId="1088164C" w14:textId="40DA9131"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Увреждане на чернодробната функция</w:t>
      </w:r>
    </w:p>
    <w:p w14:paraId="4FCC12B0"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На базата на фармакокинетични данни, които показват значително повишение на плазмените концентрации на лосартан при пациенти с цироза, Лориста </w:t>
      </w:r>
      <w:r w:rsidRPr="00935BA2">
        <w:rPr>
          <w:rFonts w:eastAsia="Times New Roman" w:cs="Arial"/>
          <w:color w:val="000000"/>
          <w:lang w:val="en-US"/>
        </w:rPr>
        <w:t xml:space="preserve">HL </w:t>
      </w:r>
      <w:r w:rsidRPr="00935BA2">
        <w:rPr>
          <w:rFonts w:eastAsia="Times New Roman" w:cs="Arial"/>
          <w:color w:val="000000"/>
          <w:lang w:eastAsia="bg-BG"/>
        </w:rPr>
        <w:t xml:space="preserve">трябва да се използва с повишено внимание при пациенти с анамнеза за леко до средно чернодробно </w:t>
      </w:r>
      <w:r w:rsidRPr="00935BA2">
        <w:rPr>
          <w:rFonts w:eastAsia="Times New Roman" w:cs="Arial"/>
          <w:color w:val="000000"/>
          <w:lang w:eastAsia="bg-BG"/>
        </w:rPr>
        <w:lastRenderedPageBreak/>
        <w:t xml:space="preserve">увреждане. Няма терапевтичен опит за употребата на лосартан при пациенти с тежко чернодробно увреждане. Следователно Лориста </w:t>
      </w:r>
      <w:r w:rsidRPr="00935BA2">
        <w:rPr>
          <w:rFonts w:eastAsia="Times New Roman" w:cs="Arial"/>
          <w:color w:val="000000"/>
          <w:lang w:val="en-US"/>
        </w:rPr>
        <w:t xml:space="preserve">HL </w:t>
      </w:r>
      <w:r w:rsidRPr="00935BA2">
        <w:rPr>
          <w:rFonts w:eastAsia="Times New Roman" w:cs="Arial"/>
          <w:color w:val="000000"/>
          <w:lang w:eastAsia="bg-BG"/>
        </w:rPr>
        <w:t>е противопоказан при пациенти с тежко чернодробно увреждане (вж. точки 4.2,4.3 и 5.2).</w:t>
      </w:r>
    </w:p>
    <w:p w14:paraId="5CC9B2BB" w14:textId="77777777" w:rsidR="00935BA2" w:rsidRPr="00935BA2" w:rsidRDefault="00935BA2" w:rsidP="00935BA2">
      <w:pPr>
        <w:spacing w:line="240" w:lineRule="auto"/>
        <w:rPr>
          <w:rFonts w:eastAsia="Times New Roman" w:cs="Arial"/>
          <w:i/>
          <w:iCs/>
          <w:color w:val="000000"/>
          <w:lang w:eastAsia="bg-BG"/>
        </w:rPr>
      </w:pPr>
    </w:p>
    <w:p w14:paraId="62F5C2CD" w14:textId="0F702860"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Увреждане на бъбречната функция</w:t>
      </w:r>
    </w:p>
    <w:p w14:paraId="093F1CA6"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Съобщени са промени в бъбречната функция, включително и бъбречна недостатъчност, като следствие от инхибицията на системата ренин-ангиотензин-алдостерон (най-вече при пациенти, чиято бъбречна функция зависи от системата ренин-ангиотензин-алдостерон, като такива с тежка сърдечна недостатъчност или предварително съществуващо бъбречно нарушение). Подобно на други лекарства, които повлияват системата ренин-ангиотензин-алдостерон е съобщено повишение на кръвната урея и серумния креатинин при пациенти с двустранна стеноза на бъбречната артерия или със стеноза на артерията на единствен бъбрек; тези промени на бъбречната функция може да са обратими при прекратяване на лечението. Лосартан трябва да се използва с повишено внимание при пациенти с двустранна стеноза на бъбречната артерия или със стеноза на артерията на единствен бъбрек.</w:t>
      </w:r>
    </w:p>
    <w:p w14:paraId="6D9F32E3" w14:textId="77777777" w:rsidR="00935BA2" w:rsidRPr="00935BA2" w:rsidRDefault="00935BA2" w:rsidP="00935BA2">
      <w:pPr>
        <w:spacing w:line="240" w:lineRule="auto"/>
        <w:rPr>
          <w:rFonts w:eastAsia="Times New Roman" w:cs="Arial"/>
          <w:i/>
          <w:iCs/>
          <w:color w:val="000000"/>
          <w:lang w:eastAsia="bg-BG"/>
        </w:rPr>
      </w:pPr>
    </w:p>
    <w:p w14:paraId="553ACE8A" w14:textId="4774F9C7"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Бъбречна трансплантация</w:t>
      </w:r>
    </w:p>
    <w:p w14:paraId="4C1273D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Няма опит при пациенти с неотдавнашна бъбречна трансплантация.</w:t>
      </w:r>
    </w:p>
    <w:p w14:paraId="4BD863AE" w14:textId="77777777" w:rsidR="00935BA2" w:rsidRPr="00935BA2" w:rsidRDefault="00935BA2" w:rsidP="00935BA2">
      <w:pPr>
        <w:spacing w:line="240" w:lineRule="auto"/>
        <w:rPr>
          <w:rFonts w:eastAsia="Times New Roman" w:cs="Arial"/>
          <w:i/>
          <w:iCs/>
          <w:color w:val="000000"/>
          <w:lang w:eastAsia="bg-BG"/>
        </w:rPr>
      </w:pPr>
    </w:p>
    <w:p w14:paraId="7AF3455D" w14:textId="121F0A3C"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Първичен хипералдостеронизъм</w:t>
      </w:r>
    </w:p>
    <w:p w14:paraId="61B8F273"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Пациенти с първичен хипералдостеронизъм обикновено не отговарят на антихипертензивни лекарства, действащи чрез потискане на системата ренин-ангиотензин. Поради това използването на таблетки Лориста </w:t>
      </w:r>
      <w:r w:rsidRPr="00935BA2">
        <w:rPr>
          <w:rFonts w:eastAsia="Times New Roman" w:cs="Arial"/>
          <w:color w:val="000000"/>
          <w:lang w:val="en-US"/>
        </w:rPr>
        <w:t xml:space="preserve">HL </w:t>
      </w:r>
      <w:r w:rsidRPr="00935BA2">
        <w:rPr>
          <w:rFonts w:eastAsia="Times New Roman" w:cs="Arial"/>
          <w:color w:val="000000"/>
          <w:lang w:eastAsia="bg-BG"/>
        </w:rPr>
        <w:t>не се препоръчва.</w:t>
      </w:r>
    </w:p>
    <w:p w14:paraId="18FE47D2" w14:textId="77777777" w:rsidR="00935BA2" w:rsidRPr="00935BA2" w:rsidRDefault="00935BA2" w:rsidP="00935BA2">
      <w:pPr>
        <w:spacing w:line="240" w:lineRule="auto"/>
        <w:rPr>
          <w:rFonts w:eastAsia="Times New Roman" w:cs="Arial"/>
          <w:i/>
          <w:iCs/>
          <w:color w:val="000000"/>
          <w:lang w:eastAsia="bg-BG"/>
        </w:rPr>
      </w:pPr>
    </w:p>
    <w:p w14:paraId="0F3A14C0" w14:textId="06056B9E"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Коронарно сърдечно заболяване и цереброваскуларна болест</w:t>
      </w:r>
    </w:p>
    <w:p w14:paraId="423ABD9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Както при всеки антихипертензивен продукт, прекомерното понижение на кръвното налягане при пациенти с исхемична сърдечносъдова болест и мозъчносъдова болест може да причини инфаркт на миокарда или инсулт.</w:t>
      </w:r>
    </w:p>
    <w:p w14:paraId="5BE4EC28" w14:textId="77777777" w:rsidR="00935BA2" w:rsidRPr="00935BA2" w:rsidRDefault="00935BA2" w:rsidP="00935BA2">
      <w:pPr>
        <w:spacing w:line="240" w:lineRule="auto"/>
        <w:rPr>
          <w:rFonts w:eastAsia="Times New Roman" w:cs="Arial"/>
          <w:i/>
          <w:iCs/>
          <w:color w:val="000000"/>
          <w:lang w:eastAsia="bg-BG"/>
        </w:rPr>
      </w:pPr>
    </w:p>
    <w:p w14:paraId="62888B18" w14:textId="6E15F856"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Сърдечна недостатъчност</w:t>
      </w:r>
    </w:p>
    <w:p w14:paraId="24E3E82F" w14:textId="56B3D77E" w:rsidR="0091385D"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При пациенти със сърдечна недостатъчност, с или без бъбречно увреждане, съществува както</w:t>
      </w:r>
      <w:r>
        <w:rPr>
          <w:rFonts w:eastAsia="Times New Roman" w:cs="Arial"/>
          <w:sz w:val="24"/>
          <w:szCs w:val="24"/>
          <w:lang w:eastAsia="bg-BG"/>
        </w:rPr>
        <w:t xml:space="preserve"> </w:t>
      </w:r>
      <w:r w:rsidRPr="00935BA2">
        <w:rPr>
          <w:rFonts w:eastAsia="Times New Roman" w:cs="Arial"/>
          <w:color w:val="000000"/>
          <w:lang w:eastAsia="bg-BG"/>
        </w:rPr>
        <w:t>и при други лекарства, действащи на системата ренин-ангиотензин, риск от тежка артериална</w:t>
      </w:r>
      <w:bookmarkStart w:id="2" w:name="bookmark0"/>
      <w:bookmarkEnd w:id="2"/>
      <w:r>
        <w:rPr>
          <w:rFonts w:eastAsia="Times New Roman" w:cs="Arial"/>
          <w:sz w:val="24"/>
          <w:szCs w:val="24"/>
          <w:lang w:eastAsia="bg-BG"/>
        </w:rPr>
        <w:t xml:space="preserve"> </w:t>
      </w:r>
      <w:r w:rsidRPr="00935BA2">
        <w:rPr>
          <w:rFonts w:eastAsia="Times New Roman" w:cs="Arial"/>
          <w:color w:val="000000"/>
          <w:lang w:eastAsia="bg-BG"/>
        </w:rPr>
        <w:t>хипотония и (често остро) бъбречно увреждане.</w:t>
      </w:r>
    </w:p>
    <w:p w14:paraId="2504F1E9" w14:textId="4C5EDEDB" w:rsidR="00935BA2" w:rsidRDefault="00935BA2" w:rsidP="0091385D"/>
    <w:p w14:paraId="189686E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 xml:space="preserve">Стеноза на сюртна имитрална клапа, ооструктивна хипертрофична кардиомиопатпия </w:t>
      </w:r>
      <w:r w:rsidRPr="00935BA2">
        <w:rPr>
          <w:rFonts w:eastAsia="Times New Roman" w:cs="Arial"/>
          <w:color w:val="000000"/>
          <w:lang w:eastAsia="bg-BG"/>
        </w:rPr>
        <w:t>Както и при други вазодилататори, препоръчва се специално внимание при пациенти, страдащи от аортна или митрална стеноза или обструктивна хипертрофична кардиомиопатия.</w:t>
      </w:r>
    </w:p>
    <w:p w14:paraId="1648F70F" w14:textId="77777777" w:rsidR="00935BA2" w:rsidRPr="00935BA2" w:rsidRDefault="00935BA2" w:rsidP="00935BA2">
      <w:pPr>
        <w:spacing w:line="240" w:lineRule="auto"/>
        <w:rPr>
          <w:rFonts w:eastAsia="Times New Roman" w:cs="Arial"/>
          <w:i/>
          <w:iCs/>
          <w:color w:val="000000"/>
          <w:lang w:eastAsia="bg-BG"/>
        </w:rPr>
      </w:pPr>
    </w:p>
    <w:p w14:paraId="61C288BC" w14:textId="23D750F1"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Етнически различия</w:t>
      </w:r>
    </w:p>
    <w:p w14:paraId="7F048A4E"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Както е наблюдавано при инхибиторите на ангиотензин-конвертиращия ензим, лосартан и другите антагонисти на ангиотензина са очевидно по-малко ефективни за намаляване на кръвното налягане при чернокожи, отколкото при не-чернокожи, вероятно поради по-голямото преобладаване на състояния на намален ренин в популацията на чернокожи с хипертония.</w:t>
      </w:r>
    </w:p>
    <w:p w14:paraId="5593D821" w14:textId="77777777" w:rsidR="00935BA2" w:rsidRPr="00935BA2" w:rsidRDefault="00935BA2" w:rsidP="00935BA2">
      <w:pPr>
        <w:spacing w:line="240" w:lineRule="auto"/>
        <w:rPr>
          <w:rFonts w:eastAsia="Times New Roman" w:cs="Arial"/>
          <w:i/>
          <w:iCs/>
          <w:color w:val="000000"/>
          <w:lang w:eastAsia="bg-BG"/>
        </w:rPr>
      </w:pPr>
    </w:p>
    <w:p w14:paraId="6C3AD5C2" w14:textId="0C4887F1"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Бременност</w:t>
      </w:r>
    </w:p>
    <w:p w14:paraId="28276465"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Лечение с </w:t>
      </w:r>
      <w:r w:rsidRPr="00935BA2">
        <w:rPr>
          <w:rFonts w:eastAsia="Times New Roman" w:cs="Arial"/>
          <w:color w:val="000000"/>
          <w:lang w:val="en-US"/>
        </w:rPr>
        <w:t xml:space="preserve">AIIRA </w:t>
      </w:r>
      <w:r w:rsidRPr="00935BA2">
        <w:rPr>
          <w:rFonts w:eastAsia="Times New Roman" w:cs="Arial"/>
          <w:color w:val="000000"/>
          <w:lang w:eastAsia="bg-BG"/>
        </w:rPr>
        <w:t xml:space="preserve">не трябва да се започва по време на бременност. Освен в случаите, когато се счита за жизнено необходимо, планиращи бременност пациентки трябва да преминат на алтернативно антихипертензивно лечение с установен профил на </w:t>
      </w:r>
      <w:r w:rsidRPr="00935BA2">
        <w:rPr>
          <w:rFonts w:eastAsia="Times New Roman" w:cs="Arial"/>
          <w:color w:val="000000"/>
          <w:lang w:eastAsia="bg-BG"/>
        </w:rPr>
        <w:lastRenderedPageBreak/>
        <w:t>безопасност за използване при бременност. Когато се диагностицира бременност, лечението с лосартан трябва да бъде преустановено незабавно и, ако е уместно, да се започне алтернативно лечение (вж. точки 4.3 и 4,6).</w:t>
      </w:r>
    </w:p>
    <w:p w14:paraId="56B8D823" w14:textId="77777777" w:rsidR="00935BA2" w:rsidRPr="00935BA2" w:rsidRDefault="00935BA2" w:rsidP="00935BA2">
      <w:pPr>
        <w:spacing w:line="240" w:lineRule="auto"/>
        <w:rPr>
          <w:rFonts w:eastAsia="Times New Roman" w:cs="Arial"/>
          <w:i/>
          <w:iCs/>
          <w:color w:val="000000"/>
          <w:lang w:eastAsia="bg-BG"/>
        </w:rPr>
      </w:pPr>
    </w:p>
    <w:p w14:paraId="0A434658" w14:textId="67F25522"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Двойно блокиране наренин-ангиотензин-алдостероновата система (РААС)</w:t>
      </w:r>
    </w:p>
    <w:p w14:paraId="51EE54A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II-рецепторни блокери или алискирен (вж. точки 4.5 и 5.1).</w:t>
      </w:r>
    </w:p>
    <w:p w14:paraId="3F32EE86"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FF572AF"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нефролатия.</w:t>
      </w:r>
    </w:p>
    <w:p w14:paraId="485C5778" w14:textId="77777777" w:rsidR="00935BA2" w:rsidRPr="00935BA2" w:rsidRDefault="00935BA2" w:rsidP="00935BA2">
      <w:pPr>
        <w:spacing w:line="240" w:lineRule="auto"/>
        <w:rPr>
          <w:rFonts w:eastAsia="Times New Roman" w:cs="Arial"/>
          <w:color w:val="000000"/>
          <w:u w:val="single"/>
          <w:lang w:eastAsia="bg-BG"/>
        </w:rPr>
      </w:pPr>
    </w:p>
    <w:p w14:paraId="263D5B8C" w14:textId="1E01DBDC"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u w:val="single"/>
          <w:lang w:eastAsia="bg-BG"/>
        </w:rPr>
        <w:t>Xидрохлоротиазид</w:t>
      </w:r>
    </w:p>
    <w:p w14:paraId="702E3289" w14:textId="77777777" w:rsidR="00935BA2" w:rsidRPr="00935BA2" w:rsidRDefault="00935BA2" w:rsidP="00935BA2">
      <w:pPr>
        <w:spacing w:line="240" w:lineRule="auto"/>
        <w:rPr>
          <w:rFonts w:eastAsia="Times New Roman" w:cs="Arial"/>
          <w:i/>
          <w:iCs/>
          <w:color w:val="000000"/>
          <w:lang w:eastAsia="bg-BG"/>
        </w:rPr>
      </w:pPr>
    </w:p>
    <w:p w14:paraId="1AEDD7A3" w14:textId="19947A8D"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Хипотония и електролитен/воден дисбаланс</w:t>
      </w:r>
    </w:p>
    <w:p w14:paraId="31765086"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Както при всяка антихипертензивна терапия, при някои пациенти може да се появи симптоматична хипотония. Пациентите следва да се наблюдават за клинични признаци на електролитен или воден дисбаланс, напр. хиповолемия, хипонатриемия, хипохлоремична алкалоза, хипомагнезиемия или хипокалиемия, които може да се появят при междувременна диария или повръщане. При такива пациенти трябва да се извършва периодично определяне на електролитите през подходящи интервали. Дилуционна хипонатриемия може да възникне при едематозни пациенти в горещо време.</w:t>
      </w:r>
    </w:p>
    <w:p w14:paraId="6AA57124" w14:textId="77777777" w:rsidR="00935BA2" w:rsidRPr="00935BA2" w:rsidRDefault="00935BA2" w:rsidP="00935BA2">
      <w:pPr>
        <w:spacing w:line="240" w:lineRule="auto"/>
        <w:rPr>
          <w:rFonts w:eastAsia="Times New Roman" w:cs="Arial"/>
          <w:i/>
          <w:iCs/>
          <w:color w:val="000000"/>
          <w:lang w:eastAsia="bg-BG"/>
        </w:rPr>
      </w:pPr>
    </w:p>
    <w:p w14:paraId="22FBE306" w14:textId="37559E44"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Метаболитни и ендокринни ефекти</w:t>
      </w:r>
    </w:p>
    <w:p w14:paraId="34411574"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Тиазидната терапия може да наруши глюкозния толеранс. Възможно е да се наложи промяна в дозировките на антидиабетни лекарства, включително на инсулин (вж. точка 4.5). По време на лечението с тиазиди може да се прояви латентен захарен диабет.</w:t>
      </w:r>
    </w:p>
    <w:p w14:paraId="0D752CE7" w14:textId="77777777" w:rsidR="00935BA2" w:rsidRPr="00935BA2" w:rsidRDefault="00935BA2" w:rsidP="00935BA2">
      <w:pPr>
        <w:spacing w:line="240" w:lineRule="auto"/>
        <w:rPr>
          <w:rFonts w:eastAsia="Times New Roman" w:cs="Arial"/>
          <w:color w:val="000000"/>
          <w:lang w:eastAsia="bg-BG"/>
        </w:rPr>
      </w:pPr>
    </w:p>
    <w:p w14:paraId="3FE0C66D" w14:textId="4BD0345A"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Тиазидите могат да намалят уринната екскреция на калций и да причинят слабо и временно покачване на серумния калций. Значителна хиперкалиемия може да бъде доказателство за скрит хиперпаратиреоидизъм. Тиазидите трябва да се спрат преди провеждането на за паратироидната функция.</w:t>
      </w:r>
    </w:p>
    <w:p w14:paraId="4F460239" w14:textId="77777777" w:rsidR="00935BA2" w:rsidRPr="00935BA2" w:rsidRDefault="00935BA2" w:rsidP="00935BA2">
      <w:pPr>
        <w:rPr>
          <w:rFonts w:eastAsia="Times New Roman" w:cs="Arial"/>
          <w:color w:val="000000"/>
          <w:lang w:eastAsia="bg-BG"/>
        </w:rPr>
      </w:pPr>
    </w:p>
    <w:p w14:paraId="6E98487B" w14:textId="083AB532" w:rsidR="00935BA2" w:rsidRPr="00935BA2" w:rsidRDefault="00935BA2" w:rsidP="00935BA2">
      <w:pPr>
        <w:rPr>
          <w:rFonts w:cs="Arial"/>
        </w:rPr>
      </w:pPr>
      <w:r w:rsidRPr="00935BA2">
        <w:rPr>
          <w:rFonts w:eastAsia="Times New Roman" w:cs="Arial"/>
          <w:color w:val="000000"/>
          <w:lang w:eastAsia="bg-BG"/>
        </w:rPr>
        <w:t>Увеличение на нивата на холестерола и триглицерилите може да бъде свързано с терапия с тиазидни диуретици.</w:t>
      </w:r>
    </w:p>
    <w:p w14:paraId="15E38B0C" w14:textId="634842FA" w:rsidR="00935BA2" w:rsidRPr="00935BA2" w:rsidRDefault="00935BA2" w:rsidP="0091385D">
      <w:pPr>
        <w:rPr>
          <w:rFonts w:cs="Arial"/>
        </w:rPr>
      </w:pPr>
    </w:p>
    <w:p w14:paraId="44032B5D"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Тиазидната терапия може да предизвика хиперурикемия и/или подагра при определени пациенти. Понеже лосартан намалява пикочната киселина, в комбинация с хидрохлоротиазид, той отслабва причинената от диуретика хиперурикемия.</w:t>
      </w:r>
    </w:p>
    <w:p w14:paraId="6E103063" w14:textId="77777777" w:rsidR="00935BA2" w:rsidRPr="00935BA2" w:rsidRDefault="00935BA2" w:rsidP="00935BA2">
      <w:pPr>
        <w:spacing w:line="240" w:lineRule="auto"/>
        <w:rPr>
          <w:rFonts w:eastAsia="Times New Roman" w:cs="Arial"/>
          <w:i/>
          <w:iCs/>
          <w:color w:val="000000"/>
          <w:lang w:eastAsia="bg-BG"/>
        </w:rPr>
      </w:pPr>
    </w:p>
    <w:p w14:paraId="48A358ED" w14:textId="305CAAC6"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Чернодробно увреждане</w:t>
      </w:r>
    </w:p>
    <w:p w14:paraId="3D975EDB"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Тиазидите трябва да се използват с повишено внимание при пациенти с нарушена чернодробна функция или прогресиращо чернодробно заболяване, тъй като може да причини интрахепатална холестаза и след това малки колебания във водния и електролитния баланс може да ускорят появата на чернодробна кома.</w:t>
      </w:r>
    </w:p>
    <w:p w14:paraId="731EBA77"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lastRenderedPageBreak/>
        <w:t xml:space="preserve">Лориста </w:t>
      </w:r>
      <w:r w:rsidRPr="00935BA2">
        <w:rPr>
          <w:rFonts w:eastAsia="Times New Roman" w:cs="Arial"/>
          <w:color w:val="000000"/>
          <w:lang w:val="en-US"/>
        </w:rPr>
        <w:t xml:space="preserve">HL </w:t>
      </w:r>
      <w:r w:rsidRPr="00935BA2">
        <w:rPr>
          <w:rFonts w:eastAsia="Times New Roman" w:cs="Arial"/>
          <w:color w:val="000000"/>
          <w:lang w:eastAsia="bg-BG"/>
        </w:rPr>
        <w:t>е противопоказан при пациенти с тежко чернодробно увреждане (вж. точки 4.3 и 5.2).</w:t>
      </w:r>
    </w:p>
    <w:p w14:paraId="098E3A3B" w14:textId="77777777" w:rsidR="00935BA2" w:rsidRPr="00935BA2" w:rsidRDefault="00935BA2" w:rsidP="00935BA2">
      <w:pPr>
        <w:spacing w:line="240" w:lineRule="auto"/>
        <w:rPr>
          <w:rFonts w:eastAsia="Times New Roman" w:cs="Arial"/>
          <w:i/>
          <w:iCs/>
          <w:color w:val="000000"/>
          <w:lang w:eastAsia="bg-BG"/>
        </w:rPr>
      </w:pPr>
    </w:p>
    <w:p w14:paraId="7CE46F4C" w14:textId="24346833"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Немеланомен рак на кожата</w:t>
      </w:r>
    </w:p>
    <w:p w14:paraId="628EB16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[базалноклетьчен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173924A0"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3EDC893" w14:textId="77777777" w:rsidR="00935BA2" w:rsidRPr="00935BA2" w:rsidRDefault="00935BA2" w:rsidP="00935BA2">
      <w:pPr>
        <w:spacing w:line="240" w:lineRule="auto"/>
        <w:rPr>
          <w:rFonts w:eastAsia="Times New Roman" w:cs="Arial"/>
          <w:i/>
          <w:iCs/>
          <w:color w:val="000000"/>
          <w:lang w:eastAsia="bg-BG"/>
        </w:rPr>
      </w:pPr>
    </w:p>
    <w:p w14:paraId="063EBDEF" w14:textId="0A345000"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Остра респираторна токсичност</w:t>
      </w:r>
    </w:p>
    <w:p w14:paraId="300928F5"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Лориста </w:t>
      </w:r>
      <w:r w:rsidRPr="00935BA2">
        <w:rPr>
          <w:rFonts w:eastAsia="Times New Roman" w:cs="Arial"/>
          <w:color w:val="000000"/>
          <w:lang w:val="en-US"/>
        </w:rPr>
        <w:t xml:space="preserve">HL </w:t>
      </w:r>
      <w:r w:rsidRPr="00935BA2">
        <w:rPr>
          <w:rFonts w:eastAsia="Times New Roman" w:cs="Arial"/>
          <w:color w:val="000000"/>
          <w:lang w:eastAsia="bg-BG"/>
        </w:rPr>
        <w:t>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53D47BCE" w14:textId="77777777" w:rsidR="00935BA2" w:rsidRPr="00935BA2" w:rsidRDefault="00935BA2" w:rsidP="00935BA2">
      <w:pPr>
        <w:spacing w:line="240" w:lineRule="auto"/>
        <w:rPr>
          <w:rFonts w:eastAsia="Times New Roman" w:cs="Arial"/>
          <w:i/>
          <w:iCs/>
          <w:color w:val="000000"/>
          <w:lang w:eastAsia="bg-BG"/>
        </w:rPr>
      </w:pPr>
    </w:p>
    <w:p w14:paraId="6A74FC25" w14:textId="034A48B8"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Хороидален излив, остра миопия и вторична закритоъгълна глаукома</w:t>
      </w:r>
    </w:p>
    <w:p w14:paraId="24F9F9AD"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остра, закритоъгълна глаукома може да доведе до трайна загуба на зрение. Първичното лечение е, да се спре приема на този лекарствен продукт, колкото е възможно по-скоро. Навременно лечение или хирургична интервенция може да се наложи да се обмислят, ако вътреочното налагане остава неконтролирано. Рисковите фактори за развиване на остра закритоъгълна глаукома може да включват анамнеза за алергия към сулфонамиди или пеницилини.</w:t>
      </w:r>
    </w:p>
    <w:p w14:paraId="6FC24094" w14:textId="77777777" w:rsidR="00935BA2" w:rsidRPr="00935BA2" w:rsidRDefault="00935BA2" w:rsidP="00935BA2">
      <w:pPr>
        <w:spacing w:line="240" w:lineRule="auto"/>
        <w:rPr>
          <w:rFonts w:eastAsia="Times New Roman" w:cs="Arial"/>
          <w:i/>
          <w:iCs/>
          <w:color w:val="000000"/>
          <w:lang w:eastAsia="bg-BG"/>
        </w:rPr>
      </w:pPr>
    </w:p>
    <w:p w14:paraId="24EC1A58" w14:textId="199E7A30"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Други</w:t>
      </w:r>
    </w:p>
    <w:p w14:paraId="663E5F56" w14:textId="10BB7A2A" w:rsidR="00935BA2" w:rsidRPr="00935BA2" w:rsidRDefault="00935BA2" w:rsidP="00935BA2">
      <w:pPr>
        <w:rPr>
          <w:rFonts w:cs="Arial"/>
        </w:rPr>
      </w:pPr>
      <w:r w:rsidRPr="00935BA2">
        <w:rPr>
          <w:rFonts w:eastAsia="Times New Roman" w:cs="Arial"/>
          <w:color w:val="000000"/>
          <w:lang w:eastAsia="bg-BG"/>
        </w:rPr>
        <w:t>При пациенти, получаващи тиазиди, реакции на свръхчувствителност могат да възникнат с или  без анамнеза за алергия или бронхиална астма. При употребата на тиазиди, има случаи на екзацербация или активиране на системен лупус еритематодес.</w:t>
      </w:r>
    </w:p>
    <w:p w14:paraId="7EDD1A62" w14:textId="2EDA7174" w:rsidR="00935BA2" w:rsidRDefault="00935BA2" w:rsidP="0091385D">
      <w:r>
        <w:t xml:space="preserve">Лориста </w:t>
      </w:r>
      <w:r>
        <w:rPr>
          <w:lang w:val="en-US"/>
        </w:rPr>
        <w:t xml:space="preserve">HL </w:t>
      </w:r>
      <w:r>
        <w:t>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2428620F" w14:textId="77777777" w:rsidR="00935BA2" w:rsidRPr="0091385D" w:rsidRDefault="00935BA2" w:rsidP="0091385D"/>
    <w:p w14:paraId="619DED1E" w14:textId="564F257F"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70C69E7B"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u w:val="single"/>
          <w:lang w:eastAsia="bg-BG"/>
        </w:rPr>
        <w:t>Лосартан</w:t>
      </w:r>
    </w:p>
    <w:p w14:paraId="6B3F4B28" w14:textId="77777777" w:rsidR="00935BA2" w:rsidRPr="00935BA2" w:rsidRDefault="00935BA2" w:rsidP="00935BA2">
      <w:pPr>
        <w:spacing w:line="240" w:lineRule="auto"/>
        <w:rPr>
          <w:rFonts w:eastAsia="Times New Roman" w:cs="Arial"/>
          <w:color w:val="000000"/>
          <w:lang w:eastAsia="bg-BG"/>
        </w:rPr>
      </w:pPr>
    </w:p>
    <w:p w14:paraId="0EBABFE9" w14:textId="2F550220"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Съобщавано е, че рифампицин и флуконазол намаляват нивата на активния метаболит. Не може да се направи оценка на клиничните последици на тези взаимодействия.</w:t>
      </w:r>
    </w:p>
    <w:p w14:paraId="24504404" w14:textId="77777777" w:rsidR="00935BA2" w:rsidRPr="00935BA2" w:rsidRDefault="00935BA2" w:rsidP="00935BA2">
      <w:pPr>
        <w:spacing w:line="240" w:lineRule="auto"/>
        <w:rPr>
          <w:rFonts w:eastAsia="Times New Roman" w:cs="Arial"/>
          <w:color w:val="000000"/>
          <w:lang w:eastAsia="bg-BG"/>
        </w:rPr>
      </w:pPr>
    </w:p>
    <w:p w14:paraId="2D60FE6D" w14:textId="76332CF2"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Както и при други лекарства, които блокират ангиотензин II или неговите ефекти, едновременното приложение на лекарства, които задържат калий (напр. спиронолактон, триамтерен, амилорид) калиеви добавки, заместители на готварската сол, съдържащи калий, или други лекарства, които могат да повишат серумния калий (напр, продукти, съдържащи триметоприм) може да доведе до увеличение на серумния калий. Едновременното приложение не се препоръчва.</w:t>
      </w:r>
    </w:p>
    <w:p w14:paraId="6ADF6C9D" w14:textId="77777777" w:rsidR="00935BA2" w:rsidRPr="00935BA2" w:rsidRDefault="00935BA2" w:rsidP="00935BA2">
      <w:pPr>
        <w:spacing w:line="240" w:lineRule="auto"/>
        <w:rPr>
          <w:rFonts w:eastAsia="Times New Roman" w:cs="Arial"/>
          <w:color w:val="000000"/>
          <w:lang w:eastAsia="bg-BG"/>
        </w:rPr>
      </w:pPr>
    </w:p>
    <w:p w14:paraId="7D0D5896" w14:textId="364E09EC"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Както при други лекарства, които повлияват отделянето на натрий, отделянето на литий може да бъде намалено. Поради това, трябва да се проследяват внимателно нивата на литий в серума, ако ще се приемат литиевите соли едновременно с ангиотензин II рецепторен антагонист.</w:t>
      </w:r>
    </w:p>
    <w:p w14:paraId="4E5CC8A8" w14:textId="77777777" w:rsidR="00935BA2" w:rsidRPr="00935BA2" w:rsidRDefault="00935BA2" w:rsidP="00935BA2">
      <w:pPr>
        <w:spacing w:line="240" w:lineRule="auto"/>
        <w:rPr>
          <w:rFonts w:eastAsia="Times New Roman" w:cs="Arial"/>
          <w:color w:val="000000"/>
          <w:lang w:eastAsia="bg-BG"/>
        </w:rPr>
      </w:pPr>
    </w:p>
    <w:p w14:paraId="040C6D27" w14:textId="1856A0A0"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Когато ангиотензин II антагонист се прилага едновременно с НСПВС (т.е. селективни СОХ-2 инхибитори, ацетилсалицилова киселина в противовъзпалителни дози) и неселективни НСПВС, може да се настъпи отслабване на антихипертензивния ефект. Едновременното приложение на ангиотензин II антагонисти или диуретици и НСПВС може да доведе до повишен риск от влошаване на бъбречната функция, включително възможност от остра бъбречна недостатъчност, и повишаване на серумния калий, особено при пациенти с незадоволителна преди това бъбречна функция. Комбинацията следва да се прилага внимателно, особено в старческа възраст. Пациентите следва да бъдат адекватно оводнявани и трябва да се обсъди наблюдение на бъбречната функция след започване на едновременно лечение, както и периодично след това.</w:t>
      </w:r>
    </w:p>
    <w:p w14:paraId="5A3B6001" w14:textId="77777777" w:rsidR="00935BA2" w:rsidRPr="00935BA2" w:rsidRDefault="00935BA2" w:rsidP="00935BA2">
      <w:pPr>
        <w:spacing w:line="240" w:lineRule="auto"/>
        <w:rPr>
          <w:rFonts w:eastAsia="Times New Roman" w:cs="Arial"/>
          <w:color w:val="000000"/>
          <w:lang w:eastAsia="bg-BG"/>
        </w:rPr>
      </w:pPr>
    </w:p>
    <w:p w14:paraId="6BC431FB" w14:textId="588AA72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При някои пациенти с компрометирана бъбречна функция, които са лекувани с нестероидни противовъзпалителни лекарства, включително селективни циклооксигеназа-2-инхибитори, едновременното приложение на ангиотензин II рецепторни антагонисти може да доведе до по нататъшно влошаване на бъбречната функция. Тези ефекти обикновено са обратими.</w:t>
      </w:r>
    </w:p>
    <w:p w14:paraId="60BE4897"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260FDA99" w14:textId="77777777" w:rsidR="00935BA2" w:rsidRPr="00935BA2" w:rsidRDefault="00935BA2" w:rsidP="00935BA2">
      <w:pPr>
        <w:spacing w:line="240" w:lineRule="auto"/>
        <w:rPr>
          <w:rFonts w:eastAsia="Times New Roman" w:cs="Arial"/>
          <w:color w:val="000000"/>
          <w:lang w:eastAsia="bg-BG"/>
        </w:rPr>
      </w:pPr>
    </w:p>
    <w:p w14:paraId="7EF3C3F6" w14:textId="1FF5717F"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Други вещества, предизвикващи хипотония, като трициклични антидепресанти, антипсихотици, баклофен, амифостин: едновременното приложение с тези лекарства, които намаляват кръвното налягане, като основна нежелана лекарствена реакция, могат да повишат риска от хипотония.</w:t>
      </w:r>
    </w:p>
    <w:p w14:paraId="2B999912" w14:textId="77777777" w:rsidR="00935BA2" w:rsidRPr="00935BA2" w:rsidRDefault="00935BA2" w:rsidP="00935BA2">
      <w:pPr>
        <w:spacing w:line="240" w:lineRule="auto"/>
        <w:rPr>
          <w:rFonts w:eastAsia="Times New Roman" w:cs="Arial"/>
          <w:color w:val="000000"/>
          <w:u w:val="single"/>
          <w:lang w:eastAsia="bg-BG"/>
        </w:rPr>
      </w:pPr>
    </w:p>
    <w:p w14:paraId="68B19EEA" w14:textId="32DEE23A" w:rsidR="00935BA2" w:rsidRPr="00935BA2" w:rsidRDefault="00935BA2" w:rsidP="00935BA2">
      <w:pPr>
        <w:spacing w:line="240" w:lineRule="auto"/>
        <w:rPr>
          <w:rFonts w:eastAsia="Times New Roman" w:cs="Arial"/>
          <w:lang w:eastAsia="bg-BG"/>
        </w:rPr>
      </w:pPr>
      <w:r w:rsidRPr="00935BA2">
        <w:rPr>
          <w:rFonts w:eastAsia="Times New Roman" w:cs="Arial"/>
          <w:color w:val="000000"/>
          <w:u w:val="single"/>
          <w:lang w:eastAsia="bg-BG"/>
        </w:rPr>
        <w:t>Хидрохлоротиазид</w:t>
      </w:r>
    </w:p>
    <w:p w14:paraId="0798B218" w14:textId="77777777" w:rsidR="00935BA2" w:rsidRPr="00935BA2" w:rsidRDefault="00935BA2" w:rsidP="00935BA2">
      <w:pPr>
        <w:spacing w:line="240" w:lineRule="auto"/>
        <w:rPr>
          <w:rFonts w:eastAsia="Times New Roman" w:cs="Arial"/>
          <w:color w:val="000000"/>
          <w:lang w:eastAsia="bg-BG"/>
        </w:rPr>
      </w:pPr>
    </w:p>
    <w:p w14:paraId="012A5C3D" w14:textId="3E9224C0"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lastRenderedPageBreak/>
        <w:t>Следните лекарства, при едновременно приложение, могат да взаимодействат с тиазидните диуретици:</w:t>
      </w:r>
    </w:p>
    <w:p w14:paraId="5C78C39E" w14:textId="77777777" w:rsidR="00935BA2" w:rsidRPr="00935BA2" w:rsidRDefault="00935BA2" w:rsidP="00935BA2">
      <w:pPr>
        <w:spacing w:line="240" w:lineRule="auto"/>
        <w:rPr>
          <w:rFonts w:eastAsia="Times New Roman" w:cs="Arial"/>
          <w:color w:val="000000"/>
          <w:lang w:eastAsia="bg-BG"/>
        </w:rPr>
      </w:pPr>
    </w:p>
    <w:p w14:paraId="512152D8" w14:textId="07F4FC1E"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 xml:space="preserve">Алкохол, </w:t>
      </w:r>
      <w:r w:rsidRPr="00935BA2">
        <w:rPr>
          <w:rFonts w:eastAsia="Times New Roman" w:cs="Arial"/>
          <w:i/>
          <w:iCs/>
          <w:color w:val="000000"/>
          <w:lang w:eastAsia="bg-BG"/>
        </w:rPr>
        <w:t>барбитурати, наркотици или антидепресанти</w:t>
      </w:r>
    </w:p>
    <w:p w14:paraId="77216D5F" w14:textId="77777777" w:rsidR="00935BA2" w:rsidRPr="00935BA2" w:rsidRDefault="00935BA2" w:rsidP="00935BA2">
      <w:pPr>
        <w:rPr>
          <w:rFonts w:cs="Arial"/>
        </w:rPr>
      </w:pPr>
      <w:r w:rsidRPr="00935BA2">
        <w:rPr>
          <w:rFonts w:eastAsia="Times New Roman" w:cs="Arial"/>
          <w:color w:val="000000"/>
          <w:lang w:eastAsia="bg-BG"/>
        </w:rPr>
        <w:t>Може да възникне потенциране на ортостатична хипотония.</w:t>
      </w:r>
    </w:p>
    <w:p w14:paraId="06FD72A1" w14:textId="77777777" w:rsidR="00935BA2" w:rsidRPr="00935BA2" w:rsidRDefault="00935BA2" w:rsidP="00935BA2">
      <w:pPr>
        <w:rPr>
          <w:rFonts w:cs="Arial"/>
        </w:rPr>
      </w:pPr>
    </w:p>
    <w:p w14:paraId="4115A0E6" w14:textId="586DCA79" w:rsidR="00935BA2" w:rsidRPr="00935BA2" w:rsidRDefault="00935BA2" w:rsidP="00935BA2">
      <w:pPr>
        <w:rPr>
          <w:rFonts w:cs="Arial"/>
        </w:rPr>
      </w:pPr>
      <w:r w:rsidRPr="00935BA2">
        <w:rPr>
          <w:rFonts w:eastAsia="Times New Roman" w:cs="Arial"/>
          <w:i/>
          <w:iCs/>
          <w:color w:val="000000"/>
          <w:lang w:eastAsia="bg-BG"/>
        </w:rPr>
        <w:t>Антидиабетни лекарства (перорални лекарства и инсулин)</w:t>
      </w:r>
    </w:p>
    <w:p w14:paraId="75CA6A33"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Лечението с високи дози тиазиди може да повлияе глюкозния толеранс. Може да се наложи промяна в дозировката на антидиабетното лекарство. Метформин трябва да се използва внимателно, поради риска от лактатна ацидоза, предизвикана от вероятно увреждане на бъбречната функция, свързано с хидрохлоротиазида.</w:t>
      </w:r>
    </w:p>
    <w:p w14:paraId="25C83AA9" w14:textId="77777777" w:rsidR="00935BA2" w:rsidRPr="00935BA2" w:rsidRDefault="00935BA2" w:rsidP="00935BA2">
      <w:pPr>
        <w:spacing w:line="240" w:lineRule="auto"/>
        <w:rPr>
          <w:rFonts w:eastAsia="Times New Roman" w:cs="Arial"/>
          <w:i/>
          <w:iCs/>
          <w:color w:val="000000"/>
          <w:lang w:eastAsia="bg-BG"/>
        </w:rPr>
      </w:pPr>
    </w:p>
    <w:p w14:paraId="71590DC7" w14:textId="7FCAE536"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Други антихипертензивни лекарства</w:t>
      </w:r>
    </w:p>
    <w:p w14:paraId="62905629" w14:textId="77777777" w:rsidR="00935BA2" w:rsidRPr="00935BA2" w:rsidRDefault="00935BA2" w:rsidP="00935BA2">
      <w:pPr>
        <w:spacing w:line="240" w:lineRule="auto"/>
        <w:rPr>
          <w:rFonts w:eastAsia="Times New Roman" w:cs="Arial"/>
          <w:color w:val="000000"/>
          <w:lang w:eastAsia="bg-BG"/>
        </w:rPr>
      </w:pPr>
    </w:p>
    <w:p w14:paraId="007270D3" w14:textId="0D7F2A8F"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Адитивен ефект.</w:t>
      </w:r>
    </w:p>
    <w:p w14:paraId="1BF77832" w14:textId="77777777" w:rsidR="00935BA2" w:rsidRPr="00935BA2" w:rsidRDefault="00935BA2" w:rsidP="00935BA2">
      <w:pPr>
        <w:spacing w:line="240" w:lineRule="auto"/>
        <w:rPr>
          <w:rFonts w:eastAsia="Times New Roman" w:cs="Arial"/>
          <w:i/>
          <w:iCs/>
          <w:color w:val="000000"/>
          <w:lang w:eastAsia="bg-BG"/>
        </w:rPr>
      </w:pPr>
    </w:p>
    <w:p w14:paraId="415F06EC" w14:textId="4B7D2B6B"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Холестирамин и холестиполови смоли</w:t>
      </w:r>
    </w:p>
    <w:p w14:paraId="75997562"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Абсорбцията на хидрохлоротиазид се нарушава при наличието на аниони обменни смоли. Единична доза холестирамин или холестиполова смола свързва хидрохлоротиазид и редуцира абсорбцията му от гастроинтестиналния тракт с до 85 и 43 % съответно.</w:t>
      </w:r>
    </w:p>
    <w:p w14:paraId="080BE5D7" w14:textId="77777777" w:rsidR="00935BA2" w:rsidRPr="00935BA2" w:rsidRDefault="00935BA2" w:rsidP="00935BA2">
      <w:pPr>
        <w:spacing w:line="240" w:lineRule="auto"/>
        <w:rPr>
          <w:rFonts w:eastAsia="Times New Roman" w:cs="Arial"/>
          <w:i/>
          <w:iCs/>
          <w:color w:val="000000"/>
          <w:lang w:eastAsia="bg-BG"/>
        </w:rPr>
      </w:pPr>
    </w:p>
    <w:p w14:paraId="1B391A41" w14:textId="60DC8CA1"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Кортикостероиди, АСТН</w:t>
      </w:r>
    </w:p>
    <w:p w14:paraId="78B0E795"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Ускорено отделяне на електролитите, най-често хипокалиемия.</w:t>
      </w:r>
    </w:p>
    <w:p w14:paraId="266DE450" w14:textId="77777777" w:rsidR="00935BA2" w:rsidRPr="00935BA2" w:rsidRDefault="00935BA2" w:rsidP="00935BA2">
      <w:pPr>
        <w:spacing w:line="240" w:lineRule="auto"/>
        <w:rPr>
          <w:rFonts w:eastAsia="Times New Roman" w:cs="Arial"/>
          <w:i/>
          <w:iCs/>
          <w:color w:val="000000"/>
          <w:lang w:eastAsia="bg-BG"/>
        </w:rPr>
      </w:pPr>
    </w:p>
    <w:p w14:paraId="35B13345" w14:textId="13EDD76B"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Катехоламини (напр. адреналин)</w:t>
      </w:r>
    </w:p>
    <w:p w14:paraId="6A08A685"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Възможно е намаляване на реакцията към пресорните амини, но не достатъчно, за да се изключи едновременната им употреба.</w:t>
      </w:r>
    </w:p>
    <w:p w14:paraId="2DA0FBEF" w14:textId="77777777" w:rsidR="00935BA2" w:rsidRPr="00935BA2" w:rsidRDefault="00935BA2" w:rsidP="00935BA2">
      <w:pPr>
        <w:spacing w:line="240" w:lineRule="auto"/>
        <w:rPr>
          <w:rFonts w:eastAsia="Times New Roman" w:cs="Arial"/>
          <w:i/>
          <w:iCs/>
          <w:color w:val="000000"/>
          <w:lang w:eastAsia="bg-BG"/>
        </w:rPr>
      </w:pPr>
    </w:p>
    <w:p w14:paraId="68E92EF4" w14:textId="423CB2B7"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Скелетно-мускулни релаксанти, недеполяризиращи (напр. тубокурарин)</w:t>
      </w:r>
    </w:p>
    <w:p w14:paraId="54BB4365"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Възможно е повишена чувствителност към мускулни релаксанти.</w:t>
      </w:r>
    </w:p>
    <w:p w14:paraId="4F2464D2" w14:textId="77777777" w:rsidR="00935BA2" w:rsidRPr="00935BA2" w:rsidRDefault="00935BA2" w:rsidP="00935BA2">
      <w:pPr>
        <w:spacing w:line="240" w:lineRule="auto"/>
        <w:rPr>
          <w:rFonts w:eastAsia="Times New Roman" w:cs="Arial"/>
          <w:i/>
          <w:iCs/>
          <w:color w:val="000000"/>
          <w:lang w:eastAsia="bg-BG"/>
        </w:rPr>
      </w:pPr>
    </w:p>
    <w:p w14:paraId="2F156417" w14:textId="417F63CC"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Литий</w:t>
      </w:r>
    </w:p>
    <w:p w14:paraId="62AD9D7F"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Диуретиците редуцират бъбречния клирънс на лития и силно увеличават риска от литиева интоксикация; не се препоръчва едновременно прилагане.</w:t>
      </w:r>
    </w:p>
    <w:p w14:paraId="43FFA590" w14:textId="77777777" w:rsidR="00935BA2" w:rsidRPr="00935BA2" w:rsidRDefault="00935BA2" w:rsidP="00935BA2">
      <w:pPr>
        <w:spacing w:line="240" w:lineRule="auto"/>
        <w:rPr>
          <w:rFonts w:eastAsia="Times New Roman" w:cs="Arial"/>
          <w:i/>
          <w:iCs/>
          <w:color w:val="000000"/>
          <w:lang w:eastAsia="bg-BG"/>
        </w:rPr>
      </w:pPr>
    </w:p>
    <w:p w14:paraId="397FF47E" w14:textId="4FD89CAE"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Лекарствени продукти, използвани за лечение на подагра (пробенецид, сулфинпиразон и алопуринол)</w:t>
      </w:r>
    </w:p>
    <w:p w14:paraId="7CD35A10"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Може да се наложи корекция на дозировката на урикозуричните лекарствени продукти, тъй като хидрохлоротиазид може да повиши нивото на пикочната киселина. Може да е нужно повишаване на дозите на пробенецид или сулфинпиразон. Едновременното приложение с тиазид може да повиши честотата на реакциите на свръхчувствителност към алопуринол.</w:t>
      </w:r>
    </w:p>
    <w:p w14:paraId="3814D6D4" w14:textId="77777777" w:rsidR="00935BA2" w:rsidRPr="00935BA2" w:rsidRDefault="00935BA2" w:rsidP="00935BA2">
      <w:pPr>
        <w:spacing w:line="240" w:lineRule="auto"/>
        <w:rPr>
          <w:rFonts w:eastAsia="Times New Roman" w:cs="Arial"/>
          <w:i/>
          <w:iCs/>
          <w:color w:val="000000"/>
          <w:lang w:eastAsia="bg-BG"/>
        </w:rPr>
      </w:pPr>
    </w:p>
    <w:p w14:paraId="53332547" w14:textId="5E6A88F4"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Антихолинергични продукти (напр. атропин, бипериден)</w:t>
      </w:r>
    </w:p>
    <w:p w14:paraId="6C29EC3B"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Повишаване бионаличностга на тиазидните диуретици чрез понижен стомашно-чревен мотилитет и намалена скорост на изпразване на стомаха.</w:t>
      </w:r>
    </w:p>
    <w:p w14:paraId="18ADCBA7" w14:textId="77777777" w:rsidR="00935BA2" w:rsidRPr="00935BA2" w:rsidRDefault="00935BA2" w:rsidP="00935BA2">
      <w:pPr>
        <w:spacing w:line="240" w:lineRule="auto"/>
        <w:rPr>
          <w:rFonts w:eastAsia="Times New Roman" w:cs="Arial"/>
          <w:i/>
          <w:iCs/>
          <w:color w:val="000000"/>
          <w:lang w:eastAsia="bg-BG"/>
        </w:rPr>
      </w:pPr>
    </w:p>
    <w:p w14:paraId="1F5892AA" w14:textId="442348D4"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Цитотоксични продукти (напр. циклофосфамид, метотрексат)</w:t>
      </w:r>
    </w:p>
    <w:p w14:paraId="23FF47B8"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Тиазидите могат да намалят бъбречната екскреция на цитотоксични лекарствени продукти и да засилят техните миелосупресивни ефекти.</w:t>
      </w:r>
    </w:p>
    <w:p w14:paraId="2A4B9C1C" w14:textId="77777777" w:rsidR="00935BA2" w:rsidRPr="00935BA2" w:rsidRDefault="00935BA2" w:rsidP="00935BA2">
      <w:pPr>
        <w:spacing w:line="240" w:lineRule="auto"/>
        <w:rPr>
          <w:rFonts w:eastAsia="Times New Roman" w:cs="Arial"/>
          <w:i/>
          <w:iCs/>
          <w:color w:val="000000"/>
          <w:lang w:eastAsia="bg-BG"/>
        </w:rPr>
      </w:pPr>
    </w:p>
    <w:p w14:paraId="136F2E05" w14:textId="128242DC"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lastRenderedPageBreak/>
        <w:t>Салицилати</w:t>
      </w:r>
    </w:p>
    <w:p w14:paraId="2B4536EE"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При високи дози салицилати, хидрохлоротиазид може да усили токсичния ефект на салицилатите върху централната нервна система,</w:t>
      </w:r>
    </w:p>
    <w:p w14:paraId="5F546D84" w14:textId="77777777" w:rsidR="00935BA2" w:rsidRPr="00935BA2" w:rsidRDefault="00935BA2" w:rsidP="00935BA2">
      <w:pPr>
        <w:spacing w:line="240" w:lineRule="auto"/>
        <w:rPr>
          <w:rFonts w:eastAsia="Times New Roman" w:cs="Arial"/>
          <w:i/>
          <w:iCs/>
          <w:color w:val="000000"/>
          <w:lang w:eastAsia="bg-BG"/>
        </w:rPr>
      </w:pPr>
    </w:p>
    <w:p w14:paraId="19591C62" w14:textId="31B09BC4"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Метилдопа</w:t>
      </w:r>
    </w:p>
    <w:p w14:paraId="0AA29FDD" w14:textId="77777777"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t>Има отделни съобщения за хемолитична анемия, развила се при едновременно приложение на хидрохлоротиазид и метилдопа.</w:t>
      </w:r>
    </w:p>
    <w:p w14:paraId="68A28AA4" w14:textId="77777777" w:rsidR="00935BA2" w:rsidRPr="00935BA2" w:rsidRDefault="00935BA2" w:rsidP="00935BA2">
      <w:pPr>
        <w:spacing w:line="240" w:lineRule="auto"/>
        <w:rPr>
          <w:rFonts w:eastAsia="Times New Roman" w:cs="Arial"/>
          <w:i/>
          <w:iCs/>
          <w:color w:val="000000"/>
          <w:lang w:eastAsia="bg-BG"/>
        </w:rPr>
      </w:pPr>
    </w:p>
    <w:p w14:paraId="1BDBA6F9" w14:textId="5797764F" w:rsidR="00935BA2" w:rsidRPr="00935BA2" w:rsidRDefault="00935BA2" w:rsidP="00935BA2">
      <w:pPr>
        <w:spacing w:line="240" w:lineRule="auto"/>
        <w:rPr>
          <w:rFonts w:eastAsia="Times New Roman" w:cs="Arial"/>
          <w:lang w:eastAsia="bg-BG"/>
        </w:rPr>
      </w:pPr>
      <w:r w:rsidRPr="00935BA2">
        <w:rPr>
          <w:rFonts w:eastAsia="Times New Roman" w:cs="Arial"/>
          <w:i/>
          <w:iCs/>
          <w:color w:val="000000"/>
          <w:lang w:eastAsia="bg-BG"/>
        </w:rPr>
        <w:t>Циклоспорин</w:t>
      </w:r>
    </w:p>
    <w:p w14:paraId="5B2761C5" w14:textId="17603333" w:rsidR="0091385D" w:rsidRDefault="00935BA2" w:rsidP="00935BA2">
      <w:pPr>
        <w:spacing w:line="240" w:lineRule="auto"/>
        <w:rPr>
          <w:rFonts w:eastAsia="Times New Roman" w:cs="Arial"/>
          <w:color w:val="000000"/>
          <w:lang w:eastAsia="bg-BG"/>
        </w:rPr>
      </w:pPr>
      <w:r w:rsidRPr="00935BA2">
        <w:rPr>
          <w:rFonts w:eastAsia="Times New Roman" w:cs="Arial"/>
          <w:color w:val="000000"/>
          <w:lang w:eastAsia="bg-BG"/>
        </w:rPr>
        <w:t>Съпровождащо лечение с циклоспорин може да повиши риска от хиперурикемия и подобни на</w:t>
      </w:r>
      <w:r>
        <w:rPr>
          <w:rFonts w:eastAsia="Times New Roman" w:cs="Arial"/>
          <w:lang w:eastAsia="bg-BG"/>
        </w:rPr>
        <w:t xml:space="preserve"> </w:t>
      </w:r>
      <w:r w:rsidRPr="00935BA2">
        <w:rPr>
          <w:rFonts w:eastAsia="Times New Roman" w:cs="Arial"/>
          <w:color w:val="000000"/>
          <w:lang w:eastAsia="bg-BG"/>
        </w:rPr>
        <w:t>подагра усложнения.</w:t>
      </w:r>
    </w:p>
    <w:p w14:paraId="6098F3E8" w14:textId="66D1F6F3" w:rsidR="00935BA2" w:rsidRDefault="00935BA2" w:rsidP="00935BA2">
      <w:pPr>
        <w:spacing w:line="240" w:lineRule="auto"/>
        <w:rPr>
          <w:rFonts w:eastAsia="Times New Roman" w:cs="Arial"/>
          <w:color w:val="000000"/>
          <w:lang w:eastAsia="bg-BG"/>
        </w:rPr>
      </w:pPr>
    </w:p>
    <w:p w14:paraId="570F140D"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Дигитпалисови гликозиди</w:t>
      </w:r>
    </w:p>
    <w:p w14:paraId="78812670"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Тиазид-индуцирана хипокалиемия или хипомагнезиемия могат да благоприятстват появата на дигиталис-индуцирани сърдечни аритмии.</w:t>
      </w:r>
    </w:p>
    <w:p w14:paraId="44FC68B4" w14:textId="77777777" w:rsidR="00935BA2" w:rsidRPr="00935BA2" w:rsidRDefault="00935BA2" w:rsidP="00935BA2">
      <w:pPr>
        <w:spacing w:line="240" w:lineRule="auto"/>
        <w:rPr>
          <w:rFonts w:eastAsia="Times New Roman" w:cs="Arial"/>
          <w:i/>
          <w:iCs/>
          <w:color w:val="000000"/>
          <w:lang w:eastAsia="bg-BG"/>
        </w:rPr>
      </w:pPr>
    </w:p>
    <w:p w14:paraId="0DAC9039" w14:textId="46BFBE82"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Лекарствени продукти, повлиявани от смущения в серумния калий</w:t>
      </w:r>
    </w:p>
    <w:p w14:paraId="3025A629"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При приложение на лосартан/хидрохлоротиазид с лекарствени продукти, повлиявани от изменения в стойностите на серумния калий (напр. дигиталисови гликозиди и противоаритмични средства) и със следните </w:t>
      </w:r>
      <w:proofErr w:type="spellStart"/>
      <w:r w:rsidRPr="00935BA2">
        <w:rPr>
          <w:rFonts w:eastAsia="Times New Roman" w:cs="Arial"/>
          <w:color w:val="000000"/>
          <w:lang w:val="en-US"/>
        </w:rPr>
        <w:t>torsades</w:t>
      </w:r>
      <w:proofErr w:type="spellEnd"/>
      <w:r w:rsidRPr="00935BA2">
        <w:rPr>
          <w:rFonts w:eastAsia="Times New Roman" w:cs="Arial"/>
          <w:color w:val="000000"/>
          <w:lang w:val="en-US"/>
        </w:rPr>
        <w:t xml:space="preserve"> de pointes </w:t>
      </w:r>
      <w:r w:rsidRPr="00935BA2">
        <w:rPr>
          <w:rFonts w:eastAsia="Times New Roman" w:cs="Arial"/>
          <w:color w:val="000000"/>
          <w:lang w:eastAsia="bg-BG"/>
        </w:rPr>
        <w:t xml:space="preserve">(камерна тахикардия) - индуциращи лекарствени продукти (включително някои противоаритмични), се препоръчва периодично мониториране на серумния калий и ЕКГ, тъй като хипокалиемията е фактор предразполагащ към </w:t>
      </w:r>
      <w:proofErr w:type="spellStart"/>
      <w:r w:rsidRPr="00935BA2">
        <w:rPr>
          <w:rFonts w:eastAsia="Times New Roman" w:cs="Arial"/>
          <w:color w:val="000000"/>
          <w:lang w:val="en-US"/>
        </w:rPr>
        <w:t>torsades</w:t>
      </w:r>
      <w:proofErr w:type="spellEnd"/>
      <w:r w:rsidRPr="00935BA2">
        <w:rPr>
          <w:rFonts w:eastAsia="Times New Roman" w:cs="Arial"/>
          <w:color w:val="000000"/>
          <w:lang w:val="en-US"/>
        </w:rPr>
        <w:t xml:space="preserve"> de pointes </w:t>
      </w:r>
      <w:r w:rsidRPr="00935BA2">
        <w:rPr>
          <w:rFonts w:eastAsia="Times New Roman" w:cs="Arial"/>
          <w:color w:val="000000"/>
          <w:lang w:eastAsia="bg-BG"/>
        </w:rPr>
        <w:t>(камерна тахикардия):</w:t>
      </w:r>
    </w:p>
    <w:p w14:paraId="2F64495D"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-Клас Iа противоаритмични (напр. хинидин, хидрохинидин, дизопирамид).</w:t>
      </w:r>
    </w:p>
    <w:p w14:paraId="355F3FCA"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-Клас III  противоаритмични (напр. амиодарон, соталол, дофетилид, ибутилид).</w:t>
      </w:r>
    </w:p>
    <w:p w14:paraId="221EFB68"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-Някои антипсихотични (напр. тиоридазин, хлорпромазин, левомепромазин, трифлуоперазин, циамемазин, сулпирид, султоприд, амисулприд, тиаприд, пимозид, халоперидол, дроперидол).</w:t>
      </w:r>
    </w:p>
    <w:p w14:paraId="199F8226"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-Други (напр. бепридил, цизаприд, дифеманил, еритромицин </w:t>
      </w:r>
      <w:proofErr w:type="spellStart"/>
      <w:r w:rsidRPr="00935BA2">
        <w:rPr>
          <w:rFonts w:eastAsia="Times New Roman" w:cs="Arial"/>
          <w:color w:val="000000"/>
          <w:lang w:val="en-US"/>
        </w:rPr>
        <w:t>i.v.</w:t>
      </w:r>
      <w:proofErr w:type="spellEnd"/>
      <w:r w:rsidRPr="00935BA2">
        <w:rPr>
          <w:rFonts w:eastAsia="Times New Roman" w:cs="Arial"/>
          <w:color w:val="000000"/>
          <w:lang w:val="en-US"/>
        </w:rPr>
        <w:t xml:space="preserve">, </w:t>
      </w:r>
      <w:r w:rsidRPr="00935BA2">
        <w:rPr>
          <w:rFonts w:eastAsia="Times New Roman" w:cs="Arial"/>
          <w:color w:val="000000"/>
          <w:lang w:eastAsia="bg-BG"/>
        </w:rPr>
        <w:t xml:space="preserve">халофантрин, мизоластин, пентамидин, терфанадин, винкамин </w:t>
      </w:r>
      <w:proofErr w:type="spellStart"/>
      <w:r w:rsidRPr="00935BA2">
        <w:rPr>
          <w:rFonts w:eastAsia="Times New Roman" w:cs="Arial"/>
          <w:color w:val="000000"/>
          <w:lang w:val="en-US"/>
        </w:rPr>
        <w:t>i.v.</w:t>
      </w:r>
      <w:proofErr w:type="spellEnd"/>
      <w:r w:rsidRPr="00935BA2">
        <w:rPr>
          <w:rFonts w:eastAsia="Times New Roman" w:cs="Arial"/>
          <w:color w:val="000000"/>
          <w:lang w:val="en-US"/>
        </w:rPr>
        <w:t>)</w:t>
      </w:r>
    </w:p>
    <w:p w14:paraId="2594564E" w14:textId="77777777" w:rsidR="00935BA2" w:rsidRPr="00935BA2" w:rsidRDefault="00935BA2" w:rsidP="00935BA2">
      <w:pPr>
        <w:spacing w:line="240" w:lineRule="auto"/>
        <w:rPr>
          <w:rFonts w:eastAsia="Times New Roman" w:cs="Arial"/>
          <w:i/>
          <w:iCs/>
          <w:color w:val="000000"/>
          <w:lang w:eastAsia="bg-BG"/>
        </w:rPr>
      </w:pPr>
    </w:p>
    <w:p w14:paraId="1750BC95" w14:textId="446D0637"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Калциеви соли</w:t>
      </w:r>
    </w:p>
    <w:p w14:paraId="0F5F4C44"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Тиазидните диуретици могат да повишат нивата на калциевите соли, поради понижена екскреция. Ако трябва да се предпишат калциеви добавки, следва да се контролират нивата на серумния калций и дозата на калций съответно да се коригира.</w:t>
      </w:r>
    </w:p>
    <w:p w14:paraId="709FFAFF" w14:textId="77777777" w:rsidR="00935BA2" w:rsidRPr="00935BA2" w:rsidRDefault="00935BA2" w:rsidP="00935BA2">
      <w:pPr>
        <w:spacing w:line="240" w:lineRule="auto"/>
        <w:rPr>
          <w:rFonts w:eastAsia="Times New Roman" w:cs="Arial"/>
          <w:i/>
          <w:iCs/>
          <w:color w:val="000000"/>
          <w:lang w:eastAsia="bg-BG"/>
        </w:rPr>
      </w:pPr>
    </w:p>
    <w:p w14:paraId="55FD7FA7" w14:textId="0397C652"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Повлияване на лабораторните изследвания</w:t>
      </w:r>
    </w:p>
    <w:p w14:paraId="79171749"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Поради ефекта, който имат върху калциевия метаболизъм, тиазидите могат да повлияят функционалните тестове на паратироидната жлеза (вж. точка 4.4).</w:t>
      </w:r>
    </w:p>
    <w:p w14:paraId="3196DC8C" w14:textId="77777777" w:rsidR="00935BA2" w:rsidRPr="00935BA2" w:rsidRDefault="00935BA2" w:rsidP="00935BA2">
      <w:pPr>
        <w:spacing w:line="240" w:lineRule="auto"/>
        <w:rPr>
          <w:rFonts w:eastAsia="Times New Roman" w:cs="Arial"/>
          <w:i/>
          <w:iCs/>
          <w:color w:val="000000"/>
          <w:lang w:eastAsia="bg-BG"/>
        </w:rPr>
      </w:pPr>
    </w:p>
    <w:p w14:paraId="05E541C3" w14:textId="0CA503FE"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Карбамазепин</w:t>
      </w:r>
    </w:p>
    <w:p w14:paraId="47187B3B"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Риск от симптоматична хипонатриемия. Необходимо е клинично и биологично проследяване.</w:t>
      </w:r>
    </w:p>
    <w:p w14:paraId="7BF1E252" w14:textId="77777777" w:rsidR="00935BA2" w:rsidRPr="00935BA2" w:rsidRDefault="00935BA2" w:rsidP="00935BA2">
      <w:pPr>
        <w:spacing w:line="240" w:lineRule="auto"/>
        <w:rPr>
          <w:rFonts w:eastAsia="Times New Roman" w:cs="Arial"/>
          <w:i/>
          <w:iCs/>
          <w:color w:val="000000"/>
          <w:lang w:eastAsia="bg-BG"/>
        </w:rPr>
      </w:pPr>
    </w:p>
    <w:p w14:paraId="113C526A" w14:textId="22499550"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Йодно-контрастни вещества</w:t>
      </w:r>
    </w:p>
    <w:p w14:paraId="52326707"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В случай на диуретик-индуцирана дехидратация, има повишен риск от остра бъбречна недостатъчност, особено с високи дози на йодни продукти.</w:t>
      </w:r>
    </w:p>
    <w:p w14:paraId="72A74C0F"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Пациентите трябва да бъдат рехидратирани преди приемът.</w:t>
      </w:r>
    </w:p>
    <w:p w14:paraId="33F79BE3" w14:textId="77777777" w:rsidR="00935BA2" w:rsidRPr="00935BA2" w:rsidRDefault="00935BA2" w:rsidP="00935BA2">
      <w:pPr>
        <w:spacing w:line="240" w:lineRule="auto"/>
        <w:rPr>
          <w:rFonts w:eastAsia="Times New Roman" w:cs="Arial"/>
          <w:i/>
          <w:iCs/>
          <w:color w:val="000000"/>
          <w:lang w:eastAsia="bg-BG"/>
        </w:rPr>
      </w:pPr>
    </w:p>
    <w:p w14:paraId="171DD775" w14:textId="09844FD7"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lang w:eastAsia="bg-BG"/>
        </w:rPr>
        <w:t>Амфотерицин В (парентерален), кортикостероиди, АСТН, стимулиращи лаксативи и глициризин (налично в сладник)</w:t>
      </w:r>
    </w:p>
    <w:p w14:paraId="1FFBC928" w14:textId="6EDF6EA8" w:rsidR="00935BA2" w:rsidRPr="00935BA2" w:rsidRDefault="00935BA2" w:rsidP="00935BA2">
      <w:pPr>
        <w:spacing w:line="240" w:lineRule="auto"/>
        <w:rPr>
          <w:rFonts w:eastAsia="Times New Roman" w:cs="Arial"/>
          <w:lang w:eastAsia="bg-BG"/>
        </w:rPr>
      </w:pPr>
      <w:r w:rsidRPr="00935BA2">
        <w:rPr>
          <w:rFonts w:eastAsia="Times New Roman" w:cs="Arial"/>
          <w:color w:val="000000"/>
          <w:lang w:eastAsia="bg-BG"/>
        </w:rPr>
        <w:lastRenderedPageBreak/>
        <w:t>Хидрохлоротиазид може да засили електролитния дисбаланс, особено хипокалиемията.</w:t>
      </w:r>
    </w:p>
    <w:p w14:paraId="766D7A50" w14:textId="7B920E89" w:rsidR="00935BA2" w:rsidRPr="0091385D" w:rsidRDefault="00935BA2"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7AD981F2" w14:textId="77777777" w:rsidR="00935BA2" w:rsidRPr="00F43F54" w:rsidRDefault="00935BA2" w:rsidP="00F43F54">
      <w:pPr>
        <w:pStyle w:val="Heading3"/>
        <w:rPr>
          <w:rFonts w:eastAsia="Times New Roman"/>
          <w:u w:val="single"/>
          <w:lang w:eastAsia="bg-BG"/>
        </w:rPr>
      </w:pPr>
      <w:r w:rsidRPr="00F43F54">
        <w:rPr>
          <w:rFonts w:eastAsia="Times New Roman"/>
          <w:u w:val="single"/>
          <w:lang w:eastAsia="bg-BG"/>
        </w:rPr>
        <w:t>Бременност</w:t>
      </w:r>
    </w:p>
    <w:p w14:paraId="466E8510" w14:textId="77777777" w:rsidR="00935BA2" w:rsidRPr="00935BA2" w:rsidRDefault="00935BA2" w:rsidP="00935BA2">
      <w:pPr>
        <w:spacing w:line="240" w:lineRule="auto"/>
        <w:rPr>
          <w:rFonts w:eastAsia="Times New Roman" w:cs="Arial"/>
          <w:i/>
          <w:iCs/>
          <w:color w:val="000000"/>
          <w:u w:val="single"/>
          <w:lang w:eastAsia="bg-BG"/>
        </w:rPr>
      </w:pPr>
    </w:p>
    <w:p w14:paraId="055B2C96" w14:textId="653F3F5B" w:rsidR="00935BA2" w:rsidRPr="00935BA2" w:rsidRDefault="00935BA2" w:rsidP="00935BA2">
      <w:pPr>
        <w:spacing w:line="240" w:lineRule="auto"/>
        <w:rPr>
          <w:rFonts w:eastAsia="Times New Roman" w:cs="Arial"/>
          <w:sz w:val="24"/>
          <w:szCs w:val="24"/>
          <w:lang w:eastAsia="bg-BG"/>
        </w:rPr>
      </w:pPr>
      <w:r w:rsidRPr="00935BA2">
        <w:rPr>
          <w:rFonts w:eastAsia="Times New Roman" w:cs="Arial"/>
          <w:i/>
          <w:iCs/>
          <w:color w:val="000000"/>
          <w:u w:val="single"/>
          <w:lang w:eastAsia="bg-BG"/>
        </w:rPr>
        <w:t xml:space="preserve">Ангитензин II рецепторни антагонисти </w:t>
      </w:r>
      <w:r w:rsidRPr="00935BA2">
        <w:rPr>
          <w:rFonts w:eastAsia="Times New Roman" w:cs="Arial"/>
          <w:i/>
          <w:iCs/>
          <w:color w:val="000000"/>
          <w:u w:val="single"/>
          <w:lang w:val="en-US"/>
        </w:rPr>
        <w:t>(AIIRA):</w:t>
      </w:r>
    </w:p>
    <w:p w14:paraId="15CA19C9" w14:textId="77777777" w:rsidR="00935BA2" w:rsidRPr="00935BA2" w:rsidRDefault="00935BA2" w:rsidP="00935BA2">
      <w:pPr>
        <w:spacing w:line="240" w:lineRule="auto"/>
        <w:rPr>
          <w:rFonts w:eastAsia="Times New Roman" w:cs="Arial"/>
          <w:sz w:val="24"/>
          <w:szCs w:val="24"/>
          <w:lang w:eastAsia="bg-BG"/>
        </w:rPr>
      </w:pPr>
      <w:r w:rsidRPr="00935BA2">
        <w:rPr>
          <w:rFonts w:eastAsia="Times New Roman" w:cs="Arial"/>
          <w:color w:val="000000"/>
          <w:lang w:eastAsia="bg-BG"/>
        </w:rPr>
        <w:t xml:space="preserve">Използването на </w:t>
      </w:r>
      <w:r w:rsidRPr="00935BA2">
        <w:rPr>
          <w:rFonts w:eastAsia="Times New Roman" w:cs="Arial"/>
          <w:color w:val="000000"/>
          <w:lang w:val="en-US"/>
        </w:rPr>
        <w:t xml:space="preserve">AIIRA </w:t>
      </w:r>
      <w:r w:rsidRPr="00935BA2">
        <w:rPr>
          <w:rFonts w:eastAsia="Times New Roman" w:cs="Arial"/>
          <w:color w:val="000000"/>
          <w:lang w:eastAsia="bg-BG"/>
        </w:rPr>
        <w:t xml:space="preserve">не се препоръчва през първия триместър на бременността (вж. точка 4.4). Използването на </w:t>
      </w:r>
      <w:r w:rsidRPr="00935BA2">
        <w:rPr>
          <w:rFonts w:eastAsia="Times New Roman" w:cs="Arial"/>
          <w:color w:val="000000"/>
          <w:lang w:val="en-US"/>
        </w:rPr>
        <w:t xml:space="preserve">AIIRA </w:t>
      </w:r>
      <w:r w:rsidRPr="00935BA2">
        <w:rPr>
          <w:rFonts w:eastAsia="Times New Roman" w:cs="Arial"/>
          <w:color w:val="000000"/>
          <w:lang w:eastAsia="bg-BG"/>
        </w:rPr>
        <w:t xml:space="preserve">е противопоказано през 2-ри и 3-ти триместър на бременността </w:t>
      </w:r>
      <w:r w:rsidRPr="00935BA2">
        <w:rPr>
          <w:rFonts w:eastAsia="Times New Roman" w:cs="Arial"/>
          <w:color w:val="000000"/>
          <w:u w:val="single"/>
          <w:lang w:eastAsia="bg-BG"/>
        </w:rPr>
        <w:t>(вж. точки 4.3 и 4.4).</w:t>
      </w:r>
    </w:p>
    <w:p w14:paraId="2300801B" w14:textId="77777777" w:rsidR="00935BA2" w:rsidRPr="00935BA2" w:rsidRDefault="00935BA2" w:rsidP="00935BA2">
      <w:pPr>
        <w:spacing w:line="240" w:lineRule="auto"/>
        <w:rPr>
          <w:rFonts w:eastAsia="Times New Roman" w:cs="Arial"/>
          <w:color w:val="000000"/>
          <w:lang w:eastAsia="bg-BG"/>
        </w:rPr>
      </w:pPr>
    </w:p>
    <w:p w14:paraId="76EC4047" w14:textId="77777777" w:rsidR="00F43F54" w:rsidRPr="00F43F54" w:rsidRDefault="00935BA2" w:rsidP="00F43F54">
      <w:pPr>
        <w:rPr>
          <w:rFonts w:eastAsia="Times New Roman" w:cs="Arial"/>
          <w:sz w:val="24"/>
          <w:szCs w:val="24"/>
          <w:lang w:eastAsia="bg-BG"/>
        </w:rPr>
      </w:pPr>
      <w:r w:rsidRPr="00935BA2">
        <w:rPr>
          <w:rFonts w:eastAsia="Times New Roman" w:cs="Arial"/>
          <w:color w:val="000000"/>
          <w:lang w:eastAsia="bg-BG"/>
        </w:rPr>
        <w:t xml:space="preserve">Епидемиологичните доказателства за риск от тератогенност след лечение с </w:t>
      </w:r>
      <w:r w:rsidRPr="00935BA2">
        <w:rPr>
          <w:rFonts w:eastAsia="Times New Roman" w:cs="Arial"/>
          <w:color w:val="000000"/>
          <w:lang w:val="en-US"/>
        </w:rPr>
        <w:t xml:space="preserve">ACE </w:t>
      </w:r>
      <w:r w:rsidRPr="00935BA2">
        <w:rPr>
          <w:rFonts w:eastAsia="Times New Roman" w:cs="Arial"/>
          <w:color w:val="000000"/>
          <w:lang w:eastAsia="bg-BG"/>
        </w:rPr>
        <w:t>инхибитори през първия триместър на бременността не са убедителни; малко увеличение на риска, обаче не</w:t>
      </w:r>
      <w:r w:rsidR="00F43F54">
        <w:rPr>
          <w:rFonts w:eastAsia="Times New Roman" w:cs="Arial"/>
          <w:sz w:val="24"/>
          <w:szCs w:val="24"/>
          <w:lang w:eastAsia="bg-BG"/>
        </w:rPr>
        <w:t xml:space="preserve"> </w:t>
      </w:r>
      <w:r w:rsidRPr="00935BA2">
        <w:rPr>
          <w:rFonts w:eastAsia="Times New Roman" w:cs="Arial"/>
          <w:color w:val="000000"/>
          <w:lang w:eastAsia="bg-BG"/>
        </w:rPr>
        <w:t>може да се изключи. Макар, че няма контролирани епидемиологични данни за риска при</w:t>
      </w:r>
      <w:r w:rsidR="00F43F54">
        <w:rPr>
          <w:rFonts w:eastAsia="Times New Roman" w:cs="Arial"/>
          <w:sz w:val="24"/>
          <w:szCs w:val="24"/>
          <w:lang w:eastAsia="bg-BG"/>
        </w:rPr>
        <w:t xml:space="preserve"> </w:t>
      </w:r>
      <w:r w:rsidRPr="00935BA2">
        <w:rPr>
          <w:rFonts w:eastAsia="Times New Roman" w:cs="Arial"/>
          <w:color w:val="000000"/>
          <w:lang w:eastAsia="bg-BG"/>
        </w:rPr>
        <w:t xml:space="preserve">ангиотензин II рецепторни инхибитори </w:t>
      </w:r>
      <w:r w:rsidRPr="00935BA2">
        <w:rPr>
          <w:rFonts w:eastAsia="Times New Roman" w:cs="Arial"/>
          <w:color w:val="000000"/>
          <w:lang w:val="en-US"/>
        </w:rPr>
        <w:t xml:space="preserve">(AIIRA), </w:t>
      </w:r>
      <w:r w:rsidRPr="00935BA2">
        <w:rPr>
          <w:rFonts w:eastAsia="Times New Roman" w:cs="Arial"/>
          <w:color w:val="000000"/>
          <w:lang w:eastAsia="bg-BG"/>
        </w:rPr>
        <w:t xml:space="preserve">подобни рискове биха могли да съществуват при този клас лекарства. Освен в случаите, когато непрекъснато лечение </w:t>
      </w:r>
      <w:r w:rsidRPr="00935BA2">
        <w:rPr>
          <w:rFonts w:eastAsia="Times New Roman" w:cs="Arial"/>
          <w:color w:val="000000"/>
          <w:lang w:val="en-US"/>
        </w:rPr>
        <w:t xml:space="preserve">ARB </w:t>
      </w:r>
      <w:r w:rsidRPr="00935BA2">
        <w:rPr>
          <w:rFonts w:eastAsia="Times New Roman" w:cs="Arial"/>
          <w:color w:val="000000"/>
          <w:lang w:eastAsia="bg-BG"/>
        </w:rPr>
        <w:t>се смята за</w:t>
      </w:r>
      <w:r w:rsidRPr="00935BA2">
        <w:rPr>
          <w:rFonts w:eastAsia="Times New Roman" w:cs="Arial"/>
          <w:i/>
          <w:iCs/>
          <w:color w:val="000000"/>
          <w:lang w:eastAsia="bg-BG"/>
        </w:rPr>
        <w:t xml:space="preserve"> </w:t>
      </w:r>
      <w:r w:rsidRPr="00935BA2">
        <w:rPr>
          <w:rFonts w:eastAsia="Times New Roman" w:cs="Arial"/>
          <w:color w:val="000000"/>
          <w:lang w:eastAsia="bg-BG"/>
        </w:rPr>
        <w:t>крайно необходимо, планиращи бременност пациентки трябва да преминат на алтернативно</w:t>
      </w:r>
      <w:r w:rsidR="00F43F54">
        <w:rPr>
          <w:rFonts w:eastAsia="Times New Roman" w:cs="Arial"/>
          <w:color w:val="000000"/>
          <w:lang w:eastAsia="bg-BG"/>
        </w:rPr>
        <w:t xml:space="preserve"> </w:t>
      </w:r>
      <w:r w:rsidR="00F43F54" w:rsidRPr="00F43F54">
        <w:rPr>
          <w:rFonts w:eastAsia="Times New Roman" w:cs="Arial"/>
          <w:color w:val="000000"/>
          <w:lang w:eastAsia="bg-BG"/>
        </w:rPr>
        <w:t xml:space="preserve">антихипертензивно лечение, с установен профил на безопасност за използване при бременност. Когато се диагностицира бременност, лечението с </w:t>
      </w:r>
      <w:r w:rsidR="00F43F54" w:rsidRPr="00F43F54">
        <w:rPr>
          <w:rFonts w:eastAsia="Times New Roman" w:cs="Arial"/>
          <w:color w:val="000000"/>
          <w:lang w:val="en-US"/>
        </w:rPr>
        <w:t xml:space="preserve">AIIRA </w:t>
      </w:r>
      <w:r w:rsidR="00F43F54" w:rsidRPr="00F43F54">
        <w:rPr>
          <w:rFonts w:eastAsia="Times New Roman" w:cs="Arial"/>
          <w:color w:val="000000"/>
          <w:lang w:eastAsia="bg-BG"/>
        </w:rPr>
        <w:t>трябва да бъде преустановено незабавно и, ако е уместно, да се започне алтернативно лечение.</w:t>
      </w:r>
    </w:p>
    <w:p w14:paraId="20DCDAF2" w14:textId="77777777" w:rsidR="00F43F54" w:rsidRPr="00F43F54" w:rsidRDefault="00F43F54" w:rsidP="00F43F54">
      <w:pPr>
        <w:spacing w:line="240" w:lineRule="auto"/>
        <w:rPr>
          <w:rFonts w:eastAsia="Times New Roman" w:cs="Arial"/>
          <w:color w:val="000000"/>
          <w:lang w:eastAsia="bg-BG"/>
        </w:rPr>
      </w:pPr>
    </w:p>
    <w:p w14:paraId="606AE4BE" w14:textId="2582AABD"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 xml:space="preserve">Известно е, че лечението с </w:t>
      </w:r>
      <w:r w:rsidRPr="00F43F54">
        <w:rPr>
          <w:rFonts w:eastAsia="Times New Roman" w:cs="Arial"/>
          <w:color w:val="000000"/>
          <w:lang w:val="en-US"/>
        </w:rPr>
        <w:t xml:space="preserve">AIIRA </w:t>
      </w:r>
      <w:r w:rsidRPr="00F43F54">
        <w:rPr>
          <w:rFonts w:eastAsia="Times New Roman" w:cs="Arial"/>
          <w:color w:val="000000"/>
          <w:lang w:eastAsia="bg-BG"/>
        </w:rPr>
        <w:t>през втория и третия триместьр на бременността индуцира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03566C3A" w14:textId="77777777" w:rsidR="00F43F54" w:rsidRPr="00F43F54" w:rsidRDefault="00F43F54" w:rsidP="00F43F54">
      <w:pPr>
        <w:spacing w:line="240" w:lineRule="auto"/>
        <w:rPr>
          <w:rFonts w:eastAsia="Times New Roman" w:cs="Arial"/>
          <w:color w:val="000000"/>
          <w:lang w:eastAsia="bg-BG"/>
        </w:rPr>
      </w:pPr>
    </w:p>
    <w:p w14:paraId="7FD63E16" w14:textId="670D467F"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 xml:space="preserve">Ако през втория триместьр на бременността се проведе лечение с </w:t>
      </w:r>
      <w:r w:rsidRPr="00F43F54">
        <w:rPr>
          <w:rFonts w:eastAsia="Times New Roman" w:cs="Arial"/>
          <w:color w:val="000000"/>
          <w:lang w:val="en-US"/>
        </w:rPr>
        <w:t xml:space="preserve">AIIRA, </w:t>
      </w:r>
      <w:r w:rsidRPr="00F43F54">
        <w:rPr>
          <w:rFonts w:eastAsia="Times New Roman" w:cs="Arial"/>
          <w:color w:val="000000"/>
          <w:lang w:eastAsia="bg-BG"/>
        </w:rPr>
        <w:t>се препоръчва ехографски контрол на бъбречната функция и черепа.</w:t>
      </w:r>
    </w:p>
    <w:p w14:paraId="431659E9" w14:textId="77777777" w:rsidR="00F43F54" w:rsidRPr="00F43F54" w:rsidRDefault="00F43F54" w:rsidP="00F43F54">
      <w:pPr>
        <w:spacing w:line="240" w:lineRule="auto"/>
        <w:rPr>
          <w:rFonts w:eastAsia="Times New Roman" w:cs="Arial"/>
          <w:color w:val="000000"/>
          <w:lang w:eastAsia="bg-BG"/>
        </w:rPr>
      </w:pPr>
    </w:p>
    <w:p w14:paraId="5918D5DD" w14:textId="53C837ED"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 xml:space="preserve">Новородени, чиито майки са се лекували с </w:t>
      </w:r>
      <w:r w:rsidRPr="00F43F54">
        <w:rPr>
          <w:rFonts w:eastAsia="Times New Roman" w:cs="Arial"/>
          <w:color w:val="000000"/>
          <w:lang w:val="en-US"/>
        </w:rPr>
        <w:t xml:space="preserve">AIIRA, </w:t>
      </w:r>
      <w:r w:rsidRPr="00F43F54">
        <w:rPr>
          <w:rFonts w:eastAsia="Times New Roman" w:cs="Arial"/>
          <w:color w:val="000000"/>
          <w:lang w:eastAsia="bg-BG"/>
        </w:rPr>
        <w:t>би следвало да са под непрекъснат контрол за хипотония (вж. също точки 4.3 и 4.4).</w:t>
      </w:r>
    </w:p>
    <w:p w14:paraId="0A73A10E" w14:textId="77777777" w:rsidR="00F43F54" w:rsidRPr="00F43F54" w:rsidRDefault="00F43F54" w:rsidP="00F43F54">
      <w:pPr>
        <w:spacing w:line="240" w:lineRule="auto"/>
        <w:rPr>
          <w:rFonts w:eastAsia="Times New Roman" w:cs="Arial"/>
          <w:i/>
          <w:iCs/>
          <w:color w:val="000000"/>
          <w:lang w:eastAsia="bg-BG"/>
        </w:rPr>
      </w:pPr>
    </w:p>
    <w:p w14:paraId="28D17380" w14:textId="754F9E2A" w:rsidR="00F43F54" w:rsidRPr="00F43F54" w:rsidRDefault="00F43F54" w:rsidP="00F43F54">
      <w:pPr>
        <w:spacing w:line="240" w:lineRule="auto"/>
        <w:rPr>
          <w:rFonts w:eastAsia="Times New Roman" w:cs="Arial"/>
          <w:sz w:val="24"/>
          <w:szCs w:val="24"/>
          <w:lang w:eastAsia="bg-BG"/>
        </w:rPr>
      </w:pPr>
      <w:r w:rsidRPr="00F43F54">
        <w:rPr>
          <w:rFonts w:eastAsia="Times New Roman" w:cs="Arial"/>
          <w:i/>
          <w:iCs/>
          <w:color w:val="000000"/>
          <w:lang w:eastAsia="bg-BG"/>
        </w:rPr>
        <w:t>Хидрохлортиазид:</w:t>
      </w:r>
    </w:p>
    <w:p w14:paraId="0648C4C7" w14:textId="7803513E"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Има ограничен опит с използването на хидрохлоротиазид по време на бременност, особено през първия триместър. Проучванията при животни са недостатъчни. Хидрохлортиазид преминава през плацентата. Въз основа на фармакологичния механизъм на действие на хидрохлортиазид употребата му по време на втория и третия триместьр може да компрометира фето-плацентарната перфузия и може да доведе до неонатални ефекти като жълтеница, нарушения на електролитния баланс и тромбоцитопения.Хидрохлортиазид не трябва да се използва при гестационен оток, гестационна хипертония или прееклампсия, поради риск от намаляване на плазмения обем и плацентата хипоперфузия, без да има благотворен ефект върху хода на болестта.</w:t>
      </w:r>
    </w:p>
    <w:p w14:paraId="30B1C083" w14:textId="77777777"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Хидрохлортиазид не трябва да се използва при есенциална хипертония при бременни жени, освен в редките случаи, когато друго лечение не може да бъде използвано.</w:t>
      </w:r>
    </w:p>
    <w:p w14:paraId="537C6A77" w14:textId="77777777" w:rsidR="00F43F54" w:rsidRPr="00F43F54" w:rsidRDefault="00F43F54" w:rsidP="00F43F54">
      <w:pPr>
        <w:spacing w:line="240" w:lineRule="auto"/>
        <w:rPr>
          <w:rFonts w:eastAsia="Times New Roman" w:cs="Arial"/>
          <w:color w:val="000000"/>
          <w:u w:val="single"/>
          <w:lang w:eastAsia="bg-BG"/>
        </w:rPr>
      </w:pPr>
    </w:p>
    <w:p w14:paraId="2E33409A" w14:textId="10F649DD" w:rsidR="00F43F54" w:rsidRPr="00F43F54" w:rsidRDefault="00F43F54" w:rsidP="00F43F54">
      <w:pPr>
        <w:pStyle w:val="Heading3"/>
        <w:rPr>
          <w:rFonts w:eastAsia="Times New Roman"/>
          <w:u w:val="single"/>
          <w:lang w:eastAsia="bg-BG"/>
        </w:rPr>
      </w:pPr>
      <w:r w:rsidRPr="00F43F54">
        <w:rPr>
          <w:rFonts w:eastAsia="Times New Roman"/>
          <w:u w:val="single"/>
          <w:lang w:eastAsia="bg-BG"/>
        </w:rPr>
        <w:t>Кърмене:</w:t>
      </w:r>
    </w:p>
    <w:p w14:paraId="26ACF1E4" w14:textId="77777777" w:rsidR="00F43F54" w:rsidRPr="00F43F54" w:rsidRDefault="00F43F54" w:rsidP="00F43F54">
      <w:pPr>
        <w:spacing w:line="240" w:lineRule="auto"/>
        <w:rPr>
          <w:rFonts w:eastAsia="Times New Roman" w:cs="Arial"/>
          <w:i/>
          <w:iCs/>
          <w:color w:val="000000"/>
          <w:lang w:eastAsia="bg-BG"/>
        </w:rPr>
      </w:pPr>
    </w:p>
    <w:p w14:paraId="7F4213B5" w14:textId="4B841F2D" w:rsidR="00F43F54" w:rsidRPr="00F43F54" w:rsidRDefault="00F43F54" w:rsidP="00F43F54">
      <w:pPr>
        <w:spacing w:line="240" w:lineRule="auto"/>
        <w:rPr>
          <w:rFonts w:eastAsia="Times New Roman" w:cs="Arial"/>
          <w:sz w:val="24"/>
          <w:szCs w:val="24"/>
          <w:lang w:eastAsia="bg-BG"/>
        </w:rPr>
      </w:pPr>
      <w:r w:rsidRPr="00F43F54">
        <w:rPr>
          <w:rFonts w:eastAsia="Times New Roman" w:cs="Arial"/>
          <w:i/>
          <w:iCs/>
          <w:color w:val="000000"/>
          <w:lang w:eastAsia="bg-BG"/>
        </w:rPr>
        <w:t xml:space="preserve">Ангиотензин II рецепторни антагонисти </w:t>
      </w:r>
      <w:r w:rsidRPr="00F43F54">
        <w:rPr>
          <w:rFonts w:eastAsia="Times New Roman" w:cs="Arial"/>
          <w:i/>
          <w:iCs/>
          <w:color w:val="000000"/>
          <w:lang w:val="en-US"/>
        </w:rPr>
        <w:t>(AIIRA):</w:t>
      </w:r>
    </w:p>
    <w:p w14:paraId="24FAF6B3" w14:textId="77777777"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lastRenderedPageBreak/>
        <w:t xml:space="preserve">Тъй като няма информация по отношение на използването на Лориста </w:t>
      </w:r>
      <w:r w:rsidRPr="00F43F54">
        <w:rPr>
          <w:rFonts w:eastAsia="Times New Roman" w:cs="Arial"/>
          <w:color w:val="000000"/>
          <w:lang w:val="en-US"/>
        </w:rPr>
        <w:t xml:space="preserve">HL </w:t>
      </w:r>
      <w:r w:rsidRPr="00F43F54">
        <w:rPr>
          <w:rFonts w:eastAsia="Times New Roman" w:cs="Arial"/>
          <w:color w:val="000000"/>
          <w:lang w:eastAsia="bg-BG"/>
        </w:rPr>
        <w:t xml:space="preserve">по време на кърмене. Употребата на Лориста </w:t>
      </w:r>
      <w:r w:rsidRPr="00F43F54">
        <w:rPr>
          <w:rFonts w:eastAsia="Times New Roman" w:cs="Arial"/>
          <w:color w:val="000000"/>
          <w:lang w:val="en-US"/>
        </w:rPr>
        <w:t xml:space="preserve">HL </w:t>
      </w:r>
      <w:r w:rsidRPr="00F43F54">
        <w:rPr>
          <w:rFonts w:eastAsia="Times New Roman" w:cs="Arial"/>
          <w:color w:val="000000"/>
          <w:lang w:eastAsia="bg-BG"/>
        </w:rPr>
        <w:t>по време на кърмене не се препоръчва, асе препоръчва да се използва алтернативно лечение с по-добре установен профил на безопасност по време на кърмене, особено при кърмене на новородено или недоносено бебе.</w:t>
      </w:r>
    </w:p>
    <w:p w14:paraId="4F866A6E" w14:textId="77777777" w:rsidR="00F43F54" w:rsidRPr="00F43F54" w:rsidRDefault="00F43F54" w:rsidP="00F43F54">
      <w:pPr>
        <w:spacing w:line="240" w:lineRule="auto"/>
        <w:rPr>
          <w:rFonts w:eastAsia="Times New Roman" w:cs="Arial"/>
          <w:i/>
          <w:iCs/>
          <w:color w:val="000000"/>
          <w:lang w:eastAsia="bg-BG"/>
        </w:rPr>
      </w:pPr>
    </w:p>
    <w:p w14:paraId="4AD6F2E4" w14:textId="53C88AEC" w:rsidR="00F43F54" w:rsidRPr="00F43F54" w:rsidRDefault="00F43F54" w:rsidP="00F43F54">
      <w:pPr>
        <w:spacing w:line="240" w:lineRule="auto"/>
        <w:rPr>
          <w:rFonts w:eastAsia="Times New Roman" w:cs="Arial"/>
          <w:sz w:val="24"/>
          <w:szCs w:val="24"/>
          <w:lang w:eastAsia="bg-BG"/>
        </w:rPr>
      </w:pPr>
      <w:r w:rsidRPr="00F43F54">
        <w:rPr>
          <w:rFonts w:eastAsia="Times New Roman" w:cs="Arial"/>
          <w:i/>
          <w:iCs/>
          <w:color w:val="000000"/>
          <w:lang w:eastAsia="bg-BG"/>
        </w:rPr>
        <w:t>Хидрохлоротиазид</w:t>
      </w:r>
    </w:p>
    <w:p w14:paraId="776662C5" w14:textId="3330E1B5" w:rsidR="0091385D"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 xml:space="preserve">Хидрохлоротиазид се екскретира в кърмата в малки количества. Тиазидите, които във високи дози причиняват интензивна диуреза, могат да потиснат отделянето на кърма. Не се препоръчва употребата на Лориста </w:t>
      </w:r>
      <w:r w:rsidRPr="00F43F54">
        <w:rPr>
          <w:rFonts w:eastAsia="Times New Roman" w:cs="Arial"/>
          <w:color w:val="000000"/>
          <w:lang w:val="en-US"/>
        </w:rPr>
        <w:t xml:space="preserve">HL </w:t>
      </w:r>
      <w:r w:rsidRPr="00F43F54">
        <w:rPr>
          <w:rFonts w:eastAsia="Times New Roman" w:cs="Arial"/>
          <w:color w:val="000000"/>
          <w:lang w:eastAsia="bg-BG"/>
        </w:rPr>
        <w:t xml:space="preserve">по време на кърмене. В случай, че Лориста </w:t>
      </w:r>
      <w:r w:rsidRPr="00F43F54">
        <w:rPr>
          <w:rFonts w:eastAsia="Times New Roman" w:cs="Arial"/>
          <w:color w:val="000000"/>
          <w:lang w:val="en-US"/>
        </w:rPr>
        <w:t xml:space="preserve">HL </w:t>
      </w:r>
      <w:r w:rsidRPr="00F43F54">
        <w:rPr>
          <w:rFonts w:eastAsia="Times New Roman" w:cs="Arial"/>
          <w:color w:val="000000"/>
          <w:lang w:eastAsia="bg-BG"/>
        </w:rPr>
        <w:t>се употребява по време на кърмене, дозите трябва да се поддържат възможно най-ниски.</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73D7979C" w:rsidR="0091385D" w:rsidRDefault="00F43F54" w:rsidP="0091385D">
      <w:r>
        <w:t>Не са провеждани изпитвания за реакциите върху способността за шофиране и работа с машини. Въпреки това трябва да се има предвид, че понякога може да възникне замайване и сънливост по време на антихипертензивно лечение, най-вече в началото на лечението или при повишаване на дозата.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3D6A0E6B" w14:textId="23935ACF"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Нежеланите реакции са изброени по-долу и се класифицират,</w:t>
      </w:r>
      <w:r>
        <w:rPr>
          <w:rFonts w:eastAsia="Times New Roman" w:cs="Arial"/>
          <w:color w:val="000000"/>
          <w:lang w:eastAsia="bg-BG"/>
        </w:rPr>
        <w:t xml:space="preserve"> когато е уместно, по системо - </w:t>
      </w:r>
      <w:r w:rsidRPr="00F43F54">
        <w:rPr>
          <w:rFonts w:eastAsia="Times New Roman" w:cs="Arial"/>
          <w:color w:val="000000"/>
          <w:lang w:eastAsia="bg-BG"/>
        </w:rPr>
        <w:t>органни класове и честота според следната конвенция:</w:t>
      </w:r>
    </w:p>
    <w:p w14:paraId="0B3FEABC" w14:textId="77777777" w:rsidR="00F43F54" w:rsidRPr="00F43F54" w:rsidRDefault="00F43F54" w:rsidP="00F43F54">
      <w:pPr>
        <w:spacing w:line="240" w:lineRule="auto"/>
        <w:rPr>
          <w:rFonts w:eastAsia="Times New Roman" w:cs="Arial"/>
          <w:color w:val="000000"/>
          <w:lang w:eastAsia="bg-BG"/>
        </w:rPr>
      </w:pPr>
    </w:p>
    <w:p w14:paraId="28B7E262" w14:textId="60B7EE5A"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Много чести: ≥ 1/10</w:t>
      </w:r>
    </w:p>
    <w:p w14:paraId="570508C4" w14:textId="31749654" w:rsidR="0091385D" w:rsidRPr="00F43F54" w:rsidRDefault="00F43F54" w:rsidP="00F43F54">
      <w:pPr>
        <w:rPr>
          <w:rFonts w:cs="Arial"/>
        </w:rPr>
      </w:pPr>
      <w:r w:rsidRPr="00F43F54">
        <w:rPr>
          <w:rFonts w:eastAsia="Times New Roman" w:cs="Arial"/>
          <w:color w:val="000000"/>
          <w:lang w:eastAsia="bg-BG"/>
        </w:rPr>
        <w:t>Чести: ≥ 1/100, &lt; 1/10</w:t>
      </w:r>
    </w:p>
    <w:p w14:paraId="1337099A" w14:textId="77777777"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Нечести: ≥1/1 000, ≤ 1/100</w:t>
      </w:r>
    </w:p>
    <w:p w14:paraId="417810EB" w14:textId="77777777"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Редки: ≥ 1/10 000, ≤ 1/1 000</w:t>
      </w:r>
    </w:p>
    <w:p w14:paraId="362DEC27" w14:textId="77777777"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Много редки: ≤ 1/10 000</w:t>
      </w:r>
    </w:p>
    <w:p w14:paraId="1AC95369" w14:textId="77777777"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С неизвестна честота: ≤  не може да се определи по наличните данни</w:t>
      </w:r>
    </w:p>
    <w:p w14:paraId="782D7D11" w14:textId="77777777" w:rsidR="00F43F54" w:rsidRPr="00F43F54" w:rsidRDefault="00F43F54" w:rsidP="00F43F54">
      <w:pPr>
        <w:spacing w:line="240" w:lineRule="auto"/>
        <w:rPr>
          <w:rFonts w:eastAsia="Times New Roman" w:cs="Arial"/>
          <w:color w:val="000000"/>
          <w:lang w:eastAsia="bg-BG"/>
        </w:rPr>
      </w:pPr>
    </w:p>
    <w:p w14:paraId="3891A24F" w14:textId="4A3F4456"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При клинични изследвания с лосартан калий и хидрохлоротиазид, не са наблюдавани нежелани реакции, които да са специфични за тази комбинация. Нежеланите реакции са били ограничени до тези, които преди са били наблюдавани за лосартан калий и/или хидрохлоротиазид.</w:t>
      </w:r>
    </w:p>
    <w:p w14:paraId="71AC0604" w14:textId="77777777" w:rsidR="00F43F54" w:rsidRPr="00F43F54" w:rsidRDefault="00F43F54" w:rsidP="00F43F54">
      <w:pPr>
        <w:spacing w:line="240" w:lineRule="auto"/>
        <w:rPr>
          <w:rFonts w:eastAsia="Times New Roman" w:cs="Arial"/>
          <w:color w:val="000000"/>
          <w:lang w:eastAsia="bg-BG"/>
        </w:rPr>
      </w:pPr>
    </w:p>
    <w:p w14:paraId="460C8F42" w14:textId="0423EF9D"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t>В контролирани клинични изпитвания за есенциална хипертония, световъртеж е единствената съобщена нежелана реакция като лекарствено-свързана, която възниква с честота по-голяма от плацебо при 1 % или повече от пациентите, лекувани с лосартан и хидрохлоротиазид.</w:t>
      </w:r>
    </w:p>
    <w:p w14:paraId="2C2082D0" w14:textId="77777777" w:rsidR="00F43F54" w:rsidRPr="00F43F54" w:rsidRDefault="00F43F54" w:rsidP="00F43F54">
      <w:pPr>
        <w:rPr>
          <w:rFonts w:eastAsia="Times New Roman" w:cs="Arial"/>
          <w:color w:val="000000"/>
          <w:lang w:eastAsia="bg-BG"/>
        </w:rPr>
      </w:pPr>
    </w:p>
    <w:p w14:paraId="24FCFB61" w14:textId="6F6FB931" w:rsidR="00F43F54" w:rsidRPr="00F43F54" w:rsidRDefault="00F43F54" w:rsidP="00F43F54">
      <w:pPr>
        <w:rPr>
          <w:rFonts w:cs="Arial"/>
        </w:rPr>
      </w:pPr>
      <w:r w:rsidRPr="00F43F54">
        <w:rPr>
          <w:rFonts w:eastAsia="Times New Roman" w:cs="Arial"/>
          <w:color w:val="000000"/>
          <w:lang w:eastAsia="bg-BG"/>
        </w:rPr>
        <w:t xml:space="preserve">Следните допълнителни нежелани лекарствени реакции са съобщавани след пускане на </w:t>
      </w:r>
      <w:r w:rsidRPr="00F43F54">
        <w:rPr>
          <w:rFonts w:eastAsia="Times New Roman" w:cs="Arial"/>
          <w:color w:val="000000"/>
          <w:u w:val="single"/>
          <w:lang w:eastAsia="bg-BG"/>
        </w:rPr>
        <w:t>продукта на пазара:</w:t>
      </w:r>
    </w:p>
    <w:tbl>
      <w:tblPr>
        <w:tblStyle w:val="TableGrid"/>
        <w:tblW w:w="0" w:type="auto"/>
        <w:tblLook w:val="04A0" w:firstRow="1" w:lastRow="0" w:firstColumn="1" w:lastColumn="0" w:noHBand="0" w:noVBand="1"/>
      </w:tblPr>
      <w:tblGrid>
        <w:gridCol w:w="3166"/>
        <w:gridCol w:w="3167"/>
        <w:gridCol w:w="3167"/>
      </w:tblGrid>
      <w:tr w:rsidR="00F43F54" w14:paraId="3E30F781" w14:textId="77777777" w:rsidTr="00F43F54">
        <w:tc>
          <w:tcPr>
            <w:tcW w:w="3166" w:type="dxa"/>
          </w:tcPr>
          <w:p w14:paraId="3FD11367" w14:textId="7BF34C1C" w:rsidR="00F43F54" w:rsidRDefault="00F43F54" w:rsidP="00F43F54">
            <w:r>
              <w:rPr>
                <w:b/>
                <w:bCs/>
              </w:rPr>
              <w:t>Снстемно-органен клас</w:t>
            </w:r>
          </w:p>
        </w:tc>
        <w:tc>
          <w:tcPr>
            <w:tcW w:w="3167" w:type="dxa"/>
          </w:tcPr>
          <w:p w14:paraId="52E22CF6" w14:textId="3FBBD677" w:rsidR="00F43F54" w:rsidRDefault="00F43F54" w:rsidP="00F43F54">
            <w:r>
              <w:rPr>
                <w:b/>
                <w:bCs/>
              </w:rPr>
              <w:t>Нежелана реакция</w:t>
            </w:r>
          </w:p>
        </w:tc>
        <w:tc>
          <w:tcPr>
            <w:tcW w:w="3167" w:type="dxa"/>
          </w:tcPr>
          <w:p w14:paraId="49E3AB57" w14:textId="241F7CA8" w:rsidR="00F43F54" w:rsidRDefault="00F43F54" w:rsidP="00F43F54">
            <w:r>
              <w:rPr>
                <w:b/>
                <w:bCs/>
              </w:rPr>
              <w:t>Честота</w:t>
            </w:r>
          </w:p>
        </w:tc>
      </w:tr>
      <w:tr w:rsidR="00F43F54" w14:paraId="0DDB37C5" w14:textId="77777777" w:rsidTr="00F43F54">
        <w:tc>
          <w:tcPr>
            <w:tcW w:w="3166" w:type="dxa"/>
          </w:tcPr>
          <w:p w14:paraId="7793F3F7" w14:textId="66FE024F" w:rsidR="00F43F54" w:rsidRDefault="00F43F54" w:rsidP="00F43F54">
            <w:r>
              <w:t>Хепато-билиарни нарушения</w:t>
            </w:r>
          </w:p>
        </w:tc>
        <w:tc>
          <w:tcPr>
            <w:tcW w:w="3167" w:type="dxa"/>
          </w:tcPr>
          <w:p w14:paraId="02033E59" w14:textId="39AB8344" w:rsidR="00F43F54" w:rsidRDefault="00F43F54" w:rsidP="00F43F54">
            <w:r>
              <w:t>Хепатит</w:t>
            </w:r>
          </w:p>
        </w:tc>
        <w:tc>
          <w:tcPr>
            <w:tcW w:w="3167" w:type="dxa"/>
          </w:tcPr>
          <w:p w14:paraId="517B9A4C" w14:textId="03D79722" w:rsidR="00F43F54" w:rsidRDefault="00F43F54" w:rsidP="00F43F54">
            <w:r>
              <w:t>редки</w:t>
            </w:r>
          </w:p>
        </w:tc>
      </w:tr>
      <w:tr w:rsidR="00F43F54" w14:paraId="647EE0CB" w14:textId="77777777" w:rsidTr="00F43F54">
        <w:tc>
          <w:tcPr>
            <w:tcW w:w="3166" w:type="dxa"/>
          </w:tcPr>
          <w:p w14:paraId="2DF74919" w14:textId="00CD9526" w:rsidR="00F43F54" w:rsidRDefault="00F43F54" w:rsidP="00F43F54">
            <w:r>
              <w:t>Изследвания</w:t>
            </w:r>
          </w:p>
        </w:tc>
        <w:tc>
          <w:tcPr>
            <w:tcW w:w="3167" w:type="dxa"/>
          </w:tcPr>
          <w:p w14:paraId="02BC1755" w14:textId="69DF8335" w:rsidR="00F43F54" w:rsidRDefault="00F43F54" w:rsidP="00F43F54">
            <w:r>
              <w:t>Хиперкалиемия, повишен АЛАТ</w:t>
            </w:r>
          </w:p>
        </w:tc>
        <w:tc>
          <w:tcPr>
            <w:tcW w:w="3167" w:type="dxa"/>
          </w:tcPr>
          <w:p w14:paraId="04D7C3CA" w14:textId="3EB96F22" w:rsidR="00F43F54" w:rsidRDefault="00F43F54" w:rsidP="00F43F54">
            <w:r>
              <w:t>редки</w:t>
            </w:r>
          </w:p>
        </w:tc>
      </w:tr>
    </w:tbl>
    <w:p w14:paraId="68BA3F21" w14:textId="6AE9395A" w:rsidR="00F43F54" w:rsidRDefault="00F43F54" w:rsidP="0091385D"/>
    <w:p w14:paraId="7EC0305C" w14:textId="77777777"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lang w:eastAsia="bg-BG"/>
        </w:rPr>
        <w:lastRenderedPageBreak/>
        <w:t xml:space="preserve">Нежеланите реакции, наблюдавани при един от отделните компоненти, които могат да се проявят потенциално като нежелани реакции и при приложение на Лориста </w:t>
      </w:r>
      <w:r w:rsidRPr="00F43F54">
        <w:rPr>
          <w:rFonts w:eastAsia="Times New Roman" w:cs="Arial"/>
          <w:color w:val="000000"/>
          <w:lang w:val="en-US"/>
        </w:rPr>
        <w:t xml:space="preserve">HL </w:t>
      </w:r>
      <w:r w:rsidRPr="00F43F54">
        <w:rPr>
          <w:rFonts w:eastAsia="Times New Roman" w:cs="Arial"/>
          <w:color w:val="000000"/>
          <w:lang w:eastAsia="bg-BG"/>
        </w:rPr>
        <w:t>са следните:</w:t>
      </w:r>
    </w:p>
    <w:p w14:paraId="17064C12" w14:textId="77777777" w:rsidR="00F43F54" w:rsidRPr="00F43F54" w:rsidRDefault="00F43F54" w:rsidP="00F43F54">
      <w:pPr>
        <w:spacing w:line="240" w:lineRule="auto"/>
        <w:rPr>
          <w:rFonts w:eastAsia="Times New Roman" w:cs="Arial"/>
          <w:color w:val="000000"/>
          <w:u w:val="single"/>
          <w:lang w:eastAsia="bg-BG"/>
        </w:rPr>
      </w:pPr>
    </w:p>
    <w:p w14:paraId="2E0C302F" w14:textId="5BB3AD25" w:rsidR="00F43F54" w:rsidRPr="00F43F54" w:rsidRDefault="00F43F54" w:rsidP="00F43F54">
      <w:pPr>
        <w:spacing w:line="240" w:lineRule="auto"/>
        <w:rPr>
          <w:rFonts w:eastAsia="Times New Roman" w:cs="Arial"/>
          <w:sz w:val="24"/>
          <w:szCs w:val="24"/>
          <w:lang w:eastAsia="bg-BG"/>
        </w:rPr>
      </w:pPr>
      <w:r w:rsidRPr="00F43F54">
        <w:rPr>
          <w:rFonts w:eastAsia="Times New Roman" w:cs="Arial"/>
          <w:color w:val="000000"/>
          <w:u w:val="single"/>
          <w:lang w:eastAsia="bg-BG"/>
        </w:rPr>
        <w:t>Лосартан</w:t>
      </w:r>
    </w:p>
    <w:p w14:paraId="104A0EE9" w14:textId="24A1512B" w:rsidR="00F43F54" w:rsidRPr="00F43F54" w:rsidRDefault="00F43F54" w:rsidP="00F43F54">
      <w:pPr>
        <w:rPr>
          <w:rFonts w:cs="Arial"/>
        </w:rPr>
      </w:pPr>
      <w:r w:rsidRPr="00F43F54">
        <w:rPr>
          <w:rFonts w:eastAsia="Times New Roman" w:cs="Arial"/>
          <w:color w:val="000000"/>
          <w:u w:val="single"/>
          <w:lang w:eastAsia="bg-BG"/>
        </w:rPr>
        <w:t>Следните нежелани реакции са били съобщени за лосартан:</w:t>
      </w:r>
    </w:p>
    <w:p w14:paraId="75135D84" w14:textId="77777777" w:rsidR="00F43F54" w:rsidRDefault="00F43F54" w:rsidP="0091385D"/>
    <w:tbl>
      <w:tblPr>
        <w:tblStyle w:val="TableGrid"/>
        <w:tblW w:w="0" w:type="auto"/>
        <w:tblLook w:val="04A0" w:firstRow="1" w:lastRow="0" w:firstColumn="1" w:lastColumn="0" w:noHBand="0" w:noVBand="1"/>
      </w:tblPr>
      <w:tblGrid>
        <w:gridCol w:w="3166"/>
        <w:gridCol w:w="3167"/>
        <w:gridCol w:w="3167"/>
      </w:tblGrid>
      <w:tr w:rsidR="00F43F54" w14:paraId="2242B20F" w14:textId="77777777" w:rsidTr="00F43F54">
        <w:tc>
          <w:tcPr>
            <w:tcW w:w="3166" w:type="dxa"/>
          </w:tcPr>
          <w:p w14:paraId="6694E604" w14:textId="7A431B52" w:rsidR="00F43F54" w:rsidRDefault="00F43F54" w:rsidP="00F43F54">
            <w:r>
              <w:rPr>
                <w:b/>
                <w:bCs/>
              </w:rPr>
              <w:t>Системно-органен клас</w:t>
            </w:r>
          </w:p>
        </w:tc>
        <w:tc>
          <w:tcPr>
            <w:tcW w:w="3167" w:type="dxa"/>
          </w:tcPr>
          <w:p w14:paraId="79492208" w14:textId="19003997" w:rsidR="00F43F54" w:rsidRDefault="00F43F54" w:rsidP="00F43F54">
            <w:r>
              <w:rPr>
                <w:b/>
                <w:bCs/>
              </w:rPr>
              <w:t>Нежелани реакции</w:t>
            </w:r>
          </w:p>
        </w:tc>
        <w:tc>
          <w:tcPr>
            <w:tcW w:w="3167" w:type="dxa"/>
          </w:tcPr>
          <w:p w14:paraId="05AB9368" w14:textId="38AE1DA3" w:rsidR="00F43F54" w:rsidRDefault="00F43F54" w:rsidP="00F43F54">
            <w:r>
              <w:rPr>
                <w:b/>
                <w:bCs/>
              </w:rPr>
              <w:t>Честота</w:t>
            </w:r>
          </w:p>
        </w:tc>
      </w:tr>
      <w:tr w:rsidR="00F43F54" w14:paraId="6607D34E" w14:textId="77777777" w:rsidTr="00F43F54">
        <w:tc>
          <w:tcPr>
            <w:tcW w:w="3166" w:type="dxa"/>
            <w:vMerge w:val="restart"/>
          </w:tcPr>
          <w:p w14:paraId="73B5A28B" w14:textId="7B7C0402" w:rsidR="00F43F54" w:rsidRDefault="00F43F54" w:rsidP="00F43F54">
            <w:r>
              <w:t>Нарушения на кръвоносната и лимфна системи</w:t>
            </w:r>
          </w:p>
        </w:tc>
        <w:tc>
          <w:tcPr>
            <w:tcW w:w="3167" w:type="dxa"/>
          </w:tcPr>
          <w:p w14:paraId="1A299813" w14:textId="0AB3D082" w:rsidR="00F43F54" w:rsidRDefault="00F43F54" w:rsidP="00F43F54">
            <w:r>
              <w:t xml:space="preserve">Анемия, пурпура на </w:t>
            </w:r>
            <w:r>
              <w:rPr>
                <w:lang w:val="en-US"/>
              </w:rPr>
              <w:t xml:space="preserve">Henoch- </w:t>
            </w:r>
            <w:proofErr w:type="spellStart"/>
            <w:r>
              <w:rPr>
                <w:lang w:val="en-US"/>
              </w:rPr>
              <w:t>Schonlein</w:t>
            </w:r>
            <w:proofErr w:type="spellEnd"/>
            <w:r>
              <w:rPr>
                <w:lang w:val="en-US"/>
              </w:rPr>
              <w:t xml:space="preserve">, </w:t>
            </w:r>
            <w:r>
              <w:t>екхимоза, хемолиза</w:t>
            </w:r>
          </w:p>
        </w:tc>
        <w:tc>
          <w:tcPr>
            <w:tcW w:w="3167" w:type="dxa"/>
          </w:tcPr>
          <w:p w14:paraId="48BBC1D5" w14:textId="2F52B9FC" w:rsidR="00F43F54" w:rsidRDefault="00F43F54" w:rsidP="00F43F54">
            <w:r>
              <w:t>нечести</w:t>
            </w:r>
          </w:p>
        </w:tc>
      </w:tr>
      <w:tr w:rsidR="00F43F54" w14:paraId="14C11C10" w14:textId="77777777" w:rsidTr="00F43F54">
        <w:tc>
          <w:tcPr>
            <w:tcW w:w="3166" w:type="dxa"/>
            <w:vMerge/>
          </w:tcPr>
          <w:p w14:paraId="554249C0" w14:textId="77777777" w:rsidR="00F43F54" w:rsidRDefault="00F43F54" w:rsidP="00F43F54"/>
        </w:tc>
        <w:tc>
          <w:tcPr>
            <w:tcW w:w="3167" w:type="dxa"/>
          </w:tcPr>
          <w:p w14:paraId="6B143299" w14:textId="13B5B937" w:rsidR="00F43F54" w:rsidRDefault="00F43F54" w:rsidP="00F43F54">
            <w:r>
              <w:t>Тромбоцитопения</w:t>
            </w:r>
          </w:p>
        </w:tc>
        <w:tc>
          <w:tcPr>
            <w:tcW w:w="3167" w:type="dxa"/>
          </w:tcPr>
          <w:p w14:paraId="00E60E59" w14:textId="3D8F1D17" w:rsidR="00F43F54" w:rsidRDefault="00F43F54" w:rsidP="00F43F54">
            <w:r>
              <w:t>с неизвестна честота</w:t>
            </w:r>
          </w:p>
        </w:tc>
      </w:tr>
      <w:tr w:rsidR="00F43F54" w14:paraId="62FB6D8B" w14:textId="77777777" w:rsidTr="00F43F54">
        <w:tc>
          <w:tcPr>
            <w:tcW w:w="3166" w:type="dxa"/>
          </w:tcPr>
          <w:p w14:paraId="4F5E6057" w14:textId="5FB2BE3B" w:rsidR="00F43F54" w:rsidRDefault="00F43F54" w:rsidP="00F43F54">
            <w:r>
              <w:t>Сърдечни нарушения</w:t>
            </w:r>
          </w:p>
        </w:tc>
        <w:tc>
          <w:tcPr>
            <w:tcW w:w="3167" w:type="dxa"/>
          </w:tcPr>
          <w:p w14:paraId="72A2B65E" w14:textId="365BD858" w:rsidR="00F43F54" w:rsidRDefault="00F43F54" w:rsidP="00F43F54">
            <w:r>
              <w:t xml:space="preserve">Хипотония, ортостатична хипотония, болка в гръдната кост, ангина пекторис, </w:t>
            </w:r>
            <w:r>
              <w:rPr>
                <w:lang w:val="en-US"/>
              </w:rPr>
              <w:t xml:space="preserve">AV </w:t>
            </w:r>
            <w:r>
              <w:t>блок II степен, цереброваскуларно събитие, инфаркт на миокарда, палпитации, аритмии (предсърдно мъждене, синусова брадикардия, тахикардия, камерна тахикардия, камерно мъждене)</w:t>
            </w:r>
          </w:p>
        </w:tc>
        <w:tc>
          <w:tcPr>
            <w:tcW w:w="3167" w:type="dxa"/>
          </w:tcPr>
          <w:p w14:paraId="673B24B0" w14:textId="7C876B67" w:rsidR="00F43F54" w:rsidRDefault="00F43F54" w:rsidP="00F43F54">
            <w:r>
              <w:t>нечести</w:t>
            </w:r>
          </w:p>
        </w:tc>
      </w:tr>
      <w:tr w:rsidR="00F43F54" w14:paraId="4A8E939E" w14:textId="77777777" w:rsidTr="00F43F54">
        <w:tc>
          <w:tcPr>
            <w:tcW w:w="3166" w:type="dxa"/>
          </w:tcPr>
          <w:p w14:paraId="62A66621" w14:textId="6738C0DD" w:rsidR="00F43F54" w:rsidRDefault="00F43F54" w:rsidP="00F43F54">
            <w:r>
              <w:t>Нарушения на ухото и лабиринта</w:t>
            </w:r>
          </w:p>
        </w:tc>
        <w:tc>
          <w:tcPr>
            <w:tcW w:w="3167" w:type="dxa"/>
          </w:tcPr>
          <w:p w14:paraId="24A8EAC3" w14:textId="72303A89" w:rsidR="00F43F54" w:rsidRDefault="00F43F54" w:rsidP="00F43F54">
            <w:r>
              <w:t>Вертиго, шум в ушите</w:t>
            </w:r>
          </w:p>
        </w:tc>
        <w:tc>
          <w:tcPr>
            <w:tcW w:w="3167" w:type="dxa"/>
          </w:tcPr>
          <w:p w14:paraId="7F430E75" w14:textId="3F429E2B" w:rsidR="00F43F54" w:rsidRDefault="00F43F54" w:rsidP="00F43F54">
            <w:r>
              <w:t>нечести</w:t>
            </w:r>
          </w:p>
        </w:tc>
      </w:tr>
      <w:tr w:rsidR="00F43F54" w14:paraId="380E810F" w14:textId="77777777" w:rsidTr="00F43F54">
        <w:tc>
          <w:tcPr>
            <w:tcW w:w="3166" w:type="dxa"/>
          </w:tcPr>
          <w:p w14:paraId="5AC1EAA4" w14:textId="074BB98D" w:rsidR="00F43F54" w:rsidRDefault="00F43F54" w:rsidP="00F43F54">
            <w:r>
              <w:t>Нарушения на окото</w:t>
            </w:r>
          </w:p>
        </w:tc>
        <w:tc>
          <w:tcPr>
            <w:tcW w:w="3167" w:type="dxa"/>
          </w:tcPr>
          <w:p w14:paraId="5C53720A" w14:textId="79BAAFF5" w:rsidR="00F43F54" w:rsidRDefault="00F43F54" w:rsidP="00F43F54">
            <w:r>
              <w:t>Замъглено зрение, парене/смъдене в окото, конюнктивит, понижена зрителна острота</w:t>
            </w:r>
          </w:p>
        </w:tc>
        <w:tc>
          <w:tcPr>
            <w:tcW w:w="3167" w:type="dxa"/>
          </w:tcPr>
          <w:p w14:paraId="084AC905" w14:textId="09FD5021" w:rsidR="00F43F54" w:rsidRDefault="00F43F54" w:rsidP="00F43F54">
            <w:r>
              <w:t>нечести</w:t>
            </w:r>
          </w:p>
        </w:tc>
      </w:tr>
      <w:tr w:rsidR="00F43F54" w14:paraId="74ED1F19" w14:textId="77777777" w:rsidTr="00F43F54">
        <w:tc>
          <w:tcPr>
            <w:tcW w:w="3166" w:type="dxa"/>
            <w:vMerge w:val="restart"/>
          </w:tcPr>
          <w:p w14:paraId="1F79F7CA" w14:textId="7F1A12D6" w:rsidR="00F43F54" w:rsidRDefault="00F43F54" w:rsidP="00F43F54">
            <w:r>
              <w:t>Стомашно-чревни нарушения</w:t>
            </w:r>
          </w:p>
        </w:tc>
        <w:tc>
          <w:tcPr>
            <w:tcW w:w="3167" w:type="dxa"/>
          </w:tcPr>
          <w:p w14:paraId="2523C3F8" w14:textId="1D037CC2" w:rsidR="00F43F54" w:rsidRDefault="00F43F54" w:rsidP="00F43F54">
            <w:r>
              <w:t>Коремна болка, гадене, диария, диспепсия</w:t>
            </w:r>
          </w:p>
        </w:tc>
        <w:tc>
          <w:tcPr>
            <w:tcW w:w="3167" w:type="dxa"/>
          </w:tcPr>
          <w:p w14:paraId="6821D4C9" w14:textId="29D5E98E" w:rsidR="00F43F54" w:rsidRDefault="00F43F54" w:rsidP="00F43F54">
            <w:r>
              <w:t>чести</w:t>
            </w:r>
          </w:p>
        </w:tc>
      </w:tr>
      <w:tr w:rsidR="00F43F54" w14:paraId="5C7223D4" w14:textId="77777777" w:rsidTr="00F43F54">
        <w:tc>
          <w:tcPr>
            <w:tcW w:w="3166" w:type="dxa"/>
            <w:vMerge/>
          </w:tcPr>
          <w:p w14:paraId="47CEFA7E" w14:textId="77777777" w:rsidR="00F43F54" w:rsidRDefault="00F43F54" w:rsidP="00F43F54"/>
        </w:tc>
        <w:tc>
          <w:tcPr>
            <w:tcW w:w="3167" w:type="dxa"/>
          </w:tcPr>
          <w:p w14:paraId="6A6C89B7" w14:textId="0E6DC694" w:rsidR="00F43F54" w:rsidRDefault="00F43F54" w:rsidP="00F43F54">
            <w:r>
              <w:t>Запек, зъбна болка, сухота в устата, отделяне на газове (флатуленция), гастрит, повръщане, хроничен запек</w:t>
            </w:r>
          </w:p>
        </w:tc>
        <w:tc>
          <w:tcPr>
            <w:tcW w:w="3167" w:type="dxa"/>
          </w:tcPr>
          <w:p w14:paraId="60EC186E" w14:textId="2467D503" w:rsidR="00F43F54" w:rsidRDefault="00F43F54" w:rsidP="00F43F54">
            <w:r>
              <w:t>нечести</w:t>
            </w:r>
          </w:p>
        </w:tc>
      </w:tr>
      <w:tr w:rsidR="00F43F54" w14:paraId="71D6648B" w14:textId="77777777" w:rsidTr="00F43F54">
        <w:tc>
          <w:tcPr>
            <w:tcW w:w="3166" w:type="dxa"/>
            <w:vMerge/>
          </w:tcPr>
          <w:p w14:paraId="21D55D20" w14:textId="77777777" w:rsidR="00F43F54" w:rsidRDefault="00F43F54" w:rsidP="00F43F54"/>
        </w:tc>
        <w:tc>
          <w:tcPr>
            <w:tcW w:w="3167" w:type="dxa"/>
          </w:tcPr>
          <w:p w14:paraId="116257B0" w14:textId="3E63A53D" w:rsidR="00F43F54" w:rsidRDefault="00F43F54" w:rsidP="00F43F54">
            <w:r>
              <w:t>Панкреатит</w:t>
            </w:r>
          </w:p>
        </w:tc>
        <w:tc>
          <w:tcPr>
            <w:tcW w:w="3167" w:type="dxa"/>
          </w:tcPr>
          <w:p w14:paraId="04CAC439" w14:textId="0FC6E423" w:rsidR="00F43F54" w:rsidRDefault="00F43F54" w:rsidP="00F43F54">
            <w:r>
              <w:t>с неизвестна честота</w:t>
            </w:r>
          </w:p>
        </w:tc>
      </w:tr>
      <w:tr w:rsidR="00F43F54" w14:paraId="675F52E9" w14:textId="77777777" w:rsidTr="00F43F54">
        <w:tc>
          <w:tcPr>
            <w:tcW w:w="3166" w:type="dxa"/>
            <w:vMerge w:val="restart"/>
          </w:tcPr>
          <w:p w14:paraId="48DC1E48" w14:textId="01E9B1E2" w:rsidR="00F43F54" w:rsidRDefault="00F43F54" w:rsidP="00F43F54">
            <w:r>
              <w:t>Общи нарушения и ефекти на мястото на приложение</w:t>
            </w:r>
          </w:p>
        </w:tc>
        <w:tc>
          <w:tcPr>
            <w:tcW w:w="3167" w:type="dxa"/>
          </w:tcPr>
          <w:p w14:paraId="3F829EAD" w14:textId="2344AE71" w:rsidR="00F43F54" w:rsidRDefault="00F43F54" w:rsidP="00F43F54">
            <w:r>
              <w:t>Астения, умора, болка в гърдите</w:t>
            </w:r>
          </w:p>
        </w:tc>
        <w:tc>
          <w:tcPr>
            <w:tcW w:w="3167" w:type="dxa"/>
          </w:tcPr>
          <w:p w14:paraId="110E299E" w14:textId="1CE4E844" w:rsidR="00F43F54" w:rsidRDefault="00F43F54" w:rsidP="00F43F54">
            <w:r>
              <w:t>чести</w:t>
            </w:r>
          </w:p>
        </w:tc>
      </w:tr>
      <w:tr w:rsidR="00F43F54" w14:paraId="078BDCC8" w14:textId="77777777" w:rsidTr="003E41EF">
        <w:tc>
          <w:tcPr>
            <w:tcW w:w="3166" w:type="dxa"/>
            <w:vMerge/>
          </w:tcPr>
          <w:p w14:paraId="4EFC9D8B" w14:textId="77777777" w:rsidR="00F43F54" w:rsidRDefault="00F43F54" w:rsidP="00F43F54"/>
        </w:tc>
        <w:tc>
          <w:tcPr>
            <w:tcW w:w="3167" w:type="dxa"/>
            <w:vAlign w:val="bottom"/>
          </w:tcPr>
          <w:p w14:paraId="4C34C2B9" w14:textId="14AF298F" w:rsidR="00F43F54" w:rsidRDefault="00F43F54" w:rsidP="00F43F54">
            <w:r>
              <w:t>Оток на лицето, едем, треска</w:t>
            </w:r>
          </w:p>
        </w:tc>
        <w:tc>
          <w:tcPr>
            <w:tcW w:w="3167" w:type="dxa"/>
            <w:vAlign w:val="bottom"/>
          </w:tcPr>
          <w:p w14:paraId="1F1F1C42" w14:textId="1EDA16E9" w:rsidR="00F43F54" w:rsidRDefault="00F43F54" w:rsidP="00F43F54">
            <w:r>
              <w:t>нечести</w:t>
            </w:r>
          </w:p>
        </w:tc>
      </w:tr>
      <w:tr w:rsidR="00F43F54" w14:paraId="4DEEE71F" w14:textId="77777777" w:rsidTr="003E41EF">
        <w:tc>
          <w:tcPr>
            <w:tcW w:w="3166" w:type="dxa"/>
            <w:vMerge/>
          </w:tcPr>
          <w:p w14:paraId="1BA19F1A" w14:textId="77777777" w:rsidR="00F43F54" w:rsidRDefault="00F43F54" w:rsidP="00F43F54"/>
        </w:tc>
        <w:tc>
          <w:tcPr>
            <w:tcW w:w="3167" w:type="dxa"/>
            <w:vAlign w:val="bottom"/>
          </w:tcPr>
          <w:p w14:paraId="22617600" w14:textId="2FADB8D2" w:rsidR="00F43F54" w:rsidRDefault="00F43F54" w:rsidP="00F43F54">
            <w:r>
              <w:t>Грипоподобни симптоми, общо неразположение</w:t>
            </w:r>
          </w:p>
        </w:tc>
        <w:tc>
          <w:tcPr>
            <w:tcW w:w="3167" w:type="dxa"/>
          </w:tcPr>
          <w:p w14:paraId="0FF89167" w14:textId="36981167" w:rsidR="00F43F54" w:rsidRDefault="00F43F54" w:rsidP="00F43F54">
            <w:r>
              <w:t>С неизвестна честота</w:t>
            </w:r>
          </w:p>
        </w:tc>
      </w:tr>
      <w:tr w:rsidR="00F43F54" w14:paraId="43D5F832" w14:textId="77777777" w:rsidTr="003E41EF">
        <w:tc>
          <w:tcPr>
            <w:tcW w:w="3166" w:type="dxa"/>
            <w:vAlign w:val="bottom"/>
          </w:tcPr>
          <w:p w14:paraId="61256DC5" w14:textId="7D59CA0B" w:rsidR="00F43F54" w:rsidRDefault="00F43F54" w:rsidP="00F43F54">
            <w:r>
              <w:t>Хепато-билиарни смущения</w:t>
            </w:r>
          </w:p>
        </w:tc>
        <w:tc>
          <w:tcPr>
            <w:tcW w:w="3167" w:type="dxa"/>
            <w:vAlign w:val="bottom"/>
          </w:tcPr>
          <w:p w14:paraId="73F112C7" w14:textId="02E07057" w:rsidR="00F43F54" w:rsidRDefault="00F43F54" w:rsidP="00F43F54">
            <w:r>
              <w:t>Аномалии в чернодробната функция</w:t>
            </w:r>
          </w:p>
        </w:tc>
        <w:tc>
          <w:tcPr>
            <w:tcW w:w="3167" w:type="dxa"/>
          </w:tcPr>
          <w:p w14:paraId="026A51EF" w14:textId="77427DDD" w:rsidR="00F43F54" w:rsidRDefault="00F43F54" w:rsidP="00F43F54">
            <w:r>
              <w:t>с неизвестна честота</w:t>
            </w:r>
          </w:p>
        </w:tc>
      </w:tr>
      <w:tr w:rsidR="00F43F54" w14:paraId="3E72C2F2" w14:textId="77777777" w:rsidTr="003E41EF">
        <w:tc>
          <w:tcPr>
            <w:tcW w:w="3166" w:type="dxa"/>
          </w:tcPr>
          <w:p w14:paraId="029F5CC1" w14:textId="78A908DF" w:rsidR="00F43F54" w:rsidRDefault="00F43F54" w:rsidP="00F43F54">
            <w:r>
              <w:t xml:space="preserve">Нарушения на имунната </w:t>
            </w:r>
            <w:r>
              <w:lastRenderedPageBreak/>
              <w:t>система</w:t>
            </w:r>
          </w:p>
        </w:tc>
        <w:tc>
          <w:tcPr>
            <w:tcW w:w="3167" w:type="dxa"/>
            <w:vAlign w:val="bottom"/>
          </w:tcPr>
          <w:p w14:paraId="36B60047" w14:textId="4CE37355" w:rsidR="00F43F54" w:rsidRDefault="00F43F54" w:rsidP="00F43F54">
            <w:r>
              <w:lastRenderedPageBreak/>
              <w:t xml:space="preserve">Свръхчувствителност, </w:t>
            </w:r>
            <w:r>
              <w:lastRenderedPageBreak/>
              <w:t>анафилактични реакции, ангиоедем, включително оток на ларинкса и глотиса, причиняващи обструкция на дихателните пътища и/или подуване на лицето, устните, фаринкса и/или езика; при някои от тези пациенти ангиоедем е съобщаван в миналото във връзка с прилагането на други лекарства, включително АСЕ- инхибитори</w:t>
            </w:r>
          </w:p>
        </w:tc>
        <w:tc>
          <w:tcPr>
            <w:tcW w:w="3167" w:type="dxa"/>
          </w:tcPr>
          <w:p w14:paraId="7F35650E" w14:textId="4CCC71F3" w:rsidR="00F43F54" w:rsidRDefault="00F43F54" w:rsidP="00F43F54">
            <w:r>
              <w:lastRenderedPageBreak/>
              <w:t>редки</w:t>
            </w:r>
          </w:p>
        </w:tc>
      </w:tr>
      <w:tr w:rsidR="00F43F54" w14:paraId="23691928" w14:textId="77777777" w:rsidTr="003E41EF">
        <w:tc>
          <w:tcPr>
            <w:tcW w:w="3166" w:type="dxa"/>
            <w:vAlign w:val="bottom"/>
          </w:tcPr>
          <w:p w14:paraId="53AD974D" w14:textId="07C6541E" w:rsidR="00F43F54" w:rsidRDefault="00F43F54" w:rsidP="00F43F54">
            <w:r>
              <w:t>Нарушения на метаболизма и храненето</w:t>
            </w:r>
          </w:p>
        </w:tc>
        <w:tc>
          <w:tcPr>
            <w:tcW w:w="3167" w:type="dxa"/>
          </w:tcPr>
          <w:p w14:paraId="45925990" w14:textId="5A3C4A99" w:rsidR="00F43F54" w:rsidRDefault="00F43F54" w:rsidP="00F43F54">
            <w:r>
              <w:t>Анорексия, подагра</w:t>
            </w:r>
          </w:p>
        </w:tc>
        <w:tc>
          <w:tcPr>
            <w:tcW w:w="3167" w:type="dxa"/>
          </w:tcPr>
          <w:p w14:paraId="1A82B511" w14:textId="5606A8D2" w:rsidR="00F43F54" w:rsidRDefault="00F43F54" w:rsidP="00F43F54">
            <w:r>
              <w:t>нечести</w:t>
            </w:r>
          </w:p>
        </w:tc>
      </w:tr>
      <w:tr w:rsidR="003E41EF" w14:paraId="502421B3" w14:textId="77777777" w:rsidTr="003E41EF">
        <w:tc>
          <w:tcPr>
            <w:tcW w:w="3166" w:type="dxa"/>
            <w:vMerge w:val="restart"/>
          </w:tcPr>
          <w:p w14:paraId="11F6CE0E" w14:textId="47CB8AAA" w:rsidR="003E41EF" w:rsidRDefault="003E41EF" w:rsidP="003E41EF">
            <w:r>
              <w:t>Нарушения на мускулно- скелетната система и съединителната тъкан</w:t>
            </w:r>
          </w:p>
        </w:tc>
        <w:tc>
          <w:tcPr>
            <w:tcW w:w="3167" w:type="dxa"/>
            <w:vAlign w:val="bottom"/>
          </w:tcPr>
          <w:p w14:paraId="444B9D3E" w14:textId="73C11282" w:rsidR="003E41EF" w:rsidRDefault="003E41EF" w:rsidP="003E41EF">
            <w:r>
              <w:t>Мускулен спазъм, болка в гърба, болка в крака, миалгия</w:t>
            </w:r>
          </w:p>
        </w:tc>
        <w:tc>
          <w:tcPr>
            <w:tcW w:w="3167" w:type="dxa"/>
          </w:tcPr>
          <w:p w14:paraId="23DC292B" w14:textId="50F0013B" w:rsidR="003E41EF" w:rsidRDefault="003E41EF" w:rsidP="003E41EF">
            <w:r>
              <w:t>чести</w:t>
            </w:r>
          </w:p>
        </w:tc>
      </w:tr>
      <w:tr w:rsidR="003E41EF" w14:paraId="5D599D57" w14:textId="77777777" w:rsidTr="003E41EF">
        <w:tc>
          <w:tcPr>
            <w:tcW w:w="3166" w:type="dxa"/>
            <w:vMerge/>
          </w:tcPr>
          <w:p w14:paraId="152DAA05" w14:textId="77777777" w:rsidR="003E41EF" w:rsidRDefault="003E41EF" w:rsidP="003E41EF"/>
        </w:tc>
        <w:tc>
          <w:tcPr>
            <w:tcW w:w="3167" w:type="dxa"/>
            <w:vAlign w:val="bottom"/>
          </w:tcPr>
          <w:p w14:paraId="13E03B11" w14:textId="226C25F4" w:rsidR="003E41EF" w:rsidRDefault="003E41EF" w:rsidP="003E41EF">
            <w:r>
              <w:t>Болка в ръката, подуване на ставата, болка в коляното, костно-мускулна болка, болка в рамото, схващане, артралгия, артрит, коксалгия, фибромиалгия, мускулна слабост</w:t>
            </w:r>
          </w:p>
        </w:tc>
        <w:tc>
          <w:tcPr>
            <w:tcW w:w="3167" w:type="dxa"/>
          </w:tcPr>
          <w:p w14:paraId="1C46A5F6" w14:textId="29F8BC3C" w:rsidR="003E41EF" w:rsidRDefault="003E41EF" w:rsidP="003E41EF">
            <w:r>
              <w:t>нечести</w:t>
            </w:r>
          </w:p>
        </w:tc>
      </w:tr>
      <w:tr w:rsidR="003E41EF" w14:paraId="4139F877" w14:textId="77777777" w:rsidTr="003E41EF">
        <w:tc>
          <w:tcPr>
            <w:tcW w:w="3166" w:type="dxa"/>
            <w:vMerge/>
          </w:tcPr>
          <w:p w14:paraId="51F5FDAD" w14:textId="77777777" w:rsidR="003E41EF" w:rsidRDefault="003E41EF" w:rsidP="003E41EF"/>
        </w:tc>
        <w:tc>
          <w:tcPr>
            <w:tcW w:w="3167" w:type="dxa"/>
            <w:vAlign w:val="bottom"/>
          </w:tcPr>
          <w:p w14:paraId="6511C557" w14:textId="465A2549" w:rsidR="003E41EF" w:rsidRDefault="003E41EF" w:rsidP="003E41EF">
            <w:r>
              <w:t>Рабдомиолиза</w:t>
            </w:r>
          </w:p>
        </w:tc>
        <w:tc>
          <w:tcPr>
            <w:tcW w:w="3167" w:type="dxa"/>
            <w:vAlign w:val="bottom"/>
          </w:tcPr>
          <w:p w14:paraId="75CC7F3B" w14:textId="0B55330C" w:rsidR="003E41EF" w:rsidRDefault="003E41EF" w:rsidP="003E41EF">
            <w:r>
              <w:t>с неизвестна честота</w:t>
            </w:r>
          </w:p>
        </w:tc>
      </w:tr>
      <w:tr w:rsidR="003E41EF" w14:paraId="68C1BD79" w14:textId="77777777" w:rsidTr="003E41EF">
        <w:tc>
          <w:tcPr>
            <w:tcW w:w="3166" w:type="dxa"/>
            <w:vMerge w:val="restart"/>
          </w:tcPr>
          <w:p w14:paraId="67FDB4C9" w14:textId="66936509" w:rsidR="003E41EF" w:rsidRDefault="003E41EF" w:rsidP="003E41EF">
            <w:r>
              <w:t>Нарушения на нервната система</w:t>
            </w:r>
          </w:p>
        </w:tc>
        <w:tc>
          <w:tcPr>
            <w:tcW w:w="3167" w:type="dxa"/>
            <w:vAlign w:val="bottom"/>
          </w:tcPr>
          <w:p w14:paraId="0B0D6EC5" w14:textId="5E93F873" w:rsidR="003E41EF" w:rsidRDefault="003E41EF" w:rsidP="003E41EF">
            <w:r>
              <w:t>Главоболие, замайване</w:t>
            </w:r>
          </w:p>
        </w:tc>
        <w:tc>
          <w:tcPr>
            <w:tcW w:w="3167" w:type="dxa"/>
            <w:vAlign w:val="bottom"/>
          </w:tcPr>
          <w:p w14:paraId="1D5F36B0" w14:textId="6DAF2A3E" w:rsidR="003E41EF" w:rsidRDefault="003E41EF" w:rsidP="003E41EF">
            <w:r>
              <w:t>чести</w:t>
            </w:r>
          </w:p>
        </w:tc>
      </w:tr>
      <w:tr w:rsidR="003E41EF" w14:paraId="1244FE64" w14:textId="77777777" w:rsidTr="003E41EF">
        <w:tc>
          <w:tcPr>
            <w:tcW w:w="3166" w:type="dxa"/>
            <w:vMerge/>
          </w:tcPr>
          <w:p w14:paraId="6B8ECC5B" w14:textId="77777777" w:rsidR="003E41EF" w:rsidRDefault="003E41EF" w:rsidP="003E41EF"/>
        </w:tc>
        <w:tc>
          <w:tcPr>
            <w:tcW w:w="3167" w:type="dxa"/>
            <w:vAlign w:val="bottom"/>
          </w:tcPr>
          <w:p w14:paraId="6042B37F" w14:textId="73F47DE3" w:rsidR="003E41EF" w:rsidRDefault="003E41EF" w:rsidP="003E41EF">
            <w:r>
              <w:t>Нервност, парестезия, периферна невропатия, тремор, мигрена, синкоп</w:t>
            </w:r>
          </w:p>
        </w:tc>
        <w:tc>
          <w:tcPr>
            <w:tcW w:w="3167" w:type="dxa"/>
          </w:tcPr>
          <w:p w14:paraId="79ECF376" w14:textId="058E66ED" w:rsidR="003E41EF" w:rsidRDefault="003E41EF" w:rsidP="003E41EF">
            <w:r>
              <w:t>нечести</w:t>
            </w:r>
          </w:p>
        </w:tc>
      </w:tr>
      <w:tr w:rsidR="003E41EF" w14:paraId="2B3E3380" w14:textId="77777777" w:rsidTr="003E41EF">
        <w:tc>
          <w:tcPr>
            <w:tcW w:w="3166" w:type="dxa"/>
            <w:vMerge/>
          </w:tcPr>
          <w:p w14:paraId="7BDFF401" w14:textId="77777777" w:rsidR="003E41EF" w:rsidRDefault="003E41EF" w:rsidP="003E41EF"/>
        </w:tc>
        <w:tc>
          <w:tcPr>
            <w:tcW w:w="3167" w:type="dxa"/>
            <w:vAlign w:val="bottom"/>
          </w:tcPr>
          <w:p w14:paraId="59A0B49C" w14:textId="430F5682" w:rsidR="003E41EF" w:rsidRDefault="003E41EF" w:rsidP="003E41EF">
            <w:r>
              <w:t>Дисгеузия</w:t>
            </w:r>
          </w:p>
        </w:tc>
        <w:tc>
          <w:tcPr>
            <w:tcW w:w="3167" w:type="dxa"/>
            <w:vAlign w:val="bottom"/>
          </w:tcPr>
          <w:p w14:paraId="053DB465" w14:textId="3E768CD9" w:rsidR="003E41EF" w:rsidRDefault="003E41EF" w:rsidP="003E41EF">
            <w:r>
              <w:t>с неизвестна честота</w:t>
            </w:r>
          </w:p>
        </w:tc>
      </w:tr>
      <w:tr w:rsidR="003E41EF" w14:paraId="0C7E38F7" w14:textId="77777777" w:rsidTr="003E41EF">
        <w:tc>
          <w:tcPr>
            <w:tcW w:w="3166" w:type="dxa"/>
            <w:vMerge w:val="restart"/>
          </w:tcPr>
          <w:p w14:paraId="0C4A80CE" w14:textId="3F97FCD6" w:rsidR="003E41EF" w:rsidRDefault="003E41EF" w:rsidP="003E41EF">
            <w:r>
              <w:t>Психични нарушения</w:t>
            </w:r>
          </w:p>
        </w:tc>
        <w:tc>
          <w:tcPr>
            <w:tcW w:w="3167" w:type="dxa"/>
            <w:vAlign w:val="bottom"/>
          </w:tcPr>
          <w:p w14:paraId="213C275E" w14:textId="65062F94" w:rsidR="003E41EF" w:rsidRDefault="003E41EF" w:rsidP="003E41EF">
            <w:r>
              <w:t>Безсъние</w:t>
            </w:r>
          </w:p>
        </w:tc>
        <w:tc>
          <w:tcPr>
            <w:tcW w:w="3167" w:type="dxa"/>
            <w:vAlign w:val="bottom"/>
          </w:tcPr>
          <w:p w14:paraId="1BBF1465" w14:textId="395C3D4C" w:rsidR="003E41EF" w:rsidRDefault="003E41EF" w:rsidP="003E41EF">
            <w:r>
              <w:t>чести</w:t>
            </w:r>
          </w:p>
        </w:tc>
      </w:tr>
      <w:tr w:rsidR="003E41EF" w14:paraId="16E8BD77" w14:textId="77777777" w:rsidTr="003E41EF">
        <w:tc>
          <w:tcPr>
            <w:tcW w:w="3166" w:type="dxa"/>
            <w:vMerge/>
          </w:tcPr>
          <w:p w14:paraId="615C2023" w14:textId="77777777" w:rsidR="003E41EF" w:rsidRDefault="003E41EF" w:rsidP="003E41EF"/>
        </w:tc>
        <w:tc>
          <w:tcPr>
            <w:tcW w:w="3167" w:type="dxa"/>
            <w:vAlign w:val="bottom"/>
          </w:tcPr>
          <w:p w14:paraId="2649D8B3" w14:textId="22A8621B" w:rsidR="003E41EF" w:rsidRDefault="003E41EF" w:rsidP="003E41EF">
            <w:r>
              <w:t>Тревожност, тревожностни нарушения, паническо разстройство, объркване, депресия, абнормни сънища, нарушения на съня, сънливост, увредена памет</w:t>
            </w:r>
          </w:p>
        </w:tc>
        <w:tc>
          <w:tcPr>
            <w:tcW w:w="3167" w:type="dxa"/>
          </w:tcPr>
          <w:p w14:paraId="7A0B19C6" w14:textId="30C862F4" w:rsidR="003E41EF" w:rsidRDefault="003E41EF" w:rsidP="003E41EF">
            <w:r>
              <w:t>нечести</w:t>
            </w:r>
          </w:p>
        </w:tc>
      </w:tr>
      <w:tr w:rsidR="003E41EF" w14:paraId="2123D086" w14:textId="77777777" w:rsidTr="003E41EF">
        <w:tc>
          <w:tcPr>
            <w:tcW w:w="3166" w:type="dxa"/>
            <w:vMerge w:val="restart"/>
          </w:tcPr>
          <w:p w14:paraId="79B92D82" w14:textId="2BDE1413" w:rsidR="003E41EF" w:rsidRDefault="003E41EF" w:rsidP="003E41EF">
            <w:r>
              <w:t>Нарушения на бъбреците и пикочните пътища</w:t>
            </w:r>
          </w:p>
        </w:tc>
        <w:tc>
          <w:tcPr>
            <w:tcW w:w="3167" w:type="dxa"/>
            <w:vAlign w:val="bottom"/>
          </w:tcPr>
          <w:p w14:paraId="5013C5AB" w14:textId="61FDDC3E" w:rsidR="003E41EF" w:rsidRDefault="003E41EF" w:rsidP="003E41EF">
            <w:r>
              <w:t>Бъбречно увреждане, бъбречна недостатъчност</w:t>
            </w:r>
          </w:p>
        </w:tc>
        <w:tc>
          <w:tcPr>
            <w:tcW w:w="3167" w:type="dxa"/>
            <w:vAlign w:val="bottom"/>
          </w:tcPr>
          <w:p w14:paraId="62F70FE9" w14:textId="77777777" w:rsidR="003E41EF" w:rsidRDefault="003E41EF" w:rsidP="003E41EF">
            <w:r>
              <w:t>чести</w:t>
            </w:r>
          </w:p>
          <w:p w14:paraId="21930B43" w14:textId="7A3F0C4F" w:rsidR="003E41EF" w:rsidRDefault="003E41EF" w:rsidP="003E41EF"/>
        </w:tc>
      </w:tr>
      <w:tr w:rsidR="003E41EF" w14:paraId="7956CE72" w14:textId="77777777" w:rsidTr="003E41EF">
        <w:tc>
          <w:tcPr>
            <w:tcW w:w="3166" w:type="dxa"/>
            <w:vMerge/>
          </w:tcPr>
          <w:p w14:paraId="76036D95" w14:textId="77777777" w:rsidR="003E41EF" w:rsidRDefault="003E41EF" w:rsidP="003E41EF"/>
        </w:tc>
        <w:tc>
          <w:tcPr>
            <w:tcW w:w="3167" w:type="dxa"/>
            <w:vAlign w:val="bottom"/>
          </w:tcPr>
          <w:p w14:paraId="7C8FE336" w14:textId="61A1938C" w:rsidR="003E41EF" w:rsidRDefault="003E41EF" w:rsidP="003E41EF">
            <w:r>
              <w:t>Ноктурия, често уриниране, инфекция на пикочните пътища</w:t>
            </w:r>
          </w:p>
        </w:tc>
        <w:tc>
          <w:tcPr>
            <w:tcW w:w="3167" w:type="dxa"/>
          </w:tcPr>
          <w:p w14:paraId="370C9903" w14:textId="0EA65434" w:rsidR="003E41EF" w:rsidRDefault="003E41EF" w:rsidP="003E41EF">
            <w:r>
              <w:t>нечести</w:t>
            </w:r>
          </w:p>
        </w:tc>
      </w:tr>
      <w:tr w:rsidR="003E41EF" w14:paraId="4B1B9BFF" w14:textId="77777777" w:rsidTr="003E41EF">
        <w:tc>
          <w:tcPr>
            <w:tcW w:w="3166" w:type="dxa"/>
            <w:vAlign w:val="bottom"/>
          </w:tcPr>
          <w:p w14:paraId="123ADAC3" w14:textId="01B4EE81" w:rsidR="003E41EF" w:rsidRDefault="003E41EF" w:rsidP="003E41EF">
            <w:r>
              <w:t xml:space="preserve">Нарушения на възпроизводителната </w:t>
            </w:r>
            <w:r>
              <w:lastRenderedPageBreak/>
              <w:t>система и гърдата</w:t>
            </w:r>
          </w:p>
        </w:tc>
        <w:tc>
          <w:tcPr>
            <w:tcW w:w="3167" w:type="dxa"/>
            <w:vAlign w:val="bottom"/>
          </w:tcPr>
          <w:p w14:paraId="76E71B51" w14:textId="60F69A2C" w:rsidR="003E41EF" w:rsidRDefault="003E41EF" w:rsidP="003E41EF">
            <w:r>
              <w:lastRenderedPageBreak/>
              <w:t xml:space="preserve">Понижено либидо, еректилна </w:t>
            </w:r>
            <w:r>
              <w:lastRenderedPageBreak/>
              <w:t>дисфункция/импотентност</w:t>
            </w:r>
          </w:p>
        </w:tc>
        <w:tc>
          <w:tcPr>
            <w:tcW w:w="3167" w:type="dxa"/>
          </w:tcPr>
          <w:p w14:paraId="1B0FE046" w14:textId="4D13B066" w:rsidR="003E41EF" w:rsidRDefault="003E41EF" w:rsidP="003E41EF">
            <w:r>
              <w:lastRenderedPageBreak/>
              <w:t>нечести</w:t>
            </w:r>
          </w:p>
        </w:tc>
      </w:tr>
      <w:tr w:rsidR="003E41EF" w14:paraId="2F225696" w14:textId="77777777" w:rsidTr="003E41EF">
        <w:tc>
          <w:tcPr>
            <w:tcW w:w="3166" w:type="dxa"/>
            <w:vMerge w:val="restart"/>
          </w:tcPr>
          <w:p w14:paraId="7D3C52CF" w14:textId="152E76ED" w:rsidR="003E41EF" w:rsidRDefault="003E41EF" w:rsidP="003E41EF">
            <w:r>
              <w:t>Респираторни, гръдни и медиастинални нарушения</w:t>
            </w:r>
          </w:p>
        </w:tc>
        <w:tc>
          <w:tcPr>
            <w:tcW w:w="3167" w:type="dxa"/>
            <w:vAlign w:val="bottom"/>
          </w:tcPr>
          <w:p w14:paraId="0E41D2DA" w14:textId="07632A93" w:rsidR="003E41EF" w:rsidRDefault="003E41EF" w:rsidP="003E41EF">
            <w:r>
              <w:t>Кашлица, инфекция на горните дихателни пътища, запушване на носа, синузит, нарушения в синусите</w:t>
            </w:r>
          </w:p>
        </w:tc>
        <w:tc>
          <w:tcPr>
            <w:tcW w:w="3167" w:type="dxa"/>
          </w:tcPr>
          <w:p w14:paraId="0E42AE38" w14:textId="02650400" w:rsidR="003E41EF" w:rsidRDefault="003E41EF" w:rsidP="003E41EF">
            <w:r>
              <w:t>чести</w:t>
            </w:r>
          </w:p>
        </w:tc>
      </w:tr>
      <w:tr w:rsidR="003E41EF" w14:paraId="4367C351" w14:textId="77777777" w:rsidTr="003E41EF">
        <w:trPr>
          <w:trHeight w:val="1349"/>
        </w:trPr>
        <w:tc>
          <w:tcPr>
            <w:tcW w:w="3166" w:type="dxa"/>
            <w:vMerge/>
          </w:tcPr>
          <w:p w14:paraId="536093D4" w14:textId="77777777" w:rsidR="003E41EF" w:rsidRDefault="003E41EF" w:rsidP="003E41EF"/>
        </w:tc>
        <w:tc>
          <w:tcPr>
            <w:tcW w:w="3167" w:type="dxa"/>
            <w:vAlign w:val="bottom"/>
          </w:tcPr>
          <w:p w14:paraId="6A5F95D8" w14:textId="77777777" w:rsidR="003E41EF" w:rsidRDefault="003E41EF" w:rsidP="003E41EF">
            <w:r>
              <w:t>Фарингеален дискомфорт, фарингит, ларингит, диспнея,</w:t>
            </w:r>
          </w:p>
          <w:p w14:paraId="3B1415F7" w14:textId="700465D1" w:rsidR="003E41EF" w:rsidRDefault="003E41EF" w:rsidP="003E41EF">
            <w:r>
              <w:t>бронхит, епистаксис, ринит, респираторна конгестия</w:t>
            </w:r>
          </w:p>
        </w:tc>
        <w:tc>
          <w:tcPr>
            <w:tcW w:w="3167" w:type="dxa"/>
          </w:tcPr>
          <w:p w14:paraId="0C9B786E" w14:textId="42D18226" w:rsidR="003E41EF" w:rsidRDefault="003E41EF" w:rsidP="003E41EF">
            <w:r>
              <w:t>нечести</w:t>
            </w:r>
          </w:p>
        </w:tc>
      </w:tr>
      <w:tr w:rsidR="003E41EF" w14:paraId="1D5CD8CC" w14:textId="77777777" w:rsidTr="003E41EF">
        <w:tc>
          <w:tcPr>
            <w:tcW w:w="3166" w:type="dxa"/>
            <w:vAlign w:val="bottom"/>
          </w:tcPr>
          <w:p w14:paraId="7B4F6D82" w14:textId="77777777" w:rsidR="003E41EF" w:rsidRDefault="003E41EF" w:rsidP="003E41EF">
            <w:r>
              <w:t>Нарушения на кожата и подкожната тъкан</w:t>
            </w:r>
          </w:p>
          <w:p w14:paraId="479A4B9E" w14:textId="31290478" w:rsidR="003E41EF" w:rsidRDefault="003E41EF" w:rsidP="003E41EF">
            <w:r>
              <w:tab/>
            </w:r>
          </w:p>
        </w:tc>
        <w:tc>
          <w:tcPr>
            <w:tcW w:w="3167" w:type="dxa"/>
            <w:vAlign w:val="bottom"/>
          </w:tcPr>
          <w:p w14:paraId="0553DA19" w14:textId="1B637D8C" w:rsidR="003E41EF" w:rsidRDefault="003E41EF" w:rsidP="003E41EF">
            <w:r>
              <w:t>Алопеция, дерматит, суха кожа, еритема, зачервяване, фоточувствителност, сърбеж, обрив, уртикария, изпотяване</w:t>
            </w:r>
          </w:p>
        </w:tc>
        <w:tc>
          <w:tcPr>
            <w:tcW w:w="3167" w:type="dxa"/>
          </w:tcPr>
          <w:p w14:paraId="7CE2A18F" w14:textId="52D42E30" w:rsidR="003E41EF" w:rsidRDefault="003E41EF" w:rsidP="003E41EF">
            <w:r>
              <w:t>нечести</w:t>
            </w:r>
          </w:p>
        </w:tc>
      </w:tr>
      <w:tr w:rsidR="003E41EF" w14:paraId="4AD77D8A" w14:textId="77777777" w:rsidTr="003E41EF">
        <w:tc>
          <w:tcPr>
            <w:tcW w:w="3166" w:type="dxa"/>
            <w:vMerge w:val="restart"/>
          </w:tcPr>
          <w:p w14:paraId="0DF5C8AE" w14:textId="0D9D4D55" w:rsidR="003E41EF" w:rsidRDefault="003E41EF" w:rsidP="003E41EF">
            <w:r>
              <w:t>Съдови нарушения</w:t>
            </w:r>
          </w:p>
        </w:tc>
        <w:tc>
          <w:tcPr>
            <w:tcW w:w="3167" w:type="dxa"/>
            <w:vAlign w:val="bottom"/>
          </w:tcPr>
          <w:p w14:paraId="29206207" w14:textId="30FCC879" w:rsidR="003E41EF" w:rsidRDefault="003E41EF" w:rsidP="003E41EF">
            <w:r>
              <w:t>Васкулит</w:t>
            </w:r>
          </w:p>
        </w:tc>
        <w:tc>
          <w:tcPr>
            <w:tcW w:w="3167" w:type="dxa"/>
            <w:vAlign w:val="bottom"/>
          </w:tcPr>
          <w:p w14:paraId="5A5D5D77" w14:textId="6CA3860C" w:rsidR="003E41EF" w:rsidRDefault="003E41EF" w:rsidP="003E41EF">
            <w:r>
              <w:t>нечести</w:t>
            </w:r>
          </w:p>
        </w:tc>
      </w:tr>
      <w:tr w:rsidR="003E41EF" w14:paraId="0AA9FD55" w14:textId="77777777" w:rsidTr="003E41EF">
        <w:tc>
          <w:tcPr>
            <w:tcW w:w="3166" w:type="dxa"/>
            <w:vMerge/>
          </w:tcPr>
          <w:p w14:paraId="47F7F2C5" w14:textId="77777777" w:rsidR="003E41EF" w:rsidRDefault="003E41EF" w:rsidP="003E41EF"/>
        </w:tc>
        <w:tc>
          <w:tcPr>
            <w:tcW w:w="3167" w:type="dxa"/>
            <w:vAlign w:val="bottom"/>
          </w:tcPr>
          <w:p w14:paraId="0E294F07" w14:textId="585A6E1F" w:rsidR="003E41EF" w:rsidRDefault="003E41EF" w:rsidP="003E41EF">
            <w:r>
              <w:t>Дозозависими ортостатични ефекти</w:t>
            </w:r>
          </w:p>
        </w:tc>
        <w:tc>
          <w:tcPr>
            <w:tcW w:w="3167" w:type="dxa"/>
          </w:tcPr>
          <w:p w14:paraId="61C982C0" w14:textId="203F8D88" w:rsidR="003E41EF" w:rsidRDefault="003E41EF" w:rsidP="003E41EF">
            <w:r>
              <w:t>с неизвестна честота</w:t>
            </w:r>
          </w:p>
        </w:tc>
      </w:tr>
      <w:tr w:rsidR="003E41EF" w14:paraId="2B9BFEFD" w14:textId="77777777" w:rsidTr="003E41EF">
        <w:tc>
          <w:tcPr>
            <w:tcW w:w="3166" w:type="dxa"/>
            <w:vMerge w:val="restart"/>
          </w:tcPr>
          <w:p w14:paraId="366869D7" w14:textId="66AC7245" w:rsidR="003E41EF" w:rsidRDefault="003E41EF" w:rsidP="003E41EF">
            <w:r>
              <w:t>Изследвания</w:t>
            </w:r>
          </w:p>
        </w:tc>
        <w:tc>
          <w:tcPr>
            <w:tcW w:w="3167" w:type="dxa"/>
            <w:vAlign w:val="bottom"/>
          </w:tcPr>
          <w:p w14:paraId="5EB12D47" w14:textId="41254DF5" w:rsidR="003E41EF" w:rsidRDefault="003E41EF" w:rsidP="003E41EF">
            <w:r>
              <w:t>Хиперкалиемия, леко понижени хематокрит и хемоглобин, хипогликемия</w:t>
            </w:r>
          </w:p>
        </w:tc>
        <w:tc>
          <w:tcPr>
            <w:tcW w:w="3167" w:type="dxa"/>
          </w:tcPr>
          <w:p w14:paraId="4E22E445" w14:textId="4F2C88A5" w:rsidR="003E41EF" w:rsidRDefault="003E41EF" w:rsidP="003E41EF">
            <w:r>
              <w:t>чести</w:t>
            </w:r>
          </w:p>
        </w:tc>
      </w:tr>
      <w:tr w:rsidR="003E41EF" w14:paraId="460B3207" w14:textId="77777777" w:rsidTr="003E41EF">
        <w:tc>
          <w:tcPr>
            <w:tcW w:w="3166" w:type="dxa"/>
            <w:vMerge/>
          </w:tcPr>
          <w:p w14:paraId="1A91F42C" w14:textId="77777777" w:rsidR="003E41EF" w:rsidRDefault="003E41EF" w:rsidP="003E41EF"/>
        </w:tc>
        <w:tc>
          <w:tcPr>
            <w:tcW w:w="3167" w:type="dxa"/>
            <w:vAlign w:val="bottom"/>
          </w:tcPr>
          <w:p w14:paraId="6C5101AA" w14:textId="7A82F735" w:rsidR="003E41EF" w:rsidRDefault="003E41EF" w:rsidP="003E41EF">
            <w:r>
              <w:t>Леко повишаване в серумните нива на урея и креатинин</w:t>
            </w:r>
          </w:p>
        </w:tc>
        <w:tc>
          <w:tcPr>
            <w:tcW w:w="3167" w:type="dxa"/>
          </w:tcPr>
          <w:p w14:paraId="7AB9D41C" w14:textId="0D52A138" w:rsidR="003E41EF" w:rsidRDefault="003E41EF" w:rsidP="003E41EF">
            <w:r>
              <w:t>нечести</w:t>
            </w:r>
          </w:p>
        </w:tc>
      </w:tr>
      <w:tr w:rsidR="003E41EF" w14:paraId="5137D7E0" w14:textId="77777777" w:rsidTr="003E41EF">
        <w:tc>
          <w:tcPr>
            <w:tcW w:w="3166" w:type="dxa"/>
            <w:vMerge/>
          </w:tcPr>
          <w:p w14:paraId="368B1A20" w14:textId="77777777" w:rsidR="003E41EF" w:rsidRDefault="003E41EF" w:rsidP="003E41EF"/>
        </w:tc>
        <w:tc>
          <w:tcPr>
            <w:tcW w:w="3167" w:type="dxa"/>
            <w:vAlign w:val="bottom"/>
          </w:tcPr>
          <w:p w14:paraId="11760077" w14:textId="35FFA9A7" w:rsidR="003E41EF" w:rsidRDefault="003E41EF" w:rsidP="003E41EF">
            <w:r>
              <w:t>Повишаване на чернодробните ензими и билирубин</w:t>
            </w:r>
          </w:p>
        </w:tc>
        <w:tc>
          <w:tcPr>
            <w:tcW w:w="3167" w:type="dxa"/>
          </w:tcPr>
          <w:p w14:paraId="76FC899A" w14:textId="2C1C2A03" w:rsidR="003E41EF" w:rsidRDefault="003E41EF" w:rsidP="003E41EF">
            <w:r>
              <w:t>много редки</w:t>
            </w:r>
          </w:p>
        </w:tc>
      </w:tr>
      <w:tr w:rsidR="003E41EF" w14:paraId="44F533DB" w14:textId="77777777" w:rsidTr="003E41EF">
        <w:tc>
          <w:tcPr>
            <w:tcW w:w="3166" w:type="dxa"/>
            <w:vMerge/>
          </w:tcPr>
          <w:p w14:paraId="66617AD3" w14:textId="77777777" w:rsidR="003E41EF" w:rsidRDefault="003E41EF" w:rsidP="003E41EF"/>
        </w:tc>
        <w:tc>
          <w:tcPr>
            <w:tcW w:w="3167" w:type="dxa"/>
            <w:vAlign w:val="bottom"/>
          </w:tcPr>
          <w:p w14:paraId="44B1D14F" w14:textId="4F846D5C" w:rsidR="003E41EF" w:rsidRDefault="003E41EF" w:rsidP="003E41EF">
            <w:r>
              <w:t>Хипонатриемия</w:t>
            </w:r>
          </w:p>
        </w:tc>
        <w:tc>
          <w:tcPr>
            <w:tcW w:w="3167" w:type="dxa"/>
            <w:vAlign w:val="bottom"/>
          </w:tcPr>
          <w:p w14:paraId="74B7A9AC" w14:textId="26644C13" w:rsidR="003E41EF" w:rsidRDefault="003E41EF" w:rsidP="003E41EF">
            <w:r>
              <w:t>с неизвестна честота</w:t>
            </w:r>
          </w:p>
        </w:tc>
      </w:tr>
    </w:tbl>
    <w:p w14:paraId="55A47EB5" w14:textId="3E265851" w:rsidR="00F43F54" w:rsidRDefault="00F43F54" w:rsidP="0091385D"/>
    <w:p w14:paraId="6016EB5F" w14:textId="00B8E453" w:rsidR="00F43F54" w:rsidRDefault="00F43F54" w:rsidP="0091385D">
      <w:pPr>
        <w:rPr>
          <w:u w:val="single"/>
        </w:rPr>
      </w:pPr>
      <w:r>
        <w:rPr>
          <w:i/>
          <w:iCs/>
          <w:u w:val="single"/>
        </w:rPr>
        <w:t>X</w:t>
      </w:r>
      <w:r>
        <w:rPr>
          <w:u w:val="single"/>
        </w:rPr>
        <w:t>идрохлоротиазид</w:t>
      </w:r>
    </w:p>
    <w:p w14:paraId="501BE75E" w14:textId="5987E939" w:rsidR="00F43F54" w:rsidRDefault="00F43F54" w:rsidP="0091385D">
      <w:pPr>
        <w:rPr>
          <w:u w:val="single"/>
        </w:rPr>
      </w:pPr>
    </w:p>
    <w:tbl>
      <w:tblPr>
        <w:tblStyle w:val="TableGrid"/>
        <w:tblW w:w="0" w:type="auto"/>
        <w:tblLook w:val="04A0" w:firstRow="1" w:lastRow="0" w:firstColumn="1" w:lastColumn="0" w:noHBand="0" w:noVBand="1"/>
      </w:tblPr>
      <w:tblGrid>
        <w:gridCol w:w="3166"/>
        <w:gridCol w:w="3167"/>
        <w:gridCol w:w="3167"/>
      </w:tblGrid>
      <w:tr w:rsidR="003E41EF" w14:paraId="5361AD31" w14:textId="77777777" w:rsidTr="003E41EF">
        <w:tc>
          <w:tcPr>
            <w:tcW w:w="3166" w:type="dxa"/>
            <w:vAlign w:val="bottom"/>
          </w:tcPr>
          <w:p w14:paraId="6A7EE584" w14:textId="40B414B8" w:rsidR="003E41EF" w:rsidRDefault="003E41EF" w:rsidP="003E41EF">
            <w:r>
              <w:rPr>
                <w:b/>
                <w:bCs/>
              </w:rPr>
              <w:t>Системно-органен клас</w:t>
            </w:r>
          </w:p>
        </w:tc>
        <w:tc>
          <w:tcPr>
            <w:tcW w:w="3167" w:type="dxa"/>
            <w:vAlign w:val="bottom"/>
          </w:tcPr>
          <w:p w14:paraId="2137E766" w14:textId="578BBC25" w:rsidR="003E41EF" w:rsidRDefault="003E41EF" w:rsidP="003E41EF">
            <w:r>
              <w:rPr>
                <w:b/>
                <w:bCs/>
              </w:rPr>
              <w:t>Нежелана реакция</w:t>
            </w:r>
          </w:p>
        </w:tc>
        <w:tc>
          <w:tcPr>
            <w:tcW w:w="3167" w:type="dxa"/>
            <w:vAlign w:val="bottom"/>
          </w:tcPr>
          <w:p w14:paraId="78B503DA" w14:textId="26BDC776" w:rsidR="003E41EF" w:rsidRDefault="003E41EF" w:rsidP="003E41EF">
            <w:r>
              <w:rPr>
                <w:b/>
                <w:bCs/>
              </w:rPr>
              <w:t>Честота</w:t>
            </w:r>
          </w:p>
        </w:tc>
      </w:tr>
      <w:tr w:rsidR="003E41EF" w14:paraId="444CF88C" w14:textId="77777777" w:rsidTr="003E41EF">
        <w:tc>
          <w:tcPr>
            <w:tcW w:w="3166" w:type="dxa"/>
            <w:vAlign w:val="bottom"/>
          </w:tcPr>
          <w:p w14:paraId="653E1953" w14:textId="5999C28C" w:rsidR="003E41EF" w:rsidRDefault="003E41EF" w:rsidP="003E41EF">
            <w:r>
              <w:t>Неоплазми — доброкачествени, злокачествени и неопределени (вкл. кисти и полипи)</w:t>
            </w:r>
          </w:p>
        </w:tc>
        <w:tc>
          <w:tcPr>
            <w:tcW w:w="3167" w:type="dxa"/>
          </w:tcPr>
          <w:p w14:paraId="1A5E6DE8" w14:textId="7AC9560A" w:rsidR="003E41EF" w:rsidRDefault="003E41EF" w:rsidP="003E41EF">
            <w:r>
              <w:t>Немеланомен рак на кожата (базалноклетъчен карцином и сквамозноклетъчен карцином)</w:t>
            </w:r>
            <w:r>
              <w:rPr>
                <w:vertAlign w:val="superscript"/>
              </w:rPr>
              <w:t>1</w:t>
            </w:r>
          </w:p>
        </w:tc>
        <w:tc>
          <w:tcPr>
            <w:tcW w:w="3167" w:type="dxa"/>
          </w:tcPr>
          <w:p w14:paraId="33AB0E36" w14:textId="18F6AE07" w:rsidR="003E41EF" w:rsidRDefault="003E41EF" w:rsidP="003E41EF">
            <w:r>
              <w:t>с неизвестна честота</w:t>
            </w:r>
          </w:p>
        </w:tc>
      </w:tr>
      <w:tr w:rsidR="003E41EF" w14:paraId="5B500DDC" w14:textId="77777777" w:rsidTr="003E41EF">
        <w:tc>
          <w:tcPr>
            <w:tcW w:w="3166" w:type="dxa"/>
          </w:tcPr>
          <w:p w14:paraId="57E7DEE9" w14:textId="4A7F07B4" w:rsidR="003E41EF" w:rsidRDefault="003E41EF" w:rsidP="003E41EF">
            <w:r>
              <w:t>Нарушения на кръвоносната и лимфна системи</w:t>
            </w:r>
          </w:p>
        </w:tc>
        <w:tc>
          <w:tcPr>
            <w:tcW w:w="3167" w:type="dxa"/>
            <w:vAlign w:val="bottom"/>
          </w:tcPr>
          <w:p w14:paraId="755F787E" w14:textId="065750F9" w:rsidR="003E41EF" w:rsidRDefault="003E41EF" w:rsidP="003E41EF">
            <w:r>
              <w:t>Агранулоцитоза, апластична анемия, хемолитична анемия, лев коления, пурпура, тромбоцитопения</w:t>
            </w:r>
          </w:p>
        </w:tc>
        <w:tc>
          <w:tcPr>
            <w:tcW w:w="3167" w:type="dxa"/>
          </w:tcPr>
          <w:p w14:paraId="6A9E7088" w14:textId="5ECA05FF" w:rsidR="003E41EF" w:rsidRDefault="003E41EF" w:rsidP="003E41EF">
            <w:r>
              <w:t>нечести</w:t>
            </w:r>
          </w:p>
        </w:tc>
      </w:tr>
      <w:tr w:rsidR="003E41EF" w14:paraId="39DE629C" w14:textId="77777777" w:rsidTr="003E41EF">
        <w:tc>
          <w:tcPr>
            <w:tcW w:w="3166" w:type="dxa"/>
            <w:vAlign w:val="bottom"/>
          </w:tcPr>
          <w:p w14:paraId="2930A5D0" w14:textId="0754E18E" w:rsidR="003E41EF" w:rsidRDefault="003E41EF" w:rsidP="003E41EF">
            <w:r>
              <w:t>Нарушения на имунната система</w:t>
            </w:r>
          </w:p>
        </w:tc>
        <w:tc>
          <w:tcPr>
            <w:tcW w:w="3167" w:type="dxa"/>
          </w:tcPr>
          <w:p w14:paraId="4A55DDD3" w14:textId="5E5DB6DC" w:rsidR="003E41EF" w:rsidRDefault="003E41EF" w:rsidP="003E41EF">
            <w:r>
              <w:t>Анафилактична реакция</w:t>
            </w:r>
          </w:p>
        </w:tc>
        <w:tc>
          <w:tcPr>
            <w:tcW w:w="3167" w:type="dxa"/>
          </w:tcPr>
          <w:p w14:paraId="5B2BC982" w14:textId="4C3D118E" w:rsidR="003E41EF" w:rsidRDefault="003E41EF" w:rsidP="003E41EF">
            <w:r>
              <w:t>редки</w:t>
            </w:r>
          </w:p>
        </w:tc>
      </w:tr>
      <w:tr w:rsidR="003E41EF" w14:paraId="2B5895A5" w14:textId="77777777" w:rsidTr="003E41EF">
        <w:tc>
          <w:tcPr>
            <w:tcW w:w="3166" w:type="dxa"/>
          </w:tcPr>
          <w:p w14:paraId="2379C11B" w14:textId="5DD7432F" w:rsidR="003E41EF" w:rsidRDefault="003E41EF" w:rsidP="003E41EF">
            <w:r>
              <w:t>Нарушения на метаболизма и храненето</w:t>
            </w:r>
          </w:p>
        </w:tc>
        <w:tc>
          <w:tcPr>
            <w:tcW w:w="3167" w:type="dxa"/>
            <w:vAlign w:val="bottom"/>
          </w:tcPr>
          <w:p w14:paraId="10F1F8C3" w14:textId="263950AC" w:rsidR="003E41EF" w:rsidRDefault="003E41EF" w:rsidP="003E41EF">
            <w:r>
              <w:t xml:space="preserve">Анорексия, хипергликемия, хиперурикемия, </w:t>
            </w:r>
            <w:r>
              <w:lastRenderedPageBreak/>
              <w:t>хипокалиемия, хипонатриемия</w:t>
            </w:r>
          </w:p>
        </w:tc>
        <w:tc>
          <w:tcPr>
            <w:tcW w:w="3167" w:type="dxa"/>
          </w:tcPr>
          <w:p w14:paraId="2DE0FD0D" w14:textId="7FD88DDA" w:rsidR="003E41EF" w:rsidRDefault="003E41EF" w:rsidP="003E41EF">
            <w:r>
              <w:lastRenderedPageBreak/>
              <w:t>нечести</w:t>
            </w:r>
          </w:p>
        </w:tc>
      </w:tr>
      <w:tr w:rsidR="003E41EF" w14:paraId="27272192" w14:textId="77777777" w:rsidTr="003E41EF">
        <w:tc>
          <w:tcPr>
            <w:tcW w:w="3166" w:type="dxa"/>
            <w:vAlign w:val="bottom"/>
          </w:tcPr>
          <w:p w14:paraId="00719E15" w14:textId="31C6ED51" w:rsidR="003E41EF" w:rsidRDefault="003E41EF" w:rsidP="003E41EF">
            <w:r>
              <w:t>Психични нарушения</w:t>
            </w:r>
          </w:p>
        </w:tc>
        <w:tc>
          <w:tcPr>
            <w:tcW w:w="3167" w:type="dxa"/>
            <w:vAlign w:val="bottom"/>
          </w:tcPr>
          <w:p w14:paraId="21CA3584" w14:textId="378AFF7D" w:rsidR="003E41EF" w:rsidRDefault="003E41EF" w:rsidP="003E41EF">
            <w:r>
              <w:t>Безсъние</w:t>
            </w:r>
          </w:p>
        </w:tc>
        <w:tc>
          <w:tcPr>
            <w:tcW w:w="3167" w:type="dxa"/>
            <w:vAlign w:val="bottom"/>
          </w:tcPr>
          <w:p w14:paraId="6573D109" w14:textId="6A7827B0" w:rsidR="003E41EF" w:rsidRDefault="003E41EF" w:rsidP="003E41EF">
            <w:r>
              <w:t>нечести</w:t>
            </w:r>
          </w:p>
        </w:tc>
      </w:tr>
      <w:tr w:rsidR="003E41EF" w14:paraId="4997595B" w14:textId="77777777" w:rsidTr="003E41EF">
        <w:tc>
          <w:tcPr>
            <w:tcW w:w="3166" w:type="dxa"/>
            <w:vAlign w:val="bottom"/>
          </w:tcPr>
          <w:p w14:paraId="233FB15D" w14:textId="1E977D81" w:rsidR="003E41EF" w:rsidRDefault="003E41EF" w:rsidP="003E41EF">
            <w:r>
              <w:t>Нарушения на нервната система</w:t>
            </w:r>
          </w:p>
        </w:tc>
        <w:tc>
          <w:tcPr>
            <w:tcW w:w="3167" w:type="dxa"/>
          </w:tcPr>
          <w:p w14:paraId="5D83EFA9" w14:textId="34B68D4A" w:rsidR="003E41EF" w:rsidRDefault="003E41EF" w:rsidP="003E41EF">
            <w:r>
              <w:t>Цефалгия</w:t>
            </w:r>
          </w:p>
        </w:tc>
        <w:tc>
          <w:tcPr>
            <w:tcW w:w="3167" w:type="dxa"/>
          </w:tcPr>
          <w:p w14:paraId="298E0D0C" w14:textId="5A57180A" w:rsidR="003E41EF" w:rsidRDefault="003E41EF" w:rsidP="003E41EF">
            <w:r>
              <w:t>чести</w:t>
            </w:r>
          </w:p>
        </w:tc>
      </w:tr>
      <w:tr w:rsidR="003E41EF" w14:paraId="5F14ED8D" w14:textId="77777777" w:rsidTr="003E41EF">
        <w:tc>
          <w:tcPr>
            <w:tcW w:w="3166" w:type="dxa"/>
            <w:vMerge w:val="restart"/>
          </w:tcPr>
          <w:p w14:paraId="4E4BC349" w14:textId="507D23BB" w:rsidR="003E41EF" w:rsidRDefault="003E41EF" w:rsidP="003E41EF">
            <w:r>
              <w:t>Нарушения на окото</w:t>
            </w:r>
          </w:p>
        </w:tc>
        <w:tc>
          <w:tcPr>
            <w:tcW w:w="3167" w:type="dxa"/>
            <w:vAlign w:val="bottom"/>
          </w:tcPr>
          <w:p w14:paraId="4B8FAF72" w14:textId="4070ECBF" w:rsidR="003E41EF" w:rsidRDefault="003E41EF" w:rsidP="003E41EF">
            <w:r>
              <w:t>Преходно замъглено зрение, ксантопсия</w:t>
            </w:r>
          </w:p>
        </w:tc>
        <w:tc>
          <w:tcPr>
            <w:tcW w:w="3167" w:type="dxa"/>
          </w:tcPr>
          <w:p w14:paraId="624A7FC7" w14:textId="473740EA" w:rsidR="003E41EF" w:rsidRDefault="003E41EF" w:rsidP="003E41EF">
            <w:r>
              <w:t>нечести</w:t>
            </w:r>
          </w:p>
        </w:tc>
      </w:tr>
      <w:tr w:rsidR="003E41EF" w14:paraId="47FDA76B" w14:textId="77777777" w:rsidTr="003E41EF">
        <w:tc>
          <w:tcPr>
            <w:tcW w:w="3166" w:type="dxa"/>
            <w:vMerge/>
          </w:tcPr>
          <w:p w14:paraId="40EA2884" w14:textId="77777777" w:rsidR="003E41EF" w:rsidRDefault="003E41EF" w:rsidP="003E41EF"/>
        </w:tc>
        <w:tc>
          <w:tcPr>
            <w:tcW w:w="3167" w:type="dxa"/>
            <w:vAlign w:val="bottom"/>
          </w:tcPr>
          <w:p w14:paraId="7221382D" w14:textId="2DC22F92" w:rsidR="003E41EF" w:rsidRDefault="003E41EF" w:rsidP="003E41EF">
            <w:r>
              <w:t>Хороидален излив, остра миопия остра закритоъгълна глаукома</w:t>
            </w:r>
          </w:p>
        </w:tc>
        <w:tc>
          <w:tcPr>
            <w:tcW w:w="3167" w:type="dxa"/>
          </w:tcPr>
          <w:p w14:paraId="7F750995" w14:textId="0DA7B05C" w:rsidR="003E41EF" w:rsidRDefault="003E41EF" w:rsidP="003E41EF">
            <w:r>
              <w:t>с неизвестна честота</w:t>
            </w:r>
          </w:p>
        </w:tc>
      </w:tr>
      <w:tr w:rsidR="003E41EF" w14:paraId="1D9A29AB" w14:textId="77777777" w:rsidTr="003E41EF">
        <w:tc>
          <w:tcPr>
            <w:tcW w:w="3166" w:type="dxa"/>
          </w:tcPr>
          <w:p w14:paraId="690C8B4F" w14:textId="6BD0902D" w:rsidR="003E41EF" w:rsidRDefault="003E41EF" w:rsidP="003E41EF">
            <w:r>
              <w:t>Съдови нарушения</w:t>
            </w:r>
          </w:p>
        </w:tc>
        <w:tc>
          <w:tcPr>
            <w:tcW w:w="3167" w:type="dxa"/>
            <w:vAlign w:val="bottom"/>
          </w:tcPr>
          <w:p w14:paraId="214954EE" w14:textId="7525755D" w:rsidR="003E41EF" w:rsidRDefault="003E41EF" w:rsidP="003E41EF">
            <w:r>
              <w:t>Некротизиращ ангиит (васкулит, кожен васкулит)</w:t>
            </w:r>
          </w:p>
        </w:tc>
        <w:tc>
          <w:tcPr>
            <w:tcW w:w="3167" w:type="dxa"/>
          </w:tcPr>
          <w:p w14:paraId="154BF246" w14:textId="3914569D" w:rsidR="003E41EF" w:rsidRDefault="003E41EF" w:rsidP="003E41EF">
            <w:r>
              <w:t>нечести</w:t>
            </w:r>
          </w:p>
        </w:tc>
      </w:tr>
      <w:tr w:rsidR="003E41EF" w14:paraId="76BD59CB" w14:textId="77777777" w:rsidTr="003E41EF">
        <w:tc>
          <w:tcPr>
            <w:tcW w:w="3166" w:type="dxa"/>
            <w:vMerge w:val="restart"/>
          </w:tcPr>
          <w:p w14:paraId="3E3D4E7A" w14:textId="3B3806FC" w:rsidR="003E41EF" w:rsidRDefault="003E41EF" w:rsidP="003E41EF">
            <w:r>
              <w:t>Респираторни,гръдни и медиастинални нарушения</w:t>
            </w:r>
          </w:p>
        </w:tc>
        <w:tc>
          <w:tcPr>
            <w:tcW w:w="3167" w:type="dxa"/>
            <w:vAlign w:val="bottom"/>
          </w:tcPr>
          <w:p w14:paraId="50F8717D" w14:textId="5C4B992E" w:rsidR="003E41EF" w:rsidRDefault="003E41EF" w:rsidP="003E41EF">
            <w:r>
              <w:t>Респираторен дистрес, включително пневмонит и белодробен оток</w:t>
            </w:r>
          </w:p>
        </w:tc>
        <w:tc>
          <w:tcPr>
            <w:tcW w:w="3167" w:type="dxa"/>
          </w:tcPr>
          <w:p w14:paraId="6626BA13" w14:textId="5B4052E0" w:rsidR="003E41EF" w:rsidRDefault="003E41EF" w:rsidP="003E41EF">
            <w:r>
              <w:t>нечести</w:t>
            </w:r>
          </w:p>
        </w:tc>
      </w:tr>
      <w:tr w:rsidR="003E41EF" w14:paraId="3314B065" w14:textId="77777777" w:rsidTr="003E41EF">
        <w:tc>
          <w:tcPr>
            <w:tcW w:w="3166" w:type="dxa"/>
            <w:vMerge/>
          </w:tcPr>
          <w:p w14:paraId="592ABA5A" w14:textId="77777777" w:rsidR="003E41EF" w:rsidRDefault="003E41EF" w:rsidP="003E41EF"/>
        </w:tc>
        <w:tc>
          <w:tcPr>
            <w:tcW w:w="3167" w:type="dxa"/>
            <w:vAlign w:val="bottom"/>
          </w:tcPr>
          <w:p w14:paraId="573C0767" w14:textId="4DB83B0F" w:rsidR="003E41EF" w:rsidRDefault="003E41EF" w:rsidP="003E41EF">
            <w:r>
              <w:t>Остър респираторен дистрес синдром (ОРДС) (вж. точка 4,4)</w:t>
            </w:r>
          </w:p>
        </w:tc>
        <w:tc>
          <w:tcPr>
            <w:tcW w:w="3167" w:type="dxa"/>
          </w:tcPr>
          <w:p w14:paraId="34F4EC29" w14:textId="2FBE8691" w:rsidR="003E41EF" w:rsidRDefault="003E41EF" w:rsidP="003E41EF">
            <w:r>
              <w:t>много редки</w:t>
            </w:r>
          </w:p>
        </w:tc>
      </w:tr>
      <w:tr w:rsidR="003E41EF" w14:paraId="6E2E4D42" w14:textId="77777777" w:rsidTr="003E41EF">
        <w:tc>
          <w:tcPr>
            <w:tcW w:w="3166" w:type="dxa"/>
          </w:tcPr>
          <w:p w14:paraId="3BBFE1D1" w14:textId="6F70B61B" w:rsidR="003E41EF" w:rsidRDefault="003E41EF" w:rsidP="003E41EF">
            <w:r>
              <w:t>Стомашно-чревни нарушения</w:t>
            </w:r>
          </w:p>
        </w:tc>
        <w:tc>
          <w:tcPr>
            <w:tcW w:w="3167" w:type="dxa"/>
            <w:vAlign w:val="bottom"/>
          </w:tcPr>
          <w:p w14:paraId="4B46E192" w14:textId="3B3D3388" w:rsidR="003E41EF" w:rsidRDefault="003E41EF" w:rsidP="003E41EF">
            <w:r>
              <w:t>Сиалоаденит, спазми, стомашно дразнене, гадене, повръщане, диария, запек</w:t>
            </w:r>
          </w:p>
        </w:tc>
        <w:tc>
          <w:tcPr>
            <w:tcW w:w="3167" w:type="dxa"/>
          </w:tcPr>
          <w:p w14:paraId="79488549" w14:textId="35EEAD7E" w:rsidR="003E41EF" w:rsidRDefault="003E41EF" w:rsidP="003E41EF">
            <w:r>
              <w:t>нечести</w:t>
            </w:r>
          </w:p>
        </w:tc>
      </w:tr>
      <w:tr w:rsidR="003E41EF" w14:paraId="0A7DBA32" w14:textId="77777777" w:rsidTr="003E41EF">
        <w:tc>
          <w:tcPr>
            <w:tcW w:w="3166" w:type="dxa"/>
            <w:vAlign w:val="bottom"/>
          </w:tcPr>
          <w:p w14:paraId="0156D40B" w14:textId="52070B5D" w:rsidR="003E41EF" w:rsidRDefault="003E41EF" w:rsidP="003E41EF">
            <w:r>
              <w:t>Хепато-билиарни нарушения</w:t>
            </w:r>
          </w:p>
        </w:tc>
        <w:tc>
          <w:tcPr>
            <w:tcW w:w="3167" w:type="dxa"/>
            <w:vAlign w:val="bottom"/>
          </w:tcPr>
          <w:p w14:paraId="7B114F3B" w14:textId="20828062" w:rsidR="003E41EF" w:rsidRDefault="003E41EF" w:rsidP="003E41EF">
            <w:r>
              <w:t>Иктер (интрахепатална холестаза), панкреатит</w:t>
            </w:r>
          </w:p>
        </w:tc>
        <w:tc>
          <w:tcPr>
            <w:tcW w:w="3167" w:type="dxa"/>
          </w:tcPr>
          <w:p w14:paraId="62199533" w14:textId="4983FFA0" w:rsidR="003E41EF" w:rsidRDefault="003E41EF" w:rsidP="003E41EF">
            <w:r>
              <w:t>нечести</w:t>
            </w:r>
          </w:p>
        </w:tc>
      </w:tr>
      <w:tr w:rsidR="003E41EF" w14:paraId="6BAF6A8A" w14:textId="77777777" w:rsidTr="003E41EF">
        <w:trPr>
          <w:trHeight w:val="1079"/>
        </w:trPr>
        <w:tc>
          <w:tcPr>
            <w:tcW w:w="3166" w:type="dxa"/>
            <w:vMerge w:val="restart"/>
            <w:vAlign w:val="bottom"/>
          </w:tcPr>
          <w:p w14:paraId="7567C102" w14:textId="77777777" w:rsidR="003E41EF" w:rsidRDefault="003E41EF" w:rsidP="003E41EF">
            <w:r>
              <w:t>Нарушения на кожата и</w:t>
            </w:r>
          </w:p>
          <w:p w14:paraId="145CBC86" w14:textId="2864522E" w:rsidR="003E41EF" w:rsidRDefault="003E41EF" w:rsidP="0091385D">
            <w:r>
              <w:t>подкожната тъкан</w:t>
            </w:r>
          </w:p>
        </w:tc>
        <w:tc>
          <w:tcPr>
            <w:tcW w:w="3167" w:type="dxa"/>
            <w:vAlign w:val="bottom"/>
          </w:tcPr>
          <w:p w14:paraId="20700CEF" w14:textId="77777777" w:rsidR="003E41EF" w:rsidRDefault="003E41EF" w:rsidP="003E41EF">
            <w:r>
              <w:t>Фоточувствителност, уртикария,</w:t>
            </w:r>
          </w:p>
          <w:p w14:paraId="44B92889" w14:textId="05ACF462" w:rsidR="003E41EF" w:rsidRDefault="003E41EF" w:rsidP="0091385D">
            <w:r>
              <w:t>токсична епидермална некролиза</w:t>
            </w:r>
          </w:p>
        </w:tc>
        <w:tc>
          <w:tcPr>
            <w:tcW w:w="3167" w:type="dxa"/>
            <w:vAlign w:val="bottom"/>
          </w:tcPr>
          <w:p w14:paraId="0E54F108" w14:textId="5BBF33EB" w:rsidR="003E41EF" w:rsidRDefault="003E41EF" w:rsidP="003E41EF">
            <w:r>
              <w:t>нечести</w:t>
            </w:r>
          </w:p>
        </w:tc>
      </w:tr>
      <w:tr w:rsidR="003E41EF" w14:paraId="70FD18E9" w14:textId="77777777" w:rsidTr="00F43F54">
        <w:tc>
          <w:tcPr>
            <w:tcW w:w="3166" w:type="dxa"/>
            <w:vMerge/>
          </w:tcPr>
          <w:p w14:paraId="56FEE7C5" w14:textId="77777777" w:rsidR="003E41EF" w:rsidRDefault="003E41EF" w:rsidP="003E41EF"/>
        </w:tc>
        <w:tc>
          <w:tcPr>
            <w:tcW w:w="3167" w:type="dxa"/>
          </w:tcPr>
          <w:p w14:paraId="0C0E5A98" w14:textId="0A724757" w:rsidR="003E41EF" w:rsidRDefault="003E41EF" w:rsidP="003E41EF">
            <w:r>
              <w:t>Кожен лупус еритематодес</w:t>
            </w:r>
          </w:p>
        </w:tc>
        <w:tc>
          <w:tcPr>
            <w:tcW w:w="3167" w:type="dxa"/>
          </w:tcPr>
          <w:p w14:paraId="1DB62D85" w14:textId="5D278D1A" w:rsidR="003E41EF" w:rsidRDefault="003E41EF" w:rsidP="003E41EF">
            <w:r>
              <w:t>с неизвестна честота</w:t>
            </w:r>
          </w:p>
        </w:tc>
      </w:tr>
      <w:tr w:rsidR="003E41EF" w14:paraId="5736EDC3" w14:textId="77777777" w:rsidTr="00F43F54">
        <w:tc>
          <w:tcPr>
            <w:tcW w:w="3166" w:type="dxa"/>
          </w:tcPr>
          <w:p w14:paraId="38B19B6E" w14:textId="474AF672" w:rsidR="003E41EF" w:rsidRDefault="003E41EF" w:rsidP="003E41EF">
            <w:r>
              <w:t>Нарушения на мускулно- скелетната система и съединителната тъкан</w:t>
            </w:r>
          </w:p>
        </w:tc>
        <w:tc>
          <w:tcPr>
            <w:tcW w:w="3167" w:type="dxa"/>
          </w:tcPr>
          <w:p w14:paraId="10A49D4F" w14:textId="21DD46D0" w:rsidR="003E41EF" w:rsidRDefault="003E41EF" w:rsidP="003E41EF">
            <w:r>
              <w:t>Мускулни спазми</w:t>
            </w:r>
          </w:p>
        </w:tc>
        <w:tc>
          <w:tcPr>
            <w:tcW w:w="3167" w:type="dxa"/>
          </w:tcPr>
          <w:p w14:paraId="1633AB14" w14:textId="40F25368" w:rsidR="003E41EF" w:rsidRDefault="003E41EF" w:rsidP="003E41EF">
            <w:r>
              <w:t>нечести</w:t>
            </w:r>
          </w:p>
        </w:tc>
      </w:tr>
      <w:tr w:rsidR="003E41EF" w14:paraId="783680B0" w14:textId="77777777" w:rsidTr="00F43F54">
        <w:tc>
          <w:tcPr>
            <w:tcW w:w="3166" w:type="dxa"/>
          </w:tcPr>
          <w:p w14:paraId="714C4753" w14:textId="2B769F50" w:rsidR="003E41EF" w:rsidRDefault="003E41EF" w:rsidP="003E41EF">
            <w:r>
              <w:t>Нарушения на бъбреците и пикочните пътища</w:t>
            </w:r>
          </w:p>
        </w:tc>
        <w:tc>
          <w:tcPr>
            <w:tcW w:w="3167" w:type="dxa"/>
          </w:tcPr>
          <w:p w14:paraId="1659342A" w14:textId="00CA9470" w:rsidR="003E41EF" w:rsidRDefault="003E41EF" w:rsidP="003E41EF">
            <w:r>
              <w:t>Глюкозурия, интерстициален нефрит, бъбречна дисфункция, бъбречна недостатъчност</w:t>
            </w:r>
          </w:p>
        </w:tc>
        <w:tc>
          <w:tcPr>
            <w:tcW w:w="3167" w:type="dxa"/>
          </w:tcPr>
          <w:p w14:paraId="7732F038" w14:textId="76AD2E07" w:rsidR="003E41EF" w:rsidRDefault="003E41EF" w:rsidP="003E41EF">
            <w:r>
              <w:t>нечести</w:t>
            </w:r>
          </w:p>
        </w:tc>
      </w:tr>
      <w:tr w:rsidR="003E41EF" w14:paraId="4A8802A8" w14:textId="77777777" w:rsidTr="00F43F54">
        <w:tc>
          <w:tcPr>
            <w:tcW w:w="3166" w:type="dxa"/>
          </w:tcPr>
          <w:p w14:paraId="5DF3D2F3" w14:textId="6CCBBC3A" w:rsidR="003E41EF" w:rsidRDefault="003E41EF" w:rsidP="003E41EF">
            <w:r>
              <w:t>Общи нарушения и ефекти на мястото на приложение</w:t>
            </w:r>
          </w:p>
        </w:tc>
        <w:tc>
          <w:tcPr>
            <w:tcW w:w="3167" w:type="dxa"/>
          </w:tcPr>
          <w:p w14:paraId="6DF0AD95" w14:textId="5F00E1D9" w:rsidR="003E41EF" w:rsidRDefault="003E41EF" w:rsidP="003E41EF">
            <w:r>
              <w:t>Треска, замайване</w:t>
            </w:r>
          </w:p>
        </w:tc>
        <w:tc>
          <w:tcPr>
            <w:tcW w:w="3167" w:type="dxa"/>
          </w:tcPr>
          <w:p w14:paraId="3FE52783" w14:textId="77777777" w:rsidR="003E41EF" w:rsidRDefault="003E41EF" w:rsidP="003E41EF"/>
          <w:p w14:paraId="45403041" w14:textId="552992B9" w:rsidR="003E41EF" w:rsidRDefault="003E41EF" w:rsidP="003E41EF">
            <w:r>
              <w:t>нечести</w:t>
            </w:r>
          </w:p>
        </w:tc>
      </w:tr>
    </w:tbl>
    <w:p w14:paraId="4E0B2079" w14:textId="5EDAC716" w:rsidR="00F43F54" w:rsidRDefault="00F43F54" w:rsidP="0091385D"/>
    <w:p w14:paraId="0D642285" w14:textId="77777777" w:rsidR="00F43F54" w:rsidRPr="00F43F54" w:rsidRDefault="00F43F54" w:rsidP="00F43F54">
      <w:pPr>
        <w:spacing w:line="240" w:lineRule="auto"/>
        <w:rPr>
          <w:rFonts w:eastAsia="Times New Roman" w:cs="Arial"/>
          <w:lang w:eastAsia="bg-BG"/>
        </w:rPr>
      </w:pPr>
      <w:r w:rsidRPr="00F43F54">
        <w:rPr>
          <w:rFonts w:eastAsia="Times New Roman" w:cs="Arial"/>
          <w:color w:val="000000"/>
          <w:vertAlign w:val="superscript"/>
          <w:lang w:eastAsia="bg-BG"/>
        </w:rPr>
        <w:t>1</w:t>
      </w:r>
      <w:r w:rsidRPr="00F43F54">
        <w:rPr>
          <w:rFonts w:eastAsia="Times New Roman" w:cs="Arial"/>
          <w:color w:val="000000"/>
          <w:lang w:eastAsia="bg-BG"/>
        </w:rPr>
        <w:t xml:space="preserve"> 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4528BEA4" w14:textId="77777777" w:rsidR="00F43F54" w:rsidRPr="00F43F54" w:rsidRDefault="00F43F54" w:rsidP="00F43F54">
      <w:pPr>
        <w:spacing w:line="240" w:lineRule="auto"/>
        <w:rPr>
          <w:rFonts w:eastAsia="Times New Roman" w:cs="Arial"/>
          <w:color w:val="000000"/>
          <w:u w:val="single"/>
          <w:lang w:eastAsia="bg-BG"/>
        </w:rPr>
      </w:pPr>
    </w:p>
    <w:p w14:paraId="558D1378" w14:textId="09CAD3B7" w:rsidR="00F43F54" w:rsidRPr="00F43F54" w:rsidRDefault="00F43F54" w:rsidP="00F43F54">
      <w:pPr>
        <w:spacing w:line="240" w:lineRule="auto"/>
        <w:rPr>
          <w:rFonts w:eastAsia="Times New Roman" w:cs="Arial"/>
          <w:lang w:eastAsia="bg-BG"/>
        </w:rPr>
      </w:pPr>
      <w:r w:rsidRPr="00F43F54">
        <w:rPr>
          <w:rFonts w:eastAsia="Times New Roman" w:cs="Arial"/>
          <w:color w:val="000000"/>
          <w:u w:val="single"/>
          <w:lang w:eastAsia="bg-BG"/>
        </w:rPr>
        <w:t>Съобщаване на подозирани нежелани реакции</w:t>
      </w:r>
    </w:p>
    <w:p w14:paraId="0A1491F4" w14:textId="2030C38E" w:rsidR="00F43F54" w:rsidRPr="00F43F54" w:rsidRDefault="00F43F54" w:rsidP="00F43F54">
      <w:pPr>
        <w:rPr>
          <w:rFonts w:cs="Arial"/>
        </w:rPr>
      </w:pPr>
      <w:r w:rsidRPr="00F43F54">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позволявала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w:t>
      </w:r>
      <w:r w:rsidRPr="00F43F54">
        <w:rPr>
          <w:rFonts w:eastAsia="Times New Roman" w:cs="Arial"/>
          <w:color w:val="000000"/>
          <w:lang w:eastAsia="bg-BG"/>
        </w:rPr>
        <w:lastRenderedPageBreak/>
        <w:t xml:space="preserve">по лекарствата ул. „Дамян Груев” № 8 1303 София тел.: +359 2 8903417 уебсайт: </w:t>
      </w:r>
      <w:r w:rsidRPr="00F43F54">
        <w:rPr>
          <w:rFonts w:eastAsia="Times New Roman" w:cs="Arial"/>
          <w:lang w:eastAsia="bg-BG"/>
        </w:rPr>
        <w:fldChar w:fldCharType="begin"/>
      </w:r>
      <w:r w:rsidRPr="00F43F54">
        <w:rPr>
          <w:rFonts w:eastAsia="Times New Roman" w:cs="Arial"/>
          <w:lang w:eastAsia="bg-BG"/>
        </w:rPr>
        <w:instrText xml:space="preserve"> HYPERLINK "http://www.bda.bg" </w:instrText>
      </w:r>
      <w:r w:rsidRPr="00F43F54">
        <w:rPr>
          <w:rFonts w:eastAsia="Times New Roman" w:cs="Arial"/>
          <w:lang w:eastAsia="bg-BG"/>
        </w:rPr>
      </w:r>
      <w:r w:rsidRPr="00F43F54">
        <w:rPr>
          <w:rFonts w:eastAsia="Times New Roman" w:cs="Arial"/>
          <w:lang w:eastAsia="bg-BG"/>
        </w:rPr>
        <w:fldChar w:fldCharType="separate"/>
      </w:r>
      <w:r w:rsidRPr="00F43F54">
        <w:rPr>
          <w:rFonts w:eastAsia="Times New Roman" w:cs="Arial"/>
          <w:color w:val="000000"/>
          <w:lang w:val="en-US"/>
        </w:rPr>
        <w:t>www.bda.bg</w:t>
      </w:r>
      <w:r w:rsidRPr="00F43F54">
        <w:rPr>
          <w:rFonts w:eastAsia="Times New Roman" w:cs="Arial"/>
          <w:lang w:eastAsia="bg-BG"/>
        </w:rPr>
        <w:fldChar w:fldCharType="end"/>
      </w:r>
    </w:p>
    <w:p w14:paraId="14AC38CA" w14:textId="77777777" w:rsidR="00F43F54" w:rsidRPr="0091385D" w:rsidRDefault="00F43F54"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42635F34" w14:textId="77777777"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 xml:space="preserve">Няма налична специфична информация за лечението на предозиране с Лориста </w:t>
      </w:r>
      <w:r w:rsidRPr="003E41EF">
        <w:rPr>
          <w:rFonts w:eastAsia="Times New Roman" w:cs="Arial"/>
          <w:color w:val="000000"/>
          <w:lang w:val="en-US"/>
        </w:rPr>
        <w:t xml:space="preserve">HL. </w:t>
      </w:r>
      <w:r w:rsidRPr="003E41EF">
        <w:rPr>
          <w:rFonts w:eastAsia="Times New Roman" w:cs="Arial"/>
          <w:color w:val="000000"/>
          <w:lang w:eastAsia="bg-BG"/>
        </w:rPr>
        <w:t xml:space="preserve">Лечението е симптоматично и поддържащо. Лечението с Лориста </w:t>
      </w:r>
      <w:r w:rsidRPr="003E41EF">
        <w:rPr>
          <w:rFonts w:eastAsia="Times New Roman" w:cs="Arial"/>
          <w:color w:val="000000"/>
          <w:lang w:val="en-US"/>
        </w:rPr>
        <w:t xml:space="preserve">HL </w:t>
      </w:r>
      <w:r w:rsidRPr="003E41EF">
        <w:rPr>
          <w:rFonts w:eastAsia="Times New Roman" w:cs="Arial"/>
          <w:color w:val="000000"/>
          <w:lang w:eastAsia="bg-BG"/>
        </w:rPr>
        <w:t>трябва да се прекрати и пациентът да се наблюдава внимателно. Предполагаемите мерки включват навременно предизвикване на повръщане и коригиране на дехидратацията, електролитния дисбаланс, чернодробната кома и хипотонията чрез установени процедури.</w:t>
      </w:r>
    </w:p>
    <w:p w14:paraId="56020818" w14:textId="77777777" w:rsidR="003E41EF" w:rsidRPr="003E41EF" w:rsidRDefault="003E41EF" w:rsidP="003E41EF">
      <w:pPr>
        <w:spacing w:line="240" w:lineRule="auto"/>
        <w:rPr>
          <w:rFonts w:eastAsia="Times New Roman" w:cs="Arial"/>
          <w:color w:val="000000"/>
          <w:u w:val="single"/>
          <w:lang w:eastAsia="bg-BG"/>
        </w:rPr>
      </w:pPr>
    </w:p>
    <w:p w14:paraId="79482255" w14:textId="3BB97D20" w:rsidR="003E41EF" w:rsidRPr="004C08A1" w:rsidRDefault="003E41EF" w:rsidP="004C08A1">
      <w:pPr>
        <w:pStyle w:val="Heading3"/>
        <w:rPr>
          <w:rFonts w:eastAsia="Times New Roman"/>
          <w:u w:val="single"/>
          <w:lang w:eastAsia="bg-BG"/>
        </w:rPr>
      </w:pPr>
      <w:r w:rsidRPr="004C08A1">
        <w:rPr>
          <w:rFonts w:eastAsia="Times New Roman"/>
          <w:u w:val="single"/>
          <w:lang w:eastAsia="bg-BG"/>
        </w:rPr>
        <w:t>Лосартан</w:t>
      </w:r>
    </w:p>
    <w:p w14:paraId="5F5A0BEA" w14:textId="77777777"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Има ограничени данни по отношение предозиране при хора. Най-вероятната проява на предозиране би била хипотония и тахикардия; брадикардията може да е в резултат на парасимпатикусово (вагусово) стимулиране. Ако се развие симптоматична хипотония, трябва да се започне поддържащо лечение.</w:t>
      </w:r>
    </w:p>
    <w:p w14:paraId="1C8805B9" w14:textId="77777777"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Нито лосартан, нито активният метаболит могат да се отстранят с хемодиализа.</w:t>
      </w:r>
    </w:p>
    <w:p w14:paraId="62879A99" w14:textId="77777777" w:rsidR="003E41EF" w:rsidRPr="003E41EF" w:rsidRDefault="003E41EF" w:rsidP="003E41EF">
      <w:pPr>
        <w:spacing w:line="240" w:lineRule="auto"/>
        <w:rPr>
          <w:rFonts w:eastAsia="Times New Roman" w:cs="Arial"/>
          <w:color w:val="000000"/>
          <w:u w:val="single"/>
          <w:lang w:eastAsia="bg-BG"/>
        </w:rPr>
      </w:pPr>
    </w:p>
    <w:p w14:paraId="29504B65" w14:textId="26FD67E6" w:rsidR="003E41EF" w:rsidRPr="004C08A1" w:rsidRDefault="003E41EF" w:rsidP="004C08A1">
      <w:pPr>
        <w:pStyle w:val="Heading3"/>
        <w:rPr>
          <w:rFonts w:eastAsia="Times New Roman"/>
          <w:u w:val="single"/>
          <w:lang w:eastAsia="bg-BG"/>
        </w:rPr>
      </w:pPr>
      <w:r w:rsidRPr="004C08A1">
        <w:rPr>
          <w:rFonts w:eastAsia="Times New Roman"/>
          <w:u w:val="single"/>
          <w:lang w:eastAsia="bg-BG"/>
        </w:rPr>
        <w:t>Хидрохлоротиазид</w:t>
      </w:r>
    </w:p>
    <w:p w14:paraId="08693C95" w14:textId="77777777"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Най-честите наблюдавани признаци и симптоми са тези, причинени от намаляване на електролитите (хипокалиемия, хипохлоремия, хипонатриемия) и дехидратация като резултат от прекомерна диуреза. Ако се приложи и дигиталис, хипокалиемията може да предизвика сърдечни аритмии.</w:t>
      </w:r>
    </w:p>
    <w:p w14:paraId="0F0079CB" w14:textId="01D08621" w:rsidR="0091385D" w:rsidRPr="003E41EF" w:rsidRDefault="003E41EF" w:rsidP="003E41EF">
      <w:pPr>
        <w:rPr>
          <w:rFonts w:cs="Arial"/>
        </w:rPr>
      </w:pPr>
      <w:r w:rsidRPr="003E41EF">
        <w:rPr>
          <w:rFonts w:eastAsia="Times New Roman" w:cs="Arial"/>
          <w:color w:val="000000"/>
          <w:lang w:eastAsia="bg-BG"/>
        </w:rPr>
        <w:t>Не е установена степента, до която хидрохлоротиазид се отстранява с хемодиализа.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28252AA0" w14:textId="6B1DC267" w:rsidR="0091385D" w:rsidRPr="003E41EF" w:rsidRDefault="003E41EF" w:rsidP="0091385D">
      <w:pPr>
        <w:rPr>
          <w:rFonts w:cs="Arial"/>
        </w:rPr>
      </w:pPr>
      <w:r w:rsidRPr="003E41EF">
        <w:rPr>
          <w:rFonts w:cs="Arial"/>
        </w:rPr>
        <w:t xml:space="preserve">Фармакотерапевтична група: ангиотензин П рецепторен антагонист и тиазиден диуретик. </w:t>
      </w:r>
      <w:r w:rsidRPr="003E41EF">
        <w:rPr>
          <w:rFonts w:cs="Arial"/>
          <w:lang w:val="en-US"/>
        </w:rPr>
        <w:t>ATC</w:t>
      </w:r>
      <w:r w:rsidRPr="003E41EF">
        <w:rPr>
          <w:rFonts w:cs="Arial"/>
        </w:rPr>
        <w:t xml:space="preserve"> код: </w:t>
      </w:r>
      <w:r w:rsidRPr="003E41EF">
        <w:rPr>
          <w:rFonts w:cs="Arial"/>
          <w:lang w:val="en-US"/>
        </w:rPr>
        <w:t>C09DA0</w:t>
      </w:r>
      <w:r w:rsidRPr="003E41EF">
        <w:rPr>
          <w:rFonts w:cs="Arial"/>
        </w:rPr>
        <w:t>1</w:t>
      </w:r>
    </w:p>
    <w:p w14:paraId="6FB7DC95" w14:textId="7B962102" w:rsidR="003E41EF" w:rsidRPr="003E41EF" w:rsidRDefault="003E41EF" w:rsidP="0091385D">
      <w:pPr>
        <w:rPr>
          <w:rFonts w:cs="Arial"/>
        </w:rPr>
      </w:pPr>
    </w:p>
    <w:p w14:paraId="6996942E" w14:textId="77777777"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u w:val="single"/>
          <w:lang w:eastAsia="bg-BG"/>
        </w:rPr>
        <w:t>Лосартан-Хидрохлоротиазид</w:t>
      </w:r>
    </w:p>
    <w:p w14:paraId="50BFA817" w14:textId="77777777"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 xml:space="preserve">Компонентите на Лориста </w:t>
      </w:r>
      <w:r w:rsidRPr="003E41EF">
        <w:rPr>
          <w:rFonts w:eastAsia="Times New Roman" w:cs="Arial"/>
          <w:color w:val="000000"/>
          <w:lang w:val="en-US"/>
        </w:rPr>
        <w:t xml:space="preserve">HL </w:t>
      </w:r>
      <w:r w:rsidRPr="003E41EF">
        <w:rPr>
          <w:rFonts w:eastAsia="Times New Roman" w:cs="Arial"/>
          <w:color w:val="000000"/>
          <w:lang w:eastAsia="bg-BG"/>
        </w:rPr>
        <w:t>са показали, че имат адитивен ефект върху редукцията на кръвното налягане, като намаляват кръвното налягане в по-голяма степен, в сравнение с всеки от компонентите поотделно. Счита се, че този ефект е резултат от сполучливото действие на двата компонента. В допълнение, хидрохлоротиазид, в резултат на диуретичния си ефект, увеличава плазмената ренинова активност, повишава алдостероновата секреция, намалява серумния калий и повишава нивата на ангиотензин II. Прилагането на лосартан блокира всички физиологично - обусловени действия на ангиотензин II и чрез инхибирането на алдостерон, може да предизвика намаляване на свързаната с диуретика загуба на калий.</w:t>
      </w:r>
    </w:p>
    <w:p w14:paraId="0F013605" w14:textId="77777777" w:rsidR="003E41EF" w:rsidRPr="003E41EF" w:rsidRDefault="003E41EF" w:rsidP="003E41EF">
      <w:pPr>
        <w:spacing w:line="240" w:lineRule="auto"/>
        <w:rPr>
          <w:rFonts w:eastAsia="Times New Roman" w:cs="Arial"/>
          <w:color w:val="000000"/>
          <w:lang w:eastAsia="bg-BG"/>
        </w:rPr>
      </w:pPr>
    </w:p>
    <w:p w14:paraId="63A04C1A" w14:textId="289C4B4B"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Лосартан е показал, че има временен и лек урикозуричен ефект. Хидрохлоротиазид може да причини умерено увеличение на пикочната киселина; комбинацията от лосартан и</w:t>
      </w:r>
      <w:r w:rsidRPr="003E41EF">
        <w:rPr>
          <w:rFonts w:eastAsia="Times New Roman" w:cs="Arial"/>
          <w:i/>
          <w:iCs/>
          <w:color w:val="000000"/>
          <w:lang w:eastAsia="bg-BG"/>
        </w:rPr>
        <w:t xml:space="preserve"> </w:t>
      </w:r>
      <w:r w:rsidRPr="003E41EF">
        <w:rPr>
          <w:rFonts w:eastAsia="Times New Roman" w:cs="Arial"/>
          <w:color w:val="000000"/>
          <w:lang w:eastAsia="bg-BG"/>
        </w:rPr>
        <w:lastRenderedPageBreak/>
        <w:t>хидрохлоротиазид показва тенденции към отслабване на причинената от диуретика хиперурикемия.</w:t>
      </w:r>
    </w:p>
    <w:p w14:paraId="652058F1" w14:textId="77777777" w:rsidR="003E41EF" w:rsidRPr="003E41EF" w:rsidRDefault="003E41EF" w:rsidP="003E41EF">
      <w:pPr>
        <w:spacing w:line="240" w:lineRule="auto"/>
        <w:rPr>
          <w:rFonts w:eastAsia="Times New Roman" w:cs="Arial"/>
          <w:color w:val="000000"/>
          <w:lang w:eastAsia="bg-BG"/>
        </w:rPr>
      </w:pPr>
    </w:p>
    <w:p w14:paraId="179461CE" w14:textId="33A30E4A" w:rsidR="003E41EF" w:rsidRPr="003E41EF" w:rsidRDefault="003E41EF" w:rsidP="003E41EF">
      <w:pPr>
        <w:spacing w:line="240" w:lineRule="auto"/>
        <w:rPr>
          <w:rFonts w:eastAsia="Times New Roman" w:cs="Arial"/>
          <w:color w:val="000000"/>
          <w:lang w:eastAsia="bg-BG"/>
        </w:rPr>
      </w:pPr>
      <w:r w:rsidRPr="003E41EF">
        <w:rPr>
          <w:rFonts w:eastAsia="Times New Roman" w:cs="Arial"/>
          <w:color w:val="000000"/>
          <w:lang w:eastAsia="bg-BG"/>
        </w:rPr>
        <w:t xml:space="preserve">Антихипертензивният ефект на Лориста </w:t>
      </w:r>
      <w:r w:rsidRPr="003E41EF">
        <w:rPr>
          <w:rFonts w:eastAsia="Times New Roman" w:cs="Arial"/>
          <w:color w:val="000000"/>
          <w:lang w:val="en-US"/>
        </w:rPr>
        <w:t xml:space="preserve">HL </w:t>
      </w:r>
      <w:r w:rsidRPr="003E41EF">
        <w:rPr>
          <w:rFonts w:eastAsia="Times New Roman" w:cs="Arial"/>
          <w:color w:val="000000"/>
          <w:lang w:eastAsia="bg-BG"/>
        </w:rPr>
        <w:t xml:space="preserve">продължава за период от 24 часа. При клинични изпитвания, продължили най-малко една година, антихипертензивният ефект се е запазил с продължаване на терапията. Независимо от същественото понижаване на кръвното налягане, Лориста </w:t>
      </w:r>
      <w:r w:rsidRPr="003E41EF">
        <w:rPr>
          <w:rFonts w:eastAsia="Times New Roman" w:cs="Arial"/>
          <w:color w:val="000000"/>
          <w:lang w:val="en-US"/>
        </w:rPr>
        <w:t xml:space="preserve">HL </w:t>
      </w:r>
      <w:r w:rsidRPr="003E41EF">
        <w:rPr>
          <w:rFonts w:eastAsia="Times New Roman" w:cs="Arial"/>
          <w:color w:val="000000"/>
          <w:lang w:eastAsia="bg-BG"/>
        </w:rPr>
        <w:t xml:space="preserve">не е оказал клинично значим ефект върху сърдечната честота. При клинични изпитвания, след 12-седмична терапия с лосартан 50 </w:t>
      </w:r>
      <w:r w:rsidRPr="003E41EF">
        <w:rPr>
          <w:rFonts w:eastAsia="Times New Roman" w:cs="Arial"/>
          <w:color w:val="000000"/>
          <w:lang w:val="en-US"/>
        </w:rPr>
        <w:t xml:space="preserve">mg/ </w:t>
      </w:r>
      <w:r w:rsidRPr="003E41EF">
        <w:rPr>
          <w:rFonts w:eastAsia="Times New Roman" w:cs="Arial"/>
          <w:color w:val="000000"/>
          <w:lang w:eastAsia="bg-BG"/>
        </w:rPr>
        <w:t xml:space="preserve">хидрохлоротиазид 12,5 </w:t>
      </w:r>
      <w:r w:rsidRPr="003E41EF">
        <w:rPr>
          <w:rFonts w:eastAsia="Times New Roman" w:cs="Arial"/>
          <w:color w:val="000000"/>
          <w:lang w:val="en-US"/>
        </w:rPr>
        <w:t xml:space="preserve">mg, </w:t>
      </w:r>
      <w:r w:rsidRPr="003E41EF">
        <w:rPr>
          <w:rFonts w:eastAsia="Times New Roman" w:cs="Arial"/>
          <w:color w:val="000000"/>
          <w:lang w:eastAsia="bg-BG"/>
        </w:rPr>
        <w:t xml:space="preserve">измерваното в седнало положение диастолично кръвно налягане е било намалено средно с до 13,2 </w:t>
      </w:r>
      <w:r w:rsidRPr="003E41EF">
        <w:rPr>
          <w:rFonts w:eastAsia="Times New Roman" w:cs="Arial"/>
          <w:color w:val="000000"/>
          <w:lang w:val="en-US"/>
        </w:rPr>
        <w:t>mmHg.</w:t>
      </w:r>
    </w:p>
    <w:p w14:paraId="5ADA46CA" w14:textId="77777777" w:rsidR="003E41EF" w:rsidRPr="003E41EF" w:rsidRDefault="003E41EF" w:rsidP="003E41EF">
      <w:pPr>
        <w:spacing w:line="240" w:lineRule="auto"/>
        <w:rPr>
          <w:rFonts w:eastAsia="Times New Roman" w:cs="Arial"/>
          <w:color w:val="000000"/>
          <w:lang w:eastAsia="bg-BG"/>
        </w:rPr>
      </w:pPr>
    </w:p>
    <w:p w14:paraId="3278E5F1" w14:textId="1167EC20"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 xml:space="preserve">Лориста </w:t>
      </w:r>
      <w:r w:rsidRPr="003E41EF">
        <w:rPr>
          <w:rFonts w:eastAsia="Times New Roman" w:cs="Arial"/>
          <w:color w:val="000000"/>
          <w:lang w:val="en-US"/>
        </w:rPr>
        <w:t xml:space="preserve">HL </w:t>
      </w:r>
      <w:r w:rsidRPr="003E41EF">
        <w:rPr>
          <w:rFonts w:eastAsia="Times New Roman" w:cs="Arial"/>
          <w:color w:val="000000"/>
          <w:lang w:eastAsia="bg-BG"/>
        </w:rPr>
        <w:t>е ефективен при понижаване на кръвното налягане на мъже и жени, чернокожи и нечернокожи, по-млади (&lt; 65 години) и по-възрастни (над 65 години) пациенти, както и за всички степени на хипертония.</w:t>
      </w:r>
    </w:p>
    <w:p w14:paraId="161DAD3C" w14:textId="77777777" w:rsidR="003E41EF" w:rsidRPr="003E41EF" w:rsidRDefault="003E41EF" w:rsidP="003E41EF">
      <w:pPr>
        <w:spacing w:line="240" w:lineRule="auto"/>
        <w:rPr>
          <w:rFonts w:eastAsia="Times New Roman" w:cs="Arial"/>
          <w:color w:val="000000"/>
          <w:u w:val="single"/>
          <w:lang w:eastAsia="bg-BG"/>
        </w:rPr>
      </w:pPr>
    </w:p>
    <w:p w14:paraId="631A1AAD" w14:textId="02DA91F2"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u w:val="single"/>
          <w:lang w:eastAsia="bg-BG"/>
        </w:rPr>
        <w:t>Лосартан</w:t>
      </w:r>
    </w:p>
    <w:p w14:paraId="0489597F" w14:textId="77777777" w:rsidR="003E41EF" w:rsidRPr="003E41EF" w:rsidRDefault="003E41EF" w:rsidP="003E41EF">
      <w:pPr>
        <w:spacing w:line="240" w:lineRule="auto"/>
        <w:rPr>
          <w:rFonts w:eastAsia="Times New Roman" w:cs="Arial"/>
          <w:color w:val="000000"/>
          <w:lang w:eastAsia="bg-BG"/>
        </w:rPr>
      </w:pPr>
    </w:p>
    <w:p w14:paraId="7B7E4DAA" w14:textId="0B8B92BF"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Лосартан е синтетичен перорален антагонист на ангиотензин II рецептор (тип АТ</w:t>
      </w:r>
      <w:r w:rsidRPr="003E41EF">
        <w:rPr>
          <w:rFonts w:eastAsia="Times New Roman" w:cs="Arial"/>
          <w:color w:val="000000"/>
          <w:vertAlign w:val="subscript"/>
          <w:lang w:eastAsia="bg-BG"/>
        </w:rPr>
        <w:t>1</w:t>
      </w:r>
      <w:r w:rsidRPr="003E41EF">
        <w:rPr>
          <w:rFonts w:eastAsia="Times New Roman" w:cs="Arial"/>
          <w:color w:val="000000"/>
          <w:lang w:eastAsia="bg-BG"/>
        </w:rPr>
        <w:t xml:space="preserve">). Ангиотензин II, мощен вазоконстриктор, е основен активен хормон на системата ренин- ангиотензин и е основен определящ фактор в патофизиологията на хипертонията. Ангиотензин II се свързва с </w:t>
      </w:r>
      <w:r w:rsidRPr="003E41EF">
        <w:rPr>
          <w:rFonts w:eastAsia="Times New Roman" w:cs="Arial"/>
          <w:color w:val="000000"/>
          <w:lang w:val="en-US"/>
        </w:rPr>
        <w:t>AT</w:t>
      </w:r>
      <w:r w:rsidRPr="003E41EF">
        <w:rPr>
          <w:rFonts w:eastAsia="Times New Roman" w:cs="Arial"/>
          <w:color w:val="000000"/>
          <w:vertAlign w:val="subscript"/>
          <w:lang w:val="en-US"/>
        </w:rPr>
        <w:t>1</w:t>
      </w:r>
      <w:r w:rsidRPr="003E41EF">
        <w:rPr>
          <w:rFonts w:eastAsia="Times New Roman" w:cs="Arial"/>
          <w:color w:val="000000"/>
          <w:lang w:val="en-US"/>
        </w:rPr>
        <w:t xml:space="preserve"> </w:t>
      </w:r>
      <w:r w:rsidRPr="003E41EF">
        <w:rPr>
          <w:rFonts w:eastAsia="Times New Roman" w:cs="Arial"/>
          <w:color w:val="000000"/>
          <w:lang w:eastAsia="bg-BG"/>
        </w:rPr>
        <w:t>- рецептора, който се намира в много тъкани (напр. васкуларната гладка мускулатура, надбъбречната жлеза, бъбреците и сърцето) и предизвиква важни биологични действия, включително вазоконстрикция и отделяне на алдостерон. Също така, ангиотензин II стимулира пролиферацията на клетките на гладката мускулатура.</w:t>
      </w:r>
    </w:p>
    <w:p w14:paraId="70DBE2E0" w14:textId="77777777" w:rsidR="003E41EF" w:rsidRPr="003E41EF" w:rsidRDefault="003E41EF" w:rsidP="003E41EF">
      <w:pPr>
        <w:spacing w:line="240" w:lineRule="auto"/>
        <w:rPr>
          <w:rFonts w:eastAsia="Times New Roman" w:cs="Arial"/>
          <w:color w:val="000000"/>
          <w:lang w:eastAsia="bg-BG"/>
        </w:rPr>
      </w:pPr>
    </w:p>
    <w:p w14:paraId="37766566" w14:textId="71F576CF"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 xml:space="preserve">Лосартан селективно блокира </w:t>
      </w:r>
      <w:proofErr w:type="spellStart"/>
      <w:r w:rsidRPr="003E41EF">
        <w:rPr>
          <w:rFonts w:eastAsia="Times New Roman" w:cs="Arial"/>
          <w:color w:val="000000"/>
          <w:lang w:val="en-US"/>
        </w:rPr>
        <w:t>ATi</w:t>
      </w:r>
      <w:proofErr w:type="spellEnd"/>
      <w:r w:rsidRPr="003E41EF">
        <w:rPr>
          <w:rFonts w:eastAsia="Times New Roman" w:cs="Arial"/>
          <w:color w:val="000000"/>
          <w:lang w:val="en-US"/>
        </w:rPr>
        <w:t xml:space="preserve"> </w:t>
      </w:r>
      <w:r w:rsidRPr="003E41EF">
        <w:rPr>
          <w:rFonts w:eastAsia="Times New Roman" w:cs="Arial"/>
          <w:color w:val="000000"/>
          <w:lang w:eastAsia="bg-BG"/>
        </w:rPr>
        <w:t xml:space="preserve">рецептора. </w:t>
      </w:r>
      <w:r w:rsidRPr="003E41EF">
        <w:rPr>
          <w:rFonts w:eastAsia="Times New Roman" w:cs="Arial"/>
          <w:i/>
          <w:iCs/>
          <w:color w:val="000000"/>
          <w:lang w:val="en-US"/>
        </w:rPr>
        <w:t>In vitro</w:t>
      </w:r>
      <w:r w:rsidRPr="003E41EF">
        <w:rPr>
          <w:rFonts w:eastAsia="Times New Roman" w:cs="Arial"/>
          <w:color w:val="000000"/>
          <w:lang w:val="en-US"/>
        </w:rPr>
        <w:t xml:space="preserve"> </w:t>
      </w:r>
      <w:r w:rsidRPr="003E41EF">
        <w:rPr>
          <w:rFonts w:eastAsia="Times New Roman" w:cs="Arial"/>
          <w:color w:val="000000"/>
          <w:lang w:eastAsia="bg-BG"/>
        </w:rPr>
        <w:t xml:space="preserve">и </w:t>
      </w:r>
      <w:r w:rsidRPr="003E41EF">
        <w:rPr>
          <w:rFonts w:eastAsia="Times New Roman" w:cs="Arial"/>
          <w:i/>
          <w:iCs/>
          <w:color w:val="000000"/>
          <w:lang w:val="en-US"/>
        </w:rPr>
        <w:t>in vivo</w:t>
      </w:r>
      <w:r w:rsidRPr="003E41EF">
        <w:rPr>
          <w:rFonts w:eastAsia="Times New Roman" w:cs="Arial"/>
          <w:color w:val="000000"/>
          <w:lang w:val="en-US"/>
        </w:rPr>
        <w:t xml:space="preserve"> </w:t>
      </w:r>
      <w:r w:rsidRPr="003E41EF">
        <w:rPr>
          <w:rFonts w:eastAsia="Times New Roman" w:cs="Arial"/>
          <w:color w:val="000000"/>
          <w:lang w:eastAsia="bg-BG"/>
        </w:rPr>
        <w:t>лосартан и неговият физиологично активен карбоксилен метаболит (Е-З 174) блокират всички действия на ангиотензин II, независимо от източника и пътя на синтеза.</w:t>
      </w:r>
    </w:p>
    <w:p w14:paraId="30B02E85" w14:textId="77777777" w:rsidR="003E41EF" w:rsidRPr="003E41EF" w:rsidRDefault="003E41EF" w:rsidP="003E41EF">
      <w:pPr>
        <w:spacing w:line="240" w:lineRule="auto"/>
        <w:rPr>
          <w:rFonts w:eastAsia="Times New Roman" w:cs="Arial"/>
          <w:color w:val="000000"/>
          <w:lang w:eastAsia="bg-BG"/>
        </w:rPr>
      </w:pPr>
    </w:p>
    <w:p w14:paraId="541CD099" w14:textId="0F259ACC"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Лосартан няма агонистичен ефект и не блокира други хормонални рецептори или йонни канали важни в сърдечносъдовата регулация. При това лосартан не инхибира АСЕ (киназа II), ензимът, който разгражда брадикинините. Следователно, няма потенциране на предизвиканите от брадикинин нежелани ефекти.</w:t>
      </w:r>
    </w:p>
    <w:p w14:paraId="06C00251" w14:textId="77777777" w:rsidR="003E41EF" w:rsidRPr="003E41EF" w:rsidRDefault="003E41EF" w:rsidP="003E41EF">
      <w:pPr>
        <w:spacing w:line="240" w:lineRule="auto"/>
        <w:rPr>
          <w:rFonts w:eastAsia="Times New Roman" w:cs="Arial"/>
          <w:color w:val="000000"/>
          <w:lang w:eastAsia="bg-BG"/>
        </w:rPr>
      </w:pPr>
    </w:p>
    <w:p w14:paraId="707B4F8D" w14:textId="243B01C7"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 xml:space="preserve">По време на приложение на лосартан, премахването на ангиотензин II негативното въздействие върху рениновата секреция води до повишаване на плазмената ренинова активност </w:t>
      </w:r>
      <w:r w:rsidRPr="003E41EF">
        <w:rPr>
          <w:rFonts w:eastAsia="Times New Roman" w:cs="Arial"/>
          <w:color w:val="000000"/>
          <w:lang w:val="en-US"/>
        </w:rPr>
        <w:t>(PRA).</w:t>
      </w:r>
    </w:p>
    <w:p w14:paraId="497D44AF" w14:textId="4497ED3F" w:rsidR="003E41EF" w:rsidRPr="003E41EF" w:rsidRDefault="003E41EF" w:rsidP="003E41EF">
      <w:pPr>
        <w:spacing w:line="240" w:lineRule="auto"/>
        <w:rPr>
          <w:rFonts w:eastAsia="Times New Roman" w:cs="Arial"/>
          <w:sz w:val="24"/>
          <w:szCs w:val="24"/>
          <w:lang w:eastAsia="bg-BG"/>
        </w:rPr>
      </w:pPr>
      <w:r w:rsidRPr="003E41EF">
        <w:rPr>
          <w:rFonts w:eastAsia="Times New Roman" w:cs="Arial"/>
          <w:color w:val="000000"/>
          <w:lang w:eastAsia="bg-BG"/>
        </w:rPr>
        <w:t xml:space="preserve">Повишаването на </w:t>
      </w:r>
      <w:r w:rsidRPr="003E41EF">
        <w:rPr>
          <w:rFonts w:eastAsia="Times New Roman" w:cs="Arial"/>
          <w:color w:val="000000"/>
          <w:lang w:val="en-US"/>
        </w:rPr>
        <w:t xml:space="preserve">PRA </w:t>
      </w:r>
      <w:r w:rsidRPr="003E41EF">
        <w:rPr>
          <w:rFonts w:eastAsia="Times New Roman" w:cs="Arial"/>
          <w:color w:val="000000"/>
          <w:lang w:eastAsia="bg-BG"/>
        </w:rPr>
        <w:t xml:space="preserve">води до повишаване на ангиотензин II в плазмата. Въпреки тези повишения, антихипертензивният ефект и потискането на плазмените концентрации на алдостерон се поддържат, показвайки ефективна блокада на ангиотензин II рецептора. След прекъсване на лосартан, </w:t>
      </w:r>
      <w:r w:rsidRPr="003E41EF">
        <w:rPr>
          <w:rFonts w:eastAsia="Times New Roman" w:cs="Arial"/>
          <w:color w:val="000000"/>
          <w:lang w:val="en-US"/>
        </w:rPr>
        <w:t xml:space="preserve">PRA </w:t>
      </w:r>
      <w:r w:rsidRPr="003E41EF">
        <w:rPr>
          <w:rFonts w:eastAsia="Times New Roman" w:cs="Arial"/>
          <w:color w:val="000000"/>
          <w:lang w:eastAsia="bg-BG"/>
        </w:rPr>
        <w:t>стойностите на ангиотензин II спадат до 3 дни до изходните стойности.</w:t>
      </w:r>
    </w:p>
    <w:p w14:paraId="36152471" w14:textId="273A5A70" w:rsidR="0091385D" w:rsidRDefault="0091385D" w:rsidP="0091385D"/>
    <w:p w14:paraId="621E0D27"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iCs/>
          <w:color w:val="000000"/>
          <w:lang w:eastAsia="bg-BG"/>
        </w:rPr>
        <w:t>И</w:t>
      </w:r>
      <w:r w:rsidRPr="004C08A1">
        <w:rPr>
          <w:rFonts w:eastAsia="Times New Roman" w:cs="Arial"/>
          <w:color w:val="000000"/>
          <w:lang w:eastAsia="bg-BG"/>
        </w:rPr>
        <w:t xml:space="preserve"> лосартан, и неговият основен активен метаболит имат много по-голям афинитет към </w:t>
      </w:r>
      <w:r w:rsidRPr="004C08A1">
        <w:rPr>
          <w:rFonts w:eastAsia="Times New Roman" w:cs="Arial"/>
          <w:color w:val="000000"/>
          <w:lang w:val="en-US"/>
        </w:rPr>
        <w:t>AT</w:t>
      </w:r>
      <w:r w:rsidRPr="004C08A1">
        <w:rPr>
          <w:rFonts w:eastAsia="Times New Roman" w:cs="Arial"/>
          <w:color w:val="000000"/>
          <w:vertAlign w:val="subscript"/>
          <w:lang w:val="en-US"/>
        </w:rPr>
        <w:t>1</w:t>
      </w:r>
      <w:r w:rsidRPr="004C08A1">
        <w:rPr>
          <w:rFonts w:eastAsia="Times New Roman" w:cs="Arial"/>
          <w:color w:val="000000"/>
          <w:lang w:val="en-US"/>
        </w:rPr>
        <w:t xml:space="preserve"> </w:t>
      </w:r>
      <w:r w:rsidRPr="004C08A1">
        <w:rPr>
          <w:rFonts w:eastAsia="Times New Roman" w:cs="Arial"/>
          <w:color w:val="000000"/>
          <w:lang w:eastAsia="bg-BG"/>
        </w:rPr>
        <w:t>- рецептора, отколкото към АТз-рецептора. Активният метаболит е 10- до 40- пъти по-активен от лосартан по сила на тази основа.</w:t>
      </w:r>
    </w:p>
    <w:p w14:paraId="7FD2BFEC" w14:textId="77777777" w:rsidR="004C08A1" w:rsidRPr="004C08A1" w:rsidRDefault="004C08A1" w:rsidP="004C08A1">
      <w:pPr>
        <w:spacing w:line="240" w:lineRule="auto"/>
        <w:rPr>
          <w:rFonts w:eastAsia="Times New Roman" w:cs="Arial"/>
          <w:color w:val="000000"/>
          <w:lang w:eastAsia="bg-BG"/>
        </w:rPr>
      </w:pPr>
    </w:p>
    <w:p w14:paraId="35EB7E44" w14:textId="17CBC860"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 xml:space="preserve">В едно проучване, специално предназначено за оценка на честотата на кашлица при пациенти, лекувани с лосартан, в сравнение с пациентите, лекувани с АСЕ инхибитори, честотата на кашлицата, отчетена от пациентите, получаващи лосартан или </w:t>
      </w:r>
      <w:r w:rsidRPr="004C08A1">
        <w:rPr>
          <w:rFonts w:eastAsia="Times New Roman" w:cs="Arial"/>
          <w:color w:val="000000"/>
          <w:lang w:eastAsia="bg-BG"/>
        </w:rPr>
        <w:lastRenderedPageBreak/>
        <w:t>хидрохлоротиазид е подобна и е значително по-малка, отколкото при пациентите, лекувани с АСЕ инхибитор. В допълнение, по-цялостен анализ на 16 двойно-слепи клинични проучвания при 4 131 пациенти, честотата на спонтанни съобщения за кашлица при пациенти, лекувани с лосартан е подобна (3,1%) с тази на пациентите, лекувани с плацебо (2,6%) или хидрохлоротиазид (4,1 %), докато честотата с АСЕ инхибитори е била 8,8%.</w:t>
      </w:r>
    </w:p>
    <w:p w14:paraId="1BC12352" w14:textId="77777777" w:rsidR="004C08A1" w:rsidRPr="004C08A1" w:rsidRDefault="004C08A1" w:rsidP="004C08A1">
      <w:pPr>
        <w:spacing w:line="240" w:lineRule="auto"/>
        <w:rPr>
          <w:rFonts w:eastAsia="Times New Roman" w:cs="Arial"/>
          <w:color w:val="000000"/>
          <w:lang w:eastAsia="bg-BG"/>
        </w:rPr>
      </w:pPr>
    </w:p>
    <w:p w14:paraId="2657BC2A" w14:textId="5319B1A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 xml:space="preserve">При хипертоници без диабет с протеинурия, приложението на лосартан калий значително намалява протеинурията, частичната екскреция на албумин и </w:t>
      </w:r>
      <w:r w:rsidRPr="004C08A1">
        <w:rPr>
          <w:rFonts w:eastAsia="Times New Roman" w:cs="Arial"/>
          <w:color w:val="000000"/>
          <w:lang w:val="en-US"/>
        </w:rPr>
        <w:t xml:space="preserve">IgG. </w:t>
      </w:r>
      <w:r w:rsidRPr="004C08A1">
        <w:rPr>
          <w:rFonts w:eastAsia="Times New Roman" w:cs="Arial"/>
          <w:color w:val="000000"/>
          <w:lang w:eastAsia="bg-BG"/>
        </w:rPr>
        <w:t xml:space="preserve">Лосартан запазва скоростта на гломерулна филтрация и намалява филтрираната фракция. Като цяло, лосартан води до намаляване на пикочната киселина в серума (обикновено &lt;0,4 </w:t>
      </w:r>
      <w:r w:rsidRPr="004C08A1">
        <w:rPr>
          <w:rFonts w:eastAsia="Times New Roman" w:cs="Arial"/>
          <w:color w:val="000000"/>
          <w:lang w:val="en-US"/>
        </w:rPr>
        <w:t xml:space="preserve">mg/dl), </w:t>
      </w:r>
      <w:r w:rsidRPr="004C08A1">
        <w:rPr>
          <w:rFonts w:eastAsia="Times New Roman" w:cs="Arial"/>
          <w:color w:val="000000"/>
          <w:lang w:eastAsia="bg-BG"/>
        </w:rPr>
        <w:t>което е постоянно при хронично лечение.</w:t>
      </w:r>
    </w:p>
    <w:p w14:paraId="27B000D1" w14:textId="77777777" w:rsidR="004C08A1" w:rsidRPr="004C08A1" w:rsidRDefault="004C08A1" w:rsidP="004C08A1">
      <w:pPr>
        <w:spacing w:line="240" w:lineRule="auto"/>
        <w:rPr>
          <w:rFonts w:eastAsia="Times New Roman" w:cs="Arial"/>
          <w:color w:val="000000"/>
          <w:lang w:eastAsia="bg-BG"/>
        </w:rPr>
      </w:pPr>
    </w:p>
    <w:p w14:paraId="0EDA5959" w14:textId="5B74B77C"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Лосартан няма ефект върху автономните рефлекси и няма продължителен ефект върху плазмения норепинефрин.</w:t>
      </w:r>
    </w:p>
    <w:p w14:paraId="1E2759A6" w14:textId="77777777" w:rsidR="004C08A1" w:rsidRPr="004C08A1" w:rsidRDefault="004C08A1" w:rsidP="004C08A1">
      <w:pPr>
        <w:spacing w:line="240" w:lineRule="auto"/>
        <w:rPr>
          <w:rFonts w:eastAsia="Times New Roman" w:cs="Arial"/>
          <w:color w:val="000000"/>
          <w:lang w:eastAsia="bg-BG"/>
        </w:rPr>
      </w:pPr>
    </w:p>
    <w:p w14:paraId="69A266BF" w14:textId="261C1391"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 xml:space="preserve">При пациенти с ляво камерна недостатъчност, дози от </w:t>
      </w:r>
      <w:r w:rsidRPr="004C08A1">
        <w:rPr>
          <w:rFonts w:eastAsia="Times New Roman" w:cs="Arial"/>
          <w:color w:val="000000"/>
          <w:lang w:val="en-US"/>
        </w:rPr>
        <w:t xml:space="preserve">25-mg </w:t>
      </w:r>
      <w:r w:rsidRPr="004C08A1">
        <w:rPr>
          <w:rFonts w:eastAsia="Times New Roman" w:cs="Arial"/>
          <w:color w:val="000000"/>
          <w:lang w:eastAsia="bg-BG"/>
        </w:rPr>
        <w:t xml:space="preserve">и </w:t>
      </w:r>
      <w:r w:rsidRPr="004C08A1">
        <w:rPr>
          <w:rFonts w:eastAsia="Times New Roman" w:cs="Arial"/>
          <w:color w:val="000000"/>
          <w:lang w:val="en-US"/>
        </w:rPr>
        <w:t xml:space="preserve">50-mg </w:t>
      </w:r>
      <w:r w:rsidRPr="004C08A1">
        <w:rPr>
          <w:rFonts w:eastAsia="Times New Roman" w:cs="Arial"/>
          <w:color w:val="000000"/>
          <w:lang w:eastAsia="bg-BG"/>
        </w:rPr>
        <w:t>лосартан водят до позитивни хемодинамични и неврохормонални ефекти, характеризиращи се с повишаване на сърдечния индекс и намаляване на вклиненото белодробно капилярно налягане, системната съдова резистентност, средното системно артериално налягане и сърдечната честота и съответно намаление на циркулиращите нива на алдостерон и норепинефрин. Появата на хипотония при тези пациенти със сърдечна недостатъчност е дозо-зависима.</w:t>
      </w:r>
    </w:p>
    <w:p w14:paraId="302E04F0" w14:textId="77777777" w:rsidR="004C08A1" w:rsidRPr="004C08A1" w:rsidRDefault="004C08A1" w:rsidP="004C08A1">
      <w:pPr>
        <w:spacing w:line="240" w:lineRule="auto"/>
        <w:rPr>
          <w:rFonts w:eastAsia="Times New Roman" w:cs="Arial"/>
          <w:color w:val="000000"/>
          <w:u w:val="single"/>
          <w:lang w:eastAsia="bg-BG"/>
        </w:rPr>
      </w:pPr>
    </w:p>
    <w:p w14:paraId="164CAF2A" w14:textId="66A70314"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u w:val="single"/>
          <w:lang w:eastAsia="bg-BG"/>
        </w:rPr>
        <w:t>Хипертонични изпитвания</w:t>
      </w:r>
    </w:p>
    <w:p w14:paraId="16E8A8D0"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При контролирани клинични изпитвания върху пациенти с лека до средна есенциална хипертония, прилагането на лосартан един път дневно, е предизвикало статистически значимо понижение на систоличното и диастоличното кръвно налягане. Измерванията на кръвното налягане 24-часа след дозиране отнесено към 5-6 часа след дозата показва относително плавна редукция на кръвното налягане за период от 24 часа; естествените дневни ритми се запазват. Редукцията на кръвното налягане към края на дозовия интервал е била приблизително 70-80 % от ефекта, наблюдаван 5-6 часа след прилагане на дозата.</w:t>
      </w:r>
    </w:p>
    <w:p w14:paraId="7FC5FEAD" w14:textId="77777777" w:rsidR="004C08A1" w:rsidRPr="004C08A1" w:rsidRDefault="004C08A1" w:rsidP="004C08A1">
      <w:pPr>
        <w:spacing w:line="240" w:lineRule="auto"/>
        <w:rPr>
          <w:rFonts w:eastAsia="Times New Roman" w:cs="Arial"/>
          <w:color w:val="000000"/>
          <w:lang w:eastAsia="bg-BG"/>
        </w:rPr>
      </w:pPr>
    </w:p>
    <w:p w14:paraId="76A10322" w14:textId="70802986"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Спирането на лосартан, при хипертонични пациенти, не е водело до рязко възстановяване на кръвното налягане (рибаунд). Независимо от значителното намаляване на кръвното налягане, прилагането на лосартан не е оказало клинично значим ефект върху сърдечната честота.</w:t>
      </w:r>
    </w:p>
    <w:p w14:paraId="3CFCF245" w14:textId="77777777" w:rsidR="004C08A1" w:rsidRPr="004C08A1" w:rsidRDefault="004C08A1" w:rsidP="004C08A1">
      <w:pPr>
        <w:spacing w:line="240" w:lineRule="auto"/>
        <w:rPr>
          <w:rFonts w:eastAsia="Times New Roman" w:cs="Arial"/>
          <w:color w:val="000000"/>
          <w:lang w:eastAsia="bg-BG"/>
        </w:rPr>
      </w:pPr>
    </w:p>
    <w:p w14:paraId="1A022BCF" w14:textId="69C81C92"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Лосартан е еднакво ефективен за мъже и жени, за по-млади (под 65 години) и по-стари хипертоници.</w:t>
      </w:r>
    </w:p>
    <w:p w14:paraId="0F87CFEB" w14:textId="77777777" w:rsidR="004C08A1" w:rsidRPr="004C08A1" w:rsidRDefault="004C08A1" w:rsidP="004C08A1">
      <w:pPr>
        <w:spacing w:line="240" w:lineRule="auto"/>
        <w:rPr>
          <w:rFonts w:eastAsia="Times New Roman" w:cs="Arial"/>
          <w:color w:val="000000"/>
          <w:u w:val="single"/>
          <w:lang w:eastAsia="bg-BG"/>
        </w:rPr>
      </w:pPr>
    </w:p>
    <w:p w14:paraId="605772CC" w14:textId="4EE703C1"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u w:val="single"/>
          <w:lang w:eastAsia="bg-BG"/>
        </w:rPr>
        <w:t xml:space="preserve">Изпитване </w:t>
      </w:r>
      <w:r w:rsidRPr="004C08A1">
        <w:rPr>
          <w:rFonts w:eastAsia="Times New Roman" w:cs="Arial"/>
          <w:color w:val="000000"/>
          <w:u w:val="single"/>
          <w:lang w:val="en-US"/>
        </w:rPr>
        <w:t>LIFE</w:t>
      </w:r>
    </w:p>
    <w:p w14:paraId="04AC49E4" w14:textId="15DBEAB5" w:rsidR="004C08A1" w:rsidRPr="004C08A1" w:rsidRDefault="004C08A1" w:rsidP="004C08A1">
      <w:pPr>
        <w:rPr>
          <w:rFonts w:cs="Arial"/>
        </w:rPr>
      </w:pPr>
      <w:r w:rsidRPr="004C08A1">
        <w:rPr>
          <w:rFonts w:eastAsia="Times New Roman" w:cs="Arial"/>
          <w:color w:val="000000"/>
          <w:lang w:eastAsia="bg-BG"/>
        </w:rPr>
        <w:t xml:space="preserve">Изпитването </w:t>
      </w:r>
      <w:r w:rsidRPr="004C08A1">
        <w:rPr>
          <w:rFonts w:eastAsia="Times New Roman" w:cs="Arial"/>
          <w:color w:val="000000"/>
          <w:lang w:val="en-US"/>
        </w:rPr>
        <w:t xml:space="preserve">Losartan Intervention For Endpoint reduction in hypertension (LIFE) </w:t>
      </w:r>
      <w:r w:rsidRPr="004C08A1">
        <w:rPr>
          <w:rFonts w:eastAsia="Times New Roman" w:cs="Arial"/>
          <w:color w:val="000000"/>
          <w:lang w:eastAsia="bg-BG"/>
        </w:rPr>
        <w:t xml:space="preserve">е рандомизирано, тройно-сляпо, активно контролирано проучване при 9193 хипертоници на възраст между 55 и 80 години с ЕКГ-документирана лявокамерна хипертрофия. Пациентите се рандомизират да получават веднъж дневно лосартан 50 или веднъж дневно атенолол 50 </w:t>
      </w:r>
      <w:r w:rsidRPr="004C08A1">
        <w:rPr>
          <w:rFonts w:eastAsia="Times New Roman" w:cs="Arial"/>
          <w:color w:val="000000"/>
          <w:lang w:val="en-US"/>
        </w:rPr>
        <w:t xml:space="preserve">mg. </w:t>
      </w:r>
      <w:r w:rsidRPr="004C08A1">
        <w:rPr>
          <w:rFonts w:eastAsia="Times New Roman" w:cs="Arial"/>
          <w:color w:val="000000"/>
          <w:lang w:eastAsia="bg-BG"/>
        </w:rPr>
        <w:t xml:space="preserve">Ако желаното кръвно налягане (&lt; 140/90 </w:t>
      </w:r>
      <w:r w:rsidRPr="004C08A1">
        <w:rPr>
          <w:rFonts w:eastAsia="Times New Roman" w:cs="Arial"/>
          <w:color w:val="000000"/>
          <w:lang w:val="en-US"/>
        </w:rPr>
        <w:t xml:space="preserve">mmHg) </w:t>
      </w:r>
      <w:r w:rsidRPr="004C08A1">
        <w:rPr>
          <w:rFonts w:eastAsia="Times New Roman" w:cs="Arial"/>
          <w:color w:val="000000"/>
          <w:lang w:eastAsia="bg-BG"/>
        </w:rPr>
        <w:t xml:space="preserve">не е било постигнато, първо е прибавян хидрохлоротиазид (12,5 </w:t>
      </w:r>
      <w:r w:rsidRPr="004C08A1">
        <w:rPr>
          <w:rFonts w:eastAsia="Times New Roman" w:cs="Arial"/>
          <w:color w:val="000000"/>
          <w:lang w:val="en-US"/>
        </w:rPr>
        <w:t xml:space="preserve">mg) </w:t>
      </w:r>
      <w:r w:rsidRPr="004C08A1">
        <w:rPr>
          <w:rFonts w:eastAsia="Times New Roman" w:cs="Arial"/>
          <w:color w:val="000000"/>
          <w:lang w:eastAsia="bg-BG"/>
        </w:rPr>
        <w:t xml:space="preserve">и при нужда след това е увеличавана дозата на лосартан или атенолол на 100 </w:t>
      </w:r>
      <w:r w:rsidRPr="004C08A1">
        <w:rPr>
          <w:rFonts w:eastAsia="Times New Roman" w:cs="Arial"/>
          <w:color w:val="000000"/>
          <w:lang w:val="en-US"/>
        </w:rPr>
        <w:t>mg</w:t>
      </w:r>
      <w:r w:rsidRPr="004C08A1">
        <w:rPr>
          <w:rFonts w:eastAsia="Times New Roman" w:cs="Arial"/>
          <w:color w:val="000000"/>
          <w:lang w:eastAsia="bg-BG"/>
        </w:rPr>
        <w:t xml:space="preserve"> веднъж дневно. Допълнително </w:t>
      </w:r>
      <w:r w:rsidRPr="004C08A1">
        <w:rPr>
          <w:rFonts w:eastAsia="Times New Roman" w:cs="Arial"/>
          <w:color w:val="000000"/>
          <w:lang w:eastAsia="bg-BG"/>
        </w:rPr>
        <w:lastRenderedPageBreak/>
        <w:t>антихипертензивно лекарство, с изключение на</w:t>
      </w:r>
      <w:r w:rsidRPr="004C08A1">
        <w:rPr>
          <w:rFonts w:eastAsia="Times New Roman" w:cs="Arial"/>
          <w:color w:val="000000"/>
          <w:lang w:val="en-US"/>
        </w:rPr>
        <w:t xml:space="preserve"> ACE </w:t>
      </w:r>
      <w:r w:rsidRPr="004C08A1">
        <w:rPr>
          <w:rFonts w:eastAsia="Times New Roman" w:cs="Arial"/>
          <w:color w:val="000000"/>
          <w:lang w:eastAsia="bg-BG"/>
        </w:rPr>
        <w:t>инхибитор, ангиотензин II антагонисти или бета-блокер е добавено към двете групи, за да се достигне желаното сравнимо понижение на кръвното налягане между групите.</w:t>
      </w:r>
    </w:p>
    <w:p w14:paraId="4434D965" w14:textId="70C2F8EA" w:rsidR="004C08A1" w:rsidRDefault="004C08A1" w:rsidP="0091385D"/>
    <w:p w14:paraId="45100102"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Средната продължителност на проследяване е 4,8 години.</w:t>
      </w:r>
    </w:p>
    <w:p w14:paraId="730FA808" w14:textId="77777777" w:rsidR="004C08A1" w:rsidRPr="004C08A1" w:rsidRDefault="004C08A1" w:rsidP="004C08A1">
      <w:pPr>
        <w:spacing w:line="240" w:lineRule="auto"/>
        <w:rPr>
          <w:rFonts w:eastAsia="Times New Roman" w:cs="Arial"/>
          <w:color w:val="000000"/>
          <w:lang w:eastAsia="bg-BG"/>
        </w:rPr>
      </w:pPr>
    </w:p>
    <w:p w14:paraId="12037602" w14:textId="3B3ECB72"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Първичен краен показател за проучването е бил съставният от кардиоваскуларната заболеваемост и смъртност, което се измерва чрез понижаване на общата честота на настъпване на сърдечносъдова смърт, инсулт и миокарден инфаркт. Кръвното налягане е значително намалено до сходни нива в двете групи.</w:t>
      </w:r>
    </w:p>
    <w:p w14:paraId="29D2DAC2"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Лечението с лосартан води до понижаване на риска с 13,0 % (р=0,021,95</w:t>
      </w:r>
      <w:r w:rsidRPr="004C08A1">
        <w:rPr>
          <w:rFonts w:eastAsia="Times New Roman" w:cs="Arial"/>
          <w:i/>
          <w:iCs/>
          <w:color w:val="000000"/>
          <w:lang w:eastAsia="bg-BG"/>
        </w:rPr>
        <w:t xml:space="preserve"> %</w:t>
      </w:r>
      <w:r w:rsidRPr="004C08A1">
        <w:rPr>
          <w:rFonts w:eastAsia="Times New Roman" w:cs="Arial"/>
          <w:color w:val="000000"/>
          <w:lang w:eastAsia="bg-BG"/>
        </w:rPr>
        <w:t xml:space="preserve"> доверителен интервал 0,77-0,98) спрямо атенолол за пациенти, при които настъпва събитие, включено в първичния съставен краен показател. Това се обяснява най-вече с намаление честотата на инсулт. Лечението с лосартан намалява риска от инсулт с 25 % спрямо атенолол (р=0,001 95 % доверителен интервал 0,63-0,89). Нивата на сърдечносъдова смърт и миокарден инфаркт не се различават в лекуваните групи.</w:t>
      </w:r>
    </w:p>
    <w:p w14:paraId="19DC809D" w14:textId="77777777" w:rsidR="004C08A1" w:rsidRPr="004C08A1" w:rsidRDefault="004C08A1" w:rsidP="004C08A1">
      <w:pPr>
        <w:spacing w:line="240" w:lineRule="auto"/>
        <w:rPr>
          <w:rFonts w:eastAsia="Times New Roman" w:cs="Arial"/>
          <w:color w:val="000000"/>
          <w:u w:val="single"/>
          <w:lang w:eastAsia="bg-BG"/>
        </w:rPr>
      </w:pPr>
    </w:p>
    <w:p w14:paraId="191F0884" w14:textId="15B9F444"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u w:val="single"/>
          <w:lang w:eastAsia="bg-BG"/>
        </w:rPr>
        <w:t xml:space="preserve">Двойно блокиране на ре ни н-ангиотензин-алдостеро новата система </w:t>
      </w:r>
      <w:r w:rsidRPr="004C08A1">
        <w:rPr>
          <w:rFonts w:eastAsia="Times New Roman" w:cs="Arial"/>
          <w:color w:val="000000"/>
          <w:u w:val="single"/>
          <w:lang w:val="en-US"/>
        </w:rPr>
        <w:t>(RAAS)</w:t>
      </w:r>
    </w:p>
    <w:p w14:paraId="569660BB"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 xml:space="preserve">Две големи рандомизирани контролирани проучвания - </w:t>
      </w:r>
      <w:r w:rsidRPr="004C08A1">
        <w:rPr>
          <w:rFonts w:eastAsia="Times New Roman" w:cs="Arial"/>
          <w:color w:val="000000"/>
          <w:lang w:val="en-US"/>
        </w:rPr>
        <w:t>ONTARGET (</w:t>
      </w:r>
      <w:proofErr w:type="spellStart"/>
      <w:r w:rsidRPr="004C08A1">
        <w:rPr>
          <w:rFonts w:eastAsia="Times New Roman" w:cs="Arial"/>
          <w:color w:val="000000"/>
          <w:lang w:val="en-US"/>
        </w:rPr>
        <w:t>ONgoing</w:t>
      </w:r>
      <w:proofErr w:type="spellEnd"/>
      <w:r w:rsidRPr="004C08A1">
        <w:rPr>
          <w:rFonts w:eastAsia="Times New Roman" w:cs="Arial"/>
          <w:color w:val="000000"/>
          <w:lang w:val="en-US"/>
        </w:rPr>
        <w:t xml:space="preserve"> </w:t>
      </w:r>
      <w:proofErr w:type="spellStart"/>
      <w:r w:rsidRPr="004C08A1">
        <w:rPr>
          <w:rFonts w:eastAsia="Times New Roman" w:cs="Arial"/>
          <w:color w:val="000000"/>
          <w:lang w:val="en-US"/>
        </w:rPr>
        <w:t>Telmisartan</w:t>
      </w:r>
      <w:proofErr w:type="spellEnd"/>
      <w:r w:rsidRPr="004C08A1">
        <w:rPr>
          <w:rFonts w:eastAsia="Times New Roman" w:cs="Arial"/>
          <w:color w:val="000000"/>
          <w:lang w:val="en-US"/>
        </w:rPr>
        <w:t xml:space="preserve"> Alone and in combination with Ramipril global Endpoint Trial - </w:t>
      </w:r>
      <w:r w:rsidRPr="004C08A1">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4C08A1">
        <w:rPr>
          <w:rFonts w:eastAsia="Times New Roman" w:cs="Arial"/>
          <w:color w:val="000000"/>
          <w:lang w:val="en-US"/>
        </w:rPr>
        <w:t xml:space="preserve">VA NEPHRON-D </w:t>
      </w:r>
      <w:r w:rsidRPr="004C08A1">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II-рецепторен блокер.</w:t>
      </w:r>
    </w:p>
    <w:p w14:paraId="6209C949"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val="en-US"/>
        </w:rPr>
        <w:t xml:space="preserve">ONTARGET </w:t>
      </w:r>
      <w:r w:rsidRPr="004C08A1">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4C08A1">
        <w:rPr>
          <w:rFonts w:eastAsia="Times New Roman" w:cs="Arial"/>
          <w:color w:val="000000"/>
          <w:lang w:val="en-US"/>
        </w:rPr>
        <w:t xml:space="preserve">VA NEPHRON-D </w:t>
      </w:r>
      <w:r w:rsidRPr="004C08A1">
        <w:rPr>
          <w:rFonts w:eastAsia="Times New Roman" w:cs="Arial"/>
          <w:color w:val="000000"/>
          <w:lang w:eastAsia="bg-BG"/>
        </w:rPr>
        <w:t>е проучване при пациенти със захарен диабет тип 2 и диабетна нефропатия.</w:t>
      </w:r>
    </w:p>
    <w:p w14:paraId="2C7BF02E"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29B9D573"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593E7438"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val="en-US"/>
        </w:rPr>
        <w:t xml:space="preserve">ALTITUDE </w:t>
      </w:r>
      <w:r w:rsidRPr="004C08A1">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4C08A1">
        <w:rPr>
          <w:rFonts w:eastAsia="Times New Roman" w:cs="Arial"/>
          <w:color w:val="000000"/>
          <w:lang w:val="en-US"/>
        </w:rPr>
        <w:t>II</w:t>
      </w:r>
      <w:r w:rsidRPr="004C08A1">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DB50CD4" w14:textId="77777777" w:rsidR="004C08A1" w:rsidRPr="004C08A1" w:rsidRDefault="004C08A1" w:rsidP="004C08A1">
      <w:pPr>
        <w:spacing w:line="240" w:lineRule="auto"/>
        <w:rPr>
          <w:rFonts w:eastAsia="Times New Roman" w:cs="Arial"/>
          <w:color w:val="000000"/>
          <w:u w:val="single"/>
          <w:lang w:eastAsia="bg-BG"/>
        </w:rPr>
      </w:pPr>
    </w:p>
    <w:p w14:paraId="4BFD6135" w14:textId="48CAF8BB"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u w:val="single"/>
          <w:lang w:eastAsia="bg-BG"/>
        </w:rPr>
        <w:t>Хидрохлоротиазид</w:t>
      </w:r>
    </w:p>
    <w:p w14:paraId="4775060F" w14:textId="77777777" w:rsidR="004C08A1" w:rsidRPr="004C08A1" w:rsidRDefault="004C08A1" w:rsidP="004C08A1">
      <w:pPr>
        <w:spacing w:line="240" w:lineRule="auto"/>
        <w:rPr>
          <w:rFonts w:eastAsia="Times New Roman" w:cs="Arial"/>
          <w:color w:val="000000"/>
          <w:lang w:eastAsia="bg-BG"/>
        </w:rPr>
      </w:pPr>
    </w:p>
    <w:p w14:paraId="5287186D" w14:textId="3AAE3005"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lastRenderedPageBreak/>
        <w:t xml:space="preserve">Хидрохлоротиазид е тиазиден диуретик. Механизмът на антихипертензивния ефект на тиазидните диуретици не е напълно известен. Тиазидите действат върху реналния тубулен механизъм на електролитната реабсорбция като повишава директно екскрецията на натрий и хлор в приблизително еквивалентни количества. Дуретичното действие на хидрохлоротиазид намалява плазмения обем, повишава плазмената ренинова активност и повишава секрецията на алдостерон с последващо повишаване на калия в урината и загубата на бикарбонати и </w:t>
      </w:r>
      <w:r w:rsidRPr="004C08A1">
        <w:rPr>
          <w:rFonts w:eastAsia="Times New Roman" w:cs="Arial"/>
          <w:color w:val="000000"/>
          <w:u w:val="single"/>
          <w:lang w:eastAsia="bg-BG"/>
        </w:rPr>
        <w:t xml:space="preserve"> </w:t>
      </w:r>
      <w:r w:rsidRPr="004C08A1">
        <w:rPr>
          <w:rFonts w:eastAsia="Times New Roman" w:cs="Arial"/>
          <w:color w:val="000000"/>
          <w:lang w:eastAsia="bg-BG"/>
        </w:rPr>
        <w:t>намаляване на серумния калий. Ренин-алдостероновата връзка се медиира от ангиотензин II и затова едновременното приложение на ангиотензин II рецепторен антагонист показва тенденция към намаляване на загубата на калий, свързана с тиазидните диуретици.</w:t>
      </w:r>
    </w:p>
    <w:p w14:paraId="23C0F633" w14:textId="77777777" w:rsidR="004C08A1" w:rsidRPr="004C08A1" w:rsidRDefault="004C08A1" w:rsidP="004C08A1">
      <w:pPr>
        <w:spacing w:line="240" w:lineRule="auto"/>
        <w:rPr>
          <w:rFonts w:eastAsia="Times New Roman" w:cs="Arial"/>
          <w:sz w:val="24"/>
          <w:szCs w:val="24"/>
          <w:lang w:eastAsia="bg-BG"/>
        </w:rPr>
      </w:pPr>
    </w:p>
    <w:p w14:paraId="02D41522" w14:textId="092EC3B2"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След перорална доза, диурезата започва до 2 часа, достига пиково ниво след около 4 часа и продължава около 6 до 12 часа, антихипертензивният ефект продължава до 24 часа.</w:t>
      </w:r>
    </w:p>
    <w:p w14:paraId="0C6BCB73" w14:textId="6216350A" w:rsidR="004C08A1" w:rsidRDefault="004C08A1" w:rsidP="0091385D"/>
    <w:p w14:paraId="6BBB3450"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u w:val="single"/>
          <w:lang w:eastAsia="bg-BG"/>
        </w:rPr>
        <w:t>Немеланомен рак на кожата</w:t>
      </w:r>
    </w:p>
    <w:p w14:paraId="08FDB560" w14:textId="07D2E264" w:rsidR="004C08A1" w:rsidRPr="004C08A1" w:rsidRDefault="004C08A1" w:rsidP="004C08A1">
      <w:pPr>
        <w:rPr>
          <w:rFonts w:cs="Arial"/>
        </w:rPr>
      </w:pPr>
      <w:r w:rsidRPr="004C08A1">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 50 000 </w:t>
      </w:r>
      <w:r w:rsidRPr="004C08A1">
        <w:rPr>
          <w:rFonts w:eastAsia="Times New Roman" w:cs="Arial"/>
          <w:color w:val="000000"/>
          <w:lang w:val="en-US"/>
        </w:rPr>
        <w:t xml:space="preserve">mg) </w:t>
      </w:r>
      <w:r w:rsidRPr="004C08A1">
        <w:rPr>
          <w:rFonts w:eastAsia="Times New Roman" w:cs="Arial"/>
          <w:color w:val="000000"/>
          <w:lang w:eastAsia="bg-BG"/>
        </w:rPr>
        <w:t xml:space="preserve">е свързана с коригиран </w:t>
      </w:r>
      <w:r w:rsidRPr="004C08A1">
        <w:rPr>
          <w:rFonts w:eastAsia="Times New Roman" w:cs="Arial"/>
          <w:color w:val="000000"/>
          <w:lang w:val="en-US"/>
        </w:rPr>
        <w:t xml:space="preserve">OR </w:t>
      </w:r>
      <w:r w:rsidRPr="004C08A1">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4C08A1">
        <w:rPr>
          <w:rFonts w:eastAsia="Times New Roman" w:cs="Arial"/>
          <w:color w:val="000000"/>
          <w:lang w:val="en-US"/>
        </w:rPr>
        <w:t xml:space="preserve">OR </w:t>
      </w:r>
      <w:r w:rsidRPr="004C08A1">
        <w:rPr>
          <w:rFonts w:eastAsia="Times New Roman" w:cs="Arial"/>
          <w:color w:val="000000"/>
          <w:lang w:eastAsia="bg-BG"/>
        </w:rPr>
        <w:t xml:space="preserve">2,1 (95% ДИ: 1,7-2,6), нарастващ до </w:t>
      </w:r>
      <w:r w:rsidRPr="004C08A1">
        <w:rPr>
          <w:rFonts w:eastAsia="Times New Roman" w:cs="Arial"/>
          <w:color w:val="000000"/>
          <w:lang w:val="en-US"/>
        </w:rPr>
        <w:t xml:space="preserve">OR </w:t>
      </w:r>
      <w:r w:rsidRPr="004C08A1">
        <w:rPr>
          <w:rFonts w:eastAsia="Times New Roman" w:cs="Arial"/>
          <w:color w:val="000000"/>
          <w:lang w:eastAsia="bg-BG"/>
        </w:rPr>
        <w:t xml:space="preserve">3,9 (3,0-4,9) за висока употреба (~ 25 000 </w:t>
      </w:r>
      <w:r w:rsidRPr="004C08A1">
        <w:rPr>
          <w:rFonts w:eastAsia="Times New Roman" w:cs="Arial"/>
          <w:color w:val="000000"/>
          <w:lang w:val="en-US"/>
        </w:rPr>
        <w:t xml:space="preserve">mg) </w:t>
      </w:r>
      <w:r w:rsidRPr="004C08A1">
        <w:rPr>
          <w:rFonts w:eastAsia="Times New Roman" w:cs="Arial"/>
          <w:color w:val="000000"/>
          <w:lang w:eastAsia="bg-BG"/>
        </w:rPr>
        <w:t xml:space="preserve">и </w:t>
      </w:r>
      <w:r w:rsidRPr="004C08A1">
        <w:rPr>
          <w:rFonts w:eastAsia="Times New Roman" w:cs="Arial"/>
          <w:color w:val="000000"/>
          <w:lang w:val="en-US"/>
        </w:rPr>
        <w:t xml:space="preserve">OR </w:t>
      </w:r>
      <w:r w:rsidRPr="004C08A1">
        <w:rPr>
          <w:rFonts w:eastAsia="Times New Roman" w:cs="Arial"/>
          <w:color w:val="000000"/>
          <w:lang w:eastAsia="bg-BG"/>
        </w:rPr>
        <w:t xml:space="preserve">7,7 (5,7-10,5) за най-високата кумулативна доза (~ 100 000 </w:t>
      </w:r>
      <w:r w:rsidRPr="004C08A1">
        <w:rPr>
          <w:rFonts w:eastAsia="Times New Roman" w:cs="Arial"/>
          <w:color w:val="000000"/>
          <w:lang w:val="en-US"/>
        </w:rPr>
        <w:t xml:space="preserve">mg) </w:t>
      </w:r>
      <w:r w:rsidRPr="004C08A1">
        <w:rPr>
          <w:rFonts w:eastAsia="Times New Roman" w:cs="Arial"/>
          <w:color w:val="000000"/>
          <w:lang w:eastAsia="bg-BG"/>
        </w:rPr>
        <w:t>(вж. също точка 4.4).</w:t>
      </w:r>
    </w:p>
    <w:p w14:paraId="6203A9A0" w14:textId="77777777" w:rsidR="004C08A1" w:rsidRPr="0091385D" w:rsidRDefault="004C08A1"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200AFA54" w14:textId="77777777" w:rsidR="004C08A1" w:rsidRPr="004C08A1" w:rsidRDefault="004C08A1" w:rsidP="004C08A1">
      <w:pPr>
        <w:pStyle w:val="Heading3"/>
        <w:rPr>
          <w:rFonts w:eastAsia="Times New Roman"/>
          <w:u w:val="single"/>
          <w:lang w:eastAsia="bg-BG"/>
        </w:rPr>
      </w:pPr>
      <w:r w:rsidRPr="004C08A1">
        <w:rPr>
          <w:rFonts w:eastAsia="Times New Roman"/>
          <w:u w:val="single"/>
          <w:lang w:eastAsia="bg-BG"/>
        </w:rPr>
        <w:t>Абсорбция</w:t>
      </w:r>
    </w:p>
    <w:p w14:paraId="24162986" w14:textId="77777777" w:rsidR="004C08A1" w:rsidRPr="004C08A1" w:rsidRDefault="004C08A1" w:rsidP="004C08A1">
      <w:pPr>
        <w:spacing w:line="240" w:lineRule="auto"/>
        <w:rPr>
          <w:rFonts w:eastAsia="Times New Roman" w:cs="Arial"/>
          <w:i/>
          <w:iCs/>
          <w:color w:val="000000"/>
          <w:lang w:eastAsia="bg-BG"/>
        </w:rPr>
      </w:pPr>
    </w:p>
    <w:p w14:paraId="60323E4F" w14:textId="72FB0C5C" w:rsidR="004C08A1" w:rsidRPr="004C08A1" w:rsidRDefault="004C08A1" w:rsidP="004C08A1">
      <w:pPr>
        <w:spacing w:line="240" w:lineRule="auto"/>
        <w:rPr>
          <w:rFonts w:eastAsia="Times New Roman" w:cs="Arial"/>
          <w:sz w:val="24"/>
          <w:szCs w:val="24"/>
          <w:lang w:eastAsia="bg-BG"/>
        </w:rPr>
      </w:pPr>
      <w:r w:rsidRPr="004C08A1">
        <w:rPr>
          <w:rFonts w:eastAsia="Times New Roman" w:cs="Arial"/>
          <w:i/>
          <w:iCs/>
          <w:color w:val="000000"/>
          <w:lang w:eastAsia="bg-BG"/>
        </w:rPr>
        <w:t>Лосартан</w:t>
      </w:r>
    </w:p>
    <w:p w14:paraId="028D35B8"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След пероралното приложение, лосартан се абсорбира добре и претърпява метаболизъм при първото преминаване като формира първоначален активен карбоксилен метаболит - и други неактивни метаболити. Системната бионаличност на таблетките лосартан е приблизително 33 %. Средната пикова концентрация на лосартан и активния му метаболит се достига, съответно, за 1 час и за 3-4 часа. Клинично значим ефект върху профила на плазмените концентрации на лосартан не се е получил при прилагане на стандартизирани храни.</w:t>
      </w:r>
    </w:p>
    <w:p w14:paraId="1DAF99B0" w14:textId="77777777" w:rsidR="004C08A1" w:rsidRPr="004C08A1" w:rsidRDefault="004C08A1" w:rsidP="004C08A1">
      <w:pPr>
        <w:spacing w:line="240" w:lineRule="auto"/>
        <w:rPr>
          <w:rFonts w:eastAsia="Times New Roman" w:cs="Arial"/>
          <w:color w:val="000000"/>
          <w:u w:val="single"/>
          <w:lang w:eastAsia="bg-BG"/>
        </w:rPr>
      </w:pPr>
    </w:p>
    <w:p w14:paraId="7E527F39" w14:textId="0143B627" w:rsidR="004C08A1" w:rsidRPr="004C08A1" w:rsidRDefault="004C08A1" w:rsidP="004C08A1">
      <w:pPr>
        <w:pStyle w:val="Heading3"/>
        <w:rPr>
          <w:rFonts w:eastAsia="Times New Roman"/>
          <w:u w:val="single"/>
          <w:lang w:eastAsia="bg-BG"/>
        </w:rPr>
      </w:pPr>
      <w:r w:rsidRPr="004C08A1">
        <w:rPr>
          <w:rFonts w:eastAsia="Times New Roman"/>
          <w:u w:val="single"/>
          <w:lang w:eastAsia="bg-BG"/>
        </w:rPr>
        <w:t>Разпределение</w:t>
      </w:r>
    </w:p>
    <w:p w14:paraId="5F848137" w14:textId="77777777" w:rsidR="004C08A1" w:rsidRPr="004C08A1" w:rsidRDefault="004C08A1" w:rsidP="004C08A1">
      <w:pPr>
        <w:spacing w:line="240" w:lineRule="auto"/>
        <w:rPr>
          <w:rFonts w:eastAsia="Times New Roman" w:cs="Arial"/>
          <w:i/>
          <w:iCs/>
          <w:color w:val="000000"/>
          <w:lang w:eastAsia="bg-BG"/>
        </w:rPr>
      </w:pPr>
    </w:p>
    <w:p w14:paraId="3DE7B46E" w14:textId="74A7AC28" w:rsidR="004C08A1" w:rsidRPr="004C08A1" w:rsidRDefault="004C08A1" w:rsidP="004C08A1">
      <w:pPr>
        <w:spacing w:line="240" w:lineRule="auto"/>
        <w:rPr>
          <w:rFonts w:eastAsia="Times New Roman" w:cs="Arial"/>
          <w:sz w:val="24"/>
          <w:szCs w:val="24"/>
          <w:lang w:eastAsia="bg-BG"/>
        </w:rPr>
      </w:pPr>
      <w:r w:rsidRPr="004C08A1">
        <w:rPr>
          <w:rFonts w:eastAsia="Times New Roman" w:cs="Arial"/>
          <w:i/>
          <w:iCs/>
          <w:color w:val="000000"/>
          <w:lang w:eastAsia="bg-BG"/>
        </w:rPr>
        <w:t>Лосартан</w:t>
      </w:r>
    </w:p>
    <w:p w14:paraId="7D01C124"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 xml:space="preserve">Както лосартан, така </w:t>
      </w:r>
      <w:r w:rsidRPr="004C08A1">
        <w:rPr>
          <w:rFonts w:eastAsia="Times New Roman" w:cs="Arial"/>
          <w:i/>
          <w:iCs/>
          <w:color w:val="000000"/>
          <w:lang w:eastAsia="bg-BG"/>
        </w:rPr>
        <w:t>и</w:t>
      </w:r>
      <w:r w:rsidRPr="004C08A1">
        <w:rPr>
          <w:rFonts w:eastAsia="Times New Roman" w:cs="Arial"/>
          <w:color w:val="000000"/>
          <w:lang w:eastAsia="bg-BG"/>
        </w:rPr>
        <w:t xml:space="preserve"> активният му метаболит са ≥ 99 % свързани с плазмените протеини, особено с албумините. Обемът на разпределение на лосартан е 34 литра. </w:t>
      </w:r>
      <w:r w:rsidRPr="004C08A1">
        <w:rPr>
          <w:rFonts w:eastAsia="Times New Roman" w:cs="Arial"/>
          <w:color w:val="000000"/>
          <w:lang w:eastAsia="bg-BG"/>
        </w:rPr>
        <w:lastRenderedPageBreak/>
        <w:t>Изследвания върху плъхове показват, че лосартан трудно преминава кръвно-мозъчната бариера, ако въобще я преминава.</w:t>
      </w:r>
    </w:p>
    <w:p w14:paraId="2485EDF7" w14:textId="77777777" w:rsidR="004C08A1" w:rsidRPr="004C08A1" w:rsidRDefault="004C08A1" w:rsidP="004C08A1">
      <w:pPr>
        <w:spacing w:line="240" w:lineRule="auto"/>
        <w:rPr>
          <w:rFonts w:eastAsia="Times New Roman" w:cs="Arial"/>
          <w:i/>
          <w:iCs/>
          <w:color w:val="000000"/>
          <w:lang w:eastAsia="bg-BG"/>
        </w:rPr>
      </w:pPr>
    </w:p>
    <w:p w14:paraId="475B7278" w14:textId="795DF4D1" w:rsidR="004C08A1" w:rsidRPr="004C08A1" w:rsidRDefault="004C08A1" w:rsidP="004C08A1">
      <w:pPr>
        <w:spacing w:line="240" w:lineRule="auto"/>
        <w:rPr>
          <w:rFonts w:eastAsia="Times New Roman" w:cs="Arial"/>
          <w:sz w:val="24"/>
          <w:szCs w:val="24"/>
          <w:lang w:eastAsia="bg-BG"/>
        </w:rPr>
      </w:pPr>
      <w:r w:rsidRPr="004C08A1">
        <w:rPr>
          <w:rFonts w:eastAsia="Times New Roman" w:cs="Arial"/>
          <w:i/>
          <w:iCs/>
          <w:color w:val="000000"/>
          <w:lang w:eastAsia="bg-BG"/>
        </w:rPr>
        <w:t>Хидрохлоротназид</w:t>
      </w:r>
    </w:p>
    <w:p w14:paraId="1A43511E"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Хидрохлоротиазид преминава плацентарната, но не и кръвно-мозъчната бариера и се отделя в майчиното мляко.</w:t>
      </w:r>
    </w:p>
    <w:p w14:paraId="3D62D372" w14:textId="77777777" w:rsidR="004C08A1" w:rsidRPr="004C08A1" w:rsidRDefault="004C08A1" w:rsidP="004C08A1">
      <w:pPr>
        <w:spacing w:line="240" w:lineRule="auto"/>
        <w:rPr>
          <w:rFonts w:eastAsia="Times New Roman" w:cs="Arial"/>
          <w:color w:val="000000"/>
          <w:u w:val="single"/>
          <w:lang w:eastAsia="bg-BG"/>
        </w:rPr>
      </w:pPr>
    </w:p>
    <w:p w14:paraId="238BB87A" w14:textId="4106CFE8" w:rsidR="004C08A1" w:rsidRPr="004C08A1" w:rsidRDefault="004C08A1" w:rsidP="004C08A1">
      <w:pPr>
        <w:pStyle w:val="Heading3"/>
        <w:rPr>
          <w:rFonts w:eastAsia="Times New Roman"/>
          <w:u w:val="single"/>
          <w:lang w:eastAsia="bg-BG"/>
        </w:rPr>
      </w:pPr>
      <w:r w:rsidRPr="004C08A1">
        <w:rPr>
          <w:rFonts w:eastAsia="Times New Roman"/>
          <w:u w:val="single"/>
          <w:lang w:eastAsia="bg-BG"/>
        </w:rPr>
        <w:t>Биотрансформация</w:t>
      </w:r>
    </w:p>
    <w:p w14:paraId="787673D2" w14:textId="77777777" w:rsidR="004C08A1" w:rsidRPr="004C08A1" w:rsidRDefault="004C08A1" w:rsidP="004C08A1">
      <w:pPr>
        <w:spacing w:line="240" w:lineRule="auto"/>
        <w:rPr>
          <w:rFonts w:eastAsia="Times New Roman" w:cs="Arial"/>
          <w:i/>
          <w:iCs/>
          <w:color w:val="000000"/>
          <w:lang w:eastAsia="bg-BG"/>
        </w:rPr>
      </w:pPr>
    </w:p>
    <w:p w14:paraId="4230EC39" w14:textId="13567FED" w:rsidR="004C08A1" w:rsidRPr="004C08A1" w:rsidRDefault="004C08A1" w:rsidP="004C08A1">
      <w:pPr>
        <w:spacing w:line="240" w:lineRule="auto"/>
        <w:rPr>
          <w:rFonts w:eastAsia="Times New Roman" w:cs="Arial"/>
          <w:sz w:val="24"/>
          <w:szCs w:val="24"/>
          <w:lang w:eastAsia="bg-BG"/>
        </w:rPr>
      </w:pPr>
      <w:r w:rsidRPr="004C08A1">
        <w:rPr>
          <w:rFonts w:eastAsia="Times New Roman" w:cs="Arial"/>
          <w:i/>
          <w:iCs/>
          <w:color w:val="000000"/>
          <w:lang w:eastAsia="bg-BG"/>
        </w:rPr>
        <w:t>Лосартан</w:t>
      </w:r>
    </w:p>
    <w:p w14:paraId="69E3209E"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Около 14 % от интравенозно или перорално- приложената доза лосартан, се превръща в активен метаболит. След пероралното или интравенозното прилагане на 14С-маркер на лосартан калий, циркулиращата плазмена радиоактивност се дължи на лосартан и активния му метаболит. Минимално конвертиране на лосартан до активния му метаболит се наблюдава при един процент от изследваните пациенти.</w:t>
      </w:r>
    </w:p>
    <w:p w14:paraId="49674C67"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 xml:space="preserve">Освен активния метаболит, се формират и неактивни метаболити, от които два се формират чрез хидроксилиране на бутиловата странична верига и един второстепенен метаболит - </w:t>
      </w:r>
      <w:r w:rsidRPr="004C08A1">
        <w:rPr>
          <w:rFonts w:eastAsia="Times New Roman" w:cs="Arial"/>
          <w:color w:val="000000"/>
          <w:lang w:val="en-US"/>
        </w:rPr>
        <w:t xml:space="preserve">N-2 </w:t>
      </w:r>
      <w:r w:rsidRPr="004C08A1">
        <w:rPr>
          <w:rFonts w:eastAsia="Times New Roman" w:cs="Arial"/>
          <w:color w:val="000000"/>
          <w:lang w:eastAsia="bg-BG"/>
        </w:rPr>
        <w:t>тетразол глюкоронид.</w:t>
      </w:r>
    </w:p>
    <w:p w14:paraId="234A32D3" w14:textId="77777777" w:rsidR="004C08A1" w:rsidRPr="004C08A1" w:rsidRDefault="004C08A1" w:rsidP="004C08A1">
      <w:pPr>
        <w:spacing w:line="240" w:lineRule="auto"/>
        <w:rPr>
          <w:rFonts w:eastAsia="Times New Roman" w:cs="Arial"/>
          <w:color w:val="000000"/>
          <w:u w:val="single"/>
          <w:lang w:eastAsia="bg-BG"/>
        </w:rPr>
      </w:pPr>
    </w:p>
    <w:p w14:paraId="1AEAE0B0" w14:textId="09E14CC1" w:rsidR="004C08A1" w:rsidRPr="004C08A1" w:rsidRDefault="004C08A1" w:rsidP="004C08A1">
      <w:pPr>
        <w:pStyle w:val="Heading3"/>
        <w:rPr>
          <w:rFonts w:eastAsia="Times New Roman"/>
          <w:u w:val="single"/>
          <w:lang w:eastAsia="bg-BG"/>
        </w:rPr>
      </w:pPr>
      <w:r w:rsidRPr="004C08A1">
        <w:rPr>
          <w:rFonts w:eastAsia="Times New Roman"/>
          <w:u w:val="single"/>
          <w:lang w:eastAsia="bg-BG"/>
        </w:rPr>
        <w:t>Елиминиране</w:t>
      </w:r>
    </w:p>
    <w:p w14:paraId="68FE9685" w14:textId="77777777" w:rsidR="004C08A1" w:rsidRPr="004C08A1" w:rsidRDefault="004C08A1" w:rsidP="004C08A1">
      <w:pPr>
        <w:rPr>
          <w:rFonts w:eastAsia="Times New Roman" w:cs="Arial"/>
          <w:i/>
          <w:iCs/>
          <w:color w:val="000000"/>
          <w:lang w:eastAsia="bg-BG"/>
        </w:rPr>
      </w:pPr>
    </w:p>
    <w:p w14:paraId="148BA3FC" w14:textId="73463F7D" w:rsidR="0091385D" w:rsidRPr="004C08A1" w:rsidRDefault="004C08A1" w:rsidP="004C08A1">
      <w:pPr>
        <w:rPr>
          <w:rFonts w:cs="Arial"/>
        </w:rPr>
      </w:pPr>
      <w:r w:rsidRPr="004C08A1">
        <w:rPr>
          <w:rFonts w:eastAsia="Times New Roman" w:cs="Arial"/>
          <w:i/>
          <w:iCs/>
          <w:color w:val="000000"/>
          <w:lang w:eastAsia="bg-BG"/>
        </w:rPr>
        <w:t>Лосартан</w:t>
      </w:r>
    </w:p>
    <w:p w14:paraId="4EE1BB0B" w14:textId="708C90A8" w:rsidR="0091385D" w:rsidRPr="004C08A1" w:rsidRDefault="0091385D" w:rsidP="0091385D">
      <w:pPr>
        <w:rPr>
          <w:rFonts w:cs="Arial"/>
        </w:rPr>
      </w:pPr>
    </w:p>
    <w:p w14:paraId="6806A036"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 xml:space="preserve">Плазменият клирънс на лосартан и активния му метаболит е съответно около 600 </w:t>
      </w:r>
      <w:r w:rsidRPr="004C08A1">
        <w:rPr>
          <w:rFonts w:eastAsia="Times New Roman" w:cs="Arial"/>
          <w:color w:val="000000"/>
          <w:lang w:val="en-US"/>
        </w:rPr>
        <w:t xml:space="preserve">mL/min </w:t>
      </w:r>
      <w:r w:rsidRPr="004C08A1">
        <w:rPr>
          <w:rFonts w:eastAsia="Times New Roman" w:cs="Arial"/>
          <w:color w:val="000000"/>
          <w:lang w:eastAsia="bg-BG"/>
        </w:rPr>
        <w:t xml:space="preserve">и 50 </w:t>
      </w:r>
      <w:r w:rsidRPr="004C08A1">
        <w:rPr>
          <w:rFonts w:eastAsia="Times New Roman" w:cs="Arial"/>
          <w:color w:val="000000"/>
          <w:lang w:val="en-US"/>
        </w:rPr>
        <w:t xml:space="preserve">mL/min, </w:t>
      </w:r>
      <w:r w:rsidRPr="004C08A1">
        <w:rPr>
          <w:rFonts w:eastAsia="Times New Roman" w:cs="Arial"/>
          <w:color w:val="000000"/>
          <w:lang w:eastAsia="bg-BG"/>
        </w:rPr>
        <w:t xml:space="preserve">респективно. Бъбречният клирънс на лосартан и активния му метаболит е съответно около 74 </w:t>
      </w:r>
      <w:r w:rsidRPr="004C08A1">
        <w:rPr>
          <w:rFonts w:eastAsia="Times New Roman" w:cs="Arial"/>
          <w:color w:val="000000"/>
          <w:lang w:val="en-US"/>
        </w:rPr>
        <w:t xml:space="preserve">mL/min </w:t>
      </w:r>
      <w:r w:rsidRPr="004C08A1">
        <w:rPr>
          <w:rFonts w:eastAsia="Times New Roman" w:cs="Arial"/>
          <w:color w:val="000000"/>
          <w:lang w:eastAsia="bg-BG"/>
        </w:rPr>
        <w:t xml:space="preserve">и 26 </w:t>
      </w:r>
      <w:r w:rsidRPr="004C08A1">
        <w:rPr>
          <w:rFonts w:eastAsia="Times New Roman" w:cs="Arial"/>
          <w:color w:val="000000"/>
          <w:lang w:val="en-US"/>
        </w:rPr>
        <w:t xml:space="preserve">mL/min, </w:t>
      </w:r>
      <w:r w:rsidRPr="004C08A1">
        <w:rPr>
          <w:rFonts w:eastAsia="Times New Roman" w:cs="Arial"/>
          <w:color w:val="000000"/>
          <w:lang w:eastAsia="bg-BG"/>
        </w:rPr>
        <w:t xml:space="preserve">респективно. Когато лосартан се прилага орално, около 4% от дозата се отделя непроменена в урината, а 6 % от дозата се отделя като активен метаболит. Фармакокинетиката на лосартан и активния му метаболит са линейни при перорални дози лосартан калий до 200 </w:t>
      </w:r>
      <w:r w:rsidRPr="004C08A1">
        <w:rPr>
          <w:rFonts w:eastAsia="Times New Roman" w:cs="Arial"/>
          <w:color w:val="000000"/>
          <w:lang w:val="en-US"/>
        </w:rPr>
        <w:t>mg.</w:t>
      </w:r>
    </w:p>
    <w:p w14:paraId="0FFBE972" w14:textId="77777777" w:rsidR="004C08A1" w:rsidRPr="004C08A1" w:rsidRDefault="004C08A1" w:rsidP="004C08A1">
      <w:pPr>
        <w:spacing w:line="240" w:lineRule="auto"/>
        <w:rPr>
          <w:rFonts w:eastAsia="Times New Roman" w:cs="Arial"/>
          <w:color w:val="000000"/>
          <w:lang w:eastAsia="bg-BG"/>
        </w:rPr>
      </w:pPr>
    </w:p>
    <w:p w14:paraId="613D2BD4" w14:textId="60C5668C"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След перорално приложение, плазмените концентрации на лосартан и активния му метаболит намаляват полиекспоненциално като крайният полуживот е съответно около</w:t>
      </w:r>
    </w:p>
    <w:p w14:paraId="02C759A8"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 xml:space="preserve">2 часа и 6-9 часа. Нито лосартан, нито активният му метаболит кумулират значително в плазмата по време на третиране с дози от 100 </w:t>
      </w:r>
      <w:r w:rsidRPr="004C08A1">
        <w:rPr>
          <w:rFonts w:eastAsia="Times New Roman" w:cs="Arial"/>
          <w:color w:val="000000"/>
          <w:lang w:val="en-US"/>
        </w:rPr>
        <w:t xml:space="preserve">mg </w:t>
      </w:r>
      <w:r w:rsidRPr="004C08A1">
        <w:rPr>
          <w:rFonts w:eastAsia="Times New Roman" w:cs="Arial"/>
          <w:color w:val="000000"/>
          <w:lang w:eastAsia="bg-BG"/>
        </w:rPr>
        <w:t>един път дневно.</w:t>
      </w:r>
    </w:p>
    <w:p w14:paraId="3AC633FE" w14:textId="77777777" w:rsidR="004C08A1" w:rsidRPr="004C08A1" w:rsidRDefault="004C08A1" w:rsidP="004C08A1">
      <w:pPr>
        <w:spacing w:line="240" w:lineRule="auto"/>
        <w:rPr>
          <w:rFonts w:eastAsia="Times New Roman" w:cs="Arial"/>
          <w:color w:val="000000"/>
          <w:lang w:eastAsia="bg-BG"/>
        </w:rPr>
      </w:pPr>
    </w:p>
    <w:p w14:paraId="34C73C40" w14:textId="5B3FD473"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За елиминирането на лосартан допринасят, както жлъчната, така и уринната екскреция. След перорална доза от 14С-маркиран лосартан при човека, се открива около 35 % от радиоактивността в урината и 58 % в изпражненията.</w:t>
      </w:r>
    </w:p>
    <w:p w14:paraId="5A5F4243"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i/>
          <w:iCs/>
          <w:color w:val="000000"/>
          <w:lang w:eastAsia="bg-BG"/>
        </w:rPr>
        <w:t>Хидрохлоротиазид</w:t>
      </w:r>
    </w:p>
    <w:p w14:paraId="1CC561A6" w14:textId="77777777" w:rsidR="004C08A1" w:rsidRPr="004C08A1" w:rsidRDefault="004C08A1" w:rsidP="004C08A1">
      <w:pPr>
        <w:spacing w:line="240" w:lineRule="auto"/>
        <w:rPr>
          <w:rFonts w:eastAsia="Times New Roman" w:cs="Arial"/>
          <w:color w:val="000000"/>
          <w:lang w:eastAsia="bg-BG"/>
        </w:rPr>
      </w:pPr>
    </w:p>
    <w:p w14:paraId="137DDB1C" w14:textId="4CC781A4"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Хидрохлоротиазид не се метаболизира, но се елиминира бързо чрез бъбреците. При наблюдаване на плазмените нива, най-малко за 24 часа, се забелязва, че плазменият полуживот варира между 5,6 и 14,8 часа. Най-малко 61 % от пероралната доза се елиминира непроменена до 24 часа.</w:t>
      </w:r>
    </w:p>
    <w:p w14:paraId="4045EC94" w14:textId="77777777" w:rsidR="004C08A1" w:rsidRPr="004C08A1" w:rsidRDefault="004C08A1" w:rsidP="004C08A1">
      <w:pPr>
        <w:spacing w:line="240" w:lineRule="auto"/>
        <w:rPr>
          <w:rFonts w:eastAsia="Times New Roman" w:cs="Arial"/>
          <w:color w:val="000000"/>
          <w:u w:val="single"/>
          <w:lang w:eastAsia="bg-BG"/>
        </w:rPr>
      </w:pPr>
    </w:p>
    <w:p w14:paraId="5E4B81AF" w14:textId="4E37730F" w:rsidR="004C08A1" w:rsidRPr="004C08A1" w:rsidRDefault="004C08A1" w:rsidP="004C08A1">
      <w:pPr>
        <w:pStyle w:val="Heading3"/>
        <w:rPr>
          <w:rFonts w:eastAsia="Times New Roman"/>
          <w:u w:val="single"/>
          <w:lang w:eastAsia="bg-BG"/>
        </w:rPr>
      </w:pPr>
      <w:r w:rsidRPr="004C08A1">
        <w:rPr>
          <w:rFonts w:eastAsia="Times New Roman"/>
          <w:u w:val="single"/>
          <w:lang w:eastAsia="bg-BG"/>
        </w:rPr>
        <w:t>Характеристики на пациентите</w:t>
      </w:r>
    </w:p>
    <w:p w14:paraId="519A1F0B" w14:textId="77777777" w:rsidR="004C08A1" w:rsidRPr="004C08A1" w:rsidRDefault="004C08A1" w:rsidP="004C08A1">
      <w:pPr>
        <w:spacing w:line="240" w:lineRule="auto"/>
        <w:rPr>
          <w:rFonts w:eastAsia="Times New Roman" w:cs="Arial"/>
          <w:i/>
          <w:iCs/>
          <w:color w:val="000000"/>
          <w:lang w:eastAsia="bg-BG"/>
        </w:rPr>
      </w:pPr>
    </w:p>
    <w:p w14:paraId="11BAFF7A" w14:textId="5591B358" w:rsidR="004C08A1" w:rsidRPr="004C08A1" w:rsidRDefault="004C08A1" w:rsidP="004C08A1">
      <w:pPr>
        <w:spacing w:line="240" w:lineRule="auto"/>
        <w:rPr>
          <w:rFonts w:eastAsia="Times New Roman" w:cs="Arial"/>
          <w:sz w:val="24"/>
          <w:szCs w:val="24"/>
          <w:lang w:eastAsia="bg-BG"/>
        </w:rPr>
      </w:pPr>
      <w:r w:rsidRPr="004C08A1">
        <w:rPr>
          <w:rFonts w:eastAsia="Times New Roman" w:cs="Arial"/>
          <w:i/>
          <w:iCs/>
          <w:color w:val="000000"/>
          <w:lang w:eastAsia="bg-BG"/>
        </w:rPr>
        <w:t>Лосартан-хидрохлоротиазид</w:t>
      </w:r>
    </w:p>
    <w:p w14:paraId="4DE7AA2F"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lastRenderedPageBreak/>
        <w:t>При по-възрастни хипертоници, плазмените концентрации на лосартан и активния му метаболит, и абсорбцията на хидрохлоротиазид не се различават значително от тези при по- младите хипертоници.</w:t>
      </w:r>
    </w:p>
    <w:p w14:paraId="13E829A1" w14:textId="77777777" w:rsidR="004C08A1" w:rsidRPr="004C08A1" w:rsidRDefault="004C08A1" w:rsidP="004C08A1">
      <w:pPr>
        <w:spacing w:line="240" w:lineRule="auto"/>
        <w:rPr>
          <w:rFonts w:eastAsia="Times New Roman" w:cs="Arial"/>
          <w:i/>
          <w:iCs/>
          <w:color w:val="000000"/>
          <w:lang w:eastAsia="bg-BG"/>
        </w:rPr>
      </w:pPr>
    </w:p>
    <w:p w14:paraId="4B78B620" w14:textId="20A5CE4D" w:rsidR="004C08A1" w:rsidRPr="004C08A1" w:rsidRDefault="004C08A1" w:rsidP="004C08A1">
      <w:pPr>
        <w:spacing w:line="240" w:lineRule="auto"/>
        <w:rPr>
          <w:rFonts w:eastAsia="Times New Roman" w:cs="Arial"/>
          <w:sz w:val="24"/>
          <w:szCs w:val="24"/>
          <w:lang w:eastAsia="bg-BG"/>
        </w:rPr>
      </w:pPr>
      <w:r w:rsidRPr="004C08A1">
        <w:rPr>
          <w:rFonts w:eastAsia="Times New Roman" w:cs="Arial"/>
          <w:i/>
          <w:iCs/>
          <w:color w:val="000000"/>
          <w:lang w:eastAsia="bg-BG"/>
        </w:rPr>
        <w:t>Лосартан</w:t>
      </w:r>
    </w:p>
    <w:p w14:paraId="70EFB66D" w14:textId="77777777"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След перорално приложение при пациенти с лека до средна алкохолна цироза на черния дроб, плазмените концентрации на лосартан и активния му метаболит са, съответно, 5 пъти и 1,7 пъти по-високи от наблюдаваните при млади мъже - доброволци.</w:t>
      </w:r>
    </w:p>
    <w:p w14:paraId="109F28CE" w14:textId="77777777" w:rsidR="004C08A1" w:rsidRPr="004C08A1" w:rsidRDefault="004C08A1" w:rsidP="004C08A1">
      <w:pPr>
        <w:spacing w:line="240" w:lineRule="auto"/>
        <w:rPr>
          <w:rFonts w:eastAsia="Times New Roman" w:cs="Arial"/>
          <w:color w:val="000000"/>
          <w:lang w:eastAsia="bg-BG"/>
        </w:rPr>
      </w:pPr>
    </w:p>
    <w:p w14:paraId="37365468" w14:textId="4C91CE2B" w:rsidR="004C08A1"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 xml:space="preserve">Фармакокинетичните проучвания показват, че </w:t>
      </w:r>
      <w:r w:rsidRPr="004C08A1">
        <w:rPr>
          <w:rFonts w:eastAsia="Times New Roman" w:cs="Arial"/>
          <w:color w:val="000000"/>
          <w:lang w:val="en-US"/>
        </w:rPr>
        <w:t xml:space="preserve">AUC </w:t>
      </w:r>
      <w:r w:rsidRPr="004C08A1">
        <w:rPr>
          <w:rFonts w:eastAsia="Times New Roman" w:cs="Arial"/>
          <w:color w:val="000000"/>
          <w:lang w:eastAsia="bg-BG"/>
        </w:rPr>
        <w:t xml:space="preserve">на лосартан при здрави мъже от японски и неяпонски произход не са различни. Въпреки това, </w:t>
      </w:r>
      <w:r w:rsidRPr="004C08A1">
        <w:rPr>
          <w:rFonts w:eastAsia="Times New Roman" w:cs="Arial"/>
          <w:color w:val="000000"/>
          <w:lang w:val="en-US"/>
        </w:rPr>
        <w:t xml:space="preserve">AUC </w:t>
      </w:r>
      <w:r w:rsidRPr="004C08A1">
        <w:rPr>
          <w:rFonts w:eastAsia="Times New Roman" w:cs="Arial"/>
          <w:color w:val="000000"/>
          <w:lang w:eastAsia="bg-BG"/>
        </w:rPr>
        <w:t>на метаболита на карбоксилната киселина (Е-З 174) явно се отличава между двете групи, с приблизително 1,5 пъти по-висока експозиция при пациенти от японски приход, в сравнение с тези с неяпонски произход. Клиничното значение на тези резултати не е известно.</w:t>
      </w:r>
    </w:p>
    <w:p w14:paraId="5A7879CE" w14:textId="77777777" w:rsidR="004C08A1" w:rsidRPr="004C08A1" w:rsidRDefault="004C08A1" w:rsidP="004C08A1">
      <w:pPr>
        <w:rPr>
          <w:rFonts w:eastAsia="Times New Roman" w:cs="Arial"/>
          <w:color w:val="000000"/>
          <w:lang w:eastAsia="bg-BG"/>
        </w:rPr>
      </w:pPr>
    </w:p>
    <w:p w14:paraId="5B966C39" w14:textId="44ED30DD" w:rsidR="004C08A1" w:rsidRPr="004C08A1" w:rsidRDefault="004C08A1" w:rsidP="004C08A1">
      <w:pPr>
        <w:rPr>
          <w:rFonts w:cs="Arial"/>
        </w:rPr>
      </w:pPr>
      <w:r w:rsidRPr="004C08A1">
        <w:rPr>
          <w:rFonts w:eastAsia="Times New Roman" w:cs="Arial"/>
          <w:color w:val="000000"/>
          <w:lang w:eastAsia="bg-BG"/>
        </w:rPr>
        <w:t>Нито лосартан, нито активният му метаболит могат да бъдат отстранени чрез хемодиализа.</w:t>
      </w:r>
    </w:p>
    <w:p w14:paraId="2CC647CE" w14:textId="77777777" w:rsidR="004C08A1" w:rsidRPr="0091385D" w:rsidRDefault="004C08A1"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2B3C0C1A" w:rsidR="0091385D" w:rsidRPr="004C08A1" w:rsidRDefault="004C08A1" w:rsidP="004C08A1">
      <w:pPr>
        <w:spacing w:line="240" w:lineRule="auto"/>
        <w:rPr>
          <w:rFonts w:eastAsia="Times New Roman" w:cs="Arial"/>
          <w:sz w:val="24"/>
          <w:szCs w:val="24"/>
          <w:lang w:eastAsia="bg-BG"/>
        </w:rPr>
      </w:pPr>
      <w:r w:rsidRPr="004C08A1">
        <w:rPr>
          <w:rFonts w:eastAsia="Times New Roman" w:cs="Arial"/>
          <w:color w:val="000000"/>
          <w:lang w:eastAsia="bg-BG"/>
        </w:rPr>
        <w:t>Предклиничните данни от конвенционални проучвания - фармакологични, генотоксични и за карциногенен потенциал, не разкриват потенциални рискове при лечение на хора. Токсичният потенциал на комбинацията лосартан/хидрохлоротиазид се оценява в проучвания за хронична токсичност с продължителност до шест месеца при плъхове и кучета, след орално приложение, а наблюдаваните промени в тези проучвания с прилагане на комбинация са главно причинени от лосартана като компонент. Прилагането на комбинацията лосартан/хидрохлоротиазид предизвиква понижение на параметрите на червените кръвни клетки (еритроцити, хемоглобин, хематокрит) и повишаване на урея</w:t>
      </w:r>
      <w:r w:rsidRPr="004C08A1">
        <w:rPr>
          <w:rFonts w:eastAsia="Times New Roman" w:cs="Arial"/>
          <w:color w:val="000000"/>
          <w:lang w:val="en-US"/>
        </w:rPr>
        <w:t xml:space="preserve">-N </w:t>
      </w:r>
      <w:r w:rsidRPr="004C08A1">
        <w:rPr>
          <w:rFonts w:eastAsia="Times New Roman" w:cs="Arial"/>
          <w:color w:val="000000"/>
          <w:lang w:eastAsia="bg-BG"/>
        </w:rPr>
        <w:t xml:space="preserve">в серума, понижаване на теглото на сърцето (без  хистологично съответствие) и стомашно-чревни промени (лезии по лигавицата, язви, ерозии кръвоизливи). Няма данни за тератогенност при плъхове или зайци, третирани, комбинацията лосартан/хидрохлоротиазид. Токсичност за плода, изразяваща се в леко повишение на броя на </w:t>
      </w:r>
      <w:r w:rsidRPr="004C08A1">
        <w:rPr>
          <w:rFonts w:eastAsia="Times New Roman" w:cs="Arial"/>
          <w:i/>
          <w:iCs/>
          <w:color w:val="000000"/>
          <w:lang w:eastAsia="bg-BG"/>
        </w:rPr>
        <w:t xml:space="preserve"> </w:t>
      </w:r>
      <w:r w:rsidRPr="004C08A1">
        <w:rPr>
          <w:rFonts w:eastAsia="Times New Roman" w:cs="Arial"/>
          <w:color w:val="000000"/>
          <w:lang w:eastAsia="bg-BG"/>
        </w:rPr>
        <w:t xml:space="preserve">ребрата в поколение </w:t>
      </w:r>
      <w:r w:rsidRPr="004C08A1">
        <w:rPr>
          <w:rFonts w:eastAsia="Times New Roman" w:cs="Arial"/>
          <w:color w:val="000000"/>
          <w:lang w:val="en-US"/>
        </w:rPr>
        <w:t xml:space="preserve">F1 </w:t>
      </w:r>
      <w:r w:rsidRPr="004C08A1">
        <w:rPr>
          <w:rFonts w:eastAsia="Times New Roman" w:cs="Arial"/>
          <w:color w:val="000000"/>
          <w:lang w:eastAsia="bg-BG"/>
        </w:rPr>
        <w:t xml:space="preserve">се наблюдава, когато женските се третират преди и по време на </w:t>
      </w:r>
      <w:r w:rsidRPr="004C08A1">
        <w:rPr>
          <w:rFonts w:cs="Arial"/>
        </w:rPr>
        <w:t>гестационния период. Както се наблюдава в проучвания само с лосартан, странични ефекти за плода и новородените, включително бъбречна токсичност и смърт на плода, се наблюдават, когато бременни плъхове се третират с комбинацията лосартан/хидрохлоротиазид в късния гестационен период и/или през лактационния период.</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3FD825DB" w14:textId="0EE80E53" w:rsidR="0091385D" w:rsidRPr="004C08A1" w:rsidRDefault="004C08A1" w:rsidP="0091385D">
      <w:pPr>
        <w:rPr>
          <w:rFonts w:cs="Arial"/>
        </w:rPr>
      </w:pPr>
      <w:r w:rsidRPr="004C08A1">
        <w:rPr>
          <w:rFonts w:cs="Arial"/>
        </w:rPr>
        <w:t xml:space="preserve">KR.K.A. d.d.. Novo mesto, Smarjeska cesta 6, 8501 Novo mesto, </w:t>
      </w:r>
      <w:r w:rsidRPr="004C08A1">
        <w:rPr>
          <w:rFonts w:cs="Arial"/>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7FBFD4A2" w:rsidR="0091385D" w:rsidRPr="004C08A1" w:rsidRDefault="004C08A1" w:rsidP="0091385D">
      <w:pPr>
        <w:rPr>
          <w:rFonts w:cs="Arial"/>
        </w:rPr>
      </w:pPr>
      <w:r w:rsidRPr="004C08A1">
        <w:rPr>
          <w:rFonts w:cs="Arial"/>
        </w:rPr>
        <w:t>Pe</w:t>
      </w:r>
      <w:r w:rsidRPr="004C08A1">
        <w:rPr>
          <w:rFonts w:cs="Arial"/>
          <w:lang w:eastAsia="bg-BG"/>
        </w:rPr>
        <w:t>г</w:t>
      </w:r>
      <w:r w:rsidRPr="004C08A1">
        <w:rPr>
          <w:rFonts w:cs="Arial"/>
        </w:rPr>
        <w:t>. №20100620</w:t>
      </w:r>
    </w:p>
    <w:p w14:paraId="62EF7F8B" w14:textId="77777777" w:rsidR="0091385D" w:rsidRPr="0091385D" w:rsidRDefault="0091385D" w:rsidP="0091385D"/>
    <w:p w14:paraId="2CCB5832" w14:textId="18FCD95B" w:rsidR="007C605B" w:rsidRDefault="002C50EE" w:rsidP="007C605B">
      <w:pPr>
        <w:pStyle w:val="Heading1"/>
      </w:pPr>
      <w:r>
        <w:lastRenderedPageBreak/>
        <w:t>9. ДАТА НА ПЪРВО РАЗРЕШАВАНЕ/ПОДНОВЯВАНЕ НА РАЗРЕШЕНИЕТО ЗА УПОТРЕБА</w:t>
      </w:r>
    </w:p>
    <w:p w14:paraId="372B3414" w14:textId="0F79A9B4" w:rsidR="0091385D" w:rsidRDefault="0091385D" w:rsidP="0091385D"/>
    <w:p w14:paraId="64904B2F" w14:textId="77777777" w:rsidR="004C08A1" w:rsidRPr="004C08A1" w:rsidRDefault="004C08A1" w:rsidP="004C08A1">
      <w:pPr>
        <w:spacing w:line="240" w:lineRule="auto"/>
        <w:rPr>
          <w:rFonts w:eastAsia="Times New Roman" w:cs="Arial"/>
          <w:lang w:eastAsia="bg-BG"/>
        </w:rPr>
      </w:pPr>
      <w:r w:rsidRPr="004C08A1">
        <w:rPr>
          <w:rFonts w:eastAsia="Times New Roman" w:cs="Arial"/>
          <w:color w:val="000000"/>
          <w:lang w:eastAsia="bg-BG"/>
        </w:rPr>
        <w:t>Дата на първо разрешаване: 04.10.2010</w:t>
      </w:r>
    </w:p>
    <w:p w14:paraId="497007FA" w14:textId="0EA13CCB" w:rsidR="0091385D" w:rsidRDefault="004C08A1" w:rsidP="004C08A1">
      <w:r w:rsidRPr="004C08A1">
        <w:rPr>
          <w:rFonts w:eastAsia="Times New Roman" w:cs="Arial"/>
          <w:color w:val="000000"/>
          <w:lang w:eastAsia="bg-BG"/>
        </w:rPr>
        <w:t>Дата на последно подновяване: 05.10.2017</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EAED087" w14:textId="77777777" w:rsidR="004C08A1" w:rsidRPr="004C08A1" w:rsidRDefault="004C08A1" w:rsidP="004C08A1">
      <w:pPr>
        <w:spacing w:line="240" w:lineRule="auto"/>
        <w:rPr>
          <w:rFonts w:eastAsia="Times New Roman" w:cs="Arial"/>
          <w:lang w:eastAsia="bg-BG"/>
        </w:rPr>
      </w:pPr>
      <w:r w:rsidRPr="004C08A1">
        <w:rPr>
          <w:rFonts w:eastAsia="Times New Roman" w:cs="Arial"/>
          <w:color w:val="000000"/>
          <w:lang w:eastAsia="bg-BG"/>
        </w:rPr>
        <w:t>27 Май 2022</w:t>
      </w:r>
    </w:p>
    <w:p w14:paraId="4079389B" w14:textId="77777777" w:rsidR="004C08A1" w:rsidRPr="004C08A1" w:rsidRDefault="004C08A1" w:rsidP="004C08A1">
      <w:pPr>
        <w:spacing w:line="240" w:lineRule="auto"/>
        <w:rPr>
          <w:rFonts w:eastAsia="Times New Roman" w:cs="Arial"/>
          <w:color w:val="000000"/>
          <w:lang w:eastAsia="bg-BG"/>
        </w:rPr>
      </w:pPr>
    </w:p>
    <w:p w14:paraId="30276F52" w14:textId="4F7540BF" w:rsidR="0091385D" w:rsidRPr="004C08A1" w:rsidRDefault="004C08A1" w:rsidP="004C08A1">
      <w:pPr>
        <w:spacing w:line="240" w:lineRule="auto"/>
        <w:rPr>
          <w:rFonts w:eastAsia="Times New Roman" w:cs="Arial"/>
          <w:lang w:eastAsia="bg-BG"/>
        </w:rPr>
      </w:pPr>
      <w:r w:rsidRPr="004C08A1">
        <w:rPr>
          <w:rFonts w:eastAsia="Times New Roman" w:cs="Arial"/>
          <w:color w:val="000000"/>
          <w:lang w:eastAsia="bg-BG"/>
        </w:rPr>
        <w:t>Подробна информация за този лекарствен продукт е предоставена на уебсайта на Изпълнителна</w:t>
      </w:r>
      <w:r>
        <w:rPr>
          <w:rFonts w:eastAsia="Times New Roman" w:cs="Arial"/>
          <w:lang w:eastAsia="bg-BG"/>
        </w:rPr>
        <w:t xml:space="preserve"> </w:t>
      </w:r>
      <w:r w:rsidRPr="004C08A1">
        <w:rPr>
          <w:rFonts w:eastAsia="Times New Roman" w:cs="Arial"/>
          <w:color w:val="000000"/>
          <w:lang w:eastAsia="bg-BG"/>
        </w:rPr>
        <w:t xml:space="preserve">Агенция по Лекарствата (ИАЛ) </w:t>
      </w:r>
      <w:hyperlink r:id="rId5" w:history="1">
        <w:r w:rsidRPr="004C08A1">
          <w:rPr>
            <w:rFonts w:eastAsia="Times New Roman" w:cs="Arial"/>
            <w:color w:val="000000"/>
            <w:lang w:val="en-US"/>
          </w:rPr>
          <w:t>http://www.bda.bg</w:t>
        </w:r>
      </w:hyperlink>
      <w:r w:rsidRPr="004C08A1">
        <w:rPr>
          <w:rFonts w:eastAsia="Times New Roman" w:cs="Arial"/>
          <w:color w:val="000000"/>
          <w:lang w:val="en-US"/>
        </w:rPr>
        <w:t>.</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BC1A21"/>
    <w:multiLevelType w:val="hybridMultilevel"/>
    <w:tmpl w:val="42C4B36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A0E12AE"/>
    <w:multiLevelType w:val="hybridMultilevel"/>
    <w:tmpl w:val="B9A8E472"/>
    <w:lvl w:ilvl="0" w:tplc="E20A4DD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A69A9"/>
    <w:multiLevelType w:val="hybridMultilevel"/>
    <w:tmpl w:val="8990C2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D59F7"/>
    <w:multiLevelType w:val="hybridMultilevel"/>
    <w:tmpl w:val="58F4020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1"/>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0"/>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7"/>
  </w:num>
  <w:num w:numId="29">
    <w:abstractNumId w:val="22"/>
  </w:num>
  <w:num w:numId="30">
    <w:abstractNumId w:val="37"/>
  </w:num>
  <w:num w:numId="31">
    <w:abstractNumId w:val="6"/>
  </w:num>
  <w:num w:numId="32">
    <w:abstractNumId w:val="36"/>
  </w:num>
  <w:num w:numId="33">
    <w:abstractNumId w:val="30"/>
  </w:num>
  <w:num w:numId="34">
    <w:abstractNumId w:val="34"/>
  </w:num>
  <w:num w:numId="35">
    <w:abstractNumId w:val="15"/>
  </w:num>
  <w:num w:numId="36">
    <w:abstractNumId w:val="12"/>
  </w:num>
  <w:num w:numId="37">
    <w:abstractNumId w:val="5"/>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3E41EF"/>
    <w:rsid w:val="00426E5F"/>
    <w:rsid w:val="004A448E"/>
    <w:rsid w:val="004C08A1"/>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8F1AF3"/>
    <w:rsid w:val="0091385D"/>
    <w:rsid w:val="00935BA2"/>
    <w:rsid w:val="009773E4"/>
    <w:rsid w:val="009B171C"/>
    <w:rsid w:val="009F1313"/>
    <w:rsid w:val="00A20351"/>
    <w:rsid w:val="00A65A81"/>
    <w:rsid w:val="00A73575"/>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43F5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7734</Words>
  <Characters>44085</Characters>
  <Application>Microsoft Office Word</Application>
  <DocSecurity>0</DocSecurity>
  <Lines>367</Lines>
  <Paragraphs>103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2022-10-27T11:11:00Z</dcterms:created>
  <dcterms:modified xsi:type="dcterms:W3CDTF">2022-10-27T11:11:00Z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