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28012C85" w:rsidR="0091385D" w:rsidRDefault="0091385D" w:rsidP="0091385D"/>
    <w:p w14:paraId="08BB60FF" w14:textId="77777777"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t xml:space="preserve">ЛОТАР 50 </w:t>
      </w:r>
      <w:r w:rsidRPr="001927C9">
        <w:rPr>
          <w:rFonts w:eastAsia="Times New Roman" w:cs="Arial"/>
          <w:color w:val="000000"/>
          <w:lang w:val="en-US"/>
        </w:rPr>
        <w:t xml:space="preserve">mg </w:t>
      </w:r>
      <w:r w:rsidRPr="001927C9">
        <w:rPr>
          <w:rFonts w:eastAsia="Times New Roman" w:cs="Arial"/>
          <w:color w:val="000000"/>
          <w:lang w:eastAsia="bg-BG"/>
        </w:rPr>
        <w:t>филмирани таблетки</w:t>
      </w:r>
    </w:p>
    <w:p w14:paraId="1784B955" w14:textId="77777777"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val="en-US"/>
        </w:rPr>
        <w:t>LOT</w:t>
      </w:r>
      <w:bookmarkStart w:id="1" w:name="_GoBack"/>
      <w:bookmarkEnd w:id="1"/>
      <w:r w:rsidRPr="001927C9">
        <w:rPr>
          <w:rFonts w:eastAsia="Times New Roman" w:cs="Arial"/>
          <w:color w:val="000000"/>
          <w:lang w:val="en-US"/>
        </w:rPr>
        <w:t xml:space="preserve">AR </w:t>
      </w:r>
      <w:r w:rsidRPr="001927C9">
        <w:rPr>
          <w:rFonts w:eastAsia="Times New Roman" w:cs="Arial"/>
          <w:color w:val="000000"/>
          <w:lang w:eastAsia="bg-BG"/>
        </w:rPr>
        <w:t xml:space="preserve">50 </w:t>
      </w:r>
      <w:r w:rsidRPr="001927C9">
        <w:rPr>
          <w:rFonts w:eastAsia="Times New Roman" w:cs="Arial"/>
          <w:color w:val="000000"/>
          <w:lang w:val="en-US"/>
        </w:rPr>
        <w:t>mg film-coated tablets</w:t>
      </w:r>
    </w:p>
    <w:p w14:paraId="59C6A92D" w14:textId="77777777"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t xml:space="preserve">ЛОТАР 100 </w:t>
      </w:r>
      <w:r w:rsidRPr="001927C9">
        <w:rPr>
          <w:rFonts w:eastAsia="Times New Roman" w:cs="Arial"/>
          <w:color w:val="000000"/>
          <w:lang w:val="en-US"/>
        </w:rPr>
        <w:t xml:space="preserve">mg </w:t>
      </w:r>
      <w:r w:rsidRPr="001927C9">
        <w:rPr>
          <w:rFonts w:eastAsia="Times New Roman" w:cs="Arial"/>
          <w:color w:val="000000"/>
          <w:lang w:eastAsia="bg-BG"/>
        </w:rPr>
        <w:t>филмирани таблетки</w:t>
      </w:r>
    </w:p>
    <w:p w14:paraId="5015A1FD" w14:textId="3554FF23" w:rsidR="00A73575" w:rsidRPr="001927C9" w:rsidRDefault="001927C9" w:rsidP="001927C9">
      <w:pPr>
        <w:rPr>
          <w:rFonts w:cs="Arial"/>
        </w:rPr>
      </w:pPr>
      <w:r w:rsidRPr="001927C9">
        <w:rPr>
          <w:rFonts w:eastAsia="Times New Roman" w:cs="Arial"/>
          <w:color w:val="000000"/>
          <w:lang w:val="en-US"/>
        </w:rPr>
        <w:t xml:space="preserve">LOTAR </w:t>
      </w:r>
      <w:r w:rsidRPr="001927C9">
        <w:rPr>
          <w:rFonts w:eastAsia="Times New Roman" w:cs="Arial"/>
          <w:color w:val="000000"/>
          <w:lang w:eastAsia="bg-BG"/>
        </w:rPr>
        <w:t xml:space="preserve">100 </w:t>
      </w:r>
      <w:r w:rsidRPr="001927C9">
        <w:rPr>
          <w:rFonts w:eastAsia="Times New Roman" w:cs="Arial"/>
          <w:color w:val="000000"/>
          <w:lang w:val="en-US"/>
        </w:rPr>
        <w:t>mg film-coated tablets</w:t>
      </w:r>
    </w:p>
    <w:p w14:paraId="1E8447D1" w14:textId="77777777"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288788EF" w:rsidR="0091385D" w:rsidRDefault="0091385D" w:rsidP="0091385D"/>
    <w:p w14:paraId="488F2E59" w14:textId="77777777"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t xml:space="preserve">ЛОТАР 50 </w:t>
      </w:r>
      <w:r w:rsidRPr="001927C9">
        <w:rPr>
          <w:rFonts w:eastAsia="Times New Roman" w:cs="Arial"/>
          <w:color w:val="000000"/>
          <w:lang w:val="en-US"/>
        </w:rPr>
        <w:t xml:space="preserve">mg </w:t>
      </w:r>
      <w:r w:rsidRPr="001927C9">
        <w:rPr>
          <w:rFonts w:eastAsia="Times New Roman" w:cs="Arial"/>
          <w:color w:val="000000"/>
          <w:lang w:eastAsia="bg-BG"/>
        </w:rPr>
        <w:t>филмирани таблетки:</w:t>
      </w:r>
    </w:p>
    <w:p w14:paraId="37F1F442" w14:textId="77777777"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t xml:space="preserve">Всяка филмирана таблетка съдържа 50 </w:t>
      </w:r>
      <w:r w:rsidRPr="001927C9">
        <w:rPr>
          <w:rFonts w:eastAsia="Times New Roman" w:cs="Arial"/>
          <w:color w:val="000000"/>
          <w:lang w:val="en-US"/>
        </w:rPr>
        <w:t xml:space="preserve">mg </w:t>
      </w:r>
      <w:r w:rsidRPr="001927C9">
        <w:rPr>
          <w:rFonts w:eastAsia="Times New Roman" w:cs="Arial"/>
          <w:color w:val="000000"/>
          <w:lang w:eastAsia="bg-BG"/>
        </w:rPr>
        <w:t>лосартан калий.</w:t>
      </w:r>
    </w:p>
    <w:p w14:paraId="58345F58" w14:textId="3DD4539F"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u w:val="single"/>
          <w:lang w:eastAsia="bg-BG"/>
        </w:rPr>
        <w:t>Помощни вещества с известно действие</w:t>
      </w:r>
      <w:r w:rsidRPr="001927C9">
        <w:rPr>
          <w:rFonts w:eastAsia="Times New Roman" w:cs="Arial"/>
          <w:color w:val="000000"/>
          <w:lang w:eastAsia="bg-BG"/>
        </w:rPr>
        <w:t>:</w:t>
      </w:r>
    </w:p>
    <w:p w14:paraId="6C3A84DD" w14:textId="77777777"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t xml:space="preserve">Всяка филмирана таблетка съдържа 35,10 </w:t>
      </w:r>
      <w:r w:rsidRPr="001927C9">
        <w:rPr>
          <w:rFonts w:eastAsia="Times New Roman" w:cs="Arial"/>
          <w:color w:val="000000"/>
          <w:lang w:val="en-US"/>
        </w:rPr>
        <w:t xml:space="preserve">mg </w:t>
      </w:r>
      <w:r w:rsidRPr="001927C9">
        <w:rPr>
          <w:rFonts w:eastAsia="Times New Roman" w:cs="Arial"/>
          <w:color w:val="000000"/>
          <w:lang w:eastAsia="bg-BG"/>
        </w:rPr>
        <w:t>лактоза монохидрат.</w:t>
      </w:r>
    </w:p>
    <w:p w14:paraId="209746D9" w14:textId="77777777" w:rsidR="001927C9" w:rsidRPr="001927C9" w:rsidRDefault="001927C9" w:rsidP="001927C9">
      <w:pPr>
        <w:spacing w:line="240" w:lineRule="auto"/>
        <w:rPr>
          <w:rFonts w:eastAsia="Times New Roman" w:cs="Arial"/>
          <w:color w:val="000000"/>
          <w:lang w:eastAsia="bg-BG"/>
        </w:rPr>
      </w:pPr>
    </w:p>
    <w:p w14:paraId="1C080095" w14:textId="1598C3AB"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t xml:space="preserve">ЛОТАР 100 </w:t>
      </w:r>
      <w:r w:rsidRPr="001927C9">
        <w:rPr>
          <w:rFonts w:eastAsia="Times New Roman" w:cs="Arial"/>
          <w:color w:val="000000"/>
          <w:lang w:val="en-US"/>
        </w:rPr>
        <w:t xml:space="preserve">mg </w:t>
      </w:r>
      <w:r w:rsidRPr="001927C9">
        <w:rPr>
          <w:rFonts w:eastAsia="Times New Roman" w:cs="Arial"/>
          <w:color w:val="000000"/>
          <w:lang w:eastAsia="bg-BG"/>
        </w:rPr>
        <w:t>филмирани таблетки:</w:t>
      </w:r>
    </w:p>
    <w:p w14:paraId="7A0B15FD" w14:textId="77777777"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t xml:space="preserve">Всяка филмирана таблетка съдържа 100 </w:t>
      </w:r>
      <w:r w:rsidRPr="001927C9">
        <w:rPr>
          <w:rFonts w:eastAsia="Times New Roman" w:cs="Arial"/>
          <w:color w:val="000000"/>
          <w:lang w:val="en-US"/>
        </w:rPr>
        <w:t xml:space="preserve">mg </w:t>
      </w:r>
      <w:r w:rsidRPr="001927C9">
        <w:rPr>
          <w:rFonts w:eastAsia="Times New Roman" w:cs="Arial"/>
          <w:color w:val="000000"/>
          <w:lang w:eastAsia="bg-BG"/>
        </w:rPr>
        <w:t>лосартан калий.</w:t>
      </w:r>
    </w:p>
    <w:p w14:paraId="16577E27" w14:textId="4BA6172F"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u w:val="single"/>
          <w:lang w:eastAsia="bg-BG"/>
        </w:rPr>
        <w:t>Помощни вещества с известно действие</w:t>
      </w:r>
      <w:r w:rsidRPr="001927C9">
        <w:rPr>
          <w:rFonts w:eastAsia="Times New Roman" w:cs="Arial"/>
          <w:color w:val="000000"/>
          <w:lang w:eastAsia="bg-BG"/>
        </w:rPr>
        <w:t>:</w:t>
      </w:r>
    </w:p>
    <w:p w14:paraId="358F5FBB" w14:textId="77777777"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t xml:space="preserve">Всяка филмирана таблетка съдържа 70,20 </w:t>
      </w:r>
      <w:r w:rsidRPr="001927C9">
        <w:rPr>
          <w:rFonts w:eastAsia="Times New Roman" w:cs="Arial"/>
          <w:color w:val="000000"/>
          <w:lang w:val="en-US"/>
        </w:rPr>
        <w:t xml:space="preserve">mg </w:t>
      </w:r>
      <w:r w:rsidRPr="001927C9">
        <w:rPr>
          <w:rFonts w:eastAsia="Times New Roman" w:cs="Arial"/>
          <w:color w:val="000000"/>
          <w:lang w:eastAsia="bg-BG"/>
        </w:rPr>
        <w:t>лактоза монохидрат.</w:t>
      </w:r>
    </w:p>
    <w:p w14:paraId="4CCCA1F1" w14:textId="77777777" w:rsidR="001927C9" w:rsidRPr="001927C9" w:rsidRDefault="001927C9" w:rsidP="001927C9">
      <w:pPr>
        <w:rPr>
          <w:rFonts w:eastAsia="Times New Roman" w:cs="Arial"/>
          <w:color w:val="000000"/>
          <w:lang w:eastAsia="bg-BG"/>
        </w:rPr>
      </w:pPr>
    </w:p>
    <w:p w14:paraId="03110A50" w14:textId="51733BDE" w:rsidR="0091385D" w:rsidRPr="001927C9" w:rsidRDefault="001927C9" w:rsidP="001927C9">
      <w:pPr>
        <w:rPr>
          <w:rFonts w:cs="Arial"/>
        </w:rPr>
      </w:pPr>
      <w:r w:rsidRPr="001927C9">
        <w:rPr>
          <w:rFonts w:eastAsia="Times New Roman" w:cs="Arial"/>
          <w:color w:val="000000"/>
          <w:lang w:eastAsia="bg-BG"/>
        </w:rPr>
        <w:t>За пълния списък на помощните вещества, вижте точка 6.1.</w:t>
      </w:r>
    </w:p>
    <w:p w14:paraId="3C47C299" w14:textId="77777777" w:rsidR="00A73575" w:rsidRPr="0091385D" w:rsidRDefault="00A73575" w:rsidP="0091385D"/>
    <w:p w14:paraId="614984C4" w14:textId="3FC552C3" w:rsidR="008A6AF2" w:rsidRDefault="00DD466D" w:rsidP="002C50EE">
      <w:pPr>
        <w:pStyle w:val="Heading1"/>
      </w:pPr>
      <w:r>
        <w:t>3. ЛЕКАРСТВЕНА ФОРМА</w:t>
      </w:r>
    </w:p>
    <w:p w14:paraId="1004E96C" w14:textId="277B91E7" w:rsidR="0091385D" w:rsidRDefault="0091385D" w:rsidP="0091385D"/>
    <w:p w14:paraId="2342F9B2" w14:textId="77777777"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t>Филмирани таблетки</w:t>
      </w:r>
    </w:p>
    <w:p w14:paraId="55117F52" w14:textId="77777777" w:rsidR="001927C9" w:rsidRPr="001927C9" w:rsidRDefault="001927C9" w:rsidP="001927C9">
      <w:pPr>
        <w:spacing w:line="240" w:lineRule="auto"/>
        <w:rPr>
          <w:rFonts w:eastAsia="Times New Roman" w:cs="Arial"/>
          <w:color w:val="000000"/>
          <w:lang w:eastAsia="bg-BG"/>
        </w:rPr>
      </w:pPr>
    </w:p>
    <w:p w14:paraId="5B71E7F2" w14:textId="696B510E"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t xml:space="preserve">ЛОТАР 50 </w:t>
      </w:r>
      <w:r w:rsidRPr="001927C9">
        <w:rPr>
          <w:rFonts w:eastAsia="Times New Roman" w:cs="Arial"/>
          <w:color w:val="000000"/>
          <w:lang w:val="en-US"/>
        </w:rPr>
        <w:t xml:space="preserve">mg </w:t>
      </w:r>
      <w:r w:rsidRPr="001927C9">
        <w:rPr>
          <w:rFonts w:eastAsia="Times New Roman" w:cs="Arial"/>
          <w:color w:val="000000"/>
          <w:lang w:eastAsia="bg-BG"/>
        </w:rPr>
        <w:t>филмирани таблетки:</w:t>
      </w:r>
    </w:p>
    <w:p w14:paraId="3BDC174A" w14:textId="77777777"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t>Бели, кръгли, двойноизпъкнали филмирани таблетки с делителна черта от едната страна. Таблетката може да бъде разделена на две равни половини.</w:t>
      </w:r>
    </w:p>
    <w:p w14:paraId="05764CB3" w14:textId="77777777"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t xml:space="preserve">Размерите на всяка таблетка са приблизително 8.0 </w:t>
      </w:r>
      <w:r w:rsidRPr="001927C9">
        <w:rPr>
          <w:rFonts w:eastAsia="Times New Roman" w:cs="Arial"/>
          <w:color w:val="000000"/>
          <w:lang w:val="en-US"/>
        </w:rPr>
        <w:t>mm.</w:t>
      </w:r>
    </w:p>
    <w:p w14:paraId="302A7F88" w14:textId="77777777" w:rsidR="001927C9" w:rsidRPr="001927C9" w:rsidRDefault="001927C9" w:rsidP="001927C9">
      <w:pPr>
        <w:spacing w:line="240" w:lineRule="auto"/>
        <w:rPr>
          <w:rFonts w:eastAsia="Times New Roman" w:cs="Arial"/>
          <w:color w:val="000000"/>
          <w:lang w:eastAsia="bg-BG"/>
        </w:rPr>
      </w:pPr>
    </w:p>
    <w:p w14:paraId="26692833" w14:textId="1D0050DA"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t xml:space="preserve">ЛОТАР 100 </w:t>
      </w:r>
      <w:r w:rsidRPr="001927C9">
        <w:rPr>
          <w:rFonts w:eastAsia="Times New Roman" w:cs="Arial"/>
          <w:color w:val="000000"/>
          <w:lang w:val="en-US"/>
        </w:rPr>
        <w:t xml:space="preserve">mg </w:t>
      </w:r>
      <w:r w:rsidRPr="001927C9">
        <w:rPr>
          <w:rFonts w:eastAsia="Times New Roman" w:cs="Arial"/>
          <w:color w:val="000000"/>
          <w:lang w:eastAsia="bg-BG"/>
        </w:rPr>
        <w:t>филмирани таблетки:</w:t>
      </w:r>
    </w:p>
    <w:p w14:paraId="4129ADBB" w14:textId="2B37F6B5" w:rsidR="0091385D" w:rsidRPr="001927C9" w:rsidRDefault="001927C9" w:rsidP="001927C9">
      <w:pPr>
        <w:rPr>
          <w:rFonts w:cs="Arial"/>
        </w:rPr>
      </w:pPr>
      <w:r w:rsidRPr="001927C9">
        <w:rPr>
          <w:rFonts w:eastAsia="Times New Roman" w:cs="Arial"/>
          <w:color w:val="000000"/>
          <w:lang w:eastAsia="bg-BG"/>
        </w:rPr>
        <w:t xml:space="preserve">Светложъли, кръгли, двойно изпъкнали филмирани таблетки с делителна черта от едната страна. Делителната черта е само за улесняване на счупването за по-лесно поглъщане, но не и за да разделяне на равни дози. Размерите на всяка таблетка са приблизително 10.0 </w:t>
      </w:r>
      <w:r w:rsidRPr="001927C9">
        <w:rPr>
          <w:rFonts w:eastAsia="Times New Roman" w:cs="Arial"/>
          <w:color w:val="000000"/>
          <w:lang w:val="en-US"/>
        </w:rPr>
        <w:t>mm</w:t>
      </w:r>
    </w:p>
    <w:p w14:paraId="7D287A22" w14:textId="77777777" w:rsidR="00A73575" w:rsidRPr="0091385D" w:rsidRDefault="00A73575"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0F9C4973" w14:textId="71749C03" w:rsidR="001927C9" w:rsidRPr="001927C9" w:rsidRDefault="001927C9" w:rsidP="001927C9">
      <w:pPr>
        <w:pStyle w:val="ListParagraph"/>
        <w:numPr>
          <w:ilvl w:val="0"/>
          <w:numId w:val="36"/>
        </w:numPr>
        <w:spacing w:line="240" w:lineRule="auto"/>
        <w:rPr>
          <w:rFonts w:eastAsia="Times New Roman" w:cs="Arial"/>
          <w:sz w:val="24"/>
          <w:szCs w:val="24"/>
          <w:lang w:eastAsia="bg-BG"/>
        </w:rPr>
      </w:pPr>
      <w:r w:rsidRPr="001927C9">
        <w:rPr>
          <w:rFonts w:eastAsia="Times New Roman" w:cs="Arial"/>
          <w:color w:val="000000"/>
          <w:lang w:eastAsia="bg-BG"/>
        </w:rPr>
        <w:lastRenderedPageBreak/>
        <w:t>Лечение на есенциална хипертония при възрастни и при деца и юноши на възраст от 6 до</w:t>
      </w:r>
    </w:p>
    <w:p w14:paraId="79BA8628" w14:textId="77777777"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t>18 години.</w:t>
      </w:r>
    </w:p>
    <w:p w14:paraId="03B9B461" w14:textId="77777777" w:rsidR="001927C9" w:rsidRPr="001927C9" w:rsidRDefault="001927C9" w:rsidP="001927C9">
      <w:pPr>
        <w:pStyle w:val="ListParagraph"/>
        <w:numPr>
          <w:ilvl w:val="0"/>
          <w:numId w:val="35"/>
        </w:numPr>
        <w:spacing w:line="240" w:lineRule="auto"/>
        <w:rPr>
          <w:rFonts w:eastAsia="Times New Roman" w:cs="Arial"/>
          <w:color w:val="000000"/>
          <w:lang w:eastAsia="bg-BG"/>
        </w:rPr>
      </w:pPr>
      <w:r w:rsidRPr="001927C9">
        <w:rPr>
          <w:rFonts w:eastAsia="Times New Roman" w:cs="Arial"/>
          <w:color w:val="000000"/>
          <w:lang w:eastAsia="bg-BG"/>
        </w:rPr>
        <w:t xml:space="preserve">Лечение на бъбречно заболяване при възрастни пациенти с хипертония и захарен диабет тип 2 с протеинурия ≥ 0,5 </w:t>
      </w:r>
      <w:r w:rsidRPr="001927C9">
        <w:rPr>
          <w:rFonts w:eastAsia="Times New Roman" w:cs="Arial"/>
          <w:color w:val="000000"/>
          <w:lang w:val="en-US"/>
        </w:rPr>
        <w:t>g</w:t>
      </w:r>
      <w:r w:rsidRPr="001927C9">
        <w:rPr>
          <w:rFonts w:eastAsia="Times New Roman" w:cs="Arial"/>
          <w:color w:val="000000"/>
          <w:lang w:eastAsia="bg-BG"/>
        </w:rPr>
        <w:t>/ден като част от антихипертензивното лечение (вж. точки 4.3, 4.4,  4.5 и 5.1).</w:t>
      </w:r>
      <w:r w:rsidRPr="001927C9">
        <w:rPr>
          <w:rFonts w:eastAsia="Times New Roman" w:cs="Arial"/>
          <w:color w:val="000000"/>
          <w:lang w:eastAsia="bg-BG"/>
        </w:rPr>
        <w:tab/>
        <w:t>'</w:t>
      </w:r>
    </w:p>
    <w:p w14:paraId="0649ACDB" w14:textId="77777777" w:rsidR="001927C9" w:rsidRPr="001927C9" w:rsidRDefault="001927C9" w:rsidP="001927C9">
      <w:pPr>
        <w:pStyle w:val="ListParagraph"/>
        <w:numPr>
          <w:ilvl w:val="0"/>
          <w:numId w:val="35"/>
        </w:numPr>
        <w:spacing w:line="240" w:lineRule="auto"/>
        <w:rPr>
          <w:rFonts w:eastAsia="Times New Roman" w:cs="Arial"/>
          <w:color w:val="000000"/>
          <w:lang w:eastAsia="bg-BG"/>
        </w:rPr>
      </w:pPr>
      <w:r w:rsidRPr="001927C9">
        <w:rPr>
          <w:rFonts w:eastAsia="Times New Roman" w:cs="Arial"/>
          <w:color w:val="000000"/>
          <w:lang w:eastAsia="bg-BG"/>
        </w:rPr>
        <w:t>Лечение на хронична сърдечна недостатъчност при възрастни пациенти, когато лечение с инхибитори на ангиотензин конвертиращ ензим (АСЕ инхибитори) не се счита за подходящо</w:t>
      </w:r>
    </w:p>
    <w:p w14:paraId="072AE6B0" w14:textId="77777777" w:rsidR="001927C9" w:rsidRPr="001927C9" w:rsidRDefault="001927C9" w:rsidP="001927C9">
      <w:pPr>
        <w:rPr>
          <w:rFonts w:eastAsia="Times New Roman" w:cs="Arial"/>
          <w:lang w:eastAsia="bg-BG"/>
        </w:rPr>
      </w:pPr>
      <w:r w:rsidRPr="001927C9">
        <w:rPr>
          <w:rFonts w:eastAsia="Times New Roman" w:cs="Arial"/>
          <w:color w:val="000000"/>
          <w:lang w:eastAsia="bg-BG"/>
        </w:rPr>
        <w:t xml:space="preserve">поради несъвместимост, особено </w:t>
      </w:r>
      <w:r w:rsidRPr="001927C9">
        <w:rPr>
          <w:rFonts w:eastAsia="Times New Roman" w:cs="Arial"/>
          <w:i/>
          <w:iCs/>
          <w:color w:val="000000"/>
          <w:lang w:eastAsia="bg-BG"/>
        </w:rPr>
        <w:t>кашлица,</w:t>
      </w:r>
      <w:r w:rsidRPr="001927C9">
        <w:rPr>
          <w:rFonts w:eastAsia="Times New Roman" w:cs="Arial"/>
          <w:color w:val="000000"/>
          <w:lang w:eastAsia="bg-BG"/>
        </w:rPr>
        <w:t xml:space="preserve"> или противопоказания. Пациенти със сърдечна</w:t>
      </w:r>
      <w:r>
        <w:rPr>
          <w:rFonts w:eastAsia="Times New Roman" w:cs="Arial"/>
          <w:sz w:val="24"/>
          <w:szCs w:val="24"/>
          <w:lang w:eastAsia="bg-BG"/>
        </w:rPr>
        <w:t xml:space="preserve"> </w:t>
      </w:r>
      <w:r w:rsidRPr="001927C9">
        <w:rPr>
          <w:rFonts w:eastAsia="Times New Roman" w:cs="Arial"/>
          <w:color w:val="000000"/>
          <w:lang w:eastAsia="bg-BG"/>
        </w:rPr>
        <w:t>недостатъчност, които са стабилизирани с АСЕ инхибитор, не трябва да преминават към</w:t>
      </w:r>
      <w:r>
        <w:rPr>
          <w:rFonts w:eastAsia="Times New Roman" w:cs="Arial"/>
          <w:color w:val="000000"/>
          <w:lang w:eastAsia="bg-BG"/>
        </w:rPr>
        <w:t xml:space="preserve"> </w:t>
      </w:r>
      <w:r w:rsidRPr="001927C9">
        <w:rPr>
          <w:rFonts w:eastAsia="Times New Roman" w:cs="Arial"/>
          <w:color w:val="000000"/>
          <w:lang w:eastAsia="bg-BG"/>
        </w:rPr>
        <w:t>лосартан. Пациентите трябва да имат левокамерна фракция на изтласкване ≤ 40% и трябва да бъдат клинично стабилни и с установен режим на лечение на хроничната сърдечна недостатъчност.</w:t>
      </w:r>
    </w:p>
    <w:p w14:paraId="04B2E99C" w14:textId="06FC0EA4" w:rsidR="0091385D" w:rsidRPr="001927C9" w:rsidRDefault="001927C9" w:rsidP="001927C9">
      <w:pPr>
        <w:pStyle w:val="ListParagraph"/>
        <w:numPr>
          <w:ilvl w:val="0"/>
          <w:numId w:val="37"/>
        </w:numPr>
        <w:spacing w:line="240" w:lineRule="auto"/>
        <w:rPr>
          <w:rFonts w:eastAsia="Times New Roman" w:cs="Arial"/>
          <w:lang w:eastAsia="bg-BG"/>
        </w:rPr>
      </w:pPr>
      <w:r w:rsidRPr="001927C9">
        <w:rPr>
          <w:rFonts w:eastAsia="Times New Roman" w:cs="Arial"/>
          <w:color w:val="000000"/>
          <w:lang w:eastAsia="bg-BG"/>
        </w:rPr>
        <w:t xml:space="preserve">Намаляване на риска от мозъчен инсулт при възрастни хипертензивни пациенти с левокамерна хипертрофия документирана с ЕКГ (вж. точка 5.1: проучване </w:t>
      </w:r>
      <w:r w:rsidRPr="001927C9">
        <w:rPr>
          <w:rFonts w:eastAsia="Times New Roman" w:cs="Arial"/>
          <w:color w:val="000000"/>
          <w:lang w:val="en-US"/>
        </w:rPr>
        <w:t>LIFE, Race).</w:t>
      </w:r>
    </w:p>
    <w:p w14:paraId="6DFA4B9D" w14:textId="77777777" w:rsidR="0091385D" w:rsidRPr="0091385D" w:rsidRDefault="0091385D" w:rsidP="0091385D"/>
    <w:p w14:paraId="30BE2C7B" w14:textId="3633C1E4" w:rsidR="008134C8" w:rsidRDefault="002C50EE" w:rsidP="004A448E">
      <w:pPr>
        <w:pStyle w:val="Heading2"/>
      </w:pPr>
      <w:r>
        <w:t>4.2. Дозировка и начин на приложение</w:t>
      </w:r>
    </w:p>
    <w:p w14:paraId="7AA22B68" w14:textId="3A681DFB" w:rsidR="0091385D" w:rsidRDefault="0091385D" w:rsidP="0091385D"/>
    <w:p w14:paraId="3B76585E" w14:textId="77777777" w:rsidR="001927C9" w:rsidRPr="001D1FEB" w:rsidRDefault="001927C9" w:rsidP="001D1FEB">
      <w:pPr>
        <w:pStyle w:val="Heading3"/>
        <w:rPr>
          <w:rFonts w:eastAsia="Times New Roman"/>
          <w:u w:val="single"/>
          <w:lang w:eastAsia="bg-BG"/>
        </w:rPr>
      </w:pPr>
      <w:r w:rsidRPr="001D1FEB">
        <w:rPr>
          <w:rFonts w:eastAsia="Times New Roman"/>
          <w:u w:val="single"/>
          <w:lang w:eastAsia="bg-BG"/>
        </w:rPr>
        <w:t>Дозировка</w:t>
      </w:r>
    </w:p>
    <w:p w14:paraId="1FC92472" w14:textId="77777777" w:rsidR="001927C9" w:rsidRPr="001927C9" w:rsidRDefault="001927C9" w:rsidP="001927C9">
      <w:pPr>
        <w:spacing w:line="240" w:lineRule="auto"/>
        <w:rPr>
          <w:rFonts w:eastAsia="Times New Roman" w:cs="Arial"/>
          <w:color w:val="000000"/>
          <w:u w:val="single"/>
          <w:lang w:eastAsia="bg-BG"/>
        </w:rPr>
      </w:pPr>
    </w:p>
    <w:p w14:paraId="4628D268" w14:textId="406C8F7A" w:rsidR="001927C9" w:rsidRPr="001927C9" w:rsidRDefault="001927C9" w:rsidP="001927C9">
      <w:pPr>
        <w:spacing w:line="240" w:lineRule="auto"/>
        <w:rPr>
          <w:rFonts w:eastAsia="Times New Roman" w:cs="Arial"/>
          <w:lang w:eastAsia="bg-BG"/>
        </w:rPr>
      </w:pPr>
      <w:r w:rsidRPr="001927C9">
        <w:rPr>
          <w:rFonts w:eastAsia="Times New Roman" w:cs="Arial"/>
          <w:color w:val="000000"/>
          <w:u w:val="single"/>
          <w:lang w:eastAsia="bg-BG"/>
        </w:rPr>
        <w:t>Хипертония</w:t>
      </w:r>
    </w:p>
    <w:p w14:paraId="271CCBD4" w14:textId="77777777" w:rsidR="001927C9" w:rsidRPr="001927C9" w:rsidRDefault="001927C9" w:rsidP="001927C9">
      <w:pPr>
        <w:spacing w:line="240" w:lineRule="auto"/>
        <w:rPr>
          <w:rFonts w:eastAsia="Times New Roman" w:cs="Arial"/>
          <w:lang w:eastAsia="bg-BG"/>
        </w:rPr>
      </w:pPr>
      <w:r w:rsidRPr="001927C9">
        <w:rPr>
          <w:rFonts w:eastAsia="Times New Roman" w:cs="Arial"/>
          <w:color w:val="000000"/>
          <w:lang w:eastAsia="bg-BG"/>
        </w:rPr>
        <w:t xml:space="preserve">Обичайната начална и поддържаща доза е 50 </w:t>
      </w:r>
      <w:r w:rsidRPr="001927C9">
        <w:rPr>
          <w:rFonts w:eastAsia="Times New Roman" w:cs="Arial"/>
          <w:color w:val="000000"/>
          <w:lang w:val="en-US"/>
        </w:rPr>
        <w:t xml:space="preserve">mg </w:t>
      </w:r>
      <w:r w:rsidRPr="001927C9">
        <w:rPr>
          <w:rFonts w:eastAsia="Times New Roman" w:cs="Arial"/>
          <w:color w:val="000000"/>
          <w:lang w:eastAsia="bg-BG"/>
        </w:rPr>
        <w:t xml:space="preserve">веднъж на ден за повечето пациенти. Максималният антихипертензивен ефект се достига от 3 до 6 седмици след започване на лечението. При някои пациенти може да се получи допълнителен ефект с увеличаване на дозата до 100 </w:t>
      </w:r>
      <w:r w:rsidRPr="001927C9">
        <w:rPr>
          <w:rFonts w:eastAsia="Times New Roman" w:cs="Arial"/>
          <w:color w:val="000000"/>
          <w:lang w:val="en-US"/>
        </w:rPr>
        <w:t xml:space="preserve">mg </w:t>
      </w:r>
      <w:r w:rsidRPr="001927C9">
        <w:rPr>
          <w:rFonts w:eastAsia="Times New Roman" w:cs="Arial"/>
          <w:color w:val="000000"/>
          <w:lang w:eastAsia="bg-BG"/>
        </w:rPr>
        <w:t>веднъж на ден (сутрин).</w:t>
      </w:r>
    </w:p>
    <w:p w14:paraId="16C45B03" w14:textId="77777777" w:rsidR="001927C9" w:rsidRPr="001927C9" w:rsidRDefault="001927C9" w:rsidP="001927C9">
      <w:pPr>
        <w:spacing w:line="240" w:lineRule="auto"/>
        <w:rPr>
          <w:rFonts w:eastAsia="Times New Roman" w:cs="Arial"/>
          <w:lang w:eastAsia="bg-BG"/>
        </w:rPr>
      </w:pPr>
      <w:r w:rsidRPr="001927C9">
        <w:rPr>
          <w:rFonts w:eastAsia="Times New Roman" w:cs="Arial"/>
          <w:color w:val="000000"/>
          <w:lang w:eastAsia="bg-BG"/>
        </w:rPr>
        <w:t>Лосартан може да се прилага с други антихипертензивни агенти, особено с диуретици (например хидрохлортиазид) (вж. точки 4.3,4.4,4.5 и 5.1).</w:t>
      </w:r>
    </w:p>
    <w:p w14:paraId="5FF1202F" w14:textId="77777777" w:rsidR="001927C9" w:rsidRPr="001927C9" w:rsidRDefault="001927C9" w:rsidP="001927C9">
      <w:pPr>
        <w:spacing w:line="240" w:lineRule="auto"/>
        <w:rPr>
          <w:rFonts w:eastAsia="Times New Roman" w:cs="Arial"/>
          <w:color w:val="000000"/>
          <w:u w:val="single"/>
          <w:lang w:eastAsia="bg-BG"/>
        </w:rPr>
      </w:pPr>
    </w:p>
    <w:p w14:paraId="05E43126" w14:textId="317E9399" w:rsidR="001927C9" w:rsidRPr="001927C9" w:rsidRDefault="001927C9" w:rsidP="001927C9">
      <w:pPr>
        <w:spacing w:line="240" w:lineRule="auto"/>
        <w:rPr>
          <w:rFonts w:eastAsia="Times New Roman" w:cs="Arial"/>
          <w:lang w:eastAsia="bg-BG"/>
        </w:rPr>
      </w:pPr>
      <w:r w:rsidRPr="001927C9">
        <w:rPr>
          <w:rFonts w:eastAsia="Times New Roman" w:cs="Arial"/>
          <w:color w:val="000000"/>
          <w:u w:val="single"/>
          <w:lang w:eastAsia="bg-BG"/>
        </w:rPr>
        <w:t xml:space="preserve">Хипертензивни пациенти с диабет тип 2 и хипертония с протеинурия ≥ 0.5 </w:t>
      </w:r>
      <w:r w:rsidRPr="001927C9">
        <w:rPr>
          <w:rFonts w:eastAsia="Times New Roman" w:cs="Arial"/>
          <w:color w:val="000000"/>
          <w:u w:val="single"/>
          <w:lang w:val="en-US"/>
        </w:rPr>
        <w:t>g</w:t>
      </w:r>
      <w:r w:rsidRPr="001927C9">
        <w:rPr>
          <w:rFonts w:eastAsia="Times New Roman" w:cs="Arial"/>
          <w:color w:val="000000"/>
          <w:u w:val="single"/>
          <w:lang w:eastAsia="bg-BG"/>
        </w:rPr>
        <w:t>/дневно .</w:t>
      </w:r>
      <w:r w:rsidRPr="001927C9">
        <w:rPr>
          <w:rFonts w:eastAsia="Times New Roman" w:cs="Arial"/>
          <w:color w:val="000000"/>
          <w:lang w:eastAsia="bg-BG"/>
        </w:rPr>
        <w:t xml:space="preserve">Обичайната начална доза е 50 </w:t>
      </w:r>
      <w:r w:rsidRPr="001927C9">
        <w:rPr>
          <w:rFonts w:eastAsia="Times New Roman" w:cs="Arial"/>
          <w:color w:val="000000"/>
          <w:lang w:val="en-US"/>
        </w:rPr>
        <w:t xml:space="preserve">mg </w:t>
      </w:r>
      <w:r w:rsidRPr="001927C9">
        <w:rPr>
          <w:rFonts w:eastAsia="Times New Roman" w:cs="Arial"/>
          <w:color w:val="000000"/>
          <w:lang w:eastAsia="bg-BG"/>
        </w:rPr>
        <w:t xml:space="preserve">веднъж на ден. Дозата може да се увеличи до 100 </w:t>
      </w:r>
      <w:r w:rsidRPr="001927C9">
        <w:rPr>
          <w:rFonts w:eastAsia="Times New Roman" w:cs="Arial"/>
          <w:color w:val="000000"/>
          <w:lang w:val="en-US"/>
        </w:rPr>
        <w:t xml:space="preserve">mg </w:t>
      </w:r>
      <w:r w:rsidRPr="001927C9">
        <w:rPr>
          <w:rFonts w:eastAsia="Times New Roman" w:cs="Arial"/>
          <w:color w:val="000000"/>
          <w:lang w:eastAsia="bg-BG"/>
        </w:rPr>
        <w:t>веднъж на ден въз основа на повлияването на кръвното налягане първия месец от започване на лечението. Лосартан може да се прилага с други антихипертензивни агенти (като например диуретици, блокери на калциевите канали, алфа- или бета-блокери и централно действащи агенти), както и с инсулин и други обичайно използвани хипогликемизиращи агенти (например сулфонурейни препарати, глитазони и инхибитори на глюкозидазата) (вж. точки 4.3,4.4,4.5 и 5.1).</w:t>
      </w:r>
    </w:p>
    <w:p w14:paraId="3170050D" w14:textId="77777777" w:rsidR="001927C9" w:rsidRPr="001927C9" w:rsidRDefault="001927C9" w:rsidP="001927C9">
      <w:pPr>
        <w:spacing w:line="240" w:lineRule="auto"/>
        <w:rPr>
          <w:rFonts w:eastAsia="Times New Roman" w:cs="Arial"/>
          <w:color w:val="000000"/>
          <w:u w:val="single"/>
          <w:lang w:eastAsia="bg-BG"/>
        </w:rPr>
      </w:pPr>
    </w:p>
    <w:p w14:paraId="1E3E34FB" w14:textId="39BD6247" w:rsidR="001927C9" w:rsidRPr="001927C9" w:rsidRDefault="001927C9" w:rsidP="001927C9">
      <w:pPr>
        <w:spacing w:line="240" w:lineRule="auto"/>
        <w:rPr>
          <w:rFonts w:eastAsia="Times New Roman" w:cs="Arial"/>
          <w:lang w:eastAsia="bg-BG"/>
        </w:rPr>
      </w:pPr>
      <w:r w:rsidRPr="001927C9">
        <w:rPr>
          <w:rFonts w:eastAsia="Times New Roman" w:cs="Arial"/>
          <w:color w:val="000000"/>
          <w:u w:val="single"/>
          <w:lang w:eastAsia="bg-BG"/>
        </w:rPr>
        <w:t>Сърдечна недостатъчност</w:t>
      </w:r>
    </w:p>
    <w:p w14:paraId="5383412C" w14:textId="77777777" w:rsidR="001927C9" w:rsidRPr="001927C9" w:rsidRDefault="001927C9" w:rsidP="001927C9">
      <w:pPr>
        <w:spacing w:line="240" w:lineRule="auto"/>
        <w:rPr>
          <w:rFonts w:eastAsia="Times New Roman" w:cs="Arial"/>
          <w:lang w:eastAsia="bg-BG"/>
        </w:rPr>
      </w:pPr>
      <w:r w:rsidRPr="001927C9">
        <w:rPr>
          <w:rFonts w:eastAsia="Times New Roman" w:cs="Arial"/>
          <w:color w:val="000000"/>
          <w:lang w:eastAsia="bg-BG"/>
        </w:rPr>
        <w:t xml:space="preserve">Обичайната начална доза на лосартан при пациенти със сърдечна недостатъчност е 12,5 </w:t>
      </w:r>
      <w:r w:rsidRPr="001927C9">
        <w:rPr>
          <w:rFonts w:eastAsia="Times New Roman" w:cs="Arial"/>
          <w:color w:val="000000"/>
          <w:lang w:val="en-US"/>
        </w:rPr>
        <w:t xml:space="preserve">mg </w:t>
      </w:r>
      <w:r w:rsidRPr="001927C9">
        <w:rPr>
          <w:rFonts w:eastAsia="Times New Roman" w:cs="Arial"/>
          <w:color w:val="000000"/>
          <w:lang w:eastAsia="bg-BG"/>
        </w:rPr>
        <w:t xml:space="preserve">веднъж на ден. Дозата по принцип трябва да се титрира през интервали от една седмица (например 12,5 </w:t>
      </w:r>
      <w:r w:rsidRPr="001927C9">
        <w:rPr>
          <w:rFonts w:eastAsia="Times New Roman" w:cs="Arial"/>
          <w:color w:val="000000"/>
          <w:lang w:val="en-US"/>
        </w:rPr>
        <w:t xml:space="preserve">mg </w:t>
      </w:r>
      <w:r w:rsidRPr="001927C9">
        <w:rPr>
          <w:rFonts w:eastAsia="Times New Roman" w:cs="Arial"/>
          <w:color w:val="000000"/>
          <w:lang w:eastAsia="bg-BG"/>
        </w:rPr>
        <w:t xml:space="preserve">дневно, 25 </w:t>
      </w:r>
      <w:r w:rsidRPr="001927C9">
        <w:rPr>
          <w:rFonts w:eastAsia="Times New Roman" w:cs="Arial"/>
          <w:color w:val="000000"/>
          <w:lang w:val="en-US"/>
        </w:rPr>
        <w:t xml:space="preserve">mg </w:t>
      </w:r>
      <w:r w:rsidRPr="001927C9">
        <w:rPr>
          <w:rFonts w:eastAsia="Times New Roman" w:cs="Arial"/>
          <w:color w:val="000000"/>
          <w:lang w:eastAsia="bg-BG"/>
        </w:rPr>
        <w:t xml:space="preserve">дневно, 50 </w:t>
      </w:r>
      <w:r w:rsidRPr="001927C9">
        <w:rPr>
          <w:rFonts w:eastAsia="Times New Roman" w:cs="Arial"/>
          <w:color w:val="000000"/>
          <w:lang w:val="en-US"/>
        </w:rPr>
        <w:t xml:space="preserve">mg </w:t>
      </w:r>
      <w:r w:rsidRPr="001927C9">
        <w:rPr>
          <w:rFonts w:eastAsia="Times New Roman" w:cs="Arial"/>
          <w:color w:val="000000"/>
          <w:lang w:eastAsia="bg-BG"/>
        </w:rPr>
        <w:t xml:space="preserve">дневно, 100 </w:t>
      </w:r>
      <w:r w:rsidRPr="001927C9">
        <w:rPr>
          <w:rFonts w:eastAsia="Times New Roman" w:cs="Arial"/>
          <w:color w:val="000000"/>
          <w:lang w:val="en-US"/>
        </w:rPr>
        <w:t xml:space="preserve">mg </w:t>
      </w:r>
      <w:r w:rsidRPr="001927C9">
        <w:rPr>
          <w:rFonts w:eastAsia="Times New Roman" w:cs="Arial"/>
          <w:color w:val="000000"/>
          <w:lang w:eastAsia="bg-BG"/>
        </w:rPr>
        <w:t xml:space="preserve">дневно, до максимална доза от 150 </w:t>
      </w:r>
      <w:r w:rsidRPr="001927C9">
        <w:rPr>
          <w:rFonts w:eastAsia="Times New Roman" w:cs="Arial"/>
          <w:color w:val="000000"/>
          <w:lang w:val="en-US"/>
        </w:rPr>
        <w:t xml:space="preserve">mg </w:t>
      </w:r>
      <w:r w:rsidRPr="001927C9">
        <w:rPr>
          <w:rFonts w:eastAsia="Times New Roman" w:cs="Arial"/>
          <w:color w:val="000000"/>
          <w:lang w:eastAsia="bg-BG"/>
        </w:rPr>
        <w:t>веднъж дневно) според поносимостта на пациента.</w:t>
      </w:r>
    </w:p>
    <w:p w14:paraId="6D681377" w14:textId="77777777" w:rsidR="001927C9" w:rsidRPr="001927C9" w:rsidRDefault="001927C9" w:rsidP="001927C9">
      <w:pPr>
        <w:spacing w:line="240" w:lineRule="auto"/>
        <w:rPr>
          <w:rFonts w:eastAsia="Times New Roman" w:cs="Arial"/>
          <w:lang w:eastAsia="bg-BG"/>
        </w:rPr>
      </w:pPr>
      <w:r w:rsidRPr="001927C9">
        <w:rPr>
          <w:rFonts w:eastAsia="Times New Roman" w:cs="Arial"/>
          <w:color w:val="000000"/>
          <w:lang w:eastAsia="bg-BG"/>
        </w:rPr>
        <w:t>Лотар не се доставя в доза, необходима за обичайната препоръчителна начална доза за пациенти със сърдечна недостатъчност. За дозата, която не може да се получи с това лекарство, трябва да се използват други лекарствени продукти, които съдържат лосартан калий.</w:t>
      </w:r>
    </w:p>
    <w:p w14:paraId="6765716D" w14:textId="77777777" w:rsidR="001927C9" w:rsidRPr="001927C9" w:rsidRDefault="001927C9" w:rsidP="001927C9">
      <w:pPr>
        <w:spacing w:line="240" w:lineRule="auto"/>
        <w:rPr>
          <w:rFonts w:eastAsia="Times New Roman" w:cs="Arial"/>
          <w:color w:val="000000"/>
          <w:u w:val="single"/>
          <w:lang w:eastAsia="bg-BG"/>
        </w:rPr>
      </w:pPr>
    </w:p>
    <w:p w14:paraId="4CBFBE4E" w14:textId="3F136DBB" w:rsidR="001927C9" w:rsidRPr="001927C9" w:rsidRDefault="001927C9" w:rsidP="001927C9">
      <w:pPr>
        <w:spacing w:line="240" w:lineRule="auto"/>
        <w:rPr>
          <w:rFonts w:eastAsia="Times New Roman" w:cs="Arial"/>
          <w:lang w:eastAsia="bg-BG"/>
        </w:rPr>
      </w:pPr>
      <w:r w:rsidRPr="001927C9">
        <w:rPr>
          <w:rFonts w:eastAsia="Times New Roman" w:cs="Arial"/>
          <w:color w:val="000000"/>
          <w:u w:val="single"/>
          <w:lang w:eastAsia="bg-BG"/>
        </w:rPr>
        <w:lastRenderedPageBreak/>
        <w:t>Намаляване на риска от инсулт при хипертензивни пациенти с левокамерна хипертрофия документирана с ЕКГ</w:t>
      </w:r>
    </w:p>
    <w:p w14:paraId="72F49CC3" w14:textId="77777777" w:rsidR="001927C9" w:rsidRPr="001927C9" w:rsidRDefault="001927C9" w:rsidP="001927C9">
      <w:pPr>
        <w:spacing w:line="240" w:lineRule="auto"/>
        <w:rPr>
          <w:rFonts w:eastAsia="Times New Roman" w:cs="Arial"/>
          <w:lang w:eastAsia="bg-BG"/>
        </w:rPr>
      </w:pPr>
      <w:r w:rsidRPr="001927C9">
        <w:rPr>
          <w:rFonts w:eastAsia="Times New Roman" w:cs="Arial"/>
          <w:color w:val="000000"/>
          <w:lang w:eastAsia="bg-BG"/>
        </w:rPr>
        <w:t xml:space="preserve">Обичайната начална доза е 50 </w:t>
      </w:r>
      <w:r w:rsidRPr="001927C9">
        <w:rPr>
          <w:rFonts w:eastAsia="Times New Roman" w:cs="Arial"/>
          <w:color w:val="000000"/>
          <w:lang w:val="en-US"/>
        </w:rPr>
        <w:t xml:space="preserve">mg </w:t>
      </w:r>
      <w:r w:rsidRPr="001927C9">
        <w:rPr>
          <w:rFonts w:eastAsia="Times New Roman" w:cs="Arial"/>
          <w:color w:val="000000"/>
          <w:lang w:eastAsia="bg-BG"/>
        </w:rPr>
        <w:t xml:space="preserve">лосартан веднъж на ден. Малка доза хидрохлортиазид трябва да бъде добавена и/или дозата на лосартан трябва да се увеличи до 100 </w:t>
      </w:r>
      <w:r w:rsidRPr="001927C9">
        <w:rPr>
          <w:rFonts w:eastAsia="Times New Roman" w:cs="Arial"/>
          <w:color w:val="000000"/>
          <w:lang w:val="en-US"/>
        </w:rPr>
        <w:t xml:space="preserve">mg </w:t>
      </w:r>
      <w:r w:rsidRPr="001927C9">
        <w:rPr>
          <w:rFonts w:eastAsia="Times New Roman" w:cs="Arial"/>
          <w:color w:val="000000"/>
          <w:lang w:eastAsia="bg-BG"/>
        </w:rPr>
        <w:t>веднъж на ден въз основа на повлияването на кръвното налягане.</w:t>
      </w:r>
    </w:p>
    <w:p w14:paraId="6EFEC689" w14:textId="77777777" w:rsidR="001927C9" w:rsidRPr="001927C9" w:rsidRDefault="001927C9" w:rsidP="001927C9">
      <w:pPr>
        <w:spacing w:line="240" w:lineRule="auto"/>
        <w:rPr>
          <w:rFonts w:eastAsia="Times New Roman" w:cs="Arial"/>
          <w:i/>
          <w:iCs/>
          <w:color w:val="000000"/>
          <w:u w:val="single"/>
          <w:lang w:eastAsia="bg-BG"/>
        </w:rPr>
      </w:pPr>
    </w:p>
    <w:p w14:paraId="2D2ECA4B" w14:textId="7BDD2C70" w:rsidR="001927C9" w:rsidRPr="001927C9" w:rsidRDefault="001927C9" w:rsidP="001927C9">
      <w:pPr>
        <w:spacing w:line="240" w:lineRule="auto"/>
        <w:rPr>
          <w:rFonts w:eastAsia="Times New Roman" w:cs="Arial"/>
          <w:lang w:eastAsia="bg-BG"/>
        </w:rPr>
      </w:pPr>
      <w:r w:rsidRPr="001927C9">
        <w:rPr>
          <w:rFonts w:eastAsia="Times New Roman" w:cs="Arial"/>
          <w:i/>
          <w:iCs/>
          <w:color w:val="000000"/>
          <w:u w:val="single"/>
          <w:lang w:eastAsia="bg-BG"/>
        </w:rPr>
        <w:t>Специални популации</w:t>
      </w:r>
    </w:p>
    <w:p w14:paraId="047E49AD" w14:textId="77777777" w:rsidR="001927C9" w:rsidRPr="001927C9" w:rsidRDefault="001927C9" w:rsidP="001927C9">
      <w:pPr>
        <w:spacing w:line="240" w:lineRule="auto"/>
        <w:rPr>
          <w:rFonts w:eastAsia="Times New Roman" w:cs="Arial"/>
          <w:color w:val="000000"/>
          <w:u w:val="single"/>
          <w:lang w:eastAsia="bg-BG"/>
        </w:rPr>
      </w:pPr>
    </w:p>
    <w:p w14:paraId="771376FC" w14:textId="35BBE649" w:rsidR="001927C9" w:rsidRPr="001927C9" w:rsidRDefault="001927C9" w:rsidP="001927C9">
      <w:pPr>
        <w:spacing w:line="240" w:lineRule="auto"/>
        <w:rPr>
          <w:rFonts w:eastAsia="Times New Roman" w:cs="Arial"/>
          <w:lang w:eastAsia="bg-BG"/>
        </w:rPr>
      </w:pPr>
      <w:r w:rsidRPr="001927C9">
        <w:rPr>
          <w:rFonts w:eastAsia="Times New Roman" w:cs="Arial"/>
          <w:color w:val="000000"/>
          <w:u w:val="single"/>
          <w:lang w:eastAsia="bg-BG"/>
        </w:rPr>
        <w:t>Използване при пациенти с намален вътресъдов обем</w:t>
      </w:r>
    </w:p>
    <w:p w14:paraId="40C89649" w14:textId="77777777" w:rsidR="001927C9" w:rsidRPr="001927C9" w:rsidRDefault="001927C9" w:rsidP="001927C9">
      <w:pPr>
        <w:spacing w:line="240" w:lineRule="auto"/>
        <w:rPr>
          <w:rFonts w:eastAsia="Times New Roman" w:cs="Arial"/>
          <w:lang w:eastAsia="bg-BG"/>
        </w:rPr>
      </w:pPr>
      <w:r w:rsidRPr="001927C9">
        <w:rPr>
          <w:rFonts w:eastAsia="Times New Roman" w:cs="Arial"/>
          <w:color w:val="000000"/>
          <w:lang w:eastAsia="bg-BG"/>
        </w:rPr>
        <w:t xml:space="preserve">При пациенти с намален вътресъдов обем (например тези лекувани с високи дози диуретици) трябва да се обмисли начална доза от 25 </w:t>
      </w:r>
      <w:r w:rsidRPr="001927C9">
        <w:rPr>
          <w:rFonts w:eastAsia="Times New Roman" w:cs="Arial"/>
          <w:color w:val="000000"/>
          <w:lang w:val="en-US"/>
        </w:rPr>
        <w:t xml:space="preserve">mg </w:t>
      </w:r>
      <w:r w:rsidRPr="001927C9">
        <w:rPr>
          <w:rFonts w:eastAsia="Times New Roman" w:cs="Arial"/>
          <w:color w:val="000000"/>
          <w:lang w:eastAsia="bg-BG"/>
        </w:rPr>
        <w:t>веднъж на ден (вж. точка 4.4).</w:t>
      </w:r>
    </w:p>
    <w:p w14:paraId="0CFC822E" w14:textId="77777777" w:rsidR="001927C9" w:rsidRPr="001927C9" w:rsidRDefault="001927C9" w:rsidP="001927C9">
      <w:pPr>
        <w:spacing w:line="240" w:lineRule="auto"/>
        <w:rPr>
          <w:rFonts w:eastAsia="Times New Roman" w:cs="Arial"/>
          <w:color w:val="000000"/>
          <w:u w:val="single"/>
          <w:lang w:eastAsia="bg-BG"/>
        </w:rPr>
      </w:pPr>
    </w:p>
    <w:p w14:paraId="6A3A485B" w14:textId="268665CF" w:rsidR="001927C9" w:rsidRPr="001927C9" w:rsidRDefault="001927C9" w:rsidP="001927C9">
      <w:pPr>
        <w:spacing w:line="240" w:lineRule="auto"/>
        <w:rPr>
          <w:rFonts w:eastAsia="Times New Roman" w:cs="Arial"/>
          <w:lang w:eastAsia="bg-BG"/>
        </w:rPr>
      </w:pPr>
      <w:r w:rsidRPr="001927C9">
        <w:rPr>
          <w:rFonts w:eastAsia="Times New Roman" w:cs="Arial"/>
          <w:color w:val="000000"/>
          <w:u w:val="single"/>
          <w:lang w:eastAsia="bg-BG"/>
        </w:rPr>
        <w:t xml:space="preserve">Използване при пациенти с бъбречно увреждане и пациенти на хемодиализа </w:t>
      </w:r>
      <w:r w:rsidRPr="001927C9">
        <w:rPr>
          <w:rFonts w:eastAsia="Times New Roman" w:cs="Arial"/>
          <w:color w:val="000000"/>
          <w:lang w:eastAsia="bg-BG"/>
        </w:rPr>
        <w:t>Не е необходимо коригиране на началната доза при пациенти с бъбречно увреждане и при пациенти на хемодиализа.</w:t>
      </w:r>
    </w:p>
    <w:p w14:paraId="770C80F3" w14:textId="77777777" w:rsidR="001927C9" w:rsidRPr="001927C9" w:rsidRDefault="001927C9" w:rsidP="001927C9">
      <w:pPr>
        <w:spacing w:line="240" w:lineRule="auto"/>
        <w:rPr>
          <w:rFonts w:eastAsia="Times New Roman" w:cs="Arial"/>
          <w:color w:val="000000"/>
          <w:u w:val="single"/>
          <w:lang w:eastAsia="bg-BG"/>
        </w:rPr>
      </w:pPr>
    </w:p>
    <w:p w14:paraId="58F6C318" w14:textId="4E1AD93B" w:rsidR="001927C9" w:rsidRPr="001927C9" w:rsidRDefault="001927C9" w:rsidP="001927C9">
      <w:pPr>
        <w:spacing w:line="240" w:lineRule="auto"/>
        <w:rPr>
          <w:rFonts w:eastAsia="Times New Roman" w:cs="Arial"/>
          <w:lang w:eastAsia="bg-BG"/>
        </w:rPr>
      </w:pPr>
      <w:r w:rsidRPr="001927C9">
        <w:rPr>
          <w:rFonts w:eastAsia="Times New Roman" w:cs="Arial"/>
          <w:color w:val="000000"/>
          <w:u w:val="single"/>
          <w:lang w:eastAsia="bg-BG"/>
        </w:rPr>
        <w:t>Използване при пациенти с чернодробно увреждане</w:t>
      </w:r>
    </w:p>
    <w:p w14:paraId="0DA7491D" w14:textId="77777777" w:rsidR="001927C9" w:rsidRPr="001927C9" w:rsidRDefault="001927C9" w:rsidP="001927C9">
      <w:pPr>
        <w:spacing w:line="240" w:lineRule="auto"/>
        <w:rPr>
          <w:rFonts w:eastAsia="Times New Roman" w:cs="Arial"/>
          <w:lang w:eastAsia="bg-BG"/>
        </w:rPr>
      </w:pPr>
      <w:r w:rsidRPr="001927C9">
        <w:rPr>
          <w:rFonts w:eastAsia="Times New Roman" w:cs="Arial"/>
          <w:color w:val="000000"/>
          <w:lang w:eastAsia="bg-BG"/>
        </w:rPr>
        <w:t>При пациенти с анамнеза за чернодробно увреждане би следвало да се прецени приложението на по-ниска доза. Няма лечебен опит с пациенти с тежко чернодробно увреждане. По тази причина, лосартан е противопоказан при пациенти с тежко чернодробно увреждане (вж. точки</w:t>
      </w:r>
    </w:p>
    <w:p w14:paraId="475300EC" w14:textId="65AC8565" w:rsidR="0091385D" w:rsidRPr="001927C9" w:rsidRDefault="001927C9" w:rsidP="001927C9">
      <w:pPr>
        <w:rPr>
          <w:rFonts w:cs="Arial"/>
        </w:rPr>
      </w:pPr>
      <w:r w:rsidRPr="001927C9">
        <w:rPr>
          <w:rFonts w:eastAsia="Times New Roman" w:cs="Arial"/>
          <w:color w:val="000000"/>
          <w:lang w:eastAsia="bg-BG"/>
        </w:rPr>
        <w:t>4.3 и 4.4).</w:t>
      </w:r>
    </w:p>
    <w:p w14:paraId="6ACAF645" w14:textId="0287FD30" w:rsidR="0091385D" w:rsidRPr="001927C9" w:rsidRDefault="0091385D" w:rsidP="0091385D">
      <w:pPr>
        <w:rPr>
          <w:rFonts w:cs="Arial"/>
        </w:rPr>
      </w:pPr>
    </w:p>
    <w:p w14:paraId="0CE41C48" w14:textId="77777777" w:rsidR="001927C9" w:rsidRPr="001927C9" w:rsidRDefault="001927C9" w:rsidP="001927C9">
      <w:pPr>
        <w:spacing w:line="240" w:lineRule="auto"/>
        <w:rPr>
          <w:rFonts w:eastAsia="Times New Roman" w:cs="Arial"/>
          <w:lang w:eastAsia="bg-BG"/>
        </w:rPr>
      </w:pPr>
      <w:r w:rsidRPr="001927C9">
        <w:rPr>
          <w:rFonts w:eastAsia="Times New Roman" w:cs="Arial"/>
          <w:color w:val="000000"/>
          <w:u w:val="single"/>
          <w:lang w:eastAsia="bg-BG"/>
        </w:rPr>
        <w:t>Педиатрична популация</w:t>
      </w:r>
    </w:p>
    <w:p w14:paraId="70490E78" w14:textId="77777777" w:rsidR="001927C9" w:rsidRPr="001927C9" w:rsidRDefault="001927C9" w:rsidP="001927C9">
      <w:pPr>
        <w:spacing w:line="240" w:lineRule="auto"/>
        <w:rPr>
          <w:rFonts w:eastAsia="Times New Roman" w:cs="Arial"/>
          <w:i/>
          <w:iCs/>
          <w:color w:val="000000"/>
          <w:lang w:eastAsia="bg-BG"/>
        </w:rPr>
      </w:pPr>
    </w:p>
    <w:p w14:paraId="261DB433" w14:textId="4BD97422" w:rsidR="001927C9" w:rsidRPr="001927C9" w:rsidRDefault="001927C9" w:rsidP="001927C9">
      <w:pPr>
        <w:spacing w:line="240" w:lineRule="auto"/>
        <w:rPr>
          <w:rFonts w:eastAsia="Times New Roman" w:cs="Arial"/>
          <w:lang w:eastAsia="bg-BG"/>
        </w:rPr>
      </w:pPr>
      <w:r w:rsidRPr="001927C9">
        <w:rPr>
          <w:rFonts w:eastAsia="Times New Roman" w:cs="Arial"/>
          <w:i/>
          <w:iCs/>
          <w:color w:val="000000"/>
          <w:lang w:eastAsia="bg-BG"/>
        </w:rPr>
        <w:t>6 месеца- 6 години</w:t>
      </w:r>
    </w:p>
    <w:p w14:paraId="19D38BB0" w14:textId="77777777" w:rsidR="001927C9" w:rsidRPr="001927C9" w:rsidRDefault="001927C9" w:rsidP="001927C9">
      <w:pPr>
        <w:spacing w:line="240" w:lineRule="auto"/>
        <w:rPr>
          <w:rFonts w:eastAsia="Times New Roman" w:cs="Arial"/>
          <w:color w:val="000000"/>
          <w:u w:val="single"/>
          <w:lang w:eastAsia="bg-BG"/>
        </w:rPr>
      </w:pPr>
    </w:p>
    <w:p w14:paraId="5C96CB49" w14:textId="3DBD14CB" w:rsidR="001927C9" w:rsidRPr="001927C9" w:rsidRDefault="001927C9" w:rsidP="001927C9">
      <w:pPr>
        <w:spacing w:line="240" w:lineRule="auto"/>
        <w:rPr>
          <w:rFonts w:eastAsia="Times New Roman" w:cs="Arial"/>
          <w:lang w:eastAsia="bg-BG"/>
        </w:rPr>
      </w:pPr>
      <w:r w:rsidRPr="001927C9">
        <w:rPr>
          <w:rFonts w:eastAsia="Times New Roman" w:cs="Arial"/>
          <w:color w:val="000000"/>
          <w:u w:val="single"/>
          <w:lang w:eastAsia="bg-BG"/>
        </w:rPr>
        <w:t>Безопасността и ефикасността при деца на възраст от 6 месеца до 6 години все още не са установени.</w:t>
      </w:r>
    </w:p>
    <w:p w14:paraId="14E90E62" w14:textId="77777777" w:rsidR="001927C9" w:rsidRPr="001927C9" w:rsidRDefault="001927C9" w:rsidP="001927C9">
      <w:pPr>
        <w:spacing w:line="240" w:lineRule="auto"/>
        <w:rPr>
          <w:rFonts w:eastAsia="Times New Roman" w:cs="Arial"/>
          <w:color w:val="000000"/>
          <w:u w:val="single"/>
          <w:lang w:eastAsia="bg-BG"/>
        </w:rPr>
      </w:pPr>
    </w:p>
    <w:p w14:paraId="2001A9A8" w14:textId="0C6EE237" w:rsidR="001927C9" w:rsidRPr="001927C9" w:rsidRDefault="001927C9" w:rsidP="001927C9">
      <w:pPr>
        <w:spacing w:line="240" w:lineRule="auto"/>
        <w:rPr>
          <w:rFonts w:eastAsia="Times New Roman" w:cs="Arial"/>
          <w:lang w:eastAsia="bg-BG"/>
        </w:rPr>
      </w:pPr>
      <w:r w:rsidRPr="001927C9">
        <w:rPr>
          <w:rFonts w:eastAsia="Times New Roman" w:cs="Arial"/>
          <w:color w:val="000000"/>
          <w:u w:val="single"/>
          <w:lang w:eastAsia="bg-BG"/>
        </w:rPr>
        <w:t>Наличните понастоящем данни са описани в точки 5.1 и 5.2. но препоръки за дозировката не могат да бъдат дадени.</w:t>
      </w:r>
    </w:p>
    <w:p w14:paraId="19BA8A7E" w14:textId="77777777" w:rsidR="001927C9" w:rsidRPr="001927C9" w:rsidRDefault="001927C9" w:rsidP="001927C9">
      <w:pPr>
        <w:spacing w:line="240" w:lineRule="auto"/>
        <w:rPr>
          <w:rFonts w:eastAsia="Times New Roman" w:cs="Arial"/>
          <w:i/>
          <w:iCs/>
          <w:color w:val="000000"/>
          <w:u w:val="single"/>
          <w:lang w:eastAsia="bg-BG"/>
        </w:rPr>
      </w:pPr>
    </w:p>
    <w:p w14:paraId="7AD6485A" w14:textId="65C6E135" w:rsidR="001927C9" w:rsidRPr="001927C9" w:rsidRDefault="001927C9" w:rsidP="001927C9">
      <w:pPr>
        <w:spacing w:line="240" w:lineRule="auto"/>
        <w:rPr>
          <w:rFonts w:eastAsia="Times New Roman" w:cs="Arial"/>
          <w:lang w:eastAsia="bg-BG"/>
        </w:rPr>
      </w:pPr>
      <w:r w:rsidRPr="001927C9">
        <w:rPr>
          <w:rFonts w:eastAsia="Times New Roman" w:cs="Arial"/>
          <w:i/>
          <w:iCs/>
          <w:color w:val="000000"/>
          <w:u w:val="single"/>
          <w:lang w:eastAsia="bg-BG"/>
        </w:rPr>
        <w:t>6 години- 18 години</w:t>
      </w:r>
    </w:p>
    <w:p w14:paraId="6E1CE695" w14:textId="77777777" w:rsidR="001927C9" w:rsidRPr="001927C9" w:rsidRDefault="001927C9" w:rsidP="001927C9">
      <w:pPr>
        <w:spacing w:line="240" w:lineRule="auto"/>
        <w:rPr>
          <w:rFonts w:eastAsia="Times New Roman" w:cs="Arial"/>
          <w:color w:val="000000"/>
          <w:lang w:eastAsia="bg-BG"/>
        </w:rPr>
      </w:pPr>
    </w:p>
    <w:p w14:paraId="09A298FD" w14:textId="63A28D8B" w:rsidR="001927C9" w:rsidRPr="001927C9" w:rsidRDefault="001927C9" w:rsidP="001927C9">
      <w:pPr>
        <w:spacing w:line="240" w:lineRule="auto"/>
        <w:rPr>
          <w:rFonts w:eastAsia="Times New Roman" w:cs="Arial"/>
          <w:lang w:eastAsia="bg-BG"/>
        </w:rPr>
      </w:pPr>
      <w:r w:rsidRPr="001927C9">
        <w:rPr>
          <w:rFonts w:eastAsia="Times New Roman" w:cs="Arial"/>
          <w:color w:val="000000"/>
          <w:lang w:eastAsia="bg-BG"/>
        </w:rPr>
        <w:t xml:space="preserve">За пациентите, които са в състояние да приемат таблетки, препоръчителната доза е 25 </w:t>
      </w:r>
      <w:r w:rsidRPr="001927C9">
        <w:rPr>
          <w:rFonts w:eastAsia="Times New Roman" w:cs="Arial"/>
          <w:color w:val="000000"/>
          <w:lang w:val="en-US"/>
        </w:rPr>
        <w:t xml:space="preserve">mg </w:t>
      </w:r>
      <w:r w:rsidRPr="001927C9">
        <w:rPr>
          <w:rFonts w:eastAsia="Times New Roman" w:cs="Arial"/>
          <w:color w:val="000000"/>
          <w:lang w:eastAsia="bg-BG"/>
        </w:rPr>
        <w:t xml:space="preserve">веднъж на ден при пациенти &gt; 20 до &lt; 50 </w:t>
      </w:r>
      <w:r w:rsidRPr="001927C9">
        <w:rPr>
          <w:rFonts w:eastAsia="Times New Roman" w:cs="Arial"/>
          <w:color w:val="000000"/>
          <w:lang w:val="en-US"/>
        </w:rPr>
        <w:t xml:space="preserve">kg. </w:t>
      </w:r>
      <w:r w:rsidRPr="001927C9">
        <w:rPr>
          <w:rFonts w:eastAsia="Times New Roman" w:cs="Arial"/>
          <w:color w:val="000000"/>
          <w:lang w:eastAsia="bg-BG"/>
        </w:rPr>
        <w:t xml:space="preserve">(При изключителни случаи дозата може да бъде увеличена до максимум 50 </w:t>
      </w:r>
      <w:r w:rsidRPr="001927C9">
        <w:rPr>
          <w:rFonts w:eastAsia="Times New Roman" w:cs="Arial"/>
          <w:color w:val="000000"/>
          <w:lang w:val="en-US"/>
        </w:rPr>
        <w:t xml:space="preserve">mg </w:t>
      </w:r>
      <w:r w:rsidRPr="001927C9">
        <w:rPr>
          <w:rFonts w:eastAsia="Times New Roman" w:cs="Arial"/>
          <w:color w:val="000000"/>
          <w:lang w:eastAsia="bg-BG"/>
        </w:rPr>
        <w:t>веднъж на ден). Дозата следва да бъде коригирана според повлияването на кръвното налягане.</w:t>
      </w:r>
    </w:p>
    <w:p w14:paraId="0A785C39" w14:textId="77777777" w:rsidR="001927C9" w:rsidRPr="001927C9" w:rsidRDefault="001927C9" w:rsidP="001927C9">
      <w:pPr>
        <w:spacing w:line="240" w:lineRule="auto"/>
        <w:rPr>
          <w:rFonts w:eastAsia="Times New Roman" w:cs="Arial"/>
          <w:color w:val="000000"/>
          <w:lang w:eastAsia="bg-BG"/>
        </w:rPr>
      </w:pPr>
    </w:p>
    <w:p w14:paraId="3DD3D1CA" w14:textId="245FCE41" w:rsidR="001927C9" w:rsidRPr="001927C9" w:rsidRDefault="001927C9" w:rsidP="001927C9">
      <w:pPr>
        <w:spacing w:line="240" w:lineRule="auto"/>
        <w:rPr>
          <w:rFonts w:eastAsia="Times New Roman" w:cs="Arial"/>
          <w:lang w:eastAsia="bg-BG"/>
        </w:rPr>
      </w:pPr>
      <w:r w:rsidRPr="001927C9">
        <w:rPr>
          <w:rFonts w:eastAsia="Times New Roman" w:cs="Arial"/>
          <w:color w:val="000000"/>
          <w:lang w:eastAsia="bg-BG"/>
        </w:rPr>
        <w:t xml:space="preserve">При пациенти &gt; 50 </w:t>
      </w:r>
      <w:r w:rsidRPr="001927C9">
        <w:rPr>
          <w:rFonts w:eastAsia="Times New Roman" w:cs="Arial"/>
          <w:color w:val="000000"/>
          <w:lang w:val="en-US"/>
        </w:rPr>
        <w:t xml:space="preserve">kg, </w:t>
      </w:r>
      <w:r w:rsidRPr="001927C9">
        <w:rPr>
          <w:rFonts w:eastAsia="Times New Roman" w:cs="Arial"/>
          <w:color w:val="000000"/>
          <w:lang w:eastAsia="bg-BG"/>
        </w:rPr>
        <w:t xml:space="preserve">обичайната доза е 50 </w:t>
      </w:r>
      <w:r w:rsidRPr="001927C9">
        <w:rPr>
          <w:rFonts w:eastAsia="Times New Roman" w:cs="Arial"/>
          <w:color w:val="000000"/>
          <w:lang w:val="en-US"/>
        </w:rPr>
        <w:t xml:space="preserve">mg </w:t>
      </w:r>
      <w:r w:rsidRPr="001927C9">
        <w:rPr>
          <w:rFonts w:eastAsia="Times New Roman" w:cs="Arial"/>
          <w:color w:val="000000"/>
          <w:lang w:eastAsia="bg-BG"/>
        </w:rPr>
        <w:t xml:space="preserve">веднъж на ден. При изключителни случаи, дозата може да бъде коригирана до максимум 100 </w:t>
      </w:r>
      <w:r w:rsidRPr="001927C9">
        <w:rPr>
          <w:rFonts w:eastAsia="Times New Roman" w:cs="Arial"/>
          <w:color w:val="000000"/>
          <w:lang w:val="en-US"/>
        </w:rPr>
        <w:t xml:space="preserve">mg </w:t>
      </w:r>
      <w:r w:rsidRPr="001927C9">
        <w:rPr>
          <w:rFonts w:eastAsia="Times New Roman" w:cs="Arial"/>
          <w:color w:val="000000"/>
          <w:lang w:eastAsia="bg-BG"/>
        </w:rPr>
        <w:t xml:space="preserve">веднъж на ден. Дози над 1,4 </w:t>
      </w:r>
      <w:r w:rsidRPr="001927C9">
        <w:rPr>
          <w:rFonts w:eastAsia="Times New Roman" w:cs="Arial"/>
          <w:color w:val="000000"/>
          <w:lang w:val="en-US"/>
        </w:rPr>
        <w:t xml:space="preserve">mg/kg </w:t>
      </w:r>
      <w:r w:rsidRPr="001927C9">
        <w:rPr>
          <w:rFonts w:eastAsia="Times New Roman" w:cs="Arial"/>
          <w:color w:val="000000"/>
          <w:lang w:eastAsia="bg-BG"/>
        </w:rPr>
        <w:t xml:space="preserve">(или превишаващи 100 </w:t>
      </w:r>
      <w:r w:rsidRPr="001927C9">
        <w:rPr>
          <w:rFonts w:eastAsia="Times New Roman" w:cs="Arial"/>
          <w:color w:val="000000"/>
          <w:lang w:val="en-US"/>
        </w:rPr>
        <w:t xml:space="preserve">mg) </w:t>
      </w:r>
      <w:r w:rsidRPr="001927C9">
        <w:rPr>
          <w:rFonts w:eastAsia="Times New Roman" w:cs="Arial"/>
          <w:color w:val="000000"/>
          <w:lang w:eastAsia="bg-BG"/>
        </w:rPr>
        <w:t>дневно, не са били проучвани при педиатрични пациенти.</w:t>
      </w:r>
    </w:p>
    <w:p w14:paraId="4FC27225" w14:textId="77777777" w:rsidR="001927C9" w:rsidRPr="001927C9" w:rsidRDefault="001927C9" w:rsidP="001927C9">
      <w:pPr>
        <w:spacing w:line="240" w:lineRule="auto"/>
        <w:rPr>
          <w:rFonts w:eastAsia="Times New Roman" w:cs="Arial"/>
          <w:color w:val="000000"/>
          <w:lang w:eastAsia="bg-BG"/>
        </w:rPr>
      </w:pPr>
    </w:p>
    <w:p w14:paraId="02240ED9" w14:textId="28AB5401" w:rsidR="001927C9" w:rsidRPr="001927C9" w:rsidRDefault="001927C9" w:rsidP="001927C9">
      <w:pPr>
        <w:spacing w:line="240" w:lineRule="auto"/>
        <w:rPr>
          <w:rFonts w:eastAsia="Times New Roman" w:cs="Arial"/>
          <w:lang w:eastAsia="bg-BG"/>
        </w:rPr>
      </w:pPr>
      <w:r w:rsidRPr="001927C9">
        <w:rPr>
          <w:rFonts w:eastAsia="Times New Roman" w:cs="Arial"/>
          <w:color w:val="000000"/>
          <w:lang w:eastAsia="bg-BG"/>
        </w:rPr>
        <w:t>Лосартан не се препоръчва за прилагане при деца под 6 години, тъй като наличните данни за тези групи пациенти са ограничени.</w:t>
      </w:r>
    </w:p>
    <w:p w14:paraId="336AF0F9" w14:textId="77777777" w:rsidR="001927C9" w:rsidRPr="001927C9" w:rsidRDefault="001927C9" w:rsidP="001927C9">
      <w:pPr>
        <w:spacing w:line="240" w:lineRule="auto"/>
        <w:rPr>
          <w:rFonts w:eastAsia="Times New Roman" w:cs="Arial"/>
          <w:color w:val="000000"/>
          <w:lang w:eastAsia="bg-BG"/>
        </w:rPr>
      </w:pPr>
    </w:p>
    <w:p w14:paraId="3C5A53DA" w14:textId="55FF04E0" w:rsidR="001927C9" w:rsidRPr="001927C9" w:rsidRDefault="001927C9" w:rsidP="001927C9">
      <w:pPr>
        <w:spacing w:line="240" w:lineRule="auto"/>
        <w:rPr>
          <w:rFonts w:eastAsia="Times New Roman" w:cs="Arial"/>
          <w:lang w:eastAsia="bg-BG"/>
        </w:rPr>
      </w:pPr>
      <w:r w:rsidRPr="001927C9">
        <w:rPr>
          <w:rFonts w:eastAsia="Times New Roman" w:cs="Arial"/>
          <w:color w:val="000000"/>
          <w:lang w:eastAsia="bg-BG"/>
        </w:rPr>
        <w:t xml:space="preserve">Не се препоръчва при деца със скорост на гломерулна филтрация &lt;30 </w:t>
      </w:r>
      <w:r w:rsidRPr="001927C9">
        <w:rPr>
          <w:rFonts w:eastAsia="Times New Roman" w:cs="Arial"/>
          <w:color w:val="000000"/>
          <w:lang w:val="en-US"/>
        </w:rPr>
        <w:t>ml/min/1,73 m</w:t>
      </w:r>
      <w:r w:rsidRPr="001927C9">
        <w:rPr>
          <w:rFonts w:eastAsia="Times New Roman" w:cs="Arial"/>
          <w:color w:val="000000"/>
          <w:vertAlign w:val="superscript"/>
          <w:lang w:val="en-US"/>
        </w:rPr>
        <w:t>2</w:t>
      </w:r>
      <w:r w:rsidRPr="001927C9">
        <w:rPr>
          <w:rFonts w:eastAsia="Times New Roman" w:cs="Arial"/>
          <w:color w:val="000000"/>
          <w:lang w:val="en-US"/>
        </w:rPr>
        <w:t xml:space="preserve">, </w:t>
      </w:r>
      <w:r w:rsidRPr="001927C9">
        <w:rPr>
          <w:rFonts w:eastAsia="Times New Roman" w:cs="Arial"/>
          <w:color w:val="000000"/>
          <w:lang w:eastAsia="bg-BG"/>
        </w:rPr>
        <w:t>тъй като няма налични данни (вж. също така точка 4.4).</w:t>
      </w:r>
    </w:p>
    <w:p w14:paraId="3D82979C" w14:textId="77777777" w:rsidR="001927C9" w:rsidRPr="001927C9" w:rsidRDefault="001927C9" w:rsidP="001927C9">
      <w:pPr>
        <w:spacing w:line="240" w:lineRule="auto"/>
        <w:rPr>
          <w:rFonts w:eastAsia="Times New Roman" w:cs="Arial"/>
          <w:color w:val="000000"/>
          <w:lang w:eastAsia="bg-BG"/>
        </w:rPr>
      </w:pPr>
    </w:p>
    <w:p w14:paraId="704FB4CD" w14:textId="4323550C" w:rsidR="001927C9" w:rsidRPr="001927C9" w:rsidRDefault="001927C9" w:rsidP="001927C9">
      <w:pPr>
        <w:spacing w:line="240" w:lineRule="auto"/>
        <w:rPr>
          <w:rFonts w:eastAsia="Times New Roman" w:cs="Arial"/>
          <w:lang w:eastAsia="bg-BG"/>
        </w:rPr>
      </w:pPr>
      <w:r w:rsidRPr="001927C9">
        <w:rPr>
          <w:rFonts w:eastAsia="Times New Roman" w:cs="Arial"/>
          <w:color w:val="000000"/>
          <w:lang w:eastAsia="bg-BG"/>
        </w:rPr>
        <w:t>Лосартан не се препоръчва при деца с чернодробно увреждане (вж. също точка 4.4).</w:t>
      </w:r>
    </w:p>
    <w:p w14:paraId="4C325CEA" w14:textId="77777777" w:rsidR="001927C9" w:rsidRPr="001927C9" w:rsidRDefault="001927C9" w:rsidP="001927C9">
      <w:pPr>
        <w:spacing w:line="240" w:lineRule="auto"/>
        <w:rPr>
          <w:rFonts w:eastAsia="Times New Roman" w:cs="Arial"/>
          <w:color w:val="000000"/>
          <w:u w:val="single"/>
          <w:lang w:eastAsia="bg-BG"/>
        </w:rPr>
      </w:pPr>
    </w:p>
    <w:p w14:paraId="3CD80ED0" w14:textId="74ADD787" w:rsidR="001927C9" w:rsidRPr="001927C9" w:rsidRDefault="001927C9" w:rsidP="001927C9">
      <w:pPr>
        <w:spacing w:line="240" w:lineRule="auto"/>
        <w:rPr>
          <w:rFonts w:eastAsia="Times New Roman" w:cs="Arial"/>
          <w:lang w:eastAsia="bg-BG"/>
        </w:rPr>
      </w:pPr>
      <w:r w:rsidRPr="001927C9">
        <w:rPr>
          <w:rFonts w:eastAsia="Times New Roman" w:cs="Arial"/>
          <w:color w:val="000000"/>
          <w:u w:val="single"/>
          <w:lang w:eastAsia="bg-BG"/>
        </w:rPr>
        <w:t>Използване в старческа възраст</w:t>
      </w:r>
    </w:p>
    <w:p w14:paraId="47BD2298" w14:textId="77777777" w:rsidR="001927C9" w:rsidRPr="001927C9" w:rsidRDefault="001927C9" w:rsidP="001927C9">
      <w:pPr>
        <w:spacing w:line="240" w:lineRule="auto"/>
        <w:rPr>
          <w:rFonts w:eastAsia="Times New Roman" w:cs="Arial"/>
          <w:lang w:eastAsia="bg-BG"/>
        </w:rPr>
      </w:pPr>
      <w:r w:rsidRPr="001927C9">
        <w:rPr>
          <w:rFonts w:eastAsia="Times New Roman" w:cs="Arial"/>
          <w:color w:val="000000"/>
          <w:lang w:eastAsia="bg-BG"/>
        </w:rPr>
        <w:t xml:space="preserve">Въпреки че трябва да се предпочете за лечение начална доза от 25 </w:t>
      </w:r>
      <w:r w:rsidRPr="001927C9">
        <w:rPr>
          <w:rFonts w:eastAsia="Times New Roman" w:cs="Arial"/>
          <w:color w:val="000000"/>
          <w:lang w:val="en-US"/>
        </w:rPr>
        <w:t xml:space="preserve">mg </w:t>
      </w:r>
      <w:r w:rsidRPr="001927C9">
        <w:rPr>
          <w:rFonts w:eastAsia="Times New Roman" w:cs="Arial"/>
          <w:color w:val="000000"/>
          <w:lang w:eastAsia="bg-BG"/>
        </w:rPr>
        <w:t>при пациенти над 75- годишна възраст, корекция на дозата обикновено не е необходима при пациенти в старческа възраст.</w:t>
      </w:r>
    </w:p>
    <w:p w14:paraId="67AB0E0D" w14:textId="77777777" w:rsidR="001927C9" w:rsidRPr="001927C9" w:rsidRDefault="001927C9" w:rsidP="001927C9">
      <w:pPr>
        <w:spacing w:line="240" w:lineRule="auto"/>
        <w:rPr>
          <w:rFonts w:eastAsia="Times New Roman" w:cs="Arial"/>
          <w:color w:val="000000"/>
          <w:u w:val="single"/>
          <w:lang w:eastAsia="bg-BG"/>
        </w:rPr>
      </w:pPr>
    </w:p>
    <w:p w14:paraId="3DE503AD" w14:textId="71A1CFBA" w:rsidR="001927C9" w:rsidRPr="001D1FEB" w:rsidRDefault="001927C9" w:rsidP="001D1FEB">
      <w:pPr>
        <w:pStyle w:val="Heading3"/>
        <w:rPr>
          <w:rFonts w:eastAsia="Times New Roman"/>
          <w:u w:val="single"/>
          <w:lang w:eastAsia="bg-BG"/>
        </w:rPr>
      </w:pPr>
      <w:r w:rsidRPr="001D1FEB">
        <w:rPr>
          <w:rFonts w:eastAsia="Times New Roman"/>
          <w:u w:val="single"/>
          <w:lang w:eastAsia="bg-BG"/>
        </w:rPr>
        <w:t>Начин на приложение</w:t>
      </w:r>
    </w:p>
    <w:p w14:paraId="44686939" w14:textId="77777777" w:rsidR="001927C9" w:rsidRPr="001927C9" w:rsidRDefault="001927C9" w:rsidP="001927C9">
      <w:pPr>
        <w:spacing w:line="240" w:lineRule="auto"/>
        <w:rPr>
          <w:rFonts w:eastAsia="Times New Roman" w:cs="Arial"/>
          <w:color w:val="000000"/>
          <w:lang w:eastAsia="bg-BG"/>
        </w:rPr>
      </w:pPr>
    </w:p>
    <w:p w14:paraId="15CAD140" w14:textId="2846EFC0" w:rsidR="001927C9" w:rsidRPr="001927C9" w:rsidRDefault="001927C9" w:rsidP="001927C9">
      <w:pPr>
        <w:spacing w:line="240" w:lineRule="auto"/>
        <w:rPr>
          <w:rFonts w:eastAsia="Times New Roman" w:cs="Arial"/>
          <w:lang w:eastAsia="bg-BG"/>
        </w:rPr>
      </w:pPr>
      <w:r w:rsidRPr="001927C9">
        <w:rPr>
          <w:rFonts w:eastAsia="Times New Roman" w:cs="Arial"/>
          <w:color w:val="000000"/>
          <w:lang w:eastAsia="bg-BG"/>
        </w:rPr>
        <w:t>Лосартан таблетки трябва да се поглъщат с чаша вода.</w:t>
      </w:r>
    </w:p>
    <w:p w14:paraId="3608D0C3" w14:textId="20CA5014" w:rsidR="001927C9" w:rsidRPr="001927C9" w:rsidRDefault="001927C9" w:rsidP="001927C9">
      <w:pPr>
        <w:rPr>
          <w:rFonts w:cs="Arial"/>
        </w:rPr>
      </w:pPr>
      <w:r w:rsidRPr="001927C9">
        <w:rPr>
          <w:rFonts w:eastAsia="Times New Roman" w:cs="Arial"/>
          <w:color w:val="000000"/>
          <w:lang w:eastAsia="bg-BG"/>
        </w:rPr>
        <w:t>Лотар може да се прилага на гладно или след хранене.</w:t>
      </w:r>
    </w:p>
    <w:p w14:paraId="54CDCA73" w14:textId="77777777" w:rsidR="001927C9" w:rsidRPr="0091385D" w:rsidRDefault="001927C9" w:rsidP="0091385D"/>
    <w:p w14:paraId="28C984E8" w14:textId="0756AE28" w:rsidR="008134C8" w:rsidRDefault="002C50EE" w:rsidP="004A448E">
      <w:pPr>
        <w:pStyle w:val="Heading2"/>
      </w:pPr>
      <w:r>
        <w:t>4.3. Противопоказания</w:t>
      </w:r>
    </w:p>
    <w:p w14:paraId="2363D607" w14:textId="48168570" w:rsidR="0091385D" w:rsidRDefault="0091385D" w:rsidP="0091385D"/>
    <w:p w14:paraId="0B3153D3" w14:textId="77777777"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t>•</w:t>
      </w:r>
      <w:r w:rsidRPr="001927C9">
        <w:rPr>
          <w:rFonts w:eastAsia="Times New Roman" w:cs="Arial"/>
          <w:color w:val="000000"/>
          <w:lang w:eastAsia="bg-BG"/>
        </w:rPr>
        <w:tab/>
        <w:t>Свръхчувствителност към активното вещество или към някое от помощните вещества (вж. точки 4.4 и 6.1).</w:t>
      </w:r>
    </w:p>
    <w:p w14:paraId="7E697634" w14:textId="77777777"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t>•</w:t>
      </w:r>
      <w:r w:rsidRPr="001927C9">
        <w:rPr>
          <w:rFonts w:eastAsia="Times New Roman" w:cs="Arial"/>
          <w:color w:val="000000"/>
          <w:lang w:eastAsia="bg-BG"/>
        </w:rPr>
        <w:tab/>
        <w:t>2-ри и 3-ти триместър на бременността (вж. точки 4.4 и 4.6).</w:t>
      </w:r>
    </w:p>
    <w:p w14:paraId="2EE89DB5" w14:textId="77777777"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t>•</w:t>
      </w:r>
      <w:r w:rsidRPr="001927C9">
        <w:rPr>
          <w:rFonts w:eastAsia="Times New Roman" w:cs="Arial"/>
          <w:color w:val="000000"/>
          <w:lang w:eastAsia="bg-BG"/>
        </w:rPr>
        <w:tab/>
        <w:t>Тежко чернодробно увреждане.</w:t>
      </w:r>
    </w:p>
    <w:p w14:paraId="2309EAB0" w14:textId="2CF6E320" w:rsidR="0091385D" w:rsidRPr="001927C9" w:rsidRDefault="001927C9" w:rsidP="001927C9">
      <w:pPr>
        <w:rPr>
          <w:rFonts w:cs="Arial"/>
        </w:rPr>
      </w:pPr>
      <w:r w:rsidRPr="001927C9">
        <w:rPr>
          <w:rFonts w:eastAsia="Times New Roman" w:cs="Arial"/>
          <w:color w:val="000000"/>
          <w:lang w:eastAsia="bg-BG"/>
        </w:rPr>
        <w:t>•</w:t>
      </w:r>
      <w:r w:rsidRPr="001927C9">
        <w:rPr>
          <w:rFonts w:eastAsia="Times New Roman" w:cs="Arial"/>
          <w:color w:val="000000"/>
          <w:lang w:eastAsia="bg-BG"/>
        </w:rPr>
        <w:tab/>
        <w:t xml:space="preserve">Едновременната употреба на лосартан с алискирен-съдържащи продукти е противопоказана при пациенти със захарен диабет или бъбречно увреждане </w:t>
      </w:r>
      <w:r w:rsidRPr="001927C9">
        <w:rPr>
          <w:rFonts w:eastAsia="Times New Roman" w:cs="Arial"/>
          <w:color w:val="000000"/>
          <w:lang w:val="en-US"/>
        </w:rPr>
        <w:t xml:space="preserve">(GFR </w:t>
      </w:r>
      <w:r w:rsidRPr="001927C9">
        <w:rPr>
          <w:rFonts w:eastAsia="Times New Roman" w:cs="Arial"/>
          <w:color w:val="000000"/>
          <w:lang w:eastAsia="bg-BG"/>
        </w:rPr>
        <w:t xml:space="preserve">&lt; 60 </w:t>
      </w:r>
      <w:r w:rsidRPr="001927C9">
        <w:rPr>
          <w:rFonts w:eastAsia="Times New Roman" w:cs="Arial"/>
          <w:color w:val="000000"/>
          <w:lang w:val="en-US"/>
        </w:rPr>
        <w:t xml:space="preserve">ml/min/1,73 </w:t>
      </w:r>
      <w:r w:rsidRPr="001927C9">
        <w:rPr>
          <w:rFonts w:eastAsia="Times New Roman" w:cs="Arial"/>
          <w:color w:val="000000"/>
          <w:lang w:eastAsia="bg-BG"/>
        </w:rPr>
        <w:t>m2) (вж. точки 4.5 и 5.1).</w:t>
      </w:r>
    </w:p>
    <w:p w14:paraId="31B39DC6" w14:textId="77777777" w:rsidR="0091385D" w:rsidRPr="0091385D" w:rsidRDefault="0091385D" w:rsidP="0091385D"/>
    <w:p w14:paraId="212F509C" w14:textId="52B87D4F" w:rsidR="004F498A" w:rsidRDefault="002C50EE" w:rsidP="004A448E">
      <w:pPr>
        <w:pStyle w:val="Heading2"/>
      </w:pPr>
      <w:r>
        <w:t>4.4. Специални предупреждения и предпазни мерки при употреба</w:t>
      </w:r>
    </w:p>
    <w:p w14:paraId="0AAC2B60" w14:textId="0A08B607" w:rsidR="0091385D" w:rsidRDefault="0091385D" w:rsidP="0091385D"/>
    <w:p w14:paraId="2A547309" w14:textId="77777777" w:rsidR="001927C9" w:rsidRPr="001927C9" w:rsidRDefault="001927C9" w:rsidP="001927C9">
      <w:pPr>
        <w:spacing w:line="240" w:lineRule="auto"/>
        <w:rPr>
          <w:rFonts w:eastAsia="Times New Roman" w:cs="Arial"/>
          <w:sz w:val="24"/>
          <w:szCs w:val="24"/>
          <w:lang w:eastAsia="bg-BG"/>
        </w:rPr>
      </w:pPr>
      <w:bookmarkStart w:id="2" w:name="bookmark0"/>
      <w:bookmarkEnd w:id="2"/>
      <w:r w:rsidRPr="001927C9">
        <w:rPr>
          <w:rFonts w:eastAsia="Times New Roman" w:cs="Arial"/>
          <w:color w:val="000000"/>
          <w:u w:val="single"/>
          <w:lang w:eastAsia="bg-BG"/>
        </w:rPr>
        <w:t>Свръхчувствителност</w:t>
      </w:r>
    </w:p>
    <w:p w14:paraId="0B3BEE35" w14:textId="02BB432C" w:rsidR="0091385D" w:rsidRPr="001D1FEB" w:rsidRDefault="001927C9" w:rsidP="001D1FEB">
      <w:pPr>
        <w:spacing w:line="240" w:lineRule="auto"/>
        <w:rPr>
          <w:rFonts w:eastAsia="Times New Roman" w:cs="Arial"/>
          <w:sz w:val="24"/>
          <w:szCs w:val="24"/>
          <w:lang w:eastAsia="bg-BG"/>
        </w:rPr>
      </w:pPr>
      <w:r w:rsidRPr="001927C9">
        <w:rPr>
          <w:rFonts w:eastAsia="Times New Roman" w:cs="Arial"/>
          <w:i/>
          <w:iCs/>
          <w:color w:val="000000"/>
          <w:lang w:eastAsia="bg-BG"/>
        </w:rPr>
        <w:t>Ангиоедем.</w:t>
      </w:r>
      <w:r w:rsidRPr="001927C9">
        <w:rPr>
          <w:rFonts w:eastAsia="Times New Roman" w:cs="Arial"/>
          <w:color w:val="000000"/>
          <w:lang w:eastAsia="bg-BG"/>
        </w:rPr>
        <w:t xml:space="preserve"> Пациенти с анамнеза за ангиоедем (подуване на лицето, устните, гърлото и или</w:t>
      </w:r>
      <w:r w:rsidR="001D1FEB">
        <w:rPr>
          <w:rFonts w:eastAsia="Times New Roman" w:cs="Arial"/>
          <w:sz w:val="24"/>
          <w:szCs w:val="24"/>
          <w:lang w:eastAsia="bg-BG"/>
        </w:rPr>
        <w:t xml:space="preserve"> </w:t>
      </w:r>
      <w:r w:rsidRPr="001927C9">
        <w:rPr>
          <w:rFonts w:eastAsia="Times New Roman" w:cs="Arial"/>
          <w:color w:val="000000"/>
          <w:lang w:eastAsia="bg-BG"/>
        </w:rPr>
        <w:t>езика) трябва да бъдат непрекъснато наблюдавани (вж. точка 4.8).</w:t>
      </w:r>
    </w:p>
    <w:p w14:paraId="75F6F9FF" w14:textId="1EE1A16D" w:rsidR="001927C9" w:rsidRPr="001927C9" w:rsidRDefault="001927C9" w:rsidP="001927C9">
      <w:pPr>
        <w:rPr>
          <w:rFonts w:eastAsia="Times New Roman" w:cs="Arial"/>
          <w:color w:val="000000"/>
          <w:lang w:eastAsia="bg-BG"/>
        </w:rPr>
      </w:pPr>
    </w:p>
    <w:p w14:paraId="58F0E84A" w14:textId="77777777"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u w:val="single"/>
          <w:lang w:eastAsia="bg-BG"/>
        </w:rPr>
        <w:t>Хипотония и електролитен/воден дисбаланс</w:t>
      </w:r>
    </w:p>
    <w:p w14:paraId="2D0C32CE" w14:textId="77777777"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t>Симптоматична хипотония, особено след първата доза и след увеличаване на дозата, може да появи при пациенти със загуба на обем и/или натрий при интензивно диуретично лечение, ограничен прием на сол с храната, диария или повръщане. Тези състояния трябва първо да бъдат коригирани преди приложението на лосартан или да се използва по-ниска начална доза (вж. точка 4.2). Това се отнася и за децата на възраст от 6 до 18 години.</w:t>
      </w:r>
    </w:p>
    <w:p w14:paraId="0D28B8A4" w14:textId="77777777" w:rsidR="001927C9" w:rsidRPr="001927C9" w:rsidRDefault="001927C9" w:rsidP="001927C9">
      <w:pPr>
        <w:spacing w:line="240" w:lineRule="auto"/>
        <w:rPr>
          <w:rFonts w:eastAsia="Times New Roman" w:cs="Arial"/>
          <w:color w:val="000000"/>
          <w:u w:val="single"/>
          <w:lang w:eastAsia="bg-BG"/>
        </w:rPr>
      </w:pPr>
    </w:p>
    <w:p w14:paraId="4805CD18" w14:textId="45C762DE"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u w:val="single"/>
          <w:lang w:eastAsia="bg-BG"/>
        </w:rPr>
        <w:t>Електролитен дисбаланс</w:t>
      </w:r>
    </w:p>
    <w:p w14:paraId="2199FDC4" w14:textId="77777777"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t xml:space="preserve">Електролитните дисбаланси са чести при пациенти с бъбречно увреждане, с или без диабет, и трябва да бъдат коригирани. В клинично проучване, проведено при пациенти с диабет тип 2 и нефропатия, честотата на хиперкалиемията е била по-висока в групата, лекувана с лосартан в сравнение с групата, лекувана с плацебо (вж. точка 4.8). Поради това, стойностите на плазмените концентрации на калий, както и на креатининовия клирънс, трябва да бъдат непрекъснато наблюдавани, особено при пациенти със сърдечна недостатъчност и креатининов клирънс между 30-50 </w:t>
      </w:r>
      <w:r w:rsidRPr="001927C9">
        <w:rPr>
          <w:rFonts w:eastAsia="Times New Roman" w:cs="Arial"/>
          <w:color w:val="000000"/>
          <w:lang w:val="en-US"/>
        </w:rPr>
        <w:t>ml/min.</w:t>
      </w:r>
    </w:p>
    <w:p w14:paraId="2BA91F32" w14:textId="77777777"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t>Едновременното приложение на калий-съхраняващи диуретици, хранителни добавки с калий, калий-съдържащи заместители на солта, или други лекарства, които могат да повишат нивото на серумният калий (например продукти, съдържащи триметоприм) заедно с лосартан не се препоръчва (вж. точка 4.5).</w:t>
      </w:r>
    </w:p>
    <w:p w14:paraId="6026A651" w14:textId="77777777" w:rsidR="001927C9" w:rsidRPr="001927C9" w:rsidRDefault="001927C9" w:rsidP="001927C9">
      <w:pPr>
        <w:spacing w:line="240" w:lineRule="auto"/>
        <w:rPr>
          <w:rFonts w:eastAsia="Times New Roman" w:cs="Arial"/>
          <w:color w:val="000000"/>
          <w:u w:val="single"/>
          <w:lang w:eastAsia="bg-BG"/>
        </w:rPr>
      </w:pPr>
    </w:p>
    <w:p w14:paraId="121E9696" w14:textId="69E70E90"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u w:val="single"/>
          <w:lang w:eastAsia="bg-BG"/>
        </w:rPr>
        <w:t>Чернодробно увреждане</w:t>
      </w:r>
    </w:p>
    <w:p w14:paraId="3A83AEAA" w14:textId="77777777"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lastRenderedPageBreak/>
        <w:t>Базирайки се на фармакокинетичтни данни, които показват значително увеличена плазмена концентрация на лосартан при пациенти с цироза, трябва да се предвиди по-ниска доза при пациенти с анамнеза за чернодробно увреждане.</w:t>
      </w:r>
    </w:p>
    <w:p w14:paraId="68D0961C" w14:textId="77777777"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t>Няма опит от лечение с лосартан при пациенти с тежко чернодробно увреждане. Поради това лосартан не трябва да се прилага при пациенти с тежко чернодробно увреждане (вж. точки 4.2, 4.3 и 5.2).</w:t>
      </w:r>
    </w:p>
    <w:p w14:paraId="251B8EA9" w14:textId="77777777"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t>Лосартан не се препоръчва при деца с чернодробно увреждане (вж. точка 4.2).</w:t>
      </w:r>
    </w:p>
    <w:p w14:paraId="4381E97C" w14:textId="77777777" w:rsidR="001927C9" w:rsidRPr="001927C9" w:rsidRDefault="001927C9" w:rsidP="001927C9">
      <w:pPr>
        <w:spacing w:line="240" w:lineRule="auto"/>
        <w:rPr>
          <w:rFonts w:eastAsia="Times New Roman" w:cs="Arial"/>
          <w:color w:val="000000"/>
          <w:u w:val="single"/>
          <w:lang w:eastAsia="bg-BG"/>
        </w:rPr>
      </w:pPr>
    </w:p>
    <w:p w14:paraId="2D3C9EBF" w14:textId="3DC82D62"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u w:val="single"/>
          <w:lang w:eastAsia="bg-BG"/>
        </w:rPr>
        <w:t>Бъбречно увреждане</w:t>
      </w:r>
    </w:p>
    <w:p w14:paraId="09A2C574" w14:textId="77777777"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t>Има съобщения за промени в бъбречната функция в резултат от потискане на системата ренин- ангиотензин, включително бъбречна недостатъчност (особено при пациенти, чиято бъбречна функция зависи от системата ренин-ангиотензин-алдостерон, каквито са тези с тежка сърдечна недостатъчност или предхождаща бъбречна дисфункция). Както и при други лекарствени продукти, които засягат системата ренин-ангиотензин-алдостерон при пациенти с двустранна стеноза на бъбречната артерия или стеноза на артерията към единствен бъбрек се съобщава за повишение на кръвната урея и серумния креатинин; тези промени в бъбречната функция могат да бъдат обратими при прекратяване на лечението. Лосартан следва да се използва с повишено внимание при пациенти с двустранна стеноза на бъбречната артерия или стеноза на артерията на единствен бъбрек.</w:t>
      </w:r>
    </w:p>
    <w:p w14:paraId="54D30087" w14:textId="77777777" w:rsidR="001927C9" w:rsidRPr="001927C9" w:rsidRDefault="001927C9" w:rsidP="001927C9">
      <w:pPr>
        <w:spacing w:line="240" w:lineRule="auto"/>
        <w:rPr>
          <w:rFonts w:eastAsia="Times New Roman" w:cs="Arial"/>
          <w:i/>
          <w:iCs/>
          <w:color w:val="000000"/>
          <w:u w:val="single"/>
          <w:lang w:eastAsia="bg-BG"/>
        </w:rPr>
      </w:pPr>
    </w:p>
    <w:p w14:paraId="447DB23B" w14:textId="4E274D72" w:rsidR="001927C9" w:rsidRPr="001927C9" w:rsidRDefault="001927C9" w:rsidP="001927C9">
      <w:pPr>
        <w:spacing w:line="240" w:lineRule="auto"/>
        <w:rPr>
          <w:rFonts w:eastAsia="Times New Roman" w:cs="Arial"/>
          <w:sz w:val="24"/>
          <w:szCs w:val="24"/>
          <w:lang w:eastAsia="bg-BG"/>
        </w:rPr>
      </w:pPr>
      <w:r w:rsidRPr="001927C9">
        <w:rPr>
          <w:rFonts w:eastAsia="Times New Roman" w:cs="Arial"/>
          <w:i/>
          <w:iCs/>
          <w:color w:val="000000"/>
          <w:u w:val="single"/>
          <w:lang w:eastAsia="bg-BG"/>
        </w:rPr>
        <w:t>Използване при педиатрични пациенти с бъбречно нарушение</w:t>
      </w:r>
    </w:p>
    <w:p w14:paraId="252B5907" w14:textId="77777777"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t xml:space="preserve">Лосартан не се препоръчва при деца със скорост на гломерулна филтрация &lt; 30 </w:t>
      </w:r>
      <w:r w:rsidRPr="001927C9">
        <w:rPr>
          <w:rFonts w:eastAsia="Times New Roman" w:cs="Arial"/>
          <w:color w:val="000000"/>
          <w:lang w:val="en-US"/>
        </w:rPr>
        <w:t>ml/min/1,73 m</w:t>
      </w:r>
      <w:r w:rsidRPr="001927C9">
        <w:rPr>
          <w:rFonts w:eastAsia="Times New Roman" w:cs="Arial"/>
          <w:color w:val="000000"/>
          <w:vertAlign w:val="superscript"/>
          <w:lang w:val="en-US"/>
        </w:rPr>
        <w:t>2</w:t>
      </w:r>
      <w:r w:rsidRPr="001927C9">
        <w:rPr>
          <w:rFonts w:eastAsia="Times New Roman" w:cs="Arial"/>
          <w:color w:val="000000"/>
          <w:lang w:val="en-US"/>
        </w:rPr>
        <w:t xml:space="preserve">, </w:t>
      </w:r>
      <w:r w:rsidRPr="001927C9">
        <w:rPr>
          <w:rFonts w:eastAsia="Times New Roman" w:cs="Arial"/>
          <w:color w:val="000000"/>
          <w:lang w:eastAsia="bg-BG"/>
        </w:rPr>
        <w:t>като няма налични данни (вж. също така точка 4.2).</w:t>
      </w:r>
    </w:p>
    <w:p w14:paraId="0B0321FC" w14:textId="77777777"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t>Бъбречната функция следва да се наблюдава редовно при лечение с лосартан, тъй като може да настъпи влошаване. Това се отнася особено при прилагане на лосартан при други състояния (повишена температура, дехидратация), които могат да увредят бъбречната функция.</w:t>
      </w:r>
    </w:p>
    <w:p w14:paraId="79196CF6" w14:textId="77777777" w:rsidR="001927C9" w:rsidRPr="001927C9" w:rsidRDefault="001927C9" w:rsidP="001927C9">
      <w:pPr>
        <w:spacing w:line="240" w:lineRule="auto"/>
        <w:rPr>
          <w:rFonts w:eastAsia="Times New Roman" w:cs="Arial"/>
          <w:color w:val="000000"/>
          <w:lang w:eastAsia="bg-BG"/>
        </w:rPr>
      </w:pPr>
    </w:p>
    <w:p w14:paraId="123B7C1E" w14:textId="14937C6F"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t>Има данни, че едновременното прилагане на лосартан и АСЕ-инхибитори уврежда бъбречната функция. Поради това, не се препоръчва едновременното им прилагане (вж. точка 4.5).</w:t>
      </w:r>
    </w:p>
    <w:p w14:paraId="5431C65B" w14:textId="77777777" w:rsidR="001927C9" w:rsidRPr="001927C9" w:rsidRDefault="001927C9" w:rsidP="001927C9">
      <w:pPr>
        <w:spacing w:line="240" w:lineRule="auto"/>
        <w:rPr>
          <w:rFonts w:eastAsia="Times New Roman" w:cs="Arial"/>
          <w:color w:val="000000"/>
          <w:u w:val="single"/>
          <w:lang w:eastAsia="bg-BG"/>
        </w:rPr>
      </w:pPr>
    </w:p>
    <w:p w14:paraId="0F154DE3" w14:textId="59BA1E85"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u w:val="single"/>
          <w:lang w:eastAsia="bg-BG"/>
        </w:rPr>
        <w:t>Бъбречна трансплантация</w:t>
      </w:r>
    </w:p>
    <w:p w14:paraId="3F59BFC7" w14:textId="77777777"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t>Няма опит при пациенти с неотдавнашна бъбречна трансплантация.</w:t>
      </w:r>
    </w:p>
    <w:p w14:paraId="2DD183CD" w14:textId="77777777" w:rsidR="001927C9" w:rsidRPr="001927C9" w:rsidRDefault="001927C9" w:rsidP="001927C9">
      <w:pPr>
        <w:rPr>
          <w:rFonts w:eastAsia="Times New Roman" w:cs="Arial"/>
          <w:color w:val="000000"/>
          <w:u w:val="single"/>
          <w:lang w:eastAsia="bg-BG"/>
        </w:rPr>
      </w:pPr>
    </w:p>
    <w:p w14:paraId="50FA9AC1" w14:textId="6E4024D2" w:rsidR="001927C9" w:rsidRPr="001927C9" w:rsidRDefault="001927C9" w:rsidP="001927C9">
      <w:pPr>
        <w:rPr>
          <w:rFonts w:cs="Arial"/>
        </w:rPr>
      </w:pPr>
      <w:r w:rsidRPr="001927C9">
        <w:rPr>
          <w:rFonts w:eastAsia="Times New Roman" w:cs="Arial"/>
          <w:color w:val="000000"/>
          <w:u w:val="single"/>
          <w:lang w:eastAsia="bg-BG"/>
        </w:rPr>
        <w:t>Първиченхипералдостеронизъм</w:t>
      </w:r>
    </w:p>
    <w:p w14:paraId="300F3FD6" w14:textId="77777777"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t>Пациентите с първичен хипералдостеронизъм обикновено не отговарят на антихипертензивните лекарствени продукти, действащи чрез потискане на ренин-ангиотензин системата. Поради това, не се препоръчва прилагане на лосартан.</w:t>
      </w:r>
    </w:p>
    <w:p w14:paraId="59EE67E1" w14:textId="77777777" w:rsidR="001927C9" w:rsidRPr="001927C9" w:rsidRDefault="001927C9" w:rsidP="001927C9">
      <w:pPr>
        <w:spacing w:line="240" w:lineRule="auto"/>
        <w:rPr>
          <w:rFonts w:eastAsia="Times New Roman" w:cs="Arial"/>
          <w:color w:val="000000"/>
          <w:u w:val="single"/>
          <w:lang w:eastAsia="bg-BG"/>
        </w:rPr>
      </w:pPr>
    </w:p>
    <w:p w14:paraId="5410C870" w14:textId="1A8ACD30"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u w:val="single"/>
          <w:lang w:eastAsia="bg-BG"/>
        </w:rPr>
        <w:t>Коронарна сърдечна заболяване и мозъчно съдова болест</w:t>
      </w:r>
    </w:p>
    <w:p w14:paraId="22E64668" w14:textId="77777777"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t>Както при всеки антихипертензивен агент, прекомерното намаление на кръвното налягане при пациенти с исхемична сърдечно-съдова и мозъчно-съдова болест може да доведе до миокарден инфаркт или мозъчен инсулт.</w:t>
      </w:r>
    </w:p>
    <w:p w14:paraId="649A9D20" w14:textId="77777777" w:rsidR="001927C9" w:rsidRPr="001927C9" w:rsidRDefault="001927C9" w:rsidP="001927C9">
      <w:pPr>
        <w:spacing w:line="240" w:lineRule="auto"/>
        <w:rPr>
          <w:rFonts w:eastAsia="Times New Roman" w:cs="Arial"/>
          <w:color w:val="000000"/>
          <w:u w:val="single"/>
          <w:lang w:eastAsia="bg-BG"/>
        </w:rPr>
      </w:pPr>
    </w:p>
    <w:p w14:paraId="7727D5D3" w14:textId="5E725E5A"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u w:val="single"/>
          <w:lang w:eastAsia="bg-BG"/>
        </w:rPr>
        <w:t>Сърдечна недостатъчност</w:t>
      </w:r>
    </w:p>
    <w:p w14:paraId="4E42FBE2" w14:textId="77777777"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t>При пациенти със сърдечна недостатъчност, със или без бъбречно увреждане, съществува риск, както при другите лекарствени продукти, действащи върху ренин-ангиотензин системата, от тежка артериална хипотония и (често остро) бъбречно увреждане.</w:t>
      </w:r>
    </w:p>
    <w:p w14:paraId="7AC5ED3B" w14:textId="77777777"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lastRenderedPageBreak/>
        <w:t xml:space="preserve">Няма достатъчен терапевтичен опит с лосартан при пациенти със сърдечна недостатъчност и съпровождащо тежко бъбречно увреждане, при пациенти с тежка сърдечна недостатъчност (клас IV по </w:t>
      </w:r>
      <w:r w:rsidRPr="001927C9">
        <w:rPr>
          <w:rFonts w:eastAsia="Times New Roman" w:cs="Arial"/>
          <w:color w:val="000000"/>
          <w:lang w:val="en-US"/>
        </w:rPr>
        <w:t xml:space="preserve">NYHA), </w:t>
      </w:r>
      <w:r w:rsidRPr="001927C9">
        <w:rPr>
          <w:rFonts w:eastAsia="Times New Roman" w:cs="Arial"/>
          <w:color w:val="000000"/>
          <w:lang w:eastAsia="bg-BG"/>
        </w:rPr>
        <w:t>както и при пациенти с ъс тежка сърдечна недостатъчност и симптоматични застрашаващи живота сърдечни аритмии. Поради това, лосартан трябва да се използва внимателно при тези групи пациенти. Комбинацията от лосартан и бета-блокер би следвало да се използва внимателно (вж. точка 5.1).</w:t>
      </w:r>
    </w:p>
    <w:p w14:paraId="4CCFE433" w14:textId="77777777" w:rsidR="001927C9" w:rsidRPr="001927C9" w:rsidRDefault="001927C9" w:rsidP="001927C9">
      <w:pPr>
        <w:spacing w:line="240" w:lineRule="auto"/>
        <w:rPr>
          <w:rFonts w:eastAsia="Times New Roman" w:cs="Arial"/>
          <w:color w:val="000000"/>
          <w:u w:val="single"/>
          <w:lang w:eastAsia="bg-BG"/>
        </w:rPr>
      </w:pPr>
    </w:p>
    <w:p w14:paraId="162AF25D" w14:textId="61888129"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u w:val="single"/>
          <w:lang w:eastAsia="bg-BG"/>
        </w:rPr>
        <w:t xml:space="preserve">Стеноза на аортна и митрална клапа, обструктивна хипертрофична кардиомиопатия </w:t>
      </w:r>
      <w:r w:rsidRPr="001927C9">
        <w:rPr>
          <w:rFonts w:eastAsia="Times New Roman" w:cs="Arial"/>
          <w:color w:val="000000"/>
          <w:lang w:eastAsia="bg-BG"/>
        </w:rPr>
        <w:t>Както и при другите вазодилататори, препоръчва се специално внимание при пациенти страдащи от аортна или митрална стеноза, или обструктивна хипертрофична кардиомиопатия.</w:t>
      </w:r>
    </w:p>
    <w:p w14:paraId="5739DAB7" w14:textId="77777777" w:rsidR="001927C9" w:rsidRPr="001927C9" w:rsidRDefault="001927C9" w:rsidP="001927C9">
      <w:pPr>
        <w:spacing w:line="240" w:lineRule="auto"/>
        <w:rPr>
          <w:rFonts w:eastAsia="Times New Roman" w:cs="Arial"/>
          <w:color w:val="000000"/>
          <w:u w:val="single"/>
          <w:lang w:eastAsia="bg-BG"/>
        </w:rPr>
      </w:pPr>
    </w:p>
    <w:p w14:paraId="08A08C11" w14:textId="03E3DA49"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u w:val="single"/>
          <w:lang w:eastAsia="bg-BG"/>
        </w:rPr>
        <w:t>Бременност</w:t>
      </w:r>
    </w:p>
    <w:p w14:paraId="122A1716" w14:textId="77777777"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t>По време на бременност не трябва да се започва лечение с лосартан. Освен в случаите, когато непрекъснатото лечение с лосартан се счита за крайно необходимо,, пациентите които планират бременност, трябва да бъдат прехвърлени на алтернативни антихипертензивни лечения, които имат доказан профил на безопасност за използване при бременност. При поставяне на диагноза бременност, лечението с лосартан трябва да бъде преустановено незабавно, и ако е подходящо, следва да започне алтернативно лечение (вж. точки 4.3 и 4.6).</w:t>
      </w:r>
    </w:p>
    <w:p w14:paraId="17A3D9B6" w14:textId="77777777" w:rsidR="001927C9" w:rsidRPr="001927C9" w:rsidRDefault="001927C9" w:rsidP="001927C9">
      <w:pPr>
        <w:spacing w:line="240" w:lineRule="auto"/>
        <w:rPr>
          <w:rFonts w:eastAsia="Times New Roman" w:cs="Arial"/>
          <w:color w:val="000000"/>
          <w:u w:val="single"/>
          <w:lang w:eastAsia="bg-BG"/>
        </w:rPr>
      </w:pPr>
    </w:p>
    <w:p w14:paraId="73C44F3A" w14:textId="59EDECD7"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u w:val="single"/>
          <w:lang w:eastAsia="bg-BG"/>
        </w:rPr>
        <w:t>Други предупреждения и предпазни мерки</w:t>
      </w:r>
    </w:p>
    <w:p w14:paraId="4D2052AA" w14:textId="77777777"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t>Както се наблюдава при инхибиторите на ангиотензин конвертиращия ензим, лосартан и другите антагонисти на ангиотензина са видимо по-малко ефективни за намаляване на кръвното налягане при черната раса в сравнение с останалите раси, най-вероятно поради по- високата честота на състояния с нисък ренин в популацията хипертоници от черната раса.</w:t>
      </w:r>
    </w:p>
    <w:p w14:paraId="37628751" w14:textId="77777777" w:rsidR="001927C9" w:rsidRPr="001927C9" w:rsidRDefault="001927C9" w:rsidP="001927C9">
      <w:pPr>
        <w:spacing w:line="240" w:lineRule="auto"/>
        <w:rPr>
          <w:rFonts w:eastAsia="Times New Roman" w:cs="Arial"/>
          <w:color w:val="000000"/>
          <w:u w:val="single"/>
          <w:lang w:eastAsia="bg-BG"/>
        </w:rPr>
      </w:pPr>
    </w:p>
    <w:p w14:paraId="6C10217E" w14:textId="4DE077D8"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u w:val="single"/>
          <w:lang w:eastAsia="bg-BG"/>
        </w:rPr>
        <w:t>Двойно блокиране на ренин-ангиотензин-алдостероновата система (РААС)</w:t>
      </w:r>
    </w:p>
    <w:p w14:paraId="41E1C187" w14:textId="77777777"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t>Има данни, че едновременната употреба на АСЕ инхибитори, ангиотензин II-рецепторни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П-рецепторни блокери или алискирен (вж. точки 4.5 и 5.1).</w:t>
      </w:r>
    </w:p>
    <w:p w14:paraId="0CCA4178" w14:textId="77777777"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t>Ако се прецени, че терапията е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463E61E0" w14:textId="77777777"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t>АСЕ-инхибитори и ангиотензин II-рецепторни блокери не трябва да се използват едновременно при пациенти с диабетна нефропатия.</w:t>
      </w:r>
    </w:p>
    <w:p w14:paraId="623D9A93" w14:textId="77777777" w:rsidR="001927C9" w:rsidRPr="001927C9" w:rsidRDefault="001927C9" w:rsidP="001927C9">
      <w:pPr>
        <w:spacing w:line="240" w:lineRule="auto"/>
        <w:rPr>
          <w:rFonts w:eastAsia="Times New Roman" w:cs="Arial"/>
          <w:sz w:val="24"/>
          <w:szCs w:val="24"/>
          <w:lang w:eastAsia="bg-BG"/>
        </w:rPr>
      </w:pPr>
    </w:p>
    <w:p w14:paraId="705FEF30" w14:textId="77777777"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u w:val="single"/>
          <w:lang w:eastAsia="bg-BG"/>
        </w:rPr>
        <w:t>Помощни вещества</w:t>
      </w:r>
    </w:p>
    <w:p w14:paraId="24E3E82F" w14:textId="2B67F2F5" w:rsidR="0091385D" w:rsidRPr="001927C9" w:rsidRDefault="001927C9" w:rsidP="001927C9">
      <w:pPr>
        <w:rPr>
          <w:rFonts w:cs="Arial"/>
        </w:rPr>
      </w:pPr>
      <w:r w:rsidRPr="001927C9">
        <w:rPr>
          <w:rFonts w:eastAsia="Times New Roman" w:cs="Arial"/>
          <w:color w:val="000000"/>
          <w:lang w:eastAsia="bg-BG"/>
        </w:rPr>
        <w:t>Този лекарствен продукт съдържа лактоза монохидрат. Пациенти с редки наследствени</w:t>
      </w:r>
      <w:r w:rsidRPr="001927C9">
        <w:rPr>
          <w:rFonts w:eastAsia="Times New Roman" w:cs="Arial"/>
          <w:color w:val="000000"/>
          <w:sz w:val="24"/>
          <w:szCs w:val="24"/>
          <w:lang w:eastAsia="bg-BG"/>
        </w:rPr>
        <w:t xml:space="preserve"> </w:t>
      </w:r>
      <w:r w:rsidRPr="001927C9">
        <w:rPr>
          <w:rFonts w:eastAsia="Times New Roman" w:cs="Arial"/>
          <w:color w:val="000000"/>
          <w:lang w:eastAsia="bg-BG"/>
        </w:rPr>
        <w:t>проблеми на непоносимост към галактоза, пелен лактазен дефицит или глюкозо-галактозна малабсорбция не трябва да приемат това лекарство.</w:t>
      </w:r>
    </w:p>
    <w:p w14:paraId="566A65EE" w14:textId="379DEE60" w:rsidR="001927C9" w:rsidRDefault="001927C9" w:rsidP="0091385D"/>
    <w:p w14:paraId="40CEA7B3" w14:textId="67B3BDB2" w:rsidR="001927C9" w:rsidRDefault="001927C9" w:rsidP="0091385D">
      <w:r>
        <w:t xml:space="preserve">Това лекарство съдържа по-малко от 1 </w:t>
      </w:r>
      <w:proofErr w:type="spellStart"/>
      <w:r>
        <w:rPr>
          <w:lang w:val="en-US"/>
        </w:rPr>
        <w:t>mmol</w:t>
      </w:r>
      <w:proofErr w:type="spellEnd"/>
      <w:r>
        <w:rPr>
          <w:lang w:val="en-US"/>
        </w:rPr>
        <w:t xml:space="preserve"> </w:t>
      </w:r>
      <w:r>
        <w:t xml:space="preserve">натрий </w:t>
      </w:r>
      <w:r>
        <w:rPr>
          <w:lang w:val="en-US"/>
        </w:rPr>
        <w:t xml:space="preserve">(23mg) </w:t>
      </w:r>
      <w:r>
        <w:t>на таблетка, т.е. може да се каже, че практически не съдържа натрий.</w:t>
      </w:r>
    </w:p>
    <w:p w14:paraId="54C228A4" w14:textId="77777777" w:rsidR="001927C9" w:rsidRPr="0091385D" w:rsidRDefault="001927C9" w:rsidP="0091385D"/>
    <w:p w14:paraId="619DED1E" w14:textId="564F257F" w:rsidR="004F498A" w:rsidRDefault="002C50EE" w:rsidP="004A448E">
      <w:pPr>
        <w:pStyle w:val="Heading2"/>
      </w:pPr>
      <w:r>
        <w:lastRenderedPageBreak/>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55E4B7C" w14:textId="7D829F6C" w:rsidR="0091385D" w:rsidRDefault="0091385D" w:rsidP="0091385D"/>
    <w:p w14:paraId="168A35C8" w14:textId="77777777"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t>Другите антихипертензивни средства могат да засилят антихипертензивното действие на лосартан. Едновременната използване с други вещества, които могат да причинят понижаване на кръвното налягане, като нежелана лекарствена реакция (като трициклични антидепресанти, антипсихотици, баклофен и амифостин), може да увеличат риска от хипотония.</w:t>
      </w:r>
    </w:p>
    <w:p w14:paraId="4129B8A0" w14:textId="77777777" w:rsidR="001927C9" w:rsidRPr="001927C9" w:rsidRDefault="001927C9" w:rsidP="001927C9">
      <w:pPr>
        <w:spacing w:line="240" w:lineRule="auto"/>
        <w:rPr>
          <w:rFonts w:eastAsia="Times New Roman" w:cs="Arial"/>
          <w:color w:val="000000"/>
          <w:lang w:eastAsia="bg-BG"/>
        </w:rPr>
      </w:pPr>
    </w:p>
    <w:p w14:paraId="4F3DEB55" w14:textId="540AE616"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t xml:space="preserve">Лосартан се метаболизира предимно от цитохром Р450 </w:t>
      </w:r>
      <w:r w:rsidRPr="001927C9">
        <w:rPr>
          <w:rFonts w:eastAsia="Times New Roman" w:cs="Arial"/>
          <w:color w:val="000000"/>
          <w:lang w:val="en-US"/>
        </w:rPr>
        <w:t xml:space="preserve">(CYP) </w:t>
      </w:r>
      <w:r w:rsidRPr="001927C9">
        <w:rPr>
          <w:rFonts w:eastAsia="Times New Roman" w:cs="Arial"/>
          <w:color w:val="000000"/>
          <w:lang w:eastAsia="bg-BG"/>
        </w:rPr>
        <w:t xml:space="preserve">2С9 до активен карбокси- киселинен метаболит. При клинично проучване е установено, че флуконазол (инхибитор на </w:t>
      </w:r>
      <w:r w:rsidRPr="001927C9">
        <w:rPr>
          <w:rFonts w:eastAsia="Times New Roman" w:cs="Arial"/>
          <w:color w:val="000000"/>
          <w:lang w:val="en-US"/>
        </w:rPr>
        <w:t xml:space="preserve">CYP2C9) </w:t>
      </w:r>
      <w:r w:rsidRPr="001927C9">
        <w:rPr>
          <w:rFonts w:eastAsia="Times New Roman" w:cs="Arial"/>
          <w:color w:val="000000"/>
          <w:lang w:eastAsia="bg-BG"/>
        </w:rPr>
        <w:t xml:space="preserve">намалява експозицията на активния метаболит с приблизително 50%. Установено е, че едновременното лечение с лосартан и рифампицин (индукгор на метаболизиращи </w:t>
      </w:r>
      <w:r w:rsidRPr="001927C9">
        <w:rPr>
          <w:rFonts w:eastAsia="Times New Roman" w:cs="Arial"/>
          <w:i/>
          <w:iCs/>
          <w:color w:val="000000"/>
          <w:lang w:eastAsia="bg-BG"/>
        </w:rPr>
        <w:t xml:space="preserve">ензими) </w:t>
      </w:r>
      <w:r w:rsidRPr="001927C9">
        <w:rPr>
          <w:rFonts w:eastAsia="Times New Roman" w:cs="Arial"/>
          <w:color w:val="000000"/>
          <w:lang w:eastAsia="bg-BG"/>
        </w:rPr>
        <w:t xml:space="preserve">води до 40% намаление на плазмената концентрация на активния метаболит. Клиничното значение на този ефект е неизвестно. Не се установява разлика в ефекта при едновременно лечение с флувастатин (слаб инхибитор на </w:t>
      </w:r>
      <w:r w:rsidRPr="001927C9">
        <w:rPr>
          <w:rFonts w:eastAsia="Times New Roman" w:cs="Arial"/>
          <w:color w:val="000000"/>
          <w:lang w:val="en-US"/>
        </w:rPr>
        <w:t>CYP2C9).</w:t>
      </w:r>
    </w:p>
    <w:p w14:paraId="4F6AECCA" w14:textId="77777777" w:rsidR="001927C9" w:rsidRPr="001927C9" w:rsidRDefault="001927C9" w:rsidP="001927C9">
      <w:pPr>
        <w:spacing w:line="240" w:lineRule="auto"/>
        <w:rPr>
          <w:rFonts w:eastAsia="Times New Roman" w:cs="Arial"/>
          <w:color w:val="000000"/>
          <w:lang w:eastAsia="bg-BG"/>
        </w:rPr>
      </w:pPr>
    </w:p>
    <w:p w14:paraId="157A0621" w14:textId="2893F6AC"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t>Както и с другите лекарствени продукти, които блокират ангиотензин II или ефектите му, едновременното използване на други лекарствени продукти, които задържат калий (например калий-съхраняващи диуретици: амилорид, триамтерен, спиронолактон) или могат да повишат нивата на калий (например хепарин, продукти, съдържащи триметорпим), хранителни добавки с калий или калий-съдържащи заместители на солта може да доведе до увеличение на серумния калий. Не се препоръчва едновременното им прилагане.</w:t>
      </w:r>
    </w:p>
    <w:p w14:paraId="50ECD429" w14:textId="77777777" w:rsidR="001927C9" w:rsidRPr="001927C9" w:rsidRDefault="001927C9" w:rsidP="001927C9">
      <w:pPr>
        <w:spacing w:line="240" w:lineRule="auto"/>
        <w:rPr>
          <w:rFonts w:eastAsia="Times New Roman" w:cs="Arial"/>
          <w:color w:val="000000"/>
          <w:lang w:eastAsia="bg-BG"/>
        </w:rPr>
      </w:pPr>
    </w:p>
    <w:p w14:paraId="0549E932" w14:textId="5E0069EF"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t>Съобщено е за обратимо увеличение на концентрациите на серумния литий и токсичност при едновременно прилагане на литий с АСЕ инхибитори. Съобщава се за много редки случаи и при антагонисти на ангиотензин II рецепторите. Едновременното прилагане на литий и лосартан трябва да се осъществява внимателно. Ако това съчетание се окаже необходимо, препоръчва се контрол на нивото на литий по време на едновременната употреба.</w:t>
      </w:r>
    </w:p>
    <w:p w14:paraId="042EC761" w14:textId="77777777" w:rsidR="00324ADA" w:rsidRDefault="00324ADA" w:rsidP="001927C9">
      <w:pPr>
        <w:spacing w:line="240" w:lineRule="auto"/>
        <w:rPr>
          <w:rFonts w:eastAsia="Times New Roman" w:cs="Arial"/>
          <w:color w:val="000000"/>
          <w:lang w:eastAsia="bg-BG"/>
        </w:rPr>
      </w:pPr>
    </w:p>
    <w:p w14:paraId="7F83E865" w14:textId="4227993E"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t>Когато антагонисти на ангиотензин II рецептори се прилагат съчетано с НСПВС (т.е., селективни СОХ - 2 инхибитори, ацетилсалицилова киселина в противовъзпалителни дози и неселективни НСПВС) може да настъпи намаляване на антихипертензивното действие. Едновременната приложение на антагонисти на ангиотензин II или диуретици и НСПВС може да доведе до увеличен риск от влошаване на бъбречната функция, включително възможност от остра бъбречна недостатъчност, и увеличение на серумния калий, особено при пациенти с предшестваща влошена бъбречна функция. Съчетанието трябва да се прилага с повишено внимание, особено в старческа възраст. Пациентите трябва да бъдат адекватно хидратирани, като трябва да се обърне внимание на контрола на бъбречната функция след започване на съчетаното лечение и периодично след това.</w:t>
      </w:r>
    </w:p>
    <w:p w14:paraId="7A45ACBB" w14:textId="77777777" w:rsidR="001927C9" w:rsidRPr="001927C9" w:rsidRDefault="001927C9" w:rsidP="001927C9">
      <w:pPr>
        <w:rPr>
          <w:rFonts w:eastAsia="Times New Roman" w:cs="Arial"/>
          <w:color w:val="000000"/>
          <w:lang w:eastAsia="bg-BG"/>
        </w:rPr>
      </w:pPr>
    </w:p>
    <w:p w14:paraId="172AE819" w14:textId="395B2FCD" w:rsidR="0091385D" w:rsidRPr="001927C9" w:rsidRDefault="001927C9" w:rsidP="001927C9">
      <w:pPr>
        <w:rPr>
          <w:rFonts w:cs="Arial"/>
        </w:rPr>
      </w:pPr>
      <w:r w:rsidRPr="001927C9">
        <w:rPr>
          <w:rFonts w:eastAsia="Times New Roman" w:cs="Arial"/>
          <w:color w:val="000000"/>
          <w:lang w:eastAsia="bg-BG"/>
        </w:rPr>
        <w:t>Данни от клинични проучвания показват, че двойното блокиране на ренин-ангиотензин- алдостероновата система (РААС) чрез комбинираната употреба на АСЕ инхибитори, ангиотензин II-рецепторни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 4.4 и 5.1).</w:t>
      </w:r>
    </w:p>
    <w:p w14:paraId="5B2761C5" w14:textId="77777777" w:rsidR="0091385D" w:rsidRPr="0091385D" w:rsidRDefault="0091385D" w:rsidP="0091385D"/>
    <w:p w14:paraId="394A7584" w14:textId="10DEA5B3" w:rsidR="004F498A" w:rsidRDefault="002C50EE" w:rsidP="004A448E">
      <w:pPr>
        <w:pStyle w:val="Heading2"/>
      </w:pPr>
      <w:r>
        <w:t>4.6. Фертилитет, бременност и кърмене</w:t>
      </w:r>
    </w:p>
    <w:p w14:paraId="4887836B" w14:textId="11C96CFA" w:rsidR="0091385D" w:rsidRDefault="0091385D" w:rsidP="0091385D"/>
    <w:p w14:paraId="34AD4704" w14:textId="77777777" w:rsidR="001927C9" w:rsidRPr="00324ADA" w:rsidRDefault="001927C9" w:rsidP="00324ADA">
      <w:pPr>
        <w:pStyle w:val="Heading3"/>
        <w:rPr>
          <w:rFonts w:eastAsia="Times New Roman"/>
          <w:u w:val="single"/>
          <w:lang w:eastAsia="bg-BG"/>
        </w:rPr>
      </w:pPr>
      <w:r w:rsidRPr="00324ADA">
        <w:rPr>
          <w:rFonts w:eastAsia="Times New Roman"/>
          <w:u w:val="single"/>
          <w:lang w:eastAsia="bg-BG"/>
        </w:rPr>
        <w:t>Бременност</w:t>
      </w:r>
    </w:p>
    <w:p w14:paraId="776662C5" w14:textId="2E768C96" w:rsidR="0091385D" w:rsidRPr="001927C9" w:rsidRDefault="001927C9" w:rsidP="001927C9">
      <w:pPr>
        <w:rPr>
          <w:rFonts w:eastAsia="Times New Roman" w:cs="Arial"/>
          <w:color w:val="000000"/>
          <w:lang w:eastAsia="bg-BG"/>
        </w:rPr>
      </w:pPr>
      <w:r w:rsidRPr="001927C9">
        <w:rPr>
          <w:rFonts w:eastAsia="Times New Roman" w:cs="Arial"/>
          <w:color w:val="000000"/>
          <w:lang w:eastAsia="bg-BG"/>
        </w:rPr>
        <w:t>Използването на лосартан не се препоръчва през първия триместър на бремеността (вж. точка 4.4). Използването на лосартан е противопоказана по време на 2-ри и 3-ти триместър на бременността (вж. точки 4.3 и 4.4).</w:t>
      </w:r>
    </w:p>
    <w:p w14:paraId="14FC22D9" w14:textId="27D195D5" w:rsidR="001927C9" w:rsidRPr="001927C9" w:rsidRDefault="001927C9" w:rsidP="001927C9">
      <w:pPr>
        <w:rPr>
          <w:rFonts w:eastAsia="Times New Roman" w:cs="Arial"/>
          <w:color w:val="000000"/>
          <w:lang w:eastAsia="bg-BG"/>
        </w:rPr>
      </w:pPr>
    </w:p>
    <w:p w14:paraId="007B5B9E" w14:textId="77777777"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t xml:space="preserve">Епидемиологичните доказателства за риск от тератогенност след лечение с АСЕ инхибитори през първия триместьр на бременността не са убедителни; въпреки това не може да бъде изключено малко увеличение на риска. Макар че няма контролирани епидемиологични данни за риска при ангиотензин II рецепторни инхибитори </w:t>
      </w:r>
      <w:r w:rsidRPr="001927C9">
        <w:rPr>
          <w:rFonts w:eastAsia="Times New Roman" w:cs="Arial"/>
          <w:color w:val="000000"/>
          <w:lang w:val="en-US"/>
        </w:rPr>
        <w:t xml:space="preserve">(AIIRAs), </w:t>
      </w:r>
      <w:r w:rsidRPr="001927C9">
        <w:rPr>
          <w:rFonts w:eastAsia="Times New Roman" w:cs="Arial"/>
          <w:color w:val="000000"/>
          <w:lang w:eastAsia="bg-BG"/>
        </w:rPr>
        <w:t xml:space="preserve">подобен риск може да съществува за този клас лекарствени продукти. Освен в случаите, когато непрекъснатото лечение с </w:t>
      </w:r>
      <w:r w:rsidRPr="001927C9">
        <w:rPr>
          <w:rFonts w:eastAsia="Times New Roman" w:cs="Arial"/>
          <w:color w:val="000000"/>
          <w:lang w:val="en-US"/>
        </w:rPr>
        <w:t xml:space="preserve">AIIRAs </w:t>
      </w:r>
      <w:r w:rsidRPr="001927C9">
        <w:rPr>
          <w:rFonts w:eastAsia="Times New Roman" w:cs="Arial"/>
          <w:color w:val="000000"/>
          <w:lang w:eastAsia="bg-BG"/>
        </w:rPr>
        <w:t>се смята за крайно необходимо, пациентите, които планират бременност, трябва да бъдат прехвърлени на алтернативни антихипертензивни лечения, които имат доказан профил на безопасност за употреба при бременност. При поставяне на диагноза бременност, лечението с лосартан трябва да бъде преустановено незабавно, и ако е подходящо, следва да започне алтернативно лечение.</w:t>
      </w:r>
    </w:p>
    <w:p w14:paraId="177663AA" w14:textId="77777777"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t>Прилагането на АIIА лечение през втория и третия триместьр индуцира фетотоксичност при хора (намалена бъбречна функция, олигохидрамнион, забавяне на вкостяването на кости на черепа) и неонатална токсичност (бъбречна недостатъчност, хипотония, хиперкалиемия) (вж. също и точка 5.3).</w:t>
      </w:r>
    </w:p>
    <w:p w14:paraId="33DA2B21" w14:textId="77777777"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t>Ако е имало експозиция на лосартан през втория триместьр на бременността, се препоръчва ултразвуково изследване на бъбречната функция и черепа.</w:t>
      </w:r>
    </w:p>
    <w:p w14:paraId="53B56312" w14:textId="77777777"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t>Новородени, чиито майки са се лекували с лосартан, би следвало да са под непрекъснат контрол за хипотония (вж. точки 4.3 и 4.4).</w:t>
      </w:r>
    </w:p>
    <w:p w14:paraId="230DB3C6" w14:textId="77777777" w:rsidR="001927C9" w:rsidRPr="001927C9" w:rsidRDefault="001927C9" w:rsidP="001927C9">
      <w:pPr>
        <w:spacing w:line="240" w:lineRule="auto"/>
        <w:rPr>
          <w:rFonts w:eastAsia="Times New Roman" w:cs="Arial"/>
          <w:color w:val="000000"/>
          <w:u w:val="single"/>
          <w:lang w:eastAsia="bg-BG"/>
        </w:rPr>
      </w:pPr>
    </w:p>
    <w:p w14:paraId="70A69612" w14:textId="1B90F4D8" w:rsidR="001927C9" w:rsidRPr="00324ADA" w:rsidRDefault="001927C9" w:rsidP="00324ADA">
      <w:pPr>
        <w:pStyle w:val="Heading3"/>
        <w:rPr>
          <w:rFonts w:eastAsia="Times New Roman"/>
          <w:u w:val="single"/>
          <w:lang w:eastAsia="bg-BG"/>
        </w:rPr>
      </w:pPr>
      <w:r w:rsidRPr="00324ADA">
        <w:rPr>
          <w:rFonts w:eastAsia="Times New Roman"/>
          <w:u w:val="single"/>
          <w:lang w:eastAsia="bg-BG"/>
        </w:rPr>
        <w:t>Кърмене</w:t>
      </w:r>
    </w:p>
    <w:p w14:paraId="2E6DCC4B" w14:textId="41D821AE" w:rsidR="001927C9" w:rsidRPr="001927C9" w:rsidRDefault="001927C9" w:rsidP="001927C9">
      <w:pPr>
        <w:rPr>
          <w:rFonts w:cs="Arial"/>
        </w:rPr>
      </w:pPr>
      <w:r w:rsidRPr="001927C9">
        <w:rPr>
          <w:rFonts w:eastAsia="Times New Roman" w:cs="Arial"/>
          <w:color w:val="000000"/>
          <w:lang w:eastAsia="bg-BG"/>
        </w:rPr>
        <w:t>Тъй като няма налична информация относно употребата на лосартан по време на кърмене, лосартан не се препоръчва и е за предпочитане да се включи алтернативно лечение с по-добре установен профил на безопасност по време на кърмене, особено ако се гледа новородено или недоносено бебе.</w:t>
      </w:r>
    </w:p>
    <w:p w14:paraId="3E8789C3" w14:textId="77777777" w:rsidR="0091385D" w:rsidRPr="0091385D" w:rsidRDefault="0091385D" w:rsidP="0091385D"/>
    <w:p w14:paraId="064DF1DE" w14:textId="70BCC16C" w:rsidR="00CF77F7" w:rsidRDefault="002C50EE" w:rsidP="004A448E">
      <w:pPr>
        <w:pStyle w:val="Heading2"/>
      </w:pPr>
      <w:r>
        <w:t>4.7. Ефекти върху способността за шофиране и работа с машини</w:t>
      </w:r>
    </w:p>
    <w:p w14:paraId="1455464C" w14:textId="2676810A" w:rsidR="0091385D" w:rsidRDefault="0091385D" w:rsidP="0091385D"/>
    <w:p w14:paraId="2B4135A6" w14:textId="523AA043" w:rsidR="0091385D" w:rsidRPr="001927C9" w:rsidRDefault="001927C9" w:rsidP="0091385D">
      <w:pPr>
        <w:rPr>
          <w:rFonts w:cs="Arial"/>
        </w:rPr>
      </w:pPr>
      <w:r w:rsidRPr="001927C9">
        <w:rPr>
          <w:rFonts w:cs="Arial"/>
        </w:rPr>
        <w:t>Не са провеждани проучвания за ефектите върху способността за шофиране и работа с машини. Когато се шофира или работи с машини, обаче трябва да се има предвид, че, макар и рядко, провеждане на антихипертензивно лечение може да се появи световъртеж или сънливост, особено в началния период на лечение или при увеличение на дозата.</w:t>
      </w:r>
    </w:p>
    <w:p w14:paraId="35801A15" w14:textId="77777777" w:rsidR="0091385D" w:rsidRPr="0091385D" w:rsidRDefault="0091385D" w:rsidP="0091385D"/>
    <w:p w14:paraId="37A3FD9F" w14:textId="0E7561E3" w:rsidR="00CF77F7" w:rsidRDefault="002C50EE" w:rsidP="004A448E">
      <w:pPr>
        <w:pStyle w:val="Heading2"/>
      </w:pPr>
      <w:r>
        <w:t>4.8. Нежелани лекарствени реакции</w:t>
      </w:r>
    </w:p>
    <w:p w14:paraId="4838F52A" w14:textId="4C2232D6" w:rsidR="0091385D" w:rsidRDefault="0091385D" w:rsidP="0091385D"/>
    <w:p w14:paraId="06A736BF" w14:textId="77777777"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t>Лосартан е оценяван в следните клинични изпитвания:</w:t>
      </w:r>
    </w:p>
    <w:p w14:paraId="57EBDE94" w14:textId="77777777"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t>•</w:t>
      </w:r>
      <w:r w:rsidRPr="001927C9">
        <w:rPr>
          <w:rFonts w:eastAsia="Times New Roman" w:cs="Arial"/>
          <w:color w:val="000000"/>
          <w:lang w:eastAsia="bg-BG"/>
        </w:rPr>
        <w:tab/>
        <w:t>В контролирано клинично изпитване с &gt; 3000 възрастни пациенти на възраст 18 и повече години с есенциална хипертония;</w:t>
      </w:r>
    </w:p>
    <w:p w14:paraId="0EC6BF84" w14:textId="77777777"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t>•</w:t>
      </w:r>
      <w:r w:rsidRPr="001927C9">
        <w:rPr>
          <w:rFonts w:eastAsia="Times New Roman" w:cs="Arial"/>
          <w:color w:val="000000"/>
          <w:lang w:eastAsia="bg-BG"/>
        </w:rPr>
        <w:tab/>
        <w:t xml:space="preserve">В контролирано </w:t>
      </w:r>
      <w:r w:rsidRPr="001927C9">
        <w:rPr>
          <w:rFonts w:eastAsia="Times New Roman" w:cs="Arial"/>
          <w:i/>
          <w:iCs/>
          <w:color w:val="000000"/>
          <w:lang w:eastAsia="bg-BG"/>
        </w:rPr>
        <w:t>клинично</w:t>
      </w:r>
      <w:r w:rsidRPr="001927C9">
        <w:rPr>
          <w:rFonts w:eastAsia="Times New Roman" w:cs="Arial"/>
          <w:color w:val="000000"/>
          <w:lang w:eastAsia="bg-BG"/>
        </w:rPr>
        <w:t xml:space="preserve"> изпитване със 177 педиатрични пациенти с хипертония на възраст от 6 до 16 години;</w:t>
      </w:r>
    </w:p>
    <w:p w14:paraId="79ADE611" w14:textId="77777777"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lastRenderedPageBreak/>
        <w:t>•</w:t>
      </w:r>
      <w:r w:rsidRPr="001927C9">
        <w:rPr>
          <w:rFonts w:eastAsia="Times New Roman" w:cs="Arial"/>
          <w:color w:val="000000"/>
          <w:lang w:eastAsia="bg-BG"/>
        </w:rPr>
        <w:tab/>
        <w:t xml:space="preserve">В контролирано клинично изпитване с &gt; 9000 пациенти с хипертония на възраст 55 до 80 години с левокамерна хипертрофия (вж. </w:t>
      </w:r>
      <w:r w:rsidRPr="001927C9">
        <w:rPr>
          <w:rFonts w:eastAsia="Times New Roman" w:cs="Arial"/>
          <w:color w:val="000000"/>
          <w:lang w:val="en-US"/>
        </w:rPr>
        <w:t xml:space="preserve">LIFE </w:t>
      </w:r>
      <w:r w:rsidRPr="001927C9">
        <w:rPr>
          <w:rFonts w:eastAsia="Times New Roman" w:cs="Arial"/>
          <w:color w:val="000000"/>
          <w:lang w:eastAsia="bg-BG"/>
        </w:rPr>
        <w:t>проучване, точка 5.1);</w:t>
      </w:r>
    </w:p>
    <w:p w14:paraId="1F602672" w14:textId="77777777"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t xml:space="preserve">В контролирани клинични изпитвания с &gt; 7700 възрастни пациенти с хронична сърдечна недостатъчност (вж. </w:t>
      </w:r>
      <w:r w:rsidRPr="001927C9">
        <w:rPr>
          <w:rFonts w:eastAsia="Times New Roman" w:cs="Arial"/>
          <w:color w:val="000000"/>
          <w:lang w:val="en-US"/>
        </w:rPr>
        <w:t xml:space="preserve">ELITE I, ELITE </w:t>
      </w:r>
      <w:r w:rsidRPr="001927C9">
        <w:rPr>
          <w:rFonts w:eastAsia="Times New Roman" w:cs="Arial"/>
          <w:color w:val="000000"/>
          <w:lang w:eastAsia="bg-BG"/>
        </w:rPr>
        <w:t xml:space="preserve">П и </w:t>
      </w:r>
      <w:r w:rsidRPr="001927C9">
        <w:rPr>
          <w:rFonts w:eastAsia="Times New Roman" w:cs="Arial"/>
          <w:color w:val="000000"/>
          <w:lang w:val="en-US"/>
        </w:rPr>
        <w:t xml:space="preserve">HEAAL </w:t>
      </w:r>
      <w:r w:rsidRPr="001927C9">
        <w:rPr>
          <w:rFonts w:eastAsia="Times New Roman" w:cs="Arial"/>
          <w:color w:val="000000"/>
          <w:lang w:eastAsia="bg-BG"/>
        </w:rPr>
        <w:t>проучване, точка 5.1);</w:t>
      </w:r>
    </w:p>
    <w:p w14:paraId="46AF9817" w14:textId="77777777"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t xml:space="preserve">В контролирано клинично изпитване с &gt; 1500 пациенти с диабет тип 2 на възраст 31 и повече години с протеинурия (вж. </w:t>
      </w:r>
      <w:r w:rsidRPr="001927C9">
        <w:rPr>
          <w:rFonts w:eastAsia="Times New Roman" w:cs="Arial"/>
          <w:color w:val="000000"/>
          <w:lang w:val="en-US"/>
        </w:rPr>
        <w:t xml:space="preserve">RENAAL </w:t>
      </w:r>
      <w:r w:rsidRPr="001927C9">
        <w:rPr>
          <w:rFonts w:eastAsia="Times New Roman" w:cs="Arial"/>
          <w:color w:val="000000"/>
          <w:lang w:eastAsia="bg-BG"/>
        </w:rPr>
        <w:t>проучване, точка 5.1).</w:t>
      </w:r>
    </w:p>
    <w:p w14:paraId="1BFB409E" w14:textId="77777777" w:rsidR="001927C9" w:rsidRPr="001927C9" w:rsidRDefault="001927C9" w:rsidP="001927C9">
      <w:pPr>
        <w:spacing w:line="240" w:lineRule="auto"/>
        <w:rPr>
          <w:rFonts w:eastAsia="Times New Roman" w:cs="Arial"/>
          <w:color w:val="000000"/>
          <w:lang w:eastAsia="bg-BG"/>
        </w:rPr>
      </w:pPr>
    </w:p>
    <w:p w14:paraId="596A786E" w14:textId="20DB6696"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t>В тези клинични изпитвания най-честата нежелана реакция е била замайването.</w:t>
      </w:r>
    </w:p>
    <w:p w14:paraId="7CE2B8E0" w14:textId="77777777" w:rsidR="001927C9" w:rsidRPr="001927C9" w:rsidRDefault="001927C9" w:rsidP="001927C9">
      <w:pPr>
        <w:spacing w:line="240" w:lineRule="auto"/>
        <w:rPr>
          <w:rFonts w:eastAsia="Times New Roman" w:cs="Arial"/>
          <w:color w:val="000000"/>
          <w:lang w:eastAsia="bg-BG"/>
        </w:rPr>
      </w:pPr>
    </w:p>
    <w:p w14:paraId="649AF823" w14:textId="035206FD" w:rsidR="001927C9" w:rsidRPr="001927C9" w:rsidRDefault="001927C9" w:rsidP="001927C9">
      <w:pPr>
        <w:spacing w:line="240" w:lineRule="auto"/>
        <w:rPr>
          <w:rFonts w:eastAsia="Times New Roman" w:cs="Arial"/>
          <w:sz w:val="24"/>
          <w:szCs w:val="24"/>
          <w:lang w:eastAsia="bg-BG"/>
        </w:rPr>
      </w:pPr>
      <w:r w:rsidRPr="001927C9">
        <w:rPr>
          <w:rFonts w:eastAsia="Times New Roman" w:cs="Arial"/>
          <w:color w:val="000000"/>
          <w:lang w:eastAsia="bg-BG"/>
        </w:rPr>
        <w:t>Честотата на нежеланите лекарствени реакции, се определя с използване на следните условия: много чести (≥ 1/10), чести (≥ 1/100, до &lt; 1/10), нечести ( ≥ 1/1,000, до &lt; 1/100), 1/10,000 до &lt; 1/1,000), много редки (&lt; 1/10,000), с неизвестна честота (от наличните данни не може да бъде направена оценка).</w:t>
      </w:r>
    </w:p>
    <w:p w14:paraId="3A164496" w14:textId="77777777" w:rsidR="001927C9" w:rsidRDefault="001927C9" w:rsidP="001927C9">
      <w:pPr>
        <w:rPr>
          <w:rFonts w:ascii="Times New Roman" w:eastAsia="Times New Roman" w:hAnsi="Times New Roman" w:cs="Times New Roman"/>
          <w:b/>
          <w:bCs/>
          <w:color w:val="000000"/>
          <w:lang w:eastAsia="bg-BG"/>
        </w:rPr>
      </w:pPr>
    </w:p>
    <w:p w14:paraId="570508C4" w14:textId="419714C2" w:rsidR="0091385D" w:rsidRPr="001D1FEB" w:rsidRDefault="001927C9" w:rsidP="001927C9">
      <w:pPr>
        <w:rPr>
          <w:rFonts w:cs="Arial"/>
        </w:rPr>
      </w:pPr>
      <w:r w:rsidRPr="001D1FEB">
        <w:rPr>
          <w:rFonts w:eastAsia="Times New Roman" w:cs="Arial"/>
          <w:b/>
          <w:bCs/>
          <w:color w:val="000000"/>
          <w:lang w:eastAsia="bg-BG"/>
        </w:rPr>
        <w:t>Таблица 1. Честота на нежеланите реакции, идентифицирани от плацебо-контролирани клинични проучвания и постмаркетингов опит</w:t>
      </w:r>
    </w:p>
    <w:p w14:paraId="43E3C48F" w14:textId="11A37E47" w:rsidR="0091385D" w:rsidRDefault="0091385D" w:rsidP="0091385D"/>
    <w:tbl>
      <w:tblPr>
        <w:tblStyle w:val="TableGrid"/>
        <w:tblW w:w="0" w:type="auto"/>
        <w:tblLook w:val="04A0" w:firstRow="1" w:lastRow="0" w:firstColumn="1" w:lastColumn="0" w:noHBand="0" w:noVBand="1"/>
      </w:tblPr>
      <w:tblGrid>
        <w:gridCol w:w="1978"/>
        <w:gridCol w:w="1490"/>
        <w:gridCol w:w="1660"/>
        <w:gridCol w:w="1529"/>
        <w:gridCol w:w="1490"/>
        <w:gridCol w:w="1429"/>
      </w:tblGrid>
      <w:tr w:rsidR="001D1FEB" w14:paraId="79903191" w14:textId="77777777" w:rsidTr="001D1FEB">
        <w:tc>
          <w:tcPr>
            <w:tcW w:w="1978" w:type="dxa"/>
          </w:tcPr>
          <w:p w14:paraId="37850C3A" w14:textId="764E7934" w:rsidR="001D1FEB" w:rsidRPr="00F57DDA" w:rsidRDefault="001D1FEB" w:rsidP="001D1FEB">
            <w:pPr>
              <w:rPr>
                <w:rFonts w:cs="Arial"/>
              </w:rPr>
            </w:pPr>
            <w:r w:rsidRPr="00F57DDA">
              <w:rPr>
                <w:rFonts w:cs="Arial"/>
                <w:b/>
                <w:bCs/>
              </w:rPr>
              <w:t>Нежелана реакция</w:t>
            </w:r>
          </w:p>
        </w:tc>
        <w:tc>
          <w:tcPr>
            <w:tcW w:w="6169" w:type="dxa"/>
            <w:gridSpan w:val="4"/>
          </w:tcPr>
          <w:p w14:paraId="2E98E272" w14:textId="3B8CBA8D" w:rsidR="001D1FEB" w:rsidRPr="00F57DDA" w:rsidRDefault="001D1FEB" w:rsidP="001D1FEB">
            <w:pPr>
              <w:rPr>
                <w:rFonts w:cs="Arial"/>
              </w:rPr>
            </w:pPr>
            <w:r w:rsidRPr="00F57DDA">
              <w:rPr>
                <w:rFonts w:cs="Arial"/>
                <w:b/>
                <w:bCs/>
              </w:rPr>
              <w:t>Честота на нежелана реакция по индикация</w:t>
            </w:r>
          </w:p>
        </w:tc>
        <w:tc>
          <w:tcPr>
            <w:tcW w:w="1429" w:type="dxa"/>
          </w:tcPr>
          <w:p w14:paraId="3A340AD4" w14:textId="20DD740A" w:rsidR="001D1FEB" w:rsidRPr="00F57DDA" w:rsidRDefault="001D1FEB" w:rsidP="001D1FEB">
            <w:pPr>
              <w:rPr>
                <w:rFonts w:cs="Arial"/>
              </w:rPr>
            </w:pPr>
            <w:r w:rsidRPr="00F57DDA">
              <w:rPr>
                <w:rFonts w:cs="Arial"/>
                <w:b/>
                <w:bCs/>
              </w:rPr>
              <w:t>Други</w:t>
            </w:r>
          </w:p>
        </w:tc>
      </w:tr>
      <w:tr w:rsidR="001D1FEB" w14:paraId="19BEFD18" w14:textId="77777777" w:rsidTr="001D1FEB">
        <w:tc>
          <w:tcPr>
            <w:tcW w:w="1978" w:type="dxa"/>
          </w:tcPr>
          <w:p w14:paraId="2BCA7D9D" w14:textId="77777777" w:rsidR="001D1FEB" w:rsidRPr="00F57DDA" w:rsidRDefault="001D1FEB" w:rsidP="001D1FEB">
            <w:pPr>
              <w:rPr>
                <w:rFonts w:cs="Arial"/>
              </w:rPr>
            </w:pPr>
          </w:p>
        </w:tc>
        <w:tc>
          <w:tcPr>
            <w:tcW w:w="1490" w:type="dxa"/>
          </w:tcPr>
          <w:p w14:paraId="1241C648" w14:textId="6D394E7C" w:rsidR="001D1FEB" w:rsidRPr="00F57DDA" w:rsidRDefault="001D1FEB" w:rsidP="001D1FEB">
            <w:pPr>
              <w:rPr>
                <w:rFonts w:cs="Arial"/>
              </w:rPr>
            </w:pPr>
            <w:r w:rsidRPr="00F57DDA">
              <w:rPr>
                <w:rFonts w:cs="Arial"/>
                <w:b/>
                <w:bCs/>
              </w:rPr>
              <w:t>Хипертония</w:t>
            </w:r>
          </w:p>
        </w:tc>
        <w:tc>
          <w:tcPr>
            <w:tcW w:w="1660" w:type="dxa"/>
          </w:tcPr>
          <w:p w14:paraId="00606E42" w14:textId="4A84CAE1" w:rsidR="001D1FEB" w:rsidRPr="00F57DDA" w:rsidRDefault="001D1FEB" w:rsidP="001D1FEB">
            <w:pPr>
              <w:rPr>
                <w:rFonts w:cs="Arial"/>
              </w:rPr>
            </w:pPr>
            <w:r w:rsidRPr="00F57DDA">
              <w:rPr>
                <w:rFonts w:cs="Arial"/>
                <w:b/>
                <w:bCs/>
              </w:rPr>
              <w:t>Хипертензнв- нн пациенти с левокамерна хипертрофия</w:t>
            </w:r>
          </w:p>
        </w:tc>
        <w:tc>
          <w:tcPr>
            <w:tcW w:w="1529" w:type="dxa"/>
          </w:tcPr>
          <w:p w14:paraId="0E729300" w14:textId="6367FFDD" w:rsidR="001D1FEB" w:rsidRPr="00F57DDA" w:rsidRDefault="001D1FEB" w:rsidP="001D1FEB">
            <w:pPr>
              <w:rPr>
                <w:rFonts w:cs="Arial"/>
              </w:rPr>
            </w:pPr>
            <w:r w:rsidRPr="00F57DDA">
              <w:rPr>
                <w:rFonts w:cs="Arial"/>
                <w:b/>
                <w:bCs/>
              </w:rPr>
              <w:t>Хронична сърдечна недостатъч</w:t>
            </w:r>
            <w:r w:rsidRPr="00F57DDA">
              <w:rPr>
                <w:rFonts w:cs="Arial"/>
                <w:b/>
                <w:bCs/>
              </w:rPr>
              <w:softHyphen/>
              <w:t>ност</w:t>
            </w:r>
          </w:p>
        </w:tc>
        <w:tc>
          <w:tcPr>
            <w:tcW w:w="1490" w:type="dxa"/>
          </w:tcPr>
          <w:p w14:paraId="5C7E233E" w14:textId="27CFB13B" w:rsidR="001D1FEB" w:rsidRPr="00F57DDA" w:rsidRDefault="001D1FEB" w:rsidP="001D1FEB">
            <w:pPr>
              <w:rPr>
                <w:rFonts w:cs="Arial"/>
              </w:rPr>
            </w:pPr>
            <w:r w:rsidRPr="00F57DDA">
              <w:rPr>
                <w:rFonts w:cs="Arial"/>
                <w:b/>
                <w:bCs/>
              </w:rPr>
              <w:t>Хипертония и диабет тип 2 с бъбречно заболяване</w:t>
            </w:r>
          </w:p>
        </w:tc>
        <w:tc>
          <w:tcPr>
            <w:tcW w:w="1429" w:type="dxa"/>
          </w:tcPr>
          <w:p w14:paraId="6E1AEB3A" w14:textId="65CEE625" w:rsidR="001D1FEB" w:rsidRPr="00F57DDA" w:rsidRDefault="001D1FEB" w:rsidP="001D1FEB">
            <w:pPr>
              <w:rPr>
                <w:rFonts w:cs="Arial"/>
              </w:rPr>
            </w:pPr>
            <w:r w:rsidRPr="00F57DDA">
              <w:rPr>
                <w:rFonts w:cs="Arial"/>
                <w:b/>
                <w:bCs/>
              </w:rPr>
              <w:t>Постмарке- тингов опит</w:t>
            </w:r>
          </w:p>
        </w:tc>
      </w:tr>
      <w:tr w:rsidR="001D1FEB" w14:paraId="3109F124" w14:textId="77777777" w:rsidTr="00541D1C">
        <w:tc>
          <w:tcPr>
            <w:tcW w:w="9576" w:type="dxa"/>
            <w:gridSpan w:val="6"/>
          </w:tcPr>
          <w:p w14:paraId="5CB89A72" w14:textId="6B69B64E" w:rsidR="001D1FEB" w:rsidRPr="00F57DDA" w:rsidRDefault="001D1FEB" w:rsidP="0091385D">
            <w:pPr>
              <w:rPr>
                <w:rFonts w:cs="Arial"/>
              </w:rPr>
            </w:pPr>
            <w:r w:rsidRPr="00F57DDA">
              <w:rPr>
                <w:rFonts w:cs="Arial"/>
                <w:b/>
                <w:bCs/>
                <w:u w:val="single"/>
              </w:rPr>
              <w:t>Нарушения на кръвта и лимфната система</w:t>
            </w:r>
          </w:p>
        </w:tc>
      </w:tr>
      <w:tr w:rsidR="001D1FEB" w14:paraId="0D045FD5" w14:textId="77777777" w:rsidTr="001D1FEB">
        <w:tc>
          <w:tcPr>
            <w:tcW w:w="1978" w:type="dxa"/>
            <w:vAlign w:val="center"/>
          </w:tcPr>
          <w:p w14:paraId="6574B0DE" w14:textId="2DA13F5A" w:rsidR="001D1FEB" w:rsidRPr="00F57DDA" w:rsidRDefault="001D1FEB" w:rsidP="001D1FEB">
            <w:pPr>
              <w:rPr>
                <w:rFonts w:cs="Arial"/>
              </w:rPr>
            </w:pPr>
            <w:r w:rsidRPr="00F57DDA">
              <w:rPr>
                <w:rFonts w:cs="Arial"/>
              </w:rPr>
              <w:t>анемия</w:t>
            </w:r>
          </w:p>
        </w:tc>
        <w:tc>
          <w:tcPr>
            <w:tcW w:w="1490" w:type="dxa"/>
          </w:tcPr>
          <w:p w14:paraId="48B216BB" w14:textId="77777777" w:rsidR="001D1FEB" w:rsidRPr="00F57DDA" w:rsidRDefault="001D1FEB" w:rsidP="001D1FEB">
            <w:pPr>
              <w:rPr>
                <w:rFonts w:cs="Arial"/>
              </w:rPr>
            </w:pPr>
          </w:p>
        </w:tc>
        <w:tc>
          <w:tcPr>
            <w:tcW w:w="1660" w:type="dxa"/>
          </w:tcPr>
          <w:p w14:paraId="731ED4DA" w14:textId="77777777" w:rsidR="001D1FEB" w:rsidRPr="00F57DDA" w:rsidRDefault="001D1FEB" w:rsidP="001D1FEB">
            <w:pPr>
              <w:rPr>
                <w:rFonts w:cs="Arial"/>
              </w:rPr>
            </w:pPr>
          </w:p>
        </w:tc>
        <w:tc>
          <w:tcPr>
            <w:tcW w:w="1529" w:type="dxa"/>
            <w:vAlign w:val="center"/>
          </w:tcPr>
          <w:p w14:paraId="00D8B5FF" w14:textId="1E082083" w:rsidR="001D1FEB" w:rsidRPr="00F57DDA" w:rsidRDefault="001D1FEB" w:rsidP="001D1FEB">
            <w:pPr>
              <w:rPr>
                <w:rFonts w:cs="Arial"/>
              </w:rPr>
            </w:pPr>
            <w:r w:rsidRPr="00F57DDA">
              <w:rPr>
                <w:rFonts w:cs="Arial"/>
              </w:rPr>
              <w:t>чести</w:t>
            </w:r>
          </w:p>
        </w:tc>
        <w:tc>
          <w:tcPr>
            <w:tcW w:w="1490" w:type="dxa"/>
          </w:tcPr>
          <w:p w14:paraId="14CAA26C" w14:textId="77777777" w:rsidR="001D1FEB" w:rsidRPr="00F57DDA" w:rsidRDefault="001D1FEB" w:rsidP="001D1FEB">
            <w:pPr>
              <w:rPr>
                <w:rFonts w:cs="Arial"/>
              </w:rPr>
            </w:pPr>
          </w:p>
        </w:tc>
        <w:tc>
          <w:tcPr>
            <w:tcW w:w="1429" w:type="dxa"/>
            <w:vAlign w:val="bottom"/>
          </w:tcPr>
          <w:p w14:paraId="3CC5D836" w14:textId="38D3F9A3" w:rsidR="001D1FEB" w:rsidRPr="00F57DDA" w:rsidRDefault="001D1FEB" w:rsidP="001D1FEB">
            <w:pPr>
              <w:rPr>
                <w:rFonts w:cs="Arial"/>
              </w:rPr>
            </w:pPr>
            <w:r w:rsidRPr="00F57DDA">
              <w:rPr>
                <w:rFonts w:cs="Arial"/>
              </w:rPr>
              <w:t>с неизвестна честота</w:t>
            </w:r>
          </w:p>
        </w:tc>
      </w:tr>
      <w:tr w:rsidR="001D1FEB" w14:paraId="19712A09" w14:textId="77777777" w:rsidTr="00832E61">
        <w:tc>
          <w:tcPr>
            <w:tcW w:w="9576" w:type="dxa"/>
            <w:gridSpan w:val="6"/>
          </w:tcPr>
          <w:p w14:paraId="5A94CC5E" w14:textId="797CADEA" w:rsidR="001D1FEB" w:rsidRPr="00F57DDA" w:rsidRDefault="001D1FEB" w:rsidP="0091385D">
            <w:pPr>
              <w:rPr>
                <w:rFonts w:cs="Arial"/>
              </w:rPr>
            </w:pPr>
            <w:r w:rsidRPr="00F57DDA">
              <w:rPr>
                <w:rFonts w:cs="Arial"/>
                <w:b/>
                <w:bCs/>
                <w:u w:val="single"/>
              </w:rPr>
              <w:t>Нарушения на имунната система</w:t>
            </w:r>
          </w:p>
        </w:tc>
      </w:tr>
      <w:tr w:rsidR="001D1FEB" w14:paraId="69F9FA31" w14:textId="77777777" w:rsidTr="001D1FEB">
        <w:tc>
          <w:tcPr>
            <w:tcW w:w="1978" w:type="dxa"/>
            <w:vAlign w:val="bottom"/>
          </w:tcPr>
          <w:p w14:paraId="256666B9" w14:textId="271E7952" w:rsidR="001D1FEB" w:rsidRPr="00F57DDA" w:rsidRDefault="001D1FEB" w:rsidP="001D1FEB">
            <w:pPr>
              <w:rPr>
                <w:rFonts w:cs="Arial"/>
              </w:rPr>
            </w:pPr>
            <w:r w:rsidRPr="00F57DDA">
              <w:rPr>
                <w:rFonts w:cs="Arial"/>
              </w:rPr>
              <w:t>реакции на свръхчувствител</w:t>
            </w:r>
            <w:r w:rsidRPr="00F57DDA">
              <w:rPr>
                <w:rFonts w:cs="Arial"/>
              </w:rPr>
              <w:softHyphen/>
              <w:t>ност, анафилактични реакции, ангиоедем* и васкулит**</w:t>
            </w:r>
          </w:p>
        </w:tc>
        <w:tc>
          <w:tcPr>
            <w:tcW w:w="1490" w:type="dxa"/>
          </w:tcPr>
          <w:p w14:paraId="647F9DAC" w14:textId="77777777" w:rsidR="001D1FEB" w:rsidRPr="00F57DDA" w:rsidRDefault="001D1FEB" w:rsidP="001D1FEB">
            <w:pPr>
              <w:rPr>
                <w:rFonts w:cs="Arial"/>
              </w:rPr>
            </w:pPr>
          </w:p>
        </w:tc>
        <w:tc>
          <w:tcPr>
            <w:tcW w:w="1660" w:type="dxa"/>
          </w:tcPr>
          <w:p w14:paraId="0ED0C0DB" w14:textId="77777777" w:rsidR="001D1FEB" w:rsidRPr="00F57DDA" w:rsidRDefault="001D1FEB" w:rsidP="001D1FEB">
            <w:pPr>
              <w:rPr>
                <w:rFonts w:cs="Arial"/>
              </w:rPr>
            </w:pPr>
          </w:p>
        </w:tc>
        <w:tc>
          <w:tcPr>
            <w:tcW w:w="1529" w:type="dxa"/>
          </w:tcPr>
          <w:p w14:paraId="79833E36" w14:textId="77777777" w:rsidR="001D1FEB" w:rsidRPr="00F57DDA" w:rsidRDefault="001D1FEB" w:rsidP="001D1FEB">
            <w:pPr>
              <w:rPr>
                <w:rFonts w:cs="Arial"/>
              </w:rPr>
            </w:pPr>
          </w:p>
        </w:tc>
        <w:tc>
          <w:tcPr>
            <w:tcW w:w="1490" w:type="dxa"/>
          </w:tcPr>
          <w:p w14:paraId="3AF6A7B6" w14:textId="77777777" w:rsidR="001D1FEB" w:rsidRPr="00F57DDA" w:rsidRDefault="001D1FEB" w:rsidP="001D1FEB">
            <w:pPr>
              <w:rPr>
                <w:rFonts w:cs="Arial"/>
              </w:rPr>
            </w:pPr>
          </w:p>
        </w:tc>
        <w:tc>
          <w:tcPr>
            <w:tcW w:w="1429" w:type="dxa"/>
          </w:tcPr>
          <w:p w14:paraId="238CC1F8" w14:textId="5720FEED" w:rsidR="001D1FEB" w:rsidRPr="00F57DDA" w:rsidRDefault="001D1FEB" w:rsidP="001D1FEB">
            <w:pPr>
              <w:rPr>
                <w:rFonts w:cs="Arial"/>
              </w:rPr>
            </w:pPr>
            <w:r w:rsidRPr="00F57DDA">
              <w:rPr>
                <w:rFonts w:cs="Arial"/>
              </w:rPr>
              <w:t>редки</w:t>
            </w:r>
          </w:p>
        </w:tc>
      </w:tr>
      <w:tr w:rsidR="001D1FEB" w14:paraId="652E34FA" w14:textId="77777777" w:rsidTr="002706C9">
        <w:tc>
          <w:tcPr>
            <w:tcW w:w="9576" w:type="dxa"/>
            <w:gridSpan w:val="6"/>
          </w:tcPr>
          <w:p w14:paraId="3F456B32" w14:textId="1873CB50" w:rsidR="001D1FEB" w:rsidRPr="00F57DDA" w:rsidRDefault="001D1FEB" w:rsidP="0091385D">
            <w:pPr>
              <w:rPr>
                <w:rFonts w:cs="Arial"/>
              </w:rPr>
            </w:pPr>
            <w:r w:rsidRPr="00F57DDA">
              <w:rPr>
                <w:rFonts w:cs="Arial"/>
                <w:b/>
                <w:bCs/>
                <w:u w:val="single"/>
              </w:rPr>
              <w:t>Психични нарушения</w:t>
            </w:r>
          </w:p>
        </w:tc>
      </w:tr>
      <w:tr w:rsidR="001D1FEB" w14:paraId="288CC2B7" w14:textId="77777777" w:rsidTr="00D42733">
        <w:tc>
          <w:tcPr>
            <w:tcW w:w="1978" w:type="dxa"/>
            <w:vAlign w:val="center"/>
          </w:tcPr>
          <w:p w14:paraId="38B35687" w14:textId="76DF335B" w:rsidR="001D1FEB" w:rsidRPr="00F57DDA" w:rsidRDefault="001D1FEB" w:rsidP="001D1FEB">
            <w:pPr>
              <w:rPr>
                <w:rFonts w:cs="Arial"/>
              </w:rPr>
            </w:pPr>
            <w:r w:rsidRPr="00F57DDA">
              <w:rPr>
                <w:rFonts w:cs="Arial"/>
              </w:rPr>
              <w:t>депресия</w:t>
            </w:r>
          </w:p>
        </w:tc>
        <w:tc>
          <w:tcPr>
            <w:tcW w:w="1490" w:type="dxa"/>
          </w:tcPr>
          <w:p w14:paraId="530B4E9C" w14:textId="77777777" w:rsidR="001D1FEB" w:rsidRPr="00F57DDA" w:rsidRDefault="001D1FEB" w:rsidP="001D1FEB">
            <w:pPr>
              <w:rPr>
                <w:rFonts w:cs="Arial"/>
              </w:rPr>
            </w:pPr>
          </w:p>
        </w:tc>
        <w:tc>
          <w:tcPr>
            <w:tcW w:w="1660" w:type="dxa"/>
          </w:tcPr>
          <w:p w14:paraId="73D3A124" w14:textId="77777777" w:rsidR="001D1FEB" w:rsidRPr="00F57DDA" w:rsidRDefault="001D1FEB" w:rsidP="001D1FEB">
            <w:pPr>
              <w:rPr>
                <w:rFonts w:cs="Arial"/>
              </w:rPr>
            </w:pPr>
          </w:p>
        </w:tc>
        <w:tc>
          <w:tcPr>
            <w:tcW w:w="1529" w:type="dxa"/>
          </w:tcPr>
          <w:p w14:paraId="18D9E68E" w14:textId="77777777" w:rsidR="001D1FEB" w:rsidRPr="00F57DDA" w:rsidRDefault="001D1FEB" w:rsidP="001D1FEB">
            <w:pPr>
              <w:rPr>
                <w:rFonts w:cs="Arial"/>
              </w:rPr>
            </w:pPr>
          </w:p>
        </w:tc>
        <w:tc>
          <w:tcPr>
            <w:tcW w:w="1490" w:type="dxa"/>
          </w:tcPr>
          <w:p w14:paraId="7A6E8E74" w14:textId="77777777" w:rsidR="001D1FEB" w:rsidRPr="00F57DDA" w:rsidRDefault="001D1FEB" w:rsidP="001D1FEB">
            <w:pPr>
              <w:rPr>
                <w:rFonts w:cs="Arial"/>
              </w:rPr>
            </w:pPr>
          </w:p>
        </w:tc>
        <w:tc>
          <w:tcPr>
            <w:tcW w:w="1429" w:type="dxa"/>
            <w:vAlign w:val="bottom"/>
          </w:tcPr>
          <w:p w14:paraId="7E5BF32B" w14:textId="6BC20F36" w:rsidR="001D1FEB" w:rsidRPr="00F57DDA" w:rsidRDefault="001D1FEB" w:rsidP="001D1FEB">
            <w:pPr>
              <w:rPr>
                <w:rFonts w:cs="Arial"/>
              </w:rPr>
            </w:pPr>
            <w:r w:rsidRPr="00F57DDA">
              <w:rPr>
                <w:rFonts w:cs="Arial"/>
              </w:rPr>
              <w:t>с неизвестна честота</w:t>
            </w:r>
          </w:p>
        </w:tc>
      </w:tr>
      <w:tr w:rsidR="001D1FEB" w14:paraId="6FC117CF" w14:textId="77777777" w:rsidTr="00DC0B51">
        <w:tc>
          <w:tcPr>
            <w:tcW w:w="9576" w:type="dxa"/>
            <w:gridSpan w:val="6"/>
          </w:tcPr>
          <w:p w14:paraId="4EBE25E8" w14:textId="13729B83" w:rsidR="001D1FEB" w:rsidRPr="00F57DDA" w:rsidRDefault="001D1FEB" w:rsidP="0091385D">
            <w:pPr>
              <w:rPr>
                <w:rFonts w:cs="Arial"/>
              </w:rPr>
            </w:pPr>
            <w:r w:rsidRPr="00F57DDA">
              <w:rPr>
                <w:rFonts w:cs="Arial"/>
                <w:b/>
                <w:bCs/>
                <w:u w:val="single"/>
              </w:rPr>
              <w:t>Нарушения на нервната система</w:t>
            </w:r>
          </w:p>
        </w:tc>
      </w:tr>
      <w:tr w:rsidR="001D1FEB" w14:paraId="39707D3F" w14:textId="77777777" w:rsidTr="00F700EE">
        <w:tc>
          <w:tcPr>
            <w:tcW w:w="1978" w:type="dxa"/>
            <w:vAlign w:val="bottom"/>
          </w:tcPr>
          <w:p w14:paraId="5DBB5AEE" w14:textId="5FB57612" w:rsidR="001D1FEB" w:rsidRPr="00F57DDA" w:rsidRDefault="001D1FEB" w:rsidP="001D1FEB">
            <w:pPr>
              <w:rPr>
                <w:rFonts w:cs="Arial"/>
              </w:rPr>
            </w:pPr>
            <w:r w:rsidRPr="00F57DDA">
              <w:rPr>
                <w:rFonts w:cs="Arial"/>
              </w:rPr>
              <w:t>замайване</w:t>
            </w:r>
          </w:p>
        </w:tc>
        <w:tc>
          <w:tcPr>
            <w:tcW w:w="1490" w:type="dxa"/>
            <w:vAlign w:val="bottom"/>
          </w:tcPr>
          <w:p w14:paraId="779C4AAD" w14:textId="4F7F6AD4" w:rsidR="001D1FEB" w:rsidRPr="00F57DDA" w:rsidRDefault="001D1FEB" w:rsidP="001D1FEB">
            <w:pPr>
              <w:rPr>
                <w:rFonts w:cs="Arial"/>
              </w:rPr>
            </w:pPr>
            <w:r w:rsidRPr="00F57DDA">
              <w:rPr>
                <w:rFonts w:cs="Arial"/>
              </w:rPr>
              <w:t>чести</w:t>
            </w:r>
          </w:p>
        </w:tc>
        <w:tc>
          <w:tcPr>
            <w:tcW w:w="1660" w:type="dxa"/>
            <w:vAlign w:val="bottom"/>
          </w:tcPr>
          <w:p w14:paraId="41E9D678" w14:textId="66322799" w:rsidR="001D1FEB" w:rsidRPr="00F57DDA" w:rsidRDefault="001D1FEB" w:rsidP="001D1FEB">
            <w:pPr>
              <w:rPr>
                <w:rFonts w:cs="Arial"/>
              </w:rPr>
            </w:pPr>
            <w:r w:rsidRPr="00F57DDA">
              <w:rPr>
                <w:rFonts w:cs="Arial"/>
              </w:rPr>
              <w:t>чести</w:t>
            </w:r>
          </w:p>
        </w:tc>
        <w:tc>
          <w:tcPr>
            <w:tcW w:w="1529" w:type="dxa"/>
            <w:vAlign w:val="bottom"/>
          </w:tcPr>
          <w:p w14:paraId="42D58ABE" w14:textId="2D25F798" w:rsidR="001D1FEB" w:rsidRPr="00F57DDA" w:rsidRDefault="001D1FEB" w:rsidP="001D1FEB">
            <w:pPr>
              <w:rPr>
                <w:rFonts w:cs="Arial"/>
              </w:rPr>
            </w:pPr>
            <w:r w:rsidRPr="00F57DDA">
              <w:rPr>
                <w:rFonts w:cs="Arial"/>
              </w:rPr>
              <w:t>чести</w:t>
            </w:r>
          </w:p>
        </w:tc>
        <w:tc>
          <w:tcPr>
            <w:tcW w:w="1490" w:type="dxa"/>
            <w:vAlign w:val="bottom"/>
          </w:tcPr>
          <w:p w14:paraId="15386A00" w14:textId="249841FC" w:rsidR="001D1FEB" w:rsidRPr="00F57DDA" w:rsidRDefault="001D1FEB" w:rsidP="001D1FEB">
            <w:pPr>
              <w:rPr>
                <w:rFonts w:cs="Arial"/>
              </w:rPr>
            </w:pPr>
            <w:r w:rsidRPr="00F57DDA">
              <w:rPr>
                <w:rFonts w:cs="Arial"/>
              </w:rPr>
              <w:t>чести</w:t>
            </w:r>
          </w:p>
        </w:tc>
        <w:tc>
          <w:tcPr>
            <w:tcW w:w="1429" w:type="dxa"/>
          </w:tcPr>
          <w:p w14:paraId="304746B6" w14:textId="77777777" w:rsidR="001D1FEB" w:rsidRPr="00F57DDA" w:rsidRDefault="001D1FEB" w:rsidP="001D1FEB">
            <w:pPr>
              <w:rPr>
                <w:rFonts w:cs="Arial"/>
              </w:rPr>
            </w:pPr>
          </w:p>
        </w:tc>
      </w:tr>
      <w:tr w:rsidR="001D1FEB" w14:paraId="244543F3" w14:textId="77777777" w:rsidTr="00F700EE">
        <w:tc>
          <w:tcPr>
            <w:tcW w:w="1978" w:type="dxa"/>
            <w:vAlign w:val="bottom"/>
          </w:tcPr>
          <w:p w14:paraId="2B81BE84" w14:textId="00282A21" w:rsidR="001D1FEB" w:rsidRPr="00F57DDA" w:rsidRDefault="001D1FEB" w:rsidP="001D1FEB">
            <w:pPr>
              <w:rPr>
                <w:rFonts w:cs="Arial"/>
              </w:rPr>
            </w:pPr>
            <w:r w:rsidRPr="00F57DDA">
              <w:rPr>
                <w:rFonts w:cs="Arial"/>
              </w:rPr>
              <w:t>сънливост</w:t>
            </w:r>
          </w:p>
        </w:tc>
        <w:tc>
          <w:tcPr>
            <w:tcW w:w="1490" w:type="dxa"/>
            <w:vAlign w:val="bottom"/>
          </w:tcPr>
          <w:p w14:paraId="2B76A59F" w14:textId="1FE4F5B4" w:rsidR="001D1FEB" w:rsidRPr="00F57DDA" w:rsidRDefault="001D1FEB" w:rsidP="001D1FEB">
            <w:pPr>
              <w:rPr>
                <w:rFonts w:cs="Arial"/>
              </w:rPr>
            </w:pPr>
            <w:r w:rsidRPr="00F57DDA">
              <w:rPr>
                <w:rFonts w:cs="Arial"/>
              </w:rPr>
              <w:t>нечести</w:t>
            </w:r>
          </w:p>
        </w:tc>
        <w:tc>
          <w:tcPr>
            <w:tcW w:w="1660" w:type="dxa"/>
          </w:tcPr>
          <w:p w14:paraId="01BC8C2C" w14:textId="77777777" w:rsidR="001D1FEB" w:rsidRPr="00F57DDA" w:rsidRDefault="001D1FEB" w:rsidP="001D1FEB">
            <w:pPr>
              <w:rPr>
                <w:rFonts w:cs="Arial"/>
              </w:rPr>
            </w:pPr>
          </w:p>
        </w:tc>
        <w:tc>
          <w:tcPr>
            <w:tcW w:w="1529" w:type="dxa"/>
          </w:tcPr>
          <w:p w14:paraId="395A2B6F" w14:textId="77777777" w:rsidR="001D1FEB" w:rsidRPr="00F57DDA" w:rsidRDefault="001D1FEB" w:rsidP="001D1FEB">
            <w:pPr>
              <w:rPr>
                <w:rFonts w:cs="Arial"/>
              </w:rPr>
            </w:pPr>
          </w:p>
        </w:tc>
        <w:tc>
          <w:tcPr>
            <w:tcW w:w="1490" w:type="dxa"/>
          </w:tcPr>
          <w:p w14:paraId="534104B0" w14:textId="77777777" w:rsidR="001D1FEB" w:rsidRPr="00F57DDA" w:rsidRDefault="001D1FEB" w:rsidP="001D1FEB">
            <w:pPr>
              <w:rPr>
                <w:rFonts w:cs="Arial"/>
              </w:rPr>
            </w:pPr>
          </w:p>
        </w:tc>
        <w:tc>
          <w:tcPr>
            <w:tcW w:w="1429" w:type="dxa"/>
          </w:tcPr>
          <w:p w14:paraId="005DA9BC" w14:textId="77777777" w:rsidR="001D1FEB" w:rsidRPr="00F57DDA" w:rsidRDefault="001D1FEB" w:rsidP="001D1FEB">
            <w:pPr>
              <w:rPr>
                <w:rFonts w:cs="Arial"/>
              </w:rPr>
            </w:pPr>
          </w:p>
        </w:tc>
      </w:tr>
      <w:tr w:rsidR="001D1FEB" w14:paraId="5FDDAB87" w14:textId="77777777" w:rsidTr="00F700EE">
        <w:tc>
          <w:tcPr>
            <w:tcW w:w="1978" w:type="dxa"/>
            <w:vAlign w:val="center"/>
          </w:tcPr>
          <w:p w14:paraId="104C9307" w14:textId="2DB2B955" w:rsidR="001D1FEB" w:rsidRPr="00F57DDA" w:rsidRDefault="001D1FEB" w:rsidP="001D1FEB">
            <w:pPr>
              <w:rPr>
                <w:rFonts w:cs="Arial"/>
              </w:rPr>
            </w:pPr>
            <w:r w:rsidRPr="00F57DDA">
              <w:rPr>
                <w:rFonts w:cs="Arial"/>
              </w:rPr>
              <w:t>главоболие</w:t>
            </w:r>
          </w:p>
        </w:tc>
        <w:tc>
          <w:tcPr>
            <w:tcW w:w="1490" w:type="dxa"/>
            <w:vAlign w:val="center"/>
          </w:tcPr>
          <w:p w14:paraId="64B13BEC" w14:textId="3C7CC9EC" w:rsidR="001D1FEB" w:rsidRPr="00F57DDA" w:rsidRDefault="001D1FEB" w:rsidP="001D1FEB">
            <w:pPr>
              <w:rPr>
                <w:rFonts w:cs="Arial"/>
              </w:rPr>
            </w:pPr>
            <w:r w:rsidRPr="00F57DDA">
              <w:rPr>
                <w:rFonts w:cs="Arial"/>
              </w:rPr>
              <w:t>нечести</w:t>
            </w:r>
          </w:p>
        </w:tc>
        <w:tc>
          <w:tcPr>
            <w:tcW w:w="1660" w:type="dxa"/>
          </w:tcPr>
          <w:p w14:paraId="7E54B867" w14:textId="77777777" w:rsidR="001D1FEB" w:rsidRPr="00F57DDA" w:rsidRDefault="001D1FEB" w:rsidP="001D1FEB">
            <w:pPr>
              <w:rPr>
                <w:rFonts w:cs="Arial"/>
              </w:rPr>
            </w:pPr>
          </w:p>
        </w:tc>
        <w:tc>
          <w:tcPr>
            <w:tcW w:w="1529" w:type="dxa"/>
            <w:vAlign w:val="center"/>
          </w:tcPr>
          <w:p w14:paraId="1333484C" w14:textId="1A5B269F" w:rsidR="001D1FEB" w:rsidRPr="00F57DDA" w:rsidRDefault="001D1FEB" w:rsidP="001D1FEB">
            <w:pPr>
              <w:rPr>
                <w:rFonts w:cs="Arial"/>
              </w:rPr>
            </w:pPr>
            <w:r w:rsidRPr="00F57DDA">
              <w:rPr>
                <w:rFonts w:cs="Arial"/>
              </w:rPr>
              <w:t>нечести</w:t>
            </w:r>
          </w:p>
        </w:tc>
        <w:tc>
          <w:tcPr>
            <w:tcW w:w="1490" w:type="dxa"/>
          </w:tcPr>
          <w:p w14:paraId="31694F45" w14:textId="77777777" w:rsidR="001D1FEB" w:rsidRPr="00F57DDA" w:rsidRDefault="001D1FEB" w:rsidP="001D1FEB">
            <w:pPr>
              <w:rPr>
                <w:rFonts w:cs="Arial"/>
              </w:rPr>
            </w:pPr>
          </w:p>
        </w:tc>
        <w:tc>
          <w:tcPr>
            <w:tcW w:w="1429" w:type="dxa"/>
          </w:tcPr>
          <w:p w14:paraId="3012E4BB" w14:textId="77777777" w:rsidR="001D1FEB" w:rsidRPr="00F57DDA" w:rsidRDefault="001D1FEB" w:rsidP="001D1FEB">
            <w:pPr>
              <w:rPr>
                <w:rFonts w:cs="Arial"/>
              </w:rPr>
            </w:pPr>
          </w:p>
        </w:tc>
      </w:tr>
      <w:tr w:rsidR="001D1FEB" w14:paraId="682422FF" w14:textId="77777777" w:rsidTr="00F700EE">
        <w:tc>
          <w:tcPr>
            <w:tcW w:w="1978" w:type="dxa"/>
            <w:vAlign w:val="bottom"/>
          </w:tcPr>
          <w:p w14:paraId="560A52D4" w14:textId="35E56AF8" w:rsidR="001D1FEB" w:rsidRPr="00F57DDA" w:rsidRDefault="001D1FEB" w:rsidP="001D1FEB">
            <w:pPr>
              <w:rPr>
                <w:rFonts w:cs="Arial"/>
              </w:rPr>
            </w:pPr>
            <w:r w:rsidRPr="00F57DDA">
              <w:rPr>
                <w:rFonts w:cs="Arial"/>
              </w:rPr>
              <w:t>нарушения на съня</w:t>
            </w:r>
          </w:p>
        </w:tc>
        <w:tc>
          <w:tcPr>
            <w:tcW w:w="1490" w:type="dxa"/>
            <w:vAlign w:val="bottom"/>
          </w:tcPr>
          <w:p w14:paraId="6518615C" w14:textId="3D457154" w:rsidR="001D1FEB" w:rsidRPr="00F57DDA" w:rsidRDefault="001D1FEB" w:rsidP="001D1FEB">
            <w:pPr>
              <w:rPr>
                <w:rFonts w:cs="Arial"/>
              </w:rPr>
            </w:pPr>
            <w:r w:rsidRPr="00F57DDA">
              <w:rPr>
                <w:rFonts w:cs="Arial"/>
              </w:rPr>
              <w:t>нечести</w:t>
            </w:r>
          </w:p>
        </w:tc>
        <w:tc>
          <w:tcPr>
            <w:tcW w:w="1660" w:type="dxa"/>
          </w:tcPr>
          <w:p w14:paraId="735BF829" w14:textId="77777777" w:rsidR="001D1FEB" w:rsidRPr="00F57DDA" w:rsidRDefault="001D1FEB" w:rsidP="001D1FEB">
            <w:pPr>
              <w:rPr>
                <w:rFonts w:cs="Arial"/>
              </w:rPr>
            </w:pPr>
          </w:p>
        </w:tc>
        <w:tc>
          <w:tcPr>
            <w:tcW w:w="1529" w:type="dxa"/>
          </w:tcPr>
          <w:p w14:paraId="2A4C32C2" w14:textId="77777777" w:rsidR="001D1FEB" w:rsidRPr="00F57DDA" w:rsidRDefault="001D1FEB" w:rsidP="001D1FEB">
            <w:pPr>
              <w:rPr>
                <w:rFonts w:cs="Arial"/>
              </w:rPr>
            </w:pPr>
          </w:p>
        </w:tc>
        <w:tc>
          <w:tcPr>
            <w:tcW w:w="1490" w:type="dxa"/>
          </w:tcPr>
          <w:p w14:paraId="48440BAD" w14:textId="77777777" w:rsidR="001D1FEB" w:rsidRPr="00F57DDA" w:rsidRDefault="001D1FEB" w:rsidP="001D1FEB">
            <w:pPr>
              <w:rPr>
                <w:rFonts w:cs="Arial"/>
              </w:rPr>
            </w:pPr>
          </w:p>
        </w:tc>
        <w:tc>
          <w:tcPr>
            <w:tcW w:w="1429" w:type="dxa"/>
          </w:tcPr>
          <w:p w14:paraId="7580C575" w14:textId="77777777" w:rsidR="001D1FEB" w:rsidRPr="00F57DDA" w:rsidRDefault="001D1FEB" w:rsidP="001D1FEB">
            <w:pPr>
              <w:rPr>
                <w:rFonts w:cs="Arial"/>
              </w:rPr>
            </w:pPr>
          </w:p>
        </w:tc>
      </w:tr>
      <w:tr w:rsidR="001D1FEB" w14:paraId="370486BF" w14:textId="77777777" w:rsidTr="00F700EE">
        <w:tc>
          <w:tcPr>
            <w:tcW w:w="1978" w:type="dxa"/>
            <w:vAlign w:val="bottom"/>
          </w:tcPr>
          <w:p w14:paraId="4D5F7677" w14:textId="2C197710" w:rsidR="001D1FEB" w:rsidRPr="00F57DDA" w:rsidRDefault="001D1FEB" w:rsidP="001D1FEB">
            <w:pPr>
              <w:rPr>
                <w:rFonts w:cs="Arial"/>
              </w:rPr>
            </w:pPr>
            <w:r w:rsidRPr="00F57DDA">
              <w:rPr>
                <w:rFonts w:cs="Arial"/>
              </w:rPr>
              <w:t>парестезия</w:t>
            </w:r>
          </w:p>
        </w:tc>
        <w:tc>
          <w:tcPr>
            <w:tcW w:w="1490" w:type="dxa"/>
          </w:tcPr>
          <w:p w14:paraId="6250874C" w14:textId="77777777" w:rsidR="001D1FEB" w:rsidRPr="00F57DDA" w:rsidRDefault="001D1FEB" w:rsidP="001D1FEB">
            <w:pPr>
              <w:rPr>
                <w:rFonts w:cs="Arial"/>
              </w:rPr>
            </w:pPr>
          </w:p>
        </w:tc>
        <w:tc>
          <w:tcPr>
            <w:tcW w:w="1660" w:type="dxa"/>
          </w:tcPr>
          <w:p w14:paraId="4663672B" w14:textId="77777777" w:rsidR="001D1FEB" w:rsidRPr="00F57DDA" w:rsidRDefault="001D1FEB" w:rsidP="001D1FEB">
            <w:pPr>
              <w:rPr>
                <w:rFonts w:cs="Arial"/>
              </w:rPr>
            </w:pPr>
          </w:p>
        </w:tc>
        <w:tc>
          <w:tcPr>
            <w:tcW w:w="1529" w:type="dxa"/>
            <w:vAlign w:val="bottom"/>
          </w:tcPr>
          <w:p w14:paraId="6E79C06C" w14:textId="67F96897" w:rsidR="001D1FEB" w:rsidRPr="00F57DDA" w:rsidRDefault="001D1FEB" w:rsidP="001D1FEB">
            <w:pPr>
              <w:rPr>
                <w:rFonts w:cs="Arial"/>
              </w:rPr>
            </w:pPr>
            <w:r w:rsidRPr="00F57DDA">
              <w:rPr>
                <w:rFonts w:cs="Arial"/>
              </w:rPr>
              <w:t>редки</w:t>
            </w:r>
          </w:p>
        </w:tc>
        <w:tc>
          <w:tcPr>
            <w:tcW w:w="1490" w:type="dxa"/>
          </w:tcPr>
          <w:p w14:paraId="4FD7ED57" w14:textId="77777777" w:rsidR="001D1FEB" w:rsidRPr="00F57DDA" w:rsidRDefault="001D1FEB" w:rsidP="001D1FEB">
            <w:pPr>
              <w:rPr>
                <w:rFonts w:cs="Arial"/>
              </w:rPr>
            </w:pPr>
          </w:p>
        </w:tc>
        <w:tc>
          <w:tcPr>
            <w:tcW w:w="1429" w:type="dxa"/>
          </w:tcPr>
          <w:p w14:paraId="29B8F10F" w14:textId="77777777" w:rsidR="001D1FEB" w:rsidRPr="00F57DDA" w:rsidRDefault="001D1FEB" w:rsidP="001D1FEB">
            <w:pPr>
              <w:rPr>
                <w:rFonts w:cs="Arial"/>
              </w:rPr>
            </w:pPr>
          </w:p>
        </w:tc>
      </w:tr>
      <w:tr w:rsidR="001D1FEB" w14:paraId="5ADB46D9" w14:textId="77777777" w:rsidTr="00F700EE">
        <w:tc>
          <w:tcPr>
            <w:tcW w:w="1978" w:type="dxa"/>
            <w:vAlign w:val="center"/>
          </w:tcPr>
          <w:p w14:paraId="43B20D00" w14:textId="662E6981" w:rsidR="001D1FEB" w:rsidRPr="00F57DDA" w:rsidRDefault="001D1FEB" w:rsidP="001D1FEB">
            <w:pPr>
              <w:rPr>
                <w:rFonts w:cs="Arial"/>
              </w:rPr>
            </w:pPr>
            <w:r w:rsidRPr="00F57DDA">
              <w:rPr>
                <w:rFonts w:cs="Arial"/>
              </w:rPr>
              <w:lastRenderedPageBreak/>
              <w:t>мигрена</w:t>
            </w:r>
          </w:p>
        </w:tc>
        <w:tc>
          <w:tcPr>
            <w:tcW w:w="1490" w:type="dxa"/>
          </w:tcPr>
          <w:p w14:paraId="20A99B02" w14:textId="77777777" w:rsidR="001D1FEB" w:rsidRPr="00F57DDA" w:rsidRDefault="001D1FEB" w:rsidP="001D1FEB">
            <w:pPr>
              <w:rPr>
                <w:rFonts w:cs="Arial"/>
              </w:rPr>
            </w:pPr>
          </w:p>
        </w:tc>
        <w:tc>
          <w:tcPr>
            <w:tcW w:w="1660" w:type="dxa"/>
          </w:tcPr>
          <w:p w14:paraId="25AC65AF" w14:textId="77777777" w:rsidR="001D1FEB" w:rsidRPr="00F57DDA" w:rsidRDefault="001D1FEB" w:rsidP="001D1FEB">
            <w:pPr>
              <w:rPr>
                <w:rFonts w:cs="Arial"/>
              </w:rPr>
            </w:pPr>
          </w:p>
        </w:tc>
        <w:tc>
          <w:tcPr>
            <w:tcW w:w="1529" w:type="dxa"/>
          </w:tcPr>
          <w:p w14:paraId="61C5A8C3" w14:textId="77777777" w:rsidR="001D1FEB" w:rsidRPr="00F57DDA" w:rsidRDefault="001D1FEB" w:rsidP="001D1FEB">
            <w:pPr>
              <w:rPr>
                <w:rFonts w:cs="Arial"/>
              </w:rPr>
            </w:pPr>
          </w:p>
        </w:tc>
        <w:tc>
          <w:tcPr>
            <w:tcW w:w="1490" w:type="dxa"/>
          </w:tcPr>
          <w:p w14:paraId="76E837E6" w14:textId="77777777" w:rsidR="001D1FEB" w:rsidRPr="00F57DDA" w:rsidRDefault="001D1FEB" w:rsidP="001D1FEB">
            <w:pPr>
              <w:rPr>
                <w:rFonts w:cs="Arial"/>
              </w:rPr>
            </w:pPr>
          </w:p>
        </w:tc>
        <w:tc>
          <w:tcPr>
            <w:tcW w:w="1429" w:type="dxa"/>
            <w:vAlign w:val="center"/>
          </w:tcPr>
          <w:p w14:paraId="45B56472" w14:textId="1D927559" w:rsidR="001D1FEB" w:rsidRPr="00F57DDA" w:rsidRDefault="001D1FEB" w:rsidP="001D1FEB">
            <w:pPr>
              <w:rPr>
                <w:rFonts w:cs="Arial"/>
              </w:rPr>
            </w:pPr>
            <w:r w:rsidRPr="00F57DDA">
              <w:rPr>
                <w:rFonts w:cs="Arial"/>
              </w:rPr>
              <w:t>с неизвестна честота</w:t>
            </w:r>
          </w:p>
        </w:tc>
      </w:tr>
      <w:tr w:rsidR="001D1FEB" w14:paraId="1790A559" w14:textId="77777777" w:rsidTr="00F700EE">
        <w:tc>
          <w:tcPr>
            <w:tcW w:w="1978" w:type="dxa"/>
          </w:tcPr>
          <w:p w14:paraId="2939E014" w14:textId="16AC97FF" w:rsidR="001D1FEB" w:rsidRPr="00F57DDA" w:rsidRDefault="001D1FEB" w:rsidP="001D1FEB">
            <w:pPr>
              <w:rPr>
                <w:rFonts w:cs="Arial"/>
              </w:rPr>
            </w:pPr>
            <w:r w:rsidRPr="00F57DDA">
              <w:rPr>
                <w:rFonts w:cs="Arial"/>
              </w:rPr>
              <w:t>дисгеузия</w:t>
            </w:r>
          </w:p>
        </w:tc>
        <w:tc>
          <w:tcPr>
            <w:tcW w:w="1490" w:type="dxa"/>
          </w:tcPr>
          <w:p w14:paraId="2C5632AA" w14:textId="77777777" w:rsidR="001D1FEB" w:rsidRPr="00F57DDA" w:rsidRDefault="001D1FEB" w:rsidP="001D1FEB">
            <w:pPr>
              <w:rPr>
                <w:rFonts w:cs="Arial"/>
              </w:rPr>
            </w:pPr>
          </w:p>
        </w:tc>
        <w:tc>
          <w:tcPr>
            <w:tcW w:w="1660" w:type="dxa"/>
          </w:tcPr>
          <w:p w14:paraId="01E25D9B" w14:textId="77777777" w:rsidR="001D1FEB" w:rsidRPr="00F57DDA" w:rsidRDefault="001D1FEB" w:rsidP="001D1FEB">
            <w:pPr>
              <w:rPr>
                <w:rFonts w:cs="Arial"/>
              </w:rPr>
            </w:pPr>
          </w:p>
        </w:tc>
        <w:tc>
          <w:tcPr>
            <w:tcW w:w="1529" w:type="dxa"/>
          </w:tcPr>
          <w:p w14:paraId="642DBF79" w14:textId="77777777" w:rsidR="001D1FEB" w:rsidRPr="00F57DDA" w:rsidRDefault="001D1FEB" w:rsidP="001D1FEB">
            <w:pPr>
              <w:rPr>
                <w:rFonts w:cs="Arial"/>
              </w:rPr>
            </w:pPr>
          </w:p>
        </w:tc>
        <w:tc>
          <w:tcPr>
            <w:tcW w:w="1490" w:type="dxa"/>
          </w:tcPr>
          <w:p w14:paraId="4A177FB1" w14:textId="77777777" w:rsidR="001D1FEB" w:rsidRPr="00F57DDA" w:rsidRDefault="001D1FEB" w:rsidP="001D1FEB">
            <w:pPr>
              <w:rPr>
                <w:rFonts w:cs="Arial"/>
              </w:rPr>
            </w:pPr>
          </w:p>
        </w:tc>
        <w:tc>
          <w:tcPr>
            <w:tcW w:w="1429" w:type="dxa"/>
            <w:vAlign w:val="center"/>
          </w:tcPr>
          <w:p w14:paraId="028A8804" w14:textId="764FE21B" w:rsidR="001D1FEB" w:rsidRPr="00F57DDA" w:rsidRDefault="001D1FEB" w:rsidP="001D1FEB">
            <w:pPr>
              <w:rPr>
                <w:rFonts w:cs="Arial"/>
              </w:rPr>
            </w:pPr>
            <w:r w:rsidRPr="00F57DDA">
              <w:rPr>
                <w:rFonts w:cs="Arial"/>
              </w:rPr>
              <w:t>с неизвестна честота</w:t>
            </w:r>
          </w:p>
        </w:tc>
      </w:tr>
      <w:tr w:rsidR="001D1FEB" w14:paraId="38170722" w14:textId="77777777" w:rsidTr="00012D51">
        <w:tc>
          <w:tcPr>
            <w:tcW w:w="9576" w:type="dxa"/>
            <w:gridSpan w:val="6"/>
          </w:tcPr>
          <w:p w14:paraId="25A7F963" w14:textId="6ED715CD" w:rsidR="001D1FEB" w:rsidRPr="00F57DDA" w:rsidRDefault="001D1FEB" w:rsidP="0091385D">
            <w:pPr>
              <w:rPr>
                <w:rFonts w:cs="Arial"/>
              </w:rPr>
            </w:pPr>
            <w:r w:rsidRPr="00F57DDA">
              <w:rPr>
                <w:rFonts w:cs="Arial"/>
                <w:b/>
                <w:bCs/>
                <w:u w:val="single"/>
              </w:rPr>
              <w:t>Нарушения на ухото и лабиринта</w:t>
            </w:r>
          </w:p>
        </w:tc>
      </w:tr>
      <w:tr w:rsidR="001D1FEB" w14:paraId="60F246C1" w14:textId="77777777" w:rsidTr="007D315E">
        <w:tc>
          <w:tcPr>
            <w:tcW w:w="1978" w:type="dxa"/>
            <w:vAlign w:val="bottom"/>
          </w:tcPr>
          <w:p w14:paraId="667977B8" w14:textId="0D405829" w:rsidR="001D1FEB" w:rsidRPr="00F57DDA" w:rsidRDefault="001D1FEB" w:rsidP="001D1FEB">
            <w:pPr>
              <w:rPr>
                <w:rFonts w:cs="Arial"/>
              </w:rPr>
            </w:pPr>
            <w:r w:rsidRPr="00F57DDA">
              <w:rPr>
                <w:rFonts w:cs="Arial"/>
              </w:rPr>
              <w:t>вертиго</w:t>
            </w:r>
          </w:p>
        </w:tc>
        <w:tc>
          <w:tcPr>
            <w:tcW w:w="1490" w:type="dxa"/>
            <w:vAlign w:val="bottom"/>
          </w:tcPr>
          <w:p w14:paraId="5CF2BBE9" w14:textId="7882E233" w:rsidR="001D1FEB" w:rsidRPr="00F57DDA" w:rsidRDefault="001D1FEB" w:rsidP="001D1FEB">
            <w:pPr>
              <w:rPr>
                <w:rFonts w:cs="Arial"/>
              </w:rPr>
            </w:pPr>
            <w:r w:rsidRPr="00F57DDA">
              <w:rPr>
                <w:rFonts w:cs="Arial"/>
              </w:rPr>
              <w:t>чести</w:t>
            </w:r>
          </w:p>
        </w:tc>
        <w:tc>
          <w:tcPr>
            <w:tcW w:w="1660" w:type="dxa"/>
            <w:vAlign w:val="bottom"/>
          </w:tcPr>
          <w:p w14:paraId="671FD353" w14:textId="502CBF67" w:rsidR="001D1FEB" w:rsidRPr="00F57DDA" w:rsidRDefault="001D1FEB" w:rsidP="001D1FEB">
            <w:pPr>
              <w:rPr>
                <w:rFonts w:cs="Arial"/>
              </w:rPr>
            </w:pPr>
            <w:r w:rsidRPr="00F57DDA">
              <w:rPr>
                <w:rFonts w:cs="Arial"/>
              </w:rPr>
              <w:t>чести</w:t>
            </w:r>
          </w:p>
        </w:tc>
        <w:tc>
          <w:tcPr>
            <w:tcW w:w="1529" w:type="dxa"/>
          </w:tcPr>
          <w:p w14:paraId="4AFB16C1" w14:textId="77777777" w:rsidR="001D1FEB" w:rsidRPr="00F57DDA" w:rsidRDefault="001D1FEB" w:rsidP="001D1FEB">
            <w:pPr>
              <w:rPr>
                <w:rFonts w:cs="Arial"/>
              </w:rPr>
            </w:pPr>
          </w:p>
        </w:tc>
        <w:tc>
          <w:tcPr>
            <w:tcW w:w="1490" w:type="dxa"/>
          </w:tcPr>
          <w:p w14:paraId="1DA4D0C4" w14:textId="77777777" w:rsidR="001D1FEB" w:rsidRPr="00F57DDA" w:rsidRDefault="001D1FEB" w:rsidP="001D1FEB">
            <w:pPr>
              <w:rPr>
                <w:rFonts w:cs="Arial"/>
              </w:rPr>
            </w:pPr>
          </w:p>
        </w:tc>
        <w:tc>
          <w:tcPr>
            <w:tcW w:w="1429" w:type="dxa"/>
          </w:tcPr>
          <w:p w14:paraId="56E9C332" w14:textId="77777777" w:rsidR="001D1FEB" w:rsidRPr="00F57DDA" w:rsidRDefault="001D1FEB" w:rsidP="001D1FEB">
            <w:pPr>
              <w:rPr>
                <w:rFonts w:cs="Arial"/>
              </w:rPr>
            </w:pPr>
          </w:p>
        </w:tc>
      </w:tr>
      <w:tr w:rsidR="001D1FEB" w14:paraId="2638781D" w14:textId="77777777" w:rsidTr="007D315E">
        <w:tc>
          <w:tcPr>
            <w:tcW w:w="1978" w:type="dxa"/>
            <w:vAlign w:val="center"/>
          </w:tcPr>
          <w:p w14:paraId="4991420A" w14:textId="5FB7BC71" w:rsidR="001D1FEB" w:rsidRPr="00F57DDA" w:rsidRDefault="001D1FEB" w:rsidP="001D1FEB">
            <w:pPr>
              <w:rPr>
                <w:rFonts w:cs="Arial"/>
              </w:rPr>
            </w:pPr>
            <w:r w:rsidRPr="00F57DDA">
              <w:rPr>
                <w:rFonts w:cs="Arial"/>
              </w:rPr>
              <w:t>шум в ушите</w:t>
            </w:r>
          </w:p>
        </w:tc>
        <w:tc>
          <w:tcPr>
            <w:tcW w:w="1490" w:type="dxa"/>
          </w:tcPr>
          <w:p w14:paraId="649F50FF" w14:textId="77777777" w:rsidR="001D1FEB" w:rsidRPr="00F57DDA" w:rsidRDefault="001D1FEB" w:rsidP="001D1FEB">
            <w:pPr>
              <w:rPr>
                <w:rFonts w:cs="Arial"/>
              </w:rPr>
            </w:pPr>
          </w:p>
        </w:tc>
        <w:tc>
          <w:tcPr>
            <w:tcW w:w="1660" w:type="dxa"/>
          </w:tcPr>
          <w:p w14:paraId="4EF33EE5" w14:textId="77777777" w:rsidR="001D1FEB" w:rsidRPr="00F57DDA" w:rsidRDefault="001D1FEB" w:rsidP="001D1FEB">
            <w:pPr>
              <w:rPr>
                <w:rFonts w:cs="Arial"/>
              </w:rPr>
            </w:pPr>
          </w:p>
        </w:tc>
        <w:tc>
          <w:tcPr>
            <w:tcW w:w="1529" w:type="dxa"/>
          </w:tcPr>
          <w:p w14:paraId="64C0C57C" w14:textId="77777777" w:rsidR="001D1FEB" w:rsidRPr="00F57DDA" w:rsidRDefault="001D1FEB" w:rsidP="001D1FEB">
            <w:pPr>
              <w:rPr>
                <w:rFonts w:cs="Arial"/>
              </w:rPr>
            </w:pPr>
          </w:p>
        </w:tc>
        <w:tc>
          <w:tcPr>
            <w:tcW w:w="1490" w:type="dxa"/>
          </w:tcPr>
          <w:p w14:paraId="52650E45" w14:textId="77777777" w:rsidR="001D1FEB" w:rsidRPr="00F57DDA" w:rsidRDefault="001D1FEB" w:rsidP="001D1FEB">
            <w:pPr>
              <w:rPr>
                <w:rFonts w:cs="Arial"/>
              </w:rPr>
            </w:pPr>
          </w:p>
        </w:tc>
        <w:tc>
          <w:tcPr>
            <w:tcW w:w="1429" w:type="dxa"/>
          </w:tcPr>
          <w:p w14:paraId="09E1604F" w14:textId="26C515B7" w:rsidR="001D1FEB" w:rsidRPr="00F57DDA" w:rsidRDefault="001D1FEB" w:rsidP="001D1FEB">
            <w:pPr>
              <w:rPr>
                <w:rFonts w:cs="Arial"/>
              </w:rPr>
            </w:pPr>
            <w:r w:rsidRPr="00F57DDA">
              <w:rPr>
                <w:rFonts w:cs="Arial"/>
              </w:rPr>
              <w:t>с неизвестна честота</w:t>
            </w:r>
          </w:p>
        </w:tc>
      </w:tr>
      <w:tr w:rsidR="001D1FEB" w14:paraId="3A3869CC" w14:textId="77777777" w:rsidTr="008B4A0A">
        <w:tc>
          <w:tcPr>
            <w:tcW w:w="9576" w:type="dxa"/>
            <w:gridSpan w:val="6"/>
          </w:tcPr>
          <w:p w14:paraId="300E935F" w14:textId="0C4775B3" w:rsidR="001D1FEB" w:rsidRPr="00F57DDA" w:rsidRDefault="001D1FEB" w:rsidP="0091385D">
            <w:pPr>
              <w:rPr>
                <w:rFonts w:cs="Arial"/>
              </w:rPr>
            </w:pPr>
            <w:r w:rsidRPr="00F57DDA">
              <w:rPr>
                <w:rFonts w:cs="Arial"/>
                <w:b/>
                <w:bCs/>
                <w:u w:val="single"/>
              </w:rPr>
              <w:t>Сърдечни нарушения</w:t>
            </w:r>
          </w:p>
        </w:tc>
      </w:tr>
      <w:tr w:rsidR="001D1FEB" w14:paraId="1F45EEDC" w14:textId="77777777" w:rsidTr="00CF5CCF">
        <w:tc>
          <w:tcPr>
            <w:tcW w:w="1978" w:type="dxa"/>
            <w:vAlign w:val="bottom"/>
          </w:tcPr>
          <w:p w14:paraId="213F7920" w14:textId="332955D8" w:rsidR="001D1FEB" w:rsidRPr="00F57DDA" w:rsidRDefault="001D1FEB" w:rsidP="001D1FEB">
            <w:pPr>
              <w:rPr>
                <w:rFonts w:cs="Arial"/>
              </w:rPr>
            </w:pPr>
            <w:r w:rsidRPr="00F57DDA">
              <w:rPr>
                <w:rFonts w:cs="Arial"/>
              </w:rPr>
              <w:t>палпитации</w:t>
            </w:r>
          </w:p>
        </w:tc>
        <w:tc>
          <w:tcPr>
            <w:tcW w:w="1490" w:type="dxa"/>
            <w:vAlign w:val="bottom"/>
          </w:tcPr>
          <w:p w14:paraId="1B167514" w14:textId="53CF1C14" w:rsidR="001D1FEB" w:rsidRPr="00F57DDA" w:rsidRDefault="001D1FEB" w:rsidP="001D1FEB">
            <w:pPr>
              <w:rPr>
                <w:rFonts w:cs="Arial"/>
              </w:rPr>
            </w:pPr>
            <w:r w:rsidRPr="00F57DDA">
              <w:rPr>
                <w:rFonts w:cs="Arial"/>
              </w:rPr>
              <w:t>нечести</w:t>
            </w:r>
          </w:p>
        </w:tc>
        <w:tc>
          <w:tcPr>
            <w:tcW w:w="1660" w:type="dxa"/>
          </w:tcPr>
          <w:p w14:paraId="47963970" w14:textId="77777777" w:rsidR="001D1FEB" w:rsidRPr="00F57DDA" w:rsidRDefault="001D1FEB" w:rsidP="001D1FEB">
            <w:pPr>
              <w:rPr>
                <w:rFonts w:cs="Arial"/>
              </w:rPr>
            </w:pPr>
          </w:p>
        </w:tc>
        <w:tc>
          <w:tcPr>
            <w:tcW w:w="1529" w:type="dxa"/>
          </w:tcPr>
          <w:p w14:paraId="692647DD" w14:textId="77777777" w:rsidR="001D1FEB" w:rsidRPr="00F57DDA" w:rsidRDefault="001D1FEB" w:rsidP="001D1FEB">
            <w:pPr>
              <w:rPr>
                <w:rFonts w:cs="Arial"/>
              </w:rPr>
            </w:pPr>
          </w:p>
        </w:tc>
        <w:tc>
          <w:tcPr>
            <w:tcW w:w="1490" w:type="dxa"/>
          </w:tcPr>
          <w:p w14:paraId="7C9FE2BE" w14:textId="77777777" w:rsidR="001D1FEB" w:rsidRPr="00F57DDA" w:rsidRDefault="001D1FEB" w:rsidP="001D1FEB">
            <w:pPr>
              <w:rPr>
                <w:rFonts w:cs="Arial"/>
              </w:rPr>
            </w:pPr>
          </w:p>
        </w:tc>
        <w:tc>
          <w:tcPr>
            <w:tcW w:w="1429" w:type="dxa"/>
          </w:tcPr>
          <w:p w14:paraId="1CCA7DB9" w14:textId="77777777" w:rsidR="001D1FEB" w:rsidRPr="00F57DDA" w:rsidRDefault="001D1FEB" w:rsidP="001D1FEB">
            <w:pPr>
              <w:rPr>
                <w:rFonts w:cs="Arial"/>
              </w:rPr>
            </w:pPr>
          </w:p>
        </w:tc>
      </w:tr>
      <w:tr w:rsidR="001D1FEB" w14:paraId="5AAEABEC" w14:textId="77777777" w:rsidTr="00CF5CCF">
        <w:tc>
          <w:tcPr>
            <w:tcW w:w="1978" w:type="dxa"/>
            <w:vAlign w:val="bottom"/>
          </w:tcPr>
          <w:p w14:paraId="58E940CB" w14:textId="4B751896" w:rsidR="001D1FEB" w:rsidRPr="00F57DDA" w:rsidRDefault="001D1FEB" w:rsidP="001D1FEB">
            <w:pPr>
              <w:rPr>
                <w:rFonts w:cs="Arial"/>
              </w:rPr>
            </w:pPr>
            <w:r w:rsidRPr="00F57DDA">
              <w:rPr>
                <w:rFonts w:cs="Arial"/>
              </w:rPr>
              <w:t>ангина пекторис</w:t>
            </w:r>
          </w:p>
        </w:tc>
        <w:tc>
          <w:tcPr>
            <w:tcW w:w="1490" w:type="dxa"/>
            <w:vAlign w:val="bottom"/>
          </w:tcPr>
          <w:p w14:paraId="0767818B" w14:textId="663D0CDB" w:rsidR="001D1FEB" w:rsidRPr="00F57DDA" w:rsidRDefault="001D1FEB" w:rsidP="001D1FEB">
            <w:pPr>
              <w:rPr>
                <w:rFonts w:cs="Arial"/>
              </w:rPr>
            </w:pPr>
            <w:r w:rsidRPr="00F57DDA">
              <w:rPr>
                <w:rFonts w:cs="Arial"/>
              </w:rPr>
              <w:t>нечести</w:t>
            </w:r>
          </w:p>
        </w:tc>
        <w:tc>
          <w:tcPr>
            <w:tcW w:w="1660" w:type="dxa"/>
          </w:tcPr>
          <w:p w14:paraId="28E16426" w14:textId="77777777" w:rsidR="001D1FEB" w:rsidRPr="00F57DDA" w:rsidRDefault="001D1FEB" w:rsidP="001D1FEB">
            <w:pPr>
              <w:rPr>
                <w:rFonts w:cs="Arial"/>
              </w:rPr>
            </w:pPr>
          </w:p>
        </w:tc>
        <w:tc>
          <w:tcPr>
            <w:tcW w:w="1529" w:type="dxa"/>
          </w:tcPr>
          <w:p w14:paraId="69CBD78D" w14:textId="77777777" w:rsidR="001D1FEB" w:rsidRPr="00F57DDA" w:rsidRDefault="001D1FEB" w:rsidP="001D1FEB">
            <w:pPr>
              <w:rPr>
                <w:rFonts w:cs="Arial"/>
              </w:rPr>
            </w:pPr>
          </w:p>
        </w:tc>
        <w:tc>
          <w:tcPr>
            <w:tcW w:w="1490" w:type="dxa"/>
          </w:tcPr>
          <w:p w14:paraId="4C191C94" w14:textId="77777777" w:rsidR="001D1FEB" w:rsidRPr="00F57DDA" w:rsidRDefault="001D1FEB" w:rsidP="001D1FEB">
            <w:pPr>
              <w:rPr>
                <w:rFonts w:cs="Arial"/>
              </w:rPr>
            </w:pPr>
          </w:p>
        </w:tc>
        <w:tc>
          <w:tcPr>
            <w:tcW w:w="1429" w:type="dxa"/>
          </w:tcPr>
          <w:p w14:paraId="7A6A4A3B" w14:textId="77777777" w:rsidR="001D1FEB" w:rsidRPr="00F57DDA" w:rsidRDefault="001D1FEB" w:rsidP="001D1FEB">
            <w:pPr>
              <w:rPr>
                <w:rFonts w:cs="Arial"/>
              </w:rPr>
            </w:pPr>
          </w:p>
        </w:tc>
      </w:tr>
      <w:tr w:rsidR="001D1FEB" w14:paraId="071BC697" w14:textId="77777777" w:rsidTr="00CF5CCF">
        <w:tc>
          <w:tcPr>
            <w:tcW w:w="1978" w:type="dxa"/>
            <w:vAlign w:val="bottom"/>
          </w:tcPr>
          <w:p w14:paraId="7A066B8D" w14:textId="4F2309A5" w:rsidR="001D1FEB" w:rsidRPr="00F57DDA" w:rsidRDefault="001D1FEB" w:rsidP="001D1FEB">
            <w:pPr>
              <w:rPr>
                <w:rFonts w:cs="Arial"/>
              </w:rPr>
            </w:pPr>
            <w:r w:rsidRPr="00F57DDA">
              <w:rPr>
                <w:rFonts w:cs="Arial"/>
              </w:rPr>
              <w:t>синкоп</w:t>
            </w:r>
          </w:p>
        </w:tc>
        <w:tc>
          <w:tcPr>
            <w:tcW w:w="1490" w:type="dxa"/>
          </w:tcPr>
          <w:p w14:paraId="6358F2DC" w14:textId="77777777" w:rsidR="001D1FEB" w:rsidRPr="00F57DDA" w:rsidRDefault="001D1FEB" w:rsidP="001D1FEB">
            <w:pPr>
              <w:rPr>
                <w:rFonts w:cs="Arial"/>
              </w:rPr>
            </w:pPr>
          </w:p>
        </w:tc>
        <w:tc>
          <w:tcPr>
            <w:tcW w:w="1660" w:type="dxa"/>
          </w:tcPr>
          <w:p w14:paraId="6669DED3" w14:textId="77777777" w:rsidR="001D1FEB" w:rsidRPr="00F57DDA" w:rsidRDefault="001D1FEB" w:rsidP="001D1FEB">
            <w:pPr>
              <w:rPr>
                <w:rFonts w:cs="Arial"/>
              </w:rPr>
            </w:pPr>
          </w:p>
        </w:tc>
        <w:tc>
          <w:tcPr>
            <w:tcW w:w="1529" w:type="dxa"/>
            <w:vAlign w:val="bottom"/>
          </w:tcPr>
          <w:p w14:paraId="06963CFE" w14:textId="0E35E1DA" w:rsidR="001D1FEB" w:rsidRPr="00F57DDA" w:rsidRDefault="001D1FEB" w:rsidP="001D1FEB">
            <w:pPr>
              <w:rPr>
                <w:rFonts w:cs="Arial"/>
              </w:rPr>
            </w:pPr>
            <w:r w:rsidRPr="00F57DDA">
              <w:rPr>
                <w:rFonts w:cs="Arial"/>
              </w:rPr>
              <w:t>редки</w:t>
            </w:r>
          </w:p>
        </w:tc>
        <w:tc>
          <w:tcPr>
            <w:tcW w:w="1490" w:type="dxa"/>
          </w:tcPr>
          <w:p w14:paraId="4CAE84CF" w14:textId="77777777" w:rsidR="001D1FEB" w:rsidRPr="00F57DDA" w:rsidRDefault="001D1FEB" w:rsidP="001D1FEB">
            <w:pPr>
              <w:rPr>
                <w:rFonts w:cs="Arial"/>
              </w:rPr>
            </w:pPr>
          </w:p>
        </w:tc>
        <w:tc>
          <w:tcPr>
            <w:tcW w:w="1429" w:type="dxa"/>
          </w:tcPr>
          <w:p w14:paraId="5E29DD4D" w14:textId="77777777" w:rsidR="001D1FEB" w:rsidRPr="00F57DDA" w:rsidRDefault="001D1FEB" w:rsidP="001D1FEB">
            <w:pPr>
              <w:rPr>
                <w:rFonts w:cs="Arial"/>
              </w:rPr>
            </w:pPr>
          </w:p>
        </w:tc>
      </w:tr>
      <w:tr w:rsidR="001D1FEB" w14:paraId="0E9FA7C3" w14:textId="77777777" w:rsidTr="00CF5CCF">
        <w:tc>
          <w:tcPr>
            <w:tcW w:w="1978" w:type="dxa"/>
            <w:vAlign w:val="bottom"/>
          </w:tcPr>
          <w:p w14:paraId="4F9E4CBF" w14:textId="442612AE" w:rsidR="001D1FEB" w:rsidRPr="00F57DDA" w:rsidRDefault="001D1FEB" w:rsidP="001D1FEB">
            <w:pPr>
              <w:rPr>
                <w:rFonts w:cs="Arial"/>
              </w:rPr>
            </w:pPr>
            <w:r w:rsidRPr="00F57DDA">
              <w:rPr>
                <w:rFonts w:cs="Arial"/>
              </w:rPr>
              <w:t>предсърдно мъждене</w:t>
            </w:r>
          </w:p>
        </w:tc>
        <w:tc>
          <w:tcPr>
            <w:tcW w:w="1490" w:type="dxa"/>
          </w:tcPr>
          <w:p w14:paraId="06F31694" w14:textId="77777777" w:rsidR="001D1FEB" w:rsidRPr="00F57DDA" w:rsidRDefault="001D1FEB" w:rsidP="001D1FEB">
            <w:pPr>
              <w:rPr>
                <w:rFonts w:cs="Arial"/>
              </w:rPr>
            </w:pPr>
          </w:p>
        </w:tc>
        <w:tc>
          <w:tcPr>
            <w:tcW w:w="1660" w:type="dxa"/>
          </w:tcPr>
          <w:p w14:paraId="36B5E16A" w14:textId="77777777" w:rsidR="001D1FEB" w:rsidRPr="00F57DDA" w:rsidRDefault="001D1FEB" w:rsidP="001D1FEB">
            <w:pPr>
              <w:rPr>
                <w:rFonts w:cs="Arial"/>
              </w:rPr>
            </w:pPr>
          </w:p>
        </w:tc>
        <w:tc>
          <w:tcPr>
            <w:tcW w:w="1529" w:type="dxa"/>
            <w:vAlign w:val="center"/>
          </w:tcPr>
          <w:p w14:paraId="7A957B71" w14:textId="03A776AE" w:rsidR="001D1FEB" w:rsidRPr="00F57DDA" w:rsidRDefault="001D1FEB" w:rsidP="001D1FEB">
            <w:pPr>
              <w:rPr>
                <w:rFonts w:cs="Arial"/>
              </w:rPr>
            </w:pPr>
            <w:r w:rsidRPr="00F57DDA">
              <w:rPr>
                <w:rFonts w:cs="Arial"/>
              </w:rPr>
              <w:t>редки</w:t>
            </w:r>
          </w:p>
        </w:tc>
        <w:tc>
          <w:tcPr>
            <w:tcW w:w="1490" w:type="dxa"/>
          </w:tcPr>
          <w:p w14:paraId="53AD9962" w14:textId="77777777" w:rsidR="001D1FEB" w:rsidRPr="00F57DDA" w:rsidRDefault="001D1FEB" w:rsidP="001D1FEB">
            <w:pPr>
              <w:rPr>
                <w:rFonts w:cs="Arial"/>
              </w:rPr>
            </w:pPr>
          </w:p>
        </w:tc>
        <w:tc>
          <w:tcPr>
            <w:tcW w:w="1429" w:type="dxa"/>
          </w:tcPr>
          <w:p w14:paraId="45E21DD7" w14:textId="77777777" w:rsidR="001D1FEB" w:rsidRPr="00F57DDA" w:rsidRDefault="001D1FEB" w:rsidP="001D1FEB">
            <w:pPr>
              <w:rPr>
                <w:rFonts w:cs="Arial"/>
              </w:rPr>
            </w:pPr>
          </w:p>
        </w:tc>
      </w:tr>
      <w:tr w:rsidR="001D1FEB" w14:paraId="2C51131C" w14:textId="77777777" w:rsidTr="001D1FEB">
        <w:tc>
          <w:tcPr>
            <w:tcW w:w="1978" w:type="dxa"/>
          </w:tcPr>
          <w:p w14:paraId="1DF39179" w14:textId="4A80A00A" w:rsidR="001D1FEB" w:rsidRPr="00F57DDA" w:rsidRDefault="001D1FEB" w:rsidP="001D1FEB">
            <w:pPr>
              <w:rPr>
                <w:rFonts w:cs="Arial"/>
              </w:rPr>
            </w:pPr>
            <w:r w:rsidRPr="00F57DDA">
              <w:rPr>
                <w:rFonts w:cs="Arial"/>
              </w:rPr>
              <w:t>мозъчно съдов инцидент</w:t>
            </w:r>
          </w:p>
        </w:tc>
        <w:tc>
          <w:tcPr>
            <w:tcW w:w="1490" w:type="dxa"/>
          </w:tcPr>
          <w:p w14:paraId="24209A30" w14:textId="77777777" w:rsidR="001D1FEB" w:rsidRPr="00F57DDA" w:rsidRDefault="001D1FEB" w:rsidP="001D1FEB">
            <w:pPr>
              <w:rPr>
                <w:rFonts w:cs="Arial"/>
              </w:rPr>
            </w:pPr>
          </w:p>
        </w:tc>
        <w:tc>
          <w:tcPr>
            <w:tcW w:w="1660" w:type="dxa"/>
          </w:tcPr>
          <w:p w14:paraId="11C7E501" w14:textId="77777777" w:rsidR="001D1FEB" w:rsidRPr="00F57DDA" w:rsidRDefault="001D1FEB" w:rsidP="001D1FEB">
            <w:pPr>
              <w:rPr>
                <w:rFonts w:cs="Arial"/>
              </w:rPr>
            </w:pPr>
          </w:p>
        </w:tc>
        <w:tc>
          <w:tcPr>
            <w:tcW w:w="1529" w:type="dxa"/>
          </w:tcPr>
          <w:p w14:paraId="3CA9085E" w14:textId="43888DA1" w:rsidR="001D1FEB" w:rsidRPr="00F57DDA" w:rsidRDefault="001D1FEB" w:rsidP="001D1FEB">
            <w:pPr>
              <w:rPr>
                <w:rFonts w:cs="Arial"/>
              </w:rPr>
            </w:pPr>
            <w:r w:rsidRPr="00F57DDA">
              <w:rPr>
                <w:rFonts w:cs="Arial"/>
              </w:rPr>
              <w:t>редки</w:t>
            </w:r>
          </w:p>
        </w:tc>
        <w:tc>
          <w:tcPr>
            <w:tcW w:w="1490" w:type="dxa"/>
          </w:tcPr>
          <w:p w14:paraId="3BB2D00C" w14:textId="77777777" w:rsidR="001D1FEB" w:rsidRPr="00F57DDA" w:rsidRDefault="001D1FEB" w:rsidP="001D1FEB">
            <w:pPr>
              <w:rPr>
                <w:rFonts w:cs="Arial"/>
              </w:rPr>
            </w:pPr>
          </w:p>
        </w:tc>
        <w:tc>
          <w:tcPr>
            <w:tcW w:w="1429" w:type="dxa"/>
          </w:tcPr>
          <w:p w14:paraId="55E4244A" w14:textId="77777777" w:rsidR="001D1FEB" w:rsidRPr="00F57DDA" w:rsidRDefault="001D1FEB" w:rsidP="001D1FEB">
            <w:pPr>
              <w:rPr>
                <w:rFonts w:cs="Arial"/>
              </w:rPr>
            </w:pPr>
          </w:p>
        </w:tc>
      </w:tr>
      <w:tr w:rsidR="001D1FEB" w14:paraId="464C58D1" w14:textId="77777777" w:rsidTr="00A96640">
        <w:tc>
          <w:tcPr>
            <w:tcW w:w="9576" w:type="dxa"/>
            <w:gridSpan w:val="6"/>
          </w:tcPr>
          <w:p w14:paraId="033FEBF9" w14:textId="0A754267" w:rsidR="001D1FEB" w:rsidRPr="00F57DDA" w:rsidRDefault="001D1FEB" w:rsidP="0091385D">
            <w:pPr>
              <w:rPr>
                <w:rFonts w:cs="Arial"/>
              </w:rPr>
            </w:pPr>
            <w:r w:rsidRPr="00F57DDA">
              <w:rPr>
                <w:rFonts w:cs="Arial"/>
                <w:b/>
                <w:bCs/>
                <w:u w:val="single"/>
              </w:rPr>
              <w:t>Съдови нарушения</w:t>
            </w:r>
          </w:p>
        </w:tc>
      </w:tr>
      <w:tr w:rsidR="001D1FEB" w14:paraId="333AEF0A" w14:textId="77777777" w:rsidTr="00E82986">
        <w:tc>
          <w:tcPr>
            <w:tcW w:w="1978" w:type="dxa"/>
            <w:vAlign w:val="bottom"/>
          </w:tcPr>
          <w:p w14:paraId="79F82DF4" w14:textId="2915CC2C" w:rsidR="001D1FEB" w:rsidRPr="00F57DDA" w:rsidRDefault="001D1FEB" w:rsidP="001D1FEB">
            <w:pPr>
              <w:rPr>
                <w:rFonts w:cs="Arial"/>
              </w:rPr>
            </w:pPr>
            <w:r w:rsidRPr="00F57DDA">
              <w:rPr>
                <w:rFonts w:cs="Arial"/>
              </w:rPr>
              <w:t>(ортостатична) хипотония (включително свързани с дозата ортостатични ефекти) ||</w:t>
            </w:r>
          </w:p>
        </w:tc>
        <w:tc>
          <w:tcPr>
            <w:tcW w:w="1490" w:type="dxa"/>
          </w:tcPr>
          <w:p w14:paraId="4107ED4A" w14:textId="44468D00" w:rsidR="001D1FEB" w:rsidRPr="00F57DDA" w:rsidRDefault="001D1FEB" w:rsidP="001D1FEB">
            <w:pPr>
              <w:rPr>
                <w:rFonts w:cs="Arial"/>
              </w:rPr>
            </w:pPr>
            <w:r w:rsidRPr="00F57DDA">
              <w:rPr>
                <w:rFonts w:cs="Arial"/>
              </w:rPr>
              <w:t>нечести</w:t>
            </w:r>
          </w:p>
        </w:tc>
        <w:tc>
          <w:tcPr>
            <w:tcW w:w="1660" w:type="dxa"/>
          </w:tcPr>
          <w:p w14:paraId="68270F44" w14:textId="77777777" w:rsidR="001D1FEB" w:rsidRPr="00F57DDA" w:rsidRDefault="001D1FEB" w:rsidP="001D1FEB">
            <w:pPr>
              <w:rPr>
                <w:rFonts w:cs="Arial"/>
              </w:rPr>
            </w:pPr>
          </w:p>
        </w:tc>
        <w:tc>
          <w:tcPr>
            <w:tcW w:w="1529" w:type="dxa"/>
          </w:tcPr>
          <w:p w14:paraId="3D81864F" w14:textId="619C0ABF" w:rsidR="001D1FEB" w:rsidRPr="00F57DDA" w:rsidRDefault="001D1FEB" w:rsidP="001D1FEB">
            <w:pPr>
              <w:rPr>
                <w:rFonts w:cs="Arial"/>
              </w:rPr>
            </w:pPr>
            <w:r w:rsidRPr="00F57DDA">
              <w:rPr>
                <w:rFonts w:cs="Arial"/>
              </w:rPr>
              <w:t>чести</w:t>
            </w:r>
          </w:p>
        </w:tc>
        <w:tc>
          <w:tcPr>
            <w:tcW w:w="1490" w:type="dxa"/>
          </w:tcPr>
          <w:p w14:paraId="2D0A600A" w14:textId="3A5521BF" w:rsidR="001D1FEB" w:rsidRPr="00F57DDA" w:rsidRDefault="001D1FEB" w:rsidP="001D1FEB">
            <w:pPr>
              <w:rPr>
                <w:rFonts w:cs="Arial"/>
              </w:rPr>
            </w:pPr>
            <w:r w:rsidRPr="00F57DDA">
              <w:rPr>
                <w:rFonts w:cs="Arial"/>
              </w:rPr>
              <w:t>чести</w:t>
            </w:r>
          </w:p>
        </w:tc>
        <w:tc>
          <w:tcPr>
            <w:tcW w:w="1429" w:type="dxa"/>
          </w:tcPr>
          <w:p w14:paraId="02132339" w14:textId="77777777" w:rsidR="001D1FEB" w:rsidRPr="00F57DDA" w:rsidRDefault="001D1FEB" w:rsidP="001D1FEB">
            <w:pPr>
              <w:rPr>
                <w:rFonts w:cs="Arial"/>
              </w:rPr>
            </w:pPr>
          </w:p>
        </w:tc>
      </w:tr>
      <w:tr w:rsidR="001D1FEB" w14:paraId="32D13274" w14:textId="77777777" w:rsidTr="00E30FAF">
        <w:tc>
          <w:tcPr>
            <w:tcW w:w="9576" w:type="dxa"/>
            <w:gridSpan w:val="6"/>
          </w:tcPr>
          <w:p w14:paraId="760B83EE" w14:textId="3115E866" w:rsidR="001D1FEB" w:rsidRPr="00F57DDA" w:rsidRDefault="001D1FEB" w:rsidP="0091385D">
            <w:pPr>
              <w:rPr>
                <w:rFonts w:cs="Arial"/>
              </w:rPr>
            </w:pPr>
            <w:r w:rsidRPr="00F57DDA">
              <w:rPr>
                <w:rFonts w:cs="Arial"/>
                <w:b/>
                <w:bCs/>
                <w:u w:val="single"/>
              </w:rPr>
              <w:t>Респираторни, гръдни и меднастинални нарушения</w:t>
            </w:r>
          </w:p>
        </w:tc>
      </w:tr>
      <w:tr w:rsidR="001D1FEB" w14:paraId="21EFE71D" w14:textId="77777777" w:rsidTr="001970E9">
        <w:tc>
          <w:tcPr>
            <w:tcW w:w="1978" w:type="dxa"/>
            <w:vAlign w:val="center"/>
          </w:tcPr>
          <w:p w14:paraId="1E8962AF" w14:textId="7BB3B2C5" w:rsidR="001D1FEB" w:rsidRPr="00F57DDA" w:rsidRDefault="001D1FEB" w:rsidP="001D1FEB">
            <w:pPr>
              <w:rPr>
                <w:rFonts w:cs="Arial"/>
              </w:rPr>
            </w:pPr>
            <w:r w:rsidRPr="00F57DDA">
              <w:rPr>
                <w:rFonts w:cs="Arial"/>
              </w:rPr>
              <w:t>диспнея</w:t>
            </w:r>
          </w:p>
        </w:tc>
        <w:tc>
          <w:tcPr>
            <w:tcW w:w="1490" w:type="dxa"/>
          </w:tcPr>
          <w:p w14:paraId="179BA58C" w14:textId="77777777" w:rsidR="001D1FEB" w:rsidRPr="00F57DDA" w:rsidRDefault="001D1FEB" w:rsidP="001D1FEB">
            <w:pPr>
              <w:rPr>
                <w:rFonts w:cs="Arial"/>
              </w:rPr>
            </w:pPr>
          </w:p>
        </w:tc>
        <w:tc>
          <w:tcPr>
            <w:tcW w:w="1660" w:type="dxa"/>
          </w:tcPr>
          <w:p w14:paraId="492ABAC2" w14:textId="77777777" w:rsidR="001D1FEB" w:rsidRPr="00F57DDA" w:rsidRDefault="001D1FEB" w:rsidP="001D1FEB">
            <w:pPr>
              <w:rPr>
                <w:rFonts w:cs="Arial"/>
              </w:rPr>
            </w:pPr>
          </w:p>
        </w:tc>
        <w:tc>
          <w:tcPr>
            <w:tcW w:w="1529" w:type="dxa"/>
            <w:vAlign w:val="center"/>
          </w:tcPr>
          <w:p w14:paraId="074B8896" w14:textId="37DE188B" w:rsidR="001D1FEB" w:rsidRPr="00F57DDA" w:rsidRDefault="001D1FEB" w:rsidP="001D1FEB">
            <w:pPr>
              <w:rPr>
                <w:rFonts w:cs="Arial"/>
              </w:rPr>
            </w:pPr>
            <w:r w:rsidRPr="00F57DDA">
              <w:rPr>
                <w:rFonts w:cs="Arial"/>
              </w:rPr>
              <w:t>нечести</w:t>
            </w:r>
          </w:p>
        </w:tc>
        <w:tc>
          <w:tcPr>
            <w:tcW w:w="1490" w:type="dxa"/>
          </w:tcPr>
          <w:p w14:paraId="77C38960" w14:textId="77777777" w:rsidR="001D1FEB" w:rsidRPr="00F57DDA" w:rsidRDefault="001D1FEB" w:rsidP="001D1FEB">
            <w:pPr>
              <w:rPr>
                <w:rFonts w:cs="Arial"/>
              </w:rPr>
            </w:pPr>
          </w:p>
        </w:tc>
        <w:tc>
          <w:tcPr>
            <w:tcW w:w="1429" w:type="dxa"/>
          </w:tcPr>
          <w:p w14:paraId="237A327F" w14:textId="77777777" w:rsidR="001D1FEB" w:rsidRPr="00F57DDA" w:rsidRDefault="001D1FEB" w:rsidP="001D1FEB">
            <w:pPr>
              <w:rPr>
                <w:rFonts w:cs="Arial"/>
              </w:rPr>
            </w:pPr>
          </w:p>
        </w:tc>
      </w:tr>
      <w:tr w:rsidR="001D1FEB" w14:paraId="7B32F8BE" w14:textId="77777777" w:rsidTr="001970E9">
        <w:tc>
          <w:tcPr>
            <w:tcW w:w="1978" w:type="dxa"/>
            <w:vAlign w:val="center"/>
          </w:tcPr>
          <w:p w14:paraId="0B820720" w14:textId="5E605267" w:rsidR="001D1FEB" w:rsidRPr="00F57DDA" w:rsidRDefault="001D1FEB" w:rsidP="001D1FEB">
            <w:pPr>
              <w:rPr>
                <w:rFonts w:cs="Arial"/>
              </w:rPr>
            </w:pPr>
            <w:r w:rsidRPr="00F57DDA">
              <w:rPr>
                <w:rFonts w:cs="Arial"/>
              </w:rPr>
              <w:t>кашлица</w:t>
            </w:r>
          </w:p>
        </w:tc>
        <w:tc>
          <w:tcPr>
            <w:tcW w:w="1490" w:type="dxa"/>
          </w:tcPr>
          <w:p w14:paraId="165803F6" w14:textId="77777777" w:rsidR="001D1FEB" w:rsidRPr="00F57DDA" w:rsidRDefault="001D1FEB" w:rsidP="001D1FEB">
            <w:pPr>
              <w:rPr>
                <w:rFonts w:cs="Arial"/>
              </w:rPr>
            </w:pPr>
          </w:p>
        </w:tc>
        <w:tc>
          <w:tcPr>
            <w:tcW w:w="1660" w:type="dxa"/>
          </w:tcPr>
          <w:p w14:paraId="499CA3B9" w14:textId="77777777" w:rsidR="001D1FEB" w:rsidRPr="00F57DDA" w:rsidRDefault="001D1FEB" w:rsidP="001D1FEB">
            <w:pPr>
              <w:rPr>
                <w:rFonts w:cs="Arial"/>
              </w:rPr>
            </w:pPr>
          </w:p>
        </w:tc>
        <w:tc>
          <w:tcPr>
            <w:tcW w:w="1529" w:type="dxa"/>
            <w:vAlign w:val="center"/>
          </w:tcPr>
          <w:p w14:paraId="1941C242" w14:textId="30462551" w:rsidR="001D1FEB" w:rsidRPr="00F57DDA" w:rsidRDefault="001D1FEB" w:rsidP="001D1FEB">
            <w:pPr>
              <w:rPr>
                <w:rFonts w:cs="Arial"/>
              </w:rPr>
            </w:pPr>
            <w:r w:rsidRPr="00F57DDA">
              <w:rPr>
                <w:rFonts w:cs="Arial"/>
              </w:rPr>
              <w:t>нечести</w:t>
            </w:r>
          </w:p>
        </w:tc>
        <w:tc>
          <w:tcPr>
            <w:tcW w:w="1490" w:type="dxa"/>
          </w:tcPr>
          <w:p w14:paraId="0AC60D7C" w14:textId="77777777" w:rsidR="001D1FEB" w:rsidRPr="00F57DDA" w:rsidRDefault="001D1FEB" w:rsidP="001D1FEB">
            <w:pPr>
              <w:rPr>
                <w:rFonts w:cs="Arial"/>
              </w:rPr>
            </w:pPr>
          </w:p>
        </w:tc>
        <w:tc>
          <w:tcPr>
            <w:tcW w:w="1429" w:type="dxa"/>
            <w:vAlign w:val="center"/>
          </w:tcPr>
          <w:p w14:paraId="6B0007AA" w14:textId="0E125D7C" w:rsidR="001D1FEB" w:rsidRPr="00F57DDA" w:rsidRDefault="001D1FEB" w:rsidP="001D1FEB">
            <w:pPr>
              <w:rPr>
                <w:rFonts w:cs="Arial"/>
              </w:rPr>
            </w:pPr>
            <w:r w:rsidRPr="00F57DDA">
              <w:rPr>
                <w:rFonts w:cs="Arial"/>
              </w:rPr>
              <w:t>с неизвестна честота</w:t>
            </w:r>
          </w:p>
        </w:tc>
      </w:tr>
      <w:tr w:rsidR="001D1FEB" w14:paraId="18B37F66" w14:textId="77777777" w:rsidTr="00F30584">
        <w:tc>
          <w:tcPr>
            <w:tcW w:w="9576" w:type="dxa"/>
            <w:gridSpan w:val="6"/>
          </w:tcPr>
          <w:p w14:paraId="6F5B32A9" w14:textId="35B8A3EE" w:rsidR="001D1FEB" w:rsidRPr="00F57DDA" w:rsidRDefault="001D1FEB" w:rsidP="0091385D">
            <w:pPr>
              <w:rPr>
                <w:rFonts w:cs="Arial"/>
              </w:rPr>
            </w:pPr>
            <w:r w:rsidRPr="00F57DDA">
              <w:rPr>
                <w:rFonts w:cs="Arial"/>
                <w:b/>
                <w:bCs/>
                <w:u w:val="single"/>
              </w:rPr>
              <w:t>Стомашно-чревни нарушения</w:t>
            </w:r>
          </w:p>
        </w:tc>
      </w:tr>
      <w:tr w:rsidR="001D1FEB" w14:paraId="167B8824" w14:textId="77777777" w:rsidTr="00B33699">
        <w:tc>
          <w:tcPr>
            <w:tcW w:w="1978" w:type="dxa"/>
            <w:vAlign w:val="bottom"/>
          </w:tcPr>
          <w:p w14:paraId="392B253A" w14:textId="4B63872C" w:rsidR="001D1FEB" w:rsidRPr="00F57DDA" w:rsidRDefault="001D1FEB" w:rsidP="001D1FEB">
            <w:pPr>
              <w:rPr>
                <w:rFonts w:cs="Arial"/>
              </w:rPr>
            </w:pPr>
            <w:r w:rsidRPr="00F57DDA">
              <w:rPr>
                <w:rFonts w:cs="Arial"/>
              </w:rPr>
              <w:t>коремна болка</w:t>
            </w:r>
          </w:p>
        </w:tc>
        <w:tc>
          <w:tcPr>
            <w:tcW w:w="1490" w:type="dxa"/>
            <w:vAlign w:val="center"/>
          </w:tcPr>
          <w:p w14:paraId="473FEC40" w14:textId="44458FC8" w:rsidR="001D1FEB" w:rsidRPr="00F57DDA" w:rsidRDefault="001D1FEB" w:rsidP="001D1FEB">
            <w:pPr>
              <w:rPr>
                <w:rFonts w:cs="Arial"/>
              </w:rPr>
            </w:pPr>
            <w:r w:rsidRPr="00F57DDA">
              <w:rPr>
                <w:rFonts w:cs="Arial"/>
              </w:rPr>
              <w:t>нечести</w:t>
            </w:r>
          </w:p>
        </w:tc>
        <w:tc>
          <w:tcPr>
            <w:tcW w:w="1660" w:type="dxa"/>
          </w:tcPr>
          <w:p w14:paraId="7A572658" w14:textId="77777777" w:rsidR="001D1FEB" w:rsidRPr="00F57DDA" w:rsidRDefault="001D1FEB" w:rsidP="001D1FEB">
            <w:pPr>
              <w:rPr>
                <w:rFonts w:cs="Arial"/>
              </w:rPr>
            </w:pPr>
          </w:p>
        </w:tc>
        <w:tc>
          <w:tcPr>
            <w:tcW w:w="1529" w:type="dxa"/>
          </w:tcPr>
          <w:p w14:paraId="7C66E8AA" w14:textId="77777777" w:rsidR="001D1FEB" w:rsidRPr="00F57DDA" w:rsidRDefault="001D1FEB" w:rsidP="001D1FEB">
            <w:pPr>
              <w:rPr>
                <w:rFonts w:cs="Arial"/>
              </w:rPr>
            </w:pPr>
          </w:p>
        </w:tc>
        <w:tc>
          <w:tcPr>
            <w:tcW w:w="1490" w:type="dxa"/>
          </w:tcPr>
          <w:p w14:paraId="12F8B4C7" w14:textId="77777777" w:rsidR="001D1FEB" w:rsidRPr="00F57DDA" w:rsidRDefault="001D1FEB" w:rsidP="001D1FEB">
            <w:pPr>
              <w:rPr>
                <w:rFonts w:cs="Arial"/>
              </w:rPr>
            </w:pPr>
          </w:p>
        </w:tc>
        <w:tc>
          <w:tcPr>
            <w:tcW w:w="1429" w:type="dxa"/>
          </w:tcPr>
          <w:p w14:paraId="6A3BE2E0" w14:textId="77777777" w:rsidR="001D1FEB" w:rsidRPr="00F57DDA" w:rsidRDefault="001D1FEB" w:rsidP="001D1FEB">
            <w:pPr>
              <w:rPr>
                <w:rFonts w:cs="Arial"/>
              </w:rPr>
            </w:pPr>
          </w:p>
        </w:tc>
      </w:tr>
      <w:tr w:rsidR="001D1FEB" w14:paraId="2D5DBC33" w14:textId="77777777" w:rsidTr="00B33699">
        <w:tc>
          <w:tcPr>
            <w:tcW w:w="1978" w:type="dxa"/>
            <w:vAlign w:val="bottom"/>
          </w:tcPr>
          <w:p w14:paraId="1C227B9C" w14:textId="3BA9BB9B" w:rsidR="001D1FEB" w:rsidRPr="00F57DDA" w:rsidRDefault="001D1FEB" w:rsidP="001D1FEB">
            <w:pPr>
              <w:rPr>
                <w:rFonts w:cs="Arial"/>
              </w:rPr>
            </w:pPr>
            <w:r w:rsidRPr="00F57DDA">
              <w:rPr>
                <w:rFonts w:cs="Arial"/>
              </w:rPr>
              <w:t>запек</w:t>
            </w:r>
          </w:p>
        </w:tc>
        <w:tc>
          <w:tcPr>
            <w:tcW w:w="1490" w:type="dxa"/>
            <w:vAlign w:val="bottom"/>
          </w:tcPr>
          <w:p w14:paraId="71ECE1CA" w14:textId="798EFBE0" w:rsidR="001D1FEB" w:rsidRPr="00F57DDA" w:rsidRDefault="001D1FEB" w:rsidP="001D1FEB">
            <w:pPr>
              <w:rPr>
                <w:rFonts w:cs="Arial"/>
              </w:rPr>
            </w:pPr>
            <w:r w:rsidRPr="00F57DDA">
              <w:rPr>
                <w:rFonts w:cs="Arial"/>
              </w:rPr>
              <w:t>нечести</w:t>
            </w:r>
          </w:p>
        </w:tc>
        <w:tc>
          <w:tcPr>
            <w:tcW w:w="1660" w:type="dxa"/>
          </w:tcPr>
          <w:p w14:paraId="279F0596" w14:textId="77777777" w:rsidR="001D1FEB" w:rsidRPr="00F57DDA" w:rsidRDefault="001D1FEB" w:rsidP="001D1FEB">
            <w:pPr>
              <w:rPr>
                <w:rFonts w:cs="Arial"/>
              </w:rPr>
            </w:pPr>
          </w:p>
        </w:tc>
        <w:tc>
          <w:tcPr>
            <w:tcW w:w="1529" w:type="dxa"/>
          </w:tcPr>
          <w:p w14:paraId="1AA60112" w14:textId="77777777" w:rsidR="001D1FEB" w:rsidRPr="00F57DDA" w:rsidRDefault="001D1FEB" w:rsidP="001D1FEB">
            <w:pPr>
              <w:rPr>
                <w:rFonts w:cs="Arial"/>
              </w:rPr>
            </w:pPr>
          </w:p>
        </w:tc>
        <w:tc>
          <w:tcPr>
            <w:tcW w:w="1490" w:type="dxa"/>
          </w:tcPr>
          <w:p w14:paraId="6D83BE24" w14:textId="77777777" w:rsidR="001D1FEB" w:rsidRPr="00F57DDA" w:rsidRDefault="001D1FEB" w:rsidP="001D1FEB">
            <w:pPr>
              <w:rPr>
                <w:rFonts w:cs="Arial"/>
              </w:rPr>
            </w:pPr>
          </w:p>
        </w:tc>
        <w:tc>
          <w:tcPr>
            <w:tcW w:w="1429" w:type="dxa"/>
          </w:tcPr>
          <w:p w14:paraId="72226A87" w14:textId="77777777" w:rsidR="001D1FEB" w:rsidRPr="00F57DDA" w:rsidRDefault="001D1FEB" w:rsidP="001D1FEB">
            <w:pPr>
              <w:rPr>
                <w:rFonts w:cs="Arial"/>
              </w:rPr>
            </w:pPr>
          </w:p>
        </w:tc>
      </w:tr>
      <w:tr w:rsidR="001D1FEB" w14:paraId="7442EE49" w14:textId="77777777" w:rsidTr="00B33699">
        <w:tc>
          <w:tcPr>
            <w:tcW w:w="1978" w:type="dxa"/>
            <w:vAlign w:val="center"/>
          </w:tcPr>
          <w:p w14:paraId="0009AD73" w14:textId="7D61C705" w:rsidR="001D1FEB" w:rsidRPr="00F57DDA" w:rsidRDefault="001D1FEB" w:rsidP="001D1FEB">
            <w:pPr>
              <w:rPr>
                <w:rFonts w:cs="Arial"/>
              </w:rPr>
            </w:pPr>
            <w:r w:rsidRPr="00F57DDA">
              <w:rPr>
                <w:rFonts w:cs="Arial"/>
              </w:rPr>
              <w:t>диария</w:t>
            </w:r>
          </w:p>
        </w:tc>
        <w:tc>
          <w:tcPr>
            <w:tcW w:w="1490" w:type="dxa"/>
          </w:tcPr>
          <w:p w14:paraId="0E4FBBBE" w14:textId="77777777" w:rsidR="001D1FEB" w:rsidRPr="00F57DDA" w:rsidRDefault="001D1FEB" w:rsidP="001D1FEB">
            <w:pPr>
              <w:rPr>
                <w:rFonts w:cs="Arial"/>
              </w:rPr>
            </w:pPr>
          </w:p>
        </w:tc>
        <w:tc>
          <w:tcPr>
            <w:tcW w:w="1660" w:type="dxa"/>
          </w:tcPr>
          <w:p w14:paraId="23E22CE3" w14:textId="77777777" w:rsidR="001D1FEB" w:rsidRPr="00F57DDA" w:rsidRDefault="001D1FEB" w:rsidP="001D1FEB">
            <w:pPr>
              <w:rPr>
                <w:rFonts w:cs="Arial"/>
              </w:rPr>
            </w:pPr>
          </w:p>
        </w:tc>
        <w:tc>
          <w:tcPr>
            <w:tcW w:w="1529" w:type="dxa"/>
            <w:vAlign w:val="center"/>
          </w:tcPr>
          <w:p w14:paraId="36E0BED3" w14:textId="2B1CF464" w:rsidR="001D1FEB" w:rsidRPr="00F57DDA" w:rsidRDefault="001D1FEB" w:rsidP="001D1FEB">
            <w:pPr>
              <w:rPr>
                <w:rFonts w:cs="Arial"/>
              </w:rPr>
            </w:pPr>
            <w:r w:rsidRPr="00F57DDA">
              <w:rPr>
                <w:rFonts w:cs="Arial"/>
              </w:rPr>
              <w:t>нечести</w:t>
            </w:r>
          </w:p>
        </w:tc>
        <w:tc>
          <w:tcPr>
            <w:tcW w:w="1490" w:type="dxa"/>
          </w:tcPr>
          <w:p w14:paraId="67057B6B" w14:textId="77777777" w:rsidR="001D1FEB" w:rsidRPr="00F57DDA" w:rsidRDefault="001D1FEB" w:rsidP="001D1FEB">
            <w:pPr>
              <w:rPr>
                <w:rFonts w:cs="Arial"/>
              </w:rPr>
            </w:pPr>
          </w:p>
        </w:tc>
        <w:tc>
          <w:tcPr>
            <w:tcW w:w="1429" w:type="dxa"/>
            <w:vAlign w:val="center"/>
          </w:tcPr>
          <w:p w14:paraId="585C9EBF" w14:textId="10D8779F" w:rsidR="001D1FEB" w:rsidRPr="00F57DDA" w:rsidRDefault="001D1FEB" w:rsidP="001D1FEB">
            <w:pPr>
              <w:rPr>
                <w:rFonts w:cs="Arial"/>
              </w:rPr>
            </w:pPr>
            <w:r w:rsidRPr="00F57DDA">
              <w:rPr>
                <w:rFonts w:cs="Arial"/>
              </w:rPr>
              <w:t>с неизвестна честота</w:t>
            </w:r>
          </w:p>
        </w:tc>
      </w:tr>
      <w:tr w:rsidR="001D1FEB" w14:paraId="25046B9E" w14:textId="77777777" w:rsidTr="00B33699">
        <w:tc>
          <w:tcPr>
            <w:tcW w:w="1978" w:type="dxa"/>
            <w:vAlign w:val="bottom"/>
          </w:tcPr>
          <w:p w14:paraId="46BC4BBF" w14:textId="5B71D9B0" w:rsidR="001D1FEB" w:rsidRPr="00F57DDA" w:rsidRDefault="001D1FEB" w:rsidP="001D1FEB">
            <w:pPr>
              <w:rPr>
                <w:rFonts w:cs="Arial"/>
              </w:rPr>
            </w:pPr>
            <w:r w:rsidRPr="00F57DDA">
              <w:rPr>
                <w:rFonts w:cs="Arial"/>
              </w:rPr>
              <w:t>гадене</w:t>
            </w:r>
          </w:p>
        </w:tc>
        <w:tc>
          <w:tcPr>
            <w:tcW w:w="1490" w:type="dxa"/>
          </w:tcPr>
          <w:p w14:paraId="40B2C783" w14:textId="77777777" w:rsidR="001D1FEB" w:rsidRPr="00F57DDA" w:rsidRDefault="001D1FEB" w:rsidP="001D1FEB">
            <w:pPr>
              <w:rPr>
                <w:rFonts w:cs="Arial"/>
              </w:rPr>
            </w:pPr>
          </w:p>
        </w:tc>
        <w:tc>
          <w:tcPr>
            <w:tcW w:w="1660" w:type="dxa"/>
          </w:tcPr>
          <w:p w14:paraId="259CC05D" w14:textId="77777777" w:rsidR="001D1FEB" w:rsidRPr="00F57DDA" w:rsidRDefault="001D1FEB" w:rsidP="001D1FEB">
            <w:pPr>
              <w:rPr>
                <w:rFonts w:cs="Arial"/>
              </w:rPr>
            </w:pPr>
          </w:p>
        </w:tc>
        <w:tc>
          <w:tcPr>
            <w:tcW w:w="1529" w:type="dxa"/>
            <w:vAlign w:val="bottom"/>
          </w:tcPr>
          <w:p w14:paraId="098C661D" w14:textId="39B9275B" w:rsidR="001D1FEB" w:rsidRPr="00F57DDA" w:rsidRDefault="001D1FEB" w:rsidP="001D1FEB">
            <w:pPr>
              <w:rPr>
                <w:rFonts w:cs="Arial"/>
              </w:rPr>
            </w:pPr>
            <w:r w:rsidRPr="00F57DDA">
              <w:rPr>
                <w:rFonts w:cs="Arial"/>
              </w:rPr>
              <w:t>нечести</w:t>
            </w:r>
          </w:p>
        </w:tc>
        <w:tc>
          <w:tcPr>
            <w:tcW w:w="1490" w:type="dxa"/>
          </w:tcPr>
          <w:p w14:paraId="6A360E18" w14:textId="77777777" w:rsidR="001D1FEB" w:rsidRPr="00F57DDA" w:rsidRDefault="001D1FEB" w:rsidP="001D1FEB">
            <w:pPr>
              <w:rPr>
                <w:rFonts w:cs="Arial"/>
              </w:rPr>
            </w:pPr>
          </w:p>
        </w:tc>
        <w:tc>
          <w:tcPr>
            <w:tcW w:w="1429" w:type="dxa"/>
          </w:tcPr>
          <w:p w14:paraId="36C7AB53" w14:textId="77777777" w:rsidR="001D1FEB" w:rsidRPr="00F57DDA" w:rsidRDefault="001D1FEB" w:rsidP="001D1FEB">
            <w:pPr>
              <w:rPr>
                <w:rFonts w:cs="Arial"/>
              </w:rPr>
            </w:pPr>
          </w:p>
        </w:tc>
      </w:tr>
      <w:tr w:rsidR="001D1FEB" w14:paraId="2FDAB06C" w14:textId="77777777" w:rsidTr="00B33699">
        <w:tc>
          <w:tcPr>
            <w:tcW w:w="1978" w:type="dxa"/>
            <w:vAlign w:val="bottom"/>
          </w:tcPr>
          <w:p w14:paraId="35A1456B" w14:textId="0F278F8D" w:rsidR="001D1FEB" w:rsidRPr="00F57DDA" w:rsidRDefault="001D1FEB" w:rsidP="001D1FEB">
            <w:pPr>
              <w:rPr>
                <w:rFonts w:cs="Arial"/>
              </w:rPr>
            </w:pPr>
            <w:r w:rsidRPr="00F57DDA">
              <w:rPr>
                <w:rFonts w:cs="Arial"/>
              </w:rPr>
              <w:t>повръщане</w:t>
            </w:r>
          </w:p>
        </w:tc>
        <w:tc>
          <w:tcPr>
            <w:tcW w:w="1490" w:type="dxa"/>
          </w:tcPr>
          <w:p w14:paraId="06F0FC7B" w14:textId="77777777" w:rsidR="001D1FEB" w:rsidRPr="00F57DDA" w:rsidRDefault="001D1FEB" w:rsidP="001D1FEB">
            <w:pPr>
              <w:rPr>
                <w:rFonts w:cs="Arial"/>
              </w:rPr>
            </w:pPr>
          </w:p>
        </w:tc>
        <w:tc>
          <w:tcPr>
            <w:tcW w:w="1660" w:type="dxa"/>
          </w:tcPr>
          <w:p w14:paraId="6612AFA8" w14:textId="77777777" w:rsidR="001D1FEB" w:rsidRPr="00F57DDA" w:rsidRDefault="001D1FEB" w:rsidP="001D1FEB">
            <w:pPr>
              <w:rPr>
                <w:rFonts w:cs="Arial"/>
              </w:rPr>
            </w:pPr>
          </w:p>
        </w:tc>
        <w:tc>
          <w:tcPr>
            <w:tcW w:w="1529" w:type="dxa"/>
            <w:vAlign w:val="bottom"/>
          </w:tcPr>
          <w:p w14:paraId="75E9A9FA" w14:textId="7BBABE41" w:rsidR="001D1FEB" w:rsidRPr="00F57DDA" w:rsidRDefault="001D1FEB" w:rsidP="001D1FEB">
            <w:pPr>
              <w:rPr>
                <w:rFonts w:cs="Arial"/>
              </w:rPr>
            </w:pPr>
            <w:r w:rsidRPr="00F57DDA">
              <w:rPr>
                <w:rFonts w:cs="Arial"/>
              </w:rPr>
              <w:t>нечести</w:t>
            </w:r>
          </w:p>
        </w:tc>
        <w:tc>
          <w:tcPr>
            <w:tcW w:w="1490" w:type="dxa"/>
          </w:tcPr>
          <w:p w14:paraId="202AD5E1" w14:textId="77777777" w:rsidR="001D1FEB" w:rsidRPr="00F57DDA" w:rsidRDefault="001D1FEB" w:rsidP="001D1FEB">
            <w:pPr>
              <w:rPr>
                <w:rFonts w:cs="Arial"/>
              </w:rPr>
            </w:pPr>
          </w:p>
        </w:tc>
        <w:tc>
          <w:tcPr>
            <w:tcW w:w="1429" w:type="dxa"/>
          </w:tcPr>
          <w:p w14:paraId="265BEE88" w14:textId="77777777" w:rsidR="001D1FEB" w:rsidRPr="00F57DDA" w:rsidRDefault="001D1FEB" w:rsidP="001D1FEB">
            <w:pPr>
              <w:rPr>
                <w:rFonts w:cs="Arial"/>
              </w:rPr>
            </w:pPr>
          </w:p>
        </w:tc>
      </w:tr>
      <w:tr w:rsidR="001D1FEB" w14:paraId="4DA86928" w14:textId="77777777" w:rsidTr="00CA7AC7">
        <w:tc>
          <w:tcPr>
            <w:tcW w:w="9576" w:type="dxa"/>
            <w:gridSpan w:val="6"/>
          </w:tcPr>
          <w:p w14:paraId="0EA0E61C" w14:textId="60B883A1" w:rsidR="001D1FEB" w:rsidRPr="00F57DDA" w:rsidRDefault="001D1FEB" w:rsidP="0091385D">
            <w:pPr>
              <w:rPr>
                <w:rFonts w:cs="Arial"/>
              </w:rPr>
            </w:pPr>
            <w:r w:rsidRPr="00F57DDA">
              <w:rPr>
                <w:rFonts w:cs="Arial"/>
                <w:b/>
                <w:bCs/>
                <w:u w:val="single"/>
              </w:rPr>
              <w:t>Хепато-билиарни нарушения</w:t>
            </w:r>
          </w:p>
        </w:tc>
      </w:tr>
      <w:tr w:rsidR="001D1FEB" w14:paraId="10DF52CB" w14:textId="77777777" w:rsidTr="008B2C7B">
        <w:tc>
          <w:tcPr>
            <w:tcW w:w="1978" w:type="dxa"/>
            <w:vAlign w:val="center"/>
          </w:tcPr>
          <w:p w14:paraId="50D70B15" w14:textId="347B07E5" w:rsidR="001D1FEB" w:rsidRPr="00F57DDA" w:rsidRDefault="001D1FEB" w:rsidP="001D1FEB">
            <w:pPr>
              <w:rPr>
                <w:rFonts w:cs="Arial"/>
              </w:rPr>
            </w:pPr>
            <w:r w:rsidRPr="00F57DDA">
              <w:rPr>
                <w:rFonts w:cs="Arial"/>
              </w:rPr>
              <w:t>панкреатит</w:t>
            </w:r>
          </w:p>
        </w:tc>
        <w:tc>
          <w:tcPr>
            <w:tcW w:w="1490" w:type="dxa"/>
          </w:tcPr>
          <w:p w14:paraId="64D0FF84" w14:textId="77777777" w:rsidR="001D1FEB" w:rsidRPr="00F57DDA" w:rsidRDefault="001D1FEB" w:rsidP="001D1FEB">
            <w:pPr>
              <w:rPr>
                <w:rFonts w:cs="Arial"/>
              </w:rPr>
            </w:pPr>
          </w:p>
        </w:tc>
        <w:tc>
          <w:tcPr>
            <w:tcW w:w="1660" w:type="dxa"/>
          </w:tcPr>
          <w:p w14:paraId="40E75175" w14:textId="77777777" w:rsidR="001D1FEB" w:rsidRPr="00F57DDA" w:rsidRDefault="001D1FEB" w:rsidP="001D1FEB">
            <w:pPr>
              <w:rPr>
                <w:rFonts w:cs="Arial"/>
              </w:rPr>
            </w:pPr>
          </w:p>
        </w:tc>
        <w:tc>
          <w:tcPr>
            <w:tcW w:w="1529" w:type="dxa"/>
          </w:tcPr>
          <w:p w14:paraId="052CBB91" w14:textId="77777777" w:rsidR="001D1FEB" w:rsidRPr="00F57DDA" w:rsidRDefault="001D1FEB" w:rsidP="001D1FEB">
            <w:pPr>
              <w:rPr>
                <w:rFonts w:cs="Arial"/>
              </w:rPr>
            </w:pPr>
          </w:p>
        </w:tc>
        <w:tc>
          <w:tcPr>
            <w:tcW w:w="1490" w:type="dxa"/>
          </w:tcPr>
          <w:p w14:paraId="202456C9" w14:textId="77777777" w:rsidR="001D1FEB" w:rsidRPr="00F57DDA" w:rsidRDefault="001D1FEB" w:rsidP="001D1FEB">
            <w:pPr>
              <w:rPr>
                <w:rFonts w:cs="Arial"/>
              </w:rPr>
            </w:pPr>
          </w:p>
        </w:tc>
        <w:tc>
          <w:tcPr>
            <w:tcW w:w="1429" w:type="dxa"/>
            <w:vAlign w:val="bottom"/>
          </w:tcPr>
          <w:p w14:paraId="2D221DD5" w14:textId="6EEAB2E2" w:rsidR="001D1FEB" w:rsidRPr="00F57DDA" w:rsidRDefault="001D1FEB" w:rsidP="001D1FEB">
            <w:pPr>
              <w:rPr>
                <w:rFonts w:cs="Arial"/>
              </w:rPr>
            </w:pPr>
            <w:r w:rsidRPr="00F57DDA">
              <w:rPr>
                <w:rFonts w:cs="Arial"/>
              </w:rPr>
              <w:t>с неизвестна честота</w:t>
            </w:r>
          </w:p>
        </w:tc>
      </w:tr>
      <w:tr w:rsidR="001D1FEB" w14:paraId="1DDEA044" w14:textId="77777777" w:rsidTr="008B2C7B">
        <w:tc>
          <w:tcPr>
            <w:tcW w:w="1978" w:type="dxa"/>
            <w:vAlign w:val="bottom"/>
          </w:tcPr>
          <w:p w14:paraId="6277E420" w14:textId="3CDD6803" w:rsidR="001D1FEB" w:rsidRPr="00F57DDA" w:rsidRDefault="001D1FEB" w:rsidP="001D1FEB">
            <w:pPr>
              <w:rPr>
                <w:rFonts w:cs="Arial"/>
              </w:rPr>
            </w:pPr>
            <w:r w:rsidRPr="00F57DDA">
              <w:rPr>
                <w:rFonts w:cs="Arial"/>
              </w:rPr>
              <w:t>хепатит</w:t>
            </w:r>
          </w:p>
        </w:tc>
        <w:tc>
          <w:tcPr>
            <w:tcW w:w="1490" w:type="dxa"/>
          </w:tcPr>
          <w:p w14:paraId="2C778A2D" w14:textId="77777777" w:rsidR="001D1FEB" w:rsidRPr="00F57DDA" w:rsidRDefault="001D1FEB" w:rsidP="001D1FEB">
            <w:pPr>
              <w:rPr>
                <w:rFonts w:cs="Arial"/>
              </w:rPr>
            </w:pPr>
          </w:p>
        </w:tc>
        <w:tc>
          <w:tcPr>
            <w:tcW w:w="1660" w:type="dxa"/>
          </w:tcPr>
          <w:p w14:paraId="00FC9F11" w14:textId="77777777" w:rsidR="001D1FEB" w:rsidRPr="00F57DDA" w:rsidRDefault="001D1FEB" w:rsidP="001D1FEB">
            <w:pPr>
              <w:rPr>
                <w:rFonts w:cs="Arial"/>
              </w:rPr>
            </w:pPr>
          </w:p>
        </w:tc>
        <w:tc>
          <w:tcPr>
            <w:tcW w:w="1529" w:type="dxa"/>
          </w:tcPr>
          <w:p w14:paraId="766F03EC" w14:textId="77777777" w:rsidR="001D1FEB" w:rsidRPr="00F57DDA" w:rsidRDefault="001D1FEB" w:rsidP="001D1FEB">
            <w:pPr>
              <w:rPr>
                <w:rFonts w:cs="Arial"/>
              </w:rPr>
            </w:pPr>
          </w:p>
        </w:tc>
        <w:tc>
          <w:tcPr>
            <w:tcW w:w="1490" w:type="dxa"/>
          </w:tcPr>
          <w:p w14:paraId="1BF67025" w14:textId="77777777" w:rsidR="001D1FEB" w:rsidRPr="00F57DDA" w:rsidRDefault="001D1FEB" w:rsidP="001D1FEB">
            <w:pPr>
              <w:rPr>
                <w:rFonts w:cs="Arial"/>
              </w:rPr>
            </w:pPr>
          </w:p>
        </w:tc>
        <w:tc>
          <w:tcPr>
            <w:tcW w:w="1429" w:type="dxa"/>
            <w:vAlign w:val="bottom"/>
          </w:tcPr>
          <w:p w14:paraId="583900C0" w14:textId="14EC01C0" w:rsidR="001D1FEB" w:rsidRPr="00F57DDA" w:rsidRDefault="001D1FEB" w:rsidP="001D1FEB">
            <w:pPr>
              <w:rPr>
                <w:rFonts w:cs="Arial"/>
              </w:rPr>
            </w:pPr>
            <w:r w:rsidRPr="00F57DDA">
              <w:rPr>
                <w:rFonts w:cs="Arial"/>
              </w:rPr>
              <w:t>редки</w:t>
            </w:r>
          </w:p>
        </w:tc>
      </w:tr>
      <w:tr w:rsidR="001D1FEB" w14:paraId="58C37929" w14:textId="77777777" w:rsidTr="008B2C7B">
        <w:tc>
          <w:tcPr>
            <w:tcW w:w="1978" w:type="dxa"/>
            <w:vAlign w:val="bottom"/>
          </w:tcPr>
          <w:p w14:paraId="00B7145E" w14:textId="3D0BE13E" w:rsidR="001D1FEB" w:rsidRPr="00F57DDA" w:rsidRDefault="001D1FEB" w:rsidP="001D1FEB">
            <w:pPr>
              <w:rPr>
                <w:rFonts w:cs="Arial"/>
              </w:rPr>
            </w:pPr>
            <w:r w:rsidRPr="00F57DDA">
              <w:rPr>
                <w:rFonts w:cs="Arial"/>
              </w:rPr>
              <w:t>нарушения в чернодроб</w:t>
            </w:r>
            <w:r w:rsidRPr="00F57DDA">
              <w:rPr>
                <w:rFonts w:cs="Arial"/>
              </w:rPr>
              <w:softHyphen/>
              <w:t xml:space="preserve">ната </w:t>
            </w:r>
            <w:r w:rsidRPr="00F57DDA">
              <w:rPr>
                <w:rFonts w:cs="Arial"/>
              </w:rPr>
              <w:lastRenderedPageBreak/>
              <w:t>функция</w:t>
            </w:r>
          </w:p>
        </w:tc>
        <w:tc>
          <w:tcPr>
            <w:tcW w:w="1490" w:type="dxa"/>
          </w:tcPr>
          <w:p w14:paraId="0A950E74" w14:textId="77777777" w:rsidR="001D1FEB" w:rsidRPr="00F57DDA" w:rsidRDefault="001D1FEB" w:rsidP="001D1FEB">
            <w:pPr>
              <w:rPr>
                <w:rFonts w:cs="Arial"/>
              </w:rPr>
            </w:pPr>
          </w:p>
        </w:tc>
        <w:tc>
          <w:tcPr>
            <w:tcW w:w="1660" w:type="dxa"/>
          </w:tcPr>
          <w:p w14:paraId="13582361" w14:textId="77777777" w:rsidR="001D1FEB" w:rsidRPr="00F57DDA" w:rsidRDefault="001D1FEB" w:rsidP="001D1FEB">
            <w:pPr>
              <w:rPr>
                <w:rFonts w:cs="Arial"/>
              </w:rPr>
            </w:pPr>
          </w:p>
        </w:tc>
        <w:tc>
          <w:tcPr>
            <w:tcW w:w="1529" w:type="dxa"/>
          </w:tcPr>
          <w:p w14:paraId="3751F7CC" w14:textId="77777777" w:rsidR="001D1FEB" w:rsidRPr="00F57DDA" w:rsidRDefault="001D1FEB" w:rsidP="001D1FEB">
            <w:pPr>
              <w:rPr>
                <w:rFonts w:cs="Arial"/>
              </w:rPr>
            </w:pPr>
          </w:p>
        </w:tc>
        <w:tc>
          <w:tcPr>
            <w:tcW w:w="1490" w:type="dxa"/>
          </w:tcPr>
          <w:p w14:paraId="5E9C2E1A" w14:textId="77777777" w:rsidR="001D1FEB" w:rsidRPr="00F57DDA" w:rsidRDefault="001D1FEB" w:rsidP="001D1FEB">
            <w:pPr>
              <w:rPr>
                <w:rFonts w:cs="Arial"/>
              </w:rPr>
            </w:pPr>
          </w:p>
        </w:tc>
        <w:tc>
          <w:tcPr>
            <w:tcW w:w="1429" w:type="dxa"/>
          </w:tcPr>
          <w:p w14:paraId="28A18DA3" w14:textId="0BCCCDBC" w:rsidR="001D1FEB" w:rsidRPr="00F57DDA" w:rsidRDefault="001D1FEB" w:rsidP="001D1FEB">
            <w:pPr>
              <w:rPr>
                <w:rFonts w:cs="Arial"/>
              </w:rPr>
            </w:pPr>
            <w:r w:rsidRPr="00F57DDA">
              <w:rPr>
                <w:rFonts w:cs="Arial"/>
              </w:rPr>
              <w:t xml:space="preserve">с неизвестна </w:t>
            </w:r>
            <w:r w:rsidRPr="00F57DDA">
              <w:rPr>
                <w:rFonts w:cs="Arial"/>
              </w:rPr>
              <w:lastRenderedPageBreak/>
              <w:t>честота</w:t>
            </w:r>
          </w:p>
        </w:tc>
      </w:tr>
      <w:tr w:rsidR="001D1FEB" w14:paraId="41DBDBA1" w14:textId="77777777" w:rsidTr="005D4F1D">
        <w:tc>
          <w:tcPr>
            <w:tcW w:w="9576" w:type="dxa"/>
            <w:gridSpan w:val="6"/>
          </w:tcPr>
          <w:p w14:paraId="22C6DB68" w14:textId="44979670" w:rsidR="001D1FEB" w:rsidRPr="00F57DDA" w:rsidRDefault="001D1FEB" w:rsidP="0091385D">
            <w:pPr>
              <w:rPr>
                <w:rFonts w:cs="Arial"/>
              </w:rPr>
            </w:pPr>
            <w:r w:rsidRPr="00F57DDA">
              <w:rPr>
                <w:rFonts w:cs="Arial"/>
                <w:b/>
                <w:bCs/>
                <w:u w:val="single"/>
              </w:rPr>
              <w:lastRenderedPageBreak/>
              <w:t>Нарушения на кожата и подкожната тъкан</w:t>
            </w:r>
          </w:p>
        </w:tc>
      </w:tr>
      <w:tr w:rsidR="001D1FEB" w14:paraId="7D76AE5B" w14:textId="77777777" w:rsidTr="00060350">
        <w:tc>
          <w:tcPr>
            <w:tcW w:w="1978" w:type="dxa"/>
          </w:tcPr>
          <w:p w14:paraId="2A8587D5" w14:textId="45BC167C" w:rsidR="001D1FEB" w:rsidRPr="00F57DDA" w:rsidRDefault="001D1FEB" w:rsidP="001D1FEB">
            <w:pPr>
              <w:rPr>
                <w:rFonts w:cs="Arial"/>
              </w:rPr>
            </w:pPr>
            <w:r w:rsidRPr="00F57DDA">
              <w:rPr>
                <w:rFonts w:cs="Arial"/>
              </w:rPr>
              <w:t>— уртикария</w:t>
            </w:r>
          </w:p>
        </w:tc>
        <w:tc>
          <w:tcPr>
            <w:tcW w:w="1490" w:type="dxa"/>
          </w:tcPr>
          <w:p w14:paraId="5FB8AFC6" w14:textId="77777777" w:rsidR="001D1FEB" w:rsidRPr="00F57DDA" w:rsidRDefault="001D1FEB" w:rsidP="001D1FEB">
            <w:pPr>
              <w:rPr>
                <w:rFonts w:cs="Arial"/>
              </w:rPr>
            </w:pPr>
          </w:p>
        </w:tc>
        <w:tc>
          <w:tcPr>
            <w:tcW w:w="1660" w:type="dxa"/>
          </w:tcPr>
          <w:p w14:paraId="4B3C1E03" w14:textId="77777777" w:rsidR="001D1FEB" w:rsidRPr="00F57DDA" w:rsidRDefault="001D1FEB" w:rsidP="001D1FEB">
            <w:pPr>
              <w:rPr>
                <w:rFonts w:cs="Arial"/>
              </w:rPr>
            </w:pPr>
          </w:p>
        </w:tc>
        <w:tc>
          <w:tcPr>
            <w:tcW w:w="1529" w:type="dxa"/>
            <w:vAlign w:val="center"/>
          </w:tcPr>
          <w:p w14:paraId="5C58462F" w14:textId="5BB778F3" w:rsidR="001D1FEB" w:rsidRPr="00F57DDA" w:rsidRDefault="001D1FEB" w:rsidP="001D1FEB">
            <w:pPr>
              <w:rPr>
                <w:rFonts w:cs="Arial"/>
              </w:rPr>
            </w:pPr>
            <w:r w:rsidRPr="00F57DDA">
              <w:rPr>
                <w:rFonts w:cs="Arial"/>
              </w:rPr>
              <w:t>нечести</w:t>
            </w:r>
          </w:p>
        </w:tc>
        <w:tc>
          <w:tcPr>
            <w:tcW w:w="1490" w:type="dxa"/>
          </w:tcPr>
          <w:p w14:paraId="418964E5" w14:textId="77777777" w:rsidR="001D1FEB" w:rsidRPr="00F57DDA" w:rsidRDefault="001D1FEB" w:rsidP="001D1FEB">
            <w:pPr>
              <w:rPr>
                <w:rFonts w:cs="Arial"/>
              </w:rPr>
            </w:pPr>
          </w:p>
        </w:tc>
        <w:tc>
          <w:tcPr>
            <w:tcW w:w="1429" w:type="dxa"/>
            <w:vAlign w:val="center"/>
          </w:tcPr>
          <w:p w14:paraId="4EF08DA4" w14:textId="28A7F452" w:rsidR="001D1FEB" w:rsidRPr="00F57DDA" w:rsidRDefault="001D1FEB" w:rsidP="001D1FEB">
            <w:pPr>
              <w:rPr>
                <w:rFonts w:cs="Arial"/>
              </w:rPr>
            </w:pPr>
            <w:r w:rsidRPr="00F57DDA">
              <w:rPr>
                <w:rFonts w:cs="Arial"/>
              </w:rPr>
              <w:t>с неизвестна честота</w:t>
            </w:r>
          </w:p>
        </w:tc>
      </w:tr>
      <w:tr w:rsidR="001D1FEB" w14:paraId="2F047309" w14:textId="77777777" w:rsidTr="00060350">
        <w:tc>
          <w:tcPr>
            <w:tcW w:w="1978" w:type="dxa"/>
            <w:vAlign w:val="center"/>
          </w:tcPr>
          <w:p w14:paraId="4D0BDAD5" w14:textId="4E54B2CC" w:rsidR="001D1FEB" w:rsidRPr="00F57DDA" w:rsidRDefault="001D1FEB" w:rsidP="001D1FEB">
            <w:pPr>
              <w:rPr>
                <w:rFonts w:cs="Arial"/>
              </w:rPr>
            </w:pPr>
            <w:r w:rsidRPr="00F57DDA">
              <w:rPr>
                <w:rFonts w:cs="Arial"/>
              </w:rPr>
              <w:t>сърбеж</w:t>
            </w:r>
          </w:p>
        </w:tc>
        <w:tc>
          <w:tcPr>
            <w:tcW w:w="1490" w:type="dxa"/>
          </w:tcPr>
          <w:p w14:paraId="5AD70E4B" w14:textId="77777777" w:rsidR="001D1FEB" w:rsidRPr="00F57DDA" w:rsidRDefault="001D1FEB" w:rsidP="001D1FEB">
            <w:pPr>
              <w:rPr>
                <w:rFonts w:cs="Arial"/>
              </w:rPr>
            </w:pPr>
          </w:p>
        </w:tc>
        <w:tc>
          <w:tcPr>
            <w:tcW w:w="1660" w:type="dxa"/>
          </w:tcPr>
          <w:p w14:paraId="074C4930" w14:textId="77777777" w:rsidR="001D1FEB" w:rsidRPr="00F57DDA" w:rsidRDefault="001D1FEB" w:rsidP="001D1FEB">
            <w:pPr>
              <w:rPr>
                <w:rFonts w:cs="Arial"/>
              </w:rPr>
            </w:pPr>
          </w:p>
        </w:tc>
        <w:tc>
          <w:tcPr>
            <w:tcW w:w="1529" w:type="dxa"/>
            <w:vAlign w:val="center"/>
          </w:tcPr>
          <w:p w14:paraId="14A0662B" w14:textId="225C211D" w:rsidR="001D1FEB" w:rsidRPr="00F57DDA" w:rsidRDefault="001D1FEB" w:rsidP="001D1FEB">
            <w:pPr>
              <w:rPr>
                <w:rFonts w:cs="Arial"/>
              </w:rPr>
            </w:pPr>
            <w:r w:rsidRPr="00F57DDA">
              <w:rPr>
                <w:rFonts w:cs="Arial"/>
              </w:rPr>
              <w:t>нечести</w:t>
            </w:r>
          </w:p>
        </w:tc>
        <w:tc>
          <w:tcPr>
            <w:tcW w:w="1490" w:type="dxa"/>
          </w:tcPr>
          <w:p w14:paraId="687C4E25" w14:textId="77777777" w:rsidR="001D1FEB" w:rsidRPr="00F57DDA" w:rsidRDefault="001D1FEB" w:rsidP="001D1FEB">
            <w:pPr>
              <w:rPr>
                <w:rFonts w:cs="Arial"/>
              </w:rPr>
            </w:pPr>
          </w:p>
        </w:tc>
        <w:tc>
          <w:tcPr>
            <w:tcW w:w="1429" w:type="dxa"/>
            <w:vAlign w:val="bottom"/>
          </w:tcPr>
          <w:p w14:paraId="03CEC912" w14:textId="436F29AE" w:rsidR="001D1FEB" w:rsidRPr="00F57DDA" w:rsidRDefault="001D1FEB" w:rsidP="001D1FEB">
            <w:pPr>
              <w:rPr>
                <w:rFonts w:cs="Arial"/>
              </w:rPr>
            </w:pPr>
            <w:r w:rsidRPr="00F57DDA">
              <w:rPr>
                <w:rFonts w:cs="Arial"/>
                <w:b/>
                <w:bCs/>
                <w:i/>
                <w:iCs/>
              </w:rPr>
              <w:t>\</w:t>
            </w:r>
          </w:p>
        </w:tc>
      </w:tr>
      <w:tr w:rsidR="001D1FEB" w14:paraId="746D4B49" w14:textId="77777777" w:rsidTr="00060350">
        <w:tc>
          <w:tcPr>
            <w:tcW w:w="1978" w:type="dxa"/>
            <w:vAlign w:val="center"/>
          </w:tcPr>
          <w:p w14:paraId="58BDDC49" w14:textId="1A9ED161" w:rsidR="001D1FEB" w:rsidRPr="00F57DDA" w:rsidRDefault="001D1FEB" w:rsidP="001D1FEB">
            <w:pPr>
              <w:rPr>
                <w:rFonts w:cs="Arial"/>
              </w:rPr>
            </w:pPr>
            <w:r w:rsidRPr="00F57DDA">
              <w:rPr>
                <w:rFonts w:cs="Arial"/>
              </w:rPr>
              <w:t>обрив</w:t>
            </w:r>
          </w:p>
        </w:tc>
        <w:tc>
          <w:tcPr>
            <w:tcW w:w="1490" w:type="dxa"/>
            <w:vAlign w:val="center"/>
          </w:tcPr>
          <w:p w14:paraId="06B8C952" w14:textId="59D32F8F" w:rsidR="001D1FEB" w:rsidRPr="00F57DDA" w:rsidRDefault="001D1FEB" w:rsidP="001D1FEB">
            <w:pPr>
              <w:rPr>
                <w:rFonts w:cs="Arial"/>
              </w:rPr>
            </w:pPr>
            <w:r w:rsidRPr="00F57DDA">
              <w:rPr>
                <w:rFonts w:cs="Arial"/>
              </w:rPr>
              <w:t>нечести</w:t>
            </w:r>
          </w:p>
        </w:tc>
        <w:tc>
          <w:tcPr>
            <w:tcW w:w="1660" w:type="dxa"/>
          </w:tcPr>
          <w:p w14:paraId="7A0FF85F" w14:textId="77777777" w:rsidR="001D1FEB" w:rsidRPr="00F57DDA" w:rsidRDefault="001D1FEB" w:rsidP="001D1FEB">
            <w:pPr>
              <w:rPr>
                <w:rFonts w:cs="Arial"/>
              </w:rPr>
            </w:pPr>
          </w:p>
        </w:tc>
        <w:tc>
          <w:tcPr>
            <w:tcW w:w="1529" w:type="dxa"/>
            <w:vAlign w:val="center"/>
          </w:tcPr>
          <w:p w14:paraId="51B84D72" w14:textId="15D45911" w:rsidR="001D1FEB" w:rsidRPr="00F57DDA" w:rsidRDefault="001D1FEB" w:rsidP="001D1FEB">
            <w:pPr>
              <w:rPr>
                <w:rFonts w:cs="Arial"/>
              </w:rPr>
            </w:pPr>
            <w:r w:rsidRPr="00F57DDA">
              <w:rPr>
                <w:rFonts w:cs="Arial"/>
              </w:rPr>
              <w:t>нечести</w:t>
            </w:r>
          </w:p>
        </w:tc>
        <w:tc>
          <w:tcPr>
            <w:tcW w:w="1490" w:type="dxa"/>
          </w:tcPr>
          <w:p w14:paraId="267FEED9" w14:textId="77777777" w:rsidR="001D1FEB" w:rsidRPr="00F57DDA" w:rsidRDefault="001D1FEB" w:rsidP="001D1FEB">
            <w:pPr>
              <w:rPr>
                <w:rFonts w:cs="Arial"/>
              </w:rPr>
            </w:pPr>
          </w:p>
        </w:tc>
        <w:tc>
          <w:tcPr>
            <w:tcW w:w="1429" w:type="dxa"/>
          </w:tcPr>
          <w:p w14:paraId="14FACBE8" w14:textId="77777777" w:rsidR="001D1FEB" w:rsidRPr="00F57DDA" w:rsidRDefault="001D1FEB" w:rsidP="001D1FEB">
            <w:pPr>
              <w:rPr>
                <w:rFonts w:cs="Arial"/>
              </w:rPr>
            </w:pPr>
          </w:p>
        </w:tc>
      </w:tr>
      <w:tr w:rsidR="001D1FEB" w14:paraId="64929E40" w14:textId="77777777" w:rsidTr="001D1FEB">
        <w:tc>
          <w:tcPr>
            <w:tcW w:w="1978" w:type="dxa"/>
          </w:tcPr>
          <w:p w14:paraId="1FEE1EB7" w14:textId="7BA9184A" w:rsidR="001D1FEB" w:rsidRPr="00F57DDA" w:rsidRDefault="001D1FEB" w:rsidP="001D1FEB">
            <w:pPr>
              <w:rPr>
                <w:rFonts w:cs="Arial"/>
              </w:rPr>
            </w:pPr>
            <w:r w:rsidRPr="00F57DDA">
              <w:rPr>
                <w:rFonts w:cs="Arial"/>
              </w:rPr>
              <w:t>фото чувстви</w:t>
            </w:r>
            <w:r w:rsidRPr="00F57DDA">
              <w:rPr>
                <w:rFonts w:cs="Arial"/>
              </w:rPr>
              <w:softHyphen/>
              <w:t>телост</w:t>
            </w:r>
          </w:p>
        </w:tc>
        <w:tc>
          <w:tcPr>
            <w:tcW w:w="1490" w:type="dxa"/>
          </w:tcPr>
          <w:p w14:paraId="0D1D1B3D" w14:textId="77777777" w:rsidR="001D1FEB" w:rsidRPr="00F57DDA" w:rsidRDefault="001D1FEB" w:rsidP="001D1FEB">
            <w:pPr>
              <w:rPr>
                <w:rFonts w:cs="Arial"/>
              </w:rPr>
            </w:pPr>
          </w:p>
        </w:tc>
        <w:tc>
          <w:tcPr>
            <w:tcW w:w="1660" w:type="dxa"/>
          </w:tcPr>
          <w:p w14:paraId="30AAB4F3" w14:textId="77777777" w:rsidR="001D1FEB" w:rsidRPr="00F57DDA" w:rsidRDefault="001D1FEB" w:rsidP="001D1FEB">
            <w:pPr>
              <w:rPr>
                <w:rFonts w:cs="Arial"/>
              </w:rPr>
            </w:pPr>
          </w:p>
        </w:tc>
        <w:tc>
          <w:tcPr>
            <w:tcW w:w="1529" w:type="dxa"/>
          </w:tcPr>
          <w:p w14:paraId="1FEC9430" w14:textId="77777777" w:rsidR="001D1FEB" w:rsidRPr="00F57DDA" w:rsidRDefault="001D1FEB" w:rsidP="001D1FEB">
            <w:pPr>
              <w:rPr>
                <w:rFonts w:cs="Arial"/>
              </w:rPr>
            </w:pPr>
          </w:p>
        </w:tc>
        <w:tc>
          <w:tcPr>
            <w:tcW w:w="1490" w:type="dxa"/>
          </w:tcPr>
          <w:p w14:paraId="51FDBAF8" w14:textId="77777777" w:rsidR="001D1FEB" w:rsidRPr="00F57DDA" w:rsidRDefault="001D1FEB" w:rsidP="001D1FEB">
            <w:pPr>
              <w:rPr>
                <w:rFonts w:cs="Arial"/>
              </w:rPr>
            </w:pPr>
          </w:p>
        </w:tc>
        <w:tc>
          <w:tcPr>
            <w:tcW w:w="1429" w:type="dxa"/>
          </w:tcPr>
          <w:p w14:paraId="0DFAAB84" w14:textId="2115B995" w:rsidR="001D1FEB" w:rsidRPr="00F57DDA" w:rsidRDefault="001D1FEB" w:rsidP="001D1FEB">
            <w:pPr>
              <w:rPr>
                <w:rFonts w:cs="Arial"/>
              </w:rPr>
            </w:pPr>
            <w:r w:rsidRPr="00F57DDA">
              <w:rPr>
                <w:rFonts w:cs="Arial"/>
              </w:rPr>
              <w:t>с неизвестна честота</w:t>
            </w:r>
          </w:p>
        </w:tc>
      </w:tr>
      <w:tr w:rsidR="001D1FEB" w14:paraId="7D4B116F" w14:textId="77777777" w:rsidTr="00F778E1">
        <w:tc>
          <w:tcPr>
            <w:tcW w:w="9576" w:type="dxa"/>
            <w:gridSpan w:val="6"/>
          </w:tcPr>
          <w:p w14:paraId="03EB849C" w14:textId="610D785F" w:rsidR="001D1FEB" w:rsidRPr="00F57DDA" w:rsidRDefault="00F57DDA" w:rsidP="0091385D">
            <w:pPr>
              <w:rPr>
                <w:rFonts w:cs="Arial"/>
              </w:rPr>
            </w:pPr>
            <w:r w:rsidRPr="00F57DDA">
              <w:rPr>
                <w:rFonts w:cs="Arial"/>
                <w:b/>
                <w:bCs/>
                <w:u w:val="single"/>
              </w:rPr>
              <w:t>Нарушения на мускулно-скелетната система и съединителната тъкан</w:t>
            </w:r>
          </w:p>
        </w:tc>
      </w:tr>
      <w:tr w:rsidR="001D1FEB" w14:paraId="4C4644B1" w14:textId="77777777" w:rsidTr="001D1FEB">
        <w:tc>
          <w:tcPr>
            <w:tcW w:w="1978" w:type="dxa"/>
          </w:tcPr>
          <w:p w14:paraId="43E8DB71" w14:textId="6B99BF8A" w:rsidR="001D1FEB" w:rsidRPr="00F57DDA" w:rsidRDefault="001D1FEB" w:rsidP="001D1FEB">
            <w:pPr>
              <w:rPr>
                <w:rFonts w:cs="Arial"/>
              </w:rPr>
            </w:pPr>
            <w:r w:rsidRPr="00F57DDA">
              <w:rPr>
                <w:rFonts w:cs="Arial"/>
              </w:rPr>
              <w:t>миалгия</w:t>
            </w:r>
          </w:p>
        </w:tc>
        <w:tc>
          <w:tcPr>
            <w:tcW w:w="1490" w:type="dxa"/>
          </w:tcPr>
          <w:p w14:paraId="57374B4D" w14:textId="77777777" w:rsidR="001D1FEB" w:rsidRPr="00F57DDA" w:rsidRDefault="001D1FEB" w:rsidP="001D1FEB">
            <w:pPr>
              <w:rPr>
                <w:rFonts w:cs="Arial"/>
              </w:rPr>
            </w:pPr>
          </w:p>
        </w:tc>
        <w:tc>
          <w:tcPr>
            <w:tcW w:w="1660" w:type="dxa"/>
          </w:tcPr>
          <w:p w14:paraId="7F50AD39" w14:textId="77777777" w:rsidR="001D1FEB" w:rsidRPr="00F57DDA" w:rsidRDefault="001D1FEB" w:rsidP="001D1FEB">
            <w:pPr>
              <w:rPr>
                <w:rFonts w:cs="Arial"/>
              </w:rPr>
            </w:pPr>
          </w:p>
        </w:tc>
        <w:tc>
          <w:tcPr>
            <w:tcW w:w="1529" w:type="dxa"/>
          </w:tcPr>
          <w:p w14:paraId="55126542" w14:textId="77777777" w:rsidR="001D1FEB" w:rsidRPr="00F57DDA" w:rsidRDefault="001D1FEB" w:rsidP="001D1FEB">
            <w:pPr>
              <w:rPr>
                <w:rFonts w:cs="Arial"/>
              </w:rPr>
            </w:pPr>
          </w:p>
        </w:tc>
        <w:tc>
          <w:tcPr>
            <w:tcW w:w="1490" w:type="dxa"/>
          </w:tcPr>
          <w:p w14:paraId="3DC37110" w14:textId="77777777" w:rsidR="001D1FEB" w:rsidRPr="00F57DDA" w:rsidRDefault="001D1FEB" w:rsidP="001D1FEB">
            <w:pPr>
              <w:rPr>
                <w:rFonts w:cs="Arial"/>
              </w:rPr>
            </w:pPr>
          </w:p>
        </w:tc>
        <w:tc>
          <w:tcPr>
            <w:tcW w:w="1429" w:type="dxa"/>
          </w:tcPr>
          <w:p w14:paraId="0DD555B9" w14:textId="045600A1" w:rsidR="001D1FEB" w:rsidRPr="00F57DDA" w:rsidRDefault="001D1FEB" w:rsidP="001D1FEB">
            <w:pPr>
              <w:rPr>
                <w:rFonts w:cs="Arial"/>
              </w:rPr>
            </w:pPr>
            <w:r w:rsidRPr="00F57DDA">
              <w:rPr>
                <w:rFonts w:cs="Arial"/>
              </w:rPr>
              <w:t>с неизвестна честота</w:t>
            </w:r>
          </w:p>
        </w:tc>
      </w:tr>
      <w:tr w:rsidR="001D1FEB" w14:paraId="6B1AE8E1" w14:textId="77777777" w:rsidTr="001D1FEB">
        <w:tc>
          <w:tcPr>
            <w:tcW w:w="1978" w:type="dxa"/>
          </w:tcPr>
          <w:p w14:paraId="3EC613C4" w14:textId="7262DEC0" w:rsidR="001D1FEB" w:rsidRPr="00F57DDA" w:rsidRDefault="001D1FEB" w:rsidP="001D1FEB">
            <w:pPr>
              <w:rPr>
                <w:rFonts w:cs="Arial"/>
              </w:rPr>
            </w:pPr>
            <w:r w:rsidRPr="00F57DDA">
              <w:rPr>
                <w:rFonts w:cs="Arial"/>
              </w:rPr>
              <w:t>артралгия</w:t>
            </w:r>
          </w:p>
        </w:tc>
        <w:tc>
          <w:tcPr>
            <w:tcW w:w="1490" w:type="dxa"/>
          </w:tcPr>
          <w:p w14:paraId="4FF11B65" w14:textId="77777777" w:rsidR="001D1FEB" w:rsidRPr="00F57DDA" w:rsidRDefault="001D1FEB" w:rsidP="001D1FEB">
            <w:pPr>
              <w:rPr>
                <w:rFonts w:cs="Arial"/>
              </w:rPr>
            </w:pPr>
          </w:p>
        </w:tc>
        <w:tc>
          <w:tcPr>
            <w:tcW w:w="1660" w:type="dxa"/>
          </w:tcPr>
          <w:p w14:paraId="6FB4DFAF" w14:textId="77777777" w:rsidR="001D1FEB" w:rsidRPr="00F57DDA" w:rsidRDefault="001D1FEB" w:rsidP="001D1FEB">
            <w:pPr>
              <w:rPr>
                <w:rFonts w:cs="Arial"/>
              </w:rPr>
            </w:pPr>
          </w:p>
        </w:tc>
        <w:tc>
          <w:tcPr>
            <w:tcW w:w="1529" w:type="dxa"/>
          </w:tcPr>
          <w:p w14:paraId="08F62F4B" w14:textId="77777777" w:rsidR="001D1FEB" w:rsidRPr="00F57DDA" w:rsidRDefault="001D1FEB" w:rsidP="001D1FEB">
            <w:pPr>
              <w:rPr>
                <w:rFonts w:cs="Arial"/>
              </w:rPr>
            </w:pPr>
          </w:p>
        </w:tc>
        <w:tc>
          <w:tcPr>
            <w:tcW w:w="1490" w:type="dxa"/>
          </w:tcPr>
          <w:p w14:paraId="67810751" w14:textId="77777777" w:rsidR="001D1FEB" w:rsidRPr="00F57DDA" w:rsidRDefault="001D1FEB" w:rsidP="001D1FEB">
            <w:pPr>
              <w:rPr>
                <w:rFonts w:cs="Arial"/>
              </w:rPr>
            </w:pPr>
          </w:p>
        </w:tc>
        <w:tc>
          <w:tcPr>
            <w:tcW w:w="1429" w:type="dxa"/>
          </w:tcPr>
          <w:p w14:paraId="5C029BAB" w14:textId="560869C7" w:rsidR="001D1FEB" w:rsidRPr="00F57DDA" w:rsidRDefault="001D1FEB" w:rsidP="001D1FEB">
            <w:pPr>
              <w:rPr>
                <w:rFonts w:cs="Arial"/>
              </w:rPr>
            </w:pPr>
            <w:r w:rsidRPr="00F57DDA">
              <w:rPr>
                <w:rFonts w:cs="Arial"/>
              </w:rPr>
              <w:t>с неизвестна честота</w:t>
            </w:r>
          </w:p>
        </w:tc>
      </w:tr>
      <w:tr w:rsidR="001D1FEB" w14:paraId="2B7EEF91" w14:textId="77777777" w:rsidTr="001D1FEB">
        <w:tc>
          <w:tcPr>
            <w:tcW w:w="1978" w:type="dxa"/>
          </w:tcPr>
          <w:p w14:paraId="0264DFF3" w14:textId="1BCEE537" w:rsidR="001D1FEB" w:rsidRPr="00F57DDA" w:rsidRDefault="001D1FEB" w:rsidP="001D1FEB">
            <w:pPr>
              <w:rPr>
                <w:rFonts w:cs="Arial"/>
              </w:rPr>
            </w:pPr>
            <w:r w:rsidRPr="00F57DDA">
              <w:rPr>
                <w:rFonts w:cs="Arial"/>
              </w:rPr>
              <w:t>рабдомиолиза</w:t>
            </w:r>
          </w:p>
        </w:tc>
        <w:tc>
          <w:tcPr>
            <w:tcW w:w="1490" w:type="dxa"/>
          </w:tcPr>
          <w:p w14:paraId="72F02971" w14:textId="77777777" w:rsidR="001D1FEB" w:rsidRPr="00F57DDA" w:rsidRDefault="001D1FEB" w:rsidP="001D1FEB">
            <w:pPr>
              <w:rPr>
                <w:rFonts w:cs="Arial"/>
              </w:rPr>
            </w:pPr>
          </w:p>
        </w:tc>
        <w:tc>
          <w:tcPr>
            <w:tcW w:w="1660" w:type="dxa"/>
          </w:tcPr>
          <w:p w14:paraId="0272CECA" w14:textId="77777777" w:rsidR="001D1FEB" w:rsidRPr="00F57DDA" w:rsidRDefault="001D1FEB" w:rsidP="001D1FEB">
            <w:pPr>
              <w:rPr>
                <w:rFonts w:cs="Arial"/>
              </w:rPr>
            </w:pPr>
          </w:p>
        </w:tc>
        <w:tc>
          <w:tcPr>
            <w:tcW w:w="1529" w:type="dxa"/>
          </w:tcPr>
          <w:p w14:paraId="0973D3CF" w14:textId="77777777" w:rsidR="001D1FEB" w:rsidRPr="00F57DDA" w:rsidRDefault="001D1FEB" w:rsidP="001D1FEB">
            <w:pPr>
              <w:rPr>
                <w:rFonts w:cs="Arial"/>
              </w:rPr>
            </w:pPr>
          </w:p>
        </w:tc>
        <w:tc>
          <w:tcPr>
            <w:tcW w:w="1490" w:type="dxa"/>
          </w:tcPr>
          <w:p w14:paraId="3B915710" w14:textId="77777777" w:rsidR="001D1FEB" w:rsidRPr="00F57DDA" w:rsidRDefault="001D1FEB" w:rsidP="001D1FEB">
            <w:pPr>
              <w:rPr>
                <w:rFonts w:cs="Arial"/>
              </w:rPr>
            </w:pPr>
          </w:p>
        </w:tc>
        <w:tc>
          <w:tcPr>
            <w:tcW w:w="1429" w:type="dxa"/>
          </w:tcPr>
          <w:p w14:paraId="51C5C763" w14:textId="6B3C345D" w:rsidR="001D1FEB" w:rsidRPr="00F57DDA" w:rsidRDefault="001D1FEB" w:rsidP="001D1FEB">
            <w:pPr>
              <w:rPr>
                <w:rFonts w:cs="Arial"/>
              </w:rPr>
            </w:pPr>
            <w:r w:rsidRPr="00F57DDA">
              <w:rPr>
                <w:rFonts w:cs="Arial"/>
              </w:rPr>
              <w:t>с неизвестна честота</w:t>
            </w:r>
          </w:p>
        </w:tc>
      </w:tr>
      <w:tr w:rsidR="00F57DDA" w14:paraId="0490FFD8" w14:textId="77777777" w:rsidTr="00AD321A">
        <w:tc>
          <w:tcPr>
            <w:tcW w:w="9576" w:type="dxa"/>
            <w:gridSpan w:val="6"/>
          </w:tcPr>
          <w:p w14:paraId="6DDE4F31" w14:textId="16D38DB7" w:rsidR="00F57DDA" w:rsidRPr="00F57DDA" w:rsidRDefault="00F57DDA" w:rsidP="0091385D">
            <w:pPr>
              <w:rPr>
                <w:rFonts w:cs="Arial"/>
              </w:rPr>
            </w:pPr>
            <w:r w:rsidRPr="00F57DDA">
              <w:rPr>
                <w:rFonts w:cs="Arial"/>
                <w:b/>
                <w:bCs/>
                <w:u w:val="single"/>
              </w:rPr>
              <w:t>Нарушения на бъбреците и пикочните пътища</w:t>
            </w:r>
          </w:p>
        </w:tc>
      </w:tr>
      <w:tr w:rsidR="00F57DDA" w14:paraId="6BC53E41" w14:textId="77777777" w:rsidTr="001D1FEB">
        <w:tc>
          <w:tcPr>
            <w:tcW w:w="1978" w:type="dxa"/>
          </w:tcPr>
          <w:p w14:paraId="49B3AA74" w14:textId="1E3F494B" w:rsidR="00F57DDA" w:rsidRPr="00F57DDA" w:rsidRDefault="00F57DDA" w:rsidP="00F57DDA">
            <w:pPr>
              <w:rPr>
                <w:rFonts w:cs="Arial"/>
              </w:rPr>
            </w:pPr>
            <w:r w:rsidRPr="00F57DDA">
              <w:rPr>
                <w:rFonts w:cs="Arial"/>
              </w:rPr>
              <w:t>бъбречно увреждане</w:t>
            </w:r>
          </w:p>
        </w:tc>
        <w:tc>
          <w:tcPr>
            <w:tcW w:w="1490" w:type="dxa"/>
          </w:tcPr>
          <w:p w14:paraId="0C9F0BB2" w14:textId="77777777" w:rsidR="00F57DDA" w:rsidRPr="00F57DDA" w:rsidRDefault="00F57DDA" w:rsidP="00F57DDA">
            <w:pPr>
              <w:rPr>
                <w:rFonts w:cs="Arial"/>
              </w:rPr>
            </w:pPr>
          </w:p>
        </w:tc>
        <w:tc>
          <w:tcPr>
            <w:tcW w:w="1660" w:type="dxa"/>
          </w:tcPr>
          <w:p w14:paraId="4C906030" w14:textId="77777777" w:rsidR="00F57DDA" w:rsidRPr="00F57DDA" w:rsidRDefault="00F57DDA" w:rsidP="00F57DDA">
            <w:pPr>
              <w:rPr>
                <w:rFonts w:cs="Arial"/>
              </w:rPr>
            </w:pPr>
          </w:p>
        </w:tc>
        <w:tc>
          <w:tcPr>
            <w:tcW w:w="1529" w:type="dxa"/>
          </w:tcPr>
          <w:p w14:paraId="59C6F7F0" w14:textId="7CEB79C4" w:rsidR="00F57DDA" w:rsidRPr="00F57DDA" w:rsidRDefault="00F57DDA" w:rsidP="00F57DDA">
            <w:pPr>
              <w:rPr>
                <w:rFonts w:cs="Arial"/>
              </w:rPr>
            </w:pPr>
            <w:r w:rsidRPr="00F57DDA">
              <w:rPr>
                <w:rFonts w:cs="Arial"/>
              </w:rPr>
              <w:t>чести</w:t>
            </w:r>
          </w:p>
        </w:tc>
        <w:tc>
          <w:tcPr>
            <w:tcW w:w="1490" w:type="dxa"/>
          </w:tcPr>
          <w:p w14:paraId="41229E9C" w14:textId="77777777" w:rsidR="00F57DDA" w:rsidRPr="00F57DDA" w:rsidRDefault="00F57DDA" w:rsidP="00F57DDA">
            <w:pPr>
              <w:rPr>
                <w:rFonts w:cs="Arial"/>
              </w:rPr>
            </w:pPr>
          </w:p>
        </w:tc>
        <w:tc>
          <w:tcPr>
            <w:tcW w:w="1429" w:type="dxa"/>
          </w:tcPr>
          <w:p w14:paraId="682B9A24" w14:textId="77777777" w:rsidR="00F57DDA" w:rsidRPr="00F57DDA" w:rsidRDefault="00F57DDA" w:rsidP="00F57DDA">
            <w:pPr>
              <w:rPr>
                <w:rFonts w:cs="Arial"/>
              </w:rPr>
            </w:pPr>
          </w:p>
        </w:tc>
      </w:tr>
      <w:tr w:rsidR="00F57DDA" w14:paraId="549BF1FF" w14:textId="77777777" w:rsidTr="001D1FEB">
        <w:tc>
          <w:tcPr>
            <w:tcW w:w="1978" w:type="dxa"/>
          </w:tcPr>
          <w:p w14:paraId="08F22207" w14:textId="70AB44E5" w:rsidR="00F57DDA" w:rsidRPr="00F57DDA" w:rsidRDefault="00F57DDA" w:rsidP="00F57DDA">
            <w:pPr>
              <w:rPr>
                <w:rFonts w:cs="Arial"/>
              </w:rPr>
            </w:pPr>
            <w:r w:rsidRPr="00F57DDA">
              <w:rPr>
                <w:rFonts w:cs="Arial"/>
              </w:rPr>
              <w:t>бъбречна недостатъчност</w:t>
            </w:r>
          </w:p>
        </w:tc>
        <w:tc>
          <w:tcPr>
            <w:tcW w:w="1490" w:type="dxa"/>
          </w:tcPr>
          <w:p w14:paraId="4C1014EC" w14:textId="77777777" w:rsidR="00F57DDA" w:rsidRPr="00F57DDA" w:rsidRDefault="00F57DDA" w:rsidP="00F57DDA">
            <w:pPr>
              <w:rPr>
                <w:rFonts w:cs="Arial"/>
              </w:rPr>
            </w:pPr>
          </w:p>
        </w:tc>
        <w:tc>
          <w:tcPr>
            <w:tcW w:w="1660" w:type="dxa"/>
          </w:tcPr>
          <w:p w14:paraId="1FFF8C49" w14:textId="77777777" w:rsidR="00F57DDA" w:rsidRPr="00F57DDA" w:rsidRDefault="00F57DDA" w:rsidP="00F57DDA">
            <w:pPr>
              <w:rPr>
                <w:rFonts w:cs="Arial"/>
              </w:rPr>
            </w:pPr>
          </w:p>
        </w:tc>
        <w:tc>
          <w:tcPr>
            <w:tcW w:w="1529" w:type="dxa"/>
          </w:tcPr>
          <w:p w14:paraId="29B58B3C" w14:textId="757EE638" w:rsidR="00F57DDA" w:rsidRPr="00F57DDA" w:rsidRDefault="00F57DDA" w:rsidP="00F57DDA">
            <w:pPr>
              <w:rPr>
                <w:rFonts w:cs="Arial"/>
              </w:rPr>
            </w:pPr>
            <w:r w:rsidRPr="00F57DDA">
              <w:rPr>
                <w:rFonts w:cs="Arial"/>
              </w:rPr>
              <w:t>чести</w:t>
            </w:r>
          </w:p>
        </w:tc>
        <w:tc>
          <w:tcPr>
            <w:tcW w:w="1490" w:type="dxa"/>
          </w:tcPr>
          <w:p w14:paraId="34AB57E9" w14:textId="77777777" w:rsidR="00F57DDA" w:rsidRPr="00F57DDA" w:rsidRDefault="00F57DDA" w:rsidP="00F57DDA">
            <w:pPr>
              <w:rPr>
                <w:rFonts w:cs="Arial"/>
              </w:rPr>
            </w:pPr>
          </w:p>
        </w:tc>
        <w:tc>
          <w:tcPr>
            <w:tcW w:w="1429" w:type="dxa"/>
          </w:tcPr>
          <w:p w14:paraId="2C585AB1" w14:textId="77777777" w:rsidR="00F57DDA" w:rsidRPr="00F57DDA" w:rsidRDefault="00F57DDA" w:rsidP="00F57DDA">
            <w:pPr>
              <w:rPr>
                <w:rFonts w:cs="Arial"/>
              </w:rPr>
            </w:pPr>
          </w:p>
        </w:tc>
      </w:tr>
      <w:tr w:rsidR="00F57DDA" w14:paraId="045E4EA1" w14:textId="77777777" w:rsidTr="00395262">
        <w:tc>
          <w:tcPr>
            <w:tcW w:w="9576" w:type="dxa"/>
            <w:gridSpan w:val="6"/>
          </w:tcPr>
          <w:p w14:paraId="07027565" w14:textId="5780AED1" w:rsidR="00F57DDA" w:rsidRPr="00F57DDA" w:rsidRDefault="00F57DDA" w:rsidP="0091385D">
            <w:pPr>
              <w:rPr>
                <w:rFonts w:cs="Arial"/>
              </w:rPr>
            </w:pPr>
            <w:r w:rsidRPr="00F57DDA">
              <w:rPr>
                <w:rFonts w:cs="Arial"/>
                <w:b/>
                <w:bCs/>
                <w:u w:val="single"/>
              </w:rPr>
              <w:t>Нарушения на възпроизводителната система и гърдата</w:t>
            </w:r>
          </w:p>
        </w:tc>
      </w:tr>
      <w:tr w:rsidR="00F57DDA" w14:paraId="5E1897B3" w14:textId="77777777" w:rsidTr="001D1FEB">
        <w:tc>
          <w:tcPr>
            <w:tcW w:w="1978" w:type="dxa"/>
          </w:tcPr>
          <w:p w14:paraId="30FB2D0A" w14:textId="6DD25448" w:rsidR="00F57DDA" w:rsidRPr="00F57DDA" w:rsidRDefault="00F57DDA" w:rsidP="00F57DDA">
            <w:pPr>
              <w:rPr>
                <w:rFonts w:cs="Arial"/>
              </w:rPr>
            </w:pPr>
            <w:r w:rsidRPr="00F57DDA">
              <w:rPr>
                <w:rFonts w:cs="Arial"/>
              </w:rPr>
              <w:t>еректилна дифункция/ импотентност</w:t>
            </w:r>
          </w:p>
        </w:tc>
        <w:tc>
          <w:tcPr>
            <w:tcW w:w="1490" w:type="dxa"/>
          </w:tcPr>
          <w:p w14:paraId="2EFB951A" w14:textId="77777777" w:rsidR="00F57DDA" w:rsidRPr="00F57DDA" w:rsidRDefault="00F57DDA" w:rsidP="00F57DDA">
            <w:pPr>
              <w:rPr>
                <w:rFonts w:cs="Arial"/>
              </w:rPr>
            </w:pPr>
          </w:p>
        </w:tc>
        <w:tc>
          <w:tcPr>
            <w:tcW w:w="1660" w:type="dxa"/>
          </w:tcPr>
          <w:p w14:paraId="0493D054" w14:textId="77777777" w:rsidR="00F57DDA" w:rsidRPr="00F57DDA" w:rsidRDefault="00F57DDA" w:rsidP="00F57DDA">
            <w:pPr>
              <w:rPr>
                <w:rFonts w:cs="Arial"/>
              </w:rPr>
            </w:pPr>
          </w:p>
        </w:tc>
        <w:tc>
          <w:tcPr>
            <w:tcW w:w="1529" w:type="dxa"/>
          </w:tcPr>
          <w:p w14:paraId="35ABDDBD" w14:textId="77777777" w:rsidR="00F57DDA" w:rsidRPr="00F57DDA" w:rsidRDefault="00F57DDA" w:rsidP="00F57DDA">
            <w:pPr>
              <w:rPr>
                <w:rFonts w:cs="Arial"/>
              </w:rPr>
            </w:pPr>
          </w:p>
        </w:tc>
        <w:tc>
          <w:tcPr>
            <w:tcW w:w="1490" w:type="dxa"/>
          </w:tcPr>
          <w:p w14:paraId="1D66707B" w14:textId="77777777" w:rsidR="00F57DDA" w:rsidRPr="00F57DDA" w:rsidRDefault="00F57DDA" w:rsidP="00F57DDA">
            <w:pPr>
              <w:rPr>
                <w:rFonts w:cs="Arial"/>
              </w:rPr>
            </w:pPr>
          </w:p>
        </w:tc>
        <w:tc>
          <w:tcPr>
            <w:tcW w:w="1429" w:type="dxa"/>
          </w:tcPr>
          <w:p w14:paraId="7DF5E9D5" w14:textId="38F84345" w:rsidR="00F57DDA" w:rsidRPr="00F57DDA" w:rsidRDefault="00F57DDA" w:rsidP="00F57DDA">
            <w:pPr>
              <w:rPr>
                <w:rFonts w:cs="Arial"/>
              </w:rPr>
            </w:pPr>
            <w:r w:rsidRPr="00F57DDA">
              <w:rPr>
                <w:rFonts w:cs="Arial"/>
              </w:rPr>
              <w:t>с неизвестна честота</w:t>
            </w:r>
          </w:p>
        </w:tc>
      </w:tr>
      <w:tr w:rsidR="00F57DDA" w14:paraId="2C4E5F5F" w14:textId="77777777" w:rsidTr="00815BA7">
        <w:tc>
          <w:tcPr>
            <w:tcW w:w="9576" w:type="dxa"/>
            <w:gridSpan w:val="6"/>
          </w:tcPr>
          <w:p w14:paraId="6F33ABB0" w14:textId="3A8F3151" w:rsidR="00F57DDA" w:rsidRPr="00F57DDA" w:rsidRDefault="00F57DDA" w:rsidP="0091385D">
            <w:pPr>
              <w:rPr>
                <w:rFonts w:cs="Arial"/>
              </w:rPr>
            </w:pPr>
            <w:r w:rsidRPr="00F57DDA">
              <w:rPr>
                <w:rFonts w:cs="Arial"/>
                <w:b/>
                <w:bCs/>
                <w:u w:val="single"/>
              </w:rPr>
              <w:t>Общи нарушения и ефекти на мястото на приложение</w:t>
            </w:r>
          </w:p>
        </w:tc>
      </w:tr>
      <w:tr w:rsidR="00F57DDA" w14:paraId="264DCA37" w14:textId="77777777" w:rsidTr="001D1FEB">
        <w:tc>
          <w:tcPr>
            <w:tcW w:w="1978" w:type="dxa"/>
          </w:tcPr>
          <w:p w14:paraId="55AD90A8" w14:textId="11BC1646" w:rsidR="00F57DDA" w:rsidRPr="00F57DDA" w:rsidRDefault="00F57DDA" w:rsidP="00F57DDA">
            <w:pPr>
              <w:rPr>
                <w:rFonts w:cs="Arial"/>
              </w:rPr>
            </w:pPr>
            <w:r w:rsidRPr="00F57DDA">
              <w:rPr>
                <w:rFonts w:cs="Arial"/>
              </w:rPr>
              <w:t>астения</w:t>
            </w:r>
          </w:p>
        </w:tc>
        <w:tc>
          <w:tcPr>
            <w:tcW w:w="1490" w:type="dxa"/>
          </w:tcPr>
          <w:p w14:paraId="7E93725E" w14:textId="77AF246A" w:rsidR="00F57DDA" w:rsidRPr="00F57DDA" w:rsidRDefault="00F57DDA" w:rsidP="00F57DDA">
            <w:pPr>
              <w:rPr>
                <w:rFonts w:cs="Arial"/>
              </w:rPr>
            </w:pPr>
            <w:r w:rsidRPr="00F57DDA">
              <w:rPr>
                <w:rFonts w:cs="Arial"/>
              </w:rPr>
              <w:t>нечести</w:t>
            </w:r>
          </w:p>
        </w:tc>
        <w:tc>
          <w:tcPr>
            <w:tcW w:w="1660" w:type="dxa"/>
          </w:tcPr>
          <w:p w14:paraId="79976B38" w14:textId="1514DE10" w:rsidR="00F57DDA" w:rsidRPr="00F57DDA" w:rsidRDefault="00F57DDA" w:rsidP="00F57DDA">
            <w:pPr>
              <w:rPr>
                <w:rFonts w:cs="Arial"/>
              </w:rPr>
            </w:pPr>
            <w:r w:rsidRPr="00F57DDA">
              <w:rPr>
                <w:rFonts w:cs="Arial"/>
              </w:rPr>
              <w:t>чести</w:t>
            </w:r>
          </w:p>
        </w:tc>
        <w:tc>
          <w:tcPr>
            <w:tcW w:w="1529" w:type="dxa"/>
          </w:tcPr>
          <w:p w14:paraId="40F932EA" w14:textId="5C97C07C" w:rsidR="00F57DDA" w:rsidRPr="00F57DDA" w:rsidRDefault="00F57DDA" w:rsidP="00F57DDA">
            <w:pPr>
              <w:rPr>
                <w:rFonts w:cs="Arial"/>
              </w:rPr>
            </w:pPr>
            <w:r w:rsidRPr="00F57DDA">
              <w:rPr>
                <w:rFonts w:cs="Arial"/>
              </w:rPr>
              <w:t>нечести</w:t>
            </w:r>
          </w:p>
        </w:tc>
        <w:tc>
          <w:tcPr>
            <w:tcW w:w="1490" w:type="dxa"/>
          </w:tcPr>
          <w:p w14:paraId="33230051" w14:textId="44C0497C" w:rsidR="00F57DDA" w:rsidRPr="00F57DDA" w:rsidRDefault="00F57DDA" w:rsidP="00F57DDA">
            <w:pPr>
              <w:rPr>
                <w:rFonts w:cs="Arial"/>
              </w:rPr>
            </w:pPr>
            <w:r w:rsidRPr="00F57DDA">
              <w:rPr>
                <w:rFonts w:cs="Arial"/>
              </w:rPr>
              <w:t>чести</w:t>
            </w:r>
          </w:p>
        </w:tc>
        <w:tc>
          <w:tcPr>
            <w:tcW w:w="1429" w:type="dxa"/>
          </w:tcPr>
          <w:p w14:paraId="60CFFDF0" w14:textId="77777777" w:rsidR="00F57DDA" w:rsidRPr="00F57DDA" w:rsidRDefault="00F57DDA" w:rsidP="00F57DDA">
            <w:pPr>
              <w:rPr>
                <w:rFonts w:cs="Arial"/>
              </w:rPr>
            </w:pPr>
          </w:p>
        </w:tc>
      </w:tr>
      <w:tr w:rsidR="00F57DDA" w14:paraId="7272805E" w14:textId="77777777" w:rsidTr="001D1FEB">
        <w:tc>
          <w:tcPr>
            <w:tcW w:w="1978" w:type="dxa"/>
          </w:tcPr>
          <w:p w14:paraId="11535449" w14:textId="1FCFFE3A" w:rsidR="00F57DDA" w:rsidRPr="00F57DDA" w:rsidRDefault="00F57DDA" w:rsidP="00F57DDA">
            <w:pPr>
              <w:rPr>
                <w:rFonts w:cs="Arial"/>
              </w:rPr>
            </w:pPr>
            <w:r w:rsidRPr="00F57DDA">
              <w:rPr>
                <w:rFonts w:cs="Arial"/>
              </w:rPr>
              <w:t>умора</w:t>
            </w:r>
          </w:p>
        </w:tc>
        <w:tc>
          <w:tcPr>
            <w:tcW w:w="1490" w:type="dxa"/>
          </w:tcPr>
          <w:p w14:paraId="44D51FC1" w14:textId="0958CB4B" w:rsidR="00F57DDA" w:rsidRPr="00F57DDA" w:rsidRDefault="00F57DDA" w:rsidP="00F57DDA">
            <w:pPr>
              <w:rPr>
                <w:rFonts w:cs="Arial"/>
              </w:rPr>
            </w:pPr>
            <w:r w:rsidRPr="00F57DDA">
              <w:rPr>
                <w:rFonts w:cs="Arial"/>
              </w:rPr>
              <w:t>нечести</w:t>
            </w:r>
          </w:p>
        </w:tc>
        <w:tc>
          <w:tcPr>
            <w:tcW w:w="1660" w:type="dxa"/>
          </w:tcPr>
          <w:p w14:paraId="3F300189" w14:textId="2E7BB604" w:rsidR="00F57DDA" w:rsidRPr="00F57DDA" w:rsidRDefault="00F57DDA" w:rsidP="00F57DDA">
            <w:pPr>
              <w:rPr>
                <w:rFonts w:cs="Arial"/>
              </w:rPr>
            </w:pPr>
            <w:r w:rsidRPr="00F57DDA">
              <w:rPr>
                <w:rFonts w:cs="Arial"/>
              </w:rPr>
              <w:t>чести</w:t>
            </w:r>
          </w:p>
        </w:tc>
        <w:tc>
          <w:tcPr>
            <w:tcW w:w="1529" w:type="dxa"/>
          </w:tcPr>
          <w:p w14:paraId="2FB7B71E" w14:textId="5B029304" w:rsidR="00F57DDA" w:rsidRPr="00F57DDA" w:rsidRDefault="00F57DDA" w:rsidP="00F57DDA">
            <w:pPr>
              <w:rPr>
                <w:rFonts w:cs="Arial"/>
              </w:rPr>
            </w:pPr>
            <w:r w:rsidRPr="00F57DDA">
              <w:rPr>
                <w:rFonts w:cs="Arial"/>
              </w:rPr>
              <w:t>нечести</w:t>
            </w:r>
          </w:p>
        </w:tc>
        <w:tc>
          <w:tcPr>
            <w:tcW w:w="1490" w:type="dxa"/>
          </w:tcPr>
          <w:p w14:paraId="35F8C547" w14:textId="0CCED8F2" w:rsidR="00F57DDA" w:rsidRPr="00F57DDA" w:rsidRDefault="00F57DDA" w:rsidP="00F57DDA">
            <w:pPr>
              <w:rPr>
                <w:rFonts w:cs="Arial"/>
              </w:rPr>
            </w:pPr>
            <w:r w:rsidRPr="00F57DDA">
              <w:rPr>
                <w:rFonts w:cs="Arial"/>
              </w:rPr>
              <w:t>чести</w:t>
            </w:r>
          </w:p>
        </w:tc>
        <w:tc>
          <w:tcPr>
            <w:tcW w:w="1429" w:type="dxa"/>
          </w:tcPr>
          <w:p w14:paraId="23B5044B" w14:textId="77777777" w:rsidR="00F57DDA" w:rsidRPr="00F57DDA" w:rsidRDefault="00F57DDA" w:rsidP="00F57DDA">
            <w:pPr>
              <w:rPr>
                <w:rFonts w:cs="Arial"/>
              </w:rPr>
            </w:pPr>
          </w:p>
        </w:tc>
      </w:tr>
      <w:tr w:rsidR="00F57DDA" w14:paraId="01E60B1E" w14:textId="77777777" w:rsidTr="001D1FEB">
        <w:tc>
          <w:tcPr>
            <w:tcW w:w="1978" w:type="dxa"/>
          </w:tcPr>
          <w:p w14:paraId="2DB38F29" w14:textId="7665833E" w:rsidR="00F57DDA" w:rsidRPr="00F57DDA" w:rsidRDefault="00F57DDA" w:rsidP="00F57DDA">
            <w:pPr>
              <w:rPr>
                <w:rFonts w:cs="Arial"/>
              </w:rPr>
            </w:pPr>
            <w:r w:rsidRPr="00F57DDA">
              <w:rPr>
                <w:rFonts w:cs="Arial"/>
              </w:rPr>
              <w:t>оток</w:t>
            </w:r>
          </w:p>
        </w:tc>
        <w:tc>
          <w:tcPr>
            <w:tcW w:w="1490" w:type="dxa"/>
          </w:tcPr>
          <w:p w14:paraId="5C87D8DB" w14:textId="2F68DEBB" w:rsidR="00F57DDA" w:rsidRPr="00F57DDA" w:rsidRDefault="00F57DDA" w:rsidP="00F57DDA">
            <w:pPr>
              <w:rPr>
                <w:rFonts w:cs="Arial"/>
              </w:rPr>
            </w:pPr>
            <w:r w:rsidRPr="00F57DDA">
              <w:rPr>
                <w:rFonts w:cs="Arial"/>
              </w:rPr>
              <w:t>нечести</w:t>
            </w:r>
          </w:p>
        </w:tc>
        <w:tc>
          <w:tcPr>
            <w:tcW w:w="1660" w:type="dxa"/>
          </w:tcPr>
          <w:p w14:paraId="629735E7" w14:textId="77777777" w:rsidR="00F57DDA" w:rsidRPr="00F57DDA" w:rsidRDefault="00F57DDA" w:rsidP="00F57DDA">
            <w:pPr>
              <w:rPr>
                <w:rFonts w:cs="Arial"/>
              </w:rPr>
            </w:pPr>
          </w:p>
        </w:tc>
        <w:tc>
          <w:tcPr>
            <w:tcW w:w="1529" w:type="dxa"/>
          </w:tcPr>
          <w:p w14:paraId="5DFBD1C8" w14:textId="77777777" w:rsidR="00F57DDA" w:rsidRPr="00F57DDA" w:rsidRDefault="00F57DDA" w:rsidP="00F57DDA">
            <w:pPr>
              <w:rPr>
                <w:rFonts w:cs="Arial"/>
              </w:rPr>
            </w:pPr>
          </w:p>
        </w:tc>
        <w:tc>
          <w:tcPr>
            <w:tcW w:w="1490" w:type="dxa"/>
          </w:tcPr>
          <w:p w14:paraId="20ABD0F5" w14:textId="77777777" w:rsidR="00F57DDA" w:rsidRPr="00F57DDA" w:rsidRDefault="00F57DDA" w:rsidP="00F57DDA">
            <w:pPr>
              <w:rPr>
                <w:rFonts w:cs="Arial"/>
              </w:rPr>
            </w:pPr>
          </w:p>
        </w:tc>
        <w:tc>
          <w:tcPr>
            <w:tcW w:w="1429" w:type="dxa"/>
          </w:tcPr>
          <w:p w14:paraId="7A7BFEAC" w14:textId="77777777" w:rsidR="00F57DDA" w:rsidRPr="00F57DDA" w:rsidRDefault="00F57DDA" w:rsidP="00F57DDA">
            <w:pPr>
              <w:rPr>
                <w:rFonts w:cs="Arial"/>
              </w:rPr>
            </w:pPr>
          </w:p>
        </w:tc>
      </w:tr>
      <w:tr w:rsidR="00F57DDA" w14:paraId="4F1CF66B" w14:textId="77777777" w:rsidTr="001D1FEB">
        <w:tc>
          <w:tcPr>
            <w:tcW w:w="1978" w:type="dxa"/>
          </w:tcPr>
          <w:p w14:paraId="71453079" w14:textId="6535737D" w:rsidR="00F57DDA" w:rsidRPr="00F57DDA" w:rsidRDefault="00F57DDA" w:rsidP="00F57DDA">
            <w:pPr>
              <w:rPr>
                <w:rFonts w:cs="Arial"/>
              </w:rPr>
            </w:pPr>
            <w:r w:rsidRPr="00F57DDA">
              <w:rPr>
                <w:rFonts w:cs="Arial"/>
              </w:rPr>
              <w:t>неразположение</w:t>
            </w:r>
          </w:p>
        </w:tc>
        <w:tc>
          <w:tcPr>
            <w:tcW w:w="1490" w:type="dxa"/>
          </w:tcPr>
          <w:p w14:paraId="0661831B" w14:textId="77777777" w:rsidR="00F57DDA" w:rsidRPr="00F57DDA" w:rsidRDefault="00F57DDA" w:rsidP="00F57DDA">
            <w:pPr>
              <w:rPr>
                <w:rFonts w:cs="Arial"/>
              </w:rPr>
            </w:pPr>
          </w:p>
        </w:tc>
        <w:tc>
          <w:tcPr>
            <w:tcW w:w="1660" w:type="dxa"/>
          </w:tcPr>
          <w:p w14:paraId="65EF51A3" w14:textId="77777777" w:rsidR="00F57DDA" w:rsidRPr="00F57DDA" w:rsidRDefault="00F57DDA" w:rsidP="00F57DDA">
            <w:pPr>
              <w:rPr>
                <w:rFonts w:cs="Arial"/>
              </w:rPr>
            </w:pPr>
          </w:p>
        </w:tc>
        <w:tc>
          <w:tcPr>
            <w:tcW w:w="1529" w:type="dxa"/>
          </w:tcPr>
          <w:p w14:paraId="291BC836" w14:textId="77777777" w:rsidR="00F57DDA" w:rsidRPr="00F57DDA" w:rsidRDefault="00F57DDA" w:rsidP="00F57DDA">
            <w:pPr>
              <w:rPr>
                <w:rFonts w:cs="Arial"/>
              </w:rPr>
            </w:pPr>
          </w:p>
        </w:tc>
        <w:tc>
          <w:tcPr>
            <w:tcW w:w="1490" w:type="dxa"/>
          </w:tcPr>
          <w:p w14:paraId="29DC8BF9" w14:textId="77777777" w:rsidR="00F57DDA" w:rsidRPr="00F57DDA" w:rsidRDefault="00F57DDA" w:rsidP="00F57DDA">
            <w:pPr>
              <w:rPr>
                <w:rFonts w:cs="Arial"/>
              </w:rPr>
            </w:pPr>
          </w:p>
        </w:tc>
        <w:tc>
          <w:tcPr>
            <w:tcW w:w="1429" w:type="dxa"/>
          </w:tcPr>
          <w:p w14:paraId="0CF28675" w14:textId="4E9C6E28" w:rsidR="00F57DDA" w:rsidRPr="00F57DDA" w:rsidRDefault="00F57DDA" w:rsidP="00F57DDA">
            <w:pPr>
              <w:rPr>
                <w:rFonts w:cs="Arial"/>
              </w:rPr>
            </w:pPr>
            <w:r w:rsidRPr="00F57DDA">
              <w:rPr>
                <w:rFonts w:cs="Arial"/>
              </w:rPr>
              <w:t>с неизвестна честота</w:t>
            </w:r>
          </w:p>
        </w:tc>
      </w:tr>
      <w:tr w:rsidR="00F57DDA" w14:paraId="202DF53C" w14:textId="77777777" w:rsidTr="000E5C25">
        <w:tc>
          <w:tcPr>
            <w:tcW w:w="9576" w:type="dxa"/>
            <w:gridSpan w:val="6"/>
          </w:tcPr>
          <w:p w14:paraId="469D6B66" w14:textId="7F6B68C1" w:rsidR="00F57DDA" w:rsidRPr="00F57DDA" w:rsidRDefault="00F57DDA" w:rsidP="0091385D">
            <w:pPr>
              <w:rPr>
                <w:rFonts w:cs="Arial"/>
              </w:rPr>
            </w:pPr>
            <w:r w:rsidRPr="00F57DDA">
              <w:rPr>
                <w:rFonts w:cs="Arial"/>
                <w:b/>
                <w:bCs/>
                <w:u w:val="single"/>
              </w:rPr>
              <w:t>Изследвания</w:t>
            </w:r>
          </w:p>
        </w:tc>
      </w:tr>
      <w:tr w:rsidR="00F57DDA" w14:paraId="4272D830" w14:textId="77777777" w:rsidTr="001D1FEB">
        <w:tc>
          <w:tcPr>
            <w:tcW w:w="1978" w:type="dxa"/>
          </w:tcPr>
          <w:p w14:paraId="1E25B5B9" w14:textId="5B4C4C04" w:rsidR="00F57DDA" w:rsidRPr="00F57DDA" w:rsidRDefault="00F57DDA" w:rsidP="00F57DDA">
            <w:pPr>
              <w:rPr>
                <w:rFonts w:cs="Arial"/>
              </w:rPr>
            </w:pPr>
            <w:r w:rsidRPr="00F57DDA">
              <w:rPr>
                <w:rFonts w:cs="Arial"/>
              </w:rPr>
              <w:t>хиперкалиемия</w:t>
            </w:r>
          </w:p>
        </w:tc>
        <w:tc>
          <w:tcPr>
            <w:tcW w:w="1490" w:type="dxa"/>
          </w:tcPr>
          <w:p w14:paraId="27B93328" w14:textId="190D100B" w:rsidR="00F57DDA" w:rsidRPr="00F57DDA" w:rsidRDefault="00F57DDA" w:rsidP="00F57DDA">
            <w:pPr>
              <w:rPr>
                <w:rFonts w:cs="Arial"/>
              </w:rPr>
            </w:pPr>
            <w:r w:rsidRPr="00F57DDA">
              <w:rPr>
                <w:rFonts w:cs="Arial"/>
              </w:rPr>
              <w:t>чести</w:t>
            </w:r>
          </w:p>
        </w:tc>
        <w:tc>
          <w:tcPr>
            <w:tcW w:w="1660" w:type="dxa"/>
          </w:tcPr>
          <w:p w14:paraId="06EC3ACF" w14:textId="77777777" w:rsidR="00F57DDA" w:rsidRPr="00F57DDA" w:rsidRDefault="00F57DDA" w:rsidP="00F57DDA">
            <w:pPr>
              <w:rPr>
                <w:rFonts w:cs="Arial"/>
              </w:rPr>
            </w:pPr>
          </w:p>
        </w:tc>
        <w:tc>
          <w:tcPr>
            <w:tcW w:w="1529" w:type="dxa"/>
          </w:tcPr>
          <w:p w14:paraId="2F98D04C" w14:textId="252D40A0" w:rsidR="00F57DDA" w:rsidRPr="00F57DDA" w:rsidRDefault="00F57DDA" w:rsidP="00F57DDA">
            <w:pPr>
              <w:rPr>
                <w:rFonts w:cs="Arial"/>
              </w:rPr>
            </w:pPr>
            <w:r w:rsidRPr="00F57DDA">
              <w:rPr>
                <w:rFonts w:cs="Arial"/>
              </w:rPr>
              <w:t xml:space="preserve">нечести </w:t>
            </w:r>
            <w:r w:rsidRPr="00F57DDA">
              <w:rPr>
                <w:rFonts w:cs="Arial"/>
                <w:vertAlign w:val="superscript"/>
              </w:rPr>
              <w:t>†</w:t>
            </w:r>
          </w:p>
        </w:tc>
        <w:tc>
          <w:tcPr>
            <w:tcW w:w="1490" w:type="dxa"/>
          </w:tcPr>
          <w:p w14:paraId="147BB6D3" w14:textId="541510AB" w:rsidR="00F57DDA" w:rsidRPr="00F57DDA" w:rsidRDefault="00F57DDA" w:rsidP="00F57DDA">
            <w:pPr>
              <w:rPr>
                <w:rFonts w:cs="Arial"/>
              </w:rPr>
            </w:pPr>
            <w:r w:rsidRPr="00F57DDA">
              <w:rPr>
                <w:rFonts w:cs="Arial"/>
              </w:rPr>
              <w:t>чести</w:t>
            </w:r>
            <w:r w:rsidRPr="00F57DDA">
              <w:rPr>
                <w:rFonts w:cs="Arial"/>
                <w:vertAlign w:val="superscript"/>
              </w:rPr>
              <w:t>†</w:t>
            </w:r>
          </w:p>
        </w:tc>
        <w:tc>
          <w:tcPr>
            <w:tcW w:w="1429" w:type="dxa"/>
          </w:tcPr>
          <w:p w14:paraId="69216D81" w14:textId="77777777" w:rsidR="00F57DDA" w:rsidRPr="00F57DDA" w:rsidRDefault="00F57DDA" w:rsidP="00F57DDA">
            <w:pPr>
              <w:rPr>
                <w:rFonts w:cs="Arial"/>
              </w:rPr>
            </w:pPr>
          </w:p>
        </w:tc>
      </w:tr>
      <w:tr w:rsidR="00F57DDA" w14:paraId="687975FE" w14:textId="77777777" w:rsidTr="001D1FEB">
        <w:tc>
          <w:tcPr>
            <w:tcW w:w="1978" w:type="dxa"/>
          </w:tcPr>
          <w:p w14:paraId="4ADC799C" w14:textId="472D4218" w:rsidR="00F57DDA" w:rsidRPr="00F57DDA" w:rsidRDefault="00F57DDA" w:rsidP="00F57DDA">
            <w:pPr>
              <w:rPr>
                <w:rFonts w:cs="Arial"/>
              </w:rPr>
            </w:pPr>
            <w:r w:rsidRPr="00F57DDA">
              <w:rPr>
                <w:rFonts w:cs="Arial"/>
              </w:rPr>
              <w:t xml:space="preserve">повишена аланинамино- трансфераза </w:t>
            </w:r>
            <w:r w:rsidRPr="00F57DDA">
              <w:rPr>
                <w:rFonts w:cs="Arial"/>
                <w:lang w:val="en-US"/>
              </w:rPr>
              <w:t>(ALT)</w:t>
            </w:r>
            <w:r w:rsidRPr="00F57DDA">
              <w:rPr>
                <w:rFonts w:cs="Arial"/>
                <w:vertAlign w:val="superscript"/>
                <w:lang w:val="en-US"/>
              </w:rPr>
              <w:t>§</w:t>
            </w:r>
          </w:p>
        </w:tc>
        <w:tc>
          <w:tcPr>
            <w:tcW w:w="1490" w:type="dxa"/>
          </w:tcPr>
          <w:p w14:paraId="07323D27" w14:textId="2E4D619F" w:rsidR="00F57DDA" w:rsidRPr="00F57DDA" w:rsidRDefault="00F57DDA" w:rsidP="00F57DDA">
            <w:pPr>
              <w:rPr>
                <w:rFonts w:cs="Arial"/>
              </w:rPr>
            </w:pPr>
            <w:r w:rsidRPr="00F57DDA">
              <w:rPr>
                <w:rFonts w:cs="Arial"/>
              </w:rPr>
              <w:t>редки</w:t>
            </w:r>
          </w:p>
        </w:tc>
        <w:tc>
          <w:tcPr>
            <w:tcW w:w="1660" w:type="dxa"/>
          </w:tcPr>
          <w:p w14:paraId="2D60AEBA" w14:textId="77777777" w:rsidR="00F57DDA" w:rsidRPr="00F57DDA" w:rsidRDefault="00F57DDA" w:rsidP="00F57DDA">
            <w:pPr>
              <w:rPr>
                <w:rFonts w:cs="Arial"/>
              </w:rPr>
            </w:pPr>
          </w:p>
        </w:tc>
        <w:tc>
          <w:tcPr>
            <w:tcW w:w="1529" w:type="dxa"/>
          </w:tcPr>
          <w:p w14:paraId="711BD9D4" w14:textId="77777777" w:rsidR="00F57DDA" w:rsidRPr="00F57DDA" w:rsidRDefault="00F57DDA" w:rsidP="00F57DDA">
            <w:pPr>
              <w:rPr>
                <w:rFonts w:cs="Arial"/>
              </w:rPr>
            </w:pPr>
          </w:p>
        </w:tc>
        <w:tc>
          <w:tcPr>
            <w:tcW w:w="1490" w:type="dxa"/>
          </w:tcPr>
          <w:p w14:paraId="54808610" w14:textId="77777777" w:rsidR="00F57DDA" w:rsidRPr="00F57DDA" w:rsidRDefault="00F57DDA" w:rsidP="00F57DDA">
            <w:pPr>
              <w:rPr>
                <w:rFonts w:cs="Arial"/>
              </w:rPr>
            </w:pPr>
          </w:p>
        </w:tc>
        <w:tc>
          <w:tcPr>
            <w:tcW w:w="1429" w:type="dxa"/>
          </w:tcPr>
          <w:p w14:paraId="61A3EAF4" w14:textId="77777777" w:rsidR="00F57DDA" w:rsidRPr="00F57DDA" w:rsidRDefault="00F57DDA" w:rsidP="00F57DDA">
            <w:pPr>
              <w:rPr>
                <w:rFonts w:cs="Arial"/>
              </w:rPr>
            </w:pPr>
          </w:p>
        </w:tc>
      </w:tr>
      <w:tr w:rsidR="00F57DDA" w14:paraId="11A6D1BC" w14:textId="77777777" w:rsidTr="001D1FEB">
        <w:tc>
          <w:tcPr>
            <w:tcW w:w="1978" w:type="dxa"/>
          </w:tcPr>
          <w:p w14:paraId="16B08BEF" w14:textId="69A6CE80" w:rsidR="00F57DDA" w:rsidRPr="00F57DDA" w:rsidRDefault="00F57DDA" w:rsidP="00F57DDA">
            <w:pPr>
              <w:rPr>
                <w:rFonts w:cs="Arial"/>
              </w:rPr>
            </w:pPr>
            <w:r w:rsidRPr="00F57DDA">
              <w:rPr>
                <w:rFonts w:cs="Arial"/>
              </w:rPr>
              <w:t>Повишаване на кръвната урея, серумния креатинин и серумния калий</w:t>
            </w:r>
          </w:p>
        </w:tc>
        <w:tc>
          <w:tcPr>
            <w:tcW w:w="1490" w:type="dxa"/>
          </w:tcPr>
          <w:p w14:paraId="0DF51091" w14:textId="77777777" w:rsidR="00F57DDA" w:rsidRPr="00F57DDA" w:rsidRDefault="00F57DDA" w:rsidP="00F57DDA">
            <w:pPr>
              <w:rPr>
                <w:rFonts w:cs="Arial"/>
              </w:rPr>
            </w:pPr>
          </w:p>
        </w:tc>
        <w:tc>
          <w:tcPr>
            <w:tcW w:w="1660" w:type="dxa"/>
          </w:tcPr>
          <w:p w14:paraId="0D893BC2" w14:textId="77777777" w:rsidR="00F57DDA" w:rsidRPr="00F57DDA" w:rsidRDefault="00F57DDA" w:rsidP="00F57DDA">
            <w:pPr>
              <w:rPr>
                <w:rFonts w:cs="Arial"/>
              </w:rPr>
            </w:pPr>
          </w:p>
        </w:tc>
        <w:tc>
          <w:tcPr>
            <w:tcW w:w="1529" w:type="dxa"/>
          </w:tcPr>
          <w:p w14:paraId="64C633FA" w14:textId="3F4CF81D" w:rsidR="00F57DDA" w:rsidRPr="00F57DDA" w:rsidRDefault="00F57DDA" w:rsidP="00F57DDA">
            <w:pPr>
              <w:rPr>
                <w:rFonts w:cs="Arial"/>
              </w:rPr>
            </w:pPr>
            <w:r w:rsidRPr="00F57DDA">
              <w:rPr>
                <w:rFonts w:cs="Arial"/>
              </w:rPr>
              <w:t>чести</w:t>
            </w:r>
          </w:p>
        </w:tc>
        <w:tc>
          <w:tcPr>
            <w:tcW w:w="1490" w:type="dxa"/>
          </w:tcPr>
          <w:p w14:paraId="22C4E7FF" w14:textId="77777777" w:rsidR="00F57DDA" w:rsidRPr="00F57DDA" w:rsidRDefault="00F57DDA" w:rsidP="00F57DDA">
            <w:pPr>
              <w:rPr>
                <w:rFonts w:cs="Arial"/>
              </w:rPr>
            </w:pPr>
          </w:p>
        </w:tc>
        <w:tc>
          <w:tcPr>
            <w:tcW w:w="1429" w:type="dxa"/>
          </w:tcPr>
          <w:p w14:paraId="7704E3DF" w14:textId="77777777" w:rsidR="00F57DDA" w:rsidRPr="00F57DDA" w:rsidRDefault="00F57DDA" w:rsidP="00F57DDA">
            <w:pPr>
              <w:rPr>
                <w:rFonts w:cs="Arial"/>
              </w:rPr>
            </w:pPr>
          </w:p>
        </w:tc>
      </w:tr>
      <w:tr w:rsidR="00F57DDA" w14:paraId="17C4C148" w14:textId="77777777" w:rsidTr="001D1FEB">
        <w:tc>
          <w:tcPr>
            <w:tcW w:w="1978" w:type="dxa"/>
          </w:tcPr>
          <w:p w14:paraId="00DDEF49" w14:textId="06D754CB" w:rsidR="00F57DDA" w:rsidRPr="00F57DDA" w:rsidRDefault="00F57DDA" w:rsidP="00F57DDA">
            <w:pPr>
              <w:rPr>
                <w:rFonts w:cs="Arial"/>
              </w:rPr>
            </w:pPr>
            <w:r w:rsidRPr="00F57DDA">
              <w:rPr>
                <w:rFonts w:cs="Arial"/>
              </w:rPr>
              <w:lastRenderedPageBreak/>
              <w:t>хипонатриемия</w:t>
            </w:r>
          </w:p>
        </w:tc>
        <w:tc>
          <w:tcPr>
            <w:tcW w:w="1490" w:type="dxa"/>
          </w:tcPr>
          <w:p w14:paraId="5D31695B" w14:textId="77777777" w:rsidR="00F57DDA" w:rsidRPr="00F57DDA" w:rsidRDefault="00F57DDA" w:rsidP="00F57DDA">
            <w:pPr>
              <w:rPr>
                <w:rFonts w:cs="Arial"/>
              </w:rPr>
            </w:pPr>
          </w:p>
        </w:tc>
        <w:tc>
          <w:tcPr>
            <w:tcW w:w="1660" w:type="dxa"/>
          </w:tcPr>
          <w:p w14:paraId="4BA3BDD9" w14:textId="77777777" w:rsidR="00F57DDA" w:rsidRPr="00F57DDA" w:rsidRDefault="00F57DDA" w:rsidP="00F57DDA">
            <w:pPr>
              <w:rPr>
                <w:rFonts w:cs="Arial"/>
              </w:rPr>
            </w:pPr>
          </w:p>
        </w:tc>
        <w:tc>
          <w:tcPr>
            <w:tcW w:w="1529" w:type="dxa"/>
          </w:tcPr>
          <w:p w14:paraId="63B70173" w14:textId="77777777" w:rsidR="00F57DDA" w:rsidRPr="00F57DDA" w:rsidRDefault="00F57DDA" w:rsidP="00F57DDA">
            <w:pPr>
              <w:rPr>
                <w:rFonts w:cs="Arial"/>
              </w:rPr>
            </w:pPr>
          </w:p>
        </w:tc>
        <w:tc>
          <w:tcPr>
            <w:tcW w:w="1490" w:type="dxa"/>
          </w:tcPr>
          <w:p w14:paraId="7EBF8DE3" w14:textId="77777777" w:rsidR="00F57DDA" w:rsidRPr="00F57DDA" w:rsidRDefault="00F57DDA" w:rsidP="00F57DDA">
            <w:pPr>
              <w:rPr>
                <w:rFonts w:cs="Arial"/>
              </w:rPr>
            </w:pPr>
          </w:p>
        </w:tc>
        <w:tc>
          <w:tcPr>
            <w:tcW w:w="1429" w:type="dxa"/>
          </w:tcPr>
          <w:p w14:paraId="15B33A00" w14:textId="0DDCA493" w:rsidR="00F57DDA" w:rsidRPr="00F57DDA" w:rsidRDefault="00F57DDA" w:rsidP="00F57DDA">
            <w:pPr>
              <w:rPr>
                <w:rFonts w:cs="Arial"/>
              </w:rPr>
            </w:pPr>
            <w:r w:rsidRPr="00F57DDA">
              <w:rPr>
                <w:rFonts w:cs="Arial"/>
              </w:rPr>
              <w:t>с неизвестна честота</w:t>
            </w:r>
          </w:p>
        </w:tc>
      </w:tr>
      <w:tr w:rsidR="00F57DDA" w14:paraId="54E8C0D6" w14:textId="77777777" w:rsidTr="001D1FEB">
        <w:tc>
          <w:tcPr>
            <w:tcW w:w="1978" w:type="dxa"/>
          </w:tcPr>
          <w:p w14:paraId="120F4C75" w14:textId="64A2510D" w:rsidR="00F57DDA" w:rsidRPr="00F57DDA" w:rsidRDefault="00F57DDA" w:rsidP="00F57DDA">
            <w:pPr>
              <w:rPr>
                <w:rFonts w:cs="Arial"/>
              </w:rPr>
            </w:pPr>
            <w:r w:rsidRPr="00F57DDA">
              <w:rPr>
                <w:rFonts w:cs="Arial"/>
              </w:rPr>
              <w:t>хипогликемия</w:t>
            </w:r>
          </w:p>
        </w:tc>
        <w:tc>
          <w:tcPr>
            <w:tcW w:w="1490" w:type="dxa"/>
          </w:tcPr>
          <w:p w14:paraId="6FF4E804" w14:textId="77777777" w:rsidR="00F57DDA" w:rsidRPr="00F57DDA" w:rsidRDefault="00F57DDA" w:rsidP="00F57DDA">
            <w:pPr>
              <w:rPr>
                <w:rFonts w:cs="Arial"/>
              </w:rPr>
            </w:pPr>
          </w:p>
        </w:tc>
        <w:tc>
          <w:tcPr>
            <w:tcW w:w="1660" w:type="dxa"/>
          </w:tcPr>
          <w:p w14:paraId="2175C52F" w14:textId="77777777" w:rsidR="00F57DDA" w:rsidRPr="00F57DDA" w:rsidRDefault="00F57DDA" w:rsidP="00F57DDA">
            <w:pPr>
              <w:rPr>
                <w:rFonts w:cs="Arial"/>
              </w:rPr>
            </w:pPr>
          </w:p>
        </w:tc>
        <w:tc>
          <w:tcPr>
            <w:tcW w:w="1529" w:type="dxa"/>
          </w:tcPr>
          <w:p w14:paraId="3E1A6CEC" w14:textId="77777777" w:rsidR="00F57DDA" w:rsidRPr="00F57DDA" w:rsidRDefault="00F57DDA" w:rsidP="00F57DDA">
            <w:pPr>
              <w:rPr>
                <w:rFonts w:cs="Arial"/>
              </w:rPr>
            </w:pPr>
          </w:p>
        </w:tc>
        <w:tc>
          <w:tcPr>
            <w:tcW w:w="1490" w:type="dxa"/>
          </w:tcPr>
          <w:p w14:paraId="16D17334" w14:textId="420C3BA9" w:rsidR="00F57DDA" w:rsidRPr="00F57DDA" w:rsidRDefault="00F57DDA" w:rsidP="00F57DDA">
            <w:pPr>
              <w:rPr>
                <w:rFonts w:cs="Arial"/>
              </w:rPr>
            </w:pPr>
            <w:r w:rsidRPr="00F57DDA">
              <w:rPr>
                <w:rFonts w:cs="Arial"/>
              </w:rPr>
              <w:t>чести</w:t>
            </w:r>
          </w:p>
        </w:tc>
        <w:tc>
          <w:tcPr>
            <w:tcW w:w="1429" w:type="dxa"/>
          </w:tcPr>
          <w:p w14:paraId="7C3D40B8" w14:textId="77777777" w:rsidR="00F57DDA" w:rsidRPr="00F57DDA" w:rsidRDefault="00F57DDA" w:rsidP="00F57DDA">
            <w:pPr>
              <w:rPr>
                <w:rFonts w:cs="Arial"/>
              </w:rPr>
            </w:pPr>
          </w:p>
        </w:tc>
      </w:tr>
    </w:tbl>
    <w:p w14:paraId="48301972" w14:textId="47C8C62E" w:rsidR="00324ADA" w:rsidRDefault="00324ADA" w:rsidP="0091385D"/>
    <w:p w14:paraId="699C9EFA" w14:textId="77777777" w:rsidR="00324ADA" w:rsidRPr="00324ADA" w:rsidRDefault="00324ADA" w:rsidP="00324ADA">
      <w:pPr>
        <w:spacing w:line="240" w:lineRule="auto"/>
        <w:rPr>
          <w:rFonts w:eastAsia="Times New Roman" w:cs="Arial"/>
          <w:lang w:eastAsia="bg-BG"/>
        </w:rPr>
      </w:pPr>
      <w:r w:rsidRPr="00324ADA">
        <w:rPr>
          <w:rFonts w:eastAsia="Times New Roman" w:cs="Arial"/>
          <w:color w:val="000000"/>
          <w:lang w:eastAsia="bg-BG"/>
        </w:rPr>
        <w:t>*Включително оток на ларинкса, глотиса, лицето, устните, фаринкса и/или езика (причиняващо запушване на дихателните пътища); при някои от тези пациенти ангиоедем е наблюдаван в миналото във връзка с прилагането на други лекарства, включително АСЕ</w:t>
      </w:r>
      <w:r w:rsidRPr="00324ADA">
        <w:rPr>
          <w:rFonts w:eastAsia="Times New Roman" w:cs="Arial"/>
          <w:color w:val="000000"/>
          <w:lang w:val="en-US"/>
        </w:rPr>
        <w:t xml:space="preserve"> </w:t>
      </w:r>
      <w:r w:rsidRPr="00324ADA">
        <w:rPr>
          <w:rFonts w:eastAsia="Times New Roman" w:cs="Arial"/>
          <w:color w:val="000000"/>
          <w:lang w:eastAsia="bg-BG"/>
        </w:rPr>
        <w:t>инхибитори</w:t>
      </w:r>
    </w:p>
    <w:p w14:paraId="388BC2F3" w14:textId="77777777" w:rsidR="00324ADA" w:rsidRPr="00324ADA" w:rsidRDefault="00324ADA" w:rsidP="00324ADA">
      <w:pPr>
        <w:spacing w:line="240" w:lineRule="auto"/>
        <w:rPr>
          <w:rFonts w:eastAsia="Times New Roman" w:cs="Arial"/>
          <w:lang w:eastAsia="bg-BG"/>
        </w:rPr>
      </w:pPr>
      <w:r w:rsidRPr="00324ADA">
        <w:rPr>
          <w:rFonts w:eastAsia="Times New Roman" w:cs="Arial"/>
          <w:color w:val="000000"/>
          <w:lang w:eastAsia="bg-BG"/>
        </w:rPr>
        <w:t xml:space="preserve">** Включително пурпура на </w:t>
      </w:r>
      <w:r w:rsidRPr="00324ADA">
        <w:rPr>
          <w:rFonts w:eastAsia="Times New Roman" w:cs="Arial"/>
          <w:color w:val="000000"/>
          <w:lang w:val="en-US"/>
        </w:rPr>
        <w:t>Henoch-</w:t>
      </w:r>
      <w:proofErr w:type="spellStart"/>
      <w:r w:rsidRPr="00324ADA">
        <w:rPr>
          <w:rFonts w:eastAsia="Times New Roman" w:cs="Arial"/>
          <w:color w:val="000000"/>
          <w:lang w:val="en-US"/>
        </w:rPr>
        <w:t>Schonlein</w:t>
      </w:r>
      <w:proofErr w:type="spellEnd"/>
    </w:p>
    <w:p w14:paraId="64C2ADDB" w14:textId="77777777" w:rsidR="00324ADA" w:rsidRPr="00324ADA" w:rsidRDefault="00324ADA" w:rsidP="00324ADA">
      <w:pPr>
        <w:spacing w:line="240" w:lineRule="auto"/>
        <w:rPr>
          <w:rFonts w:eastAsia="Times New Roman" w:cs="Arial"/>
          <w:lang w:eastAsia="bg-BG"/>
        </w:rPr>
      </w:pPr>
      <w:r w:rsidRPr="00324ADA">
        <w:rPr>
          <w:rFonts w:eastAsia="Times New Roman" w:cs="Arial"/>
          <w:color w:val="000000"/>
          <w:vertAlign w:val="superscript"/>
          <w:lang w:eastAsia="bg-BG"/>
        </w:rPr>
        <w:t xml:space="preserve">II </w:t>
      </w:r>
      <w:r w:rsidRPr="00324ADA">
        <w:rPr>
          <w:rFonts w:eastAsia="Times New Roman" w:cs="Arial"/>
          <w:color w:val="000000"/>
          <w:lang w:eastAsia="bg-BG"/>
        </w:rPr>
        <w:t>Особено при пациенти с намален вътресъдов обем, напр. пациенти с тежка сърдечна</w:t>
      </w:r>
    </w:p>
    <w:p w14:paraId="1B9492A3" w14:textId="77777777" w:rsidR="00324ADA" w:rsidRPr="00324ADA" w:rsidRDefault="00324ADA" w:rsidP="00324ADA">
      <w:pPr>
        <w:spacing w:line="240" w:lineRule="auto"/>
        <w:rPr>
          <w:rFonts w:eastAsia="Times New Roman" w:cs="Arial"/>
          <w:lang w:eastAsia="bg-BG"/>
        </w:rPr>
      </w:pPr>
      <w:r w:rsidRPr="00324ADA">
        <w:rPr>
          <w:rFonts w:eastAsia="Times New Roman" w:cs="Arial"/>
          <w:color w:val="000000"/>
          <w:lang w:eastAsia="bg-BG"/>
        </w:rPr>
        <w:t>недостатъчност или провеждащи лечение с високи дози диуретици</w:t>
      </w:r>
    </w:p>
    <w:p w14:paraId="7C67A4FB" w14:textId="2DCA3628" w:rsidR="00324ADA" w:rsidRPr="00324ADA" w:rsidRDefault="00324ADA" w:rsidP="00324ADA">
      <w:pPr>
        <w:rPr>
          <w:rFonts w:cs="Arial"/>
        </w:rPr>
      </w:pPr>
      <w:r w:rsidRPr="00324ADA">
        <w:rPr>
          <w:rFonts w:eastAsia="Times New Roman" w:cs="Arial"/>
          <w:color w:val="000000"/>
          <w:vertAlign w:val="superscript"/>
          <w:lang w:eastAsia="bg-BG"/>
        </w:rPr>
        <w:t>†</w:t>
      </w:r>
      <w:r w:rsidRPr="00324ADA">
        <w:rPr>
          <w:rFonts w:eastAsia="Times New Roman" w:cs="Arial"/>
          <w:color w:val="000000"/>
          <w:lang w:eastAsia="bg-BG"/>
        </w:rPr>
        <w:t xml:space="preserve"> Чести при пациенти, които получават 150 </w:t>
      </w:r>
      <w:r w:rsidRPr="00324ADA">
        <w:rPr>
          <w:rFonts w:eastAsia="Times New Roman" w:cs="Arial"/>
          <w:color w:val="000000"/>
          <w:lang w:val="en-US"/>
        </w:rPr>
        <w:t xml:space="preserve">mg </w:t>
      </w:r>
      <w:r w:rsidRPr="00324ADA">
        <w:rPr>
          <w:rFonts w:eastAsia="Times New Roman" w:cs="Arial"/>
          <w:color w:val="000000"/>
          <w:lang w:eastAsia="bg-BG"/>
        </w:rPr>
        <w:t xml:space="preserve">лосартан вместо 50 </w:t>
      </w:r>
      <w:r w:rsidRPr="00324ADA">
        <w:rPr>
          <w:rFonts w:eastAsia="Times New Roman" w:cs="Arial"/>
          <w:color w:val="000000"/>
          <w:lang w:val="en-US"/>
        </w:rPr>
        <w:t xml:space="preserve">mg </w:t>
      </w:r>
      <w:r w:rsidRPr="00324ADA">
        <w:rPr>
          <w:rFonts w:eastAsia="Times New Roman" w:cs="Arial"/>
          <w:color w:val="000000"/>
          <w:lang w:eastAsia="bg-BG"/>
        </w:rPr>
        <w:t>лосартан.</w:t>
      </w:r>
    </w:p>
    <w:p w14:paraId="40AB60A0" w14:textId="418C6630" w:rsidR="00324ADA" w:rsidRPr="00324ADA" w:rsidRDefault="00324ADA" w:rsidP="0091385D">
      <w:pPr>
        <w:rPr>
          <w:rFonts w:cs="Arial"/>
        </w:rPr>
      </w:pPr>
    </w:p>
    <w:p w14:paraId="021A2B04" w14:textId="77777777" w:rsidR="00324ADA" w:rsidRPr="00324ADA" w:rsidRDefault="00324ADA" w:rsidP="00324ADA">
      <w:pPr>
        <w:spacing w:line="240" w:lineRule="auto"/>
        <w:rPr>
          <w:rFonts w:eastAsia="Times New Roman" w:cs="Arial"/>
          <w:lang w:eastAsia="bg-BG"/>
        </w:rPr>
      </w:pPr>
      <w:r w:rsidRPr="00324ADA">
        <w:rPr>
          <w:rFonts w:eastAsia="Times New Roman" w:cs="Arial"/>
          <w:color w:val="000000"/>
          <w:vertAlign w:val="superscript"/>
          <w:lang w:val="en-US"/>
        </w:rPr>
        <w:t>‡</w:t>
      </w:r>
      <w:r w:rsidRPr="00324ADA">
        <w:rPr>
          <w:rFonts w:eastAsia="Times New Roman" w:cs="Arial"/>
          <w:color w:val="000000"/>
          <w:lang w:eastAsia="bg-BG"/>
        </w:rPr>
        <w:t xml:space="preserve"> В клинично проучване, проведено с пациенти с диабет тип 2 с нефропатия, 9,9 % от пациентите, лекувани с лосартан таблетки развиват хиперкалиемия &gt; 5,5 </w:t>
      </w:r>
      <w:proofErr w:type="spellStart"/>
      <w:r w:rsidRPr="00324ADA">
        <w:rPr>
          <w:rFonts w:eastAsia="Times New Roman" w:cs="Arial"/>
          <w:color w:val="000000"/>
          <w:lang w:val="en-US"/>
        </w:rPr>
        <w:t>mmol</w:t>
      </w:r>
      <w:proofErr w:type="spellEnd"/>
      <w:r w:rsidRPr="00324ADA">
        <w:rPr>
          <w:rFonts w:eastAsia="Times New Roman" w:cs="Arial"/>
          <w:color w:val="000000"/>
          <w:lang w:val="en-US"/>
        </w:rPr>
        <w:t xml:space="preserve">/l </w:t>
      </w:r>
      <w:r w:rsidRPr="00324ADA">
        <w:rPr>
          <w:rFonts w:eastAsia="Times New Roman" w:cs="Arial"/>
          <w:color w:val="000000"/>
          <w:lang w:eastAsia="bg-BG"/>
        </w:rPr>
        <w:t xml:space="preserve">и 3,4 </w:t>
      </w:r>
      <w:r w:rsidRPr="00324ADA">
        <w:rPr>
          <w:rFonts w:eastAsia="Times New Roman" w:cs="Arial"/>
          <w:i/>
          <w:iCs/>
          <w:color w:val="000000"/>
          <w:lang w:eastAsia="bg-BG"/>
        </w:rPr>
        <w:t xml:space="preserve">% от </w:t>
      </w:r>
      <w:r w:rsidRPr="00324ADA">
        <w:rPr>
          <w:rFonts w:eastAsia="Times New Roman" w:cs="Arial"/>
          <w:color w:val="000000"/>
          <w:lang w:eastAsia="bg-BG"/>
        </w:rPr>
        <w:t>пациентите, лекувани с плацебо</w:t>
      </w:r>
    </w:p>
    <w:p w14:paraId="59558BAE" w14:textId="77777777" w:rsidR="00324ADA" w:rsidRPr="00324ADA" w:rsidRDefault="00324ADA" w:rsidP="00324ADA">
      <w:pPr>
        <w:spacing w:line="240" w:lineRule="auto"/>
        <w:rPr>
          <w:rFonts w:eastAsia="Times New Roman" w:cs="Arial"/>
          <w:lang w:eastAsia="bg-BG"/>
        </w:rPr>
      </w:pPr>
      <w:proofErr w:type="gramStart"/>
      <w:r w:rsidRPr="00324ADA">
        <w:rPr>
          <w:rFonts w:eastAsia="Times New Roman" w:cs="Arial"/>
          <w:color w:val="000000"/>
          <w:vertAlign w:val="superscript"/>
          <w:lang w:val="en-US"/>
        </w:rPr>
        <w:t>s</w:t>
      </w:r>
      <w:proofErr w:type="gramEnd"/>
      <w:r w:rsidRPr="00324ADA">
        <w:rPr>
          <w:rFonts w:eastAsia="Times New Roman" w:cs="Arial"/>
          <w:color w:val="000000"/>
          <w:lang w:val="en-US"/>
        </w:rPr>
        <w:t xml:space="preserve"> </w:t>
      </w:r>
      <w:r w:rsidRPr="00324ADA">
        <w:rPr>
          <w:rFonts w:eastAsia="Times New Roman" w:cs="Arial"/>
          <w:color w:val="000000"/>
          <w:lang w:eastAsia="bg-BG"/>
        </w:rPr>
        <w:t>Обикновено отзвучава при преустановяване на лечението</w:t>
      </w:r>
    </w:p>
    <w:p w14:paraId="42ADE36D" w14:textId="77777777" w:rsidR="00324ADA" w:rsidRPr="00324ADA" w:rsidRDefault="00324ADA" w:rsidP="00324ADA">
      <w:pPr>
        <w:spacing w:line="240" w:lineRule="auto"/>
        <w:rPr>
          <w:rFonts w:eastAsia="Times New Roman" w:cs="Arial"/>
          <w:lang w:eastAsia="bg-BG"/>
        </w:rPr>
      </w:pPr>
    </w:p>
    <w:p w14:paraId="731F7796" w14:textId="41DC7CD6" w:rsidR="00324ADA" w:rsidRPr="00324ADA" w:rsidRDefault="00324ADA" w:rsidP="00324ADA">
      <w:pPr>
        <w:spacing w:line="240" w:lineRule="auto"/>
        <w:rPr>
          <w:rFonts w:eastAsia="Times New Roman" w:cs="Arial"/>
          <w:lang w:eastAsia="bg-BG"/>
        </w:rPr>
      </w:pPr>
      <w:r w:rsidRPr="00324ADA">
        <w:rPr>
          <w:rFonts w:eastAsia="Times New Roman" w:cs="Arial"/>
          <w:color w:val="000000"/>
          <w:lang w:eastAsia="bg-BG"/>
        </w:rPr>
        <w:t>Следните допълнителни нежелани реакции се срещат по-често при пациенти, които получават лосартан, отколкото при тези, които получават плацебо (с неизвестна честота): болка в гърба, инфекции на пикочните пътища и грипоподобни симптоми.</w:t>
      </w:r>
    </w:p>
    <w:p w14:paraId="4064AFF0" w14:textId="77777777" w:rsidR="00324ADA" w:rsidRPr="00324ADA" w:rsidRDefault="00324ADA" w:rsidP="00324ADA">
      <w:pPr>
        <w:spacing w:line="240" w:lineRule="auto"/>
        <w:rPr>
          <w:rFonts w:eastAsia="Times New Roman" w:cs="Arial"/>
          <w:i/>
          <w:iCs/>
          <w:color w:val="000000"/>
          <w:lang w:eastAsia="bg-BG"/>
        </w:rPr>
      </w:pPr>
    </w:p>
    <w:p w14:paraId="193B97CD" w14:textId="69F03D18" w:rsidR="00324ADA" w:rsidRPr="00324ADA" w:rsidRDefault="00324ADA" w:rsidP="00324ADA">
      <w:pPr>
        <w:spacing w:line="240" w:lineRule="auto"/>
        <w:rPr>
          <w:rFonts w:eastAsia="Times New Roman" w:cs="Arial"/>
          <w:lang w:eastAsia="bg-BG"/>
        </w:rPr>
      </w:pPr>
      <w:r w:rsidRPr="00324ADA">
        <w:rPr>
          <w:rFonts w:eastAsia="Times New Roman" w:cs="Arial"/>
          <w:i/>
          <w:iCs/>
          <w:color w:val="000000"/>
          <w:lang w:eastAsia="bg-BG"/>
        </w:rPr>
        <w:t>Нарушения на бъбреците и пикочните пътища:</w:t>
      </w:r>
    </w:p>
    <w:p w14:paraId="1E3B52F0" w14:textId="77777777" w:rsidR="00324ADA" w:rsidRPr="00324ADA" w:rsidRDefault="00324ADA" w:rsidP="00324ADA">
      <w:pPr>
        <w:spacing w:line="240" w:lineRule="auto"/>
        <w:rPr>
          <w:rFonts w:eastAsia="Times New Roman" w:cs="Arial"/>
          <w:lang w:eastAsia="bg-BG"/>
        </w:rPr>
      </w:pPr>
      <w:r w:rsidRPr="00324ADA">
        <w:rPr>
          <w:rFonts w:eastAsia="Times New Roman" w:cs="Arial"/>
          <w:color w:val="000000"/>
          <w:lang w:eastAsia="bg-BG"/>
        </w:rPr>
        <w:t>Съобщава се за промени в бъбречната функция, включително бъбречна недостатъчност при рискови пациенти като последица от инхибиране на ренин-ангиотензин-алдостероновата система; тези промени в бъбречната функция могат да бъдат обратими при прекратяване на лечението (вж. точка 4.4)</w:t>
      </w:r>
    </w:p>
    <w:p w14:paraId="70D9ADDF" w14:textId="77777777" w:rsidR="00324ADA" w:rsidRPr="00324ADA" w:rsidRDefault="00324ADA" w:rsidP="00324ADA">
      <w:pPr>
        <w:spacing w:line="240" w:lineRule="auto"/>
        <w:rPr>
          <w:rFonts w:eastAsia="Times New Roman" w:cs="Arial"/>
          <w:color w:val="000000"/>
          <w:u w:val="single"/>
          <w:lang w:eastAsia="bg-BG"/>
        </w:rPr>
      </w:pPr>
    </w:p>
    <w:p w14:paraId="64E99541" w14:textId="2346DEAF" w:rsidR="00324ADA" w:rsidRPr="00324ADA" w:rsidRDefault="00324ADA" w:rsidP="00324ADA">
      <w:pPr>
        <w:spacing w:line="240" w:lineRule="auto"/>
        <w:rPr>
          <w:rFonts w:eastAsia="Times New Roman" w:cs="Arial"/>
          <w:lang w:eastAsia="bg-BG"/>
        </w:rPr>
      </w:pPr>
      <w:r w:rsidRPr="00324ADA">
        <w:rPr>
          <w:rFonts w:eastAsia="Times New Roman" w:cs="Arial"/>
          <w:color w:val="000000"/>
          <w:u w:val="single"/>
          <w:lang w:eastAsia="bg-BG"/>
        </w:rPr>
        <w:t>Педиатрична популация</w:t>
      </w:r>
    </w:p>
    <w:p w14:paraId="700FD72C" w14:textId="77777777" w:rsidR="00324ADA" w:rsidRPr="00324ADA" w:rsidRDefault="00324ADA" w:rsidP="00324ADA">
      <w:pPr>
        <w:spacing w:line="240" w:lineRule="auto"/>
        <w:rPr>
          <w:rFonts w:eastAsia="Times New Roman" w:cs="Arial"/>
          <w:lang w:eastAsia="bg-BG"/>
        </w:rPr>
      </w:pPr>
      <w:r w:rsidRPr="00324ADA">
        <w:rPr>
          <w:rFonts w:eastAsia="Times New Roman" w:cs="Arial"/>
          <w:color w:val="000000"/>
          <w:lang w:eastAsia="bg-BG"/>
        </w:rPr>
        <w:t>Профилът на нежеланите лекарствени реакции при педиатрични пациенти изглежда е подобен на този, наблюдаван при възрастните пациенти. Данните в педиатричната група са ограничени.</w:t>
      </w:r>
    </w:p>
    <w:p w14:paraId="6162AD46" w14:textId="77777777" w:rsidR="00324ADA" w:rsidRPr="00324ADA" w:rsidRDefault="00324ADA" w:rsidP="00324ADA">
      <w:pPr>
        <w:spacing w:line="240" w:lineRule="auto"/>
        <w:rPr>
          <w:rFonts w:eastAsia="Times New Roman" w:cs="Arial"/>
          <w:color w:val="000000"/>
          <w:u w:val="single"/>
          <w:lang w:eastAsia="bg-BG"/>
        </w:rPr>
      </w:pPr>
    </w:p>
    <w:p w14:paraId="2ABE96CA" w14:textId="23FAA397" w:rsidR="00324ADA" w:rsidRPr="00324ADA" w:rsidRDefault="00324ADA" w:rsidP="00324ADA">
      <w:pPr>
        <w:spacing w:line="240" w:lineRule="auto"/>
        <w:rPr>
          <w:rFonts w:eastAsia="Times New Roman" w:cs="Arial"/>
          <w:lang w:eastAsia="bg-BG"/>
        </w:rPr>
      </w:pPr>
      <w:r w:rsidRPr="00324ADA">
        <w:rPr>
          <w:rFonts w:eastAsia="Times New Roman" w:cs="Arial"/>
          <w:color w:val="000000"/>
          <w:u w:val="single"/>
          <w:lang w:eastAsia="bg-BG"/>
        </w:rPr>
        <w:t>Съобщаване на подозирани нежелани реакции</w:t>
      </w:r>
    </w:p>
    <w:p w14:paraId="6CAB9B1F" w14:textId="77777777" w:rsidR="00324ADA" w:rsidRPr="00324ADA" w:rsidRDefault="00324ADA" w:rsidP="00324ADA">
      <w:pPr>
        <w:spacing w:line="240" w:lineRule="auto"/>
        <w:rPr>
          <w:rFonts w:eastAsia="Times New Roman" w:cs="Arial"/>
          <w:lang w:eastAsia="bg-BG"/>
        </w:rPr>
      </w:pPr>
      <w:r w:rsidRPr="00324ADA">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0E6AE901" w14:textId="77777777" w:rsidR="00324ADA" w:rsidRPr="00324ADA" w:rsidRDefault="00324ADA" w:rsidP="00324ADA">
      <w:pPr>
        <w:spacing w:line="240" w:lineRule="auto"/>
        <w:rPr>
          <w:rFonts w:eastAsia="Times New Roman" w:cs="Arial"/>
          <w:lang w:eastAsia="bg-BG"/>
        </w:rPr>
      </w:pPr>
      <w:r w:rsidRPr="00324ADA">
        <w:rPr>
          <w:rFonts w:eastAsia="Times New Roman" w:cs="Arial"/>
          <w:color w:val="000000"/>
          <w:lang w:eastAsia="bg-BG"/>
        </w:rPr>
        <w:t>Изпълнителна агенция по лекарствата</w:t>
      </w:r>
    </w:p>
    <w:p w14:paraId="36797ED7" w14:textId="77777777" w:rsidR="00324ADA" w:rsidRPr="00324ADA" w:rsidRDefault="00324ADA" w:rsidP="00324ADA">
      <w:pPr>
        <w:spacing w:line="240" w:lineRule="auto"/>
        <w:rPr>
          <w:rFonts w:eastAsia="Times New Roman" w:cs="Arial"/>
          <w:lang w:eastAsia="bg-BG"/>
        </w:rPr>
      </w:pPr>
      <w:r w:rsidRPr="00324ADA">
        <w:rPr>
          <w:rFonts w:eastAsia="Times New Roman" w:cs="Arial"/>
          <w:color w:val="000000"/>
          <w:lang w:eastAsia="bg-BG"/>
        </w:rPr>
        <w:t>ул. „Дамян Груев” № 8,</w:t>
      </w:r>
    </w:p>
    <w:p w14:paraId="4239081E" w14:textId="6E03CFC6" w:rsidR="00324ADA" w:rsidRPr="00324ADA" w:rsidRDefault="00324ADA" w:rsidP="00324ADA">
      <w:pPr>
        <w:rPr>
          <w:rFonts w:cs="Arial"/>
        </w:rPr>
      </w:pPr>
      <w:r w:rsidRPr="00324ADA">
        <w:rPr>
          <w:rFonts w:eastAsia="Times New Roman" w:cs="Arial"/>
          <w:color w:val="000000"/>
          <w:lang w:eastAsia="bg-BG"/>
        </w:rPr>
        <w:t xml:space="preserve">1303 София, Тел.: +35 928903417, уебсайт: </w:t>
      </w:r>
      <w:r w:rsidRPr="00324ADA">
        <w:rPr>
          <w:rFonts w:eastAsia="Times New Roman" w:cs="Arial"/>
          <w:lang w:eastAsia="bg-BG"/>
        </w:rPr>
        <w:fldChar w:fldCharType="begin"/>
      </w:r>
      <w:r w:rsidRPr="00324ADA">
        <w:rPr>
          <w:rFonts w:eastAsia="Times New Roman" w:cs="Arial"/>
          <w:lang w:eastAsia="bg-BG"/>
        </w:rPr>
        <w:instrText xml:space="preserve"> HYPERLINK "http://www.bda.bg" </w:instrText>
      </w:r>
      <w:r w:rsidRPr="00324ADA">
        <w:rPr>
          <w:rFonts w:eastAsia="Times New Roman" w:cs="Arial"/>
          <w:lang w:eastAsia="bg-BG"/>
        </w:rPr>
      </w:r>
      <w:r w:rsidRPr="00324ADA">
        <w:rPr>
          <w:rFonts w:eastAsia="Times New Roman" w:cs="Arial"/>
          <w:lang w:eastAsia="bg-BG"/>
        </w:rPr>
        <w:fldChar w:fldCharType="separate"/>
      </w:r>
      <w:r w:rsidRPr="00324ADA">
        <w:rPr>
          <w:rFonts w:eastAsia="Times New Roman" w:cs="Arial"/>
          <w:color w:val="000000"/>
          <w:u w:val="single"/>
          <w:lang w:val="en-US"/>
        </w:rPr>
        <w:t>www.bda.bg</w:t>
      </w:r>
      <w:r w:rsidRPr="00324ADA">
        <w:rPr>
          <w:rFonts w:eastAsia="Times New Roman" w:cs="Arial"/>
          <w:lang w:eastAsia="bg-BG"/>
        </w:rPr>
        <w:fldChar w:fldCharType="end"/>
      </w:r>
    </w:p>
    <w:p w14:paraId="164F17A9" w14:textId="77777777" w:rsidR="00324ADA" w:rsidRPr="0091385D" w:rsidRDefault="00324ADA" w:rsidP="0091385D"/>
    <w:p w14:paraId="0A023CE0" w14:textId="13F87CFD" w:rsidR="00CF77F7" w:rsidRDefault="002C50EE" w:rsidP="004A448E">
      <w:pPr>
        <w:pStyle w:val="Heading2"/>
      </w:pPr>
      <w:r>
        <w:t>4.9. Предозиране</w:t>
      </w:r>
    </w:p>
    <w:p w14:paraId="3EDFC3FC" w14:textId="296E7EBA" w:rsidR="0091385D" w:rsidRDefault="0091385D" w:rsidP="0091385D"/>
    <w:p w14:paraId="7ADF443A" w14:textId="77777777" w:rsidR="00324ADA" w:rsidRPr="00324ADA" w:rsidRDefault="00324ADA" w:rsidP="00324ADA">
      <w:pPr>
        <w:pStyle w:val="Heading3"/>
        <w:rPr>
          <w:rFonts w:eastAsia="Times New Roman"/>
          <w:u w:val="single"/>
          <w:lang w:eastAsia="bg-BG"/>
        </w:rPr>
      </w:pPr>
      <w:r w:rsidRPr="00324ADA">
        <w:rPr>
          <w:rFonts w:eastAsia="Times New Roman"/>
          <w:u w:val="single"/>
          <w:lang w:eastAsia="bg-BG"/>
        </w:rPr>
        <w:t>Симптоми на интоксикация</w:t>
      </w:r>
    </w:p>
    <w:p w14:paraId="62496AF5" w14:textId="77777777" w:rsidR="00324ADA" w:rsidRPr="00324ADA" w:rsidRDefault="00324ADA" w:rsidP="00324ADA">
      <w:pPr>
        <w:spacing w:line="240" w:lineRule="auto"/>
        <w:rPr>
          <w:rFonts w:eastAsia="Times New Roman" w:cs="Arial"/>
          <w:sz w:val="24"/>
          <w:szCs w:val="24"/>
          <w:lang w:eastAsia="bg-BG"/>
        </w:rPr>
      </w:pPr>
      <w:r w:rsidRPr="00324ADA">
        <w:rPr>
          <w:rFonts w:eastAsia="Times New Roman" w:cs="Arial"/>
          <w:color w:val="000000"/>
          <w:lang w:eastAsia="bg-BG"/>
        </w:rPr>
        <w:t>Данните относно свръхдоза при хора са ограничени. Най-вероятните прояви биха били хипотония и тахикардия. Брадикардия може да настъпи поради парасимпатиково (вагусово) стимулиране.</w:t>
      </w:r>
    </w:p>
    <w:p w14:paraId="16B5B9F2" w14:textId="77777777" w:rsidR="00324ADA" w:rsidRPr="00324ADA" w:rsidRDefault="00324ADA" w:rsidP="00324ADA">
      <w:pPr>
        <w:spacing w:line="240" w:lineRule="auto"/>
        <w:rPr>
          <w:rFonts w:eastAsia="Times New Roman" w:cs="Arial"/>
          <w:i/>
          <w:iCs/>
          <w:color w:val="000000"/>
          <w:lang w:eastAsia="bg-BG"/>
        </w:rPr>
      </w:pPr>
    </w:p>
    <w:p w14:paraId="35991A56" w14:textId="6ABAAE18" w:rsidR="00324ADA" w:rsidRPr="00324ADA" w:rsidRDefault="00324ADA" w:rsidP="00324ADA">
      <w:pPr>
        <w:pStyle w:val="Heading3"/>
        <w:rPr>
          <w:rFonts w:eastAsia="Times New Roman"/>
          <w:u w:val="single"/>
          <w:lang w:eastAsia="bg-BG"/>
        </w:rPr>
      </w:pPr>
      <w:r w:rsidRPr="00324ADA">
        <w:rPr>
          <w:rFonts w:eastAsia="Times New Roman"/>
          <w:u w:val="single"/>
          <w:lang w:eastAsia="bg-BG"/>
        </w:rPr>
        <w:t>Лечение на интоксикацията</w:t>
      </w:r>
    </w:p>
    <w:p w14:paraId="4D942D35" w14:textId="77777777" w:rsidR="00324ADA" w:rsidRPr="00324ADA" w:rsidRDefault="00324ADA" w:rsidP="00324ADA">
      <w:pPr>
        <w:spacing w:line="240" w:lineRule="auto"/>
        <w:rPr>
          <w:rFonts w:eastAsia="Times New Roman" w:cs="Arial"/>
          <w:sz w:val="24"/>
          <w:szCs w:val="24"/>
          <w:lang w:eastAsia="bg-BG"/>
        </w:rPr>
      </w:pPr>
      <w:r w:rsidRPr="00324ADA">
        <w:rPr>
          <w:rFonts w:eastAsia="Times New Roman" w:cs="Arial"/>
          <w:color w:val="000000"/>
          <w:lang w:eastAsia="bg-BG"/>
        </w:rPr>
        <w:t>Ако случайно настъпи симптоматична хипотония, трябва да се назначи подкрепящо лечение. Мерките са в зависимост от времето на приема на медикамента и вида и тежестта на симптомите. Трябва да се даде приоритет на стабилизиране на сърдечно-съдовата система. След орален прием е показано приемането на достатъчна доза активен въглен. След това, трябва да се осъществяви непрекъснато наблюдение на жизнените показатели. Жизнените показатели трябва да бъдат коригирани при необходимост.</w:t>
      </w:r>
    </w:p>
    <w:p w14:paraId="0F0079CB" w14:textId="48972D89" w:rsidR="0091385D" w:rsidRPr="00324ADA" w:rsidRDefault="00324ADA" w:rsidP="00324ADA">
      <w:pPr>
        <w:rPr>
          <w:rFonts w:cs="Arial"/>
        </w:rPr>
      </w:pPr>
      <w:r w:rsidRPr="00324ADA">
        <w:rPr>
          <w:rFonts w:eastAsia="Times New Roman" w:cs="Arial"/>
          <w:color w:val="000000"/>
          <w:lang w:eastAsia="bg-BG"/>
        </w:rPr>
        <w:t>С хемодиализа не може да се отстрани нито лосартан, нито активния метаболит.</w:t>
      </w:r>
    </w:p>
    <w:p w14:paraId="48FF1584" w14:textId="77777777" w:rsidR="0091385D" w:rsidRPr="0091385D" w:rsidRDefault="0091385D" w:rsidP="0091385D"/>
    <w:p w14:paraId="02081B24" w14:textId="7CE94171" w:rsidR="00395555" w:rsidRDefault="002C50EE" w:rsidP="008A6AF2">
      <w:pPr>
        <w:pStyle w:val="Heading1"/>
      </w:pPr>
      <w:r>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t>5.1. Фармакодинамични свойства</w:t>
      </w:r>
    </w:p>
    <w:p w14:paraId="58DD7DEA" w14:textId="44345EC9" w:rsidR="0091385D" w:rsidRDefault="0091385D" w:rsidP="0091385D"/>
    <w:p w14:paraId="550F6247" w14:textId="77777777" w:rsidR="00324ADA" w:rsidRPr="00324ADA" w:rsidRDefault="00324ADA" w:rsidP="00324ADA">
      <w:pPr>
        <w:spacing w:line="240" w:lineRule="auto"/>
        <w:rPr>
          <w:rFonts w:eastAsia="Times New Roman" w:cs="Arial"/>
          <w:sz w:val="24"/>
          <w:szCs w:val="24"/>
          <w:lang w:eastAsia="bg-BG"/>
        </w:rPr>
      </w:pPr>
      <w:r w:rsidRPr="00324ADA">
        <w:rPr>
          <w:rFonts w:eastAsia="Times New Roman" w:cs="Arial"/>
          <w:color w:val="000000"/>
          <w:lang w:eastAsia="bg-BG"/>
        </w:rPr>
        <w:t xml:space="preserve">Фармакотерапевтична група: Агенти, действащи върху ренин-ангиагензиновата система. Антагонисти на ангиотензин II, пряк, Код </w:t>
      </w:r>
      <w:r w:rsidRPr="00324ADA">
        <w:rPr>
          <w:rFonts w:eastAsia="Times New Roman" w:cs="Arial"/>
          <w:color w:val="000000"/>
          <w:lang w:val="en-US"/>
        </w:rPr>
        <w:t xml:space="preserve">ATC: </w:t>
      </w:r>
      <w:r w:rsidRPr="00324ADA">
        <w:rPr>
          <w:rFonts w:eastAsia="Times New Roman" w:cs="Arial"/>
          <w:color w:val="000000"/>
          <w:lang w:eastAsia="bg-BG"/>
        </w:rPr>
        <w:t>С09СА01</w:t>
      </w:r>
    </w:p>
    <w:p w14:paraId="371B39BA" w14:textId="77777777" w:rsidR="00324ADA" w:rsidRPr="00324ADA" w:rsidRDefault="00324ADA" w:rsidP="00324ADA">
      <w:pPr>
        <w:rPr>
          <w:rFonts w:eastAsia="Times New Roman" w:cs="Arial"/>
          <w:color w:val="000000"/>
          <w:lang w:eastAsia="bg-BG"/>
        </w:rPr>
      </w:pPr>
    </w:p>
    <w:p w14:paraId="28252AA0" w14:textId="3198344D" w:rsidR="0091385D" w:rsidRPr="00324ADA" w:rsidRDefault="00324ADA" w:rsidP="00324ADA">
      <w:pPr>
        <w:rPr>
          <w:rFonts w:cs="Arial"/>
        </w:rPr>
      </w:pPr>
      <w:r w:rsidRPr="00324ADA">
        <w:rPr>
          <w:rFonts w:eastAsia="Times New Roman" w:cs="Arial"/>
          <w:color w:val="000000"/>
          <w:lang w:eastAsia="bg-BG"/>
        </w:rPr>
        <w:t>Лосартан е синтетичен орален антагонист на ангиотензин II рецептора (тип А</w:t>
      </w:r>
      <w:r w:rsidRPr="00324ADA">
        <w:rPr>
          <w:rFonts w:eastAsia="Times New Roman" w:cs="Arial"/>
          <w:color w:val="000000"/>
          <w:lang w:val="en-US"/>
        </w:rPr>
        <w:t>T</w:t>
      </w:r>
      <w:r w:rsidRPr="00324ADA">
        <w:rPr>
          <w:rFonts w:eastAsia="Times New Roman" w:cs="Arial"/>
          <w:color w:val="000000"/>
          <w:vertAlign w:val="subscript"/>
          <w:lang w:val="en-US"/>
        </w:rPr>
        <w:t>1</w:t>
      </w:r>
      <w:r w:rsidRPr="00324ADA">
        <w:rPr>
          <w:rFonts w:eastAsia="Times New Roman" w:cs="Arial"/>
          <w:color w:val="000000"/>
          <w:lang w:eastAsia="bg-BG"/>
        </w:rPr>
        <w:t>).</w:t>
      </w:r>
      <w:r w:rsidRPr="00324ADA">
        <w:rPr>
          <w:rFonts w:eastAsia="Times New Roman" w:cs="Arial"/>
          <w:color w:val="000000"/>
          <w:lang w:val="en-US"/>
        </w:rPr>
        <w:t xml:space="preserve"> </w:t>
      </w:r>
      <w:r w:rsidRPr="00324ADA">
        <w:rPr>
          <w:rFonts w:eastAsia="Times New Roman" w:cs="Arial"/>
          <w:color w:val="000000"/>
          <w:lang w:eastAsia="bg-BG"/>
        </w:rPr>
        <w:t>Ангиотензин II, който е мощен вазоконстриктор, е основният активен хормон на системата</w:t>
      </w:r>
      <w:r w:rsidRPr="00324ADA">
        <w:rPr>
          <w:rFonts w:eastAsia="Times New Roman" w:cs="Arial"/>
          <w:i/>
          <w:iCs/>
          <w:color w:val="000000"/>
          <w:lang w:eastAsia="bg-BG"/>
        </w:rPr>
        <w:t>.</w:t>
      </w:r>
    </w:p>
    <w:p w14:paraId="36152471" w14:textId="2A82608D" w:rsidR="0091385D" w:rsidRPr="00324ADA" w:rsidRDefault="0091385D" w:rsidP="0091385D">
      <w:pPr>
        <w:rPr>
          <w:rFonts w:cs="Arial"/>
        </w:rPr>
      </w:pPr>
    </w:p>
    <w:p w14:paraId="20610D8C" w14:textId="77777777" w:rsidR="00324ADA" w:rsidRPr="00324ADA" w:rsidRDefault="00324ADA" w:rsidP="00324ADA">
      <w:pPr>
        <w:spacing w:line="240" w:lineRule="auto"/>
        <w:rPr>
          <w:rFonts w:eastAsia="Times New Roman" w:cs="Arial"/>
          <w:sz w:val="24"/>
          <w:szCs w:val="24"/>
          <w:lang w:eastAsia="bg-BG"/>
        </w:rPr>
      </w:pPr>
      <w:r w:rsidRPr="00324ADA">
        <w:rPr>
          <w:rFonts w:eastAsia="Times New Roman" w:cs="Arial"/>
          <w:color w:val="000000"/>
          <w:lang w:eastAsia="bg-BG"/>
        </w:rPr>
        <w:t xml:space="preserve">ренин/ангиотензин и важен фактор в патофизиологията на хипертонията. Ангиотензин II се свързва с рецептора </w:t>
      </w:r>
      <w:r w:rsidRPr="00324ADA">
        <w:rPr>
          <w:rFonts w:eastAsia="Times New Roman" w:cs="Arial"/>
          <w:color w:val="000000"/>
          <w:lang w:val="en-US"/>
        </w:rPr>
        <w:t>AT</w:t>
      </w:r>
      <w:r w:rsidRPr="00324ADA">
        <w:rPr>
          <w:rFonts w:eastAsia="Times New Roman" w:cs="Arial"/>
          <w:color w:val="000000"/>
          <w:vertAlign w:val="subscript"/>
          <w:lang w:val="en-US"/>
        </w:rPr>
        <w:t>1</w:t>
      </w:r>
      <w:r w:rsidRPr="00324ADA">
        <w:rPr>
          <w:rFonts w:eastAsia="Times New Roman" w:cs="Arial"/>
          <w:color w:val="000000"/>
          <w:lang w:val="en-US"/>
        </w:rPr>
        <w:t xml:space="preserve">, </w:t>
      </w:r>
      <w:r w:rsidRPr="00324ADA">
        <w:rPr>
          <w:rFonts w:eastAsia="Times New Roman" w:cs="Arial"/>
          <w:color w:val="000000"/>
          <w:lang w:eastAsia="bg-BG"/>
        </w:rPr>
        <w:t>намиращ се в редица тъкани (например гладката мускулатура на съдовете, надбъбречната жлеза, бъбреците и сърцето), и предизвиква няколко важни биологични действия, включително вазоконстрикция и освобождаване на алдостерон. Ангиотензин II стимулира и пролиферацията на гладкомускулните клетки.</w:t>
      </w:r>
    </w:p>
    <w:p w14:paraId="6D96E8FB" w14:textId="77777777" w:rsidR="00324ADA" w:rsidRPr="00324ADA" w:rsidRDefault="00324ADA" w:rsidP="00324ADA">
      <w:pPr>
        <w:spacing w:line="240" w:lineRule="auto"/>
        <w:rPr>
          <w:rFonts w:eastAsia="Times New Roman" w:cs="Arial"/>
          <w:color w:val="000000"/>
          <w:lang w:eastAsia="bg-BG"/>
        </w:rPr>
      </w:pPr>
    </w:p>
    <w:p w14:paraId="46517486" w14:textId="62518CE4" w:rsidR="00324ADA" w:rsidRPr="00324ADA" w:rsidRDefault="00324ADA" w:rsidP="00324ADA">
      <w:pPr>
        <w:spacing w:line="240" w:lineRule="auto"/>
        <w:rPr>
          <w:rFonts w:eastAsia="Times New Roman" w:cs="Arial"/>
          <w:sz w:val="24"/>
          <w:szCs w:val="24"/>
          <w:lang w:eastAsia="bg-BG"/>
        </w:rPr>
      </w:pPr>
      <w:r w:rsidRPr="00324ADA">
        <w:rPr>
          <w:rFonts w:eastAsia="Times New Roman" w:cs="Arial"/>
          <w:color w:val="000000"/>
          <w:lang w:eastAsia="bg-BG"/>
        </w:rPr>
        <w:t xml:space="preserve">Лосартан блокира селективно рецептора </w:t>
      </w:r>
      <w:r w:rsidRPr="00324ADA">
        <w:rPr>
          <w:rFonts w:eastAsia="Times New Roman" w:cs="Arial"/>
          <w:color w:val="000000"/>
          <w:lang w:val="en-US"/>
        </w:rPr>
        <w:t>AT</w:t>
      </w:r>
      <w:r w:rsidRPr="00324ADA">
        <w:rPr>
          <w:rFonts w:eastAsia="Times New Roman" w:cs="Arial"/>
          <w:color w:val="000000"/>
          <w:vertAlign w:val="subscript"/>
          <w:lang w:val="en-US"/>
        </w:rPr>
        <w:t>1</w:t>
      </w:r>
      <w:r w:rsidRPr="00324ADA">
        <w:rPr>
          <w:rFonts w:eastAsia="Times New Roman" w:cs="Arial"/>
          <w:color w:val="000000"/>
          <w:lang w:val="en-US"/>
        </w:rPr>
        <w:t xml:space="preserve">. </w:t>
      </w:r>
      <w:r w:rsidRPr="00324ADA">
        <w:rPr>
          <w:rFonts w:eastAsia="Times New Roman" w:cs="Arial"/>
          <w:i/>
          <w:iCs/>
          <w:color w:val="000000"/>
          <w:lang w:val="en-US"/>
        </w:rPr>
        <w:t>In vitro</w:t>
      </w:r>
      <w:r w:rsidRPr="00324ADA">
        <w:rPr>
          <w:rFonts w:eastAsia="Times New Roman" w:cs="Arial"/>
          <w:color w:val="000000"/>
          <w:lang w:val="en-US"/>
        </w:rPr>
        <w:t xml:space="preserve"> </w:t>
      </w:r>
      <w:r w:rsidRPr="00324ADA">
        <w:rPr>
          <w:rFonts w:eastAsia="Times New Roman" w:cs="Arial"/>
          <w:color w:val="000000"/>
          <w:lang w:eastAsia="bg-BG"/>
        </w:rPr>
        <w:t xml:space="preserve">и </w:t>
      </w:r>
      <w:r w:rsidRPr="00324ADA">
        <w:rPr>
          <w:rFonts w:eastAsia="Times New Roman" w:cs="Arial"/>
          <w:i/>
          <w:iCs/>
          <w:color w:val="000000"/>
          <w:lang w:val="en-US"/>
        </w:rPr>
        <w:t>in vivo</w:t>
      </w:r>
      <w:r w:rsidRPr="00324ADA">
        <w:rPr>
          <w:rFonts w:eastAsia="Times New Roman" w:cs="Arial"/>
          <w:color w:val="000000"/>
          <w:lang w:val="en-US"/>
        </w:rPr>
        <w:t xml:space="preserve"> </w:t>
      </w:r>
      <w:r w:rsidRPr="00324ADA">
        <w:rPr>
          <w:rFonts w:eastAsia="Times New Roman" w:cs="Arial"/>
          <w:color w:val="000000"/>
          <w:lang w:eastAsia="bg-BG"/>
        </w:rPr>
        <w:t>лосартан и неговият фармакологично активен карбокси-киселинен метаболит Е-3174 блокират всички физиологично значими действия на ангиотензин II, независимо от източника или пътя на неговата синтеза.</w:t>
      </w:r>
    </w:p>
    <w:p w14:paraId="0C461C14" w14:textId="77777777" w:rsidR="00324ADA" w:rsidRPr="00324ADA" w:rsidRDefault="00324ADA" w:rsidP="00324ADA">
      <w:pPr>
        <w:spacing w:line="240" w:lineRule="auto"/>
        <w:rPr>
          <w:rFonts w:eastAsia="Times New Roman" w:cs="Arial"/>
          <w:color w:val="000000"/>
          <w:lang w:eastAsia="bg-BG"/>
        </w:rPr>
      </w:pPr>
    </w:p>
    <w:p w14:paraId="3DF00927" w14:textId="5174E370" w:rsidR="00324ADA" w:rsidRPr="00324ADA" w:rsidRDefault="00324ADA" w:rsidP="00324ADA">
      <w:pPr>
        <w:spacing w:line="240" w:lineRule="auto"/>
        <w:rPr>
          <w:rFonts w:eastAsia="Times New Roman" w:cs="Arial"/>
          <w:sz w:val="24"/>
          <w:szCs w:val="24"/>
          <w:lang w:eastAsia="bg-BG"/>
        </w:rPr>
      </w:pPr>
      <w:r w:rsidRPr="00324ADA">
        <w:rPr>
          <w:rFonts w:eastAsia="Times New Roman" w:cs="Arial"/>
          <w:color w:val="000000"/>
          <w:lang w:eastAsia="bg-BG"/>
        </w:rPr>
        <w:t>Лосартан няма агонистичен ефект, нито пък блокира рецепторите на други хормони или йонни канали, важни за сърдечно-съдовата регулация. Освен това, лосартан не инхибира АСЕ (кининаза II), ензимът, който разгражда брадикинина. Следователно, няма потенциране на нежелани брадикинин-медиирани ефекти.</w:t>
      </w:r>
    </w:p>
    <w:p w14:paraId="50C9A1D0" w14:textId="77777777" w:rsidR="00324ADA" w:rsidRPr="00324ADA" w:rsidRDefault="00324ADA" w:rsidP="00324ADA">
      <w:pPr>
        <w:spacing w:line="240" w:lineRule="auto"/>
        <w:rPr>
          <w:rFonts w:eastAsia="Times New Roman" w:cs="Arial"/>
          <w:color w:val="000000"/>
          <w:lang w:eastAsia="bg-BG"/>
        </w:rPr>
      </w:pPr>
    </w:p>
    <w:p w14:paraId="3C9BFA28" w14:textId="73C7BDCF" w:rsidR="00324ADA" w:rsidRPr="00324ADA" w:rsidRDefault="00324ADA" w:rsidP="00324ADA">
      <w:pPr>
        <w:spacing w:line="240" w:lineRule="auto"/>
        <w:rPr>
          <w:rFonts w:eastAsia="Times New Roman" w:cs="Arial"/>
          <w:sz w:val="24"/>
          <w:szCs w:val="24"/>
          <w:lang w:eastAsia="bg-BG"/>
        </w:rPr>
      </w:pPr>
      <w:r w:rsidRPr="00324ADA">
        <w:rPr>
          <w:rFonts w:eastAsia="Times New Roman" w:cs="Arial"/>
          <w:color w:val="000000"/>
          <w:lang w:eastAsia="bg-BG"/>
        </w:rPr>
        <w:t xml:space="preserve">По време на приложение на лосартан, премахването на отрицателната ангиотензин II обратна връзка със секрецията на ренин води до увеличение на плазмената ренинова активност </w:t>
      </w:r>
      <w:r w:rsidRPr="00324ADA">
        <w:rPr>
          <w:rFonts w:eastAsia="Times New Roman" w:cs="Arial"/>
          <w:color w:val="000000"/>
          <w:lang w:val="en-US"/>
        </w:rPr>
        <w:t xml:space="preserve">(PRA). </w:t>
      </w:r>
      <w:r w:rsidRPr="00324ADA">
        <w:rPr>
          <w:rFonts w:eastAsia="Times New Roman" w:cs="Arial"/>
          <w:color w:val="000000"/>
          <w:lang w:eastAsia="bg-BG"/>
        </w:rPr>
        <w:t xml:space="preserve">Увеличението на </w:t>
      </w:r>
      <w:r w:rsidRPr="00324ADA">
        <w:rPr>
          <w:rFonts w:eastAsia="Times New Roman" w:cs="Arial"/>
          <w:color w:val="000000"/>
          <w:lang w:val="en-US"/>
        </w:rPr>
        <w:t xml:space="preserve">PRA </w:t>
      </w:r>
      <w:r w:rsidRPr="00324ADA">
        <w:rPr>
          <w:rFonts w:eastAsia="Times New Roman" w:cs="Arial"/>
          <w:color w:val="000000"/>
          <w:lang w:eastAsia="bg-BG"/>
        </w:rPr>
        <w:t xml:space="preserve">води до увеличение на ангиотензин II в плазмата. Въпреки тези увеличения, антихипертензивната активност и супресията на концентрацията на плазмения алдостерон се запазват, което е признак на ефективна блокада на ангиотензин II рецептора. След прекратяване на приложението на лосартан, стойностите на </w:t>
      </w:r>
      <w:r w:rsidRPr="00324ADA">
        <w:rPr>
          <w:rFonts w:eastAsia="Times New Roman" w:cs="Arial"/>
          <w:color w:val="000000"/>
          <w:lang w:val="en-US"/>
        </w:rPr>
        <w:t xml:space="preserve">PRA </w:t>
      </w:r>
      <w:r w:rsidRPr="00324ADA">
        <w:rPr>
          <w:rFonts w:eastAsia="Times New Roman" w:cs="Arial"/>
          <w:color w:val="000000"/>
          <w:lang w:eastAsia="bg-BG"/>
        </w:rPr>
        <w:t>и ангиотензин II спадат до изходните стойности в рамките на три дни.</w:t>
      </w:r>
    </w:p>
    <w:p w14:paraId="0DCA5328" w14:textId="77777777" w:rsidR="00324ADA" w:rsidRPr="00324ADA" w:rsidRDefault="00324ADA" w:rsidP="00324ADA">
      <w:pPr>
        <w:spacing w:line="240" w:lineRule="auto"/>
        <w:rPr>
          <w:rFonts w:eastAsia="Times New Roman" w:cs="Arial"/>
          <w:color w:val="000000"/>
          <w:lang w:eastAsia="bg-BG"/>
        </w:rPr>
      </w:pPr>
    </w:p>
    <w:p w14:paraId="46D893F7" w14:textId="78AFDD51" w:rsidR="00324ADA" w:rsidRPr="00324ADA" w:rsidRDefault="00324ADA" w:rsidP="00324ADA">
      <w:pPr>
        <w:spacing w:line="240" w:lineRule="auto"/>
        <w:rPr>
          <w:rFonts w:eastAsia="Times New Roman" w:cs="Arial"/>
          <w:sz w:val="24"/>
          <w:szCs w:val="24"/>
          <w:lang w:eastAsia="bg-BG"/>
        </w:rPr>
      </w:pPr>
      <w:r w:rsidRPr="00324ADA">
        <w:rPr>
          <w:rFonts w:eastAsia="Times New Roman" w:cs="Arial"/>
          <w:color w:val="000000"/>
          <w:lang w:eastAsia="bg-BG"/>
        </w:rPr>
        <w:lastRenderedPageBreak/>
        <w:t xml:space="preserve">Както лосартан, така и неговият основен активен метаболит са с по-висок афинитет към рецептора </w:t>
      </w:r>
      <w:r w:rsidRPr="00324ADA">
        <w:rPr>
          <w:rFonts w:eastAsia="Times New Roman" w:cs="Arial"/>
          <w:color w:val="000000"/>
          <w:lang w:val="en-US"/>
        </w:rPr>
        <w:t>AT</w:t>
      </w:r>
      <w:r w:rsidRPr="00324ADA">
        <w:rPr>
          <w:rFonts w:eastAsia="Times New Roman" w:cs="Arial"/>
          <w:color w:val="000000"/>
          <w:vertAlign w:val="subscript"/>
          <w:lang w:val="en-US"/>
        </w:rPr>
        <w:t>1</w:t>
      </w:r>
      <w:r w:rsidRPr="00324ADA">
        <w:rPr>
          <w:rFonts w:eastAsia="Times New Roman" w:cs="Arial"/>
          <w:color w:val="000000"/>
          <w:lang w:val="en-US"/>
        </w:rPr>
        <w:t xml:space="preserve">, </w:t>
      </w:r>
      <w:r w:rsidRPr="00324ADA">
        <w:rPr>
          <w:rFonts w:eastAsia="Times New Roman" w:cs="Arial"/>
          <w:color w:val="000000"/>
          <w:lang w:eastAsia="bg-BG"/>
        </w:rPr>
        <w:t>отколкото към рецептора АТ</w:t>
      </w:r>
      <w:r w:rsidRPr="00324ADA">
        <w:rPr>
          <w:rFonts w:eastAsia="Times New Roman" w:cs="Arial"/>
          <w:color w:val="000000"/>
          <w:vertAlign w:val="subscript"/>
          <w:lang w:eastAsia="bg-BG"/>
        </w:rPr>
        <w:t>2</w:t>
      </w:r>
      <w:r w:rsidRPr="00324ADA">
        <w:rPr>
          <w:rFonts w:eastAsia="Times New Roman" w:cs="Arial"/>
          <w:color w:val="000000"/>
          <w:lang w:eastAsia="bg-BG"/>
        </w:rPr>
        <w:t>. Активният метаболит е 10 до 40 пъти по-активен от лосартан, при тегловно уравновесено съотношение.</w:t>
      </w:r>
    </w:p>
    <w:p w14:paraId="3FD89B39" w14:textId="77777777" w:rsidR="00324ADA" w:rsidRPr="00324ADA" w:rsidRDefault="00324ADA" w:rsidP="00324ADA">
      <w:pPr>
        <w:spacing w:line="240" w:lineRule="auto"/>
        <w:rPr>
          <w:rFonts w:eastAsia="Times New Roman" w:cs="Arial"/>
          <w:color w:val="000000"/>
          <w:u w:val="single"/>
          <w:lang w:eastAsia="bg-BG"/>
        </w:rPr>
      </w:pPr>
    </w:p>
    <w:p w14:paraId="7DB156D9" w14:textId="2461326F" w:rsidR="00324ADA" w:rsidRPr="00324ADA" w:rsidRDefault="00324ADA" w:rsidP="00324ADA">
      <w:pPr>
        <w:spacing w:line="240" w:lineRule="auto"/>
        <w:rPr>
          <w:rFonts w:eastAsia="Times New Roman" w:cs="Arial"/>
          <w:sz w:val="24"/>
          <w:szCs w:val="24"/>
          <w:lang w:eastAsia="bg-BG"/>
        </w:rPr>
      </w:pPr>
      <w:r w:rsidRPr="00324ADA">
        <w:rPr>
          <w:rFonts w:eastAsia="Times New Roman" w:cs="Arial"/>
          <w:color w:val="000000"/>
          <w:u w:val="single"/>
          <w:lang w:eastAsia="bg-BG"/>
        </w:rPr>
        <w:t>Проучвания при хипертония</w:t>
      </w:r>
    </w:p>
    <w:p w14:paraId="5793F154" w14:textId="77777777" w:rsidR="00324ADA" w:rsidRPr="00324ADA" w:rsidRDefault="00324ADA" w:rsidP="00324ADA">
      <w:pPr>
        <w:spacing w:line="240" w:lineRule="auto"/>
        <w:rPr>
          <w:rFonts w:eastAsia="Times New Roman" w:cs="Arial"/>
          <w:color w:val="000000"/>
          <w:lang w:eastAsia="bg-BG"/>
        </w:rPr>
      </w:pPr>
    </w:p>
    <w:p w14:paraId="175DC729" w14:textId="25E4DA35" w:rsidR="00324ADA" w:rsidRPr="00324ADA" w:rsidRDefault="00324ADA" w:rsidP="00324ADA">
      <w:pPr>
        <w:spacing w:line="240" w:lineRule="auto"/>
        <w:rPr>
          <w:rFonts w:eastAsia="Times New Roman" w:cs="Arial"/>
          <w:sz w:val="24"/>
          <w:szCs w:val="24"/>
          <w:lang w:eastAsia="bg-BG"/>
        </w:rPr>
      </w:pPr>
      <w:r w:rsidRPr="00324ADA">
        <w:rPr>
          <w:rFonts w:eastAsia="Times New Roman" w:cs="Arial"/>
          <w:color w:val="000000"/>
          <w:lang w:eastAsia="bg-BG"/>
        </w:rPr>
        <w:t>В контролирани клинични проучвания на пациенти с лека до средна есенциална хипертония, прилагането на лосартан един път дневно, причинява статистически значими понижения в систолното и диастолно кръвно налягане. Стойностите на кръвното налягане измерени 24 часа след дозата и отнесени към измерените 5-6 часа след дозата, показват намаляване на кръвното налягане за период от 24 часа, при запазване на естественият денонощен ритъм. Намалението на кръвното налягане в края на интервал на дозиране е 70-80% от ефекта, наблюдаван 5-6 часа след дозата.</w:t>
      </w:r>
    </w:p>
    <w:p w14:paraId="069A0BE3" w14:textId="77777777" w:rsidR="00324ADA" w:rsidRPr="00324ADA" w:rsidRDefault="00324ADA" w:rsidP="00324ADA">
      <w:pPr>
        <w:spacing w:line="240" w:lineRule="auto"/>
        <w:rPr>
          <w:rFonts w:eastAsia="Times New Roman" w:cs="Arial"/>
          <w:color w:val="000000"/>
          <w:lang w:eastAsia="bg-BG"/>
        </w:rPr>
      </w:pPr>
    </w:p>
    <w:p w14:paraId="03AE1AFB" w14:textId="619E07B1" w:rsidR="00324ADA" w:rsidRPr="00324ADA" w:rsidRDefault="00324ADA" w:rsidP="00324ADA">
      <w:pPr>
        <w:spacing w:line="240" w:lineRule="auto"/>
        <w:rPr>
          <w:rFonts w:eastAsia="Times New Roman" w:cs="Arial"/>
          <w:sz w:val="24"/>
          <w:szCs w:val="24"/>
          <w:lang w:eastAsia="bg-BG"/>
        </w:rPr>
      </w:pPr>
      <w:r w:rsidRPr="00324ADA">
        <w:rPr>
          <w:rFonts w:eastAsia="Times New Roman" w:cs="Arial"/>
          <w:color w:val="000000"/>
          <w:lang w:eastAsia="bg-BG"/>
        </w:rPr>
        <w:t>Прекратяването на приложението на лосартан при хипертензивни пациенти не води до рязко повишаване на кръвното налягане (ребаунд ефект). Независимо от изразеното намаляване на кръвното налягане лосартан няма клинично значими ефекти върху сърдечната честота.</w:t>
      </w:r>
    </w:p>
    <w:p w14:paraId="494DD3AB" w14:textId="77777777" w:rsidR="00324ADA" w:rsidRPr="00324ADA" w:rsidRDefault="00324ADA" w:rsidP="00324ADA">
      <w:pPr>
        <w:spacing w:line="240" w:lineRule="auto"/>
        <w:rPr>
          <w:rFonts w:eastAsia="Times New Roman" w:cs="Arial"/>
          <w:sz w:val="24"/>
          <w:szCs w:val="24"/>
          <w:lang w:eastAsia="bg-BG"/>
        </w:rPr>
      </w:pPr>
      <w:r w:rsidRPr="00324ADA">
        <w:rPr>
          <w:rFonts w:eastAsia="Times New Roman" w:cs="Arial"/>
          <w:color w:val="000000"/>
          <w:lang w:eastAsia="bg-BG"/>
        </w:rPr>
        <w:t>Лосартан е еднакво ефективен при мъже и жени, при по-млади на възраст под 65 години възрастни пациенти с хипертония.</w:t>
      </w:r>
    </w:p>
    <w:p w14:paraId="18A86758" w14:textId="77777777" w:rsidR="00324ADA" w:rsidRPr="00324ADA" w:rsidRDefault="00324ADA" w:rsidP="00324ADA">
      <w:pPr>
        <w:spacing w:line="240" w:lineRule="auto"/>
        <w:rPr>
          <w:rFonts w:eastAsia="Times New Roman" w:cs="Arial"/>
          <w:color w:val="000000"/>
          <w:lang w:eastAsia="bg-BG"/>
        </w:rPr>
      </w:pPr>
    </w:p>
    <w:p w14:paraId="49BE21B6" w14:textId="56D3DBE9" w:rsidR="00324ADA" w:rsidRPr="00324ADA" w:rsidRDefault="00324ADA" w:rsidP="00324ADA">
      <w:pPr>
        <w:spacing w:line="240" w:lineRule="auto"/>
        <w:rPr>
          <w:rFonts w:eastAsia="Times New Roman" w:cs="Arial"/>
          <w:sz w:val="24"/>
          <w:szCs w:val="24"/>
          <w:lang w:eastAsia="bg-BG"/>
        </w:rPr>
      </w:pPr>
      <w:r w:rsidRPr="00324ADA">
        <w:rPr>
          <w:rFonts w:eastAsia="Times New Roman" w:cs="Arial"/>
          <w:color w:val="000000"/>
          <w:lang w:eastAsia="bg-BG"/>
        </w:rPr>
        <w:t>Лосартан е еднакво ефективен при мъже и жени, при по-млади (на възраст под 65-години) и по- възрастни пациенти с хипертония.</w:t>
      </w:r>
    </w:p>
    <w:p w14:paraId="0956825D" w14:textId="77777777" w:rsidR="00324ADA" w:rsidRPr="00324ADA" w:rsidRDefault="00324ADA" w:rsidP="00324ADA">
      <w:pPr>
        <w:spacing w:line="240" w:lineRule="auto"/>
        <w:rPr>
          <w:rFonts w:eastAsia="Times New Roman" w:cs="Arial"/>
          <w:color w:val="000000"/>
          <w:u w:val="single"/>
          <w:lang w:eastAsia="bg-BG"/>
        </w:rPr>
      </w:pPr>
    </w:p>
    <w:p w14:paraId="1E200DC0" w14:textId="5EC6BD3C" w:rsidR="00324ADA" w:rsidRPr="00324ADA" w:rsidRDefault="00324ADA" w:rsidP="00324ADA">
      <w:pPr>
        <w:spacing w:line="240" w:lineRule="auto"/>
        <w:rPr>
          <w:rFonts w:eastAsia="Times New Roman" w:cs="Arial"/>
          <w:sz w:val="24"/>
          <w:szCs w:val="24"/>
          <w:lang w:eastAsia="bg-BG"/>
        </w:rPr>
      </w:pPr>
      <w:r w:rsidRPr="00324ADA">
        <w:rPr>
          <w:rFonts w:eastAsia="Times New Roman" w:cs="Arial"/>
          <w:color w:val="000000"/>
          <w:u w:val="single"/>
          <w:lang w:eastAsia="bg-BG"/>
        </w:rPr>
        <w:t xml:space="preserve">Проучване </w:t>
      </w:r>
      <w:r w:rsidRPr="00324ADA">
        <w:rPr>
          <w:rFonts w:eastAsia="Times New Roman" w:cs="Arial"/>
          <w:color w:val="000000"/>
          <w:u w:val="single"/>
          <w:lang w:val="en-US"/>
        </w:rPr>
        <w:t>LIFE</w:t>
      </w:r>
    </w:p>
    <w:p w14:paraId="07AA6CA8" w14:textId="77777777" w:rsidR="00324ADA" w:rsidRPr="00324ADA" w:rsidRDefault="00324ADA" w:rsidP="00324ADA">
      <w:pPr>
        <w:rPr>
          <w:rFonts w:eastAsia="Times New Roman" w:cs="Arial"/>
          <w:sz w:val="24"/>
          <w:szCs w:val="24"/>
          <w:lang w:eastAsia="bg-BG"/>
        </w:rPr>
      </w:pPr>
      <w:r w:rsidRPr="00324ADA">
        <w:rPr>
          <w:rFonts w:eastAsia="Times New Roman" w:cs="Arial"/>
          <w:color w:val="000000"/>
          <w:lang w:eastAsia="bg-BG"/>
        </w:rPr>
        <w:t xml:space="preserve">Проучването „Включване на лосартан за критерий при намаляване на хипертония” </w:t>
      </w:r>
      <w:r w:rsidRPr="00324ADA">
        <w:rPr>
          <w:rFonts w:eastAsia="Times New Roman" w:cs="Arial"/>
          <w:color w:val="000000"/>
          <w:lang w:val="en-US"/>
        </w:rPr>
        <w:t xml:space="preserve">[LIFE] </w:t>
      </w:r>
      <w:r w:rsidRPr="00324ADA">
        <w:rPr>
          <w:rFonts w:eastAsia="Times New Roman" w:cs="Arial"/>
          <w:color w:val="000000"/>
          <w:lang w:eastAsia="bg-BG"/>
        </w:rPr>
        <w:t>е рандомизирано, тройно-сляпо, активно контролирано проучване с 9193 хипертензи</w:t>
      </w:r>
      <w:r w:rsidRPr="00324ADA">
        <w:rPr>
          <w:rFonts w:eastAsia="Times New Roman" w:cs="Arial"/>
          <w:color w:val="000000"/>
          <w:u w:val="single"/>
          <w:lang w:eastAsia="bg-BG"/>
        </w:rPr>
        <w:t xml:space="preserve">вни </w:t>
      </w:r>
      <w:r w:rsidRPr="00324ADA">
        <w:rPr>
          <w:rFonts w:eastAsia="Times New Roman" w:cs="Arial"/>
          <w:color w:val="000000"/>
          <w:lang w:eastAsia="bg-BG"/>
        </w:rPr>
        <w:t xml:space="preserve">пациенти на възраст от 55 до 80 години с документирана ЕКГ левокамерна хипертрофия Пациентите са рандомизирани да получават веднъж на ден лосартан 50 </w:t>
      </w:r>
      <w:r w:rsidRPr="00324ADA">
        <w:rPr>
          <w:rFonts w:eastAsia="Times New Roman" w:cs="Arial"/>
          <w:color w:val="000000"/>
          <w:lang w:val="en-US"/>
        </w:rPr>
        <w:t>mg</w:t>
      </w:r>
      <w:r w:rsidRPr="00324ADA">
        <w:rPr>
          <w:rFonts w:eastAsia="Times New Roman" w:cs="Arial"/>
          <w:color w:val="000000"/>
          <w:lang w:eastAsia="bg-BG"/>
        </w:rPr>
        <w:t xml:space="preserve"> или веднъж на ден атенолол 50 </w:t>
      </w:r>
      <w:r w:rsidRPr="00324ADA">
        <w:rPr>
          <w:rFonts w:eastAsia="Times New Roman" w:cs="Arial"/>
          <w:color w:val="000000"/>
          <w:lang w:val="en-US"/>
        </w:rPr>
        <w:t xml:space="preserve">mg. </w:t>
      </w:r>
      <w:r w:rsidRPr="00324ADA">
        <w:rPr>
          <w:rFonts w:eastAsia="Times New Roman" w:cs="Arial"/>
          <w:color w:val="000000"/>
          <w:lang w:eastAsia="bg-BG"/>
        </w:rPr>
        <w:t>Ако не се постигне целевата стойност на кръвното налягане (&lt;140/90</w:t>
      </w:r>
      <w:r w:rsidRPr="00324ADA">
        <w:rPr>
          <w:rFonts w:eastAsia="Times New Roman" w:cs="Arial"/>
          <w:color w:val="000000"/>
          <w:lang w:val="en-US"/>
        </w:rPr>
        <w:t xml:space="preserve"> mmHg</w:t>
      </w:r>
      <w:r w:rsidRPr="00324ADA">
        <w:rPr>
          <w:rFonts w:eastAsia="Times New Roman" w:cs="Arial"/>
          <w:color w:val="000000"/>
          <w:lang w:eastAsia="bg-BG"/>
        </w:rPr>
        <w:t xml:space="preserve">), първо се добавя хидрохлортиазид (12,5 </w:t>
      </w:r>
      <w:r w:rsidRPr="00324ADA">
        <w:rPr>
          <w:rFonts w:eastAsia="Times New Roman" w:cs="Arial"/>
          <w:color w:val="000000"/>
          <w:lang w:val="en-US"/>
        </w:rPr>
        <w:t xml:space="preserve">mg), </w:t>
      </w:r>
      <w:r w:rsidRPr="00324ADA">
        <w:rPr>
          <w:rFonts w:eastAsia="Times New Roman" w:cs="Arial"/>
          <w:color w:val="000000"/>
          <w:lang w:eastAsia="bg-BG"/>
        </w:rPr>
        <w:t xml:space="preserve">и ако е необходимо, след това дозата на лосартан или атенолол се увеличава до 100 </w:t>
      </w:r>
      <w:r w:rsidRPr="00324ADA">
        <w:rPr>
          <w:rFonts w:eastAsia="Times New Roman" w:cs="Arial"/>
          <w:color w:val="000000"/>
          <w:lang w:val="en-US"/>
        </w:rPr>
        <w:t xml:space="preserve">mg </w:t>
      </w:r>
      <w:r w:rsidRPr="00324ADA">
        <w:rPr>
          <w:rFonts w:eastAsia="Times New Roman" w:cs="Arial"/>
          <w:color w:val="000000"/>
          <w:lang w:eastAsia="bg-BG"/>
        </w:rPr>
        <w:t>веднъж на ден. Други антихипертензивни средства, с</w:t>
      </w:r>
      <w:r>
        <w:rPr>
          <w:rFonts w:eastAsia="Times New Roman" w:cs="Arial"/>
          <w:color w:val="000000"/>
          <w:lang w:eastAsia="bg-BG"/>
        </w:rPr>
        <w:t xml:space="preserve"> </w:t>
      </w:r>
      <w:r w:rsidRPr="00324ADA">
        <w:rPr>
          <w:rFonts w:eastAsia="Times New Roman" w:cs="Arial"/>
          <w:color w:val="000000"/>
          <w:lang w:eastAsia="bg-BG"/>
        </w:rPr>
        <w:t>изключение на АСЕ-инхибитори, антагонисти на ангиотензин II или бета-блокери, се добавят, при необходимост, за достигане на целевите стойности на кръвно налягане.</w:t>
      </w:r>
    </w:p>
    <w:p w14:paraId="571B2E92" w14:textId="77777777" w:rsidR="00324ADA" w:rsidRPr="00324ADA" w:rsidRDefault="00324ADA" w:rsidP="00324ADA">
      <w:pPr>
        <w:spacing w:line="240" w:lineRule="auto"/>
        <w:rPr>
          <w:rFonts w:eastAsia="Times New Roman" w:cs="Arial"/>
          <w:color w:val="000000"/>
          <w:lang w:eastAsia="bg-BG"/>
        </w:rPr>
      </w:pPr>
    </w:p>
    <w:p w14:paraId="30172BB8" w14:textId="0CB356F2" w:rsidR="00324ADA" w:rsidRPr="00324ADA" w:rsidRDefault="00324ADA" w:rsidP="00324ADA">
      <w:pPr>
        <w:spacing w:line="240" w:lineRule="auto"/>
        <w:rPr>
          <w:rFonts w:eastAsia="Times New Roman" w:cs="Arial"/>
          <w:sz w:val="24"/>
          <w:szCs w:val="24"/>
          <w:lang w:eastAsia="bg-BG"/>
        </w:rPr>
      </w:pPr>
      <w:r w:rsidRPr="00324ADA">
        <w:rPr>
          <w:rFonts w:eastAsia="Times New Roman" w:cs="Arial"/>
          <w:color w:val="000000"/>
          <w:lang w:eastAsia="bg-BG"/>
        </w:rPr>
        <w:t>Средната продължителност на проследяването е 4,8 години.</w:t>
      </w:r>
    </w:p>
    <w:p w14:paraId="6730A856" w14:textId="77777777" w:rsidR="00324ADA" w:rsidRPr="00324ADA" w:rsidRDefault="00324ADA" w:rsidP="00324ADA">
      <w:pPr>
        <w:spacing w:line="240" w:lineRule="auto"/>
        <w:rPr>
          <w:rFonts w:eastAsia="Times New Roman" w:cs="Arial"/>
          <w:color w:val="000000"/>
          <w:lang w:eastAsia="bg-BG"/>
        </w:rPr>
      </w:pPr>
    </w:p>
    <w:p w14:paraId="03F4FEA6" w14:textId="48D67AC5" w:rsidR="00324ADA" w:rsidRPr="00324ADA" w:rsidRDefault="00324ADA" w:rsidP="00324ADA">
      <w:pPr>
        <w:spacing w:line="240" w:lineRule="auto"/>
        <w:rPr>
          <w:rFonts w:eastAsia="Times New Roman" w:cs="Arial"/>
          <w:sz w:val="24"/>
          <w:szCs w:val="24"/>
          <w:lang w:eastAsia="bg-BG"/>
        </w:rPr>
      </w:pPr>
      <w:r w:rsidRPr="00324ADA">
        <w:rPr>
          <w:rFonts w:eastAsia="Times New Roman" w:cs="Arial"/>
          <w:color w:val="000000"/>
          <w:lang w:eastAsia="bg-BG"/>
        </w:rPr>
        <w:t>Първичната крайна точка е съставна и включва сърдечносъдовата заболеваемост и смъртност, измерен по намалението на комбинираната честота на сърдечно-съдова смърт, мозъчен инсулт и миокарден инфаркт. Кръвното налягане е значително намалено до близки нива в двете групи. Лечението с лосартан води до 13,0% намаление на риска (р=0,021,95% интервал на доверителност 0,77-0,98) в сравнение с атенолол за пациентите, достигащи първичната съставна крайна точка.. Това се дължи основно на намаляване на честотата на мозъчните инсулти. Лечението с лосартан намалява риска от мозъчен инсулт с 25% в сравнение с атенолол (р=0,001,95% интервал на доверителност 0,63-0,89). Честотите на сърдечно-съдова обусловена смърт и миокарден инфаркт не се различават значително в двете групи на лечение.</w:t>
      </w:r>
    </w:p>
    <w:p w14:paraId="59221CAF" w14:textId="77777777" w:rsidR="00324ADA" w:rsidRPr="00324ADA" w:rsidRDefault="00324ADA" w:rsidP="00324ADA">
      <w:pPr>
        <w:spacing w:line="240" w:lineRule="auto"/>
        <w:rPr>
          <w:rFonts w:eastAsia="Times New Roman" w:cs="Arial"/>
          <w:color w:val="000000"/>
          <w:lang w:eastAsia="bg-BG"/>
        </w:rPr>
      </w:pPr>
    </w:p>
    <w:p w14:paraId="68D9E0BF" w14:textId="27328B98" w:rsidR="00324ADA" w:rsidRPr="00324ADA" w:rsidRDefault="00324ADA" w:rsidP="00324ADA">
      <w:pPr>
        <w:spacing w:line="240" w:lineRule="auto"/>
        <w:rPr>
          <w:rFonts w:eastAsia="Times New Roman" w:cs="Arial"/>
          <w:sz w:val="24"/>
          <w:szCs w:val="24"/>
          <w:lang w:eastAsia="bg-BG"/>
        </w:rPr>
      </w:pPr>
      <w:r w:rsidRPr="00324ADA">
        <w:rPr>
          <w:rFonts w:eastAsia="Times New Roman" w:cs="Arial"/>
          <w:color w:val="000000"/>
          <w:lang w:eastAsia="bg-BG"/>
        </w:rPr>
        <w:t>Раса</w:t>
      </w:r>
    </w:p>
    <w:p w14:paraId="098FF34E" w14:textId="77777777" w:rsidR="00324ADA" w:rsidRPr="00324ADA" w:rsidRDefault="00324ADA" w:rsidP="00324ADA">
      <w:pPr>
        <w:spacing w:line="240" w:lineRule="auto"/>
        <w:rPr>
          <w:rFonts w:eastAsia="Times New Roman" w:cs="Arial"/>
          <w:sz w:val="24"/>
          <w:szCs w:val="24"/>
          <w:lang w:eastAsia="bg-BG"/>
        </w:rPr>
      </w:pPr>
      <w:r w:rsidRPr="00324ADA">
        <w:rPr>
          <w:rFonts w:eastAsia="Times New Roman" w:cs="Arial"/>
          <w:color w:val="000000"/>
          <w:lang w:eastAsia="bg-BG"/>
        </w:rPr>
        <w:lastRenderedPageBreak/>
        <w:t xml:space="preserve">В проучването </w:t>
      </w:r>
      <w:r w:rsidRPr="00324ADA">
        <w:rPr>
          <w:rFonts w:eastAsia="Times New Roman" w:cs="Arial"/>
          <w:color w:val="000000"/>
          <w:lang w:val="en-US"/>
        </w:rPr>
        <w:t xml:space="preserve">LIFE </w:t>
      </w:r>
      <w:r w:rsidRPr="00324ADA">
        <w:rPr>
          <w:rFonts w:eastAsia="Times New Roman" w:cs="Arial"/>
          <w:color w:val="000000"/>
          <w:lang w:eastAsia="bg-BG"/>
        </w:rPr>
        <w:t xml:space="preserve">пациентите от черната раса, лекувани с лосартан, са с по-висок риск от достигане на първичната комбинирана крайна точка, т.е. сърдечно-съдово събитие (например сърдечен инфаркт, сърдечно-съдова смърт) и особено мозъчен инсулт, отколкото пациентите от черната раса, лекувани с атенолол. Поради това, наблюдаваните резултати с лосартан в сравнение с атенолол в проучването </w:t>
      </w:r>
      <w:r w:rsidRPr="00324ADA">
        <w:rPr>
          <w:rFonts w:eastAsia="Times New Roman" w:cs="Arial"/>
          <w:color w:val="000000"/>
          <w:lang w:val="en-US"/>
        </w:rPr>
        <w:t xml:space="preserve">LIFE </w:t>
      </w:r>
      <w:r w:rsidRPr="00324ADA">
        <w:rPr>
          <w:rFonts w:eastAsia="Times New Roman" w:cs="Arial"/>
          <w:color w:val="000000"/>
          <w:lang w:eastAsia="bg-BG"/>
        </w:rPr>
        <w:t>относно сърдечно-съдовата болестност/смъртност не се отнасят за пациенти от черната раса с хипертония и левокамерна хипертрофия.</w:t>
      </w:r>
    </w:p>
    <w:p w14:paraId="135992C3" w14:textId="77777777" w:rsidR="00324ADA" w:rsidRPr="00324ADA" w:rsidRDefault="00324ADA" w:rsidP="00324ADA">
      <w:pPr>
        <w:spacing w:line="240" w:lineRule="auto"/>
        <w:rPr>
          <w:rFonts w:eastAsia="Times New Roman" w:cs="Arial"/>
          <w:color w:val="000000"/>
          <w:u w:val="single"/>
          <w:lang w:eastAsia="bg-BG"/>
        </w:rPr>
      </w:pPr>
    </w:p>
    <w:p w14:paraId="7275AABC" w14:textId="50B6E41A" w:rsidR="00324ADA" w:rsidRPr="00324ADA" w:rsidRDefault="00324ADA" w:rsidP="00324ADA">
      <w:pPr>
        <w:spacing w:line="240" w:lineRule="auto"/>
        <w:rPr>
          <w:rFonts w:eastAsia="Times New Roman" w:cs="Arial"/>
          <w:sz w:val="24"/>
          <w:szCs w:val="24"/>
          <w:lang w:eastAsia="bg-BG"/>
        </w:rPr>
      </w:pPr>
      <w:r w:rsidRPr="00324ADA">
        <w:rPr>
          <w:rFonts w:eastAsia="Times New Roman" w:cs="Arial"/>
          <w:color w:val="000000"/>
          <w:u w:val="single"/>
          <w:lang w:eastAsia="bg-BG"/>
        </w:rPr>
        <w:t xml:space="preserve">Проучване </w:t>
      </w:r>
      <w:r w:rsidRPr="00324ADA">
        <w:rPr>
          <w:rFonts w:eastAsia="Times New Roman" w:cs="Arial"/>
          <w:color w:val="000000"/>
          <w:u w:val="single"/>
          <w:lang w:val="en-US"/>
        </w:rPr>
        <w:t>RENAAL</w:t>
      </w:r>
    </w:p>
    <w:p w14:paraId="2723DF5E" w14:textId="77777777" w:rsidR="00324ADA" w:rsidRPr="00324ADA" w:rsidRDefault="00324ADA" w:rsidP="00324ADA">
      <w:pPr>
        <w:spacing w:line="240" w:lineRule="auto"/>
        <w:rPr>
          <w:rFonts w:eastAsia="Times New Roman" w:cs="Arial"/>
          <w:sz w:val="24"/>
          <w:szCs w:val="24"/>
          <w:lang w:eastAsia="bg-BG"/>
        </w:rPr>
      </w:pPr>
      <w:r w:rsidRPr="00324ADA">
        <w:rPr>
          <w:rFonts w:eastAsia="Times New Roman" w:cs="Arial"/>
          <w:color w:val="000000"/>
          <w:lang w:eastAsia="bg-BG"/>
        </w:rPr>
        <w:t xml:space="preserve">Намаление на крайните критерии при </w:t>
      </w:r>
      <w:r w:rsidRPr="00324ADA">
        <w:rPr>
          <w:rFonts w:eastAsia="Times New Roman" w:cs="Arial"/>
          <w:color w:val="000000"/>
          <w:lang w:val="en-US"/>
        </w:rPr>
        <w:t xml:space="preserve">NIDDM </w:t>
      </w:r>
      <w:r w:rsidRPr="00324ADA">
        <w:rPr>
          <w:rFonts w:eastAsia="Times New Roman" w:cs="Arial"/>
          <w:color w:val="000000"/>
          <w:lang w:eastAsia="bg-BG"/>
        </w:rPr>
        <w:t xml:space="preserve">с Антагониста на Ангиотензин II Рецептора Лосартан -проучване </w:t>
      </w:r>
      <w:r w:rsidRPr="00324ADA">
        <w:rPr>
          <w:rFonts w:eastAsia="Times New Roman" w:cs="Arial"/>
          <w:color w:val="000000"/>
          <w:lang w:val="en-US"/>
        </w:rPr>
        <w:t xml:space="preserve">RENAAL </w:t>
      </w:r>
      <w:r w:rsidRPr="00324ADA">
        <w:rPr>
          <w:rFonts w:eastAsia="Times New Roman" w:cs="Arial"/>
          <w:color w:val="000000"/>
          <w:lang w:eastAsia="bg-BG"/>
        </w:rPr>
        <w:t>е контролирано клинично проучване, проведено в целия свят при 1513 пациента с диабет тип 2 и протеинурия, с или без хипертония. 751 пациенти са били лекувани с лосартан. Целта на проучването е била да докаже нефропротективното действие на лосартан калий, и освен това, ползата от намаление на кръвното налягане.</w:t>
      </w:r>
    </w:p>
    <w:p w14:paraId="263CD05F" w14:textId="77777777" w:rsidR="00324ADA" w:rsidRPr="00324ADA" w:rsidRDefault="00324ADA" w:rsidP="00324ADA">
      <w:pPr>
        <w:spacing w:line="240" w:lineRule="auto"/>
        <w:rPr>
          <w:rFonts w:eastAsia="Times New Roman" w:cs="Arial"/>
          <w:sz w:val="24"/>
          <w:szCs w:val="24"/>
          <w:lang w:eastAsia="bg-BG"/>
        </w:rPr>
      </w:pPr>
      <w:r w:rsidRPr="00324ADA">
        <w:rPr>
          <w:rFonts w:eastAsia="Times New Roman" w:cs="Arial"/>
          <w:color w:val="000000"/>
          <w:lang w:eastAsia="bg-BG"/>
        </w:rPr>
        <w:t xml:space="preserve">Пациенти с протеинурия и серумен креатинин 1,3 - 3,0 </w:t>
      </w:r>
      <w:r w:rsidRPr="00324ADA">
        <w:rPr>
          <w:rFonts w:eastAsia="Times New Roman" w:cs="Arial"/>
          <w:color w:val="000000"/>
          <w:lang w:val="en-US"/>
        </w:rPr>
        <w:t xml:space="preserve">mg% </w:t>
      </w:r>
      <w:r w:rsidRPr="00324ADA">
        <w:rPr>
          <w:rFonts w:eastAsia="Times New Roman" w:cs="Arial"/>
          <w:color w:val="000000"/>
          <w:lang w:eastAsia="bg-BG"/>
        </w:rPr>
        <w:t xml:space="preserve">са били рандомизирани да получават лосартан 50 </w:t>
      </w:r>
      <w:r w:rsidRPr="00324ADA">
        <w:rPr>
          <w:rFonts w:eastAsia="Times New Roman" w:cs="Arial"/>
          <w:color w:val="000000"/>
          <w:lang w:val="en-US"/>
        </w:rPr>
        <w:t xml:space="preserve">mg </w:t>
      </w:r>
      <w:r w:rsidRPr="00324ADA">
        <w:rPr>
          <w:rFonts w:eastAsia="Times New Roman" w:cs="Arial"/>
          <w:color w:val="000000"/>
          <w:lang w:eastAsia="bg-BG"/>
        </w:rPr>
        <w:t>веднъж на ден, коригиран при необходимост, при нужда титриран до постигане на отговор по отношение на кръвното налягане или плацебо, на фона на конвенционална антихипертензивна терапия, без АСЕинхибитори и антагонисти на ангиотензин II.</w:t>
      </w:r>
    </w:p>
    <w:p w14:paraId="42A3F674" w14:textId="77777777" w:rsidR="00324ADA" w:rsidRPr="00324ADA" w:rsidRDefault="00324ADA" w:rsidP="00324ADA">
      <w:pPr>
        <w:spacing w:line="240" w:lineRule="auto"/>
        <w:rPr>
          <w:rFonts w:eastAsia="Times New Roman" w:cs="Arial"/>
          <w:color w:val="000000"/>
          <w:lang w:eastAsia="bg-BG"/>
        </w:rPr>
      </w:pPr>
    </w:p>
    <w:p w14:paraId="0612A156" w14:textId="7DB5CDC5" w:rsidR="00324ADA" w:rsidRPr="00324ADA" w:rsidRDefault="00324ADA" w:rsidP="00324ADA">
      <w:pPr>
        <w:spacing w:line="240" w:lineRule="auto"/>
        <w:rPr>
          <w:rFonts w:eastAsia="Times New Roman" w:cs="Arial"/>
          <w:sz w:val="24"/>
          <w:szCs w:val="24"/>
          <w:lang w:eastAsia="bg-BG"/>
        </w:rPr>
      </w:pPr>
      <w:r w:rsidRPr="00324ADA">
        <w:rPr>
          <w:rFonts w:eastAsia="Times New Roman" w:cs="Arial"/>
          <w:color w:val="000000"/>
          <w:lang w:eastAsia="bg-BG"/>
        </w:rPr>
        <w:t xml:space="preserve">Изследователите са били инструктирани да коригират проучвания медикамент до 100 </w:t>
      </w:r>
      <w:r w:rsidRPr="00324ADA">
        <w:rPr>
          <w:rFonts w:eastAsia="Times New Roman" w:cs="Arial"/>
          <w:color w:val="000000"/>
          <w:lang w:val="en-US"/>
        </w:rPr>
        <w:t xml:space="preserve">mg </w:t>
      </w:r>
      <w:r w:rsidRPr="00324ADA">
        <w:rPr>
          <w:rFonts w:eastAsia="Times New Roman" w:cs="Arial"/>
          <w:color w:val="000000"/>
          <w:lang w:eastAsia="bg-BG"/>
        </w:rPr>
        <w:t xml:space="preserve">на ден, както съответства; 72% от пациентите са приемали дневната доза от 100 </w:t>
      </w:r>
      <w:r w:rsidRPr="00324ADA">
        <w:rPr>
          <w:rFonts w:eastAsia="Times New Roman" w:cs="Arial"/>
          <w:color w:val="000000"/>
          <w:lang w:val="en-US"/>
        </w:rPr>
        <w:t xml:space="preserve">mg </w:t>
      </w:r>
      <w:r w:rsidRPr="00324ADA">
        <w:rPr>
          <w:rFonts w:eastAsia="Times New Roman" w:cs="Arial"/>
          <w:color w:val="000000"/>
          <w:lang w:eastAsia="bg-BG"/>
        </w:rPr>
        <w:t>през по- голямата част от времето. Други антихипертензивни продукти (диуретици, калциеви антагонисти, алфа- и бета-блокери, а също и централно-действащи антихипертензивни средства) са позволени като допълнително лечение в зависимост от нуждите и в двете групи. Пациентите са били проследявани до 4,6 години (средно 3,4 години).</w:t>
      </w:r>
    </w:p>
    <w:p w14:paraId="13C40509" w14:textId="77777777" w:rsidR="00324ADA" w:rsidRPr="00324ADA" w:rsidRDefault="00324ADA" w:rsidP="00324ADA">
      <w:pPr>
        <w:spacing w:line="240" w:lineRule="auto"/>
        <w:rPr>
          <w:rFonts w:eastAsia="Times New Roman" w:cs="Arial"/>
          <w:sz w:val="24"/>
          <w:szCs w:val="24"/>
          <w:lang w:eastAsia="bg-BG"/>
        </w:rPr>
      </w:pPr>
      <w:r w:rsidRPr="00324ADA">
        <w:rPr>
          <w:rFonts w:eastAsia="Times New Roman" w:cs="Arial"/>
          <w:color w:val="000000"/>
          <w:lang w:eastAsia="bg-BG"/>
        </w:rPr>
        <w:t>Първичната основна крайна точка на проучването е съставна крайна точка с удвоен серумен креатинин при бъбречна недостатъчност в крайна фаза (необходимост от диализа или трансплантация) или смърт.</w:t>
      </w:r>
    </w:p>
    <w:p w14:paraId="757030F4" w14:textId="77777777" w:rsidR="00324ADA" w:rsidRPr="00324ADA" w:rsidRDefault="00324ADA" w:rsidP="00324ADA">
      <w:pPr>
        <w:rPr>
          <w:rFonts w:eastAsia="Times New Roman" w:cs="Arial"/>
          <w:color w:val="000000"/>
          <w:lang w:eastAsia="bg-BG"/>
        </w:rPr>
      </w:pPr>
    </w:p>
    <w:p w14:paraId="43281691" w14:textId="77777777" w:rsidR="00324ADA" w:rsidRPr="00324ADA" w:rsidRDefault="00324ADA" w:rsidP="00324ADA">
      <w:pPr>
        <w:rPr>
          <w:rFonts w:eastAsia="Times New Roman" w:cs="Arial"/>
          <w:sz w:val="24"/>
          <w:szCs w:val="24"/>
          <w:lang w:eastAsia="bg-BG"/>
        </w:rPr>
      </w:pPr>
      <w:r w:rsidRPr="00324ADA">
        <w:rPr>
          <w:rFonts w:eastAsia="Times New Roman" w:cs="Arial"/>
          <w:color w:val="000000"/>
          <w:lang w:eastAsia="bg-BG"/>
        </w:rPr>
        <w:t>Резултатите са показали, че лечението с лосартан (327 събития) в сравнение с плацебо (359 събития) води до 16,1% намаление на риска (р = 0,022) при броя пациенти достигащи първичната съставна крайна точка. За следните индивидуални и комбинирани компоненти на първичната крайна точка, резултатите сочат значително намаление на риска в групата лекувана с лосартан: 25, 3% намаление на риска за удвояване на серумния креатинин (р = 0,006); 28, 6% намаление на риска за терминална бъбречна недостатъчност (р = 0,002); 19,9% намаление на риска за терминална бъбречна недостатъчност или смърт (р = 0,009); 21,0%  намаление на риска за удвояване на серумния креатинин или краен стадий бъбречна недостатъчност (</w:t>
      </w:r>
      <w:r w:rsidRPr="00324ADA">
        <w:rPr>
          <w:rFonts w:eastAsia="Times New Roman" w:cs="Arial"/>
          <w:color w:val="000000"/>
          <w:lang w:val="en-US"/>
        </w:rPr>
        <w:t>p=0,01</w:t>
      </w:r>
      <w:r w:rsidRPr="00324ADA">
        <w:rPr>
          <w:rFonts w:eastAsia="Times New Roman" w:cs="Arial"/>
          <w:color w:val="000000"/>
          <w:lang w:eastAsia="bg-BG"/>
        </w:rPr>
        <w:t>). Честотата на смъртност по всички причини не се различава значително при двете групи на лечение. В това проучване, лосартан обикновено е бил добре понасян, което е видно от</w:t>
      </w:r>
      <w:r>
        <w:rPr>
          <w:rFonts w:eastAsia="Times New Roman" w:cs="Arial"/>
          <w:color w:val="000000"/>
          <w:lang w:eastAsia="bg-BG"/>
        </w:rPr>
        <w:t xml:space="preserve"> </w:t>
      </w:r>
      <w:r w:rsidRPr="00324ADA">
        <w:rPr>
          <w:rFonts w:eastAsia="Times New Roman" w:cs="Arial"/>
          <w:color w:val="000000"/>
          <w:lang w:eastAsia="bg-BG"/>
        </w:rPr>
        <w:t>честотата на прекратяването на лечението за сметка на нежеланите лекарствени реакции, което е сравнимо с групата получавала плацебо.</w:t>
      </w:r>
    </w:p>
    <w:p w14:paraId="3865C262" w14:textId="77777777" w:rsidR="00324ADA" w:rsidRPr="00324ADA" w:rsidRDefault="00324ADA" w:rsidP="00324ADA">
      <w:pPr>
        <w:spacing w:line="240" w:lineRule="auto"/>
        <w:rPr>
          <w:rFonts w:eastAsia="Times New Roman" w:cs="Arial"/>
          <w:color w:val="000000"/>
          <w:u w:val="single"/>
          <w:lang w:eastAsia="bg-BG"/>
        </w:rPr>
      </w:pPr>
    </w:p>
    <w:p w14:paraId="73F6839A" w14:textId="37D66ECF" w:rsidR="00324ADA" w:rsidRPr="00324ADA" w:rsidRDefault="00324ADA" w:rsidP="00324ADA">
      <w:pPr>
        <w:spacing w:line="240" w:lineRule="auto"/>
        <w:rPr>
          <w:rFonts w:eastAsia="Times New Roman" w:cs="Arial"/>
          <w:sz w:val="24"/>
          <w:szCs w:val="24"/>
          <w:lang w:eastAsia="bg-BG"/>
        </w:rPr>
      </w:pPr>
      <w:r w:rsidRPr="00324ADA">
        <w:rPr>
          <w:rFonts w:eastAsia="Times New Roman" w:cs="Arial"/>
          <w:color w:val="000000"/>
          <w:u w:val="single"/>
          <w:lang w:eastAsia="bg-BG"/>
        </w:rPr>
        <w:t xml:space="preserve">Проучване </w:t>
      </w:r>
      <w:r w:rsidRPr="00324ADA">
        <w:rPr>
          <w:rFonts w:eastAsia="Times New Roman" w:cs="Arial"/>
          <w:color w:val="000000"/>
          <w:u w:val="single"/>
          <w:lang w:val="en-US"/>
        </w:rPr>
        <w:t>HEAAL</w:t>
      </w:r>
    </w:p>
    <w:p w14:paraId="53239D5C" w14:textId="77777777" w:rsidR="00324ADA" w:rsidRPr="00324ADA" w:rsidRDefault="00324ADA" w:rsidP="00324ADA">
      <w:pPr>
        <w:spacing w:line="240" w:lineRule="auto"/>
        <w:rPr>
          <w:rFonts w:eastAsia="Times New Roman" w:cs="Arial"/>
          <w:sz w:val="24"/>
          <w:szCs w:val="24"/>
          <w:lang w:eastAsia="bg-BG"/>
        </w:rPr>
      </w:pPr>
      <w:r w:rsidRPr="00324ADA">
        <w:rPr>
          <w:rFonts w:eastAsia="Times New Roman" w:cs="Arial"/>
          <w:color w:val="000000"/>
          <w:lang w:eastAsia="bg-BG"/>
        </w:rPr>
        <w:t xml:space="preserve">Проучването </w:t>
      </w:r>
      <w:r w:rsidRPr="00324ADA">
        <w:rPr>
          <w:rFonts w:eastAsia="Times New Roman" w:cs="Arial"/>
          <w:color w:val="000000"/>
          <w:u w:val="single"/>
          <w:lang w:val="en-US"/>
        </w:rPr>
        <w:t>HEAAL</w:t>
      </w:r>
      <w:r w:rsidRPr="00324ADA">
        <w:rPr>
          <w:rFonts w:eastAsia="Times New Roman" w:cs="Arial"/>
          <w:color w:val="000000"/>
          <w:lang w:val="en-US"/>
        </w:rPr>
        <w:t xml:space="preserve"> (Heart Failure Endpoint Evaluation of Angiotensin II Antagonist Losartan) e </w:t>
      </w:r>
      <w:r w:rsidRPr="00324ADA">
        <w:rPr>
          <w:rFonts w:eastAsia="Times New Roman" w:cs="Arial"/>
          <w:color w:val="000000"/>
          <w:lang w:eastAsia="bg-BG"/>
        </w:rPr>
        <w:t xml:space="preserve">контролирано клинично проучване, проведено в целия свят при 3 834 пациенти на възраст от 18 до 98 години със сърдечна недостатъчност </w:t>
      </w:r>
      <w:r w:rsidRPr="00324ADA">
        <w:rPr>
          <w:rFonts w:eastAsia="Times New Roman" w:cs="Arial"/>
          <w:color w:val="000000"/>
          <w:lang w:val="en-US"/>
        </w:rPr>
        <w:t xml:space="preserve">(NYHA Class II-IV), </w:t>
      </w:r>
      <w:r w:rsidRPr="00324ADA">
        <w:rPr>
          <w:rFonts w:eastAsia="Times New Roman" w:cs="Arial"/>
          <w:color w:val="000000"/>
          <w:lang w:eastAsia="bg-BG"/>
        </w:rPr>
        <w:t xml:space="preserve">които не понасят лечение с АСЕ-инхибитор. Пациентите са били рандомизирани да получават 50 </w:t>
      </w:r>
      <w:r w:rsidRPr="00324ADA">
        <w:rPr>
          <w:rFonts w:eastAsia="Times New Roman" w:cs="Arial"/>
          <w:color w:val="000000"/>
          <w:lang w:val="en-US"/>
        </w:rPr>
        <w:lastRenderedPageBreak/>
        <w:t xml:space="preserve">mg </w:t>
      </w:r>
      <w:r w:rsidRPr="00324ADA">
        <w:rPr>
          <w:rFonts w:eastAsia="Times New Roman" w:cs="Arial"/>
          <w:color w:val="000000"/>
          <w:lang w:eastAsia="bg-BG"/>
        </w:rPr>
        <w:t xml:space="preserve">или 150 </w:t>
      </w:r>
      <w:r w:rsidRPr="00324ADA">
        <w:rPr>
          <w:rFonts w:eastAsia="Times New Roman" w:cs="Arial"/>
          <w:color w:val="000000"/>
          <w:lang w:val="en-US"/>
        </w:rPr>
        <w:t xml:space="preserve">mg </w:t>
      </w:r>
      <w:r w:rsidRPr="00324ADA">
        <w:rPr>
          <w:rFonts w:eastAsia="Times New Roman" w:cs="Arial"/>
          <w:color w:val="000000"/>
          <w:lang w:eastAsia="bg-BG"/>
        </w:rPr>
        <w:t>лосартан веднъж дневно на фона на конвенционалната терапия, с изключение на АСЕ-инхибитори.</w:t>
      </w:r>
    </w:p>
    <w:p w14:paraId="2E0A34F4" w14:textId="77777777" w:rsidR="00324ADA" w:rsidRPr="00324ADA" w:rsidRDefault="00324ADA" w:rsidP="00324ADA">
      <w:pPr>
        <w:spacing w:line="240" w:lineRule="auto"/>
        <w:rPr>
          <w:rFonts w:eastAsia="Times New Roman" w:cs="Arial"/>
          <w:color w:val="000000"/>
          <w:lang w:eastAsia="bg-BG"/>
        </w:rPr>
      </w:pPr>
    </w:p>
    <w:p w14:paraId="1858BA5A" w14:textId="32DEF282" w:rsidR="00324ADA" w:rsidRPr="00324ADA" w:rsidRDefault="00324ADA" w:rsidP="00324ADA">
      <w:pPr>
        <w:spacing w:line="240" w:lineRule="auto"/>
        <w:rPr>
          <w:rFonts w:eastAsia="Times New Roman" w:cs="Arial"/>
          <w:sz w:val="24"/>
          <w:szCs w:val="24"/>
          <w:lang w:eastAsia="bg-BG"/>
        </w:rPr>
      </w:pPr>
      <w:r w:rsidRPr="00324ADA">
        <w:rPr>
          <w:rFonts w:eastAsia="Times New Roman" w:cs="Arial"/>
          <w:color w:val="000000"/>
          <w:lang w:eastAsia="bg-BG"/>
        </w:rPr>
        <w:t>Пациентите са проследявани за период над 4 години (средно 4,7 години). Първичната крайна точка на проучването е съставна крайна точка на всякаква причина за смърт или хоспитализация за сърдечна недостатъчност.</w:t>
      </w:r>
    </w:p>
    <w:p w14:paraId="47FCC6FB" w14:textId="77777777" w:rsidR="00324ADA" w:rsidRPr="00324ADA" w:rsidRDefault="00324ADA" w:rsidP="00324ADA">
      <w:pPr>
        <w:spacing w:line="240" w:lineRule="auto"/>
        <w:rPr>
          <w:rFonts w:eastAsia="Times New Roman" w:cs="Arial"/>
          <w:color w:val="000000"/>
          <w:lang w:eastAsia="bg-BG"/>
        </w:rPr>
      </w:pPr>
    </w:p>
    <w:p w14:paraId="1EF1BFB3" w14:textId="589E324E" w:rsidR="00324ADA" w:rsidRPr="00324ADA" w:rsidRDefault="00324ADA" w:rsidP="00324ADA">
      <w:pPr>
        <w:spacing w:line="240" w:lineRule="auto"/>
        <w:rPr>
          <w:rFonts w:eastAsia="Times New Roman" w:cs="Arial"/>
          <w:sz w:val="24"/>
          <w:szCs w:val="24"/>
          <w:lang w:eastAsia="bg-BG"/>
        </w:rPr>
      </w:pPr>
      <w:r w:rsidRPr="00324ADA">
        <w:rPr>
          <w:rFonts w:eastAsia="Times New Roman" w:cs="Arial"/>
          <w:color w:val="000000"/>
          <w:lang w:eastAsia="bg-BG"/>
        </w:rPr>
        <w:t xml:space="preserve">Резултатите показват, че лечението със 150 </w:t>
      </w:r>
      <w:r w:rsidRPr="00324ADA">
        <w:rPr>
          <w:rFonts w:eastAsia="Times New Roman" w:cs="Arial"/>
          <w:color w:val="000000"/>
          <w:lang w:val="en-US"/>
        </w:rPr>
        <w:t xml:space="preserve">mg </w:t>
      </w:r>
      <w:r w:rsidRPr="00324ADA">
        <w:rPr>
          <w:rFonts w:eastAsia="Times New Roman" w:cs="Arial"/>
          <w:color w:val="000000"/>
          <w:lang w:eastAsia="bg-BG"/>
        </w:rPr>
        <w:t xml:space="preserve">лосартан (828 събития) в сравнение с 50 </w:t>
      </w:r>
      <w:r w:rsidRPr="00324ADA">
        <w:rPr>
          <w:rFonts w:eastAsia="Times New Roman" w:cs="Arial"/>
          <w:color w:val="000000"/>
          <w:lang w:val="en-US"/>
        </w:rPr>
        <w:t xml:space="preserve">mg </w:t>
      </w:r>
      <w:r w:rsidRPr="00324ADA">
        <w:rPr>
          <w:rFonts w:eastAsia="Times New Roman" w:cs="Arial"/>
          <w:color w:val="000000"/>
          <w:lang w:eastAsia="bg-BG"/>
        </w:rPr>
        <w:t xml:space="preserve">лосартан (889 събития) е довело до 10,1 % понижаване на риска (р=0,027 95 % доверителен интервал 0,82-0,99) в броя на пациентите, достигащи първичната съставна крайна точка. Това основно се дължи на понижаването на честотата на хоспитализация за сърдечна недостатъчност. Лечението със 150 </w:t>
      </w:r>
      <w:r w:rsidRPr="00324ADA">
        <w:rPr>
          <w:rFonts w:eastAsia="Times New Roman" w:cs="Arial"/>
          <w:color w:val="000000"/>
          <w:lang w:val="en-US"/>
        </w:rPr>
        <w:t xml:space="preserve">mg </w:t>
      </w:r>
      <w:r w:rsidRPr="00324ADA">
        <w:rPr>
          <w:rFonts w:eastAsia="Times New Roman" w:cs="Arial"/>
          <w:color w:val="000000"/>
          <w:lang w:eastAsia="bg-BG"/>
        </w:rPr>
        <w:t xml:space="preserve">лосартан е намалило риска от сърдечна недостатъчност с 13,5 % съответно с 50 </w:t>
      </w:r>
      <w:r w:rsidRPr="00324ADA">
        <w:rPr>
          <w:rFonts w:eastAsia="Times New Roman" w:cs="Arial"/>
          <w:color w:val="000000"/>
          <w:lang w:val="en-US"/>
        </w:rPr>
        <w:t xml:space="preserve">mg </w:t>
      </w:r>
      <w:r w:rsidRPr="00324ADA">
        <w:rPr>
          <w:rFonts w:eastAsia="Times New Roman" w:cs="Arial"/>
          <w:color w:val="000000"/>
          <w:lang w:eastAsia="bg-BG"/>
        </w:rPr>
        <w:t xml:space="preserve">лосартан (р=0,025 95 % доверителен интервал 0,76-0,98). Честотата на свързаната с всякаква причина смъртност не е показала значими разлики между двете терапевтични групи. Бъбречно увреждане, хипотония и хиперкалиемия са били по-често срещани в групата на 150 </w:t>
      </w:r>
      <w:r w:rsidRPr="00324ADA">
        <w:rPr>
          <w:rFonts w:eastAsia="Times New Roman" w:cs="Arial"/>
          <w:color w:val="000000"/>
          <w:lang w:val="en-US"/>
        </w:rPr>
        <w:t xml:space="preserve">mg </w:t>
      </w:r>
      <w:r w:rsidRPr="00324ADA">
        <w:rPr>
          <w:rFonts w:eastAsia="Times New Roman" w:cs="Arial"/>
          <w:color w:val="000000"/>
          <w:lang w:eastAsia="bg-BG"/>
        </w:rPr>
        <w:t xml:space="preserve">отколкото в групата на 50 </w:t>
      </w:r>
      <w:r w:rsidRPr="00324ADA">
        <w:rPr>
          <w:rFonts w:eastAsia="Times New Roman" w:cs="Arial"/>
          <w:color w:val="000000"/>
          <w:lang w:val="en-US"/>
        </w:rPr>
        <w:t xml:space="preserve">mg, </w:t>
      </w:r>
      <w:r w:rsidRPr="00324ADA">
        <w:rPr>
          <w:rFonts w:eastAsia="Times New Roman" w:cs="Arial"/>
          <w:color w:val="000000"/>
          <w:lang w:eastAsia="bg-BG"/>
        </w:rPr>
        <w:t xml:space="preserve">но тези нежелани събития не са довели до значимо по-висока честота на прекъсване на лечението в групата на 150 </w:t>
      </w:r>
      <w:r w:rsidRPr="00324ADA">
        <w:rPr>
          <w:rFonts w:eastAsia="Times New Roman" w:cs="Arial"/>
          <w:color w:val="000000"/>
          <w:lang w:val="en-US"/>
        </w:rPr>
        <w:t>mg.</w:t>
      </w:r>
    </w:p>
    <w:p w14:paraId="2D8DE6A7" w14:textId="77777777" w:rsidR="00324ADA" w:rsidRPr="00324ADA" w:rsidRDefault="00324ADA" w:rsidP="00324ADA">
      <w:pPr>
        <w:spacing w:line="240" w:lineRule="auto"/>
        <w:rPr>
          <w:rFonts w:eastAsia="Times New Roman" w:cs="Arial"/>
          <w:color w:val="000000"/>
          <w:u w:val="single"/>
          <w:lang w:eastAsia="bg-BG"/>
        </w:rPr>
      </w:pPr>
    </w:p>
    <w:p w14:paraId="3B5407ED" w14:textId="55E42C8C" w:rsidR="00324ADA" w:rsidRPr="00324ADA" w:rsidRDefault="00324ADA" w:rsidP="00324ADA">
      <w:pPr>
        <w:spacing w:line="240" w:lineRule="auto"/>
        <w:rPr>
          <w:rFonts w:eastAsia="Times New Roman" w:cs="Arial"/>
          <w:sz w:val="24"/>
          <w:szCs w:val="24"/>
          <w:lang w:eastAsia="bg-BG"/>
        </w:rPr>
      </w:pPr>
      <w:r w:rsidRPr="00324ADA">
        <w:rPr>
          <w:rFonts w:eastAsia="Times New Roman" w:cs="Arial"/>
          <w:color w:val="000000"/>
          <w:u w:val="single"/>
          <w:lang w:eastAsia="bg-BG"/>
        </w:rPr>
        <w:t xml:space="preserve">Проучване </w:t>
      </w:r>
      <w:r w:rsidRPr="00324ADA">
        <w:rPr>
          <w:rFonts w:eastAsia="Times New Roman" w:cs="Arial"/>
          <w:color w:val="000000"/>
          <w:u w:val="single"/>
          <w:lang w:val="en-US"/>
        </w:rPr>
        <w:t xml:space="preserve">ELITE </w:t>
      </w:r>
      <w:r w:rsidRPr="00324ADA">
        <w:rPr>
          <w:rFonts w:eastAsia="Times New Roman" w:cs="Arial"/>
          <w:color w:val="000000"/>
          <w:u w:val="single"/>
          <w:lang w:eastAsia="bg-BG"/>
        </w:rPr>
        <w:t xml:space="preserve">I и </w:t>
      </w:r>
      <w:r w:rsidRPr="00324ADA">
        <w:rPr>
          <w:rFonts w:eastAsia="Times New Roman" w:cs="Arial"/>
          <w:color w:val="000000"/>
          <w:u w:val="single"/>
          <w:lang w:val="en-US"/>
        </w:rPr>
        <w:t xml:space="preserve">ELITE </w:t>
      </w:r>
      <w:r w:rsidRPr="00324ADA">
        <w:rPr>
          <w:rFonts w:eastAsia="Times New Roman" w:cs="Arial"/>
          <w:color w:val="000000"/>
          <w:u w:val="single"/>
          <w:lang w:eastAsia="bg-BG"/>
        </w:rPr>
        <w:t>II</w:t>
      </w:r>
    </w:p>
    <w:p w14:paraId="21C0D708" w14:textId="77777777" w:rsidR="00324ADA" w:rsidRPr="00324ADA" w:rsidRDefault="00324ADA" w:rsidP="00324ADA">
      <w:pPr>
        <w:spacing w:line="240" w:lineRule="auto"/>
        <w:rPr>
          <w:rFonts w:eastAsia="Times New Roman" w:cs="Arial"/>
          <w:sz w:val="24"/>
          <w:szCs w:val="24"/>
          <w:lang w:eastAsia="bg-BG"/>
        </w:rPr>
      </w:pPr>
      <w:r w:rsidRPr="00324ADA">
        <w:rPr>
          <w:rFonts w:eastAsia="Times New Roman" w:cs="Arial"/>
          <w:color w:val="000000"/>
          <w:lang w:eastAsia="bg-BG"/>
        </w:rPr>
        <w:t xml:space="preserve">В проучването </w:t>
      </w:r>
      <w:r w:rsidRPr="00324ADA">
        <w:rPr>
          <w:rFonts w:eastAsia="Times New Roman" w:cs="Arial"/>
          <w:color w:val="000000"/>
          <w:lang w:val="en-US"/>
        </w:rPr>
        <w:t xml:space="preserve">ELITE, </w:t>
      </w:r>
      <w:r w:rsidRPr="00324ADA">
        <w:rPr>
          <w:rFonts w:eastAsia="Times New Roman" w:cs="Arial"/>
          <w:color w:val="000000"/>
          <w:lang w:eastAsia="bg-BG"/>
        </w:rPr>
        <w:t>проведено в продължение на 48 седмици при 722 пациента със сърдечна недостатъчност (клас II</w:t>
      </w:r>
      <w:r w:rsidRPr="00324ADA">
        <w:rPr>
          <w:rFonts w:eastAsia="Times New Roman" w:cs="Arial"/>
          <w:color w:val="000000"/>
          <w:lang w:val="en-US"/>
        </w:rPr>
        <w:t>-I</w:t>
      </w:r>
      <w:r w:rsidRPr="00324ADA">
        <w:rPr>
          <w:rFonts w:eastAsia="Times New Roman" w:cs="Arial"/>
          <w:color w:val="000000"/>
          <w:lang w:eastAsia="bg-BG"/>
        </w:rPr>
        <w:t xml:space="preserve">V по </w:t>
      </w:r>
      <w:r w:rsidRPr="00324ADA">
        <w:rPr>
          <w:rFonts w:eastAsia="Times New Roman" w:cs="Arial"/>
          <w:color w:val="000000"/>
          <w:lang w:val="en-US"/>
        </w:rPr>
        <w:t xml:space="preserve">NYHA), </w:t>
      </w:r>
      <w:r w:rsidRPr="00324ADA">
        <w:rPr>
          <w:rFonts w:eastAsia="Times New Roman" w:cs="Arial"/>
          <w:color w:val="000000"/>
          <w:lang w:eastAsia="bg-BG"/>
        </w:rPr>
        <w:t xml:space="preserve">не се наблюдава разлика между пациентите лекувани с лосартан и тези лекувани с каптоприл по отношение на първичната крайна точка за промяна в бъбречната функция при продължителна употреба. Наблюдението на проучването </w:t>
      </w:r>
      <w:r w:rsidRPr="00324ADA">
        <w:rPr>
          <w:rFonts w:eastAsia="Times New Roman" w:cs="Arial"/>
          <w:color w:val="000000"/>
          <w:lang w:val="en-US"/>
        </w:rPr>
        <w:t xml:space="preserve">ELITE </w:t>
      </w:r>
      <w:r w:rsidRPr="00324ADA">
        <w:rPr>
          <w:rFonts w:eastAsia="Times New Roman" w:cs="Arial"/>
          <w:color w:val="000000"/>
          <w:lang w:eastAsia="bg-BG"/>
        </w:rPr>
        <w:t xml:space="preserve">I, че при сравнение с каптоприл, лосартан намалява риска от смърт, не бе потвърдено в последващото проучване </w:t>
      </w:r>
      <w:r w:rsidRPr="00324ADA">
        <w:rPr>
          <w:rFonts w:eastAsia="Times New Roman" w:cs="Arial"/>
          <w:color w:val="000000"/>
          <w:lang w:val="en-US"/>
        </w:rPr>
        <w:t xml:space="preserve">ELITE </w:t>
      </w:r>
      <w:r w:rsidRPr="00324ADA">
        <w:rPr>
          <w:rFonts w:eastAsia="Times New Roman" w:cs="Arial"/>
          <w:color w:val="000000"/>
          <w:lang w:eastAsia="bg-BG"/>
        </w:rPr>
        <w:t>II, което е описано по-долу.</w:t>
      </w:r>
    </w:p>
    <w:p w14:paraId="7E060FC4" w14:textId="77777777" w:rsidR="00324ADA" w:rsidRPr="00324ADA" w:rsidRDefault="00324ADA" w:rsidP="00324ADA">
      <w:pPr>
        <w:spacing w:line="240" w:lineRule="auto"/>
        <w:rPr>
          <w:rFonts w:eastAsia="Times New Roman" w:cs="Arial"/>
          <w:sz w:val="24"/>
          <w:szCs w:val="24"/>
          <w:lang w:eastAsia="bg-BG"/>
        </w:rPr>
      </w:pPr>
      <w:r w:rsidRPr="00324ADA">
        <w:rPr>
          <w:rFonts w:eastAsia="Times New Roman" w:cs="Arial"/>
          <w:color w:val="000000"/>
          <w:lang w:eastAsia="bg-BG"/>
        </w:rPr>
        <w:t xml:space="preserve">В проучването </w:t>
      </w:r>
      <w:r w:rsidRPr="00324ADA">
        <w:rPr>
          <w:rFonts w:eastAsia="Times New Roman" w:cs="Arial"/>
          <w:color w:val="000000"/>
          <w:lang w:val="en-US"/>
        </w:rPr>
        <w:t xml:space="preserve">ELITE </w:t>
      </w:r>
      <w:r w:rsidRPr="00324ADA">
        <w:rPr>
          <w:rFonts w:eastAsia="Times New Roman" w:cs="Arial"/>
          <w:color w:val="000000"/>
          <w:lang w:eastAsia="bg-BG"/>
        </w:rPr>
        <w:t xml:space="preserve">II лосартан 50 </w:t>
      </w:r>
      <w:r w:rsidRPr="00324ADA">
        <w:rPr>
          <w:rFonts w:eastAsia="Times New Roman" w:cs="Arial"/>
          <w:color w:val="000000"/>
          <w:lang w:val="en-US"/>
        </w:rPr>
        <w:t xml:space="preserve">mg </w:t>
      </w:r>
      <w:r w:rsidRPr="00324ADA">
        <w:rPr>
          <w:rFonts w:eastAsia="Times New Roman" w:cs="Arial"/>
          <w:color w:val="000000"/>
          <w:lang w:eastAsia="bg-BG"/>
        </w:rPr>
        <w:t xml:space="preserve">веднъж на ден (начална доза 12,5 </w:t>
      </w:r>
      <w:r w:rsidRPr="00324ADA">
        <w:rPr>
          <w:rFonts w:eastAsia="Times New Roman" w:cs="Arial"/>
          <w:color w:val="000000"/>
          <w:lang w:val="en-US"/>
        </w:rPr>
        <w:t xml:space="preserve">mg, </w:t>
      </w:r>
      <w:r w:rsidRPr="00324ADA">
        <w:rPr>
          <w:rFonts w:eastAsia="Times New Roman" w:cs="Arial"/>
          <w:color w:val="000000"/>
          <w:lang w:eastAsia="bg-BG"/>
        </w:rPr>
        <w:t xml:space="preserve">увеличена до 25 </w:t>
      </w:r>
      <w:r w:rsidRPr="00324ADA">
        <w:rPr>
          <w:rFonts w:eastAsia="Times New Roman" w:cs="Arial"/>
          <w:color w:val="000000"/>
          <w:lang w:val="en-US"/>
        </w:rPr>
        <w:t xml:space="preserve">mg, </w:t>
      </w:r>
      <w:r w:rsidRPr="00324ADA">
        <w:rPr>
          <w:rFonts w:eastAsia="Times New Roman" w:cs="Arial"/>
          <w:color w:val="000000"/>
          <w:lang w:eastAsia="bg-BG"/>
        </w:rPr>
        <w:t xml:space="preserve">а след това на 50 </w:t>
      </w:r>
      <w:r w:rsidRPr="00324ADA">
        <w:rPr>
          <w:rFonts w:eastAsia="Times New Roman" w:cs="Arial"/>
          <w:color w:val="000000"/>
          <w:lang w:val="en-US"/>
        </w:rPr>
        <w:t xml:space="preserve">mg </w:t>
      </w:r>
      <w:r w:rsidRPr="00324ADA">
        <w:rPr>
          <w:rFonts w:eastAsia="Times New Roman" w:cs="Arial"/>
          <w:color w:val="000000"/>
          <w:lang w:eastAsia="bg-BG"/>
        </w:rPr>
        <w:t xml:space="preserve">веднъж на ден) е бил сравнен с каптоприл 50 </w:t>
      </w:r>
      <w:r w:rsidRPr="00324ADA">
        <w:rPr>
          <w:rFonts w:eastAsia="Times New Roman" w:cs="Arial"/>
          <w:color w:val="000000"/>
          <w:lang w:val="en-US"/>
        </w:rPr>
        <w:t xml:space="preserve">mg </w:t>
      </w:r>
      <w:r w:rsidRPr="00324ADA">
        <w:rPr>
          <w:rFonts w:eastAsia="Times New Roman" w:cs="Arial"/>
          <w:color w:val="000000"/>
          <w:lang w:eastAsia="bg-BG"/>
        </w:rPr>
        <w:t xml:space="preserve">три пъти дневно (начална доза 12,5 </w:t>
      </w:r>
      <w:r w:rsidRPr="00324ADA">
        <w:rPr>
          <w:rFonts w:eastAsia="Times New Roman" w:cs="Arial"/>
          <w:color w:val="000000"/>
          <w:lang w:val="en-US"/>
        </w:rPr>
        <w:t xml:space="preserve">mg, </w:t>
      </w:r>
      <w:r w:rsidRPr="00324ADA">
        <w:rPr>
          <w:rFonts w:eastAsia="Times New Roman" w:cs="Arial"/>
          <w:color w:val="000000"/>
          <w:lang w:eastAsia="bg-BG"/>
        </w:rPr>
        <w:t xml:space="preserve">увеличена до 25 </w:t>
      </w:r>
      <w:r w:rsidRPr="00324ADA">
        <w:rPr>
          <w:rFonts w:eastAsia="Times New Roman" w:cs="Arial"/>
          <w:color w:val="000000"/>
          <w:lang w:val="en-US"/>
        </w:rPr>
        <w:t xml:space="preserve">mg, </w:t>
      </w:r>
      <w:r w:rsidRPr="00324ADA">
        <w:rPr>
          <w:rFonts w:eastAsia="Times New Roman" w:cs="Arial"/>
          <w:color w:val="000000"/>
          <w:lang w:eastAsia="bg-BG"/>
        </w:rPr>
        <w:t xml:space="preserve">а след това до 50 </w:t>
      </w:r>
      <w:r w:rsidRPr="00324ADA">
        <w:rPr>
          <w:rFonts w:eastAsia="Times New Roman" w:cs="Arial"/>
          <w:color w:val="000000"/>
          <w:lang w:val="en-US"/>
        </w:rPr>
        <w:t xml:space="preserve">mg </w:t>
      </w:r>
      <w:r w:rsidRPr="00324ADA">
        <w:rPr>
          <w:rFonts w:eastAsia="Times New Roman" w:cs="Arial"/>
          <w:color w:val="000000"/>
          <w:lang w:eastAsia="bg-BG"/>
        </w:rPr>
        <w:t>три пъти дневно). Първичната крайна точка в това проспективно проучване е била честотата на смъртност по всички причини.</w:t>
      </w:r>
    </w:p>
    <w:p w14:paraId="59E00FC3" w14:textId="77777777" w:rsidR="00324ADA" w:rsidRPr="00324ADA" w:rsidRDefault="00324ADA" w:rsidP="00324ADA">
      <w:pPr>
        <w:spacing w:line="240" w:lineRule="auto"/>
        <w:rPr>
          <w:rFonts w:eastAsia="Times New Roman" w:cs="Arial"/>
          <w:color w:val="000000"/>
          <w:lang w:eastAsia="bg-BG"/>
        </w:rPr>
      </w:pPr>
    </w:p>
    <w:p w14:paraId="4997C571" w14:textId="476A738F" w:rsidR="00324ADA" w:rsidRPr="00324ADA" w:rsidRDefault="00324ADA" w:rsidP="00324ADA">
      <w:pPr>
        <w:spacing w:line="240" w:lineRule="auto"/>
        <w:rPr>
          <w:rFonts w:eastAsia="Times New Roman" w:cs="Arial"/>
          <w:sz w:val="24"/>
          <w:szCs w:val="24"/>
          <w:lang w:eastAsia="bg-BG"/>
        </w:rPr>
      </w:pPr>
      <w:r w:rsidRPr="00324ADA">
        <w:rPr>
          <w:rFonts w:eastAsia="Times New Roman" w:cs="Arial"/>
          <w:color w:val="000000"/>
          <w:lang w:eastAsia="bg-BG"/>
        </w:rPr>
        <w:t>В това проучване са проследени в продължение на почти две години 3152 пациента със сърдечна недостатъчност (клас II</w:t>
      </w:r>
      <w:r w:rsidRPr="00324ADA">
        <w:rPr>
          <w:rFonts w:eastAsia="Times New Roman" w:cs="Arial"/>
          <w:color w:val="000000"/>
          <w:lang w:val="en-US"/>
        </w:rPr>
        <w:t xml:space="preserve">-IV </w:t>
      </w:r>
      <w:r w:rsidRPr="00324ADA">
        <w:rPr>
          <w:rFonts w:eastAsia="Times New Roman" w:cs="Arial"/>
          <w:color w:val="000000"/>
          <w:lang w:eastAsia="bg-BG"/>
        </w:rPr>
        <w:t xml:space="preserve">по </w:t>
      </w:r>
      <w:r w:rsidRPr="00324ADA">
        <w:rPr>
          <w:rFonts w:eastAsia="Times New Roman" w:cs="Arial"/>
          <w:color w:val="000000"/>
          <w:lang w:val="en-US"/>
        </w:rPr>
        <w:t xml:space="preserve">NYHA) </w:t>
      </w:r>
      <w:r w:rsidRPr="00324ADA">
        <w:rPr>
          <w:rFonts w:eastAsia="Times New Roman" w:cs="Arial"/>
          <w:color w:val="000000"/>
          <w:lang w:eastAsia="bg-BG"/>
        </w:rPr>
        <w:t>(средно: 1,5 години) с цел да се определи доколко лосартан превъзхожда каптоприл за намаляване на смъртността по всички причини. Първичната крайна точка не показва съществуване на статистически значима разлика между лосартан и каптоприл за намаляване на смъртността по всички причини.</w:t>
      </w:r>
    </w:p>
    <w:p w14:paraId="2A9E9769" w14:textId="77777777" w:rsidR="00324ADA" w:rsidRPr="00324ADA" w:rsidRDefault="00324ADA" w:rsidP="00324ADA">
      <w:pPr>
        <w:spacing w:line="240" w:lineRule="auto"/>
        <w:rPr>
          <w:rFonts w:eastAsia="Times New Roman" w:cs="Arial"/>
          <w:color w:val="000000"/>
          <w:lang w:eastAsia="bg-BG"/>
        </w:rPr>
      </w:pPr>
    </w:p>
    <w:p w14:paraId="5E7E67FA" w14:textId="7679682E" w:rsidR="00324ADA" w:rsidRPr="00324ADA" w:rsidRDefault="00324ADA" w:rsidP="00324ADA">
      <w:pPr>
        <w:spacing w:line="240" w:lineRule="auto"/>
        <w:rPr>
          <w:rFonts w:eastAsia="Times New Roman" w:cs="Arial"/>
          <w:sz w:val="24"/>
          <w:szCs w:val="24"/>
          <w:lang w:eastAsia="bg-BG"/>
        </w:rPr>
      </w:pPr>
      <w:r w:rsidRPr="00324ADA">
        <w:rPr>
          <w:rFonts w:eastAsia="Times New Roman" w:cs="Arial"/>
          <w:color w:val="000000"/>
          <w:lang w:eastAsia="bg-BG"/>
        </w:rPr>
        <w:t>И при двете проучвания, при които контролирането при пациенти със сърдечна недостатъчност е с активен продукт (не с плацебо),</w:t>
      </w:r>
      <w:r w:rsidRPr="00324ADA">
        <w:rPr>
          <w:rFonts w:eastAsia="Times New Roman" w:cs="Arial"/>
          <w:color w:val="000000"/>
          <w:lang w:val="en-US"/>
        </w:rPr>
        <w:t xml:space="preserve"> </w:t>
      </w:r>
      <w:r w:rsidRPr="00324ADA">
        <w:rPr>
          <w:rFonts w:eastAsia="Times New Roman" w:cs="Arial"/>
          <w:color w:val="000000"/>
          <w:lang w:eastAsia="bg-BG"/>
        </w:rPr>
        <w:t>поносимостта към лосартан е била по-висока от тази на каптоприл, измерена въз основа на значително по-ниската честота на преустановяване на лечението за сметка на нежеланите реакции и значително по-ниската честота на кашлица.</w:t>
      </w:r>
    </w:p>
    <w:p w14:paraId="65F4AC0D" w14:textId="77777777" w:rsidR="00324ADA" w:rsidRPr="00324ADA" w:rsidRDefault="00324ADA" w:rsidP="00324ADA">
      <w:pPr>
        <w:spacing w:line="240" w:lineRule="auto"/>
        <w:rPr>
          <w:rFonts w:eastAsia="Times New Roman" w:cs="Arial"/>
          <w:color w:val="000000"/>
          <w:lang w:eastAsia="bg-BG"/>
        </w:rPr>
      </w:pPr>
    </w:p>
    <w:p w14:paraId="3267B930" w14:textId="03C98B61" w:rsidR="00324ADA" w:rsidRPr="00324ADA" w:rsidRDefault="00324ADA" w:rsidP="00324ADA">
      <w:pPr>
        <w:spacing w:line="240" w:lineRule="auto"/>
        <w:rPr>
          <w:rFonts w:eastAsia="Times New Roman" w:cs="Arial"/>
          <w:sz w:val="24"/>
          <w:szCs w:val="24"/>
          <w:lang w:eastAsia="bg-BG"/>
        </w:rPr>
      </w:pPr>
      <w:r w:rsidRPr="00324ADA">
        <w:rPr>
          <w:rFonts w:eastAsia="Times New Roman" w:cs="Arial"/>
          <w:color w:val="000000"/>
          <w:lang w:eastAsia="bg-BG"/>
        </w:rPr>
        <w:t xml:space="preserve">Била е наблюдавана повишена смъртност в проучването </w:t>
      </w:r>
      <w:r w:rsidRPr="00324ADA">
        <w:rPr>
          <w:rFonts w:eastAsia="Times New Roman" w:cs="Arial"/>
          <w:color w:val="000000"/>
          <w:lang w:val="en-US"/>
        </w:rPr>
        <w:t xml:space="preserve">ELITE </w:t>
      </w:r>
      <w:r w:rsidRPr="00324ADA">
        <w:rPr>
          <w:rFonts w:eastAsia="Times New Roman" w:cs="Arial"/>
          <w:color w:val="000000"/>
          <w:lang w:eastAsia="bg-BG"/>
        </w:rPr>
        <w:t>II при малка подгрупа (22% от всички пациенти със сърдечна недостатъчност), които са приемали изходно бета-блокери.</w:t>
      </w:r>
    </w:p>
    <w:p w14:paraId="4A69BF7E" w14:textId="77777777" w:rsidR="00324ADA" w:rsidRPr="00324ADA" w:rsidRDefault="00324ADA" w:rsidP="00324ADA">
      <w:pPr>
        <w:spacing w:line="240" w:lineRule="auto"/>
        <w:rPr>
          <w:rFonts w:eastAsia="Times New Roman" w:cs="Arial"/>
          <w:color w:val="000000"/>
          <w:u w:val="single"/>
          <w:lang w:eastAsia="bg-BG"/>
        </w:rPr>
      </w:pPr>
    </w:p>
    <w:p w14:paraId="50383855" w14:textId="08449737" w:rsidR="00324ADA" w:rsidRPr="00324ADA" w:rsidRDefault="00324ADA" w:rsidP="00324ADA">
      <w:pPr>
        <w:spacing w:line="240" w:lineRule="auto"/>
        <w:rPr>
          <w:rFonts w:eastAsia="Times New Roman" w:cs="Arial"/>
          <w:sz w:val="24"/>
          <w:szCs w:val="24"/>
          <w:lang w:eastAsia="bg-BG"/>
        </w:rPr>
      </w:pPr>
      <w:r w:rsidRPr="00324ADA">
        <w:rPr>
          <w:rFonts w:eastAsia="Times New Roman" w:cs="Arial"/>
          <w:color w:val="000000"/>
          <w:u w:val="single"/>
          <w:lang w:eastAsia="bg-BG"/>
        </w:rPr>
        <w:t xml:space="preserve">Двойно блокиране на ренин-ангиотензин--алдостероновата система (РААС) </w:t>
      </w:r>
      <w:r w:rsidRPr="00324ADA">
        <w:rPr>
          <w:rFonts w:eastAsia="Times New Roman" w:cs="Arial"/>
          <w:color w:val="000000"/>
          <w:lang w:eastAsia="bg-BG"/>
        </w:rPr>
        <w:t xml:space="preserve">Две големи рандомизирани контролирани проучвания - </w:t>
      </w:r>
      <w:r w:rsidRPr="00324ADA">
        <w:rPr>
          <w:rFonts w:eastAsia="Times New Roman" w:cs="Arial"/>
          <w:color w:val="000000"/>
          <w:lang w:val="en-US"/>
        </w:rPr>
        <w:t>ONTARGET (</w:t>
      </w:r>
      <w:proofErr w:type="spellStart"/>
      <w:r w:rsidRPr="00324ADA">
        <w:rPr>
          <w:rFonts w:eastAsia="Times New Roman" w:cs="Arial"/>
          <w:color w:val="000000"/>
          <w:lang w:val="en-US"/>
        </w:rPr>
        <w:t>ONgoing</w:t>
      </w:r>
      <w:proofErr w:type="spellEnd"/>
      <w:r w:rsidRPr="00324ADA">
        <w:rPr>
          <w:rFonts w:eastAsia="Times New Roman" w:cs="Arial"/>
          <w:color w:val="000000"/>
          <w:lang w:val="en-US"/>
        </w:rPr>
        <w:t xml:space="preserve"> </w:t>
      </w:r>
      <w:proofErr w:type="spellStart"/>
      <w:r w:rsidRPr="00324ADA">
        <w:rPr>
          <w:rFonts w:eastAsia="Times New Roman" w:cs="Arial"/>
          <w:color w:val="000000"/>
          <w:lang w:val="en-US"/>
        </w:rPr>
        <w:t>Telmisartan</w:t>
      </w:r>
      <w:proofErr w:type="spellEnd"/>
      <w:r w:rsidRPr="00324ADA">
        <w:rPr>
          <w:rFonts w:eastAsia="Times New Roman" w:cs="Arial"/>
          <w:color w:val="000000"/>
          <w:lang w:val="en-US"/>
        </w:rPr>
        <w:t xml:space="preserve"> Alone and in </w:t>
      </w:r>
      <w:r w:rsidRPr="00324ADA">
        <w:rPr>
          <w:rFonts w:eastAsia="Times New Roman" w:cs="Arial"/>
          <w:color w:val="000000"/>
          <w:lang w:val="en-US"/>
        </w:rPr>
        <w:lastRenderedPageBreak/>
        <w:t xml:space="preserve">combination with Ramipril Global Endpoint Trial - </w:t>
      </w:r>
      <w:r w:rsidRPr="00324ADA">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324ADA">
        <w:rPr>
          <w:rFonts w:eastAsia="Times New Roman" w:cs="Arial"/>
          <w:color w:val="000000"/>
          <w:lang w:val="en-US"/>
        </w:rPr>
        <w:t>VA NEPHRON-D</w:t>
      </w:r>
    </w:p>
    <w:p w14:paraId="7EC66A75" w14:textId="77777777" w:rsidR="00324ADA" w:rsidRPr="00324ADA" w:rsidRDefault="00324ADA" w:rsidP="00324ADA">
      <w:pPr>
        <w:rPr>
          <w:rFonts w:eastAsia="Times New Roman" w:cs="Arial"/>
          <w:sz w:val="24"/>
          <w:szCs w:val="24"/>
          <w:lang w:eastAsia="bg-BG"/>
        </w:rPr>
      </w:pPr>
      <w:r w:rsidRPr="00324ADA">
        <w:rPr>
          <w:rFonts w:eastAsia="Times New Roman" w:cs="Arial"/>
          <w:color w:val="000000"/>
          <w:lang w:eastAsia="bg-BG"/>
        </w:rPr>
        <w:t>(Клинично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II-рецепторен блокер.</w:t>
      </w:r>
    </w:p>
    <w:p w14:paraId="1CEEFE6C" w14:textId="77777777" w:rsidR="00324ADA" w:rsidRPr="00324ADA" w:rsidRDefault="00324ADA" w:rsidP="00324ADA">
      <w:pPr>
        <w:spacing w:line="240" w:lineRule="auto"/>
        <w:rPr>
          <w:rFonts w:eastAsia="Times New Roman" w:cs="Arial"/>
          <w:sz w:val="24"/>
          <w:szCs w:val="24"/>
          <w:lang w:eastAsia="bg-BG"/>
        </w:rPr>
      </w:pPr>
      <w:r w:rsidRPr="00324ADA">
        <w:rPr>
          <w:rFonts w:eastAsia="Times New Roman" w:cs="Arial"/>
          <w:color w:val="000000"/>
          <w:lang w:val="en-US"/>
        </w:rPr>
        <w:t xml:space="preserve">ONTARGET </w:t>
      </w:r>
      <w:r w:rsidRPr="00324ADA">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324ADA">
        <w:rPr>
          <w:rFonts w:eastAsia="Times New Roman" w:cs="Arial"/>
          <w:color w:val="000000"/>
          <w:lang w:val="en-US"/>
        </w:rPr>
        <w:t xml:space="preserve">VA NEPHRON-D </w:t>
      </w:r>
      <w:r w:rsidRPr="00324ADA">
        <w:rPr>
          <w:rFonts w:eastAsia="Times New Roman" w:cs="Arial"/>
          <w:color w:val="000000"/>
          <w:lang w:eastAsia="bg-BG"/>
        </w:rPr>
        <w:t>е проучване при пациенти със захарен диабет тип 2 и диабетна нефропатия.</w:t>
      </w:r>
    </w:p>
    <w:p w14:paraId="17A328B7" w14:textId="77777777" w:rsidR="00324ADA" w:rsidRPr="00324ADA" w:rsidRDefault="00324ADA" w:rsidP="00324ADA">
      <w:pPr>
        <w:spacing w:line="240" w:lineRule="auto"/>
        <w:rPr>
          <w:rFonts w:eastAsia="Times New Roman" w:cs="Arial"/>
          <w:sz w:val="24"/>
          <w:szCs w:val="24"/>
          <w:lang w:eastAsia="bg-BG"/>
        </w:rPr>
      </w:pPr>
      <w:r w:rsidRPr="00324ADA">
        <w:rPr>
          <w:rFonts w:eastAsia="Times New Roman" w:cs="Arial"/>
          <w:color w:val="000000"/>
          <w:lang w:eastAsia="bg-BG"/>
        </w:rPr>
        <w:t>Тези проучвания не показват значим благоприятен ефект върху бъбречните и/или сърдечно</w:t>
      </w:r>
      <w:r w:rsidRPr="00324ADA">
        <w:rPr>
          <w:rFonts w:eastAsia="Times New Roman" w:cs="Arial"/>
          <w:color w:val="000000"/>
          <w:lang w:eastAsia="bg-BG"/>
        </w:rPr>
        <w:softHyphen/>
        <w:t>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II-рецепторни блокери.</w:t>
      </w:r>
    </w:p>
    <w:p w14:paraId="695D9FC9" w14:textId="77777777" w:rsidR="00324ADA" w:rsidRPr="00324ADA" w:rsidRDefault="00324ADA" w:rsidP="00324ADA">
      <w:pPr>
        <w:spacing w:line="240" w:lineRule="auto"/>
        <w:rPr>
          <w:rFonts w:eastAsia="Times New Roman" w:cs="Arial"/>
          <w:sz w:val="24"/>
          <w:szCs w:val="24"/>
          <w:lang w:eastAsia="bg-BG"/>
        </w:rPr>
      </w:pPr>
      <w:r w:rsidRPr="00324ADA">
        <w:rPr>
          <w:rFonts w:eastAsia="Times New Roman" w:cs="Arial"/>
          <w:color w:val="000000"/>
          <w:lang w:eastAsia="bg-BG"/>
        </w:rPr>
        <w:t>АСЕ инхибитори и ангиотензин II-рецепторни блокери следователно не трябва да се използват едновременно при пациенти с диабетна нефропатия.</w:t>
      </w:r>
    </w:p>
    <w:p w14:paraId="5A2D3727" w14:textId="2F703C63" w:rsidR="00324ADA" w:rsidRPr="00324ADA" w:rsidRDefault="00324ADA" w:rsidP="00324ADA">
      <w:pPr>
        <w:spacing w:line="240" w:lineRule="auto"/>
        <w:rPr>
          <w:rFonts w:eastAsia="Times New Roman" w:cs="Arial"/>
          <w:sz w:val="24"/>
          <w:szCs w:val="24"/>
          <w:lang w:eastAsia="bg-BG"/>
        </w:rPr>
      </w:pPr>
      <w:r w:rsidRPr="00324ADA">
        <w:rPr>
          <w:rFonts w:eastAsia="Times New Roman" w:cs="Arial"/>
          <w:color w:val="000000"/>
          <w:lang w:val="en-US"/>
        </w:rPr>
        <w:t xml:space="preserve">ALTITUDE </w:t>
      </w:r>
      <w:r w:rsidRPr="00324ADA">
        <w:rPr>
          <w:rFonts w:eastAsia="Times New Roman" w:cs="Arial"/>
          <w:color w:val="000000"/>
          <w:lang w:eastAsia="bg-BG"/>
        </w:rPr>
        <w:t>(Клинично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ангиотензин II-рецепторен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798A9068" w14:textId="77777777" w:rsidR="00324ADA" w:rsidRPr="00324ADA" w:rsidRDefault="00324ADA" w:rsidP="00324ADA">
      <w:pPr>
        <w:spacing w:line="240" w:lineRule="auto"/>
        <w:rPr>
          <w:rFonts w:eastAsia="Times New Roman" w:cs="Arial"/>
          <w:color w:val="000000"/>
          <w:u w:val="single"/>
          <w:lang w:eastAsia="bg-BG"/>
        </w:rPr>
      </w:pPr>
    </w:p>
    <w:p w14:paraId="13A9C549" w14:textId="7C2D866A" w:rsidR="00324ADA" w:rsidRPr="00324ADA" w:rsidRDefault="00324ADA" w:rsidP="00324ADA">
      <w:pPr>
        <w:spacing w:line="240" w:lineRule="auto"/>
        <w:rPr>
          <w:rFonts w:eastAsia="Times New Roman" w:cs="Arial"/>
          <w:sz w:val="24"/>
          <w:szCs w:val="24"/>
          <w:lang w:eastAsia="bg-BG"/>
        </w:rPr>
      </w:pPr>
      <w:r w:rsidRPr="00324ADA">
        <w:rPr>
          <w:rFonts w:eastAsia="Times New Roman" w:cs="Arial"/>
          <w:color w:val="000000"/>
          <w:u w:val="single"/>
          <w:lang w:eastAsia="bg-BG"/>
        </w:rPr>
        <w:t>Педиатрична популация</w:t>
      </w:r>
    </w:p>
    <w:p w14:paraId="73024D7E" w14:textId="77777777" w:rsidR="00324ADA" w:rsidRPr="00324ADA" w:rsidRDefault="00324ADA" w:rsidP="00324ADA">
      <w:pPr>
        <w:spacing w:line="240" w:lineRule="auto"/>
        <w:rPr>
          <w:rFonts w:eastAsia="Times New Roman" w:cs="Arial"/>
          <w:sz w:val="24"/>
          <w:szCs w:val="24"/>
          <w:lang w:eastAsia="bg-BG"/>
        </w:rPr>
      </w:pPr>
      <w:r w:rsidRPr="00324ADA">
        <w:rPr>
          <w:rFonts w:eastAsia="Times New Roman" w:cs="Arial"/>
          <w:i/>
          <w:iCs/>
          <w:color w:val="000000"/>
          <w:u w:val="single"/>
          <w:lang w:eastAsia="bg-BG"/>
        </w:rPr>
        <w:t>Хипертония в педиатричната популация</w:t>
      </w:r>
    </w:p>
    <w:p w14:paraId="3A63E205" w14:textId="77777777" w:rsidR="00324ADA" w:rsidRPr="00324ADA" w:rsidRDefault="00324ADA" w:rsidP="00324ADA">
      <w:pPr>
        <w:spacing w:line="240" w:lineRule="auto"/>
        <w:rPr>
          <w:rFonts w:eastAsia="Times New Roman" w:cs="Arial"/>
          <w:sz w:val="24"/>
          <w:szCs w:val="24"/>
          <w:lang w:eastAsia="bg-BG"/>
        </w:rPr>
      </w:pPr>
      <w:r w:rsidRPr="00324ADA">
        <w:rPr>
          <w:rFonts w:eastAsia="Times New Roman" w:cs="Arial"/>
          <w:color w:val="000000"/>
          <w:lang w:eastAsia="bg-BG"/>
        </w:rPr>
        <w:t xml:space="preserve">Антихипертензивният ефект на лосартан е бил установен в клинично проучване, включващо 177 хипертензивни пациенти от педиатричната популация на възраст от 6 до 16 години и телесно тегло &gt; 20 </w:t>
      </w:r>
      <w:r w:rsidRPr="00324ADA">
        <w:rPr>
          <w:rFonts w:eastAsia="Times New Roman" w:cs="Arial"/>
          <w:color w:val="000000"/>
          <w:lang w:val="en-US"/>
        </w:rPr>
        <w:t xml:space="preserve">kg </w:t>
      </w:r>
      <w:r w:rsidRPr="00324ADA">
        <w:rPr>
          <w:rFonts w:eastAsia="Times New Roman" w:cs="Arial"/>
          <w:color w:val="000000"/>
          <w:lang w:eastAsia="bg-BG"/>
        </w:rPr>
        <w:t xml:space="preserve">и скорост на гломерулна филтрация &gt; 30 </w:t>
      </w:r>
      <w:r w:rsidRPr="00324ADA">
        <w:rPr>
          <w:rFonts w:eastAsia="Times New Roman" w:cs="Arial"/>
          <w:color w:val="000000"/>
          <w:lang w:val="en-US"/>
        </w:rPr>
        <w:t>ml/min/1,73 m</w:t>
      </w:r>
      <w:r w:rsidRPr="00324ADA">
        <w:rPr>
          <w:rFonts w:eastAsia="Times New Roman" w:cs="Arial"/>
          <w:color w:val="000000"/>
          <w:vertAlign w:val="superscript"/>
          <w:lang w:val="en-US"/>
        </w:rPr>
        <w:t>2</w:t>
      </w:r>
      <w:r w:rsidRPr="00324ADA">
        <w:rPr>
          <w:rFonts w:eastAsia="Times New Roman" w:cs="Arial"/>
          <w:color w:val="000000"/>
          <w:lang w:val="en-US"/>
        </w:rPr>
        <w:t xml:space="preserve">. </w:t>
      </w:r>
      <w:r w:rsidRPr="00324ADA">
        <w:rPr>
          <w:rFonts w:eastAsia="Times New Roman" w:cs="Arial"/>
          <w:color w:val="000000"/>
          <w:lang w:eastAsia="bg-BG"/>
        </w:rPr>
        <w:t xml:space="preserve">Пациентите с тегло &gt; 20 </w:t>
      </w:r>
      <w:r w:rsidRPr="00324ADA">
        <w:rPr>
          <w:rFonts w:eastAsia="Times New Roman" w:cs="Arial"/>
          <w:color w:val="000000"/>
          <w:lang w:val="en-US"/>
        </w:rPr>
        <w:t xml:space="preserve">kg </w:t>
      </w:r>
      <w:r w:rsidRPr="00324ADA">
        <w:rPr>
          <w:rFonts w:eastAsia="Times New Roman" w:cs="Arial"/>
          <w:color w:val="000000"/>
          <w:lang w:eastAsia="bg-BG"/>
        </w:rPr>
        <w:t xml:space="preserve">до &lt; 50 </w:t>
      </w:r>
      <w:r w:rsidRPr="00324ADA">
        <w:rPr>
          <w:rFonts w:eastAsia="Times New Roman" w:cs="Arial"/>
          <w:color w:val="000000"/>
          <w:lang w:val="en-US"/>
        </w:rPr>
        <w:t xml:space="preserve">kg </w:t>
      </w:r>
      <w:r w:rsidRPr="00324ADA">
        <w:rPr>
          <w:rFonts w:eastAsia="Times New Roman" w:cs="Arial"/>
          <w:color w:val="000000"/>
          <w:lang w:eastAsia="bg-BG"/>
        </w:rPr>
        <w:t xml:space="preserve">получават 2.5, 25 или 50 </w:t>
      </w:r>
      <w:r w:rsidRPr="00324ADA">
        <w:rPr>
          <w:rFonts w:eastAsia="Times New Roman" w:cs="Arial"/>
          <w:color w:val="000000"/>
          <w:lang w:val="en-US"/>
        </w:rPr>
        <w:t xml:space="preserve">mg </w:t>
      </w:r>
      <w:r w:rsidRPr="00324ADA">
        <w:rPr>
          <w:rFonts w:eastAsia="Times New Roman" w:cs="Arial"/>
          <w:color w:val="000000"/>
          <w:lang w:eastAsia="bg-BG"/>
        </w:rPr>
        <w:t xml:space="preserve">лосартан дневно, а пациентите, с тегло &gt; 50 </w:t>
      </w:r>
      <w:r w:rsidRPr="00324ADA">
        <w:rPr>
          <w:rFonts w:eastAsia="Times New Roman" w:cs="Arial"/>
          <w:color w:val="000000"/>
          <w:lang w:val="en-US"/>
        </w:rPr>
        <w:t xml:space="preserve">kg </w:t>
      </w:r>
      <w:r w:rsidRPr="00324ADA">
        <w:rPr>
          <w:rFonts w:eastAsia="Times New Roman" w:cs="Arial"/>
          <w:color w:val="000000"/>
          <w:lang w:eastAsia="bg-BG"/>
        </w:rPr>
        <w:t xml:space="preserve">получават 5.50 или 100 </w:t>
      </w:r>
      <w:r w:rsidRPr="00324ADA">
        <w:rPr>
          <w:rFonts w:eastAsia="Times New Roman" w:cs="Arial"/>
          <w:color w:val="000000"/>
          <w:lang w:val="en-US"/>
        </w:rPr>
        <w:t xml:space="preserve">mg </w:t>
      </w:r>
      <w:r w:rsidRPr="00324ADA">
        <w:rPr>
          <w:rFonts w:eastAsia="Times New Roman" w:cs="Arial"/>
          <w:color w:val="000000"/>
          <w:lang w:eastAsia="bg-BG"/>
        </w:rPr>
        <w:t>лосартан дневно. След три седмици, еднократното приложение на лосартан намалява цялостно кръвното налягане по начин зависещ от дозата.</w:t>
      </w:r>
    </w:p>
    <w:p w14:paraId="7934DDCA" w14:textId="77777777" w:rsidR="00324ADA" w:rsidRPr="00324ADA" w:rsidRDefault="00324ADA" w:rsidP="00324ADA">
      <w:pPr>
        <w:spacing w:line="240" w:lineRule="auto"/>
        <w:rPr>
          <w:rFonts w:eastAsia="Times New Roman" w:cs="Arial"/>
          <w:color w:val="000000"/>
          <w:lang w:eastAsia="bg-BG"/>
        </w:rPr>
      </w:pPr>
    </w:p>
    <w:p w14:paraId="24E2AE6A" w14:textId="3D296C84" w:rsidR="00324ADA" w:rsidRPr="00324ADA" w:rsidRDefault="00324ADA" w:rsidP="00324ADA">
      <w:pPr>
        <w:spacing w:line="240" w:lineRule="auto"/>
        <w:rPr>
          <w:rFonts w:eastAsia="Times New Roman" w:cs="Arial"/>
          <w:sz w:val="24"/>
          <w:szCs w:val="24"/>
          <w:lang w:eastAsia="bg-BG"/>
        </w:rPr>
      </w:pPr>
      <w:r w:rsidRPr="00324ADA">
        <w:rPr>
          <w:rFonts w:eastAsia="Times New Roman" w:cs="Arial"/>
          <w:color w:val="000000"/>
          <w:lang w:eastAsia="bg-BG"/>
        </w:rPr>
        <w:t xml:space="preserve">Като цяло има зависимост на отговора от дозата. Взаимовръзката доза- отговор става особено явна в групата, лекувана с ниска доза при сравнение с групата, лекувана със средна доза (период I: -6,2 </w:t>
      </w:r>
      <w:r w:rsidRPr="00324ADA">
        <w:rPr>
          <w:rFonts w:eastAsia="Times New Roman" w:cs="Arial"/>
          <w:color w:val="000000"/>
          <w:lang w:val="en-US"/>
        </w:rPr>
        <w:t xml:space="preserve">mmHg </w:t>
      </w:r>
      <w:r w:rsidRPr="00324ADA">
        <w:rPr>
          <w:rFonts w:eastAsia="Times New Roman" w:cs="Arial"/>
          <w:color w:val="000000"/>
          <w:lang w:eastAsia="bg-BG"/>
        </w:rPr>
        <w:t xml:space="preserve">спрямо -11,65 </w:t>
      </w:r>
      <w:r w:rsidRPr="00324ADA">
        <w:rPr>
          <w:rFonts w:eastAsia="Times New Roman" w:cs="Arial"/>
          <w:color w:val="000000"/>
          <w:lang w:val="en-US"/>
        </w:rPr>
        <w:t xml:space="preserve">mmHg), </w:t>
      </w:r>
      <w:r w:rsidRPr="00324ADA">
        <w:rPr>
          <w:rFonts w:eastAsia="Times New Roman" w:cs="Arial"/>
          <w:color w:val="000000"/>
          <w:lang w:eastAsia="bg-BG"/>
        </w:rPr>
        <w:t xml:space="preserve">но отслабва, когато се сравнява средна доза, с най- високата доза (период I: -11,65 </w:t>
      </w:r>
      <w:r w:rsidRPr="00324ADA">
        <w:rPr>
          <w:rFonts w:eastAsia="Times New Roman" w:cs="Arial"/>
          <w:color w:val="000000"/>
          <w:lang w:val="en-US"/>
        </w:rPr>
        <w:t xml:space="preserve">mmHg </w:t>
      </w:r>
      <w:r w:rsidRPr="00324ADA">
        <w:rPr>
          <w:rFonts w:eastAsia="Times New Roman" w:cs="Arial"/>
          <w:color w:val="000000"/>
          <w:lang w:eastAsia="bg-BG"/>
        </w:rPr>
        <w:t xml:space="preserve">срещу -12,21 </w:t>
      </w:r>
      <w:r w:rsidRPr="00324ADA">
        <w:rPr>
          <w:rFonts w:eastAsia="Times New Roman" w:cs="Arial"/>
          <w:color w:val="000000"/>
          <w:lang w:val="en-US"/>
        </w:rPr>
        <w:t xml:space="preserve">mmHg). </w:t>
      </w:r>
      <w:r w:rsidRPr="00324ADA">
        <w:rPr>
          <w:rFonts w:eastAsia="Times New Roman" w:cs="Arial"/>
          <w:color w:val="000000"/>
          <w:lang w:eastAsia="bg-BG"/>
        </w:rPr>
        <w:t xml:space="preserve">Най-ниските проучвани дози, 2.5 </w:t>
      </w:r>
      <w:r w:rsidRPr="00324ADA">
        <w:rPr>
          <w:rFonts w:eastAsia="Times New Roman" w:cs="Arial"/>
          <w:color w:val="000000"/>
          <w:lang w:val="en-US"/>
        </w:rPr>
        <w:t xml:space="preserve">mg </w:t>
      </w:r>
      <w:r w:rsidRPr="00324ADA">
        <w:rPr>
          <w:rFonts w:eastAsia="Times New Roman" w:cs="Arial"/>
          <w:color w:val="000000"/>
          <w:lang w:eastAsia="bg-BG"/>
        </w:rPr>
        <w:t xml:space="preserve">и 5 </w:t>
      </w:r>
      <w:r w:rsidRPr="00324ADA">
        <w:rPr>
          <w:rFonts w:eastAsia="Times New Roman" w:cs="Arial"/>
          <w:color w:val="000000"/>
          <w:lang w:val="en-US"/>
        </w:rPr>
        <w:t xml:space="preserve">mg, </w:t>
      </w:r>
      <w:r w:rsidRPr="00324ADA">
        <w:rPr>
          <w:rFonts w:eastAsia="Times New Roman" w:cs="Arial"/>
          <w:color w:val="000000"/>
          <w:lang w:eastAsia="bg-BG"/>
        </w:rPr>
        <w:t xml:space="preserve">съответстващи на средна дневна доза от 0,07 </w:t>
      </w:r>
      <w:r w:rsidRPr="00324ADA">
        <w:rPr>
          <w:rFonts w:eastAsia="Times New Roman" w:cs="Arial"/>
          <w:color w:val="000000"/>
          <w:lang w:val="en-US"/>
        </w:rPr>
        <w:t xml:space="preserve">mg/kg, </w:t>
      </w:r>
      <w:r w:rsidRPr="00324ADA">
        <w:rPr>
          <w:rFonts w:eastAsia="Times New Roman" w:cs="Arial"/>
          <w:color w:val="000000"/>
          <w:lang w:eastAsia="bg-BG"/>
        </w:rPr>
        <w:t>като че ли нямат консистентна антихипертензивна ефективност.</w:t>
      </w:r>
    </w:p>
    <w:p w14:paraId="49E04E52" w14:textId="77777777" w:rsidR="00324ADA" w:rsidRPr="00324ADA" w:rsidRDefault="00324ADA" w:rsidP="00324ADA">
      <w:pPr>
        <w:spacing w:line="240" w:lineRule="auto"/>
        <w:rPr>
          <w:rFonts w:eastAsia="Times New Roman" w:cs="Arial"/>
          <w:color w:val="000000"/>
          <w:lang w:eastAsia="bg-BG"/>
        </w:rPr>
      </w:pPr>
    </w:p>
    <w:p w14:paraId="2749CEC2" w14:textId="0C378B1B" w:rsidR="00324ADA" w:rsidRPr="00324ADA" w:rsidRDefault="00324ADA" w:rsidP="00324ADA">
      <w:pPr>
        <w:spacing w:line="240" w:lineRule="auto"/>
        <w:rPr>
          <w:rFonts w:eastAsia="Times New Roman" w:cs="Arial"/>
          <w:sz w:val="24"/>
          <w:szCs w:val="24"/>
          <w:lang w:eastAsia="bg-BG"/>
        </w:rPr>
      </w:pPr>
      <w:r w:rsidRPr="00324ADA">
        <w:rPr>
          <w:rFonts w:eastAsia="Times New Roman" w:cs="Arial"/>
          <w:color w:val="000000"/>
          <w:lang w:eastAsia="bg-BG"/>
        </w:rPr>
        <w:t xml:space="preserve">Тези резултати са били потвърдени в хода на период II на проучването, където пациенти са били рандомизирани да продължат с лосартан или плацебо след три седмици лечение. Разликата в увеличаването на кръвното налягане при сравнението с плацебо е по-голяма при групата със средна доза (6,70 </w:t>
      </w:r>
      <w:r w:rsidRPr="00324ADA">
        <w:rPr>
          <w:rFonts w:eastAsia="Times New Roman" w:cs="Arial"/>
          <w:color w:val="000000"/>
          <w:lang w:val="en-US"/>
        </w:rPr>
        <w:t xml:space="preserve">mmHg </w:t>
      </w:r>
      <w:r w:rsidRPr="00324ADA">
        <w:rPr>
          <w:rFonts w:eastAsia="Times New Roman" w:cs="Arial"/>
          <w:color w:val="000000"/>
          <w:lang w:eastAsia="bg-BG"/>
        </w:rPr>
        <w:t xml:space="preserve">средна доза спрямо 5,38 </w:t>
      </w:r>
      <w:r w:rsidRPr="00324ADA">
        <w:rPr>
          <w:rFonts w:eastAsia="Times New Roman" w:cs="Arial"/>
          <w:color w:val="000000"/>
          <w:lang w:val="en-US"/>
        </w:rPr>
        <w:t xml:space="preserve">mmHg </w:t>
      </w:r>
      <w:r w:rsidRPr="00324ADA">
        <w:rPr>
          <w:rFonts w:eastAsia="Times New Roman" w:cs="Arial"/>
          <w:color w:val="000000"/>
          <w:lang w:eastAsia="bg-BG"/>
        </w:rPr>
        <w:t xml:space="preserve">висока доза). Повишаването на междинните стойности на диастолно кръвно налягане е еднакво при пациентите, получаващи плацебо, и при тези, продължаващи лечение на </w:t>
      </w:r>
      <w:r w:rsidRPr="00324ADA">
        <w:rPr>
          <w:rFonts w:eastAsia="Times New Roman" w:cs="Arial"/>
          <w:color w:val="000000"/>
          <w:lang w:eastAsia="bg-BG"/>
        </w:rPr>
        <w:lastRenderedPageBreak/>
        <w:t>лосартан в най-ниска доза при всяка група, което отново предполага, че най-ниската доза във всяка група не притежава значим антихипертензивен ефект.</w:t>
      </w:r>
    </w:p>
    <w:p w14:paraId="0BB079A6" w14:textId="77777777" w:rsidR="00324ADA" w:rsidRPr="00324ADA" w:rsidRDefault="00324ADA" w:rsidP="00324ADA">
      <w:pPr>
        <w:spacing w:line="240" w:lineRule="auto"/>
        <w:rPr>
          <w:rFonts w:eastAsia="Times New Roman" w:cs="Arial"/>
          <w:color w:val="000000"/>
          <w:lang w:eastAsia="bg-BG"/>
        </w:rPr>
      </w:pPr>
    </w:p>
    <w:p w14:paraId="558DAF6F" w14:textId="068A88D8" w:rsidR="00324ADA" w:rsidRPr="00324ADA" w:rsidRDefault="00324ADA" w:rsidP="00324ADA">
      <w:pPr>
        <w:spacing w:line="240" w:lineRule="auto"/>
        <w:rPr>
          <w:rFonts w:eastAsia="Times New Roman" w:cs="Arial"/>
          <w:sz w:val="24"/>
          <w:szCs w:val="24"/>
          <w:lang w:eastAsia="bg-BG"/>
        </w:rPr>
      </w:pPr>
      <w:r w:rsidRPr="00324ADA">
        <w:rPr>
          <w:rFonts w:eastAsia="Times New Roman" w:cs="Arial"/>
          <w:color w:val="000000"/>
          <w:lang w:eastAsia="bg-BG"/>
        </w:rPr>
        <w:t xml:space="preserve">Дълготрайният ефект на лосартан върху растежа, пубертета и общото развитие не е бил </w:t>
      </w:r>
      <w:r w:rsidRPr="00324ADA">
        <w:rPr>
          <w:rFonts w:eastAsia="Times New Roman" w:cs="Arial"/>
          <w:color w:val="000000"/>
          <w:vertAlign w:val="superscript"/>
          <w:lang w:eastAsia="bg-BG"/>
        </w:rPr>
        <w:t xml:space="preserve"> </w:t>
      </w:r>
      <w:r w:rsidRPr="00324ADA">
        <w:rPr>
          <w:rFonts w:eastAsia="Times New Roman" w:cs="Arial"/>
          <w:color w:val="000000"/>
          <w:lang w:eastAsia="bg-BG"/>
        </w:rPr>
        <w:t>проучван. Дълготрайната ефективност на антихипертензивното лечение с лосартан в детска възраст по отношение на намаляването на сърдечно-съдовата заболеваемост и смъртност също</w:t>
      </w:r>
      <w:r w:rsidRPr="00324ADA">
        <w:rPr>
          <w:rFonts w:eastAsia="Times New Roman" w:cs="Arial"/>
          <w:color w:val="000000"/>
          <w:vertAlign w:val="superscript"/>
          <w:lang w:eastAsia="bg-BG"/>
        </w:rPr>
        <w:t xml:space="preserve"> </w:t>
      </w:r>
      <w:r w:rsidRPr="00324ADA">
        <w:rPr>
          <w:rFonts w:eastAsia="Times New Roman" w:cs="Arial"/>
          <w:color w:val="000000"/>
          <w:lang w:eastAsia="bg-BG"/>
        </w:rPr>
        <w:t>не са били установени.</w:t>
      </w:r>
    </w:p>
    <w:p w14:paraId="2CB6AF07" w14:textId="53D2E861" w:rsidR="00324ADA" w:rsidRPr="00324ADA" w:rsidRDefault="00324ADA" w:rsidP="00324ADA">
      <w:pPr>
        <w:spacing w:line="240" w:lineRule="auto"/>
        <w:rPr>
          <w:rFonts w:eastAsia="Times New Roman" w:cs="Arial"/>
          <w:sz w:val="24"/>
          <w:szCs w:val="24"/>
          <w:lang w:eastAsia="bg-BG"/>
        </w:rPr>
      </w:pPr>
    </w:p>
    <w:p w14:paraId="68AEE055" w14:textId="77777777" w:rsidR="00324ADA" w:rsidRPr="00324ADA" w:rsidRDefault="00324ADA" w:rsidP="00324ADA">
      <w:pPr>
        <w:rPr>
          <w:rFonts w:eastAsia="Times New Roman" w:cs="Arial"/>
          <w:sz w:val="24"/>
          <w:szCs w:val="24"/>
          <w:lang w:eastAsia="bg-BG"/>
        </w:rPr>
      </w:pPr>
      <w:r w:rsidRPr="00324ADA">
        <w:rPr>
          <w:rFonts w:eastAsia="Times New Roman" w:cs="Arial"/>
          <w:color w:val="000000"/>
          <w:lang w:eastAsia="bg-BG"/>
        </w:rPr>
        <w:t xml:space="preserve">При хипертензивни </w:t>
      </w:r>
      <w:r w:rsidRPr="00324ADA">
        <w:rPr>
          <w:rFonts w:eastAsia="Times New Roman" w:cs="Arial"/>
          <w:color w:val="000000"/>
          <w:lang w:val="en-US"/>
        </w:rPr>
        <w:t xml:space="preserve">(N=60) </w:t>
      </w:r>
      <w:r w:rsidRPr="00324ADA">
        <w:rPr>
          <w:rFonts w:eastAsia="Times New Roman" w:cs="Arial"/>
          <w:color w:val="000000"/>
          <w:lang w:eastAsia="bg-BG"/>
        </w:rPr>
        <w:t xml:space="preserve">и нормотензивни </w:t>
      </w:r>
      <w:r w:rsidRPr="00324ADA">
        <w:rPr>
          <w:rFonts w:eastAsia="Times New Roman" w:cs="Arial"/>
          <w:color w:val="000000"/>
          <w:lang w:val="en-US"/>
        </w:rPr>
        <w:t xml:space="preserve">(N=246) </w:t>
      </w:r>
      <w:r w:rsidRPr="00324ADA">
        <w:rPr>
          <w:rFonts w:eastAsia="Times New Roman" w:cs="Arial"/>
          <w:color w:val="000000"/>
          <w:lang w:eastAsia="bg-BG"/>
        </w:rPr>
        <w:t>деца с пр</w:t>
      </w:r>
      <w:r>
        <w:rPr>
          <w:rFonts w:eastAsia="Times New Roman" w:cs="Arial"/>
          <w:color w:val="000000"/>
          <w:lang w:eastAsia="bg-BG"/>
        </w:rPr>
        <w:t>отеинурия, ефекта на лосартан въ</w:t>
      </w:r>
      <w:r w:rsidRPr="00324ADA">
        <w:rPr>
          <w:rFonts w:eastAsia="Times New Roman" w:cs="Arial"/>
          <w:color w:val="000000"/>
          <w:lang w:eastAsia="bg-BG"/>
        </w:rPr>
        <w:t>рху протеинурията е оценен в 12-седмично плацебо и активно контролирано (амплодипин)</w:t>
      </w:r>
      <w:r>
        <w:rPr>
          <w:rFonts w:eastAsia="Times New Roman" w:cs="Arial"/>
          <w:color w:val="000000"/>
          <w:lang w:eastAsia="bg-BG"/>
        </w:rPr>
        <w:t xml:space="preserve"> </w:t>
      </w:r>
      <w:r w:rsidRPr="00324ADA">
        <w:rPr>
          <w:rFonts w:eastAsia="Times New Roman" w:cs="Arial"/>
          <w:color w:val="000000"/>
          <w:lang w:eastAsia="bg-BG"/>
        </w:rPr>
        <w:t>клинично проучване, Протеинурията е определена като отношение уринен протеин/креатинин &gt; 0,3. Хипертензивните пациенти (от 6 до 18 години) са рандомизирани да получат или лосартан (</w:t>
      </w:r>
      <w:r w:rsidRPr="00324ADA">
        <w:rPr>
          <w:rFonts w:eastAsia="Times New Roman" w:cs="Arial"/>
          <w:color w:val="000000"/>
          <w:lang w:val="en-US"/>
        </w:rPr>
        <w:t>n</w:t>
      </w:r>
      <w:r w:rsidRPr="00324ADA">
        <w:rPr>
          <w:rFonts w:eastAsia="Times New Roman" w:cs="Arial"/>
          <w:color w:val="000000"/>
          <w:lang w:eastAsia="bg-BG"/>
        </w:rPr>
        <w:t>=30) или амлодипин (</w:t>
      </w:r>
      <w:r w:rsidRPr="00324ADA">
        <w:rPr>
          <w:rFonts w:eastAsia="Times New Roman" w:cs="Arial"/>
          <w:color w:val="000000"/>
          <w:lang w:val="en-US"/>
        </w:rPr>
        <w:t>n</w:t>
      </w:r>
      <w:r w:rsidRPr="00324ADA">
        <w:rPr>
          <w:rFonts w:eastAsia="Times New Roman" w:cs="Arial"/>
          <w:color w:val="000000"/>
          <w:lang w:eastAsia="bg-BG"/>
        </w:rPr>
        <w:t>=30). Нормотензивни пациенти (от 1 до 18 години) са рандомизирани да получат или лосартан (</w:t>
      </w:r>
      <w:r w:rsidRPr="00324ADA">
        <w:rPr>
          <w:rFonts w:eastAsia="Times New Roman" w:cs="Arial"/>
          <w:color w:val="000000"/>
          <w:lang w:val="en-US"/>
        </w:rPr>
        <w:t>n</w:t>
      </w:r>
      <w:r w:rsidRPr="00324ADA">
        <w:rPr>
          <w:rFonts w:eastAsia="Times New Roman" w:cs="Arial"/>
          <w:color w:val="000000"/>
          <w:lang w:eastAsia="bg-BG"/>
        </w:rPr>
        <w:t>=122) или плацебо (</w:t>
      </w:r>
      <w:r w:rsidRPr="00324ADA">
        <w:rPr>
          <w:rFonts w:eastAsia="Times New Roman" w:cs="Arial"/>
          <w:color w:val="000000"/>
          <w:lang w:val="en-US"/>
        </w:rPr>
        <w:t>n</w:t>
      </w:r>
      <w:r w:rsidRPr="00324ADA">
        <w:rPr>
          <w:rFonts w:eastAsia="Times New Roman" w:cs="Arial"/>
          <w:color w:val="000000"/>
          <w:lang w:eastAsia="bg-BG"/>
        </w:rPr>
        <w:t xml:space="preserve">=124). Лосартан е даван в дози от 0,7 </w:t>
      </w:r>
      <w:r w:rsidRPr="00324ADA">
        <w:rPr>
          <w:rFonts w:eastAsia="Times New Roman" w:cs="Arial"/>
          <w:color w:val="000000"/>
          <w:lang w:val="en-US"/>
        </w:rPr>
        <w:t xml:space="preserve">mg/kg </w:t>
      </w:r>
      <w:r w:rsidRPr="00324ADA">
        <w:rPr>
          <w:rFonts w:eastAsia="Times New Roman" w:cs="Arial"/>
          <w:color w:val="000000"/>
          <w:lang w:eastAsia="bg-BG"/>
        </w:rPr>
        <w:t xml:space="preserve">до 1,4 </w:t>
      </w:r>
      <w:r w:rsidRPr="00324ADA">
        <w:rPr>
          <w:rFonts w:eastAsia="Times New Roman" w:cs="Arial"/>
          <w:color w:val="000000"/>
          <w:lang w:val="en-US"/>
        </w:rPr>
        <w:t xml:space="preserve">mg/kg </w:t>
      </w:r>
      <w:r w:rsidRPr="00324ADA">
        <w:rPr>
          <w:rFonts w:eastAsia="Times New Roman" w:cs="Arial"/>
          <w:color w:val="000000"/>
          <w:lang w:eastAsia="bg-BG"/>
        </w:rPr>
        <w:t xml:space="preserve">(до максимална доза от 100 </w:t>
      </w:r>
      <w:r w:rsidRPr="00324ADA">
        <w:rPr>
          <w:rFonts w:eastAsia="Times New Roman" w:cs="Arial"/>
          <w:color w:val="000000"/>
          <w:lang w:val="en-US"/>
        </w:rPr>
        <w:t xml:space="preserve">mg </w:t>
      </w:r>
      <w:r w:rsidRPr="00324ADA">
        <w:rPr>
          <w:rFonts w:eastAsia="Times New Roman" w:cs="Arial"/>
          <w:color w:val="000000"/>
          <w:lang w:eastAsia="bg-BG"/>
        </w:rPr>
        <w:t xml:space="preserve">на ден). Амлодипин е даван в дози от 0,05 </w:t>
      </w:r>
      <w:r w:rsidRPr="00324ADA">
        <w:rPr>
          <w:rFonts w:eastAsia="Times New Roman" w:cs="Arial"/>
          <w:color w:val="000000"/>
          <w:lang w:val="en-US"/>
        </w:rPr>
        <w:t xml:space="preserve">mg/kg </w:t>
      </w:r>
      <w:r w:rsidRPr="00324ADA">
        <w:rPr>
          <w:rFonts w:eastAsia="Times New Roman" w:cs="Arial"/>
          <w:color w:val="000000"/>
          <w:lang w:eastAsia="bg-BG"/>
        </w:rPr>
        <w:t xml:space="preserve">до 0,2 </w:t>
      </w:r>
      <w:r w:rsidRPr="00324ADA">
        <w:rPr>
          <w:rFonts w:eastAsia="Times New Roman" w:cs="Arial"/>
          <w:color w:val="000000"/>
          <w:lang w:val="en-US"/>
        </w:rPr>
        <w:t xml:space="preserve">mg/kg </w:t>
      </w:r>
      <w:r w:rsidRPr="00324ADA">
        <w:rPr>
          <w:rFonts w:eastAsia="Times New Roman" w:cs="Arial"/>
          <w:color w:val="000000"/>
          <w:lang w:eastAsia="bg-BG"/>
        </w:rPr>
        <w:t xml:space="preserve">(до максимална доза от 5 </w:t>
      </w:r>
      <w:r w:rsidRPr="00324ADA">
        <w:rPr>
          <w:rFonts w:eastAsia="Times New Roman" w:cs="Arial"/>
          <w:color w:val="000000"/>
          <w:lang w:val="en-US"/>
        </w:rPr>
        <w:t xml:space="preserve">mg </w:t>
      </w:r>
      <w:r w:rsidRPr="00324ADA">
        <w:rPr>
          <w:rFonts w:eastAsia="Times New Roman" w:cs="Arial"/>
          <w:color w:val="000000"/>
          <w:lang w:eastAsia="bg-BG"/>
        </w:rPr>
        <w:t>на деи).</w:t>
      </w:r>
    </w:p>
    <w:p w14:paraId="2F066441" w14:textId="77777777" w:rsidR="00324ADA" w:rsidRPr="00324ADA" w:rsidRDefault="00324ADA" w:rsidP="00324ADA">
      <w:pPr>
        <w:rPr>
          <w:rFonts w:eastAsia="Times New Roman" w:cs="Arial"/>
          <w:sz w:val="24"/>
          <w:szCs w:val="24"/>
          <w:lang w:eastAsia="bg-BG"/>
        </w:rPr>
      </w:pPr>
    </w:p>
    <w:p w14:paraId="2DA08E4E" w14:textId="17E10841" w:rsidR="00324ADA" w:rsidRPr="00324ADA" w:rsidRDefault="00324ADA" w:rsidP="00324ADA">
      <w:pPr>
        <w:rPr>
          <w:rFonts w:eastAsia="Times New Roman" w:cs="Arial"/>
          <w:sz w:val="24"/>
          <w:szCs w:val="24"/>
          <w:lang w:eastAsia="bg-BG"/>
        </w:rPr>
      </w:pPr>
      <w:r w:rsidRPr="00324ADA">
        <w:rPr>
          <w:rFonts w:eastAsia="Times New Roman" w:cs="Arial"/>
          <w:color w:val="000000"/>
          <w:lang w:eastAsia="bg-BG"/>
        </w:rPr>
        <w:t xml:space="preserve">След 12 седмично лечение, пациентите получаващи лосартан имат статистически значимо намаление на начална протеинурия от 36 % срещу 1 % увеличение в плацебо/амлодипин групата (р &lt; 0,001). Хипертензивни пациенти получаващи лосартан имат статистически значимо намаление на начална протеинурия от-41,5 % (95 %С1 - 29,9; -51,1) срещу + 2,4 % (95 % С1 -22,2; 14,1) в амлодипин групата). Понижаването на систолното и диастолното налягане са по-големи в лосартан групата (- 5,5/-3,8 </w:t>
      </w:r>
      <w:r w:rsidRPr="00324ADA">
        <w:rPr>
          <w:rFonts w:eastAsia="Times New Roman" w:cs="Arial"/>
          <w:color w:val="000000"/>
          <w:lang w:val="en-US"/>
        </w:rPr>
        <w:t xml:space="preserve">mmHg) </w:t>
      </w:r>
      <w:r w:rsidRPr="00324ADA">
        <w:rPr>
          <w:rFonts w:eastAsia="Times New Roman" w:cs="Arial"/>
          <w:color w:val="000000"/>
          <w:lang w:eastAsia="bg-BG"/>
        </w:rPr>
        <w:t xml:space="preserve">срещу амлодипин групата (-0,1 /+0,8 </w:t>
      </w:r>
      <w:r w:rsidRPr="00324ADA">
        <w:rPr>
          <w:rFonts w:eastAsia="Times New Roman" w:cs="Arial"/>
          <w:color w:val="000000"/>
          <w:lang w:val="en-US"/>
        </w:rPr>
        <w:t xml:space="preserve">mmHg). </w:t>
      </w:r>
      <w:r w:rsidRPr="00324ADA">
        <w:rPr>
          <w:rFonts w:eastAsia="Times New Roman" w:cs="Arial"/>
          <w:color w:val="000000"/>
          <w:lang w:eastAsia="bg-BG"/>
        </w:rPr>
        <w:t>Не е описана сигнификантна корелация между понижаването на протеинурията и кръвното налягане, обаче е възможно това понижение на кръвното налягане да е свързано до известна степен с понижение на протеинурията в третираната с лосартан група.</w:t>
      </w:r>
    </w:p>
    <w:p w14:paraId="3DDD3E07" w14:textId="77777777" w:rsidR="00324ADA" w:rsidRPr="00324ADA" w:rsidRDefault="00324ADA" w:rsidP="00324ADA">
      <w:pPr>
        <w:spacing w:line="240" w:lineRule="auto"/>
        <w:rPr>
          <w:rFonts w:eastAsia="Times New Roman" w:cs="Arial"/>
          <w:color w:val="000000"/>
          <w:lang w:eastAsia="bg-BG"/>
        </w:rPr>
      </w:pPr>
    </w:p>
    <w:p w14:paraId="0380080D" w14:textId="7D6F9CBF" w:rsidR="00324ADA" w:rsidRPr="00324ADA" w:rsidRDefault="00324ADA" w:rsidP="00324ADA">
      <w:pPr>
        <w:spacing w:line="240" w:lineRule="auto"/>
        <w:rPr>
          <w:rFonts w:eastAsia="Times New Roman" w:cs="Arial"/>
          <w:sz w:val="24"/>
          <w:szCs w:val="24"/>
          <w:lang w:eastAsia="bg-BG"/>
        </w:rPr>
      </w:pPr>
      <w:r w:rsidRPr="00324ADA">
        <w:rPr>
          <w:rFonts w:eastAsia="Times New Roman" w:cs="Arial"/>
          <w:color w:val="000000"/>
          <w:lang w:eastAsia="bg-BG"/>
        </w:rPr>
        <w:t xml:space="preserve">Дългосрочните ефекти на лосартан при деца с протеинурия са проучвани до 3 години във фазата за оценка на безопасността на откритото продължение на същото проучване, при което са поканени да участват всички пациенти, завършили 12-седмичното основно проучване. Общо 268 пациенти са включени във фазата на откритото продължение и отново са рандомизирани на лосартан </w:t>
      </w:r>
      <w:r w:rsidRPr="00324ADA">
        <w:rPr>
          <w:rFonts w:eastAsia="Times New Roman" w:cs="Arial"/>
          <w:color w:val="000000"/>
          <w:lang w:val="en-US"/>
        </w:rPr>
        <w:t xml:space="preserve">(N-134) </w:t>
      </w:r>
      <w:r w:rsidRPr="00324ADA">
        <w:rPr>
          <w:rFonts w:eastAsia="Times New Roman" w:cs="Arial"/>
          <w:color w:val="000000"/>
          <w:lang w:eastAsia="bg-BG"/>
        </w:rPr>
        <w:t xml:space="preserve">или на еналаприл </w:t>
      </w:r>
      <w:r w:rsidRPr="00324ADA">
        <w:rPr>
          <w:rFonts w:eastAsia="Times New Roman" w:cs="Arial"/>
          <w:color w:val="000000"/>
          <w:lang w:val="en-US"/>
        </w:rPr>
        <w:t xml:space="preserve">(N=134), </w:t>
      </w:r>
      <w:r w:rsidRPr="00324ADA">
        <w:rPr>
          <w:rFonts w:eastAsia="Times New Roman" w:cs="Arial"/>
          <w:color w:val="000000"/>
          <w:lang w:eastAsia="bg-BG"/>
        </w:rPr>
        <w:t xml:space="preserve">а 109 пациенти са проследени &gt;3 години (предварително определена крайна точка от &gt; 100 пациенти, завършили 3-годишно проследяване в периода на продължението). Диапазонът на дозите на лосартан и еналаприл, прилагани според преценката на изследователя, съответно са били в границите на 0,30 до 4,42 </w:t>
      </w:r>
      <w:r w:rsidRPr="00324ADA">
        <w:rPr>
          <w:rFonts w:eastAsia="Times New Roman" w:cs="Arial"/>
          <w:color w:val="000000"/>
          <w:lang w:val="en-US"/>
        </w:rPr>
        <w:t>mg/kg</w:t>
      </w:r>
      <w:r w:rsidRPr="00324ADA">
        <w:rPr>
          <w:rFonts w:eastAsia="Times New Roman" w:cs="Arial"/>
          <w:color w:val="000000"/>
          <w:lang w:eastAsia="bg-BG"/>
        </w:rPr>
        <w:t xml:space="preserve">/ден и 0,02 до 1,13 </w:t>
      </w:r>
      <w:r w:rsidRPr="00324ADA">
        <w:rPr>
          <w:rFonts w:eastAsia="Times New Roman" w:cs="Arial"/>
          <w:color w:val="000000"/>
          <w:lang w:val="en-US"/>
        </w:rPr>
        <w:t>mg/kg</w:t>
      </w:r>
      <w:r w:rsidRPr="00324ADA">
        <w:rPr>
          <w:rFonts w:eastAsia="Times New Roman" w:cs="Arial"/>
          <w:color w:val="000000"/>
          <w:lang w:eastAsia="bg-BG"/>
        </w:rPr>
        <w:t xml:space="preserve">/ден. Максималните дневни дози от 50 </w:t>
      </w:r>
      <w:r w:rsidRPr="00324ADA">
        <w:rPr>
          <w:rFonts w:eastAsia="Times New Roman" w:cs="Arial"/>
          <w:color w:val="000000"/>
          <w:lang w:val="en-US"/>
        </w:rPr>
        <w:t xml:space="preserve">mg </w:t>
      </w:r>
      <w:r w:rsidRPr="00324ADA">
        <w:rPr>
          <w:rFonts w:eastAsia="Times New Roman" w:cs="Arial"/>
          <w:color w:val="000000"/>
          <w:lang w:eastAsia="bg-BG"/>
        </w:rPr>
        <w:t xml:space="preserve">при пациенти с телесно тегло &lt; 50 </w:t>
      </w:r>
      <w:r w:rsidRPr="00324ADA">
        <w:rPr>
          <w:rFonts w:eastAsia="Times New Roman" w:cs="Arial"/>
          <w:color w:val="000000"/>
          <w:lang w:val="en-US"/>
        </w:rPr>
        <w:t xml:space="preserve">kg </w:t>
      </w:r>
      <w:r w:rsidRPr="00324ADA">
        <w:rPr>
          <w:rFonts w:eastAsia="Times New Roman" w:cs="Arial"/>
          <w:color w:val="000000"/>
          <w:lang w:eastAsia="bg-BG"/>
        </w:rPr>
        <w:t xml:space="preserve">и 100 </w:t>
      </w:r>
      <w:r w:rsidRPr="00324ADA">
        <w:rPr>
          <w:rFonts w:eastAsia="Times New Roman" w:cs="Arial"/>
          <w:color w:val="000000"/>
          <w:lang w:val="en-US"/>
        </w:rPr>
        <w:t xml:space="preserve">mg </w:t>
      </w:r>
      <w:r w:rsidRPr="00324ADA">
        <w:rPr>
          <w:rFonts w:eastAsia="Times New Roman" w:cs="Arial"/>
          <w:color w:val="000000"/>
          <w:lang w:eastAsia="bg-BG"/>
        </w:rPr>
        <w:t xml:space="preserve">при пациенти &gt; 50 </w:t>
      </w:r>
      <w:r w:rsidRPr="00324ADA">
        <w:rPr>
          <w:rFonts w:eastAsia="Times New Roman" w:cs="Arial"/>
          <w:color w:val="000000"/>
          <w:lang w:val="en-US"/>
        </w:rPr>
        <w:t xml:space="preserve">kg </w:t>
      </w:r>
      <w:r w:rsidRPr="00324ADA">
        <w:rPr>
          <w:rFonts w:eastAsia="Times New Roman" w:cs="Arial"/>
          <w:color w:val="000000"/>
          <w:lang w:eastAsia="bg-BG"/>
        </w:rPr>
        <w:t>не са превишавани при повечето пациенти по време на фазата на откритото продължение на проучването.</w:t>
      </w:r>
    </w:p>
    <w:p w14:paraId="60C4EAC6" w14:textId="77777777" w:rsidR="00324ADA" w:rsidRPr="00324ADA" w:rsidRDefault="00324ADA" w:rsidP="00324ADA">
      <w:pPr>
        <w:spacing w:line="240" w:lineRule="auto"/>
        <w:rPr>
          <w:rFonts w:eastAsia="Times New Roman" w:cs="Arial"/>
          <w:color w:val="000000"/>
          <w:lang w:eastAsia="bg-BG"/>
        </w:rPr>
      </w:pPr>
    </w:p>
    <w:p w14:paraId="61C199A9" w14:textId="6D90A2DD" w:rsidR="00324ADA" w:rsidRPr="00324ADA" w:rsidRDefault="00324ADA" w:rsidP="00324ADA">
      <w:pPr>
        <w:spacing w:line="240" w:lineRule="auto"/>
        <w:rPr>
          <w:rFonts w:eastAsia="Times New Roman" w:cs="Arial"/>
          <w:sz w:val="24"/>
          <w:szCs w:val="24"/>
          <w:lang w:eastAsia="bg-BG"/>
        </w:rPr>
      </w:pPr>
      <w:r w:rsidRPr="00324ADA">
        <w:rPr>
          <w:rFonts w:eastAsia="Times New Roman" w:cs="Arial"/>
          <w:color w:val="000000"/>
          <w:lang w:eastAsia="bg-BG"/>
        </w:rPr>
        <w:t xml:space="preserve">В обобщение, резултатите от продължението за оценка на безопасността показват, че лосартан има добра поносимост и води до устойчиво понижение на протеинурията без значителна промяна в степента на гломерулна филтрация </w:t>
      </w:r>
      <w:r w:rsidRPr="00324ADA">
        <w:rPr>
          <w:rFonts w:eastAsia="Times New Roman" w:cs="Arial"/>
          <w:color w:val="000000"/>
          <w:lang w:val="en-US"/>
        </w:rPr>
        <w:t xml:space="preserve">(GFR) </w:t>
      </w:r>
      <w:r w:rsidRPr="00324ADA">
        <w:rPr>
          <w:rFonts w:eastAsia="Times New Roman" w:cs="Arial"/>
          <w:color w:val="000000"/>
          <w:lang w:eastAsia="bg-BG"/>
        </w:rPr>
        <w:t xml:space="preserve">за период от 3 години. При нормотензивни пациенти (п=205) еналаприл има числено по-голям ефект в сравнение с лосартан върху протеинурия (-33,0 % (95 %С1 -47,2; -15,0) срещу -16,6 % (95 %С1 -34,9; 6,8) и върху </w:t>
      </w:r>
      <w:r w:rsidRPr="00324ADA">
        <w:rPr>
          <w:rFonts w:eastAsia="Times New Roman" w:cs="Arial"/>
          <w:color w:val="000000"/>
          <w:lang w:val="en-US"/>
        </w:rPr>
        <w:t xml:space="preserve">GFR </w:t>
      </w:r>
      <w:r w:rsidRPr="00324ADA">
        <w:rPr>
          <w:rFonts w:eastAsia="Times New Roman" w:cs="Arial"/>
          <w:color w:val="000000"/>
          <w:lang w:eastAsia="bg-BG"/>
        </w:rPr>
        <w:t xml:space="preserve">(9,4 (95 %С1 0,4; 18,4) срещу -4,0 (95 %С1 -13,1; 5,0) </w:t>
      </w:r>
      <w:r w:rsidRPr="00324ADA">
        <w:rPr>
          <w:rFonts w:eastAsia="Times New Roman" w:cs="Arial"/>
          <w:color w:val="000000"/>
          <w:lang w:val="en-US"/>
        </w:rPr>
        <w:t>ml/min/ 1,73m</w:t>
      </w:r>
      <w:r w:rsidRPr="00324ADA">
        <w:rPr>
          <w:rFonts w:eastAsia="Times New Roman" w:cs="Arial"/>
          <w:color w:val="000000"/>
          <w:vertAlign w:val="superscript"/>
          <w:lang w:val="en-US"/>
        </w:rPr>
        <w:t>2</w:t>
      </w:r>
      <w:r w:rsidRPr="00324ADA">
        <w:rPr>
          <w:rFonts w:eastAsia="Times New Roman" w:cs="Arial"/>
          <w:color w:val="000000"/>
          <w:lang w:val="en-US"/>
        </w:rPr>
        <w:t xml:space="preserve">)). </w:t>
      </w:r>
      <w:r w:rsidRPr="00324ADA">
        <w:rPr>
          <w:rFonts w:eastAsia="Times New Roman" w:cs="Arial"/>
          <w:color w:val="000000"/>
          <w:lang w:eastAsia="bg-BG"/>
        </w:rPr>
        <w:t>При хипертензивни пациенти (</w:t>
      </w:r>
      <w:r w:rsidRPr="00324ADA">
        <w:rPr>
          <w:rFonts w:eastAsia="Times New Roman" w:cs="Arial"/>
          <w:color w:val="000000"/>
          <w:lang w:val="en-US"/>
        </w:rPr>
        <w:t>n</w:t>
      </w:r>
      <w:r w:rsidRPr="00324ADA">
        <w:rPr>
          <w:rFonts w:eastAsia="Times New Roman" w:cs="Arial"/>
          <w:color w:val="000000"/>
          <w:lang w:eastAsia="bg-BG"/>
        </w:rPr>
        <w:t xml:space="preserve">=49), лосартан има числено по-голям ефект </w:t>
      </w:r>
      <w:r w:rsidRPr="00324ADA">
        <w:rPr>
          <w:rFonts w:eastAsia="Times New Roman" w:cs="Arial"/>
          <w:color w:val="000000"/>
          <w:lang w:eastAsia="bg-BG"/>
        </w:rPr>
        <w:lastRenderedPageBreak/>
        <w:t xml:space="preserve">върху протеинурия (-44,5 % (95 %С1 -64,8; -12,4) срещу -39,5 % (95 %С1 -62,5; -2,2)) и върху </w:t>
      </w:r>
      <w:r w:rsidRPr="00324ADA">
        <w:rPr>
          <w:rFonts w:eastAsia="Times New Roman" w:cs="Arial"/>
          <w:color w:val="000000"/>
          <w:lang w:val="en-US"/>
        </w:rPr>
        <w:t xml:space="preserve">GFR </w:t>
      </w:r>
      <w:r w:rsidRPr="00324ADA">
        <w:rPr>
          <w:rFonts w:eastAsia="Times New Roman" w:cs="Arial"/>
          <w:color w:val="000000"/>
          <w:lang w:eastAsia="bg-BG"/>
        </w:rPr>
        <w:t xml:space="preserve">(18,9 (95 %С1 5,2; 32,5) срещу -13,4 (95 %С1 - 27,3; 0,6) </w:t>
      </w:r>
      <w:r w:rsidRPr="00324ADA">
        <w:rPr>
          <w:rFonts w:eastAsia="Times New Roman" w:cs="Arial"/>
          <w:color w:val="000000"/>
          <w:lang w:val="en-US"/>
        </w:rPr>
        <w:t>ml/min/l,73m</w:t>
      </w:r>
      <w:r w:rsidRPr="00324ADA">
        <w:rPr>
          <w:rFonts w:eastAsia="Times New Roman" w:cs="Arial"/>
          <w:color w:val="000000"/>
          <w:vertAlign w:val="superscript"/>
          <w:lang w:val="en-US"/>
        </w:rPr>
        <w:t>2</w:t>
      </w:r>
      <w:r w:rsidRPr="00324ADA">
        <w:rPr>
          <w:rFonts w:eastAsia="Times New Roman" w:cs="Arial"/>
          <w:color w:val="000000"/>
          <w:lang w:val="en-US"/>
        </w:rPr>
        <w:t>)).</w:t>
      </w:r>
    </w:p>
    <w:p w14:paraId="0BBB1CA5" w14:textId="77777777" w:rsidR="00324ADA" w:rsidRPr="00324ADA" w:rsidRDefault="00324ADA" w:rsidP="00324ADA">
      <w:pPr>
        <w:spacing w:line="240" w:lineRule="auto"/>
        <w:rPr>
          <w:rFonts w:eastAsia="Times New Roman" w:cs="Arial"/>
          <w:color w:val="000000"/>
          <w:lang w:eastAsia="bg-BG"/>
        </w:rPr>
      </w:pPr>
    </w:p>
    <w:p w14:paraId="5B30D869" w14:textId="2340E5C3" w:rsidR="00324ADA" w:rsidRPr="00324ADA" w:rsidRDefault="00324ADA" w:rsidP="00324ADA">
      <w:pPr>
        <w:spacing w:line="240" w:lineRule="auto"/>
        <w:rPr>
          <w:rFonts w:eastAsia="Times New Roman" w:cs="Arial"/>
          <w:sz w:val="24"/>
          <w:szCs w:val="24"/>
          <w:lang w:eastAsia="bg-BG"/>
        </w:rPr>
      </w:pPr>
      <w:r w:rsidRPr="00324ADA">
        <w:rPr>
          <w:rFonts w:eastAsia="Times New Roman" w:cs="Arial"/>
          <w:color w:val="000000"/>
          <w:lang w:eastAsia="bg-BG"/>
        </w:rPr>
        <w:t xml:space="preserve">Проведено е открито дозо-определящо клинично изпитване за изследване на безопасността и ефикасността на лосартан при деца на възраст от 6 месеца до 6 години с хипертония. Общо 101 пациенти са рандомизирани на една от трите различни начални дози лосартан в откритото проучване: ниска доза от 0,1 </w:t>
      </w:r>
      <w:r w:rsidRPr="00324ADA">
        <w:rPr>
          <w:rFonts w:eastAsia="Times New Roman" w:cs="Arial"/>
          <w:color w:val="000000"/>
          <w:lang w:val="en-US"/>
        </w:rPr>
        <w:t xml:space="preserve">mg/kg </w:t>
      </w:r>
      <w:r w:rsidRPr="00324ADA">
        <w:rPr>
          <w:rFonts w:eastAsia="Times New Roman" w:cs="Arial"/>
          <w:color w:val="000000"/>
          <w:lang w:eastAsia="bg-BG"/>
        </w:rPr>
        <w:t xml:space="preserve">дневно </w:t>
      </w:r>
      <w:r w:rsidRPr="00324ADA">
        <w:rPr>
          <w:rFonts w:eastAsia="Times New Roman" w:cs="Arial"/>
          <w:color w:val="000000"/>
          <w:lang w:val="en-US"/>
        </w:rPr>
        <w:t xml:space="preserve">(N=33), </w:t>
      </w:r>
      <w:r w:rsidRPr="00324ADA">
        <w:rPr>
          <w:rFonts w:eastAsia="Times New Roman" w:cs="Arial"/>
          <w:color w:val="000000"/>
          <w:lang w:eastAsia="bg-BG"/>
        </w:rPr>
        <w:t xml:space="preserve">средна доза от 0,3 </w:t>
      </w:r>
      <w:r w:rsidRPr="00324ADA">
        <w:rPr>
          <w:rFonts w:eastAsia="Times New Roman" w:cs="Arial"/>
          <w:color w:val="000000"/>
          <w:lang w:val="en-US"/>
        </w:rPr>
        <w:t xml:space="preserve">mg/kg </w:t>
      </w:r>
      <w:r w:rsidRPr="00324ADA">
        <w:rPr>
          <w:rFonts w:eastAsia="Times New Roman" w:cs="Arial"/>
          <w:color w:val="000000"/>
          <w:lang w:eastAsia="bg-BG"/>
        </w:rPr>
        <w:t xml:space="preserve">дневно </w:t>
      </w:r>
      <w:r w:rsidRPr="00324ADA">
        <w:rPr>
          <w:rFonts w:eastAsia="Times New Roman" w:cs="Arial"/>
          <w:color w:val="000000"/>
          <w:lang w:val="en-US"/>
        </w:rPr>
        <w:t xml:space="preserve">(N-34) </w:t>
      </w:r>
      <w:r w:rsidRPr="00324ADA">
        <w:rPr>
          <w:rFonts w:eastAsia="Times New Roman" w:cs="Arial"/>
          <w:color w:val="000000"/>
          <w:lang w:eastAsia="bg-BG"/>
        </w:rPr>
        <w:t xml:space="preserve">или висока доза от 0,7 </w:t>
      </w:r>
      <w:r w:rsidRPr="00324ADA">
        <w:rPr>
          <w:rFonts w:eastAsia="Times New Roman" w:cs="Arial"/>
          <w:color w:val="000000"/>
          <w:lang w:val="en-US"/>
        </w:rPr>
        <w:t xml:space="preserve">mg/kg </w:t>
      </w:r>
      <w:r w:rsidRPr="00324ADA">
        <w:rPr>
          <w:rFonts w:eastAsia="Times New Roman" w:cs="Arial"/>
          <w:color w:val="000000"/>
          <w:lang w:eastAsia="bg-BG"/>
        </w:rPr>
        <w:t xml:space="preserve">дневно </w:t>
      </w:r>
      <w:r w:rsidRPr="00324ADA">
        <w:rPr>
          <w:rFonts w:eastAsia="Times New Roman" w:cs="Arial"/>
          <w:color w:val="000000"/>
          <w:lang w:val="en-US"/>
        </w:rPr>
        <w:t xml:space="preserve">(N=34). </w:t>
      </w:r>
      <w:r w:rsidRPr="00324ADA">
        <w:rPr>
          <w:rFonts w:eastAsia="Times New Roman" w:cs="Arial"/>
          <w:color w:val="000000"/>
          <w:lang w:eastAsia="bg-BG"/>
        </w:rPr>
        <w:t xml:space="preserve">27 от тях са кърмачета, определени като деца на възраст от 6 месеца до 23 месеца. Проучваното лекарство е титриране до следващата доза на седмица 3,6 и 9 при пациентите, които не са достигнали таргетното кървно налягане и които все още не са достигнали максималната доза лосартан (1,4 </w:t>
      </w:r>
      <w:r w:rsidRPr="00324ADA">
        <w:rPr>
          <w:rFonts w:eastAsia="Times New Roman" w:cs="Arial"/>
          <w:color w:val="000000"/>
          <w:lang w:val="en-US"/>
        </w:rPr>
        <w:t xml:space="preserve">mg/kg </w:t>
      </w:r>
      <w:r w:rsidRPr="00324ADA">
        <w:rPr>
          <w:rFonts w:eastAsia="Times New Roman" w:cs="Arial"/>
          <w:color w:val="000000"/>
          <w:lang w:eastAsia="bg-BG"/>
        </w:rPr>
        <w:t xml:space="preserve">дневно, непревишаваща 100 </w:t>
      </w:r>
      <w:r w:rsidRPr="00324ADA">
        <w:rPr>
          <w:rFonts w:eastAsia="Times New Roman" w:cs="Arial"/>
          <w:color w:val="000000"/>
          <w:lang w:val="en-US"/>
        </w:rPr>
        <w:t>mg</w:t>
      </w:r>
      <w:r w:rsidRPr="00324ADA">
        <w:rPr>
          <w:rFonts w:eastAsia="Times New Roman" w:cs="Arial"/>
          <w:color w:val="000000"/>
          <w:lang w:eastAsia="bg-BG"/>
        </w:rPr>
        <w:t>/дневно).</w:t>
      </w:r>
    </w:p>
    <w:p w14:paraId="7BEB232F" w14:textId="77777777" w:rsidR="00324ADA" w:rsidRPr="00324ADA" w:rsidRDefault="00324ADA" w:rsidP="00324ADA">
      <w:pPr>
        <w:spacing w:line="240" w:lineRule="auto"/>
        <w:rPr>
          <w:rFonts w:eastAsia="Times New Roman" w:cs="Arial"/>
          <w:sz w:val="24"/>
          <w:szCs w:val="24"/>
          <w:lang w:eastAsia="bg-BG"/>
        </w:rPr>
      </w:pPr>
      <w:r w:rsidRPr="00324ADA">
        <w:rPr>
          <w:rFonts w:eastAsia="Times New Roman" w:cs="Arial"/>
          <w:color w:val="000000"/>
          <w:lang w:eastAsia="bg-BG"/>
        </w:rPr>
        <w:t>От 99 пациенти, лекувани с проучваното лекарство, 90 пациенти (90,9%) са продължили в разширено проучване с преследващи визити на всеки 3 месеца. Средната продължителност на терапията е била 264 дни.</w:t>
      </w:r>
    </w:p>
    <w:p w14:paraId="09752F92" w14:textId="77777777" w:rsidR="00324ADA" w:rsidRPr="001D1FEB" w:rsidRDefault="00324ADA" w:rsidP="00324ADA">
      <w:pPr>
        <w:rPr>
          <w:rFonts w:eastAsia="Times New Roman" w:cs="Arial"/>
          <w:lang w:eastAsia="bg-BG"/>
        </w:rPr>
      </w:pPr>
      <w:r w:rsidRPr="00324ADA">
        <w:rPr>
          <w:rFonts w:eastAsia="Times New Roman" w:cs="Arial"/>
          <w:color w:val="000000"/>
          <w:lang w:eastAsia="bg-BG"/>
        </w:rPr>
        <w:t xml:space="preserve">В обобщение, средното понижаване на кървното налягане спрямо изходните стойности е сходно във всички лекувани групи (промяната на седмица 3 спрямо изходната стойност в </w:t>
      </w:r>
      <w:r w:rsidRPr="00324ADA">
        <w:rPr>
          <w:rFonts w:eastAsia="Times New Roman" w:cs="Arial"/>
          <w:color w:val="000000"/>
          <w:vertAlign w:val="subscript"/>
          <w:lang w:eastAsia="bg-BG"/>
        </w:rPr>
        <w:t xml:space="preserve"> </w:t>
      </w:r>
      <w:r w:rsidRPr="00324ADA">
        <w:rPr>
          <w:rFonts w:eastAsia="Times New Roman" w:cs="Arial"/>
          <w:color w:val="000000"/>
          <w:lang w:eastAsia="bg-BG"/>
        </w:rPr>
        <w:t xml:space="preserve">систолното кървно налягане е съответно -7,3 за групата на ниска доза, -7,6 за групата на средна доза и 6,7 </w:t>
      </w:r>
      <w:r w:rsidRPr="00324ADA">
        <w:rPr>
          <w:rFonts w:eastAsia="Times New Roman" w:cs="Arial"/>
          <w:color w:val="000000"/>
          <w:lang w:val="en-US"/>
        </w:rPr>
        <w:t xml:space="preserve">mm Hg </w:t>
      </w:r>
      <w:r w:rsidRPr="00324ADA">
        <w:rPr>
          <w:rFonts w:eastAsia="Times New Roman" w:cs="Arial"/>
          <w:color w:val="000000"/>
          <w:lang w:eastAsia="bg-BG"/>
        </w:rPr>
        <w:t>за групата на висока доза; понижението в диатолното кръвно налягане на седмица 3 спрямо изходната стойност е -8,2 за групата на ниска доза, -5,1 за групата на средна</w:t>
      </w:r>
      <w:r>
        <w:rPr>
          <w:rFonts w:eastAsia="Times New Roman" w:cs="Arial"/>
          <w:color w:val="000000"/>
          <w:lang w:eastAsia="bg-BG"/>
        </w:rPr>
        <w:t xml:space="preserve"> </w:t>
      </w:r>
      <w:r w:rsidRPr="001D1FEB">
        <w:rPr>
          <w:rFonts w:eastAsia="Times New Roman" w:cs="Arial"/>
          <w:color w:val="000000"/>
          <w:lang w:eastAsia="bg-BG"/>
        </w:rPr>
        <w:t xml:space="preserve">доза и -6,7 </w:t>
      </w:r>
      <w:r w:rsidRPr="001D1FEB">
        <w:rPr>
          <w:rFonts w:eastAsia="Times New Roman" w:cs="Arial"/>
          <w:color w:val="000000"/>
          <w:lang w:val="en-US"/>
        </w:rPr>
        <w:t xml:space="preserve">mmHg </w:t>
      </w:r>
      <w:r w:rsidRPr="001D1FEB">
        <w:rPr>
          <w:rFonts w:eastAsia="Times New Roman" w:cs="Arial"/>
          <w:color w:val="000000"/>
          <w:lang w:eastAsia="bg-BG"/>
        </w:rPr>
        <w:t>за групата на висока доза.); няма обаче статистически значим дозозависим отговор за систолното и диастолното кървно налягане.</w:t>
      </w:r>
    </w:p>
    <w:p w14:paraId="66BEBBBD" w14:textId="6FAEA351" w:rsidR="00324ADA" w:rsidRPr="001D1FEB" w:rsidRDefault="00324ADA" w:rsidP="00324ADA">
      <w:pPr>
        <w:rPr>
          <w:rFonts w:cs="Arial"/>
        </w:rPr>
      </w:pPr>
      <w:r w:rsidRPr="001D1FEB">
        <w:rPr>
          <w:rFonts w:eastAsia="Times New Roman" w:cs="Arial"/>
          <w:color w:val="000000"/>
          <w:lang w:eastAsia="bg-BG"/>
        </w:rPr>
        <w:t xml:space="preserve">След 12 седмично лечение лосартан в дози до 1,4 </w:t>
      </w:r>
      <w:r w:rsidRPr="001D1FEB">
        <w:rPr>
          <w:rFonts w:eastAsia="Times New Roman" w:cs="Arial"/>
          <w:color w:val="000000"/>
          <w:lang w:val="en-US"/>
        </w:rPr>
        <w:t xml:space="preserve">mg/kg </w:t>
      </w:r>
      <w:r w:rsidRPr="001D1FEB">
        <w:rPr>
          <w:rFonts w:eastAsia="Times New Roman" w:cs="Arial"/>
          <w:color w:val="000000"/>
          <w:lang w:eastAsia="bg-BG"/>
        </w:rPr>
        <w:t xml:space="preserve">е имал като цяло добра поносимост пру деца на възраст от </w:t>
      </w:r>
      <w:r w:rsidRPr="001D1FEB">
        <w:rPr>
          <w:rFonts w:eastAsia="Times New Roman" w:cs="Arial"/>
          <w:i/>
          <w:iCs/>
          <w:color w:val="000000"/>
          <w:lang w:eastAsia="bg-BG"/>
        </w:rPr>
        <w:t>6</w:t>
      </w:r>
      <w:r w:rsidRPr="001D1FEB">
        <w:rPr>
          <w:rFonts w:eastAsia="Times New Roman" w:cs="Arial"/>
          <w:color w:val="000000"/>
          <w:lang w:eastAsia="bg-BG"/>
        </w:rPr>
        <w:t xml:space="preserve"> месеца до 6 години с хипертония. Общият профил на безопасност изглежда сравним в лекуваните групи.</w:t>
      </w:r>
    </w:p>
    <w:p w14:paraId="1B607624" w14:textId="77777777" w:rsidR="00324ADA" w:rsidRPr="001D1FEB" w:rsidRDefault="00324ADA" w:rsidP="0091385D">
      <w:pPr>
        <w:rPr>
          <w:rFonts w:cs="Arial"/>
        </w:rPr>
      </w:pPr>
    </w:p>
    <w:p w14:paraId="35F84B81" w14:textId="6423E5BB" w:rsidR="00CF77F7" w:rsidRPr="001D1FEB" w:rsidRDefault="002C50EE" w:rsidP="004A448E">
      <w:pPr>
        <w:pStyle w:val="Heading2"/>
        <w:rPr>
          <w:rFonts w:cs="Arial"/>
          <w:sz w:val="22"/>
          <w:szCs w:val="22"/>
        </w:rPr>
      </w:pPr>
      <w:r w:rsidRPr="001D1FEB">
        <w:rPr>
          <w:rFonts w:cs="Arial"/>
          <w:sz w:val="22"/>
          <w:szCs w:val="22"/>
        </w:rPr>
        <w:t xml:space="preserve">5.2. </w:t>
      </w:r>
      <w:r w:rsidRPr="001D1FEB">
        <w:rPr>
          <w:rFonts w:cs="Arial"/>
        </w:rPr>
        <w:t>Фармакокинетични свойства</w:t>
      </w:r>
    </w:p>
    <w:p w14:paraId="5031193D" w14:textId="06A21EFE" w:rsidR="0091385D" w:rsidRPr="001D1FEB" w:rsidRDefault="0091385D" w:rsidP="0091385D">
      <w:pPr>
        <w:rPr>
          <w:rFonts w:cs="Arial"/>
        </w:rPr>
      </w:pPr>
    </w:p>
    <w:p w14:paraId="3D5DC7D0" w14:textId="77777777" w:rsidR="00324ADA" w:rsidRPr="001D1FEB" w:rsidRDefault="00324ADA" w:rsidP="001D1FEB">
      <w:pPr>
        <w:pStyle w:val="Heading3"/>
        <w:rPr>
          <w:rFonts w:eastAsia="Times New Roman"/>
          <w:u w:val="single"/>
          <w:lang w:eastAsia="bg-BG"/>
        </w:rPr>
      </w:pPr>
      <w:r w:rsidRPr="001D1FEB">
        <w:rPr>
          <w:rFonts w:eastAsia="Times New Roman"/>
          <w:u w:val="single"/>
          <w:lang w:eastAsia="bg-BG"/>
        </w:rPr>
        <w:t>Абсорбция</w:t>
      </w:r>
    </w:p>
    <w:p w14:paraId="6C6B6A66" w14:textId="77777777" w:rsidR="00324ADA" w:rsidRPr="001D1FEB" w:rsidRDefault="00324ADA" w:rsidP="00324ADA">
      <w:pPr>
        <w:spacing w:line="240" w:lineRule="auto"/>
        <w:rPr>
          <w:rFonts w:eastAsia="Times New Roman" w:cs="Arial"/>
          <w:color w:val="000000"/>
          <w:lang w:eastAsia="bg-BG"/>
        </w:rPr>
      </w:pPr>
    </w:p>
    <w:p w14:paraId="51C74815" w14:textId="1B1414B7" w:rsidR="00324ADA" w:rsidRPr="001D1FEB" w:rsidRDefault="00324ADA" w:rsidP="00324ADA">
      <w:pPr>
        <w:spacing w:line="240" w:lineRule="auto"/>
        <w:rPr>
          <w:rFonts w:eastAsia="Times New Roman" w:cs="Arial"/>
          <w:lang w:eastAsia="bg-BG"/>
        </w:rPr>
      </w:pPr>
      <w:r w:rsidRPr="001D1FEB">
        <w:rPr>
          <w:rFonts w:eastAsia="Times New Roman" w:cs="Arial"/>
          <w:color w:val="000000"/>
          <w:lang w:eastAsia="bg-BG"/>
        </w:rPr>
        <w:t>След орален прием, лосартан се абсорбира добре и се подлага на метаболизиране при първо преминаване през черния дроб, като образува първоначален активен метаболит - карбоксилна киселина и други неактивни метаболити. Системната бионаличност на таблетките, съдържащи лосартан е приблизително 33%. Средните пикови концентрации на лосартан и активния му метаболит се достигат за 1 час и съответно след 3-4 часа.</w:t>
      </w:r>
    </w:p>
    <w:p w14:paraId="18AF6075" w14:textId="77777777" w:rsidR="00324ADA" w:rsidRPr="001D1FEB" w:rsidRDefault="00324ADA" w:rsidP="00324ADA">
      <w:pPr>
        <w:spacing w:line="240" w:lineRule="auto"/>
        <w:rPr>
          <w:rFonts w:eastAsia="Times New Roman" w:cs="Arial"/>
          <w:color w:val="000000"/>
          <w:u w:val="single"/>
          <w:lang w:eastAsia="bg-BG"/>
        </w:rPr>
      </w:pPr>
    </w:p>
    <w:p w14:paraId="65253F71" w14:textId="67B4A874" w:rsidR="00324ADA" w:rsidRPr="001D1FEB" w:rsidRDefault="00324ADA" w:rsidP="001D1FEB">
      <w:pPr>
        <w:pStyle w:val="Heading3"/>
        <w:rPr>
          <w:rFonts w:eastAsia="Times New Roman"/>
          <w:u w:val="single"/>
          <w:lang w:eastAsia="bg-BG"/>
        </w:rPr>
      </w:pPr>
      <w:r w:rsidRPr="001D1FEB">
        <w:rPr>
          <w:rFonts w:eastAsia="Times New Roman"/>
          <w:u w:val="single"/>
          <w:lang w:eastAsia="bg-BG"/>
        </w:rPr>
        <w:t>Разпределение</w:t>
      </w:r>
    </w:p>
    <w:p w14:paraId="64107DBD" w14:textId="77777777" w:rsidR="00324ADA" w:rsidRPr="001D1FEB" w:rsidRDefault="00324ADA" w:rsidP="00324ADA">
      <w:pPr>
        <w:spacing w:line="240" w:lineRule="auto"/>
        <w:rPr>
          <w:rFonts w:eastAsia="Times New Roman" w:cs="Arial"/>
          <w:color w:val="000000"/>
          <w:lang w:eastAsia="bg-BG"/>
        </w:rPr>
      </w:pPr>
    </w:p>
    <w:p w14:paraId="60FFCEE1" w14:textId="5D6E1B0C" w:rsidR="00324ADA" w:rsidRPr="001D1FEB" w:rsidRDefault="00324ADA" w:rsidP="00324ADA">
      <w:pPr>
        <w:spacing w:line="240" w:lineRule="auto"/>
        <w:rPr>
          <w:rFonts w:eastAsia="Times New Roman" w:cs="Arial"/>
          <w:color w:val="000000"/>
          <w:lang w:eastAsia="bg-BG"/>
        </w:rPr>
      </w:pPr>
      <w:r w:rsidRPr="001D1FEB">
        <w:rPr>
          <w:rFonts w:eastAsia="Times New Roman" w:cs="Arial"/>
          <w:color w:val="000000"/>
          <w:lang w:eastAsia="bg-BG"/>
        </w:rPr>
        <w:t>Лосартан и активният му метаболит са ≥ 99% свързани с плазмените протеини, основно албумини. Обемът на разпределение на лосартан е 34 литра.</w:t>
      </w:r>
    </w:p>
    <w:p w14:paraId="1800A896" w14:textId="77777777" w:rsidR="00324ADA" w:rsidRPr="001D1FEB" w:rsidRDefault="00324ADA" w:rsidP="00324ADA">
      <w:pPr>
        <w:spacing w:line="240" w:lineRule="auto"/>
        <w:rPr>
          <w:rFonts w:eastAsia="Times New Roman" w:cs="Arial"/>
          <w:color w:val="000000"/>
          <w:u w:val="single"/>
          <w:lang w:eastAsia="bg-BG"/>
        </w:rPr>
      </w:pPr>
    </w:p>
    <w:p w14:paraId="50B07F1B" w14:textId="0D29CF41" w:rsidR="00324ADA" w:rsidRPr="001D1FEB" w:rsidRDefault="00324ADA" w:rsidP="001D1FEB">
      <w:pPr>
        <w:pStyle w:val="Heading3"/>
        <w:rPr>
          <w:rFonts w:eastAsia="Times New Roman"/>
          <w:u w:val="single"/>
          <w:lang w:eastAsia="bg-BG"/>
        </w:rPr>
      </w:pPr>
      <w:r w:rsidRPr="001D1FEB">
        <w:rPr>
          <w:rFonts w:eastAsia="Times New Roman"/>
          <w:u w:val="single"/>
          <w:lang w:eastAsia="bg-BG"/>
        </w:rPr>
        <w:t>Биотрансформация</w:t>
      </w:r>
    </w:p>
    <w:p w14:paraId="60242F5F" w14:textId="77777777" w:rsidR="00324ADA" w:rsidRPr="001D1FEB" w:rsidRDefault="00324ADA" w:rsidP="00324ADA">
      <w:pPr>
        <w:spacing w:line="240" w:lineRule="auto"/>
        <w:rPr>
          <w:rFonts w:eastAsia="Times New Roman" w:cs="Arial"/>
          <w:color w:val="000000"/>
          <w:lang w:eastAsia="bg-BG"/>
        </w:rPr>
      </w:pPr>
    </w:p>
    <w:p w14:paraId="1E0901D5" w14:textId="6C505044" w:rsidR="00324ADA" w:rsidRPr="001D1FEB" w:rsidRDefault="00324ADA" w:rsidP="00324ADA">
      <w:pPr>
        <w:spacing w:line="240" w:lineRule="auto"/>
        <w:rPr>
          <w:rFonts w:eastAsia="Times New Roman" w:cs="Arial"/>
          <w:lang w:eastAsia="bg-BG"/>
        </w:rPr>
      </w:pPr>
      <w:r w:rsidRPr="001D1FEB">
        <w:rPr>
          <w:rFonts w:eastAsia="Times New Roman" w:cs="Arial"/>
          <w:color w:val="000000"/>
          <w:lang w:eastAsia="bg-BG"/>
        </w:rPr>
        <w:t xml:space="preserve">Около 14% от една интравенозно или орално приложена доза лосартан се превръща в активния му метаболит. След орално и интравенозно приложение на лосартан калий, маркиран с </w:t>
      </w:r>
      <w:r w:rsidRPr="001D1FEB">
        <w:rPr>
          <w:rFonts w:eastAsia="Times New Roman" w:cs="Arial"/>
          <w:color w:val="000000"/>
          <w:vertAlign w:val="superscript"/>
          <w:lang w:eastAsia="bg-BG"/>
        </w:rPr>
        <w:t>14</w:t>
      </w:r>
      <w:r w:rsidRPr="001D1FEB">
        <w:rPr>
          <w:rFonts w:eastAsia="Times New Roman" w:cs="Arial"/>
          <w:color w:val="000000"/>
          <w:lang w:eastAsia="bg-BG"/>
        </w:rPr>
        <w:t xml:space="preserve">С, циркулиращата плазмена радиоактивност основно принадлежи на </w:t>
      </w:r>
      <w:r w:rsidRPr="001D1FEB">
        <w:rPr>
          <w:rFonts w:eastAsia="Times New Roman" w:cs="Arial"/>
          <w:color w:val="000000"/>
          <w:lang w:eastAsia="bg-BG"/>
        </w:rPr>
        <w:lastRenderedPageBreak/>
        <w:t>лосартан или неговия активен метаболит. Минимална конверсия на лосартан в активния му метаболит е била наблюдавана при около 1% от изследваните индивиди.</w:t>
      </w:r>
    </w:p>
    <w:p w14:paraId="5A9805BE" w14:textId="77777777" w:rsidR="00324ADA" w:rsidRPr="001D1FEB" w:rsidRDefault="00324ADA" w:rsidP="00324ADA">
      <w:pPr>
        <w:spacing w:line="240" w:lineRule="auto"/>
        <w:rPr>
          <w:rFonts w:eastAsia="Times New Roman" w:cs="Arial"/>
          <w:lang w:eastAsia="bg-BG"/>
        </w:rPr>
      </w:pPr>
      <w:r w:rsidRPr="001D1FEB">
        <w:rPr>
          <w:rFonts w:eastAsia="Times New Roman" w:cs="Arial"/>
          <w:color w:val="000000"/>
          <w:lang w:eastAsia="bg-BG"/>
        </w:rPr>
        <w:t>Освен активен метаболит, се образуват и неактивни метаболити.</w:t>
      </w:r>
    </w:p>
    <w:p w14:paraId="0D232F42" w14:textId="77777777" w:rsidR="00324ADA" w:rsidRPr="001D1FEB" w:rsidRDefault="00324ADA" w:rsidP="00324ADA">
      <w:pPr>
        <w:spacing w:line="240" w:lineRule="auto"/>
        <w:rPr>
          <w:rFonts w:eastAsia="Times New Roman" w:cs="Arial"/>
          <w:color w:val="000000"/>
          <w:u w:val="single"/>
          <w:lang w:eastAsia="bg-BG"/>
        </w:rPr>
      </w:pPr>
    </w:p>
    <w:p w14:paraId="1521412A" w14:textId="482D4E57" w:rsidR="00324ADA" w:rsidRPr="001D1FEB" w:rsidRDefault="00324ADA" w:rsidP="001D1FEB">
      <w:pPr>
        <w:pStyle w:val="Heading3"/>
        <w:rPr>
          <w:rFonts w:eastAsia="Times New Roman"/>
          <w:u w:val="single"/>
          <w:lang w:eastAsia="bg-BG"/>
        </w:rPr>
      </w:pPr>
      <w:r w:rsidRPr="001D1FEB">
        <w:rPr>
          <w:rFonts w:eastAsia="Times New Roman"/>
          <w:u w:val="single"/>
          <w:lang w:eastAsia="bg-BG"/>
        </w:rPr>
        <w:t>Елиминиране</w:t>
      </w:r>
    </w:p>
    <w:p w14:paraId="288B9041" w14:textId="77777777" w:rsidR="00324ADA" w:rsidRPr="001D1FEB" w:rsidRDefault="00324ADA" w:rsidP="00324ADA">
      <w:pPr>
        <w:spacing w:line="240" w:lineRule="auto"/>
        <w:rPr>
          <w:rFonts w:eastAsia="Times New Roman" w:cs="Arial"/>
          <w:color w:val="000000"/>
          <w:lang w:eastAsia="bg-BG"/>
        </w:rPr>
      </w:pPr>
    </w:p>
    <w:p w14:paraId="37CD9464" w14:textId="19D8ADAD" w:rsidR="00324ADA" w:rsidRPr="001D1FEB" w:rsidRDefault="00324ADA" w:rsidP="00324ADA">
      <w:pPr>
        <w:spacing w:line="240" w:lineRule="auto"/>
        <w:rPr>
          <w:rFonts w:eastAsia="Times New Roman" w:cs="Arial"/>
          <w:lang w:eastAsia="bg-BG"/>
        </w:rPr>
      </w:pPr>
      <w:r w:rsidRPr="001D1FEB">
        <w:rPr>
          <w:rFonts w:eastAsia="Times New Roman" w:cs="Arial"/>
          <w:color w:val="000000"/>
          <w:lang w:eastAsia="bg-BG"/>
        </w:rPr>
        <w:t xml:space="preserve">Плазменият клирънс на лосартан и активния му метаболит са съответно около 600 </w:t>
      </w:r>
      <w:r w:rsidRPr="001D1FEB">
        <w:rPr>
          <w:rFonts w:eastAsia="Times New Roman" w:cs="Arial"/>
          <w:color w:val="000000"/>
          <w:lang w:val="en-US"/>
        </w:rPr>
        <w:t xml:space="preserve">ml/min </w:t>
      </w:r>
      <w:r w:rsidRPr="001D1FEB">
        <w:rPr>
          <w:rFonts w:eastAsia="Times New Roman" w:cs="Arial"/>
          <w:color w:val="000000"/>
          <w:lang w:eastAsia="bg-BG"/>
        </w:rPr>
        <w:t xml:space="preserve">и 50 </w:t>
      </w:r>
      <w:r w:rsidRPr="001D1FEB">
        <w:rPr>
          <w:rFonts w:eastAsia="Times New Roman" w:cs="Arial"/>
          <w:color w:val="000000"/>
          <w:lang w:val="en-US"/>
        </w:rPr>
        <w:t xml:space="preserve">ml/min. </w:t>
      </w:r>
      <w:r w:rsidRPr="001D1FEB">
        <w:rPr>
          <w:rFonts w:eastAsia="Times New Roman" w:cs="Arial"/>
          <w:color w:val="000000"/>
          <w:lang w:eastAsia="bg-BG"/>
        </w:rPr>
        <w:t xml:space="preserve">Бъбречният клирънс на лосартан и активния му метаболит са съответно около 74 </w:t>
      </w:r>
      <w:r w:rsidRPr="001D1FEB">
        <w:rPr>
          <w:rFonts w:eastAsia="Times New Roman" w:cs="Arial"/>
          <w:color w:val="000000"/>
          <w:lang w:val="en-US"/>
        </w:rPr>
        <w:t xml:space="preserve">ml/min </w:t>
      </w:r>
      <w:r w:rsidRPr="001D1FEB">
        <w:rPr>
          <w:rFonts w:eastAsia="Times New Roman" w:cs="Arial"/>
          <w:color w:val="000000"/>
          <w:lang w:eastAsia="bg-BG"/>
        </w:rPr>
        <w:t xml:space="preserve">и 26 </w:t>
      </w:r>
      <w:r w:rsidRPr="001D1FEB">
        <w:rPr>
          <w:rFonts w:eastAsia="Times New Roman" w:cs="Arial"/>
          <w:color w:val="000000"/>
          <w:lang w:val="en-US"/>
        </w:rPr>
        <w:t xml:space="preserve">ml/min. </w:t>
      </w:r>
      <w:r w:rsidRPr="001D1FEB">
        <w:rPr>
          <w:rFonts w:eastAsia="Times New Roman" w:cs="Arial"/>
          <w:color w:val="000000"/>
          <w:lang w:eastAsia="bg-BG"/>
        </w:rPr>
        <w:t>Когато лосартан се приложи орално, около 4% от дозата се отделя непроменена в урината, а около 6% се отделя в урината като активен метаболит.</w:t>
      </w:r>
    </w:p>
    <w:p w14:paraId="64C299A4" w14:textId="77777777" w:rsidR="00324ADA" w:rsidRPr="001D1FEB" w:rsidRDefault="00324ADA" w:rsidP="00324ADA">
      <w:pPr>
        <w:spacing w:line="240" w:lineRule="auto"/>
        <w:rPr>
          <w:rFonts w:eastAsia="Times New Roman" w:cs="Arial"/>
          <w:lang w:eastAsia="bg-BG"/>
        </w:rPr>
      </w:pPr>
      <w:r w:rsidRPr="001D1FEB">
        <w:rPr>
          <w:rFonts w:eastAsia="Times New Roman" w:cs="Arial"/>
          <w:color w:val="000000"/>
          <w:lang w:eastAsia="bg-BG"/>
        </w:rPr>
        <w:t xml:space="preserve">Фармакокинетиката на лосартан и активния му метаболит са линейни за орални дози лосартан калий до 200 </w:t>
      </w:r>
      <w:r w:rsidRPr="001D1FEB">
        <w:rPr>
          <w:rFonts w:eastAsia="Times New Roman" w:cs="Arial"/>
          <w:color w:val="000000"/>
          <w:lang w:val="en-US"/>
        </w:rPr>
        <w:t>mg.</w:t>
      </w:r>
    </w:p>
    <w:p w14:paraId="5E5DF698" w14:textId="77777777" w:rsidR="00324ADA" w:rsidRPr="001D1FEB" w:rsidRDefault="00324ADA" w:rsidP="00324ADA">
      <w:pPr>
        <w:spacing w:line="240" w:lineRule="auto"/>
        <w:rPr>
          <w:rFonts w:eastAsia="Times New Roman" w:cs="Arial"/>
          <w:color w:val="000000"/>
          <w:lang w:eastAsia="bg-BG"/>
        </w:rPr>
      </w:pPr>
    </w:p>
    <w:p w14:paraId="188D1633" w14:textId="3B419781" w:rsidR="00324ADA" w:rsidRPr="001D1FEB" w:rsidRDefault="00324ADA" w:rsidP="00324ADA">
      <w:pPr>
        <w:spacing w:line="240" w:lineRule="auto"/>
        <w:rPr>
          <w:rFonts w:eastAsia="Times New Roman" w:cs="Arial"/>
          <w:lang w:eastAsia="bg-BG"/>
        </w:rPr>
      </w:pPr>
      <w:r w:rsidRPr="001D1FEB">
        <w:rPr>
          <w:rFonts w:eastAsia="Times New Roman" w:cs="Arial"/>
          <w:color w:val="000000"/>
          <w:lang w:eastAsia="bg-BG"/>
        </w:rPr>
        <w:t xml:space="preserve">След орален прием, плазмените концентрации на лосартан и активния му метаболит намаляват полиекспоненциално, с краен елиминационен полуживот съответно от около 2 часа и 6-9 часа. По време на еднократна дневна доза от 100 </w:t>
      </w:r>
      <w:r w:rsidRPr="001D1FEB">
        <w:rPr>
          <w:rFonts w:eastAsia="Times New Roman" w:cs="Arial"/>
          <w:color w:val="000000"/>
          <w:lang w:val="en-US"/>
        </w:rPr>
        <w:t xml:space="preserve">mg, </w:t>
      </w:r>
      <w:r w:rsidRPr="001D1FEB">
        <w:rPr>
          <w:rFonts w:eastAsia="Times New Roman" w:cs="Arial"/>
          <w:color w:val="000000"/>
          <w:lang w:eastAsia="bg-BG"/>
        </w:rPr>
        <w:t>нито лосартан, нито активният му метаболит акумулират значително в плазмата.</w:t>
      </w:r>
    </w:p>
    <w:p w14:paraId="43FC9515" w14:textId="77777777" w:rsidR="00324ADA" w:rsidRPr="001D1FEB" w:rsidRDefault="00324ADA" w:rsidP="00324ADA">
      <w:pPr>
        <w:spacing w:line="240" w:lineRule="auto"/>
        <w:rPr>
          <w:rFonts w:eastAsia="Times New Roman" w:cs="Arial"/>
          <w:color w:val="000000"/>
          <w:lang w:eastAsia="bg-BG"/>
        </w:rPr>
      </w:pPr>
    </w:p>
    <w:p w14:paraId="77997266" w14:textId="55CA110A" w:rsidR="00324ADA" w:rsidRPr="001D1FEB" w:rsidRDefault="00324ADA" w:rsidP="00324ADA">
      <w:pPr>
        <w:spacing w:line="240" w:lineRule="auto"/>
        <w:rPr>
          <w:rFonts w:eastAsia="Times New Roman" w:cs="Arial"/>
          <w:lang w:eastAsia="bg-BG"/>
        </w:rPr>
      </w:pPr>
      <w:r w:rsidRPr="001D1FEB">
        <w:rPr>
          <w:rFonts w:eastAsia="Times New Roman" w:cs="Arial"/>
          <w:color w:val="000000"/>
          <w:lang w:eastAsia="bg-BG"/>
        </w:rPr>
        <w:t xml:space="preserve">За елиминирането на лосартан и неговите метаболити допринасят както жлъчната, така и уринната екскреция След една орална/интравенозна доза на белязан с </w:t>
      </w:r>
      <w:r w:rsidRPr="001D1FEB">
        <w:rPr>
          <w:rFonts w:eastAsia="Times New Roman" w:cs="Arial"/>
          <w:color w:val="000000"/>
          <w:vertAlign w:val="superscript"/>
          <w:lang w:eastAsia="bg-BG"/>
        </w:rPr>
        <w:t>14</w:t>
      </w:r>
      <w:r w:rsidRPr="001D1FEB">
        <w:rPr>
          <w:rFonts w:eastAsia="Times New Roman" w:cs="Arial"/>
          <w:color w:val="000000"/>
          <w:lang w:eastAsia="bg-BG"/>
        </w:rPr>
        <w:t>С лосартан при човека, около 35% /43% от радиоактивността се открива в урината и 58%/50% в изпражненията.</w:t>
      </w:r>
    </w:p>
    <w:p w14:paraId="27647BD6" w14:textId="77777777" w:rsidR="00324ADA" w:rsidRPr="001D1FEB" w:rsidRDefault="00324ADA" w:rsidP="00324ADA">
      <w:pPr>
        <w:spacing w:line="240" w:lineRule="auto"/>
        <w:rPr>
          <w:rFonts w:eastAsia="Times New Roman" w:cs="Arial"/>
          <w:color w:val="000000"/>
          <w:u w:val="single"/>
          <w:lang w:eastAsia="bg-BG"/>
        </w:rPr>
      </w:pPr>
    </w:p>
    <w:p w14:paraId="0A14B8A9" w14:textId="77777777" w:rsidR="00324ADA" w:rsidRPr="001D1FEB" w:rsidRDefault="00324ADA" w:rsidP="00324ADA">
      <w:pPr>
        <w:spacing w:line="240" w:lineRule="auto"/>
        <w:rPr>
          <w:rFonts w:eastAsia="Times New Roman" w:cs="Arial"/>
          <w:lang w:eastAsia="bg-BG"/>
        </w:rPr>
      </w:pPr>
      <w:r w:rsidRPr="001D1FEB">
        <w:rPr>
          <w:rFonts w:eastAsia="Times New Roman" w:cs="Arial"/>
          <w:color w:val="000000"/>
          <w:u w:val="single"/>
          <w:lang w:eastAsia="bg-BG"/>
        </w:rPr>
        <w:t>Характеристики при различни пациенти</w:t>
      </w:r>
    </w:p>
    <w:p w14:paraId="1CB3DD68" w14:textId="77777777" w:rsidR="00324ADA" w:rsidRPr="001D1FEB" w:rsidRDefault="00324ADA" w:rsidP="00324ADA">
      <w:pPr>
        <w:spacing w:line="240" w:lineRule="auto"/>
        <w:rPr>
          <w:rFonts w:eastAsia="Times New Roman" w:cs="Arial"/>
          <w:lang w:eastAsia="bg-BG"/>
        </w:rPr>
      </w:pPr>
    </w:p>
    <w:p w14:paraId="148BA3FC" w14:textId="57FCEA42" w:rsidR="0091385D" w:rsidRPr="001D1FEB" w:rsidRDefault="00324ADA" w:rsidP="00324ADA">
      <w:pPr>
        <w:spacing w:line="240" w:lineRule="auto"/>
        <w:rPr>
          <w:rFonts w:eastAsia="Times New Roman" w:cs="Arial"/>
          <w:lang w:eastAsia="bg-BG"/>
        </w:rPr>
      </w:pPr>
      <w:r w:rsidRPr="001D1FEB">
        <w:rPr>
          <w:rFonts w:eastAsia="Times New Roman" w:cs="Arial"/>
          <w:color w:val="000000"/>
          <w:lang w:eastAsia="bg-BG"/>
        </w:rPr>
        <w:t>При хипертензивни пациенти в старческа възраст плазмените концентрации на</w:t>
      </w:r>
      <w:r w:rsidRPr="001D1FEB">
        <w:rPr>
          <w:rFonts w:eastAsia="Times New Roman" w:cs="Arial"/>
          <w:color w:val="000000"/>
          <w:lang w:val="en-US"/>
        </w:rPr>
        <w:t xml:space="preserve"> </w:t>
      </w:r>
      <w:r w:rsidRPr="001D1FEB">
        <w:rPr>
          <w:rFonts w:eastAsia="Times New Roman" w:cs="Arial"/>
          <w:color w:val="000000"/>
          <w:lang w:eastAsia="bg-BG"/>
        </w:rPr>
        <w:t>лосартан и неговия активен метаболит не се различават значително от тези, установени при млади пациенти с хипертония.</w:t>
      </w:r>
    </w:p>
    <w:p w14:paraId="4EE1BB0B" w14:textId="78067B80" w:rsidR="0091385D" w:rsidRPr="001D1FEB" w:rsidRDefault="0091385D" w:rsidP="0091385D">
      <w:pPr>
        <w:rPr>
          <w:rFonts w:cs="Arial"/>
        </w:rPr>
      </w:pPr>
    </w:p>
    <w:p w14:paraId="27E399A0" w14:textId="77777777" w:rsidR="00324ADA" w:rsidRPr="001D1FEB" w:rsidRDefault="00324ADA" w:rsidP="00324ADA">
      <w:pPr>
        <w:spacing w:line="240" w:lineRule="auto"/>
        <w:rPr>
          <w:rFonts w:eastAsia="Times New Roman" w:cs="Arial"/>
          <w:lang w:eastAsia="bg-BG"/>
        </w:rPr>
      </w:pPr>
      <w:r w:rsidRPr="001D1FEB">
        <w:rPr>
          <w:rFonts w:eastAsia="Times New Roman" w:cs="Arial"/>
          <w:color w:val="000000"/>
          <w:lang w:eastAsia="bg-BG"/>
        </w:rPr>
        <w:t>При пациенти-жени е хипертония, плазмените нива на лосартан са до два пъти по-високи отколкото при пациенти-мъже с хипертония, като плазмените нива на активния метаболит не се различават при мъжете и жените.</w:t>
      </w:r>
    </w:p>
    <w:p w14:paraId="2123BDF8" w14:textId="77777777" w:rsidR="00324ADA" w:rsidRPr="001D1FEB" w:rsidRDefault="00324ADA" w:rsidP="00324ADA">
      <w:pPr>
        <w:spacing w:line="240" w:lineRule="auto"/>
        <w:rPr>
          <w:rFonts w:eastAsia="Times New Roman" w:cs="Arial"/>
          <w:color w:val="000000"/>
          <w:lang w:eastAsia="bg-BG"/>
        </w:rPr>
      </w:pPr>
    </w:p>
    <w:p w14:paraId="61895448" w14:textId="65D46B42" w:rsidR="00324ADA" w:rsidRPr="001D1FEB" w:rsidRDefault="00324ADA" w:rsidP="00324ADA">
      <w:pPr>
        <w:spacing w:line="240" w:lineRule="auto"/>
        <w:rPr>
          <w:rFonts w:eastAsia="Times New Roman" w:cs="Arial"/>
          <w:lang w:eastAsia="bg-BG"/>
        </w:rPr>
      </w:pPr>
      <w:r w:rsidRPr="001D1FEB">
        <w:rPr>
          <w:rFonts w:eastAsia="Times New Roman" w:cs="Arial"/>
          <w:color w:val="000000"/>
          <w:lang w:eastAsia="bg-BG"/>
        </w:rPr>
        <w:t>При пациенти с лека до средно тежка алкохол индуцирана чернодробна цироза, плазмените нива на лосартан и активния му метаболит след орално приложение са били съответно 5 и 1,7 пъти по-високи отколкото при млади мъже - доброволци (вж. точки 4.2 и 4.4).</w:t>
      </w:r>
    </w:p>
    <w:p w14:paraId="505281EE" w14:textId="77777777" w:rsidR="00324ADA" w:rsidRPr="001D1FEB" w:rsidRDefault="00324ADA" w:rsidP="00324ADA">
      <w:pPr>
        <w:spacing w:line="240" w:lineRule="auto"/>
        <w:rPr>
          <w:rFonts w:eastAsia="Times New Roman" w:cs="Arial"/>
          <w:color w:val="000000"/>
          <w:lang w:eastAsia="bg-BG"/>
        </w:rPr>
      </w:pPr>
    </w:p>
    <w:p w14:paraId="6C734118" w14:textId="733B9866" w:rsidR="00324ADA" w:rsidRPr="001D1FEB" w:rsidRDefault="00324ADA" w:rsidP="00324ADA">
      <w:pPr>
        <w:spacing w:line="240" w:lineRule="auto"/>
        <w:rPr>
          <w:rFonts w:eastAsia="Times New Roman" w:cs="Arial"/>
          <w:lang w:eastAsia="bg-BG"/>
        </w:rPr>
      </w:pPr>
      <w:r w:rsidRPr="001D1FEB">
        <w:rPr>
          <w:rFonts w:eastAsia="Times New Roman" w:cs="Arial"/>
          <w:color w:val="000000"/>
          <w:lang w:eastAsia="bg-BG"/>
        </w:rPr>
        <w:t xml:space="preserve">Плазмените концентрации на лосартан не са нарушени при пациенти с креатининов клирънс над 10 </w:t>
      </w:r>
      <w:r w:rsidRPr="001D1FEB">
        <w:rPr>
          <w:rFonts w:eastAsia="Times New Roman" w:cs="Arial"/>
          <w:color w:val="000000"/>
          <w:lang w:val="en-US"/>
        </w:rPr>
        <w:t>ml</w:t>
      </w:r>
      <w:r w:rsidRPr="001D1FEB">
        <w:rPr>
          <w:rFonts w:eastAsia="Times New Roman" w:cs="Arial"/>
          <w:color w:val="000000"/>
          <w:lang w:eastAsia="bg-BG"/>
        </w:rPr>
        <w:t xml:space="preserve">/минута. При сравнение с пациенти с нормална бъбречна функция, площта под кривата </w:t>
      </w:r>
      <w:r w:rsidRPr="001D1FEB">
        <w:rPr>
          <w:rFonts w:eastAsia="Times New Roman" w:cs="Arial"/>
          <w:color w:val="000000"/>
          <w:lang w:val="en-US"/>
        </w:rPr>
        <w:t xml:space="preserve">(AUC) </w:t>
      </w:r>
      <w:r w:rsidRPr="001D1FEB">
        <w:rPr>
          <w:rFonts w:eastAsia="Times New Roman" w:cs="Arial"/>
          <w:color w:val="000000"/>
          <w:lang w:eastAsia="bg-BG"/>
        </w:rPr>
        <w:t>за лосартан е около 2 пъти по-голяма при пациенти на хемодиализа.</w:t>
      </w:r>
    </w:p>
    <w:p w14:paraId="6AC17CB5" w14:textId="77777777" w:rsidR="00324ADA" w:rsidRPr="001D1FEB" w:rsidRDefault="00324ADA" w:rsidP="00324ADA">
      <w:pPr>
        <w:spacing w:line="240" w:lineRule="auto"/>
        <w:rPr>
          <w:rFonts w:eastAsia="Times New Roman" w:cs="Arial"/>
          <w:color w:val="000000"/>
          <w:lang w:eastAsia="bg-BG"/>
        </w:rPr>
      </w:pPr>
    </w:p>
    <w:p w14:paraId="1C9527FD" w14:textId="084F717D" w:rsidR="00324ADA" w:rsidRPr="001D1FEB" w:rsidRDefault="00324ADA" w:rsidP="00324ADA">
      <w:pPr>
        <w:spacing w:line="240" w:lineRule="auto"/>
        <w:rPr>
          <w:rFonts w:eastAsia="Times New Roman" w:cs="Arial"/>
          <w:lang w:eastAsia="bg-BG"/>
        </w:rPr>
      </w:pPr>
      <w:r w:rsidRPr="001D1FEB">
        <w:rPr>
          <w:rFonts w:eastAsia="Times New Roman" w:cs="Arial"/>
          <w:color w:val="000000"/>
          <w:lang w:eastAsia="bg-BG"/>
        </w:rPr>
        <w:t>Плазмените концентрации на активния метаболит не са променени при пациенти с бъбречно увреждане или при пациенти на хемодиализа.</w:t>
      </w:r>
    </w:p>
    <w:p w14:paraId="212BC88A" w14:textId="77777777" w:rsidR="00324ADA" w:rsidRPr="001D1FEB" w:rsidRDefault="00324ADA" w:rsidP="00324ADA">
      <w:pPr>
        <w:spacing w:line="240" w:lineRule="auto"/>
        <w:rPr>
          <w:rFonts w:eastAsia="Times New Roman" w:cs="Arial"/>
          <w:lang w:eastAsia="bg-BG"/>
        </w:rPr>
      </w:pPr>
      <w:r w:rsidRPr="001D1FEB">
        <w:rPr>
          <w:rFonts w:eastAsia="Times New Roman" w:cs="Arial"/>
          <w:color w:val="000000"/>
          <w:lang w:eastAsia="bg-BG"/>
        </w:rPr>
        <w:t>С хемодиализа не може да се отстрани нито лосартан, нито активния метаболит.</w:t>
      </w:r>
    </w:p>
    <w:p w14:paraId="1A98F5E7" w14:textId="77777777" w:rsidR="00324ADA" w:rsidRPr="001D1FEB" w:rsidRDefault="00324ADA" w:rsidP="00324ADA">
      <w:pPr>
        <w:spacing w:line="240" w:lineRule="auto"/>
        <w:rPr>
          <w:rFonts w:eastAsia="Times New Roman" w:cs="Arial"/>
          <w:color w:val="000000"/>
          <w:u w:val="single"/>
          <w:lang w:eastAsia="bg-BG"/>
        </w:rPr>
      </w:pPr>
    </w:p>
    <w:p w14:paraId="27B90F61" w14:textId="1BDA23B7" w:rsidR="00324ADA" w:rsidRPr="001D1FEB" w:rsidRDefault="00324ADA" w:rsidP="00324ADA">
      <w:pPr>
        <w:spacing w:line="240" w:lineRule="auto"/>
        <w:rPr>
          <w:rFonts w:eastAsia="Times New Roman" w:cs="Arial"/>
          <w:lang w:eastAsia="bg-BG"/>
        </w:rPr>
      </w:pPr>
      <w:r w:rsidRPr="001D1FEB">
        <w:rPr>
          <w:rFonts w:eastAsia="Times New Roman" w:cs="Arial"/>
          <w:color w:val="000000"/>
          <w:u w:val="single"/>
          <w:lang w:eastAsia="bg-BG"/>
        </w:rPr>
        <w:t>Фармакокинетика при педиатрични пациенти</w:t>
      </w:r>
    </w:p>
    <w:p w14:paraId="018FCD64" w14:textId="77777777" w:rsidR="00324ADA" w:rsidRPr="001D1FEB" w:rsidRDefault="00324ADA" w:rsidP="00324ADA">
      <w:pPr>
        <w:spacing w:line="240" w:lineRule="auto"/>
        <w:rPr>
          <w:rFonts w:eastAsia="Times New Roman" w:cs="Arial"/>
          <w:lang w:eastAsia="bg-BG"/>
        </w:rPr>
      </w:pPr>
      <w:r w:rsidRPr="001D1FEB">
        <w:rPr>
          <w:rFonts w:eastAsia="Times New Roman" w:cs="Arial"/>
          <w:color w:val="000000"/>
          <w:lang w:eastAsia="bg-BG"/>
        </w:rPr>
        <w:lastRenderedPageBreak/>
        <w:t xml:space="preserve">Фармакокинетиката на лосартан е била изследвана при 50 хипертензивни пациенти от педиатричната популация на възраст от &gt; 1 месец до &lt; 16-години след орално приложение веднъж на ден на приблизително 0,54 до 0,77 </w:t>
      </w:r>
      <w:r w:rsidRPr="001D1FEB">
        <w:rPr>
          <w:rFonts w:eastAsia="Times New Roman" w:cs="Arial"/>
          <w:color w:val="000000"/>
          <w:lang w:val="en-US"/>
        </w:rPr>
        <w:t xml:space="preserve">mg/kg </w:t>
      </w:r>
      <w:r w:rsidRPr="001D1FEB">
        <w:rPr>
          <w:rFonts w:eastAsia="Times New Roman" w:cs="Arial"/>
          <w:color w:val="000000"/>
          <w:lang w:eastAsia="bg-BG"/>
        </w:rPr>
        <w:t>лосартан (средни дози).</w:t>
      </w:r>
    </w:p>
    <w:p w14:paraId="2BBCD370" w14:textId="04C71DF1" w:rsidR="00324ADA" w:rsidRPr="001D1FEB" w:rsidRDefault="00324ADA" w:rsidP="00324ADA">
      <w:pPr>
        <w:rPr>
          <w:rFonts w:cs="Arial"/>
        </w:rPr>
      </w:pPr>
      <w:r w:rsidRPr="001D1FEB">
        <w:rPr>
          <w:rFonts w:eastAsia="Times New Roman" w:cs="Arial"/>
          <w:color w:val="000000"/>
          <w:lang w:eastAsia="bg-BG"/>
        </w:rPr>
        <w:t>Резултатите показват, че активният метаболит се образува от лосартан при всички възрастови групи. Резултатите показват приблизително същите фармакокинетични показатели за лосартан след орален прием при новородени и кърмачета, при деца в предучилищна и училищна възраст, и при подрастващи. Фармакокинетичните показатели за метаболита се различават в голяма степен при различните възрастови групи. Когато се сравняват децата в предучилищна възраст и подрастващите, то тези различия стават статистически значителни. Ефектът при новородени/кърмачета е сравнително висока.</w:t>
      </w:r>
    </w:p>
    <w:p w14:paraId="3DBE1981" w14:textId="77777777" w:rsidR="00324ADA" w:rsidRPr="0091385D" w:rsidRDefault="00324ADA" w:rsidP="0091385D"/>
    <w:p w14:paraId="648E39DA" w14:textId="44D16CBD" w:rsidR="00CF77F7" w:rsidRDefault="002C50EE" w:rsidP="004A448E">
      <w:pPr>
        <w:pStyle w:val="Heading2"/>
      </w:pPr>
      <w:r>
        <w:t>5.3. Предклинични данни за безопасност</w:t>
      </w:r>
    </w:p>
    <w:p w14:paraId="31455D09" w14:textId="4D0EFBF5" w:rsidR="0091385D" w:rsidRDefault="0091385D" w:rsidP="0091385D"/>
    <w:p w14:paraId="52E4D01A" w14:textId="26421ED5" w:rsidR="0091385D" w:rsidRPr="001D1FEB" w:rsidRDefault="001D1FEB" w:rsidP="0091385D">
      <w:pPr>
        <w:rPr>
          <w:rFonts w:cs="Arial"/>
        </w:rPr>
      </w:pPr>
      <w:r w:rsidRPr="001D1FEB">
        <w:rPr>
          <w:rFonts w:cs="Arial"/>
        </w:rPr>
        <w:t>Предклиничните данни не показват някакъв специфичен риск за хора на базата на конвенционалните проучвания за обща фармакология, генотоксичност и карциногенен потенциал. При проучвания за токсичност на повтарящи се дози, приложението на лосартан предизвиква понижаване на стойностите на червените кръвни телца (еритроцити, хемоглобин, хематокрит), повишение на урея</w:t>
      </w:r>
      <w:r w:rsidRPr="001D1FEB">
        <w:rPr>
          <w:rFonts w:cs="Arial"/>
          <w:lang w:val="en-US"/>
        </w:rPr>
        <w:t xml:space="preserve">-N </w:t>
      </w:r>
      <w:r w:rsidRPr="001D1FEB">
        <w:rPr>
          <w:rFonts w:cs="Arial"/>
        </w:rPr>
        <w:t>в серума и в отделни случаи повишение на серумния креатинин, намаляване на теглото на сърцето (без хистологична корелация) и гастроинтестинални промени (лезии на лигавицата, язви, ерозии, кръвоизливи). Подобно на други субстанции, които пряко влияят на ренин/ангиотензин системата, доказано е, че лосартан предизвиква нежелани реакции при късното развитие на плода, които водят до смърт на плода и малформации.</w:t>
      </w:r>
    </w:p>
    <w:p w14:paraId="20E967BE" w14:textId="77777777" w:rsidR="0091385D" w:rsidRPr="0091385D" w:rsidRDefault="0091385D" w:rsidP="0091385D"/>
    <w:p w14:paraId="6A7820AB" w14:textId="353DB6D2" w:rsidR="008A6AF2" w:rsidRDefault="002C50EE" w:rsidP="00395555">
      <w:pPr>
        <w:pStyle w:val="Heading1"/>
      </w:pPr>
      <w:r>
        <w:t>7. ПРИТЕЖАТЕЛ НА РАЗРЕШЕНИЕТО ЗА УПОТРЕБА</w:t>
      </w:r>
    </w:p>
    <w:p w14:paraId="1B9B651E" w14:textId="3382E6AC" w:rsidR="0091385D" w:rsidRDefault="0091385D" w:rsidP="0091385D"/>
    <w:p w14:paraId="7B8E6217" w14:textId="77777777" w:rsidR="001D1FEB" w:rsidRPr="001D1FEB" w:rsidRDefault="001D1FEB" w:rsidP="001D1FEB">
      <w:pPr>
        <w:spacing w:line="240" w:lineRule="auto"/>
        <w:rPr>
          <w:rFonts w:eastAsia="Times New Roman" w:cs="Arial"/>
          <w:sz w:val="24"/>
          <w:szCs w:val="24"/>
          <w:lang w:eastAsia="bg-BG"/>
        </w:rPr>
      </w:pPr>
      <w:r w:rsidRPr="001D1FEB">
        <w:rPr>
          <w:rFonts w:eastAsia="Times New Roman" w:cs="Arial"/>
          <w:color w:val="000000"/>
          <w:lang w:val="en-US"/>
        </w:rPr>
        <w:t xml:space="preserve">ALKALOID-INT </w:t>
      </w:r>
      <w:proofErr w:type="spellStart"/>
      <w:r w:rsidRPr="001D1FEB">
        <w:rPr>
          <w:rFonts w:eastAsia="Times New Roman" w:cs="Arial"/>
          <w:color w:val="000000"/>
          <w:lang w:val="en-US"/>
        </w:rPr>
        <w:t>d.o.o</w:t>
      </w:r>
      <w:proofErr w:type="spellEnd"/>
      <w:proofErr w:type="gramStart"/>
      <w:r w:rsidRPr="001D1FEB">
        <w:rPr>
          <w:rFonts w:eastAsia="Times New Roman" w:cs="Arial"/>
          <w:color w:val="000000"/>
          <w:lang w:val="en-US"/>
        </w:rPr>
        <w:t>.,</w:t>
      </w:r>
      <w:proofErr w:type="gramEnd"/>
    </w:p>
    <w:p w14:paraId="0342EBDD" w14:textId="77777777" w:rsidR="001D1FEB" w:rsidRPr="001D1FEB" w:rsidRDefault="001D1FEB" w:rsidP="001D1FEB">
      <w:pPr>
        <w:spacing w:line="240" w:lineRule="auto"/>
        <w:rPr>
          <w:rFonts w:eastAsia="Times New Roman" w:cs="Arial"/>
          <w:color w:val="000000"/>
          <w:lang w:eastAsia="bg-BG"/>
        </w:rPr>
      </w:pPr>
      <w:r w:rsidRPr="001D1FEB">
        <w:rPr>
          <w:rFonts w:eastAsia="Times New Roman" w:cs="Arial"/>
          <w:color w:val="000000"/>
          <w:lang w:eastAsia="bg-BG"/>
        </w:rPr>
        <w:t>Šlandrova ulica</w:t>
      </w:r>
      <w:r w:rsidRPr="001D1FEB">
        <w:rPr>
          <w:rFonts w:eastAsia="Times New Roman" w:cs="Arial"/>
          <w:color w:val="000000"/>
          <w:lang w:val="en-US"/>
        </w:rPr>
        <w:t xml:space="preserve"> </w:t>
      </w:r>
      <w:r w:rsidRPr="001D1FEB">
        <w:rPr>
          <w:rFonts w:eastAsia="Times New Roman" w:cs="Arial"/>
          <w:color w:val="000000"/>
          <w:lang w:eastAsia="bg-BG"/>
        </w:rPr>
        <w:t xml:space="preserve">4, </w:t>
      </w:r>
    </w:p>
    <w:p w14:paraId="619A04C1" w14:textId="6CB55320" w:rsidR="001D1FEB" w:rsidRPr="001D1FEB" w:rsidRDefault="001D1FEB" w:rsidP="001D1FEB">
      <w:pPr>
        <w:spacing w:line="240" w:lineRule="auto"/>
        <w:rPr>
          <w:rFonts w:eastAsia="Times New Roman" w:cs="Arial"/>
          <w:color w:val="000000"/>
          <w:lang w:eastAsia="bg-BG"/>
        </w:rPr>
      </w:pPr>
      <w:r w:rsidRPr="001D1FEB">
        <w:rPr>
          <w:rFonts w:eastAsia="Times New Roman" w:cs="Arial"/>
          <w:color w:val="000000"/>
          <w:lang w:eastAsia="bg-BG"/>
        </w:rPr>
        <w:t xml:space="preserve">1231 </w:t>
      </w:r>
      <w:r w:rsidRPr="001D1FEB">
        <w:rPr>
          <w:rFonts w:eastAsia="Times New Roman" w:cs="Arial"/>
          <w:color w:val="000000"/>
          <w:lang w:val="en-US"/>
        </w:rPr>
        <w:t xml:space="preserve">Ljubljana - </w:t>
      </w:r>
      <w:r w:rsidRPr="001D1FEB">
        <w:rPr>
          <w:rFonts w:eastAsia="Times New Roman" w:cs="Arial"/>
          <w:color w:val="000000"/>
          <w:lang w:eastAsia="bg-BG"/>
        </w:rPr>
        <w:t xml:space="preserve">Črnuče </w:t>
      </w:r>
    </w:p>
    <w:p w14:paraId="205619AC" w14:textId="758DF26C" w:rsidR="001D1FEB" w:rsidRPr="001D1FEB" w:rsidRDefault="001D1FEB" w:rsidP="001D1FEB">
      <w:pPr>
        <w:spacing w:line="240" w:lineRule="auto"/>
        <w:rPr>
          <w:rFonts w:eastAsia="Times New Roman" w:cs="Arial"/>
          <w:sz w:val="24"/>
          <w:szCs w:val="24"/>
          <w:lang w:eastAsia="bg-BG"/>
        </w:rPr>
      </w:pPr>
      <w:r w:rsidRPr="001D1FEB">
        <w:rPr>
          <w:rFonts w:eastAsia="Times New Roman" w:cs="Arial"/>
          <w:color w:val="000000"/>
          <w:lang w:eastAsia="bg-BG"/>
        </w:rPr>
        <w:t>Словения</w:t>
      </w:r>
    </w:p>
    <w:p w14:paraId="2223A524" w14:textId="77777777" w:rsidR="001D1FEB" w:rsidRPr="001D1FEB" w:rsidRDefault="001D1FEB" w:rsidP="001D1FEB">
      <w:pPr>
        <w:spacing w:line="240" w:lineRule="auto"/>
        <w:rPr>
          <w:rFonts w:eastAsia="Times New Roman" w:cs="Arial"/>
          <w:sz w:val="24"/>
          <w:szCs w:val="24"/>
          <w:lang w:eastAsia="bg-BG"/>
        </w:rPr>
      </w:pPr>
      <w:r w:rsidRPr="001D1FEB">
        <w:rPr>
          <w:rFonts w:eastAsia="Times New Roman" w:cs="Arial"/>
          <w:color w:val="000000"/>
          <w:lang w:eastAsia="bg-BG"/>
        </w:rPr>
        <w:t xml:space="preserve">Тел. </w:t>
      </w:r>
      <w:r w:rsidRPr="001D1FEB">
        <w:rPr>
          <w:rFonts w:eastAsia="Times New Roman" w:cs="Arial"/>
          <w:color w:val="000000"/>
          <w:lang w:val="en-US"/>
        </w:rPr>
        <w:t>+386 1 300 42 90</w:t>
      </w:r>
    </w:p>
    <w:p w14:paraId="4C831EC2" w14:textId="77777777" w:rsidR="001D1FEB" w:rsidRPr="001D1FEB" w:rsidRDefault="001D1FEB" w:rsidP="001D1FEB">
      <w:pPr>
        <w:spacing w:line="240" w:lineRule="auto"/>
        <w:rPr>
          <w:rFonts w:eastAsia="Times New Roman" w:cs="Arial"/>
          <w:sz w:val="24"/>
          <w:szCs w:val="24"/>
          <w:lang w:eastAsia="bg-BG"/>
        </w:rPr>
      </w:pPr>
      <w:r w:rsidRPr="001D1FEB">
        <w:rPr>
          <w:rFonts w:eastAsia="Times New Roman" w:cs="Arial"/>
          <w:color w:val="000000"/>
          <w:lang w:eastAsia="bg-BG"/>
        </w:rPr>
        <w:t>Факс: +386 1 300 42 91</w:t>
      </w:r>
    </w:p>
    <w:p w14:paraId="3FD825DB" w14:textId="5D3FD9A8" w:rsidR="0091385D" w:rsidRPr="001D1FEB" w:rsidRDefault="001D1FEB" w:rsidP="001D1FEB">
      <w:pPr>
        <w:rPr>
          <w:rFonts w:cs="Arial"/>
        </w:rPr>
      </w:pPr>
      <w:r w:rsidRPr="001D1FEB">
        <w:rPr>
          <w:rFonts w:eastAsia="Times New Roman" w:cs="Arial"/>
          <w:color w:val="000000"/>
          <w:lang w:eastAsia="bg-BG"/>
        </w:rPr>
        <w:t xml:space="preserve">Електронен адрес: </w:t>
      </w:r>
      <w:r w:rsidRPr="001D1FEB">
        <w:rPr>
          <w:rFonts w:eastAsia="Times New Roman" w:cs="Arial"/>
          <w:color w:val="000000"/>
          <w:lang w:val="en-US"/>
        </w:rPr>
        <w:t>in</w:t>
      </w:r>
      <w:hyperlink r:id="rId5" w:history="1">
        <w:r w:rsidRPr="001D1FEB">
          <w:rPr>
            <w:rFonts w:eastAsia="Times New Roman" w:cs="Arial"/>
            <w:color w:val="000000"/>
            <w:u w:val="single"/>
            <w:lang w:val="en-US"/>
          </w:rPr>
          <w:t>fo@alkaloid.si</w:t>
        </w:r>
      </w:hyperlink>
    </w:p>
    <w:p w14:paraId="129C7566" w14:textId="77777777" w:rsidR="0091385D" w:rsidRPr="0091385D" w:rsidRDefault="0091385D" w:rsidP="0091385D"/>
    <w:p w14:paraId="7BA1BA64" w14:textId="17509450" w:rsidR="00CF77F7" w:rsidRDefault="002C50EE" w:rsidP="004A448E">
      <w:pPr>
        <w:pStyle w:val="Heading1"/>
      </w:pPr>
      <w:r>
        <w:t>8. НОМЕР НА РАЗРЕШЕНИЕТО ЗА УПОТРЕБА</w:t>
      </w:r>
    </w:p>
    <w:p w14:paraId="095674C4" w14:textId="54CA436A" w:rsidR="0091385D" w:rsidRDefault="0091385D" w:rsidP="0091385D"/>
    <w:p w14:paraId="7D0B4DCC" w14:textId="77777777" w:rsidR="001D1FEB" w:rsidRPr="001D1FEB" w:rsidRDefault="001D1FEB" w:rsidP="001D1FEB">
      <w:pPr>
        <w:spacing w:line="240" w:lineRule="auto"/>
        <w:rPr>
          <w:rFonts w:eastAsia="Times New Roman" w:cs="Arial"/>
          <w:sz w:val="24"/>
          <w:szCs w:val="24"/>
          <w:lang w:eastAsia="bg-BG"/>
        </w:rPr>
      </w:pPr>
      <w:r w:rsidRPr="001D1FEB">
        <w:rPr>
          <w:rFonts w:eastAsia="Times New Roman" w:cs="Arial"/>
          <w:color w:val="000000"/>
          <w:lang w:eastAsia="bg-BG"/>
        </w:rPr>
        <w:t xml:space="preserve">50 </w:t>
      </w:r>
      <w:r w:rsidRPr="001D1FEB">
        <w:rPr>
          <w:rFonts w:eastAsia="Times New Roman" w:cs="Arial"/>
          <w:color w:val="000000"/>
          <w:lang w:val="en-US"/>
        </w:rPr>
        <w:t xml:space="preserve">mg: </w:t>
      </w:r>
      <w:proofErr w:type="spellStart"/>
      <w:r w:rsidRPr="001D1FEB">
        <w:rPr>
          <w:rFonts w:eastAsia="Times New Roman" w:cs="Arial"/>
          <w:color w:val="000000"/>
          <w:lang w:val="en-US"/>
        </w:rPr>
        <w:t>Pe</w:t>
      </w:r>
      <w:proofErr w:type="spellEnd"/>
      <w:r w:rsidRPr="001D1FEB">
        <w:rPr>
          <w:rFonts w:eastAsia="Times New Roman" w:cs="Arial"/>
          <w:color w:val="000000"/>
          <w:lang w:eastAsia="bg-BG"/>
        </w:rPr>
        <w:t>г</w:t>
      </w:r>
      <w:r w:rsidRPr="001D1FEB">
        <w:rPr>
          <w:rFonts w:eastAsia="Times New Roman" w:cs="Arial"/>
          <w:color w:val="000000"/>
          <w:lang w:val="en-US"/>
        </w:rPr>
        <w:t xml:space="preserve">. </w:t>
      </w:r>
      <w:r w:rsidRPr="001D1FEB">
        <w:rPr>
          <w:rFonts w:eastAsia="Times New Roman" w:cs="Arial"/>
          <w:color w:val="000000"/>
          <w:lang w:eastAsia="bg-BG"/>
        </w:rPr>
        <w:t>№20100679</w:t>
      </w:r>
    </w:p>
    <w:p w14:paraId="6E892CE5" w14:textId="35B4786E" w:rsidR="0091385D" w:rsidRPr="001D1FEB" w:rsidRDefault="001D1FEB" w:rsidP="001D1FEB">
      <w:pPr>
        <w:rPr>
          <w:rFonts w:cs="Arial"/>
        </w:rPr>
      </w:pPr>
      <w:r w:rsidRPr="001D1FEB">
        <w:rPr>
          <w:rFonts w:eastAsia="Times New Roman" w:cs="Arial"/>
          <w:color w:val="000000"/>
          <w:lang w:eastAsia="bg-BG"/>
        </w:rPr>
        <w:t xml:space="preserve">100 </w:t>
      </w:r>
      <w:r w:rsidRPr="001D1FEB">
        <w:rPr>
          <w:rFonts w:eastAsia="Times New Roman" w:cs="Arial"/>
          <w:color w:val="000000"/>
          <w:lang w:val="en-US"/>
        </w:rPr>
        <w:t xml:space="preserve">mg: Per. </w:t>
      </w:r>
      <w:r w:rsidRPr="001D1FEB">
        <w:rPr>
          <w:rFonts w:eastAsia="Times New Roman" w:cs="Arial"/>
          <w:color w:val="000000"/>
          <w:lang w:eastAsia="bg-BG"/>
        </w:rPr>
        <w:t>№ 20100680</w:t>
      </w:r>
    </w:p>
    <w:p w14:paraId="62EF7F8B" w14:textId="77777777" w:rsidR="0091385D" w:rsidRPr="0091385D" w:rsidRDefault="0091385D" w:rsidP="0091385D"/>
    <w:p w14:paraId="2CCB5832" w14:textId="18FCD95B" w:rsidR="007C605B" w:rsidRDefault="002C50EE" w:rsidP="007C605B">
      <w:pPr>
        <w:pStyle w:val="Heading1"/>
      </w:pPr>
      <w:r>
        <w:t>9. ДАТА НА ПЪРВО РАЗРЕШАВАНЕ/ПОДНОВЯВАНЕ НА РАЗРЕШЕНИЕТО ЗА УПОТРЕБА</w:t>
      </w:r>
    </w:p>
    <w:p w14:paraId="372B3414" w14:textId="0F79A9B4" w:rsidR="0091385D" w:rsidRDefault="0091385D" w:rsidP="0091385D"/>
    <w:p w14:paraId="2076D6E6" w14:textId="77777777" w:rsidR="001D1FEB" w:rsidRPr="001D1FEB" w:rsidRDefault="001D1FEB" w:rsidP="001D1FEB">
      <w:pPr>
        <w:spacing w:line="240" w:lineRule="auto"/>
        <w:rPr>
          <w:rFonts w:eastAsia="Times New Roman" w:cs="Arial"/>
          <w:sz w:val="24"/>
          <w:szCs w:val="24"/>
          <w:lang w:eastAsia="bg-BG"/>
        </w:rPr>
      </w:pPr>
      <w:r w:rsidRPr="001D1FEB">
        <w:rPr>
          <w:rFonts w:eastAsia="Times New Roman" w:cs="Arial"/>
          <w:color w:val="000000"/>
          <w:lang w:eastAsia="bg-BG"/>
        </w:rPr>
        <w:t>Дата на първо разрешаване: 22.10.2010</w:t>
      </w:r>
    </w:p>
    <w:p w14:paraId="497007FA" w14:textId="0A1EF22D" w:rsidR="0091385D" w:rsidRPr="001D1FEB" w:rsidRDefault="001D1FEB" w:rsidP="001D1FEB">
      <w:pPr>
        <w:rPr>
          <w:rFonts w:cs="Arial"/>
        </w:rPr>
      </w:pPr>
      <w:r w:rsidRPr="001D1FEB">
        <w:rPr>
          <w:rFonts w:eastAsia="Times New Roman" w:cs="Arial"/>
          <w:color w:val="000000"/>
          <w:lang w:eastAsia="bg-BG"/>
        </w:rPr>
        <w:lastRenderedPageBreak/>
        <w:t>Дата на последно подновяване: 17.10.2014</w:t>
      </w:r>
    </w:p>
    <w:p w14:paraId="0A56E09D" w14:textId="77777777" w:rsidR="0091385D" w:rsidRPr="0091385D" w:rsidRDefault="0091385D" w:rsidP="0091385D"/>
    <w:p w14:paraId="0E9D0119" w14:textId="1FEC128A" w:rsidR="002C50EE" w:rsidRDefault="002C50EE" w:rsidP="002C50EE">
      <w:pPr>
        <w:pStyle w:val="Heading1"/>
      </w:pPr>
      <w:r>
        <w:t>10. ДАТА НА АКТУАЛИЗИРАНЕ НА ТЕКСТА</w:t>
      </w:r>
    </w:p>
    <w:p w14:paraId="3E8FFCC4" w14:textId="34E0D3BB" w:rsidR="0091385D" w:rsidRDefault="0091385D" w:rsidP="0091385D"/>
    <w:p w14:paraId="30276F52" w14:textId="2D126137" w:rsidR="0091385D" w:rsidRPr="001D1FEB" w:rsidRDefault="001D1FEB" w:rsidP="0091385D">
      <w:pPr>
        <w:rPr>
          <w:rFonts w:cs="Arial"/>
        </w:rPr>
      </w:pPr>
      <w:r w:rsidRPr="001D1FEB">
        <w:rPr>
          <w:rFonts w:cs="Arial"/>
        </w:rPr>
        <w:t>02/2021</w:t>
      </w:r>
    </w:p>
    <w:p w14:paraId="6B00148E" w14:textId="77777777" w:rsidR="0091385D" w:rsidRPr="0091385D" w:rsidRDefault="0091385D" w:rsidP="0091385D"/>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A02CE"/>
    <w:multiLevelType w:val="hybridMultilevel"/>
    <w:tmpl w:val="7CB48B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917AF7"/>
    <w:multiLevelType w:val="hybridMultilevel"/>
    <w:tmpl w:val="63BA561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A351CC"/>
    <w:multiLevelType w:val="hybridMultilevel"/>
    <w:tmpl w:val="DF0ED24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9"/>
  </w:num>
  <w:num w:numId="2">
    <w:abstractNumId w:val="0"/>
  </w:num>
  <w:num w:numId="3">
    <w:abstractNumId w:val="14"/>
  </w:num>
  <w:num w:numId="4">
    <w:abstractNumId w:val="3"/>
  </w:num>
  <w:num w:numId="5">
    <w:abstractNumId w:val="1"/>
  </w:num>
  <w:num w:numId="6">
    <w:abstractNumId w:val="17"/>
  </w:num>
  <w:num w:numId="7">
    <w:abstractNumId w:val="12"/>
  </w:num>
  <w:num w:numId="8">
    <w:abstractNumId w:val="16"/>
  </w:num>
  <w:num w:numId="9">
    <w:abstractNumId w:val="2"/>
  </w:num>
  <w:num w:numId="10">
    <w:abstractNumId w:val="4"/>
  </w:num>
  <w:num w:numId="11">
    <w:abstractNumId w:val="32"/>
  </w:num>
  <w:num w:numId="12">
    <w:abstractNumId w:val="15"/>
  </w:num>
  <w:num w:numId="13">
    <w:abstractNumId w:val="20"/>
  </w:num>
  <w:num w:numId="14">
    <w:abstractNumId w:val="13"/>
  </w:num>
  <w:num w:numId="15">
    <w:abstractNumId w:val="31"/>
  </w:num>
  <w:num w:numId="16">
    <w:abstractNumId w:val="11"/>
  </w:num>
  <w:num w:numId="17">
    <w:abstractNumId w:val="26"/>
  </w:num>
  <w:num w:numId="18">
    <w:abstractNumId w:val="8"/>
  </w:num>
  <w:num w:numId="19">
    <w:abstractNumId w:val="28"/>
  </w:num>
  <w:num w:numId="20">
    <w:abstractNumId w:val="25"/>
  </w:num>
  <w:num w:numId="21">
    <w:abstractNumId w:val="18"/>
  </w:num>
  <w:num w:numId="22">
    <w:abstractNumId w:val="27"/>
  </w:num>
  <w:num w:numId="23">
    <w:abstractNumId w:val="19"/>
  </w:num>
  <w:num w:numId="24">
    <w:abstractNumId w:val="9"/>
  </w:num>
  <w:num w:numId="25">
    <w:abstractNumId w:val="24"/>
  </w:num>
  <w:num w:numId="26">
    <w:abstractNumId w:val="23"/>
  </w:num>
  <w:num w:numId="27">
    <w:abstractNumId w:val="33"/>
  </w:num>
  <w:num w:numId="28">
    <w:abstractNumId w:val="7"/>
  </w:num>
  <w:num w:numId="29">
    <w:abstractNumId w:val="22"/>
  </w:num>
  <w:num w:numId="30">
    <w:abstractNumId w:val="36"/>
  </w:num>
  <w:num w:numId="31">
    <w:abstractNumId w:val="5"/>
  </w:num>
  <w:num w:numId="32">
    <w:abstractNumId w:val="35"/>
  </w:num>
  <w:num w:numId="33">
    <w:abstractNumId w:val="30"/>
  </w:num>
  <w:num w:numId="34">
    <w:abstractNumId w:val="34"/>
  </w:num>
  <w:num w:numId="35">
    <w:abstractNumId w:val="21"/>
  </w:num>
  <w:num w:numId="36">
    <w:abstractNumId w:val="10"/>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927C9"/>
    <w:rsid w:val="001D1B23"/>
    <w:rsid w:val="001D1FEB"/>
    <w:rsid w:val="002B3C38"/>
    <w:rsid w:val="002B4DBB"/>
    <w:rsid w:val="002C50EE"/>
    <w:rsid w:val="00324ADA"/>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5649D"/>
    <w:rsid w:val="007C605B"/>
    <w:rsid w:val="008134C8"/>
    <w:rsid w:val="00814073"/>
    <w:rsid w:val="00826F0D"/>
    <w:rsid w:val="00893B92"/>
    <w:rsid w:val="008A6AF2"/>
    <w:rsid w:val="008C70A2"/>
    <w:rsid w:val="008F1AF3"/>
    <w:rsid w:val="0091385D"/>
    <w:rsid w:val="009773E4"/>
    <w:rsid w:val="009B171C"/>
    <w:rsid w:val="009F1313"/>
    <w:rsid w:val="00A20351"/>
    <w:rsid w:val="00A65A81"/>
    <w:rsid w:val="00A73575"/>
    <w:rsid w:val="00AA23EC"/>
    <w:rsid w:val="00AC63CE"/>
    <w:rsid w:val="00AE2107"/>
    <w:rsid w:val="00B275A8"/>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57DDA"/>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fo@alkaloid.s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7763</Words>
  <Characters>44252</Characters>
  <Application>Microsoft Office Word</Application>
  <DocSecurity>0</DocSecurity>
  <Lines>368</Lines>
  <Paragraphs>103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2022-10-05T15:16:00Z</dcterms:created>
  <dcterms:modified xsi:type="dcterms:W3CDTF">2022-10-05T15:16:00Z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