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141852C5" w:rsidR="00C40420" w:rsidRDefault="00DD466D" w:rsidP="004A448E">
      <w:pPr>
        <w:pStyle w:val="Heading1"/>
      </w:pPr>
      <w:r>
        <w:t>1.ИМЕ НА ЛЕКАРСТВЕНИЯ ПРОДУКТ</w:t>
      </w:r>
    </w:p>
    <w:p w14:paraId="042BFDF4" w14:textId="26BA25D5" w:rsidR="00991331" w:rsidRDefault="00991331" w:rsidP="00991331"/>
    <w:p w14:paraId="0DE36FBF" w14:textId="77777777" w:rsidR="00991331" w:rsidRPr="00991331" w:rsidRDefault="00991331" w:rsidP="00991331">
      <w:pPr>
        <w:rPr>
          <w:sz w:val="24"/>
          <w:szCs w:val="24"/>
        </w:rPr>
      </w:pPr>
      <w:r w:rsidRPr="00991331">
        <w:rPr>
          <w:lang w:eastAsia="bg-BG"/>
        </w:rPr>
        <w:t xml:space="preserve">Лозап 50 </w:t>
      </w:r>
      <w:r w:rsidRPr="00991331">
        <w:rPr>
          <w:lang w:val="en-US"/>
        </w:rPr>
        <w:t>mg</w:t>
      </w:r>
      <w:r w:rsidRPr="00991331">
        <w:t xml:space="preserve"> </w:t>
      </w:r>
      <w:r w:rsidRPr="00991331">
        <w:rPr>
          <w:lang w:eastAsia="bg-BG"/>
        </w:rPr>
        <w:t>филмирани таблетки</w:t>
      </w:r>
    </w:p>
    <w:p w14:paraId="4E4A1E26" w14:textId="6942AFAD" w:rsidR="00991331" w:rsidRPr="00991331" w:rsidRDefault="00991331" w:rsidP="00991331">
      <w:proofErr w:type="spellStart"/>
      <w:r w:rsidRPr="00991331">
        <w:rPr>
          <w:lang w:val="en-US"/>
        </w:rPr>
        <w:t>Lozap</w:t>
      </w:r>
      <w:proofErr w:type="spellEnd"/>
      <w:r w:rsidRPr="00991331">
        <w:t xml:space="preserve"> </w:t>
      </w:r>
      <w:r w:rsidRPr="00991331">
        <w:rPr>
          <w:lang w:eastAsia="bg-BG"/>
        </w:rPr>
        <w:t xml:space="preserve">50 </w:t>
      </w:r>
      <w:r w:rsidRPr="00991331">
        <w:rPr>
          <w:lang w:val="en-US"/>
        </w:rPr>
        <w:t>mg</w:t>
      </w:r>
      <w:r w:rsidRPr="00991331">
        <w:t xml:space="preserve"> </w:t>
      </w:r>
      <w:r w:rsidRPr="00991331">
        <w:rPr>
          <w:lang w:val="en-US"/>
        </w:rPr>
        <w:t>film</w:t>
      </w:r>
      <w:r w:rsidRPr="00991331">
        <w:t>-</w:t>
      </w:r>
      <w:r w:rsidRPr="00991331">
        <w:rPr>
          <w:lang w:val="en-US"/>
        </w:rPr>
        <w:t>coated</w:t>
      </w:r>
      <w:r w:rsidRPr="00991331">
        <w:t xml:space="preserve"> </w:t>
      </w:r>
      <w:r w:rsidRPr="00991331">
        <w:rPr>
          <w:lang w:val="en-US"/>
        </w:rPr>
        <w:t>tablets</w:t>
      </w:r>
    </w:p>
    <w:p w14:paraId="6920A680" w14:textId="3E5A7004" w:rsidR="00C40420" w:rsidRDefault="00DD466D" w:rsidP="004A448E">
      <w:pPr>
        <w:pStyle w:val="Heading1"/>
      </w:pPr>
      <w:r>
        <w:t>2. КАЧЕСТВЕН И КОЛИЧЕСТВЕН СЪСТАВ</w:t>
      </w:r>
    </w:p>
    <w:p w14:paraId="2E882012" w14:textId="37432B7B" w:rsidR="00991331" w:rsidRDefault="00991331" w:rsidP="00991331"/>
    <w:p w14:paraId="2B755145"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Лозап 50 </w:t>
      </w:r>
      <w:r w:rsidRPr="00991331">
        <w:rPr>
          <w:rFonts w:eastAsia="Times New Roman" w:cs="Arial"/>
          <w:color w:val="000000"/>
          <w:lang w:val="en-US"/>
        </w:rPr>
        <w:t>mg</w:t>
      </w:r>
      <w:r w:rsidRPr="00991331">
        <w:rPr>
          <w:rFonts w:eastAsia="Times New Roman" w:cs="Arial"/>
          <w:color w:val="000000"/>
        </w:rPr>
        <w:t xml:space="preserve"> </w:t>
      </w:r>
      <w:r w:rsidRPr="00991331">
        <w:rPr>
          <w:rFonts w:eastAsia="Times New Roman" w:cs="Arial"/>
          <w:color w:val="000000"/>
          <w:lang w:eastAsia="bg-BG"/>
        </w:rPr>
        <w:t>филмирани таблетки:</w:t>
      </w:r>
    </w:p>
    <w:p w14:paraId="4EBBA134"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Всяка филмирана таблетка Лозап 50 </w:t>
      </w:r>
      <w:r w:rsidRPr="00991331">
        <w:rPr>
          <w:rFonts w:eastAsia="Times New Roman" w:cs="Arial"/>
          <w:color w:val="000000"/>
          <w:lang w:val="en-US"/>
        </w:rPr>
        <w:t>mg</w:t>
      </w:r>
      <w:r w:rsidRPr="00991331">
        <w:rPr>
          <w:rFonts w:eastAsia="Times New Roman" w:cs="Arial"/>
          <w:color w:val="000000"/>
        </w:rPr>
        <w:t xml:space="preserve"> </w:t>
      </w:r>
      <w:r w:rsidRPr="00991331">
        <w:rPr>
          <w:rFonts w:eastAsia="Times New Roman" w:cs="Arial"/>
          <w:color w:val="000000"/>
          <w:lang w:eastAsia="bg-BG"/>
        </w:rPr>
        <w:t xml:space="preserve">съдържа 50 </w:t>
      </w:r>
      <w:r w:rsidRPr="00991331">
        <w:rPr>
          <w:rFonts w:eastAsia="Times New Roman" w:cs="Arial"/>
          <w:color w:val="000000"/>
          <w:lang w:val="en-US"/>
        </w:rPr>
        <w:t>mg</w:t>
      </w:r>
      <w:r w:rsidRPr="00991331">
        <w:rPr>
          <w:rFonts w:eastAsia="Times New Roman" w:cs="Arial"/>
          <w:color w:val="000000"/>
        </w:rPr>
        <w:t xml:space="preserve"> </w:t>
      </w:r>
      <w:r w:rsidRPr="00991331">
        <w:rPr>
          <w:rFonts w:eastAsia="Times New Roman" w:cs="Arial"/>
          <w:color w:val="000000"/>
          <w:lang w:eastAsia="bg-BG"/>
        </w:rPr>
        <w:t xml:space="preserve">лосартан калий </w:t>
      </w:r>
      <w:r w:rsidRPr="00991331">
        <w:rPr>
          <w:rFonts w:eastAsia="Times New Roman" w:cs="Arial"/>
          <w:i/>
          <w:iCs/>
          <w:color w:val="000000"/>
        </w:rPr>
        <w:t>(</w:t>
      </w:r>
      <w:r w:rsidRPr="00991331">
        <w:rPr>
          <w:rFonts w:eastAsia="Times New Roman" w:cs="Arial"/>
          <w:i/>
          <w:iCs/>
          <w:color w:val="000000"/>
          <w:lang w:val="en-US"/>
        </w:rPr>
        <w:t>losartan</w:t>
      </w:r>
      <w:r w:rsidRPr="00991331">
        <w:rPr>
          <w:rFonts w:eastAsia="Times New Roman" w:cs="Arial"/>
          <w:i/>
          <w:iCs/>
          <w:color w:val="000000"/>
        </w:rPr>
        <w:t xml:space="preserve"> </w:t>
      </w:r>
      <w:r w:rsidRPr="00991331">
        <w:rPr>
          <w:rFonts w:eastAsia="Times New Roman" w:cs="Arial"/>
          <w:i/>
          <w:iCs/>
          <w:color w:val="000000"/>
          <w:lang w:val="en-US"/>
        </w:rPr>
        <w:t>potassium</w:t>
      </w:r>
      <w:r w:rsidRPr="00991331">
        <w:rPr>
          <w:rFonts w:eastAsia="Times New Roman" w:cs="Arial"/>
          <w:i/>
          <w:iCs/>
          <w:color w:val="000000"/>
        </w:rPr>
        <w:t>).</w:t>
      </w:r>
    </w:p>
    <w:p w14:paraId="0A8A5A0F" w14:textId="77777777" w:rsidR="00991331" w:rsidRPr="00991331" w:rsidRDefault="00991331" w:rsidP="00991331">
      <w:pPr>
        <w:spacing w:line="240" w:lineRule="auto"/>
        <w:rPr>
          <w:rFonts w:eastAsia="Times New Roman" w:cs="Arial"/>
          <w:color w:val="000000"/>
          <w:u w:val="single"/>
          <w:lang w:eastAsia="bg-BG"/>
        </w:rPr>
      </w:pPr>
    </w:p>
    <w:p w14:paraId="0F241944" w14:textId="76EA0337" w:rsidR="00991331" w:rsidRPr="00991331" w:rsidRDefault="00991331" w:rsidP="00991331">
      <w:pPr>
        <w:spacing w:line="240" w:lineRule="auto"/>
        <w:rPr>
          <w:rFonts w:eastAsia="Times New Roman" w:cs="Arial"/>
          <w:sz w:val="24"/>
          <w:szCs w:val="24"/>
        </w:rPr>
      </w:pPr>
      <w:r w:rsidRPr="00991331">
        <w:rPr>
          <w:rFonts w:eastAsia="Times New Roman" w:cs="Arial"/>
          <w:color w:val="000000"/>
          <w:u w:val="single"/>
          <w:lang w:eastAsia="bg-BG"/>
        </w:rPr>
        <w:t>Помощни вещества с известно действие</w:t>
      </w:r>
      <w:r w:rsidRPr="00991331">
        <w:rPr>
          <w:rFonts w:eastAsia="Times New Roman" w:cs="Arial"/>
          <w:color w:val="000000"/>
          <w:lang w:eastAsia="bg-BG"/>
        </w:rPr>
        <w:t>:</w:t>
      </w:r>
    </w:p>
    <w:p w14:paraId="26E7D877" w14:textId="77777777" w:rsidR="00991331" w:rsidRPr="00991331" w:rsidRDefault="00991331" w:rsidP="00991331"/>
    <w:p w14:paraId="614984C4" w14:textId="49712637" w:rsidR="008A6AF2" w:rsidRDefault="00DD466D" w:rsidP="002C50EE">
      <w:pPr>
        <w:pStyle w:val="Heading1"/>
      </w:pPr>
      <w:r>
        <w:t>3. ЛЕКАРСТВЕНА ФОРМА</w:t>
      </w:r>
    </w:p>
    <w:p w14:paraId="14D3F449" w14:textId="224F4201" w:rsidR="00991331" w:rsidRDefault="00991331" w:rsidP="00991331"/>
    <w:p w14:paraId="683DF13F"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Филмирана таблетка.</w:t>
      </w:r>
    </w:p>
    <w:p w14:paraId="6D670384" w14:textId="77777777" w:rsidR="00991331" w:rsidRPr="00991331" w:rsidRDefault="00991331" w:rsidP="00991331">
      <w:pPr>
        <w:spacing w:line="240" w:lineRule="auto"/>
        <w:rPr>
          <w:rFonts w:eastAsia="Times New Roman" w:cs="Arial"/>
          <w:color w:val="000000"/>
          <w:lang w:eastAsia="bg-BG"/>
        </w:rPr>
      </w:pPr>
    </w:p>
    <w:p w14:paraId="2B5CED28" w14:textId="0DDCDF16"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Описание на продукта:</w:t>
      </w:r>
    </w:p>
    <w:p w14:paraId="6D165C39" w14:textId="77777777" w:rsidR="00991331" w:rsidRPr="00991331" w:rsidRDefault="00991331" w:rsidP="00991331">
      <w:pPr>
        <w:spacing w:line="240" w:lineRule="auto"/>
        <w:rPr>
          <w:rFonts w:eastAsia="Times New Roman" w:cs="Arial"/>
          <w:color w:val="000000"/>
          <w:lang w:eastAsia="bg-BG"/>
        </w:rPr>
      </w:pPr>
    </w:p>
    <w:p w14:paraId="2702E742" w14:textId="356E8CA5"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Лозап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филмирани таблетки: бели или почти бели, овални, биконвексни филмирани таблетки с делителна черта от двете страни, с размери 11,0 х 5,5 </w:t>
      </w:r>
      <w:r w:rsidRPr="00991331">
        <w:rPr>
          <w:rFonts w:eastAsia="Times New Roman" w:cs="Arial"/>
          <w:color w:val="000000"/>
          <w:lang w:val="en-US"/>
        </w:rPr>
        <w:t>mm</w:t>
      </w:r>
      <w:r w:rsidRPr="00991331">
        <w:rPr>
          <w:rFonts w:eastAsia="Times New Roman" w:cs="Arial"/>
          <w:color w:val="000000"/>
          <w:lang w:val="ru-RU"/>
        </w:rPr>
        <w:t xml:space="preserve">. </w:t>
      </w:r>
      <w:r w:rsidRPr="00991331">
        <w:rPr>
          <w:rFonts w:eastAsia="Times New Roman" w:cs="Arial"/>
          <w:color w:val="000000"/>
          <w:lang w:eastAsia="bg-BG"/>
        </w:rPr>
        <w:t>Таблетката може да бъде разделена на две равни дози.</w:t>
      </w:r>
    </w:p>
    <w:p w14:paraId="55A3DDA7" w14:textId="77777777" w:rsidR="00991331" w:rsidRPr="00991331" w:rsidRDefault="00991331" w:rsidP="00991331"/>
    <w:p w14:paraId="490FC2C4" w14:textId="32682B15" w:rsidR="002C50EE" w:rsidRDefault="002C50EE" w:rsidP="002C50EE">
      <w:pPr>
        <w:pStyle w:val="Heading1"/>
      </w:pPr>
      <w:r>
        <w:t>4. КЛИНИЧНИ ДАННИ</w:t>
      </w:r>
    </w:p>
    <w:p w14:paraId="0C8E6903" w14:textId="4A326AC8" w:rsidR="008134C8" w:rsidRDefault="002C50EE" w:rsidP="004A448E">
      <w:pPr>
        <w:pStyle w:val="Heading2"/>
      </w:pPr>
      <w:r>
        <w:t>4.1. Терапевтични показания</w:t>
      </w:r>
    </w:p>
    <w:p w14:paraId="0B3761FC" w14:textId="66B6C687" w:rsidR="00991331" w:rsidRDefault="00991331" w:rsidP="00991331"/>
    <w:p w14:paraId="7056525B" w14:textId="77777777" w:rsidR="00991331" w:rsidRDefault="00991331" w:rsidP="00991331">
      <w:pPr>
        <w:pStyle w:val="ListParagraph"/>
        <w:numPr>
          <w:ilvl w:val="0"/>
          <w:numId w:val="35"/>
        </w:numPr>
        <w:rPr>
          <w:lang w:eastAsia="bg-BG"/>
        </w:rPr>
      </w:pPr>
      <w:r w:rsidRPr="00991331">
        <w:rPr>
          <w:lang w:eastAsia="bg-BG"/>
        </w:rPr>
        <w:t>Лечение на есенциална хипертония при възрастни и при деца и юноши на възраст 6-18 години</w:t>
      </w:r>
    </w:p>
    <w:p w14:paraId="405DE5DB" w14:textId="1D7CBFAA" w:rsidR="00991331" w:rsidRDefault="00991331" w:rsidP="00991331">
      <w:pPr>
        <w:pStyle w:val="ListParagraph"/>
        <w:numPr>
          <w:ilvl w:val="0"/>
          <w:numId w:val="35"/>
        </w:numPr>
        <w:rPr>
          <w:lang w:eastAsia="bg-BG"/>
        </w:rPr>
      </w:pPr>
      <w:r w:rsidRPr="00991331">
        <w:rPr>
          <w:lang w:eastAsia="bg-BG"/>
        </w:rPr>
        <w:t>Лечение на бъбречно заболяване при възрастни пациенти с хипертония и захарен диабет тип 2 с</w:t>
      </w:r>
      <w:r w:rsidRPr="00991331">
        <w:rPr>
          <w:lang w:val="ru-RU" w:eastAsia="bg-BG"/>
        </w:rPr>
        <w:t xml:space="preserve"> </w:t>
      </w:r>
      <w:r w:rsidRPr="00991331">
        <w:rPr>
          <w:lang w:eastAsia="bg-BG"/>
        </w:rPr>
        <w:t xml:space="preserve">протеинурия ≥0,5 </w:t>
      </w:r>
      <w:r w:rsidRPr="00991331">
        <w:rPr>
          <w:lang w:val="en-US"/>
        </w:rPr>
        <w:t>g</w:t>
      </w:r>
      <w:r w:rsidRPr="00991331">
        <w:rPr>
          <w:lang w:eastAsia="bg-BG"/>
        </w:rPr>
        <w:t>/ден като част от антихипертензивно лечение.</w:t>
      </w:r>
    </w:p>
    <w:p w14:paraId="5B18436A" w14:textId="77777777" w:rsidR="00991331" w:rsidRDefault="00991331" w:rsidP="00991331">
      <w:pPr>
        <w:pStyle w:val="ListParagraph"/>
        <w:numPr>
          <w:ilvl w:val="0"/>
          <w:numId w:val="35"/>
        </w:numPr>
        <w:rPr>
          <w:lang w:eastAsia="bg-BG"/>
        </w:rPr>
      </w:pPr>
      <w:r w:rsidRPr="00991331">
        <w:rPr>
          <w:lang w:eastAsia="bg-BG"/>
        </w:rPr>
        <w:t xml:space="preserve">Лечение на хронична сърдечна недостатъчност при възрастни пациенти, когато лечение с инхибитори на ангиотензин конвертиращия езим (АСЕ инхибитори) не се счита за подходящо поради непоносимост, </w:t>
      </w:r>
      <w:r w:rsidRPr="00991331">
        <w:rPr>
          <w:i/>
          <w:iCs/>
          <w:lang w:eastAsia="bg-BG"/>
        </w:rPr>
        <w:t>особено кашлица,</w:t>
      </w:r>
      <w:r w:rsidRPr="00991331">
        <w:rPr>
          <w:lang w:eastAsia="bg-BG"/>
        </w:rPr>
        <w:t xml:space="preserve"> или противопоказание. Пациенти със сърдечна недостатъчност, които са стабилизирани с АСЕ инхибитор, не трябва да преминават към лосартан. Пациентите трябва да имат левокамерна фракция на изтласкване ≤ 40 % и трябва да бъдат клинично стабилни и с установено лечение на хроничната сърдечна недостатъчност.</w:t>
      </w:r>
    </w:p>
    <w:p w14:paraId="3DF661EE" w14:textId="2645B407" w:rsidR="00991331" w:rsidRPr="00991331" w:rsidRDefault="00991331" w:rsidP="00991331">
      <w:pPr>
        <w:pStyle w:val="ListParagraph"/>
        <w:numPr>
          <w:ilvl w:val="0"/>
          <w:numId w:val="35"/>
        </w:numPr>
        <w:rPr>
          <w:lang w:eastAsia="bg-BG"/>
        </w:rPr>
      </w:pPr>
      <w:r w:rsidRPr="00991331">
        <w:rPr>
          <w:lang w:eastAsia="bg-BG"/>
        </w:rPr>
        <w:t xml:space="preserve">Намаление на риска от инсулт при възрастни пациенти с хипертония с левокамерна хипертрофия документирана с ЕКГ (вж. точка 5.1 Проучване </w:t>
      </w:r>
      <w:r w:rsidRPr="00991331">
        <w:rPr>
          <w:lang w:val="en-US"/>
        </w:rPr>
        <w:t>LIFE</w:t>
      </w:r>
      <w:r w:rsidRPr="00991331">
        <w:rPr>
          <w:lang w:val="ru-RU"/>
        </w:rPr>
        <w:t xml:space="preserve">, </w:t>
      </w:r>
      <w:r w:rsidRPr="00991331">
        <w:rPr>
          <w:lang w:eastAsia="bg-BG"/>
        </w:rPr>
        <w:t>раса).</w:t>
      </w:r>
    </w:p>
    <w:p w14:paraId="0CEB1BE9" w14:textId="77777777" w:rsidR="00991331" w:rsidRPr="00991331" w:rsidRDefault="00991331" w:rsidP="00991331"/>
    <w:p w14:paraId="30BE2C7B" w14:textId="55D19AA6" w:rsidR="008134C8" w:rsidRDefault="002C50EE" w:rsidP="004A448E">
      <w:pPr>
        <w:pStyle w:val="Heading2"/>
      </w:pPr>
      <w:r>
        <w:t>4.2. Дозировка и начин на приложение</w:t>
      </w:r>
    </w:p>
    <w:p w14:paraId="6526AD7E" w14:textId="17DA96CA" w:rsidR="00991331" w:rsidRDefault="00991331" w:rsidP="00991331"/>
    <w:p w14:paraId="088B3472" w14:textId="77777777" w:rsidR="00991331" w:rsidRPr="00991331" w:rsidRDefault="00991331" w:rsidP="00991331">
      <w:pPr>
        <w:pStyle w:val="Heading3"/>
        <w:rPr>
          <w:rFonts w:eastAsia="Times New Roman"/>
          <w:u w:val="single"/>
        </w:rPr>
      </w:pPr>
      <w:r w:rsidRPr="00991331">
        <w:rPr>
          <w:rFonts w:eastAsia="Times New Roman"/>
          <w:u w:val="single"/>
          <w:lang w:eastAsia="bg-BG"/>
        </w:rPr>
        <w:t>Дозировка</w:t>
      </w:r>
    </w:p>
    <w:p w14:paraId="6AD63CD8" w14:textId="77777777" w:rsidR="00991331" w:rsidRPr="00991331" w:rsidRDefault="00991331" w:rsidP="00991331">
      <w:pPr>
        <w:spacing w:line="240" w:lineRule="auto"/>
        <w:rPr>
          <w:rFonts w:eastAsia="Times New Roman" w:cs="Arial"/>
          <w:i/>
          <w:iCs/>
          <w:color w:val="000000"/>
          <w:lang w:eastAsia="bg-BG"/>
        </w:rPr>
      </w:pPr>
    </w:p>
    <w:p w14:paraId="5F67A745" w14:textId="6C5A9A16"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lang w:eastAsia="bg-BG"/>
        </w:rPr>
        <w:t>Хипертония</w:t>
      </w:r>
    </w:p>
    <w:p w14:paraId="2688E234" w14:textId="37E9183D" w:rsidR="00991331" w:rsidRPr="00991331" w:rsidRDefault="00991331" w:rsidP="00991331">
      <w:pPr>
        <w:spacing w:line="240" w:lineRule="auto"/>
        <w:rPr>
          <w:rFonts w:eastAsia="Times New Roman" w:cs="Arial"/>
          <w:color w:val="000000"/>
          <w:lang w:eastAsia="bg-BG"/>
        </w:rPr>
      </w:pPr>
      <w:r w:rsidRPr="00991331">
        <w:rPr>
          <w:rFonts w:eastAsia="Times New Roman" w:cs="Arial"/>
          <w:color w:val="000000"/>
          <w:lang w:eastAsia="bg-BG"/>
        </w:rPr>
        <w:t xml:space="preserve">Обичайната начална и поддържаща доза при повечето пациенти е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веднъж дневно Максималният антихипертензивен ефект се постига 3-6 седмици след започване на лечението. При някои пациенти може да има допълнително благоприятен ефект от повишаване на дозата до 500 </w:t>
      </w:r>
      <w:r w:rsidRPr="00991331">
        <w:rPr>
          <w:rFonts w:eastAsia="Times New Roman" w:cs="Arial"/>
          <w:color w:val="000000"/>
          <w:lang w:val="en-US"/>
        </w:rPr>
        <w:t>mg</w:t>
      </w:r>
      <w:r w:rsidRPr="00991331">
        <w:rPr>
          <w:rFonts w:eastAsia="Times New Roman" w:cs="Arial"/>
          <w:color w:val="000000"/>
          <w:lang w:eastAsia="bg-BG"/>
        </w:rPr>
        <w:t xml:space="preserve"> един път дневно (сутрин).</w:t>
      </w:r>
    </w:p>
    <w:p w14:paraId="0453BA0D" w14:textId="1B1528B1" w:rsidR="00991331" w:rsidRPr="00991331" w:rsidRDefault="00991331" w:rsidP="00991331">
      <w:pPr>
        <w:spacing w:line="240" w:lineRule="auto"/>
        <w:rPr>
          <w:rFonts w:eastAsia="Times New Roman" w:cs="Arial"/>
          <w:color w:val="000000"/>
          <w:lang w:eastAsia="bg-BG"/>
        </w:rPr>
      </w:pPr>
    </w:p>
    <w:p w14:paraId="6EE09683"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Лосартан може да се прилага с други антихипертензивни средства, особено с диуретици (напр. хидрохлоротиазид) (вижте точка 4.3, 4.4, 4.5 и 5.1).</w:t>
      </w:r>
    </w:p>
    <w:p w14:paraId="0ED0CBCC" w14:textId="77777777" w:rsidR="00991331" w:rsidRPr="00991331" w:rsidRDefault="00991331" w:rsidP="00991331">
      <w:pPr>
        <w:spacing w:line="240" w:lineRule="auto"/>
        <w:rPr>
          <w:rFonts w:eastAsia="Times New Roman" w:cs="Arial"/>
          <w:i/>
          <w:iCs/>
          <w:color w:val="000000"/>
          <w:u w:val="single"/>
          <w:lang w:eastAsia="bg-BG"/>
        </w:rPr>
      </w:pPr>
    </w:p>
    <w:p w14:paraId="38FB17B3" w14:textId="681BD53F"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 xml:space="preserve">Хипертензивни пациенти с диабет тип II с протеинурия. ≥0,5 </w:t>
      </w:r>
      <w:r w:rsidRPr="00991331">
        <w:rPr>
          <w:rFonts w:eastAsia="Times New Roman" w:cs="Arial"/>
          <w:i/>
          <w:iCs/>
          <w:color w:val="000000"/>
          <w:u w:val="single"/>
          <w:lang w:val="en-US"/>
        </w:rPr>
        <w:t>g</w:t>
      </w:r>
      <w:r w:rsidRPr="00991331">
        <w:rPr>
          <w:rFonts w:eastAsia="Times New Roman" w:cs="Arial"/>
          <w:i/>
          <w:iCs/>
          <w:color w:val="000000"/>
          <w:u w:val="single"/>
          <w:lang w:eastAsia="bg-BG"/>
        </w:rPr>
        <w:t>/ден</w:t>
      </w:r>
    </w:p>
    <w:p w14:paraId="13C90E77"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Обичайната начална доза е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един път дневно. Дозата може да се повиши до 100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един път дневно според повлияването на кръвното налягане след първия месец от започването на лечението. Лосартан може да се прилага с други антихипертензивни средства (напр. диуретици, блокери на калциевите канали, алфа- или бета-блокери и средства с централно действие) както, и с инсулин, и други често използвани хипогликемични средства (напр. сулфонилурейни продукти, глитазони и гликозидазни инхибитори).</w:t>
      </w:r>
    </w:p>
    <w:p w14:paraId="25F2BD1E" w14:textId="77777777" w:rsidR="00991331" w:rsidRPr="00991331" w:rsidRDefault="00991331" w:rsidP="00991331">
      <w:pPr>
        <w:spacing w:line="240" w:lineRule="auto"/>
        <w:rPr>
          <w:rFonts w:eastAsia="Times New Roman" w:cs="Arial"/>
          <w:i/>
          <w:iCs/>
          <w:color w:val="000000"/>
          <w:u w:val="single"/>
          <w:lang w:eastAsia="bg-BG"/>
        </w:rPr>
      </w:pPr>
    </w:p>
    <w:p w14:paraId="233C95F1" w14:textId="7B2718E3"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Сърдечна недостатъчност</w:t>
      </w:r>
    </w:p>
    <w:p w14:paraId="6651068E"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Обичайната начална доза лосартан при пациенти със сърдечна недостатъчност е 12,5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един път дневно*. Дозата обичайно трябва да се титрира през интервали от една седмица (т.е. 12,5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дневно, 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дневно,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дневно, 100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дневно, до максимална доза от 150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веднъж дневно) според поносимостта на пациента.</w:t>
      </w:r>
    </w:p>
    <w:p w14:paraId="4D7564C7"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val="ru-RU"/>
        </w:rPr>
        <w:t>*</w:t>
      </w:r>
      <w:proofErr w:type="spellStart"/>
      <w:r w:rsidRPr="00991331">
        <w:rPr>
          <w:rFonts w:eastAsia="Times New Roman" w:cs="Arial"/>
          <w:color w:val="000000"/>
          <w:lang w:val="en-US"/>
        </w:rPr>
        <w:t>Lozap</w:t>
      </w:r>
      <w:proofErr w:type="spellEnd"/>
      <w:r w:rsidRPr="00991331">
        <w:rPr>
          <w:rFonts w:eastAsia="Times New Roman" w:cs="Arial"/>
          <w:color w:val="000000"/>
          <w:lang w:val="ru-RU"/>
        </w:rPr>
        <w:t xml:space="preserve"> </w:t>
      </w:r>
      <w:r w:rsidRPr="00991331">
        <w:rPr>
          <w:rFonts w:eastAsia="Times New Roman" w:cs="Arial"/>
          <w:color w:val="000000"/>
          <w:lang w:eastAsia="bg-BG"/>
        </w:rPr>
        <w:t xml:space="preserve">12.5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не е наличен. Тъй като таблетките </w:t>
      </w:r>
      <w:proofErr w:type="spellStart"/>
      <w:r w:rsidRPr="00991331">
        <w:rPr>
          <w:rFonts w:eastAsia="Times New Roman" w:cs="Arial"/>
          <w:color w:val="000000"/>
          <w:lang w:val="en-US"/>
        </w:rPr>
        <w:t>Lozap</w:t>
      </w:r>
      <w:proofErr w:type="spellEnd"/>
      <w:r w:rsidRPr="00991331">
        <w:rPr>
          <w:rFonts w:eastAsia="Times New Roman" w:cs="Arial"/>
          <w:color w:val="000000"/>
          <w:lang w:val="ru-RU"/>
        </w:rPr>
        <w:t xml:space="preserve"> </w:t>
      </w:r>
      <w:r w:rsidRPr="00991331">
        <w:rPr>
          <w:rFonts w:eastAsia="Times New Roman" w:cs="Arial"/>
          <w:color w:val="000000"/>
          <w:lang w:eastAsia="bg-BG"/>
        </w:rPr>
        <w:t xml:space="preserve">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не са произведени, за да се разделят до части, осигуряващи доза от 12,5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последната не може да се получи при разчупването на таблетка </w:t>
      </w:r>
      <w:proofErr w:type="spellStart"/>
      <w:r w:rsidRPr="00991331">
        <w:rPr>
          <w:rFonts w:eastAsia="Times New Roman" w:cs="Arial"/>
          <w:color w:val="000000"/>
          <w:lang w:val="en-US"/>
        </w:rPr>
        <w:t>Lozap</w:t>
      </w:r>
      <w:proofErr w:type="spellEnd"/>
      <w:r w:rsidRPr="00991331">
        <w:rPr>
          <w:rFonts w:eastAsia="Times New Roman" w:cs="Arial"/>
          <w:color w:val="000000"/>
          <w:lang w:val="ru-RU"/>
        </w:rPr>
        <w:t xml:space="preserve"> </w:t>
      </w:r>
      <w:r w:rsidRPr="00991331">
        <w:rPr>
          <w:rFonts w:eastAsia="Times New Roman" w:cs="Arial"/>
          <w:color w:val="000000"/>
          <w:lang w:eastAsia="bg-BG"/>
        </w:rPr>
        <w:t xml:space="preserve">50 </w:t>
      </w:r>
      <w:r w:rsidRPr="00991331">
        <w:rPr>
          <w:rFonts w:eastAsia="Times New Roman" w:cs="Arial"/>
          <w:color w:val="000000"/>
          <w:lang w:val="en-US"/>
        </w:rPr>
        <w:t>mg</w:t>
      </w:r>
      <w:r w:rsidRPr="00991331">
        <w:rPr>
          <w:rFonts w:eastAsia="Times New Roman" w:cs="Arial"/>
          <w:color w:val="000000"/>
          <w:lang w:val="ru-RU"/>
        </w:rPr>
        <w:t>.</w:t>
      </w:r>
    </w:p>
    <w:p w14:paraId="06F3495B" w14:textId="77777777" w:rsidR="00991331" w:rsidRPr="00991331" w:rsidRDefault="00991331" w:rsidP="00991331">
      <w:pPr>
        <w:spacing w:line="240" w:lineRule="auto"/>
        <w:rPr>
          <w:rFonts w:eastAsia="Times New Roman" w:cs="Arial"/>
          <w:i/>
          <w:iCs/>
          <w:color w:val="000000"/>
          <w:u w:val="single"/>
          <w:lang w:eastAsia="bg-BG"/>
        </w:rPr>
      </w:pPr>
    </w:p>
    <w:p w14:paraId="2BA8156A" w14:textId="6C4DFD17"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Намаление на риска от инсулт при хипертензивни пациенти с левокамерна хипертрофия документирана с ЕКГ</w:t>
      </w:r>
    </w:p>
    <w:p w14:paraId="6A4A454B"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Обичайната начална доза е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лосартан един път дневно. Според повлияването на кръвното налягане би следвало да се добави ниска доза хидрохлоротиазид и/или дозата лосартан да се увеличи на 100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един път дневно.</w:t>
      </w:r>
    </w:p>
    <w:p w14:paraId="635A7FB8" w14:textId="77777777" w:rsidR="00991331" w:rsidRPr="00991331" w:rsidRDefault="00991331" w:rsidP="00991331">
      <w:pPr>
        <w:spacing w:line="240" w:lineRule="auto"/>
        <w:rPr>
          <w:rFonts w:eastAsia="Times New Roman" w:cs="Arial"/>
          <w:i/>
          <w:iCs/>
          <w:color w:val="000000"/>
          <w:lang w:eastAsia="bg-BG"/>
        </w:rPr>
      </w:pPr>
    </w:p>
    <w:p w14:paraId="3E513A85" w14:textId="3E51CE0C"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lang w:eastAsia="bg-BG"/>
        </w:rPr>
        <w:t>Специални популации</w:t>
      </w:r>
    </w:p>
    <w:p w14:paraId="0D8C28C8" w14:textId="77777777" w:rsidR="00991331" w:rsidRPr="00991331" w:rsidRDefault="00991331" w:rsidP="00991331">
      <w:pPr>
        <w:spacing w:line="240" w:lineRule="auto"/>
        <w:rPr>
          <w:rFonts w:eastAsia="Times New Roman" w:cs="Arial"/>
          <w:i/>
          <w:iCs/>
          <w:color w:val="000000"/>
          <w:u w:val="single"/>
          <w:lang w:eastAsia="bg-BG"/>
        </w:rPr>
      </w:pPr>
    </w:p>
    <w:p w14:paraId="4D3EC5D9" w14:textId="21E29C1F"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Употреба при пациенти с понижен вътресъдов обем:</w:t>
      </w:r>
    </w:p>
    <w:p w14:paraId="7C39053F"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При пациенти с понижен вътресъдов обем (напр. лекувани с високи дози диуретици), трябва да се прецени начална доза от 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един път дневно (вж. точка 4.4).</w:t>
      </w:r>
    </w:p>
    <w:p w14:paraId="4493C3AD" w14:textId="77777777" w:rsidR="00991331" w:rsidRPr="00991331" w:rsidRDefault="00991331" w:rsidP="00991331">
      <w:pPr>
        <w:spacing w:line="240" w:lineRule="auto"/>
        <w:rPr>
          <w:rFonts w:eastAsia="Times New Roman" w:cs="Arial"/>
          <w:i/>
          <w:iCs/>
          <w:color w:val="000000"/>
          <w:u w:val="single"/>
          <w:lang w:eastAsia="bg-BG"/>
        </w:rPr>
      </w:pPr>
    </w:p>
    <w:p w14:paraId="328B45E9" w14:textId="55053A20"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Употреба при пациенти с бъбречно увреждане и пациенти на хемодиализа:</w:t>
      </w:r>
    </w:p>
    <w:p w14:paraId="2405D795"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Не се налага корекция на началната доза при пациенти с бъбречно увреждане и пациенти на хемодиализа.</w:t>
      </w:r>
    </w:p>
    <w:p w14:paraId="27E0E07D" w14:textId="77777777" w:rsidR="00991331" w:rsidRPr="00991331" w:rsidRDefault="00991331" w:rsidP="00991331">
      <w:pPr>
        <w:spacing w:line="240" w:lineRule="auto"/>
        <w:rPr>
          <w:rFonts w:eastAsia="Times New Roman" w:cs="Arial"/>
          <w:i/>
          <w:iCs/>
          <w:color w:val="000000"/>
          <w:u w:val="single"/>
          <w:lang w:eastAsia="bg-BG"/>
        </w:rPr>
      </w:pPr>
    </w:p>
    <w:p w14:paraId="0F2C441A" w14:textId="73C6ACD2"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Употреба при пациенти с чернодробно увреждане:</w:t>
      </w:r>
    </w:p>
    <w:p w14:paraId="303D4C2C"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lastRenderedPageBreak/>
        <w:t>При пациенти с анамнеза за чернодробно увреждане трябва да се обмисли по-ниска доза. Няма терапевтичен опит при пациенти с тежко чернодробно увреждане. Поради това лосартан е противопоказан при пациенти с тежко чернодробно увреждане (вж. точки 4.3 и 4.4).</w:t>
      </w:r>
    </w:p>
    <w:p w14:paraId="16871900" w14:textId="77777777" w:rsidR="00991331" w:rsidRPr="00991331" w:rsidRDefault="00991331" w:rsidP="00991331">
      <w:pPr>
        <w:spacing w:line="240" w:lineRule="auto"/>
        <w:rPr>
          <w:rFonts w:eastAsia="Times New Roman" w:cs="Arial"/>
          <w:i/>
          <w:iCs/>
          <w:color w:val="000000"/>
          <w:u w:val="single"/>
          <w:lang w:eastAsia="bg-BG"/>
        </w:rPr>
      </w:pPr>
    </w:p>
    <w:p w14:paraId="3AA00CB3" w14:textId="7910D9F9"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Педиатрична популация</w:t>
      </w:r>
    </w:p>
    <w:p w14:paraId="665FBBC8" w14:textId="77777777" w:rsidR="00991331" w:rsidRPr="00991331" w:rsidRDefault="00991331" w:rsidP="00991331">
      <w:pPr>
        <w:spacing w:line="240" w:lineRule="auto"/>
        <w:rPr>
          <w:rFonts w:eastAsia="Times New Roman" w:cs="Arial"/>
          <w:i/>
          <w:iCs/>
          <w:color w:val="000000"/>
          <w:lang w:eastAsia="bg-BG"/>
        </w:rPr>
      </w:pPr>
    </w:p>
    <w:p w14:paraId="29140B44" w14:textId="57D6CC12"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lang w:eastAsia="bg-BG"/>
        </w:rPr>
        <w:t>От 6 месеца до 6 години</w:t>
      </w:r>
    </w:p>
    <w:p w14:paraId="0100FA30"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Не е установена безопасността и ефикасността на деца на възраст от 6 месеца до 6 годишна възраст. Наличните до момента данни са описани в точки 5.1 и 5.2, но препоръки за дозировката не могат да бъдат направени.</w:t>
      </w:r>
    </w:p>
    <w:p w14:paraId="6CDB7FB7" w14:textId="77777777" w:rsidR="00991331" w:rsidRPr="00991331" w:rsidRDefault="00991331" w:rsidP="00991331">
      <w:pPr>
        <w:spacing w:line="240" w:lineRule="auto"/>
        <w:rPr>
          <w:rFonts w:eastAsia="Times New Roman" w:cs="Arial"/>
          <w:i/>
          <w:iCs/>
          <w:color w:val="000000"/>
          <w:lang w:eastAsia="bg-BG"/>
        </w:rPr>
      </w:pPr>
    </w:p>
    <w:p w14:paraId="1D8AA5AF" w14:textId="01B3E16B"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lang w:eastAsia="bg-BG"/>
        </w:rPr>
        <w:t>От 6 до 18 години</w:t>
      </w:r>
    </w:p>
    <w:p w14:paraId="15C6C8F9" w14:textId="20694517" w:rsidR="00991331" w:rsidRPr="00991331" w:rsidRDefault="00991331" w:rsidP="00991331">
      <w:pPr>
        <w:spacing w:line="240" w:lineRule="auto"/>
        <w:rPr>
          <w:rFonts w:eastAsia="Times New Roman" w:cs="Arial"/>
          <w:color w:val="000000"/>
          <w:lang w:val="ru-RU" w:eastAsia="bg-BG"/>
        </w:rPr>
      </w:pPr>
      <w:r w:rsidRPr="00991331">
        <w:rPr>
          <w:rFonts w:eastAsia="Times New Roman" w:cs="Arial"/>
          <w:color w:val="000000"/>
          <w:lang w:eastAsia="bg-BG"/>
        </w:rPr>
        <w:t xml:space="preserve">За пациенти, които са в състояние да приемат таблетки, препоръчителната доза е </w:t>
      </w:r>
      <w:r w:rsidRPr="00991331">
        <w:rPr>
          <w:rFonts w:eastAsia="Times New Roman" w:cs="Arial"/>
          <w:color w:val="000000"/>
          <w:lang w:val="ru-RU"/>
        </w:rPr>
        <w:t>25</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един път дневно при пациенти &gt;20 до &lt; 50 </w:t>
      </w:r>
      <w:r w:rsidRPr="00991331">
        <w:rPr>
          <w:rFonts w:eastAsia="Times New Roman" w:cs="Arial"/>
          <w:color w:val="000000"/>
          <w:lang w:val="en-US"/>
        </w:rPr>
        <w:t>kg</w:t>
      </w:r>
      <w:r w:rsidRPr="00991331">
        <w:rPr>
          <w:rFonts w:eastAsia="Times New Roman" w:cs="Arial"/>
          <w:color w:val="000000"/>
          <w:lang w:val="ru-RU"/>
        </w:rPr>
        <w:t xml:space="preserve">. </w:t>
      </w:r>
      <w:r w:rsidRPr="00991331">
        <w:rPr>
          <w:rFonts w:eastAsia="Times New Roman" w:cs="Arial"/>
          <w:color w:val="000000"/>
          <w:lang w:eastAsia="bg-BG"/>
        </w:rPr>
        <w:t xml:space="preserve">(По изключение дозата може да бъде повишена до максимум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един път дневно. Дозата следва да бъде коригирана според повлияването на кръвното налягане)</w:t>
      </w:r>
      <w:r w:rsidRPr="00991331">
        <w:rPr>
          <w:rFonts w:eastAsia="Times New Roman" w:cs="Arial"/>
          <w:color w:val="000000"/>
          <w:lang w:val="ru-RU" w:eastAsia="bg-BG"/>
        </w:rPr>
        <w:t>.</w:t>
      </w:r>
    </w:p>
    <w:p w14:paraId="3A85C876" w14:textId="39683BDF" w:rsidR="00991331" w:rsidRPr="00991331" w:rsidRDefault="00991331" w:rsidP="00991331">
      <w:pPr>
        <w:spacing w:line="240" w:lineRule="auto"/>
        <w:rPr>
          <w:rFonts w:eastAsia="Times New Roman" w:cs="Arial"/>
          <w:color w:val="000000"/>
          <w:lang w:eastAsia="bg-BG"/>
        </w:rPr>
      </w:pPr>
    </w:p>
    <w:p w14:paraId="1B875CBE"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При пациенти &gt; 50 </w:t>
      </w:r>
      <w:r w:rsidRPr="00991331">
        <w:rPr>
          <w:rFonts w:eastAsia="Times New Roman" w:cs="Arial"/>
          <w:color w:val="000000"/>
          <w:lang w:val="en-US"/>
        </w:rPr>
        <w:t>kg</w:t>
      </w:r>
      <w:r w:rsidRPr="00991331">
        <w:rPr>
          <w:rFonts w:eastAsia="Times New Roman" w:cs="Arial"/>
          <w:color w:val="000000"/>
          <w:lang w:val="ru-RU"/>
        </w:rPr>
        <w:t xml:space="preserve">, </w:t>
      </w:r>
      <w:r w:rsidRPr="00991331">
        <w:rPr>
          <w:rFonts w:eastAsia="Times New Roman" w:cs="Arial"/>
          <w:color w:val="000000"/>
          <w:lang w:eastAsia="bg-BG"/>
        </w:rPr>
        <w:t xml:space="preserve">обичайната доза е 50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един път дневно. По изключение дозата може да бъде коригирана до максимум 100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 xml:space="preserve">един път дневно. Дози над 1,4 </w:t>
      </w:r>
      <w:r w:rsidRPr="00991331">
        <w:rPr>
          <w:rFonts w:eastAsia="Times New Roman" w:cs="Arial"/>
          <w:color w:val="000000"/>
          <w:lang w:val="en-US"/>
        </w:rPr>
        <w:t>mg</w:t>
      </w:r>
      <w:r w:rsidRPr="00991331">
        <w:rPr>
          <w:rFonts w:eastAsia="Times New Roman" w:cs="Arial"/>
          <w:color w:val="000000"/>
          <w:lang w:val="ru-RU"/>
        </w:rPr>
        <w:t>/</w:t>
      </w:r>
      <w:r w:rsidRPr="00991331">
        <w:rPr>
          <w:rFonts w:eastAsia="Times New Roman" w:cs="Arial"/>
          <w:color w:val="000000"/>
          <w:lang w:val="en-US"/>
        </w:rPr>
        <w:t>kg</w:t>
      </w:r>
      <w:r w:rsidRPr="00991331">
        <w:rPr>
          <w:rFonts w:eastAsia="Times New Roman" w:cs="Arial"/>
          <w:color w:val="000000"/>
          <w:lang w:val="ru-RU"/>
        </w:rPr>
        <w:t xml:space="preserve"> </w:t>
      </w:r>
      <w:r w:rsidRPr="00991331">
        <w:rPr>
          <w:rFonts w:eastAsia="Times New Roman" w:cs="Arial"/>
          <w:color w:val="000000"/>
          <w:lang w:eastAsia="bg-BG"/>
        </w:rPr>
        <w:t xml:space="preserve">(или над 100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дневно не са проучвани при педиатрични пациенти.</w:t>
      </w:r>
    </w:p>
    <w:p w14:paraId="1F78CC10" w14:textId="77777777" w:rsidR="00991331" w:rsidRPr="00991331" w:rsidRDefault="00991331" w:rsidP="00991331">
      <w:pPr>
        <w:spacing w:line="240" w:lineRule="auto"/>
        <w:rPr>
          <w:rFonts w:eastAsia="Times New Roman" w:cs="Arial"/>
          <w:color w:val="000000"/>
          <w:lang w:eastAsia="bg-BG"/>
        </w:rPr>
      </w:pPr>
    </w:p>
    <w:p w14:paraId="32FDB559" w14:textId="20C0CCAD"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Лосартан не се препоръчва за приложение при деца на възраст под 6 години, тъй като данните за тези групи пациенти са органичени.</w:t>
      </w:r>
    </w:p>
    <w:p w14:paraId="4A22E662"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Не се препоръчва при деца с гломерулна филтрация &lt;30 </w:t>
      </w:r>
      <w:r w:rsidRPr="00991331">
        <w:rPr>
          <w:rFonts w:eastAsia="Times New Roman" w:cs="Arial"/>
          <w:color w:val="000000"/>
          <w:lang w:val="en-US"/>
        </w:rPr>
        <w:t>ml</w:t>
      </w:r>
      <w:r w:rsidRPr="00991331">
        <w:rPr>
          <w:rFonts w:eastAsia="Times New Roman" w:cs="Arial"/>
          <w:color w:val="000000"/>
          <w:lang w:val="ru-RU"/>
        </w:rPr>
        <w:t>/</w:t>
      </w:r>
      <w:r w:rsidRPr="00991331">
        <w:rPr>
          <w:rFonts w:eastAsia="Times New Roman" w:cs="Arial"/>
          <w:color w:val="000000"/>
          <w:lang w:val="en-US"/>
        </w:rPr>
        <w:t>min</w:t>
      </w:r>
      <w:r w:rsidRPr="00991331">
        <w:rPr>
          <w:rFonts w:eastAsia="Times New Roman" w:cs="Arial"/>
          <w:color w:val="000000"/>
          <w:lang w:val="ru-RU"/>
        </w:rPr>
        <w:t xml:space="preserve">/1,73 </w:t>
      </w:r>
      <w:r w:rsidRPr="00991331">
        <w:rPr>
          <w:rFonts w:eastAsia="Times New Roman" w:cs="Arial"/>
          <w:color w:val="000000"/>
          <w:lang w:val="en-US"/>
        </w:rPr>
        <w:t>m</w:t>
      </w:r>
      <w:r w:rsidRPr="00991331">
        <w:rPr>
          <w:rFonts w:eastAsia="Times New Roman" w:cs="Arial"/>
          <w:color w:val="000000"/>
          <w:vertAlign w:val="superscript"/>
          <w:lang w:val="ru-RU"/>
        </w:rPr>
        <w:t>2</w:t>
      </w:r>
      <w:r w:rsidRPr="00991331">
        <w:rPr>
          <w:rFonts w:eastAsia="Times New Roman" w:cs="Arial"/>
          <w:color w:val="000000"/>
          <w:lang w:val="ru-RU"/>
        </w:rPr>
        <w:t xml:space="preserve">, </w:t>
      </w:r>
      <w:r w:rsidRPr="00991331">
        <w:rPr>
          <w:rFonts w:eastAsia="Times New Roman" w:cs="Arial"/>
          <w:color w:val="000000"/>
          <w:lang w:eastAsia="bg-BG"/>
        </w:rPr>
        <w:t>тъй като няма налични данни (вж. също точка 4.4)</w:t>
      </w:r>
    </w:p>
    <w:p w14:paraId="37ED0948"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Лосартан не се препоръчва и при деца с чернодробно увреждане (вж. също точка 4.4)</w:t>
      </w:r>
    </w:p>
    <w:p w14:paraId="7EA132B3" w14:textId="77777777" w:rsidR="00991331" w:rsidRPr="00991331" w:rsidRDefault="00991331" w:rsidP="00991331">
      <w:pPr>
        <w:spacing w:line="240" w:lineRule="auto"/>
        <w:rPr>
          <w:rFonts w:eastAsia="Times New Roman" w:cs="Arial"/>
          <w:i/>
          <w:iCs/>
          <w:color w:val="000000"/>
          <w:u w:val="single"/>
          <w:lang w:eastAsia="bg-BG"/>
        </w:rPr>
      </w:pPr>
    </w:p>
    <w:p w14:paraId="1B89D42B" w14:textId="018C4E37" w:rsidR="00991331" w:rsidRPr="00991331" w:rsidRDefault="00991331" w:rsidP="00991331">
      <w:pPr>
        <w:spacing w:line="240" w:lineRule="auto"/>
        <w:rPr>
          <w:rFonts w:eastAsia="Times New Roman" w:cs="Arial"/>
          <w:sz w:val="24"/>
          <w:szCs w:val="24"/>
        </w:rPr>
      </w:pPr>
      <w:r w:rsidRPr="00991331">
        <w:rPr>
          <w:rFonts w:eastAsia="Times New Roman" w:cs="Arial"/>
          <w:i/>
          <w:iCs/>
          <w:color w:val="000000"/>
          <w:u w:val="single"/>
          <w:lang w:eastAsia="bg-BG"/>
        </w:rPr>
        <w:t>Употреба в старческа възраст</w:t>
      </w:r>
    </w:p>
    <w:p w14:paraId="119D3444"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 xml:space="preserve">Обмисля се начална доза от 25 </w:t>
      </w:r>
      <w:r w:rsidRPr="00991331">
        <w:rPr>
          <w:rFonts w:eastAsia="Times New Roman" w:cs="Arial"/>
          <w:color w:val="000000"/>
          <w:lang w:val="en-US"/>
        </w:rPr>
        <w:t>mg</w:t>
      </w:r>
      <w:r w:rsidRPr="00991331">
        <w:rPr>
          <w:rFonts w:eastAsia="Times New Roman" w:cs="Arial"/>
          <w:color w:val="000000"/>
          <w:lang w:val="ru-RU"/>
        </w:rPr>
        <w:t xml:space="preserve"> </w:t>
      </w:r>
      <w:r w:rsidRPr="00991331">
        <w:rPr>
          <w:rFonts w:eastAsia="Times New Roman" w:cs="Arial"/>
          <w:color w:val="000000"/>
          <w:lang w:eastAsia="bg-BG"/>
        </w:rPr>
        <w:t>при пациенти на възраст над 75 години, въпреки че често не се налага корекция на дозата.</w:t>
      </w:r>
    </w:p>
    <w:p w14:paraId="1B5180A4" w14:textId="77777777" w:rsidR="00991331" w:rsidRPr="00991331" w:rsidRDefault="00991331" w:rsidP="00991331">
      <w:pPr>
        <w:spacing w:line="240" w:lineRule="auto"/>
        <w:rPr>
          <w:rFonts w:eastAsia="Times New Roman" w:cs="Arial"/>
          <w:i/>
          <w:iCs/>
          <w:color w:val="000000"/>
          <w:u w:val="single"/>
          <w:lang w:eastAsia="bg-BG"/>
        </w:rPr>
      </w:pPr>
    </w:p>
    <w:p w14:paraId="56EAC27C" w14:textId="0922E901" w:rsidR="00991331" w:rsidRPr="00991331" w:rsidRDefault="00991331" w:rsidP="00991331">
      <w:pPr>
        <w:pStyle w:val="Heading3"/>
        <w:rPr>
          <w:rFonts w:eastAsia="Times New Roman"/>
          <w:u w:val="single"/>
        </w:rPr>
      </w:pPr>
      <w:r w:rsidRPr="00991331">
        <w:rPr>
          <w:rFonts w:eastAsia="Times New Roman"/>
          <w:u w:val="single"/>
          <w:lang w:eastAsia="bg-BG"/>
        </w:rPr>
        <w:t>Начин на приложение:</w:t>
      </w:r>
    </w:p>
    <w:p w14:paraId="0733E837"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Таблетките лосартан трябва да се преглъщат с чаша вода.</w:t>
      </w:r>
    </w:p>
    <w:p w14:paraId="6D603F4C" w14:textId="77777777" w:rsidR="00991331" w:rsidRPr="00991331" w:rsidRDefault="00991331" w:rsidP="00991331">
      <w:pPr>
        <w:spacing w:line="240" w:lineRule="auto"/>
        <w:rPr>
          <w:rFonts w:eastAsia="Times New Roman" w:cs="Arial"/>
          <w:sz w:val="24"/>
          <w:szCs w:val="24"/>
        </w:rPr>
      </w:pPr>
      <w:r w:rsidRPr="00991331">
        <w:rPr>
          <w:rFonts w:eastAsia="Times New Roman" w:cs="Arial"/>
          <w:color w:val="000000"/>
          <w:lang w:eastAsia="bg-BG"/>
        </w:rPr>
        <w:t>Таблетките лосартан могат да се прилагат със или без храна.</w:t>
      </w:r>
    </w:p>
    <w:p w14:paraId="6ECDAE27" w14:textId="77777777" w:rsidR="00991331" w:rsidRPr="00991331" w:rsidRDefault="00991331" w:rsidP="00991331">
      <w:pPr>
        <w:spacing w:line="240" w:lineRule="auto"/>
        <w:rPr>
          <w:rFonts w:ascii="Times New Roman" w:eastAsia="Times New Roman" w:hAnsi="Times New Roman" w:cs="Times New Roman"/>
          <w:sz w:val="24"/>
          <w:szCs w:val="24"/>
        </w:rPr>
      </w:pPr>
    </w:p>
    <w:p w14:paraId="37D778F5" w14:textId="77777777" w:rsidR="00991331" w:rsidRPr="00991331" w:rsidRDefault="00991331" w:rsidP="00991331"/>
    <w:p w14:paraId="28C984E8" w14:textId="10028E17" w:rsidR="008134C8" w:rsidRDefault="002C50EE" w:rsidP="004A448E">
      <w:pPr>
        <w:pStyle w:val="Heading2"/>
      </w:pPr>
      <w:r>
        <w:t>4.3. Противопоказания</w:t>
      </w:r>
    </w:p>
    <w:p w14:paraId="4D11CCFD" w14:textId="3EF1EE6F" w:rsidR="00991331" w:rsidRDefault="00991331" w:rsidP="00991331"/>
    <w:p w14:paraId="39F08624" w14:textId="77777777" w:rsidR="00991331" w:rsidRPr="00991331" w:rsidRDefault="00991331" w:rsidP="00991331">
      <w:pPr>
        <w:pStyle w:val="ListParagraph"/>
        <w:numPr>
          <w:ilvl w:val="0"/>
          <w:numId w:val="36"/>
        </w:numPr>
        <w:rPr>
          <w:sz w:val="24"/>
          <w:szCs w:val="24"/>
        </w:rPr>
      </w:pPr>
      <w:r w:rsidRPr="00991331">
        <w:rPr>
          <w:lang w:eastAsia="bg-BG"/>
        </w:rPr>
        <w:t>Свръхчувствителност към активното вещество или към някое от помощните вещества изброени в точка 6.1.</w:t>
      </w:r>
    </w:p>
    <w:p w14:paraId="2D0DD978" w14:textId="77777777" w:rsidR="00991331" w:rsidRPr="00991331" w:rsidRDefault="00991331" w:rsidP="00991331">
      <w:pPr>
        <w:pStyle w:val="ListParagraph"/>
        <w:numPr>
          <w:ilvl w:val="0"/>
          <w:numId w:val="36"/>
        </w:numPr>
        <w:rPr>
          <w:sz w:val="24"/>
          <w:szCs w:val="24"/>
        </w:rPr>
      </w:pPr>
      <w:r w:rsidRPr="00991331">
        <w:rPr>
          <w:lang w:eastAsia="bg-BG"/>
        </w:rPr>
        <w:t>2-ри и 3-ти триместър на бременноста (вж. точка 4.4 и 4.6).</w:t>
      </w:r>
    </w:p>
    <w:p w14:paraId="45CB2D67" w14:textId="77777777" w:rsidR="00991331" w:rsidRPr="00991331" w:rsidRDefault="00991331" w:rsidP="00991331">
      <w:pPr>
        <w:pStyle w:val="ListParagraph"/>
        <w:numPr>
          <w:ilvl w:val="0"/>
          <w:numId w:val="36"/>
        </w:numPr>
        <w:rPr>
          <w:sz w:val="24"/>
          <w:szCs w:val="24"/>
        </w:rPr>
      </w:pPr>
      <w:r w:rsidRPr="00991331">
        <w:rPr>
          <w:lang w:eastAsia="bg-BG"/>
        </w:rPr>
        <w:t>Тежко чернодробно увреждане</w:t>
      </w:r>
    </w:p>
    <w:p w14:paraId="38D1B196" w14:textId="267DDE70" w:rsidR="00991331" w:rsidRPr="00991331" w:rsidRDefault="00991331" w:rsidP="00991331">
      <w:pPr>
        <w:pStyle w:val="ListParagraph"/>
        <w:numPr>
          <w:ilvl w:val="0"/>
          <w:numId w:val="36"/>
        </w:numPr>
        <w:rPr>
          <w:sz w:val="24"/>
          <w:szCs w:val="24"/>
        </w:rPr>
      </w:pPr>
      <w:r w:rsidRPr="00991331">
        <w:rPr>
          <w:lang w:eastAsia="bg-BG"/>
        </w:rPr>
        <w:t xml:space="preserve">Едновременната употреба на Лозап с алискирен-съдържащи продукти е противопоказана при пациенти със захарен диабет или бъбречно увреждане </w:t>
      </w:r>
      <w:r w:rsidRPr="00991331">
        <w:rPr>
          <w:lang w:val="ru-RU"/>
        </w:rPr>
        <w:t>(</w:t>
      </w:r>
      <w:r w:rsidRPr="00991331">
        <w:rPr>
          <w:lang w:val="en-US"/>
        </w:rPr>
        <w:t>GFR</w:t>
      </w:r>
      <w:r w:rsidRPr="00991331">
        <w:rPr>
          <w:lang w:val="ru-RU"/>
        </w:rPr>
        <w:t xml:space="preserve"> </w:t>
      </w:r>
      <w:r w:rsidRPr="00991331">
        <w:rPr>
          <w:lang w:eastAsia="bg-BG"/>
        </w:rPr>
        <w:t xml:space="preserve">&lt; 60 </w:t>
      </w:r>
      <w:r w:rsidRPr="00991331">
        <w:rPr>
          <w:lang w:val="en-US"/>
        </w:rPr>
        <w:t>ml</w:t>
      </w:r>
      <w:r w:rsidRPr="00991331">
        <w:rPr>
          <w:lang w:val="ru-RU"/>
        </w:rPr>
        <w:t>/</w:t>
      </w:r>
      <w:r w:rsidRPr="00991331">
        <w:rPr>
          <w:lang w:val="en-US"/>
        </w:rPr>
        <w:t>min</w:t>
      </w:r>
      <w:r w:rsidRPr="00991331">
        <w:rPr>
          <w:lang w:val="ru-RU"/>
        </w:rPr>
        <w:t xml:space="preserve">/1,73 </w:t>
      </w:r>
      <w:r w:rsidRPr="00991331">
        <w:rPr>
          <w:lang w:eastAsia="bg-BG"/>
        </w:rPr>
        <w:t>m2) (вж. точки 4.5 и 5.1)</w:t>
      </w:r>
    </w:p>
    <w:p w14:paraId="62550112" w14:textId="77777777" w:rsidR="00991331" w:rsidRPr="00991331" w:rsidRDefault="00991331" w:rsidP="00991331"/>
    <w:p w14:paraId="212F509C" w14:textId="1E99A388" w:rsidR="004F498A" w:rsidRDefault="002C50EE" w:rsidP="004A448E">
      <w:pPr>
        <w:pStyle w:val="Heading2"/>
      </w:pPr>
      <w:r>
        <w:t>4.4. Специални предупреждения и предпазни мерки при употреба</w:t>
      </w:r>
    </w:p>
    <w:p w14:paraId="07236D74" w14:textId="752AB4D5" w:rsidR="00991331" w:rsidRDefault="00991331" w:rsidP="00991331"/>
    <w:p w14:paraId="69E93241" w14:textId="77777777"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lastRenderedPageBreak/>
        <w:t>Свръхчувствителност</w:t>
      </w:r>
    </w:p>
    <w:p w14:paraId="3239D682" w14:textId="77777777" w:rsidR="00991331" w:rsidRPr="00991331" w:rsidRDefault="00991331" w:rsidP="00991331">
      <w:pPr>
        <w:spacing w:line="240" w:lineRule="auto"/>
        <w:rPr>
          <w:rFonts w:eastAsia="Times New Roman" w:cs="Arial"/>
        </w:rPr>
      </w:pPr>
      <w:r w:rsidRPr="00991331">
        <w:rPr>
          <w:rFonts w:eastAsia="Times New Roman" w:cs="Arial"/>
          <w:i/>
          <w:iCs/>
          <w:color w:val="000000"/>
          <w:lang w:eastAsia="bg-BG"/>
        </w:rPr>
        <w:t>Анггюедем.</w:t>
      </w:r>
      <w:r w:rsidRPr="00991331">
        <w:rPr>
          <w:rFonts w:eastAsia="Times New Roman" w:cs="Arial"/>
          <w:color w:val="000000"/>
          <w:lang w:eastAsia="bg-BG"/>
        </w:rPr>
        <w:t xml:space="preserve"> Пациенти с анамнеза за ангиоедем (оток на лицето, устните, гърлото и/или езика) трябва да бъдат стриктно наблюдавани (вж. точка 4.8).</w:t>
      </w:r>
    </w:p>
    <w:p w14:paraId="46BE292B" w14:textId="77777777" w:rsidR="00991331" w:rsidRPr="006D7DF8" w:rsidRDefault="00991331" w:rsidP="00991331">
      <w:pPr>
        <w:spacing w:line="240" w:lineRule="auto"/>
        <w:rPr>
          <w:rFonts w:eastAsia="Times New Roman" w:cs="Arial"/>
          <w:color w:val="000000"/>
          <w:u w:val="single"/>
          <w:lang w:eastAsia="bg-BG"/>
        </w:rPr>
      </w:pPr>
    </w:p>
    <w:p w14:paraId="6FE70C78" w14:textId="1D259B29"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Хипотония и водно-електролитни нарушения</w:t>
      </w:r>
    </w:p>
    <w:p w14:paraId="0DD6503B"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Симптоматична хипотония, особено след първата доза и след повишаване на дозата, може да възникне при пациенти с намален обем и/или натрий при мощно диуретично лечение, ограничен прием на сол с храната, диария или повръщане. Тези състояния следва да бъдат коригирани преди прием на лосартан, или с по-ниска начална доза (вж. точка 4.2). Това се отнася и за деца от 6 до 18 годишна възраст.</w:t>
      </w:r>
    </w:p>
    <w:p w14:paraId="508F1BAD" w14:textId="77777777" w:rsidR="00991331" w:rsidRPr="006D7DF8" w:rsidRDefault="00991331" w:rsidP="00991331">
      <w:pPr>
        <w:spacing w:line="240" w:lineRule="auto"/>
        <w:rPr>
          <w:rFonts w:eastAsia="Times New Roman" w:cs="Arial"/>
          <w:color w:val="000000"/>
          <w:u w:val="single"/>
          <w:lang w:eastAsia="bg-BG"/>
        </w:rPr>
      </w:pPr>
    </w:p>
    <w:p w14:paraId="71D0ABFE" w14:textId="676609B4"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Електролитни нарушения</w:t>
      </w:r>
    </w:p>
    <w:p w14:paraId="6D6310D4"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 xml:space="preserve">Електролитните </w:t>
      </w:r>
      <w:r w:rsidRPr="00991331">
        <w:rPr>
          <w:rFonts w:eastAsia="Times New Roman" w:cs="Arial"/>
          <w:color w:val="000000"/>
          <w:u w:val="single"/>
          <w:lang w:eastAsia="bg-BG"/>
        </w:rPr>
        <w:t>нарушения</w:t>
      </w:r>
      <w:r w:rsidRPr="00991331">
        <w:rPr>
          <w:rFonts w:eastAsia="Times New Roman" w:cs="Arial"/>
          <w:color w:val="000000"/>
          <w:lang w:eastAsia="bg-BG"/>
        </w:rPr>
        <w:t xml:space="preserve"> са чести при пациенти с бъбречно увреждане, с или без диабет, и трябва да бъдат проследявани. В клинично проучване с пациенти с диабет тип 2 с нефропатия, честотата на хиперкалиемията е по-висока в групата лекувана с лосартан в сравнение с групата на плацебо (вж. точка 4.8). Поради това стойностите на плазмените концентрации на калий и креатининовия клирънс трябва да бъдат непрекъснато наблюдавани, особено при пациенти със сърдечна недостатъчност и креатининов клирънс 30-50 </w:t>
      </w:r>
      <w:r w:rsidRPr="00991331">
        <w:rPr>
          <w:rFonts w:eastAsia="Times New Roman" w:cs="Arial"/>
          <w:color w:val="000000"/>
          <w:lang w:val="en-US"/>
        </w:rPr>
        <w:t>ml</w:t>
      </w:r>
      <w:r w:rsidRPr="00991331">
        <w:rPr>
          <w:rFonts w:eastAsia="Times New Roman" w:cs="Arial"/>
          <w:color w:val="000000"/>
          <w:lang w:val="ru-RU"/>
        </w:rPr>
        <w:t>/</w:t>
      </w:r>
      <w:r w:rsidRPr="00991331">
        <w:rPr>
          <w:rFonts w:eastAsia="Times New Roman" w:cs="Arial"/>
          <w:color w:val="000000"/>
          <w:lang w:val="en-US"/>
        </w:rPr>
        <w:t>min</w:t>
      </w:r>
      <w:r w:rsidRPr="00991331">
        <w:rPr>
          <w:rFonts w:eastAsia="Times New Roman" w:cs="Arial"/>
          <w:color w:val="000000"/>
          <w:lang w:val="ru-RU"/>
        </w:rPr>
        <w:t>.</w:t>
      </w:r>
    </w:p>
    <w:p w14:paraId="0C89820A"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Едновременната употреба на калий-съхраняващи диуретици, хранителни добавки с калий и калий- съдьржащи заместители на солта, с лосартан не се препоръчва (вж. точка 4.5).</w:t>
      </w:r>
    </w:p>
    <w:p w14:paraId="55AD86D7" w14:textId="77777777" w:rsidR="00991331" w:rsidRPr="006D7DF8" w:rsidRDefault="00991331" w:rsidP="00991331">
      <w:pPr>
        <w:rPr>
          <w:rFonts w:eastAsia="Times New Roman" w:cs="Arial"/>
          <w:color w:val="000000"/>
          <w:lang w:eastAsia="bg-BG"/>
        </w:rPr>
      </w:pPr>
    </w:p>
    <w:p w14:paraId="02684A57" w14:textId="7D1ABD52" w:rsidR="00991331" w:rsidRPr="006D7DF8" w:rsidRDefault="00991331" w:rsidP="00991331">
      <w:pPr>
        <w:rPr>
          <w:rFonts w:eastAsia="Times New Roman" w:cs="Arial"/>
          <w:color w:val="000000"/>
          <w:lang w:eastAsia="bg-BG"/>
        </w:rPr>
      </w:pPr>
      <w:r w:rsidRPr="006D7DF8">
        <w:rPr>
          <w:rFonts w:eastAsia="Times New Roman" w:cs="Arial"/>
          <w:color w:val="000000"/>
          <w:lang w:eastAsia="bg-BG"/>
        </w:rPr>
        <w:t>Двойно блокиране на ренин-ангиотензин-алдостероновата система (РААС)</w:t>
      </w:r>
    </w:p>
    <w:p w14:paraId="05DDDD1E" w14:textId="2B7871C9" w:rsidR="00991331" w:rsidRPr="006D7DF8" w:rsidRDefault="00991331" w:rsidP="00991331">
      <w:pPr>
        <w:rPr>
          <w:rFonts w:eastAsia="Times New Roman" w:cs="Arial"/>
          <w:color w:val="000000"/>
          <w:lang w:eastAsia="bg-BG"/>
        </w:rPr>
      </w:pPr>
    </w:p>
    <w:p w14:paraId="5C94C447"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 xml:space="preserve">Има данни, че едновременната употреба на АСЕ инхибитори, ангиотензин </w:t>
      </w:r>
      <w:r w:rsidRPr="00991331">
        <w:rPr>
          <w:rFonts w:eastAsia="Times New Roman" w:cs="Arial"/>
          <w:color w:val="000000"/>
          <w:lang w:val="en-US"/>
        </w:rPr>
        <w:t>II</w:t>
      </w:r>
      <w:r w:rsidRPr="00991331">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991331">
        <w:rPr>
          <w:rFonts w:eastAsia="Times New Roman" w:cs="Arial"/>
          <w:color w:val="000000"/>
          <w:lang w:val="en-US"/>
        </w:rPr>
        <w:t>II</w:t>
      </w:r>
      <w:r w:rsidRPr="00991331">
        <w:rPr>
          <w:rFonts w:eastAsia="Times New Roman" w:cs="Arial"/>
          <w:color w:val="000000"/>
          <w:lang w:eastAsia="bg-BG"/>
        </w:rPr>
        <w:t>-рецепторни блокери или алискирен (вж. точки 4.5 и 5.1).</w:t>
      </w:r>
    </w:p>
    <w:p w14:paraId="523AB71A"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18F3C15"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 xml:space="preserve">АСЕ инхибитори и ангиотензин </w:t>
      </w:r>
      <w:r w:rsidRPr="00991331">
        <w:rPr>
          <w:rFonts w:eastAsia="Times New Roman" w:cs="Arial"/>
          <w:color w:val="000000"/>
          <w:lang w:val="en-US"/>
        </w:rPr>
        <w:t>II</w:t>
      </w:r>
      <w:r w:rsidRPr="00991331">
        <w:rPr>
          <w:rFonts w:eastAsia="Times New Roman" w:cs="Arial"/>
          <w:color w:val="000000"/>
          <w:lang w:eastAsia="bg-BG"/>
        </w:rPr>
        <w:t xml:space="preserve">-рецепторни блокери не трябва да се използват едновременно при пациенти </w:t>
      </w:r>
      <w:r w:rsidRPr="00991331">
        <w:rPr>
          <w:rFonts w:eastAsia="Times New Roman" w:cs="Arial"/>
          <w:i/>
          <w:iCs/>
          <w:color w:val="000000"/>
          <w:lang w:eastAsia="bg-BG"/>
        </w:rPr>
        <w:t>с</w:t>
      </w:r>
      <w:r w:rsidRPr="00991331">
        <w:rPr>
          <w:rFonts w:eastAsia="Times New Roman" w:cs="Arial"/>
          <w:color w:val="000000"/>
          <w:lang w:eastAsia="bg-BG"/>
        </w:rPr>
        <w:t xml:space="preserve"> диабетна нефропатия.</w:t>
      </w:r>
    </w:p>
    <w:p w14:paraId="5F00D116"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 xml:space="preserve">Едновременната употреба на Лозап с алискирен-съдържащи продукти е противопоказана при пациенти със захарен диабет или бъбречно увреждане </w:t>
      </w:r>
      <w:r w:rsidRPr="00991331">
        <w:rPr>
          <w:rFonts w:eastAsia="Times New Roman" w:cs="Arial"/>
          <w:color w:val="000000"/>
          <w:lang w:val="ru-RU"/>
        </w:rPr>
        <w:t>(</w:t>
      </w:r>
      <w:r w:rsidRPr="00991331">
        <w:rPr>
          <w:rFonts w:eastAsia="Times New Roman" w:cs="Arial"/>
          <w:color w:val="000000"/>
          <w:lang w:val="en-US"/>
        </w:rPr>
        <w:t>GFR</w:t>
      </w:r>
      <w:r w:rsidRPr="00991331">
        <w:rPr>
          <w:rFonts w:eastAsia="Times New Roman" w:cs="Arial"/>
          <w:color w:val="000000"/>
          <w:lang w:val="ru-RU"/>
        </w:rPr>
        <w:t xml:space="preserve"> </w:t>
      </w:r>
      <w:r w:rsidRPr="00991331">
        <w:rPr>
          <w:rFonts w:eastAsia="Times New Roman" w:cs="Arial"/>
          <w:color w:val="000000"/>
          <w:lang w:eastAsia="bg-BG"/>
        </w:rPr>
        <w:t xml:space="preserve">&lt; 60 </w:t>
      </w:r>
      <w:r w:rsidRPr="00991331">
        <w:rPr>
          <w:rFonts w:eastAsia="Times New Roman" w:cs="Arial"/>
          <w:color w:val="000000"/>
          <w:lang w:val="en-US"/>
        </w:rPr>
        <w:t>ml</w:t>
      </w:r>
      <w:r w:rsidRPr="00991331">
        <w:rPr>
          <w:rFonts w:eastAsia="Times New Roman" w:cs="Arial"/>
          <w:color w:val="000000"/>
          <w:lang w:val="ru-RU"/>
        </w:rPr>
        <w:t>/</w:t>
      </w:r>
      <w:r w:rsidRPr="00991331">
        <w:rPr>
          <w:rFonts w:eastAsia="Times New Roman" w:cs="Arial"/>
          <w:color w:val="000000"/>
          <w:lang w:val="en-US"/>
        </w:rPr>
        <w:t>min</w:t>
      </w:r>
      <w:r w:rsidRPr="00991331">
        <w:rPr>
          <w:rFonts w:eastAsia="Times New Roman" w:cs="Arial"/>
          <w:color w:val="000000"/>
          <w:lang w:val="ru-RU"/>
        </w:rPr>
        <w:t xml:space="preserve">/1,73 </w:t>
      </w:r>
      <w:r w:rsidRPr="00991331">
        <w:rPr>
          <w:rFonts w:eastAsia="Times New Roman" w:cs="Arial"/>
          <w:color w:val="000000"/>
          <w:lang w:eastAsia="bg-BG"/>
        </w:rPr>
        <w:t>m2) (вж. точки 4.5 и 5.1).</w:t>
      </w:r>
    </w:p>
    <w:p w14:paraId="2DC43D77" w14:textId="77777777" w:rsidR="00991331" w:rsidRPr="006D7DF8" w:rsidRDefault="00991331" w:rsidP="00991331">
      <w:pPr>
        <w:spacing w:line="240" w:lineRule="auto"/>
        <w:rPr>
          <w:rFonts w:eastAsia="Times New Roman" w:cs="Arial"/>
          <w:color w:val="000000"/>
          <w:u w:val="single"/>
          <w:lang w:eastAsia="bg-BG"/>
        </w:rPr>
      </w:pPr>
    </w:p>
    <w:p w14:paraId="3D622291" w14:textId="23451F08"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Чернодробно увреждане</w:t>
      </w:r>
    </w:p>
    <w:p w14:paraId="78D4EBE4"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Според фармакокинетичните данни, които показват значимо повишение на плазмените концентрации на лосартан при пациенти с цироза, при пациенти с анамнеза за чернодробно увреждане следва да се обмисли по-ниска доза. Няма терапевтичен опит с лосартан при пациенти с тежко чернодробно увреждане. Поради това лосартан не трябва да се прилага при пациенти с тежко чернодробно увреждане (вж. точки 4.2,</w:t>
      </w:r>
      <w:r w:rsidRPr="00991331">
        <w:rPr>
          <w:rFonts w:eastAsia="Times New Roman" w:cs="Arial"/>
          <w:color w:val="000000"/>
          <w:lang w:val="ru-RU"/>
        </w:rPr>
        <w:t xml:space="preserve"> </w:t>
      </w:r>
      <w:r w:rsidRPr="00991331">
        <w:rPr>
          <w:rFonts w:eastAsia="Times New Roman" w:cs="Arial"/>
          <w:color w:val="000000"/>
          <w:lang w:eastAsia="bg-BG"/>
        </w:rPr>
        <w:t>4.3 и 5.2).</w:t>
      </w:r>
    </w:p>
    <w:p w14:paraId="1B6A7427"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Лосартан не се препоръчва и при деца с чернодробно увреждане (вж. точка 4.2).</w:t>
      </w:r>
    </w:p>
    <w:p w14:paraId="533B3F84" w14:textId="77777777" w:rsidR="00991331" w:rsidRPr="006D7DF8" w:rsidRDefault="00991331" w:rsidP="00991331">
      <w:pPr>
        <w:spacing w:line="240" w:lineRule="auto"/>
        <w:rPr>
          <w:rFonts w:eastAsia="Times New Roman" w:cs="Arial"/>
          <w:color w:val="000000"/>
          <w:u w:val="single"/>
          <w:lang w:eastAsia="bg-BG"/>
        </w:rPr>
      </w:pPr>
    </w:p>
    <w:p w14:paraId="5DF6CC6A" w14:textId="5C76C39D"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Бъбречно увреждане</w:t>
      </w:r>
    </w:p>
    <w:p w14:paraId="600CECF3"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 xml:space="preserve">Има съобщения за промени в бъбречната функция в резултат на потискане на системата ренин- ангиотензин, включително бъбречна недостатъчност (особено при пациенти, чиято бъбречна функция зависи от системата ренин-ангиотензин-алдостерон каквито са тези с тежка сърдечна недостатъчност или предхождаща бъбречна дисфункция). Както и при </w:t>
      </w:r>
      <w:r w:rsidRPr="00991331">
        <w:rPr>
          <w:rFonts w:eastAsia="Times New Roman" w:cs="Arial"/>
          <w:color w:val="000000"/>
          <w:lang w:eastAsia="bg-BG"/>
        </w:rPr>
        <w:lastRenderedPageBreak/>
        <w:t>други лекарствени продукти, които повлияват системата ренин-ангиотензин-алдостерон при пациенти с двустранна стеноза на бъбречната артерия или стеноза на артерията към единствен бъбрек, се съобщава за повишение на кръвната урея и серумния креатинин; тези промени в бъбречната функция могат да бъдат обратими при прекратяване на лечението. Лосартан следва да се използва с повишено внимание при пациенти с двустранна стеноза на бъбречната артерия или стеноза на артерията на единствен бъбрек.</w:t>
      </w:r>
    </w:p>
    <w:p w14:paraId="67C1FC98" w14:textId="77777777" w:rsidR="00991331" w:rsidRPr="006D7DF8" w:rsidRDefault="00991331" w:rsidP="00991331">
      <w:pPr>
        <w:spacing w:line="240" w:lineRule="auto"/>
        <w:rPr>
          <w:rFonts w:eastAsia="Times New Roman" w:cs="Arial"/>
          <w:color w:val="000000"/>
          <w:u w:val="single"/>
          <w:lang w:eastAsia="bg-BG"/>
        </w:rPr>
      </w:pPr>
    </w:p>
    <w:p w14:paraId="6AEB1C70" w14:textId="230090DC"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Употреба при педиатрични пациенти с бъбречно увреждане</w:t>
      </w:r>
    </w:p>
    <w:p w14:paraId="58AEDFAF"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 xml:space="preserve">Лосартан не се препоръчва при деца с гломерулна филтрация &lt; </w:t>
      </w:r>
      <w:r w:rsidRPr="00991331">
        <w:rPr>
          <w:rFonts w:eastAsia="Times New Roman" w:cs="Arial"/>
          <w:color w:val="000000"/>
          <w:lang w:val="ru-RU"/>
        </w:rPr>
        <w:t>30</w:t>
      </w:r>
      <w:r w:rsidRPr="00991331">
        <w:rPr>
          <w:rFonts w:eastAsia="Times New Roman" w:cs="Arial"/>
          <w:color w:val="000000"/>
          <w:lang w:val="en-US"/>
        </w:rPr>
        <w:t>ml</w:t>
      </w:r>
      <w:r w:rsidRPr="00991331">
        <w:rPr>
          <w:rFonts w:eastAsia="Times New Roman" w:cs="Arial"/>
          <w:color w:val="000000"/>
          <w:lang w:val="ru-RU"/>
        </w:rPr>
        <w:t>/</w:t>
      </w:r>
      <w:r w:rsidRPr="00991331">
        <w:rPr>
          <w:rFonts w:eastAsia="Times New Roman" w:cs="Arial"/>
          <w:color w:val="000000"/>
          <w:lang w:val="en-US"/>
        </w:rPr>
        <w:t>min</w:t>
      </w:r>
      <w:r w:rsidRPr="00991331">
        <w:rPr>
          <w:rFonts w:eastAsia="Times New Roman" w:cs="Arial"/>
          <w:color w:val="000000"/>
          <w:lang w:val="ru-RU"/>
        </w:rPr>
        <w:t xml:space="preserve"> </w:t>
      </w:r>
      <w:r w:rsidRPr="00991331">
        <w:rPr>
          <w:rFonts w:eastAsia="Times New Roman" w:cs="Arial"/>
          <w:color w:val="000000"/>
          <w:lang w:eastAsia="bg-BG"/>
        </w:rPr>
        <w:t>/1,73 m2, тъй като няма налични данни (вж. точка 4.2).</w:t>
      </w:r>
    </w:p>
    <w:p w14:paraId="47C82519"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Бъбречната функция трябва да се проследява редовно при лечение с лосартан, тъй като може да настъпи влошаване. Това се отнася особено при прилагане на лосартан при други състояния (повишена температура, дехидратация), които могат да влошат бъбречната функция.</w:t>
      </w:r>
    </w:p>
    <w:p w14:paraId="773DDC35" w14:textId="77777777" w:rsidR="00991331" w:rsidRPr="006D7DF8" w:rsidRDefault="00991331" w:rsidP="00991331">
      <w:pPr>
        <w:spacing w:line="240" w:lineRule="auto"/>
        <w:rPr>
          <w:rFonts w:eastAsia="Times New Roman" w:cs="Arial"/>
          <w:color w:val="000000"/>
          <w:lang w:eastAsia="bg-BG"/>
        </w:rPr>
      </w:pPr>
    </w:p>
    <w:p w14:paraId="644418D4" w14:textId="180447A9" w:rsidR="00991331" w:rsidRPr="00991331" w:rsidRDefault="00991331" w:rsidP="00991331">
      <w:pPr>
        <w:spacing w:line="240" w:lineRule="auto"/>
        <w:rPr>
          <w:rFonts w:eastAsia="Times New Roman" w:cs="Arial"/>
        </w:rPr>
      </w:pPr>
      <w:r w:rsidRPr="00991331">
        <w:rPr>
          <w:rFonts w:eastAsia="Times New Roman" w:cs="Arial"/>
          <w:color w:val="000000"/>
          <w:lang w:eastAsia="bg-BG"/>
        </w:rPr>
        <w:t>Има данни, че едновременното приложение на лосартан и АСЕ-инхибитори влошава бъбречната функция. Поради това едновременното приложение не се препоръчва (вж. точка 4.5).</w:t>
      </w:r>
    </w:p>
    <w:p w14:paraId="7BA60CDF" w14:textId="77777777" w:rsidR="00991331" w:rsidRPr="006D7DF8" w:rsidRDefault="00991331" w:rsidP="00991331">
      <w:pPr>
        <w:spacing w:line="240" w:lineRule="auto"/>
        <w:rPr>
          <w:rFonts w:eastAsia="Times New Roman" w:cs="Arial"/>
          <w:color w:val="000000"/>
          <w:u w:val="single"/>
          <w:lang w:eastAsia="bg-BG"/>
        </w:rPr>
      </w:pPr>
    </w:p>
    <w:p w14:paraId="23797AAC" w14:textId="1B35D7D7"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Бъбречна трансплантация</w:t>
      </w:r>
    </w:p>
    <w:p w14:paraId="0663E36B"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Няма опит при пациенти с наскоро направена бъбречна трансплантация.</w:t>
      </w:r>
    </w:p>
    <w:p w14:paraId="186C2C3D" w14:textId="77777777" w:rsidR="006D7DF8" w:rsidRPr="006D7DF8" w:rsidRDefault="006D7DF8" w:rsidP="00991331">
      <w:pPr>
        <w:spacing w:line="240" w:lineRule="auto"/>
        <w:rPr>
          <w:rFonts w:eastAsia="Times New Roman" w:cs="Arial"/>
          <w:color w:val="000000"/>
          <w:u w:val="single"/>
          <w:lang w:eastAsia="bg-BG"/>
        </w:rPr>
      </w:pPr>
    </w:p>
    <w:p w14:paraId="4118258F" w14:textId="5957CD4F" w:rsidR="00991331" w:rsidRPr="00991331" w:rsidRDefault="00991331" w:rsidP="00991331">
      <w:pPr>
        <w:spacing w:line="240" w:lineRule="auto"/>
        <w:rPr>
          <w:rFonts w:eastAsia="Times New Roman" w:cs="Arial"/>
        </w:rPr>
      </w:pPr>
      <w:r w:rsidRPr="00991331">
        <w:rPr>
          <w:rFonts w:eastAsia="Times New Roman" w:cs="Arial"/>
          <w:color w:val="000000"/>
          <w:u w:val="single"/>
          <w:lang w:eastAsia="bg-BG"/>
        </w:rPr>
        <w:t>Първичен хипералдостеронизъм</w:t>
      </w:r>
    </w:p>
    <w:p w14:paraId="5665C6CC" w14:textId="77777777" w:rsidR="00991331" w:rsidRPr="00991331" w:rsidRDefault="00991331" w:rsidP="00991331">
      <w:pPr>
        <w:spacing w:line="240" w:lineRule="auto"/>
        <w:rPr>
          <w:rFonts w:eastAsia="Times New Roman" w:cs="Arial"/>
        </w:rPr>
      </w:pPr>
      <w:r w:rsidRPr="00991331">
        <w:rPr>
          <w:rFonts w:eastAsia="Times New Roman" w:cs="Arial"/>
          <w:color w:val="000000"/>
          <w:lang w:eastAsia="bg-BG"/>
        </w:rPr>
        <w:t>Антихипертензивен ефект при пациенти с първичен хипералдостеронизъм обикновено не се установява при лекарствени продукти, действащи чрез потискане на ренин-ангиотензин системата. Поради това употребата на лосартан не се препоръчва.</w:t>
      </w:r>
    </w:p>
    <w:p w14:paraId="0F48F04B" w14:textId="77777777" w:rsidR="006D7DF8" w:rsidRPr="006D7DF8" w:rsidRDefault="006D7DF8" w:rsidP="00991331">
      <w:pPr>
        <w:rPr>
          <w:rFonts w:eastAsia="Times New Roman" w:cs="Arial"/>
          <w:color w:val="000000"/>
          <w:u w:val="single"/>
          <w:lang w:eastAsia="bg-BG"/>
        </w:rPr>
      </w:pPr>
    </w:p>
    <w:p w14:paraId="46B1F41A" w14:textId="7C372297" w:rsidR="00991331" w:rsidRPr="006D7DF8" w:rsidRDefault="00991331" w:rsidP="00991331">
      <w:pPr>
        <w:rPr>
          <w:rFonts w:eastAsia="Times New Roman" w:cs="Arial"/>
          <w:color w:val="000000"/>
          <w:u w:val="single"/>
          <w:lang w:eastAsia="bg-BG"/>
        </w:rPr>
      </w:pPr>
      <w:r w:rsidRPr="006D7DF8">
        <w:rPr>
          <w:rFonts w:eastAsia="Times New Roman" w:cs="Arial"/>
          <w:color w:val="000000"/>
          <w:u w:val="single"/>
          <w:lang w:eastAsia="bg-BG"/>
        </w:rPr>
        <w:t>Коронарно сърдечно заболяване и мозъчно-съдова болест</w:t>
      </w:r>
    </w:p>
    <w:p w14:paraId="74D001CF" w14:textId="77777777" w:rsidR="006D7DF8" w:rsidRPr="006D7DF8" w:rsidRDefault="006D7DF8" w:rsidP="006D7DF8">
      <w:pPr>
        <w:spacing w:line="240" w:lineRule="auto"/>
        <w:rPr>
          <w:rFonts w:eastAsia="Times New Roman" w:cs="Arial"/>
        </w:rPr>
      </w:pPr>
      <w:r w:rsidRPr="006D7DF8">
        <w:rPr>
          <w:rFonts w:eastAsia="Times New Roman" w:cs="Arial"/>
          <w:color w:val="000000"/>
          <w:lang w:eastAsia="bg-BG"/>
        </w:rPr>
        <w:t>Както и при други антихипертензивни продукти, прекомерното понижение на кръвното налягане при пациенти с исхемична болест на сърцето и мозъчносъдова болест може да причини инфаркт на миокарда или инсулт.</w:t>
      </w:r>
    </w:p>
    <w:p w14:paraId="79C28D33" w14:textId="77777777" w:rsidR="006D7DF8" w:rsidRPr="006D7DF8" w:rsidRDefault="006D7DF8" w:rsidP="006D7DF8">
      <w:pPr>
        <w:spacing w:line="240" w:lineRule="auto"/>
        <w:rPr>
          <w:rFonts w:eastAsia="Times New Roman" w:cs="Arial"/>
          <w:color w:val="000000"/>
          <w:u w:val="single"/>
          <w:lang w:eastAsia="bg-BG"/>
        </w:rPr>
      </w:pPr>
    </w:p>
    <w:p w14:paraId="6AE25B48" w14:textId="42E22C19" w:rsidR="006D7DF8" w:rsidRPr="006D7DF8" w:rsidRDefault="006D7DF8" w:rsidP="006D7DF8">
      <w:pPr>
        <w:spacing w:line="240" w:lineRule="auto"/>
        <w:rPr>
          <w:rFonts w:eastAsia="Times New Roman" w:cs="Arial"/>
        </w:rPr>
      </w:pPr>
      <w:r w:rsidRPr="006D7DF8">
        <w:rPr>
          <w:rFonts w:eastAsia="Times New Roman" w:cs="Arial"/>
          <w:color w:val="000000"/>
          <w:u w:val="single"/>
          <w:lang w:eastAsia="bg-BG"/>
        </w:rPr>
        <w:t>Сърдечна недостатъчност</w:t>
      </w:r>
    </w:p>
    <w:p w14:paraId="714D1B81" w14:textId="77777777" w:rsidR="006D7DF8" w:rsidRPr="006D7DF8" w:rsidRDefault="006D7DF8" w:rsidP="006D7DF8">
      <w:pPr>
        <w:spacing w:line="240" w:lineRule="auto"/>
        <w:rPr>
          <w:rFonts w:eastAsia="Times New Roman" w:cs="Arial"/>
          <w:color w:val="000000"/>
          <w:lang w:eastAsia="bg-BG"/>
        </w:rPr>
      </w:pPr>
      <w:r w:rsidRPr="006D7DF8">
        <w:rPr>
          <w:rFonts w:eastAsia="Times New Roman" w:cs="Arial"/>
          <w:color w:val="000000"/>
          <w:lang w:eastAsia="bg-BG"/>
        </w:rPr>
        <w:t xml:space="preserve">При пациенти със сърдечна недостатъчност, с или без бъбречно увреждане, съществува риск от тежка артериална хипотония и (често остро) бъбречно увреждане, както при други лекарствени </w:t>
      </w:r>
    </w:p>
    <w:p w14:paraId="08D4C761" w14:textId="37AFE0BA" w:rsidR="006D7DF8" w:rsidRPr="006D7DF8" w:rsidRDefault="006D7DF8" w:rsidP="006D7DF8">
      <w:pPr>
        <w:spacing w:line="240" w:lineRule="auto"/>
        <w:rPr>
          <w:rFonts w:eastAsia="Times New Roman" w:cs="Arial"/>
        </w:rPr>
      </w:pPr>
      <w:r w:rsidRPr="006D7DF8">
        <w:rPr>
          <w:rFonts w:eastAsia="Times New Roman" w:cs="Arial"/>
          <w:color w:val="000000"/>
          <w:lang w:eastAsia="bg-BG"/>
        </w:rPr>
        <w:t>продукти повлияващи системата ренин-ангиотензин</w:t>
      </w:r>
    </w:p>
    <w:p w14:paraId="492A9A67" w14:textId="77777777" w:rsidR="006D7DF8" w:rsidRPr="006D7DF8" w:rsidRDefault="006D7DF8" w:rsidP="006D7DF8">
      <w:pPr>
        <w:spacing w:line="240" w:lineRule="auto"/>
        <w:rPr>
          <w:rFonts w:eastAsia="Times New Roman" w:cs="Arial"/>
          <w:color w:val="000000"/>
          <w:lang w:eastAsia="bg-BG"/>
        </w:rPr>
      </w:pPr>
    </w:p>
    <w:p w14:paraId="65F18F34" w14:textId="36251F32" w:rsidR="006D7DF8" w:rsidRPr="006D7DF8" w:rsidRDefault="006D7DF8" w:rsidP="006D7DF8">
      <w:pPr>
        <w:spacing w:line="240" w:lineRule="auto"/>
        <w:rPr>
          <w:rFonts w:eastAsia="Times New Roman" w:cs="Arial"/>
        </w:rPr>
      </w:pPr>
      <w:r w:rsidRPr="006D7DF8">
        <w:rPr>
          <w:rFonts w:eastAsia="Times New Roman" w:cs="Arial"/>
          <w:color w:val="000000"/>
          <w:lang w:eastAsia="bg-BG"/>
        </w:rPr>
        <w:t xml:space="preserve">Няма достатъчно терапевтичен опит с лосартан при пациенти със сърдечна недостатъчност и съпровождащо тежко бъбречно увреждане, при пациенти с тежка сърдечна недостатъчност (клас IV по </w:t>
      </w:r>
      <w:r w:rsidRPr="006D7DF8">
        <w:rPr>
          <w:rFonts w:eastAsia="Times New Roman" w:cs="Arial"/>
          <w:color w:val="000000"/>
          <w:lang w:val="en-US"/>
        </w:rPr>
        <w:t>NYHA</w:t>
      </w:r>
      <w:r w:rsidRPr="006D7DF8">
        <w:rPr>
          <w:rFonts w:eastAsia="Times New Roman" w:cs="Arial"/>
          <w:color w:val="000000"/>
          <w:lang w:val="ru-RU"/>
        </w:rPr>
        <w:t xml:space="preserve">), </w:t>
      </w:r>
      <w:r w:rsidRPr="006D7DF8">
        <w:rPr>
          <w:rFonts w:eastAsia="Times New Roman" w:cs="Arial"/>
          <w:color w:val="000000"/>
          <w:lang w:eastAsia="bg-BG"/>
        </w:rPr>
        <w:t>както и при пациенти със сърдечна недостатъчност и симптоматични животозастрашаващи сърдечни аритмии. Поради това лосартан трябва да се използва внимателно при тези групи пациенти. Комбинацията от лосартан и бета-блокер би следвало да се използва внимателно (вж. точка 5.1).</w:t>
      </w:r>
    </w:p>
    <w:p w14:paraId="7543AE88" w14:textId="77777777" w:rsidR="006D7DF8" w:rsidRPr="006D7DF8" w:rsidRDefault="006D7DF8" w:rsidP="006D7DF8">
      <w:pPr>
        <w:spacing w:line="240" w:lineRule="auto"/>
        <w:rPr>
          <w:rFonts w:eastAsia="Times New Roman" w:cs="Arial"/>
          <w:color w:val="000000"/>
          <w:u w:val="single"/>
          <w:lang w:eastAsia="bg-BG"/>
        </w:rPr>
      </w:pPr>
    </w:p>
    <w:p w14:paraId="7F0FBC37" w14:textId="02724813" w:rsidR="006D7DF8" w:rsidRPr="006D7DF8" w:rsidRDefault="006D7DF8" w:rsidP="006D7DF8">
      <w:pPr>
        <w:spacing w:line="240" w:lineRule="auto"/>
        <w:rPr>
          <w:rFonts w:eastAsia="Times New Roman" w:cs="Arial"/>
        </w:rPr>
      </w:pPr>
      <w:r w:rsidRPr="006D7DF8">
        <w:rPr>
          <w:rFonts w:eastAsia="Times New Roman" w:cs="Arial"/>
          <w:color w:val="000000"/>
          <w:u w:val="single"/>
          <w:lang w:eastAsia="bg-BG"/>
        </w:rPr>
        <w:t>Стеноза на аортна и митрална клапа, обструктивна хипертрофична кардиомиопатия</w:t>
      </w:r>
    </w:p>
    <w:p w14:paraId="19B493A0" w14:textId="77777777" w:rsidR="006D7DF8" w:rsidRPr="006D7DF8" w:rsidRDefault="006D7DF8" w:rsidP="006D7DF8">
      <w:pPr>
        <w:spacing w:line="240" w:lineRule="auto"/>
        <w:rPr>
          <w:rFonts w:eastAsia="Times New Roman" w:cs="Arial"/>
        </w:rPr>
      </w:pPr>
      <w:r w:rsidRPr="006D7DF8">
        <w:rPr>
          <w:rFonts w:eastAsia="Times New Roman" w:cs="Arial"/>
          <w:color w:val="000000"/>
          <w:lang w:eastAsia="bg-BG"/>
        </w:rPr>
        <w:t>Както и при други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44139DA4" w14:textId="77777777" w:rsidR="006D7DF8" w:rsidRPr="006D7DF8" w:rsidRDefault="006D7DF8" w:rsidP="006D7DF8">
      <w:pPr>
        <w:spacing w:line="240" w:lineRule="auto"/>
        <w:rPr>
          <w:rFonts w:eastAsia="Times New Roman" w:cs="Arial"/>
          <w:color w:val="000000"/>
          <w:u w:val="single"/>
          <w:lang w:eastAsia="bg-BG"/>
        </w:rPr>
      </w:pPr>
    </w:p>
    <w:p w14:paraId="3F902E87" w14:textId="408B8900" w:rsidR="006D7DF8" w:rsidRPr="006D7DF8" w:rsidRDefault="006D7DF8" w:rsidP="006D7DF8">
      <w:pPr>
        <w:spacing w:line="240" w:lineRule="auto"/>
        <w:rPr>
          <w:rFonts w:eastAsia="Times New Roman" w:cs="Arial"/>
        </w:rPr>
      </w:pPr>
      <w:r w:rsidRPr="006D7DF8">
        <w:rPr>
          <w:rFonts w:eastAsia="Times New Roman" w:cs="Arial"/>
          <w:color w:val="000000"/>
          <w:u w:val="single"/>
          <w:lang w:eastAsia="bg-BG"/>
        </w:rPr>
        <w:lastRenderedPageBreak/>
        <w:t>Бременност</w:t>
      </w:r>
    </w:p>
    <w:p w14:paraId="1955BCE0" w14:textId="77777777" w:rsidR="006D7DF8" w:rsidRPr="006D7DF8" w:rsidRDefault="006D7DF8" w:rsidP="006D7DF8">
      <w:pPr>
        <w:spacing w:line="240" w:lineRule="auto"/>
        <w:rPr>
          <w:rFonts w:eastAsia="Times New Roman" w:cs="Arial"/>
        </w:rPr>
      </w:pPr>
      <w:r w:rsidRPr="006D7DF8">
        <w:rPr>
          <w:rFonts w:eastAsia="Times New Roman" w:cs="Arial"/>
          <w:color w:val="000000"/>
          <w:lang w:eastAsia="bg-BG"/>
        </w:rPr>
        <w:t>Лечение с А</w:t>
      </w:r>
      <w:r w:rsidRPr="006D7DF8">
        <w:rPr>
          <w:rFonts w:eastAsia="Times New Roman" w:cs="Arial"/>
          <w:color w:val="000000"/>
          <w:lang w:val="en-US"/>
        </w:rPr>
        <w:t>II</w:t>
      </w:r>
      <w:r w:rsidRPr="006D7DF8">
        <w:rPr>
          <w:rFonts w:eastAsia="Times New Roman" w:cs="Arial"/>
          <w:color w:val="000000"/>
          <w:lang w:eastAsia="bg-BG"/>
        </w:rPr>
        <w:t>РБ не трябва да започва по време на бременност. Освен в случаите, когато лечение с А</w:t>
      </w:r>
      <w:r w:rsidRPr="006D7DF8">
        <w:rPr>
          <w:rFonts w:eastAsia="Times New Roman" w:cs="Arial"/>
          <w:color w:val="000000"/>
          <w:lang w:val="en-US"/>
        </w:rPr>
        <w:t>II</w:t>
      </w:r>
      <w:r w:rsidRPr="006D7DF8">
        <w:rPr>
          <w:rFonts w:eastAsia="Times New Roman" w:cs="Arial"/>
          <w:color w:val="000000"/>
          <w:lang w:eastAsia="bg-BG"/>
        </w:rPr>
        <w:t>РБ се счита за крайно необходимо. Пациентки планиращи бременност трябва да преминат на алтернативно антихипертензивно лечение, с установен профил на безопасност при бременност. Когато се диагностицира бременност, лечението с АПРБ трябва да бъде преустановено незабавно и, ако е уместно, да се започне алтернативно лечение (вж. точки 4.3 и 4.6).</w:t>
      </w:r>
    </w:p>
    <w:p w14:paraId="1683606F" w14:textId="77777777" w:rsidR="006D7DF8" w:rsidRPr="006D7DF8" w:rsidRDefault="006D7DF8" w:rsidP="006D7DF8">
      <w:pPr>
        <w:spacing w:line="240" w:lineRule="auto"/>
        <w:rPr>
          <w:rFonts w:eastAsia="Times New Roman" w:cs="Arial"/>
          <w:color w:val="000000"/>
          <w:u w:val="single"/>
          <w:lang w:eastAsia="bg-BG"/>
        </w:rPr>
      </w:pPr>
    </w:p>
    <w:p w14:paraId="093B89F6" w14:textId="3F9371D9" w:rsidR="006D7DF8" w:rsidRPr="006D7DF8" w:rsidRDefault="006D7DF8" w:rsidP="006D7DF8">
      <w:pPr>
        <w:spacing w:line="240" w:lineRule="auto"/>
        <w:rPr>
          <w:rFonts w:eastAsia="Times New Roman" w:cs="Arial"/>
        </w:rPr>
      </w:pPr>
      <w:r w:rsidRPr="006D7DF8">
        <w:rPr>
          <w:rFonts w:eastAsia="Times New Roman" w:cs="Arial"/>
          <w:color w:val="000000"/>
          <w:u w:val="single"/>
          <w:lang w:eastAsia="bg-BG"/>
        </w:rPr>
        <w:t>Други предупреждения и предпазни мерки</w:t>
      </w:r>
    </w:p>
    <w:p w14:paraId="4C2858C4" w14:textId="77777777" w:rsidR="006D7DF8" w:rsidRPr="006D7DF8" w:rsidRDefault="006D7DF8" w:rsidP="006D7DF8">
      <w:pPr>
        <w:spacing w:line="240" w:lineRule="auto"/>
        <w:rPr>
          <w:rFonts w:eastAsia="Times New Roman" w:cs="Arial"/>
        </w:rPr>
      </w:pPr>
      <w:r w:rsidRPr="006D7DF8">
        <w:rPr>
          <w:rFonts w:eastAsia="Times New Roman" w:cs="Arial"/>
          <w:color w:val="000000"/>
          <w:lang w:eastAsia="bg-BG"/>
        </w:rPr>
        <w:t>Инхибиторите на ангиотензин-конвертиращия ензим, лосартан и други ангиотензин-антагонисти са по-слабо ефикасни при понижаване на кръвното налягане при черната раса в сравнение с останалите раси, най-вероятно поради по-голямата честота на състояния с нисък ренин при хипертоници от черната раса.</w:t>
      </w:r>
    </w:p>
    <w:p w14:paraId="6A3707A5" w14:textId="77777777" w:rsidR="006D7DF8" w:rsidRPr="00991331" w:rsidRDefault="006D7DF8" w:rsidP="00991331"/>
    <w:p w14:paraId="75E7F5EB" w14:textId="753D805F" w:rsidR="006D7DF8" w:rsidRDefault="002C50EE" w:rsidP="006D7DF8">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372BE23" w14:textId="73F527D8" w:rsidR="006D7DF8" w:rsidRDefault="006D7DF8" w:rsidP="006D7DF8"/>
    <w:p w14:paraId="67DA2D43" w14:textId="77777777"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Други антихипертензивни средства могат да повишат хипотензивния ефект на лосартан. Едновременната употреба с други вещества(като трициклични антидепресанти, антипсихотици, баклофен, амифостин), може да повиши риска от хипотония като тяхна нежелана реакция.</w:t>
      </w:r>
    </w:p>
    <w:p w14:paraId="5B4AED6C" w14:textId="77777777" w:rsidR="006D7DF8" w:rsidRPr="006D7DF8" w:rsidRDefault="006D7DF8" w:rsidP="006D7DF8">
      <w:pPr>
        <w:spacing w:line="240" w:lineRule="auto"/>
        <w:rPr>
          <w:rFonts w:eastAsia="Times New Roman" w:cs="Arial"/>
          <w:color w:val="000000"/>
          <w:lang w:eastAsia="bg-BG"/>
        </w:rPr>
      </w:pPr>
    </w:p>
    <w:p w14:paraId="38075E13" w14:textId="07B8E58C"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 xml:space="preserve">Лосартан се метаболизира предимно от цитохром Р450 </w:t>
      </w:r>
      <w:r w:rsidRPr="006D7DF8">
        <w:rPr>
          <w:rFonts w:eastAsia="Times New Roman" w:cs="Arial"/>
          <w:color w:val="000000"/>
          <w:lang w:val="ru-RU"/>
        </w:rPr>
        <w:t>(</w:t>
      </w:r>
      <w:r w:rsidRPr="006D7DF8">
        <w:rPr>
          <w:rFonts w:eastAsia="Times New Roman" w:cs="Arial"/>
          <w:color w:val="000000"/>
          <w:lang w:val="en-US"/>
        </w:rPr>
        <w:t>CYP</w:t>
      </w:r>
      <w:r w:rsidRPr="006D7DF8">
        <w:rPr>
          <w:rFonts w:eastAsia="Times New Roman" w:cs="Arial"/>
          <w:color w:val="000000"/>
          <w:lang w:val="ru-RU"/>
        </w:rPr>
        <w:t xml:space="preserve">) </w:t>
      </w:r>
      <w:r w:rsidRPr="006D7DF8">
        <w:rPr>
          <w:rFonts w:eastAsia="Times New Roman" w:cs="Arial"/>
          <w:color w:val="000000"/>
          <w:lang w:eastAsia="bg-BG"/>
        </w:rPr>
        <w:t xml:space="preserve">2С9 до активен карбокси-киселинен метаболит. В клинично изпитване е установено, че флуконазол (инхибитор на </w:t>
      </w:r>
      <w:r w:rsidRPr="006D7DF8">
        <w:rPr>
          <w:rFonts w:eastAsia="Times New Roman" w:cs="Arial"/>
          <w:color w:val="000000"/>
          <w:lang w:val="en-US"/>
        </w:rPr>
        <w:t>CYP</w:t>
      </w:r>
      <w:r w:rsidRPr="006D7DF8">
        <w:rPr>
          <w:rFonts w:eastAsia="Times New Roman" w:cs="Arial"/>
          <w:color w:val="000000"/>
          <w:lang w:val="ru-RU"/>
        </w:rPr>
        <w:t>2</w:t>
      </w:r>
      <w:r w:rsidRPr="006D7DF8">
        <w:rPr>
          <w:rFonts w:eastAsia="Times New Roman" w:cs="Arial"/>
          <w:color w:val="000000"/>
          <w:lang w:val="en-US"/>
        </w:rPr>
        <w:t>C</w:t>
      </w:r>
      <w:r w:rsidRPr="006D7DF8">
        <w:rPr>
          <w:rFonts w:eastAsia="Times New Roman" w:cs="Arial"/>
          <w:color w:val="000000"/>
          <w:lang w:val="ru-RU"/>
        </w:rPr>
        <w:t xml:space="preserve">9) </w:t>
      </w:r>
      <w:r w:rsidRPr="006D7DF8">
        <w:rPr>
          <w:rFonts w:eastAsia="Times New Roman" w:cs="Arial"/>
          <w:color w:val="000000"/>
          <w:lang w:eastAsia="bg-BG"/>
        </w:rPr>
        <w:t xml:space="preserve">намалява експозицията на активния метаболит с приблизително 50%. Установено е, че едновременното лечение с лосартан и рифампицин (индуктор на ензими на метаболизма) дава 40% понижение на плазмената концентрация на активния метаболит. Клиничното значение на този ефект не е известно. Не се установява разлика в експозицията при едновременно лечение с флувастатин (слаб инхибитор на </w:t>
      </w:r>
      <w:r w:rsidRPr="006D7DF8">
        <w:rPr>
          <w:rFonts w:eastAsia="Times New Roman" w:cs="Arial"/>
          <w:color w:val="000000"/>
          <w:lang w:val="en-US"/>
        </w:rPr>
        <w:t>CYP</w:t>
      </w:r>
      <w:r w:rsidRPr="006D7DF8">
        <w:rPr>
          <w:rFonts w:eastAsia="Times New Roman" w:cs="Arial"/>
          <w:color w:val="000000"/>
          <w:lang w:val="ru-RU"/>
        </w:rPr>
        <w:t>2</w:t>
      </w:r>
      <w:r w:rsidRPr="006D7DF8">
        <w:rPr>
          <w:rFonts w:eastAsia="Times New Roman" w:cs="Arial"/>
          <w:color w:val="000000"/>
          <w:lang w:val="en-US"/>
        </w:rPr>
        <w:t>C</w:t>
      </w:r>
      <w:r w:rsidRPr="006D7DF8">
        <w:rPr>
          <w:rFonts w:eastAsia="Times New Roman" w:cs="Arial"/>
          <w:color w:val="000000"/>
          <w:lang w:val="ru-RU"/>
        </w:rPr>
        <w:t>9).</w:t>
      </w:r>
    </w:p>
    <w:p w14:paraId="779E1C84" w14:textId="77777777" w:rsidR="006D7DF8" w:rsidRPr="006D7DF8" w:rsidRDefault="006D7DF8" w:rsidP="006D7DF8">
      <w:pPr>
        <w:spacing w:line="240" w:lineRule="auto"/>
        <w:rPr>
          <w:rFonts w:eastAsia="Times New Roman" w:cs="Arial"/>
          <w:color w:val="000000"/>
          <w:lang w:eastAsia="bg-BG"/>
        </w:rPr>
      </w:pPr>
    </w:p>
    <w:p w14:paraId="0DB0C69D" w14:textId="326C163E"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Както при други лекарствени продукти, които блокират ангиотензин II или неговите ефекти, съпровождащото приложение на други лекарствени продукти, които задържат калия (например калий-съхраняващи диуретици: амиодарон, триамтерен, спиронолактон) или могат да</w:t>
      </w:r>
      <w:r w:rsidRPr="006D7DF8">
        <w:rPr>
          <w:rFonts w:eastAsia="Times New Roman" w:cs="Arial"/>
          <w:color w:val="000000"/>
          <w:lang w:val="ru-RU"/>
        </w:rPr>
        <w:t xml:space="preserve"> </w:t>
      </w:r>
      <w:r w:rsidRPr="006D7DF8">
        <w:rPr>
          <w:rFonts w:eastAsia="Times New Roman" w:cs="Arial"/>
          <w:color w:val="000000"/>
          <w:lang w:eastAsia="bg-BG"/>
        </w:rPr>
        <w:t>повищат нивата на калия (напр. хепарин), хранителни добавки с калий или калий-съдържащи заместители на солта, може да доведе до повишаване на серумния калий. Съпътстващо лечение не се препоръчва.</w:t>
      </w:r>
      <w:bookmarkStart w:id="1" w:name="bookmark0"/>
      <w:bookmarkEnd w:id="1"/>
    </w:p>
    <w:p w14:paraId="51C021FE" w14:textId="77777777" w:rsidR="006D7DF8" w:rsidRPr="006D7DF8" w:rsidRDefault="006D7DF8" w:rsidP="006D7DF8">
      <w:pPr>
        <w:spacing w:line="240" w:lineRule="auto"/>
        <w:rPr>
          <w:rFonts w:eastAsia="Times New Roman" w:cs="Arial"/>
          <w:sz w:val="24"/>
          <w:szCs w:val="24"/>
        </w:rPr>
      </w:pPr>
    </w:p>
    <w:p w14:paraId="11EE200A" w14:textId="77777777" w:rsidR="006D7DF8" w:rsidRPr="006D7DF8" w:rsidRDefault="006D7DF8" w:rsidP="006D7DF8">
      <w:pPr>
        <w:rPr>
          <w:rFonts w:eastAsia="Times New Roman" w:cs="Arial"/>
          <w:sz w:val="24"/>
          <w:szCs w:val="24"/>
        </w:rPr>
      </w:pPr>
      <w:r w:rsidRPr="006D7DF8">
        <w:rPr>
          <w:rFonts w:eastAsia="Times New Roman" w:cs="Arial"/>
          <w:color w:val="000000"/>
          <w:lang w:eastAsia="bg-BG"/>
        </w:rPr>
        <w:t xml:space="preserve">Има съобщения за обратимо повишение на серумните концентрации на литий при едновременно приложение на литий и АСЕ инхибитори. Съобщава се за много редки случаи с ангиотензин </w:t>
      </w:r>
      <w:r w:rsidRPr="006D7DF8">
        <w:rPr>
          <w:rFonts w:eastAsia="Times New Roman" w:cs="Arial"/>
          <w:color w:val="000000"/>
          <w:lang w:val="en-US"/>
        </w:rPr>
        <w:t>II</w:t>
      </w:r>
      <w:r w:rsidRPr="006D7DF8">
        <w:rPr>
          <w:rFonts w:eastAsia="Times New Roman" w:cs="Arial"/>
          <w:color w:val="000000"/>
          <w:lang w:val="ru-RU"/>
        </w:rPr>
        <w:t xml:space="preserve"> </w:t>
      </w:r>
      <w:r w:rsidRPr="006D7DF8">
        <w:rPr>
          <w:rFonts w:eastAsia="Times New Roman" w:cs="Arial"/>
          <w:color w:val="000000"/>
          <w:lang w:eastAsia="bg-BG"/>
        </w:rPr>
        <w:t>рецепторни антагонисти. Едновременното приложение на литий и лосартан трябва да се предприема внимателно. Ако тази комбинация е крайно необходима се препоръчва наблюдение на серумните нива на литий.</w:t>
      </w:r>
    </w:p>
    <w:p w14:paraId="12F665E1" w14:textId="77777777" w:rsidR="006D7DF8" w:rsidRPr="006D7DF8" w:rsidRDefault="006D7DF8" w:rsidP="006D7DF8">
      <w:pPr>
        <w:spacing w:line="240" w:lineRule="auto"/>
        <w:rPr>
          <w:rFonts w:eastAsia="Times New Roman" w:cs="Arial"/>
          <w:color w:val="000000"/>
          <w:lang w:eastAsia="bg-BG"/>
        </w:rPr>
      </w:pPr>
    </w:p>
    <w:p w14:paraId="774FE2FE" w14:textId="5290AAD4"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 xml:space="preserve">Когато ангиотензин II антагонисти се прилага едновременно с НСПВС (т.е. селективни СОХ-2 инхибитори, ацетилсалицилова киселина в противовъзпалителни дози и неселективни НСПВС), може да се редуцира антихипертензивният ефект. Едновременното приложение на ангиотензин II антагонисти или диуретици и НСПВС повишава риска от влошаване на бъбречната функция, включително възможност от остра бъбречна недостатъчност, и повишаване на серумния калий, особено при пациенти с </w:t>
      </w:r>
      <w:r w:rsidRPr="006D7DF8">
        <w:rPr>
          <w:rFonts w:eastAsia="Times New Roman" w:cs="Arial"/>
          <w:color w:val="000000"/>
          <w:lang w:eastAsia="bg-BG"/>
        </w:rPr>
        <w:lastRenderedPageBreak/>
        <w:t>незадоволителна преди това бъбречна функция. Комбинацията следва да се прилага внимателно, особено в старческа възраст. Пациентите следва да бъдат адекватно хидратирани и трябва да се обсъди наблюдение на бъбречната функция след започване на едновременно лечение, и периодично след това.</w:t>
      </w:r>
    </w:p>
    <w:p w14:paraId="4EC40F6D" w14:textId="77777777"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 xml:space="preserve">Данни от клинични проучвания показват, че двойното блокиране на ренин-ангиотензин-алдостероновата система (РААС) чрез комбинираната употреба на АСЕ инхибитори, ангиотензин И-рецепторни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 Двойната блокада трябва да бъде лимитирана до индивидуално определени случаи със стриктно проследяване на кръвното налягане, бъбречната функция и електролитите. Едновременната употреба на лосартан с алискирен е противопоказана при пациенти със захарен диабет или бъбречно увреждане </w:t>
      </w:r>
      <w:r w:rsidRPr="006D7DF8">
        <w:rPr>
          <w:rFonts w:eastAsia="Times New Roman" w:cs="Arial"/>
          <w:color w:val="000000"/>
          <w:lang w:val="ru-RU"/>
        </w:rPr>
        <w:t>(</w:t>
      </w:r>
      <w:r w:rsidRPr="006D7DF8">
        <w:rPr>
          <w:rFonts w:eastAsia="Times New Roman" w:cs="Arial"/>
          <w:color w:val="000000"/>
          <w:lang w:val="en-US"/>
        </w:rPr>
        <w:t>GFR</w:t>
      </w:r>
      <w:r w:rsidRPr="006D7DF8">
        <w:rPr>
          <w:rFonts w:eastAsia="Times New Roman" w:cs="Arial"/>
          <w:color w:val="000000"/>
          <w:lang w:val="ru-RU"/>
        </w:rPr>
        <w:t xml:space="preserve"> </w:t>
      </w:r>
      <w:r w:rsidRPr="006D7DF8">
        <w:rPr>
          <w:rFonts w:eastAsia="Times New Roman" w:cs="Arial"/>
          <w:color w:val="000000"/>
          <w:lang w:eastAsia="bg-BG"/>
        </w:rPr>
        <w:t xml:space="preserve">&lt; 60 </w:t>
      </w:r>
      <w:r w:rsidRPr="006D7DF8">
        <w:rPr>
          <w:rFonts w:eastAsia="Times New Roman" w:cs="Arial"/>
          <w:color w:val="000000"/>
          <w:lang w:val="en-US"/>
        </w:rPr>
        <w:t>ml</w:t>
      </w:r>
      <w:r w:rsidRPr="006D7DF8">
        <w:rPr>
          <w:rFonts w:eastAsia="Times New Roman" w:cs="Arial"/>
          <w:color w:val="000000"/>
          <w:lang w:val="ru-RU"/>
        </w:rPr>
        <w:t>/</w:t>
      </w:r>
      <w:r w:rsidRPr="006D7DF8">
        <w:rPr>
          <w:rFonts w:eastAsia="Times New Roman" w:cs="Arial"/>
          <w:color w:val="000000"/>
          <w:lang w:val="en-US"/>
        </w:rPr>
        <w:t>min</w:t>
      </w:r>
      <w:r w:rsidRPr="006D7DF8">
        <w:rPr>
          <w:rFonts w:eastAsia="Times New Roman" w:cs="Arial"/>
          <w:color w:val="000000"/>
          <w:lang w:val="ru-RU"/>
        </w:rPr>
        <w:t xml:space="preserve">) </w:t>
      </w:r>
      <w:r w:rsidRPr="006D7DF8">
        <w:rPr>
          <w:rFonts w:eastAsia="Times New Roman" w:cs="Arial"/>
          <w:color w:val="000000"/>
          <w:lang w:eastAsia="bg-BG"/>
        </w:rPr>
        <w:t>(вж. точки 4.3)</w:t>
      </w:r>
    </w:p>
    <w:p w14:paraId="1F066F39" w14:textId="64831F99" w:rsidR="006D7DF8" w:rsidRPr="006D7DF8" w:rsidRDefault="006D7DF8" w:rsidP="006D7DF8"/>
    <w:p w14:paraId="394A7584" w14:textId="15A3F639" w:rsidR="004F498A" w:rsidRDefault="002C50EE" w:rsidP="004A448E">
      <w:pPr>
        <w:pStyle w:val="Heading2"/>
      </w:pPr>
      <w:r>
        <w:t>4.6. Фертилитет, бременност и кърмене</w:t>
      </w:r>
    </w:p>
    <w:p w14:paraId="4E299A9C" w14:textId="2D1D2B77" w:rsidR="006D7DF8" w:rsidRDefault="006D7DF8" w:rsidP="006D7DF8"/>
    <w:p w14:paraId="2D02BC76" w14:textId="77777777" w:rsidR="006D7DF8" w:rsidRPr="006D7DF8" w:rsidRDefault="006D7DF8" w:rsidP="006D7DF8">
      <w:pPr>
        <w:pStyle w:val="Heading3"/>
        <w:rPr>
          <w:rFonts w:eastAsia="Times New Roman"/>
          <w:u w:val="single"/>
        </w:rPr>
      </w:pPr>
      <w:r w:rsidRPr="006D7DF8">
        <w:rPr>
          <w:rFonts w:eastAsia="Times New Roman"/>
          <w:u w:val="single"/>
          <w:lang w:eastAsia="bg-BG"/>
        </w:rPr>
        <w:t>Бременност</w:t>
      </w:r>
    </w:p>
    <w:p w14:paraId="5D04D06F" w14:textId="77777777"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Използването на лосартан не се препоръчва през първия триместьр на бременността (вж. точка 4.4). Използването на лосартан е противопоказано през 2-ри и 3-ти триместьр на бременността (вж. точки 4.3 и 4.4).</w:t>
      </w:r>
    </w:p>
    <w:p w14:paraId="287829B2" w14:textId="77777777" w:rsidR="006D7DF8" w:rsidRPr="006D7DF8" w:rsidRDefault="006D7DF8" w:rsidP="006D7DF8">
      <w:pPr>
        <w:spacing w:line="240" w:lineRule="auto"/>
        <w:rPr>
          <w:rFonts w:eastAsia="Times New Roman" w:cs="Arial"/>
          <w:color w:val="000000"/>
          <w:lang w:eastAsia="bg-BG"/>
        </w:rPr>
      </w:pPr>
    </w:p>
    <w:p w14:paraId="1CBD1CCD" w14:textId="712EB8E5"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 xml:space="preserve">Епидемиологичните доказателства за риск от тератогенност след лечение с АСЕ инхибитори през първия триместьр на бременността не са убедителни; малко увеличение на риска, обаче, не може да се изключи. Макар че няма контролирани епидемиологични данни за риска при ангиотензин II рецепторни инхибитори </w:t>
      </w:r>
      <w:r w:rsidRPr="006D7DF8">
        <w:rPr>
          <w:rFonts w:eastAsia="Times New Roman" w:cs="Arial"/>
          <w:color w:val="000000"/>
          <w:lang w:val="ru-RU"/>
        </w:rPr>
        <w:t>(</w:t>
      </w:r>
      <w:r w:rsidRPr="006D7DF8">
        <w:rPr>
          <w:rFonts w:eastAsia="Times New Roman" w:cs="Arial"/>
          <w:color w:val="000000"/>
          <w:lang w:val="en-US"/>
        </w:rPr>
        <w:t>AIIRA</w:t>
      </w:r>
      <w:r w:rsidRPr="006D7DF8">
        <w:rPr>
          <w:rFonts w:eastAsia="Times New Roman" w:cs="Arial"/>
          <w:color w:val="000000"/>
          <w:lang w:val="ru-RU"/>
        </w:rPr>
        <w:t xml:space="preserve">), </w:t>
      </w:r>
      <w:r w:rsidRPr="006D7DF8">
        <w:rPr>
          <w:rFonts w:eastAsia="Times New Roman" w:cs="Arial"/>
          <w:color w:val="000000"/>
          <w:lang w:eastAsia="bg-BG"/>
        </w:rPr>
        <w:t xml:space="preserve">подобни рискове биха могли да съществуват при този клас лекарствени продукти. Освен в случаите, когато лечение с </w:t>
      </w:r>
      <w:r w:rsidRPr="006D7DF8">
        <w:rPr>
          <w:rFonts w:eastAsia="Times New Roman" w:cs="Arial"/>
          <w:color w:val="000000"/>
          <w:lang w:val="en-US"/>
        </w:rPr>
        <w:t>AIIRA</w:t>
      </w:r>
      <w:r w:rsidRPr="006D7DF8">
        <w:rPr>
          <w:rFonts w:eastAsia="Times New Roman" w:cs="Arial"/>
          <w:color w:val="000000"/>
          <w:lang w:val="ru-RU"/>
        </w:rPr>
        <w:t xml:space="preserve"> </w:t>
      </w:r>
      <w:r w:rsidRPr="006D7DF8">
        <w:rPr>
          <w:rFonts w:eastAsia="Times New Roman" w:cs="Arial"/>
          <w:color w:val="000000"/>
          <w:lang w:eastAsia="bg-BG"/>
        </w:rPr>
        <w:t>се счита за крайно необходимо, праниращи бременност пациентки трябва да преминат на алтернативно антихипертензивно лечение, с установен профил на безопасност при бременност. Когато се диагностицира бременност, лечението с лосартан трябва да бъде преустановено незабавно и, ако е уместно, да се започне алтернативно лечение.</w:t>
      </w:r>
    </w:p>
    <w:p w14:paraId="7782D4E8" w14:textId="77777777" w:rsidR="006D7DF8" w:rsidRPr="006D7DF8" w:rsidRDefault="006D7DF8" w:rsidP="006D7DF8">
      <w:pPr>
        <w:spacing w:line="240" w:lineRule="auto"/>
        <w:rPr>
          <w:rFonts w:eastAsia="Times New Roman" w:cs="Arial"/>
          <w:color w:val="000000"/>
          <w:lang w:eastAsia="bg-BG"/>
        </w:rPr>
      </w:pPr>
    </w:p>
    <w:p w14:paraId="1E069C39" w14:textId="77EDC3F0"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 xml:space="preserve">Лечението с </w:t>
      </w:r>
      <w:r w:rsidRPr="006D7DF8">
        <w:rPr>
          <w:rFonts w:eastAsia="Times New Roman" w:cs="Arial"/>
          <w:color w:val="000000"/>
          <w:lang w:val="en-US"/>
        </w:rPr>
        <w:t>AIIRA</w:t>
      </w:r>
      <w:r w:rsidRPr="006D7DF8">
        <w:rPr>
          <w:rFonts w:eastAsia="Times New Roman" w:cs="Arial"/>
          <w:color w:val="000000"/>
          <w:lang w:val="ru-RU"/>
        </w:rPr>
        <w:t xml:space="preserve"> </w:t>
      </w:r>
      <w:r w:rsidRPr="006D7DF8">
        <w:rPr>
          <w:rFonts w:eastAsia="Times New Roman" w:cs="Arial"/>
          <w:color w:val="000000"/>
          <w:lang w:eastAsia="bg-BG"/>
        </w:rPr>
        <w:t>през втория и третия триместьр на бременността индуцира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EA3EF93" w14:textId="77777777"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Ако през втория триместьр на бременността се проведе лечение с лосартан, се препоръчва ехографски контрол на бъбречната функция и черепа.</w:t>
      </w:r>
    </w:p>
    <w:p w14:paraId="284EF3DA" w14:textId="77777777" w:rsidR="006D7DF8" w:rsidRPr="006D7DF8" w:rsidRDefault="006D7DF8" w:rsidP="006D7DF8">
      <w:pPr>
        <w:spacing w:line="240" w:lineRule="auto"/>
        <w:rPr>
          <w:rFonts w:eastAsia="Times New Roman" w:cs="Arial"/>
          <w:color w:val="000000"/>
          <w:lang w:eastAsia="bg-BG"/>
        </w:rPr>
      </w:pPr>
    </w:p>
    <w:p w14:paraId="722AD56F" w14:textId="73308AEF"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Новородени, чиито майки са се лекували с лосартан, трябва да са под непрекъснат контрол за хипотония (вж. също точки 4.3 и 4.4).</w:t>
      </w:r>
    </w:p>
    <w:p w14:paraId="67AD01F2" w14:textId="77777777" w:rsidR="006D7DF8" w:rsidRPr="006D7DF8" w:rsidRDefault="006D7DF8" w:rsidP="006D7DF8">
      <w:pPr>
        <w:spacing w:line="240" w:lineRule="auto"/>
        <w:rPr>
          <w:rFonts w:eastAsia="Times New Roman" w:cs="Arial"/>
          <w:color w:val="000000"/>
          <w:u w:val="single"/>
          <w:lang w:eastAsia="bg-BG"/>
        </w:rPr>
      </w:pPr>
    </w:p>
    <w:p w14:paraId="704AE70D" w14:textId="768BAE5C" w:rsidR="006D7DF8" w:rsidRPr="006D7DF8" w:rsidRDefault="006D7DF8" w:rsidP="006D7DF8">
      <w:pPr>
        <w:pStyle w:val="Heading3"/>
        <w:rPr>
          <w:rFonts w:eastAsia="Times New Roman"/>
          <w:u w:val="single"/>
        </w:rPr>
      </w:pPr>
      <w:r w:rsidRPr="006D7DF8">
        <w:rPr>
          <w:rFonts w:eastAsia="Times New Roman"/>
          <w:u w:val="single"/>
          <w:lang w:eastAsia="bg-BG"/>
        </w:rPr>
        <w:t>Кърмене</w:t>
      </w:r>
    </w:p>
    <w:p w14:paraId="53193112" w14:textId="048ED4F0" w:rsidR="006D7DF8" w:rsidRPr="006D7DF8" w:rsidRDefault="006D7DF8" w:rsidP="006D7DF8">
      <w:pPr>
        <w:rPr>
          <w:rFonts w:cs="Arial"/>
        </w:rPr>
      </w:pPr>
      <w:r w:rsidRPr="006D7DF8">
        <w:rPr>
          <w:rFonts w:eastAsia="Times New Roman" w:cs="Arial"/>
          <w:color w:val="000000"/>
          <w:lang w:eastAsia="bg-BG"/>
        </w:rPr>
        <w:t>Поради липса на информация относно употребата на лосартан по време на кърмене приложението на Лозап не се препоръчва. Предпочита се употребата на алтернативно лечение с добре установен профил на безопасност по време на кърмене, особено при кърмене на новородено или недоносено бебе.</w:t>
      </w:r>
    </w:p>
    <w:p w14:paraId="064DF1DE" w14:textId="02E05682" w:rsidR="00CF77F7" w:rsidRDefault="002C50EE" w:rsidP="004A448E">
      <w:pPr>
        <w:pStyle w:val="Heading2"/>
      </w:pPr>
      <w:r>
        <w:lastRenderedPageBreak/>
        <w:t>4.7. Ефекти върху способността за шофиране и работа с машини</w:t>
      </w:r>
    </w:p>
    <w:p w14:paraId="736366B5" w14:textId="47681169" w:rsidR="006D7DF8" w:rsidRDefault="006D7DF8" w:rsidP="006D7DF8"/>
    <w:p w14:paraId="7C9C5524" w14:textId="77777777" w:rsidR="006D7DF8" w:rsidRPr="006D7DF8" w:rsidRDefault="006D7DF8" w:rsidP="006D7DF8">
      <w:pPr>
        <w:rPr>
          <w:sz w:val="24"/>
          <w:szCs w:val="24"/>
        </w:rPr>
      </w:pPr>
      <w:r w:rsidRPr="006D7DF8">
        <w:rPr>
          <w:lang w:eastAsia="bg-BG"/>
        </w:rPr>
        <w:t>Не са провеждани проучвания за ефектите върху способността за шофиране и работа с машини. Когато се шофира или работи с машини обаче трябва да се има предвид, че макар и рядко, при провеждане на антихипертензивно лечение може да се появи замайване и сънливост, особено при започване на лечението или при повишаване на дозата.</w:t>
      </w:r>
    </w:p>
    <w:p w14:paraId="7E70CA06" w14:textId="77777777" w:rsidR="006D7DF8" w:rsidRPr="006D7DF8" w:rsidRDefault="006D7DF8" w:rsidP="006D7DF8"/>
    <w:p w14:paraId="37A3FD9F" w14:textId="147B350D" w:rsidR="00CF77F7" w:rsidRDefault="002C50EE" w:rsidP="004A448E">
      <w:pPr>
        <w:pStyle w:val="Heading2"/>
      </w:pPr>
      <w:r>
        <w:t>4.8. Нежелани лекарствени реакции</w:t>
      </w:r>
    </w:p>
    <w:p w14:paraId="55AEE7A6" w14:textId="31F9A06D" w:rsidR="006D7DF8" w:rsidRDefault="006D7DF8" w:rsidP="006D7DF8"/>
    <w:p w14:paraId="06E36470" w14:textId="77777777"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Лосартан е оценяван в следните клинични изпитвания:</w:t>
      </w:r>
    </w:p>
    <w:p w14:paraId="03F29021" w14:textId="77777777" w:rsidR="006D7DF8" w:rsidRPr="006D7DF8" w:rsidRDefault="006D7DF8" w:rsidP="006D7DF8">
      <w:pPr>
        <w:pStyle w:val="ListParagraph"/>
        <w:numPr>
          <w:ilvl w:val="0"/>
          <w:numId w:val="38"/>
        </w:numPr>
        <w:spacing w:line="240" w:lineRule="auto"/>
        <w:rPr>
          <w:rFonts w:eastAsia="Times New Roman" w:cs="Arial"/>
          <w:sz w:val="24"/>
          <w:szCs w:val="24"/>
        </w:rPr>
      </w:pPr>
      <w:r w:rsidRPr="006D7DF8">
        <w:rPr>
          <w:rFonts w:eastAsia="Times New Roman" w:cs="Arial"/>
          <w:color w:val="000000"/>
          <w:lang w:eastAsia="bg-BG"/>
        </w:rPr>
        <w:t>в контролирано клинично изпитване с повече от 3 000 възрастни пациенти на възраст 18 и повече години с есенциална хипертония.</w:t>
      </w:r>
    </w:p>
    <w:p w14:paraId="1247795D" w14:textId="77777777" w:rsidR="006D7DF8" w:rsidRPr="006D7DF8" w:rsidRDefault="006D7DF8" w:rsidP="006D7DF8">
      <w:pPr>
        <w:pStyle w:val="ListParagraph"/>
        <w:numPr>
          <w:ilvl w:val="0"/>
          <w:numId w:val="38"/>
        </w:numPr>
        <w:spacing w:line="240" w:lineRule="auto"/>
        <w:rPr>
          <w:rFonts w:eastAsia="Times New Roman" w:cs="Arial"/>
          <w:sz w:val="24"/>
          <w:szCs w:val="24"/>
        </w:rPr>
      </w:pPr>
      <w:r w:rsidRPr="006D7DF8">
        <w:rPr>
          <w:rFonts w:eastAsia="Times New Roman" w:cs="Arial"/>
          <w:color w:val="000000"/>
          <w:lang w:eastAsia="bg-BG"/>
        </w:rPr>
        <w:t>в контролирано клинично изпитване със 177 педиатрични ноциенти с хипертония на възраст 6 до 16 години.</w:t>
      </w:r>
    </w:p>
    <w:p w14:paraId="5EB099EB" w14:textId="77777777" w:rsidR="006D7DF8" w:rsidRPr="006D7DF8" w:rsidRDefault="006D7DF8" w:rsidP="006D7DF8">
      <w:pPr>
        <w:pStyle w:val="ListParagraph"/>
        <w:numPr>
          <w:ilvl w:val="0"/>
          <w:numId w:val="38"/>
        </w:numPr>
        <w:spacing w:line="240" w:lineRule="auto"/>
        <w:rPr>
          <w:rFonts w:eastAsia="Times New Roman" w:cs="Arial"/>
          <w:sz w:val="24"/>
          <w:szCs w:val="24"/>
        </w:rPr>
      </w:pPr>
      <w:r w:rsidRPr="006D7DF8">
        <w:rPr>
          <w:rFonts w:eastAsia="Times New Roman" w:cs="Arial"/>
          <w:color w:val="000000"/>
          <w:lang w:eastAsia="bg-BG"/>
        </w:rPr>
        <w:t xml:space="preserve">в контролирано клинично изпитване с повече от 9 000 пациенти с хипертония на възраст 55 до 80 години с левокамерна хипертрофия (вж. </w:t>
      </w:r>
      <w:r w:rsidRPr="006D7DF8">
        <w:rPr>
          <w:rFonts w:eastAsia="Times New Roman" w:cs="Arial"/>
          <w:color w:val="000000"/>
          <w:lang w:val="en-US"/>
        </w:rPr>
        <w:t>LIFE</w:t>
      </w:r>
      <w:r w:rsidRPr="006D7DF8">
        <w:rPr>
          <w:rFonts w:eastAsia="Times New Roman" w:cs="Arial"/>
          <w:color w:val="000000"/>
          <w:lang w:val="ru-RU"/>
        </w:rPr>
        <w:t xml:space="preserve"> </w:t>
      </w:r>
      <w:r w:rsidRPr="006D7DF8">
        <w:rPr>
          <w:rFonts w:eastAsia="Times New Roman" w:cs="Arial"/>
          <w:color w:val="000000"/>
          <w:lang w:eastAsia="bg-BG"/>
        </w:rPr>
        <w:t>проучване, точка 5.1)</w:t>
      </w:r>
    </w:p>
    <w:p w14:paraId="072940D9" w14:textId="77777777" w:rsidR="006D7DF8" w:rsidRPr="006D7DF8" w:rsidRDefault="006D7DF8" w:rsidP="006D7DF8">
      <w:pPr>
        <w:pStyle w:val="ListParagraph"/>
        <w:numPr>
          <w:ilvl w:val="0"/>
          <w:numId w:val="38"/>
        </w:numPr>
        <w:spacing w:line="240" w:lineRule="auto"/>
        <w:rPr>
          <w:rFonts w:eastAsia="Times New Roman" w:cs="Arial"/>
          <w:sz w:val="24"/>
          <w:szCs w:val="24"/>
        </w:rPr>
      </w:pPr>
      <w:r w:rsidRPr="006D7DF8">
        <w:rPr>
          <w:rFonts w:eastAsia="Times New Roman" w:cs="Arial"/>
          <w:color w:val="000000"/>
          <w:lang w:eastAsia="bg-BG"/>
        </w:rPr>
        <w:t xml:space="preserve">в контролирани клинични изпитвания с повече от 7 700 възрастни пациенти с хронична сърдечна недостатъчност (вж. </w:t>
      </w:r>
      <w:r w:rsidRPr="006D7DF8">
        <w:rPr>
          <w:rFonts w:eastAsia="Times New Roman" w:cs="Arial"/>
          <w:color w:val="000000"/>
          <w:lang w:val="en-US"/>
        </w:rPr>
        <w:t>ELITE</w:t>
      </w:r>
      <w:r w:rsidRPr="006D7DF8">
        <w:rPr>
          <w:rFonts w:eastAsia="Times New Roman" w:cs="Arial"/>
          <w:color w:val="000000"/>
          <w:lang w:val="ru-RU"/>
        </w:rPr>
        <w:t xml:space="preserve"> </w:t>
      </w:r>
      <w:r w:rsidRPr="006D7DF8">
        <w:rPr>
          <w:rFonts w:eastAsia="Times New Roman" w:cs="Arial"/>
          <w:color w:val="000000"/>
          <w:lang w:val="en-US"/>
        </w:rPr>
        <w:t>I</w:t>
      </w:r>
      <w:r w:rsidRPr="006D7DF8">
        <w:rPr>
          <w:rFonts w:eastAsia="Times New Roman" w:cs="Arial"/>
          <w:color w:val="000000"/>
          <w:lang w:val="ru-RU"/>
        </w:rPr>
        <w:t xml:space="preserve">, </w:t>
      </w:r>
      <w:r w:rsidRPr="006D7DF8">
        <w:rPr>
          <w:rFonts w:eastAsia="Times New Roman" w:cs="Arial"/>
          <w:color w:val="000000"/>
          <w:lang w:val="en-US"/>
        </w:rPr>
        <w:t>ELITE</w:t>
      </w:r>
      <w:r w:rsidRPr="006D7DF8">
        <w:rPr>
          <w:rFonts w:eastAsia="Times New Roman" w:cs="Arial"/>
          <w:color w:val="000000"/>
          <w:lang w:val="ru-RU"/>
        </w:rPr>
        <w:t xml:space="preserve"> </w:t>
      </w:r>
      <w:r w:rsidRPr="006D7DF8">
        <w:rPr>
          <w:rFonts w:eastAsia="Times New Roman" w:cs="Arial"/>
          <w:color w:val="000000"/>
          <w:lang w:eastAsia="bg-BG"/>
        </w:rPr>
        <w:t xml:space="preserve">II и </w:t>
      </w:r>
      <w:r w:rsidRPr="006D7DF8">
        <w:rPr>
          <w:rFonts w:eastAsia="Times New Roman" w:cs="Arial"/>
          <w:color w:val="000000"/>
          <w:lang w:val="en-US"/>
        </w:rPr>
        <w:t>HEAAL</w:t>
      </w:r>
      <w:r w:rsidRPr="006D7DF8">
        <w:rPr>
          <w:rFonts w:eastAsia="Times New Roman" w:cs="Arial"/>
          <w:color w:val="000000"/>
          <w:lang w:val="ru-RU"/>
        </w:rPr>
        <w:t xml:space="preserve"> </w:t>
      </w:r>
      <w:r w:rsidRPr="006D7DF8">
        <w:rPr>
          <w:rFonts w:eastAsia="Times New Roman" w:cs="Arial"/>
          <w:color w:val="000000"/>
          <w:lang w:eastAsia="bg-BG"/>
        </w:rPr>
        <w:t>проучване, точка 5.1)</w:t>
      </w:r>
    </w:p>
    <w:p w14:paraId="39691389" w14:textId="5982BA13" w:rsidR="006D7DF8" w:rsidRPr="006D7DF8" w:rsidRDefault="006D7DF8" w:rsidP="006D7DF8">
      <w:pPr>
        <w:pStyle w:val="ListParagraph"/>
        <w:numPr>
          <w:ilvl w:val="0"/>
          <w:numId w:val="38"/>
        </w:numPr>
        <w:spacing w:line="240" w:lineRule="auto"/>
        <w:rPr>
          <w:rFonts w:eastAsia="Times New Roman" w:cs="Arial"/>
          <w:sz w:val="24"/>
          <w:szCs w:val="24"/>
        </w:rPr>
      </w:pPr>
      <w:r w:rsidRPr="006D7DF8">
        <w:rPr>
          <w:rFonts w:eastAsia="Times New Roman" w:cs="Arial"/>
          <w:color w:val="000000"/>
          <w:lang w:eastAsia="bg-BG"/>
        </w:rPr>
        <w:t xml:space="preserve">в контролирано клинично изпитване с повече от 1 500 пациенти с диабет тип 2 на възраст 31 и повече години с протеинурия (вж. </w:t>
      </w:r>
      <w:r w:rsidRPr="006D7DF8">
        <w:rPr>
          <w:rFonts w:eastAsia="Times New Roman" w:cs="Arial"/>
          <w:color w:val="000000"/>
          <w:lang w:val="en-US"/>
        </w:rPr>
        <w:t>RENAAL</w:t>
      </w:r>
      <w:r w:rsidRPr="006D7DF8">
        <w:rPr>
          <w:rFonts w:eastAsia="Times New Roman" w:cs="Arial"/>
          <w:color w:val="000000"/>
          <w:lang w:val="ru-RU"/>
        </w:rPr>
        <w:t xml:space="preserve"> </w:t>
      </w:r>
      <w:r w:rsidRPr="006D7DF8">
        <w:rPr>
          <w:rFonts w:eastAsia="Times New Roman" w:cs="Arial"/>
          <w:color w:val="000000"/>
          <w:lang w:eastAsia="bg-BG"/>
        </w:rPr>
        <w:t>проучване, точка 5.1).</w:t>
      </w:r>
    </w:p>
    <w:p w14:paraId="3753DA8A" w14:textId="77777777" w:rsidR="006D7DF8" w:rsidRPr="006D7DF8" w:rsidRDefault="006D7DF8" w:rsidP="006D7DF8">
      <w:pPr>
        <w:spacing w:line="240" w:lineRule="auto"/>
        <w:rPr>
          <w:rFonts w:eastAsia="Times New Roman" w:cs="Arial"/>
          <w:color w:val="000000"/>
          <w:lang w:eastAsia="bg-BG"/>
        </w:rPr>
      </w:pPr>
    </w:p>
    <w:p w14:paraId="0F1F4637" w14:textId="3FE4606C"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Замайване е най-честата нежелана реакция в тези клинични изпитвания.</w:t>
      </w:r>
    </w:p>
    <w:p w14:paraId="6C9A5500" w14:textId="77777777" w:rsidR="006D7DF8" w:rsidRPr="006D7DF8" w:rsidRDefault="006D7DF8" w:rsidP="006D7DF8">
      <w:pPr>
        <w:spacing w:line="240" w:lineRule="auto"/>
        <w:rPr>
          <w:rFonts w:eastAsia="Times New Roman" w:cs="Arial"/>
          <w:color w:val="000000"/>
          <w:lang w:eastAsia="bg-BG"/>
        </w:rPr>
      </w:pPr>
    </w:p>
    <w:p w14:paraId="3DD55E7C" w14:textId="26F3A8AA" w:rsidR="006D7DF8" w:rsidRPr="006D7DF8" w:rsidRDefault="006D7DF8" w:rsidP="006D7DF8">
      <w:pPr>
        <w:spacing w:line="240" w:lineRule="auto"/>
        <w:rPr>
          <w:rFonts w:eastAsia="Times New Roman" w:cs="Arial"/>
          <w:sz w:val="24"/>
          <w:szCs w:val="24"/>
        </w:rPr>
      </w:pPr>
      <w:r w:rsidRPr="006D7DF8">
        <w:rPr>
          <w:rFonts w:eastAsia="Times New Roman" w:cs="Arial"/>
          <w:color w:val="000000"/>
          <w:lang w:eastAsia="bg-BG"/>
        </w:rPr>
        <w:t xml:space="preserve">Честотата на нежеланите лекарствени реакции се определя с използване на следните условия: много чести (≥1/10); чести (≥1/100, до &lt; </w:t>
      </w:r>
      <w:r w:rsidRPr="006D7DF8">
        <w:rPr>
          <w:rFonts w:eastAsia="Times New Roman" w:cs="Arial"/>
          <w:i/>
          <w:iCs/>
          <w:color w:val="000000"/>
          <w:lang w:eastAsia="bg-BG"/>
        </w:rPr>
        <w:t>1/10);</w:t>
      </w:r>
      <w:r w:rsidRPr="006D7DF8">
        <w:rPr>
          <w:rFonts w:eastAsia="Times New Roman" w:cs="Arial"/>
          <w:color w:val="000000"/>
          <w:lang w:eastAsia="bg-BG"/>
        </w:rPr>
        <w:t xml:space="preserve"> нечести (≥1/1,000, &lt; 1/100); редки </w:t>
      </w:r>
      <w:r w:rsidRPr="006D7DF8">
        <w:rPr>
          <w:rFonts w:eastAsia="Times New Roman" w:cs="Arial"/>
          <w:i/>
          <w:iCs/>
          <w:color w:val="000000"/>
          <w:lang w:eastAsia="bg-BG"/>
        </w:rPr>
        <w:t xml:space="preserve">(≥1/10,000, до &lt; </w:t>
      </w:r>
      <w:r w:rsidRPr="006D7DF8">
        <w:rPr>
          <w:rFonts w:eastAsia="Times New Roman" w:cs="Arial"/>
          <w:color w:val="000000"/>
          <w:lang w:eastAsia="bg-BG"/>
        </w:rPr>
        <w:t>1/1,000); много редки (&lt; 1/10,000), с неизвестна честота (от наличните данни не може да бъде направена оценка).</w:t>
      </w:r>
    </w:p>
    <w:p w14:paraId="3C7A6E40" w14:textId="77777777" w:rsidR="006D7DF8" w:rsidRPr="006D7DF8" w:rsidRDefault="006D7DF8" w:rsidP="006D7DF8">
      <w:pPr>
        <w:spacing w:line="240" w:lineRule="auto"/>
        <w:rPr>
          <w:rFonts w:eastAsia="Times New Roman" w:cs="Arial"/>
          <w:b/>
          <w:bCs/>
          <w:color w:val="000000"/>
          <w:lang w:eastAsia="bg-BG"/>
        </w:rPr>
      </w:pPr>
    </w:p>
    <w:p w14:paraId="3D967EDC" w14:textId="518D8028" w:rsidR="006D7DF8" w:rsidRPr="006D7DF8" w:rsidRDefault="006D7DF8" w:rsidP="006D7DF8">
      <w:pPr>
        <w:spacing w:line="240" w:lineRule="auto"/>
        <w:rPr>
          <w:rFonts w:eastAsia="Times New Roman" w:cs="Arial"/>
          <w:sz w:val="24"/>
          <w:szCs w:val="24"/>
        </w:rPr>
      </w:pPr>
      <w:r w:rsidRPr="006D7DF8">
        <w:rPr>
          <w:rFonts w:eastAsia="Times New Roman" w:cs="Arial"/>
          <w:b/>
          <w:bCs/>
          <w:color w:val="000000"/>
          <w:lang w:eastAsia="bg-BG"/>
        </w:rPr>
        <w:t>Таблица 1. Честота на нежеланите лекарствени реакции установени при плацебо контролирани клинични проучвания и постмаркетингов опит</w:t>
      </w:r>
    </w:p>
    <w:tbl>
      <w:tblPr>
        <w:tblStyle w:val="TableGrid"/>
        <w:tblW w:w="0" w:type="auto"/>
        <w:tblLook w:val="04A0" w:firstRow="1" w:lastRow="0" w:firstColumn="1" w:lastColumn="0" w:noHBand="0" w:noVBand="1"/>
      </w:tblPr>
      <w:tblGrid>
        <w:gridCol w:w="2090"/>
        <w:gridCol w:w="1259"/>
        <w:gridCol w:w="1409"/>
        <w:gridCol w:w="1579"/>
        <w:gridCol w:w="1348"/>
        <w:gridCol w:w="1665"/>
      </w:tblGrid>
      <w:tr w:rsidR="00C901C2" w14:paraId="1B5026A8" w14:textId="77777777" w:rsidTr="00C22032">
        <w:tc>
          <w:tcPr>
            <w:tcW w:w="2143" w:type="dxa"/>
          </w:tcPr>
          <w:p w14:paraId="19CFBBAD" w14:textId="38B625D1" w:rsidR="00C901C2" w:rsidRPr="00C22032" w:rsidRDefault="00C901C2" w:rsidP="00C901C2">
            <w:pPr>
              <w:rPr>
                <w:rFonts w:cs="Arial"/>
              </w:rPr>
            </w:pPr>
            <w:r w:rsidRPr="00C22032">
              <w:rPr>
                <w:rFonts w:cs="Arial"/>
                <w:b/>
                <w:bCs/>
              </w:rPr>
              <w:t>Нежелана реакция</w:t>
            </w:r>
          </w:p>
        </w:tc>
        <w:tc>
          <w:tcPr>
            <w:tcW w:w="5727" w:type="dxa"/>
            <w:gridSpan w:val="4"/>
          </w:tcPr>
          <w:p w14:paraId="6B49D425" w14:textId="3ED5A828" w:rsidR="00C901C2" w:rsidRPr="00C22032" w:rsidRDefault="00C901C2" w:rsidP="00C901C2">
            <w:pPr>
              <w:rPr>
                <w:rFonts w:cs="Arial"/>
              </w:rPr>
            </w:pPr>
            <w:r w:rsidRPr="00C22032">
              <w:rPr>
                <w:rFonts w:cs="Arial"/>
                <w:b/>
                <w:bCs/>
              </w:rPr>
              <w:t>Честота на нежеланата реакция според индикацията</w:t>
            </w:r>
          </w:p>
        </w:tc>
        <w:tc>
          <w:tcPr>
            <w:tcW w:w="1706" w:type="dxa"/>
          </w:tcPr>
          <w:p w14:paraId="0A5C8B14" w14:textId="25A0C938" w:rsidR="00C901C2" w:rsidRPr="00C22032" w:rsidRDefault="00C901C2" w:rsidP="00C901C2">
            <w:pPr>
              <w:rPr>
                <w:rFonts w:cs="Arial"/>
              </w:rPr>
            </w:pPr>
            <w:r w:rsidRPr="00C22032">
              <w:rPr>
                <w:rFonts w:cs="Arial"/>
                <w:b/>
                <w:bCs/>
              </w:rPr>
              <w:t>Друго</w:t>
            </w:r>
          </w:p>
        </w:tc>
      </w:tr>
      <w:tr w:rsidR="00C22032" w14:paraId="456EC2BE" w14:textId="77777777" w:rsidTr="00C22032">
        <w:tc>
          <w:tcPr>
            <w:tcW w:w="2143" w:type="dxa"/>
          </w:tcPr>
          <w:p w14:paraId="6CE7AAD5" w14:textId="77777777" w:rsidR="00C901C2" w:rsidRPr="00C22032" w:rsidRDefault="00C901C2" w:rsidP="00C901C2">
            <w:pPr>
              <w:rPr>
                <w:rFonts w:cs="Arial"/>
              </w:rPr>
            </w:pPr>
          </w:p>
        </w:tc>
        <w:tc>
          <w:tcPr>
            <w:tcW w:w="1288" w:type="dxa"/>
          </w:tcPr>
          <w:p w14:paraId="0E91A93D" w14:textId="6358528B" w:rsidR="00C901C2" w:rsidRPr="00C22032" w:rsidRDefault="00C901C2" w:rsidP="00C901C2">
            <w:pPr>
              <w:rPr>
                <w:rFonts w:cs="Arial"/>
              </w:rPr>
            </w:pPr>
            <w:r w:rsidRPr="00C22032">
              <w:rPr>
                <w:rFonts w:cs="Arial"/>
                <w:b/>
                <w:bCs/>
              </w:rPr>
              <w:t>Хипертони я</w:t>
            </w:r>
          </w:p>
        </w:tc>
        <w:tc>
          <w:tcPr>
            <w:tcW w:w="1442" w:type="dxa"/>
          </w:tcPr>
          <w:p w14:paraId="05164661" w14:textId="4E638B84" w:rsidR="00C901C2" w:rsidRPr="00C22032" w:rsidRDefault="00C901C2" w:rsidP="00C901C2">
            <w:pPr>
              <w:rPr>
                <w:rFonts w:cs="Arial"/>
              </w:rPr>
            </w:pPr>
            <w:r w:rsidRPr="00C22032">
              <w:rPr>
                <w:rFonts w:cs="Arial"/>
                <w:b/>
                <w:bCs/>
              </w:rPr>
              <w:t>Хипертониц и с левокамерн а хипертрофи я</w:t>
            </w:r>
          </w:p>
        </w:tc>
        <w:tc>
          <w:tcPr>
            <w:tcW w:w="1617" w:type="dxa"/>
          </w:tcPr>
          <w:p w14:paraId="4296BA13" w14:textId="5BEC2BCE" w:rsidR="00C901C2" w:rsidRPr="00C22032" w:rsidRDefault="00C901C2" w:rsidP="00C901C2">
            <w:pPr>
              <w:rPr>
                <w:rFonts w:cs="Arial"/>
              </w:rPr>
            </w:pPr>
            <w:r w:rsidRPr="00C22032">
              <w:rPr>
                <w:rFonts w:cs="Arial"/>
                <w:b/>
                <w:bCs/>
              </w:rPr>
              <w:t>Хронична сърдечна недостатъчно ст</w:t>
            </w:r>
          </w:p>
        </w:tc>
        <w:tc>
          <w:tcPr>
            <w:tcW w:w="1380" w:type="dxa"/>
          </w:tcPr>
          <w:p w14:paraId="2B6D45A4" w14:textId="0E596A69" w:rsidR="00C901C2" w:rsidRPr="00C22032" w:rsidRDefault="00C901C2" w:rsidP="00C901C2">
            <w:pPr>
              <w:rPr>
                <w:rFonts w:cs="Arial"/>
              </w:rPr>
            </w:pPr>
            <w:r w:rsidRPr="00C22032">
              <w:rPr>
                <w:rFonts w:cs="Arial"/>
                <w:b/>
                <w:bCs/>
              </w:rPr>
              <w:t>Хипертони я и диабет тип 2 с бъбречно заболяване</w:t>
            </w:r>
          </w:p>
        </w:tc>
        <w:tc>
          <w:tcPr>
            <w:tcW w:w="1706" w:type="dxa"/>
          </w:tcPr>
          <w:p w14:paraId="1A157D25" w14:textId="1753F931" w:rsidR="00C901C2" w:rsidRPr="00C22032" w:rsidRDefault="00C901C2" w:rsidP="00C901C2">
            <w:pPr>
              <w:rPr>
                <w:rFonts w:cs="Arial"/>
              </w:rPr>
            </w:pPr>
            <w:r w:rsidRPr="00C22032">
              <w:rPr>
                <w:rFonts w:cs="Arial"/>
                <w:b/>
                <w:bCs/>
              </w:rPr>
              <w:t>Постмаркетинг ов опит</w:t>
            </w:r>
          </w:p>
        </w:tc>
      </w:tr>
      <w:tr w:rsidR="00C901C2" w14:paraId="42414B3B" w14:textId="77777777" w:rsidTr="00E1274B">
        <w:tc>
          <w:tcPr>
            <w:tcW w:w="9576" w:type="dxa"/>
            <w:gridSpan w:val="6"/>
          </w:tcPr>
          <w:p w14:paraId="7C2C157D" w14:textId="1E3D49F7" w:rsidR="00C901C2" w:rsidRPr="00C22032" w:rsidRDefault="00C901C2" w:rsidP="006D7DF8">
            <w:pPr>
              <w:rPr>
                <w:rFonts w:cs="Arial"/>
              </w:rPr>
            </w:pPr>
            <w:r w:rsidRPr="00C901C2">
              <w:rPr>
                <w:rFonts w:eastAsia="Times New Roman" w:cs="Arial"/>
                <w:b/>
                <w:bCs/>
                <w:color w:val="000000"/>
                <w:lang w:eastAsia="bg-BG"/>
              </w:rPr>
              <w:t>Нарушения на кръвта и лимфната система</w:t>
            </w:r>
          </w:p>
        </w:tc>
      </w:tr>
      <w:tr w:rsidR="00C22032" w14:paraId="5D41436D" w14:textId="77777777" w:rsidTr="00C22032">
        <w:tc>
          <w:tcPr>
            <w:tcW w:w="2143" w:type="dxa"/>
          </w:tcPr>
          <w:p w14:paraId="5DEFE2C9" w14:textId="306F7E64" w:rsidR="00C901C2" w:rsidRPr="00C22032" w:rsidRDefault="00C901C2" w:rsidP="00C901C2">
            <w:pPr>
              <w:rPr>
                <w:rFonts w:cs="Arial"/>
              </w:rPr>
            </w:pPr>
            <w:r w:rsidRPr="00C22032">
              <w:rPr>
                <w:rFonts w:cs="Arial"/>
              </w:rPr>
              <w:t>анемия</w:t>
            </w:r>
          </w:p>
        </w:tc>
        <w:tc>
          <w:tcPr>
            <w:tcW w:w="1288" w:type="dxa"/>
          </w:tcPr>
          <w:p w14:paraId="56DC1661" w14:textId="77777777" w:rsidR="00C901C2" w:rsidRPr="00C22032" w:rsidRDefault="00C901C2" w:rsidP="00C901C2">
            <w:pPr>
              <w:rPr>
                <w:rFonts w:cs="Arial"/>
              </w:rPr>
            </w:pPr>
          </w:p>
        </w:tc>
        <w:tc>
          <w:tcPr>
            <w:tcW w:w="1442" w:type="dxa"/>
          </w:tcPr>
          <w:p w14:paraId="54536D84" w14:textId="77777777" w:rsidR="00C901C2" w:rsidRPr="00C22032" w:rsidRDefault="00C901C2" w:rsidP="00C901C2">
            <w:pPr>
              <w:rPr>
                <w:rFonts w:cs="Arial"/>
              </w:rPr>
            </w:pPr>
          </w:p>
        </w:tc>
        <w:tc>
          <w:tcPr>
            <w:tcW w:w="1617" w:type="dxa"/>
          </w:tcPr>
          <w:p w14:paraId="1F9D3879" w14:textId="40509067" w:rsidR="00C901C2" w:rsidRPr="00C22032" w:rsidRDefault="00C901C2" w:rsidP="00C901C2">
            <w:pPr>
              <w:rPr>
                <w:rFonts w:cs="Arial"/>
              </w:rPr>
            </w:pPr>
            <w:r w:rsidRPr="00C22032">
              <w:rPr>
                <w:rFonts w:cs="Arial"/>
              </w:rPr>
              <w:t>чести</w:t>
            </w:r>
          </w:p>
        </w:tc>
        <w:tc>
          <w:tcPr>
            <w:tcW w:w="1380" w:type="dxa"/>
          </w:tcPr>
          <w:p w14:paraId="6D8C336D" w14:textId="77777777" w:rsidR="00C901C2" w:rsidRPr="00C22032" w:rsidRDefault="00C901C2" w:rsidP="00C901C2">
            <w:pPr>
              <w:rPr>
                <w:rFonts w:cs="Arial"/>
              </w:rPr>
            </w:pPr>
          </w:p>
        </w:tc>
        <w:tc>
          <w:tcPr>
            <w:tcW w:w="1706" w:type="dxa"/>
          </w:tcPr>
          <w:p w14:paraId="369DC2A7" w14:textId="6DC0A398" w:rsidR="00C901C2" w:rsidRPr="00C22032" w:rsidRDefault="00C901C2" w:rsidP="00C901C2">
            <w:pPr>
              <w:rPr>
                <w:rFonts w:cs="Arial"/>
              </w:rPr>
            </w:pPr>
            <w:r w:rsidRPr="00C22032">
              <w:rPr>
                <w:rFonts w:cs="Arial"/>
              </w:rPr>
              <w:t>с неизвестна честота</w:t>
            </w:r>
          </w:p>
        </w:tc>
      </w:tr>
      <w:tr w:rsidR="00C22032" w14:paraId="5DA515A5" w14:textId="77777777" w:rsidTr="00C22032">
        <w:tc>
          <w:tcPr>
            <w:tcW w:w="2143" w:type="dxa"/>
          </w:tcPr>
          <w:p w14:paraId="2BC4A6BB" w14:textId="1250F8CE" w:rsidR="00C901C2" w:rsidRPr="00C22032" w:rsidRDefault="00C901C2" w:rsidP="00C901C2">
            <w:pPr>
              <w:rPr>
                <w:rFonts w:cs="Arial"/>
              </w:rPr>
            </w:pPr>
            <w:r w:rsidRPr="00C22032">
              <w:rPr>
                <w:rFonts w:cs="Arial"/>
              </w:rPr>
              <w:t>тромбоцитопения</w:t>
            </w:r>
          </w:p>
        </w:tc>
        <w:tc>
          <w:tcPr>
            <w:tcW w:w="1288" w:type="dxa"/>
          </w:tcPr>
          <w:p w14:paraId="323D309F" w14:textId="77777777" w:rsidR="00C901C2" w:rsidRPr="00C22032" w:rsidRDefault="00C901C2" w:rsidP="00C901C2">
            <w:pPr>
              <w:rPr>
                <w:rFonts w:cs="Arial"/>
              </w:rPr>
            </w:pPr>
          </w:p>
        </w:tc>
        <w:tc>
          <w:tcPr>
            <w:tcW w:w="1442" w:type="dxa"/>
          </w:tcPr>
          <w:p w14:paraId="707F11AF" w14:textId="77777777" w:rsidR="00C901C2" w:rsidRPr="00C22032" w:rsidRDefault="00C901C2" w:rsidP="00C901C2">
            <w:pPr>
              <w:rPr>
                <w:rFonts w:cs="Arial"/>
              </w:rPr>
            </w:pPr>
          </w:p>
        </w:tc>
        <w:tc>
          <w:tcPr>
            <w:tcW w:w="1617" w:type="dxa"/>
          </w:tcPr>
          <w:p w14:paraId="55D6632E" w14:textId="77777777" w:rsidR="00C901C2" w:rsidRPr="00C22032" w:rsidRDefault="00C901C2" w:rsidP="00C901C2">
            <w:pPr>
              <w:rPr>
                <w:rFonts w:cs="Arial"/>
              </w:rPr>
            </w:pPr>
          </w:p>
        </w:tc>
        <w:tc>
          <w:tcPr>
            <w:tcW w:w="1380" w:type="dxa"/>
          </w:tcPr>
          <w:p w14:paraId="1CA7B840" w14:textId="77777777" w:rsidR="00C901C2" w:rsidRPr="00C22032" w:rsidRDefault="00C901C2" w:rsidP="00C901C2">
            <w:pPr>
              <w:rPr>
                <w:rFonts w:cs="Arial"/>
              </w:rPr>
            </w:pPr>
          </w:p>
        </w:tc>
        <w:tc>
          <w:tcPr>
            <w:tcW w:w="1706" w:type="dxa"/>
          </w:tcPr>
          <w:p w14:paraId="69542F3D" w14:textId="4765B09B" w:rsidR="00C901C2" w:rsidRPr="00C22032" w:rsidRDefault="00C901C2" w:rsidP="00C901C2">
            <w:pPr>
              <w:rPr>
                <w:rFonts w:cs="Arial"/>
              </w:rPr>
            </w:pPr>
            <w:r w:rsidRPr="00C22032">
              <w:rPr>
                <w:rFonts w:cs="Arial"/>
              </w:rPr>
              <w:t>с неизвестна честота</w:t>
            </w:r>
          </w:p>
        </w:tc>
      </w:tr>
      <w:tr w:rsidR="00C901C2" w14:paraId="14CBDD88" w14:textId="77777777" w:rsidTr="00FF3E6C">
        <w:tc>
          <w:tcPr>
            <w:tcW w:w="9576" w:type="dxa"/>
            <w:gridSpan w:val="6"/>
          </w:tcPr>
          <w:p w14:paraId="12CB1AB2" w14:textId="65B4FF6E" w:rsidR="00C901C2" w:rsidRPr="00C22032" w:rsidRDefault="00C901C2" w:rsidP="006D7DF8">
            <w:pPr>
              <w:rPr>
                <w:rFonts w:cs="Arial"/>
              </w:rPr>
            </w:pPr>
            <w:r w:rsidRPr="00C22032">
              <w:rPr>
                <w:rFonts w:cs="Arial"/>
                <w:b/>
                <w:bCs/>
              </w:rPr>
              <w:t>Нарушения на имунната система</w:t>
            </w:r>
          </w:p>
        </w:tc>
      </w:tr>
      <w:tr w:rsidR="00C22032" w14:paraId="62710A0A" w14:textId="77777777" w:rsidTr="00C22032">
        <w:tc>
          <w:tcPr>
            <w:tcW w:w="2143" w:type="dxa"/>
          </w:tcPr>
          <w:p w14:paraId="6BFE6D17" w14:textId="75C8C91A" w:rsidR="00C901C2" w:rsidRPr="00C22032" w:rsidRDefault="00C901C2" w:rsidP="00C901C2">
            <w:pPr>
              <w:rPr>
                <w:rFonts w:cs="Arial"/>
              </w:rPr>
            </w:pPr>
            <w:r w:rsidRPr="00C22032">
              <w:rPr>
                <w:rFonts w:cs="Arial"/>
              </w:rPr>
              <w:lastRenderedPageBreak/>
              <w:t>Реакции на свръхчувствителнос т, анафилактични реакции, ангиоедем*, и васкулит**</w:t>
            </w:r>
          </w:p>
        </w:tc>
        <w:tc>
          <w:tcPr>
            <w:tcW w:w="1288" w:type="dxa"/>
          </w:tcPr>
          <w:p w14:paraId="1AABFE86" w14:textId="77777777" w:rsidR="00C901C2" w:rsidRPr="00C22032" w:rsidRDefault="00C901C2" w:rsidP="00C901C2">
            <w:pPr>
              <w:rPr>
                <w:rFonts w:cs="Arial"/>
              </w:rPr>
            </w:pPr>
          </w:p>
        </w:tc>
        <w:tc>
          <w:tcPr>
            <w:tcW w:w="1442" w:type="dxa"/>
          </w:tcPr>
          <w:p w14:paraId="53501533" w14:textId="77777777" w:rsidR="00C901C2" w:rsidRPr="00C22032" w:rsidRDefault="00C901C2" w:rsidP="00C901C2">
            <w:pPr>
              <w:rPr>
                <w:rFonts w:cs="Arial"/>
              </w:rPr>
            </w:pPr>
          </w:p>
        </w:tc>
        <w:tc>
          <w:tcPr>
            <w:tcW w:w="1617" w:type="dxa"/>
          </w:tcPr>
          <w:p w14:paraId="424A1A0C" w14:textId="77777777" w:rsidR="00C901C2" w:rsidRPr="00C22032" w:rsidRDefault="00C901C2" w:rsidP="00C901C2">
            <w:pPr>
              <w:rPr>
                <w:rFonts w:cs="Arial"/>
              </w:rPr>
            </w:pPr>
          </w:p>
        </w:tc>
        <w:tc>
          <w:tcPr>
            <w:tcW w:w="1380" w:type="dxa"/>
          </w:tcPr>
          <w:p w14:paraId="2FD61401" w14:textId="77777777" w:rsidR="00C901C2" w:rsidRPr="00C22032" w:rsidRDefault="00C901C2" w:rsidP="00C901C2">
            <w:pPr>
              <w:rPr>
                <w:rFonts w:cs="Arial"/>
              </w:rPr>
            </w:pPr>
          </w:p>
        </w:tc>
        <w:tc>
          <w:tcPr>
            <w:tcW w:w="1706" w:type="dxa"/>
          </w:tcPr>
          <w:p w14:paraId="42CA3571" w14:textId="32D7F2D1" w:rsidR="00C901C2" w:rsidRPr="00C22032" w:rsidRDefault="00C901C2" w:rsidP="00C901C2">
            <w:pPr>
              <w:rPr>
                <w:rFonts w:cs="Arial"/>
              </w:rPr>
            </w:pPr>
            <w:r w:rsidRPr="00C22032">
              <w:rPr>
                <w:rFonts w:cs="Arial"/>
              </w:rPr>
              <w:t>редки</w:t>
            </w:r>
          </w:p>
        </w:tc>
      </w:tr>
      <w:tr w:rsidR="00C901C2" w14:paraId="49A91CD8" w14:textId="77777777" w:rsidTr="00D7366A">
        <w:tc>
          <w:tcPr>
            <w:tcW w:w="9576" w:type="dxa"/>
            <w:gridSpan w:val="6"/>
          </w:tcPr>
          <w:p w14:paraId="6A869FB0" w14:textId="35D96209" w:rsidR="00C901C2" w:rsidRPr="00C22032" w:rsidRDefault="00C901C2" w:rsidP="006D7DF8">
            <w:pPr>
              <w:rPr>
                <w:rFonts w:cs="Arial"/>
              </w:rPr>
            </w:pPr>
            <w:r w:rsidRPr="00C22032">
              <w:rPr>
                <w:rFonts w:cs="Arial"/>
                <w:b/>
                <w:bCs/>
              </w:rPr>
              <w:t>Психични нарушения</w:t>
            </w:r>
          </w:p>
        </w:tc>
      </w:tr>
      <w:tr w:rsidR="00C22032" w14:paraId="52272522" w14:textId="77777777" w:rsidTr="00C22032">
        <w:tc>
          <w:tcPr>
            <w:tcW w:w="2143" w:type="dxa"/>
          </w:tcPr>
          <w:p w14:paraId="77C4789C" w14:textId="17585686" w:rsidR="00C901C2" w:rsidRPr="00C22032" w:rsidRDefault="00C901C2" w:rsidP="00C901C2">
            <w:pPr>
              <w:rPr>
                <w:rFonts w:cs="Arial"/>
              </w:rPr>
            </w:pPr>
            <w:r w:rsidRPr="00C22032">
              <w:rPr>
                <w:rFonts w:cs="Arial"/>
              </w:rPr>
              <w:t>депресия</w:t>
            </w:r>
          </w:p>
        </w:tc>
        <w:tc>
          <w:tcPr>
            <w:tcW w:w="1288" w:type="dxa"/>
          </w:tcPr>
          <w:p w14:paraId="4753F953" w14:textId="77777777" w:rsidR="00C901C2" w:rsidRPr="00C22032" w:rsidRDefault="00C901C2" w:rsidP="00C901C2">
            <w:pPr>
              <w:rPr>
                <w:rFonts w:cs="Arial"/>
              </w:rPr>
            </w:pPr>
          </w:p>
        </w:tc>
        <w:tc>
          <w:tcPr>
            <w:tcW w:w="1442" w:type="dxa"/>
          </w:tcPr>
          <w:p w14:paraId="7B90BA58" w14:textId="77777777" w:rsidR="00C901C2" w:rsidRPr="00C22032" w:rsidRDefault="00C901C2" w:rsidP="00C901C2">
            <w:pPr>
              <w:rPr>
                <w:rFonts w:cs="Arial"/>
              </w:rPr>
            </w:pPr>
          </w:p>
        </w:tc>
        <w:tc>
          <w:tcPr>
            <w:tcW w:w="1617" w:type="dxa"/>
          </w:tcPr>
          <w:p w14:paraId="7A49AFF6" w14:textId="77777777" w:rsidR="00C901C2" w:rsidRPr="00C22032" w:rsidRDefault="00C901C2" w:rsidP="00C901C2">
            <w:pPr>
              <w:rPr>
                <w:rFonts w:cs="Arial"/>
              </w:rPr>
            </w:pPr>
          </w:p>
        </w:tc>
        <w:tc>
          <w:tcPr>
            <w:tcW w:w="1380" w:type="dxa"/>
          </w:tcPr>
          <w:p w14:paraId="77F06314" w14:textId="77777777" w:rsidR="00C901C2" w:rsidRPr="00C22032" w:rsidRDefault="00C901C2" w:rsidP="00C901C2">
            <w:pPr>
              <w:rPr>
                <w:rFonts w:cs="Arial"/>
              </w:rPr>
            </w:pPr>
          </w:p>
        </w:tc>
        <w:tc>
          <w:tcPr>
            <w:tcW w:w="1706" w:type="dxa"/>
          </w:tcPr>
          <w:p w14:paraId="32FC1119" w14:textId="77777777" w:rsidR="00C901C2" w:rsidRPr="00C22032" w:rsidRDefault="00C901C2" w:rsidP="00C901C2">
            <w:pPr>
              <w:rPr>
                <w:rFonts w:cs="Arial"/>
              </w:rPr>
            </w:pPr>
            <w:r w:rsidRPr="00C22032">
              <w:rPr>
                <w:rFonts w:cs="Arial"/>
              </w:rPr>
              <w:t>С неизвестна</w:t>
            </w:r>
          </w:p>
          <w:p w14:paraId="5C15FA10" w14:textId="0B28AB53" w:rsidR="00C901C2" w:rsidRPr="00C22032" w:rsidRDefault="00C901C2" w:rsidP="00C901C2">
            <w:pPr>
              <w:rPr>
                <w:rFonts w:cs="Arial"/>
              </w:rPr>
            </w:pPr>
            <w:r w:rsidRPr="00C22032">
              <w:rPr>
                <w:rFonts w:cs="Arial"/>
              </w:rPr>
              <w:t>честота</w:t>
            </w:r>
          </w:p>
        </w:tc>
      </w:tr>
      <w:tr w:rsidR="00C901C2" w14:paraId="7402C91C" w14:textId="77777777" w:rsidTr="008001BB">
        <w:tc>
          <w:tcPr>
            <w:tcW w:w="9576" w:type="dxa"/>
            <w:gridSpan w:val="6"/>
          </w:tcPr>
          <w:p w14:paraId="30D199B7" w14:textId="1728476A" w:rsidR="00C901C2" w:rsidRPr="00C22032" w:rsidRDefault="00C901C2" w:rsidP="006D7DF8">
            <w:pPr>
              <w:rPr>
                <w:rFonts w:cs="Arial"/>
              </w:rPr>
            </w:pPr>
            <w:r w:rsidRPr="00C901C2">
              <w:rPr>
                <w:rFonts w:eastAsia="Times New Roman" w:cs="Arial"/>
                <w:b/>
                <w:bCs/>
                <w:color w:val="000000"/>
                <w:lang w:eastAsia="bg-BG"/>
              </w:rPr>
              <w:t>Нарушения на нервната система</w:t>
            </w:r>
          </w:p>
        </w:tc>
      </w:tr>
      <w:tr w:rsidR="00C22032" w14:paraId="135F97BA" w14:textId="77777777" w:rsidTr="00C22032">
        <w:tc>
          <w:tcPr>
            <w:tcW w:w="2143" w:type="dxa"/>
            <w:vAlign w:val="bottom"/>
          </w:tcPr>
          <w:p w14:paraId="29EA29E4" w14:textId="3D4E4069" w:rsidR="00C901C2" w:rsidRPr="00C22032" w:rsidRDefault="00C901C2" w:rsidP="00C901C2">
            <w:pPr>
              <w:rPr>
                <w:rFonts w:cs="Arial"/>
              </w:rPr>
            </w:pPr>
            <w:r w:rsidRPr="00C22032">
              <w:rPr>
                <w:rFonts w:cs="Arial"/>
              </w:rPr>
              <w:t>замайване</w:t>
            </w:r>
          </w:p>
        </w:tc>
        <w:tc>
          <w:tcPr>
            <w:tcW w:w="1288" w:type="dxa"/>
            <w:vAlign w:val="bottom"/>
          </w:tcPr>
          <w:p w14:paraId="1755C6E7" w14:textId="7E09C39F" w:rsidR="00C901C2" w:rsidRPr="00C22032" w:rsidRDefault="00C901C2" w:rsidP="00C901C2">
            <w:pPr>
              <w:rPr>
                <w:rFonts w:cs="Arial"/>
              </w:rPr>
            </w:pPr>
            <w:r w:rsidRPr="00C22032">
              <w:rPr>
                <w:rFonts w:cs="Arial"/>
              </w:rPr>
              <w:t>чести</w:t>
            </w:r>
          </w:p>
        </w:tc>
        <w:tc>
          <w:tcPr>
            <w:tcW w:w="1442" w:type="dxa"/>
            <w:vAlign w:val="bottom"/>
          </w:tcPr>
          <w:p w14:paraId="50BC52CD" w14:textId="57A2B5E7" w:rsidR="00C901C2" w:rsidRPr="00C22032" w:rsidRDefault="00C901C2" w:rsidP="00C901C2">
            <w:pPr>
              <w:rPr>
                <w:rFonts w:cs="Arial"/>
              </w:rPr>
            </w:pPr>
            <w:r w:rsidRPr="00C22032">
              <w:rPr>
                <w:rFonts w:cs="Arial"/>
              </w:rPr>
              <w:t>чести</w:t>
            </w:r>
          </w:p>
        </w:tc>
        <w:tc>
          <w:tcPr>
            <w:tcW w:w="1617" w:type="dxa"/>
            <w:vAlign w:val="bottom"/>
          </w:tcPr>
          <w:p w14:paraId="63C155DE" w14:textId="18294499" w:rsidR="00C901C2" w:rsidRPr="00C22032" w:rsidRDefault="00C901C2" w:rsidP="00C901C2">
            <w:pPr>
              <w:rPr>
                <w:rFonts w:cs="Arial"/>
              </w:rPr>
            </w:pPr>
            <w:r w:rsidRPr="00C22032">
              <w:rPr>
                <w:rFonts w:cs="Arial"/>
              </w:rPr>
              <w:t>чести</w:t>
            </w:r>
          </w:p>
        </w:tc>
        <w:tc>
          <w:tcPr>
            <w:tcW w:w="1380" w:type="dxa"/>
            <w:vAlign w:val="bottom"/>
          </w:tcPr>
          <w:p w14:paraId="0B0805DC" w14:textId="023967B8" w:rsidR="00C901C2" w:rsidRPr="00C22032" w:rsidRDefault="00C901C2" w:rsidP="00C901C2">
            <w:pPr>
              <w:rPr>
                <w:rFonts w:cs="Arial"/>
              </w:rPr>
            </w:pPr>
            <w:r w:rsidRPr="00C22032">
              <w:rPr>
                <w:rFonts w:cs="Arial"/>
              </w:rPr>
              <w:t>чести</w:t>
            </w:r>
          </w:p>
        </w:tc>
        <w:tc>
          <w:tcPr>
            <w:tcW w:w="1706" w:type="dxa"/>
          </w:tcPr>
          <w:p w14:paraId="4DD58517" w14:textId="77777777" w:rsidR="00C901C2" w:rsidRPr="00C22032" w:rsidRDefault="00C901C2" w:rsidP="00C901C2">
            <w:pPr>
              <w:rPr>
                <w:rFonts w:cs="Arial"/>
              </w:rPr>
            </w:pPr>
          </w:p>
        </w:tc>
      </w:tr>
      <w:tr w:rsidR="00C22032" w14:paraId="29244111" w14:textId="77777777" w:rsidTr="00C22032">
        <w:tc>
          <w:tcPr>
            <w:tcW w:w="2143" w:type="dxa"/>
            <w:vAlign w:val="bottom"/>
          </w:tcPr>
          <w:p w14:paraId="554C8247" w14:textId="6F4CB1EB" w:rsidR="00C901C2" w:rsidRPr="00C22032" w:rsidRDefault="00C901C2" w:rsidP="00C901C2">
            <w:pPr>
              <w:rPr>
                <w:rFonts w:cs="Arial"/>
              </w:rPr>
            </w:pPr>
            <w:r w:rsidRPr="00C22032">
              <w:rPr>
                <w:rFonts w:cs="Arial"/>
              </w:rPr>
              <w:t>сънливост</w:t>
            </w:r>
          </w:p>
        </w:tc>
        <w:tc>
          <w:tcPr>
            <w:tcW w:w="1288" w:type="dxa"/>
            <w:vAlign w:val="bottom"/>
          </w:tcPr>
          <w:p w14:paraId="732EB11C" w14:textId="6C52676D" w:rsidR="00C901C2" w:rsidRPr="00C22032" w:rsidRDefault="00C901C2" w:rsidP="00C901C2">
            <w:pPr>
              <w:rPr>
                <w:rFonts w:cs="Arial"/>
              </w:rPr>
            </w:pPr>
            <w:r w:rsidRPr="00C22032">
              <w:rPr>
                <w:rFonts w:cs="Arial"/>
              </w:rPr>
              <w:t>нечести</w:t>
            </w:r>
          </w:p>
        </w:tc>
        <w:tc>
          <w:tcPr>
            <w:tcW w:w="1442" w:type="dxa"/>
          </w:tcPr>
          <w:p w14:paraId="614D7EC6" w14:textId="77777777" w:rsidR="00C901C2" w:rsidRPr="00C22032" w:rsidRDefault="00C901C2" w:rsidP="00C901C2">
            <w:pPr>
              <w:rPr>
                <w:rFonts w:cs="Arial"/>
              </w:rPr>
            </w:pPr>
          </w:p>
        </w:tc>
        <w:tc>
          <w:tcPr>
            <w:tcW w:w="1617" w:type="dxa"/>
          </w:tcPr>
          <w:p w14:paraId="750558A7" w14:textId="77777777" w:rsidR="00C901C2" w:rsidRPr="00C22032" w:rsidRDefault="00C901C2" w:rsidP="00C901C2">
            <w:pPr>
              <w:rPr>
                <w:rFonts w:cs="Arial"/>
              </w:rPr>
            </w:pPr>
          </w:p>
        </w:tc>
        <w:tc>
          <w:tcPr>
            <w:tcW w:w="1380" w:type="dxa"/>
          </w:tcPr>
          <w:p w14:paraId="6926FFFE" w14:textId="77777777" w:rsidR="00C901C2" w:rsidRPr="00C22032" w:rsidRDefault="00C901C2" w:rsidP="00C901C2">
            <w:pPr>
              <w:rPr>
                <w:rFonts w:cs="Arial"/>
              </w:rPr>
            </w:pPr>
          </w:p>
        </w:tc>
        <w:tc>
          <w:tcPr>
            <w:tcW w:w="1706" w:type="dxa"/>
          </w:tcPr>
          <w:p w14:paraId="1837A0E5" w14:textId="77777777" w:rsidR="00C901C2" w:rsidRPr="00C22032" w:rsidRDefault="00C901C2" w:rsidP="00C901C2">
            <w:pPr>
              <w:rPr>
                <w:rFonts w:cs="Arial"/>
              </w:rPr>
            </w:pPr>
          </w:p>
        </w:tc>
      </w:tr>
      <w:tr w:rsidR="00C22032" w14:paraId="1679CA13" w14:textId="77777777" w:rsidTr="00C22032">
        <w:tc>
          <w:tcPr>
            <w:tcW w:w="2143" w:type="dxa"/>
            <w:vAlign w:val="bottom"/>
          </w:tcPr>
          <w:p w14:paraId="6EE0F4C7" w14:textId="3056B676" w:rsidR="00C901C2" w:rsidRPr="00C22032" w:rsidRDefault="00C901C2" w:rsidP="00C901C2">
            <w:pPr>
              <w:rPr>
                <w:rFonts w:cs="Arial"/>
              </w:rPr>
            </w:pPr>
            <w:r w:rsidRPr="00C22032">
              <w:rPr>
                <w:rFonts w:cs="Arial"/>
              </w:rPr>
              <w:t>главоболие</w:t>
            </w:r>
          </w:p>
        </w:tc>
        <w:tc>
          <w:tcPr>
            <w:tcW w:w="1288" w:type="dxa"/>
            <w:vAlign w:val="bottom"/>
          </w:tcPr>
          <w:p w14:paraId="471B5AB2" w14:textId="09A29C12" w:rsidR="00C901C2" w:rsidRPr="00C22032" w:rsidRDefault="00C901C2" w:rsidP="00C901C2">
            <w:pPr>
              <w:rPr>
                <w:rFonts w:cs="Arial"/>
              </w:rPr>
            </w:pPr>
            <w:r w:rsidRPr="00C22032">
              <w:rPr>
                <w:rFonts w:cs="Arial"/>
              </w:rPr>
              <w:t>нечести</w:t>
            </w:r>
          </w:p>
        </w:tc>
        <w:tc>
          <w:tcPr>
            <w:tcW w:w="1442" w:type="dxa"/>
          </w:tcPr>
          <w:p w14:paraId="7F7347C9" w14:textId="77777777" w:rsidR="00C901C2" w:rsidRPr="00C22032" w:rsidRDefault="00C901C2" w:rsidP="00C901C2">
            <w:pPr>
              <w:rPr>
                <w:rFonts w:cs="Arial"/>
              </w:rPr>
            </w:pPr>
          </w:p>
        </w:tc>
        <w:tc>
          <w:tcPr>
            <w:tcW w:w="1617" w:type="dxa"/>
            <w:vAlign w:val="bottom"/>
          </w:tcPr>
          <w:p w14:paraId="0495E428" w14:textId="3E4A11CA" w:rsidR="00C901C2" w:rsidRPr="00C22032" w:rsidRDefault="00C901C2" w:rsidP="00C901C2">
            <w:pPr>
              <w:rPr>
                <w:rFonts w:cs="Arial"/>
              </w:rPr>
            </w:pPr>
            <w:r w:rsidRPr="00C22032">
              <w:rPr>
                <w:rFonts w:cs="Arial"/>
              </w:rPr>
              <w:t>нечести</w:t>
            </w:r>
          </w:p>
        </w:tc>
        <w:tc>
          <w:tcPr>
            <w:tcW w:w="1380" w:type="dxa"/>
          </w:tcPr>
          <w:p w14:paraId="055E8902" w14:textId="77777777" w:rsidR="00C901C2" w:rsidRPr="00C22032" w:rsidRDefault="00C901C2" w:rsidP="00C901C2">
            <w:pPr>
              <w:rPr>
                <w:rFonts w:cs="Arial"/>
              </w:rPr>
            </w:pPr>
          </w:p>
        </w:tc>
        <w:tc>
          <w:tcPr>
            <w:tcW w:w="1706" w:type="dxa"/>
          </w:tcPr>
          <w:p w14:paraId="16BAC73A" w14:textId="77777777" w:rsidR="00C901C2" w:rsidRPr="00C22032" w:rsidRDefault="00C901C2" w:rsidP="00C901C2">
            <w:pPr>
              <w:rPr>
                <w:rFonts w:cs="Arial"/>
              </w:rPr>
            </w:pPr>
          </w:p>
        </w:tc>
      </w:tr>
      <w:tr w:rsidR="00C22032" w14:paraId="3CC4E6AB" w14:textId="77777777" w:rsidTr="00C22032">
        <w:tc>
          <w:tcPr>
            <w:tcW w:w="2143" w:type="dxa"/>
            <w:vAlign w:val="bottom"/>
          </w:tcPr>
          <w:p w14:paraId="5949F1C0" w14:textId="3A995583" w:rsidR="00C901C2" w:rsidRPr="00C22032" w:rsidRDefault="00C901C2" w:rsidP="00C901C2">
            <w:pPr>
              <w:rPr>
                <w:rFonts w:cs="Arial"/>
              </w:rPr>
            </w:pPr>
            <w:r w:rsidRPr="00C22032">
              <w:rPr>
                <w:rFonts w:cs="Arial"/>
              </w:rPr>
              <w:t>нарушения на съня</w:t>
            </w:r>
          </w:p>
        </w:tc>
        <w:tc>
          <w:tcPr>
            <w:tcW w:w="1288" w:type="dxa"/>
            <w:vAlign w:val="bottom"/>
          </w:tcPr>
          <w:p w14:paraId="04CC2B18" w14:textId="27726858" w:rsidR="00C901C2" w:rsidRPr="00C22032" w:rsidRDefault="00C901C2" w:rsidP="00C901C2">
            <w:pPr>
              <w:rPr>
                <w:rFonts w:cs="Arial"/>
              </w:rPr>
            </w:pPr>
            <w:r w:rsidRPr="00C22032">
              <w:rPr>
                <w:rFonts w:cs="Arial"/>
              </w:rPr>
              <w:t>нечести</w:t>
            </w:r>
          </w:p>
        </w:tc>
        <w:tc>
          <w:tcPr>
            <w:tcW w:w="1442" w:type="dxa"/>
          </w:tcPr>
          <w:p w14:paraId="279DF11E" w14:textId="77777777" w:rsidR="00C901C2" w:rsidRPr="00C22032" w:rsidRDefault="00C901C2" w:rsidP="00C901C2">
            <w:pPr>
              <w:rPr>
                <w:rFonts w:cs="Arial"/>
              </w:rPr>
            </w:pPr>
          </w:p>
        </w:tc>
        <w:tc>
          <w:tcPr>
            <w:tcW w:w="1617" w:type="dxa"/>
          </w:tcPr>
          <w:p w14:paraId="7137C49E" w14:textId="77777777" w:rsidR="00C901C2" w:rsidRPr="00C22032" w:rsidRDefault="00C901C2" w:rsidP="00C901C2">
            <w:pPr>
              <w:rPr>
                <w:rFonts w:cs="Arial"/>
              </w:rPr>
            </w:pPr>
          </w:p>
        </w:tc>
        <w:tc>
          <w:tcPr>
            <w:tcW w:w="1380" w:type="dxa"/>
          </w:tcPr>
          <w:p w14:paraId="037ECE80" w14:textId="77777777" w:rsidR="00C901C2" w:rsidRPr="00C22032" w:rsidRDefault="00C901C2" w:rsidP="00C901C2">
            <w:pPr>
              <w:rPr>
                <w:rFonts w:cs="Arial"/>
              </w:rPr>
            </w:pPr>
          </w:p>
        </w:tc>
        <w:tc>
          <w:tcPr>
            <w:tcW w:w="1706" w:type="dxa"/>
          </w:tcPr>
          <w:p w14:paraId="32C4A399" w14:textId="77777777" w:rsidR="00C901C2" w:rsidRPr="00C22032" w:rsidRDefault="00C901C2" w:rsidP="00C901C2">
            <w:pPr>
              <w:rPr>
                <w:rFonts w:cs="Arial"/>
              </w:rPr>
            </w:pPr>
          </w:p>
        </w:tc>
      </w:tr>
      <w:tr w:rsidR="00C22032" w14:paraId="30361F97" w14:textId="77777777" w:rsidTr="00C22032">
        <w:tc>
          <w:tcPr>
            <w:tcW w:w="2143" w:type="dxa"/>
            <w:vAlign w:val="bottom"/>
          </w:tcPr>
          <w:p w14:paraId="68D20FE6" w14:textId="6B19C511" w:rsidR="00C901C2" w:rsidRPr="00C22032" w:rsidRDefault="00C901C2" w:rsidP="00C901C2">
            <w:pPr>
              <w:rPr>
                <w:rFonts w:cs="Arial"/>
              </w:rPr>
            </w:pPr>
            <w:r w:rsidRPr="00C22032">
              <w:rPr>
                <w:rFonts w:cs="Arial"/>
              </w:rPr>
              <w:t>парестезия</w:t>
            </w:r>
          </w:p>
        </w:tc>
        <w:tc>
          <w:tcPr>
            <w:tcW w:w="1288" w:type="dxa"/>
          </w:tcPr>
          <w:p w14:paraId="5DB8EC54" w14:textId="77777777" w:rsidR="00C901C2" w:rsidRPr="00C22032" w:rsidRDefault="00C901C2" w:rsidP="00C901C2">
            <w:pPr>
              <w:rPr>
                <w:rFonts w:cs="Arial"/>
              </w:rPr>
            </w:pPr>
          </w:p>
        </w:tc>
        <w:tc>
          <w:tcPr>
            <w:tcW w:w="1442" w:type="dxa"/>
          </w:tcPr>
          <w:p w14:paraId="1A4F436F" w14:textId="77777777" w:rsidR="00C901C2" w:rsidRPr="00C22032" w:rsidRDefault="00C901C2" w:rsidP="00C901C2">
            <w:pPr>
              <w:rPr>
                <w:rFonts w:cs="Arial"/>
              </w:rPr>
            </w:pPr>
          </w:p>
        </w:tc>
        <w:tc>
          <w:tcPr>
            <w:tcW w:w="1617" w:type="dxa"/>
            <w:vAlign w:val="bottom"/>
          </w:tcPr>
          <w:p w14:paraId="6DDAC8E5" w14:textId="56AA19DB" w:rsidR="00C901C2" w:rsidRPr="00C22032" w:rsidRDefault="00C901C2" w:rsidP="00C901C2">
            <w:pPr>
              <w:rPr>
                <w:rFonts w:cs="Arial"/>
              </w:rPr>
            </w:pPr>
            <w:r w:rsidRPr="00C22032">
              <w:rPr>
                <w:rFonts w:cs="Arial"/>
              </w:rPr>
              <w:t>редки</w:t>
            </w:r>
          </w:p>
        </w:tc>
        <w:tc>
          <w:tcPr>
            <w:tcW w:w="1380" w:type="dxa"/>
          </w:tcPr>
          <w:p w14:paraId="7D59F5A5" w14:textId="77777777" w:rsidR="00C901C2" w:rsidRPr="00C22032" w:rsidRDefault="00C901C2" w:rsidP="00C901C2">
            <w:pPr>
              <w:rPr>
                <w:rFonts w:cs="Arial"/>
              </w:rPr>
            </w:pPr>
          </w:p>
        </w:tc>
        <w:tc>
          <w:tcPr>
            <w:tcW w:w="1706" w:type="dxa"/>
          </w:tcPr>
          <w:p w14:paraId="7F31AFE7" w14:textId="77777777" w:rsidR="00C901C2" w:rsidRPr="00C22032" w:rsidRDefault="00C901C2" w:rsidP="00C901C2">
            <w:pPr>
              <w:rPr>
                <w:rFonts w:cs="Arial"/>
              </w:rPr>
            </w:pPr>
          </w:p>
        </w:tc>
      </w:tr>
      <w:tr w:rsidR="00C22032" w14:paraId="495849E1" w14:textId="77777777" w:rsidTr="00C22032">
        <w:tc>
          <w:tcPr>
            <w:tcW w:w="2143" w:type="dxa"/>
            <w:vAlign w:val="bottom"/>
          </w:tcPr>
          <w:p w14:paraId="2766A246" w14:textId="56AEC9FD" w:rsidR="00C901C2" w:rsidRPr="00C22032" w:rsidRDefault="00C901C2" w:rsidP="00C901C2">
            <w:pPr>
              <w:rPr>
                <w:rFonts w:cs="Arial"/>
              </w:rPr>
            </w:pPr>
            <w:r w:rsidRPr="00C22032">
              <w:rPr>
                <w:rFonts w:cs="Arial"/>
              </w:rPr>
              <w:t>мигрена</w:t>
            </w:r>
          </w:p>
        </w:tc>
        <w:tc>
          <w:tcPr>
            <w:tcW w:w="1288" w:type="dxa"/>
          </w:tcPr>
          <w:p w14:paraId="276C16AC" w14:textId="77777777" w:rsidR="00C901C2" w:rsidRPr="00C22032" w:rsidRDefault="00C901C2" w:rsidP="00C901C2">
            <w:pPr>
              <w:rPr>
                <w:rFonts w:cs="Arial"/>
              </w:rPr>
            </w:pPr>
          </w:p>
        </w:tc>
        <w:tc>
          <w:tcPr>
            <w:tcW w:w="1442" w:type="dxa"/>
          </w:tcPr>
          <w:p w14:paraId="78AE83A5" w14:textId="77777777" w:rsidR="00C901C2" w:rsidRPr="00C22032" w:rsidRDefault="00C901C2" w:rsidP="00C901C2">
            <w:pPr>
              <w:rPr>
                <w:rFonts w:cs="Arial"/>
              </w:rPr>
            </w:pPr>
          </w:p>
        </w:tc>
        <w:tc>
          <w:tcPr>
            <w:tcW w:w="1617" w:type="dxa"/>
          </w:tcPr>
          <w:p w14:paraId="59FD55DD" w14:textId="77777777" w:rsidR="00C901C2" w:rsidRPr="00C22032" w:rsidRDefault="00C901C2" w:rsidP="00C901C2">
            <w:pPr>
              <w:rPr>
                <w:rFonts w:cs="Arial"/>
              </w:rPr>
            </w:pPr>
          </w:p>
        </w:tc>
        <w:tc>
          <w:tcPr>
            <w:tcW w:w="1380" w:type="dxa"/>
          </w:tcPr>
          <w:p w14:paraId="66D3E21D" w14:textId="77777777" w:rsidR="00C901C2" w:rsidRPr="00C22032" w:rsidRDefault="00C901C2" w:rsidP="00C901C2">
            <w:pPr>
              <w:rPr>
                <w:rFonts w:cs="Arial"/>
              </w:rPr>
            </w:pPr>
          </w:p>
        </w:tc>
        <w:tc>
          <w:tcPr>
            <w:tcW w:w="1706" w:type="dxa"/>
            <w:vAlign w:val="bottom"/>
          </w:tcPr>
          <w:p w14:paraId="699662C7" w14:textId="0A87CA2D" w:rsidR="00C901C2" w:rsidRPr="00C22032" w:rsidRDefault="00C901C2" w:rsidP="00C901C2">
            <w:pPr>
              <w:rPr>
                <w:rFonts w:cs="Arial"/>
              </w:rPr>
            </w:pPr>
            <w:r w:rsidRPr="00C22032">
              <w:rPr>
                <w:rFonts w:cs="Arial"/>
              </w:rPr>
              <w:t>с неизвестна честота</w:t>
            </w:r>
          </w:p>
        </w:tc>
      </w:tr>
      <w:tr w:rsidR="00C22032" w14:paraId="47E2325A" w14:textId="77777777" w:rsidTr="00C22032">
        <w:tc>
          <w:tcPr>
            <w:tcW w:w="2143" w:type="dxa"/>
            <w:vAlign w:val="bottom"/>
          </w:tcPr>
          <w:p w14:paraId="5B17118E" w14:textId="1663DCF8" w:rsidR="00C901C2" w:rsidRPr="00C22032" w:rsidRDefault="00C901C2" w:rsidP="00C901C2">
            <w:pPr>
              <w:rPr>
                <w:rFonts w:cs="Arial"/>
              </w:rPr>
            </w:pPr>
            <w:r w:rsidRPr="00C22032">
              <w:rPr>
                <w:rFonts w:cs="Arial"/>
              </w:rPr>
              <w:t>дисгеузия</w:t>
            </w:r>
          </w:p>
        </w:tc>
        <w:tc>
          <w:tcPr>
            <w:tcW w:w="1288" w:type="dxa"/>
          </w:tcPr>
          <w:p w14:paraId="1F09661B" w14:textId="77777777" w:rsidR="00C901C2" w:rsidRPr="00C22032" w:rsidRDefault="00C901C2" w:rsidP="00C901C2">
            <w:pPr>
              <w:rPr>
                <w:rFonts w:cs="Arial"/>
              </w:rPr>
            </w:pPr>
          </w:p>
        </w:tc>
        <w:tc>
          <w:tcPr>
            <w:tcW w:w="1442" w:type="dxa"/>
          </w:tcPr>
          <w:p w14:paraId="469ED467" w14:textId="77777777" w:rsidR="00C901C2" w:rsidRPr="00C22032" w:rsidRDefault="00C901C2" w:rsidP="00C901C2">
            <w:pPr>
              <w:rPr>
                <w:rFonts w:cs="Arial"/>
              </w:rPr>
            </w:pPr>
          </w:p>
        </w:tc>
        <w:tc>
          <w:tcPr>
            <w:tcW w:w="1617" w:type="dxa"/>
          </w:tcPr>
          <w:p w14:paraId="56474EE8" w14:textId="77777777" w:rsidR="00C901C2" w:rsidRPr="00C22032" w:rsidRDefault="00C901C2" w:rsidP="00C901C2">
            <w:pPr>
              <w:rPr>
                <w:rFonts w:cs="Arial"/>
              </w:rPr>
            </w:pPr>
          </w:p>
        </w:tc>
        <w:tc>
          <w:tcPr>
            <w:tcW w:w="1380" w:type="dxa"/>
          </w:tcPr>
          <w:p w14:paraId="08AAEBCF" w14:textId="77777777" w:rsidR="00C901C2" w:rsidRPr="00C22032" w:rsidRDefault="00C901C2" w:rsidP="00C901C2">
            <w:pPr>
              <w:rPr>
                <w:rFonts w:cs="Arial"/>
              </w:rPr>
            </w:pPr>
          </w:p>
        </w:tc>
        <w:tc>
          <w:tcPr>
            <w:tcW w:w="1706" w:type="dxa"/>
          </w:tcPr>
          <w:p w14:paraId="2025094A" w14:textId="1020C78D" w:rsidR="00C901C2" w:rsidRPr="00C22032" w:rsidRDefault="00C901C2" w:rsidP="00C901C2">
            <w:pPr>
              <w:rPr>
                <w:rFonts w:cs="Arial"/>
              </w:rPr>
            </w:pPr>
            <w:r w:rsidRPr="00C22032">
              <w:rPr>
                <w:rFonts w:cs="Arial"/>
              </w:rPr>
              <w:t>с неизвестна честота</w:t>
            </w:r>
          </w:p>
        </w:tc>
      </w:tr>
      <w:tr w:rsidR="00C901C2" w14:paraId="59D1470A" w14:textId="77777777" w:rsidTr="003A05B5">
        <w:tc>
          <w:tcPr>
            <w:tcW w:w="9576" w:type="dxa"/>
            <w:gridSpan w:val="6"/>
          </w:tcPr>
          <w:p w14:paraId="2F07D05D" w14:textId="2CD7CE2C" w:rsidR="00C901C2" w:rsidRPr="00C22032" w:rsidRDefault="00C901C2" w:rsidP="006D7DF8">
            <w:pPr>
              <w:rPr>
                <w:rFonts w:cs="Arial"/>
              </w:rPr>
            </w:pPr>
            <w:r w:rsidRPr="00C22032">
              <w:rPr>
                <w:rFonts w:cs="Arial"/>
                <w:b/>
                <w:bCs/>
              </w:rPr>
              <w:t>Нарушения на ухото и лабиринта</w:t>
            </w:r>
          </w:p>
        </w:tc>
      </w:tr>
      <w:tr w:rsidR="00C22032" w14:paraId="0B95629B" w14:textId="77777777" w:rsidTr="00C22032">
        <w:tc>
          <w:tcPr>
            <w:tcW w:w="2143" w:type="dxa"/>
            <w:vAlign w:val="bottom"/>
          </w:tcPr>
          <w:p w14:paraId="4C9F40DF" w14:textId="46815131" w:rsidR="00C901C2" w:rsidRPr="00C22032" w:rsidRDefault="00C901C2" w:rsidP="00C901C2">
            <w:pPr>
              <w:rPr>
                <w:rFonts w:cs="Arial"/>
              </w:rPr>
            </w:pPr>
            <w:r w:rsidRPr="00C22032">
              <w:rPr>
                <w:rFonts w:cs="Arial"/>
              </w:rPr>
              <w:t>вертиго</w:t>
            </w:r>
          </w:p>
        </w:tc>
        <w:tc>
          <w:tcPr>
            <w:tcW w:w="1288" w:type="dxa"/>
            <w:vAlign w:val="bottom"/>
          </w:tcPr>
          <w:p w14:paraId="1488769E" w14:textId="6A14A767" w:rsidR="00C901C2" w:rsidRPr="00C22032" w:rsidRDefault="00C901C2" w:rsidP="00C901C2">
            <w:pPr>
              <w:rPr>
                <w:rFonts w:cs="Arial"/>
              </w:rPr>
            </w:pPr>
            <w:r w:rsidRPr="00C22032">
              <w:rPr>
                <w:rFonts w:cs="Arial"/>
              </w:rPr>
              <w:t>чести</w:t>
            </w:r>
          </w:p>
        </w:tc>
        <w:tc>
          <w:tcPr>
            <w:tcW w:w="1442" w:type="dxa"/>
            <w:vAlign w:val="bottom"/>
          </w:tcPr>
          <w:p w14:paraId="523B4970" w14:textId="35671C1F" w:rsidR="00C901C2" w:rsidRPr="00C22032" w:rsidRDefault="00C901C2" w:rsidP="00C901C2">
            <w:pPr>
              <w:rPr>
                <w:rFonts w:cs="Arial"/>
              </w:rPr>
            </w:pPr>
            <w:r w:rsidRPr="00C22032">
              <w:rPr>
                <w:rFonts w:cs="Arial"/>
              </w:rPr>
              <w:t>чести</w:t>
            </w:r>
          </w:p>
        </w:tc>
        <w:tc>
          <w:tcPr>
            <w:tcW w:w="1617" w:type="dxa"/>
          </w:tcPr>
          <w:p w14:paraId="477D36D0" w14:textId="77777777" w:rsidR="00C901C2" w:rsidRPr="00C22032" w:rsidRDefault="00C901C2" w:rsidP="00C901C2">
            <w:pPr>
              <w:rPr>
                <w:rFonts w:cs="Arial"/>
              </w:rPr>
            </w:pPr>
          </w:p>
        </w:tc>
        <w:tc>
          <w:tcPr>
            <w:tcW w:w="1380" w:type="dxa"/>
          </w:tcPr>
          <w:p w14:paraId="29AC9D56" w14:textId="77777777" w:rsidR="00C901C2" w:rsidRPr="00C22032" w:rsidRDefault="00C901C2" w:rsidP="00C901C2">
            <w:pPr>
              <w:rPr>
                <w:rFonts w:cs="Arial"/>
              </w:rPr>
            </w:pPr>
          </w:p>
        </w:tc>
        <w:tc>
          <w:tcPr>
            <w:tcW w:w="1706" w:type="dxa"/>
          </w:tcPr>
          <w:p w14:paraId="5E1CA290" w14:textId="77777777" w:rsidR="00C901C2" w:rsidRPr="00C22032" w:rsidRDefault="00C901C2" w:rsidP="00C901C2">
            <w:pPr>
              <w:rPr>
                <w:rFonts w:cs="Arial"/>
              </w:rPr>
            </w:pPr>
          </w:p>
        </w:tc>
      </w:tr>
      <w:tr w:rsidR="00C22032" w14:paraId="3ED24233" w14:textId="77777777" w:rsidTr="00C22032">
        <w:tc>
          <w:tcPr>
            <w:tcW w:w="2143" w:type="dxa"/>
            <w:vAlign w:val="bottom"/>
          </w:tcPr>
          <w:p w14:paraId="7CF4842F" w14:textId="4FAE94D9" w:rsidR="00C901C2" w:rsidRPr="00C22032" w:rsidRDefault="00C901C2" w:rsidP="00C901C2">
            <w:pPr>
              <w:rPr>
                <w:rFonts w:cs="Arial"/>
              </w:rPr>
            </w:pPr>
            <w:r w:rsidRPr="00C22032">
              <w:rPr>
                <w:rFonts w:cs="Arial"/>
              </w:rPr>
              <w:t>гинитус</w:t>
            </w:r>
          </w:p>
        </w:tc>
        <w:tc>
          <w:tcPr>
            <w:tcW w:w="1288" w:type="dxa"/>
          </w:tcPr>
          <w:p w14:paraId="4B8001E6" w14:textId="77777777" w:rsidR="00C901C2" w:rsidRPr="00C22032" w:rsidRDefault="00C901C2" w:rsidP="00C901C2">
            <w:pPr>
              <w:rPr>
                <w:rFonts w:cs="Arial"/>
              </w:rPr>
            </w:pPr>
          </w:p>
        </w:tc>
        <w:tc>
          <w:tcPr>
            <w:tcW w:w="1442" w:type="dxa"/>
          </w:tcPr>
          <w:p w14:paraId="08D5B418" w14:textId="77777777" w:rsidR="00C901C2" w:rsidRPr="00C22032" w:rsidRDefault="00C901C2" w:rsidP="00C901C2">
            <w:pPr>
              <w:rPr>
                <w:rFonts w:cs="Arial"/>
              </w:rPr>
            </w:pPr>
          </w:p>
        </w:tc>
        <w:tc>
          <w:tcPr>
            <w:tcW w:w="1617" w:type="dxa"/>
          </w:tcPr>
          <w:p w14:paraId="096AA08A" w14:textId="77777777" w:rsidR="00C901C2" w:rsidRPr="00C22032" w:rsidRDefault="00C901C2" w:rsidP="00C901C2">
            <w:pPr>
              <w:rPr>
                <w:rFonts w:cs="Arial"/>
              </w:rPr>
            </w:pPr>
          </w:p>
        </w:tc>
        <w:tc>
          <w:tcPr>
            <w:tcW w:w="1380" w:type="dxa"/>
          </w:tcPr>
          <w:p w14:paraId="5A9D7ADD" w14:textId="77777777" w:rsidR="00C901C2" w:rsidRPr="00C22032" w:rsidRDefault="00C901C2" w:rsidP="00C901C2">
            <w:pPr>
              <w:rPr>
                <w:rFonts w:cs="Arial"/>
              </w:rPr>
            </w:pPr>
          </w:p>
        </w:tc>
        <w:tc>
          <w:tcPr>
            <w:tcW w:w="1706" w:type="dxa"/>
            <w:vAlign w:val="bottom"/>
          </w:tcPr>
          <w:p w14:paraId="667F5AFB" w14:textId="77911C86" w:rsidR="00C901C2" w:rsidRPr="00C22032" w:rsidRDefault="00C901C2" w:rsidP="00C901C2">
            <w:pPr>
              <w:rPr>
                <w:rFonts w:cs="Arial"/>
              </w:rPr>
            </w:pPr>
            <w:r w:rsidRPr="00C22032">
              <w:rPr>
                <w:rFonts w:cs="Arial"/>
              </w:rPr>
              <w:t>с неизвестна честота</w:t>
            </w:r>
          </w:p>
        </w:tc>
      </w:tr>
      <w:tr w:rsidR="00C901C2" w14:paraId="59695B0F" w14:textId="77777777" w:rsidTr="00B45AE1">
        <w:tc>
          <w:tcPr>
            <w:tcW w:w="9576" w:type="dxa"/>
            <w:gridSpan w:val="6"/>
          </w:tcPr>
          <w:p w14:paraId="33081DBB" w14:textId="364FC8BE" w:rsidR="00C901C2" w:rsidRPr="00C22032" w:rsidRDefault="00C901C2" w:rsidP="006D7DF8">
            <w:pPr>
              <w:rPr>
                <w:rFonts w:cs="Arial"/>
              </w:rPr>
            </w:pPr>
            <w:r w:rsidRPr="00C901C2">
              <w:rPr>
                <w:rFonts w:eastAsia="Times New Roman" w:cs="Arial"/>
                <w:b/>
                <w:bCs/>
                <w:color w:val="000000"/>
                <w:lang w:eastAsia="bg-BG"/>
              </w:rPr>
              <w:t>Сърдечни нарушения</w:t>
            </w:r>
          </w:p>
        </w:tc>
      </w:tr>
      <w:tr w:rsidR="00C22032" w14:paraId="27B642B9" w14:textId="77777777" w:rsidTr="00C22032">
        <w:tc>
          <w:tcPr>
            <w:tcW w:w="2143" w:type="dxa"/>
            <w:vAlign w:val="bottom"/>
          </w:tcPr>
          <w:p w14:paraId="39D73D45" w14:textId="697E5C70" w:rsidR="00C901C2" w:rsidRPr="00C22032" w:rsidRDefault="00C901C2" w:rsidP="00C901C2">
            <w:pPr>
              <w:rPr>
                <w:rFonts w:cs="Arial"/>
              </w:rPr>
            </w:pPr>
            <w:r w:rsidRPr="00C22032">
              <w:rPr>
                <w:rFonts w:cs="Arial"/>
              </w:rPr>
              <w:t>палпитации</w:t>
            </w:r>
          </w:p>
        </w:tc>
        <w:tc>
          <w:tcPr>
            <w:tcW w:w="1288" w:type="dxa"/>
            <w:vAlign w:val="bottom"/>
          </w:tcPr>
          <w:p w14:paraId="11564C59" w14:textId="2FAD33FE" w:rsidR="00C901C2" w:rsidRPr="00C22032" w:rsidRDefault="00C901C2" w:rsidP="00C901C2">
            <w:pPr>
              <w:rPr>
                <w:rFonts w:cs="Arial"/>
              </w:rPr>
            </w:pPr>
            <w:r w:rsidRPr="00C22032">
              <w:rPr>
                <w:rFonts w:cs="Arial"/>
              </w:rPr>
              <w:t>нечести</w:t>
            </w:r>
          </w:p>
        </w:tc>
        <w:tc>
          <w:tcPr>
            <w:tcW w:w="1442" w:type="dxa"/>
          </w:tcPr>
          <w:p w14:paraId="36BBA25D" w14:textId="77777777" w:rsidR="00C901C2" w:rsidRPr="00C22032" w:rsidRDefault="00C901C2" w:rsidP="00C901C2">
            <w:pPr>
              <w:rPr>
                <w:rFonts w:cs="Arial"/>
              </w:rPr>
            </w:pPr>
          </w:p>
        </w:tc>
        <w:tc>
          <w:tcPr>
            <w:tcW w:w="1617" w:type="dxa"/>
          </w:tcPr>
          <w:p w14:paraId="57508DD2" w14:textId="77777777" w:rsidR="00C901C2" w:rsidRPr="00C22032" w:rsidRDefault="00C901C2" w:rsidP="00C901C2">
            <w:pPr>
              <w:rPr>
                <w:rFonts w:cs="Arial"/>
              </w:rPr>
            </w:pPr>
          </w:p>
        </w:tc>
        <w:tc>
          <w:tcPr>
            <w:tcW w:w="1380" w:type="dxa"/>
          </w:tcPr>
          <w:p w14:paraId="485D886E" w14:textId="77777777" w:rsidR="00C901C2" w:rsidRPr="00C22032" w:rsidRDefault="00C901C2" w:rsidP="00C901C2">
            <w:pPr>
              <w:rPr>
                <w:rFonts w:cs="Arial"/>
              </w:rPr>
            </w:pPr>
          </w:p>
        </w:tc>
        <w:tc>
          <w:tcPr>
            <w:tcW w:w="1706" w:type="dxa"/>
          </w:tcPr>
          <w:p w14:paraId="4747C751" w14:textId="77777777" w:rsidR="00C901C2" w:rsidRPr="00C22032" w:rsidRDefault="00C901C2" w:rsidP="00C901C2">
            <w:pPr>
              <w:rPr>
                <w:rFonts w:cs="Arial"/>
              </w:rPr>
            </w:pPr>
          </w:p>
        </w:tc>
      </w:tr>
      <w:tr w:rsidR="00C22032" w14:paraId="3641D215" w14:textId="77777777" w:rsidTr="00C22032">
        <w:tc>
          <w:tcPr>
            <w:tcW w:w="2143" w:type="dxa"/>
            <w:vAlign w:val="bottom"/>
          </w:tcPr>
          <w:p w14:paraId="162A73F3" w14:textId="22B0620E" w:rsidR="00C901C2" w:rsidRPr="00C22032" w:rsidRDefault="00C901C2" w:rsidP="00C901C2">
            <w:pPr>
              <w:rPr>
                <w:rFonts w:cs="Arial"/>
              </w:rPr>
            </w:pPr>
            <w:r w:rsidRPr="00C22032">
              <w:rPr>
                <w:rFonts w:cs="Arial"/>
              </w:rPr>
              <w:t>ангина пекторис</w:t>
            </w:r>
          </w:p>
        </w:tc>
        <w:tc>
          <w:tcPr>
            <w:tcW w:w="1288" w:type="dxa"/>
            <w:vAlign w:val="bottom"/>
          </w:tcPr>
          <w:p w14:paraId="75AEE25A" w14:textId="63AE7133" w:rsidR="00C901C2" w:rsidRPr="00C22032" w:rsidRDefault="00C901C2" w:rsidP="00C901C2">
            <w:pPr>
              <w:rPr>
                <w:rFonts w:cs="Arial"/>
              </w:rPr>
            </w:pPr>
            <w:r w:rsidRPr="00C22032">
              <w:rPr>
                <w:rFonts w:cs="Arial"/>
              </w:rPr>
              <w:t>нечести</w:t>
            </w:r>
          </w:p>
        </w:tc>
        <w:tc>
          <w:tcPr>
            <w:tcW w:w="1442" w:type="dxa"/>
          </w:tcPr>
          <w:p w14:paraId="512E95EC" w14:textId="77777777" w:rsidR="00C901C2" w:rsidRPr="00C22032" w:rsidRDefault="00C901C2" w:rsidP="00C901C2">
            <w:pPr>
              <w:rPr>
                <w:rFonts w:cs="Arial"/>
              </w:rPr>
            </w:pPr>
          </w:p>
        </w:tc>
        <w:tc>
          <w:tcPr>
            <w:tcW w:w="1617" w:type="dxa"/>
          </w:tcPr>
          <w:p w14:paraId="033A6910" w14:textId="77777777" w:rsidR="00C901C2" w:rsidRPr="00C22032" w:rsidRDefault="00C901C2" w:rsidP="00C901C2">
            <w:pPr>
              <w:rPr>
                <w:rFonts w:cs="Arial"/>
              </w:rPr>
            </w:pPr>
          </w:p>
        </w:tc>
        <w:tc>
          <w:tcPr>
            <w:tcW w:w="1380" w:type="dxa"/>
          </w:tcPr>
          <w:p w14:paraId="72DD349F" w14:textId="77777777" w:rsidR="00C901C2" w:rsidRPr="00C22032" w:rsidRDefault="00C901C2" w:rsidP="00C901C2">
            <w:pPr>
              <w:rPr>
                <w:rFonts w:cs="Arial"/>
              </w:rPr>
            </w:pPr>
          </w:p>
        </w:tc>
        <w:tc>
          <w:tcPr>
            <w:tcW w:w="1706" w:type="dxa"/>
          </w:tcPr>
          <w:p w14:paraId="2B389F3E" w14:textId="77777777" w:rsidR="00C901C2" w:rsidRPr="00C22032" w:rsidRDefault="00C901C2" w:rsidP="00C901C2">
            <w:pPr>
              <w:rPr>
                <w:rFonts w:cs="Arial"/>
              </w:rPr>
            </w:pPr>
          </w:p>
        </w:tc>
      </w:tr>
      <w:tr w:rsidR="00C22032" w14:paraId="71DA04DF" w14:textId="77777777" w:rsidTr="00C22032">
        <w:tc>
          <w:tcPr>
            <w:tcW w:w="2143" w:type="dxa"/>
            <w:vAlign w:val="bottom"/>
          </w:tcPr>
          <w:p w14:paraId="16255130" w14:textId="3639A19F" w:rsidR="00C901C2" w:rsidRPr="00C22032" w:rsidRDefault="00C901C2" w:rsidP="00C901C2">
            <w:pPr>
              <w:rPr>
                <w:rFonts w:cs="Arial"/>
              </w:rPr>
            </w:pPr>
            <w:r w:rsidRPr="00C22032">
              <w:rPr>
                <w:rFonts w:cs="Arial"/>
              </w:rPr>
              <w:t>синкоп</w:t>
            </w:r>
          </w:p>
        </w:tc>
        <w:tc>
          <w:tcPr>
            <w:tcW w:w="1288" w:type="dxa"/>
          </w:tcPr>
          <w:p w14:paraId="30A864F2" w14:textId="77777777" w:rsidR="00C901C2" w:rsidRPr="00C22032" w:rsidRDefault="00C901C2" w:rsidP="00C901C2">
            <w:pPr>
              <w:rPr>
                <w:rFonts w:cs="Arial"/>
              </w:rPr>
            </w:pPr>
          </w:p>
        </w:tc>
        <w:tc>
          <w:tcPr>
            <w:tcW w:w="1442" w:type="dxa"/>
          </w:tcPr>
          <w:p w14:paraId="47356ED5" w14:textId="77777777" w:rsidR="00C901C2" w:rsidRPr="00C22032" w:rsidRDefault="00C901C2" w:rsidP="00C901C2">
            <w:pPr>
              <w:rPr>
                <w:rFonts w:cs="Arial"/>
              </w:rPr>
            </w:pPr>
          </w:p>
        </w:tc>
        <w:tc>
          <w:tcPr>
            <w:tcW w:w="1617" w:type="dxa"/>
            <w:vAlign w:val="bottom"/>
          </w:tcPr>
          <w:p w14:paraId="67E9AFD4" w14:textId="5BFA2069" w:rsidR="00C901C2" w:rsidRPr="00C22032" w:rsidRDefault="00C901C2" w:rsidP="00C901C2">
            <w:pPr>
              <w:rPr>
                <w:rFonts w:cs="Arial"/>
              </w:rPr>
            </w:pPr>
            <w:r w:rsidRPr="00C22032">
              <w:rPr>
                <w:rFonts w:cs="Arial"/>
              </w:rPr>
              <w:t>редки</w:t>
            </w:r>
          </w:p>
        </w:tc>
        <w:tc>
          <w:tcPr>
            <w:tcW w:w="1380" w:type="dxa"/>
          </w:tcPr>
          <w:p w14:paraId="0B0B38AD" w14:textId="77777777" w:rsidR="00C901C2" w:rsidRPr="00C22032" w:rsidRDefault="00C901C2" w:rsidP="00C901C2">
            <w:pPr>
              <w:rPr>
                <w:rFonts w:cs="Arial"/>
              </w:rPr>
            </w:pPr>
          </w:p>
        </w:tc>
        <w:tc>
          <w:tcPr>
            <w:tcW w:w="1706" w:type="dxa"/>
          </w:tcPr>
          <w:p w14:paraId="488A0476" w14:textId="77777777" w:rsidR="00C901C2" w:rsidRPr="00C22032" w:rsidRDefault="00C901C2" w:rsidP="00C901C2">
            <w:pPr>
              <w:rPr>
                <w:rFonts w:cs="Arial"/>
              </w:rPr>
            </w:pPr>
          </w:p>
        </w:tc>
      </w:tr>
      <w:tr w:rsidR="00C22032" w14:paraId="0B60A6C8" w14:textId="77777777" w:rsidTr="00C22032">
        <w:tc>
          <w:tcPr>
            <w:tcW w:w="2143" w:type="dxa"/>
            <w:vAlign w:val="bottom"/>
          </w:tcPr>
          <w:p w14:paraId="53F9CF54" w14:textId="25BA3935" w:rsidR="00C901C2" w:rsidRPr="00C22032" w:rsidRDefault="00C901C2" w:rsidP="00C901C2">
            <w:pPr>
              <w:rPr>
                <w:rFonts w:cs="Arial"/>
              </w:rPr>
            </w:pPr>
            <w:r w:rsidRPr="00C22032">
              <w:rPr>
                <w:rFonts w:cs="Arial"/>
              </w:rPr>
              <w:t>предсърдно мъждене</w:t>
            </w:r>
          </w:p>
        </w:tc>
        <w:tc>
          <w:tcPr>
            <w:tcW w:w="1288" w:type="dxa"/>
          </w:tcPr>
          <w:p w14:paraId="3193AE25" w14:textId="77777777" w:rsidR="00C901C2" w:rsidRPr="00C22032" w:rsidRDefault="00C901C2" w:rsidP="00C901C2">
            <w:pPr>
              <w:rPr>
                <w:rFonts w:cs="Arial"/>
              </w:rPr>
            </w:pPr>
          </w:p>
        </w:tc>
        <w:tc>
          <w:tcPr>
            <w:tcW w:w="1442" w:type="dxa"/>
          </w:tcPr>
          <w:p w14:paraId="098C991C" w14:textId="77777777" w:rsidR="00C901C2" w:rsidRPr="00C22032" w:rsidRDefault="00C901C2" w:rsidP="00C901C2">
            <w:pPr>
              <w:rPr>
                <w:rFonts w:cs="Arial"/>
              </w:rPr>
            </w:pPr>
          </w:p>
        </w:tc>
        <w:tc>
          <w:tcPr>
            <w:tcW w:w="1617" w:type="dxa"/>
            <w:vAlign w:val="center"/>
          </w:tcPr>
          <w:p w14:paraId="71DA8E93" w14:textId="743170A8" w:rsidR="00C901C2" w:rsidRPr="00C22032" w:rsidRDefault="00C901C2" w:rsidP="00C901C2">
            <w:pPr>
              <w:rPr>
                <w:rFonts w:cs="Arial"/>
              </w:rPr>
            </w:pPr>
            <w:r w:rsidRPr="00C22032">
              <w:rPr>
                <w:rFonts w:cs="Arial"/>
              </w:rPr>
              <w:t>редки</w:t>
            </w:r>
          </w:p>
        </w:tc>
        <w:tc>
          <w:tcPr>
            <w:tcW w:w="1380" w:type="dxa"/>
          </w:tcPr>
          <w:p w14:paraId="689CA193" w14:textId="77777777" w:rsidR="00C901C2" w:rsidRPr="00C22032" w:rsidRDefault="00C901C2" w:rsidP="00C901C2">
            <w:pPr>
              <w:rPr>
                <w:rFonts w:cs="Arial"/>
              </w:rPr>
            </w:pPr>
          </w:p>
        </w:tc>
        <w:tc>
          <w:tcPr>
            <w:tcW w:w="1706" w:type="dxa"/>
          </w:tcPr>
          <w:p w14:paraId="5BEF6E20" w14:textId="77777777" w:rsidR="00C901C2" w:rsidRPr="00C22032" w:rsidRDefault="00C901C2" w:rsidP="00C901C2">
            <w:pPr>
              <w:rPr>
                <w:rFonts w:cs="Arial"/>
              </w:rPr>
            </w:pPr>
          </w:p>
        </w:tc>
      </w:tr>
      <w:tr w:rsidR="00C22032" w14:paraId="2CE1F6D6" w14:textId="77777777" w:rsidTr="00C22032">
        <w:tc>
          <w:tcPr>
            <w:tcW w:w="2143" w:type="dxa"/>
            <w:vAlign w:val="bottom"/>
          </w:tcPr>
          <w:p w14:paraId="15EB0261" w14:textId="27BBC509" w:rsidR="00C901C2" w:rsidRPr="00C22032" w:rsidRDefault="00C901C2" w:rsidP="00C901C2">
            <w:pPr>
              <w:rPr>
                <w:rFonts w:cs="Arial"/>
              </w:rPr>
            </w:pPr>
            <w:r w:rsidRPr="00C22032">
              <w:rPr>
                <w:rFonts w:cs="Arial"/>
              </w:rPr>
              <w:t>мозъчносъдов инцидент</w:t>
            </w:r>
          </w:p>
        </w:tc>
        <w:tc>
          <w:tcPr>
            <w:tcW w:w="1288" w:type="dxa"/>
          </w:tcPr>
          <w:p w14:paraId="73C6EDCB" w14:textId="77777777" w:rsidR="00C901C2" w:rsidRPr="00C22032" w:rsidRDefault="00C901C2" w:rsidP="00C901C2">
            <w:pPr>
              <w:rPr>
                <w:rFonts w:cs="Arial"/>
              </w:rPr>
            </w:pPr>
          </w:p>
        </w:tc>
        <w:tc>
          <w:tcPr>
            <w:tcW w:w="1442" w:type="dxa"/>
          </w:tcPr>
          <w:p w14:paraId="319D8B8B" w14:textId="77777777" w:rsidR="00C901C2" w:rsidRPr="00C22032" w:rsidRDefault="00C901C2" w:rsidP="00C901C2">
            <w:pPr>
              <w:rPr>
                <w:rFonts w:cs="Arial"/>
              </w:rPr>
            </w:pPr>
          </w:p>
        </w:tc>
        <w:tc>
          <w:tcPr>
            <w:tcW w:w="1617" w:type="dxa"/>
            <w:vAlign w:val="bottom"/>
          </w:tcPr>
          <w:p w14:paraId="03FF24A6" w14:textId="6982A23D" w:rsidR="00C901C2" w:rsidRPr="00C22032" w:rsidRDefault="00C901C2" w:rsidP="00C901C2">
            <w:pPr>
              <w:rPr>
                <w:rFonts w:cs="Arial"/>
              </w:rPr>
            </w:pPr>
            <w:r w:rsidRPr="00C22032">
              <w:rPr>
                <w:rFonts w:cs="Arial"/>
              </w:rPr>
              <w:t>редки</w:t>
            </w:r>
          </w:p>
        </w:tc>
        <w:tc>
          <w:tcPr>
            <w:tcW w:w="1380" w:type="dxa"/>
          </w:tcPr>
          <w:p w14:paraId="6E2D9CEA" w14:textId="77777777" w:rsidR="00C901C2" w:rsidRPr="00C22032" w:rsidRDefault="00C901C2" w:rsidP="00C901C2">
            <w:pPr>
              <w:rPr>
                <w:rFonts w:cs="Arial"/>
              </w:rPr>
            </w:pPr>
          </w:p>
        </w:tc>
        <w:tc>
          <w:tcPr>
            <w:tcW w:w="1706" w:type="dxa"/>
          </w:tcPr>
          <w:p w14:paraId="66E9A814" w14:textId="77777777" w:rsidR="00C901C2" w:rsidRPr="00C22032" w:rsidRDefault="00C901C2" w:rsidP="00C901C2">
            <w:pPr>
              <w:rPr>
                <w:rFonts w:cs="Arial"/>
              </w:rPr>
            </w:pPr>
          </w:p>
        </w:tc>
      </w:tr>
      <w:tr w:rsidR="00C901C2" w14:paraId="2BD1B4B1" w14:textId="77777777" w:rsidTr="00CD2E59">
        <w:tc>
          <w:tcPr>
            <w:tcW w:w="9576" w:type="dxa"/>
            <w:gridSpan w:val="6"/>
          </w:tcPr>
          <w:p w14:paraId="7C9CF0E0" w14:textId="5561A184" w:rsidR="00C901C2" w:rsidRPr="00C22032" w:rsidRDefault="00C901C2" w:rsidP="006D7DF8">
            <w:pPr>
              <w:rPr>
                <w:rFonts w:cs="Arial"/>
              </w:rPr>
            </w:pPr>
            <w:r w:rsidRPr="00C901C2">
              <w:rPr>
                <w:rFonts w:eastAsia="Times New Roman" w:cs="Arial"/>
                <w:b/>
                <w:bCs/>
                <w:color w:val="000000"/>
                <w:lang w:eastAsia="bg-BG"/>
              </w:rPr>
              <w:t>Съдови нарушения</w:t>
            </w:r>
          </w:p>
        </w:tc>
      </w:tr>
      <w:tr w:rsidR="00C22032" w14:paraId="376E4BEE" w14:textId="77777777" w:rsidTr="00C22032">
        <w:tc>
          <w:tcPr>
            <w:tcW w:w="2143" w:type="dxa"/>
            <w:vAlign w:val="bottom"/>
          </w:tcPr>
          <w:p w14:paraId="270DB2C2" w14:textId="7F7BBBC2" w:rsidR="00C901C2" w:rsidRPr="00C22032" w:rsidRDefault="00C901C2" w:rsidP="00C901C2">
            <w:pPr>
              <w:rPr>
                <w:rFonts w:cs="Arial"/>
              </w:rPr>
            </w:pPr>
            <w:r w:rsidRPr="00C22032">
              <w:rPr>
                <w:rFonts w:cs="Arial"/>
              </w:rPr>
              <w:t>(ортостатична) хипотония (доза зависима)</w:t>
            </w:r>
            <w:r w:rsidRPr="00C22032">
              <w:rPr>
                <w:rFonts w:cs="Arial"/>
                <w:lang w:val="en-US"/>
              </w:rPr>
              <w:t>||</w:t>
            </w:r>
          </w:p>
        </w:tc>
        <w:tc>
          <w:tcPr>
            <w:tcW w:w="1288" w:type="dxa"/>
            <w:vAlign w:val="center"/>
          </w:tcPr>
          <w:p w14:paraId="538F88C1" w14:textId="48DEF59D" w:rsidR="00C901C2" w:rsidRPr="00C22032" w:rsidRDefault="00C901C2" w:rsidP="00C901C2">
            <w:pPr>
              <w:rPr>
                <w:rFonts w:cs="Arial"/>
              </w:rPr>
            </w:pPr>
            <w:r w:rsidRPr="00C22032">
              <w:rPr>
                <w:rFonts w:cs="Arial"/>
              </w:rPr>
              <w:t>нечести</w:t>
            </w:r>
          </w:p>
        </w:tc>
        <w:tc>
          <w:tcPr>
            <w:tcW w:w="1442" w:type="dxa"/>
          </w:tcPr>
          <w:p w14:paraId="447E2A81" w14:textId="77777777" w:rsidR="00C901C2" w:rsidRPr="00C22032" w:rsidRDefault="00C901C2" w:rsidP="00C901C2">
            <w:pPr>
              <w:rPr>
                <w:rFonts w:cs="Arial"/>
              </w:rPr>
            </w:pPr>
          </w:p>
        </w:tc>
        <w:tc>
          <w:tcPr>
            <w:tcW w:w="1617" w:type="dxa"/>
            <w:vAlign w:val="center"/>
          </w:tcPr>
          <w:p w14:paraId="37318143" w14:textId="2C8176DB" w:rsidR="00C901C2" w:rsidRPr="00C22032" w:rsidRDefault="00C901C2" w:rsidP="00C901C2">
            <w:pPr>
              <w:rPr>
                <w:rFonts w:cs="Arial"/>
              </w:rPr>
            </w:pPr>
            <w:r w:rsidRPr="00C22032">
              <w:rPr>
                <w:rFonts w:cs="Arial"/>
              </w:rPr>
              <w:t>чести</w:t>
            </w:r>
          </w:p>
        </w:tc>
        <w:tc>
          <w:tcPr>
            <w:tcW w:w="1380" w:type="dxa"/>
            <w:vAlign w:val="center"/>
          </w:tcPr>
          <w:p w14:paraId="0138BE7C" w14:textId="7DB97BD5" w:rsidR="00C901C2" w:rsidRPr="00C22032" w:rsidRDefault="00C901C2" w:rsidP="00C901C2">
            <w:pPr>
              <w:rPr>
                <w:rFonts w:cs="Arial"/>
              </w:rPr>
            </w:pPr>
            <w:r w:rsidRPr="00C22032">
              <w:rPr>
                <w:rFonts w:cs="Arial"/>
              </w:rPr>
              <w:t>чести</w:t>
            </w:r>
          </w:p>
        </w:tc>
        <w:tc>
          <w:tcPr>
            <w:tcW w:w="1706" w:type="dxa"/>
          </w:tcPr>
          <w:p w14:paraId="78F05809" w14:textId="77777777" w:rsidR="00C901C2" w:rsidRPr="00C22032" w:rsidRDefault="00C901C2" w:rsidP="00C901C2">
            <w:pPr>
              <w:rPr>
                <w:rFonts w:cs="Arial"/>
              </w:rPr>
            </w:pPr>
          </w:p>
        </w:tc>
      </w:tr>
      <w:tr w:rsidR="00C901C2" w14:paraId="61A98EF6" w14:textId="77777777" w:rsidTr="0036648F">
        <w:tc>
          <w:tcPr>
            <w:tcW w:w="9576" w:type="dxa"/>
            <w:gridSpan w:val="6"/>
          </w:tcPr>
          <w:p w14:paraId="39934422" w14:textId="15E7B045" w:rsidR="00C901C2" w:rsidRPr="00C22032" w:rsidRDefault="00C901C2" w:rsidP="006D7DF8">
            <w:pPr>
              <w:rPr>
                <w:rFonts w:cs="Arial"/>
              </w:rPr>
            </w:pPr>
            <w:r w:rsidRPr="00C901C2">
              <w:rPr>
                <w:rFonts w:eastAsia="Times New Roman" w:cs="Arial"/>
                <w:b/>
                <w:bCs/>
                <w:color w:val="000000"/>
                <w:lang w:eastAsia="bg-BG"/>
              </w:rPr>
              <w:t>Респираторни, гръдни и медиастинални нарушения</w:t>
            </w:r>
          </w:p>
        </w:tc>
      </w:tr>
      <w:tr w:rsidR="00C22032" w14:paraId="43A88843" w14:textId="77777777" w:rsidTr="00C22032">
        <w:tc>
          <w:tcPr>
            <w:tcW w:w="2143" w:type="dxa"/>
            <w:vAlign w:val="bottom"/>
          </w:tcPr>
          <w:p w14:paraId="40DE5F90" w14:textId="4033713D" w:rsidR="00C901C2" w:rsidRPr="00C22032" w:rsidRDefault="00C901C2" w:rsidP="00C901C2">
            <w:pPr>
              <w:rPr>
                <w:rFonts w:cs="Arial"/>
              </w:rPr>
            </w:pPr>
            <w:r w:rsidRPr="00C22032">
              <w:rPr>
                <w:rFonts w:cs="Arial"/>
              </w:rPr>
              <w:t>задух</w:t>
            </w:r>
          </w:p>
        </w:tc>
        <w:tc>
          <w:tcPr>
            <w:tcW w:w="1288" w:type="dxa"/>
          </w:tcPr>
          <w:p w14:paraId="2E04FC3E" w14:textId="77777777" w:rsidR="00C901C2" w:rsidRPr="00C22032" w:rsidRDefault="00C901C2" w:rsidP="00C901C2">
            <w:pPr>
              <w:rPr>
                <w:rFonts w:cs="Arial"/>
              </w:rPr>
            </w:pPr>
          </w:p>
        </w:tc>
        <w:tc>
          <w:tcPr>
            <w:tcW w:w="1442" w:type="dxa"/>
          </w:tcPr>
          <w:p w14:paraId="104DA3B4" w14:textId="77777777" w:rsidR="00C901C2" w:rsidRPr="00C22032" w:rsidRDefault="00C901C2" w:rsidP="00C901C2">
            <w:pPr>
              <w:rPr>
                <w:rFonts w:cs="Arial"/>
              </w:rPr>
            </w:pPr>
          </w:p>
        </w:tc>
        <w:tc>
          <w:tcPr>
            <w:tcW w:w="1617" w:type="dxa"/>
            <w:vAlign w:val="bottom"/>
          </w:tcPr>
          <w:p w14:paraId="0D8DE751" w14:textId="108BFF9D" w:rsidR="00C901C2" w:rsidRPr="00C22032" w:rsidRDefault="00C901C2" w:rsidP="00C901C2">
            <w:pPr>
              <w:rPr>
                <w:rFonts w:cs="Arial"/>
              </w:rPr>
            </w:pPr>
            <w:r w:rsidRPr="00C22032">
              <w:rPr>
                <w:rFonts w:cs="Arial"/>
              </w:rPr>
              <w:t>нечести</w:t>
            </w:r>
          </w:p>
        </w:tc>
        <w:tc>
          <w:tcPr>
            <w:tcW w:w="1380" w:type="dxa"/>
          </w:tcPr>
          <w:p w14:paraId="17EFC760" w14:textId="77777777" w:rsidR="00C901C2" w:rsidRPr="00C22032" w:rsidRDefault="00C901C2" w:rsidP="00C901C2">
            <w:pPr>
              <w:rPr>
                <w:rFonts w:cs="Arial"/>
              </w:rPr>
            </w:pPr>
          </w:p>
        </w:tc>
        <w:tc>
          <w:tcPr>
            <w:tcW w:w="1706" w:type="dxa"/>
          </w:tcPr>
          <w:p w14:paraId="64C06326" w14:textId="77777777" w:rsidR="00C901C2" w:rsidRPr="00C22032" w:rsidRDefault="00C901C2" w:rsidP="00C901C2">
            <w:pPr>
              <w:rPr>
                <w:rFonts w:cs="Arial"/>
              </w:rPr>
            </w:pPr>
          </w:p>
        </w:tc>
      </w:tr>
      <w:tr w:rsidR="00C22032" w14:paraId="242B792D" w14:textId="77777777" w:rsidTr="00C22032">
        <w:tc>
          <w:tcPr>
            <w:tcW w:w="2143" w:type="dxa"/>
            <w:vAlign w:val="center"/>
          </w:tcPr>
          <w:p w14:paraId="33805BEA" w14:textId="65D9E454" w:rsidR="00C901C2" w:rsidRPr="00C22032" w:rsidRDefault="00C901C2" w:rsidP="00C901C2">
            <w:pPr>
              <w:rPr>
                <w:rFonts w:cs="Arial"/>
              </w:rPr>
            </w:pPr>
            <w:r w:rsidRPr="00C22032">
              <w:rPr>
                <w:rFonts w:cs="Arial"/>
              </w:rPr>
              <w:t>кашлица</w:t>
            </w:r>
          </w:p>
        </w:tc>
        <w:tc>
          <w:tcPr>
            <w:tcW w:w="1288" w:type="dxa"/>
          </w:tcPr>
          <w:p w14:paraId="5E52F739" w14:textId="77777777" w:rsidR="00C901C2" w:rsidRPr="00C22032" w:rsidRDefault="00C901C2" w:rsidP="00C901C2">
            <w:pPr>
              <w:rPr>
                <w:rFonts w:cs="Arial"/>
              </w:rPr>
            </w:pPr>
          </w:p>
        </w:tc>
        <w:tc>
          <w:tcPr>
            <w:tcW w:w="1442" w:type="dxa"/>
          </w:tcPr>
          <w:p w14:paraId="2FE33008" w14:textId="77777777" w:rsidR="00C901C2" w:rsidRPr="00C22032" w:rsidRDefault="00C901C2" w:rsidP="00C901C2">
            <w:pPr>
              <w:rPr>
                <w:rFonts w:cs="Arial"/>
              </w:rPr>
            </w:pPr>
          </w:p>
        </w:tc>
        <w:tc>
          <w:tcPr>
            <w:tcW w:w="1617" w:type="dxa"/>
            <w:vAlign w:val="center"/>
          </w:tcPr>
          <w:p w14:paraId="39B67315" w14:textId="7319507E" w:rsidR="00C901C2" w:rsidRPr="00C22032" w:rsidRDefault="00C901C2" w:rsidP="00C901C2">
            <w:pPr>
              <w:rPr>
                <w:rFonts w:cs="Arial"/>
              </w:rPr>
            </w:pPr>
            <w:r w:rsidRPr="00C22032">
              <w:rPr>
                <w:rFonts w:cs="Arial"/>
              </w:rPr>
              <w:t>нечести</w:t>
            </w:r>
          </w:p>
        </w:tc>
        <w:tc>
          <w:tcPr>
            <w:tcW w:w="1380" w:type="dxa"/>
          </w:tcPr>
          <w:p w14:paraId="2769ADBE" w14:textId="77777777" w:rsidR="00C901C2" w:rsidRPr="00C22032" w:rsidRDefault="00C901C2" w:rsidP="00C901C2">
            <w:pPr>
              <w:rPr>
                <w:rFonts w:cs="Arial"/>
              </w:rPr>
            </w:pPr>
          </w:p>
        </w:tc>
        <w:tc>
          <w:tcPr>
            <w:tcW w:w="1706" w:type="dxa"/>
            <w:vAlign w:val="bottom"/>
          </w:tcPr>
          <w:p w14:paraId="1C3B25F2" w14:textId="2D31D3C8" w:rsidR="00C901C2" w:rsidRPr="00C22032" w:rsidRDefault="00C901C2" w:rsidP="00C901C2">
            <w:pPr>
              <w:rPr>
                <w:rFonts w:cs="Arial"/>
              </w:rPr>
            </w:pPr>
            <w:r w:rsidRPr="00C22032">
              <w:rPr>
                <w:rFonts w:cs="Arial"/>
              </w:rPr>
              <w:t>с неизвестна честота</w:t>
            </w:r>
          </w:p>
        </w:tc>
      </w:tr>
      <w:tr w:rsidR="00C901C2" w14:paraId="1A6DE876" w14:textId="77777777" w:rsidTr="00F1309E">
        <w:tc>
          <w:tcPr>
            <w:tcW w:w="9576" w:type="dxa"/>
            <w:gridSpan w:val="6"/>
          </w:tcPr>
          <w:p w14:paraId="16FD9C9D" w14:textId="64153868" w:rsidR="00C901C2" w:rsidRPr="00C22032" w:rsidRDefault="00C901C2" w:rsidP="006D7DF8">
            <w:pPr>
              <w:rPr>
                <w:rFonts w:cs="Arial"/>
              </w:rPr>
            </w:pPr>
            <w:r w:rsidRPr="00C901C2">
              <w:rPr>
                <w:rFonts w:eastAsia="Times New Roman" w:cs="Arial"/>
                <w:b/>
                <w:bCs/>
                <w:color w:val="000000"/>
                <w:lang w:eastAsia="bg-BG"/>
              </w:rPr>
              <w:t>Стомашно-чревни нарушения</w:t>
            </w:r>
          </w:p>
        </w:tc>
      </w:tr>
      <w:tr w:rsidR="00C22032" w14:paraId="51CC734C" w14:textId="77777777" w:rsidTr="00C22032">
        <w:tc>
          <w:tcPr>
            <w:tcW w:w="2143" w:type="dxa"/>
            <w:vAlign w:val="bottom"/>
          </w:tcPr>
          <w:p w14:paraId="057BBDE7" w14:textId="47BC2BCD" w:rsidR="00C901C2" w:rsidRPr="00C22032" w:rsidRDefault="00C901C2" w:rsidP="00C901C2">
            <w:pPr>
              <w:rPr>
                <w:rFonts w:cs="Arial"/>
              </w:rPr>
            </w:pPr>
            <w:r w:rsidRPr="00C22032">
              <w:rPr>
                <w:rFonts w:cs="Arial"/>
              </w:rPr>
              <w:t>коремна болка</w:t>
            </w:r>
          </w:p>
        </w:tc>
        <w:tc>
          <w:tcPr>
            <w:tcW w:w="1288" w:type="dxa"/>
            <w:vAlign w:val="bottom"/>
          </w:tcPr>
          <w:p w14:paraId="773101E2" w14:textId="18E944CC" w:rsidR="00C901C2" w:rsidRPr="00C22032" w:rsidRDefault="00C901C2" w:rsidP="00C901C2">
            <w:pPr>
              <w:rPr>
                <w:rFonts w:cs="Arial"/>
              </w:rPr>
            </w:pPr>
            <w:r w:rsidRPr="00C22032">
              <w:rPr>
                <w:rFonts w:cs="Arial"/>
              </w:rPr>
              <w:t>нечести</w:t>
            </w:r>
          </w:p>
        </w:tc>
        <w:tc>
          <w:tcPr>
            <w:tcW w:w="1442" w:type="dxa"/>
          </w:tcPr>
          <w:p w14:paraId="2E22396F" w14:textId="77777777" w:rsidR="00C901C2" w:rsidRPr="00C22032" w:rsidRDefault="00C901C2" w:rsidP="00C901C2">
            <w:pPr>
              <w:rPr>
                <w:rFonts w:cs="Arial"/>
              </w:rPr>
            </w:pPr>
          </w:p>
        </w:tc>
        <w:tc>
          <w:tcPr>
            <w:tcW w:w="1617" w:type="dxa"/>
          </w:tcPr>
          <w:p w14:paraId="72021463" w14:textId="77777777" w:rsidR="00C901C2" w:rsidRPr="00C22032" w:rsidRDefault="00C901C2" w:rsidP="00C901C2">
            <w:pPr>
              <w:rPr>
                <w:rFonts w:cs="Arial"/>
              </w:rPr>
            </w:pPr>
          </w:p>
        </w:tc>
        <w:tc>
          <w:tcPr>
            <w:tcW w:w="1380" w:type="dxa"/>
          </w:tcPr>
          <w:p w14:paraId="54D51B97" w14:textId="77777777" w:rsidR="00C901C2" w:rsidRPr="00C22032" w:rsidRDefault="00C901C2" w:rsidP="00C901C2">
            <w:pPr>
              <w:rPr>
                <w:rFonts w:cs="Arial"/>
              </w:rPr>
            </w:pPr>
          </w:p>
        </w:tc>
        <w:tc>
          <w:tcPr>
            <w:tcW w:w="1706" w:type="dxa"/>
          </w:tcPr>
          <w:p w14:paraId="0E9052FD" w14:textId="77777777" w:rsidR="00C901C2" w:rsidRPr="00C22032" w:rsidRDefault="00C901C2" w:rsidP="00C901C2">
            <w:pPr>
              <w:rPr>
                <w:rFonts w:cs="Arial"/>
              </w:rPr>
            </w:pPr>
          </w:p>
        </w:tc>
      </w:tr>
      <w:tr w:rsidR="00C22032" w14:paraId="4ED89C4D" w14:textId="77777777" w:rsidTr="00C22032">
        <w:tc>
          <w:tcPr>
            <w:tcW w:w="2143" w:type="dxa"/>
            <w:vAlign w:val="bottom"/>
          </w:tcPr>
          <w:p w14:paraId="2B701E13" w14:textId="4800FA1C" w:rsidR="00C901C2" w:rsidRPr="00C22032" w:rsidRDefault="00C901C2" w:rsidP="00C901C2">
            <w:pPr>
              <w:rPr>
                <w:rFonts w:cs="Arial"/>
              </w:rPr>
            </w:pPr>
            <w:r w:rsidRPr="00C22032">
              <w:rPr>
                <w:rFonts w:cs="Arial"/>
              </w:rPr>
              <w:t>запек</w:t>
            </w:r>
          </w:p>
        </w:tc>
        <w:tc>
          <w:tcPr>
            <w:tcW w:w="1288" w:type="dxa"/>
            <w:vAlign w:val="bottom"/>
          </w:tcPr>
          <w:p w14:paraId="073E9539" w14:textId="6887E042" w:rsidR="00C901C2" w:rsidRPr="00C22032" w:rsidRDefault="00C901C2" w:rsidP="00C901C2">
            <w:pPr>
              <w:rPr>
                <w:rFonts w:cs="Arial"/>
              </w:rPr>
            </w:pPr>
            <w:r w:rsidRPr="00C22032">
              <w:rPr>
                <w:rFonts w:cs="Arial"/>
              </w:rPr>
              <w:t>нечести</w:t>
            </w:r>
          </w:p>
        </w:tc>
        <w:tc>
          <w:tcPr>
            <w:tcW w:w="1442" w:type="dxa"/>
          </w:tcPr>
          <w:p w14:paraId="06EF68C7" w14:textId="77777777" w:rsidR="00C901C2" w:rsidRPr="00C22032" w:rsidRDefault="00C901C2" w:rsidP="00C901C2">
            <w:pPr>
              <w:rPr>
                <w:rFonts w:cs="Arial"/>
              </w:rPr>
            </w:pPr>
          </w:p>
        </w:tc>
        <w:tc>
          <w:tcPr>
            <w:tcW w:w="1617" w:type="dxa"/>
          </w:tcPr>
          <w:p w14:paraId="29934F32" w14:textId="77777777" w:rsidR="00C901C2" w:rsidRPr="00C22032" w:rsidRDefault="00C901C2" w:rsidP="00C901C2">
            <w:pPr>
              <w:rPr>
                <w:rFonts w:cs="Arial"/>
              </w:rPr>
            </w:pPr>
          </w:p>
        </w:tc>
        <w:tc>
          <w:tcPr>
            <w:tcW w:w="1380" w:type="dxa"/>
          </w:tcPr>
          <w:p w14:paraId="1351EDC9" w14:textId="77777777" w:rsidR="00C901C2" w:rsidRPr="00C22032" w:rsidRDefault="00C901C2" w:rsidP="00C901C2">
            <w:pPr>
              <w:rPr>
                <w:rFonts w:cs="Arial"/>
              </w:rPr>
            </w:pPr>
          </w:p>
        </w:tc>
        <w:tc>
          <w:tcPr>
            <w:tcW w:w="1706" w:type="dxa"/>
          </w:tcPr>
          <w:p w14:paraId="491BE979" w14:textId="77777777" w:rsidR="00C901C2" w:rsidRPr="00C22032" w:rsidRDefault="00C901C2" w:rsidP="00C901C2">
            <w:pPr>
              <w:rPr>
                <w:rFonts w:cs="Arial"/>
              </w:rPr>
            </w:pPr>
          </w:p>
        </w:tc>
      </w:tr>
      <w:tr w:rsidR="00C22032" w14:paraId="13EE34A6" w14:textId="77777777" w:rsidTr="00C22032">
        <w:tc>
          <w:tcPr>
            <w:tcW w:w="2143" w:type="dxa"/>
            <w:vAlign w:val="bottom"/>
          </w:tcPr>
          <w:p w14:paraId="66F10B8A" w14:textId="3FB326E2" w:rsidR="00C901C2" w:rsidRPr="00C22032" w:rsidRDefault="00C901C2" w:rsidP="00C901C2">
            <w:pPr>
              <w:rPr>
                <w:rFonts w:cs="Arial"/>
              </w:rPr>
            </w:pPr>
            <w:r w:rsidRPr="00C22032">
              <w:rPr>
                <w:rFonts w:cs="Arial"/>
              </w:rPr>
              <w:t>диария</w:t>
            </w:r>
          </w:p>
        </w:tc>
        <w:tc>
          <w:tcPr>
            <w:tcW w:w="1288" w:type="dxa"/>
          </w:tcPr>
          <w:p w14:paraId="4854979B" w14:textId="77777777" w:rsidR="00C901C2" w:rsidRPr="00C22032" w:rsidRDefault="00C901C2" w:rsidP="00C901C2">
            <w:pPr>
              <w:rPr>
                <w:rFonts w:cs="Arial"/>
              </w:rPr>
            </w:pPr>
          </w:p>
        </w:tc>
        <w:tc>
          <w:tcPr>
            <w:tcW w:w="1442" w:type="dxa"/>
          </w:tcPr>
          <w:p w14:paraId="7048F36A" w14:textId="77777777" w:rsidR="00C901C2" w:rsidRPr="00C22032" w:rsidRDefault="00C901C2" w:rsidP="00C901C2">
            <w:pPr>
              <w:rPr>
                <w:rFonts w:cs="Arial"/>
              </w:rPr>
            </w:pPr>
          </w:p>
        </w:tc>
        <w:tc>
          <w:tcPr>
            <w:tcW w:w="1617" w:type="dxa"/>
            <w:vAlign w:val="center"/>
          </w:tcPr>
          <w:p w14:paraId="39AF2F1B" w14:textId="56E77CF3" w:rsidR="00C901C2" w:rsidRPr="00C22032" w:rsidRDefault="00C901C2" w:rsidP="00C901C2">
            <w:pPr>
              <w:rPr>
                <w:rFonts w:cs="Arial"/>
              </w:rPr>
            </w:pPr>
            <w:r w:rsidRPr="00C22032">
              <w:rPr>
                <w:rFonts w:cs="Arial"/>
              </w:rPr>
              <w:t>нечести</w:t>
            </w:r>
          </w:p>
        </w:tc>
        <w:tc>
          <w:tcPr>
            <w:tcW w:w="1380" w:type="dxa"/>
          </w:tcPr>
          <w:p w14:paraId="10AEF38E" w14:textId="77777777" w:rsidR="00C901C2" w:rsidRPr="00C22032" w:rsidRDefault="00C901C2" w:rsidP="00C901C2">
            <w:pPr>
              <w:rPr>
                <w:rFonts w:cs="Arial"/>
              </w:rPr>
            </w:pPr>
          </w:p>
        </w:tc>
        <w:tc>
          <w:tcPr>
            <w:tcW w:w="1706" w:type="dxa"/>
            <w:vAlign w:val="bottom"/>
          </w:tcPr>
          <w:p w14:paraId="22C252C6" w14:textId="09B14FBF" w:rsidR="00C901C2" w:rsidRPr="00C22032" w:rsidRDefault="00C901C2" w:rsidP="00C901C2">
            <w:pPr>
              <w:rPr>
                <w:rFonts w:cs="Arial"/>
              </w:rPr>
            </w:pPr>
            <w:r w:rsidRPr="00C22032">
              <w:rPr>
                <w:rFonts w:cs="Arial"/>
              </w:rPr>
              <w:t>с неизвестна честота</w:t>
            </w:r>
          </w:p>
        </w:tc>
      </w:tr>
      <w:tr w:rsidR="00C22032" w14:paraId="526FFD67" w14:textId="77777777" w:rsidTr="00C22032">
        <w:tc>
          <w:tcPr>
            <w:tcW w:w="2143" w:type="dxa"/>
            <w:vAlign w:val="bottom"/>
          </w:tcPr>
          <w:p w14:paraId="3466790E" w14:textId="724D0137" w:rsidR="00C901C2" w:rsidRPr="00C22032" w:rsidRDefault="00C901C2" w:rsidP="00C901C2">
            <w:pPr>
              <w:rPr>
                <w:rFonts w:cs="Arial"/>
              </w:rPr>
            </w:pPr>
            <w:r w:rsidRPr="00C22032">
              <w:rPr>
                <w:rFonts w:cs="Arial"/>
              </w:rPr>
              <w:lastRenderedPageBreak/>
              <w:t>гадене</w:t>
            </w:r>
          </w:p>
        </w:tc>
        <w:tc>
          <w:tcPr>
            <w:tcW w:w="1288" w:type="dxa"/>
          </w:tcPr>
          <w:p w14:paraId="5A3EE321" w14:textId="77777777" w:rsidR="00C901C2" w:rsidRPr="00C22032" w:rsidRDefault="00C901C2" w:rsidP="00C901C2">
            <w:pPr>
              <w:rPr>
                <w:rFonts w:cs="Arial"/>
              </w:rPr>
            </w:pPr>
          </w:p>
        </w:tc>
        <w:tc>
          <w:tcPr>
            <w:tcW w:w="1442" w:type="dxa"/>
          </w:tcPr>
          <w:p w14:paraId="399C490C" w14:textId="77777777" w:rsidR="00C901C2" w:rsidRPr="00C22032" w:rsidRDefault="00C901C2" w:rsidP="00C901C2">
            <w:pPr>
              <w:rPr>
                <w:rFonts w:cs="Arial"/>
              </w:rPr>
            </w:pPr>
          </w:p>
        </w:tc>
        <w:tc>
          <w:tcPr>
            <w:tcW w:w="1617" w:type="dxa"/>
            <w:vAlign w:val="bottom"/>
          </w:tcPr>
          <w:p w14:paraId="3BAB25F4" w14:textId="0F3488FA" w:rsidR="00C901C2" w:rsidRPr="00C22032" w:rsidRDefault="00C901C2" w:rsidP="00C901C2">
            <w:pPr>
              <w:rPr>
                <w:rFonts w:cs="Arial"/>
              </w:rPr>
            </w:pPr>
            <w:r w:rsidRPr="00C22032">
              <w:rPr>
                <w:rFonts w:cs="Arial"/>
              </w:rPr>
              <w:t>нечести</w:t>
            </w:r>
          </w:p>
        </w:tc>
        <w:tc>
          <w:tcPr>
            <w:tcW w:w="1380" w:type="dxa"/>
          </w:tcPr>
          <w:p w14:paraId="2FDBDE41" w14:textId="77777777" w:rsidR="00C901C2" w:rsidRPr="00C22032" w:rsidRDefault="00C901C2" w:rsidP="00C901C2">
            <w:pPr>
              <w:rPr>
                <w:rFonts w:cs="Arial"/>
              </w:rPr>
            </w:pPr>
          </w:p>
        </w:tc>
        <w:tc>
          <w:tcPr>
            <w:tcW w:w="1706" w:type="dxa"/>
          </w:tcPr>
          <w:p w14:paraId="20EA2A93" w14:textId="77777777" w:rsidR="00C901C2" w:rsidRPr="00C22032" w:rsidRDefault="00C901C2" w:rsidP="00C901C2">
            <w:pPr>
              <w:rPr>
                <w:rFonts w:cs="Arial"/>
              </w:rPr>
            </w:pPr>
          </w:p>
        </w:tc>
      </w:tr>
      <w:tr w:rsidR="00C22032" w14:paraId="34CEE18A" w14:textId="77777777" w:rsidTr="00C22032">
        <w:tc>
          <w:tcPr>
            <w:tcW w:w="2143" w:type="dxa"/>
            <w:vAlign w:val="bottom"/>
          </w:tcPr>
          <w:p w14:paraId="2D593482" w14:textId="6D77AB2B" w:rsidR="00C901C2" w:rsidRPr="00C22032" w:rsidRDefault="00C901C2" w:rsidP="00C901C2">
            <w:pPr>
              <w:rPr>
                <w:rFonts w:cs="Arial"/>
              </w:rPr>
            </w:pPr>
            <w:r w:rsidRPr="00C22032">
              <w:rPr>
                <w:rFonts w:cs="Arial"/>
              </w:rPr>
              <w:t>повръщане</w:t>
            </w:r>
          </w:p>
        </w:tc>
        <w:tc>
          <w:tcPr>
            <w:tcW w:w="1288" w:type="dxa"/>
          </w:tcPr>
          <w:p w14:paraId="52401BC5" w14:textId="77777777" w:rsidR="00C901C2" w:rsidRPr="00C22032" w:rsidRDefault="00C901C2" w:rsidP="00C901C2">
            <w:pPr>
              <w:rPr>
                <w:rFonts w:cs="Arial"/>
              </w:rPr>
            </w:pPr>
          </w:p>
        </w:tc>
        <w:tc>
          <w:tcPr>
            <w:tcW w:w="1442" w:type="dxa"/>
          </w:tcPr>
          <w:p w14:paraId="0076256B" w14:textId="77777777" w:rsidR="00C901C2" w:rsidRPr="00C22032" w:rsidRDefault="00C901C2" w:rsidP="00C901C2">
            <w:pPr>
              <w:rPr>
                <w:rFonts w:cs="Arial"/>
              </w:rPr>
            </w:pPr>
          </w:p>
        </w:tc>
        <w:tc>
          <w:tcPr>
            <w:tcW w:w="1617" w:type="dxa"/>
            <w:vAlign w:val="bottom"/>
          </w:tcPr>
          <w:p w14:paraId="4F862CF9" w14:textId="22EE9459" w:rsidR="00C901C2" w:rsidRPr="00C22032" w:rsidRDefault="00C901C2" w:rsidP="00C901C2">
            <w:pPr>
              <w:rPr>
                <w:rFonts w:cs="Arial"/>
              </w:rPr>
            </w:pPr>
            <w:r w:rsidRPr="00C22032">
              <w:rPr>
                <w:rFonts w:cs="Arial"/>
              </w:rPr>
              <w:t>нечести</w:t>
            </w:r>
          </w:p>
        </w:tc>
        <w:tc>
          <w:tcPr>
            <w:tcW w:w="1380" w:type="dxa"/>
          </w:tcPr>
          <w:p w14:paraId="697821A6" w14:textId="77777777" w:rsidR="00C901C2" w:rsidRPr="00C22032" w:rsidRDefault="00C901C2" w:rsidP="00C901C2">
            <w:pPr>
              <w:rPr>
                <w:rFonts w:cs="Arial"/>
              </w:rPr>
            </w:pPr>
          </w:p>
        </w:tc>
        <w:tc>
          <w:tcPr>
            <w:tcW w:w="1706" w:type="dxa"/>
          </w:tcPr>
          <w:p w14:paraId="40AFD6C4" w14:textId="77777777" w:rsidR="00C901C2" w:rsidRPr="00C22032" w:rsidRDefault="00C901C2" w:rsidP="00C901C2">
            <w:pPr>
              <w:rPr>
                <w:rFonts w:cs="Arial"/>
              </w:rPr>
            </w:pPr>
          </w:p>
        </w:tc>
      </w:tr>
      <w:tr w:rsidR="00C901C2" w14:paraId="2DE87937" w14:textId="77777777" w:rsidTr="004C0B03">
        <w:tc>
          <w:tcPr>
            <w:tcW w:w="9576" w:type="dxa"/>
            <w:gridSpan w:val="6"/>
          </w:tcPr>
          <w:p w14:paraId="1217962A" w14:textId="33D2531A" w:rsidR="00C901C2" w:rsidRPr="00C22032" w:rsidRDefault="00C901C2" w:rsidP="006D7DF8">
            <w:pPr>
              <w:rPr>
                <w:rFonts w:cs="Arial"/>
              </w:rPr>
            </w:pPr>
            <w:r w:rsidRPr="00C901C2">
              <w:rPr>
                <w:rFonts w:eastAsia="Times New Roman" w:cs="Arial"/>
                <w:b/>
                <w:bCs/>
                <w:color w:val="000000"/>
                <w:lang w:eastAsia="bg-BG"/>
              </w:rPr>
              <w:t>Хепато-билиарни нарушения</w:t>
            </w:r>
          </w:p>
        </w:tc>
      </w:tr>
      <w:tr w:rsidR="00C22032" w14:paraId="4D10C0E1" w14:textId="77777777" w:rsidTr="00C22032">
        <w:tc>
          <w:tcPr>
            <w:tcW w:w="2143" w:type="dxa"/>
            <w:vAlign w:val="bottom"/>
          </w:tcPr>
          <w:p w14:paraId="4A7EF00C" w14:textId="1A48D856" w:rsidR="00C22032" w:rsidRPr="00C22032" w:rsidRDefault="00C22032" w:rsidP="00C22032">
            <w:pPr>
              <w:rPr>
                <w:rFonts w:cs="Arial"/>
              </w:rPr>
            </w:pPr>
            <w:r w:rsidRPr="00C22032">
              <w:rPr>
                <w:rFonts w:cs="Arial"/>
              </w:rPr>
              <w:t>нанкреатит</w:t>
            </w:r>
          </w:p>
        </w:tc>
        <w:tc>
          <w:tcPr>
            <w:tcW w:w="1288" w:type="dxa"/>
          </w:tcPr>
          <w:p w14:paraId="02CBD7A0" w14:textId="77777777" w:rsidR="00C22032" w:rsidRPr="00C22032" w:rsidRDefault="00C22032" w:rsidP="00C22032">
            <w:pPr>
              <w:rPr>
                <w:rFonts w:cs="Arial"/>
              </w:rPr>
            </w:pPr>
          </w:p>
        </w:tc>
        <w:tc>
          <w:tcPr>
            <w:tcW w:w="1442" w:type="dxa"/>
          </w:tcPr>
          <w:p w14:paraId="611BD1BE" w14:textId="77777777" w:rsidR="00C22032" w:rsidRPr="00C22032" w:rsidRDefault="00C22032" w:rsidP="00C22032">
            <w:pPr>
              <w:rPr>
                <w:rFonts w:cs="Arial"/>
              </w:rPr>
            </w:pPr>
          </w:p>
        </w:tc>
        <w:tc>
          <w:tcPr>
            <w:tcW w:w="1617" w:type="dxa"/>
          </w:tcPr>
          <w:p w14:paraId="034A3DD9" w14:textId="77777777" w:rsidR="00C22032" w:rsidRPr="00C22032" w:rsidRDefault="00C22032" w:rsidP="00C22032">
            <w:pPr>
              <w:rPr>
                <w:rFonts w:cs="Arial"/>
              </w:rPr>
            </w:pPr>
          </w:p>
        </w:tc>
        <w:tc>
          <w:tcPr>
            <w:tcW w:w="1380" w:type="dxa"/>
          </w:tcPr>
          <w:p w14:paraId="52334D73" w14:textId="77777777" w:rsidR="00C22032" w:rsidRPr="00C22032" w:rsidRDefault="00C22032" w:rsidP="00C22032">
            <w:pPr>
              <w:rPr>
                <w:rFonts w:cs="Arial"/>
              </w:rPr>
            </w:pPr>
          </w:p>
        </w:tc>
        <w:tc>
          <w:tcPr>
            <w:tcW w:w="1706" w:type="dxa"/>
          </w:tcPr>
          <w:p w14:paraId="152F27A6" w14:textId="77A01B9A" w:rsidR="00C22032" w:rsidRPr="00C22032" w:rsidRDefault="00C22032" w:rsidP="00C22032">
            <w:pPr>
              <w:rPr>
                <w:rFonts w:cs="Arial"/>
              </w:rPr>
            </w:pPr>
            <w:r w:rsidRPr="00C22032">
              <w:rPr>
                <w:rFonts w:cs="Arial"/>
              </w:rPr>
              <w:t>с неизвестна честота</w:t>
            </w:r>
          </w:p>
        </w:tc>
      </w:tr>
      <w:tr w:rsidR="00C22032" w14:paraId="78EC3566" w14:textId="77777777" w:rsidTr="00C22032">
        <w:tc>
          <w:tcPr>
            <w:tcW w:w="2143" w:type="dxa"/>
            <w:vAlign w:val="bottom"/>
          </w:tcPr>
          <w:p w14:paraId="16C44CB6" w14:textId="544FE445" w:rsidR="00C22032" w:rsidRPr="00C22032" w:rsidRDefault="00C22032" w:rsidP="00C22032">
            <w:pPr>
              <w:rPr>
                <w:rFonts w:cs="Arial"/>
              </w:rPr>
            </w:pPr>
            <w:r w:rsidRPr="00C22032">
              <w:rPr>
                <w:rFonts w:cs="Arial"/>
              </w:rPr>
              <w:t>хепатит</w:t>
            </w:r>
          </w:p>
        </w:tc>
        <w:tc>
          <w:tcPr>
            <w:tcW w:w="1288" w:type="dxa"/>
          </w:tcPr>
          <w:p w14:paraId="03BF94D9" w14:textId="77777777" w:rsidR="00C22032" w:rsidRPr="00C22032" w:rsidRDefault="00C22032" w:rsidP="00C22032">
            <w:pPr>
              <w:rPr>
                <w:rFonts w:cs="Arial"/>
              </w:rPr>
            </w:pPr>
          </w:p>
        </w:tc>
        <w:tc>
          <w:tcPr>
            <w:tcW w:w="1442" w:type="dxa"/>
          </w:tcPr>
          <w:p w14:paraId="67BDFB2F" w14:textId="77777777" w:rsidR="00C22032" w:rsidRPr="00C22032" w:rsidRDefault="00C22032" w:rsidP="00C22032">
            <w:pPr>
              <w:rPr>
                <w:rFonts w:cs="Arial"/>
              </w:rPr>
            </w:pPr>
          </w:p>
        </w:tc>
        <w:tc>
          <w:tcPr>
            <w:tcW w:w="1617" w:type="dxa"/>
          </w:tcPr>
          <w:p w14:paraId="7E5A164F" w14:textId="77777777" w:rsidR="00C22032" w:rsidRPr="00C22032" w:rsidRDefault="00C22032" w:rsidP="00C22032">
            <w:pPr>
              <w:rPr>
                <w:rFonts w:cs="Arial"/>
              </w:rPr>
            </w:pPr>
          </w:p>
        </w:tc>
        <w:tc>
          <w:tcPr>
            <w:tcW w:w="1380" w:type="dxa"/>
          </w:tcPr>
          <w:p w14:paraId="6116C58A" w14:textId="77777777" w:rsidR="00C22032" w:rsidRPr="00C22032" w:rsidRDefault="00C22032" w:rsidP="00C22032">
            <w:pPr>
              <w:rPr>
                <w:rFonts w:cs="Arial"/>
              </w:rPr>
            </w:pPr>
          </w:p>
        </w:tc>
        <w:tc>
          <w:tcPr>
            <w:tcW w:w="1706" w:type="dxa"/>
            <w:vAlign w:val="bottom"/>
          </w:tcPr>
          <w:p w14:paraId="41A52E40" w14:textId="17F518B0" w:rsidR="00C22032" w:rsidRPr="00C22032" w:rsidRDefault="00C22032" w:rsidP="00C22032">
            <w:pPr>
              <w:rPr>
                <w:rFonts w:cs="Arial"/>
              </w:rPr>
            </w:pPr>
            <w:r w:rsidRPr="00C22032">
              <w:rPr>
                <w:rFonts w:cs="Arial"/>
              </w:rPr>
              <w:t>редки</w:t>
            </w:r>
          </w:p>
        </w:tc>
      </w:tr>
      <w:tr w:rsidR="00C22032" w14:paraId="173E2C68" w14:textId="77777777" w:rsidTr="00C22032">
        <w:tc>
          <w:tcPr>
            <w:tcW w:w="2143" w:type="dxa"/>
            <w:vAlign w:val="bottom"/>
          </w:tcPr>
          <w:p w14:paraId="18C97654" w14:textId="30C0E7D0" w:rsidR="00C22032" w:rsidRPr="00C22032" w:rsidRDefault="00C22032" w:rsidP="00C22032">
            <w:pPr>
              <w:rPr>
                <w:rFonts w:cs="Arial"/>
              </w:rPr>
            </w:pPr>
            <w:r w:rsidRPr="00C22032">
              <w:rPr>
                <w:rFonts w:cs="Arial"/>
              </w:rPr>
              <w:t>нарушения в чернодробните функции</w:t>
            </w:r>
          </w:p>
        </w:tc>
        <w:tc>
          <w:tcPr>
            <w:tcW w:w="1288" w:type="dxa"/>
          </w:tcPr>
          <w:p w14:paraId="03CD3A21" w14:textId="77777777" w:rsidR="00C22032" w:rsidRPr="00C22032" w:rsidRDefault="00C22032" w:rsidP="00C22032">
            <w:pPr>
              <w:rPr>
                <w:rFonts w:cs="Arial"/>
              </w:rPr>
            </w:pPr>
          </w:p>
        </w:tc>
        <w:tc>
          <w:tcPr>
            <w:tcW w:w="1442" w:type="dxa"/>
          </w:tcPr>
          <w:p w14:paraId="733BADA5" w14:textId="77777777" w:rsidR="00C22032" w:rsidRPr="00C22032" w:rsidRDefault="00C22032" w:rsidP="00C22032">
            <w:pPr>
              <w:rPr>
                <w:rFonts w:cs="Arial"/>
              </w:rPr>
            </w:pPr>
          </w:p>
        </w:tc>
        <w:tc>
          <w:tcPr>
            <w:tcW w:w="1617" w:type="dxa"/>
          </w:tcPr>
          <w:p w14:paraId="538192D8" w14:textId="77777777" w:rsidR="00C22032" w:rsidRPr="00C22032" w:rsidRDefault="00C22032" w:rsidP="00C22032">
            <w:pPr>
              <w:rPr>
                <w:rFonts w:cs="Arial"/>
              </w:rPr>
            </w:pPr>
          </w:p>
        </w:tc>
        <w:tc>
          <w:tcPr>
            <w:tcW w:w="1380" w:type="dxa"/>
          </w:tcPr>
          <w:p w14:paraId="2CEB44B5" w14:textId="77777777" w:rsidR="00C22032" w:rsidRPr="00C22032" w:rsidRDefault="00C22032" w:rsidP="00C22032">
            <w:pPr>
              <w:rPr>
                <w:rFonts w:cs="Arial"/>
              </w:rPr>
            </w:pPr>
          </w:p>
        </w:tc>
        <w:tc>
          <w:tcPr>
            <w:tcW w:w="1706" w:type="dxa"/>
            <w:vAlign w:val="center"/>
          </w:tcPr>
          <w:p w14:paraId="58B79E3B" w14:textId="7389E22A" w:rsidR="00C22032" w:rsidRPr="00C22032" w:rsidRDefault="00C22032" w:rsidP="00C22032">
            <w:pPr>
              <w:rPr>
                <w:rFonts w:cs="Arial"/>
              </w:rPr>
            </w:pPr>
            <w:r w:rsidRPr="00C22032">
              <w:rPr>
                <w:rFonts w:cs="Arial"/>
              </w:rPr>
              <w:t>с неизвестна честота</w:t>
            </w:r>
          </w:p>
        </w:tc>
      </w:tr>
      <w:tr w:rsidR="00C22032" w14:paraId="737B2C76" w14:textId="77777777" w:rsidTr="009D1313">
        <w:tc>
          <w:tcPr>
            <w:tcW w:w="9576" w:type="dxa"/>
            <w:gridSpan w:val="6"/>
          </w:tcPr>
          <w:p w14:paraId="5805D9A3" w14:textId="681B1DEB" w:rsidR="00C22032" w:rsidRPr="00C22032" w:rsidRDefault="00C22032" w:rsidP="006D7DF8">
            <w:pPr>
              <w:rPr>
                <w:rFonts w:cs="Arial"/>
              </w:rPr>
            </w:pPr>
            <w:r w:rsidRPr="00C22032">
              <w:rPr>
                <w:rFonts w:cs="Arial"/>
                <w:b/>
                <w:bCs/>
              </w:rPr>
              <w:t>Нарушения на кожата и подкожната тъкан</w:t>
            </w:r>
          </w:p>
        </w:tc>
      </w:tr>
      <w:tr w:rsidR="00C22032" w14:paraId="1480FDA0" w14:textId="77777777" w:rsidTr="00C22032">
        <w:tc>
          <w:tcPr>
            <w:tcW w:w="2143" w:type="dxa"/>
            <w:vAlign w:val="bottom"/>
          </w:tcPr>
          <w:p w14:paraId="57659A6F" w14:textId="5064959B" w:rsidR="00C22032" w:rsidRPr="00C22032" w:rsidRDefault="00C22032" w:rsidP="00C22032">
            <w:pPr>
              <w:rPr>
                <w:rFonts w:cs="Arial"/>
              </w:rPr>
            </w:pPr>
            <w:r w:rsidRPr="00C22032">
              <w:rPr>
                <w:rFonts w:cs="Arial"/>
              </w:rPr>
              <w:t>уртикария</w:t>
            </w:r>
          </w:p>
        </w:tc>
        <w:tc>
          <w:tcPr>
            <w:tcW w:w="1288" w:type="dxa"/>
          </w:tcPr>
          <w:p w14:paraId="6FE27FFE" w14:textId="77777777" w:rsidR="00C22032" w:rsidRPr="00C22032" w:rsidRDefault="00C22032" w:rsidP="00C22032">
            <w:pPr>
              <w:rPr>
                <w:rFonts w:cs="Arial"/>
              </w:rPr>
            </w:pPr>
          </w:p>
        </w:tc>
        <w:tc>
          <w:tcPr>
            <w:tcW w:w="1442" w:type="dxa"/>
          </w:tcPr>
          <w:p w14:paraId="5F553426" w14:textId="77777777" w:rsidR="00C22032" w:rsidRPr="00C22032" w:rsidRDefault="00C22032" w:rsidP="00C22032">
            <w:pPr>
              <w:rPr>
                <w:rFonts w:cs="Arial"/>
              </w:rPr>
            </w:pPr>
          </w:p>
        </w:tc>
        <w:tc>
          <w:tcPr>
            <w:tcW w:w="1617" w:type="dxa"/>
          </w:tcPr>
          <w:p w14:paraId="62BE7FD4" w14:textId="3DCC2F61" w:rsidR="00C22032" w:rsidRPr="00C22032" w:rsidRDefault="00C22032" w:rsidP="00C22032">
            <w:pPr>
              <w:rPr>
                <w:rFonts w:cs="Arial"/>
              </w:rPr>
            </w:pPr>
            <w:r w:rsidRPr="00C22032">
              <w:rPr>
                <w:rFonts w:cs="Arial"/>
              </w:rPr>
              <w:t>нечести</w:t>
            </w:r>
          </w:p>
        </w:tc>
        <w:tc>
          <w:tcPr>
            <w:tcW w:w="1380" w:type="dxa"/>
          </w:tcPr>
          <w:p w14:paraId="413AC2AE" w14:textId="77777777" w:rsidR="00C22032" w:rsidRPr="00C22032" w:rsidRDefault="00C22032" w:rsidP="00C22032">
            <w:pPr>
              <w:rPr>
                <w:rFonts w:cs="Arial"/>
              </w:rPr>
            </w:pPr>
          </w:p>
        </w:tc>
        <w:tc>
          <w:tcPr>
            <w:tcW w:w="1706" w:type="dxa"/>
            <w:vAlign w:val="bottom"/>
          </w:tcPr>
          <w:p w14:paraId="064B5ED0" w14:textId="5D426E6F" w:rsidR="00C22032" w:rsidRPr="00C22032" w:rsidRDefault="00C22032" w:rsidP="00C22032">
            <w:pPr>
              <w:rPr>
                <w:rFonts w:cs="Arial"/>
              </w:rPr>
            </w:pPr>
            <w:r w:rsidRPr="00C22032">
              <w:rPr>
                <w:rFonts w:cs="Arial"/>
              </w:rPr>
              <w:t>с неизвестна честота</w:t>
            </w:r>
          </w:p>
        </w:tc>
      </w:tr>
      <w:tr w:rsidR="00C22032" w14:paraId="74501E0A" w14:textId="77777777" w:rsidTr="00C22032">
        <w:tc>
          <w:tcPr>
            <w:tcW w:w="2143" w:type="dxa"/>
            <w:vAlign w:val="center"/>
          </w:tcPr>
          <w:p w14:paraId="338E8F1C" w14:textId="58937C21" w:rsidR="00C22032" w:rsidRPr="00C22032" w:rsidRDefault="00C22032" w:rsidP="00C22032">
            <w:pPr>
              <w:rPr>
                <w:rFonts w:cs="Arial"/>
              </w:rPr>
            </w:pPr>
            <w:r w:rsidRPr="00C22032">
              <w:rPr>
                <w:rFonts w:cs="Arial"/>
              </w:rPr>
              <w:t>сърбеж</w:t>
            </w:r>
          </w:p>
        </w:tc>
        <w:tc>
          <w:tcPr>
            <w:tcW w:w="1288" w:type="dxa"/>
          </w:tcPr>
          <w:p w14:paraId="7F14F08C" w14:textId="77777777" w:rsidR="00C22032" w:rsidRPr="00C22032" w:rsidRDefault="00C22032" w:rsidP="00C22032">
            <w:pPr>
              <w:rPr>
                <w:rFonts w:cs="Arial"/>
              </w:rPr>
            </w:pPr>
          </w:p>
        </w:tc>
        <w:tc>
          <w:tcPr>
            <w:tcW w:w="1442" w:type="dxa"/>
          </w:tcPr>
          <w:p w14:paraId="615D20B8" w14:textId="77777777" w:rsidR="00C22032" w:rsidRPr="00C22032" w:rsidRDefault="00C22032" w:rsidP="00C22032">
            <w:pPr>
              <w:rPr>
                <w:rFonts w:cs="Arial"/>
              </w:rPr>
            </w:pPr>
          </w:p>
        </w:tc>
        <w:tc>
          <w:tcPr>
            <w:tcW w:w="1617" w:type="dxa"/>
            <w:vAlign w:val="center"/>
          </w:tcPr>
          <w:p w14:paraId="4CBD2868" w14:textId="2D0DD5BB" w:rsidR="00C22032" w:rsidRPr="00C22032" w:rsidRDefault="00C22032" w:rsidP="00C22032">
            <w:pPr>
              <w:rPr>
                <w:rFonts w:cs="Arial"/>
              </w:rPr>
            </w:pPr>
            <w:r w:rsidRPr="00C22032">
              <w:rPr>
                <w:rFonts w:cs="Arial"/>
              </w:rPr>
              <w:t>нечести</w:t>
            </w:r>
          </w:p>
        </w:tc>
        <w:tc>
          <w:tcPr>
            <w:tcW w:w="1380" w:type="dxa"/>
          </w:tcPr>
          <w:p w14:paraId="0FC3F766" w14:textId="77777777" w:rsidR="00C22032" w:rsidRPr="00C22032" w:rsidRDefault="00C22032" w:rsidP="00C22032">
            <w:pPr>
              <w:rPr>
                <w:rFonts w:cs="Arial"/>
              </w:rPr>
            </w:pPr>
          </w:p>
        </w:tc>
        <w:tc>
          <w:tcPr>
            <w:tcW w:w="1706" w:type="dxa"/>
            <w:vAlign w:val="bottom"/>
          </w:tcPr>
          <w:p w14:paraId="6BF6C0D2" w14:textId="06CD3550" w:rsidR="00C22032" w:rsidRPr="00C22032" w:rsidRDefault="00C22032" w:rsidP="00C22032">
            <w:pPr>
              <w:rPr>
                <w:rFonts w:cs="Arial"/>
              </w:rPr>
            </w:pPr>
            <w:r w:rsidRPr="00C22032">
              <w:rPr>
                <w:rFonts w:cs="Arial"/>
              </w:rPr>
              <w:t>с неизвестна честота</w:t>
            </w:r>
          </w:p>
        </w:tc>
      </w:tr>
      <w:tr w:rsidR="00C22032" w14:paraId="577EA382" w14:textId="77777777" w:rsidTr="00C22032">
        <w:tc>
          <w:tcPr>
            <w:tcW w:w="2143" w:type="dxa"/>
            <w:vAlign w:val="center"/>
          </w:tcPr>
          <w:p w14:paraId="409D593F" w14:textId="0982F164" w:rsidR="00C22032" w:rsidRPr="00C22032" w:rsidRDefault="00C22032" w:rsidP="00C22032">
            <w:pPr>
              <w:rPr>
                <w:rFonts w:cs="Arial"/>
              </w:rPr>
            </w:pPr>
            <w:r w:rsidRPr="00C22032">
              <w:rPr>
                <w:rFonts w:cs="Arial"/>
              </w:rPr>
              <w:t>обрив</w:t>
            </w:r>
          </w:p>
        </w:tc>
        <w:tc>
          <w:tcPr>
            <w:tcW w:w="1288" w:type="dxa"/>
            <w:vAlign w:val="center"/>
          </w:tcPr>
          <w:p w14:paraId="6F75AA37" w14:textId="7F734D0F" w:rsidR="00C22032" w:rsidRPr="00C22032" w:rsidRDefault="00C22032" w:rsidP="00C22032">
            <w:pPr>
              <w:rPr>
                <w:rFonts w:cs="Arial"/>
              </w:rPr>
            </w:pPr>
            <w:r w:rsidRPr="00C22032">
              <w:rPr>
                <w:rFonts w:cs="Arial"/>
              </w:rPr>
              <w:t>нечести</w:t>
            </w:r>
          </w:p>
        </w:tc>
        <w:tc>
          <w:tcPr>
            <w:tcW w:w="1442" w:type="dxa"/>
          </w:tcPr>
          <w:p w14:paraId="100FE224" w14:textId="77777777" w:rsidR="00C22032" w:rsidRPr="00C22032" w:rsidRDefault="00C22032" w:rsidP="00C22032">
            <w:pPr>
              <w:rPr>
                <w:rFonts w:cs="Arial"/>
              </w:rPr>
            </w:pPr>
          </w:p>
        </w:tc>
        <w:tc>
          <w:tcPr>
            <w:tcW w:w="1617" w:type="dxa"/>
            <w:vAlign w:val="center"/>
          </w:tcPr>
          <w:p w14:paraId="4C6330C1" w14:textId="05604073" w:rsidR="00C22032" w:rsidRPr="00C22032" w:rsidRDefault="00C22032" w:rsidP="00C22032">
            <w:pPr>
              <w:rPr>
                <w:rFonts w:cs="Arial"/>
              </w:rPr>
            </w:pPr>
            <w:r w:rsidRPr="00C22032">
              <w:rPr>
                <w:rFonts w:cs="Arial"/>
              </w:rPr>
              <w:t>нечести</w:t>
            </w:r>
          </w:p>
        </w:tc>
        <w:tc>
          <w:tcPr>
            <w:tcW w:w="1380" w:type="dxa"/>
          </w:tcPr>
          <w:p w14:paraId="1452465D" w14:textId="77777777" w:rsidR="00C22032" w:rsidRPr="00C22032" w:rsidRDefault="00C22032" w:rsidP="00C22032">
            <w:pPr>
              <w:rPr>
                <w:rFonts w:cs="Arial"/>
              </w:rPr>
            </w:pPr>
          </w:p>
        </w:tc>
        <w:tc>
          <w:tcPr>
            <w:tcW w:w="1706" w:type="dxa"/>
          </w:tcPr>
          <w:p w14:paraId="336226FE" w14:textId="589522F7" w:rsidR="00C22032" w:rsidRPr="00C22032" w:rsidRDefault="00C22032" w:rsidP="00C22032">
            <w:pPr>
              <w:rPr>
                <w:rFonts w:cs="Arial"/>
              </w:rPr>
            </w:pPr>
            <w:r w:rsidRPr="00C22032">
              <w:rPr>
                <w:rFonts w:cs="Arial"/>
              </w:rPr>
              <w:t>с неизвестна честота</w:t>
            </w:r>
          </w:p>
        </w:tc>
      </w:tr>
      <w:tr w:rsidR="00C22032" w14:paraId="33CF78EF" w14:textId="77777777" w:rsidTr="00C22032">
        <w:tc>
          <w:tcPr>
            <w:tcW w:w="2143" w:type="dxa"/>
          </w:tcPr>
          <w:p w14:paraId="305385C6" w14:textId="519521BE" w:rsidR="00C22032" w:rsidRPr="00C22032" w:rsidRDefault="00C22032" w:rsidP="00C22032">
            <w:pPr>
              <w:rPr>
                <w:rFonts w:cs="Arial"/>
              </w:rPr>
            </w:pPr>
            <w:r w:rsidRPr="00C22032">
              <w:rPr>
                <w:rFonts w:cs="Arial"/>
              </w:rPr>
              <w:t>фоточувствителност</w:t>
            </w:r>
          </w:p>
        </w:tc>
        <w:tc>
          <w:tcPr>
            <w:tcW w:w="1288" w:type="dxa"/>
          </w:tcPr>
          <w:p w14:paraId="0F3FC4B7" w14:textId="77777777" w:rsidR="00C22032" w:rsidRPr="00C22032" w:rsidRDefault="00C22032" w:rsidP="00C22032">
            <w:pPr>
              <w:rPr>
                <w:rFonts w:cs="Arial"/>
              </w:rPr>
            </w:pPr>
          </w:p>
        </w:tc>
        <w:tc>
          <w:tcPr>
            <w:tcW w:w="1442" w:type="dxa"/>
          </w:tcPr>
          <w:p w14:paraId="1C6A5469" w14:textId="77777777" w:rsidR="00C22032" w:rsidRPr="00C22032" w:rsidRDefault="00C22032" w:rsidP="00C22032">
            <w:pPr>
              <w:rPr>
                <w:rFonts w:cs="Arial"/>
              </w:rPr>
            </w:pPr>
          </w:p>
        </w:tc>
        <w:tc>
          <w:tcPr>
            <w:tcW w:w="1617" w:type="dxa"/>
          </w:tcPr>
          <w:p w14:paraId="3634EEE7" w14:textId="77777777" w:rsidR="00C22032" w:rsidRPr="00C22032" w:rsidRDefault="00C22032" w:rsidP="00C22032">
            <w:pPr>
              <w:rPr>
                <w:rFonts w:cs="Arial"/>
              </w:rPr>
            </w:pPr>
          </w:p>
        </w:tc>
        <w:tc>
          <w:tcPr>
            <w:tcW w:w="1380" w:type="dxa"/>
          </w:tcPr>
          <w:p w14:paraId="27BDD495" w14:textId="77777777" w:rsidR="00C22032" w:rsidRPr="00C22032" w:rsidRDefault="00C22032" w:rsidP="00C22032">
            <w:pPr>
              <w:rPr>
                <w:rFonts w:cs="Arial"/>
              </w:rPr>
            </w:pPr>
          </w:p>
        </w:tc>
        <w:tc>
          <w:tcPr>
            <w:tcW w:w="1706" w:type="dxa"/>
          </w:tcPr>
          <w:p w14:paraId="3891289A" w14:textId="378552B6" w:rsidR="00C22032" w:rsidRPr="00C22032" w:rsidRDefault="00C22032" w:rsidP="00C22032">
            <w:pPr>
              <w:rPr>
                <w:rFonts w:cs="Arial"/>
              </w:rPr>
            </w:pPr>
            <w:r w:rsidRPr="00C22032">
              <w:rPr>
                <w:rFonts w:cs="Arial"/>
              </w:rPr>
              <w:t>с неизвестна честота</w:t>
            </w:r>
          </w:p>
        </w:tc>
      </w:tr>
      <w:tr w:rsidR="00C22032" w14:paraId="73A9866C" w14:textId="77777777" w:rsidTr="00124094">
        <w:tc>
          <w:tcPr>
            <w:tcW w:w="9576" w:type="dxa"/>
            <w:gridSpan w:val="6"/>
          </w:tcPr>
          <w:p w14:paraId="59A03F4E" w14:textId="3E976FE5" w:rsidR="00C22032" w:rsidRPr="00C22032" w:rsidRDefault="00C22032" w:rsidP="006D7DF8">
            <w:pPr>
              <w:rPr>
                <w:rFonts w:cs="Arial"/>
              </w:rPr>
            </w:pPr>
            <w:r w:rsidRPr="00C22032">
              <w:rPr>
                <w:rFonts w:cs="Arial"/>
                <w:b/>
                <w:bCs/>
              </w:rPr>
              <w:t>Нарушения на мускулно-скелетната система и съединителната тъкан</w:t>
            </w:r>
          </w:p>
        </w:tc>
      </w:tr>
      <w:tr w:rsidR="00C22032" w14:paraId="030FEB18" w14:textId="77777777" w:rsidTr="00C22032">
        <w:tc>
          <w:tcPr>
            <w:tcW w:w="2143" w:type="dxa"/>
          </w:tcPr>
          <w:p w14:paraId="4996DD70" w14:textId="0323CBC0" w:rsidR="00C22032" w:rsidRPr="00C22032" w:rsidRDefault="00C22032" w:rsidP="00C22032">
            <w:pPr>
              <w:rPr>
                <w:rFonts w:cs="Arial"/>
              </w:rPr>
            </w:pPr>
            <w:r w:rsidRPr="00C22032">
              <w:rPr>
                <w:rFonts w:cs="Arial"/>
              </w:rPr>
              <w:t>миалгия</w:t>
            </w:r>
          </w:p>
        </w:tc>
        <w:tc>
          <w:tcPr>
            <w:tcW w:w="1288" w:type="dxa"/>
          </w:tcPr>
          <w:p w14:paraId="3BB9E36F" w14:textId="77777777" w:rsidR="00C22032" w:rsidRPr="00C22032" w:rsidRDefault="00C22032" w:rsidP="00C22032">
            <w:pPr>
              <w:rPr>
                <w:rFonts w:cs="Arial"/>
              </w:rPr>
            </w:pPr>
          </w:p>
        </w:tc>
        <w:tc>
          <w:tcPr>
            <w:tcW w:w="1442" w:type="dxa"/>
          </w:tcPr>
          <w:p w14:paraId="6556F9AE" w14:textId="77777777" w:rsidR="00C22032" w:rsidRPr="00C22032" w:rsidRDefault="00C22032" w:rsidP="00C22032">
            <w:pPr>
              <w:rPr>
                <w:rFonts w:cs="Arial"/>
              </w:rPr>
            </w:pPr>
          </w:p>
        </w:tc>
        <w:tc>
          <w:tcPr>
            <w:tcW w:w="1617" w:type="dxa"/>
          </w:tcPr>
          <w:p w14:paraId="54B578AD" w14:textId="77777777" w:rsidR="00C22032" w:rsidRPr="00C22032" w:rsidRDefault="00C22032" w:rsidP="00C22032">
            <w:pPr>
              <w:rPr>
                <w:rFonts w:cs="Arial"/>
              </w:rPr>
            </w:pPr>
          </w:p>
        </w:tc>
        <w:tc>
          <w:tcPr>
            <w:tcW w:w="1380" w:type="dxa"/>
          </w:tcPr>
          <w:p w14:paraId="50E37756" w14:textId="77777777" w:rsidR="00C22032" w:rsidRPr="00C22032" w:rsidRDefault="00C22032" w:rsidP="00C22032">
            <w:pPr>
              <w:rPr>
                <w:rFonts w:cs="Arial"/>
              </w:rPr>
            </w:pPr>
          </w:p>
        </w:tc>
        <w:tc>
          <w:tcPr>
            <w:tcW w:w="1706" w:type="dxa"/>
          </w:tcPr>
          <w:p w14:paraId="41660D10" w14:textId="0F4C3B27" w:rsidR="00C22032" w:rsidRPr="00C22032" w:rsidRDefault="00C22032" w:rsidP="00C22032">
            <w:pPr>
              <w:rPr>
                <w:rFonts w:cs="Arial"/>
              </w:rPr>
            </w:pPr>
            <w:r w:rsidRPr="00C22032">
              <w:rPr>
                <w:rFonts w:cs="Arial"/>
              </w:rPr>
              <w:t>с неизвестна честота</w:t>
            </w:r>
          </w:p>
        </w:tc>
      </w:tr>
      <w:tr w:rsidR="00C22032" w14:paraId="7B481F4D" w14:textId="77777777" w:rsidTr="00C22032">
        <w:tc>
          <w:tcPr>
            <w:tcW w:w="2143" w:type="dxa"/>
          </w:tcPr>
          <w:p w14:paraId="14BAA7C0" w14:textId="7A85F5B3" w:rsidR="00C22032" w:rsidRPr="00C22032" w:rsidRDefault="00C22032" w:rsidP="00C22032">
            <w:pPr>
              <w:rPr>
                <w:rFonts w:cs="Arial"/>
              </w:rPr>
            </w:pPr>
            <w:r w:rsidRPr="00C22032">
              <w:rPr>
                <w:rFonts w:cs="Arial"/>
              </w:rPr>
              <w:t>атралгия</w:t>
            </w:r>
          </w:p>
        </w:tc>
        <w:tc>
          <w:tcPr>
            <w:tcW w:w="1288" w:type="dxa"/>
          </w:tcPr>
          <w:p w14:paraId="57C234C9" w14:textId="77777777" w:rsidR="00C22032" w:rsidRPr="00C22032" w:rsidRDefault="00C22032" w:rsidP="00C22032">
            <w:pPr>
              <w:rPr>
                <w:rFonts w:cs="Arial"/>
              </w:rPr>
            </w:pPr>
          </w:p>
        </w:tc>
        <w:tc>
          <w:tcPr>
            <w:tcW w:w="1442" w:type="dxa"/>
          </w:tcPr>
          <w:p w14:paraId="506FF12A" w14:textId="77777777" w:rsidR="00C22032" w:rsidRPr="00C22032" w:rsidRDefault="00C22032" w:rsidP="00C22032">
            <w:pPr>
              <w:rPr>
                <w:rFonts w:cs="Arial"/>
              </w:rPr>
            </w:pPr>
          </w:p>
        </w:tc>
        <w:tc>
          <w:tcPr>
            <w:tcW w:w="1617" w:type="dxa"/>
          </w:tcPr>
          <w:p w14:paraId="7183B28B" w14:textId="77777777" w:rsidR="00C22032" w:rsidRPr="00C22032" w:rsidRDefault="00C22032" w:rsidP="00C22032">
            <w:pPr>
              <w:rPr>
                <w:rFonts w:cs="Arial"/>
              </w:rPr>
            </w:pPr>
          </w:p>
        </w:tc>
        <w:tc>
          <w:tcPr>
            <w:tcW w:w="1380" w:type="dxa"/>
          </w:tcPr>
          <w:p w14:paraId="646579FA" w14:textId="77777777" w:rsidR="00C22032" w:rsidRPr="00C22032" w:rsidRDefault="00C22032" w:rsidP="00C22032">
            <w:pPr>
              <w:rPr>
                <w:rFonts w:cs="Arial"/>
              </w:rPr>
            </w:pPr>
          </w:p>
        </w:tc>
        <w:tc>
          <w:tcPr>
            <w:tcW w:w="1706" w:type="dxa"/>
          </w:tcPr>
          <w:p w14:paraId="240552D9" w14:textId="002FBD28" w:rsidR="00C22032" w:rsidRPr="00C22032" w:rsidRDefault="00C22032" w:rsidP="00C22032">
            <w:pPr>
              <w:rPr>
                <w:rFonts w:cs="Arial"/>
              </w:rPr>
            </w:pPr>
            <w:r w:rsidRPr="00C22032">
              <w:rPr>
                <w:rFonts w:cs="Arial"/>
              </w:rPr>
              <w:t>с неизвестна честота</w:t>
            </w:r>
          </w:p>
        </w:tc>
      </w:tr>
      <w:tr w:rsidR="00C22032" w14:paraId="3F276B1C" w14:textId="77777777" w:rsidTr="00C22032">
        <w:tc>
          <w:tcPr>
            <w:tcW w:w="2143" w:type="dxa"/>
          </w:tcPr>
          <w:p w14:paraId="18E5D053" w14:textId="42785503" w:rsidR="00C22032" w:rsidRPr="00C22032" w:rsidRDefault="00C22032" w:rsidP="00C22032">
            <w:pPr>
              <w:rPr>
                <w:rFonts w:cs="Arial"/>
              </w:rPr>
            </w:pPr>
            <w:r w:rsidRPr="00C22032">
              <w:rPr>
                <w:rFonts w:cs="Arial"/>
              </w:rPr>
              <w:t>рабдомиолиза</w:t>
            </w:r>
          </w:p>
        </w:tc>
        <w:tc>
          <w:tcPr>
            <w:tcW w:w="1288" w:type="dxa"/>
          </w:tcPr>
          <w:p w14:paraId="4375C3AA" w14:textId="77777777" w:rsidR="00C22032" w:rsidRPr="00C22032" w:rsidRDefault="00C22032" w:rsidP="00C22032">
            <w:pPr>
              <w:rPr>
                <w:rFonts w:cs="Arial"/>
              </w:rPr>
            </w:pPr>
          </w:p>
        </w:tc>
        <w:tc>
          <w:tcPr>
            <w:tcW w:w="1442" w:type="dxa"/>
          </w:tcPr>
          <w:p w14:paraId="17E01D7D" w14:textId="77777777" w:rsidR="00C22032" w:rsidRPr="00C22032" w:rsidRDefault="00C22032" w:rsidP="00C22032">
            <w:pPr>
              <w:rPr>
                <w:rFonts w:cs="Arial"/>
              </w:rPr>
            </w:pPr>
          </w:p>
        </w:tc>
        <w:tc>
          <w:tcPr>
            <w:tcW w:w="1617" w:type="dxa"/>
          </w:tcPr>
          <w:p w14:paraId="0BD7F7E4" w14:textId="77777777" w:rsidR="00C22032" w:rsidRPr="00C22032" w:rsidRDefault="00C22032" w:rsidP="00C22032">
            <w:pPr>
              <w:rPr>
                <w:rFonts w:cs="Arial"/>
              </w:rPr>
            </w:pPr>
          </w:p>
        </w:tc>
        <w:tc>
          <w:tcPr>
            <w:tcW w:w="1380" w:type="dxa"/>
          </w:tcPr>
          <w:p w14:paraId="774D9122" w14:textId="77777777" w:rsidR="00C22032" w:rsidRPr="00C22032" w:rsidRDefault="00C22032" w:rsidP="00C22032">
            <w:pPr>
              <w:rPr>
                <w:rFonts w:cs="Arial"/>
              </w:rPr>
            </w:pPr>
          </w:p>
        </w:tc>
        <w:tc>
          <w:tcPr>
            <w:tcW w:w="1706" w:type="dxa"/>
          </w:tcPr>
          <w:p w14:paraId="75C5C51A" w14:textId="1D6237C0" w:rsidR="00C22032" w:rsidRPr="00C22032" w:rsidRDefault="00C22032" w:rsidP="00C22032">
            <w:pPr>
              <w:rPr>
                <w:rFonts w:cs="Arial"/>
              </w:rPr>
            </w:pPr>
            <w:r w:rsidRPr="00C22032">
              <w:rPr>
                <w:rFonts w:cs="Arial"/>
              </w:rPr>
              <w:t>с неизвестна честота</w:t>
            </w:r>
          </w:p>
        </w:tc>
      </w:tr>
      <w:tr w:rsidR="00C22032" w14:paraId="6403971C" w14:textId="77777777" w:rsidTr="00E751BF">
        <w:tc>
          <w:tcPr>
            <w:tcW w:w="9576" w:type="dxa"/>
            <w:gridSpan w:val="6"/>
          </w:tcPr>
          <w:p w14:paraId="7F867356" w14:textId="60DAB3AA" w:rsidR="00C22032" w:rsidRPr="00C22032" w:rsidRDefault="00C22032" w:rsidP="006D7DF8">
            <w:pPr>
              <w:rPr>
                <w:rFonts w:cs="Arial"/>
              </w:rPr>
            </w:pPr>
            <w:r w:rsidRPr="00C22032">
              <w:rPr>
                <w:rFonts w:eastAsia="Times New Roman" w:cs="Arial"/>
                <w:b/>
                <w:bCs/>
                <w:color w:val="000000"/>
                <w:lang w:eastAsia="bg-BG"/>
              </w:rPr>
              <w:t>Нарушения на бъбреците и пикочните пътища</w:t>
            </w:r>
          </w:p>
        </w:tc>
      </w:tr>
      <w:tr w:rsidR="00C22032" w14:paraId="001ED0C2" w14:textId="77777777" w:rsidTr="00C22032">
        <w:tc>
          <w:tcPr>
            <w:tcW w:w="2143" w:type="dxa"/>
          </w:tcPr>
          <w:p w14:paraId="78C90A86" w14:textId="214425D4" w:rsidR="00C22032" w:rsidRPr="00C22032" w:rsidRDefault="00C22032" w:rsidP="00C22032">
            <w:pPr>
              <w:rPr>
                <w:rFonts w:cs="Arial"/>
              </w:rPr>
            </w:pPr>
            <w:r w:rsidRPr="00C22032">
              <w:rPr>
                <w:rFonts w:cs="Arial"/>
              </w:rPr>
              <w:t>Бъбречно нарушение</w:t>
            </w:r>
          </w:p>
        </w:tc>
        <w:tc>
          <w:tcPr>
            <w:tcW w:w="1288" w:type="dxa"/>
          </w:tcPr>
          <w:p w14:paraId="53A5B276" w14:textId="77777777" w:rsidR="00C22032" w:rsidRPr="00C22032" w:rsidRDefault="00C22032" w:rsidP="00C22032">
            <w:pPr>
              <w:rPr>
                <w:rFonts w:cs="Arial"/>
              </w:rPr>
            </w:pPr>
          </w:p>
        </w:tc>
        <w:tc>
          <w:tcPr>
            <w:tcW w:w="1442" w:type="dxa"/>
          </w:tcPr>
          <w:p w14:paraId="16BC3568" w14:textId="77777777" w:rsidR="00C22032" w:rsidRPr="00C22032" w:rsidRDefault="00C22032" w:rsidP="00C22032">
            <w:pPr>
              <w:rPr>
                <w:rFonts w:cs="Arial"/>
              </w:rPr>
            </w:pPr>
          </w:p>
        </w:tc>
        <w:tc>
          <w:tcPr>
            <w:tcW w:w="1617" w:type="dxa"/>
          </w:tcPr>
          <w:p w14:paraId="4D5996C5" w14:textId="4E6C0510" w:rsidR="00C22032" w:rsidRPr="00C22032" w:rsidRDefault="00C22032" w:rsidP="00C22032">
            <w:pPr>
              <w:rPr>
                <w:rFonts w:cs="Arial"/>
              </w:rPr>
            </w:pPr>
            <w:r w:rsidRPr="00C22032">
              <w:rPr>
                <w:rFonts w:cs="Arial"/>
              </w:rPr>
              <w:t>чести</w:t>
            </w:r>
          </w:p>
        </w:tc>
        <w:tc>
          <w:tcPr>
            <w:tcW w:w="1380" w:type="dxa"/>
          </w:tcPr>
          <w:p w14:paraId="00F9E20E" w14:textId="77777777" w:rsidR="00C22032" w:rsidRPr="00C22032" w:rsidRDefault="00C22032" w:rsidP="00C22032">
            <w:pPr>
              <w:rPr>
                <w:rFonts w:cs="Arial"/>
              </w:rPr>
            </w:pPr>
          </w:p>
        </w:tc>
        <w:tc>
          <w:tcPr>
            <w:tcW w:w="1706" w:type="dxa"/>
          </w:tcPr>
          <w:p w14:paraId="0D61E870" w14:textId="77777777" w:rsidR="00C22032" w:rsidRPr="00C22032" w:rsidRDefault="00C22032" w:rsidP="00C22032">
            <w:pPr>
              <w:rPr>
                <w:rFonts w:cs="Arial"/>
              </w:rPr>
            </w:pPr>
          </w:p>
        </w:tc>
      </w:tr>
      <w:tr w:rsidR="00C22032" w14:paraId="2E8B08CE" w14:textId="77777777" w:rsidTr="00C22032">
        <w:tc>
          <w:tcPr>
            <w:tcW w:w="2143" w:type="dxa"/>
          </w:tcPr>
          <w:p w14:paraId="393B46B5" w14:textId="210B28DB" w:rsidR="00C22032" w:rsidRPr="00C22032" w:rsidRDefault="00C22032" w:rsidP="00C22032">
            <w:pPr>
              <w:rPr>
                <w:rFonts w:cs="Arial"/>
              </w:rPr>
            </w:pPr>
            <w:r w:rsidRPr="00C22032">
              <w:rPr>
                <w:rFonts w:cs="Arial"/>
              </w:rPr>
              <w:t>бъбречна недостатъчност</w:t>
            </w:r>
          </w:p>
        </w:tc>
        <w:tc>
          <w:tcPr>
            <w:tcW w:w="1288" w:type="dxa"/>
          </w:tcPr>
          <w:p w14:paraId="32144DA2" w14:textId="77777777" w:rsidR="00C22032" w:rsidRPr="00C22032" w:rsidRDefault="00C22032" w:rsidP="00C22032">
            <w:pPr>
              <w:rPr>
                <w:rFonts w:cs="Arial"/>
              </w:rPr>
            </w:pPr>
          </w:p>
        </w:tc>
        <w:tc>
          <w:tcPr>
            <w:tcW w:w="1442" w:type="dxa"/>
          </w:tcPr>
          <w:p w14:paraId="4FF30F0D" w14:textId="77777777" w:rsidR="00C22032" w:rsidRPr="00C22032" w:rsidRDefault="00C22032" w:rsidP="00C22032">
            <w:pPr>
              <w:rPr>
                <w:rFonts w:cs="Arial"/>
              </w:rPr>
            </w:pPr>
          </w:p>
        </w:tc>
        <w:tc>
          <w:tcPr>
            <w:tcW w:w="1617" w:type="dxa"/>
          </w:tcPr>
          <w:p w14:paraId="3A953F56" w14:textId="442B1E91" w:rsidR="00C22032" w:rsidRPr="00C22032" w:rsidRDefault="00C22032" w:rsidP="00C22032">
            <w:pPr>
              <w:rPr>
                <w:rFonts w:cs="Arial"/>
              </w:rPr>
            </w:pPr>
            <w:r w:rsidRPr="00C22032">
              <w:rPr>
                <w:rFonts w:cs="Arial"/>
              </w:rPr>
              <w:t>чести</w:t>
            </w:r>
          </w:p>
        </w:tc>
        <w:tc>
          <w:tcPr>
            <w:tcW w:w="1380" w:type="dxa"/>
          </w:tcPr>
          <w:p w14:paraId="0AABA960" w14:textId="77777777" w:rsidR="00C22032" w:rsidRPr="00C22032" w:rsidRDefault="00C22032" w:rsidP="00C22032">
            <w:pPr>
              <w:rPr>
                <w:rFonts w:cs="Arial"/>
              </w:rPr>
            </w:pPr>
          </w:p>
        </w:tc>
        <w:tc>
          <w:tcPr>
            <w:tcW w:w="1706" w:type="dxa"/>
          </w:tcPr>
          <w:p w14:paraId="768D8743" w14:textId="77777777" w:rsidR="00C22032" w:rsidRPr="00C22032" w:rsidRDefault="00C22032" w:rsidP="00C22032">
            <w:pPr>
              <w:rPr>
                <w:rFonts w:cs="Arial"/>
              </w:rPr>
            </w:pPr>
          </w:p>
        </w:tc>
      </w:tr>
      <w:tr w:rsidR="00C22032" w14:paraId="1EB795F8" w14:textId="77777777" w:rsidTr="00C37635">
        <w:tc>
          <w:tcPr>
            <w:tcW w:w="9576" w:type="dxa"/>
            <w:gridSpan w:val="6"/>
          </w:tcPr>
          <w:p w14:paraId="3AC47B36" w14:textId="2CA24CDD" w:rsidR="00C22032" w:rsidRPr="00C22032" w:rsidRDefault="00C22032" w:rsidP="006D7DF8">
            <w:pPr>
              <w:rPr>
                <w:rFonts w:cs="Arial"/>
              </w:rPr>
            </w:pPr>
            <w:r w:rsidRPr="00C22032">
              <w:rPr>
                <w:rFonts w:eastAsia="Times New Roman" w:cs="Arial"/>
                <w:b/>
                <w:bCs/>
                <w:color w:val="000000"/>
                <w:lang w:eastAsia="bg-BG"/>
              </w:rPr>
              <w:t>Нарушения на възпроизводителната система и гърдата</w:t>
            </w:r>
          </w:p>
        </w:tc>
      </w:tr>
      <w:tr w:rsidR="00C22032" w14:paraId="7471E0C4" w14:textId="77777777" w:rsidTr="00C22032">
        <w:tc>
          <w:tcPr>
            <w:tcW w:w="2143" w:type="dxa"/>
          </w:tcPr>
          <w:p w14:paraId="04010C49" w14:textId="1D39BD16" w:rsidR="00C22032" w:rsidRPr="00C22032" w:rsidRDefault="00C22032" w:rsidP="00C22032">
            <w:pPr>
              <w:rPr>
                <w:rFonts w:cs="Arial"/>
              </w:rPr>
            </w:pPr>
            <w:r w:rsidRPr="00C22032">
              <w:rPr>
                <w:rFonts w:cs="Arial"/>
              </w:rPr>
              <w:t>Еректилна дисфункция/ импотентност</w:t>
            </w:r>
          </w:p>
        </w:tc>
        <w:tc>
          <w:tcPr>
            <w:tcW w:w="1288" w:type="dxa"/>
          </w:tcPr>
          <w:p w14:paraId="3741010C" w14:textId="77777777" w:rsidR="00C22032" w:rsidRPr="00C22032" w:rsidRDefault="00C22032" w:rsidP="00C22032">
            <w:pPr>
              <w:rPr>
                <w:rFonts w:cs="Arial"/>
              </w:rPr>
            </w:pPr>
          </w:p>
        </w:tc>
        <w:tc>
          <w:tcPr>
            <w:tcW w:w="1442" w:type="dxa"/>
          </w:tcPr>
          <w:p w14:paraId="53D1E97F" w14:textId="77777777" w:rsidR="00C22032" w:rsidRPr="00C22032" w:rsidRDefault="00C22032" w:rsidP="00C22032">
            <w:pPr>
              <w:rPr>
                <w:rFonts w:cs="Arial"/>
              </w:rPr>
            </w:pPr>
          </w:p>
        </w:tc>
        <w:tc>
          <w:tcPr>
            <w:tcW w:w="1617" w:type="dxa"/>
          </w:tcPr>
          <w:p w14:paraId="36F7998F" w14:textId="77777777" w:rsidR="00C22032" w:rsidRPr="00C22032" w:rsidRDefault="00C22032" w:rsidP="00C22032">
            <w:pPr>
              <w:rPr>
                <w:rFonts w:cs="Arial"/>
              </w:rPr>
            </w:pPr>
          </w:p>
        </w:tc>
        <w:tc>
          <w:tcPr>
            <w:tcW w:w="1380" w:type="dxa"/>
          </w:tcPr>
          <w:p w14:paraId="53CAD66B" w14:textId="77777777" w:rsidR="00C22032" w:rsidRPr="00C22032" w:rsidRDefault="00C22032" w:rsidP="00C22032">
            <w:pPr>
              <w:rPr>
                <w:rFonts w:cs="Arial"/>
              </w:rPr>
            </w:pPr>
          </w:p>
        </w:tc>
        <w:tc>
          <w:tcPr>
            <w:tcW w:w="1706" w:type="dxa"/>
          </w:tcPr>
          <w:p w14:paraId="2790AE0D" w14:textId="4B17A578" w:rsidR="00C22032" w:rsidRPr="00C22032" w:rsidRDefault="00C22032" w:rsidP="00C22032">
            <w:pPr>
              <w:rPr>
                <w:rFonts w:cs="Arial"/>
              </w:rPr>
            </w:pPr>
            <w:r w:rsidRPr="00C22032">
              <w:rPr>
                <w:rFonts w:cs="Arial"/>
              </w:rPr>
              <w:t>с неизвестна честота</w:t>
            </w:r>
          </w:p>
        </w:tc>
      </w:tr>
      <w:tr w:rsidR="00C22032" w14:paraId="79DD71CD" w14:textId="77777777" w:rsidTr="00312A69">
        <w:tc>
          <w:tcPr>
            <w:tcW w:w="9576" w:type="dxa"/>
            <w:gridSpan w:val="6"/>
          </w:tcPr>
          <w:p w14:paraId="72EC9A04" w14:textId="43471CEF" w:rsidR="00C22032" w:rsidRPr="00C22032" w:rsidRDefault="00C22032" w:rsidP="006D7DF8">
            <w:pPr>
              <w:rPr>
                <w:rFonts w:cs="Arial"/>
              </w:rPr>
            </w:pPr>
            <w:r w:rsidRPr="00C22032">
              <w:rPr>
                <w:rFonts w:eastAsia="Times New Roman" w:cs="Arial"/>
                <w:b/>
                <w:bCs/>
                <w:color w:val="000000"/>
                <w:lang w:eastAsia="bg-BG"/>
              </w:rPr>
              <w:t>Общи нарушения и ефекти на мястото на приложение</w:t>
            </w:r>
          </w:p>
        </w:tc>
      </w:tr>
      <w:tr w:rsidR="00C22032" w14:paraId="103DD36A" w14:textId="77777777" w:rsidTr="00C22032">
        <w:tc>
          <w:tcPr>
            <w:tcW w:w="2143" w:type="dxa"/>
          </w:tcPr>
          <w:p w14:paraId="3F63CA79" w14:textId="404682EC" w:rsidR="00C22032" w:rsidRPr="00C22032" w:rsidRDefault="00C22032" w:rsidP="00C22032">
            <w:pPr>
              <w:rPr>
                <w:rFonts w:cs="Arial"/>
              </w:rPr>
            </w:pPr>
            <w:r w:rsidRPr="00C22032">
              <w:rPr>
                <w:rFonts w:cs="Arial"/>
              </w:rPr>
              <w:t>астения</w:t>
            </w:r>
          </w:p>
        </w:tc>
        <w:tc>
          <w:tcPr>
            <w:tcW w:w="1288" w:type="dxa"/>
          </w:tcPr>
          <w:p w14:paraId="725B4751" w14:textId="6C1978EA" w:rsidR="00C22032" w:rsidRPr="00C22032" w:rsidRDefault="00C22032" w:rsidP="00C22032">
            <w:pPr>
              <w:rPr>
                <w:rFonts w:cs="Arial"/>
              </w:rPr>
            </w:pPr>
            <w:r w:rsidRPr="00C22032">
              <w:rPr>
                <w:rFonts w:cs="Arial"/>
              </w:rPr>
              <w:t>нечести</w:t>
            </w:r>
          </w:p>
        </w:tc>
        <w:tc>
          <w:tcPr>
            <w:tcW w:w="1442" w:type="dxa"/>
          </w:tcPr>
          <w:p w14:paraId="32CBD395" w14:textId="28409967" w:rsidR="00C22032" w:rsidRPr="00C22032" w:rsidRDefault="00C22032" w:rsidP="00C22032">
            <w:pPr>
              <w:rPr>
                <w:rFonts w:cs="Arial"/>
              </w:rPr>
            </w:pPr>
            <w:r w:rsidRPr="00C22032">
              <w:rPr>
                <w:rFonts w:cs="Arial"/>
              </w:rPr>
              <w:t>чести</w:t>
            </w:r>
          </w:p>
        </w:tc>
        <w:tc>
          <w:tcPr>
            <w:tcW w:w="1617" w:type="dxa"/>
          </w:tcPr>
          <w:p w14:paraId="5080B6FF" w14:textId="5149C993" w:rsidR="00C22032" w:rsidRPr="00C22032" w:rsidRDefault="00C22032" w:rsidP="00C22032">
            <w:pPr>
              <w:rPr>
                <w:rFonts w:cs="Arial"/>
              </w:rPr>
            </w:pPr>
            <w:r w:rsidRPr="00C22032">
              <w:rPr>
                <w:rFonts w:cs="Arial"/>
              </w:rPr>
              <w:t>нечести</w:t>
            </w:r>
          </w:p>
        </w:tc>
        <w:tc>
          <w:tcPr>
            <w:tcW w:w="1380" w:type="dxa"/>
          </w:tcPr>
          <w:p w14:paraId="74F9337E" w14:textId="16C6FF58" w:rsidR="00C22032" w:rsidRPr="00C22032" w:rsidRDefault="00C22032" w:rsidP="00C22032">
            <w:pPr>
              <w:rPr>
                <w:rFonts w:cs="Arial"/>
              </w:rPr>
            </w:pPr>
            <w:r w:rsidRPr="00C22032">
              <w:rPr>
                <w:rFonts w:cs="Arial"/>
              </w:rPr>
              <w:t>чести</w:t>
            </w:r>
          </w:p>
        </w:tc>
        <w:tc>
          <w:tcPr>
            <w:tcW w:w="1706" w:type="dxa"/>
          </w:tcPr>
          <w:p w14:paraId="17396755" w14:textId="77777777" w:rsidR="00C22032" w:rsidRPr="00C22032" w:rsidRDefault="00C22032" w:rsidP="00C22032">
            <w:pPr>
              <w:rPr>
                <w:rFonts w:cs="Arial"/>
              </w:rPr>
            </w:pPr>
          </w:p>
        </w:tc>
      </w:tr>
      <w:tr w:rsidR="00C22032" w14:paraId="71B6A705" w14:textId="77777777" w:rsidTr="00C22032">
        <w:tc>
          <w:tcPr>
            <w:tcW w:w="2143" w:type="dxa"/>
          </w:tcPr>
          <w:p w14:paraId="2EE45171" w14:textId="6B3E9EDE" w:rsidR="00C22032" w:rsidRPr="00C22032" w:rsidRDefault="00C22032" w:rsidP="00C22032">
            <w:pPr>
              <w:rPr>
                <w:rFonts w:cs="Arial"/>
              </w:rPr>
            </w:pPr>
            <w:r w:rsidRPr="00C22032">
              <w:rPr>
                <w:rFonts w:cs="Arial"/>
              </w:rPr>
              <w:t>умора</w:t>
            </w:r>
          </w:p>
        </w:tc>
        <w:tc>
          <w:tcPr>
            <w:tcW w:w="1288" w:type="dxa"/>
          </w:tcPr>
          <w:p w14:paraId="08151DEB" w14:textId="5C61AAED" w:rsidR="00C22032" w:rsidRPr="00C22032" w:rsidRDefault="00C22032" w:rsidP="00C22032">
            <w:pPr>
              <w:rPr>
                <w:rFonts w:cs="Arial"/>
              </w:rPr>
            </w:pPr>
            <w:r w:rsidRPr="00C22032">
              <w:rPr>
                <w:rFonts w:cs="Arial"/>
              </w:rPr>
              <w:t>нечести</w:t>
            </w:r>
          </w:p>
        </w:tc>
        <w:tc>
          <w:tcPr>
            <w:tcW w:w="1442" w:type="dxa"/>
          </w:tcPr>
          <w:p w14:paraId="2D2966E3" w14:textId="29E71EBD" w:rsidR="00C22032" w:rsidRPr="00C22032" w:rsidRDefault="00C22032" w:rsidP="00C22032">
            <w:pPr>
              <w:rPr>
                <w:rFonts w:cs="Arial"/>
              </w:rPr>
            </w:pPr>
            <w:r w:rsidRPr="00C22032">
              <w:rPr>
                <w:rFonts w:cs="Arial"/>
              </w:rPr>
              <w:t>чести</w:t>
            </w:r>
          </w:p>
        </w:tc>
        <w:tc>
          <w:tcPr>
            <w:tcW w:w="1617" w:type="dxa"/>
          </w:tcPr>
          <w:p w14:paraId="285CD3E1" w14:textId="22930DEE" w:rsidR="00C22032" w:rsidRPr="00C22032" w:rsidRDefault="00C22032" w:rsidP="00C22032">
            <w:pPr>
              <w:rPr>
                <w:rFonts w:cs="Arial"/>
              </w:rPr>
            </w:pPr>
            <w:r w:rsidRPr="00C22032">
              <w:rPr>
                <w:rFonts w:cs="Arial"/>
              </w:rPr>
              <w:t>нечести</w:t>
            </w:r>
          </w:p>
        </w:tc>
        <w:tc>
          <w:tcPr>
            <w:tcW w:w="1380" w:type="dxa"/>
          </w:tcPr>
          <w:p w14:paraId="0C39282C" w14:textId="7E8A320F" w:rsidR="00C22032" w:rsidRPr="00C22032" w:rsidRDefault="00C22032" w:rsidP="00C22032">
            <w:pPr>
              <w:rPr>
                <w:rFonts w:cs="Arial"/>
              </w:rPr>
            </w:pPr>
            <w:r w:rsidRPr="00C22032">
              <w:rPr>
                <w:rFonts w:cs="Arial"/>
              </w:rPr>
              <w:t>чести</w:t>
            </w:r>
          </w:p>
        </w:tc>
        <w:tc>
          <w:tcPr>
            <w:tcW w:w="1706" w:type="dxa"/>
          </w:tcPr>
          <w:p w14:paraId="07C6D3C3" w14:textId="77777777" w:rsidR="00C22032" w:rsidRPr="00C22032" w:rsidRDefault="00C22032" w:rsidP="00C22032">
            <w:pPr>
              <w:rPr>
                <w:rFonts w:cs="Arial"/>
              </w:rPr>
            </w:pPr>
          </w:p>
        </w:tc>
      </w:tr>
      <w:tr w:rsidR="00C22032" w14:paraId="0C612BBD" w14:textId="77777777" w:rsidTr="00C22032">
        <w:tc>
          <w:tcPr>
            <w:tcW w:w="2143" w:type="dxa"/>
          </w:tcPr>
          <w:p w14:paraId="07325A17" w14:textId="16AF580C" w:rsidR="00C22032" w:rsidRPr="00C22032" w:rsidRDefault="00C22032" w:rsidP="00C22032">
            <w:pPr>
              <w:rPr>
                <w:rFonts w:cs="Arial"/>
              </w:rPr>
            </w:pPr>
            <w:r w:rsidRPr="00C22032">
              <w:rPr>
                <w:rFonts w:cs="Arial"/>
              </w:rPr>
              <w:t>оток</w:t>
            </w:r>
          </w:p>
        </w:tc>
        <w:tc>
          <w:tcPr>
            <w:tcW w:w="1288" w:type="dxa"/>
          </w:tcPr>
          <w:p w14:paraId="31B6CDCB" w14:textId="5FD17BBB" w:rsidR="00C22032" w:rsidRPr="00C22032" w:rsidRDefault="00C22032" w:rsidP="00C22032">
            <w:pPr>
              <w:rPr>
                <w:rFonts w:cs="Arial"/>
              </w:rPr>
            </w:pPr>
            <w:r w:rsidRPr="00C22032">
              <w:rPr>
                <w:rFonts w:cs="Arial"/>
              </w:rPr>
              <w:t>нечести</w:t>
            </w:r>
          </w:p>
        </w:tc>
        <w:tc>
          <w:tcPr>
            <w:tcW w:w="1442" w:type="dxa"/>
          </w:tcPr>
          <w:p w14:paraId="4D01A961" w14:textId="77777777" w:rsidR="00C22032" w:rsidRPr="00C22032" w:rsidRDefault="00C22032" w:rsidP="00C22032">
            <w:pPr>
              <w:rPr>
                <w:rFonts w:cs="Arial"/>
              </w:rPr>
            </w:pPr>
          </w:p>
        </w:tc>
        <w:tc>
          <w:tcPr>
            <w:tcW w:w="1617" w:type="dxa"/>
          </w:tcPr>
          <w:p w14:paraId="53CBD6C3" w14:textId="77777777" w:rsidR="00C22032" w:rsidRPr="00C22032" w:rsidRDefault="00C22032" w:rsidP="00C22032">
            <w:pPr>
              <w:rPr>
                <w:rFonts w:cs="Arial"/>
              </w:rPr>
            </w:pPr>
          </w:p>
        </w:tc>
        <w:tc>
          <w:tcPr>
            <w:tcW w:w="1380" w:type="dxa"/>
          </w:tcPr>
          <w:p w14:paraId="4DFADF97" w14:textId="77777777" w:rsidR="00C22032" w:rsidRPr="00C22032" w:rsidRDefault="00C22032" w:rsidP="00C22032">
            <w:pPr>
              <w:rPr>
                <w:rFonts w:cs="Arial"/>
              </w:rPr>
            </w:pPr>
          </w:p>
        </w:tc>
        <w:tc>
          <w:tcPr>
            <w:tcW w:w="1706" w:type="dxa"/>
          </w:tcPr>
          <w:p w14:paraId="2C607B26" w14:textId="77777777" w:rsidR="00C22032" w:rsidRPr="00C22032" w:rsidRDefault="00C22032" w:rsidP="00C22032">
            <w:pPr>
              <w:rPr>
                <w:rFonts w:cs="Arial"/>
              </w:rPr>
            </w:pPr>
          </w:p>
        </w:tc>
      </w:tr>
      <w:tr w:rsidR="00C22032" w14:paraId="45537C3E" w14:textId="77777777" w:rsidTr="00C22032">
        <w:tc>
          <w:tcPr>
            <w:tcW w:w="2143" w:type="dxa"/>
          </w:tcPr>
          <w:p w14:paraId="06D7975A" w14:textId="028497B1" w:rsidR="00C22032" w:rsidRPr="00C22032" w:rsidRDefault="00C22032" w:rsidP="00C22032">
            <w:pPr>
              <w:rPr>
                <w:rFonts w:cs="Arial"/>
              </w:rPr>
            </w:pPr>
            <w:r w:rsidRPr="00C22032">
              <w:rPr>
                <w:rFonts w:cs="Arial"/>
              </w:rPr>
              <w:t>неразположение</w:t>
            </w:r>
          </w:p>
        </w:tc>
        <w:tc>
          <w:tcPr>
            <w:tcW w:w="1288" w:type="dxa"/>
          </w:tcPr>
          <w:p w14:paraId="17D6192F" w14:textId="77777777" w:rsidR="00C22032" w:rsidRPr="00C22032" w:rsidRDefault="00C22032" w:rsidP="00C22032">
            <w:pPr>
              <w:rPr>
                <w:rFonts w:cs="Arial"/>
              </w:rPr>
            </w:pPr>
          </w:p>
        </w:tc>
        <w:tc>
          <w:tcPr>
            <w:tcW w:w="1442" w:type="dxa"/>
          </w:tcPr>
          <w:p w14:paraId="0B90F07A" w14:textId="77777777" w:rsidR="00C22032" w:rsidRPr="00C22032" w:rsidRDefault="00C22032" w:rsidP="00C22032">
            <w:pPr>
              <w:rPr>
                <w:rFonts w:cs="Arial"/>
              </w:rPr>
            </w:pPr>
          </w:p>
        </w:tc>
        <w:tc>
          <w:tcPr>
            <w:tcW w:w="1617" w:type="dxa"/>
          </w:tcPr>
          <w:p w14:paraId="526627F9" w14:textId="77777777" w:rsidR="00C22032" w:rsidRPr="00C22032" w:rsidRDefault="00C22032" w:rsidP="00C22032">
            <w:pPr>
              <w:rPr>
                <w:rFonts w:cs="Arial"/>
              </w:rPr>
            </w:pPr>
          </w:p>
        </w:tc>
        <w:tc>
          <w:tcPr>
            <w:tcW w:w="1380" w:type="dxa"/>
          </w:tcPr>
          <w:p w14:paraId="34186961" w14:textId="77777777" w:rsidR="00C22032" w:rsidRPr="00C22032" w:rsidRDefault="00C22032" w:rsidP="00C22032">
            <w:pPr>
              <w:rPr>
                <w:rFonts w:cs="Arial"/>
              </w:rPr>
            </w:pPr>
          </w:p>
        </w:tc>
        <w:tc>
          <w:tcPr>
            <w:tcW w:w="1706" w:type="dxa"/>
          </w:tcPr>
          <w:p w14:paraId="278F73A0" w14:textId="33BC2436" w:rsidR="00C22032" w:rsidRPr="00C22032" w:rsidRDefault="00C22032" w:rsidP="00C22032">
            <w:pPr>
              <w:rPr>
                <w:rFonts w:cs="Arial"/>
              </w:rPr>
            </w:pPr>
            <w:r w:rsidRPr="00C22032">
              <w:rPr>
                <w:rFonts w:cs="Arial"/>
              </w:rPr>
              <w:t>с неизвестна честота</w:t>
            </w:r>
          </w:p>
        </w:tc>
      </w:tr>
      <w:tr w:rsidR="00C22032" w14:paraId="2A032A32" w14:textId="77777777" w:rsidTr="00972B27">
        <w:tc>
          <w:tcPr>
            <w:tcW w:w="9576" w:type="dxa"/>
            <w:gridSpan w:val="6"/>
          </w:tcPr>
          <w:p w14:paraId="15FD1B0B" w14:textId="33543AE8" w:rsidR="00C22032" w:rsidRPr="00C22032" w:rsidRDefault="00C22032" w:rsidP="006D7DF8">
            <w:pPr>
              <w:rPr>
                <w:rFonts w:cs="Arial"/>
              </w:rPr>
            </w:pPr>
            <w:r w:rsidRPr="00C22032">
              <w:rPr>
                <w:rFonts w:eastAsia="Times New Roman" w:cs="Arial"/>
                <w:b/>
                <w:bCs/>
                <w:color w:val="000000"/>
                <w:lang w:eastAsia="bg-BG"/>
              </w:rPr>
              <w:t>Изследвания</w:t>
            </w:r>
          </w:p>
        </w:tc>
      </w:tr>
      <w:tr w:rsidR="00C22032" w14:paraId="7E281336" w14:textId="77777777" w:rsidTr="00C22032">
        <w:tc>
          <w:tcPr>
            <w:tcW w:w="2143" w:type="dxa"/>
          </w:tcPr>
          <w:p w14:paraId="567698A7" w14:textId="691C891B" w:rsidR="00C22032" w:rsidRPr="00C22032" w:rsidRDefault="00C22032" w:rsidP="00C22032">
            <w:pPr>
              <w:rPr>
                <w:rFonts w:cs="Arial"/>
              </w:rPr>
            </w:pPr>
            <w:r w:rsidRPr="00C22032">
              <w:rPr>
                <w:rFonts w:cs="Arial"/>
              </w:rPr>
              <w:t>хиперкалиемия</w:t>
            </w:r>
          </w:p>
        </w:tc>
        <w:tc>
          <w:tcPr>
            <w:tcW w:w="1288" w:type="dxa"/>
          </w:tcPr>
          <w:p w14:paraId="1ECB2C5E" w14:textId="06C4C6AD" w:rsidR="00C22032" w:rsidRPr="00C22032" w:rsidRDefault="00C22032" w:rsidP="00C22032">
            <w:pPr>
              <w:rPr>
                <w:rFonts w:cs="Arial"/>
              </w:rPr>
            </w:pPr>
            <w:r w:rsidRPr="00C22032">
              <w:rPr>
                <w:rFonts w:cs="Arial"/>
              </w:rPr>
              <w:t>чести</w:t>
            </w:r>
          </w:p>
        </w:tc>
        <w:tc>
          <w:tcPr>
            <w:tcW w:w="1442" w:type="dxa"/>
          </w:tcPr>
          <w:p w14:paraId="7371C2A0" w14:textId="77777777" w:rsidR="00C22032" w:rsidRPr="00C22032" w:rsidRDefault="00C22032" w:rsidP="00C22032">
            <w:pPr>
              <w:rPr>
                <w:rFonts w:cs="Arial"/>
              </w:rPr>
            </w:pPr>
          </w:p>
        </w:tc>
        <w:tc>
          <w:tcPr>
            <w:tcW w:w="1617" w:type="dxa"/>
          </w:tcPr>
          <w:p w14:paraId="6E4461F8" w14:textId="4606839C" w:rsidR="00C22032" w:rsidRPr="00C22032" w:rsidRDefault="00C22032" w:rsidP="00C22032">
            <w:pPr>
              <w:rPr>
                <w:rFonts w:cs="Arial"/>
              </w:rPr>
            </w:pPr>
            <w:r w:rsidRPr="00C22032">
              <w:rPr>
                <w:rFonts w:cs="Arial"/>
              </w:rPr>
              <w:t>нечести</w:t>
            </w:r>
            <w:r w:rsidRPr="00C22032">
              <w:rPr>
                <w:rFonts w:cs="Arial"/>
                <w:vertAlign w:val="superscript"/>
              </w:rPr>
              <w:t>+</w:t>
            </w:r>
          </w:p>
        </w:tc>
        <w:tc>
          <w:tcPr>
            <w:tcW w:w="1380" w:type="dxa"/>
          </w:tcPr>
          <w:p w14:paraId="506F4C06" w14:textId="02F3CA52" w:rsidR="00C22032" w:rsidRPr="00C22032" w:rsidRDefault="00C22032" w:rsidP="00C22032">
            <w:pPr>
              <w:rPr>
                <w:rFonts w:cs="Arial"/>
              </w:rPr>
            </w:pPr>
            <w:r w:rsidRPr="00C22032">
              <w:rPr>
                <w:rFonts w:cs="Arial"/>
              </w:rPr>
              <w:t>чести</w:t>
            </w:r>
            <w:r w:rsidRPr="00C22032">
              <w:rPr>
                <w:rFonts w:cs="Arial"/>
                <w:vertAlign w:val="superscript"/>
              </w:rPr>
              <w:t>++</w:t>
            </w:r>
          </w:p>
        </w:tc>
        <w:tc>
          <w:tcPr>
            <w:tcW w:w="1706" w:type="dxa"/>
          </w:tcPr>
          <w:p w14:paraId="58C44F6E" w14:textId="77777777" w:rsidR="00C22032" w:rsidRPr="00C22032" w:rsidRDefault="00C22032" w:rsidP="00C22032">
            <w:pPr>
              <w:rPr>
                <w:rFonts w:cs="Arial"/>
              </w:rPr>
            </w:pPr>
          </w:p>
        </w:tc>
      </w:tr>
      <w:tr w:rsidR="00C22032" w14:paraId="535F102E" w14:textId="77777777" w:rsidTr="00C22032">
        <w:tc>
          <w:tcPr>
            <w:tcW w:w="2143" w:type="dxa"/>
          </w:tcPr>
          <w:p w14:paraId="6276002B" w14:textId="5DA56CAD" w:rsidR="00C22032" w:rsidRPr="00C22032" w:rsidRDefault="00C22032" w:rsidP="00C22032">
            <w:pPr>
              <w:rPr>
                <w:rFonts w:cs="Arial"/>
              </w:rPr>
            </w:pPr>
            <w:r w:rsidRPr="00C22032">
              <w:rPr>
                <w:rFonts w:cs="Arial"/>
              </w:rPr>
              <w:t xml:space="preserve">повишена аланин аминотрансфераза </w:t>
            </w:r>
            <w:r w:rsidRPr="00C22032">
              <w:rPr>
                <w:rFonts w:cs="Arial"/>
                <w:lang w:val="en-US"/>
              </w:rPr>
              <w:t>(ALT)</w:t>
            </w:r>
            <w:r w:rsidRPr="00C22032">
              <w:rPr>
                <w:rFonts w:cs="Arial"/>
                <w:vertAlign w:val="superscript"/>
              </w:rPr>
              <w:t>§</w:t>
            </w:r>
          </w:p>
        </w:tc>
        <w:tc>
          <w:tcPr>
            <w:tcW w:w="1288" w:type="dxa"/>
          </w:tcPr>
          <w:p w14:paraId="63F14DB5" w14:textId="2E470E3B" w:rsidR="00C22032" w:rsidRPr="00C22032" w:rsidRDefault="00C22032" w:rsidP="00C22032">
            <w:pPr>
              <w:rPr>
                <w:rFonts w:cs="Arial"/>
              </w:rPr>
            </w:pPr>
            <w:r w:rsidRPr="00C22032">
              <w:rPr>
                <w:rFonts w:cs="Arial"/>
              </w:rPr>
              <w:t>редки</w:t>
            </w:r>
          </w:p>
        </w:tc>
        <w:tc>
          <w:tcPr>
            <w:tcW w:w="1442" w:type="dxa"/>
          </w:tcPr>
          <w:p w14:paraId="3B3EFBA9" w14:textId="77777777" w:rsidR="00C22032" w:rsidRPr="00C22032" w:rsidRDefault="00C22032" w:rsidP="00C22032">
            <w:pPr>
              <w:rPr>
                <w:rFonts w:cs="Arial"/>
              </w:rPr>
            </w:pPr>
          </w:p>
        </w:tc>
        <w:tc>
          <w:tcPr>
            <w:tcW w:w="1617" w:type="dxa"/>
          </w:tcPr>
          <w:p w14:paraId="7A49533D" w14:textId="77777777" w:rsidR="00C22032" w:rsidRPr="00C22032" w:rsidRDefault="00C22032" w:rsidP="00C22032">
            <w:pPr>
              <w:rPr>
                <w:rFonts w:cs="Arial"/>
              </w:rPr>
            </w:pPr>
          </w:p>
        </w:tc>
        <w:tc>
          <w:tcPr>
            <w:tcW w:w="1380" w:type="dxa"/>
          </w:tcPr>
          <w:p w14:paraId="6A0B4AFC" w14:textId="77777777" w:rsidR="00C22032" w:rsidRPr="00C22032" w:rsidRDefault="00C22032" w:rsidP="00C22032">
            <w:pPr>
              <w:rPr>
                <w:rFonts w:cs="Arial"/>
              </w:rPr>
            </w:pPr>
          </w:p>
        </w:tc>
        <w:tc>
          <w:tcPr>
            <w:tcW w:w="1706" w:type="dxa"/>
          </w:tcPr>
          <w:p w14:paraId="4E48A141" w14:textId="77777777" w:rsidR="00C22032" w:rsidRPr="00C22032" w:rsidRDefault="00C22032" w:rsidP="00C22032">
            <w:pPr>
              <w:rPr>
                <w:rFonts w:cs="Arial"/>
              </w:rPr>
            </w:pPr>
          </w:p>
        </w:tc>
      </w:tr>
      <w:tr w:rsidR="00C22032" w14:paraId="1EC3B5BC" w14:textId="77777777" w:rsidTr="00C22032">
        <w:tc>
          <w:tcPr>
            <w:tcW w:w="2143" w:type="dxa"/>
          </w:tcPr>
          <w:p w14:paraId="00FC9F30" w14:textId="76F9AEB1" w:rsidR="00C22032" w:rsidRPr="00C22032" w:rsidRDefault="00C22032" w:rsidP="00C22032">
            <w:pPr>
              <w:rPr>
                <w:rFonts w:cs="Arial"/>
              </w:rPr>
            </w:pPr>
            <w:r w:rsidRPr="00C22032">
              <w:rPr>
                <w:rFonts w:cs="Arial"/>
              </w:rPr>
              <w:lastRenderedPageBreak/>
              <w:t>повишена урея в кръвта, серумния креатинин и серумния калий</w:t>
            </w:r>
          </w:p>
        </w:tc>
        <w:tc>
          <w:tcPr>
            <w:tcW w:w="1288" w:type="dxa"/>
          </w:tcPr>
          <w:p w14:paraId="7673AC2E" w14:textId="77777777" w:rsidR="00C22032" w:rsidRPr="00C22032" w:rsidRDefault="00C22032" w:rsidP="00C22032">
            <w:pPr>
              <w:rPr>
                <w:rFonts w:cs="Arial"/>
              </w:rPr>
            </w:pPr>
          </w:p>
        </w:tc>
        <w:tc>
          <w:tcPr>
            <w:tcW w:w="1442" w:type="dxa"/>
          </w:tcPr>
          <w:p w14:paraId="4EA1664F" w14:textId="77777777" w:rsidR="00C22032" w:rsidRPr="00C22032" w:rsidRDefault="00C22032" w:rsidP="00C22032">
            <w:pPr>
              <w:rPr>
                <w:rFonts w:cs="Arial"/>
              </w:rPr>
            </w:pPr>
          </w:p>
        </w:tc>
        <w:tc>
          <w:tcPr>
            <w:tcW w:w="1617" w:type="dxa"/>
          </w:tcPr>
          <w:p w14:paraId="20DEC4FC" w14:textId="63AFC485" w:rsidR="00C22032" w:rsidRPr="00C22032" w:rsidRDefault="00C22032" w:rsidP="00C22032">
            <w:pPr>
              <w:rPr>
                <w:rFonts w:cs="Arial"/>
              </w:rPr>
            </w:pPr>
            <w:r w:rsidRPr="00C22032">
              <w:rPr>
                <w:rFonts w:cs="Arial"/>
              </w:rPr>
              <w:t>чести</w:t>
            </w:r>
          </w:p>
        </w:tc>
        <w:tc>
          <w:tcPr>
            <w:tcW w:w="1380" w:type="dxa"/>
          </w:tcPr>
          <w:p w14:paraId="1D37BAAF" w14:textId="77777777" w:rsidR="00C22032" w:rsidRPr="00C22032" w:rsidRDefault="00C22032" w:rsidP="00C22032">
            <w:pPr>
              <w:rPr>
                <w:rFonts w:cs="Arial"/>
              </w:rPr>
            </w:pPr>
          </w:p>
        </w:tc>
        <w:tc>
          <w:tcPr>
            <w:tcW w:w="1706" w:type="dxa"/>
          </w:tcPr>
          <w:p w14:paraId="7E019BD2" w14:textId="77777777" w:rsidR="00C22032" w:rsidRPr="00C22032" w:rsidRDefault="00C22032" w:rsidP="00C22032">
            <w:pPr>
              <w:rPr>
                <w:rFonts w:cs="Arial"/>
              </w:rPr>
            </w:pPr>
          </w:p>
        </w:tc>
      </w:tr>
      <w:tr w:rsidR="00C22032" w14:paraId="3035D647" w14:textId="77777777" w:rsidTr="00C22032">
        <w:tc>
          <w:tcPr>
            <w:tcW w:w="2143" w:type="dxa"/>
          </w:tcPr>
          <w:p w14:paraId="551FBD3F" w14:textId="691304D8" w:rsidR="00C22032" w:rsidRPr="00C22032" w:rsidRDefault="00C22032" w:rsidP="00C22032">
            <w:pPr>
              <w:rPr>
                <w:rFonts w:cs="Arial"/>
              </w:rPr>
            </w:pPr>
            <w:r w:rsidRPr="00C22032">
              <w:rPr>
                <w:rFonts w:cs="Arial"/>
              </w:rPr>
              <w:t>хипонатриемия</w:t>
            </w:r>
          </w:p>
        </w:tc>
        <w:tc>
          <w:tcPr>
            <w:tcW w:w="1288" w:type="dxa"/>
          </w:tcPr>
          <w:p w14:paraId="3DABEC75" w14:textId="77777777" w:rsidR="00C22032" w:rsidRPr="00C22032" w:rsidRDefault="00C22032" w:rsidP="00C22032">
            <w:pPr>
              <w:rPr>
                <w:rFonts w:cs="Arial"/>
              </w:rPr>
            </w:pPr>
          </w:p>
        </w:tc>
        <w:tc>
          <w:tcPr>
            <w:tcW w:w="1442" w:type="dxa"/>
          </w:tcPr>
          <w:p w14:paraId="079B24CA" w14:textId="77777777" w:rsidR="00C22032" w:rsidRPr="00C22032" w:rsidRDefault="00C22032" w:rsidP="00C22032">
            <w:pPr>
              <w:rPr>
                <w:rFonts w:cs="Arial"/>
              </w:rPr>
            </w:pPr>
          </w:p>
        </w:tc>
        <w:tc>
          <w:tcPr>
            <w:tcW w:w="1617" w:type="dxa"/>
          </w:tcPr>
          <w:p w14:paraId="65DF1C84" w14:textId="77777777" w:rsidR="00C22032" w:rsidRPr="00C22032" w:rsidRDefault="00C22032" w:rsidP="00C22032">
            <w:pPr>
              <w:rPr>
                <w:rFonts w:cs="Arial"/>
              </w:rPr>
            </w:pPr>
          </w:p>
        </w:tc>
        <w:tc>
          <w:tcPr>
            <w:tcW w:w="1380" w:type="dxa"/>
          </w:tcPr>
          <w:p w14:paraId="3B55EA91" w14:textId="77777777" w:rsidR="00C22032" w:rsidRPr="00C22032" w:rsidRDefault="00C22032" w:rsidP="00C22032">
            <w:pPr>
              <w:rPr>
                <w:rFonts w:cs="Arial"/>
              </w:rPr>
            </w:pPr>
          </w:p>
        </w:tc>
        <w:tc>
          <w:tcPr>
            <w:tcW w:w="1706" w:type="dxa"/>
          </w:tcPr>
          <w:p w14:paraId="6A1484C1" w14:textId="19ADCD34" w:rsidR="00C22032" w:rsidRPr="00C22032" w:rsidRDefault="00C22032" w:rsidP="00C22032">
            <w:pPr>
              <w:rPr>
                <w:rFonts w:cs="Arial"/>
              </w:rPr>
            </w:pPr>
            <w:r w:rsidRPr="00C22032">
              <w:rPr>
                <w:rFonts w:cs="Arial"/>
              </w:rPr>
              <w:t>с неизвестна честота</w:t>
            </w:r>
          </w:p>
        </w:tc>
      </w:tr>
      <w:tr w:rsidR="00C22032" w14:paraId="45E00F5B" w14:textId="77777777" w:rsidTr="00C22032">
        <w:tc>
          <w:tcPr>
            <w:tcW w:w="2143" w:type="dxa"/>
          </w:tcPr>
          <w:p w14:paraId="1C6A266E" w14:textId="3BA60B99" w:rsidR="00C22032" w:rsidRPr="00C22032" w:rsidRDefault="00C22032" w:rsidP="00C22032">
            <w:pPr>
              <w:rPr>
                <w:rFonts w:cs="Arial"/>
              </w:rPr>
            </w:pPr>
            <w:r w:rsidRPr="00C22032">
              <w:rPr>
                <w:rFonts w:cs="Arial"/>
              </w:rPr>
              <w:t>хипогликемия</w:t>
            </w:r>
          </w:p>
        </w:tc>
        <w:tc>
          <w:tcPr>
            <w:tcW w:w="1288" w:type="dxa"/>
          </w:tcPr>
          <w:p w14:paraId="2F510C20" w14:textId="77777777" w:rsidR="00C22032" w:rsidRPr="00C22032" w:rsidRDefault="00C22032" w:rsidP="00C22032">
            <w:pPr>
              <w:rPr>
                <w:rFonts w:cs="Arial"/>
              </w:rPr>
            </w:pPr>
          </w:p>
        </w:tc>
        <w:tc>
          <w:tcPr>
            <w:tcW w:w="1442" w:type="dxa"/>
          </w:tcPr>
          <w:p w14:paraId="534AEA03" w14:textId="77777777" w:rsidR="00C22032" w:rsidRPr="00C22032" w:rsidRDefault="00C22032" w:rsidP="00C22032">
            <w:pPr>
              <w:rPr>
                <w:rFonts w:cs="Arial"/>
              </w:rPr>
            </w:pPr>
          </w:p>
        </w:tc>
        <w:tc>
          <w:tcPr>
            <w:tcW w:w="1617" w:type="dxa"/>
          </w:tcPr>
          <w:p w14:paraId="7C004C61" w14:textId="77777777" w:rsidR="00C22032" w:rsidRPr="00C22032" w:rsidRDefault="00C22032" w:rsidP="00C22032">
            <w:pPr>
              <w:rPr>
                <w:rFonts w:cs="Arial"/>
              </w:rPr>
            </w:pPr>
          </w:p>
        </w:tc>
        <w:tc>
          <w:tcPr>
            <w:tcW w:w="1380" w:type="dxa"/>
          </w:tcPr>
          <w:p w14:paraId="327F1688" w14:textId="6C17BFE6" w:rsidR="00C22032" w:rsidRPr="00C22032" w:rsidRDefault="00C22032" w:rsidP="00C22032">
            <w:pPr>
              <w:rPr>
                <w:rFonts w:cs="Arial"/>
              </w:rPr>
            </w:pPr>
            <w:r w:rsidRPr="00C22032">
              <w:rPr>
                <w:rFonts w:cs="Arial"/>
              </w:rPr>
              <w:t>чести</w:t>
            </w:r>
          </w:p>
        </w:tc>
        <w:tc>
          <w:tcPr>
            <w:tcW w:w="1706" w:type="dxa"/>
          </w:tcPr>
          <w:p w14:paraId="50902B75" w14:textId="77777777" w:rsidR="00C22032" w:rsidRPr="00C22032" w:rsidRDefault="00C22032" w:rsidP="00C22032">
            <w:pPr>
              <w:rPr>
                <w:rFonts w:cs="Arial"/>
              </w:rPr>
            </w:pPr>
          </w:p>
        </w:tc>
      </w:tr>
    </w:tbl>
    <w:p w14:paraId="336FAF91"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*Включително оток на ларинкса, глотиса, лицето, устните, фаринкса и/или езика (предизвикващо обструкция на дихателните пътища); при някои от тези пациенти е докладван ангиоедем в миналото свързан с приема на други лекарства, включително АСЕ инхибитори</w:t>
      </w:r>
    </w:p>
    <w:p w14:paraId="5EAF2FAE"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 xml:space="preserve">**Включително пурпура на </w:t>
      </w:r>
      <w:r w:rsidRPr="00C22032">
        <w:rPr>
          <w:rFonts w:eastAsia="Times New Roman" w:cs="Arial"/>
          <w:color w:val="000000"/>
          <w:lang w:val="en-US"/>
        </w:rPr>
        <w:t>Henoch</w:t>
      </w:r>
      <w:r w:rsidRPr="00C22032">
        <w:rPr>
          <w:rFonts w:eastAsia="Times New Roman" w:cs="Arial"/>
          <w:color w:val="000000"/>
          <w:lang w:val="ru-RU"/>
        </w:rPr>
        <w:t>-</w:t>
      </w:r>
      <w:proofErr w:type="spellStart"/>
      <w:r w:rsidRPr="00C22032">
        <w:rPr>
          <w:rFonts w:eastAsia="Times New Roman" w:cs="Arial"/>
          <w:color w:val="000000"/>
          <w:lang w:val="en-US"/>
        </w:rPr>
        <w:t>Schonlein</w:t>
      </w:r>
      <w:proofErr w:type="spellEnd"/>
    </w:p>
    <w:p w14:paraId="01C51688"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val="ru-RU"/>
        </w:rPr>
        <w:t>||</w:t>
      </w:r>
      <w:r w:rsidRPr="00C22032">
        <w:rPr>
          <w:rFonts w:eastAsia="Times New Roman" w:cs="Arial"/>
          <w:color w:val="000000"/>
          <w:lang w:eastAsia="bg-BG"/>
        </w:rPr>
        <w:t xml:space="preserve">Особени при пациенти с намален вътресъдов обем, </w:t>
      </w:r>
      <w:proofErr w:type="gramStart"/>
      <w:r w:rsidRPr="00C22032">
        <w:rPr>
          <w:rFonts w:eastAsia="Times New Roman" w:cs="Arial"/>
          <w:color w:val="000000"/>
          <w:lang w:eastAsia="bg-BG"/>
        </w:rPr>
        <w:t>например</w:t>
      </w:r>
      <w:proofErr w:type="gramEnd"/>
      <w:r w:rsidRPr="00C22032">
        <w:rPr>
          <w:rFonts w:eastAsia="Times New Roman" w:cs="Arial"/>
          <w:color w:val="000000"/>
          <w:lang w:eastAsia="bg-BG"/>
        </w:rPr>
        <w:t xml:space="preserve"> пациенти с тежка сърдечна недостатъчност или на лечение с високи дози диуретици</w:t>
      </w:r>
    </w:p>
    <w:p w14:paraId="00FE1D9A"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vertAlign w:val="superscript"/>
          <w:lang w:eastAsia="bg-BG"/>
        </w:rPr>
        <w:t>+</w:t>
      </w:r>
      <w:r w:rsidRPr="00C22032">
        <w:rPr>
          <w:rFonts w:eastAsia="Times New Roman" w:cs="Arial"/>
          <w:color w:val="000000"/>
          <w:lang w:eastAsia="bg-BG"/>
        </w:rPr>
        <w:t xml:space="preserve">Чести при пациенти приемащи 150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лосартан вместо 50 </w:t>
      </w:r>
      <w:r w:rsidRPr="00C22032">
        <w:rPr>
          <w:rFonts w:eastAsia="Times New Roman" w:cs="Arial"/>
          <w:color w:val="000000"/>
          <w:lang w:val="en-US"/>
        </w:rPr>
        <w:t>mg</w:t>
      </w:r>
    </w:p>
    <w:p w14:paraId="2FC24749"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vertAlign w:val="superscript"/>
          <w:lang w:eastAsia="bg-BG"/>
        </w:rPr>
        <w:t>++</w:t>
      </w:r>
      <w:r w:rsidRPr="00C22032">
        <w:rPr>
          <w:rFonts w:eastAsia="Times New Roman" w:cs="Arial"/>
          <w:color w:val="000000"/>
          <w:lang w:eastAsia="bg-BG"/>
        </w:rPr>
        <w:t xml:space="preserve">В клинично проучване проведено с пациенти с диабет тип 2 с нефропатия, 9,9% от пациентите лекувани с лосартан развиват хиперкалиемия &gt;5,5 </w:t>
      </w:r>
      <w:proofErr w:type="spellStart"/>
      <w:r w:rsidRPr="00C22032">
        <w:rPr>
          <w:rFonts w:eastAsia="Times New Roman" w:cs="Arial"/>
          <w:color w:val="000000"/>
          <w:lang w:val="en-US"/>
        </w:rPr>
        <w:t>mmol</w:t>
      </w:r>
      <w:proofErr w:type="spellEnd"/>
      <w:r w:rsidRPr="00C22032">
        <w:rPr>
          <w:rFonts w:eastAsia="Times New Roman" w:cs="Arial"/>
          <w:color w:val="000000"/>
          <w:lang w:val="ru-RU"/>
        </w:rPr>
        <w:t xml:space="preserve">/1 </w:t>
      </w:r>
      <w:r w:rsidRPr="00C22032">
        <w:rPr>
          <w:rFonts w:eastAsia="Times New Roman" w:cs="Arial"/>
          <w:color w:val="000000"/>
          <w:lang w:eastAsia="bg-BG"/>
        </w:rPr>
        <w:t xml:space="preserve">и 3,4% от пациентите на плацебо </w:t>
      </w:r>
      <w:r w:rsidRPr="00C22032">
        <w:rPr>
          <w:rFonts w:eastAsia="Times New Roman" w:cs="Arial"/>
          <w:color w:val="000000"/>
          <w:vertAlign w:val="superscript"/>
          <w:lang w:eastAsia="bg-BG"/>
        </w:rPr>
        <w:t>§</w:t>
      </w:r>
      <w:r w:rsidRPr="00C22032">
        <w:rPr>
          <w:rFonts w:eastAsia="Times New Roman" w:cs="Arial"/>
          <w:color w:val="000000"/>
          <w:lang w:eastAsia="bg-BG"/>
        </w:rPr>
        <w:t xml:space="preserve"> обикновено отшумява след прекратяване</w:t>
      </w:r>
    </w:p>
    <w:p w14:paraId="1C6FC4A0" w14:textId="77777777" w:rsidR="00C22032" w:rsidRPr="00C22032" w:rsidRDefault="00C22032" w:rsidP="00C22032">
      <w:pPr>
        <w:spacing w:line="240" w:lineRule="auto"/>
        <w:rPr>
          <w:rFonts w:eastAsia="Times New Roman" w:cs="Arial"/>
          <w:color w:val="000000"/>
          <w:lang w:eastAsia="bg-BG"/>
        </w:rPr>
      </w:pPr>
    </w:p>
    <w:p w14:paraId="4B3577AE" w14:textId="62B6DE01"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Следните допълнителни нежелани реакции се наблюдават по-често при пациенти които приемат лосартан в сравнение с плацебо (с неизвестна честота): болка в гърба, инфекции на пикочно- отделителната система и грипоподобни симптоми.</w:t>
      </w:r>
    </w:p>
    <w:p w14:paraId="5F97EEF4" w14:textId="77777777" w:rsidR="00C22032" w:rsidRPr="00C22032" w:rsidRDefault="00C22032" w:rsidP="00C22032">
      <w:pPr>
        <w:spacing w:line="240" w:lineRule="auto"/>
        <w:rPr>
          <w:rFonts w:eastAsia="Times New Roman" w:cs="Arial"/>
          <w:i/>
          <w:iCs/>
          <w:color w:val="000000"/>
          <w:lang w:eastAsia="bg-BG"/>
        </w:rPr>
      </w:pPr>
    </w:p>
    <w:p w14:paraId="5D3D35CC" w14:textId="06D6F60F" w:rsidR="00C22032" w:rsidRPr="00C22032" w:rsidRDefault="00C22032" w:rsidP="00C22032">
      <w:pPr>
        <w:spacing w:line="240" w:lineRule="auto"/>
        <w:rPr>
          <w:rFonts w:eastAsia="Times New Roman" w:cs="Arial"/>
          <w:i/>
          <w:iCs/>
          <w:color w:val="000000"/>
          <w:lang w:eastAsia="bg-BG"/>
        </w:rPr>
      </w:pPr>
      <w:r w:rsidRPr="00C22032">
        <w:rPr>
          <w:rFonts w:eastAsia="Times New Roman" w:cs="Arial"/>
          <w:i/>
          <w:iCs/>
          <w:color w:val="000000"/>
          <w:lang w:eastAsia="bg-BG"/>
        </w:rPr>
        <w:t>Нарушения на бъбреците и пикочните пътища:</w:t>
      </w:r>
    </w:p>
    <w:p w14:paraId="402ABF54"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Вследствие инхибиране на ренин-ангиотензин-алдостерон системата при рискови пациенти се наблюдават промени в бъбречната функция, включително бъбречна недостатъчност; тези промени в бъбречната функция могат да бъдат обратими при прекратяване на лечението (вж. точка 4.4)</w:t>
      </w:r>
    </w:p>
    <w:p w14:paraId="6E173ACF" w14:textId="77777777" w:rsidR="00C22032" w:rsidRPr="00C22032" w:rsidRDefault="00C22032" w:rsidP="00C22032">
      <w:pPr>
        <w:spacing w:line="240" w:lineRule="auto"/>
        <w:rPr>
          <w:rFonts w:eastAsia="Times New Roman" w:cs="Arial"/>
          <w:color w:val="000000"/>
          <w:u w:val="single"/>
          <w:lang w:eastAsia="bg-BG"/>
        </w:rPr>
      </w:pPr>
    </w:p>
    <w:p w14:paraId="42FAC3FF" w14:textId="4450E2BD" w:rsidR="00C22032" w:rsidRPr="00C22032" w:rsidRDefault="00C22032" w:rsidP="00C22032">
      <w:pPr>
        <w:spacing w:line="240" w:lineRule="auto"/>
        <w:rPr>
          <w:rFonts w:eastAsia="Times New Roman" w:cs="Arial"/>
          <w:sz w:val="24"/>
          <w:szCs w:val="24"/>
        </w:rPr>
      </w:pPr>
      <w:r w:rsidRPr="00C22032">
        <w:rPr>
          <w:rFonts w:eastAsia="Times New Roman" w:cs="Arial"/>
          <w:color w:val="000000"/>
          <w:u w:val="single"/>
          <w:lang w:eastAsia="bg-BG"/>
        </w:rPr>
        <w:t>Педиатрична популация</w:t>
      </w:r>
    </w:p>
    <w:p w14:paraId="293DD63E"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Профилът на нежеланите реакции при пациенти в детска възраст е близък до наблюдавания при възрастни пациенти. Данните от педиатричната популация са ограничени.</w:t>
      </w:r>
    </w:p>
    <w:p w14:paraId="508C3643" w14:textId="5D8F0E71" w:rsidR="006D7DF8" w:rsidRPr="006D7DF8" w:rsidRDefault="006D7DF8" w:rsidP="006D7DF8"/>
    <w:p w14:paraId="0A023CE0" w14:textId="44BA7C36" w:rsidR="00CF77F7" w:rsidRDefault="002C50EE" w:rsidP="004A448E">
      <w:pPr>
        <w:pStyle w:val="Heading2"/>
      </w:pPr>
      <w:r>
        <w:t>4.9. Предозиране</w:t>
      </w:r>
    </w:p>
    <w:p w14:paraId="413BF36B" w14:textId="33F61482" w:rsidR="00C22032" w:rsidRDefault="00C22032" w:rsidP="00C22032"/>
    <w:p w14:paraId="7660435C" w14:textId="77777777" w:rsidR="00C22032" w:rsidRPr="00C22032" w:rsidRDefault="00C22032" w:rsidP="00C22032">
      <w:pPr>
        <w:spacing w:line="240" w:lineRule="auto"/>
        <w:rPr>
          <w:rFonts w:eastAsia="Times New Roman" w:cs="Arial"/>
          <w:sz w:val="24"/>
          <w:szCs w:val="24"/>
        </w:rPr>
      </w:pPr>
      <w:r w:rsidRPr="00C22032">
        <w:rPr>
          <w:rFonts w:eastAsia="Times New Roman" w:cs="Arial"/>
          <w:i/>
          <w:iCs/>
          <w:color w:val="000000"/>
          <w:lang w:eastAsia="bg-BG"/>
        </w:rPr>
        <w:t>Симптоми на интоксикация</w:t>
      </w:r>
    </w:p>
    <w:p w14:paraId="6605256B"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Налични са ограничени данни с предозиране при хора. Най-честа проява на предозиране е хипотония и тахикардия. Брадикардия може да настъпи при парасимпатикова (вагусова) стимулация.</w:t>
      </w:r>
    </w:p>
    <w:p w14:paraId="663BB848" w14:textId="77777777" w:rsidR="00C22032" w:rsidRPr="00C22032" w:rsidRDefault="00C22032" w:rsidP="00C22032">
      <w:pPr>
        <w:spacing w:line="240" w:lineRule="auto"/>
        <w:rPr>
          <w:rFonts w:eastAsia="Times New Roman" w:cs="Arial"/>
          <w:i/>
          <w:iCs/>
          <w:color w:val="000000"/>
          <w:lang w:eastAsia="bg-BG"/>
        </w:rPr>
      </w:pPr>
    </w:p>
    <w:p w14:paraId="6E796398" w14:textId="5429E4CF" w:rsidR="00C22032" w:rsidRPr="00C22032" w:rsidRDefault="00C22032" w:rsidP="00C22032">
      <w:pPr>
        <w:spacing w:line="240" w:lineRule="auto"/>
        <w:rPr>
          <w:rFonts w:eastAsia="Times New Roman" w:cs="Arial"/>
          <w:sz w:val="24"/>
          <w:szCs w:val="24"/>
        </w:rPr>
      </w:pPr>
      <w:r w:rsidRPr="00C22032">
        <w:rPr>
          <w:rFonts w:eastAsia="Times New Roman" w:cs="Arial"/>
          <w:i/>
          <w:iCs/>
          <w:color w:val="000000"/>
          <w:lang w:eastAsia="bg-BG"/>
        </w:rPr>
        <w:t>Лечение на интоксикацията</w:t>
      </w:r>
    </w:p>
    <w:p w14:paraId="41EEA35F"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Ако симптоматична хипотония настъпи, поддържащо лечение трябва да се започне.</w:t>
      </w:r>
    </w:p>
    <w:p w14:paraId="7AFE55BD"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Мерките зависят от времето до приемане на лекарствения продукт и вида и тежестта на симптомите. Необходимо е стабилизиране на сърдечно-съдовата система. Показано е приложението на достатъчна доза активен въглен. След това трябва да се осъществи непрекъснато наблюдение на жизнените показатели. При необходимост жизнените показатели следва да се коригират.</w:t>
      </w:r>
    </w:p>
    <w:p w14:paraId="0A2C38E3"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Лосартан и активния метаболит не се излъчват при хемодиализа.</w:t>
      </w:r>
    </w:p>
    <w:p w14:paraId="027D8164" w14:textId="77777777" w:rsidR="00C22032" w:rsidRPr="00C22032" w:rsidRDefault="00C22032" w:rsidP="00C22032"/>
    <w:p w14:paraId="02081B24" w14:textId="1F46E296" w:rsidR="00395555" w:rsidRPr="00395555" w:rsidRDefault="002C50EE" w:rsidP="008A6AF2">
      <w:pPr>
        <w:pStyle w:val="Heading1"/>
      </w:pPr>
      <w:r>
        <w:lastRenderedPageBreak/>
        <w:t>5. ФАРМАКОЛОГИЧНИ СВОЙСТВА</w:t>
      </w:r>
    </w:p>
    <w:p w14:paraId="32B6DE66" w14:textId="695378FD" w:rsidR="00CF77F7" w:rsidRDefault="002C50EE" w:rsidP="004A448E">
      <w:pPr>
        <w:pStyle w:val="Heading2"/>
      </w:pPr>
      <w:r>
        <w:t>5.1. Фармакодинамични свойства</w:t>
      </w:r>
    </w:p>
    <w:p w14:paraId="425563B1" w14:textId="60DE58B6" w:rsidR="00C22032" w:rsidRDefault="00C22032" w:rsidP="00C22032"/>
    <w:p w14:paraId="689CCB5B" w14:textId="77777777"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Фармакотерапевтична група:</w:t>
      </w:r>
      <w:r w:rsidRPr="00C22032">
        <w:rPr>
          <w:rFonts w:eastAsia="Times New Roman" w:cs="Arial"/>
          <w:color w:val="000000"/>
          <w:lang w:eastAsia="bg-BG"/>
        </w:rPr>
        <w:t xml:space="preserve"> ангиотензин-</w:t>
      </w:r>
      <w:r w:rsidRPr="00C22032">
        <w:rPr>
          <w:rFonts w:eastAsia="Times New Roman" w:cs="Arial"/>
          <w:color w:val="000000"/>
          <w:lang w:val="en-US"/>
        </w:rPr>
        <w:t>II</w:t>
      </w:r>
      <w:r w:rsidRPr="00C22032">
        <w:rPr>
          <w:rFonts w:eastAsia="Times New Roman" w:cs="Arial"/>
          <w:color w:val="000000"/>
          <w:lang w:eastAsia="bg-BG"/>
        </w:rPr>
        <w:t xml:space="preserve"> антагонисти, самостоятелно.</w:t>
      </w:r>
    </w:p>
    <w:p w14:paraId="62325A18"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АТС код: С09СА01</w:t>
      </w:r>
    </w:p>
    <w:p w14:paraId="07A6AA7E" w14:textId="77777777" w:rsidR="00C22032" w:rsidRPr="00C22032" w:rsidRDefault="00C22032" w:rsidP="00C22032">
      <w:pPr>
        <w:spacing w:line="240" w:lineRule="auto"/>
        <w:rPr>
          <w:rFonts w:eastAsia="Times New Roman" w:cs="Arial"/>
          <w:color w:val="000000"/>
          <w:u w:val="single"/>
          <w:lang w:eastAsia="bg-BG"/>
        </w:rPr>
      </w:pPr>
    </w:p>
    <w:p w14:paraId="40B7241C" w14:textId="5B3B2927"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Механизъм на действие:</w:t>
      </w:r>
    </w:p>
    <w:p w14:paraId="4CF11466"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Лосартан е синтетичен перорален ангиотензин-</w:t>
      </w:r>
      <w:r w:rsidRPr="00C22032">
        <w:rPr>
          <w:rFonts w:eastAsia="Times New Roman" w:cs="Arial"/>
          <w:color w:val="000000"/>
          <w:lang w:val="en-US"/>
        </w:rPr>
        <w:t>II</w:t>
      </w:r>
      <w:r w:rsidRPr="00C22032">
        <w:rPr>
          <w:rFonts w:eastAsia="Times New Roman" w:cs="Arial"/>
          <w:color w:val="000000"/>
          <w:lang w:eastAsia="bg-BG"/>
        </w:rPr>
        <w:t xml:space="preserve"> рецепторен (тип </w:t>
      </w:r>
      <w:r w:rsidRPr="00C22032">
        <w:rPr>
          <w:rFonts w:eastAsia="Times New Roman" w:cs="Arial"/>
          <w:color w:val="000000"/>
          <w:lang w:val="en-US"/>
        </w:rPr>
        <w:t>AT</w:t>
      </w:r>
      <w:r w:rsidRPr="00C22032">
        <w:rPr>
          <w:rFonts w:eastAsia="Times New Roman" w:cs="Arial"/>
          <w:color w:val="000000"/>
          <w:lang w:val="ru-RU"/>
        </w:rPr>
        <w:t xml:space="preserve">1) </w:t>
      </w:r>
      <w:r w:rsidRPr="00C22032">
        <w:rPr>
          <w:rFonts w:eastAsia="Times New Roman" w:cs="Arial"/>
          <w:color w:val="000000"/>
          <w:lang w:eastAsia="bg-BG"/>
        </w:rPr>
        <w:t xml:space="preserve">антагонист. Ангиотензин II, който е мощен вазоконстриктор, е основният активен хормон на системата ренин/ангиотензин и важен фактор в патофизиологията на хипертонията. Ангиотензин II се свързва с </w:t>
      </w:r>
      <w:r w:rsidRPr="00C22032">
        <w:rPr>
          <w:rFonts w:eastAsia="Times New Roman" w:cs="Arial"/>
          <w:color w:val="000000"/>
          <w:lang w:val="en-US"/>
        </w:rPr>
        <w:t>AT</w:t>
      </w:r>
      <w:r w:rsidRPr="00C22032">
        <w:rPr>
          <w:rFonts w:eastAsia="Times New Roman" w:cs="Arial"/>
          <w:color w:val="000000"/>
          <w:lang w:val="ru-RU"/>
        </w:rPr>
        <w:t xml:space="preserve">1 </w:t>
      </w:r>
      <w:r w:rsidRPr="00C22032">
        <w:rPr>
          <w:rFonts w:eastAsia="Times New Roman" w:cs="Arial"/>
          <w:color w:val="000000"/>
          <w:lang w:eastAsia="bg-BG"/>
        </w:rPr>
        <w:t>рецептора, намиращ се в редица тъкани (напр. гладката мускулатура на съдовете, надбъбреците, бъбреците и сърцето), и предизвиква няколко важни биологични действия, включително вазоконстрикция и освобождаване на алдостерон. Ангиотензин II стимулира и пролиферацията на гладкомускулните клетки.</w:t>
      </w:r>
    </w:p>
    <w:p w14:paraId="57A858CE"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Лосартан селективно блокира </w:t>
      </w:r>
      <w:r w:rsidRPr="00C22032">
        <w:rPr>
          <w:rFonts w:eastAsia="Times New Roman" w:cs="Arial"/>
          <w:color w:val="000000"/>
          <w:lang w:val="en-US"/>
        </w:rPr>
        <w:t>AT</w:t>
      </w:r>
      <w:r w:rsidRPr="00C22032">
        <w:rPr>
          <w:rFonts w:eastAsia="Times New Roman" w:cs="Arial"/>
          <w:color w:val="000000"/>
          <w:lang w:val="ru-RU"/>
        </w:rPr>
        <w:t xml:space="preserve">1 </w:t>
      </w:r>
      <w:r w:rsidRPr="00C22032">
        <w:rPr>
          <w:rFonts w:eastAsia="Times New Roman" w:cs="Arial"/>
          <w:color w:val="000000"/>
          <w:lang w:eastAsia="bg-BG"/>
        </w:rPr>
        <w:t xml:space="preserve">рецептора. </w:t>
      </w:r>
      <w:r w:rsidRPr="00C22032">
        <w:rPr>
          <w:rFonts w:eastAsia="Times New Roman" w:cs="Arial"/>
          <w:i/>
          <w:iCs/>
          <w:color w:val="000000"/>
          <w:lang w:val="en-US"/>
        </w:rPr>
        <w:t>In</w:t>
      </w:r>
      <w:r w:rsidRPr="00C22032">
        <w:rPr>
          <w:rFonts w:eastAsia="Times New Roman" w:cs="Arial"/>
          <w:i/>
          <w:iCs/>
          <w:color w:val="000000"/>
          <w:lang w:val="ru-RU"/>
        </w:rPr>
        <w:t xml:space="preserve"> </w:t>
      </w:r>
      <w:r w:rsidRPr="00C22032">
        <w:rPr>
          <w:rFonts w:eastAsia="Times New Roman" w:cs="Arial"/>
          <w:i/>
          <w:iCs/>
          <w:color w:val="000000"/>
          <w:lang w:val="en-US"/>
        </w:rPr>
        <w:t>vitro</w:t>
      </w:r>
      <w:r w:rsidRPr="00C22032">
        <w:rPr>
          <w:rFonts w:eastAsia="Times New Roman" w:cs="Arial"/>
          <w:color w:val="000000"/>
          <w:lang w:val="ru-RU"/>
        </w:rPr>
        <w:t xml:space="preserve"> </w:t>
      </w:r>
      <w:r w:rsidRPr="00C22032">
        <w:rPr>
          <w:rFonts w:eastAsia="Times New Roman" w:cs="Arial"/>
          <w:color w:val="000000"/>
          <w:lang w:eastAsia="bg-BG"/>
        </w:rPr>
        <w:t xml:space="preserve">и </w:t>
      </w:r>
      <w:r w:rsidRPr="00C22032">
        <w:rPr>
          <w:rFonts w:eastAsia="Times New Roman" w:cs="Arial"/>
          <w:i/>
          <w:iCs/>
          <w:color w:val="000000"/>
          <w:lang w:val="en-US"/>
        </w:rPr>
        <w:t>in</w:t>
      </w:r>
      <w:r w:rsidRPr="00C22032">
        <w:rPr>
          <w:rFonts w:eastAsia="Times New Roman" w:cs="Arial"/>
          <w:i/>
          <w:iCs/>
          <w:color w:val="000000"/>
          <w:lang w:val="ru-RU"/>
        </w:rPr>
        <w:t xml:space="preserve"> </w:t>
      </w:r>
      <w:r w:rsidRPr="00C22032">
        <w:rPr>
          <w:rFonts w:eastAsia="Times New Roman" w:cs="Arial"/>
          <w:i/>
          <w:iCs/>
          <w:color w:val="000000"/>
          <w:lang w:val="en-US"/>
        </w:rPr>
        <w:t>vivo</w:t>
      </w:r>
      <w:r w:rsidRPr="00C22032">
        <w:rPr>
          <w:rFonts w:eastAsia="Times New Roman" w:cs="Arial"/>
          <w:color w:val="000000"/>
          <w:lang w:val="ru-RU"/>
        </w:rPr>
        <w:t xml:space="preserve"> </w:t>
      </w:r>
      <w:r w:rsidRPr="00C22032">
        <w:rPr>
          <w:rFonts w:eastAsia="Times New Roman" w:cs="Arial"/>
          <w:color w:val="000000"/>
          <w:lang w:eastAsia="bg-BG"/>
        </w:rPr>
        <w:t>лосартан и неговият фармакологично активен карбоксилкиселинен метаболит Е-З174 блокират всички физиологично значими действия на ангиотензин II, независимо от източника или пътя на неговата синтеза.</w:t>
      </w:r>
    </w:p>
    <w:p w14:paraId="7063C92D"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Лосартан няма агонистичен ефект, нито пък блокира други хормонални рецептори или йонни канали, важни за сърдечносъдовата регулация. Освен това лосартан не потиска АСЕ (киназа II) - ензимът, който разгражда брадикинина. Следователно няма усилване на нежеланите брадикинин-медиирани ефекти.</w:t>
      </w:r>
    </w:p>
    <w:p w14:paraId="3F29A43B"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При приложението на лосартан премахването на отрицателната обратна връзка на ангиотензин II по отношение на рениновата секреция води до повишаване на активността на плазмения ренин </w:t>
      </w:r>
      <w:r w:rsidRPr="00C22032">
        <w:rPr>
          <w:rFonts w:eastAsia="Times New Roman" w:cs="Arial"/>
          <w:color w:val="000000"/>
          <w:lang w:val="ru-RU"/>
        </w:rPr>
        <w:t>(</w:t>
      </w:r>
      <w:r w:rsidRPr="00C22032">
        <w:rPr>
          <w:rFonts w:eastAsia="Times New Roman" w:cs="Arial"/>
          <w:color w:val="000000"/>
          <w:lang w:val="en-US"/>
        </w:rPr>
        <w:t>PRA</w:t>
      </w:r>
      <w:r w:rsidRPr="00C22032">
        <w:rPr>
          <w:rFonts w:eastAsia="Times New Roman" w:cs="Arial"/>
          <w:color w:val="000000"/>
          <w:lang w:val="ru-RU"/>
        </w:rPr>
        <w:t xml:space="preserve">). </w:t>
      </w:r>
      <w:r w:rsidRPr="00C22032">
        <w:rPr>
          <w:rFonts w:eastAsia="Times New Roman" w:cs="Arial"/>
          <w:color w:val="000000"/>
          <w:lang w:eastAsia="bg-BG"/>
        </w:rPr>
        <w:t xml:space="preserve">Повишаването на </w:t>
      </w:r>
      <w:r w:rsidRPr="00C22032">
        <w:rPr>
          <w:rFonts w:eastAsia="Times New Roman" w:cs="Arial"/>
          <w:color w:val="000000"/>
          <w:lang w:val="en-US"/>
        </w:rPr>
        <w:t>PRA</w:t>
      </w:r>
      <w:r w:rsidRPr="00C22032">
        <w:rPr>
          <w:rFonts w:eastAsia="Times New Roman" w:cs="Arial"/>
          <w:color w:val="000000"/>
          <w:lang w:val="ru-RU"/>
        </w:rPr>
        <w:t xml:space="preserve"> </w:t>
      </w:r>
      <w:r w:rsidRPr="00C22032">
        <w:rPr>
          <w:rFonts w:eastAsia="Times New Roman" w:cs="Arial"/>
          <w:color w:val="000000"/>
          <w:lang w:eastAsia="bg-BG"/>
        </w:rPr>
        <w:t>води до повишаване на ангиотензин II в плазмата. Независимо от тези повишения антихипертензивната активност и потискането на концентрациите на плазмения алдостерон се заддържат, което е показателно за ефективно блокиране на ангиотензин I</w:t>
      </w:r>
      <w:r w:rsidRPr="00C22032">
        <w:rPr>
          <w:rFonts w:eastAsia="Times New Roman" w:cs="Arial"/>
          <w:color w:val="000000"/>
          <w:u w:val="single"/>
          <w:lang w:eastAsia="bg-BG"/>
        </w:rPr>
        <w:t>I рец</w:t>
      </w:r>
      <w:r w:rsidRPr="00C22032">
        <w:rPr>
          <w:rFonts w:eastAsia="Times New Roman" w:cs="Arial"/>
          <w:color w:val="000000"/>
          <w:lang w:eastAsia="bg-BG"/>
        </w:rPr>
        <w:t xml:space="preserve">ептора. След прекратяване на приложението на лосартан </w:t>
      </w:r>
      <w:r w:rsidRPr="00C22032">
        <w:rPr>
          <w:rFonts w:eastAsia="Times New Roman" w:cs="Arial"/>
          <w:color w:val="000000"/>
          <w:lang w:val="en-US"/>
        </w:rPr>
        <w:t>PRA</w:t>
      </w:r>
      <w:r w:rsidRPr="00C22032">
        <w:rPr>
          <w:rFonts w:eastAsia="Times New Roman" w:cs="Arial"/>
          <w:color w:val="000000"/>
          <w:lang w:val="ru-RU"/>
        </w:rPr>
        <w:t xml:space="preserve"> </w:t>
      </w:r>
      <w:r w:rsidRPr="00C22032">
        <w:rPr>
          <w:rFonts w:eastAsia="Times New Roman" w:cs="Arial"/>
          <w:color w:val="000000"/>
          <w:lang w:eastAsia="bg-BG"/>
        </w:rPr>
        <w:t xml:space="preserve">и ангиотенизин II спадат за три дни до изходни </w:t>
      </w:r>
      <w:r w:rsidRPr="00C22032">
        <w:rPr>
          <w:rFonts w:eastAsia="Times New Roman" w:cs="Arial"/>
          <w:b/>
          <w:bCs/>
          <w:color w:val="000000"/>
          <w:lang w:eastAsia="bg-BG"/>
        </w:rPr>
        <w:t>СТОЙНОСТИ.</w:t>
      </w:r>
    </w:p>
    <w:p w14:paraId="4CFE2F09" w14:textId="76B32D87" w:rsidR="00C22032" w:rsidRPr="00C22032" w:rsidRDefault="00C22032" w:rsidP="00C22032">
      <w:pPr>
        <w:rPr>
          <w:rFonts w:eastAsia="Times New Roman" w:cs="Arial"/>
          <w:color w:val="000000"/>
          <w:lang w:eastAsia="bg-BG"/>
        </w:rPr>
      </w:pPr>
      <w:r w:rsidRPr="00C22032">
        <w:rPr>
          <w:rFonts w:eastAsia="Times New Roman" w:cs="Arial"/>
          <w:color w:val="000000"/>
          <w:lang w:eastAsia="bg-BG"/>
        </w:rPr>
        <w:t xml:space="preserve">Както лосартан, така и неговият основен активен метаболит са с по-висок да афинитет към </w:t>
      </w:r>
      <w:r w:rsidRPr="00C22032">
        <w:rPr>
          <w:rFonts w:eastAsia="Times New Roman" w:cs="Arial"/>
          <w:color w:val="000000"/>
          <w:lang w:val="en-US"/>
        </w:rPr>
        <w:t>AT</w:t>
      </w:r>
      <w:r w:rsidRPr="00C22032">
        <w:rPr>
          <w:rFonts w:eastAsia="Times New Roman" w:cs="Arial"/>
          <w:color w:val="000000"/>
          <w:lang w:val="ru-RU"/>
        </w:rPr>
        <w:t>1</w:t>
      </w:r>
      <w:r w:rsidRPr="00C22032">
        <w:rPr>
          <w:rFonts w:eastAsia="Times New Roman" w:cs="Arial"/>
          <w:color w:val="000000"/>
          <w:lang w:eastAsia="bg-BG"/>
        </w:rPr>
        <w:t xml:space="preserve"> рецептора, отколкото към АТ2-рецептора, Активният метаболит е 10 до 40 пъти по-активен от лосартан при тегловно уравновесено съотношение.</w:t>
      </w:r>
    </w:p>
    <w:p w14:paraId="52E68F99" w14:textId="721FCEA6" w:rsidR="00C22032" w:rsidRPr="00C22032" w:rsidRDefault="00C22032" w:rsidP="00C22032">
      <w:pPr>
        <w:rPr>
          <w:rFonts w:eastAsia="Times New Roman" w:cs="Arial"/>
          <w:color w:val="000000"/>
          <w:lang w:eastAsia="bg-BG"/>
        </w:rPr>
      </w:pPr>
    </w:p>
    <w:p w14:paraId="7C58F7BC" w14:textId="77777777"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Проучвания върху хипертония</w:t>
      </w:r>
    </w:p>
    <w:p w14:paraId="7C24E7CC"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В контролирани клинични проучвания, прилагането един път дневно на лосартан при пациенти с лека до умерена есенциална хипертония причинява статистически значими понижения в систолното и диастолното кръвно налягане. Стойностите на кръвното налягане, измерени 24 часа след дозата и отнесени към измерените 5-6 часа след дозата, показват понижение на кръвното налягане за период от 24 часа, при запазване на естествения денонощен ритъм. Намалението на кръвното налягане в края на интервала на дозиране е 70-80 % от ефекта, наблюдаван 5-6 часа след дозата.</w:t>
      </w:r>
    </w:p>
    <w:p w14:paraId="2EDD6ABB"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Прекратяването на приложението на лосартан при хипертензивни пациенти не води до рязко повишаване на кръвното налягане (ребаунд ефект). Независимо от изразеното понижение на кръвното налягане лосартан няма клиничнозначими ефекти върху сърдечната честота.</w:t>
      </w:r>
    </w:p>
    <w:p w14:paraId="7F5457E1"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Лосартан е еднакво ефикасен при мъже и жени, при по-млади (на възраст под 65 години) и по- възрастни пациенти с хипертония.</w:t>
      </w:r>
    </w:p>
    <w:p w14:paraId="2D779D09" w14:textId="77777777" w:rsidR="00C22032" w:rsidRPr="00C22032" w:rsidRDefault="00C22032" w:rsidP="00C22032">
      <w:pPr>
        <w:spacing w:line="240" w:lineRule="auto"/>
        <w:rPr>
          <w:rFonts w:eastAsia="Times New Roman" w:cs="Arial"/>
          <w:color w:val="000000"/>
          <w:u w:val="single"/>
          <w:lang w:eastAsia="bg-BG"/>
        </w:rPr>
      </w:pPr>
    </w:p>
    <w:p w14:paraId="61BC4BAC" w14:textId="19640745"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lastRenderedPageBreak/>
        <w:t xml:space="preserve">Проучване </w:t>
      </w:r>
      <w:r w:rsidRPr="00C22032">
        <w:rPr>
          <w:rFonts w:eastAsia="Times New Roman" w:cs="Arial"/>
          <w:color w:val="000000"/>
          <w:u w:val="single"/>
          <w:lang w:val="en-US"/>
        </w:rPr>
        <w:t>LIFE</w:t>
      </w:r>
    </w:p>
    <w:p w14:paraId="0FAFE5EC"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Проучването </w:t>
      </w:r>
      <w:r w:rsidRPr="00C22032">
        <w:rPr>
          <w:rFonts w:eastAsia="Times New Roman" w:cs="Arial"/>
          <w:color w:val="000000"/>
          <w:lang w:val="en-US"/>
        </w:rPr>
        <w:t>Losartan</w:t>
      </w:r>
      <w:r w:rsidRPr="00C22032">
        <w:rPr>
          <w:rFonts w:eastAsia="Times New Roman" w:cs="Arial"/>
          <w:color w:val="000000"/>
        </w:rPr>
        <w:t xml:space="preserve"> </w:t>
      </w:r>
      <w:r w:rsidRPr="00C22032">
        <w:rPr>
          <w:rFonts w:eastAsia="Times New Roman" w:cs="Arial"/>
          <w:color w:val="000000"/>
          <w:lang w:val="en-US"/>
        </w:rPr>
        <w:t>Intervention</w:t>
      </w:r>
      <w:r w:rsidRPr="00C22032">
        <w:rPr>
          <w:rFonts w:eastAsia="Times New Roman" w:cs="Arial"/>
          <w:color w:val="000000"/>
        </w:rPr>
        <w:t xml:space="preserve"> </w:t>
      </w:r>
      <w:r w:rsidRPr="00C22032">
        <w:rPr>
          <w:rFonts w:eastAsia="Times New Roman" w:cs="Arial"/>
          <w:color w:val="000000"/>
          <w:lang w:val="en-US"/>
        </w:rPr>
        <w:t>For</w:t>
      </w:r>
      <w:r w:rsidRPr="00C22032">
        <w:rPr>
          <w:rFonts w:eastAsia="Times New Roman" w:cs="Arial"/>
          <w:color w:val="000000"/>
        </w:rPr>
        <w:t xml:space="preserve"> </w:t>
      </w:r>
      <w:r w:rsidRPr="00C22032">
        <w:rPr>
          <w:rFonts w:eastAsia="Times New Roman" w:cs="Arial"/>
          <w:color w:val="000000"/>
          <w:lang w:val="en-US"/>
        </w:rPr>
        <w:t>Endpoint</w:t>
      </w:r>
      <w:r w:rsidRPr="00C22032">
        <w:rPr>
          <w:rFonts w:eastAsia="Times New Roman" w:cs="Arial"/>
          <w:color w:val="000000"/>
        </w:rPr>
        <w:t xml:space="preserve"> </w:t>
      </w:r>
      <w:r w:rsidRPr="00C22032">
        <w:rPr>
          <w:rFonts w:eastAsia="Times New Roman" w:cs="Arial"/>
          <w:color w:val="000000"/>
          <w:lang w:val="en-US"/>
        </w:rPr>
        <w:t>Reduction</w:t>
      </w:r>
      <w:r w:rsidRPr="00C22032">
        <w:rPr>
          <w:rFonts w:eastAsia="Times New Roman" w:cs="Arial"/>
          <w:color w:val="000000"/>
        </w:rPr>
        <w:t xml:space="preserve"> </w:t>
      </w:r>
      <w:r w:rsidRPr="00C22032">
        <w:rPr>
          <w:rFonts w:eastAsia="Times New Roman" w:cs="Arial"/>
          <w:color w:val="000000"/>
          <w:lang w:val="en-US"/>
        </w:rPr>
        <w:t>in</w:t>
      </w:r>
      <w:r w:rsidRPr="00C22032">
        <w:rPr>
          <w:rFonts w:eastAsia="Times New Roman" w:cs="Arial"/>
          <w:color w:val="000000"/>
        </w:rPr>
        <w:t xml:space="preserve"> </w:t>
      </w:r>
      <w:r w:rsidRPr="00C22032">
        <w:rPr>
          <w:rFonts w:eastAsia="Times New Roman" w:cs="Arial"/>
          <w:color w:val="000000"/>
          <w:lang w:val="en-US"/>
        </w:rPr>
        <w:t>Hypertension</w:t>
      </w:r>
      <w:r w:rsidRPr="00C22032">
        <w:rPr>
          <w:rFonts w:eastAsia="Times New Roman" w:cs="Arial"/>
          <w:color w:val="000000"/>
        </w:rPr>
        <w:t xml:space="preserve"> [</w:t>
      </w:r>
      <w:r w:rsidRPr="00C22032">
        <w:rPr>
          <w:rFonts w:eastAsia="Times New Roman" w:cs="Arial"/>
          <w:color w:val="000000"/>
          <w:lang w:val="en-US"/>
        </w:rPr>
        <w:t>LIFE</w:t>
      </w:r>
      <w:r w:rsidRPr="00C22032">
        <w:rPr>
          <w:rFonts w:eastAsia="Times New Roman" w:cs="Arial"/>
          <w:color w:val="000000"/>
        </w:rPr>
        <w:t xml:space="preserve">] </w:t>
      </w:r>
      <w:r w:rsidRPr="00C22032">
        <w:rPr>
          <w:rFonts w:eastAsia="Times New Roman" w:cs="Arial"/>
          <w:color w:val="000000"/>
          <w:lang w:eastAsia="bg-BG"/>
        </w:rPr>
        <w:t xml:space="preserve">е рандомизирано, тройно-сляпо, активно контролирано проучване с 9 193 хипертензивни пациенти на възраст от 55 до 80 години с документирана с ЕКГ левокамерна хипертрофия. Пациентите са рандомизирани за прием ежедневно на лосартан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или един път дневно на атенолол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Ако не се постигне целевата стойност на кръвното налягане (&lt; 140/90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се добавя първо хидрохлоротиазид (12,5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и, ако е необходимо, дозата на лосартан или атенолол се увеличава до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един път дневно. Други антихипертензивни средства, с изключение на АСЕ-инхибитори, ангиотензин II антагонисти или бета-блокери, се добавят при необходимост за достигане на целевите стойности на кръвното налягане.</w:t>
      </w:r>
    </w:p>
    <w:p w14:paraId="6A143971"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Средната продължителност на проследяването е 4,8 години.</w:t>
      </w:r>
    </w:p>
    <w:p w14:paraId="24EC926C"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Комбинирана първичната крайна точка включва сърдечносъдовата заболяемост и смъртност, включващи сърдечносъдова смърт, инсулт и инфаркт на миокарда. При двете групи кръвното налягане се понижава значително до близки нива. Лечението с лосартан води до 13,0% понижение на риска (р = 0,021, 95% интервал на доверителност 0,77-0,98) в сравнение с атенолол при пациенти, достигащи първичната комбинирана крайна точка. Това допринася основно за намаление на честотата на инсултите. Лечението с лосартан намалява риска от инсулт с 25 % в сравнение с атенолол (р = 0,001 95 % интервал на доверителност 0,63-0,89). Честота на сърдечносъдова смърт и инфаркт на миокарда не се различават значително в двете групи.</w:t>
      </w:r>
    </w:p>
    <w:p w14:paraId="22BA0211" w14:textId="77777777" w:rsidR="00C22032" w:rsidRPr="00C22032" w:rsidRDefault="00C22032" w:rsidP="00C22032">
      <w:pPr>
        <w:spacing w:line="240" w:lineRule="auto"/>
        <w:rPr>
          <w:rFonts w:eastAsia="Times New Roman" w:cs="Arial"/>
        </w:rPr>
      </w:pPr>
      <w:r w:rsidRPr="00C22032">
        <w:rPr>
          <w:rFonts w:eastAsia="Times New Roman" w:cs="Arial"/>
          <w:i/>
          <w:iCs/>
          <w:color w:val="000000"/>
          <w:lang w:eastAsia="bg-BG"/>
        </w:rPr>
        <w:t>Раса</w:t>
      </w:r>
    </w:p>
    <w:p w14:paraId="54EE0EEE"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В проучването </w:t>
      </w:r>
      <w:r w:rsidRPr="00C22032">
        <w:rPr>
          <w:rFonts w:eastAsia="Times New Roman" w:cs="Arial"/>
          <w:color w:val="000000"/>
          <w:lang w:val="en-US"/>
        </w:rPr>
        <w:t>LIFE</w:t>
      </w:r>
      <w:r w:rsidRPr="00C22032">
        <w:rPr>
          <w:rFonts w:eastAsia="Times New Roman" w:cs="Arial"/>
          <w:color w:val="000000"/>
          <w:lang w:val="ru-RU"/>
        </w:rPr>
        <w:t xml:space="preserve"> </w:t>
      </w:r>
      <w:r w:rsidRPr="00C22032">
        <w:rPr>
          <w:rFonts w:eastAsia="Times New Roman" w:cs="Arial"/>
          <w:color w:val="000000"/>
          <w:lang w:eastAsia="bg-BG"/>
        </w:rPr>
        <w:t xml:space="preserve">пациентите от черната раса, лекувани </w:t>
      </w:r>
      <w:r w:rsidRPr="00C22032">
        <w:rPr>
          <w:rFonts w:eastAsia="Times New Roman" w:cs="Arial"/>
          <w:i/>
          <w:iCs/>
          <w:color w:val="000000"/>
          <w:lang w:eastAsia="bg-BG"/>
        </w:rPr>
        <w:t>с</w:t>
      </w:r>
      <w:r w:rsidRPr="00C22032">
        <w:rPr>
          <w:rFonts w:eastAsia="Times New Roman" w:cs="Arial"/>
          <w:color w:val="000000"/>
          <w:lang w:eastAsia="bg-BG"/>
        </w:rPr>
        <w:t xml:space="preserve"> лосартан, са с по-висок риск от достигане на първичната комбинирана крайна точка, т.е.сърдечно-съдов инцидент (напр. сърдечен инфаркт, сърдечносъдова смърт) и особено инсулт, отколкото пациентите от черната раса, лекувани с атенолол. Поради това резултатите, наблюдавани при лосартан в сравнение с атенолол в проучването </w:t>
      </w:r>
      <w:r w:rsidRPr="00C22032">
        <w:rPr>
          <w:rFonts w:eastAsia="Times New Roman" w:cs="Arial"/>
          <w:color w:val="000000"/>
          <w:lang w:val="en-US"/>
        </w:rPr>
        <w:t>LIFE</w:t>
      </w:r>
      <w:r w:rsidRPr="00C22032">
        <w:rPr>
          <w:rFonts w:eastAsia="Times New Roman" w:cs="Arial"/>
          <w:color w:val="000000"/>
          <w:lang w:val="ru-RU"/>
        </w:rPr>
        <w:t xml:space="preserve"> </w:t>
      </w:r>
      <w:r w:rsidRPr="00C22032">
        <w:rPr>
          <w:rFonts w:eastAsia="Times New Roman" w:cs="Arial"/>
          <w:color w:val="000000"/>
          <w:lang w:eastAsia="bg-BG"/>
        </w:rPr>
        <w:t>по отношение на сърдечносъдовата заболяемост/смъртност, не са приложими за пациенти от черната раса с хипертония и левокамерна хипертрофия.</w:t>
      </w:r>
    </w:p>
    <w:p w14:paraId="24B0456C" w14:textId="77777777" w:rsidR="00C22032" w:rsidRPr="00C22032" w:rsidRDefault="00C22032" w:rsidP="00C22032">
      <w:pPr>
        <w:spacing w:line="240" w:lineRule="auto"/>
        <w:rPr>
          <w:rFonts w:eastAsia="Times New Roman" w:cs="Arial"/>
          <w:color w:val="000000"/>
          <w:u w:val="single"/>
          <w:lang w:eastAsia="bg-BG"/>
        </w:rPr>
      </w:pPr>
    </w:p>
    <w:p w14:paraId="4BBFA89C" w14:textId="28F6F20A"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 xml:space="preserve">Проучване </w:t>
      </w:r>
      <w:r w:rsidRPr="00C22032">
        <w:rPr>
          <w:rFonts w:eastAsia="Times New Roman" w:cs="Arial"/>
          <w:color w:val="000000"/>
          <w:u w:val="single"/>
          <w:lang w:val="en-US"/>
        </w:rPr>
        <w:t>RENAAL</w:t>
      </w:r>
    </w:p>
    <w:p w14:paraId="12B454F2"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Проучването </w:t>
      </w:r>
      <w:r w:rsidRPr="00C22032">
        <w:rPr>
          <w:rFonts w:eastAsia="Times New Roman" w:cs="Arial"/>
          <w:color w:val="000000"/>
          <w:lang w:val="en-US"/>
        </w:rPr>
        <w:t>Reduction</w:t>
      </w:r>
      <w:r w:rsidRPr="00C22032">
        <w:rPr>
          <w:rFonts w:eastAsia="Times New Roman" w:cs="Arial"/>
          <w:color w:val="000000"/>
        </w:rPr>
        <w:t xml:space="preserve"> </w:t>
      </w:r>
      <w:r w:rsidRPr="00C22032">
        <w:rPr>
          <w:rFonts w:eastAsia="Times New Roman" w:cs="Arial"/>
          <w:color w:val="000000"/>
          <w:lang w:val="en-US"/>
        </w:rPr>
        <w:t>of</w:t>
      </w:r>
      <w:r w:rsidRPr="00C22032">
        <w:rPr>
          <w:rFonts w:eastAsia="Times New Roman" w:cs="Arial"/>
          <w:color w:val="000000"/>
        </w:rPr>
        <w:t xml:space="preserve"> </w:t>
      </w:r>
      <w:r w:rsidRPr="00C22032">
        <w:rPr>
          <w:rFonts w:eastAsia="Times New Roman" w:cs="Arial"/>
          <w:color w:val="000000"/>
          <w:lang w:val="en-US"/>
        </w:rPr>
        <w:t>Endpoints</w:t>
      </w:r>
      <w:r w:rsidRPr="00C22032">
        <w:rPr>
          <w:rFonts w:eastAsia="Times New Roman" w:cs="Arial"/>
          <w:color w:val="000000"/>
        </w:rPr>
        <w:t xml:space="preserve"> </w:t>
      </w:r>
      <w:r w:rsidRPr="00C22032">
        <w:rPr>
          <w:rFonts w:eastAsia="Times New Roman" w:cs="Arial"/>
          <w:color w:val="000000"/>
          <w:lang w:val="en-US"/>
        </w:rPr>
        <w:t>in</w:t>
      </w:r>
      <w:r w:rsidRPr="00C22032">
        <w:rPr>
          <w:rFonts w:eastAsia="Times New Roman" w:cs="Arial"/>
          <w:color w:val="000000"/>
        </w:rPr>
        <w:t xml:space="preserve"> </w:t>
      </w:r>
      <w:r w:rsidRPr="00C22032">
        <w:rPr>
          <w:rFonts w:eastAsia="Times New Roman" w:cs="Arial"/>
          <w:color w:val="000000"/>
          <w:lang w:val="en-US"/>
        </w:rPr>
        <w:t>NIDDM</w:t>
      </w:r>
      <w:r w:rsidRPr="00C22032">
        <w:rPr>
          <w:rFonts w:eastAsia="Times New Roman" w:cs="Arial"/>
          <w:color w:val="000000"/>
        </w:rPr>
        <w:t xml:space="preserve"> </w:t>
      </w:r>
      <w:r w:rsidRPr="00C22032">
        <w:rPr>
          <w:rFonts w:eastAsia="Times New Roman" w:cs="Arial"/>
          <w:color w:val="000000"/>
          <w:lang w:val="en-US"/>
        </w:rPr>
        <w:t>with</w:t>
      </w:r>
      <w:r w:rsidRPr="00C22032">
        <w:rPr>
          <w:rFonts w:eastAsia="Times New Roman" w:cs="Arial"/>
          <w:color w:val="000000"/>
        </w:rPr>
        <w:t xml:space="preserve"> </w:t>
      </w:r>
      <w:r w:rsidRPr="00C22032">
        <w:rPr>
          <w:rFonts w:eastAsia="Times New Roman" w:cs="Arial"/>
          <w:color w:val="000000"/>
          <w:lang w:val="en-US"/>
        </w:rPr>
        <w:t>the</w:t>
      </w:r>
      <w:r w:rsidRPr="00C22032">
        <w:rPr>
          <w:rFonts w:eastAsia="Times New Roman" w:cs="Arial"/>
          <w:color w:val="000000"/>
        </w:rPr>
        <w:t xml:space="preserve"> </w:t>
      </w:r>
      <w:r w:rsidRPr="00C22032">
        <w:rPr>
          <w:rFonts w:eastAsia="Times New Roman" w:cs="Arial"/>
          <w:color w:val="000000"/>
          <w:lang w:val="en-US"/>
        </w:rPr>
        <w:t>Angiotensin</w:t>
      </w:r>
      <w:r w:rsidRPr="00C22032">
        <w:rPr>
          <w:rFonts w:eastAsia="Times New Roman" w:cs="Arial"/>
          <w:color w:val="000000"/>
        </w:rPr>
        <w:t xml:space="preserve"> </w:t>
      </w:r>
      <w:r w:rsidRPr="00C22032">
        <w:rPr>
          <w:rFonts w:eastAsia="Times New Roman" w:cs="Arial"/>
          <w:color w:val="000000"/>
          <w:lang w:val="en-US"/>
        </w:rPr>
        <w:t>II</w:t>
      </w:r>
      <w:r w:rsidRPr="00C22032">
        <w:rPr>
          <w:rFonts w:eastAsia="Times New Roman" w:cs="Arial"/>
          <w:color w:val="000000"/>
        </w:rPr>
        <w:t xml:space="preserve"> </w:t>
      </w:r>
      <w:r w:rsidRPr="00C22032">
        <w:rPr>
          <w:rFonts w:eastAsia="Times New Roman" w:cs="Arial"/>
          <w:color w:val="000000"/>
          <w:lang w:val="en-US"/>
        </w:rPr>
        <w:t>Receptor</w:t>
      </w:r>
      <w:r w:rsidRPr="00C22032">
        <w:rPr>
          <w:rFonts w:eastAsia="Times New Roman" w:cs="Arial"/>
          <w:color w:val="000000"/>
        </w:rPr>
        <w:t xml:space="preserve"> </w:t>
      </w:r>
      <w:r w:rsidRPr="00C22032">
        <w:rPr>
          <w:rFonts w:eastAsia="Times New Roman" w:cs="Arial"/>
          <w:color w:val="000000"/>
          <w:lang w:val="en-US"/>
        </w:rPr>
        <w:t>Antagonist</w:t>
      </w:r>
      <w:r w:rsidRPr="00C22032">
        <w:rPr>
          <w:rFonts w:eastAsia="Times New Roman" w:cs="Arial"/>
          <w:color w:val="000000"/>
        </w:rPr>
        <w:t xml:space="preserve"> </w:t>
      </w:r>
      <w:r w:rsidRPr="00C22032">
        <w:rPr>
          <w:rFonts w:eastAsia="Times New Roman" w:cs="Arial"/>
          <w:color w:val="000000"/>
          <w:lang w:val="en-US"/>
        </w:rPr>
        <w:t>Losartan</w:t>
      </w:r>
      <w:r w:rsidRPr="00C22032">
        <w:rPr>
          <w:rFonts w:eastAsia="Times New Roman" w:cs="Arial"/>
          <w:color w:val="000000"/>
        </w:rPr>
        <w:t xml:space="preserve"> (</w:t>
      </w:r>
      <w:r w:rsidRPr="00C22032">
        <w:rPr>
          <w:rFonts w:eastAsia="Times New Roman" w:cs="Arial"/>
          <w:color w:val="000000"/>
          <w:lang w:val="en-US"/>
        </w:rPr>
        <w:t>RENAAL</w:t>
      </w:r>
      <w:r w:rsidRPr="00C22032">
        <w:rPr>
          <w:rFonts w:eastAsia="Times New Roman" w:cs="Arial"/>
          <w:color w:val="000000"/>
        </w:rPr>
        <w:t xml:space="preserve">) </w:t>
      </w:r>
      <w:r w:rsidRPr="00C22032">
        <w:rPr>
          <w:rFonts w:eastAsia="Times New Roman" w:cs="Arial"/>
          <w:color w:val="000000"/>
          <w:lang w:eastAsia="bg-BG"/>
        </w:rPr>
        <w:t xml:space="preserve">е контролирано клинично проучване, проведено в целия свят с 1 513 пациенти с диабет тип 2 с протеинурия, със или без хипертония. С лосартан са лекувани 751 пациенти. Целта на проучването е да се покаже нефропротективния ефект на лосартан калий по отношение на понижаването на кръвното налягане. Пациенти с протеинурия и серумен креатинин 1,3-3,0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dl</w:t>
      </w:r>
      <w:r w:rsidRPr="00C22032">
        <w:rPr>
          <w:rFonts w:eastAsia="Times New Roman" w:cs="Arial"/>
          <w:color w:val="000000"/>
          <w:lang w:val="ru-RU"/>
        </w:rPr>
        <w:t xml:space="preserve"> </w:t>
      </w:r>
      <w:r w:rsidRPr="00C22032">
        <w:rPr>
          <w:rFonts w:eastAsia="Times New Roman" w:cs="Arial"/>
          <w:color w:val="000000"/>
          <w:lang w:eastAsia="bg-BG"/>
        </w:rPr>
        <w:t xml:space="preserve">рандомизирано получават лосартан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един път дневно, при нужда титриран, до постигане на отговор по отношение на кръвното налягане, или плацебо на фона на конвенционална антихипертензивна терапия без АСЕ-инхибитори и ангиотензин II антагонисти. Изсле</w:t>
      </w:r>
      <w:r w:rsidRPr="00C22032">
        <w:rPr>
          <w:rFonts w:eastAsia="Times New Roman" w:cs="Arial"/>
          <w:color w:val="000000"/>
          <w:u w:val="single"/>
          <w:lang w:eastAsia="bg-BG"/>
        </w:rPr>
        <w:t>довател</w:t>
      </w:r>
      <w:r w:rsidRPr="00C22032">
        <w:rPr>
          <w:rFonts w:eastAsia="Times New Roman" w:cs="Arial"/>
          <w:color w:val="000000"/>
          <w:lang w:eastAsia="bg-BG"/>
        </w:rPr>
        <w:t xml:space="preserve">ите получават инструкции да титрират дозата до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дневно при необходимост; 72% от пациентите</w:t>
      </w:r>
    </w:p>
    <w:p w14:paraId="32D62EB6" w14:textId="0626AF7B"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вземат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дневна доза през по-голямата част от времето. Други антихипертензивни продукти (диуретици, калциеви антагонисти, алфа- и бета-рецепторни блокери, а също и централно действащи антихипертензивни средства) са позволени като допълнително лечение и при двете групи в</w:t>
      </w:r>
      <w:r w:rsidRPr="00C22032">
        <w:rPr>
          <w:rFonts w:eastAsia="Times New Roman" w:cs="Arial"/>
          <w:lang w:val="ru-RU"/>
        </w:rPr>
        <w:t xml:space="preserve"> </w:t>
      </w:r>
      <w:r w:rsidRPr="00C22032">
        <w:rPr>
          <w:rFonts w:eastAsia="Times New Roman" w:cs="Arial"/>
          <w:color w:val="000000"/>
          <w:lang w:eastAsia="bg-BG"/>
        </w:rPr>
        <w:t>зависимост от нуждите. Пациентите са проследени до 4,6 години (3,4 години средно). Първичната</w:t>
      </w:r>
      <w:r w:rsidRPr="00C22032">
        <w:rPr>
          <w:rFonts w:eastAsia="Times New Roman" w:cs="Arial"/>
          <w:color w:val="000000"/>
          <w:lang w:val="ru-RU" w:eastAsia="bg-BG"/>
        </w:rPr>
        <w:t xml:space="preserve"> </w:t>
      </w:r>
      <w:r w:rsidRPr="00C22032">
        <w:rPr>
          <w:rFonts w:eastAsia="Times New Roman" w:cs="Arial"/>
          <w:color w:val="000000"/>
          <w:lang w:eastAsia="bg-BG"/>
        </w:rPr>
        <w:t>основна крайна точка на проучването е съставна крайна точка от удвояване на серумния креатинин при бъбречна недостатъчност в крайна фаза (необходимост от диализа или трансплантация) или смърт.</w:t>
      </w:r>
    </w:p>
    <w:p w14:paraId="5DCADBA6"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Резултатите показват, че лечението с лосартан (327 събития) в сравнение с плацебо (359 събития) води до а 16,1 % понижение на риска (р = 0.022) при пациенти, достигащи комбинирана първична крайна точка. По отношение на компоненти на първичната крайна </w:t>
      </w:r>
      <w:r w:rsidRPr="00C22032">
        <w:rPr>
          <w:rFonts w:eastAsia="Times New Roman" w:cs="Arial"/>
          <w:color w:val="000000"/>
          <w:lang w:eastAsia="bg-BG"/>
        </w:rPr>
        <w:lastRenderedPageBreak/>
        <w:t>точка резултатите показват значително намаление на риска в групата, лекувана с лосартан: 25,3 % понижение на риска за удвояване на стойностите на серумния креатинин (р = 0,006); 28,6 % понижение на риска от бъбречна недостатъчност в крайна фаза (р = 0,002); 19,9 % понижение на риска за бъбречна недостатъчност в крайна фаза или смърт (р = 0,009); 21,0 % понижение на риска за удвояване на стойностите на серумния креатинин или бъбречна недостатъчност в крайна фаза (р = 0,01). Честотата на смърт по всяка причина не показва значителни разлики между двете провеждали лечение групи. При това проучване лосартан се понася добре, което се вижда от честотата на преустановяване на лечението поради нежелани реакции, която е сравнима с групата на плацебо.</w:t>
      </w:r>
    </w:p>
    <w:p w14:paraId="0B4DFD0F" w14:textId="77777777" w:rsidR="00C22032" w:rsidRPr="00C22032" w:rsidRDefault="00C22032" w:rsidP="00C22032">
      <w:pPr>
        <w:spacing w:line="240" w:lineRule="auto"/>
        <w:rPr>
          <w:rFonts w:eastAsia="Times New Roman" w:cs="Arial"/>
          <w:color w:val="000000"/>
          <w:u w:val="single"/>
          <w:lang w:eastAsia="bg-BG"/>
        </w:rPr>
      </w:pPr>
    </w:p>
    <w:p w14:paraId="4A595FD9" w14:textId="1526C486"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 xml:space="preserve">Проучване </w:t>
      </w:r>
      <w:r w:rsidRPr="00C22032">
        <w:rPr>
          <w:rFonts w:eastAsia="Times New Roman" w:cs="Arial"/>
          <w:color w:val="000000"/>
          <w:u w:val="single"/>
          <w:lang w:val="en-US"/>
        </w:rPr>
        <w:t>HEAAL</w:t>
      </w:r>
    </w:p>
    <w:p w14:paraId="5E5E06F7" w14:textId="77777777" w:rsidR="00C22032" w:rsidRPr="00C22032" w:rsidRDefault="00C22032" w:rsidP="00C22032">
      <w:pPr>
        <w:spacing w:line="240" w:lineRule="auto"/>
        <w:rPr>
          <w:rFonts w:eastAsia="Times New Roman" w:cs="Arial"/>
          <w:color w:val="000000"/>
          <w:lang w:val="en-US"/>
        </w:rPr>
      </w:pPr>
    </w:p>
    <w:p w14:paraId="63FD5BC8" w14:textId="77777777" w:rsidR="00C22032" w:rsidRPr="00C22032" w:rsidRDefault="00C22032" w:rsidP="00C22032">
      <w:pPr>
        <w:spacing w:line="240" w:lineRule="auto"/>
        <w:rPr>
          <w:rFonts w:eastAsia="Times New Roman" w:cs="Arial"/>
          <w:color w:val="000000"/>
          <w:lang w:eastAsia="bg-BG"/>
        </w:rPr>
      </w:pPr>
      <w:r w:rsidRPr="00C22032">
        <w:rPr>
          <w:rFonts w:eastAsia="Times New Roman" w:cs="Arial"/>
          <w:color w:val="000000"/>
          <w:lang w:val="en-US"/>
        </w:rPr>
        <w:t>The</w:t>
      </w:r>
      <w:r w:rsidRPr="00C22032">
        <w:rPr>
          <w:rFonts w:eastAsia="Times New Roman" w:cs="Arial"/>
          <w:color w:val="000000"/>
        </w:rPr>
        <w:t xml:space="preserve"> </w:t>
      </w:r>
      <w:r w:rsidRPr="00C22032">
        <w:rPr>
          <w:rFonts w:eastAsia="Times New Roman" w:cs="Arial"/>
          <w:color w:val="000000"/>
          <w:lang w:val="en-US"/>
        </w:rPr>
        <w:t>Heart</w:t>
      </w:r>
      <w:r w:rsidRPr="00C22032">
        <w:rPr>
          <w:rFonts w:eastAsia="Times New Roman" w:cs="Arial"/>
          <w:color w:val="000000"/>
        </w:rPr>
        <w:t xml:space="preserve"> </w:t>
      </w:r>
      <w:r w:rsidRPr="00C22032">
        <w:rPr>
          <w:rFonts w:eastAsia="Times New Roman" w:cs="Arial"/>
          <w:color w:val="000000"/>
          <w:lang w:val="en-US"/>
        </w:rPr>
        <w:t>Failure</w:t>
      </w:r>
      <w:r w:rsidRPr="00C22032">
        <w:rPr>
          <w:rFonts w:eastAsia="Times New Roman" w:cs="Arial"/>
          <w:color w:val="000000"/>
        </w:rPr>
        <w:t xml:space="preserve"> </w:t>
      </w:r>
      <w:r w:rsidRPr="00C22032">
        <w:rPr>
          <w:rFonts w:eastAsia="Times New Roman" w:cs="Arial"/>
          <w:color w:val="000000"/>
          <w:lang w:val="en-US"/>
        </w:rPr>
        <w:t>Endpoint</w:t>
      </w:r>
      <w:r w:rsidRPr="00C22032">
        <w:rPr>
          <w:rFonts w:eastAsia="Times New Roman" w:cs="Arial"/>
          <w:color w:val="000000"/>
        </w:rPr>
        <w:t xml:space="preserve"> </w:t>
      </w:r>
      <w:r w:rsidRPr="00C22032">
        <w:rPr>
          <w:rFonts w:eastAsia="Times New Roman" w:cs="Arial"/>
          <w:color w:val="000000"/>
          <w:lang w:val="en-US"/>
        </w:rPr>
        <w:t>Evaluation</w:t>
      </w:r>
      <w:r w:rsidRPr="00C22032">
        <w:rPr>
          <w:rFonts w:eastAsia="Times New Roman" w:cs="Arial"/>
          <w:color w:val="000000"/>
        </w:rPr>
        <w:t xml:space="preserve"> </w:t>
      </w:r>
      <w:r w:rsidRPr="00C22032">
        <w:rPr>
          <w:rFonts w:eastAsia="Times New Roman" w:cs="Arial"/>
          <w:color w:val="000000"/>
          <w:lang w:val="en-US"/>
        </w:rPr>
        <w:t>of</w:t>
      </w:r>
      <w:r w:rsidRPr="00C22032">
        <w:rPr>
          <w:rFonts w:eastAsia="Times New Roman" w:cs="Arial"/>
          <w:color w:val="000000"/>
        </w:rPr>
        <w:t xml:space="preserve"> </w:t>
      </w:r>
      <w:r w:rsidRPr="00C22032">
        <w:rPr>
          <w:rFonts w:eastAsia="Times New Roman" w:cs="Arial"/>
          <w:color w:val="000000"/>
          <w:lang w:val="en-US"/>
        </w:rPr>
        <w:t>Angiotensin</w:t>
      </w:r>
      <w:r w:rsidRPr="00C22032">
        <w:rPr>
          <w:rFonts w:eastAsia="Times New Roman" w:cs="Arial"/>
          <w:color w:val="000000"/>
        </w:rPr>
        <w:t xml:space="preserve"> </w:t>
      </w:r>
      <w:r w:rsidRPr="00C22032">
        <w:rPr>
          <w:rFonts w:eastAsia="Times New Roman" w:cs="Arial"/>
          <w:color w:val="000000"/>
          <w:lang w:val="en-US"/>
        </w:rPr>
        <w:t>II</w:t>
      </w:r>
      <w:r w:rsidRPr="00C22032">
        <w:rPr>
          <w:rFonts w:eastAsia="Times New Roman" w:cs="Arial"/>
          <w:color w:val="000000"/>
        </w:rPr>
        <w:t xml:space="preserve"> </w:t>
      </w:r>
      <w:r w:rsidRPr="00C22032">
        <w:rPr>
          <w:rFonts w:eastAsia="Times New Roman" w:cs="Arial"/>
          <w:color w:val="000000"/>
          <w:lang w:val="en-US"/>
        </w:rPr>
        <w:t>Antagonist</w:t>
      </w:r>
      <w:r w:rsidRPr="00C22032">
        <w:rPr>
          <w:rFonts w:eastAsia="Times New Roman" w:cs="Arial"/>
          <w:color w:val="000000"/>
        </w:rPr>
        <w:t xml:space="preserve"> </w:t>
      </w:r>
      <w:r w:rsidRPr="00C22032">
        <w:rPr>
          <w:rFonts w:eastAsia="Times New Roman" w:cs="Arial"/>
          <w:color w:val="000000"/>
          <w:lang w:val="en-US"/>
        </w:rPr>
        <w:t>Losartan</w:t>
      </w:r>
      <w:r w:rsidRPr="00C22032">
        <w:rPr>
          <w:rFonts w:eastAsia="Times New Roman" w:cs="Arial"/>
          <w:color w:val="000000"/>
        </w:rPr>
        <w:t xml:space="preserve"> (</w:t>
      </w:r>
      <w:r w:rsidRPr="00C22032">
        <w:rPr>
          <w:rFonts w:eastAsia="Times New Roman" w:cs="Arial"/>
          <w:color w:val="000000"/>
          <w:lang w:val="en-US"/>
        </w:rPr>
        <w:t>HEAAL</w:t>
      </w:r>
      <w:r w:rsidRPr="00C22032">
        <w:rPr>
          <w:rFonts w:eastAsia="Times New Roman" w:cs="Arial"/>
          <w:color w:val="000000"/>
        </w:rPr>
        <w:t xml:space="preserve">) </w:t>
      </w:r>
      <w:r w:rsidRPr="00C22032">
        <w:rPr>
          <w:rFonts w:eastAsia="Times New Roman" w:cs="Arial"/>
          <w:color w:val="000000"/>
          <w:lang w:eastAsia="bg-BG"/>
        </w:rPr>
        <w:t xml:space="preserve">проучване е контролирано клинично проучване проведено в света с 3834 пациента на възраст от 18 до 98 години със сърдечна недостатъчност </w:t>
      </w:r>
      <w:r w:rsidRPr="00C22032">
        <w:rPr>
          <w:rFonts w:eastAsia="Times New Roman" w:cs="Arial"/>
          <w:color w:val="000000"/>
        </w:rPr>
        <w:t>(</w:t>
      </w:r>
      <w:r w:rsidRPr="00C22032">
        <w:rPr>
          <w:rFonts w:eastAsia="Times New Roman" w:cs="Arial"/>
          <w:color w:val="000000"/>
          <w:lang w:val="en-US"/>
        </w:rPr>
        <w:t>NYHA</w:t>
      </w:r>
      <w:r w:rsidRPr="00C22032">
        <w:rPr>
          <w:rFonts w:eastAsia="Times New Roman" w:cs="Arial"/>
          <w:color w:val="000000"/>
        </w:rPr>
        <w:t xml:space="preserve"> </w:t>
      </w:r>
      <w:r w:rsidRPr="00C22032">
        <w:rPr>
          <w:rFonts w:eastAsia="Times New Roman" w:cs="Arial"/>
          <w:color w:val="000000"/>
          <w:lang w:eastAsia="bg-BG"/>
        </w:rPr>
        <w:t xml:space="preserve">клас </w:t>
      </w:r>
      <w:r w:rsidRPr="00C22032">
        <w:rPr>
          <w:rFonts w:eastAsia="Times New Roman" w:cs="Arial"/>
          <w:color w:val="000000"/>
          <w:lang w:val="en-US"/>
        </w:rPr>
        <w:t>II</w:t>
      </w:r>
      <w:r w:rsidRPr="00C22032">
        <w:rPr>
          <w:rFonts w:eastAsia="Times New Roman" w:cs="Arial"/>
          <w:color w:val="000000"/>
        </w:rPr>
        <w:t>-</w:t>
      </w:r>
      <w:r w:rsidRPr="00C22032">
        <w:rPr>
          <w:rFonts w:eastAsia="Times New Roman" w:cs="Arial"/>
          <w:color w:val="000000"/>
          <w:lang w:val="en-US"/>
        </w:rPr>
        <w:t>IV</w:t>
      </w:r>
      <w:r w:rsidRPr="00C22032">
        <w:rPr>
          <w:rFonts w:eastAsia="Times New Roman" w:cs="Arial"/>
          <w:color w:val="000000"/>
        </w:rPr>
        <w:t xml:space="preserve">), </w:t>
      </w:r>
      <w:r w:rsidRPr="00C22032">
        <w:rPr>
          <w:rFonts w:eastAsia="Times New Roman" w:cs="Arial"/>
          <w:color w:val="000000"/>
          <w:lang w:eastAsia="bg-BG"/>
        </w:rPr>
        <w:t xml:space="preserve">които са с непоносимост към АСЕ </w:t>
      </w:r>
    </w:p>
    <w:p w14:paraId="61BEDAED" w14:textId="583E2AD0" w:rsidR="00C22032" w:rsidRPr="00C22032" w:rsidRDefault="00C22032" w:rsidP="00C22032">
      <w:pPr>
        <w:spacing w:line="240" w:lineRule="auto"/>
        <w:rPr>
          <w:rFonts w:eastAsia="Times New Roman" w:cs="Arial"/>
        </w:rPr>
      </w:pPr>
      <w:r w:rsidRPr="00C22032">
        <w:rPr>
          <w:rFonts w:eastAsia="Times New Roman" w:cs="Arial"/>
          <w:color w:val="000000"/>
          <w:lang w:eastAsia="bg-BG"/>
        </w:rPr>
        <w:t>инхибитор.</w:t>
      </w:r>
    </w:p>
    <w:p w14:paraId="49122A01" w14:textId="77777777" w:rsidR="00C22032" w:rsidRPr="00C22032" w:rsidRDefault="00C22032" w:rsidP="00C22032">
      <w:pPr>
        <w:spacing w:line="240" w:lineRule="auto"/>
        <w:rPr>
          <w:rFonts w:eastAsia="Times New Roman" w:cs="Arial"/>
          <w:color w:val="000000"/>
          <w:lang w:eastAsia="bg-BG"/>
        </w:rPr>
      </w:pPr>
    </w:p>
    <w:p w14:paraId="71E1A0CB" w14:textId="09B6E8EB"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Пациентите са рандомизирани, като приемат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лосартан веднъж дневно или 150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лосартан към конвенционалната терапия (без АСЕ инхибитори).</w:t>
      </w:r>
    </w:p>
    <w:p w14:paraId="77E27EC2"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Пациентите са проследени за повече от 4 години (средно 4,7 години). Комбинирана първична крайна точка на клиничното проучване включва всички случаи на смърт или хоспитализация по повод сърдечна недостатъчност</w:t>
      </w:r>
    </w:p>
    <w:p w14:paraId="7D1ADF27" w14:textId="77777777" w:rsidR="00C22032" w:rsidRPr="00C22032" w:rsidRDefault="00C22032" w:rsidP="00C22032">
      <w:pPr>
        <w:spacing w:line="240" w:lineRule="auto"/>
        <w:rPr>
          <w:rFonts w:eastAsia="Times New Roman" w:cs="Arial"/>
          <w:color w:val="000000"/>
          <w:lang w:eastAsia="bg-BG"/>
        </w:rPr>
      </w:pPr>
    </w:p>
    <w:p w14:paraId="4725D1C9" w14:textId="58E24FC3"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Резултатите показват, че лечението с 150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лосартан (828 случая) в сравнение с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лосартан (889 случая) води до редукция на риска с 10,1 % (р=0,027 95% интервал на доверителност 0,82-0,99) в броя на пациентите достигнали до комбинираната крайна точка.</w:t>
      </w:r>
    </w:p>
    <w:p w14:paraId="2C21DB78" w14:textId="77777777" w:rsidR="00C22032" w:rsidRPr="00C22032" w:rsidRDefault="00C22032" w:rsidP="00C22032">
      <w:pPr>
        <w:spacing w:line="240" w:lineRule="auto"/>
        <w:rPr>
          <w:rFonts w:eastAsia="Times New Roman" w:cs="Arial"/>
          <w:color w:val="000000"/>
          <w:lang w:eastAsia="bg-BG"/>
        </w:rPr>
      </w:pPr>
    </w:p>
    <w:p w14:paraId="10EDE8DC" w14:textId="0AEFC9EA"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Това се дължи предимно на намалените хоспитализации по повод сърдечна недостатъчност. Лечение с 150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лосартан редуцира риска от хоспитализация по повод сърдечна недостатъчност с 13,5 % в сравнение с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лосартан (р=0,025 95% интервал на доверителност 0,76-0,98). Честотата на смърт по всяка причина не е сигнификантно различна в двете групи. Бъбречно увреждане, хипотония и хиперкалиемия са по-чести в групата с 150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в сравнение с групата с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но тези нежелани събития не водят до съществено повече прекъсвания на лечението в групата с 150 </w:t>
      </w:r>
      <w:r w:rsidRPr="00C22032">
        <w:rPr>
          <w:rFonts w:eastAsia="Times New Roman" w:cs="Arial"/>
          <w:color w:val="000000"/>
          <w:lang w:val="en-US"/>
        </w:rPr>
        <w:t>mg</w:t>
      </w:r>
      <w:r w:rsidRPr="00C22032">
        <w:rPr>
          <w:rFonts w:eastAsia="Times New Roman" w:cs="Arial"/>
          <w:color w:val="000000"/>
          <w:lang w:val="ru-RU"/>
        </w:rPr>
        <w:t>.</w:t>
      </w:r>
    </w:p>
    <w:p w14:paraId="0FA390FF" w14:textId="77777777" w:rsidR="00C22032" w:rsidRPr="00C22032" w:rsidRDefault="00C22032" w:rsidP="00C22032">
      <w:pPr>
        <w:spacing w:line="240" w:lineRule="auto"/>
        <w:rPr>
          <w:rFonts w:eastAsia="Times New Roman" w:cs="Arial"/>
          <w:color w:val="000000"/>
          <w:u w:val="single"/>
          <w:lang w:eastAsia="bg-BG"/>
        </w:rPr>
      </w:pPr>
    </w:p>
    <w:p w14:paraId="120AF56C" w14:textId="29ED4CAF"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 xml:space="preserve">Проучвания </w:t>
      </w:r>
      <w:r w:rsidRPr="00C22032">
        <w:rPr>
          <w:rFonts w:eastAsia="Times New Roman" w:cs="Arial"/>
          <w:color w:val="000000"/>
          <w:u w:val="single"/>
          <w:lang w:val="en-US"/>
        </w:rPr>
        <w:t xml:space="preserve">ELITE </w:t>
      </w:r>
      <w:r w:rsidRPr="00C22032">
        <w:rPr>
          <w:rFonts w:eastAsia="Times New Roman" w:cs="Arial"/>
          <w:color w:val="000000"/>
          <w:u w:val="single"/>
          <w:lang w:eastAsia="bg-BG"/>
        </w:rPr>
        <w:t xml:space="preserve">I и </w:t>
      </w:r>
      <w:r w:rsidRPr="00C22032">
        <w:rPr>
          <w:rFonts w:eastAsia="Times New Roman" w:cs="Arial"/>
          <w:color w:val="000000"/>
          <w:u w:val="single"/>
          <w:lang w:val="en-US"/>
        </w:rPr>
        <w:t xml:space="preserve">ELITE </w:t>
      </w:r>
      <w:r w:rsidRPr="00C22032">
        <w:rPr>
          <w:rFonts w:eastAsia="Times New Roman" w:cs="Arial"/>
          <w:color w:val="000000"/>
          <w:u w:val="single"/>
          <w:lang w:eastAsia="bg-BG"/>
        </w:rPr>
        <w:t>II</w:t>
      </w:r>
    </w:p>
    <w:p w14:paraId="4975FE3C"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В проучването </w:t>
      </w:r>
      <w:r w:rsidRPr="00C22032">
        <w:rPr>
          <w:rFonts w:eastAsia="Times New Roman" w:cs="Arial"/>
          <w:color w:val="000000"/>
          <w:lang w:val="en-US"/>
        </w:rPr>
        <w:t>ELITE</w:t>
      </w:r>
      <w:r w:rsidRPr="00C22032">
        <w:rPr>
          <w:rFonts w:eastAsia="Times New Roman" w:cs="Arial"/>
          <w:color w:val="000000"/>
          <w:lang w:val="ru-RU"/>
        </w:rPr>
        <w:t xml:space="preserve">, </w:t>
      </w:r>
      <w:r w:rsidRPr="00C22032">
        <w:rPr>
          <w:rFonts w:eastAsia="Times New Roman" w:cs="Arial"/>
          <w:color w:val="000000"/>
          <w:lang w:eastAsia="bg-BG"/>
        </w:rPr>
        <w:t xml:space="preserve">проведено за период от 48 седмици при 722 пациенти със сърдечна недостатъчност </w:t>
      </w:r>
      <w:r w:rsidRPr="00C22032">
        <w:rPr>
          <w:rFonts w:eastAsia="Times New Roman" w:cs="Arial"/>
          <w:color w:val="000000"/>
          <w:lang w:val="ru-RU"/>
        </w:rPr>
        <w:t>(</w:t>
      </w:r>
      <w:r w:rsidRPr="00C22032">
        <w:rPr>
          <w:rFonts w:eastAsia="Times New Roman" w:cs="Arial"/>
          <w:color w:val="000000"/>
          <w:lang w:val="en-US"/>
        </w:rPr>
        <w:t>NYHA</w:t>
      </w:r>
      <w:r w:rsidRPr="00C22032">
        <w:rPr>
          <w:rFonts w:eastAsia="Times New Roman" w:cs="Arial"/>
          <w:color w:val="000000"/>
          <w:lang w:val="ru-RU"/>
        </w:rPr>
        <w:t xml:space="preserve"> </w:t>
      </w:r>
      <w:r w:rsidRPr="00C22032">
        <w:rPr>
          <w:rFonts w:eastAsia="Times New Roman" w:cs="Arial"/>
          <w:color w:val="000000"/>
          <w:lang w:eastAsia="bg-BG"/>
        </w:rPr>
        <w:t xml:space="preserve">клас </w:t>
      </w:r>
      <w:r w:rsidRPr="00C22032">
        <w:rPr>
          <w:rFonts w:eastAsia="Times New Roman" w:cs="Arial"/>
          <w:color w:val="000000"/>
          <w:lang w:val="en-US"/>
        </w:rPr>
        <w:t>II</w:t>
      </w:r>
      <w:r w:rsidRPr="00C22032">
        <w:rPr>
          <w:rFonts w:eastAsia="Times New Roman" w:cs="Arial"/>
          <w:color w:val="000000"/>
          <w:lang w:val="ru-RU"/>
        </w:rPr>
        <w:t>-</w:t>
      </w:r>
      <w:r w:rsidRPr="00C22032">
        <w:rPr>
          <w:rFonts w:eastAsia="Times New Roman" w:cs="Arial"/>
          <w:color w:val="000000"/>
          <w:lang w:val="en-US"/>
        </w:rPr>
        <w:t>IV</w:t>
      </w:r>
      <w:r w:rsidRPr="00C22032">
        <w:rPr>
          <w:rFonts w:eastAsia="Times New Roman" w:cs="Arial"/>
          <w:color w:val="000000"/>
          <w:lang w:val="ru-RU"/>
        </w:rPr>
        <w:t xml:space="preserve">), </w:t>
      </w:r>
      <w:r w:rsidRPr="00C22032">
        <w:rPr>
          <w:rFonts w:eastAsia="Times New Roman" w:cs="Arial"/>
          <w:color w:val="000000"/>
          <w:lang w:eastAsia="bg-BG"/>
        </w:rPr>
        <w:t xml:space="preserve">не се наблюдава разлика между пациенти, лекувани с лосартан, и лекуваните с каптоприл по отношение на първичната крайна точка за промяна в дългосрочен план на бъбречната функция. Наблюдението при проучване </w:t>
      </w:r>
      <w:r w:rsidRPr="00C22032">
        <w:rPr>
          <w:rFonts w:eastAsia="Times New Roman" w:cs="Arial"/>
          <w:color w:val="000000"/>
          <w:lang w:val="en-US"/>
        </w:rPr>
        <w:t>ELITE</w:t>
      </w:r>
      <w:r w:rsidRPr="00C22032">
        <w:rPr>
          <w:rFonts w:eastAsia="Times New Roman" w:cs="Arial"/>
          <w:color w:val="000000"/>
          <w:lang w:val="ru-RU"/>
        </w:rPr>
        <w:t xml:space="preserve"> </w:t>
      </w:r>
      <w:r w:rsidRPr="00C22032">
        <w:rPr>
          <w:rFonts w:eastAsia="Times New Roman" w:cs="Arial"/>
          <w:color w:val="000000"/>
          <w:lang w:eastAsia="bg-BG"/>
        </w:rPr>
        <w:t xml:space="preserve">I, че в сравнение с каптоприл лосартан намалява смъртния риск, не се потвърждава от следващото проучване </w:t>
      </w:r>
      <w:r w:rsidRPr="00C22032">
        <w:rPr>
          <w:rFonts w:eastAsia="Times New Roman" w:cs="Arial"/>
          <w:color w:val="000000"/>
          <w:lang w:val="en-US"/>
        </w:rPr>
        <w:t>ELITE</w:t>
      </w:r>
      <w:r w:rsidRPr="00C22032">
        <w:rPr>
          <w:rFonts w:eastAsia="Times New Roman" w:cs="Arial"/>
          <w:color w:val="000000"/>
          <w:lang w:val="ru-RU"/>
        </w:rPr>
        <w:t xml:space="preserve"> </w:t>
      </w:r>
      <w:r w:rsidRPr="00C22032">
        <w:rPr>
          <w:rFonts w:eastAsia="Times New Roman" w:cs="Arial"/>
          <w:color w:val="000000"/>
          <w:lang w:eastAsia="bg-BG"/>
        </w:rPr>
        <w:t>II, което е описано по долу.</w:t>
      </w:r>
    </w:p>
    <w:p w14:paraId="4EA72102"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При проучване </w:t>
      </w:r>
      <w:r w:rsidRPr="00C22032">
        <w:rPr>
          <w:rFonts w:eastAsia="Times New Roman" w:cs="Arial"/>
          <w:color w:val="000000"/>
          <w:lang w:val="en-US"/>
        </w:rPr>
        <w:t>ELITE</w:t>
      </w:r>
      <w:r w:rsidRPr="00C22032">
        <w:rPr>
          <w:rFonts w:eastAsia="Times New Roman" w:cs="Arial"/>
          <w:color w:val="000000"/>
          <w:lang w:val="ru-RU"/>
        </w:rPr>
        <w:t xml:space="preserve"> </w:t>
      </w:r>
      <w:r w:rsidRPr="00C22032">
        <w:rPr>
          <w:rFonts w:eastAsia="Times New Roman" w:cs="Arial"/>
          <w:color w:val="000000"/>
          <w:lang w:eastAsia="bg-BG"/>
        </w:rPr>
        <w:t xml:space="preserve">II лосартан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един път дневно (начална доза 12,5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повишена до 25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и след това до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един път дневно) се сравнява с каптоприл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три пъти дневно (начална доза 12,5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повишена до 25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и след това до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три пъти дневно). Първичната крайна точка на това проспективно проучване е свързаната с всякаква причина смъртност.</w:t>
      </w:r>
    </w:p>
    <w:p w14:paraId="7CAA2210"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lastRenderedPageBreak/>
        <w:t xml:space="preserve">При това проучване 3 152 пациенти със сърдечна недостатъчност </w:t>
      </w:r>
      <w:r w:rsidRPr="00C22032">
        <w:rPr>
          <w:rFonts w:eastAsia="Times New Roman" w:cs="Arial"/>
          <w:color w:val="000000"/>
          <w:lang w:val="ru-RU"/>
        </w:rPr>
        <w:t>(</w:t>
      </w:r>
      <w:r w:rsidRPr="00C22032">
        <w:rPr>
          <w:rFonts w:eastAsia="Times New Roman" w:cs="Arial"/>
          <w:color w:val="000000"/>
          <w:lang w:val="en-US"/>
        </w:rPr>
        <w:t>NYHA</w:t>
      </w:r>
      <w:r w:rsidRPr="00C22032">
        <w:rPr>
          <w:rFonts w:eastAsia="Times New Roman" w:cs="Arial"/>
          <w:color w:val="000000"/>
          <w:lang w:val="ru-RU"/>
        </w:rPr>
        <w:t xml:space="preserve"> </w:t>
      </w:r>
      <w:r w:rsidRPr="00C22032">
        <w:rPr>
          <w:rFonts w:eastAsia="Times New Roman" w:cs="Arial"/>
          <w:color w:val="000000"/>
          <w:lang w:eastAsia="bg-BG"/>
        </w:rPr>
        <w:t xml:space="preserve">клас </w:t>
      </w:r>
      <w:r w:rsidRPr="00C22032">
        <w:rPr>
          <w:rFonts w:eastAsia="Times New Roman" w:cs="Arial"/>
          <w:color w:val="000000"/>
          <w:lang w:val="en-US"/>
        </w:rPr>
        <w:t>II</w:t>
      </w:r>
      <w:r w:rsidRPr="00C22032">
        <w:rPr>
          <w:rFonts w:eastAsia="Times New Roman" w:cs="Arial"/>
          <w:color w:val="000000"/>
          <w:lang w:val="ru-RU"/>
        </w:rPr>
        <w:t>-</w:t>
      </w:r>
      <w:r w:rsidRPr="00C22032">
        <w:rPr>
          <w:rFonts w:eastAsia="Times New Roman" w:cs="Arial"/>
          <w:color w:val="000000"/>
          <w:lang w:val="en-US"/>
        </w:rPr>
        <w:t>IV</w:t>
      </w:r>
      <w:r w:rsidRPr="00C22032">
        <w:rPr>
          <w:rFonts w:eastAsia="Times New Roman" w:cs="Arial"/>
          <w:color w:val="000000"/>
          <w:lang w:val="ru-RU"/>
        </w:rPr>
        <w:t xml:space="preserve">) </w:t>
      </w:r>
      <w:r w:rsidRPr="00C22032">
        <w:rPr>
          <w:rFonts w:eastAsia="Times New Roman" w:cs="Arial"/>
          <w:color w:val="000000"/>
          <w:lang w:eastAsia="bg-BG"/>
        </w:rPr>
        <w:t xml:space="preserve">се </w:t>
      </w:r>
      <w:r w:rsidRPr="00C22032">
        <w:rPr>
          <w:rFonts w:eastAsia="Times New Roman" w:cs="Arial"/>
          <w:color w:val="000000"/>
          <w:u w:val="single"/>
          <w:lang w:eastAsia="bg-BG"/>
        </w:rPr>
        <w:t>прослед</w:t>
      </w:r>
      <w:r w:rsidRPr="00C22032">
        <w:rPr>
          <w:rFonts w:eastAsia="Times New Roman" w:cs="Arial"/>
          <w:color w:val="000000"/>
          <w:lang w:eastAsia="bg-BG"/>
        </w:rPr>
        <w:t>яват почти две години (медиана: 1,5 години), за да се определи дали лосартан превъзхожда каптоприл при понижаване на свързаната с всякаква причина смъртност. Първичната крайна точка смърт по всяка причина не показва съществуване на статистически значима разлика между лосартан.</w:t>
      </w:r>
    </w:p>
    <w:p w14:paraId="6526CB48" w14:textId="77777777" w:rsidR="00C22032" w:rsidRPr="00C22032" w:rsidRDefault="00C22032" w:rsidP="00C22032">
      <w:pPr>
        <w:rPr>
          <w:rFonts w:eastAsia="Times New Roman" w:cs="Arial"/>
        </w:rPr>
      </w:pPr>
      <w:r w:rsidRPr="00C22032">
        <w:rPr>
          <w:rFonts w:eastAsia="Times New Roman" w:cs="Arial"/>
          <w:i/>
          <w:iCs/>
          <w:color w:val="000000"/>
          <w:lang w:eastAsia="bg-BG"/>
        </w:rPr>
        <w:t>И</w:t>
      </w:r>
      <w:r w:rsidRPr="00C22032">
        <w:rPr>
          <w:rFonts w:eastAsia="Times New Roman" w:cs="Arial"/>
          <w:color w:val="000000"/>
          <w:lang w:eastAsia="bg-BG"/>
        </w:rPr>
        <w:t xml:space="preserve"> при двете проучвания, при които контролирането при пациенти със сърдечна недостатъчност е с активен продукт (не с плацебо), поносимостга към лосартан превъзхожда тази към каптоприл,</w:t>
      </w:r>
      <w:r w:rsidRPr="00C22032">
        <w:rPr>
          <w:rFonts w:eastAsia="Times New Roman" w:cs="Arial"/>
          <w:color w:val="000000"/>
          <w:lang w:val="ru-RU" w:eastAsia="bg-BG"/>
        </w:rPr>
        <w:t xml:space="preserve"> </w:t>
      </w:r>
      <w:r w:rsidRPr="00C22032">
        <w:rPr>
          <w:rFonts w:eastAsia="Times New Roman" w:cs="Arial"/>
          <w:color w:val="000000"/>
          <w:lang w:eastAsia="bg-BG"/>
        </w:rPr>
        <w:t>измерена на базата на значително понижена честота на прекратяване на лечението поради нежелани реакции и значително по-ниска честота на поява на кашлица.</w:t>
      </w:r>
    </w:p>
    <w:p w14:paraId="1C5188E9"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Повишена смъртност се наблюдава при </w:t>
      </w:r>
      <w:r w:rsidRPr="00C22032">
        <w:rPr>
          <w:rFonts w:eastAsia="Times New Roman" w:cs="Arial"/>
          <w:color w:val="000000"/>
          <w:lang w:val="en-US"/>
        </w:rPr>
        <w:t>ELITE</w:t>
      </w:r>
      <w:r w:rsidRPr="00C22032">
        <w:rPr>
          <w:rFonts w:eastAsia="Times New Roman" w:cs="Arial"/>
          <w:color w:val="000000"/>
          <w:lang w:val="ru-RU"/>
        </w:rPr>
        <w:t xml:space="preserve"> </w:t>
      </w:r>
      <w:r w:rsidRPr="00C22032">
        <w:rPr>
          <w:rFonts w:eastAsia="Times New Roman" w:cs="Arial"/>
          <w:color w:val="000000"/>
          <w:lang w:eastAsia="bg-BG"/>
        </w:rPr>
        <w:t>II в малката подгрупа (22 % от всички пациенти със сърдечна недостатъчност), приемала в началото бета-блокери.</w:t>
      </w:r>
    </w:p>
    <w:p w14:paraId="2D066B5F" w14:textId="77777777" w:rsidR="00C22032" w:rsidRPr="00C22032" w:rsidRDefault="00C22032" w:rsidP="00C22032">
      <w:pPr>
        <w:spacing w:line="240" w:lineRule="auto"/>
        <w:rPr>
          <w:rFonts w:eastAsia="Times New Roman" w:cs="Arial"/>
          <w:color w:val="000000"/>
          <w:lang w:eastAsia="bg-BG"/>
        </w:rPr>
      </w:pPr>
    </w:p>
    <w:p w14:paraId="7EFE20DE" w14:textId="6C12EC76"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Две големи рандомизирани контролирани проучвания - </w:t>
      </w:r>
      <w:r w:rsidRPr="00C22032">
        <w:rPr>
          <w:rFonts w:eastAsia="Times New Roman" w:cs="Arial"/>
          <w:color w:val="000000"/>
          <w:lang w:val="en-US"/>
        </w:rPr>
        <w:t>ONTARGET</w:t>
      </w:r>
      <w:r w:rsidRPr="00C22032">
        <w:rPr>
          <w:rFonts w:eastAsia="Times New Roman" w:cs="Arial"/>
          <w:color w:val="000000"/>
        </w:rPr>
        <w:t xml:space="preserve"> (</w:t>
      </w:r>
      <w:proofErr w:type="spellStart"/>
      <w:r w:rsidRPr="00C22032">
        <w:rPr>
          <w:rFonts w:eastAsia="Times New Roman" w:cs="Arial"/>
          <w:color w:val="000000"/>
          <w:lang w:val="en-US"/>
        </w:rPr>
        <w:t>ONgoing</w:t>
      </w:r>
      <w:proofErr w:type="spellEnd"/>
      <w:r w:rsidRPr="00C22032">
        <w:rPr>
          <w:rFonts w:eastAsia="Times New Roman" w:cs="Arial"/>
          <w:color w:val="000000"/>
        </w:rPr>
        <w:t xml:space="preserve"> </w:t>
      </w:r>
      <w:proofErr w:type="spellStart"/>
      <w:r w:rsidRPr="00C22032">
        <w:rPr>
          <w:rFonts w:eastAsia="Times New Roman" w:cs="Arial"/>
          <w:color w:val="000000"/>
          <w:lang w:val="en-US"/>
        </w:rPr>
        <w:t>Telmisartan</w:t>
      </w:r>
      <w:proofErr w:type="spellEnd"/>
      <w:r w:rsidRPr="00C22032">
        <w:rPr>
          <w:rFonts w:eastAsia="Times New Roman" w:cs="Arial"/>
          <w:color w:val="000000"/>
        </w:rPr>
        <w:t xml:space="preserve"> </w:t>
      </w:r>
      <w:r w:rsidRPr="00C22032">
        <w:rPr>
          <w:rFonts w:eastAsia="Times New Roman" w:cs="Arial"/>
          <w:color w:val="000000"/>
          <w:lang w:val="en-US"/>
        </w:rPr>
        <w:t>Alone</w:t>
      </w:r>
      <w:r w:rsidRPr="00C22032">
        <w:rPr>
          <w:rFonts w:eastAsia="Times New Roman" w:cs="Arial"/>
          <w:color w:val="000000"/>
        </w:rPr>
        <w:t xml:space="preserve"> </w:t>
      </w:r>
      <w:r w:rsidRPr="00C22032">
        <w:rPr>
          <w:rFonts w:eastAsia="Times New Roman" w:cs="Arial"/>
          <w:color w:val="000000"/>
          <w:lang w:val="en-US"/>
        </w:rPr>
        <w:t>and</w:t>
      </w:r>
      <w:r w:rsidRPr="00C22032">
        <w:rPr>
          <w:rFonts w:eastAsia="Times New Roman" w:cs="Arial"/>
          <w:color w:val="000000"/>
        </w:rPr>
        <w:t xml:space="preserve"> </w:t>
      </w:r>
      <w:r w:rsidRPr="00C22032">
        <w:rPr>
          <w:rFonts w:eastAsia="Times New Roman" w:cs="Arial"/>
          <w:color w:val="000000"/>
          <w:lang w:val="en-US"/>
        </w:rPr>
        <w:t>in</w:t>
      </w:r>
      <w:r w:rsidRPr="00C22032">
        <w:rPr>
          <w:rFonts w:eastAsia="Times New Roman" w:cs="Arial"/>
          <w:color w:val="000000"/>
        </w:rPr>
        <w:t xml:space="preserve"> </w:t>
      </w:r>
      <w:r w:rsidRPr="00C22032">
        <w:rPr>
          <w:rFonts w:eastAsia="Times New Roman" w:cs="Arial"/>
          <w:color w:val="000000"/>
          <w:lang w:val="en-US"/>
        </w:rPr>
        <w:t>combination</w:t>
      </w:r>
      <w:r w:rsidRPr="00C22032">
        <w:rPr>
          <w:rFonts w:eastAsia="Times New Roman" w:cs="Arial"/>
          <w:color w:val="000000"/>
        </w:rPr>
        <w:t xml:space="preserve"> </w:t>
      </w:r>
      <w:r w:rsidRPr="00C22032">
        <w:rPr>
          <w:rFonts w:eastAsia="Times New Roman" w:cs="Arial"/>
          <w:color w:val="000000"/>
          <w:lang w:val="en-US"/>
        </w:rPr>
        <w:t>with</w:t>
      </w:r>
      <w:r w:rsidRPr="00C22032">
        <w:rPr>
          <w:rFonts w:eastAsia="Times New Roman" w:cs="Arial"/>
          <w:color w:val="000000"/>
        </w:rPr>
        <w:t xml:space="preserve"> </w:t>
      </w:r>
      <w:r w:rsidRPr="00C22032">
        <w:rPr>
          <w:rFonts w:eastAsia="Times New Roman" w:cs="Arial"/>
          <w:color w:val="000000"/>
          <w:lang w:val="en-US"/>
        </w:rPr>
        <w:t>Ramipril</w:t>
      </w:r>
      <w:r w:rsidRPr="00C22032">
        <w:rPr>
          <w:rFonts w:eastAsia="Times New Roman" w:cs="Arial"/>
          <w:color w:val="000000"/>
        </w:rPr>
        <w:t xml:space="preserve"> </w:t>
      </w:r>
      <w:r w:rsidRPr="00C22032">
        <w:rPr>
          <w:rFonts w:eastAsia="Times New Roman" w:cs="Arial"/>
          <w:color w:val="000000"/>
          <w:lang w:val="en-US"/>
        </w:rPr>
        <w:t>Global</w:t>
      </w:r>
      <w:r w:rsidRPr="00C22032">
        <w:rPr>
          <w:rFonts w:eastAsia="Times New Roman" w:cs="Arial"/>
          <w:color w:val="000000"/>
        </w:rPr>
        <w:t xml:space="preserve"> </w:t>
      </w:r>
      <w:r w:rsidRPr="00C22032">
        <w:rPr>
          <w:rFonts w:eastAsia="Times New Roman" w:cs="Arial"/>
          <w:color w:val="000000"/>
          <w:lang w:val="en-US"/>
        </w:rPr>
        <w:t>Endpoint</w:t>
      </w:r>
      <w:r w:rsidRPr="00C22032">
        <w:rPr>
          <w:rFonts w:eastAsia="Times New Roman" w:cs="Arial"/>
          <w:color w:val="000000"/>
        </w:rPr>
        <w:t xml:space="preserve"> </w:t>
      </w:r>
      <w:r w:rsidRPr="00C22032">
        <w:rPr>
          <w:rFonts w:eastAsia="Times New Roman" w:cs="Arial"/>
          <w:color w:val="000000"/>
          <w:lang w:val="en-US"/>
        </w:rPr>
        <w:t>Trial</w:t>
      </w:r>
      <w:r w:rsidRPr="00C22032">
        <w:rPr>
          <w:rFonts w:eastAsia="Times New Roman" w:cs="Arial"/>
          <w:color w:val="000000"/>
        </w:rPr>
        <w:t xml:space="preserve"> - </w:t>
      </w:r>
      <w:r w:rsidRPr="00C22032">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22032">
        <w:rPr>
          <w:rFonts w:eastAsia="Times New Roman" w:cs="Arial"/>
          <w:color w:val="000000"/>
          <w:lang w:val="en-US"/>
        </w:rPr>
        <w:t>VA</w:t>
      </w:r>
      <w:r w:rsidRPr="00C22032">
        <w:rPr>
          <w:rFonts w:eastAsia="Times New Roman" w:cs="Arial"/>
          <w:color w:val="000000"/>
        </w:rPr>
        <w:t xml:space="preserve"> </w:t>
      </w:r>
      <w:r w:rsidRPr="00C22032">
        <w:rPr>
          <w:rFonts w:eastAsia="Times New Roman" w:cs="Arial"/>
          <w:color w:val="000000"/>
          <w:lang w:val="en-US"/>
        </w:rPr>
        <w:t>NEPHRON</w:t>
      </w:r>
      <w:r w:rsidRPr="00C22032">
        <w:rPr>
          <w:rFonts w:eastAsia="Times New Roman" w:cs="Arial"/>
          <w:color w:val="000000"/>
        </w:rPr>
        <w:t>-</w:t>
      </w:r>
      <w:r w:rsidRPr="00C22032">
        <w:rPr>
          <w:rFonts w:eastAsia="Times New Roman" w:cs="Arial"/>
          <w:color w:val="000000"/>
          <w:lang w:val="en-US"/>
        </w:rPr>
        <w:t>D</w:t>
      </w:r>
      <w:r w:rsidRPr="00C22032">
        <w:rPr>
          <w:rFonts w:eastAsia="Times New Roman" w:cs="Arial"/>
          <w:color w:val="000000"/>
        </w:rPr>
        <w:t xml:space="preserve"> </w:t>
      </w:r>
      <w:r w:rsidRPr="00C22032">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w:t>
      </w:r>
    </w:p>
    <w:p w14:paraId="763FD6C3" w14:textId="77777777" w:rsidR="00C22032" w:rsidRPr="00C22032" w:rsidRDefault="00C22032" w:rsidP="00C22032">
      <w:pPr>
        <w:spacing w:line="240" w:lineRule="auto"/>
        <w:rPr>
          <w:rFonts w:eastAsia="Times New Roman" w:cs="Arial"/>
        </w:rPr>
      </w:pPr>
      <w:r w:rsidRPr="00C22032">
        <w:rPr>
          <w:rFonts w:eastAsia="Times New Roman" w:cs="Arial"/>
          <w:color w:val="000000"/>
          <w:lang w:val="en-US"/>
        </w:rPr>
        <w:t>ONTARGET</w:t>
      </w:r>
      <w:r w:rsidRPr="00C22032">
        <w:rPr>
          <w:rFonts w:eastAsia="Times New Roman" w:cs="Arial"/>
          <w:color w:val="000000"/>
          <w:lang w:val="ru-RU"/>
        </w:rPr>
        <w:t xml:space="preserve"> </w:t>
      </w:r>
      <w:r w:rsidRPr="00C22032">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C22032">
        <w:rPr>
          <w:rFonts w:eastAsia="Times New Roman" w:cs="Arial"/>
          <w:color w:val="000000"/>
          <w:lang w:val="en-US"/>
        </w:rPr>
        <w:t>VA</w:t>
      </w:r>
      <w:r w:rsidRPr="00C22032">
        <w:rPr>
          <w:rFonts w:eastAsia="Times New Roman" w:cs="Arial"/>
          <w:color w:val="000000"/>
          <w:lang w:val="ru-RU"/>
        </w:rPr>
        <w:t xml:space="preserve"> </w:t>
      </w:r>
      <w:r w:rsidRPr="00C22032">
        <w:rPr>
          <w:rFonts w:eastAsia="Times New Roman" w:cs="Arial"/>
          <w:color w:val="000000"/>
          <w:lang w:val="en-US"/>
        </w:rPr>
        <w:t>NEPHRON</w:t>
      </w:r>
      <w:r w:rsidRPr="00C22032">
        <w:rPr>
          <w:rFonts w:eastAsia="Times New Roman" w:cs="Arial"/>
          <w:color w:val="000000"/>
          <w:lang w:val="ru-RU"/>
        </w:rPr>
        <w:t>-</w:t>
      </w:r>
      <w:r w:rsidRPr="00C22032">
        <w:rPr>
          <w:rFonts w:eastAsia="Times New Roman" w:cs="Arial"/>
          <w:color w:val="000000"/>
          <w:lang w:val="en-US"/>
        </w:rPr>
        <w:t>D</w:t>
      </w:r>
      <w:r w:rsidRPr="00C22032">
        <w:rPr>
          <w:rFonts w:eastAsia="Times New Roman" w:cs="Arial"/>
          <w:color w:val="000000"/>
          <w:lang w:val="ru-RU"/>
        </w:rPr>
        <w:t xml:space="preserve"> </w:t>
      </w:r>
      <w:r w:rsidRPr="00C22032">
        <w:rPr>
          <w:rFonts w:eastAsia="Times New Roman" w:cs="Arial"/>
          <w:color w:val="000000"/>
          <w:lang w:eastAsia="bg-BG"/>
        </w:rPr>
        <w:t>е проучване при пациенти със захарен диабет тип 2 и диабетна нефропатия.</w:t>
      </w:r>
    </w:p>
    <w:p w14:paraId="0A1EE942"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C22032">
        <w:rPr>
          <w:rFonts w:eastAsia="Times New Roman" w:cs="Arial"/>
          <w:color w:val="000000"/>
          <w:lang w:val="en-US"/>
        </w:rPr>
        <w:t>II</w:t>
      </w:r>
      <w:r w:rsidRPr="00C22032">
        <w:rPr>
          <w:rFonts w:eastAsia="Times New Roman" w:cs="Arial"/>
          <w:color w:val="000000"/>
          <w:lang w:eastAsia="bg-BG"/>
        </w:rPr>
        <w:t>-рецепторни блокери.</w:t>
      </w:r>
    </w:p>
    <w:p w14:paraId="5EE74A8A"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АСЕ инхибитори и ангиотензин </w:t>
      </w:r>
      <w:r w:rsidRPr="00C22032">
        <w:rPr>
          <w:rFonts w:eastAsia="Times New Roman" w:cs="Arial"/>
          <w:color w:val="000000"/>
          <w:lang w:val="en-US"/>
        </w:rPr>
        <w:t>II</w:t>
      </w:r>
      <w:r w:rsidRPr="00C22032">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6A23677F" w14:textId="77777777" w:rsidR="00C22032" w:rsidRPr="00C22032" w:rsidRDefault="00C22032" w:rsidP="00C22032">
      <w:pPr>
        <w:spacing w:line="240" w:lineRule="auto"/>
        <w:rPr>
          <w:rFonts w:eastAsia="Times New Roman" w:cs="Arial"/>
        </w:rPr>
      </w:pPr>
      <w:r w:rsidRPr="00C22032">
        <w:rPr>
          <w:rFonts w:eastAsia="Times New Roman" w:cs="Arial"/>
          <w:color w:val="000000"/>
          <w:lang w:val="en-US"/>
        </w:rPr>
        <w:t>ALTITUDE</w:t>
      </w:r>
      <w:r w:rsidRPr="00C22032">
        <w:rPr>
          <w:rFonts w:eastAsia="Times New Roman" w:cs="Arial"/>
          <w:color w:val="000000"/>
          <w:lang w:val="ru-RU"/>
        </w:rPr>
        <w:t xml:space="preserve"> </w:t>
      </w:r>
      <w:r w:rsidRPr="00C22032">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C22032">
        <w:rPr>
          <w:rFonts w:eastAsia="Times New Roman" w:cs="Arial"/>
          <w:color w:val="000000"/>
          <w:lang w:val="en-US"/>
        </w:rPr>
        <w:t>II</w:t>
      </w:r>
      <w:r w:rsidRPr="00C22032">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2756F70" w14:textId="77777777" w:rsidR="00C22032" w:rsidRPr="00C22032" w:rsidRDefault="00C22032" w:rsidP="00C22032">
      <w:pPr>
        <w:spacing w:line="240" w:lineRule="auto"/>
        <w:rPr>
          <w:rFonts w:eastAsia="Times New Roman" w:cs="Arial"/>
          <w:color w:val="000000"/>
          <w:u w:val="single"/>
          <w:lang w:eastAsia="bg-BG"/>
        </w:rPr>
      </w:pPr>
    </w:p>
    <w:p w14:paraId="6B466B65" w14:textId="6A51E2C4"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Педиатрична популация</w:t>
      </w:r>
    </w:p>
    <w:p w14:paraId="30B5A413" w14:textId="77777777" w:rsidR="00C22032" w:rsidRPr="00C22032" w:rsidRDefault="00C22032" w:rsidP="00C22032">
      <w:pPr>
        <w:spacing w:line="240" w:lineRule="auto"/>
        <w:rPr>
          <w:rFonts w:eastAsia="Times New Roman" w:cs="Arial"/>
          <w:color w:val="000000"/>
          <w:u w:val="single"/>
          <w:lang w:eastAsia="bg-BG"/>
        </w:rPr>
      </w:pPr>
    </w:p>
    <w:p w14:paraId="0792EFFD" w14:textId="4E410DA7" w:rsidR="00C22032" w:rsidRPr="00C22032" w:rsidRDefault="00C22032" w:rsidP="00C22032">
      <w:pPr>
        <w:spacing w:line="240" w:lineRule="auto"/>
        <w:rPr>
          <w:rFonts w:eastAsia="Times New Roman" w:cs="Arial"/>
        </w:rPr>
      </w:pPr>
      <w:r w:rsidRPr="00C22032">
        <w:rPr>
          <w:rFonts w:eastAsia="Times New Roman" w:cs="Arial"/>
          <w:color w:val="000000"/>
          <w:u w:val="single"/>
          <w:lang w:eastAsia="bg-BG"/>
        </w:rPr>
        <w:t>Хипертония в педиатричната популация</w:t>
      </w:r>
    </w:p>
    <w:p w14:paraId="2B0D7EC6"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Антихипертензивният ефект на </w:t>
      </w:r>
      <w:r w:rsidRPr="00C22032">
        <w:rPr>
          <w:rFonts w:eastAsia="Times New Roman" w:cs="Arial"/>
          <w:color w:val="000000"/>
          <w:lang w:val="en-US"/>
        </w:rPr>
        <w:t>losartan</w:t>
      </w:r>
      <w:r w:rsidRPr="00C22032">
        <w:rPr>
          <w:rFonts w:eastAsia="Times New Roman" w:cs="Arial"/>
          <w:color w:val="000000"/>
          <w:lang w:val="ru-RU"/>
        </w:rPr>
        <w:t xml:space="preserve"> </w:t>
      </w:r>
      <w:r w:rsidRPr="00C22032">
        <w:rPr>
          <w:rFonts w:eastAsia="Times New Roman" w:cs="Arial"/>
          <w:color w:val="000000"/>
          <w:lang w:eastAsia="bg-BG"/>
        </w:rPr>
        <w:t xml:space="preserve">е установен в проучване, включващо 177 хипертензивни пациенти от педиатричната популация на възраст от 6 до 16 години с телесно тегло &gt; 20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и скорост на гломерулна филтрация &gt; 30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 xml:space="preserve">/1,73 </w:t>
      </w:r>
      <w:r w:rsidRPr="00C22032">
        <w:rPr>
          <w:rFonts w:eastAsia="Times New Roman" w:cs="Arial"/>
          <w:color w:val="000000"/>
          <w:lang w:val="en-US"/>
        </w:rPr>
        <w:t>m</w:t>
      </w:r>
      <w:r w:rsidRPr="00C22032">
        <w:rPr>
          <w:rFonts w:eastAsia="Times New Roman" w:cs="Arial"/>
          <w:color w:val="000000"/>
          <w:vertAlign w:val="superscript"/>
          <w:lang w:val="ru-RU"/>
        </w:rPr>
        <w:t>2</w:t>
      </w:r>
      <w:r w:rsidRPr="00C22032">
        <w:rPr>
          <w:rFonts w:eastAsia="Times New Roman" w:cs="Arial"/>
          <w:color w:val="000000"/>
          <w:lang w:val="ru-RU"/>
        </w:rPr>
        <w:t xml:space="preserve">. </w:t>
      </w:r>
      <w:r w:rsidRPr="00C22032">
        <w:rPr>
          <w:rFonts w:eastAsia="Times New Roman" w:cs="Arial"/>
          <w:color w:val="000000"/>
          <w:lang w:eastAsia="bg-BG"/>
        </w:rPr>
        <w:t xml:space="preserve">Пациентите с тегло &gt; 20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до &lt; 50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получават 2,5, 25 или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лосартан дневно, а </w:t>
      </w:r>
      <w:r w:rsidRPr="00C22032">
        <w:rPr>
          <w:rFonts w:eastAsia="Times New Roman" w:cs="Arial"/>
          <w:color w:val="000000"/>
          <w:lang w:eastAsia="bg-BG"/>
        </w:rPr>
        <w:lastRenderedPageBreak/>
        <w:t xml:space="preserve">пациентите с тегло &gt; 50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получават 5, 50 или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лосартан дневно. В края на триседмичен период лосартан един път дневно понижава най-ниските стойности на кръвното налягане по зависим от дозата начин.</w:t>
      </w:r>
    </w:p>
    <w:p w14:paraId="3FC53ECE" w14:textId="77777777"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Като цяло има зависимост на отговора от дозата. Връзката доза-отговор става особено явна при сравняване на групата на ниска доза с тази на средна доза (период </w:t>
      </w:r>
      <w:r w:rsidRPr="00C22032">
        <w:rPr>
          <w:rFonts w:eastAsia="Times New Roman" w:cs="Arial"/>
          <w:color w:val="000000"/>
          <w:lang w:val="en-US"/>
        </w:rPr>
        <w:t>I</w:t>
      </w:r>
      <w:r w:rsidRPr="00C22032">
        <w:rPr>
          <w:rFonts w:eastAsia="Times New Roman" w:cs="Arial"/>
          <w:color w:val="000000"/>
          <w:lang w:val="ru-RU"/>
        </w:rPr>
        <w:t xml:space="preserve">:-6,2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срещу </w:t>
      </w:r>
      <w:r w:rsidRPr="00C22032">
        <w:rPr>
          <w:rFonts w:eastAsia="Times New Roman" w:cs="Arial"/>
          <w:color w:val="000000"/>
          <w:lang w:val="ru-RU"/>
        </w:rPr>
        <w:t>- 1</w:t>
      </w:r>
      <w:r w:rsidRPr="00C22032">
        <w:rPr>
          <w:rFonts w:eastAsia="Times New Roman" w:cs="Arial"/>
          <w:color w:val="000000"/>
          <w:lang w:eastAsia="bg-BG"/>
        </w:rPr>
        <w:t xml:space="preserve">1,65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но отслабва, когато се сравнява средна доза с най-високата доза (период I: -11,65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срещу -12,21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Най-ниските проучени дози - 2,5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и 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съответстващи на средна дневна доза 0,07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 като че ли нямат траен антихипертензивен ефект. Тези резултати се потвърждават през период II на проучването, когато пациентите са рандомизирани да продължат с лосартан или плацебо след три седмици лечение. Разликата в повишаването на кръвното налягане в сравнение с плацебо е най-голяма в групата на средна доза (6,70 </w:t>
      </w:r>
      <w:r w:rsidRPr="00C22032">
        <w:rPr>
          <w:rFonts w:eastAsia="Times New Roman" w:cs="Arial"/>
          <w:color w:val="000000"/>
          <w:lang w:val="en-US"/>
        </w:rPr>
        <w:t>mm</w:t>
      </w:r>
      <w:r w:rsidRPr="00C22032">
        <w:rPr>
          <w:rFonts w:eastAsia="Times New Roman" w:cs="Arial"/>
          <w:color w:val="000000"/>
          <w:lang w:val="ru-RU"/>
        </w:rPr>
        <w:t xml:space="preserve"> </w:t>
      </w:r>
      <w:r w:rsidRPr="00C22032">
        <w:rPr>
          <w:rFonts w:eastAsia="Times New Roman" w:cs="Arial"/>
          <w:color w:val="000000"/>
          <w:lang w:val="en-US"/>
        </w:rPr>
        <w:t>Hg</w:t>
      </w:r>
      <w:r w:rsidRPr="00C22032">
        <w:rPr>
          <w:rFonts w:eastAsia="Times New Roman" w:cs="Arial"/>
          <w:color w:val="000000"/>
          <w:lang w:val="ru-RU"/>
        </w:rPr>
        <w:t xml:space="preserve"> </w:t>
      </w:r>
      <w:r w:rsidRPr="00C22032">
        <w:rPr>
          <w:rFonts w:eastAsia="Times New Roman" w:cs="Arial"/>
          <w:color w:val="000000"/>
          <w:lang w:eastAsia="bg-BG"/>
        </w:rPr>
        <w:t xml:space="preserve">средна доза срещу 5,38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висока доза). Повишаването на междинните стойности на диастолното кръвно налягане е еднакво при па</w:t>
      </w:r>
      <w:r w:rsidRPr="00C22032">
        <w:rPr>
          <w:rFonts w:eastAsia="Times New Roman" w:cs="Arial"/>
          <w:color w:val="000000"/>
          <w:u w:val="single"/>
          <w:lang w:eastAsia="bg-BG"/>
        </w:rPr>
        <w:t>циенти</w:t>
      </w:r>
      <w:r w:rsidRPr="00C22032">
        <w:rPr>
          <w:rFonts w:eastAsia="Times New Roman" w:cs="Arial"/>
          <w:color w:val="000000"/>
          <w:lang w:eastAsia="bg-BG"/>
        </w:rPr>
        <w:t>те на плацебо и тези на лосартан в най-ниската доза за всяка група, което отново</w:t>
      </w:r>
      <w:r w:rsidRPr="00C22032">
        <w:rPr>
          <w:rFonts w:eastAsia="Times New Roman" w:cs="Arial"/>
          <w:color w:val="000000"/>
          <w:lang w:val="ru-RU"/>
        </w:rPr>
        <w:t xml:space="preserve"> </w:t>
      </w:r>
      <w:r w:rsidRPr="00C22032">
        <w:rPr>
          <w:rFonts w:eastAsia="Times New Roman" w:cs="Arial"/>
          <w:color w:val="000000"/>
          <w:lang w:eastAsia="bg-BG"/>
        </w:rPr>
        <w:t>предполага, че най- ниската доза във всяка група не притежава значим антихипертензивен ефект.</w:t>
      </w:r>
    </w:p>
    <w:p w14:paraId="726936A3" w14:textId="77777777" w:rsidR="00C22032" w:rsidRPr="00C22032" w:rsidRDefault="00C22032" w:rsidP="00C22032">
      <w:pPr>
        <w:rPr>
          <w:rFonts w:eastAsia="Times New Roman" w:cs="Arial"/>
        </w:rPr>
      </w:pPr>
      <w:r w:rsidRPr="00C22032">
        <w:rPr>
          <w:rFonts w:eastAsia="Times New Roman" w:cs="Arial"/>
          <w:color w:val="000000"/>
          <w:lang w:eastAsia="bg-BG"/>
        </w:rPr>
        <w:t>Дългосрочните ефекти на лосартан върху растежа, пубертета и общото развитие не са били предмет на оценка. Дългосрочната ефикасност на антихипертензивното лечение с лосартан в детска възраст</w:t>
      </w:r>
      <w:r w:rsidRPr="00C22032">
        <w:rPr>
          <w:rFonts w:eastAsia="Times New Roman" w:cs="Arial"/>
          <w:color w:val="000000"/>
          <w:lang w:val="ru-RU" w:eastAsia="bg-BG"/>
        </w:rPr>
        <w:t xml:space="preserve"> </w:t>
      </w:r>
      <w:r w:rsidRPr="00C22032">
        <w:rPr>
          <w:rFonts w:eastAsia="Times New Roman" w:cs="Arial"/>
          <w:color w:val="000000"/>
          <w:lang w:eastAsia="bg-BG"/>
        </w:rPr>
        <w:t>по отношение на намаляването на сърдечносъдовата заболяемост и смъртност също не са били предмет на оценка.</w:t>
      </w:r>
    </w:p>
    <w:p w14:paraId="60928D2C" w14:textId="77777777" w:rsidR="00C22032" w:rsidRPr="00C22032" w:rsidRDefault="00C22032" w:rsidP="00C22032">
      <w:pPr>
        <w:spacing w:line="240" w:lineRule="auto"/>
        <w:rPr>
          <w:rFonts w:eastAsia="Times New Roman" w:cs="Arial"/>
          <w:color w:val="000000"/>
          <w:lang w:eastAsia="bg-BG"/>
        </w:rPr>
      </w:pPr>
    </w:p>
    <w:p w14:paraId="4961F8E9" w14:textId="41A7E1E9"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При хипертензивни </w:t>
      </w:r>
      <w:r w:rsidRPr="00C22032">
        <w:rPr>
          <w:rFonts w:eastAsia="Times New Roman" w:cs="Arial"/>
          <w:color w:val="000000"/>
          <w:lang w:val="ru-RU"/>
        </w:rPr>
        <w:t>(</w:t>
      </w:r>
      <w:r w:rsidRPr="00C22032">
        <w:rPr>
          <w:rFonts w:eastAsia="Times New Roman" w:cs="Arial"/>
          <w:color w:val="000000"/>
          <w:lang w:val="en-US"/>
        </w:rPr>
        <w:t>N</w:t>
      </w:r>
      <w:r w:rsidRPr="00C22032">
        <w:rPr>
          <w:rFonts w:eastAsia="Times New Roman" w:cs="Arial"/>
          <w:color w:val="000000"/>
          <w:lang w:val="ru-RU"/>
        </w:rPr>
        <w:t xml:space="preserve">=60) </w:t>
      </w:r>
      <w:r w:rsidRPr="00C22032">
        <w:rPr>
          <w:rFonts w:eastAsia="Times New Roman" w:cs="Arial"/>
          <w:color w:val="000000"/>
          <w:lang w:eastAsia="bg-BG"/>
        </w:rPr>
        <w:t xml:space="preserve">и нормотензивни </w:t>
      </w:r>
      <w:r w:rsidRPr="00C22032">
        <w:rPr>
          <w:rFonts w:eastAsia="Times New Roman" w:cs="Arial"/>
          <w:color w:val="000000"/>
          <w:lang w:val="ru-RU"/>
        </w:rPr>
        <w:t>(</w:t>
      </w:r>
      <w:r w:rsidRPr="00C22032">
        <w:rPr>
          <w:rFonts w:eastAsia="Times New Roman" w:cs="Arial"/>
          <w:color w:val="000000"/>
          <w:lang w:val="en-US"/>
        </w:rPr>
        <w:t>N</w:t>
      </w:r>
      <w:r w:rsidRPr="00C22032">
        <w:rPr>
          <w:rFonts w:eastAsia="Times New Roman" w:cs="Arial"/>
          <w:color w:val="000000"/>
          <w:lang w:val="ru-RU"/>
        </w:rPr>
        <w:t xml:space="preserve">=246) </w:t>
      </w:r>
      <w:r w:rsidRPr="00C22032">
        <w:rPr>
          <w:rFonts w:eastAsia="Times New Roman" w:cs="Arial"/>
          <w:color w:val="000000"/>
          <w:lang w:eastAsia="bg-BG"/>
        </w:rPr>
        <w:t>деца с протеинурия, ефектът на лосартан върху протеинурията е оценен в 12 седмично плацебо- и активно- контролирано (амлодипин) клинично проучване. Протеинурия е дефинирана като съотношение протеин / креатинин ≥0.3. Хипертензивните пациенти (на възраст от 6 до 18 години) са рандомизирани на лосартан (</w:t>
      </w:r>
      <w:r w:rsidRPr="00C22032">
        <w:rPr>
          <w:rFonts w:eastAsia="Times New Roman" w:cs="Arial"/>
          <w:color w:val="000000"/>
          <w:lang w:val="en-US"/>
        </w:rPr>
        <w:t>n</w:t>
      </w:r>
      <w:r w:rsidRPr="00C22032">
        <w:rPr>
          <w:rFonts w:eastAsia="Times New Roman" w:cs="Arial"/>
          <w:color w:val="000000"/>
          <w:lang w:val="ru-RU"/>
        </w:rPr>
        <w:t>=30</w:t>
      </w:r>
      <w:r w:rsidRPr="00C22032">
        <w:rPr>
          <w:rFonts w:eastAsia="Times New Roman" w:cs="Arial"/>
          <w:color w:val="000000"/>
          <w:lang w:eastAsia="bg-BG"/>
        </w:rPr>
        <w:t>) или амлодипин (</w:t>
      </w:r>
      <w:r w:rsidRPr="00C22032">
        <w:rPr>
          <w:rFonts w:eastAsia="Times New Roman" w:cs="Arial"/>
          <w:color w:val="000000"/>
          <w:lang w:val="en-US"/>
        </w:rPr>
        <w:t>n</w:t>
      </w:r>
      <w:r w:rsidRPr="00C22032">
        <w:rPr>
          <w:rFonts w:eastAsia="Times New Roman" w:cs="Arial"/>
          <w:color w:val="000000"/>
          <w:lang w:eastAsia="bg-BG"/>
        </w:rPr>
        <w:t>=30). Нормотензивните пациенти ( на възраст от 1 до 18 години) са рандомизирани на лосартан (</w:t>
      </w:r>
      <w:r w:rsidRPr="00C22032">
        <w:rPr>
          <w:rFonts w:eastAsia="Times New Roman" w:cs="Arial"/>
          <w:color w:val="000000"/>
          <w:lang w:val="en-US"/>
        </w:rPr>
        <w:t>n</w:t>
      </w:r>
      <w:r w:rsidRPr="00C22032">
        <w:rPr>
          <w:rFonts w:eastAsia="Times New Roman" w:cs="Arial"/>
          <w:color w:val="000000"/>
          <w:lang w:eastAsia="bg-BG"/>
        </w:rPr>
        <w:t>=122) или плацебо (</w:t>
      </w:r>
      <w:r w:rsidRPr="00C22032">
        <w:rPr>
          <w:rFonts w:eastAsia="Times New Roman" w:cs="Arial"/>
          <w:color w:val="000000"/>
          <w:lang w:val="en-US"/>
        </w:rPr>
        <w:t>n</w:t>
      </w:r>
      <w:r w:rsidRPr="00C22032">
        <w:rPr>
          <w:rFonts w:eastAsia="Times New Roman" w:cs="Arial"/>
          <w:color w:val="000000"/>
          <w:lang w:eastAsia="bg-BG"/>
        </w:rPr>
        <w:t xml:space="preserve">=124). Лосартан е в дози от 0,7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до 1,4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(до максимална доза от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на ден). Амлодипин е в дози от 0,05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до 0,2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(до максимална доза от 5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на ден).</w:t>
      </w:r>
    </w:p>
    <w:p w14:paraId="0CE14A2E" w14:textId="77777777" w:rsidR="00C22032" w:rsidRPr="00C22032" w:rsidRDefault="00C22032" w:rsidP="00C22032">
      <w:pPr>
        <w:spacing w:line="240" w:lineRule="auto"/>
        <w:rPr>
          <w:rFonts w:eastAsia="Times New Roman" w:cs="Arial"/>
          <w:color w:val="000000"/>
          <w:lang w:eastAsia="bg-BG"/>
        </w:rPr>
      </w:pPr>
    </w:p>
    <w:p w14:paraId="4E96D97C" w14:textId="713EAF8B"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След 12 седмично лечение, при пациентите получаващи лосартан се установява статистически значимо намаление на протеинурията в сравнение с изходните стойности с 36 % в сравнение с 1 % повишаване в групата на плацебо/амлодипин (р&lt;0.001). При хипертониците на лосартан намаление на протеинурията в сравнение с изходните стойности е с 41,5 % (95% </w:t>
      </w:r>
      <w:r w:rsidRPr="00C22032">
        <w:rPr>
          <w:rFonts w:eastAsia="Times New Roman" w:cs="Arial"/>
          <w:color w:val="000000"/>
          <w:lang w:val="en-US"/>
        </w:rPr>
        <w:t>CI</w:t>
      </w:r>
      <w:r w:rsidRPr="00C22032">
        <w:rPr>
          <w:rFonts w:eastAsia="Times New Roman" w:cs="Arial"/>
          <w:color w:val="000000"/>
          <w:lang w:val="ru-RU"/>
        </w:rPr>
        <w:t xml:space="preserve"> </w:t>
      </w:r>
      <w:r w:rsidRPr="00C22032">
        <w:rPr>
          <w:rFonts w:eastAsia="Times New Roman" w:cs="Arial"/>
          <w:color w:val="000000"/>
          <w:lang w:eastAsia="bg-BG"/>
        </w:rPr>
        <w:t xml:space="preserve">-29,9;-51,1) срещу +2,4% (95% </w:t>
      </w:r>
      <w:r w:rsidRPr="00C22032">
        <w:rPr>
          <w:rFonts w:eastAsia="Times New Roman" w:cs="Arial"/>
          <w:color w:val="000000"/>
          <w:lang w:val="en-US"/>
        </w:rPr>
        <w:t>CI</w:t>
      </w:r>
      <w:r w:rsidRPr="00C22032">
        <w:rPr>
          <w:rFonts w:eastAsia="Times New Roman" w:cs="Arial"/>
          <w:color w:val="000000"/>
          <w:lang w:val="ru-RU"/>
        </w:rPr>
        <w:t xml:space="preserve"> </w:t>
      </w:r>
      <w:r w:rsidRPr="00C22032">
        <w:rPr>
          <w:rFonts w:eastAsia="Times New Roman" w:cs="Arial"/>
          <w:color w:val="000000"/>
          <w:lang w:eastAsia="bg-BG"/>
        </w:rPr>
        <w:t xml:space="preserve">-22,2; 14,1) в групата на амлодипин. Понижаването и в систоличното и в диастоличното кръвно налягане е било по-голямо в друпата с лосартан (-5,5/-3,8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срещу групата с амлодипин (-0,1/+0,8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 xml:space="preserve">При нормотензивни деца е наблюдаван леко понижаване на кръвното налягане в групата с лосартан (-3,7/-3,4 </w:t>
      </w:r>
      <w:r w:rsidRPr="00C22032">
        <w:rPr>
          <w:rFonts w:eastAsia="Times New Roman" w:cs="Arial"/>
          <w:color w:val="000000"/>
          <w:lang w:val="en-US"/>
        </w:rPr>
        <w:t>mmHg</w:t>
      </w:r>
      <w:r w:rsidRPr="00C22032">
        <w:rPr>
          <w:rFonts w:eastAsia="Times New Roman" w:cs="Arial"/>
          <w:color w:val="000000"/>
          <w:lang w:val="ru-RU"/>
        </w:rPr>
        <w:t xml:space="preserve">) </w:t>
      </w:r>
      <w:r w:rsidRPr="00C22032">
        <w:rPr>
          <w:rFonts w:eastAsia="Times New Roman" w:cs="Arial"/>
          <w:color w:val="000000"/>
          <w:lang w:eastAsia="bg-BG"/>
        </w:rPr>
        <w:t>сравнено с плацебо. Не е отбелязано значима взаимовръзка между понижаването на протеинурията и понижаването на кръвното налягане, обаче е възможно понижаването на кръвното налягане да е причина, от части, за понижаването на протеинурията в групата лекувана с лосартан.</w:t>
      </w:r>
    </w:p>
    <w:p w14:paraId="018F065F" w14:textId="77777777" w:rsidR="00C22032" w:rsidRPr="00C22032" w:rsidRDefault="00C22032" w:rsidP="00C22032">
      <w:pPr>
        <w:spacing w:line="240" w:lineRule="auto"/>
        <w:rPr>
          <w:rFonts w:eastAsia="Times New Roman" w:cs="Arial"/>
          <w:color w:val="000000"/>
          <w:lang w:eastAsia="bg-BG"/>
        </w:rPr>
      </w:pPr>
    </w:p>
    <w:p w14:paraId="0C2257E5" w14:textId="39E782BB"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Продължителен ефект от лосартан при деца с протеинурия е проследен до 3 години в открита удължена фаза за оценка на безопасността на същото проучване, в която всички пациенти завършващи 12 седмичното базово проучване са били поканени да участват. Общо 268 пацинети включени в откритата удължена фаза са били повторно рандомизирани на лосартан </w:t>
      </w:r>
      <w:r w:rsidRPr="00C22032">
        <w:rPr>
          <w:rFonts w:eastAsia="Times New Roman" w:cs="Arial"/>
          <w:color w:val="000000"/>
          <w:lang w:val="ru-RU"/>
        </w:rPr>
        <w:t>(</w:t>
      </w:r>
      <w:r w:rsidRPr="00C22032">
        <w:rPr>
          <w:rFonts w:eastAsia="Times New Roman" w:cs="Arial"/>
          <w:color w:val="000000"/>
          <w:lang w:val="en-US"/>
        </w:rPr>
        <w:t>N</w:t>
      </w:r>
      <w:r w:rsidRPr="00C22032">
        <w:rPr>
          <w:rFonts w:eastAsia="Times New Roman" w:cs="Arial"/>
          <w:color w:val="000000"/>
          <w:lang w:val="ru-RU"/>
        </w:rPr>
        <w:t xml:space="preserve">=134) </w:t>
      </w:r>
      <w:r w:rsidRPr="00C22032">
        <w:rPr>
          <w:rFonts w:eastAsia="Times New Roman" w:cs="Arial"/>
          <w:color w:val="000000"/>
          <w:lang w:eastAsia="bg-BG"/>
        </w:rPr>
        <w:t xml:space="preserve">или еналаприл </w:t>
      </w:r>
      <w:r w:rsidRPr="00C22032">
        <w:rPr>
          <w:rFonts w:eastAsia="Times New Roman" w:cs="Arial"/>
          <w:color w:val="000000"/>
          <w:lang w:val="ru-RU"/>
        </w:rPr>
        <w:t>(</w:t>
      </w:r>
      <w:r w:rsidRPr="00C22032">
        <w:rPr>
          <w:rFonts w:eastAsia="Times New Roman" w:cs="Arial"/>
          <w:color w:val="000000"/>
          <w:lang w:val="en-US"/>
        </w:rPr>
        <w:t>N</w:t>
      </w:r>
      <w:r w:rsidRPr="00C22032">
        <w:rPr>
          <w:rFonts w:eastAsia="Times New Roman" w:cs="Arial"/>
          <w:color w:val="000000"/>
          <w:lang w:val="ru-RU"/>
        </w:rPr>
        <w:t xml:space="preserve">=134) </w:t>
      </w:r>
      <w:r w:rsidRPr="00C22032">
        <w:rPr>
          <w:rFonts w:eastAsia="Times New Roman" w:cs="Arial"/>
          <w:color w:val="000000"/>
          <w:lang w:eastAsia="bg-BG"/>
        </w:rPr>
        <w:t xml:space="preserve">и 109 пациенти са имали ≥3 години проследяване (предварително определена крайна точка &gt;100 пациента завършващи 3 години период на проследяване през удължения период). Дозовите </w:t>
      </w:r>
      <w:r w:rsidRPr="00C22032">
        <w:rPr>
          <w:rFonts w:eastAsia="Times New Roman" w:cs="Arial"/>
          <w:color w:val="000000"/>
          <w:lang w:eastAsia="bg-BG"/>
        </w:rPr>
        <w:lastRenderedPageBreak/>
        <w:t xml:space="preserve">диапазони на лосартан и еналаприл, давани по преценка на изследователя, са били 0,30 до 4,42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eastAsia="bg-BG"/>
        </w:rPr>
        <w:t xml:space="preserve">/ден и 0,02 </w:t>
      </w:r>
      <w:r w:rsidRPr="00C22032">
        <w:rPr>
          <w:rFonts w:eastAsia="Times New Roman" w:cs="Arial"/>
          <w:color w:val="000000"/>
          <w:lang w:val="en-US"/>
        </w:rPr>
        <w:t>to</w:t>
      </w:r>
      <w:r w:rsidRPr="00C22032">
        <w:rPr>
          <w:rFonts w:eastAsia="Times New Roman" w:cs="Arial"/>
          <w:color w:val="000000"/>
          <w:lang w:val="ru-RU"/>
        </w:rPr>
        <w:t xml:space="preserve"> </w:t>
      </w:r>
      <w:r w:rsidRPr="00C22032">
        <w:rPr>
          <w:rFonts w:eastAsia="Times New Roman" w:cs="Arial"/>
          <w:color w:val="000000"/>
          <w:lang w:eastAsia="bg-BG"/>
        </w:rPr>
        <w:t xml:space="preserve">1,13 </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eastAsia="bg-BG"/>
        </w:rPr>
        <w:t xml:space="preserve">/ден, респективно. Максималните дневни дози от 50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за телесно тегло &lt;50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 xml:space="preserve">и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 xml:space="preserve">&gt;50 </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не са били превишавани за повечето пациенти по време на удължената фаза на проучването.</w:t>
      </w:r>
    </w:p>
    <w:p w14:paraId="3CB3D5A8" w14:textId="77777777" w:rsidR="00C22032" w:rsidRPr="00C22032" w:rsidRDefault="00C22032" w:rsidP="00C22032">
      <w:pPr>
        <w:spacing w:line="240" w:lineRule="auto"/>
        <w:rPr>
          <w:rFonts w:eastAsia="Times New Roman" w:cs="Arial"/>
          <w:color w:val="000000"/>
          <w:lang w:eastAsia="bg-BG"/>
        </w:rPr>
      </w:pPr>
    </w:p>
    <w:p w14:paraId="1C92AA9C" w14:textId="66F41418" w:rsidR="00C22032" w:rsidRPr="00C22032" w:rsidRDefault="00C22032" w:rsidP="00C22032">
      <w:pPr>
        <w:spacing w:line="240" w:lineRule="auto"/>
        <w:rPr>
          <w:rFonts w:eastAsia="Times New Roman" w:cs="Arial"/>
        </w:rPr>
      </w:pPr>
      <w:r w:rsidRPr="00C22032">
        <w:rPr>
          <w:rFonts w:eastAsia="Times New Roman" w:cs="Arial"/>
          <w:color w:val="000000"/>
          <w:lang w:eastAsia="bg-BG"/>
        </w:rPr>
        <w:t xml:space="preserve">В обобщение, резултатите от удължаването за проследяване на безопасността показват че лосартан е бил понасян добре и е довел до трайни понижения на протеинурия без значителна промяна в гломерулната филтрация </w:t>
      </w:r>
      <w:r w:rsidRPr="00C22032">
        <w:rPr>
          <w:rFonts w:eastAsia="Times New Roman" w:cs="Arial"/>
          <w:color w:val="000000"/>
          <w:lang w:val="ru-RU"/>
        </w:rPr>
        <w:t>(</w:t>
      </w:r>
      <w:r w:rsidRPr="00C22032">
        <w:rPr>
          <w:rFonts w:eastAsia="Times New Roman" w:cs="Arial"/>
          <w:color w:val="000000"/>
          <w:lang w:val="en-US"/>
        </w:rPr>
        <w:t>GFR</w:t>
      </w:r>
      <w:r w:rsidRPr="00C22032">
        <w:rPr>
          <w:rFonts w:eastAsia="Times New Roman" w:cs="Arial"/>
          <w:color w:val="000000"/>
          <w:lang w:val="ru-RU"/>
        </w:rPr>
        <w:t xml:space="preserve">) </w:t>
      </w:r>
      <w:r w:rsidRPr="00C22032">
        <w:rPr>
          <w:rFonts w:eastAsia="Times New Roman" w:cs="Arial"/>
          <w:color w:val="000000"/>
          <w:lang w:eastAsia="bg-BG"/>
        </w:rPr>
        <w:t>за период от 3 години. За нормотензивни пациенти (</w:t>
      </w:r>
      <w:r w:rsidRPr="00C22032">
        <w:rPr>
          <w:rFonts w:eastAsia="Times New Roman" w:cs="Arial"/>
          <w:color w:val="000000"/>
          <w:lang w:val="en-US"/>
        </w:rPr>
        <w:t>n</w:t>
      </w:r>
      <w:r w:rsidRPr="00C22032">
        <w:rPr>
          <w:rFonts w:eastAsia="Times New Roman" w:cs="Arial"/>
          <w:color w:val="000000"/>
          <w:lang w:eastAsia="bg-BG"/>
        </w:rPr>
        <w:t>=205), еналаприл е имал числено по-голям ефект в сравнение с лосартан върху протеинурията ((-33,0% (95%С</w:t>
      </w:r>
      <w:r w:rsidRPr="00C22032">
        <w:rPr>
          <w:rFonts w:eastAsia="Times New Roman" w:cs="Arial"/>
          <w:color w:val="000000"/>
          <w:lang w:val="en-US"/>
        </w:rPr>
        <w:t>I</w:t>
      </w:r>
      <w:r w:rsidRPr="00C22032">
        <w:rPr>
          <w:rFonts w:eastAsia="Times New Roman" w:cs="Arial"/>
          <w:color w:val="000000"/>
          <w:lang w:eastAsia="bg-BG"/>
        </w:rPr>
        <w:t xml:space="preserve"> -47,2;-15,0) срещу -16,6% (95%С</w:t>
      </w:r>
      <w:r w:rsidRPr="00C22032">
        <w:rPr>
          <w:rFonts w:eastAsia="Times New Roman" w:cs="Arial"/>
          <w:color w:val="000000"/>
          <w:lang w:val="en-US"/>
        </w:rPr>
        <w:t>I</w:t>
      </w:r>
      <w:r w:rsidRPr="00C22032">
        <w:rPr>
          <w:rFonts w:eastAsia="Times New Roman" w:cs="Arial"/>
          <w:color w:val="000000"/>
          <w:lang w:eastAsia="bg-BG"/>
        </w:rPr>
        <w:t xml:space="preserve"> -34,9; 6,8)) и върху </w:t>
      </w:r>
      <w:r w:rsidRPr="00C22032">
        <w:rPr>
          <w:rFonts w:eastAsia="Times New Roman" w:cs="Arial"/>
          <w:color w:val="000000"/>
          <w:lang w:val="en-US"/>
        </w:rPr>
        <w:t>GFR</w:t>
      </w:r>
      <w:r w:rsidRPr="00C22032">
        <w:rPr>
          <w:rFonts w:eastAsia="Times New Roman" w:cs="Arial"/>
          <w:color w:val="000000"/>
          <w:lang w:val="ru-RU"/>
        </w:rPr>
        <w:t xml:space="preserve"> </w:t>
      </w:r>
      <w:r w:rsidRPr="00C22032">
        <w:rPr>
          <w:rFonts w:eastAsia="Times New Roman" w:cs="Arial"/>
          <w:color w:val="000000"/>
          <w:lang w:eastAsia="bg-BG"/>
        </w:rPr>
        <w:t>(9,4 (95%С</w:t>
      </w:r>
      <w:r w:rsidRPr="00C22032">
        <w:rPr>
          <w:rFonts w:eastAsia="Times New Roman" w:cs="Arial"/>
          <w:color w:val="000000"/>
          <w:lang w:val="en-US"/>
        </w:rPr>
        <w:t>I</w:t>
      </w:r>
      <w:r w:rsidRPr="00C22032">
        <w:rPr>
          <w:rFonts w:eastAsia="Times New Roman" w:cs="Arial"/>
          <w:color w:val="000000"/>
          <w:lang w:val="ru-RU"/>
        </w:rPr>
        <w:t xml:space="preserve"> </w:t>
      </w:r>
      <w:r w:rsidRPr="00C22032">
        <w:rPr>
          <w:rFonts w:eastAsia="Times New Roman" w:cs="Arial"/>
          <w:color w:val="000000"/>
          <w:lang w:eastAsia="bg-BG"/>
        </w:rPr>
        <w:t>0,4; 18,4) срещу - 4,0(95%С</w:t>
      </w:r>
      <w:r w:rsidRPr="00C22032">
        <w:rPr>
          <w:rFonts w:eastAsia="Times New Roman" w:cs="Arial"/>
          <w:color w:val="000000"/>
          <w:lang w:val="en-US"/>
        </w:rPr>
        <w:t>I</w:t>
      </w:r>
      <w:r w:rsidRPr="00C22032">
        <w:rPr>
          <w:rFonts w:eastAsia="Times New Roman" w:cs="Arial"/>
          <w:color w:val="000000"/>
          <w:lang w:eastAsia="bg-BG"/>
        </w:rPr>
        <w:t xml:space="preserve"> -13,1; 5,0)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w:t>
      </w:r>
      <w:r w:rsidRPr="00C22032">
        <w:rPr>
          <w:rFonts w:eastAsia="Times New Roman" w:cs="Arial"/>
          <w:color w:val="000000"/>
          <w:lang w:val="en-US"/>
        </w:rPr>
        <w:t>l</w:t>
      </w:r>
      <w:r w:rsidRPr="00C22032">
        <w:rPr>
          <w:rFonts w:eastAsia="Times New Roman" w:cs="Arial"/>
          <w:color w:val="000000"/>
          <w:lang w:val="ru-RU"/>
        </w:rPr>
        <w:t>,73</w:t>
      </w:r>
      <w:r w:rsidRPr="00C22032">
        <w:rPr>
          <w:rFonts w:eastAsia="Times New Roman" w:cs="Arial"/>
          <w:color w:val="000000"/>
          <w:lang w:val="en-US"/>
        </w:rPr>
        <w:t>m</w:t>
      </w:r>
      <w:r w:rsidRPr="00C22032">
        <w:rPr>
          <w:rFonts w:eastAsia="Times New Roman" w:cs="Arial"/>
          <w:color w:val="000000"/>
          <w:lang w:val="ru-RU"/>
        </w:rPr>
        <w:t xml:space="preserve">2)). </w:t>
      </w:r>
      <w:r w:rsidRPr="00C22032">
        <w:rPr>
          <w:rFonts w:eastAsia="Times New Roman" w:cs="Arial"/>
          <w:color w:val="000000"/>
          <w:lang w:eastAsia="bg-BG"/>
        </w:rPr>
        <w:t>За хипертензивни пациенти (п=49), лосартан е имал числено по-голям ефект върху протеинурията (-44,5% (95%С</w:t>
      </w:r>
      <w:r w:rsidRPr="00C22032">
        <w:rPr>
          <w:rFonts w:eastAsia="Times New Roman" w:cs="Arial"/>
          <w:color w:val="000000"/>
          <w:lang w:val="en-US"/>
        </w:rPr>
        <w:t>I</w:t>
      </w:r>
      <w:r w:rsidRPr="00C22032">
        <w:rPr>
          <w:rFonts w:eastAsia="Times New Roman" w:cs="Arial"/>
          <w:color w:val="000000"/>
          <w:lang w:eastAsia="bg-BG"/>
        </w:rPr>
        <w:t xml:space="preserve"> -64,8; -12,4) срещу -39,5% (95%С</w:t>
      </w:r>
      <w:r w:rsidRPr="00C22032">
        <w:rPr>
          <w:rFonts w:eastAsia="Times New Roman" w:cs="Arial"/>
          <w:color w:val="000000"/>
          <w:lang w:val="en-US"/>
        </w:rPr>
        <w:t>I</w:t>
      </w:r>
      <w:r w:rsidRPr="00C22032">
        <w:rPr>
          <w:rFonts w:eastAsia="Times New Roman" w:cs="Arial"/>
          <w:color w:val="000000"/>
          <w:lang w:eastAsia="bg-BG"/>
        </w:rPr>
        <w:t xml:space="preserve"> -62,5; -2,2)) и </w:t>
      </w:r>
      <w:r w:rsidRPr="00C22032">
        <w:rPr>
          <w:rFonts w:eastAsia="Times New Roman" w:cs="Arial"/>
          <w:color w:val="000000"/>
          <w:lang w:val="en-US"/>
        </w:rPr>
        <w:t>GFR</w:t>
      </w:r>
      <w:r w:rsidRPr="00C22032">
        <w:rPr>
          <w:rFonts w:eastAsia="Times New Roman" w:cs="Arial"/>
          <w:color w:val="000000"/>
          <w:lang w:val="ru-RU"/>
        </w:rPr>
        <w:t xml:space="preserve"> </w:t>
      </w:r>
      <w:r w:rsidRPr="00C22032">
        <w:rPr>
          <w:rFonts w:eastAsia="Times New Roman" w:cs="Arial"/>
          <w:color w:val="000000"/>
          <w:lang w:eastAsia="bg-BG"/>
        </w:rPr>
        <w:t>(18,9(95%С</w:t>
      </w:r>
      <w:r w:rsidRPr="00C22032">
        <w:rPr>
          <w:rFonts w:eastAsia="Times New Roman" w:cs="Arial"/>
          <w:color w:val="000000"/>
          <w:lang w:val="en-US"/>
        </w:rPr>
        <w:t>I</w:t>
      </w:r>
      <w:r w:rsidRPr="00C22032">
        <w:rPr>
          <w:rFonts w:eastAsia="Times New Roman" w:cs="Arial"/>
          <w:color w:val="000000"/>
          <w:lang w:eastAsia="bg-BG"/>
        </w:rPr>
        <w:t xml:space="preserve"> 5,2; 32,5) </w:t>
      </w:r>
      <w:r w:rsidRPr="00C22032">
        <w:rPr>
          <w:rFonts w:eastAsia="Times New Roman" w:cs="Arial"/>
          <w:color w:val="000000"/>
          <w:lang w:val="en-US"/>
        </w:rPr>
        <w:t>vs</w:t>
      </w:r>
      <w:r w:rsidRPr="00C22032">
        <w:rPr>
          <w:rFonts w:eastAsia="Times New Roman" w:cs="Arial"/>
          <w:color w:val="000000"/>
          <w:lang w:val="ru-RU"/>
        </w:rPr>
        <w:t xml:space="preserve"> </w:t>
      </w:r>
      <w:r w:rsidRPr="00C22032">
        <w:rPr>
          <w:rFonts w:eastAsia="Times New Roman" w:cs="Arial"/>
          <w:color w:val="000000"/>
          <w:lang w:eastAsia="bg-BG"/>
        </w:rPr>
        <w:t>-13,4(95%С</w:t>
      </w:r>
      <w:r w:rsidRPr="00C22032">
        <w:rPr>
          <w:rFonts w:eastAsia="Times New Roman" w:cs="Arial"/>
          <w:color w:val="000000"/>
          <w:lang w:val="en-US"/>
        </w:rPr>
        <w:t>I</w:t>
      </w:r>
      <w:r w:rsidRPr="00C22032">
        <w:rPr>
          <w:rFonts w:eastAsia="Times New Roman" w:cs="Arial"/>
          <w:color w:val="000000"/>
          <w:lang w:eastAsia="bg-BG"/>
        </w:rPr>
        <w:t xml:space="preserve"> -27,3; 0,6))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w:t>
      </w:r>
      <w:r w:rsidRPr="00C22032">
        <w:rPr>
          <w:rFonts w:eastAsia="Times New Roman" w:cs="Arial"/>
          <w:color w:val="000000"/>
          <w:lang w:val="en-US"/>
        </w:rPr>
        <w:t>l</w:t>
      </w:r>
      <w:r w:rsidRPr="00C22032">
        <w:rPr>
          <w:rFonts w:eastAsia="Times New Roman" w:cs="Arial"/>
          <w:color w:val="000000"/>
          <w:lang w:val="ru-RU"/>
        </w:rPr>
        <w:t>,73</w:t>
      </w:r>
      <w:r w:rsidRPr="00C22032">
        <w:rPr>
          <w:rFonts w:eastAsia="Times New Roman" w:cs="Arial"/>
          <w:color w:val="000000"/>
          <w:lang w:val="en-US"/>
        </w:rPr>
        <w:t>m</w:t>
      </w:r>
      <w:r w:rsidRPr="00C22032">
        <w:rPr>
          <w:rFonts w:eastAsia="Times New Roman" w:cs="Arial"/>
          <w:color w:val="000000"/>
          <w:vertAlign w:val="superscript"/>
          <w:lang w:val="ru-RU"/>
        </w:rPr>
        <w:t>2</w:t>
      </w:r>
      <w:r w:rsidRPr="00C22032">
        <w:rPr>
          <w:rFonts w:eastAsia="Times New Roman" w:cs="Arial"/>
          <w:color w:val="000000"/>
          <w:lang w:val="ru-RU"/>
        </w:rPr>
        <w:t>.</w:t>
      </w:r>
    </w:p>
    <w:p w14:paraId="4947AFFD" w14:textId="43642FAA" w:rsidR="00C22032" w:rsidRPr="00C22032" w:rsidRDefault="00C22032" w:rsidP="00C22032"/>
    <w:p w14:paraId="091F2305" w14:textId="58F7D1D0" w:rsidR="00C22032" w:rsidRDefault="002C50EE" w:rsidP="00C22032">
      <w:pPr>
        <w:pStyle w:val="Heading2"/>
      </w:pPr>
      <w:r>
        <w:t>5.2. Фармакокинетични свойства</w:t>
      </w:r>
    </w:p>
    <w:p w14:paraId="3638F39A" w14:textId="41E62905" w:rsidR="00C22032" w:rsidRDefault="00C22032" w:rsidP="00C22032"/>
    <w:p w14:paraId="475D5BFE" w14:textId="77777777" w:rsidR="00C22032" w:rsidRPr="00C22032" w:rsidRDefault="00C22032" w:rsidP="00C22032">
      <w:pPr>
        <w:pStyle w:val="Heading3"/>
        <w:rPr>
          <w:rFonts w:eastAsia="Times New Roman"/>
          <w:u w:val="single"/>
        </w:rPr>
      </w:pPr>
      <w:r w:rsidRPr="00C22032">
        <w:rPr>
          <w:rFonts w:eastAsia="Times New Roman"/>
          <w:u w:val="single"/>
          <w:lang w:eastAsia="bg-BG"/>
        </w:rPr>
        <w:t>Абсорбция</w:t>
      </w:r>
    </w:p>
    <w:p w14:paraId="639EF909"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След перорално приложение лосартан се абсорбира добре и при първото обменно преминаване формира активен карбоксилнокиселинен метаболит и други неактивни метаболити. Системната бионаличност на лосартан таблетки е приблизително 33 %.Средните върхови концентрации на лосартан и неговия активен метаболит се достигат съответно за 1 час и 3-4 часа.</w:t>
      </w:r>
    </w:p>
    <w:p w14:paraId="4ED78314" w14:textId="77777777" w:rsidR="00C22032" w:rsidRPr="00C22032" w:rsidRDefault="00C22032" w:rsidP="00C22032">
      <w:pPr>
        <w:spacing w:line="240" w:lineRule="auto"/>
        <w:rPr>
          <w:rFonts w:eastAsia="Times New Roman" w:cs="Arial"/>
          <w:color w:val="000000"/>
          <w:u w:val="single"/>
          <w:lang w:eastAsia="bg-BG"/>
        </w:rPr>
      </w:pPr>
    </w:p>
    <w:p w14:paraId="64C4BF56" w14:textId="268170F7" w:rsidR="00C22032" w:rsidRPr="00C22032" w:rsidRDefault="00C22032" w:rsidP="00C22032">
      <w:pPr>
        <w:pStyle w:val="Heading3"/>
        <w:rPr>
          <w:rFonts w:eastAsia="Times New Roman"/>
          <w:u w:val="single"/>
        </w:rPr>
      </w:pPr>
      <w:r w:rsidRPr="00C22032">
        <w:rPr>
          <w:rFonts w:eastAsia="Times New Roman"/>
          <w:u w:val="single"/>
          <w:lang w:eastAsia="bg-BG"/>
        </w:rPr>
        <w:t>Разпределение</w:t>
      </w:r>
    </w:p>
    <w:p w14:paraId="6AED23C0" w14:textId="3CCC7DD1" w:rsidR="00C22032" w:rsidRPr="00C22032" w:rsidRDefault="00C22032" w:rsidP="00C22032">
      <w:pPr>
        <w:spacing w:line="240" w:lineRule="auto"/>
        <w:rPr>
          <w:rFonts w:eastAsia="Times New Roman" w:cs="Arial"/>
          <w:color w:val="000000"/>
          <w:lang w:eastAsia="bg-BG"/>
        </w:rPr>
      </w:pPr>
      <w:r w:rsidRPr="00C22032">
        <w:rPr>
          <w:rFonts w:eastAsia="Times New Roman" w:cs="Arial"/>
          <w:color w:val="000000"/>
          <w:lang w:eastAsia="bg-BG"/>
        </w:rPr>
        <w:t>Както лосартан, така и неговият активен метаболит се свързват в ≥ 99 % с плазмените протеини основно албумин. Обемът на разпределение на лосартан е 34 литра.</w:t>
      </w:r>
    </w:p>
    <w:p w14:paraId="0C0395D1" w14:textId="00973312" w:rsidR="00C22032" w:rsidRPr="00C22032" w:rsidRDefault="00C22032" w:rsidP="00C22032">
      <w:pPr>
        <w:spacing w:line="240" w:lineRule="auto"/>
        <w:rPr>
          <w:rFonts w:eastAsia="Times New Roman" w:cs="Arial"/>
          <w:color w:val="000000"/>
          <w:lang w:eastAsia="bg-BG"/>
        </w:rPr>
      </w:pPr>
    </w:p>
    <w:p w14:paraId="7C5C1A4A" w14:textId="77777777" w:rsidR="00C22032" w:rsidRPr="00C22032" w:rsidRDefault="00C22032" w:rsidP="00C22032">
      <w:pPr>
        <w:pStyle w:val="Heading3"/>
        <w:rPr>
          <w:rFonts w:eastAsia="Times New Roman"/>
          <w:u w:val="single"/>
        </w:rPr>
      </w:pPr>
      <w:r w:rsidRPr="00C22032">
        <w:rPr>
          <w:rFonts w:eastAsia="Times New Roman"/>
          <w:u w:val="single"/>
          <w:lang w:eastAsia="bg-BG"/>
        </w:rPr>
        <w:t>Биотрансформация</w:t>
      </w:r>
    </w:p>
    <w:p w14:paraId="74698483"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Около 14 % от венозно и перорално приложената доза лосартан се превръща в неговия активен метаболит След перорално и венозно приложение на белязан с 14С лосартан калий циркулиращата плазмена активност основно се дължи на лосартан и неговия активен метаболит. Минимално превръщане на лосартан в неговия активен метаболит е било наблюдавано при около 1 % от участавалите в проучване индивиди.</w:t>
      </w:r>
    </w:p>
    <w:p w14:paraId="0F0D8AB5"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Освен активния метаболит се формират и неактивни метаболити.</w:t>
      </w:r>
    </w:p>
    <w:p w14:paraId="5E5C8C28" w14:textId="77777777" w:rsidR="00C22032" w:rsidRPr="00C22032" w:rsidRDefault="00C22032" w:rsidP="00C22032">
      <w:pPr>
        <w:spacing w:line="240" w:lineRule="auto"/>
        <w:rPr>
          <w:rFonts w:eastAsia="Times New Roman" w:cs="Arial"/>
          <w:color w:val="000000"/>
          <w:u w:val="single"/>
          <w:lang w:eastAsia="bg-BG"/>
        </w:rPr>
      </w:pPr>
    </w:p>
    <w:p w14:paraId="158EF1A3" w14:textId="49019FCE" w:rsidR="00C22032" w:rsidRPr="00C22032" w:rsidRDefault="00C22032" w:rsidP="00C22032">
      <w:pPr>
        <w:pStyle w:val="Heading3"/>
        <w:rPr>
          <w:rFonts w:eastAsia="Times New Roman"/>
          <w:u w:val="single"/>
        </w:rPr>
      </w:pPr>
      <w:r w:rsidRPr="00C22032">
        <w:rPr>
          <w:rFonts w:eastAsia="Times New Roman"/>
          <w:u w:val="single"/>
          <w:lang w:eastAsia="bg-BG"/>
        </w:rPr>
        <w:t>Елиминиране</w:t>
      </w:r>
    </w:p>
    <w:p w14:paraId="3EF0CC72" w14:textId="333EAD99"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 xml:space="preserve">Плазменият клирънс на лосартан и неговия активен метаболит е съответно около 600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 xml:space="preserve"> </w:t>
      </w:r>
      <w:r w:rsidRPr="00C22032">
        <w:rPr>
          <w:rFonts w:eastAsia="Times New Roman" w:cs="Arial"/>
          <w:color w:val="000000"/>
          <w:lang w:eastAsia="bg-BG"/>
        </w:rPr>
        <w:t>и</w:t>
      </w:r>
      <w:r w:rsidRPr="00C22032">
        <w:rPr>
          <w:rFonts w:eastAsia="Times New Roman" w:cs="Arial"/>
          <w:sz w:val="24"/>
          <w:szCs w:val="24"/>
          <w:lang w:val="ru-RU"/>
        </w:rPr>
        <w:t xml:space="preserve"> </w:t>
      </w:r>
      <w:r w:rsidRPr="00C22032">
        <w:rPr>
          <w:rFonts w:eastAsia="Times New Roman" w:cs="Arial"/>
          <w:color w:val="000000"/>
          <w:lang w:eastAsia="bg-BG"/>
        </w:rPr>
        <w:t xml:space="preserve">50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 xml:space="preserve">. </w:t>
      </w:r>
      <w:r w:rsidRPr="00C22032">
        <w:rPr>
          <w:rFonts w:eastAsia="Times New Roman" w:cs="Arial"/>
          <w:color w:val="000000"/>
          <w:lang w:eastAsia="bg-BG"/>
        </w:rPr>
        <w:t xml:space="preserve">Бъбречният клирънс на лосартан и неговия активен метаболит е съответно около 74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 xml:space="preserve"> </w:t>
      </w:r>
      <w:r w:rsidRPr="00C22032">
        <w:rPr>
          <w:rFonts w:eastAsia="Times New Roman" w:cs="Arial"/>
          <w:color w:val="000000"/>
          <w:lang w:eastAsia="bg-BG"/>
        </w:rPr>
        <w:t xml:space="preserve">и 26 </w:t>
      </w:r>
      <w:r w:rsidRPr="00C22032">
        <w:rPr>
          <w:rFonts w:eastAsia="Times New Roman" w:cs="Arial"/>
          <w:color w:val="000000"/>
          <w:lang w:val="en-US"/>
        </w:rPr>
        <w:t>mL</w:t>
      </w:r>
      <w:r w:rsidRPr="00C22032">
        <w:rPr>
          <w:rFonts w:eastAsia="Times New Roman" w:cs="Arial"/>
          <w:color w:val="000000"/>
          <w:lang w:val="ru-RU"/>
        </w:rPr>
        <w:t>/</w:t>
      </w:r>
      <w:r w:rsidRPr="00C22032">
        <w:rPr>
          <w:rFonts w:eastAsia="Times New Roman" w:cs="Arial"/>
          <w:color w:val="000000"/>
          <w:lang w:val="en-US"/>
        </w:rPr>
        <w:t>min</w:t>
      </w:r>
      <w:r w:rsidRPr="00C22032">
        <w:rPr>
          <w:rFonts w:eastAsia="Times New Roman" w:cs="Arial"/>
          <w:color w:val="000000"/>
          <w:lang w:val="ru-RU"/>
        </w:rPr>
        <w:t xml:space="preserve">. </w:t>
      </w:r>
      <w:r w:rsidRPr="00C22032">
        <w:rPr>
          <w:rFonts w:eastAsia="Times New Roman" w:cs="Arial"/>
          <w:color w:val="000000"/>
          <w:lang w:eastAsia="bg-BG"/>
        </w:rPr>
        <w:t xml:space="preserve">Когато лосартан се прилага перорално, около 4 % от дозата се екскретира непроменена в урината, а около 6 % от дозата се екскретира в урината като активен метаболит. Фармакокинетиката на лосартан </w:t>
      </w:r>
      <w:r w:rsidRPr="00C22032">
        <w:rPr>
          <w:rFonts w:eastAsia="Times New Roman" w:cs="Arial"/>
          <w:i/>
          <w:iCs/>
          <w:color w:val="000000"/>
          <w:lang w:eastAsia="bg-BG"/>
        </w:rPr>
        <w:t>и</w:t>
      </w:r>
      <w:r w:rsidRPr="00C22032">
        <w:rPr>
          <w:rFonts w:eastAsia="Times New Roman" w:cs="Arial"/>
          <w:color w:val="000000"/>
          <w:lang w:eastAsia="bg-BG"/>
        </w:rPr>
        <w:t xml:space="preserve"> неговите метаболити е линейна при перорални дози лосартан калий до 200 </w:t>
      </w:r>
      <w:r w:rsidRPr="00C22032">
        <w:rPr>
          <w:rFonts w:eastAsia="Times New Roman" w:cs="Arial"/>
          <w:color w:val="000000"/>
          <w:lang w:val="en-US"/>
        </w:rPr>
        <w:t>mg</w:t>
      </w:r>
      <w:r w:rsidRPr="00C22032">
        <w:rPr>
          <w:rFonts w:eastAsia="Times New Roman" w:cs="Arial"/>
          <w:color w:val="000000"/>
          <w:lang w:val="ru-RU"/>
        </w:rPr>
        <w:t>.</w:t>
      </w:r>
    </w:p>
    <w:p w14:paraId="36E01405"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 xml:space="preserve">След перорално приложение плазмените концентрации на лосартан и неговия активен метаболит спадат полиекспоненциално с терминално време на полуживот съответно 2 часа и 6-9 часа. При дозиране един път дневно със 100 </w:t>
      </w:r>
      <w:r w:rsidRPr="00C22032">
        <w:rPr>
          <w:rFonts w:eastAsia="Times New Roman" w:cs="Arial"/>
          <w:color w:val="000000"/>
          <w:lang w:val="en-US"/>
        </w:rPr>
        <w:t>mg</w:t>
      </w:r>
      <w:r w:rsidRPr="00C22032">
        <w:rPr>
          <w:rFonts w:eastAsia="Times New Roman" w:cs="Arial"/>
          <w:color w:val="000000"/>
          <w:lang w:val="ru-RU"/>
        </w:rPr>
        <w:t xml:space="preserve"> </w:t>
      </w:r>
      <w:r w:rsidRPr="00C22032">
        <w:rPr>
          <w:rFonts w:eastAsia="Times New Roman" w:cs="Arial"/>
          <w:color w:val="000000"/>
          <w:lang w:eastAsia="bg-BG"/>
        </w:rPr>
        <w:t>нито лосартан, нито неговият активен метаболит се натрупват значимо в плазмата.</w:t>
      </w:r>
    </w:p>
    <w:p w14:paraId="4D6CDF27"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 xml:space="preserve">За елиминирането на лосартан и неговите метаболити допринасят като жлъчната, така и уринната екскреция. След перорална доза/венозно приложение на белязан с 14С </w:t>
      </w:r>
      <w:r w:rsidRPr="00C22032">
        <w:rPr>
          <w:rFonts w:eastAsia="Times New Roman" w:cs="Arial"/>
          <w:color w:val="000000"/>
          <w:lang w:eastAsia="bg-BG"/>
        </w:rPr>
        <w:lastRenderedPageBreak/>
        <w:t>лосартан при хора около 35 %/43 % от радиоактивността се открива в урината, а58%/50%- във фекалиите.</w:t>
      </w:r>
    </w:p>
    <w:p w14:paraId="6A0DCE1E" w14:textId="77777777" w:rsidR="00C22032" w:rsidRPr="00C22032" w:rsidRDefault="00C22032" w:rsidP="00C22032">
      <w:pPr>
        <w:spacing w:line="240" w:lineRule="auto"/>
        <w:rPr>
          <w:rFonts w:eastAsia="Times New Roman" w:cs="Arial"/>
          <w:color w:val="000000"/>
          <w:u w:val="single"/>
          <w:lang w:eastAsia="bg-BG"/>
        </w:rPr>
      </w:pPr>
    </w:p>
    <w:p w14:paraId="64B9C51D" w14:textId="5844FF95" w:rsidR="00C22032" w:rsidRPr="00C22032" w:rsidRDefault="00C22032" w:rsidP="00C22032">
      <w:pPr>
        <w:spacing w:line="240" w:lineRule="auto"/>
        <w:rPr>
          <w:rFonts w:eastAsia="Times New Roman" w:cs="Arial"/>
          <w:sz w:val="24"/>
          <w:szCs w:val="24"/>
        </w:rPr>
      </w:pPr>
      <w:r w:rsidRPr="00C22032">
        <w:rPr>
          <w:rFonts w:eastAsia="Times New Roman" w:cs="Arial"/>
          <w:color w:val="000000"/>
          <w:u w:val="single"/>
          <w:lang w:eastAsia="bg-BG"/>
        </w:rPr>
        <w:t>Характеристики при различни пациенти</w:t>
      </w:r>
    </w:p>
    <w:p w14:paraId="45CBE398"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При пациенти в напреднала възраст плазмените концентрации на лосартан и неговия активен метаболит не се различават съществено от тези при по-млади пациенти с хипертония.</w:t>
      </w:r>
    </w:p>
    <w:p w14:paraId="39E713F0"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При жени с хипертония плазмените нива на лосартан са до два пъти по-високи в сравнение с мъже с хипертония, докато плазмените нива на активния метаболит при мъже и жени не показват някакви разлики.</w:t>
      </w:r>
    </w:p>
    <w:p w14:paraId="70F4B03B"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При пациенти с лека- до средно-тежка алкохол-индуцирана чернодробна цироза, плазмените нива на лосартан и неговия активен метаболит след орално приложение със съответно 5 и 1,7 пъти по-високи в сравнение с млади мъже доброволци (вж. точки 4.2 и 4.4).</w:t>
      </w:r>
    </w:p>
    <w:p w14:paraId="7619C3A9"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 xml:space="preserve">Плазмените концентрации на лосартан не се променят при пациенти с креатининов клирънс над 10 </w:t>
      </w:r>
      <w:r w:rsidRPr="00C22032">
        <w:rPr>
          <w:rFonts w:eastAsia="Times New Roman" w:cs="Arial"/>
          <w:color w:val="000000"/>
          <w:lang w:val="en-US"/>
        </w:rPr>
        <w:t>ml</w:t>
      </w:r>
      <w:r w:rsidRPr="00C22032">
        <w:rPr>
          <w:rFonts w:eastAsia="Times New Roman" w:cs="Arial"/>
          <w:color w:val="000000"/>
          <w:lang w:eastAsia="bg-BG"/>
        </w:rPr>
        <w:t xml:space="preserve">/минута. В сравнение с пациенти с нормална бъбречна функция </w:t>
      </w:r>
      <w:r w:rsidRPr="00C22032">
        <w:rPr>
          <w:rFonts w:eastAsia="Times New Roman" w:cs="Arial"/>
          <w:color w:val="000000"/>
          <w:lang w:val="en-US"/>
        </w:rPr>
        <w:t>AUC</w:t>
      </w:r>
      <w:r w:rsidRPr="00C22032">
        <w:rPr>
          <w:rFonts w:eastAsia="Times New Roman" w:cs="Arial"/>
          <w:color w:val="000000"/>
          <w:lang w:val="ru-RU"/>
        </w:rPr>
        <w:t xml:space="preserve"> </w:t>
      </w:r>
      <w:r w:rsidRPr="00C22032">
        <w:rPr>
          <w:rFonts w:eastAsia="Times New Roman" w:cs="Arial"/>
          <w:color w:val="000000"/>
          <w:lang w:eastAsia="bg-BG"/>
        </w:rPr>
        <w:t>на лосартан е около 2 пъти по-висок при пациенти на хемодиализа.</w:t>
      </w:r>
    </w:p>
    <w:p w14:paraId="557430E4"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Плазмените концентрации на активния метаболит не се променят при пациенти с бъбречно увреждане или на хемодиализа.</w:t>
      </w:r>
    </w:p>
    <w:p w14:paraId="65847677"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Нито лосартан, нито активния метаболит могат да бъдат отстранени с хемодиализа.</w:t>
      </w:r>
    </w:p>
    <w:p w14:paraId="3088FFC0" w14:textId="77777777" w:rsidR="00C22032" w:rsidRPr="00C22032" w:rsidRDefault="00C22032" w:rsidP="00C22032">
      <w:pPr>
        <w:spacing w:line="240" w:lineRule="auto"/>
        <w:rPr>
          <w:rFonts w:eastAsia="Times New Roman" w:cs="Arial"/>
          <w:color w:val="000000"/>
          <w:u w:val="single"/>
          <w:lang w:eastAsia="bg-BG"/>
        </w:rPr>
      </w:pPr>
    </w:p>
    <w:p w14:paraId="25C192B1" w14:textId="2EA950AE" w:rsidR="00C22032" w:rsidRPr="00C22032" w:rsidRDefault="00C22032" w:rsidP="00C22032">
      <w:pPr>
        <w:spacing w:line="240" w:lineRule="auto"/>
        <w:rPr>
          <w:rFonts w:eastAsia="Times New Roman" w:cs="Arial"/>
          <w:sz w:val="24"/>
          <w:szCs w:val="24"/>
        </w:rPr>
      </w:pPr>
      <w:r w:rsidRPr="00C22032">
        <w:rPr>
          <w:rFonts w:eastAsia="Times New Roman" w:cs="Arial"/>
          <w:color w:val="000000"/>
          <w:u w:val="single"/>
          <w:lang w:eastAsia="bg-BG"/>
        </w:rPr>
        <w:t>Фармакокинетика при педиатрични пациенти</w:t>
      </w:r>
    </w:p>
    <w:p w14:paraId="0E255384" w14:textId="77777777" w:rsidR="00C22032" w:rsidRPr="00C22032" w:rsidRDefault="00C22032" w:rsidP="00C22032">
      <w:pPr>
        <w:spacing w:line="240" w:lineRule="auto"/>
        <w:rPr>
          <w:rFonts w:eastAsia="Times New Roman" w:cs="Arial"/>
          <w:sz w:val="24"/>
          <w:szCs w:val="24"/>
        </w:rPr>
      </w:pPr>
      <w:r w:rsidRPr="00C22032">
        <w:rPr>
          <w:rFonts w:eastAsia="Times New Roman" w:cs="Arial"/>
          <w:color w:val="000000"/>
          <w:lang w:eastAsia="bg-BG"/>
        </w:rPr>
        <w:t xml:space="preserve">Фармакокинетиката на лосартан е била проучена при 50 хипертензивни пациенти от педиатричната популация на възраст от &gt; 1 месец до &lt; 16 години, след приложение един път дневно на приблизително 0,54 до </w:t>
      </w:r>
      <w:r w:rsidRPr="00C22032">
        <w:rPr>
          <w:rFonts w:eastAsia="Times New Roman" w:cs="Arial"/>
          <w:color w:val="000000"/>
          <w:lang w:val="ru-RU"/>
        </w:rPr>
        <w:t>0,77</w:t>
      </w:r>
      <w:r w:rsidRPr="00C22032">
        <w:rPr>
          <w:rFonts w:eastAsia="Times New Roman" w:cs="Arial"/>
          <w:color w:val="000000"/>
          <w:lang w:val="en-US"/>
        </w:rPr>
        <w:t>mg</w:t>
      </w:r>
      <w:r w:rsidRPr="00C22032">
        <w:rPr>
          <w:rFonts w:eastAsia="Times New Roman" w:cs="Arial"/>
          <w:color w:val="000000"/>
          <w:lang w:val="ru-RU"/>
        </w:rPr>
        <w:t>/</w:t>
      </w:r>
      <w:r w:rsidRPr="00C22032">
        <w:rPr>
          <w:rFonts w:eastAsia="Times New Roman" w:cs="Arial"/>
          <w:color w:val="000000"/>
          <w:lang w:val="en-US"/>
        </w:rPr>
        <w:t>kg</w:t>
      </w:r>
      <w:r w:rsidRPr="00C22032">
        <w:rPr>
          <w:rFonts w:eastAsia="Times New Roman" w:cs="Arial"/>
          <w:color w:val="000000"/>
          <w:lang w:val="ru-RU"/>
        </w:rPr>
        <w:t xml:space="preserve"> </w:t>
      </w:r>
      <w:r w:rsidRPr="00C22032">
        <w:rPr>
          <w:rFonts w:eastAsia="Times New Roman" w:cs="Arial"/>
          <w:color w:val="000000"/>
          <w:lang w:eastAsia="bg-BG"/>
        </w:rPr>
        <w:t>лосартан (средни дози). Резултатите показват, че активният метаболит се формира от лосартан при всички възрастови групи. Резултатите показват приблизително същите фармакокинетични параметри на лосартан след перорално приложение при новородени и кърмачета, при деца в предучилищна и училищна възраст и при подрастващи, Фармакокинетичните параметри за метаболита се различават в голяма степен при различните възрастови групи. Когато се сравняват деца в предучилищна възраст, тези разлики стават статистически значими. Ефектът при новородени/кърмачета е сравнително висок.</w:t>
      </w:r>
    </w:p>
    <w:p w14:paraId="35C088FF" w14:textId="06968287" w:rsidR="00C22032" w:rsidRPr="00C22032" w:rsidRDefault="00C22032" w:rsidP="00C22032"/>
    <w:p w14:paraId="648E39DA" w14:textId="571A3482" w:rsidR="00CF77F7" w:rsidRDefault="002C50EE" w:rsidP="004A448E">
      <w:pPr>
        <w:pStyle w:val="Heading2"/>
      </w:pPr>
      <w:r>
        <w:t>5.3. Предклинични данни за безопасност</w:t>
      </w:r>
    </w:p>
    <w:p w14:paraId="235D334C" w14:textId="4985BCCE" w:rsidR="00C22032" w:rsidRDefault="00C22032" w:rsidP="00C22032"/>
    <w:p w14:paraId="7E3D9A20" w14:textId="35F844BE" w:rsidR="00C22032" w:rsidRPr="00C22032" w:rsidRDefault="00C22032" w:rsidP="00C22032">
      <w:pPr>
        <w:rPr>
          <w:sz w:val="24"/>
          <w:szCs w:val="24"/>
          <w:lang w:val="ru-RU"/>
        </w:rPr>
      </w:pPr>
      <w:r w:rsidRPr="00C22032">
        <w:rPr>
          <w:lang w:eastAsia="bg-BG"/>
        </w:rPr>
        <w:t>Предклиничните данни не показват някакъв специфичен риск за хора на базата на конвнционални проучвания за общ фармакологичен, генотоксичен и карциногенен потенциал.</w:t>
      </w:r>
      <w:r w:rsidRPr="00C22032">
        <w:rPr>
          <w:i/>
          <w:iCs/>
          <w:lang w:eastAsia="bg-BG"/>
        </w:rPr>
        <w:t xml:space="preserve"> </w:t>
      </w:r>
      <w:r w:rsidRPr="00C22032">
        <w:rPr>
          <w:lang w:eastAsia="bg-BG"/>
        </w:rPr>
        <w:t>При проучвания за токсичност при многократно дозиране прилагането на лосартан индуцира</w:t>
      </w:r>
      <w:r w:rsidRPr="00C22032">
        <w:rPr>
          <w:sz w:val="24"/>
          <w:szCs w:val="24"/>
          <w:lang w:val="ru-RU"/>
        </w:rPr>
        <w:t xml:space="preserve"> </w:t>
      </w:r>
      <w:r>
        <w:t>понижаване на стойностите на червените кръвни телца (еритроцити, хемоглобин, хематокрит), повишаване на урея</w:t>
      </w:r>
      <w:r w:rsidRPr="00C22032">
        <w:rPr>
          <w:lang w:val="ru-RU"/>
        </w:rPr>
        <w:t>-</w:t>
      </w:r>
      <w:r>
        <w:rPr>
          <w:lang w:val="en-US"/>
        </w:rPr>
        <w:t>N</w:t>
      </w:r>
      <w:r w:rsidRPr="00C22032">
        <w:rPr>
          <w:lang w:val="ru-RU"/>
        </w:rPr>
        <w:t xml:space="preserve"> </w:t>
      </w:r>
      <w:r>
        <w:t>в серума и в отделни случаи повишение на серумния креатинин, намалено тегло на сърцето (без хистологична връзка) и стомашно-чревни промени (лезии на лигавицата, язви, ерозии, кръвоизливи). Както и други вещества, които директно въздействат върху системата ренин-ангиотензин, лосартан доказано индуцира нежелани реакции по отношение на късното развитие на плода, което води до смърт на плода и малформации.</w:t>
      </w:r>
    </w:p>
    <w:p w14:paraId="6A7820AB" w14:textId="107201EC" w:rsidR="008A6AF2" w:rsidRDefault="002C50EE" w:rsidP="00395555">
      <w:pPr>
        <w:pStyle w:val="Heading1"/>
      </w:pPr>
      <w:r>
        <w:t>7. ПРИТЕЖАТЕЛ НА РАЗРЕШЕНИЕТО ЗА УПОТРЕБА</w:t>
      </w:r>
    </w:p>
    <w:p w14:paraId="00C0667F" w14:textId="7028CC9B" w:rsidR="00C22032" w:rsidRDefault="00C22032" w:rsidP="00C22032"/>
    <w:p w14:paraId="40A2A7D8" w14:textId="77777777" w:rsidR="00C22032" w:rsidRPr="00C22032" w:rsidRDefault="00C22032" w:rsidP="00C22032">
      <w:pPr>
        <w:rPr>
          <w:sz w:val="24"/>
          <w:szCs w:val="24"/>
        </w:rPr>
      </w:pPr>
      <w:proofErr w:type="spellStart"/>
      <w:r w:rsidRPr="00C22032">
        <w:rPr>
          <w:lang w:val="en-US"/>
        </w:rPr>
        <w:t>Zentiva</w:t>
      </w:r>
      <w:proofErr w:type="spellEnd"/>
      <w:r w:rsidRPr="00C22032">
        <w:t xml:space="preserve"> </w:t>
      </w:r>
      <w:r w:rsidRPr="00C22032">
        <w:rPr>
          <w:lang w:val="en-US"/>
        </w:rPr>
        <w:t>k</w:t>
      </w:r>
      <w:r w:rsidRPr="00C22032">
        <w:t>.</w:t>
      </w:r>
      <w:r w:rsidRPr="00C22032">
        <w:rPr>
          <w:lang w:val="en-US"/>
        </w:rPr>
        <w:t>s</w:t>
      </w:r>
      <w:r w:rsidRPr="00C22032">
        <w:t>.</w:t>
      </w:r>
    </w:p>
    <w:p w14:paraId="6495D1F5" w14:textId="77777777" w:rsidR="00C22032" w:rsidRDefault="00C22032" w:rsidP="00C22032">
      <w:pPr>
        <w:rPr>
          <w:lang w:eastAsia="bg-BG"/>
        </w:rPr>
      </w:pPr>
      <w:r w:rsidRPr="00C22032">
        <w:rPr>
          <w:lang w:val="en-US"/>
        </w:rPr>
        <w:lastRenderedPageBreak/>
        <w:t>U</w:t>
      </w:r>
      <w:r w:rsidRPr="00C22032">
        <w:t xml:space="preserve"> </w:t>
      </w:r>
      <w:proofErr w:type="spellStart"/>
      <w:r w:rsidRPr="00C22032">
        <w:rPr>
          <w:lang w:val="en-US"/>
        </w:rPr>
        <w:t>kabelovny</w:t>
      </w:r>
      <w:proofErr w:type="spellEnd"/>
      <w:r w:rsidRPr="00C22032">
        <w:t xml:space="preserve"> </w:t>
      </w:r>
      <w:r w:rsidRPr="00C22032">
        <w:rPr>
          <w:lang w:eastAsia="bg-BG"/>
        </w:rPr>
        <w:t xml:space="preserve">130, </w:t>
      </w:r>
    </w:p>
    <w:p w14:paraId="50B74648" w14:textId="77777777" w:rsidR="00C22032" w:rsidRDefault="00C22032" w:rsidP="00C22032">
      <w:proofErr w:type="spellStart"/>
      <w:r w:rsidRPr="00C22032">
        <w:rPr>
          <w:lang w:val="en-US"/>
        </w:rPr>
        <w:t>Dolni</w:t>
      </w:r>
      <w:proofErr w:type="spellEnd"/>
      <w:r w:rsidRPr="00C22032">
        <w:t xml:space="preserve"> </w:t>
      </w:r>
      <w:proofErr w:type="spellStart"/>
      <w:r w:rsidRPr="00C22032">
        <w:rPr>
          <w:lang w:val="en-US"/>
        </w:rPr>
        <w:t>Mecholupy</w:t>
      </w:r>
      <w:proofErr w:type="spellEnd"/>
      <w:r w:rsidRPr="00C22032">
        <w:t xml:space="preserve"> </w:t>
      </w:r>
    </w:p>
    <w:p w14:paraId="444452DD" w14:textId="3F91A016" w:rsidR="00C22032" w:rsidRDefault="00C22032" w:rsidP="00C22032">
      <w:r w:rsidRPr="00C22032">
        <w:t xml:space="preserve">102 37, </w:t>
      </w:r>
      <w:r w:rsidRPr="00C22032">
        <w:rPr>
          <w:lang w:val="en-US"/>
        </w:rPr>
        <w:t>Prague</w:t>
      </w:r>
      <w:r w:rsidRPr="00C22032">
        <w:t xml:space="preserve"> 10 </w:t>
      </w:r>
    </w:p>
    <w:p w14:paraId="3B0DD79F" w14:textId="2C86A3BD" w:rsidR="00C22032" w:rsidRPr="00C22032" w:rsidRDefault="00C22032" w:rsidP="00C22032">
      <w:pPr>
        <w:rPr>
          <w:sz w:val="24"/>
          <w:szCs w:val="24"/>
        </w:rPr>
      </w:pPr>
      <w:r w:rsidRPr="00C22032">
        <w:rPr>
          <w:lang w:eastAsia="bg-BG"/>
        </w:rPr>
        <w:t>Чешка република</w:t>
      </w:r>
    </w:p>
    <w:p w14:paraId="683E5888" w14:textId="77777777" w:rsidR="00C22032" w:rsidRPr="00C22032" w:rsidRDefault="00C22032" w:rsidP="00C22032"/>
    <w:p w14:paraId="7BA1BA64" w14:textId="22100D47" w:rsidR="00CF77F7" w:rsidRDefault="002C50EE" w:rsidP="004A448E">
      <w:pPr>
        <w:pStyle w:val="Heading1"/>
      </w:pPr>
      <w:r>
        <w:t>8. НОМЕР НА РАЗРЕШЕНИЕТО ЗА УПОТРЕБА</w:t>
      </w:r>
    </w:p>
    <w:p w14:paraId="5CDA1D74" w14:textId="36A8E1FA" w:rsidR="00C22032" w:rsidRDefault="00C22032" w:rsidP="00C22032"/>
    <w:p w14:paraId="07F210CF" w14:textId="092871E5" w:rsidR="00C22032" w:rsidRPr="00C22032" w:rsidRDefault="00C22032" w:rsidP="00C22032">
      <w:r>
        <w:t>Per. № 20060449</w:t>
      </w:r>
    </w:p>
    <w:p w14:paraId="2CCB5832" w14:textId="6FA6199B" w:rsidR="007C605B" w:rsidRDefault="002C50EE" w:rsidP="007C605B">
      <w:pPr>
        <w:pStyle w:val="Heading1"/>
      </w:pPr>
      <w:r>
        <w:t>9. ДАТА НА ПЪРВО РАЗРЕШАВАНЕ/ПОДНОВЯВАНЕ НА РАЗРЕШЕНИЕТО ЗА УПОТРЕБА</w:t>
      </w:r>
    </w:p>
    <w:p w14:paraId="52315115" w14:textId="4900838C" w:rsidR="00C22032" w:rsidRDefault="00C22032" w:rsidP="00C22032"/>
    <w:p w14:paraId="7A1BA145" w14:textId="77777777" w:rsidR="00C22032" w:rsidRPr="00C22032" w:rsidRDefault="00C22032" w:rsidP="00C22032">
      <w:pPr>
        <w:rPr>
          <w:sz w:val="24"/>
          <w:szCs w:val="24"/>
        </w:rPr>
      </w:pPr>
      <w:r w:rsidRPr="00C22032">
        <w:rPr>
          <w:lang w:eastAsia="bg-BG"/>
        </w:rPr>
        <w:t>Дата на първо разрешаване: 17.08.2006 г.</w:t>
      </w:r>
    </w:p>
    <w:p w14:paraId="33C3616F" w14:textId="1106BF11" w:rsidR="00C22032" w:rsidRPr="00C22032" w:rsidRDefault="00C22032" w:rsidP="00C22032">
      <w:r w:rsidRPr="00C22032">
        <w:rPr>
          <w:lang w:eastAsia="bg-BG"/>
        </w:rPr>
        <w:t>Дата на последно подновяване: 07.03.2012 г.</w:t>
      </w:r>
    </w:p>
    <w:p w14:paraId="0E9D0119" w14:textId="0245C6D7" w:rsidR="002C50EE" w:rsidRDefault="002C50EE" w:rsidP="002C50EE">
      <w:pPr>
        <w:pStyle w:val="Heading1"/>
      </w:pPr>
      <w:r>
        <w:t>10. ДАТА НА АКТУАЛИЗИРАНЕ НА ТЕКСТА</w:t>
      </w:r>
    </w:p>
    <w:bookmarkEnd w:id="0"/>
    <w:p w14:paraId="43FB38A2" w14:textId="1B02B08F" w:rsidR="007C605B" w:rsidRPr="003E3126" w:rsidRDefault="00C22032" w:rsidP="00C22032">
      <w:r>
        <w:t>14.06.2021 г.</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2176881"/>
    <w:multiLevelType w:val="hybridMultilevel"/>
    <w:tmpl w:val="D9121508"/>
    <w:lvl w:ilvl="0" w:tplc="8FA401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71990"/>
    <w:multiLevelType w:val="hybridMultilevel"/>
    <w:tmpl w:val="AFAA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C0385"/>
    <w:multiLevelType w:val="hybridMultilevel"/>
    <w:tmpl w:val="5E80D9B2"/>
    <w:lvl w:ilvl="0" w:tplc="8FA40136">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43069"/>
    <w:multiLevelType w:val="hybridMultilevel"/>
    <w:tmpl w:val="DE88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3"/>
  </w:num>
  <w:num w:numId="4">
    <w:abstractNumId w:val="3"/>
  </w:num>
  <w:num w:numId="5">
    <w:abstractNumId w:val="1"/>
  </w:num>
  <w:num w:numId="6">
    <w:abstractNumId w:val="18"/>
  </w:num>
  <w:num w:numId="7">
    <w:abstractNumId w:val="11"/>
  </w:num>
  <w:num w:numId="8">
    <w:abstractNumId w:val="17"/>
  </w:num>
  <w:num w:numId="9">
    <w:abstractNumId w:val="2"/>
  </w:num>
  <w:num w:numId="10">
    <w:abstractNumId w:val="5"/>
  </w:num>
  <w:num w:numId="11">
    <w:abstractNumId w:val="33"/>
  </w:num>
  <w:num w:numId="12">
    <w:abstractNumId w:val="15"/>
  </w:num>
  <w:num w:numId="13">
    <w:abstractNumId w:val="21"/>
  </w:num>
  <w:num w:numId="14">
    <w:abstractNumId w:val="12"/>
  </w:num>
  <w:num w:numId="15">
    <w:abstractNumId w:val="32"/>
  </w:num>
  <w:num w:numId="16">
    <w:abstractNumId w:val="10"/>
  </w:num>
  <w:num w:numId="17">
    <w:abstractNumId w:val="27"/>
  </w:num>
  <w:num w:numId="18">
    <w:abstractNumId w:val="8"/>
  </w:num>
  <w:num w:numId="19">
    <w:abstractNumId w:val="29"/>
  </w:num>
  <w:num w:numId="20">
    <w:abstractNumId w:val="26"/>
  </w:num>
  <w:num w:numId="21">
    <w:abstractNumId w:val="19"/>
  </w:num>
  <w:num w:numId="22">
    <w:abstractNumId w:val="28"/>
  </w:num>
  <w:num w:numId="23">
    <w:abstractNumId w:val="20"/>
  </w:num>
  <w:num w:numId="24">
    <w:abstractNumId w:val="9"/>
  </w:num>
  <w:num w:numId="25">
    <w:abstractNumId w:val="25"/>
  </w:num>
  <w:num w:numId="26">
    <w:abstractNumId w:val="24"/>
  </w:num>
  <w:num w:numId="27">
    <w:abstractNumId w:val="34"/>
  </w:num>
  <w:num w:numId="28">
    <w:abstractNumId w:val="7"/>
  </w:num>
  <w:num w:numId="29">
    <w:abstractNumId w:val="23"/>
  </w:num>
  <w:num w:numId="30">
    <w:abstractNumId w:val="37"/>
  </w:num>
  <w:num w:numId="31">
    <w:abstractNumId w:val="6"/>
  </w:num>
  <w:num w:numId="32">
    <w:abstractNumId w:val="36"/>
  </w:num>
  <w:num w:numId="33">
    <w:abstractNumId w:val="31"/>
  </w:num>
  <w:num w:numId="34">
    <w:abstractNumId w:val="35"/>
  </w:num>
  <w:num w:numId="35">
    <w:abstractNumId w:val="14"/>
  </w:num>
  <w:num w:numId="36">
    <w:abstractNumId w:val="4"/>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D7DF8"/>
    <w:rsid w:val="0075649D"/>
    <w:rsid w:val="007C605B"/>
    <w:rsid w:val="008134C8"/>
    <w:rsid w:val="00814073"/>
    <w:rsid w:val="00826F0D"/>
    <w:rsid w:val="00893B92"/>
    <w:rsid w:val="008A6AF2"/>
    <w:rsid w:val="008C70A2"/>
    <w:rsid w:val="009773E4"/>
    <w:rsid w:val="00991331"/>
    <w:rsid w:val="009B171C"/>
    <w:rsid w:val="009F1313"/>
    <w:rsid w:val="00A20351"/>
    <w:rsid w:val="00A65A81"/>
    <w:rsid w:val="00AA23EC"/>
    <w:rsid w:val="00AC63CE"/>
    <w:rsid w:val="00AE2107"/>
    <w:rsid w:val="00B275A8"/>
    <w:rsid w:val="00BF2600"/>
    <w:rsid w:val="00C0049F"/>
    <w:rsid w:val="00C07B84"/>
    <w:rsid w:val="00C22032"/>
    <w:rsid w:val="00C33464"/>
    <w:rsid w:val="00C40420"/>
    <w:rsid w:val="00C809A7"/>
    <w:rsid w:val="00C83063"/>
    <w:rsid w:val="00C87E90"/>
    <w:rsid w:val="00C901C2"/>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7058</Words>
  <Characters>40234</Characters>
  <Application>Microsoft Office Word</Application>
  <DocSecurity>0</DocSecurity>
  <Lines>335</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2022-03-28T22:09:00Z</dcterms:created>
  <dcterms:modified xsi:type="dcterms:W3CDTF">2022-03-28T22:09:00Z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