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2611434F" w:rsidR="00AA23EC" w:rsidRDefault="00DD466D" w:rsidP="00DD466D">
      <w:pPr>
        <w:pStyle w:val="1"/>
      </w:pPr>
      <w:r>
        <w:t>1.ИМЕ НА ЛЕКАРСТВЕНИЯ ПРОДУКТ</w:t>
      </w:r>
    </w:p>
    <w:p w14:paraId="7F4FEB83" w14:textId="380AFB2C" w:rsidR="005C489D" w:rsidRDefault="005C489D" w:rsidP="005C489D"/>
    <w:p w14:paraId="019709FB" w14:textId="77777777" w:rsidR="005C489D" w:rsidRDefault="005C489D" w:rsidP="005C489D">
      <w:pPr>
        <w:rPr>
          <w:lang w:eastAsia="bg-BG"/>
        </w:rPr>
      </w:pPr>
      <w:proofErr w:type="spellStart"/>
      <w:r w:rsidRPr="005C489D">
        <w:rPr>
          <w:lang w:eastAsia="bg-BG"/>
        </w:rPr>
        <w:t>Луцетам</w:t>
      </w:r>
      <w:proofErr w:type="spellEnd"/>
      <w:r w:rsidRPr="005C489D">
        <w:rPr>
          <w:lang w:eastAsia="bg-BG"/>
        </w:rPr>
        <w:t xml:space="preserve"> 400 </w:t>
      </w:r>
      <w:r w:rsidRPr="005C489D">
        <w:rPr>
          <w:lang w:val="en-US"/>
        </w:rPr>
        <w:t xml:space="preserve">mg </w:t>
      </w:r>
      <w:r w:rsidRPr="005C489D">
        <w:rPr>
          <w:lang w:eastAsia="bg-BG"/>
        </w:rPr>
        <w:t xml:space="preserve">филмирани таблетки </w:t>
      </w:r>
    </w:p>
    <w:p w14:paraId="6BB66F82" w14:textId="77777777" w:rsidR="005C489D" w:rsidRDefault="005C489D" w:rsidP="005C489D">
      <w:pPr>
        <w:rPr>
          <w:lang w:val="en-US"/>
        </w:rPr>
      </w:pPr>
      <w:proofErr w:type="spellStart"/>
      <w:r w:rsidRPr="005C489D">
        <w:rPr>
          <w:lang w:val="en-US"/>
        </w:rPr>
        <w:t>Lucetam</w:t>
      </w:r>
      <w:proofErr w:type="spellEnd"/>
      <w:r w:rsidRPr="005C489D">
        <w:rPr>
          <w:lang w:val="en-US"/>
        </w:rPr>
        <w:t xml:space="preserve"> </w:t>
      </w:r>
      <w:r w:rsidRPr="005C489D">
        <w:rPr>
          <w:lang w:eastAsia="bg-BG"/>
        </w:rPr>
        <w:t xml:space="preserve">400 </w:t>
      </w:r>
      <w:r w:rsidRPr="005C489D">
        <w:rPr>
          <w:lang w:val="en-US"/>
        </w:rPr>
        <w:t xml:space="preserve">mg film-coated tablets </w:t>
      </w:r>
    </w:p>
    <w:p w14:paraId="565B8D49" w14:textId="77777777" w:rsidR="005C489D" w:rsidRDefault="005C489D" w:rsidP="005C489D">
      <w:pPr>
        <w:rPr>
          <w:lang w:eastAsia="bg-BG"/>
        </w:rPr>
      </w:pPr>
      <w:proofErr w:type="spellStart"/>
      <w:r w:rsidRPr="005C489D">
        <w:rPr>
          <w:lang w:eastAsia="bg-BG"/>
        </w:rPr>
        <w:t>Луцетам</w:t>
      </w:r>
      <w:proofErr w:type="spellEnd"/>
      <w:r w:rsidRPr="005C489D">
        <w:rPr>
          <w:lang w:eastAsia="bg-BG"/>
        </w:rPr>
        <w:t xml:space="preserve"> </w:t>
      </w:r>
      <w:r w:rsidRPr="005C489D">
        <w:rPr>
          <w:lang w:val="en-US"/>
        </w:rPr>
        <w:t xml:space="preserve">800 mg </w:t>
      </w:r>
      <w:r w:rsidRPr="005C489D">
        <w:rPr>
          <w:lang w:eastAsia="bg-BG"/>
        </w:rPr>
        <w:t xml:space="preserve">филмирани таблетки </w:t>
      </w:r>
    </w:p>
    <w:p w14:paraId="3E148894" w14:textId="50E0AD0C" w:rsidR="005C489D" w:rsidRPr="005C489D" w:rsidRDefault="005C489D" w:rsidP="005C489D">
      <w:pPr>
        <w:rPr>
          <w:sz w:val="24"/>
          <w:szCs w:val="24"/>
          <w:lang w:val="en-US"/>
        </w:rPr>
      </w:pPr>
      <w:proofErr w:type="spellStart"/>
      <w:r w:rsidRPr="005C489D">
        <w:rPr>
          <w:lang w:val="en-US"/>
        </w:rPr>
        <w:t>Lucetam</w:t>
      </w:r>
      <w:proofErr w:type="spellEnd"/>
      <w:r w:rsidRPr="005C489D">
        <w:rPr>
          <w:lang w:val="en-US"/>
        </w:rPr>
        <w:t xml:space="preserve"> </w:t>
      </w:r>
      <w:r w:rsidRPr="005C489D">
        <w:rPr>
          <w:lang w:eastAsia="bg-BG"/>
        </w:rPr>
        <w:t xml:space="preserve">800 </w:t>
      </w:r>
      <w:r w:rsidRPr="005C489D">
        <w:rPr>
          <w:lang w:val="en-US"/>
        </w:rPr>
        <w:t>mg film-coated tablets</w:t>
      </w:r>
    </w:p>
    <w:p w14:paraId="1256D65D" w14:textId="77777777" w:rsidR="005C489D" w:rsidRDefault="005C489D" w:rsidP="005C489D">
      <w:pPr>
        <w:rPr>
          <w:lang w:eastAsia="bg-BG"/>
        </w:rPr>
      </w:pPr>
      <w:proofErr w:type="spellStart"/>
      <w:r w:rsidRPr="005C489D">
        <w:rPr>
          <w:lang w:eastAsia="bg-BG"/>
        </w:rPr>
        <w:t>Луцетам</w:t>
      </w:r>
      <w:proofErr w:type="spellEnd"/>
      <w:r w:rsidRPr="005C489D">
        <w:rPr>
          <w:lang w:eastAsia="bg-BG"/>
        </w:rPr>
        <w:t xml:space="preserve"> </w:t>
      </w:r>
      <w:r w:rsidRPr="005C489D">
        <w:rPr>
          <w:lang w:val="en-US"/>
        </w:rPr>
        <w:t xml:space="preserve">1200 mg </w:t>
      </w:r>
      <w:r w:rsidRPr="005C489D">
        <w:rPr>
          <w:lang w:eastAsia="bg-BG"/>
        </w:rPr>
        <w:t xml:space="preserve">филмирани таблетки </w:t>
      </w:r>
    </w:p>
    <w:p w14:paraId="34C86929" w14:textId="114800E4" w:rsidR="005C489D" w:rsidRPr="005C489D" w:rsidRDefault="005C489D" w:rsidP="005C489D">
      <w:pPr>
        <w:rPr>
          <w:sz w:val="24"/>
          <w:szCs w:val="24"/>
          <w:lang w:val="en-US"/>
        </w:rPr>
      </w:pPr>
      <w:proofErr w:type="spellStart"/>
      <w:r w:rsidRPr="005C489D">
        <w:rPr>
          <w:lang w:val="en-US"/>
        </w:rPr>
        <w:t>Lucetam</w:t>
      </w:r>
      <w:proofErr w:type="spellEnd"/>
      <w:r w:rsidRPr="005C489D">
        <w:rPr>
          <w:lang w:val="en-US"/>
        </w:rPr>
        <w:t xml:space="preserve"> 1200 mg film-coated tablets</w:t>
      </w:r>
    </w:p>
    <w:p w14:paraId="1852A71F" w14:textId="77777777" w:rsidR="005C489D" w:rsidRPr="005C489D" w:rsidRDefault="005C489D" w:rsidP="005C489D"/>
    <w:p w14:paraId="0A368469" w14:textId="286A75B8" w:rsidR="00C0049F" w:rsidRDefault="00DD466D" w:rsidP="009F1313">
      <w:pPr>
        <w:pStyle w:val="1"/>
      </w:pPr>
      <w:r>
        <w:t>2. КАЧЕСТВЕН И КОЛИЧЕСТВЕН СЪСТАВ</w:t>
      </w:r>
    </w:p>
    <w:p w14:paraId="1732D5B5" w14:textId="143D4DA2" w:rsidR="005C489D" w:rsidRDefault="005C489D" w:rsidP="005C489D"/>
    <w:p w14:paraId="0ED80144" w14:textId="738C611F" w:rsidR="005C489D" w:rsidRPr="005C489D" w:rsidRDefault="005C489D" w:rsidP="005C489D">
      <w:r>
        <w:t xml:space="preserve">Всяка филмирана таблетка съдържа 400 </w:t>
      </w:r>
      <w:r>
        <w:rPr>
          <w:lang w:val="en-US"/>
        </w:rPr>
        <w:t xml:space="preserve">mg, </w:t>
      </w:r>
      <w:r>
        <w:t xml:space="preserve">800 </w:t>
      </w:r>
      <w:r>
        <w:rPr>
          <w:lang w:val="en-US"/>
        </w:rPr>
        <w:t xml:space="preserve">mg </w:t>
      </w:r>
      <w:r>
        <w:t xml:space="preserve">или 1200 </w:t>
      </w:r>
      <w:r>
        <w:rPr>
          <w:lang w:val="en-US"/>
        </w:rPr>
        <w:t xml:space="preserve">mg </w:t>
      </w:r>
      <w:proofErr w:type="spellStart"/>
      <w:r>
        <w:t>пирацетам</w:t>
      </w:r>
      <w:proofErr w:type="spellEnd"/>
      <w:r>
        <w:t xml:space="preserve"> </w:t>
      </w:r>
      <w:r>
        <w:rPr>
          <w:i/>
          <w:iCs/>
          <w:lang w:val="en-US"/>
        </w:rPr>
        <w:t>(piracetam)</w:t>
      </w:r>
    </w:p>
    <w:p w14:paraId="614984C4" w14:textId="6B76DA72" w:rsidR="008A6AF2" w:rsidRDefault="00DD466D" w:rsidP="002C50EE">
      <w:pPr>
        <w:pStyle w:val="1"/>
      </w:pPr>
      <w:r>
        <w:t>3. ЛЕКАРСТВЕНА ФОРМА</w:t>
      </w:r>
    </w:p>
    <w:p w14:paraId="49A72EBD" w14:textId="2DB8F515" w:rsidR="005C489D" w:rsidRDefault="005C489D" w:rsidP="005C489D"/>
    <w:p w14:paraId="26A24847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Филмирана таблетка.</w:t>
      </w:r>
    </w:p>
    <w:p w14:paraId="0C4D1A23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BBA45C" w14:textId="28A991DA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Описание:</w:t>
      </w:r>
    </w:p>
    <w:p w14:paraId="4B9D2BB9" w14:textId="3EE3326B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Луцетам</w:t>
      </w:r>
      <w:proofErr w:type="spellEnd"/>
      <w:r w:rsidRPr="005C489D">
        <w:rPr>
          <w:rFonts w:eastAsia="Times New Roman" w:cs="Arial"/>
          <w:i/>
          <w:iCs/>
          <w:color w:val="000000"/>
          <w:lang w:eastAsia="bg-BG"/>
        </w:rPr>
        <w:t xml:space="preserve"> 400 </w:t>
      </w:r>
      <w:r w:rsidRPr="005C489D">
        <w:rPr>
          <w:rFonts w:eastAsia="Times New Roman" w:cs="Arial"/>
          <w:i/>
          <w:iCs/>
          <w:color w:val="000000"/>
          <w:lang w:val="en-US"/>
        </w:rPr>
        <w:t xml:space="preserve">mg </w:t>
      </w:r>
      <w:r w:rsidRPr="005C489D">
        <w:rPr>
          <w:rFonts w:eastAsia="Times New Roman" w:cs="Arial"/>
          <w:i/>
          <w:iCs/>
          <w:color w:val="000000"/>
          <w:lang w:eastAsia="bg-BG"/>
        </w:rPr>
        <w:t>филмирани таблетки</w:t>
      </w:r>
    </w:p>
    <w:p w14:paraId="67A32AED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Бели до почти бели, овални, двойно-изпъкнали филмирани таблетки със скосени ръбове, с надпис „Е 241” от едната страна.</w:t>
      </w:r>
    </w:p>
    <w:p w14:paraId="34FF3D66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9B2B450" w14:textId="37C2533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Луцетам</w:t>
      </w:r>
      <w:proofErr w:type="spellEnd"/>
      <w:r w:rsidRPr="005C489D">
        <w:rPr>
          <w:rFonts w:eastAsia="Times New Roman" w:cs="Arial"/>
          <w:i/>
          <w:iCs/>
          <w:color w:val="000000"/>
          <w:lang w:eastAsia="bg-BG"/>
        </w:rPr>
        <w:t xml:space="preserve"> 800 </w:t>
      </w:r>
      <w:r w:rsidRPr="005C489D">
        <w:rPr>
          <w:rFonts w:eastAsia="Times New Roman" w:cs="Arial"/>
          <w:i/>
          <w:iCs/>
          <w:color w:val="000000"/>
          <w:lang w:val="en-US"/>
        </w:rPr>
        <w:t xml:space="preserve">mg </w:t>
      </w:r>
      <w:r w:rsidRPr="005C489D">
        <w:rPr>
          <w:rFonts w:eastAsia="Times New Roman" w:cs="Arial"/>
          <w:i/>
          <w:iCs/>
          <w:color w:val="000000"/>
          <w:lang w:eastAsia="bg-BG"/>
        </w:rPr>
        <w:t>филмирани таблетки</w:t>
      </w:r>
    </w:p>
    <w:p w14:paraId="57BC68AE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Бели до почти бели, продълговати, двойно-изпъкнали филмирани таблетки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таблетки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със скосени ръбове, с надпис „Е 242” от едната страна и делителна черта от двете страни. Таблетките могат да се разделят на равни дози</w:t>
      </w:r>
    </w:p>
    <w:p w14:paraId="4D93BCE4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208D2B8" w14:textId="36F419EF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Луцетам</w:t>
      </w:r>
      <w:proofErr w:type="spellEnd"/>
      <w:r w:rsidRPr="005C489D">
        <w:rPr>
          <w:rFonts w:eastAsia="Times New Roman" w:cs="Arial"/>
          <w:i/>
          <w:iCs/>
          <w:color w:val="000000"/>
          <w:lang w:eastAsia="bg-BG"/>
        </w:rPr>
        <w:t xml:space="preserve"> 1200 </w:t>
      </w:r>
      <w:r w:rsidRPr="005C489D">
        <w:rPr>
          <w:rFonts w:eastAsia="Times New Roman" w:cs="Arial"/>
          <w:i/>
          <w:iCs/>
          <w:color w:val="000000"/>
          <w:lang w:val="en-US"/>
        </w:rPr>
        <w:t xml:space="preserve">mg </w:t>
      </w:r>
      <w:r w:rsidRPr="005C489D">
        <w:rPr>
          <w:rFonts w:eastAsia="Times New Roman" w:cs="Arial"/>
          <w:i/>
          <w:iCs/>
          <w:color w:val="000000"/>
          <w:lang w:eastAsia="bg-BG"/>
        </w:rPr>
        <w:t>филмирани таблетки</w:t>
      </w:r>
    </w:p>
    <w:p w14:paraId="2B9EFA1A" w14:textId="5788D22E" w:rsidR="005C489D" w:rsidRPr="005C489D" w:rsidRDefault="005C489D" w:rsidP="005C489D">
      <w:pPr>
        <w:rPr>
          <w:rFonts w:cs="Arial"/>
        </w:rPr>
      </w:pPr>
      <w:r w:rsidRPr="005C489D">
        <w:rPr>
          <w:rFonts w:eastAsia="Times New Roman" w:cs="Arial"/>
          <w:color w:val="000000"/>
          <w:lang w:eastAsia="bg-BG"/>
        </w:rPr>
        <w:t>Бели до почти бели, овални, двойно-изпъкнали филмирани таблетки със скосени ръбове, с надпис „Е 243” от едната страна.</w:t>
      </w:r>
    </w:p>
    <w:p w14:paraId="490FC2C4" w14:textId="32682B15" w:rsidR="002C50EE" w:rsidRDefault="002C50EE" w:rsidP="002C50EE">
      <w:pPr>
        <w:pStyle w:val="1"/>
      </w:pPr>
      <w:r>
        <w:t>4. КЛИНИЧНИ ДАННИ</w:t>
      </w:r>
    </w:p>
    <w:p w14:paraId="754A29C8" w14:textId="34304510" w:rsidR="00C0049F" w:rsidRDefault="002C50EE" w:rsidP="009F1313">
      <w:pPr>
        <w:pStyle w:val="2"/>
      </w:pPr>
      <w:r>
        <w:t>4.1. Терапевтични показания</w:t>
      </w:r>
    </w:p>
    <w:p w14:paraId="1A864943" w14:textId="05428430" w:rsidR="00395555" w:rsidRDefault="00395555" w:rsidP="00395555"/>
    <w:p w14:paraId="78C30519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bookmarkStart w:id="1" w:name="bookmark0"/>
      <w:r w:rsidRPr="005C489D">
        <w:rPr>
          <w:rFonts w:eastAsia="Times New Roman" w:cs="Arial"/>
          <w:b/>
          <w:bCs/>
          <w:color w:val="000000"/>
          <w:lang w:eastAsia="bg-BG"/>
        </w:rPr>
        <w:t>Възрастни:</w:t>
      </w:r>
      <w:bookmarkEnd w:id="1"/>
    </w:p>
    <w:p w14:paraId="6CA777C8" w14:textId="5C0EBEC0" w:rsidR="005C489D" w:rsidRPr="005C489D" w:rsidRDefault="005C489D" w:rsidP="005C489D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>Симптоматично лечение на психо-органичен синдром със следните прояви: нарушения на паметта, нарушение на вниманието, липса на мотивация.</w:t>
      </w:r>
    </w:p>
    <w:p w14:paraId="6FAB1C7A" w14:textId="0CD0DE5A" w:rsidR="005C489D" w:rsidRPr="005C489D" w:rsidRDefault="005C489D" w:rsidP="005C489D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 xml:space="preserve">Лечение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кортикален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миоклонус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като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или в комбинация.</w:t>
      </w:r>
    </w:p>
    <w:p w14:paraId="12707905" w14:textId="6999BB52" w:rsidR="005C489D" w:rsidRPr="005C489D" w:rsidRDefault="005C489D" w:rsidP="005C489D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 xml:space="preserve">Лечение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вертиго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 свързаните с него нарушения на равновесието (с изключение на замаяност от вазомоторен или психичен произход).</w:t>
      </w:r>
    </w:p>
    <w:p w14:paraId="63D5C9DA" w14:textId="7920129F" w:rsidR="005C489D" w:rsidRPr="005C489D" w:rsidRDefault="005C489D" w:rsidP="00395555">
      <w:pPr>
        <w:rPr>
          <w:rFonts w:cs="Arial"/>
        </w:rPr>
      </w:pPr>
    </w:p>
    <w:p w14:paraId="6D9F82FB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b/>
          <w:bCs/>
          <w:color w:val="000000"/>
          <w:lang w:eastAsia="bg-BG"/>
        </w:rPr>
        <w:t>Деца:</w:t>
      </w:r>
    </w:p>
    <w:p w14:paraId="1B70C3AF" w14:textId="31E0A2FE" w:rsidR="005C489D" w:rsidRPr="005C489D" w:rsidRDefault="005C489D" w:rsidP="005C489D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lastRenderedPageBreak/>
        <w:t>Подобряване на състоянието при деца с проблеми в заучаването и</w:t>
      </w:r>
      <w:r w:rsidRPr="005C489D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дислекция</w:t>
      </w:r>
      <w:proofErr w:type="spellEnd"/>
      <w:r w:rsidRPr="005C489D">
        <w:rPr>
          <w:rFonts w:eastAsia="Times New Roman" w:cs="Arial"/>
          <w:color w:val="000000"/>
          <w:lang w:eastAsia="bg-BG"/>
        </w:rPr>
        <w:t>. В комбинация с подходящи други методи (например, логопедия).</w:t>
      </w:r>
    </w:p>
    <w:p w14:paraId="5E775C64" w14:textId="77777777" w:rsidR="005C489D" w:rsidRPr="00395555" w:rsidRDefault="005C489D" w:rsidP="00395555"/>
    <w:p w14:paraId="7C0CA5EB" w14:textId="494A0803" w:rsidR="00C0049F" w:rsidRDefault="002C50EE" w:rsidP="009F1313">
      <w:pPr>
        <w:pStyle w:val="2"/>
      </w:pPr>
      <w:r>
        <w:t>4.2. Дозировка и начин на приложение</w:t>
      </w:r>
    </w:p>
    <w:p w14:paraId="38222D70" w14:textId="1235ED12" w:rsidR="005C489D" w:rsidRDefault="005C489D" w:rsidP="005C489D"/>
    <w:p w14:paraId="5BB6DA25" w14:textId="77777777" w:rsidR="005C489D" w:rsidRPr="005C489D" w:rsidRDefault="005C489D" w:rsidP="005C489D">
      <w:pPr>
        <w:pStyle w:val="3"/>
        <w:rPr>
          <w:rFonts w:eastAsia="Times New Roman"/>
          <w:b/>
          <w:bCs/>
          <w:u w:val="single"/>
        </w:rPr>
      </w:pPr>
      <w:r w:rsidRPr="005C489D">
        <w:rPr>
          <w:rFonts w:eastAsia="Times New Roman"/>
          <w:b/>
          <w:bCs/>
          <w:u w:val="single"/>
          <w:lang w:eastAsia="bg-BG"/>
        </w:rPr>
        <w:t>Дозировка</w:t>
      </w:r>
    </w:p>
    <w:p w14:paraId="10DB9197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Дозата се определя индивидуално в зависимост от тежестта на заболяването и от клиничния резултат.</w:t>
      </w:r>
    </w:p>
    <w:p w14:paraId="526D00A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Продължителността на лечението се определя в зависимост от клиничната картина. При хронични заболявания лечението обикновено продължава 6-12 седмици за да се постигнат оптимални терапевтични резултати. След 3-месечно лечение е необходимо лечението да се преразгледа и да се вземе решение дали да продължи.</w:t>
      </w:r>
    </w:p>
    <w:p w14:paraId="6E643926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BF0CB7" w14:textId="491965D3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Ако се налага по-продължително лечение, се препоръчва намаляване на дозата или пълно прекратяване на лечението, което се прави на 6-месечни интервали. В зависимост от етиологията на заболяването и ако се наблюдават добри клинични резултати, лечението може да продължи няколко месеца.</w:t>
      </w:r>
    </w:p>
    <w:p w14:paraId="516FCD07" w14:textId="77777777" w:rsidR="005C489D" w:rsidRPr="005C489D" w:rsidRDefault="005C489D" w:rsidP="005C489D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4E57A098" w14:textId="6B9BC209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b/>
          <w:bCs/>
          <w:color w:val="000000"/>
          <w:lang w:eastAsia="bg-BG"/>
        </w:rPr>
        <w:t>Препоръчителни дневни дози в зависимост от показанията:</w:t>
      </w:r>
      <w:bookmarkEnd w:id="2"/>
    </w:p>
    <w:p w14:paraId="3DCFE548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2B8D870" w14:textId="0F43F9B9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>Симптоматично лечение на психо-органичен синдром:</w:t>
      </w:r>
    </w:p>
    <w:p w14:paraId="585405C5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Препоръчителната дневна доза е между 2,4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и 4,8 </w:t>
      </w:r>
      <w:r w:rsidRPr="005C489D">
        <w:rPr>
          <w:rFonts w:eastAsia="Times New Roman" w:cs="Arial"/>
          <w:color w:val="000000"/>
          <w:lang w:val="en-US"/>
        </w:rPr>
        <w:t xml:space="preserve">g, </w:t>
      </w:r>
      <w:r w:rsidRPr="005C489D">
        <w:rPr>
          <w:rFonts w:eastAsia="Times New Roman" w:cs="Arial"/>
          <w:color w:val="000000"/>
          <w:lang w:eastAsia="bg-BG"/>
        </w:rPr>
        <w:t>разделена на два или три приема.</w:t>
      </w:r>
    </w:p>
    <w:p w14:paraId="57C081E4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A6E428A" w14:textId="2AE2BEDA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 xml:space="preserve">Лечение на </w:t>
      </w: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миоклонус</w:t>
      </w:r>
      <w:proofErr w:type="spellEnd"/>
      <w:r w:rsidRPr="005C489D">
        <w:rPr>
          <w:rFonts w:eastAsia="Times New Roman" w:cs="Arial"/>
          <w:i/>
          <w:iCs/>
          <w:color w:val="000000"/>
          <w:lang w:eastAsia="bg-BG"/>
        </w:rPr>
        <w:t xml:space="preserve"> от </w:t>
      </w: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кортикален</w:t>
      </w:r>
      <w:proofErr w:type="spellEnd"/>
      <w:r w:rsidRPr="005C489D">
        <w:rPr>
          <w:rFonts w:eastAsia="Times New Roman" w:cs="Arial"/>
          <w:i/>
          <w:iCs/>
          <w:color w:val="000000"/>
          <w:lang w:eastAsia="bg-BG"/>
        </w:rPr>
        <w:t xml:space="preserve"> произход:</w:t>
      </w:r>
    </w:p>
    <w:p w14:paraId="62FB782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Дневната дозировка трябва да се започне с 7,2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дневно, да се увеличава с 4,8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дневно на всеки 3 до 4 дни, до максимална доза от 24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дневно, разпределена на 2 или 3 приема. Лечението с други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антимиоклонични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лекарства трябва да се провежда при същата дозировка. В зависимост от постигнатия клиничен резултат, ако е възможно, дозировката на други такива лекарства трябва да се намали.</w:t>
      </w:r>
    </w:p>
    <w:p w14:paraId="45E986BC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3D7012" w14:textId="5801536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След започване на лечението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то трябва да продължи докато присъства основното церебрално заболяване. При пациенти с остър епизод, след време може да се наблюдава спонтанна еволюция и на всеки 6 месеца трябва да прави опит за намаляване на дозата или прекъсване на лечението. Това трябва да става чрез намаляване дозата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 1,2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на всеки два дни (на всеки 3 или 4 дни при синдром на </w:t>
      </w:r>
      <w:r w:rsidRPr="005C489D">
        <w:rPr>
          <w:rFonts w:eastAsia="Times New Roman" w:cs="Arial"/>
          <w:color w:val="000000"/>
          <w:lang w:val="en-US"/>
        </w:rPr>
        <w:t xml:space="preserve">Lance-Adams), </w:t>
      </w:r>
      <w:r w:rsidRPr="005C489D">
        <w:rPr>
          <w:rFonts w:eastAsia="Times New Roman" w:cs="Arial"/>
          <w:color w:val="000000"/>
          <w:lang w:eastAsia="bg-BG"/>
        </w:rPr>
        <w:t>с цел предотвратяване възможността за внезапен рецидив или синдром на отнемане.</w:t>
      </w:r>
    </w:p>
    <w:p w14:paraId="187B949F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4013EB4" w14:textId="41D4B6F4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 xml:space="preserve">Лечение на </w:t>
      </w: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вертиго</w:t>
      </w:r>
      <w:proofErr w:type="spellEnd"/>
    </w:p>
    <w:p w14:paraId="5ECF42E6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Препоръчителната дневна доза варира от 2,4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до 4,8 </w:t>
      </w:r>
      <w:r w:rsidRPr="005C489D">
        <w:rPr>
          <w:rFonts w:eastAsia="Times New Roman" w:cs="Arial"/>
          <w:color w:val="000000"/>
          <w:lang w:val="en-US"/>
        </w:rPr>
        <w:t xml:space="preserve">g, </w:t>
      </w:r>
      <w:r w:rsidRPr="005C489D">
        <w:rPr>
          <w:rFonts w:eastAsia="Times New Roman" w:cs="Arial"/>
          <w:color w:val="000000"/>
          <w:lang w:eastAsia="bg-BG"/>
        </w:rPr>
        <w:t>разделена на 2 или 3 приема.</w:t>
      </w:r>
    </w:p>
    <w:p w14:paraId="1E0BB2BD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04664A5" w14:textId="382C7EDD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378FE7C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 xml:space="preserve">Лечение на </w:t>
      </w: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дислексия</w:t>
      </w:r>
      <w:proofErr w:type="spellEnd"/>
      <w:r w:rsidRPr="005C489D">
        <w:rPr>
          <w:rFonts w:eastAsia="Times New Roman" w:cs="Arial"/>
          <w:i/>
          <w:iCs/>
          <w:color w:val="000000"/>
          <w:lang w:eastAsia="bg-BG"/>
        </w:rPr>
        <w:t xml:space="preserve"> в комбинация с говорна терапия</w:t>
      </w:r>
    </w:p>
    <w:p w14:paraId="26BBB554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При деца над 8 години и юноши препоръчителната дневна доза е около 3,2 </w:t>
      </w:r>
      <w:r w:rsidRPr="005C489D">
        <w:rPr>
          <w:rFonts w:eastAsia="Times New Roman" w:cs="Arial"/>
          <w:color w:val="000000"/>
          <w:lang w:val="en-US"/>
        </w:rPr>
        <w:t xml:space="preserve">g, </w:t>
      </w:r>
      <w:r w:rsidRPr="005C489D">
        <w:rPr>
          <w:rFonts w:eastAsia="Times New Roman" w:cs="Arial"/>
          <w:color w:val="000000"/>
          <w:lang w:eastAsia="bg-BG"/>
        </w:rPr>
        <w:t>разделена на два приема</w:t>
      </w:r>
    </w:p>
    <w:p w14:paraId="44F9A49A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A2830E9" w14:textId="168344F8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 xml:space="preserve">Пациенти в старческа </w:t>
      </w:r>
      <w:proofErr w:type="spellStart"/>
      <w:r w:rsidRPr="005C489D">
        <w:rPr>
          <w:rFonts w:eastAsia="Times New Roman" w:cs="Arial"/>
          <w:i/>
          <w:iCs/>
          <w:color w:val="000000"/>
          <w:lang w:eastAsia="bg-BG"/>
        </w:rPr>
        <w:t>въраст</w:t>
      </w:r>
      <w:proofErr w:type="spellEnd"/>
    </w:p>
    <w:p w14:paraId="42E90282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Препоръчва се промяна на дозата при пациенти в старческа възраст с нарушена бъбречна функция (вж. по-долу </w:t>
      </w:r>
      <w:r w:rsidRPr="005C489D">
        <w:rPr>
          <w:rFonts w:eastAsia="Times New Roman" w:cs="Arial"/>
          <w:i/>
          <w:iCs/>
          <w:color w:val="000000"/>
          <w:lang w:eastAsia="bg-BG"/>
        </w:rPr>
        <w:t xml:space="preserve">"Коригиране на дозата при пациенти с бъбречно увреждане"). </w:t>
      </w:r>
      <w:r w:rsidRPr="005C489D">
        <w:rPr>
          <w:rFonts w:eastAsia="Times New Roman" w:cs="Arial"/>
          <w:color w:val="000000"/>
          <w:lang w:eastAsia="bg-BG"/>
        </w:rPr>
        <w:t xml:space="preserve">Продължителното лечение при пациенти в старческа възраст изисква </w:t>
      </w:r>
      <w:r w:rsidRPr="005C489D">
        <w:rPr>
          <w:rFonts w:eastAsia="Times New Roman" w:cs="Arial"/>
          <w:color w:val="000000"/>
          <w:lang w:eastAsia="bg-BG"/>
        </w:rPr>
        <w:lastRenderedPageBreak/>
        <w:t xml:space="preserve">редовен контрол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креатининовия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клирънс с цел адаптиране на дозата при необходимост.</w:t>
      </w:r>
    </w:p>
    <w:p w14:paraId="4667C87D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01200FC" w14:textId="2EAD38C6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39D474AD" w14:textId="6EFBD64D" w:rsidR="005C489D" w:rsidRDefault="005C489D" w:rsidP="005C489D">
      <w:pPr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 xml:space="preserve">Дневната доза трябва да се определя индивидуално в зависимост от бъбречната функция. Използвайте приложената по-долу таблица и коригирайте дозата според посоченото. За прилагане на тази таблица е необходимо да се определи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креатининовият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клирънс (</w:t>
      </w:r>
      <w:proofErr w:type="spellStart"/>
      <w:r w:rsidRPr="005C489D">
        <w:rPr>
          <w:rFonts w:eastAsia="Times New Roman" w:cs="Arial"/>
          <w:color w:val="000000"/>
          <w:lang w:val="en-US"/>
        </w:rPr>
        <w:t>Clcr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) </w:t>
      </w:r>
      <w:r w:rsidRPr="005C489D">
        <w:rPr>
          <w:rFonts w:eastAsia="Times New Roman" w:cs="Arial"/>
          <w:color w:val="000000"/>
          <w:lang w:eastAsia="bg-BG"/>
        </w:rPr>
        <w:t xml:space="preserve">на пациента, изразен в </w:t>
      </w:r>
      <w:r w:rsidRPr="005C489D">
        <w:rPr>
          <w:rFonts w:eastAsia="Times New Roman" w:cs="Arial"/>
          <w:color w:val="000000"/>
          <w:lang w:val="en-US"/>
        </w:rPr>
        <w:t xml:space="preserve">ml/min. </w:t>
      </w:r>
      <w:proofErr w:type="spellStart"/>
      <w:r w:rsidRPr="005C489D">
        <w:rPr>
          <w:rFonts w:eastAsia="Times New Roman" w:cs="Arial"/>
          <w:color w:val="000000"/>
          <w:lang w:val="en-US"/>
        </w:rPr>
        <w:t>Clcr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 xml:space="preserve">в </w:t>
      </w:r>
      <w:r w:rsidRPr="005C489D">
        <w:rPr>
          <w:rFonts w:eastAsia="Times New Roman" w:cs="Arial"/>
          <w:color w:val="000000"/>
          <w:lang w:val="en-US"/>
        </w:rPr>
        <w:t xml:space="preserve">ml/min </w:t>
      </w:r>
      <w:r w:rsidRPr="005C489D">
        <w:rPr>
          <w:rFonts w:eastAsia="Times New Roman" w:cs="Arial"/>
          <w:color w:val="000000"/>
          <w:lang w:eastAsia="bg-BG"/>
        </w:rPr>
        <w:t xml:space="preserve">може да се определи от серумния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креатинин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(</w:t>
      </w:r>
      <w:r w:rsidRPr="005C489D">
        <w:rPr>
          <w:rFonts w:eastAsia="Times New Roman" w:cs="Arial"/>
          <w:color w:val="000000"/>
          <w:lang w:val="en-US"/>
        </w:rPr>
        <w:t>mg/dl)</w:t>
      </w:r>
      <w:r w:rsidRPr="005C489D">
        <w:rPr>
          <w:rFonts w:eastAsia="Times New Roman" w:cs="Arial"/>
          <w:color w:val="000000"/>
          <w:lang w:eastAsia="bg-BG"/>
        </w:rPr>
        <w:t xml:space="preserve"> с помощта на следната формула.</w:t>
      </w:r>
    </w:p>
    <w:p w14:paraId="0CB47590" w14:textId="0B5F48E3" w:rsidR="005C489D" w:rsidRDefault="005C489D" w:rsidP="005C489D">
      <w:pPr>
        <w:rPr>
          <w:rFonts w:cs="Arial"/>
          <w:lang w:val="en-US"/>
        </w:rPr>
      </w:pPr>
      <w:r>
        <w:rPr>
          <w:rFonts w:eastAsia="Times New Roman" w:cs="Arial"/>
          <w:noProof/>
          <w:color w:val="000000"/>
          <w:lang w:val="en-US" w:eastAsia="bg-BG"/>
        </w:rPr>
        <w:drawing>
          <wp:inline distT="0" distB="0" distL="0" distR="0" wp14:anchorId="5A0F30D3" wp14:editId="7F47F49B">
            <wp:extent cx="5943600" cy="101917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2473"/>
        <w:gridCol w:w="4393"/>
      </w:tblGrid>
      <w:tr w:rsidR="005C489D" w14:paraId="0C528C18" w14:textId="77777777" w:rsidTr="005C489D">
        <w:tc>
          <w:tcPr>
            <w:tcW w:w="2538" w:type="dxa"/>
          </w:tcPr>
          <w:p w14:paraId="4FE176B7" w14:textId="41FD3768" w:rsidR="005C489D" w:rsidRDefault="005C489D" w:rsidP="005C489D">
            <w:pPr>
              <w:rPr>
                <w:rFonts w:cs="Arial"/>
                <w:lang w:val="en-US"/>
              </w:rPr>
            </w:pPr>
            <w:r>
              <w:t>Група</w:t>
            </w:r>
          </w:p>
        </w:tc>
        <w:tc>
          <w:tcPr>
            <w:tcW w:w="2520" w:type="dxa"/>
          </w:tcPr>
          <w:p w14:paraId="2A43726A" w14:textId="77777777" w:rsidR="005C489D" w:rsidRDefault="005C489D" w:rsidP="005C489D">
            <w:proofErr w:type="spellStart"/>
            <w:r>
              <w:t>Креатининов</w:t>
            </w:r>
            <w:proofErr w:type="spellEnd"/>
            <w:r>
              <w:t xml:space="preserve"> клирънс</w:t>
            </w:r>
          </w:p>
          <w:p w14:paraId="17943016" w14:textId="788919FB" w:rsidR="005C489D" w:rsidRDefault="005C489D" w:rsidP="005C489D">
            <w:pPr>
              <w:rPr>
                <w:rFonts w:cs="Arial"/>
                <w:lang w:val="en-US"/>
              </w:rPr>
            </w:pPr>
            <w:r>
              <w:rPr>
                <w:lang w:val="en-US"/>
              </w:rPr>
              <w:t>(ml/min)</w:t>
            </w:r>
          </w:p>
        </w:tc>
        <w:tc>
          <w:tcPr>
            <w:tcW w:w="4518" w:type="dxa"/>
          </w:tcPr>
          <w:p w14:paraId="2B057B29" w14:textId="57E872E2" w:rsidR="005C489D" w:rsidRDefault="005C489D" w:rsidP="005C489D">
            <w:pPr>
              <w:rPr>
                <w:rFonts w:cs="Arial"/>
                <w:lang w:val="en-US"/>
              </w:rPr>
            </w:pPr>
            <w:r>
              <w:t>Дозировка и честота</w:t>
            </w:r>
          </w:p>
        </w:tc>
      </w:tr>
      <w:tr w:rsidR="005C489D" w14:paraId="09210C95" w14:textId="77777777" w:rsidTr="005C489D">
        <w:tc>
          <w:tcPr>
            <w:tcW w:w="2538" w:type="dxa"/>
          </w:tcPr>
          <w:p w14:paraId="55D53109" w14:textId="3EB6AB58" w:rsidR="005C489D" w:rsidRDefault="005C489D" w:rsidP="005C489D">
            <w:pPr>
              <w:rPr>
                <w:rFonts w:cs="Arial"/>
                <w:lang w:val="en-US"/>
              </w:rPr>
            </w:pPr>
            <w:r>
              <w:t>Нормална</w:t>
            </w:r>
          </w:p>
        </w:tc>
        <w:tc>
          <w:tcPr>
            <w:tcW w:w="2520" w:type="dxa"/>
          </w:tcPr>
          <w:p w14:paraId="6EC70893" w14:textId="00D81DDF" w:rsidR="005C489D" w:rsidRDefault="005C489D" w:rsidP="005C489D">
            <w:pPr>
              <w:rPr>
                <w:rFonts w:cs="Arial"/>
                <w:lang w:val="en-US"/>
              </w:rPr>
            </w:pPr>
            <w:r>
              <w:t>&gt;80</w:t>
            </w:r>
          </w:p>
        </w:tc>
        <w:tc>
          <w:tcPr>
            <w:tcW w:w="4518" w:type="dxa"/>
          </w:tcPr>
          <w:p w14:paraId="64A0D53A" w14:textId="0B8C34FA" w:rsidR="005C489D" w:rsidRDefault="005C489D" w:rsidP="005C489D">
            <w:pPr>
              <w:rPr>
                <w:rFonts w:cs="Arial"/>
                <w:lang w:val="en-US"/>
              </w:rPr>
            </w:pPr>
            <w:r>
              <w:t>Препоръчваната дневна доза, 2 до 4 приема</w:t>
            </w:r>
          </w:p>
        </w:tc>
      </w:tr>
      <w:tr w:rsidR="005C489D" w14:paraId="66AE73CD" w14:textId="77777777" w:rsidTr="005C489D">
        <w:tc>
          <w:tcPr>
            <w:tcW w:w="2538" w:type="dxa"/>
          </w:tcPr>
          <w:p w14:paraId="53EC62EE" w14:textId="7DFEB1C0" w:rsidR="005C489D" w:rsidRDefault="005C489D" w:rsidP="005C489D">
            <w:pPr>
              <w:rPr>
                <w:rFonts w:cs="Arial"/>
                <w:lang w:val="en-US"/>
              </w:rPr>
            </w:pPr>
            <w:r>
              <w:t>Лека</w:t>
            </w:r>
          </w:p>
        </w:tc>
        <w:tc>
          <w:tcPr>
            <w:tcW w:w="2520" w:type="dxa"/>
          </w:tcPr>
          <w:p w14:paraId="2E9C2425" w14:textId="2EF6065E" w:rsidR="005C489D" w:rsidRDefault="005C489D" w:rsidP="005C489D">
            <w:pPr>
              <w:rPr>
                <w:rFonts w:cs="Arial"/>
                <w:lang w:val="en-US"/>
              </w:rPr>
            </w:pPr>
            <w:r>
              <w:t>50-79</w:t>
            </w:r>
          </w:p>
        </w:tc>
        <w:tc>
          <w:tcPr>
            <w:tcW w:w="4518" w:type="dxa"/>
          </w:tcPr>
          <w:p w14:paraId="3723778F" w14:textId="1CD90B60" w:rsidR="005C489D" w:rsidRDefault="005C489D" w:rsidP="005C489D">
            <w:pPr>
              <w:rPr>
                <w:rFonts w:cs="Arial"/>
                <w:lang w:val="en-US"/>
              </w:rPr>
            </w:pPr>
            <w:r>
              <w:t>2/3 от препоръчваната дневна доза, 2 до 3 приема</w:t>
            </w:r>
          </w:p>
        </w:tc>
      </w:tr>
      <w:tr w:rsidR="005C489D" w14:paraId="2C0419D0" w14:textId="77777777" w:rsidTr="005C489D">
        <w:tc>
          <w:tcPr>
            <w:tcW w:w="2538" w:type="dxa"/>
          </w:tcPr>
          <w:p w14:paraId="4D9D6AEB" w14:textId="2F5F0DA8" w:rsidR="005C489D" w:rsidRDefault="005C489D" w:rsidP="005C489D">
            <w:pPr>
              <w:rPr>
                <w:rFonts w:cs="Arial"/>
                <w:lang w:val="en-US"/>
              </w:rPr>
            </w:pPr>
            <w:r>
              <w:t>Умерена</w:t>
            </w:r>
          </w:p>
        </w:tc>
        <w:tc>
          <w:tcPr>
            <w:tcW w:w="2520" w:type="dxa"/>
          </w:tcPr>
          <w:p w14:paraId="2B1BA558" w14:textId="6C9BA0C6" w:rsidR="005C489D" w:rsidRDefault="005C489D" w:rsidP="005C489D">
            <w:pPr>
              <w:rPr>
                <w:rFonts w:cs="Arial"/>
                <w:lang w:val="en-US"/>
              </w:rPr>
            </w:pPr>
            <w:r>
              <w:t>30-49</w:t>
            </w:r>
          </w:p>
        </w:tc>
        <w:tc>
          <w:tcPr>
            <w:tcW w:w="4518" w:type="dxa"/>
          </w:tcPr>
          <w:p w14:paraId="5EA2F0FE" w14:textId="4D963053" w:rsidR="005C489D" w:rsidRDefault="005C489D" w:rsidP="005C489D">
            <w:pPr>
              <w:rPr>
                <w:rFonts w:cs="Arial"/>
                <w:lang w:val="en-US"/>
              </w:rPr>
            </w:pPr>
            <w:r>
              <w:t>1/3 от препоръчваната дневна доза, 2 приема</w:t>
            </w:r>
          </w:p>
        </w:tc>
      </w:tr>
      <w:tr w:rsidR="005C489D" w14:paraId="25CBEDE6" w14:textId="77777777" w:rsidTr="005C489D">
        <w:tc>
          <w:tcPr>
            <w:tcW w:w="2538" w:type="dxa"/>
          </w:tcPr>
          <w:p w14:paraId="345F1CBA" w14:textId="2973B55B" w:rsidR="005C489D" w:rsidRDefault="005C489D" w:rsidP="005C489D">
            <w:pPr>
              <w:rPr>
                <w:rFonts w:cs="Arial"/>
                <w:lang w:val="en-US"/>
              </w:rPr>
            </w:pPr>
            <w:r>
              <w:t>Тежка</w:t>
            </w:r>
          </w:p>
        </w:tc>
        <w:tc>
          <w:tcPr>
            <w:tcW w:w="2520" w:type="dxa"/>
          </w:tcPr>
          <w:p w14:paraId="3FDDCF15" w14:textId="57012D6A" w:rsidR="005C489D" w:rsidRDefault="005C489D" w:rsidP="005C489D">
            <w:pPr>
              <w:rPr>
                <w:rFonts w:cs="Arial"/>
                <w:lang w:val="en-US"/>
              </w:rPr>
            </w:pPr>
            <w:r>
              <w:t>&lt;30</w:t>
            </w:r>
          </w:p>
        </w:tc>
        <w:tc>
          <w:tcPr>
            <w:tcW w:w="4518" w:type="dxa"/>
          </w:tcPr>
          <w:p w14:paraId="3B5E255B" w14:textId="15C8C0D0" w:rsidR="005C489D" w:rsidRDefault="005C489D" w:rsidP="005C489D">
            <w:pPr>
              <w:rPr>
                <w:rFonts w:cs="Arial"/>
                <w:lang w:val="en-US"/>
              </w:rPr>
            </w:pPr>
            <w:r>
              <w:t>1/6 от препоръчваната дневна доза, приета наведнъж</w:t>
            </w:r>
          </w:p>
        </w:tc>
      </w:tr>
      <w:tr w:rsidR="005C489D" w14:paraId="48491179" w14:textId="77777777" w:rsidTr="005C489D">
        <w:tc>
          <w:tcPr>
            <w:tcW w:w="2538" w:type="dxa"/>
          </w:tcPr>
          <w:p w14:paraId="1B72623B" w14:textId="63380EAD" w:rsidR="005C489D" w:rsidRDefault="005C489D" w:rsidP="005C489D">
            <w:pPr>
              <w:rPr>
                <w:rFonts w:cs="Arial"/>
                <w:lang w:val="en-US"/>
              </w:rPr>
            </w:pPr>
            <w:r>
              <w:t>Последен стадий на бъбречно заболяване</w:t>
            </w:r>
          </w:p>
        </w:tc>
        <w:tc>
          <w:tcPr>
            <w:tcW w:w="2520" w:type="dxa"/>
          </w:tcPr>
          <w:p w14:paraId="0E2F2477" w14:textId="7897F483" w:rsidR="005C489D" w:rsidRDefault="005C489D" w:rsidP="005C489D">
            <w:pPr>
              <w:rPr>
                <w:rFonts w:cs="Arial"/>
                <w:lang w:val="en-US"/>
              </w:rPr>
            </w:pPr>
            <w:r>
              <w:t>-</w:t>
            </w:r>
          </w:p>
        </w:tc>
        <w:tc>
          <w:tcPr>
            <w:tcW w:w="4518" w:type="dxa"/>
          </w:tcPr>
          <w:p w14:paraId="41969118" w14:textId="5199AB2D" w:rsidR="005C489D" w:rsidRDefault="005C489D" w:rsidP="005C489D">
            <w:pPr>
              <w:rPr>
                <w:rFonts w:cs="Arial"/>
                <w:lang w:val="en-US"/>
              </w:rPr>
            </w:pPr>
            <w:r>
              <w:t>Противопоказно</w:t>
            </w:r>
          </w:p>
        </w:tc>
      </w:tr>
    </w:tbl>
    <w:p w14:paraId="617BE5C9" w14:textId="5F302605" w:rsidR="005C489D" w:rsidRDefault="005C489D" w:rsidP="005C489D">
      <w:pPr>
        <w:rPr>
          <w:rFonts w:cs="Arial"/>
          <w:lang w:val="en-US"/>
        </w:rPr>
      </w:pPr>
    </w:p>
    <w:p w14:paraId="5F3B454A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eastAsia="bg-BG"/>
        </w:rPr>
        <w:t>Пациенти с чернодробно увреждане</w:t>
      </w:r>
    </w:p>
    <w:p w14:paraId="7FDE1AAB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При пациенти с чернодробно увреждане, без друго заболяване, не е необходима корекция на дозата. При пациенти с чернодробно увреждане и бъбречно увреждане се препоръчва корекция на дозата (вж. „Коригиране на дозата при пациенти с бъбречно увреждане” по- горе).</w:t>
      </w:r>
    </w:p>
    <w:p w14:paraId="1C3C8111" w14:textId="77777777" w:rsidR="005C489D" w:rsidRPr="005C489D" w:rsidRDefault="005C489D" w:rsidP="005C489D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06B21CD1" w14:textId="5063B5A6" w:rsidR="005C489D" w:rsidRPr="005C489D" w:rsidRDefault="005C489D" w:rsidP="005C489D">
      <w:pPr>
        <w:pStyle w:val="3"/>
        <w:rPr>
          <w:rFonts w:eastAsia="Times New Roman"/>
          <w:b/>
          <w:bCs/>
          <w:u w:val="single"/>
        </w:rPr>
      </w:pPr>
      <w:r w:rsidRPr="005C489D">
        <w:rPr>
          <w:rFonts w:eastAsia="Times New Roman"/>
          <w:b/>
          <w:bCs/>
          <w:u w:val="single"/>
          <w:lang w:eastAsia="bg-BG"/>
        </w:rPr>
        <w:t>Начин на приложение</w:t>
      </w:r>
    </w:p>
    <w:p w14:paraId="7A0839CA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Луцетам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трябва да се прилага перорално и може да се приема с или без храна.</w:t>
      </w:r>
    </w:p>
    <w:p w14:paraId="289DFF9B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Филмираната(</w:t>
      </w:r>
      <w:proofErr w:type="spellStart"/>
      <w:r w:rsidRPr="005C489D">
        <w:rPr>
          <w:rFonts w:eastAsia="Times New Roman" w:cs="Arial"/>
          <w:color w:val="000000"/>
          <w:lang w:eastAsia="bg-BG"/>
        </w:rPr>
        <w:t>ите</w:t>
      </w:r>
      <w:proofErr w:type="spellEnd"/>
      <w:r w:rsidRPr="005C489D">
        <w:rPr>
          <w:rFonts w:eastAsia="Times New Roman" w:cs="Arial"/>
          <w:color w:val="000000"/>
          <w:lang w:eastAsia="bg-BG"/>
        </w:rPr>
        <w:t>) таблетка(и) трябва да се поглъща(т) с вода. Препоръчва се дневната доза да бъде разделена на два до четири приема.</w:t>
      </w:r>
    </w:p>
    <w:p w14:paraId="552F7272" w14:textId="77777777" w:rsidR="005C489D" w:rsidRPr="005C489D" w:rsidRDefault="005C489D" w:rsidP="005C489D">
      <w:pPr>
        <w:rPr>
          <w:rFonts w:cs="Arial"/>
          <w:lang w:val="en-US"/>
        </w:rPr>
      </w:pPr>
    </w:p>
    <w:p w14:paraId="62B13D0B" w14:textId="5B7DC7DE" w:rsidR="00395555" w:rsidRDefault="002C50EE" w:rsidP="008A6AF2">
      <w:pPr>
        <w:pStyle w:val="2"/>
      </w:pPr>
      <w:r>
        <w:t>4.3. Противопоказания</w:t>
      </w:r>
    </w:p>
    <w:p w14:paraId="03696B24" w14:textId="7E3FEF3C" w:rsidR="005C489D" w:rsidRDefault="005C489D" w:rsidP="005C489D"/>
    <w:p w14:paraId="5679A284" w14:textId="77777777" w:rsidR="005C489D" w:rsidRPr="005C489D" w:rsidRDefault="005C489D" w:rsidP="005C489D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 xml:space="preserve">Свръхчувствителност към активното вещество, към други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пиролидонови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производни или към някое от помощните вещества, изброени в точка 6.1.</w:t>
      </w:r>
    </w:p>
    <w:p w14:paraId="135C8AB5" w14:textId="77777777" w:rsidR="005C489D" w:rsidRPr="005C489D" w:rsidRDefault="005C489D" w:rsidP="005C489D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>Мозъчен кръвоизлив.</w:t>
      </w:r>
    </w:p>
    <w:p w14:paraId="6041F2AE" w14:textId="77777777" w:rsidR="005C489D" w:rsidRPr="005C489D" w:rsidRDefault="005C489D" w:rsidP="005C489D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>Последен стадий на бъбречно заболяване.</w:t>
      </w:r>
    </w:p>
    <w:p w14:paraId="5D07EE80" w14:textId="77777777" w:rsidR="005C489D" w:rsidRPr="005C489D" w:rsidRDefault="005C489D" w:rsidP="005C489D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>Хорея на Хънтингтън.</w:t>
      </w:r>
    </w:p>
    <w:p w14:paraId="75C9C29C" w14:textId="77777777" w:rsidR="005C489D" w:rsidRPr="005C489D" w:rsidRDefault="005C489D" w:rsidP="005C489D"/>
    <w:p w14:paraId="5A4AC413" w14:textId="08A12A3F" w:rsidR="00395555" w:rsidRDefault="002C50EE" w:rsidP="008A6AF2">
      <w:pPr>
        <w:pStyle w:val="2"/>
      </w:pPr>
      <w:r>
        <w:lastRenderedPageBreak/>
        <w:t>4.4. Специални предупреждения и предпазни мерки при употреба</w:t>
      </w:r>
    </w:p>
    <w:p w14:paraId="29DE6457" w14:textId="53BC32F3" w:rsidR="005C489D" w:rsidRDefault="005C489D" w:rsidP="005C489D"/>
    <w:p w14:paraId="427EDE11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 xml:space="preserve">Ефекти на </w:t>
      </w:r>
      <w:proofErr w:type="spellStart"/>
      <w:r w:rsidRPr="005C489D">
        <w:rPr>
          <w:rFonts w:eastAsia="Times New Roman" w:cs="Arial"/>
          <w:color w:val="000000"/>
          <w:u w:val="single"/>
          <w:lang w:eastAsia="bg-BG"/>
        </w:rPr>
        <w:t>тромбоцитна</w:t>
      </w:r>
      <w:proofErr w:type="spellEnd"/>
      <w:r w:rsidRPr="005C489D">
        <w:rPr>
          <w:rFonts w:eastAsia="Times New Roman" w:cs="Arial"/>
          <w:color w:val="000000"/>
          <w:u w:val="single"/>
          <w:lang w:eastAsia="bg-BG"/>
        </w:rPr>
        <w:t xml:space="preserve"> агрегация</w:t>
      </w:r>
    </w:p>
    <w:p w14:paraId="181A0832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Поради ефекта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върху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тромбоцитната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агрегация (вж. т. 5.1) е необходимо повишено внимание при пациенти с тежка хеморагия, с риск от кръвоизлив, напр. стомашно- чревна язва, пациенти със съществуващи нарушения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хемостазата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с нарушения в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хемостазата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с анамнеза за хеморагичен мозъчно-съдов инцидент, пациенти, подложени на голяма хирургична интервенция, в т.ч. дентална, както и пациенти, приемащи антикоагуланти или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тромбоцитни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антиагреганти</w:t>
      </w:r>
      <w:proofErr w:type="spellEnd"/>
      <w:r w:rsidRPr="005C489D">
        <w:rPr>
          <w:rFonts w:eastAsia="Times New Roman" w:cs="Arial"/>
          <w:color w:val="000000"/>
          <w:lang w:eastAsia="bg-BG"/>
        </w:rPr>
        <w:t>, в т.ч. ацетилсалицилова киселина в ниска доза.</w:t>
      </w:r>
    </w:p>
    <w:p w14:paraId="00861778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B92DB9" w14:textId="5A6F7270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>Бъбречна недостатъчност</w:t>
      </w:r>
    </w:p>
    <w:p w14:paraId="101BD79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се елиминира през бъбреците, поради което е необходимо специално внимание в случай на бъбречна недостатъчност (вж. т. 4.2.)</w:t>
      </w:r>
    </w:p>
    <w:p w14:paraId="07581D79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2A9D57" w14:textId="66849514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</w:p>
    <w:p w14:paraId="58E2D225" w14:textId="27DF492A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При продължително лечение при пациенти в старческа възраст се изисква редов</w:t>
      </w:r>
      <w:r w:rsidRPr="005C489D">
        <w:rPr>
          <w:rFonts w:eastAsia="Times New Roman" w:cs="Arial"/>
          <w:color w:val="000000"/>
          <w:u w:val="single"/>
          <w:lang w:eastAsia="bg-BG"/>
        </w:rPr>
        <w:t>ен кон</w:t>
      </w:r>
      <w:r w:rsidRPr="005C489D">
        <w:rPr>
          <w:rFonts w:eastAsia="Times New Roman" w:cs="Arial"/>
          <w:color w:val="000000"/>
          <w:lang w:eastAsia="bg-BG"/>
        </w:rPr>
        <w:t xml:space="preserve">трол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креатининовия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клирънс с цел адаптиране на дозата при необходимост (вж.т.4.2)</w:t>
      </w:r>
    </w:p>
    <w:p w14:paraId="305AD662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A4B07C" w14:textId="5F71EB40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>Прекратяване на приема</w:t>
      </w:r>
    </w:p>
    <w:p w14:paraId="280844BF" w14:textId="5F417DE1" w:rsidR="005C489D" w:rsidRDefault="005C489D" w:rsidP="005C489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миоклонус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трябва да се избягва рязкото прекъсване на</w:t>
      </w:r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>лечението тъй като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>това може да доведе до внезапен рецидив или синдром на отнемане.</w:t>
      </w:r>
    </w:p>
    <w:p w14:paraId="6E8705F7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44F76A" w14:textId="63277A43" w:rsidR="00395555" w:rsidRDefault="002C50EE" w:rsidP="008A6AF2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7C8A4337" w14:textId="4CFCBDC8" w:rsidR="005C489D" w:rsidRDefault="005C489D" w:rsidP="005C489D"/>
    <w:p w14:paraId="4173FBFD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u w:val="single"/>
          <w:lang w:eastAsia="bg-BG"/>
        </w:rPr>
        <w:t>Фармакокинетични</w:t>
      </w:r>
      <w:proofErr w:type="spellEnd"/>
      <w:r w:rsidRPr="005C489D">
        <w:rPr>
          <w:rFonts w:eastAsia="Times New Roman" w:cs="Arial"/>
          <w:color w:val="000000"/>
          <w:u w:val="single"/>
          <w:lang w:eastAsia="bg-BG"/>
        </w:rPr>
        <w:t xml:space="preserve"> взаимодействия</w:t>
      </w:r>
    </w:p>
    <w:p w14:paraId="1996EB1C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Очакват се слаби лекарствени взаимодействия, които могат потенциално да променят фармакокинетиката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тъй като около 90% от дозата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се отделя с урината в непроменена форма.</w:t>
      </w:r>
    </w:p>
    <w:p w14:paraId="17CFD916" w14:textId="77777777" w:rsidR="005C489D" w:rsidRPr="005C489D" w:rsidRDefault="005C489D" w:rsidP="005C489D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4DC64E9D" w14:textId="15C3E90A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i/>
          <w:iCs/>
          <w:color w:val="000000"/>
          <w:lang w:val="en-US"/>
        </w:rPr>
        <w:t>In vitro,</w:t>
      </w:r>
      <w:r w:rsidRPr="005C489D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не потиска човешкия чернодробен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 xml:space="preserve">Р450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изоензимите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r w:rsidRPr="005C489D">
        <w:rPr>
          <w:rFonts w:eastAsia="Times New Roman" w:cs="Arial"/>
          <w:color w:val="000000"/>
          <w:lang w:val="en-US"/>
        </w:rPr>
        <w:t xml:space="preserve">CYP </w:t>
      </w:r>
      <w:r w:rsidRPr="005C489D">
        <w:rPr>
          <w:rFonts w:eastAsia="Times New Roman" w:cs="Arial"/>
          <w:color w:val="000000"/>
          <w:lang w:eastAsia="bg-BG"/>
        </w:rPr>
        <w:t>1А2, 2В6,2С8,2С9, 2С19,</w:t>
      </w:r>
      <w:r w:rsidRPr="005C489D">
        <w:rPr>
          <w:rFonts w:eastAsia="Times New Roman" w:cs="Arial"/>
          <w:color w:val="000000"/>
          <w:lang w:val="en-US"/>
        </w:rPr>
        <w:t>2D6,</w:t>
      </w:r>
      <w:r w:rsidRPr="005C489D">
        <w:rPr>
          <w:rFonts w:eastAsia="Times New Roman" w:cs="Arial"/>
          <w:color w:val="000000"/>
          <w:lang w:eastAsia="bg-BG"/>
        </w:rPr>
        <w:t xml:space="preserve">2Е1 и 4А9/11 при концентрации 142, 426 и 1422 </w:t>
      </w:r>
      <w:proofErr w:type="spellStart"/>
      <w:r w:rsidRPr="005C489D">
        <w:rPr>
          <w:rFonts w:eastAsia="Times New Roman" w:cs="Arial"/>
          <w:color w:val="000000"/>
          <w:lang w:val="en-US"/>
        </w:rPr>
        <w:t>μg</w:t>
      </w:r>
      <w:proofErr w:type="spellEnd"/>
      <w:r w:rsidRPr="005C489D">
        <w:rPr>
          <w:rFonts w:eastAsia="Times New Roman" w:cs="Arial"/>
          <w:color w:val="000000"/>
          <w:lang w:val="en-US"/>
        </w:rPr>
        <w:t>/ml.</w:t>
      </w:r>
    </w:p>
    <w:p w14:paraId="4C3E86BD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C2B4C7" w14:textId="1D9730F9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При концентрации 1422 </w:t>
      </w:r>
      <w:proofErr w:type="spellStart"/>
      <w:r w:rsidRPr="005C489D">
        <w:rPr>
          <w:rFonts w:eastAsia="Times New Roman" w:cs="Arial"/>
          <w:color w:val="000000"/>
          <w:lang w:val="en-US"/>
        </w:rPr>
        <w:t>μg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/ml </w:t>
      </w:r>
      <w:r w:rsidRPr="005C489D">
        <w:rPr>
          <w:rFonts w:eastAsia="Times New Roman" w:cs="Arial"/>
          <w:color w:val="000000"/>
          <w:lang w:eastAsia="bg-BG"/>
        </w:rPr>
        <w:t xml:space="preserve">са наблюдавани слаби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инхибиторни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ефекти върху </w:t>
      </w:r>
      <w:r w:rsidRPr="005C489D">
        <w:rPr>
          <w:rFonts w:eastAsia="Times New Roman" w:cs="Arial"/>
          <w:color w:val="000000"/>
          <w:lang w:val="en-US"/>
        </w:rPr>
        <w:t xml:space="preserve">CYP </w:t>
      </w:r>
      <w:r w:rsidRPr="005C489D">
        <w:rPr>
          <w:rFonts w:eastAsia="Times New Roman" w:cs="Arial"/>
          <w:color w:val="000000"/>
          <w:lang w:eastAsia="bg-BG"/>
        </w:rPr>
        <w:t xml:space="preserve">2А6 (21%) и 3 А4/5 (11%). Въпреки това обаче има вероятност </w:t>
      </w:r>
      <w:r w:rsidRPr="005C489D">
        <w:rPr>
          <w:rFonts w:eastAsia="Times New Roman" w:cs="Arial"/>
          <w:color w:val="000000"/>
          <w:lang w:val="en-US"/>
        </w:rPr>
        <w:t xml:space="preserve">Ki </w:t>
      </w:r>
      <w:r w:rsidRPr="005C489D">
        <w:rPr>
          <w:rFonts w:eastAsia="Times New Roman" w:cs="Arial"/>
          <w:color w:val="000000"/>
          <w:lang w:eastAsia="bg-BG"/>
        </w:rPr>
        <w:t xml:space="preserve">стойностите на инхибиране за тези две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изоформи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на </w:t>
      </w:r>
      <w:r w:rsidRPr="005C489D">
        <w:rPr>
          <w:rFonts w:eastAsia="Times New Roman" w:cs="Arial"/>
          <w:color w:val="000000"/>
          <w:lang w:val="en-US"/>
        </w:rPr>
        <w:t xml:space="preserve">CYP </w:t>
      </w:r>
      <w:r w:rsidRPr="005C489D">
        <w:rPr>
          <w:rFonts w:eastAsia="Times New Roman" w:cs="Arial"/>
          <w:color w:val="000000"/>
          <w:lang w:eastAsia="bg-BG"/>
        </w:rPr>
        <w:t xml:space="preserve">да бъдат значително над 1422 </w:t>
      </w:r>
      <w:proofErr w:type="spellStart"/>
      <w:r w:rsidRPr="005C489D">
        <w:rPr>
          <w:rFonts w:eastAsia="Times New Roman" w:cs="Arial"/>
          <w:color w:val="000000"/>
          <w:lang w:val="en-US"/>
        </w:rPr>
        <w:t>μg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/ml. </w:t>
      </w:r>
      <w:r w:rsidRPr="005C489D">
        <w:rPr>
          <w:rFonts w:eastAsia="Times New Roman" w:cs="Arial"/>
          <w:color w:val="000000"/>
          <w:lang w:eastAsia="bg-BG"/>
        </w:rPr>
        <w:t xml:space="preserve">Следователно, няма вероятност за метаболитно взаимодействие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 други лекарства.</w:t>
      </w:r>
    </w:p>
    <w:p w14:paraId="1598AFA6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9E04AC" w14:textId="5A9808DB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u w:val="single"/>
          <w:lang w:eastAsia="bg-BG"/>
        </w:rPr>
        <w:t>Тиреоидни</w:t>
      </w:r>
      <w:proofErr w:type="spellEnd"/>
      <w:r w:rsidRPr="005C489D">
        <w:rPr>
          <w:rFonts w:eastAsia="Times New Roman" w:cs="Arial"/>
          <w:color w:val="000000"/>
          <w:u w:val="single"/>
          <w:lang w:eastAsia="bg-BG"/>
        </w:rPr>
        <w:t xml:space="preserve"> хормони</w:t>
      </w:r>
    </w:p>
    <w:p w14:paraId="5425EDCF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При едновременно лечение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тироиден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екстракт (ТЗ+Т4) са съобщавани обърканост, раздразнителност и нарушение на съня.</w:t>
      </w:r>
    </w:p>
    <w:p w14:paraId="57EDD883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21084C" w14:textId="5A10F758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u w:val="single"/>
          <w:lang w:eastAsia="bg-BG"/>
        </w:rPr>
        <w:t>Аценокумарол</w:t>
      </w:r>
      <w:proofErr w:type="spellEnd"/>
    </w:p>
    <w:p w14:paraId="64482D3D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Публикуваните резултати от единично-сляпо проучване при пациенти с тежка хронична венозна тромбоза показват, че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в доза 9,6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дневно не променя необходимата за достигане на </w:t>
      </w:r>
      <w:r w:rsidRPr="005C489D">
        <w:rPr>
          <w:rFonts w:eastAsia="Times New Roman" w:cs="Arial"/>
          <w:color w:val="000000"/>
          <w:lang w:val="en-US"/>
        </w:rPr>
        <w:t xml:space="preserve">INR </w:t>
      </w:r>
      <w:r w:rsidRPr="005C489D">
        <w:rPr>
          <w:rFonts w:eastAsia="Times New Roman" w:cs="Arial"/>
          <w:color w:val="000000"/>
          <w:lang w:eastAsia="bg-BG"/>
        </w:rPr>
        <w:t xml:space="preserve">2,5 до 3,5 доза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аценокумарол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но в сравнение с ефекта само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аценокумарол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прибавянето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в доза 9,6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r w:rsidRPr="005C489D">
        <w:rPr>
          <w:rFonts w:eastAsia="Times New Roman" w:cs="Arial"/>
          <w:color w:val="000000"/>
          <w:lang w:eastAsia="bg-BG"/>
        </w:rPr>
        <w:t xml:space="preserve">дневно води до значително намаляване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тромбоцитната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агрегация, освобождаването на В-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тромбоглобулин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нивата </w:t>
      </w:r>
      <w:r w:rsidRPr="005C489D">
        <w:rPr>
          <w:rFonts w:eastAsia="Times New Roman" w:cs="Arial"/>
          <w:color w:val="000000"/>
          <w:lang w:eastAsia="bg-BG"/>
        </w:rPr>
        <w:lastRenderedPageBreak/>
        <w:t xml:space="preserve">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фибриногена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 факторите на </w:t>
      </w:r>
      <w:proofErr w:type="spellStart"/>
      <w:r w:rsidRPr="005C489D">
        <w:rPr>
          <w:rFonts w:eastAsia="Times New Roman" w:cs="Arial"/>
          <w:color w:val="000000"/>
          <w:lang w:val="en-US"/>
        </w:rPr>
        <w:t>Willenbrand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(VTH </w:t>
      </w:r>
      <w:r w:rsidRPr="005C489D">
        <w:rPr>
          <w:rFonts w:eastAsia="Times New Roman" w:cs="Arial"/>
          <w:color w:val="000000"/>
          <w:lang w:eastAsia="bg-BG"/>
        </w:rPr>
        <w:t xml:space="preserve">: С; </w:t>
      </w:r>
      <w:r w:rsidRPr="005C489D">
        <w:rPr>
          <w:rFonts w:eastAsia="Times New Roman" w:cs="Arial"/>
          <w:color w:val="000000"/>
          <w:lang w:val="en-US"/>
        </w:rPr>
        <w:t xml:space="preserve">VIII: </w:t>
      </w:r>
      <w:proofErr w:type="spellStart"/>
      <w:r w:rsidRPr="005C489D">
        <w:rPr>
          <w:rFonts w:eastAsia="Times New Roman" w:cs="Arial"/>
          <w:color w:val="000000"/>
          <w:lang w:val="en-US"/>
        </w:rPr>
        <w:t>vW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 xml:space="preserve">: </w:t>
      </w:r>
      <w:r w:rsidRPr="005C489D">
        <w:rPr>
          <w:rFonts w:eastAsia="Times New Roman" w:cs="Arial"/>
          <w:color w:val="000000"/>
          <w:lang w:val="en-US"/>
        </w:rPr>
        <w:t xml:space="preserve">Ag; </w:t>
      </w:r>
      <w:r w:rsidRPr="005C489D">
        <w:rPr>
          <w:rFonts w:eastAsia="Times New Roman" w:cs="Arial"/>
          <w:color w:val="000000"/>
          <w:lang w:eastAsia="bg-BG"/>
        </w:rPr>
        <w:t xml:space="preserve">VIII: </w:t>
      </w:r>
      <w:proofErr w:type="spellStart"/>
      <w:r w:rsidRPr="005C489D">
        <w:rPr>
          <w:rFonts w:eastAsia="Times New Roman" w:cs="Arial"/>
          <w:color w:val="000000"/>
          <w:lang w:val="en-US"/>
        </w:rPr>
        <w:t>vW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: </w:t>
      </w:r>
      <w:proofErr w:type="spellStart"/>
      <w:r w:rsidRPr="005C489D">
        <w:rPr>
          <w:rFonts w:eastAsia="Times New Roman" w:cs="Arial"/>
          <w:color w:val="000000"/>
          <w:lang w:val="en-US"/>
        </w:rPr>
        <w:t>RCo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), </w:t>
      </w:r>
      <w:r w:rsidRPr="005C489D">
        <w:rPr>
          <w:rFonts w:eastAsia="Times New Roman" w:cs="Arial"/>
          <w:color w:val="000000"/>
          <w:lang w:eastAsia="bg-BG"/>
        </w:rPr>
        <w:t>както и намаляване вискозитета на кръвта и плазмата.</w:t>
      </w:r>
    </w:p>
    <w:p w14:paraId="36BBB4B9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FC7100" w14:textId="7A47FCD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>Антиепилептични лекарства</w:t>
      </w:r>
    </w:p>
    <w:p w14:paraId="5287DFCC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Приложението на дневна доза от 20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в продължение на 4 седмици не е променило пиковите и най-ниските серумни нива на антиепилептични лекарства (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карбамазепин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фенитоин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фенобарбитон</w:t>
      </w:r>
      <w:proofErr w:type="spellEnd"/>
      <w:r w:rsidRPr="005C489D">
        <w:rPr>
          <w:rFonts w:eastAsia="Times New Roman" w:cs="Arial"/>
          <w:color w:val="000000"/>
          <w:lang w:eastAsia="bg-BG"/>
        </w:rPr>
        <w:t>, валпроат) при епилептици, приемащи стабилни дози.</w:t>
      </w:r>
    </w:p>
    <w:p w14:paraId="2E79308A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1A163EF" w14:textId="405C42BD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>Алкохол</w:t>
      </w:r>
    </w:p>
    <w:p w14:paraId="6783A4F5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Едновременната консумация на алкохол не е оказала влияние върху серумните нива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а нивата на алкохол не са били променени при перорално приложение на 1,6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>.</w:t>
      </w:r>
    </w:p>
    <w:p w14:paraId="17096E9C" w14:textId="77777777" w:rsidR="005C489D" w:rsidRPr="005C489D" w:rsidRDefault="005C489D" w:rsidP="005C489D"/>
    <w:p w14:paraId="6EADE4D6" w14:textId="37B4FCB6" w:rsidR="00395555" w:rsidRDefault="002C50EE" w:rsidP="008A6AF2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354FA4FD" w14:textId="4B7953B4" w:rsidR="005C489D" w:rsidRDefault="005C489D" w:rsidP="005C489D"/>
    <w:p w14:paraId="5ACB475E" w14:textId="77777777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Бременност</w:t>
      </w:r>
    </w:p>
    <w:p w14:paraId="437DC8D9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Няма подходящи данни относно употребата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при бременни жени. Проучванията при животни не показват преки или косвени вредни ефекти по отношение на бременността, ембрионалното/феталното развитие, родовия процес 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постнаталното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развитие (вж. точка 5.3).</w:t>
      </w:r>
    </w:p>
    <w:p w14:paraId="4B8F15A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преминава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плацентарната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бариера. Нивото на активното вещество при новороденото е приблизително 70-90% от това при майката.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не трябва да се прилага по време на бременност, освен при категорична необходимост, когато ползите са по- големи от рисковете и клиничното състояние на бременната налага лечение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>.</w:t>
      </w:r>
    </w:p>
    <w:p w14:paraId="1E77B788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3EAC4A" w14:textId="54F036EB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Кърмене</w:t>
      </w:r>
    </w:p>
    <w:p w14:paraId="3E64800E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се излъчва в кърмата при хора. Поради това не трябва да</w:t>
      </w:r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>се прилагат през периода</w:t>
      </w:r>
    </w:p>
    <w:p w14:paraId="088CF969" w14:textId="159F314E" w:rsidR="005C489D" w:rsidRDefault="005C489D" w:rsidP="005C489D">
      <w:pPr>
        <w:rPr>
          <w:rFonts w:eastAsia="Times New Roman" w:cs="Arial"/>
          <w:color w:val="000000"/>
          <w:lang w:eastAsia="bg-BG"/>
        </w:rPr>
      </w:pPr>
      <w:r w:rsidRPr="005C489D">
        <w:rPr>
          <w:rFonts w:eastAsia="Times New Roman" w:cs="Arial"/>
          <w:color w:val="000000"/>
          <w:lang w:eastAsia="bg-BG"/>
        </w:rPr>
        <w:t xml:space="preserve">на кърмене или кърменето трябва да се прекъсне по време на лечение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. Трябва да се вземе решение дали да се прекъсне кърменето или лечението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като се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взеамт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предвид ползата от кърменето за детето и ползата от лечението за жената.</w:t>
      </w:r>
    </w:p>
    <w:p w14:paraId="173328F2" w14:textId="77777777" w:rsidR="005C489D" w:rsidRPr="005C489D" w:rsidRDefault="005C489D" w:rsidP="005C489D">
      <w:pPr>
        <w:rPr>
          <w:rFonts w:cs="Arial"/>
        </w:rPr>
      </w:pPr>
    </w:p>
    <w:p w14:paraId="5766770B" w14:textId="4EFE9E29" w:rsidR="00395555" w:rsidRDefault="002C50EE" w:rsidP="008A6AF2">
      <w:pPr>
        <w:pStyle w:val="2"/>
      </w:pPr>
      <w:r>
        <w:t>4.7. Ефекти върху способността за шофиране и работа с машини</w:t>
      </w:r>
    </w:p>
    <w:p w14:paraId="185E01AB" w14:textId="6972CA5F" w:rsidR="005C489D" w:rsidRDefault="005C489D" w:rsidP="005C489D"/>
    <w:p w14:paraId="73CA82C3" w14:textId="0CFA2526" w:rsidR="005C489D" w:rsidRDefault="005C489D" w:rsidP="005C489D">
      <w:pPr>
        <w:rPr>
          <w:lang w:eastAsia="bg-BG"/>
        </w:rPr>
      </w:pPr>
      <w:r w:rsidRPr="005C489D">
        <w:rPr>
          <w:lang w:eastAsia="bg-BG"/>
        </w:rPr>
        <w:t>С оглед на нежеланите реакции, наблюдавани при прием на лекарството, повлияване на способността за шофиране и работа с машини е възможно и трябва да се има предвид.</w:t>
      </w:r>
    </w:p>
    <w:p w14:paraId="736FCC63" w14:textId="77777777" w:rsidR="005C489D" w:rsidRPr="005C489D" w:rsidRDefault="005C489D" w:rsidP="005C489D">
      <w:pPr>
        <w:rPr>
          <w:sz w:val="24"/>
          <w:szCs w:val="24"/>
        </w:rPr>
      </w:pPr>
    </w:p>
    <w:p w14:paraId="4FE16E21" w14:textId="53512F50" w:rsidR="00395555" w:rsidRDefault="002C50EE" w:rsidP="008A6AF2">
      <w:pPr>
        <w:pStyle w:val="2"/>
      </w:pPr>
      <w:r>
        <w:t>4.8. Нежелани лекарствени реакции</w:t>
      </w:r>
    </w:p>
    <w:p w14:paraId="6C90E04F" w14:textId="2300EAE7" w:rsidR="005C489D" w:rsidRDefault="005C489D" w:rsidP="005C489D"/>
    <w:p w14:paraId="3837AFC5" w14:textId="5258B2E3" w:rsidR="005C489D" w:rsidRPr="005C489D" w:rsidRDefault="005C489D" w:rsidP="005C489D">
      <w:pPr>
        <w:pStyle w:val="a3"/>
        <w:numPr>
          <w:ilvl w:val="0"/>
          <w:numId w:val="34"/>
        </w:numPr>
        <w:rPr>
          <w:lang w:eastAsia="bg-BG"/>
        </w:rPr>
      </w:pPr>
      <w:r w:rsidRPr="005C489D">
        <w:rPr>
          <w:lang w:eastAsia="bg-BG"/>
        </w:rPr>
        <w:t>Обобщение на профила за безопасност</w:t>
      </w:r>
    </w:p>
    <w:p w14:paraId="4B5EE37F" w14:textId="0E937D47" w:rsidR="005C489D" w:rsidRDefault="005C489D" w:rsidP="005C489D">
      <w:pPr>
        <w:rPr>
          <w:lang w:eastAsia="bg-BG"/>
        </w:rPr>
      </w:pPr>
      <w:r w:rsidRPr="005C489D">
        <w:rPr>
          <w:lang w:eastAsia="bg-BG"/>
        </w:rPr>
        <w:t xml:space="preserve">Проведени са двойно-слепи плацебо-контролирани клинични или фармакологични изпитвания, за които има квантифицирани данни за безопасност (извлечени от Банката за данни </w:t>
      </w:r>
      <w:r w:rsidRPr="005C489D">
        <w:rPr>
          <w:lang w:val="en-US"/>
        </w:rPr>
        <w:t xml:space="preserve">UCB Documentation Data Bank </w:t>
      </w:r>
      <w:r w:rsidRPr="005C489D">
        <w:rPr>
          <w:lang w:eastAsia="bg-BG"/>
        </w:rPr>
        <w:t xml:space="preserve">през юни 1997 г.) при повече от 3 000 участници, които са приемали </w:t>
      </w:r>
      <w:proofErr w:type="spellStart"/>
      <w:r w:rsidRPr="005C489D">
        <w:rPr>
          <w:lang w:eastAsia="bg-BG"/>
        </w:rPr>
        <w:t>пирацетам</w:t>
      </w:r>
      <w:proofErr w:type="spellEnd"/>
      <w:r w:rsidRPr="005C489D">
        <w:rPr>
          <w:lang w:eastAsia="bg-BG"/>
        </w:rPr>
        <w:t xml:space="preserve">, без значение на показанията, </w:t>
      </w:r>
      <w:proofErr w:type="spellStart"/>
      <w:r w:rsidRPr="005C489D">
        <w:rPr>
          <w:lang w:eastAsia="bg-BG"/>
        </w:rPr>
        <w:t>дозовата</w:t>
      </w:r>
      <w:proofErr w:type="spellEnd"/>
      <w:r w:rsidRPr="005C489D">
        <w:rPr>
          <w:lang w:eastAsia="bg-BG"/>
        </w:rPr>
        <w:t xml:space="preserve"> форма, дневната доза или характеристиките на популацията.</w:t>
      </w:r>
    </w:p>
    <w:p w14:paraId="4B39B3D5" w14:textId="77777777" w:rsidR="005C489D" w:rsidRPr="005C489D" w:rsidRDefault="005C489D" w:rsidP="005C489D">
      <w:pPr>
        <w:rPr>
          <w:sz w:val="24"/>
          <w:szCs w:val="24"/>
        </w:rPr>
      </w:pPr>
    </w:p>
    <w:p w14:paraId="124A4B31" w14:textId="6C8D26A6" w:rsidR="005C489D" w:rsidRPr="005C489D" w:rsidRDefault="005C489D" w:rsidP="005C489D">
      <w:pPr>
        <w:pStyle w:val="a3"/>
        <w:numPr>
          <w:ilvl w:val="0"/>
          <w:numId w:val="34"/>
        </w:numPr>
        <w:rPr>
          <w:lang w:eastAsia="bg-BG"/>
        </w:rPr>
      </w:pPr>
      <w:r w:rsidRPr="005C489D">
        <w:rPr>
          <w:lang w:eastAsia="bg-BG"/>
        </w:rPr>
        <w:t>Списък на нежеланите реакции в табличен вид</w:t>
      </w:r>
    </w:p>
    <w:p w14:paraId="4733584A" w14:textId="77777777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 xml:space="preserve">Нежеланите лекарствени реакции, съобщени в клинични проучвания и в периода след пускане в продажба, са изброени в таблицата по-долу според </w:t>
      </w:r>
      <w:proofErr w:type="spellStart"/>
      <w:r w:rsidRPr="005C489D">
        <w:rPr>
          <w:lang w:eastAsia="bg-BG"/>
        </w:rPr>
        <w:t>Системо</w:t>
      </w:r>
      <w:proofErr w:type="spellEnd"/>
      <w:r w:rsidRPr="005C489D">
        <w:rPr>
          <w:lang w:eastAsia="bg-BG"/>
        </w:rPr>
        <w:t>-органния клас и честотата. Според честотата си, реакциите се определят както следва: много чести (</w:t>
      </w:r>
      <w:r w:rsidRPr="005C489D">
        <w:rPr>
          <w:lang w:val="en-US"/>
        </w:rPr>
        <w:t>≥</w:t>
      </w:r>
      <w:r w:rsidRPr="005C489D">
        <w:rPr>
          <w:lang w:eastAsia="bg-BG"/>
        </w:rPr>
        <w:t>1/10) чести (</w:t>
      </w:r>
      <w:r w:rsidRPr="005C489D">
        <w:rPr>
          <w:lang w:val="en-US"/>
        </w:rPr>
        <w:t>≥</w:t>
      </w:r>
      <w:r w:rsidRPr="005C489D">
        <w:rPr>
          <w:lang w:eastAsia="bg-BG"/>
        </w:rPr>
        <w:t>1/100 до &lt;1/10) нечести (</w:t>
      </w:r>
      <w:r w:rsidRPr="005C489D">
        <w:rPr>
          <w:lang w:val="en-US"/>
        </w:rPr>
        <w:t>≥</w:t>
      </w:r>
      <w:r w:rsidRPr="005C489D">
        <w:rPr>
          <w:lang w:eastAsia="bg-BG"/>
        </w:rPr>
        <w:t>1/1 000 до &lt;1/100) редки (</w:t>
      </w:r>
      <w:r w:rsidRPr="005C489D">
        <w:rPr>
          <w:lang w:val="en-US"/>
        </w:rPr>
        <w:t>≥</w:t>
      </w:r>
      <w:r w:rsidRPr="005C489D">
        <w:rPr>
          <w:lang w:eastAsia="bg-BG"/>
        </w:rPr>
        <w:t>1/10 000 до &lt;1/1 000) много редки (&lt;1/10 000).</w:t>
      </w:r>
    </w:p>
    <w:p w14:paraId="17CEDF49" w14:textId="77777777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>с неизвестна честота (честотата не може да се определи от наличните данни)</w:t>
      </w:r>
    </w:p>
    <w:p w14:paraId="74FFA616" w14:textId="77777777" w:rsidR="005C489D" w:rsidRDefault="005C489D" w:rsidP="005C489D">
      <w:pPr>
        <w:rPr>
          <w:lang w:eastAsia="bg-BG"/>
        </w:rPr>
      </w:pPr>
    </w:p>
    <w:p w14:paraId="7658A32C" w14:textId="678F06AA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>Данните от периода след пускане в продажба не са достатъчни, за да се използват при оценка на честотата на нежеланите реакции при популацията, която ще приема това лечение.</w:t>
      </w:r>
    </w:p>
    <w:p w14:paraId="754059FC" w14:textId="4DC4FAD2" w:rsidR="005C489D" w:rsidRDefault="005C489D" w:rsidP="005C489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8"/>
        <w:gridCol w:w="2325"/>
        <w:gridCol w:w="2296"/>
        <w:gridCol w:w="2411"/>
      </w:tblGrid>
      <w:tr w:rsidR="005C489D" w14:paraId="38BAB235" w14:textId="77777777" w:rsidTr="005C489D">
        <w:tc>
          <w:tcPr>
            <w:tcW w:w="2389" w:type="dxa"/>
          </w:tcPr>
          <w:p w14:paraId="74DBE361" w14:textId="0446355F" w:rsidR="005C489D" w:rsidRDefault="005C489D" w:rsidP="005C489D">
            <w:proofErr w:type="spellStart"/>
            <w:r>
              <w:rPr>
                <w:b/>
                <w:bCs/>
              </w:rPr>
              <w:t>Системо</w:t>
            </w:r>
            <w:proofErr w:type="spellEnd"/>
            <w:r>
              <w:rPr>
                <w:b/>
                <w:bCs/>
              </w:rPr>
              <w:t xml:space="preserve">-органен клас (по </w:t>
            </w:r>
            <w:proofErr w:type="spellStart"/>
            <w:r>
              <w:rPr>
                <w:b/>
                <w:bCs/>
                <w:lang w:val="en-US"/>
              </w:rPr>
              <w:t>MedRA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2389" w:type="dxa"/>
          </w:tcPr>
          <w:p w14:paraId="32AEE9AA" w14:textId="147A406D" w:rsidR="005C489D" w:rsidRDefault="005C489D" w:rsidP="005C489D">
            <w:r>
              <w:rPr>
                <w:b/>
                <w:bCs/>
              </w:rPr>
              <w:t>Чести</w:t>
            </w:r>
          </w:p>
        </w:tc>
        <w:tc>
          <w:tcPr>
            <w:tcW w:w="2387" w:type="dxa"/>
          </w:tcPr>
          <w:p w14:paraId="7B46E81C" w14:textId="6ED11362" w:rsidR="005C489D" w:rsidRDefault="005C489D" w:rsidP="005C489D">
            <w:r>
              <w:rPr>
                <w:b/>
                <w:bCs/>
              </w:rPr>
              <w:t>Нечести</w:t>
            </w:r>
          </w:p>
        </w:tc>
        <w:tc>
          <w:tcPr>
            <w:tcW w:w="2411" w:type="dxa"/>
          </w:tcPr>
          <w:p w14:paraId="6A4373B4" w14:textId="65E1917B" w:rsidR="005C489D" w:rsidRDefault="005C489D" w:rsidP="005C489D">
            <w:r>
              <w:rPr>
                <w:b/>
                <w:bCs/>
              </w:rPr>
              <w:t>С неизвестна честота</w:t>
            </w:r>
          </w:p>
        </w:tc>
      </w:tr>
      <w:tr w:rsidR="005C489D" w14:paraId="28941D94" w14:textId="77777777" w:rsidTr="005C489D">
        <w:tc>
          <w:tcPr>
            <w:tcW w:w="2389" w:type="dxa"/>
          </w:tcPr>
          <w:p w14:paraId="6D5371B8" w14:textId="310650F1" w:rsidR="005C489D" w:rsidRDefault="005C489D" w:rsidP="005C489D">
            <w:r>
              <w:t>Нарушения на кръвта и лимфната система</w:t>
            </w:r>
          </w:p>
        </w:tc>
        <w:tc>
          <w:tcPr>
            <w:tcW w:w="2389" w:type="dxa"/>
          </w:tcPr>
          <w:p w14:paraId="353E9136" w14:textId="77777777" w:rsidR="005C489D" w:rsidRDefault="005C489D" w:rsidP="005C489D"/>
        </w:tc>
        <w:tc>
          <w:tcPr>
            <w:tcW w:w="2387" w:type="dxa"/>
          </w:tcPr>
          <w:p w14:paraId="3C5597B7" w14:textId="77777777" w:rsidR="005C489D" w:rsidRDefault="005C489D" w:rsidP="005C489D"/>
        </w:tc>
        <w:tc>
          <w:tcPr>
            <w:tcW w:w="2411" w:type="dxa"/>
          </w:tcPr>
          <w:p w14:paraId="3AAA0BD1" w14:textId="199717B1" w:rsidR="005C489D" w:rsidRDefault="005C489D" w:rsidP="005C489D">
            <w:r>
              <w:t>Хеморагични нарушения</w:t>
            </w:r>
          </w:p>
        </w:tc>
      </w:tr>
      <w:tr w:rsidR="005C489D" w14:paraId="4CD9886D" w14:textId="77777777" w:rsidTr="005C489D">
        <w:tc>
          <w:tcPr>
            <w:tcW w:w="2389" w:type="dxa"/>
          </w:tcPr>
          <w:p w14:paraId="553F89A3" w14:textId="5A5C01FE" w:rsidR="005C489D" w:rsidRDefault="005C489D" w:rsidP="005C489D">
            <w:r>
              <w:t>Нарушения на имунната система</w:t>
            </w:r>
          </w:p>
        </w:tc>
        <w:tc>
          <w:tcPr>
            <w:tcW w:w="2389" w:type="dxa"/>
          </w:tcPr>
          <w:p w14:paraId="01900803" w14:textId="77777777" w:rsidR="005C489D" w:rsidRDefault="005C489D" w:rsidP="005C489D"/>
        </w:tc>
        <w:tc>
          <w:tcPr>
            <w:tcW w:w="2387" w:type="dxa"/>
          </w:tcPr>
          <w:p w14:paraId="0D900DBF" w14:textId="77777777" w:rsidR="005C489D" w:rsidRDefault="005C489D" w:rsidP="005C489D"/>
        </w:tc>
        <w:tc>
          <w:tcPr>
            <w:tcW w:w="2411" w:type="dxa"/>
          </w:tcPr>
          <w:p w14:paraId="6A6C03C5" w14:textId="5474AC61" w:rsidR="005C489D" w:rsidRDefault="005C489D" w:rsidP="005C489D">
            <w:proofErr w:type="spellStart"/>
            <w:r>
              <w:t>Анафилактоидна</w:t>
            </w:r>
            <w:proofErr w:type="spellEnd"/>
            <w:r>
              <w:t xml:space="preserve"> реакция, свръхчувствителност</w:t>
            </w:r>
          </w:p>
        </w:tc>
      </w:tr>
      <w:tr w:rsidR="005C489D" w14:paraId="1914629A" w14:textId="77777777" w:rsidTr="005C489D">
        <w:tc>
          <w:tcPr>
            <w:tcW w:w="2389" w:type="dxa"/>
          </w:tcPr>
          <w:p w14:paraId="50539650" w14:textId="16C56250" w:rsidR="005C489D" w:rsidRDefault="005C489D" w:rsidP="005C489D">
            <w:r>
              <w:t>Психични нарушения</w:t>
            </w:r>
          </w:p>
        </w:tc>
        <w:tc>
          <w:tcPr>
            <w:tcW w:w="2389" w:type="dxa"/>
          </w:tcPr>
          <w:p w14:paraId="31BA574D" w14:textId="2D596643" w:rsidR="005C489D" w:rsidRDefault="005C489D" w:rsidP="005C489D">
            <w:r>
              <w:t>Нервност</w:t>
            </w:r>
          </w:p>
        </w:tc>
        <w:tc>
          <w:tcPr>
            <w:tcW w:w="2387" w:type="dxa"/>
          </w:tcPr>
          <w:p w14:paraId="54B3EF73" w14:textId="1B05DF3B" w:rsidR="005C489D" w:rsidRDefault="005C489D" w:rsidP="005C489D">
            <w:r>
              <w:t>Депресия</w:t>
            </w:r>
          </w:p>
        </w:tc>
        <w:tc>
          <w:tcPr>
            <w:tcW w:w="2411" w:type="dxa"/>
          </w:tcPr>
          <w:p w14:paraId="15F5FDC0" w14:textId="4B5193AE" w:rsidR="005C489D" w:rsidRDefault="005C489D" w:rsidP="005C489D">
            <w:proofErr w:type="spellStart"/>
            <w:r>
              <w:t>Ажитация</w:t>
            </w:r>
            <w:proofErr w:type="spellEnd"/>
            <w:r>
              <w:t>, тревожност, обърканост, халюцинации</w:t>
            </w:r>
          </w:p>
        </w:tc>
      </w:tr>
      <w:tr w:rsidR="005C489D" w14:paraId="74C8CB3B" w14:textId="77777777" w:rsidTr="005C489D">
        <w:tc>
          <w:tcPr>
            <w:tcW w:w="2389" w:type="dxa"/>
          </w:tcPr>
          <w:p w14:paraId="3E177C19" w14:textId="59B4F1F4" w:rsidR="005C489D" w:rsidRDefault="005C489D" w:rsidP="005C489D">
            <w:r>
              <w:t>Нарушения на нервната система</w:t>
            </w:r>
          </w:p>
        </w:tc>
        <w:tc>
          <w:tcPr>
            <w:tcW w:w="2389" w:type="dxa"/>
          </w:tcPr>
          <w:p w14:paraId="26008FDE" w14:textId="0DB300C6" w:rsidR="005C489D" w:rsidRDefault="005C489D" w:rsidP="005C489D">
            <w:proofErr w:type="spellStart"/>
            <w:r>
              <w:t>Хиперкинезия</w:t>
            </w:r>
            <w:proofErr w:type="spellEnd"/>
          </w:p>
        </w:tc>
        <w:tc>
          <w:tcPr>
            <w:tcW w:w="2387" w:type="dxa"/>
          </w:tcPr>
          <w:p w14:paraId="7E9C07BE" w14:textId="139B4B5C" w:rsidR="005C489D" w:rsidRDefault="005C489D" w:rsidP="005C489D">
            <w:r>
              <w:t>Сънливост</w:t>
            </w:r>
          </w:p>
        </w:tc>
        <w:tc>
          <w:tcPr>
            <w:tcW w:w="2411" w:type="dxa"/>
          </w:tcPr>
          <w:p w14:paraId="42E20AE5" w14:textId="47A6D765" w:rsidR="005C489D" w:rsidRDefault="005C489D" w:rsidP="005C489D">
            <w:proofErr w:type="spellStart"/>
            <w:r>
              <w:t>Атаксия</w:t>
            </w:r>
            <w:proofErr w:type="spellEnd"/>
            <w:r>
              <w:t>, нарушено равновесие, влошаване на епилепсия, главоболие, безсъние</w:t>
            </w:r>
          </w:p>
        </w:tc>
      </w:tr>
      <w:tr w:rsidR="005C489D" w14:paraId="12460011" w14:textId="77777777" w:rsidTr="005C489D">
        <w:tc>
          <w:tcPr>
            <w:tcW w:w="2389" w:type="dxa"/>
          </w:tcPr>
          <w:p w14:paraId="562980AE" w14:textId="27316B52" w:rsidR="005C489D" w:rsidRDefault="005C489D" w:rsidP="005C489D">
            <w:r>
              <w:t>Нарушения на ухото и лабиринта</w:t>
            </w:r>
          </w:p>
        </w:tc>
        <w:tc>
          <w:tcPr>
            <w:tcW w:w="2389" w:type="dxa"/>
          </w:tcPr>
          <w:p w14:paraId="113A82EF" w14:textId="77777777" w:rsidR="005C489D" w:rsidRDefault="005C489D" w:rsidP="005C489D"/>
        </w:tc>
        <w:tc>
          <w:tcPr>
            <w:tcW w:w="2387" w:type="dxa"/>
          </w:tcPr>
          <w:p w14:paraId="0CBDB7A3" w14:textId="77777777" w:rsidR="005C489D" w:rsidRDefault="005C489D" w:rsidP="005C489D"/>
        </w:tc>
        <w:tc>
          <w:tcPr>
            <w:tcW w:w="2411" w:type="dxa"/>
          </w:tcPr>
          <w:p w14:paraId="653A8D27" w14:textId="66A228C3" w:rsidR="005C489D" w:rsidRDefault="005C489D" w:rsidP="005C489D">
            <w:proofErr w:type="spellStart"/>
            <w:r>
              <w:t>Вертиго</w:t>
            </w:r>
            <w:proofErr w:type="spellEnd"/>
          </w:p>
        </w:tc>
      </w:tr>
      <w:tr w:rsidR="005C489D" w14:paraId="56476E91" w14:textId="77777777" w:rsidTr="005C489D">
        <w:tc>
          <w:tcPr>
            <w:tcW w:w="2389" w:type="dxa"/>
          </w:tcPr>
          <w:p w14:paraId="227D390F" w14:textId="2DEEF5E4" w:rsidR="005C489D" w:rsidRDefault="005C489D" w:rsidP="005C489D">
            <w:r>
              <w:t>Стомашно-чревни нарушения</w:t>
            </w:r>
          </w:p>
        </w:tc>
        <w:tc>
          <w:tcPr>
            <w:tcW w:w="2389" w:type="dxa"/>
          </w:tcPr>
          <w:p w14:paraId="3902C6B9" w14:textId="77777777" w:rsidR="005C489D" w:rsidRDefault="005C489D" w:rsidP="005C489D"/>
        </w:tc>
        <w:tc>
          <w:tcPr>
            <w:tcW w:w="2387" w:type="dxa"/>
          </w:tcPr>
          <w:p w14:paraId="3A8E6B9E" w14:textId="77777777" w:rsidR="005C489D" w:rsidRDefault="005C489D" w:rsidP="005C489D"/>
        </w:tc>
        <w:tc>
          <w:tcPr>
            <w:tcW w:w="2411" w:type="dxa"/>
          </w:tcPr>
          <w:p w14:paraId="04C36006" w14:textId="7602B055" w:rsidR="005C489D" w:rsidRDefault="005C489D" w:rsidP="005C489D">
            <w:r>
              <w:t>Коремна болка, болка в горната част на корема, диария, гадене, повръщане</w:t>
            </w:r>
          </w:p>
        </w:tc>
      </w:tr>
      <w:tr w:rsidR="005C489D" w14:paraId="37F04762" w14:textId="77777777" w:rsidTr="005C489D">
        <w:tc>
          <w:tcPr>
            <w:tcW w:w="2389" w:type="dxa"/>
          </w:tcPr>
          <w:p w14:paraId="0D6986D9" w14:textId="435C0225" w:rsidR="005C489D" w:rsidRDefault="005C489D" w:rsidP="005C489D">
            <w:r>
              <w:t>Нарушения на кожата и подкожната тъкан</w:t>
            </w:r>
          </w:p>
        </w:tc>
        <w:tc>
          <w:tcPr>
            <w:tcW w:w="2389" w:type="dxa"/>
          </w:tcPr>
          <w:p w14:paraId="2466E1F7" w14:textId="77777777" w:rsidR="005C489D" w:rsidRDefault="005C489D" w:rsidP="005C489D"/>
        </w:tc>
        <w:tc>
          <w:tcPr>
            <w:tcW w:w="2387" w:type="dxa"/>
          </w:tcPr>
          <w:p w14:paraId="19F77DE0" w14:textId="77777777" w:rsidR="005C489D" w:rsidRDefault="005C489D" w:rsidP="005C489D"/>
        </w:tc>
        <w:tc>
          <w:tcPr>
            <w:tcW w:w="2411" w:type="dxa"/>
          </w:tcPr>
          <w:p w14:paraId="46A4B63E" w14:textId="60339182" w:rsidR="005C489D" w:rsidRDefault="005C489D" w:rsidP="005C489D">
            <w:proofErr w:type="spellStart"/>
            <w:r>
              <w:t>Ангионевротичен</w:t>
            </w:r>
            <w:proofErr w:type="spellEnd"/>
            <w:r>
              <w:t xml:space="preserve"> оток, дерматит, </w:t>
            </w:r>
            <w:proofErr w:type="spellStart"/>
            <w:r>
              <w:t>прурит</w:t>
            </w:r>
            <w:proofErr w:type="spellEnd"/>
            <w:r>
              <w:t>, уртикария</w:t>
            </w:r>
          </w:p>
        </w:tc>
      </w:tr>
      <w:tr w:rsidR="005C489D" w14:paraId="427F33D6" w14:textId="77777777" w:rsidTr="005C489D">
        <w:tc>
          <w:tcPr>
            <w:tcW w:w="2389" w:type="dxa"/>
          </w:tcPr>
          <w:p w14:paraId="17EF52CC" w14:textId="3BCB28DF" w:rsidR="005C489D" w:rsidRDefault="005C489D" w:rsidP="005C489D">
            <w:r>
              <w:t>Общи нарушения и ефекти на мястото на приложение</w:t>
            </w:r>
          </w:p>
        </w:tc>
        <w:tc>
          <w:tcPr>
            <w:tcW w:w="2389" w:type="dxa"/>
          </w:tcPr>
          <w:p w14:paraId="53480791" w14:textId="77777777" w:rsidR="005C489D" w:rsidRDefault="005C489D" w:rsidP="005C489D"/>
        </w:tc>
        <w:tc>
          <w:tcPr>
            <w:tcW w:w="2387" w:type="dxa"/>
          </w:tcPr>
          <w:p w14:paraId="0D572D01" w14:textId="3561FFF8" w:rsidR="005C489D" w:rsidRDefault="005C489D" w:rsidP="005C489D">
            <w:proofErr w:type="spellStart"/>
            <w:r>
              <w:t>Астения</w:t>
            </w:r>
            <w:proofErr w:type="spellEnd"/>
          </w:p>
        </w:tc>
        <w:tc>
          <w:tcPr>
            <w:tcW w:w="2411" w:type="dxa"/>
          </w:tcPr>
          <w:p w14:paraId="64664558" w14:textId="77777777" w:rsidR="005C489D" w:rsidRDefault="005C489D" w:rsidP="005C489D"/>
        </w:tc>
      </w:tr>
      <w:tr w:rsidR="005C489D" w14:paraId="01D51566" w14:textId="77777777" w:rsidTr="005C489D">
        <w:tc>
          <w:tcPr>
            <w:tcW w:w="2389" w:type="dxa"/>
          </w:tcPr>
          <w:p w14:paraId="24F45DAE" w14:textId="7BEBCE45" w:rsidR="005C489D" w:rsidRDefault="005C489D" w:rsidP="005C489D">
            <w:r>
              <w:t>Изследвания</w:t>
            </w:r>
          </w:p>
        </w:tc>
        <w:tc>
          <w:tcPr>
            <w:tcW w:w="2389" w:type="dxa"/>
          </w:tcPr>
          <w:p w14:paraId="2055366A" w14:textId="77777777" w:rsidR="005C489D" w:rsidRDefault="005C489D" w:rsidP="005C489D">
            <w:r>
              <w:t>Повишаване</w:t>
            </w:r>
          </w:p>
          <w:p w14:paraId="4DBA93E2" w14:textId="0015320A" w:rsidR="005C489D" w:rsidRDefault="005C489D" w:rsidP="005C489D">
            <w:r>
              <w:t>на теглото</w:t>
            </w:r>
          </w:p>
        </w:tc>
        <w:tc>
          <w:tcPr>
            <w:tcW w:w="2387" w:type="dxa"/>
          </w:tcPr>
          <w:p w14:paraId="09C81D5F" w14:textId="77777777" w:rsidR="005C489D" w:rsidRDefault="005C489D" w:rsidP="005C489D"/>
        </w:tc>
        <w:tc>
          <w:tcPr>
            <w:tcW w:w="2411" w:type="dxa"/>
          </w:tcPr>
          <w:p w14:paraId="5D1B77F0" w14:textId="77777777" w:rsidR="005C489D" w:rsidRDefault="005C489D" w:rsidP="005C489D"/>
        </w:tc>
      </w:tr>
    </w:tbl>
    <w:p w14:paraId="3562AC07" w14:textId="77777777" w:rsid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848C89" w14:textId="577EC544" w:rsidR="005C489D" w:rsidRPr="005C489D" w:rsidRDefault="005C489D" w:rsidP="005C489D">
      <w:pPr>
        <w:spacing w:line="240" w:lineRule="auto"/>
        <w:rPr>
          <w:rFonts w:eastAsia="Times New Roman" w:cs="Arial"/>
        </w:rPr>
      </w:pPr>
      <w:r w:rsidRPr="005C489D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1105549" w14:textId="77777777" w:rsidR="005C489D" w:rsidRPr="005C489D" w:rsidRDefault="005C489D" w:rsidP="005C489D">
      <w:pPr>
        <w:spacing w:line="240" w:lineRule="auto"/>
        <w:rPr>
          <w:rFonts w:eastAsia="Times New Roman" w:cs="Arial"/>
        </w:rPr>
      </w:pPr>
      <w:r w:rsidRPr="005C489D">
        <w:rPr>
          <w:rFonts w:eastAsia="Times New Roman" w:cs="Arial"/>
          <w:color w:val="000000"/>
          <w:lang w:eastAsia="bg-BG"/>
        </w:rPr>
        <w:lastRenderedPageBreak/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ул. „Дамян Груев” № 8, 1303 София, Тел.: +35 928903417, уебсайт: </w:t>
      </w:r>
      <w:hyperlink r:id="rId6" w:history="1">
        <w:r w:rsidRPr="005C489D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18D72913" w14:textId="77777777" w:rsidR="005C489D" w:rsidRPr="005C489D" w:rsidRDefault="005C489D" w:rsidP="005C489D"/>
    <w:p w14:paraId="4ED30546" w14:textId="53834D5B" w:rsidR="007C605B" w:rsidRDefault="002C50EE" w:rsidP="009F1313">
      <w:pPr>
        <w:pStyle w:val="2"/>
      </w:pPr>
      <w:r>
        <w:t>4.9. Предозиране</w:t>
      </w:r>
    </w:p>
    <w:p w14:paraId="6F3B882D" w14:textId="59E42AAB" w:rsidR="005C489D" w:rsidRDefault="005C489D" w:rsidP="005C489D"/>
    <w:p w14:paraId="347615C3" w14:textId="77777777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Симптоми</w:t>
      </w:r>
    </w:p>
    <w:p w14:paraId="312DA8D1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Най-голямото предозиране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за което е съобщено, е 75 </w:t>
      </w:r>
      <w:r w:rsidRPr="005C489D">
        <w:rPr>
          <w:rFonts w:eastAsia="Times New Roman" w:cs="Arial"/>
          <w:color w:val="000000"/>
          <w:lang w:val="en-US"/>
        </w:rPr>
        <w:t xml:space="preserve">g, </w:t>
      </w:r>
      <w:r w:rsidRPr="005C489D">
        <w:rPr>
          <w:rFonts w:eastAsia="Times New Roman" w:cs="Arial"/>
          <w:color w:val="000000"/>
          <w:lang w:eastAsia="bg-BG"/>
        </w:rPr>
        <w:t xml:space="preserve">приети перорално. Възникнала е кървава диария, придружена с коремна болка, най-вероятно поради изключително високата доза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съдържаща се в използваната лекарствена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форма.Не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са съобщавани други нежелани реакции, конкретно свързани с предозиране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>.</w:t>
      </w:r>
    </w:p>
    <w:p w14:paraId="40F72FA8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B21EA3" w14:textId="05950541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Мерки при предозиране</w:t>
      </w:r>
    </w:p>
    <w:p w14:paraId="2F4E1C59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След остро, значително предозиране е необходимо изпразване на стомаха чрез стомашна промивка или предизвикване на повръщане. Няма специфичен антидот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>. Лечението при предозиране е симптоматично и може да включва хемодиализа.</w:t>
      </w:r>
    </w:p>
    <w:p w14:paraId="62A2409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Ефективността на отделяне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при диализа е 50 до 60%.</w:t>
      </w:r>
    </w:p>
    <w:p w14:paraId="2145D9EF" w14:textId="77777777" w:rsidR="005C489D" w:rsidRPr="005C489D" w:rsidRDefault="005C489D" w:rsidP="005C489D"/>
    <w:p w14:paraId="02081B24" w14:textId="77C4C9EC" w:rsidR="00395555" w:rsidRPr="00395555" w:rsidRDefault="002C50EE" w:rsidP="008A6AF2">
      <w:pPr>
        <w:pStyle w:val="1"/>
      </w:pPr>
      <w:r>
        <w:t>5. ФАРМАКОЛОГИЧНИ СВОЙСТВА</w:t>
      </w:r>
    </w:p>
    <w:p w14:paraId="5350637D" w14:textId="28436C2C" w:rsidR="00395555" w:rsidRDefault="002C50EE" w:rsidP="008A6AF2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D998FB4" w14:textId="472ABD50" w:rsidR="005C489D" w:rsidRDefault="005C489D" w:rsidP="005C489D"/>
    <w:p w14:paraId="5302A8E2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група: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Психостимуланти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; средства за лечение на ХАДВ 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ноотропни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средства, Други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психостимуланти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ноотропни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средства. АТС код: </w:t>
      </w:r>
      <w:r w:rsidRPr="005C489D">
        <w:rPr>
          <w:rFonts w:eastAsia="Times New Roman" w:cs="Arial"/>
          <w:color w:val="000000"/>
          <w:lang w:val="en-US"/>
        </w:rPr>
        <w:t xml:space="preserve">N06B </w:t>
      </w:r>
      <w:r w:rsidRPr="005C489D">
        <w:rPr>
          <w:rFonts w:eastAsia="Times New Roman" w:cs="Arial"/>
          <w:color w:val="000000"/>
          <w:lang w:eastAsia="bg-BG"/>
        </w:rPr>
        <w:t>Х03</w:t>
      </w:r>
    </w:p>
    <w:p w14:paraId="2E4F1E71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15C543" w14:textId="39BD4D66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Механизъм на действие</w:t>
      </w:r>
    </w:p>
    <w:p w14:paraId="663D690A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активното вещество в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Луцетам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е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ноотропно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средство със сложен механизъм на действие.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упражнява ефектите си чрез активиране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нуклеозидния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метаболизъм на невроните, увеличава мозъчната утилизация на глюкоза и кислород и стимулира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холинергичната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допаминергичната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невротрансмисия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показва зависимо от дозата свързване с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фосфолипидния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би-слой на клетъчната мембрана, възстановява структурния им интегритет, като се предполага, че подобрява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флуидитета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 функцията на мембраните.</w:t>
      </w:r>
    </w:p>
    <w:p w14:paraId="44BDA059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F38C55" w14:textId="0399F7A1" w:rsidR="005C489D" w:rsidRPr="005C489D" w:rsidRDefault="005C489D" w:rsidP="005C489D">
      <w:pPr>
        <w:pStyle w:val="3"/>
        <w:rPr>
          <w:rFonts w:eastAsia="Times New Roman"/>
          <w:u w:val="single"/>
        </w:rPr>
      </w:pPr>
      <w:proofErr w:type="spellStart"/>
      <w:r w:rsidRPr="005C489D">
        <w:rPr>
          <w:rFonts w:eastAsia="Times New Roman"/>
          <w:u w:val="single"/>
          <w:lang w:eastAsia="bg-BG"/>
        </w:rPr>
        <w:t>Фармакодинамични</w:t>
      </w:r>
      <w:proofErr w:type="spellEnd"/>
      <w:r w:rsidRPr="005C489D">
        <w:rPr>
          <w:rFonts w:eastAsia="Times New Roman"/>
          <w:u w:val="single"/>
          <w:lang w:eastAsia="bg-BG"/>
        </w:rPr>
        <w:t xml:space="preserve"> ефекти</w:t>
      </w:r>
    </w:p>
    <w:p w14:paraId="065B81B5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упражнява благоприятен ефект върху мозъчната микроциркулация и мозъчния метаболизъм при пациенти с церебрална исхемия, чрез подобряване на регионалния кръвоток в исхемичните области, без да увеличава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перфузията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интактните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области в мозъка.</w:t>
      </w:r>
    </w:p>
    <w:p w14:paraId="7F8BB4A6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упражнява позитивни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хемореологични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ефекти; увеличава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деформируемостта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на еритроцитите, намалява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тромбоцитната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агрегация, а също и адхезията на еритроцитите към съдовата стена и спазъма на капилярите. Освен това,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lastRenderedPageBreak/>
        <w:t xml:space="preserve">оказва пряк стимулиращ ефект върху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простациклиновата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синтеза в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интактната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съдова стена.</w:t>
      </w:r>
    </w:p>
    <w:p w14:paraId="2D9E317A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Според резултатите от експериментите с животни,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има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протективен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ефект върху ЦНС при хипоксия, церебрална травма, токсични ефекти и електроконвулсивно лечение, или намалява увреждащото действие на тези фактори.</w:t>
      </w:r>
    </w:p>
    <w:p w14:paraId="114AF4B1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DCE1D3" w14:textId="16B74E7E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Клинична ефикасност и безопасност</w:t>
      </w:r>
    </w:p>
    <w:p w14:paraId="3CD02096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На основата на резултатите от предклинични и клинични фармакологични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промиавания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подобрява когнитивните функции (научаване, памет, внимание, съзнателно</w:t>
      </w:r>
    </w:p>
    <w:p w14:paraId="177EF88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>състояние) и при здрави индивиди, и при пациенти с нарушение на тези функции. Наред с</w:t>
      </w:r>
    </w:p>
    <w:p w14:paraId="07BE94F6" w14:textId="689B6A5A" w:rsidR="005C489D" w:rsidRPr="005C489D" w:rsidRDefault="005C489D" w:rsidP="005C489D">
      <w:pPr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тези ефекти няма нито седативен, нито стимулиращ ефект.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може да предпази или възстанови когнитивните функции по време или след различни церебрални увреждания</w:t>
      </w:r>
      <w:r w:rsidRPr="005C489D">
        <w:rPr>
          <w:rFonts w:eastAsia="Times New Roman" w:cs="Arial"/>
          <w:color w:val="000000"/>
          <w:lang w:val="en-US" w:eastAsia="bg-BG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>(хипоксия, токсичност, електроконвулсивно лечение). Лекарството намалява ефектите на хипоксията върху церебралните функции и дейност.</w:t>
      </w:r>
    </w:p>
    <w:p w14:paraId="2D4BE74C" w14:textId="77777777" w:rsidR="005C489D" w:rsidRPr="005C489D" w:rsidRDefault="005C489D" w:rsidP="005C48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35098" w14:textId="2C6A6447" w:rsidR="00395555" w:rsidRDefault="002C50EE" w:rsidP="008A6AF2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0895C5F2" w14:textId="74D799B2" w:rsidR="005C489D" w:rsidRDefault="005C489D" w:rsidP="005C489D"/>
    <w:p w14:paraId="3E9816D1" w14:textId="77777777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Абсорбция</w:t>
      </w:r>
    </w:p>
    <w:p w14:paraId="6BB025DE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След перорално приложение той бързо се резорбира непроменен.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Бионаличностга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му е почти 100 %. Едновременният прием на храна не влияе върху степента на абсорбция, въпреки че стойностите на С</w:t>
      </w:r>
      <w:r w:rsidRPr="005C489D">
        <w:rPr>
          <w:rFonts w:eastAsia="Times New Roman" w:cs="Arial"/>
          <w:color w:val="000000"/>
          <w:vertAlign w:val="subscript"/>
          <w:lang w:val="en-US"/>
        </w:rPr>
        <w:t>max</w:t>
      </w:r>
      <w:r w:rsidRPr="005C489D">
        <w:rPr>
          <w:rFonts w:eastAsia="Times New Roman" w:cs="Arial"/>
          <w:color w:val="000000"/>
          <w:lang w:eastAsia="bg-BG"/>
        </w:rPr>
        <w:t xml:space="preserve"> се понижават, а тези на </w:t>
      </w:r>
      <w:proofErr w:type="spellStart"/>
      <w:r w:rsidRPr="005C489D">
        <w:rPr>
          <w:rFonts w:eastAsia="Times New Roman" w:cs="Arial"/>
          <w:color w:val="000000"/>
          <w:lang w:val="en-US"/>
        </w:rPr>
        <w:t>t</w:t>
      </w:r>
      <w:r w:rsidRPr="005C489D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>се повишават.</w:t>
      </w:r>
    </w:p>
    <w:p w14:paraId="055032B6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A99C99" w14:textId="6F720C56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Разпределение</w:t>
      </w:r>
    </w:p>
    <w:p w14:paraId="08E9899A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Пикови концентрации в плазмата се постигат 30-60 минути след приема, а в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цереброспиналната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течност - 2-8 часа след приема.</w:t>
      </w:r>
    </w:p>
    <w:p w14:paraId="22F36B8F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250A1A1" w14:textId="5233A951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Биотрансформация</w:t>
      </w:r>
    </w:p>
    <w:p w14:paraId="6A55584E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Елиминационният полуживот на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е 4-5 часа в плазмата и 6-8 часа в ЦСТ.</w:t>
      </w:r>
    </w:p>
    <w:p w14:paraId="672998BB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Свързването с плазмените протеини е 15 %.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кумулира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в церебралния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кортекс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5C489D">
        <w:rPr>
          <w:rFonts w:eastAsia="Times New Roman" w:cs="Arial"/>
          <w:color w:val="000000"/>
          <w:lang w:eastAsia="bg-BG"/>
        </w:rPr>
        <w:t>церебеларния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кортекс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, </w:t>
      </w:r>
      <w:r w:rsidRPr="005C489D">
        <w:rPr>
          <w:rFonts w:eastAsia="Times New Roman" w:cs="Arial"/>
          <w:color w:val="000000"/>
          <w:lang w:val="en-US"/>
        </w:rPr>
        <w:t xml:space="preserve">nucleus </w:t>
      </w:r>
      <w:proofErr w:type="spellStart"/>
      <w:r w:rsidRPr="005C489D">
        <w:rPr>
          <w:rFonts w:eastAsia="Times New Roman" w:cs="Arial"/>
          <w:color w:val="000000"/>
          <w:lang w:val="en-US"/>
        </w:rPr>
        <w:t>caudatus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, hippocampus, corpus </w:t>
      </w:r>
      <w:proofErr w:type="spellStart"/>
      <w:r w:rsidRPr="005C489D">
        <w:rPr>
          <w:rFonts w:eastAsia="Times New Roman" w:cs="Arial"/>
          <w:color w:val="000000"/>
          <w:lang w:val="en-US"/>
        </w:rPr>
        <w:t>geniculatum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5C489D">
        <w:rPr>
          <w:rFonts w:eastAsia="Times New Roman" w:cs="Arial"/>
          <w:color w:val="000000"/>
          <w:lang w:val="en-US"/>
        </w:rPr>
        <w:t>laterale</w:t>
      </w:r>
      <w:proofErr w:type="spellEnd"/>
      <w:r w:rsidRPr="005C489D">
        <w:rPr>
          <w:rFonts w:eastAsia="Times New Roman" w:cs="Arial"/>
          <w:color w:val="000000"/>
          <w:lang w:val="en-US"/>
        </w:rPr>
        <w:t xml:space="preserve"> </w:t>
      </w:r>
      <w:r w:rsidRPr="005C489D">
        <w:rPr>
          <w:rFonts w:eastAsia="Times New Roman" w:cs="Arial"/>
          <w:color w:val="000000"/>
          <w:lang w:eastAsia="bg-BG"/>
        </w:rPr>
        <w:t xml:space="preserve">и </w:t>
      </w:r>
      <w:r w:rsidRPr="005C489D">
        <w:rPr>
          <w:rFonts w:eastAsia="Times New Roman" w:cs="Arial"/>
          <w:color w:val="000000"/>
          <w:lang w:val="en-US"/>
        </w:rPr>
        <w:t xml:space="preserve">plexus </w:t>
      </w:r>
      <w:proofErr w:type="spellStart"/>
      <w:r w:rsidRPr="005C489D">
        <w:rPr>
          <w:rFonts w:eastAsia="Times New Roman" w:cs="Arial"/>
          <w:color w:val="000000"/>
          <w:lang w:val="en-US"/>
        </w:rPr>
        <w:t>chorioideus</w:t>
      </w:r>
      <w:proofErr w:type="spellEnd"/>
      <w:r w:rsidRPr="005C489D">
        <w:rPr>
          <w:rFonts w:eastAsia="Times New Roman" w:cs="Arial"/>
          <w:color w:val="000000"/>
          <w:lang w:val="en-US"/>
        </w:rPr>
        <w:t>.</w:t>
      </w:r>
    </w:p>
    <w:p w14:paraId="32A72B44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1D51A18" w14:textId="46547F5F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Елиминиране</w:t>
      </w:r>
    </w:p>
    <w:p w14:paraId="2756F498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Лекарството се отделя непроменено с урината. След еднократна доза 90-100 % от дозата се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за 24-30 часа.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преминава кръвно-мозъчната бариера, през плацентата (феталната концентрация достига 70-90 % от майчината) и се намира в кърмата.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подлежи на диализа (ефективността на екстракцията е 50-60 %).</w:t>
      </w:r>
    </w:p>
    <w:p w14:paraId="000E796A" w14:textId="77777777" w:rsidR="005C489D" w:rsidRPr="005C489D" w:rsidRDefault="005C489D" w:rsidP="005C489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F237F2" w14:textId="551775C9" w:rsidR="005C489D" w:rsidRPr="005C489D" w:rsidRDefault="005C489D" w:rsidP="005C489D">
      <w:pPr>
        <w:pStyle w:val="3"/>
        <w:rPr>
          <w:rFonts w:eastAsia="Times New Roman"/>
          <w:u w:val="single"/>
        </w:rPr>
      </w:pPr>
      <w:r w:rsidRPr="005C489D">
        <w:rPr>
          <w:rFonts w:eastAsia="Times New Roman"/>
          <w:u w:val="single"/>
          <w:lang w:eastAsia="bg-BG"/>
        </w:rPr>
        <w:t>Линейност</w:t>
      </w:r>
    </w:p>
    <w:p w14:paraId="605918C0" w14:textId="77777777" w:rsidR="005C489D" w:rsidRPr="005C489D" w:rsidRDefault="005C489D" w:rsidP="005C489D">
      <w:pPr>
        <w:spacing w:line="240" w:lineRule="auto"/>
        <w:rPr>
          <w:rFonts w:eastAsia="Times New Roman" w:cs="Arial"/>
          <w:sz w:val="24"/>
          <w:szCs w:val="24"/>
        </w:rPr>
      </w:pPr>
      <w:r w:rsidRPr="005C489D">
        <w:rPr>
          <w:rFonts w:eastAsia="Times New Roman" w:cs="Arial"/>
          <w:color w:val="000000"/>
          <w:lang w:eastAsia="bg-BG"/>
        </w:rPr>
        <w:t xml:space="preserve">В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дозовия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интервал 0,8-1,2 </w:t>
      </w:r>
      <w:r w:rsidRPr="005C489D">
        <w:rPr>
          <w:rFonts w:eastAsia="Times New Roman" w:cs="Arial"/>
          <w:color w:val="000000"/>
          <w:lang w:val="en-US"/>
        </w:rPr>
        <w:t xml:space="preserve">g </w:t>
      </w:r>
      <w:proofErr w:type="spellStart"/>
      <w:r w:rsidRPr="005C489D">
        <w:rPr>
          <w:rFonts w:eastAsia="Times New Roman" w:cs="Arial"/>
          <w:color w:val="000000"/>
          <w:lang w:eastAsia="bg-BG"/>
        </w:rPr>
        <w:t>пирацетам</w:t>
      </w:r>
      <w:proofErr w:type="spellEnd"/>
      <w:r w:rsidRPr="005C489D">
        <w:rPr>
          <w:rFonts w:eastAsia="Times New Roman" w:cs="Arial"/>
          <w:color w:val="000000"/>
          <w:lang w:eastAsia="bg-BG"/>
        </w:rPr>
        <w:t xml:space="preserve"> показва линейна фармакокинетика.</w:t>
      </w:r>
    </w:p>
    <w:p w14:paraId="0E303821" w14:textId="77777777" w:rsidR="005C489D" w:rsidRPr="005C489D" w:rsidRDefault="005C489D" w:rsidP="005C489D"/>
    <w:p w14:paraId="028E658A" w14:textId="02DEB040" w:rsidR="00395555" w:rsidRDefault="002C50EE" w:rsidP="008A6AF2">
      <w:pPr>
        <w:pStyle w:val="2"/>
      </w:pPr>
      <w:r>
        <w:t>5.3. Предклинични данни за безопасност</w:t>
      </w:r>
    </w:p>
    <w:p w14:paraId="341C443E" w14:textId="3B72D2D2" w:rsidR="005C489D" w:rsidRDefault="005C489D" w:rsidP="005C489D"/>
    <w:p w14:paraId="0C704C0A" w14:textId="77777777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 xml:space="preserve">Предклиничните данни показват, че </w:t>
      </w:r>
      <w:proofErr w:type="spellStart"/>
      <w:r w:rsidRPr="005C489D">
        <w:rPr>
          <w:lang w:eastAsia="bg-BG"/>
        </w:rPr>
        <w:t>пирацетам</w:t>
      </w:r>
      <w:proofErr w:type="spellEnd"/>
      <w:r w:rsidRPr="005C489D">
        <w:rPr>
          <w:lang w:eastAsia="bg-BG"/>
        </w:rPr>
        <w:t xml:space="preserve"> има нисък токсичен потенциал. </w:t>
      </w:r>
      <w:r w:rsidRPr="005C489D">
        <w:rPr>
          <w:lang w:val="en-US"/>
        </w:rPr>
        <w:t xml:space="preserve">In vitro </w:t>
      </w:r>
      <w:r w:rsidRPr="005C489D">
        <w:rPr>
          <w:lang w:eastAsia="bg-BG"/>
        </w:rPr>
        <w:t xml:space="preserve">и </w:t>
      </w:r>
      <w:r w:rsidRPr="005C489D">
        <w:rPr>
          <w:lang w:val="en-US"/>
        </w:rPr>
        <w:t xml:space="preserve">in vivo </w:t>
      </w:r>
      <w:r w:rsidRPr="005C489D">
        <w:rPr>
          <w:lang w:eastAsia="bg-BG"/>
        </w:rPr>
        <w:t xml:space="preserve">проучвания не установяват </w:t>
      </w:r>
      <w:proofErr w:type="spellStart"/>
      <w:r w:rsidRPr="005C489D">
        <w:rPr>
          <w:lang w:eastAsia="bg-BG"/>
        </w:rPr>
        <w:t>генотоксичен</w:t>
      </w:r>
      <w:proofErr w:type="spellEnd"/>
      <w:r w:rsidRPr="005C489D">
        <w:rPr>
          <w:lang w:eastAsia="bg-BG"/>
        </w:rPr>
        <w:t xml:space="preserve"> или канцерогенен потенциал.</w:t>
      </w:r>
    </w:p>
    <w:p w14:paraId="3F0E9A08" w14:textId="77777777" w:rsidR="005C489D" w:rsidRPr="005C489D" w:rsidRDefault="005C489D" w:rsidP="005C489D"/>
    <w:p w14:paraId="6A7820AB" w14:textId="4B21CB5D" w:rsidR="008A6AF2" w:rsidRDefault="002C50EE" w:rsidP="00395555">
      <w:pPr>
        <w:pStyle w:val="1"/>
      </w:pPr>
      <w:r>
        <w:lastRenderedPageBreak/>
        <w:t>7. ПРИТЕЖАТЕЛ НА РАЗРЕШЕНИЕТО ЗА УПОТРЕБА</w:t>
      </w:r>
    </w:p>
    <w:p w14:paraId="6A837D4F" w14:textId="516B2753" w:rsidR="005C489D" w:rsidRDefault="005C489D" w:rsidP="005C489D"/>
    <w:p w14:paraId="71C47B6B" w14:textId="77777777" w:rsidR="005C489D" w:rsidRPr="005C489D" w:rsidRDefault="005C489D" w:rsidP="005C489D">
      <w:pPr>
        <w:rPr>
          <w:sz w:val="24"/>
          <w:szCs w:val="24"/>
          <w:lang w:val="en-US"/>
        </w:rPr>
      </w:pPr>
      <w:r w:rsidRPr="005C489D">
        <w:rPr>
          <w:lang w:val="en-US"/>
        </w:rPr>
        <w:t>Egis Pharmaceuticals PLC</w:t>
      </w:r>
    </w:p>
    <w:p w14:paraId="19BFA605" w14:textId="77777777" w:rsidR="005C489D" w:rsidRPr="005C489D" w:rsidRDefault="005C489D" w:rsidP="005C489D">
      <w:pPr>
        <w:rPr>
          <w:sz w:val="24"/>
          <w:szCs w:val="24"/>
          <w:lang w:val="en-US"/>
        </w:rPr>
      </w:pPr>
      <w:r w:rsidRPr="005C489D">
        <w:rPr>
          <w:lang w:val="en-US"/>
        </w:rPr>
        <w:t xml:space="preserve">H-l </w:t>
      </w:r>
      <w:r w:rsidRPr="005C489D">
        <w:rPr>
          <w:lang w:eastAsia="bg-BG"/>
        </w:rPr>
        <w:t xml:space="preserve">106 </w:t>
      </w:r>
      <w:r w:rsidRPr="005C489D">
        <w:rPr>
          <w:lang w:val="en-US"/>
        </w:rPr>
        <w:t xml:space="preserve">Budapest, </w:t>
      </w:r>
      <w:proofErr w:type="spellStart"/>
      <w:r w:rsidRPr="005C489D">
        <w:rPr>
          <w:lang w:val="en-US"/>
        </w:rPr>
        <w:t>Kereszturi</w:t>
      </w:r>
      <w:proofErr w:type="spellEnd"/>
      <w:r w:rsidRPr="005C489D">
        <w:rPr>
          <w:lang w:val="en-US"/>
        </w:rPr>
        <w:t xml:space="preserve"> </w:t>
      </w:r>
      <w:proofErr w:type="spellStart"/>
      <w:r w:rsidRPr="005C489D">
        <w:rPr>
          <w:lang w:val="en-US"/>
        </w:rPr>
        <w:t>ut</w:t>
      </w:r>
      <w:proofErr w:type="spellEnd"/>
      <w:r w:rsidRPr="005C489D">
        <w:rPr>
          <w:lang w:val="en-US"/>
        </w:rPr>
        <w:t xml:space="preserve"> 30-38.</w:t>
      </w:r>
    </w:p>
    <w:p w14:paraId="16D07D03" w14:textId="7D2B2AE1" w:rsidR="005C489D" w:rsidRPr="005C489D" w:rsidRDefault="005C489D" w:rsidP="005C489D">
      <w:pPr>
        <w:rPr>
          <w:sz w:val="24"/>
          <w:szCs w:val="24"/>
          <w:lang w:val="en-US"/>
        </w:rPr>
      </w:pPr>
      <w:r w:rsidRPr="005C489D">
        <w:rPr>
          <w:lang w:eastAsia="bg-BG"/>
        </w:rPr>
        <w:t>Унгария</w:t>
      </w:r>
    </w:p>
    <w:p w14:paraId="04840D59" w14:textId="7C18FEE2" w:rsidR="002C50EE" w:rsidRDefault="002C50EE" w:rsidP="00395555">
      <w:pPr>
        <w:pStyle w:val="1"/>
      </w:pPr>
      <w:r>
        <w:t>8. НОМЕР НА РАЗРЕШЕНИЕТО ЗА УПОТРЕБА</w:t>
      </w:r>
    </w:p>
    <w:p w14:paraId="3A828801" w14:textId="77777777" w:rsidR="005C489D" w:rsidRPr="005C489D" w:rsidRDefault="005C489D" w:rsidP="005C489D">
      <w:pPr>
        <w:rPr>
          <w:sz w:val="24"/>
          <w:szCs w:val="24"/>
        </w:rPr>
      </w:pPr>
      <w:proofErr w:type="spellStart"/>
      <w:r w:rsidRPr="005C489D">
        <w:rPr>
          <w:lang w:eastAsia="bg-BG"/>
        </w:rPr>
        <w:t>Луцетам</w:t>
      </w:r>
      <w:proofErr w:type="spellEnd"/>
      <w:r w:rsidRPr="005C489D">
        <w:rPr>
          <w:lang w:eastAsia="bg-BG"/>
        </w:rPr>
        <w:t xml:space="preserve"> 400 </w:t>
      </w:r>
      <w:r w:rsidRPr="005C489D">
        <w:rPr>
          <w:lang w:val="en-US"/>
        </w:rPr>
        <w:t xml:space="preserve">mg </w:t>
      </w:r>
      <w:r w:rsidRPr="005C489D">
        <w:rPr>
          <w:lang w:eastAsia="bg-BG"/>
        </w:rPr>
        <w:t>филмирани таблетки: 20040260</w:t>
      </w:r>
    </w:p>
    <w:p w14:paraId="3CA86488" w14:textId="77777777" w:rsidR="005C489D" w:rsidRPr="005C489D" w:rsidRDefault="005C489D" w:rsidP="005C489D">
      <w:pPr>
        <w:rPr>
          <w:sz w:val="24"/>
          <w:szCs w:val="24"/>
        </w:rPr>
      </w:pPr>
      <w:proofErr w:type="spellStart"/>
      <w:r w:rsidRPr="005C489D">
        <w:rPr>
          <w:lang w:eastAsia="bg-BG"/>
        </w:rPr>
        <w:t>Луцетам</w:t>
      </w:r>
      <w:proofErr w:type="spellEnd"/>
      <w:r w:rsidRPr="005C489D">
        <w:rPr>
          <w:lang w:eastAsia="bg-BG"/>
        </w:rPr>
        <w:t xml:space="preserve"> 800 </w:t>
      </w:r>
      <w:r w:rsidRPr="005C489D">
        <w:rPr>
          <w:lang w:val="en-US"/>
        </w:rPr>
        <w:t xml:space="preserve">mg </w:t>
      </w:r>
      <w:r w:rsidRPr="005C489D">
        <w:rPr>
          <w:lang w:eastAsia="bg-BG"/>
        </w:rPr>
        <w:t>филмирани таблетки: 20040261</w:t>
      </w:r>
    </w:p>
    <w:p w14:paraId="23258AE7" w14:textId="77777777" w:rsidR="005C489D" w:rsidRPr="005C489D" w:rsidRDefault="005C489D" w:rsidP="005C489D">
      <w:pPr>
        <w:rPr>
          <w:sz w:val="24"/>
          <w:szCs w:val="24"/>
        </w:rPr>
      </w:pPr>
      <w:proofErr w:type="spellStart"/>
      <w:r w:rsidRPr="005C489D">
        <w:rPr>
          <w:lang w:eastAsia="bg-BG"/>
        </w:rPr>
        <w:t>Луцетам</w:t>
      </w:r>
      <w:proofErr w:type="spellEnd"/>
      <w:r w:rsidRPr="005C489D">
        <w:rPr>
          <w:lang w:eastAsia="bg-BG"/>
        </w:rPr>
        <w:t xml:space="preserve"> 1200 </w:t>
      </w:r>
      <w:r w:rsidRPr="005C489D">
        <w:rPr>
          <w:lang w:val="en-US"/>
        </w:rPr>
        <w:t xml:space="preserve">mg </w:t>
      </w:r>
      <w:r w:rsidRPr="005C489D">
        <w:rPr>
          <w:lang w:eastAsia="bg-BG"/>
        </w:rPr>
        <w:t>филмирани таблетки: 20040262</w:t>
      </w:r>
    </w:p>
    <w:p w14:paraId="65F71BC3" w14:textId="77777777" w:rsidR="005C489D" w:rsidRPr="005C489D" w:rsidRDefault="005C489D" w:rsidP="005C489D"/>
    <w:p w14:paraId="2CCB5832" w14:textId="724E7D0F" w:rsidR="007C605B" w:rsidRDefault="002C50EE" w:rsidP="007C605B">
      <w:pPr>
        <w:pStyle w:val="1"/>
      </w:pPr>
      <w:r>
        <w:t>9. ДАТА НА ПЪРВО РАЗРЕШАВАНЕ/ПОДНОВЯВАНЕ НА РАЗРЕШЕНИЕТО ЗА УПОТРЕБА</w:t>
      </w:r>
    </w:p>
    <w:p w14:paraId="543919E8" w14:textId="77777777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>Дата на първо разрешение за употреба: 28.05.2004 г.</w:t>
      </w:r>
    </w:p>
    <w:p w14:paraId="2DA3CCF9" w14:textId="77777777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>Дата на последно подновяване: 22.05.2015 г.</w:t>
      </w:r>
    </w:p>
    <w:p w14:paraId="48208AAE" w14:textId="77777777" w:rsidR="005C489D" w:rsidRPr="005C489D" w:rsidRDefault="005C489D" w:rsidP="005C489D"/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6AD44EDA" w14:textId="77777777" w:rsidR="005C489D" w:rsidRPr="005C489D" w:rsidRDefault="005C489D" w:rsidP="005C489D">
      <w:pPr>
        <w:rPr>
          <w:sz w:val="24"/>
          <w:szCs w:val="24"/>
        </w:rPr>
      </w:pPr>
      <w:r w:rsidRPr="005C489D">
        <w:rPr>
          <w:lang w:eastAsia="bg-BG"/>
        </w:rPr>
        <w:t>Февруари, 2017 г.</w:t>
      </w:r>
    </w:p>
    <w:p w14:paraId="43FB38A2" w14:textId="1D8A3B61" w:rsidR="007C605B" w:rsidRPr="003E3126" w:rsidRDefault="007C605B" w:rsidP="00395555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1D96856"/>
    <w:multiLevelType w:val="multilevel"/>
    <w:tmpl w:val="CB4476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3619E"/>
    <w:multiLevelType w:val="hybridMultilevel"/>
    <w:tmpl w:val="D884C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870BD"/>
    <w:multiLevelType w:val="multilevel"/>
    <w:tmpl w:val="CB4476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0"/>
  </w:num>
  <w:num w:numId="12">
    <w:abstractNumId w:val="15"/>
  </w:num>
  <w:num w:numId="13">
    <w:abstractNumId w:val="20"/>
  </w:num>
  <w:num w:numId="14">
    <w:abstractNumId w:val="12"/>
  </w:num>
  <w:num w:numId="15">
    <w:abstractNumId w:val="29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3"/>
  </w:num>
  <w:num w:numId="31">
    <w:abstractNumId w:val="5"/>
  </w:num>
  <w:num w:numId="32">
    <w:abstractNumId w:val="31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5C489D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a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2521</Words>
  <Characters>14371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2021-11-03T17:18:00Z</dcterms:created>
  <dcterms:modified xsi:type="dcterms:W3CDTF">2021-11-03T17:18:00Z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