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A328C" w14:textId="16329281" w:rsidR="002C50EE" w:rsidRDefault="002C50EE" w:rsidP="002C50EE">
      <w:pPr>
        <w:pStyle w:val="Heading1"/>
        <w:jc w:val="center"/>
      </w:pPr>
      <w:bookmarkStart w:id="0" w:name="_Hlk63124480"/>
      <w:r>
        <w:t>КРАТКА ХАРАКТЕРИСТИКА НА ПРОДУКТА</w:t>
      </w:r>
    </w:p>
    <w:p w14:paraId="4F735328" w14:textId="4A225071" w:rsidR="00DF4C8E" w:rsidRDefault="00DD466D" w:rsidP="00F44498">
      <w:pPr>
        <w:pStyle w:val="Heading1"/>
      </w:pPr>
      <w:r>
        <w:t>1.ИМЕ НА ЛЕКАРСТВЕНИЯ ПРОДУКТ</w:t>
      </w:r>
    </w:p>
    <w:p w14:paraId="2174D359" w14:textId="19DCBE13" w:rsidR="004223E9" w:rsidRDefault="004223E9" w:rsidP="004223E9"/>
    <w:p w14:paraId="51579347" w14:textId="77777777" w:rsidR="004223E9" w:rsidRDefault="004223E9" w:rsidP="004223E9">
      <w:pPr>
        <w:rPr>
          <w:lang w:eastAsia="bg-BG"/>
        </w:rPr>
      </w:pPr>
      <w:r w:rsidRPr="004223E9">
        <w:rPr>
          <w:lang w:eastAsia="bg-BG"/>
        </w:rPr>
        <w:t xml:space="preserve">Макропен 400 </w:t>
      </w:r>
      <w:r w:rsidRPr="004223E9">
        <w:rPr>
          <w:lang w:val="en-US"/>
        </w:rPr>
        <w:t>mg</w:t>
      </w:r>
      <w:r w:rsidRPr="004223E9">
        <w:t xml:space="preserve"> </w:t>
      </w:r>
      <w:r w:rsidRPr="004223E9">
        <w:rPr>
          <w:lang w:eastAsia="bg-BG"/>
        </w:rPr>
        <w:t xml:space="preserve">филмирани таблетки </w:t>
      </w:r>
    </w:p>
    <w:p w14:paraId="5FBB6EAC" w14:textId="34919D98" w:rsidR="004223E9" w:rsidRPr="004223E9" w:rsidRDefault="004223E9" w:rsidP="004223E9">
      <w:pPr>
        <w:rPr>
          <w:sz w:val="24"/>
          <w:szCs w:val="24"/>
        </w:rPr>
      </w:pPr>
      <w:proofErr w:type="spellStart"/>
      <w:r w:rsidRPr="004223E9">
        <w:rPr>
          <w:lang w:val="en-US"/>
        </w:rPr>
        <w:t>Macropen</w:t>
      </w:r>
      <w:proofErr w:type="spellEnd"/>
      <w:r w:rsidRPr="004223E9">
        <w:t xml:space="preserve"> </w:t>
      </w:r>
      <w:r w:rsidRPr="004223E9">
        <w:rPr>
          <w:lang w:eastAsia="bg-BG"/>
        </w:rPr>
        <w:t xml:space="preserve">400 </w:t>
      </w:r>
      <w:r w:rsidRPr="004223E9">
        <w:rPr>
          <w:lang w:val="en-US"/>
        </w:rPr>
        <w:t>mg</w:t>
      </w:r>
      <w:r w:rsidRPr="004223E9">
        <w:t xml:space="preserve"> </w:t>
      </w:r>
      <w:r w:rsidRPr="004223E9">
        <w:rPr>
          <w:lang w:val="en-US"/>
        </w:rPr>
        <w:t>film</w:t>
      </w:r>
      <w:r w:rsidRPr="004223E9">
        <w:t>-</w:t>
      </w:r>
      <w:r w:rsidRPr="004223E9">
        <w:rPr>
          <w:lang w:val="en-US"/>
        </w:rPr>
        <w:t>coated</w:t>
      </w:r>
      <w:r w:rsidRPr="004223E9">
        <w:t xml:space="preserve"> </w:t>
      </w:r>
      <w:r w:rsidRPr="004223E9">
        <w:rPr>
          <w:lang w:val="en-US"/>
        </w:rPr>
        <w:t>tablets</w:t>
      </w:r>
    </w:p>
    <w:p w14:paraId="44748FFB" w14:textId="77777777" w:rsidR="004223E9" w:rsidRPr="004223E9" w:rsidRDefault="004223E9" w:rsidP="004223E9"/>
    <w:p w14:paraId="2BF7ACB1" w14:textId="27B9FA70" w:rsidR="00DF4C8E" w:rsidRDefault="00DD466D" w:rsidP="00F44498">
      <w:pPr>
        <w:pStyle w:val="Heading1"/>
      </w:pPr>
      <w:r>
        <w:t>2. КАЧЕСТВЕН И КОЛИЧЕСТВЕН СЪСТАВ</w:t>
      </w:r>
    </w:p>
    <w:p w14:paraId="24C966E4" w14:textId="5D7D0840" w:rsidR="004223E9" w:rsidRDefault="004223E9" w:rsidP="004223E9"/>
    <w:p w14:paraId="20B26DC5" w14:textId="1C0821E0" w:rsidR="004223E9" w:rsidRPr="004223E9" w:rsidRDefault="004223E9" w:rsidP="004223E9">
      <w:r>
        <w:t xml:space="preserve">Всяка филмирана таблетка съдържа 400 </w:t>
      </w:r>
      <w:r>
        <w:rPr>
          <w:lang w:val="en-US"/>
        </w:rPr>
        <w:t>mg</w:t>
      </w:r>
      <w:r w:rsidRPr="004223E9">
        <w:t xml:space="preserve"> </w:t>
      </w:r>
      <w:r>
        <w:t xml:space="preserve">мидекамицин </w:t>
      </w:r>
      <w:r w:rsidRPr="004223E9">
        <w:rPr>
          <w:i/>
          <w:iCs/>
        </w:rPr>
        <w:t>(</w:t>
      </w:r>
      <w:proofErr w:type="spellStart"/>
      <w:r>
        <w:rPr>
          <w:i/>
          <w:iCs/>
          <w:lang w:val="en-US"/>
        </w:rPr>
        <w:t>midecamycin</w:t>
      </w:r>
      <w:proofErr w:type="spellEnd"/>
      <w:r w:rsidRPr="004223E9">
        <w:rPr>
          <w:i/>
          <w:iCs/>
        </w:rPr>
        <w:t>).</w:t>
      </w:r>
    </w:p>
    <w:p w14:paraId="614984C4" w14:textId="7F0847FE" w:rsidR="008A6AF2" w:rsidRDefault="00DD466D" w:rsidP="002C50EE">
      <w:pPr>
        <w:pStyle w:val="Heading1"/>
      </w:pPr>
      <w:r>
        <w:t>3. ЛЕКАРСТВЕНА ФОРМА</w:t>
      </w:r>
    </w:p>
    <w:p w14:paraId="7BBEDAC3" w14:textId="63DB5A42" w:rsidR="004223E9" w:rsidRDefault="004223E9" w:rsidP="004223E9"/>
    <w:p w14:paraId="06756A5B" w14:textId="77777777" w:rsidR="004223E9" w:rsidRPr="004223E9" w:rsidRDefault="004223E9" w:rsidP="004223E9">
      <w:pPr>
        <w:rPr>
          <w:sz w:val="24"/>
          <w:szCs w:val="24"/>
        </w:rPr>
      </w:pPr>
      <w:r w:rsidRPr="004223E9">
        <w:rPr>
          <w:lang w:eastAsia="bg-BG"/>
        </w:rPr>
        <w:t>Филмирани таблетки</w:t>
      </w:r>
    </w:p>
    <w:p w14:paraId="712273B6" w14:textId="617DD7EF" w:rsidR="004223E9" w:rsidRPr="004223E9" w:rsidRDefault="004223E9" w:rsidP="004223E9">
      <w:r w:rsidRPr="004223E9">
        <w:rPr>
          <w:lang w:eastAsia="bg-BG"/>
        </w:rPr>
        <w:t>Таблетките са бели, кръгли, леко двойно изпъкнали, с делителна черта от едната страна. Делителната черта е само за улесняване на счупването, за по-лесно поглъщане, а не за да разделя на равни дози.</w:t>
      </w:r>
    </w:p>
    <w:p w14:paraId="490FC2C4" w14:textId="32682B15" w:rsidR="002C50EE" w:rsidRDefault="002C50EE" w:rsidP="002C50EE">
      <w:pPr>
        <w:pStyle w:val="Heading1"/>
      </w:pPr>
      <w:r>
        <w:t>4. КЛИНИЧНИ ДАННИ</w:t>
      </w:r>
    </w:p>
    <w:p w14:paraId="754A29C8" w14:textId="34304510" w:rsidR="00C0049F" w:rsidRDefault="002C50EE" w:rsidP="009F1313">
      <w:pPr>
        <w:pStyle w:val="Heading2"/>
      </w:pPr>
      <w:r>
        <w:t>4.1. Терапевтични показания</w:t>
      </w:r>
    </w:p>
    <w:p w14:paraId="3B129A43" w14:textId="33D1D27A" w:rsidR="00DF4C8E" w:rsidRDefault="00DF4C8E" w:rsidP="00DF4C8E">
      <w:pPr>
        <w:rPr>
          <w:rFonts w:cs="Arial"/>
          <w:sz w:val="24"/>
        </w:rPr>
      </w:pPr>
    </w:p>
    <w:p w14:paraId="13846651" w14:textId="7E0817CF" w:rsidR="004223E9" w:rsidRDefault="004223E9" w:rsidP="004223E9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4223E9">
        <w:rPr>
          <w:rFonts w:eastAsia="Times New Roman" w:cs="Arial"/>
          <w:color w:val="000000"/>
          <w:lang w:eastAsia="bg-BG"/>
        </w:rPr>
        <w:t xml:space="preserve">Инфекции на дихателните и урогениталните пътища, предизвикани от микоплазми, легионели, хламидии и </w:t>
      </w:r>
      <w:proofErr w:type="spellStart"/>
      <w:r w:rsidRPr="004223E9">
        <w:rPr>
          <w:rFonts w:eastAsia="Times New Roman" w:cs="Arial"/>
          <w:i/>
          <w:iCs/>
          <w:color w:val="000000"/>
          <w:lang w:val="en-US"/>
        </w:rPr>
        <w:t>Ureaplasma</w:t>
      </w:r>
      <w:proofErr w:type="spellEnd"/>
      <w:r w:rsidRPr="004223E9">
        <w:rPr>
          <w:rFonts w:eastAsia="Times New Roman" w:cs="Arial"/>
          <w:i/>
          <w:iCs/>
          <w:color w:val="000000"/>
          <w:lang w:val="ru-RU"/>
        </w:rPr>
        <w:t xml:space="preserve"> </w:t>
      </w:r>
      <w:proofErr w:type="spellStart"/>
      <w:r w:rsidRPr="004223E9">
        <w:rPr>
          <w:rFonts w:eastAsia="Times New Roman" w:cs="Arial"/>
          <w:i/>
          <w:iCs/>
          <w:color w:val="000000"/>
          <w:lang w:val="en-US"/>
        </w:rPr>
        <w:t>urealyticunr</w:t>
      </w:r>
      <w:proofErr w:type="spellEnd"/>
      <w:r w:rsidRPr="004223E9">
        <w:rPr>
          <w:rFonts w:eastAsia="Times New Roman" w:cs="Arial"/>
          <w:i/>
          <w:iCs/>
          <w:color w:val="000000"/>
          <w:lang w:val="ru-RU"/>
        </w:rPr>
        <w:t>,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 xml:space="preserve">инфекции на дихателните пътища, инфекции на кожата и подкожните тъкани и други инфекции, причинени от бактерии, чувствителни към мидекамицин и пеницилин, при пациенти със свръхчувствителност към пеницилин; ентерит, предизвикан от бактерии от рода </w:t>
      </w:r>
      <w:r w:rsidRPr="004223E9">
        <w:rPr>
          <w:rFonts w:eastAsia="Times New Roman" w:cs="Arial"/>
          <w:i/>
          <w:iCs/>
          <w:color w:val="000000"/>
          <w:lang w:val="en-US"/>
        </w:rPr>
        <w:t>Campylobacter</w:t>
      </w:r>
      <w:r w:rsidRPr="004223E9">
        <w:rPr>
          <w:rFonts w:eastAsia="Times New Roman" w:cs="Arial"/>
          <w:i/>
          <w:iCs/>
          <w:color w:val="000000"/>
          <w:lang w:val="ru-RU"/>
        </w:rPr>
        <w:t>,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>лечение и профилактика на дифтерия и коклюш.</w:t>
      </w:r>
    </w:p>
    <w:p w14:paraId="17865996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</w:p>
    <w:p w14:paraId="778B4979" w14:textId="49B548FF" w:rsidR="00DF4C8E" w:rsidRDefault="002C50EE" w:rsidP="00F44498">
      <w:pPr>
        <w:pStyle w:val="Heading2"/>
      </w:pPr>
      <w:r>
        <w:t>4.2. Дозировка и начин на приложение</w:t>
      </w:r>
    </w:p>
    <w:p w14:paraId="4ABE351B" w14:textId="18278CDC" w:rsidR="004223E9" w:rsidRDefault="004223E9" w:rsidP="004223E9"/>
    <w:p w14:paraId="14E6860B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u w:val="single"/>
          <w:lang w:eastAsia="bg-BG"/>
        </w:rPr>
        <w:t>Дозировка</w:t>
      </w:r>
    </w:p>
    <w:p w14:paraId="7A93D852" w14:textId="77777777" w:rsidR="004223E9" w:rsidRDefault="004223E9" w:rsidP="004223E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6AB0FF27" w14:textId="605A12E6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Лекарството трябва да се приема преди хранене.</w:t>
      </w:r>
    </w:p>
    <w:p w14:paraId="577C8DD5" w14:textId="77777777" w:rsidR="004223E9" w:rsidRDefault="004223E9" w:rsidP="004223E9">
      <w:pPr>
        <w:spacing w:line="240" w:lineRule="auto"/>
        <w:rPr>
          <w:rFonts w:eastAsia="Times New Roman" w:cs="Arial"/>
          <w:i/>
          <w:iCs/>
          <w:color w:val="000000"/>
          <w:lang w:eastAsia="bg-BG"/>
        </w:rPr>
      </w:pPr>
    </w:p>
    <w:p w14:paraId="23396CFC" w14:textId="6D46FD9E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i/>
          <w:iCs/>
          <w:color w:val="000000"/>
          <w:lang w:eastAsia="bg-BG"/>
        </w:rPr>
        <w:t xml:space="preserve">Възрастни и деца с тегло над 30 </w:t>
      </w:r>
      <w:r w:rsidRPr="004223E9">
        <w:rPr>
          <w:rFonts w:eastAsia="Times New Roman" w:cs="Arial"/>
          <w:i/>
          <w:iCs/>
          <w:color w:val="000000"/>
          <w:lang w:val="en-US"/>
        </w:rPr>
        <w:t>kg</w:t>
      </w:r>
      <w:r w:rsidRPr="004223E9">
        <w:rPr>
          <w:rFonts w:eastAsia="Times New Roman" w:cs="Arial"/>
          <w:i/>
          <w:iCs/>
          <w:color w:val="000000"/>
          <w:lang w:val="ru-RU"/>
        </w:rPr>
        <w:t>: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 xml:space="preserve">една таблетка от 400 </w:t>
      </w:r>
      <w:r w:rsidRPr="004223E9">
        <w:rPr>
          <w:rFonts w:eastAsia="Times New Roman" w:cs="Arial"/>
          <w:color w:val="000000"/>
          <w:lang w:val="en-US"/>
        </w:rPr>
        <w:t>mg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 xml:space="preserve">три пъти дневно. Максималната дневна доза за възрастни е 1600 </w:t>
      </w:r>
      <w:r w:rsidRPr="004223E9">
        <w:rPr>
          <w:rFonts w:eastAsia="Times New Roman" w:cs="Arial"/>
          <w:color w:val="000000"/>
          <w:lang w:val="en-US"/>
        </w:rPr>
        <w:t>mg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>мидекамицин.</w:t>
      </w:r>
    </w:p>
    <w:p w14:paraId="14005EF1" w14:textId="77777777" w:rsidR="004223E9" w:rsidRDefault="004223E9" w:rsidP="004223E9">
      <w:pPr>
        <w:spacing w:line="240" w:lineRule="auto"/>
        <w:rPr>
          <w:rFonts w:eastAsia="Times New Roman" w:cs="Arial"/>
          <w:i/>
          <w:iCs/>
          <w:color w:val="000000"/>
          <w:u w:val="single"/>
          <w:lang w:eastAsia="bg-BG"/>
        </w:rPr>
      </w:pPr>
    </w:p>
    <w:p w14:paraId="6D16D603" w14:textId="7D0A6CE4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i/>
          <w:iCs/>
          <w:color w:val="000000"/>
          <w:u w:val="single"/>
          <w:lang w:eastAsia="bg-BG"/>
        </w:rPr>
        <w:t>Педиатрична популация</w:t>
      </w:r>
    </w:p>
    <w:p w14:paraId="201D2275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i/>
          <w:iCs/>
          <w:color w:val="000000"/>
          <w:lang w:eastAsia="bg-BG"/>
        </w:rPr>
        <w:t xml:space="preserve">При деца с тегло под 30 </w:t>
      </w:r>
      <w:r w:rsidRPr="004223E9">
        <w:rPr>
          <w:rFonts w:eastAsia="Times New Roman" w:cs="Arial"/>
          <w:i/>
          <w:iCs/>
          <w:color w:val="000000"/>
          <w:lang w:val="en-US"/>
        </w:rPr>
        <w:t>kg</w:t>
      </w:r>
      <w:r w:rsidRPr="004223E9">
        <w:rPr>
          <w:rFonts w:eastAsia="Times New Roman" w:cs="Arial"/>
          <w:i/>
          <w:iCs/>
          <w:color w:val="000000"/>
          <w:lang w:val="ru-RU"/>
        </w:rPr>
        <w:t>: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 xml:space="preserve">20 до 40 </w:t>
      </w:r>
      <w:r w:rsidRPr="004223E9">
        <w:rPr>
          <w:rFonts w:eastAsia="Times New Roman" w:cs="Arial"/>
          <w:color w:val="000000"/>
          <w:lang w:val="en-US"/>
        </w:rPr>
        <w:t>mg</w:t>
      </w:r>
      <w:r w:rsidRPr="004223E9">
        <w:rPr>
          <w:rFonts w:eastAsia="Times New Roman" w:cs="Arial"/>
          <w:color w:val="000000"/>
          <w:lang w:val="ru-RU"/>
        </w:rPr>
        <w:t>/</w:t>
      </w:r>
      <w:r w:rsidRPr="004223E9">
        <w:rPr>
          <w:rFonts w:eastAsia="Times New Roman" w:cs="Arial"/>
          <w:color w:val="000000"/>
          <w:lang w:val="en-US"/>
        </w:rPr>
        <w:t>kg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 xml:space="preserve">дневно от пероралната суспензия, разделени на три приема, или 50 </w:t>
      </w:r>
      <w:r w:rsidRPr="004223E9">
        <w:rPr>
          <w:rFonts w:eastAsia="Times New Roman" w:cs="Arial"/>
          <w:color w:val="000000"/>
          <w:lang w:val="en-US"/>
        </w:rPr>
        <w:t>mg</w:t>
      </w:r>
      <w:r w:rsidRPr="004223E9">
        <w:rPr>
          <w:rFonts w:eastAsia="Times New Roman" w:cs="Arial"/>
          <w:color w:val="000000"/>
          <w:lang w:val="ru-RU"/>
        </w:rPr>
        <w:t>/</w:t>
      </w:r>
      <w:r w:rsidRPr="004223E9">
        <w:rPr>
          <w:rFonts w:eastAsia="Times New Roman" w:cs="Arial"/>
          <w:color w:val="000000"/>
          <w:lang w:val="en-US"/>
        </w:rPr>
        <w:t>kg</w:t>
      </w:r>
      <w:r w:rsidRPr="004223E9">
        <w:rPr>
          <w:rFonts w:eastAsia="Times New Roman" w:cs="Arial"/>
          <w:color w:val="000000"/>
          <w:lang w:val="ru-RU"/>
        </w:rPr>
        <w:t xml:space="preserve"> </w:t>
      </w:r>
      <w:r w:rsidRPr="004223E9">
        <w:rPr>
          <w:rFonts w:eastAsia="Times New Roman" w:cs="Arial"/>
          <w:color w:val="000000"/>
          <w:lang w:eastAsia="bg-BG"/>
        </w:rPr>
        <w:t>дневно, разделени на два, а при тежки инфекции - на три приема.</w:t>
      </w:r>
    </w:p>
    <w:p w14:paraId="3CF96ABC" w14:textId="77777777" w:rsidR="004223E9" w:rsidRDefault="004223E9" w:rsidP="004223E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18BFB59A" w14:textId="14DEA8AB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Обичайната продължителност на лечението е 7 до 14 дни. Хламидийните инфекции трябва да се лекуват в продължение на 14 дни.</w:t>
      </w:r>
    </w:p>
    <w:p w14:paraId="4053A4B2" w14:textId="77777777" w:rsidR="004223E9" w:rsidRPr="004223E9" w:rsidRDefault="004223E9" w:rsidP="004223E9"/>
    <w:p w14:paraId="6A85390E" w14:textId="47807421" w:rsidR="00DF4C8E" w:rsidRDefault="002C50EE" w:rsidP="00F44498">
      <w:pPr>
        <w:pStyle w:val="Heading2"/>
      </w:pPr>
      <w:r>
        <w:t>4.3. Противопоказания</w:t>
      </w:r>
    </w:p>
    <w:p w14:paraId="25F3FAEB" w14:textId="1BEDD68D" w:rsidR="004223E9" w:rsidRDefault="004223E9" w:rsidP="004223E9"/>
    <w:p w14:paraId="1D48EF6C" w14:textId="77777777" w:rsidR="004223E9" w:rsidRPr="004223E9" w:rsidRDefault="004223E9" w:rsidP="004223E9">
      <w:pPr>
        <w:rPr>
          <w:sz w:val="24"/>
          <w:szCs w:val="24"/>
        </w:rPr>
      </w:pPr>
      <w:r w:rsidRPr="004223E9">
        <w:rPr>
          <w:lang w:eastAsia="bg-BG"/>
        </w:rPr>
        <w:t>Свръхчувствителност към мидекамицин, мидекамицин ацетат или някое от помощните вещества, изброени в точка 6.1.</w:t>
      </w:r>
    </w:p>
    <w:p w14:paraId="1215C599" w14:textId="77777777" w:rsidR="004223E9" w:rsidRPr="004223E9" w:rsidRDefault="004223E9" w:rsidP="004223E9">
      <w:pPr>
        <w:rPr>
          <w:sz w:val="24"/>
          <w:szCs w:val="24"/>
        </w:rPr>
      </w:pPr>
      <w:r w:rsidRPr="004223E9">
        <w:rPr>
          <w:lang w:eastAsia="bg-BG"/>
        </w:rPr>
        <w:t>Тежко чернодробно увреждане.</w:t>
      </w:r>
    </w:p>
    <w:p w14:paraId="0E4C9626" w14:textId="77777777" w:rsidR="004223E9" w:rsidRPr="004223E9" w:rsidRDefault="004223E9" w:rsidP="004223E9"/>
    <w:p w14:paraId="115C9528" w14:textId="684A3D5F" w:rsidR="00DF4C8E" w:rsidRDefault="002C50EE" w:rsidP="00F44498">
      <w:pPr>
        <w:pStyle w:val="Heading2"/>
      </w:pPr>
      <w:r>
        <w:t>4.4. Специални предупреждения и предпазни мерки при употреба</w:t>
      </w:r>
    </w:p>
    <w:p w14:paraId="03214799" w14:textId="2EC46325" w:rsidR="004223E9" w:rsidRDefault="004223E9" w:rsidP="004223E9"/>
    <w:p w14:paraId="7CA74571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u w:val="single"/>
          <w:lang w:eastAsia="bg-BG"/>
        </w:rPr>
        <w:t>Чернодробно увреждане</w:t>
      </w:r>
    </w:p>
    <w:p w14:paraId="145EC706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По време на продължително лечение трябва да се мониторира активността на чернодробните ензими, особено при пациенти с предшестващо нарушение на чернодробната функция.</w:t>
      </w:r>
    </w:p>
    <w:p w14:paraId="2E23F8FE" w14:textId="77777777" w:rsidR="004223E9" w:rsidRDefault="004223E9" w:rsidP="004223E9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72FD45ED" w14:textId="2D804D58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Както при всички антимикробни лекарства, продължителното приложение може да доведе до</w:t>
      </w:r>
    </w:p>
    <w:p w14:paraId="662FDB09" w14:textId="212D094C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растеж на резистентни бактерии. Персистиращата диария може да бъде признак на псевдомембранозен колит.</w:t>
      </w:r>
    </w:p>
    <w:p w14:paraId="3BD0F0BA" w14:textId="59AFE4FD" w:rsidR="004223E9" w:rsidRPr="004223E9" w:rsidRDefault="004223E9" w:rsidP="004223E9"/>
    <w:p w14:paraId="070777EC" w14:textId="351401D0" w:rsidR="00DF4C8E" w:rsidRDefault="002C50EE" w:rsidP="00F44498">
      <w:pPr>
        <w:pStyle w:val="Heading2"/>
      </w:pPr>
      <w:r>
        <w:t>4.5. Взаимодействие с други лекарствени продукти и други форми на взаимодействие</w:t>
      </w:r>
    </w:p>
    <w:p w14:paraId="5B9664B9" w14:textId="33A2F715" w:rsidR="004223E9" w:rsidRDefault="004223E9" w:rsidP="004223E9"/>
    <w:p w14:paraId="3699BD2B" w14:textId="77777777" w:rsidR="004223E9" w:rsidRPr="004223E9" w:rsidRDefault="004223E9" w:rsidP="004223E9">
      <w:pPr>
        <w:rPr>
          <w:sz w:val="24"/>
          <w:szCs w:val="24"/>
        </w:rPr>
      </w:pPr>
      <w:r w:rsidRPr="004223E9">
        <w:rPr>
          <w:lang w:eastAsia="bg-BG"/>
        </w:rPr>
        <w:t>Известно е, че макролидите взаимодействат с други лекарства. Макролидните антибиотици повлияват чернодробния метаболизъм чрез инактивиране на цитохром Р450. За разлика от еритромицин, мидекамицин не се свързва с микрозомалните оксидази на чернодробните клетки и не образува стабилни комплекси с цитохром Р450. В резултат на това той не повлиява фармакокинетиката на теофилин.</w:t>
      </w:r>
    </w:p>
    <w:p w14:paraId="42FAF1D6" w14:textId="77777777" w:rsidR="004223E9" w:rsidRPr="004223E9" w:rsidRDefault="004223E9" w:rsidP="004223E9">
      <w:pPr>
        <w:rPr>
          <w:sz w:val="24"/>
          <w:szCs w:val="24"/>
        </w:rPr>
      </w:pPr>
      <w:r w:rsidRPr="004223E9">
        <w:rPr>
          <w:lang w:eastAsia="bg-BG"/>
        </w:rPr>
        <w:t xml:space="preserve">Мидекамицин може да повиши серумните нива на циклоспорин (два пъти по-високи нива), да удължи полуживота и да увеличи </w:t>
      </w:r>
      <w:r w:rsidRPr="004223E9">
        <w:rPr>
          <w:lang w:val="en-US"/>
        </w:rPr>
        <w:t>AUC</w:t>
      </w:r>
      <w:r w:rsidRPr="004223E9">
        <w:rPr>
          <w:lang w:val="ru-RU"/>
        </w:rPr>
        <w:t xml:space="preserve"> </w:t>
      </w:r>
      <w:r w:rsidRPr="004223E9">
        <w:rPr>
          <w:lang w:eastAsia="bg-BG"/>
        </w:rPr>
        <w:t>(площта под кривата) на карбамазепин. Препоръчва се внимание при пациенти, които приемат едновременно карбамазепин или циклоспорин, като при възможност, техните серумни нива трябва да се мониторират.</w:t>
      </w:r>
    </w:p>
    <w:p w14:paraId="27D200C7" w14:textId="6A5EAC4C" w:rsidR="004223E9" w:rsidRDefault="004223E9" w:rsidP="004223E9">
      <w:pPr>
        <w:rPr>
          <w:lang w:eastAsia="bg-BG"/>
        </w:rPr>
      </w:pPr>
      <w:r w:rsidRPr="004223E9">
        <w:rPr>
          <w:lang w:eastAsia="bg-BG"/>
        </w:rPr>
        <w:t>Едновременният прием на мидекамицин и ергоалкалоиди може да доведе до намаляване на чернодробния метаболизъм и повишаване на серумните концентрации на ергоалкалоидите. Препоръчва се предпазливост при едновременно приложение на варфарин, тъй като мидекамицин може да намали елиминирането му, което увеличава риска от кръвоизлив.</w:t>
      </w:r>
    </w:p>
    <w:p w14:paraId="4D04E1AF" w14:textId="77777777" w:rsidR="004223E9" w:rsidRPr="004223E9" w:rsidRDefault="004223E9" w:rsidP="004223E9">
      <w:pPr>
        <w:rPr>
          <w:lang w:eastAsia="bg-BG"/>
        </w:rPr>
      </w:pPr>
    </w:p>
    <w:p w14:paraId="29D2BD58" w14:textId="51C32159" w:rsidR="00DF4C8E" w:rsidRDefault="002C50EE" w:rsidP="00F44498">
      <w:pPr>
        <w:pStyle w:val="Heading2"/>
      </w:pPr>
      <w:r>
        <w:t>4.6. Фертилитет, бременност и кърмене</w:t>
      </w:r>
    </w:p>
    <w:p w14:paraId="68900882" w14:textId="77777777" w:rsidR="004223E9" w:rsidRDefault="004223E9" w:rsidP="004223E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A747757" w14:textId="05BE1749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u w:val="single"/>
          <w:lang w:eastAsia="bg-BG"/>
        </w:rPr>
        <w:t>Бременност</w:t>
      </w:r>
    </w:p>
    <w:p w14:paraId="011311DC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Няма съобщения за неблагоприятни ефекти върху плода. Употребата по време на бременност е показана само в случаи, когато потенциалната полза за майката оправдава риска за плода.</w:t>
      </w:r>
    </w:p>
    <w:p w14:paraId="2E558E34" w14:textId="77777777" w:rsidR="004223E9" w:rsidRDefault="004223E9" w:rsidP="004223E9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53A0E2D0" w14:textId="78A35DE2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u w:val="single"/>
          <w:lang w:eastAsia="bg-BG"/>
        </w:rPr>
        <w:t>Кърмене</w:t>
      </w:r>
    </w:p>
    <w:p w14:paraId="5E2A20C0" w14:textId="77777777" w:rsidR="004223E9" w:rsidRPr="004223E9" w:rsidRDefault="004223E9" w:rsidP="004223E9">
      <w:p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Лекарството се екскретира в кърмата, поради което майките не трябва да кърмят по време на лечение.</w:t>
      </w:r>
    </w:p>
    <w:p w14:paraId="636FC885" w14:textId="6EE03D88" w:rsidR="004223E9" w:rsidRDefault="004223E9" w:rsidP="004223E9"/>
    <w:p w14:paraId="2BA57674" w14:textId="77777777" w:rsidR="004223E9" w:rsidRPr="004223E9" w:rsidRDefault="004223E9" w:rsidP="004223E9"/>
    <w:p w14:paraId="4DF5A2E7" w14:textId="233D3856" w:rsidR="00DF4C8E" w:rsidRDefault="002C50EE" w:rsidP="00F44498">
      <w:pPr>
        <w:pStyle w:val="Heading2"/>
      </w:pPr>
      <w:r>
        <w:t>4.7. Ефекти върху способността за шофиране и работа с машини</w:t>
      </w:r>
    </w:p>
    <w:p w14:paraId="7EA6EDBE" w14:textId="64FB7C32" w:rsidR="004223E9" w:rsidRDefault="004223E9" w:rsidP="004223E9"/>
    <w:p w14:paraId="1ED872D7" w14:textId="4D1EC510" w:rsidR="004223E9" w:rsidRDefault="004223E9" w:rsidP="004223E9">
      <w:r>
        <w:t>Няма съобщения за повлияване на способността за шофиране и работа с машини от мидекамицин.</w:t>
      </w:r>
    </w:p>
    <w:p w14:paraId="30B1E597" w14:textId="287CF67C" w:rsidR="004223E9" w:rsidRPr="004223E9" w:rsidRDefault="004223E9" w:rsidP="004223E9"/>
    <w:p w14:paraId="28229498" w14:textId="5D08B1D6" w:rsidR="00DF4C8E" w:rsidRDefault="002C50EE" w:rsidP="00F44498">
      <w:pPr>
        <w:pStyle w:val="Heading2"/>
      </w:pPr>
      <w:r>
        <w:t>4.8. Нежелани лекарствени реакции</w:t>
      </w:r>
    </w:p>
    <w:p w14:paraId="319B40D3" w14:textId="2C12AF94" w:rsidR="004223E9" w:rsidRDefault="004223E9" w:rsidP="004223E9"/>
    <w:p w14:paraId="7CE098B5" w14:textId="77777777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Много чести (≥1/10)</w:t>
      </w:r>
    </w:p>
    <w:p w14:paraId="1686CDCA" w14:textId="77777777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Чести (≥1/100 до &lt;1/10)</w:t>
      </w:r>
    </w:p>
    <w:p w14:paraId="1446195B" w14:textId="77777777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Нечести (≥1 /1 000 до &lt;1/100)</w:t>
      </w:r>
    </w:p>
    <w:p w14:paraId="5D4E7B38" w14:textId="77777777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Редки (≥1/10 000 до &lt;1/1 000)</w:t>
      </w:r>
    </w:p>
    <w:p w14:paraId="3E53CA9E" w14:textId="77777777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Много редки (&lt;1/10 000)</w:t>
      </w:r>
    </w:p>
    <w:p w14:paraId="63E67AD5" w14:textId="0997AC4A" w:rsidR="004223E9" w:rsidRPr="004223E9" w:rsidRDefault="004223E9" w:rsidP="004223E9">
      <w:pPr>
        <w:pStyle w:val="ListParagraph"/>
        <w:numPr>
          <w:ilvl w:val="0"/>
          <w:numId w:val="34"/>
        </w:numPr>
        <w:spacing w:line="240" w:lineRule="auto"/>
        <w:rPr>
          <w:rFonts w:eastAsia="Times New Roman" w:cs="Arial"/>
        </w:rPr>
      </w:pPr>
      <w:r w:rsidRPr="004223E9">
        <w:rPr>
          <w:rFonts w:eastAsia="Times New Roman" w:cs="Arial"/>
          <w:color w:val="000000"/>
          <w:lang w:eastAsia="bg-BG"/>
        </w:rPr>
        <w:t>С неизвестна честота (не може да бъде определена от наличните данни)</w:t>
      </w:r>
    </w:p>
    <w:p w14:paraId="1AB94A1C" w14:textId="157C02BD" w:rsidR="004223E9" w:rsidRDefault="004223E9" w:rsidP="004223E9">
      <w:pPr>
        <w:spacing w:line="240" w:lineRule="auto"/>
        <w:rPr>
          <w:rFonts w:eastAsia="Times New Roman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23E9" w14:paraId="4DA7672B" w14:textId="77777777" w:rsidTr="00EC325B">
        <w:tc>
          <w:tcPr>
            <w:tcW w:w="3116" w:type="dxa"/>
          </w:tcPr>
          <w:p w14:paraId="0E39EEFC" w14:textId="77777777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3117" w:type="dxa"/>
            <w:vAlign w:val="bottom"/>
          </w:tcPr>
          <w:p w14:paraId="5F91F796" w14:textId="777A6B24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нечести</w:t>
            </w:r>
          </w:p>
        </w:tc>
        <w:tc>
          <w:tcPr>
            <w:tcW w:w="3117" w:type="dxa"/>
            <w:vAlign w:val="bottom"/>
          </w:tcPr>
          <w:p w14:paraId="7DD41E9D" w14:textId="2E6D3333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Много редки</w:t>
            </w:r>
          </w:p>
        </w:tc>
      </w:tr>
      <w:tr w:rsidR="004223E9" w14:paraId="4ECC8404" w14:textId="77777777" w:rsidTr="004223E9">
        <w:tc>
          <w:tcPr>
            <w:tcW w:w="3116" w:type="dxa"/>
          </w:tcPr>
          <w:p w14:paraId="2A2DB975" w14:textId="2E51ED64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Нарушения на кръвта и лимфната система</w:t>
            </w:r>
          </w:p>
        </w:tc>
        <w:tc>
          <w:tcPr>
            <w:tcW w:w="3117" w:type="dxa"/>
          </w:tcPr>
          <w:p w14:paraId="3730995E" w14:textId="77777777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</w:p>
        </w:tc>
        <w:tc>
          <w:tcPr>
            <w:tcW w:w="3117" w:type="dxa"/>
          </w:tcPr>
          <w:p w14:paraId="5E787926" w14:textId="180CE235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еозинофилия</w:t>
            </w:r>
          </w:p>
        </w:tc>
      </w:tr>
      <w:tr w:rsidR="004223E9" w14:paraId="46719402" w14:textId="77777777" w:rsidTr="00EC325B">
        <w:tc>
          <w:tcPr>
            <w:tcW w:w="3116" w:type="dxa"/>
            <w:vAlign w:val="bottom"/>
          </w:tcPr>
          <w:p w14:paraId="16F165CC" w14:textId="414ECCAB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Стомашно- чревни нарушения</w:t>
            </w:r>
          </w:p>
        </w:tc>
        <w:tc>
          <w:tcPr>
            <w:tcW w:w="3117" w:type="dxa"/>
            <w:vAlign w:val="bottom"/>
          </w:tcPr>
          <w:p w14:paraId="45DAFC81" w14:textId="26139DF9" w:rsidR="004223E9" w:rsidRPr="004223E9" w:rsidRDefault="004223E9" w:rsidP="004223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3E9">
              <w:t>гадене, намален апетит,</w:t>
            </w:r>
            <w:r w:rsidRPr="004223E9">
              <w:rPr>
                <w:lang w:val="ru-RU"/>
              </w:rPr>
              <w:t xml:space="preserve"> </w:t>
            </w:r>
            <w:r w:rsidRPr="004223E9">
              <w:rPr>
                <w:lang w:eastAsia="bg-BG"/>
              </w:rPr>
              <w:t>повръщане, диария и стоматит</w:t>
            </w:r>
          </w:p>
        </w:tc>
        <w:tc>
          <w:tcPr>
            <w:tcW w:w="3117" w:type="dxa"/>
          </w:tcPr>
          <w:p w14:paraId="7D15BFF2" w14:textId="53264C5C" w:rsidR="004223E9" w:rsidRPr="004223E9" w:rsidRDefault="004223E9" w:rsidP="004223E9">
            <w:pPr>
              <w:spacing w:line="240" w:lineRule="auto"/>
              <w:rPr>
                <w:rFonts w:eastAsia="Times New Roman" w:cs="Arial"/>
              </w:rPr>
            </w:pPr>
            <w:r w:rsidRPr="004223E9">
              <w:t>псевдомембранозен колит</w:t>
            </w:r>
          </w:p>
        </w:tc>
      </w:tr>
      <w:tr w:rsidR="004223E9" w14:paraId="05E4492D" w14:textId="77777777" w:rsidTr="004223E9">
        <w:tc>
          <w:tcPr>
            <w:tcW w:w="3116" w:type="dxa"/>
          </w:tcPr>
          <w:p w14:paraId="0E47FC8D" w14:textId="4E53A063" w:rsidR="004223E9" w:rsidRDefault="004223E9" w:rsidP="004223E9">
            <w:pPr>
              <w:rPr>
                <w:rFonts w:eastAsia="Times New Roman" w:cs="Arial"/>
              </w:rPr>
            </w:pPr>
            <w:r>
              <w:t>Хепатобилиарни нарушения</w:t>
            </w:r>
          </w:p>
        </w:tc>
        <w:tc>
          <w:tcPr>
            <w:tcW w:w="3117" w:type="dxa"/>
          </w:tcPr>
          <w:p w14:paraId="7AB06F4E" w14:textId="793CDC8A" w:rsidR="004223E9" w:rsidRDefault="004223E9" w:rsidP="004223E9">
            <w:pPr>
              <w:rPr>
                <w:rFonts w:eastAsia="Times New Roman" w:cs="Arial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3117" w:type="dxa"/>
          </w:tcPr>
          <w:p w14:paraId="5DAB0B7B" w14:textId="2EE58D86" w:rsidR="004223E9" w:rsidRDefault="004223E9" w:rsidP="004223E9">
            <w:pPr>
              <w:rPr>
                <w:rFonts w:eastAsia="Times New Roman" w:cs="Arial"/>
              </w:rPr>
            </w:pPr>
            <w:r>
              <w:t>повишена трансаминазна активност и жълтеница</w:t>
            </w:r>
          </w:p>
        </w:tc>
      </w:tr>
      <w:tr w:rsidR="004223E9" w14:paraId="1E0C1F5E" w14:textId="77777777" w:rsidTr="004223E9">
        <w:tc>
          <w:tcPr>
            <w:tcW w:w="3116" w:type="dxa"/>
          </w:tcPr>
          <w:p w14:paraId="21D7EE82" w14:textId="37731D08" w:rsidR="004223E9" w:rsidRDefault="004223E9" w:rsidP="004223E9">
            <w:pPr>
              <w:rPr>
                <w:rFonts w:eastAsia="Times New Roman" w:cs="Arial"/>
              </w:rPr>
            </w:pPr>
            <w:r>
              <w:t>Нарушения на кожата и подкожната тъкан</w:t>
            </w:r>
          </w:p>
        </w:tc>
        <w:tc>
          <w:tcPr>
            <w:tcW w:w="3117" w:type="dxa"/>
          </w:tcPr>
          <w:p w14:paraId="73E5BCAD" w14:textId="77777777" w:rsidR="004223E9" w:rsidRDefault="004223E9" w:rsidP="004223E9">
            <w:pPr>
              <w:rPr>
                <w:rFonts w:eastAsia="Times New Roman" w:cs="Arial"/>
              </w:rPr>
            </w:pPr>
          </w:p>
        </w:tc>
        <w:tc>
          <w:tcPr>
            <w:tcW w:w="3117" w:type="dxa"/>
          </w:tcPr>
          <w:p w14:paraId="4F8435AD" w14:textId="562D7D18" w:rsidR="004223E9" w:rsidRDefault="004223E9" w:rsidP="004223E9">
            <w:pPr>
              <w:rPr>
                <w:rFonts w:eastAsia="Times New Roman" w:cs="Arial"/>
              </w:rPr>
            </w:pPr>
            <w:r>
              <w:t>обрив, уртикария и сърбеж</w:t>
            </w:r>
          </w:p>
        </w:tc>
      </w:tr>
    </w:tbl>
    <w:p w14:paraId="5181BD96" w14:textId="1FBB2E98" w:rsidR="004223E9" w:rsidRDefault="004223E9" w:rsidP="004223E9">
      <w:pPr>
        <w:spacing w:line="240" w:lineRule="auto"/>
        <w:rPr>
          <w:rFonts w:eastAsia="Times New Roman" w:cs="Arial"/>
        </w:rPr>
      </w:pPr>
    </w:p>
    <w:p w14:paraId="4946BBD9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Съобщаване на подозирани нежелани реакции</w:t>
      </w:r>
    </w:p>
    <w:p w14:paraId="39A143A2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Съобщаването на подозирани нежелани реакции след разрешаване за употреба на лекарствения продукт е важно. Това позволява да продължи наблюдението на съотношението полза/риск за лекарствения продукт. От медицинските специалисти се изисква да съобщават всяка подозирана нежелана реакция чрез</w:t>
      </w:r>
    </w:p>
    <w:p w14:paraId="316B1A43" w14:textId="77777777" w:rsidR="00642A01" w:rsidRDefault="00642A01" w:rsidP="00642A0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42A01">
        <w:rPr>
          <w:rFonts w:eastAsia="Times New Roman" w:cs="Arial"/>
          <w:color w:val="000000"/>
          <w:lang w:eastAsia="bg-BG"/>
        </w:rPr>
        <w:t xml:space="preserve">Изпълнителна агенция по лекарствата </w:t>
      </w:r>
    </w:p>
    <w:p w14:paraId="7AAC627C" w14:textId="2297B798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ул. .Дамян Груев” № 8</w:t>
      </w:r>
    </w:p>
    <w:p w14:paraId="424B1792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1303 София</w:t>
      </w:r>
    </w:p>
    <w:p w14:paraId="1A3BBA47" w14:textId="77777777" w:rsidR="00642A01" w:rsidRDefault="00642A01" w:rsidP="00642A0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42A01">
        <w:rPr>
          <w:rFonts w:eastAsia="Times New Roman" w:cs="Arial"/>
          <w:color w:val="000000"/>
          <w:lang w:eastAsia="bg-BG"/>
        </w:rPr>
        <w:t xml:space="preserve">Тел.:+35 928903417 </w:t>
      </w:r>
    </w:p>
    <w:p w14:paraId="55D424DD" w14:textId="74DB4039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уебсайт: </w:t>
      </w:r>
      <w:r w:rsidRPr="00642A01">
        <w:rPr>
          <w:rFonts w:eastAsia="Times New Roman" w:cs="Arial"/>
        </w:rPr>
        <w:fldChar w:fldCharType="begin"/>
      </w:r>
      <w:r w:rsidRPr="00642A01">
        <w:rPr>
          <w:rFonts w:eastAsia="Times New Roman" w:cs="Arial"/>
        </w:rPr>
        <w:instrText xml:space="preserve"> HYPERLINK "http://www.bda.bg" </w:instrText>
      </w:r>
      <w:r w:rsidRPr="00642A01">
        <w:rPr>
          <w:rFonts w:eastAsia="Times New Roman" w:cs="Arial"/>
        </w:rPr>
      </w:r>
      <w:r w:rsidRPr="00642A01">
        <w:rPr>
          <w:rFonts w:eastAsia="Times New Roman" w:cs="Arial"/>
        </w:rPr>
        <w:fldChar w:fldCharType="separate"/>
      </w:r>
      <w:r w:rsidRPr="00642A01">
        <w:rPr>
          <w:rFonts w:eastAsia="Times New Roman" w:cs="Arial"/>
          <w:color w:val="000000"/>
          <w:u w:val="single"/>
          <w:lang w:val="en-US"/>
        </w:rPr>
        <w:t>www</w:t>
      </w:r>
      <w:r w:rsidRPr="00642A01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642A01">
        <w:rPr>
          <w:rFonts w:eastAsia="Times New Roman" w:cs="Arial"/>
          <w:color w:val="000000"/>
          <w:u w:val="single"/>
          <w:lang w:val="en-US"/>
        </w:rPr>
        <w:t>bda</w:t>
      </w:r>
      <w:proofErr w:type="spellEnd"/>
      <w:r w:rsidRPr="00642A01">
        <w:rPr>
          <w:rFonts w:eastAsia="Times New Roman" w:cs="Arial"/>
          <w:color w:val="000000"/>
          <w:u w:val="single"/>
          <w:lang w:val="ru-RU"/>
        </w:rPr>
        <w:t>.</w:t>
      </w:r>
      <w:proofErr w:type="spellStart"/>
      <w:r w:rsidRPr="00642A01">
        <w:rPr>
          <w:rFonts w:eastAsia="Times New Roman" w:cs="Arial"/>
          <w:color w:val="000000"/>
          <w:u w:val="single"/>
          <w:lang w:val="en-US"/>
        </w:rPr>
        <w:t>bg</w:t>
      </w:r>
      <w:proofErr w:type="spellEnd"/>
      <w:r w:rsidRPr="00642A01">
        <w:rPr>
          <w:rFonts w:eastAsia="Times New Roman" w:cs="Arial"/>
        </w:rPr>
        <w:fldChar w:fldCharType="end"/>
      </w:r>
      <w:r w:rsidRPr="00642A01">
        <w:rPr>
          <w:rFonts w:eastAsia="Times New Roman" w:cs="Arial"/>
          <w:color w:val="000000"/>
          <w:lang w:val="ru-RU"/>
        </w:rPr>
        <w:t>.</w:t>
      </w:r>
    </w:p>
    <w:p w14:paraId="6AF72F0B" w14:textId="77777777" w:rsidR="00642A01" w:rsidRPr="004223E9" w:rsidRDefault="00642A01" w:rsidP="004223E9">
      <w:pPr>
        <w:spacing w:line="240" w:lineRule="auto"/>
        <w:rPr>
          <w:rFonts w:eastAsia="Times New Roman" w:cs="Arial"/>
        </w:rPr>
      </w:pPr>
    </w:p>
    <w:p w14:paraId="07687653" w14:textId="0065FB1B" w:rsidR="00DF4C8E" w:rsidRDefault="002C50EE" w:rsidP="00F44498">
      <w:pPr>
        <w:pStyle w:val="Heading2"/>
      </w:pPr>
      <w:r>
        <w:t>4.9. Предозиране</w:t>
      </w:r>
    </w:p>
    <w:p w14:paraId="635EEEF5" w14:textId="4C021707" w:rsidR="00642A01" w:rsidRDefault="00642A01" w:rsidP="00642A01"/>
    <w:p w14:paraId="43B2AB1A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Симптоми</w:t>
      </w:r>
    </w:p>
    <w:p w14:paraId="385AE22E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Няма съобщения за тежка интоксикация. Поглъщането на по-голямо количество от лекарството наведнъж може да предизвика предимно гадене и повръщане.</w:t>
      </w:r>
    </w:p>
    <w:p w14:paraId="503EE67C" w14:textId="77777777" w:rsidR="00642A01" w:rsidRPr="00642A01" w:rsidRDefault="00642A01" w:rsidP="00642A0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11A3E178" w14:textId="3B47E592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Лечение</w:t>
      </w:r>
    </w:p>
    <w:p w14:paraId="570D7B81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Лечението е симптоматично.</w:t>
      </w:r>
    </w:p>
    <w:p w14:paraId="073A5099" w14:textId="77777777" w:rsidR="00642A01" w:rsidRPr="00642A01" w:rsidRDefault="00642A01" w:rsidP="00642A01"/>
    <w:p w14:paraId="02081B24" w14:textId="1F46E296" w:rsidR="00395555" w:rsidRPr="00395555" w:rsidRDefault="002C50EE" w:rsidP="008A6AF2">
      <w:pPr>
        <w:pStyle w:val="Heading1"/>
      </w:pPr>
      <w:r>
        <w:lastRenderedPageBreak/>
        <w:t>5. ФАРМАКОЛОГИЧНИ СВОЙСТВА</w:t>
      </w:r>
    </w:p>
    <w:p w14:paraId="4D47A490" w14:textId="7400BF0A" w:rsidR="00DF4C8E" w:rsidRDefault="002C50EE" w:rsidP="00F44498">
      <w:pPr>
        <w:pStyle w:val="Heading2"/>
      </w:pPr>
      <w:r>
        <w:t>5.1. Фармакодинамични свойства</w:t>
      </w:r>
    </w:p>
    <w:p w14:paraId="5BADD619" w14:textId="36FB537A" w:rsidR="00642A01" w:rsidRDefault="00642A01" w:rsidP="00642A01"/>
    <w:p w14:paraId="341FF9E8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Фармакотерапевтична група: макролиди, АТС код: </w:t>
      </w:r>
      <w:r w:rsidRPr="00642A01">
        <w:rPr>
          <w:rFonts w:eastAsia="Times New Roman" w:cs="Arial"/>
          <w:color w:val="000000"/>
          <w:lang w:val="en-US"/>
        </w:rPr>
        <w:t>J</w:t>
      </w:r>
      <w:r w:rsidRPr="00642A01">
        <w:rPr>
          <w:rFonts w:eastAsia="Times New Roman" w:cs="Arial"/>
          <w:color w:val="000000"/>
          <w:lang w:val="ru-RU"/>
        </w:rPr>
        <w:t>01</w:t>
      </w:r>
      <w:r w:rsidRPr="00642A01">
        <w:rPr>
          <w:rFonts w:eastAsia="Times New Roman" w:cs="Arial"/>
          <w:color w:val="000000"/>
          <w:lang w:val="en-US"/>
        </w:rPr>
        <w:t>FA</w:t>
      </w:r>
      <w:r w:rsidRPr="00642A01">
        <w:rPr>
          <w:rFonts w:eastAsia="Times New Roman" w:cs="Arial"/>
          <w:color w:val="000000"/>
          <w:lang w:val="ru-RU"/>
        </w:rPr>
        <w:t>03.</w:t>
      </w:r>
    </w:p>
    <w:p w14:paraId="69A3525F" w14:textId="77777777" w:rsidR="00642A01" w:rsidRDefault="00642A01" w:rsidP="00642A01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49C2FC44" w14:textId="28D40A7E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b/>
          <w:bCs/>
          <w:i/>
          <w:iCs/>
          <w:color w:val="000000"/>
          <w:lang w:eastAsia="bg-BG"/>
        </w:rPr>
        <w:t>Механизъм на действие</w:t>
      </w:r>
    </w:p>
    <w:p w14:paraId="5854A560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Мидекамицин инхибира РНК-зависимата синтеза на протеините в стадия на удължаване на протеиновата верига. Мидекамицин се свързва обратимо с </w:t>
      </w:r>
      <w:r w:rsidRPr="00642A01">
        <w:rPr>
          <w:rFonts w:eastAsia="Times New Roman" w:cs="Arial"/>
          <w:color w:val="000000"/>
          <w:lang w:val="ru-RU"/>
        </w:rPr>
        <w:t>50</w:t>
      </w:r>
      <w:r w:rsidRPr="00642A01">
        <w:rPr>
          <w:rFonts w:eastAsia="Times New Roman" w:cs="Arial"/>
          <w:color w:val="000000"/>
          <w:lang w:val="en-US"/>
        </w:rPr>
        <w:t>S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субединицата и блокира реакцията на транспептидиране и/или транслокация. Поради много различната структура на рибозомите, не се наблюдава свързване с рибозомите в еукариотните клетки. Поради тази причина токсичността на макролидите за човешките клетки е ниска.</w:t>
      </w:r>
    </w:p>
    <w:p w14:paraId="42594A90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Както другите макролидни антибиотици, мидекамицин оказва предимно бактериостатично действие. Той обаче може да има също и бактерицидно действие, което зависи от вида на бактериите, концентрацията на лекарството на мястото на действие, размера на инокулума и репродуктивния стадий на микроорганизмите. Активността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vitro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намалява в кисела среда. Ако стойностите на </w:t>
      </w:r>
      <w:r w:rsidRPr="00642A01">
        <w:rPr>
          <w:rFonts w:eastAsia="Times New Roman" w:cs="Arial"/>
          <w:color w:val="000000"/>
          <w:lang w:val="en-US"/>
        </w:rPr>
        <w:t>pH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в културална среда на </w:t>
      </w:r>
      <w:r w:rsidRPr="00642A01">
        <w:rPr>
          <w:rFonts w:eastAsia="Times New Roman" w:cs="Arial"/>
          <w:i/>
          <w:iCs/>
          <w:color w:val="000000"/>
          <w:lang w:val="en-US"/>
        </w:rPr>
        <w:t>Staphylococcus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aureus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или </w:t>
      </w:r>
      <w:r w:rsidRPr="00642A01">
        <w:rPr>
          <w:rFonts w:eastAsia="Times New Roman" w:cs="Arial"/>
          <w:i/>
          <w:iCs/>
          <w:color w:val="000000"/>
          <w:lang w:val="en-US"/>
        </w:rPr>
        <w:t>Streptococcus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pyogenes</w:t>
      </w:r>
      <w:proofErr w:type="spellEnd"/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се повишат от 7,2 до 8.0, </w:t>
      </w:r>
      <w:r w:rsidRPr="00642A01">
        <w:rPr>
          <w:rFonts w:eastAsia="Times New Roman" w:cs="Arial"/>
          <w:color w:val="000000"/>
          <w:lang w:val="en-US"/>
        </w:rPr>
        <w:t>MIC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на мидекамицин е два пъти по-ниска. Ако </w:t>
      </w:r>
      <w:r w:rsidRPr="00642A01">
        <w:rPr>
          <w:rFonts w:eastAsia="Times New Roman" w:cs="Arial"/>
          <w:color w:val="000000"/>
          <w:lang w:val="en-US"/>
        </w:rPr>
        <w:t>pH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се намали, възниква обратната ситуация.</w:t>
      </w:r>
    </w:p>
    <w:p w14:paraId="42C1AA9F" w14:textId="77777777" w:rsidR="00642A01" w:rsidRPr="00642A01" w:rsidRDefault="00642A01" w:rsidP="00642A01">
      <w:pPr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Високите вътреклетъчни концентрации на макролидите се достигат в резултат на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добрата им</w:t>
      </w:r>
      <w:r w:rsidRPr="00642A01">
        <w:rPr>
          <w:rFonts w:eastAsia="Times New Roman" w:cs="Arial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мастна разтворимост. Това е особено важно при лечение на инфекции, причинени от микроорганизми с вътреклетъчен цикъл на развитие, като хламидия, легионела и листерия. Доказано е, че мидекамицин кумулира в алвеоларните макрофаги при човека. Макролидите кумулират също и в неутрофилите. Въпреки че съотношението между екстрацелуларните и</w:t>
      </w:r>
      <w:r w:rsidRPr="00642A01">
        <w:rPr>
          <w:rFonts w:eastAsia="Times New Roman" w:cs="Arial"/>
          <w:color w:val="000000"/>
          <w:lang w:val="ru-RU" w:eastAsia="bg-BG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интрацел ударните концентрации е от 1 до 10 при еритромицин, то е над 10 при по- съвременните макролиди, включително мидекамицин. Натрупването на неутрофили на мястото на инфекцията може допълнително да повиши концентрацията на макролидите в инфектираните тъкани. Проучвания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vitro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показват, че мидекамицин повлиява също и имунните функции. Установен е напр. типично повишен хемотаксис в сравнение с еритромицин. Мидекамицин вероятно стимулира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vivo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активността на естествените килърни клетки. Всички тези изследвания показват, че мидекамицин повлиява имунната система, което може да е от значение за антибиотичния ефект на мидекамицин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vivo</w:t>
      </w:r>
      <w:r w:rsidRPr="00642A01">
        <w:rPr>
          <w:rFonts w:eastAsia="Times New Roman" w:cs="Arial"/>
          <w:i/>
          <w:iCs/>
          <w:color w:val="000000"/>
          <w:lang w:val="ru-RU"/>
        </w:rPr>
        <w:t>,</w:t>
      </w:r>
    </w:p>
    <w:p w14:paraId="7CE370BA" w14:textId="77777777" w:rsidR="00642A01" w:rsidRDefault="00642A01" w:rsidP="00642A01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ABB8050" w14:textId="4897A6B6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b/>
          <w:bCs/>
          <w:i/>
          <w:iCs/>
          <w:color w:val="000000"/>
          <w:lang w:eastAsia="bg-BG"/>
        </w:rPr>
        <w:t>Антибактериална активност</w:t>
      </w:r>
    </w:p>
    <w:p w14:paraId="26363BC8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Мидекамицин е широкоспектърен макролиден антибиотик с активност, подобна на активността на еритромицин. Той е активен срещу грам-положителни бактерии (стафилококи, стрептококи, пневмококи, </w:t>
      </w:r>
      <w:r w:rsidRPr="00642A01">
        <w:rPr>
          <w:rFonts w:eastAsia="Times New Roman" w:cs="Arial"/>
          <w:i/>
          <w:iCs/>
          <w:color w:val="000000"/>
          <w:lang w:val="en-US"/>
        </w:rPr>
        <w:t>Bacillus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anthracis</w:t>
      </w:r>
      <w:proofErr w:type="spellEnd"/>
      <w:r w:rsidRPr="00642A01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Corynebacterium</w:t>
      </w:r>
      <w:proofErr w:type="spellEnd"/>
      <w:r w:rsidRPr="00642A0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diphtheriae</w:t>
      </w:r>
      <w:proofErr w:type="spellEnd"/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и </w:t>
      </w:r>
      <w:r w:rsidRPr="00642A01">
        <w:rPr>
          <w:rFonts w:eastAsia="Times New Roman" w:cs="Arial"/>
          <w:i/>
          <w:iCs/>
          <w:color w:val="000000"/>
          <w:lang w:val="en-US"/>
        </w:rPr>
        <w:t>Listeria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monocytogenes</w:t>
      </w:r>
      <w:proofErr w:type="spellEnd"/>
      <w:r w:rsidRPr="00642A01">
        <w:rPr>
          <w:rFonts w:eastAsia="Times New Roman" w:cs="Arial"/>
          <w:i/>
          <w:iCs/>
          <w:color w:val="000000"/>
        </w:rPr>
        <w:t>"),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срещу някои грам-отрицателни бактерии </w:t>
      </w:r>
      <w:r w:rsidRPr="00642A01">
        <w:rPr>
          <w:rFonts w:eastAsia="Times New Roman" w:cs="Arial"/>
          <w:i/>
          <w:iCs/>
          <w:color w:val="000000"/>
        </w:rPr>
        <w:t>(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Bordetella</w:t>
      </w:r>
      <w:proofErr w:type="spellEnd"/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pertussis</w:t>
      </w:r>
      <w:r w:rsidRPr="00642A01">
        <w:rPr>
          <w:rFonts w:eastAsia="Times New Roman" w:cs="Arial"/>
          <w:i/>
          <w:iCs/>
          <w:color w:val="000000"/>
        </w:rPr>
        <w:t xml:space="preserve">, </w:t>
      </w:r>
      <w:r w:rsidRPr="00642A01">
        <w:rPr>
          <w:rFonts w:eastAsia="Times New Roman" w:cs="Arial"/>
          <w:i/>
          <w:iCs/>
          <w:color w:val="000000"/>
          <w:lang w:val="en-US"/>
        </w:rPr>
        <w:t>Campylobacter</w:t>
      </w:r>
      <w:r w:rsidRPr="00642A01">
        <w:rPr>
          <w:rFonts w:eastAsia="Times New Roman" w:cs="Arial"/>
          <w:color w:val="000000"/>
        </w:rPr>
        <w:t xml:space="preserve"> </w:t>
      </w:r>
      <w:proofErr w:type="spellStart"/>
      <w:r w:rsidRPr="00642A01">
        <w:rPr>
          <w:rFonts w:eastAsia="Times New Roman" w:cs="Arial"/>
          <w:color w:val="000000"/>
          <w:lang w:val="en-US"/>
        </w:rPr>
        <w:t>spp</w:t>
      </w:r>
      <w:proofErr w:type="spellEnd"/>
      <w:r w:rsidRPr="00642A01">
        <w:rPr>
          <w:rFonts w:eastAsia="Times New Roman" w:cs="Arial"/>
          <w:color w:val="000000"/>
        </w:rPr>
        <w:t xml:space="preserve">., </w:t>
      </w:r>
      <w:r w:rsidRPr="00642A01">
        <w:rPr>
          <w:rFonts w:eastAsia="Times New Roman" w:cs="Arial"/>
          <w:i/>
          <w:iCs/>
          <w:color w:val="000000"/>
          <w:lang w:val="en-US"/>
        </w:rPr>
        <w:t>Moraxella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catarrhalis</w:t>
      </w:r>
      <w:proofErr w:type="spellEnd"/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и </w:t>
      </w:r>
      <w:r w:rsidRPr="00642A01">
        <w:rPr>
          <w:rFonts w:eastAsia="Times New Roman" w:cs="Arial"/>
          <w:i/>
          <w:iCs/>
          <w:color w:val="000000"/>
          <w:lang w:val="en-US"/>
        </w:rPr>
        <w:t>Neisseria</w:t>
      </w:r>
      <w:r w:rsidRPr="00642A01">
        <w:rPr>
          <w:rFonts w:eastAsia="Times New Roman" w:cs="Arial"/>
          <w:color w:val="000000"/>
        </w:rPr>
        <w:t xml:space="preserve"> </w:t>
      </w:r>
      <w:proofErr w:type="spellStart"/>
      <w:r w:rsidRPr="00642A01">
        <w:rPr>
          <w:rFonts w:eastAsia="Times New Roman" w:cs="Arial"/>
          <w:color w:val="000000"/>
          <w:lang w:val="en-US"/>
        </w:rPr>
        <w:t>spp</w:t>
      </w:r>
      <w:proofErr w:type="spellEnd"/>
      <w:r w:rsidRPr="00642A01">
        <w:rPr>
          <w:rFonts w:eastAsia="Times New Roman" w:cs="Arial"/>
          <w:color w:val="000000"/>
        </w:rPr>
        <w:t xml:space="preserve">.), </w:t>
      </w:r>
      <w:r w:rsidRPr="00642A01">
        <w:rPr>
          <w:rFonts w:eastAsia="Times New Roman" w:cs="Arial"/>
          <w:color w:val="000000"/>
          <w:lang w:eastAsia="bg-BG"/>
        </w:rPr>
        <w:t xml:space="preserve">анаероби </w:t>
      </w:r>
      <w:r w:rsidRPr="00642A01">
        <w:rPr>
          <w:rFonts w:eastAsia="Times New Roman" w:cs="Arial"/>
          <w:i/>
          <w:iCs/>
          <w:color w:val="000000"/>
        </w:rPr>
        <w:t>(</w:t>
      </w:r>
      <w:r w:rsidRPr="00642A01">
        <w:rPr>
          <w:rFonts w:eastAsia="Times New Roman" w:cs="Arial"/>
          <w:i/>
          <w:iCs/>
          <w:color w:val="000000"/>
          <w:lang w:val="en-US"/>
        </w:rPr>
        <w:t>Clostridium</w:t>
      </w:r>
      <w:r w:rsidRPr="00642A01">
        <w:rPr>
          <w:rFonts w:eastAsia="Times New Roman" w:cs="Arial"/>
          <w:color w:val="000000"/>
        </w:rPr>
        <w:t xml:space="preserve"> </w:t>
      </w:r>
      <w:proofErr w:type="spellStart"/>
      <w:r w:rsidRPr="00642A01">
        <w:rPr>
          <w:rFonts w:eastAsia="Times New Roman" w:cs="Arial"/>
          <w:color w:val="000000"/>
          <w:lang w:val="en-US"/>
        </w:rPr>
        <w:t>spp</w:t>
      </w:r>
      <w:proofErr w:type="spellEnd"/>
      <w:r w:rsidRPr="00642A01">
        <w:rPr>
          <w:rFonts w:eastAsia="Times New Roman" w:cs="Arial"/>
          <w:color w:val="000000"/>
        </w:rPr>
        <w:t xml:space="preserve">, </w:t>
      </w:r>
      <w:r w:rsidRPr="00642A01">
        <w:rPr>
          <w:rFonts w:eastAsia="Times New Roman" w:cs="Arial"/>
          <w:color w:val="000000"/>
          <w:lang w:eastAsia="bg-BG"/>
        </w:rPr>
        <w:t xml:space="preserve">и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Bacteroides</w:t>
      </w:r>
      <w:proofErr w:type="spellEnd"/>
      <w:r w:rsidRPr="00642A01">
        <w:rPr>
          <w:rFonts w:eastAsia="Times New Roman" w:cs="Arial"/>
          <w:color w:val="000000"/>
        </w:rPr>
        <w:t xml:space="preserve"> </w:t>
      </w:r>
      <w:proofErr w:type="spellStart"/>
      <w:r w:rsidRPr="00642A01">
        <w:rPr>
          <w:rFonts w:eastAsia="Times New Roman" w:cs="Arial"/>
          <w:color w:val="000000"/>
          <w:lang w:val="en-US"/>
        </w:rPr>
        <w:t>spp</w:t>
      </w:r>
      <w:proofErr w:type="spellEnd"/>
      <w:r w:rsidRPr="00642A01">
        <w:rPr>
          <w:rFonts w:eastAsia="Times New Roman" w:cs="Arial"/>
          <w:color w:val="000000"/>
        </w:rPr>
        <w:t xml:space="preserve">.) </w:t>
      </w:r>
      <w:r w:rsidRPr="00642A01">
        <w:rPr>
          <w:rFonts w:eastAsia="Times New Roman" w:cs="Arial"/>
          <w:color w:val="000000"/>
          <w:lang w:eastAsia="bg-BG"/>
        </w:rPr>
        <w:t>и други бактерии, като микоплазми, уреаплазми, хламидии и легионели.</w:t>
      </w:r>
    </w:p>
    <w:p w14:paraId="0F8C1145" w14:textId="77777777" w:rsidR="00642A01" w:rsidRDefault="00642A01" w:rsidP="00642A0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09A01C69" w14:textId="29D8068E" w:rsidR="00642A01" w:rsidRDefault="00642A01" w:rsidP="00642A01">
      <w:pPr>
        <w:spacing w:line="240" w:lineRule="auto"/>
      </w:pPr>
      <w:r w:rsidRPr="00642A01">
        <w:rPr>
          <w:rFonts w:eastAsia="Times New Roman" w:cs="Arial"/>
          <w:color w:val="000000"/>
          <w:lang w:eastAsia="bg-BG"/>
        </w:rPr>
        <w:t xml:space="preserve">Бактериална чувствителност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vitro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към мидекамицин ацетат </w:t>
      </w:r>
      <w:r w:rsidRPr="00642A01">
        <w:rPr>
          <w:rFonts w:eastAsia="Times New Roman" w:cs="Arial"/>
          <w:color w:val="000000"/>
        </w:rPr>
        <w:t>(</w:t>
      </w:r>
      <w:r w:rsidRPr="00642A01">
        <w:rPr>
          <w:rFonts w:eastAsia="Times New Roman" w:cs="Arial"/>
          <w:color w:val="000000"/>
          <w:lang w:val="en-US"/>
        </w:rPr>
        <w:t>MDM</w:t>
      </w:r>
      <w:r w:rsidRPr="00642A01">
        <w:rPr>
          <w:rFonts w:eastAsia="Times New Roman" w:cs="Arial"/>
          <w:color w:val="000000"/>
          <w:lang w:eastAsia="bg-BG"/>
        </w:rPr>
        <w:t xml:space="preserve">-ацетат) и мидекамицин </w:t>
      </w:r>
      <w:r w:rsidRPr="00642A01">
        <w:rPr>
          <w:rFonts w:eastAsia="Times New Roman" w:cs="Arial"/>
          <w:color w:val="000000"/>
        </w:rPr>
        <w:t>(</w:t>
      </w:r>
      <w:r w:rsidRPr="00642A01">
        <w:rPr>
          <w:rFonts w:eastAsia="Times New Roman" w:cs="Arial"/>
          <w:color w:val="000000"/>
          <w:lang w:val="en-US"/>
        </w:rPr>
        <w:t>MDM</w:t>
      </w:r>
      <w:r w:rsidRPr="00642A01">
        <w:rPr>
          <w:rFonts w:eastAsia="Times New Roman" w:cs="Arial"/>
          <w:color w:val="00000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42A01" w14:paraId="28A54118" w14:textId="77777777" w:rsidTr="003018C2">
        <w:tc>
          <w:tcPr>
            <w:tcW w:w="3116" w:type="dxa"/>
          </w:tcPr>
          <w:p w14:paraId="7824ECF6" w14:textId="77777777" w:rsidR="00642A01" w:rsidRPr="00642A01" w:rsidRDefault="00642A01" w:rsidP="00642A01"/>
        </w:tc>
        <w:tc>
          <w:tcPr>
            <w:tcW w:w="6234" w:type="dxa"/>
            <w:gridSpan w:val="2"/>
          </w:tcPr>
          <w:p w14:paraId="0D2D9477" w14:textId="7C5BB669" w:rsidR="00642A01" w:rsidRPr="00642A01" w:rsidRDefault="00642A01" w:rsidP="00642A01">
            <w:r w:rsidRPr="00642A01">
              <w:rPr>
                <w:b/>
                <w:bCs/>
                <w:lang w:eastAsia="bg-BG"/>
              </w:rPr>
              <w:t xml:space="preserve">Средна </w:t>
            </w:r>
            <w:r w:rsidRPr="00642A01">
              <w:rPr>
                <w:b/>
                <w:bCs/>
              </w:rPr>
              <w:t>MIC</w:t>
            </w:r>
            <w:r w:rsidRPr="00642A01">
              <w:rPr>
                <w:b/>
                <w:bCs/>
                <w:vertAlign w:val="subscript"/>
              </w:rPr>
              <w:t>90</w:t>
            </w:r>
            <w:r w:rsidRPr="00642A01">
              <w:rPr>
                <w:b/>
                <w:bCs/>
              </w:rPr>
              <w:t xml:space="preserve"> (</w:t>
            </w:r>
            <w:r w:rsidRPr="00642A01">
              <w:rPr>
                <w:b/>
                <w:bCs/>
                <w:lang w:eastAsia="bg-BG"/>
              </w:rPr>
              <w:t>μ</w:t>
            </w:r>
            <w:r w:rsidRPr="00642A01">
              <w:rPr>
                <w:b/>
                <w:bCs/>
              </w:rPr>
              <w:t>g/ml)</w:t>
            </w:r>
          </w:p>
        </w:tc>
      </w:tr>
      <w:tr w:rsidR="00642A01" w14:paraId="36E25B46" w14:textId="77777777" w:rsidTr="00642A01">
        <w:tc>
          <w:tcPr>
            <w:tcW w:w="3116" w:type="dxa"/>
          </w:tcPr>
          <w:p w14:paraId="66BF0178" w14:textId="2734C6D1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  <w:lang w:eastAsia="bg-BG"/>
              </w:rPr>
              <w:t>Бактерия</w:t>
            </w:r>
          </w:p>
        </w:tc>
        <w:tc>
          <w:tcPr>
            <w:tcW w:w="3117" w:type="dxa"/>
          </w:tcPr>
          <w:p w14:paraId="48A84AEF" w14:textId="2EBBF8B9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MDM</w:t>
            </w:r>
            <w:r w:rsidRPr="00642A01">
              <w:rPr>
                <w:rFonts w:cs="Arial"/>
                <w:b/>
                <w:bCs/>
                <w:lang w:eastAsia="bg-BG"/>
              </w:rPr>
              <w:t>-ацетат</w:t>
            </w:r>
          </w:p>
        </w:tc>
        <w:tc>
          <w:tcPr>
            <w:tcW w:w="3117" w:type="dxa"/>
          </w:tcPr>
          <w:p w14:paraId="7B4F93B4" w14:textId="7C419EE8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MDM</w:t>
            </w:r>
          </w:p>
        </w:tc>
      </w:tr>
      <w:tr w:rsidR="00642A01" w14:paraId="4C669798" w14:textId="77777777" w:rsidTr="00642A01">
        <w:tc>
          <w:tcPr>
            <w:tcW w:w="3116" w:type="dxa"/>
          </w:tcPr>
          <w:p w14:paraId="24D46213" w14:textId="7C7A11FB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Streptococcus pneumoniae</w:t>
            </w:r>
          </w:p>
        </w:tc>
        <w:tc>
          <w:tcPr>
            <w:tcW w:w="3117" w:type="dxa"/>
          </w:tcPr>
          <w:p w14:paraId="02C33DFC" w14:textId="7210B301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0,5</w:t>
            </w:r>
          </w:p>
        </w:tc>
        <w:tc>
          <w:tcPr>
            <w:tcW w:w="3117" w:type="dxa"/>
          </w:tcPr>
          <w:p w14:paraId="172DA02D" w14:textId="05B03211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0,10</w:t>
            </w:r>
          </w:p>
        </w:tc>
      </w:tr>
      <w:tr w:rsidR="00642A01" w14:paraId="238236A0" w14:textId="77777777" w:rsidTr="00642A01">
        <w:tc>
          <w:tcPr>
            <w:tcW w:w="3116" w:type="dxa"/>
          </w:tcPr>
          <w:p w14:paraId="16D28A5F" w14:textId="537D5DA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Streptococcus pyogenes</w:t>
            </w:r>
          </w:p>
        </w:tc>
        <w:tc>
          <w:tcPr>
            <w:tcW w:w="3117" w:type="dxa"/>
          </w:tcPr>
          <w:p w14:paraId="2613246C" w14:textId="0B7F1209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0,67</w:t>
            </w:r>
          </w:p>
        </w:tc>
        <w:tc>
          <w:tcPr>
            <w:tcW w:w="3117" w:type="dxa"/>
          </w:tcPr>
          <w:p w14:paraId="476908C5" w14:textId="24E39D7E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0,20</w:t>
            </w:r>
          </w:p>
        </w:tc>
      </w:tr>
      <w:tr w:rsidR="00642A01" w14:paraId="1CAEFFF4" w14:textId="77777777" w:rsidTr="00642A01">
        <w:tc>
          <w:tcPr>
            <w:tcW w:w="3116" w:type="dxa"/>
          </w:tcPr>
          <w:p w14:paraId="55764F6C" w14:textId="4B1DA36B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Streptococcus viridans</w:t>
            </w:r>
          </w:p>
        </w:tc>
        <w:tc>
          <w:tcPr>
            <w:tcW w:w="3117" w:type="dxa"/>
          </w:tcPr>
          <w:p w14:paraId="36D1BE06" w14:textId="4B1325FF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0,28</w:t>
            </w:r>
          </w:p>
        </w:tc>
        <w:tc>
          <w:tcPr>
            <w:tcW w:w="3117" w:type="dxa"/>
          </w:tcPr>
          <w:p w14:paraId="2773B337" w14:textId="38A59795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0,39</w:t>
            </w:r>
          </w:p>
        </w:tc>
      </w:tr>
      <w:tr w:rsidR="00642A01" w14:paraId="49186595" w14:textId="77777777" w:rsidTr="00642A01">
        <w:tc>
          <w:tcPr>
            <w:tcW w:w="3116" w:type="dxa"/>
          </w:tcPr>
          <w:p w14:paraId="009DE53F" w14:textId="43B4F0D7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lastRenderedPageBreak/>
              <w:t>Staphylococcus aureus</w:t>
            </w:r>
          </w:p>
        </w:tc>
        <w:tc>
          <w:tcPr>
            <w:tcW w:w="3117" w:type="dxa"/>
          </w:tcPr>
          <w:p w14:paraId="44705ECE" w14:textId="0F884D69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1,5</w:t>
            </w:r>
          </w:p>
        </w:tc>
        <w:tc>
          <w:tcPr>
            <w:tcW w:w="3117" w:type="dxa"/>
          </w:tcPr>
          <w:p w14:paraId="25F1D22A" w14:textId="7B0E7ECC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1,5</w:t>
            </w:r>
          </w:p>
        </w:tc>
      </w:tr>
      <w:tr w:rsidR="00642A01" w14:paraId="1FCF3953" w14:textId="77777777" w:rsidTr="00642A01">
        <w:tc>
          <w:tcPr>
            <w:tcW w:w="3116" w:type="dxa"/>
          </w:tcPr>
          <w:p w14:paraId="47FDD42E" w14:textId="76234726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Listeria monocytogenes</w:t>
            </w:r>
          </w:p>
        </w:tc>
        <w:tc>
          <w:tcPr>
            <w:tcW w:w="3117" w:type="dxa"/>
          </w:tcPr>
          <w:p w14:paraId="6FC1B463" w14:textId="426D8480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2</w:t>
            </w:r>
          </w:p>
        </w:tc>
        <w:tc>
          <w:tcPr>
            <w:tcW w:w="3117" w:type="dxa"/>
          </w:tcPr>
          <w:p w14:paraId="75322556" w14:textId="7E80FA8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1,5</w:t>
            </w:r>
          </w:p>
        </w:tc>
      </w:tr>
      <w:tr w:rsidR="00642A01" w14:paraId="1EADE266" w14:textId="77777777" w:rsidTr="00642A01">
        <w:tc>
          <w:tcPr>
            <w:tcW w:w="3116" w:type="dxa"/>
          </w:tcPr>
          <w:p w14:paraId="6BD6D9F9" w14:textId="35186A62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Bordetella pertussis</w:t>
            </w:r>
          </w:p>
        </w:tc>
        <w:tc>
          <w:tcPr>
            <w:tcW w:w="3117" w:type="dxa"/>
          </w:tcPr>
          <w:p w14:paraId="2C7527D5" w14:textId="04B5FAF6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0,25</w:t>
            </w:r>
          </w:p>
        </w:tc>
        <w:tc>
          <w:tcPr>
            <w:tcW w:w="3117" w:type="dxa"/>
          </w:tcPr>
          <w:p w14:paraId="2585F251" w14:textId="54695C2C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0,20</w:t>
            </w:r>
          </w:p>
        </w:tc>
      </w:tr>
      <w:tr w:rsidR="00642A01" w14:paraId="6003CA3A" w14:textId="77777777" w:rsidTr="00642A01">
        <w:tc>
          <w:tcPr>
            <w:tcW w:w="3116" w:type="dxa"/>
          </w:tcPr>
          <w:p w14:paraId="0FD315C9" w14:textId="6901F5A6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Legionella pneumophila</w:t>
            </w:r>
          </w:p>
        </w:tc>
        <w:tc>
          <w:tcPr>
            <w:tcW w:w="3117" w:type="dxa"/>
          </w:tcPr>
          <w:p w14:paraId="2FF7725F" w14:textId="0B39D034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0,1</w:t>
            </w:r>
          </w:p>
        </w:tc>
        <w:tc>
          <w:tcPr>
            <w:tcW w:w="3117" w:type="dxa"/>
          </w:tcPr>
          <w:p w14:paraId="42EB82C0" w14:textId="43F507C6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0,12-1</w:t>
            </w:r>
          </w:p>
        </w:tc>
      </w:tr>
      <w:tr w:rsidR="00642A01" w14:paraId="67983D54" w14:textId="77777777" w:rsidTr="00642A01">
        <w:tc>
          <w:tcPr>
            <w:tcW w:w="3116" w:type="dxa"/>
          </w:tcPr>
          <w:p w14:paraId="0C72020B" w14:textId="2A380934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Moraxella catarrhalis</w:t>
            </w:r>
          </w:p>
        </w:tc>
        <w:tc>
          <w:tcPr>
            <w:tcW w:w="3117" w:type="dxa"/>
          </w:tcPr>
          <w:p w14:paraId="0CC513DA" w14:textId="42C5D44D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2</w:t>
            </w:r>
          </w:p>
        </w:tc>
        <w:tc>
          <w:tcPr>
            <w:tcW w:w="3117" w:type="dxa"/>
          </w:tcPr>
          <w:p w14:paraId="7F9739FB" w14:textId="3A6E6198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-</w:t>
            </w:r>
          </w:p>
        </w:tc>
      </w:tr>
      <w:tr w:rsidR="00642A01" w14:paraId="02C1A052" w14:textId="77777777" w:rsidTr="00642A01">
        <w:tc>
          <w:tcPr>
            <w:tcW w:w="3116" w:type="dxa"/>
          </w:tcPr>
          <w:p w14:paraId="5675B620" w14:textId="37A2D2F8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Helicobacter pylori</w:t>
            </w:r>
          </w:p>
        </w:tc>
        <w:tc>
          <w:tcPr>
            <w:tcW w:w="3117" w:type="dxa"/>
          </w:tcPr>
          <w:p w14:paraId="7CD8D811" w14:textId="7C844A42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0,5</w:t>
            </w:r>
          </w:p>
        </w:tc>
        <w:tc>
          <w:tcPr>
            <w:tcW w:w="3117" w:type="dxa"/>
          </w:tcPr>
          <w:p w14:paraId="25E5FA57" w14:textId="7A21C1D4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  <w:tr w:rsidR="00642A01" w14:paraId="1DFF8903" w14:textId="77777777" w:rsidTr="00642A01">
        <w:tc>
          <w:tcPr>
            <w:tcW w:w="3116" w:type="dxa"/>
          </w:tcPr>
          <w:p w14:paraId="59300C8E" w14:textId="7C15EBF5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Propionibacterium acnes</w:t>
            </w:r>
          </w:p>
        </w:tc>
        <w:tc>
          <w:tcPr>
            <w:tcW w:w="3117" w:type="dxa"/>
          </w:tcPr>
          <w:p w14:paraId="235E8838" w14:textId="7009FF47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0,12</w:t>
            </w:r>
          </w:p>
        </w:tc>
        <w:tc>
          <w:tcPr>
            <w:tcW w:w="3117" w:type="dxa"/>
          </w:tcPr>
          <w:p w14:paraId="7C9C94A5" w14:textId="4A932893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  <w:tr w:rsidR="00642A01" w14:paraId="79EAEA26" w14:textId="77777777" w:rsidTr="00642A01">
        <w:tc>
          <w:tcPr>
            <w:tcW w:w="3116" w:type="dxa"/>
          </w:tcPr>
          <w:p w14:paraId="6F37F05C" w14:textId="0A886AE5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Bacteroides jragilis</w:t>
            </w:r>
          </w:p>
        </w:tc>
        <w:tc>
          <w:tcPr>
            <w:tcW w:w="3117" w:type="dxa"/>
          </w:tcPr>
          <w:p w14:paraId="500CE312" w14:textId="2E797E5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5,5</w:t>
            </w:r>
          </w:p>
        </w:tc>
        <w:tc>
          <w:tcPr>
            <w:tcW w:w="3117" w:type="dxa"/>
          </w:tcPr>
          <w:p w14:paraId="197007E0" w14:textId="05F10E27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3,13</w:t>
            </w:r>
          </w:p>
        </w:tc>
      </w:tr>
      <w:tr w:rsidR="00642A01" w14:paraId="7FB66A14" w14:textId="77777777" w:rsidTr="00642A01">
        <w:tc>
          <w:tcPr>
            <w:tcW w:w="3116" w:type="dxa"/>
          </w:tcPr>
          <w:p w14:paraId="4425A279" w14:textId="0BB89E47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Mycoplasma pneumoniae</w:t>
            </w:r>
          </w:p>
        </w:tc>
        <w:tc>
          <w:tcPr>
            <w:tcW w:w="3117" w:type="dxa"/>
          </w:tcPr>
          <w:p w14:paraId="72D6E0BC" w14:textId="449CAE6F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0,024</w:t>
            </w:r>
          </w:p>
        </w:tc>
        <w:tc>
          <w:tcPr>
            <w:tcW w:w="3117" w:type="dxa"/>
          </w:tcPr>
          <w:p w14:paraId="387871E7" w14:textId="49DCAB58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0,0078</w:t>
            </w:r>
          </w:p>
        </w:tc>
      </w:tr>
      <w:tr w:rsidR="00642A01" w14:paraId="21E21380" w14:textId="77777777" w:rsidTr="00642A01">
        <w:tc>
          <w:tcPr>
            <w:tcW w:w="3116" w:type="dxa"/>
          </w:tcPr>
          <w:p w14:paraId="14108631" w14:textId="31A632B3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Ureaplasma urealyticum</w:t>
            </w:r>
          </w:p>
        </w:tc>
        <w:tc>
          <w:tcPr>
            <w:tcW w:w="3117" w:type="dxa"/>
          </w:tcPr>
          <w:p w14:paraId="58F8C244" w14:textId="4FF3CDCD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0,34</w:t>
            </w:r>
          </w:p>
        </w:tc>
        <w:tc>
          <w:tcPr>
            <w:tcW w:w="3117" w:type="dxa"/>
          </w:tcPr>
          <w:p w14:paraId="5A419AF2" w14:textId="572B03F8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1,56</w:t>
            </w:r>
          </w:p>
        </w:tc>
      </w:tr>
      <w:tr w:rsidR="00642A01" w14:paraId="7A46C295" w14:textId="77777777" w:rsidTr="00642A01">
        <w:tc>
          <w:tcPr>
            <w:tcW w:w="3116" w:type="dxa"/>
          </w:tcPr>
          <w:p w14:paraId="7912EA51" w14:textId="28441A69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Mycoplasma hominis</w:t>
            </w:r>
          </w:p>
        </w:tc>
        <w:tc>
          <w:tcPr>
            <w:tcW w:w="3117" w:type="dxa"/>
          </w:tcPr>
          <w:p w14:paraId="65B416F1" w14:textId="57B5F566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2,3</w:t>
            </w:r>
          </w:p>
        </w:tc>
        <w:tc>
          <w:tcPr>
            <w:tcW w:w="3117" w:type="dxa"/>
          </w:tcPr>
          <w:p w14:paraId="48E0FC95" w14:textId="7A94404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  <w:tr w:rsidR="00642A01" w14:paraId="4C6C137E" w14:textId="77777777" w:rsidTr="00642A01">
        <w:tc>
          <w:tcPr>
            <w:tcW w:w="3116" w:type="dxa"/>
          </w:tcPr>
          <w:p w14:paraId="07A3C1E6" w14:textId="247348D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Gardnerella vaginalis</w:t>
            </w:r>
          </w:p>
        </w:tc>
        <w:tc>
          <w:tcPr>
            <w:tcW w:w="3117" w:type="dxa"/>
          </w:tcPr>
          <w:p w14:paraId="30523A18" w14:textId="75BE914F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0,08</w:t>
            </w:r>
          </w:p>
        </w:tc>
        <w:tc>
          <w:tcPr>
            <w:tcW w:w="3117" w:type="dxa"/>
          </w:tcPr>
          <w:p w14:paraId="5D8B84A2" w14:textId="2AD973CB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  <w:tr w:rsidR="00642A01" w14:paraId="1D76F44D" w14:textId="77777777" w:rsidTr="00642A01">
        <w:tc>
          <w:tcPr>
            <w:tcW w:w="3116" w:type="dxa"/>
          </w:tcPr>
          <w:p w14:paraId="69349E0A" w14:textId="733C0264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Chlamydia trachomatis</w:t>
            </w:r>
          </w:p>
        </w:tc>
        <w:tc>
          <w:tcPr>
            <w:tcW w:w="3117" w:type="dxa"/>
          </w:tcPr>
          <w:p w14:paraId="229FDA99" w14:textId="6034B9C0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0,06</w:t>
            </w:r>
          </w:p>
        </w:tc>
        <w:tc>
          <w:tcPr>
            <w:tcW w:w="3117" w:type="dxa"/>
          </w:tcPr>
          <w:p w14:paraId="6991E7D0" w14:textId="61C6EBAA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  <w:tr w:rsidR="00642A01" w14:paraId="4A36A2D9" w14:textId="77777777" w:rsidTr="00642A01">
        <w:tc>
          <w:tcPr>
            <w:tcW w:w="3116" w:type="dxa"/>
          </w:tcPr>
          <w:p w14:paraId="7786EA5D" w14:textId="274BCEB2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i/>
                <w:iCs/>
              </w:rPr>
              <w:t>Chlamydia pneumoniae</w:t>
            </w:r>
          </w:p>
        </w:tc>
        <w:tc>
          <w:tcPr>
            <w:tcW w:w="3117" w:type="dxa"/>
          </w:tcPr>
          <w:p w14:paraId="0DD9DB10" w14:textId="224558C2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</w:rPr>
              <w:t>0,5</w:t>
            </w:r>
          </w:p>
        </w:tc>
        <w:tc>
          <w:tcPr>
            <w:tcW w:w="3117" w:type="dxa"/>
          </w:tcPr>
          <w:p w14:paraId="79B5B03A" w14:textId="596AD900" w:rsidR="00642A01" w:rsidRPr="00642A01" w:rsidRDefault="00642A01" w:rsidP="00642A01">
            <w:pPr>
              <w:spacing w:line="240" w:lineRule="auto"/>
              <w:rPr>
                <w:rFonts w:eastAsia="Times New Roman" w:cs="Arial"/>
              </w:rPr>
            </w:pPr>
            <w:r w:rsidRPr="00642A01">
              <w:rPr>
                <w:rFonts w:cs="Arial"/>
                <w:b/>
                <w:bCs/>
              </w:rPr>
              <w:t>-</w:t>
            </w:r>
          </w:p>
        </w:tc>
      </w:tr>
    </w:tbl>
    <w:p w14:paraId="5F803B58" w14:textId="0FD12913" w:rsidR="00642A01" w:rsidRDefault="00642A01" w:rsidP="00642A01">
      <w:pPr>
        <w:spacing w:line="240" w:lineRule="auto"/>
        <w:rPr>
          <w:rFonts w:eastAsia="Times New Roman" w:cs="Arial"/>
        </w:rPr>
      </w:pPr>
    </w:p>
    <w:p w14:paraId="595B39F0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Критериите за интерпретацията на </w:t>
      </w:r>
      <w:r w:rsidRPr="00642A01">
        <w:rPr>
          <w:rFonts w:eastAsia="Times New Roman" w:cs="Arial"/>
          <w:color w:val="000000"/>
          <w:lang w:val="en-US"/>
        </w:rPr>
        <w:t>MIC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на мидекамицин според стандартите на </w:t>
      </w:r>
      <w:r w:rsidRPr="00642A01">
        <w:rPr>
          <w:rFonts w:eastAsia="Times New Roman" w:cs="Arial"/>
          <w:color w:val="000000"/>
          <w:lang w:val="en-US"/>
        </w:rPr>
        <w:t>NCCLS</w:t>
      </w:r>
      <w:r w:rsidRPr="00642A01">
        <w:rPr>
          <w:rFonts w:eastAsia="Times New Roman" w:cs="Arial"/>
          <w:color w:val="000000"/>
        </w:rPr>
        <w:t xml:space="preserve"> (</w:t>
      </w:r>
      <w:r w:rsidRPr="00642A01">
        <w:rPr>
          <w:rFonts w:eastAsia="Times New Roman" w:cs="Arial"/>
          <w:color w:val="000000"/>
          <w:lang w:val="en-US"/>
        </w:rPr>
        <w:t>National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val="en-US"/>
        </w:rPr>
        <w:t>Committee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val="en-US"/>
        </w:rPr>
        <w:t>for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val="en-US"/>
        </w:rPr>
        <w:t>Clinical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val="en-US"/>
        </w:rPr>
        <w:t>Laboratory</w:t>
      </w:r>
      <w:r w:rsidRPr="00642A01">
        <w:rPr>
          <w:rFonts w:eastAsia="Times New Roman" w:cs="Arial"/>
          <w:color w:val="000000"/>
        </w:rPr>
        <w:t xml:space="preserve"> </w:t>
      </w:r>
      <w:r w:rsidRPr="00642A01">
        <w:rPr>
          <w:rFonts w:eastAsia="Times New Roman" w:cs="Arial"/>
          <w:color w:val="000000"/>
          <w:lang w:val="en-US"/>
        </w:rPr>
        <w:t>Standards</w:t>
      </w:r>
      <w:r w:rsidRPr="00642A01">
        <w:rPr>
          <w:rFonts w:eastAsia="Times New Roman" w:cs="Arial"/>
          <w:color w:val="000000"/>
        </w:rPr>
        <w:t xml:space="preserve">) </w:t>
      </w:r>
      <w:r w:rsidRPr="00642A01">
        <w:rPr>
          <w:rFonts w:eastAsia="Times New Roman" w:cs="Arial"/>
          <w:color w:val="000000"/>
          <w:lang w:eastAsia="bg-BG"/>
        </w:rPr>
        <w:t>са същите, както и за другите макролиди. Бактериите се определят като чувствителни, ако тяхната М</w:t>
      </w:r>
      <w:r w:rsidRPr="00642A01">
        <w:rPr>
          <w:rFonts w:eastAsia="Times New Roman" w:cs="Arial"/>
          <w:color w:val="000000"/>
          <w:lang w:val="en-US"/>
        </w:rPr>
        <w:t>I</w:t>
      </w:r>
      <w:r w:rsidRPr="00642A01">
        <w:rPr>
          <w:rFonts w:eastAsia="Times New Roman" w:cs="Arial"/>
          <w:color w:val="000000"/>
          <w:lang w:eastAsia="bg-BG"/>
        </w:rPr>
        <w:t>С</w:t>
      </w:r>
      <w:r w:rsidRPr="00642A01">
        <w:rPr>
          <w:rFonts w:eastAsia="Times New Roman" w:cs="Arial"/>
          <w:color w:val="000000"/>
          <w:vertAlign w:val="subscript"/>
          <w:lang w:eastAsia="bg-BG"/>
        </w:rPr>
        <w:t>90</w:t>
      </w:r>
      <w:r w:rsidRPr="00642A01">
        <w:rPr>
          <w:rFonts w:eastAsia="Times New Roman" w:cs="Arial"/>
          <w:color w:val="000000"/>
          <w:lang w:eastAsia="bg-BG"/>
        </w:rPr>
        <w:t xml:space="preserve"> е ≤2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, </w:t>
      </w:r>
      <w:r w:rsidRPr="00642A01">
        <w:rPr>
          <w:rFonts w:eastAsia="Times New Roman" w:cs="Arial"/>
          <w:color w:val="000000"/>
          <w:lang w:eastAsia="bg-BG"/>
        </w:rPr>
        <w:t>като резистентни, ако тяхната М</w:t>
      </w:r>
      <w:r w:rsidRPr="00642A01">
        <w:rPr>
          <w:rFonts w:eastAsia="Times New Roman" w:cs="Arial"/>
          <w:color w:val="000000"/>
          <w:lang w:val="en-US"/>
        </w:rPr>
        <w:t>I</w:t>
      </w:r>
      <w:r w:rsidRPr="00642A01">
        <w:rPr>
          <w:rFonts w:eastAsia="Times New Roman" w:cs="Arial"/>
          <w:color w:val="000000"/>
          <w:lang w:eastAsia="bg-BG"/>
        </w:rPr>
        <w:t>С</w:t>
      </w:r>
      <w:r w:rsidRPr="00642A01">
        <w:rPr>
          <w:rFonts w:eastAsia="Times New Roman" w:cs="Arial"/>
          <w:color w:val="000000"/>
          <w:vertAlign w:val="subscript"/>
          <w:lang w:eastAsia="bg-BG"/>
        </w:rPr>
        <w:t>90</w:t>
      </w:r>
      <w:r w:rsidRPr="00642A01">
        <w:rPr>
          <w:rFonts w:eastAsia="Times New Roman" w:cs="Arial"/>
          <w:color w:val="000000"/>
          <w:lang w:eastAsia="bg-BG"/>
        </w:rPr>
        <w:t xml:space="preserve"> е ≥ 8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>.</w:t>
      </w:r>
    </w:p>
    <w:p w14:paraId="0C10AB24" w14:textId="77777777" w:rsidR="00642A01" w:rsidRDefault="00642A01" w:rsidP="00642A01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1BCA8BB9" w14:textId="2F4BDAAB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b/>
          <w:bCs/>
          <w:i/>
          <w:iCs/>
          <w:color w:val="000000"/>
          <w:lang w:eastAsia="bg-BG"/>
        </w:rPr>
        <w:t>Антимикробна ефективност на метаболитите</w:t>
      </w:r>
    </w:p>
    <w:p w14:paraId="445F0263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Метаболитите на мидекамицин имат подобен антибактериален спектър като мидекамицин, но тяхното действие е малко по-слабо, Резултатите от няколко изследвания върху животни показват, че ефективността на мидекамицин е по-добра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vivo</w:t>
      </w:r>
      <w:r w:rsidRPr="00642A01">
        <w:rPr>
          <w:rFonts w:eastAsia="Times New Roman" w:cs="Arial"/>
          <w:i/>
          <w:iCs/>
          <w:color w:val="000000"/>
          <w:lang w:val="ru-RU"/>
        </w:rPr>
        <w:t>,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отколкото </w:t>
      </w:r>
      <w:r w:rsidRPr="00642A01">
        <w:rPr>
          <w:rFonts w:eastAsia="Times New Roman" w:cs="Arial"/>
          <w:i/>
          <w:iCs/>
          <w:color w:val="000000"/>
          <w:lang w:val="en-US"/>
        </w:rPr>
        <w:t>in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vitro</w:t>
      </w:r>
      <w:r w:rsidRPr="00642A01">
        <w:rPr>
          <w:rFonts w:eastAsia="Times New Roman" w:cs="Arial"/>
          <w:i/>
          <w:iCs/>
          <w:color w:val="000000"/>
          <w:lang w:val="ru-RU"/>
        </w:rPr>
        <w:t>.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Това се дължи отчасти на високите концентрации на метаболитите в тъканите.</w:t>
      </w:r>
    </w:p>
    <w:p w14:paraId="7B63A239" w14:textId="77777777" w:rsidR="00642A01" w:rsidRDefault="00642A01" w:rsidP="00642A01">
      <w:pPr>
        <w:spacing w:line="240" w:lineRule="auto"/>
        <w:rPr>
          <w:rFonts w:eastAsia="Times New Roman" w:cs="Arial"/>
          <w:b/>
          <w:bCs/>
          <w:i/>
          <w:iCs/>
          <w:color w:val="000000"/>
          <w:lang w:eastAsia="bg-BG"/>
        </w:rPr>
      </w:pPr>
    </w:p>
    <w:p w14:paraId="0BEB6310" w14:textId="76822F75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b/>
          <w:bCs/>
          <w:i/>
          <w:iCs/>
          <w:color w:val="000000"/>
          <w:lang w:eastAsia="bg-BG"/>
        </w:rPr>
        <w:t>Резистентност</w:t>
      </w:r>
    </w:p>
    <w:p w14:paraId="66217ABE" w14:textId="38535553" w:rsidR="00642A01" w:rsidRDefault="00642A01" w:rsidP="00642A01">
      <w:pPr>
        <w:spacing w:line="240" w:lineRule="auto"/>
        <w:rPr>
          <w:rFonts w:eastAsia="Times New Roman" w:cs="Arial"/>
          <w:color w:val="000000"/>
          <w:lang w:eastAsia="bg-BG"/>
        </w:rPr>
      </w:pPr>
      <w:r w:rsidRPr="00642A01">
        <w:rPr>
          <w:rFonts w:eastAsia="Times New Roman" w:cs="Arial"/>
          <w:color w:val="000000"/>
          <w:lang w:eastAsia="bg-BG"/>
        </w:rPr>
        <w:t>Резистентностга към макролидите се развива поради намаления пермеабилитет на външната клетъчна мембрана на бактерията (ентеробактерия), инактивиране на лекарството (</w:t>
      </w:r>
      <w:r w:rsidRPr="00642A01">
        <w:rPr>
          <w:rFonts w:eastAsia="Times New Roman" w:cs="Arial"/>
          <w:color w:val="000000"/>
          <w:lang w:val="en-US"/>
        </w:rPr>
        <w:t>S</w:t>
      </w:r>
      <w:r w:rsidRPr="00642A01">
        <w:rPr>
          <w:rFonts w:eastAsia="Times New Roman" w:cs="Arial"/>
          <w:color w:val="000000"/>
          <w:lang w:val="ru-RU"/>
        </w:rPr>
        <w:t xml:space="preserve">. </w:t>
      </w:r>
      <w:proofErr w:type="gramStart"/>
      <w:r w:rsidRPr="00642A01">
        <w:rPr>
          <w:rFonts w:eastAsia="Times New Roman" w:cs="Arial"/>
          <w:color w:val="000000"/>
          <w:lang w:val="en-US"/>
        </w:rPr>
        <w:t>aureus</w:t>
      </w:r>
      <w:proofErr w:type="gramEnd"/>
      <w:r w:rsidRPr="00642A01">
        <w:rPr>
          <w:rFonts w:eastAsia="Times New Roman" w:cs="Arial"/>
          <w:color w:val="000000"/>
          <w:lang w:val="ru-RU"/>
        </w:rPr>
        <w:t xml:space="preserve">, </w:t>
      </w:r>
      <w:r w:rsidRPr="00642A01">
        <w:rPr>
          <w:rFonts w:eastAsia="Times New Roman" w:cs="Arial"/>
          <w:color w:val="000000"/>
          <w:lang w:val="en-US"/>
        </w:rPr>
        <w:t>E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i/>
          <w:iCs/>
          <w:color w:val="000000"/>
          <w:lang w:val="en-US"/>
        </w:rPr>
        <w:t>coli</w:t>
      </w:r>
      <w:r w:rsidRPr="00642A01">
        <w:rPr>
          <w:rFonts w:eastAsia="Times New Roman" w:cs="Arial"/>
          <w:i/>
          <w:iCs/>
          <w:color w:val="000000"/>
          <w:lang w:val="ru-RU"/>
        </w:rPr>
        <w:t>)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и, най-важното, поради промененото място на действие.</w:t>
      </w:r>
    </w:p>
    <w:p w14:paraId="6FFD2B4A" w14:textId="5E72A36D" w:rsidR="00642A01" w:rsidRDefault="00642A01" w:rsidP="00642A01">
      <w:pPr>
        <w:spacing w:line="240" w:lineRule="auto"/>
        <w:rPr>
          <w:rFonts w:eastAsia="Times New Roman" w:cs="Arial"/>
          <w:color w:val="000000"/>
          <w:lang w:eastAsia="bg-BG"/>
        </w:rPr>
      </w:pPr>
    </w:p>
    <w:p w14:paraId="24AE2320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В географско отношение, честотата на бактериална резистентност към макролидите варира значително. Резистентността на метицилин-чувствителните 5. </w:t>
      </w:r>
      <w:proofErr w:type="gramStart"/>
      <w:r w:rsidRPr="00642A01">
        <w:rPr>
          <w:rFonts w:eastAsia="Times New Roman" w:cs="Arial"/>
          <w:i/>
          <w:iCs/>
          <w:color w:val="000000"/>
          <w:lang w:val="en-US"/>
        </w:rPr>
        <w:t>aureus</w:t>
      </w:r>
      <w:proofErr w:type="gramEnd"/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варира от 1% до 50%, докато повечето от метицилин-резистентните щамове на </w:t>
      </w:r>
      <w:r w:rsidRPr="00642A01">
        <w:rPr>
          <w:rFonts w:eastAsia="Times New Roman" w:cs="Arial"/>
          <w:color w:val="000000"/>
          <w:lang w:val="en-US"/>
        </w:rPr>
        <w:t>S</w:t>
      </w:r>
      <w:r w:rsidRPr="00642A01">
        <w:rPr>
          <w:rFonts w:eastAsia="Times New Roman" w:cs="Arial"/>
          <w:color w:val="000000"/>
          <w:lang w:val="ru-RU"/>
        </w:rPr>
        <w:t xml:space="preserve">, </w:t>
      </w:r>
      <w:r w:rsidRPr="00642A01">
        <w:rPr>
          <w:rFonts w:eastAsia="Times New Roman" w:cs="Arial"/>
          <w:i/>
          <w:iCs/>
          <w:color w:val="000000"/>
          <w:lang w:val="en-US"/>
        </w:rPr>
        <w:t>aureus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са резистентни и на макролиди. Резистентността на пневмококите е предимно под 5%, но в някои части на света тя е над 50% (Япония). Резистентността на </w:t>
      </w:r>
      <w:r w:rsidRPr="00642A01">
        <w:rPr>
          <w:rFonts w:eastAsia="Times New Roman" w:cs="Arial"/>
          <w:i/>
          <w:iCs/>
          <w:color w:val="000000"/>
          <w:lang w:val="en-US"/>
        </w:rPr>
        <w:t>Streptococcus</w:t>
      </w:r>
      <w:r w:rsidRPr="00642A01">
        <w:rPr>
          <w:rFonts w:eastAsia="Times New Roman" w:cs="Arial"/>
          <w:i/>
          <w:iCs/>
          <w:color w:val="000000"/>
          <w:lang w:val="ru-RU"/>
        </w:rPr>
        <w:t xml:space="preserve"> </w:t>
      </w:r>
      <w:proofErr w:type="spellStart"/>
      <w:r w:rsidRPr="00642A01">
        <w:rPr>
          <w:rFonts w:eastAsia="Times New Roman" w:cs="Arial"/>
          <w:i/>
          <w:iCs/>
          <w:color w:val="000000"/>
          <w:lang w:val="en-US"/>
        </w:rPr>
        <w:t>pyogenes</w:t>
      </w:r>
      <w:proofErr w:type="spellEnd"/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към макролиди варира между 1% и 40% в Европа. Резистентност към микоплазми, легионели и </w:t>
      </w:r>
      <w:r w:rsidRPr="00642A01">
        <w:rPr>
          <w:rFonts w:eastAsia="Times New Roman" w:cs="Arial"/>
          <w:i/>
          <w:iCs/>
          <w:color w:val="000000"/>
          <w:lang w:eastAsia="bg-BG"/>
        </w:rPr>
        <w:t xml:space="preserve">С. </w:t>
      </w:r>
      <w:proofErr w:type="spellStart"/>
      <w:proofErr w:type="gramStart"/>
      <w:r w:rsidRPr="00642A01">
        <w:rPr>
          <w:rFonts w:eastAsia="Times New Roman" w:cs="Arial"/>
          <w:i/>
          <w:iCs/>
          <w:color w:val="000000"/>
          <w:lang w:val="en-US"/>
        </w:rPr>
        <w:t>diphteriae</w:t>
      </w:r>
      <w:proofErr w:type="spellEnd"/>
      <w:proofErr w:type="gramEnd"/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се развива Много рядко.</w:t>
      </w:r>
    </w:p>
    <w:p w14:paraId="6308473C" w14:textId="091C7F8B" w:rsidR="00642A01" w:rsidRPr="00642A01" w:rsidRDefault="00642A01" w:rsidP="00642A01">
      <w:pPr>
        <w:spacing w:line="240" w:lineRule="auto"/>
        <w:rPr>
          <w:rFonts w:eastAsia="Times New Roman" w:cs="Arial"/>
        </w:rPr>
      </w:pPr>
    </w:p>
    <w:p w14:paraId="79643DB7" w14:textId="12B528F4" w:rsidR="00DF4C8E" w:rsidRDefault="002C50EE" w:rsidP="00F44498">
      <w:pPr>
        <w:pStyle w:val="Heading2"/>
      </w:pPr>
      <w:r>
        <w:t>5.2. Фармакокинетични свойства</w:t>
      </w:r>
    </w:p>
    <w:p w14:paraId="4AF0DFD2" w14:textId="15C76A8F" w:rsidR="00642A01" w:rsidRDefault="00642A01" w:rsidP="00642A01"/>
    <w:p w14:paraId="3E9E24AA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Абсорбция</w:t>
      </w:r>
    </w:p>
    <w:p w14:paraId="53F16DF7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Мидекамицин и мидекамицин ацетат бързо и относително добре се резорбират и достигат максимални серумни концентрации от 0,5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до 2,5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и 1,31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до 3,3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, </w:t>
      </w:r>
      <w:r w:rsidRPr="00642A01">
        <w:rPr>
          <w:rFonts w:eastAsia="Times New Roman" w:cs="Arial"/>
          <w:color w:val="000000"/>
          <w:lang w:eastAsia="bg-BG"/>
        </w:rPr>
        <w:t>съответно за 1 до 2 часа. Приемът на храна леко понижава максималните концентрации, особено при деца (от 4 до 16-годишна възраст). Поради това се препоръчва мидекамицин да се приема преди хранене.</w:t>
      </w:r>
    </w:p>
    <w:p w14:paraId="7DB51B52" w14:textId="77777777" w:rsidR="00642A01" w:rsidRDefault="00642A01" w:rsidP="00642A0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70147F42" w14:textId="6C0101F6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Разпределение</w:t>
      </w:r>
    </w:p>
    <w:p w14:paraId="5D6301B5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lastRenderedPageBreak/>
        <w:t xml:space="preserve">Мидекамицин прониква добре в тъканите, където достига повече от 100% по-високи концентрации, отколкото в кръвта. Той достига високи концентрации в бронхиалните секрети, а също и в кожата. Обемът на разпределение на мидекамицин ацетат е голям: 228-329 литра при здрави доброволци. 47% от мидекамицин и 3% до 29% от метаболитите се свързват с протеините. Мидекамицин ацетат се екскретира и в кърмата при човека. След доза от 1200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дневно, 0,4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до 1,7 μ</w:t>
      </w:r>
      <w:r w:rsidRPr="00642A01">
        <w:rPr>
          <w:rFonts w:eastAsia="Times New Roman" w:cs="Arial"/>
          <w:color w:val="000000"/>
          <w:lang w:val="en-US"/>
        </w:rPr>
        <w:t>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ml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от мидекамицин ацетат се откриват в кърмата.</w:t>
      </w:r>
    </w:p>
    <w:p w14:paraId="419E96EB" w14:textId="77777777" w:rsidR="00642A01" w:rsidRDefault="00642A01" w:rsidP="00642A01">
      <w:pPr>
        <w:spacing w:line="240" w:lineRule="auto"/>
        <w:rPr>
          <w:rFonts w:eastAsia="Times New Roman" w:cs="Arial"/>
          <w:color w:val="000000"/>
          <w:u w:val="single"/>
          <w:lang w:eastAsia="bg-BG"/>
        </w:rPr>
      </w:pPr>
    </w:p>
    <w:p w14:paraId="3A456AF9" w14:textId="27E61ACB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u w:val="single"/>
          <w:lang w:eastAsia="bg-BG"/>
        </w:rPr>
        <w:t>Биотрансформация и елиминиране</w:t>
      </w:r>
    </w:p>
    <w:p w14:paraId="1425B3B8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Мидекамицин се метаболизира предимно до активни метаболити в черния дроб. Той се екскретира в жлъчката и само около 5% в урината.</w:t>
      </w:r>
    </w:p>
    <w:p w14:paraId="056C447B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При пациенти с чернодробна цироза може да се наблюдава значително повишение на максималните серумни концентрации, </w:t>
      </w:r>
      <w:r w:rsidRPr="00642A01">
        <w:rPr>
          <w:rFonts w:eastAsia="Times New Roman" w:cs="Arial"/>
          <w:color w:val="000000"/>
          <w:lang w:val="en-US"/>
        </w:rPr>
        <w:t>AUC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и полуживота.</w:t>
      </w:r>
    </w:p>
    <w:p w14:paraId="622B2886" w14:textId="2CBE8F19" w:rsidR="00642A01" w:rsidRPr="00642A01" w:rsidRDefault="00642A01" w:rsidP="00642A01"/>
    <w:p w14:paraId="028E658A" w14:textId="7C107F8C" w:rsidR="00395555" w:rsidRDefault="002C50EE" w:rsidP="008A6AF2">
      <w:pPr>
        <w:pStyle w:val="Heading2"/>
      </w:pPr>
      <w:r>
        <w:t>5.3. Предклинични данни за безопасност</w:t>
      </w:r>
    </w:p>
    <w:p w14:paraId="1FFA1752" w14:textId="585D6933" w:rsidR="00642A01" w:rsidRDefault="00642A01" w:rsidP="00642A01"/>
    <w:p w14:paraId="15FFFF0C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Изследвания на острата токсичност, проведени върху мишки и плъхове, показват ниска токсичност на мидекамицин ацетат. Стойностите на </w:t>
      </w:r>
      <w:r w:rsidRPr="00642A01">
        <w:rPr>
          <w:rFonts w:eastAsia="Times New Roman" w:cs="Arial"/>
          <w:color w:val="000000"/>
          <w:lang w:val="en-US"/>
        </w:rPr>
        <w:t>LD</w:t>
      </w:r>
      <w:r w:rsidRPr="00642A01">
        <w:rPr>
          <w:rFonts w:eastAsia="Times New Roman" w:cs="Arial"/>
          <w:color w:val="000000"/>
          <w:vertAlign w:val="subscript"/>
          <w:lang w:val="ru-RU"/>
        </w:rPr>
        <w:t>50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са били над 5000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т.т., независимо от начина на приложение, вида, пола и възрастта на животните. Изследванията, проведени с метаболитите на мидекамицин (М</w:t>
      </w:r>
      <w:r w:rsidRPr="00642A01">
        <w:rPr>
          <w:rFonts w:eastAsia="Times New Roman" w:cs="Arial"/>
          <w:color w:val="000000"/>
          <w:lang w:val="en-US"/>
        </w:rPr>
        <w:t>b</w:t>
      </w:r>
      <w:r w:rsidRPr="00642A01">
        <w:rPr>
          <w:rFonts w:eastAsia="Times New Roman" w:cs="Arial"/>
          <w:color w:val="000000"/>
          <w:lang w:eastAsia="bg-BG"/>
        </w:rPr>
        <w:t>1, М</w:t>
      </w:r>
      <w:r w:rsidRPr="00642A01">
        <w:rPr>
          <w:rFonts w:eastAsia="Times New Roman" w:cs="Arial"/>
          <w:color w:val="000000"/>
          <w:lang w:val="en-US"/>
        </w:rPr>
        <w:t>b</w:t>
      </w:r>
      <w:r w:rsidRPr="00642A01">
        <w:rPr>
          <w:rFonts w:eastAsia="Times New Roman" w:cs="Arial"/>
          <w:color w:val="000000"/>
          <w:lang w:eastAsia="bg-BG"/>
        </w:rPr>
        <w:t>2, М</w:t>
      </w:r>
      <w:r w:rsidRPr="00642A01">
        <w:rPr>
          <w:rFonts w:eastAsia="Times New Roman" w:cs="Arial"/>
          <w:color w:val="000000"/>
          <w:lang w:val="en-US"/>
        </w:rPr>
        <w:t>b</w:t>
      </w:r>
      <w:r w:rsidRPr="00642A01">
        <w:rPr>
          <w:rFonts w:eastAsia="Times New Roman" w:cs="Arial"/>
          <w:color w:val="000000"/>
          <w:lang w:eastAsia="bg-BG"/>
        </w:rPr>
        <w:t>6 и М</w:t>
      </w:r>
      <w:r w:rsidRPr="00642A01">
        <w:rPr>
          <w:rFonts w:eastAsia="Times New Roman" w:cs="Arial"/>
          <w:color w:val="000000"/>
          <w:lang w:val="en-US"/>
        </w:rPr>
        <w:t>b</w:t>
      </w:r>
      <w:r w:rsidRPr="00642A01">
        <w:rPr>
          <w:rFonts w:eastAsia="Times New Roman" w:cs="Arial"/>
          <w:color w:val="000000"/>
          <w:lang w:eastAsia="bg-BG"/>
        </w:rPr>
        <w:t xml:space="preserve">12), също са показали ниска токсичност: стойностите на </w:t>
      </w:r>
      <w:r w:rsidRPr="00642A01">
        <w:rPr>
          <w:rFonts w:eastAsia="Times New Roman" w:cs="Arial"/>
          <w:color w:val="000000"/>
          <w:lang w:val="en-US"/>
        </w:rPr>
        <w:t>LD</w:t>
      </w:r>
      <w:r w:rsidRPr="00642A01">
        <w:rPr>
          <w:rFonts w:eastAsia="Times New Roman" w:cs="Arial"/>
          <w:color w:val="000000"/>
          <w:vertAlign w:val="subscript"/>
          <w:lang w:val="ru-RU"/>
        </w:rPr>
        <w:t>50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са били по-високи от 4000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т.т. при мишки и над 5000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т.т. при плъхове.</w:t>
      </w:r>
    </w:p>
    <w:p w14:paraId="18E83BA4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 xml:space="preserve">Продължителното приложение (5 седмици) на мидекамицин ацетат на плъхове (в дози до 1000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т.т.) и зайци (дози до 400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т.т.) не показва специфични токсични ефекти. Аналогично, не са наблюдавани токсични ефекти с метаболитите на мидекамицин. Максималната нетоксична доза на мидекамицин ацетат (определена след 13 седмици на приложение) е 400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т.т. при кучета (1200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при мъжките кучета и 400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 xml:space="preserve">при женските кучета) и 250 </w:t>
      </w:r>
      <w:r w:rsidRPr="00642A01">
        <w:rPr>
          <w:rFonts w:eastAsia="Times New Roman" w:cs="Arial"/>
          <w:color w:val="000000"/>
          <w:lang w:val="en-US"/>
        </w:rPr>
        <w:t>mg</w:t>
      </w:r>
      <w:r w:rsidRPr="00642A01">
        <w:rPr>
          <w:rFonts w:eastAsia="Times New Roman" w:cs="Arial"/>
          <w:color w:val="000000"/>
          <w:lang w:val="ru-RU"/>
        </w:rPr>
        <w:t>/</w:t>
      </w:r>
      <w:r w:rsidRPr="00642A01">
        <w:rPr>
          <w:rFonts w:eastAsia="Times New Roman" w:cs="Arial"/>
          <w:color w:val="000000"/>
          <w:lang w:val="en-US"/>
        </w:rPr>
        <w:t>kg</w:t>
      </w:r>
      <w:r w:rsidRPr="00642A01">
        <w:rPr>
          <w:rFonts w:eastAsia="Times New Roman" w:cs="Arial"/>
          <w:color w:val="000000"/>
          <w:lang w:val="ru-RU"/>
        </w:rPr>
        <w:t xml:space="preserve"> </w:t>
      </w:r>
      <w:r w:rsidRPr="00642A01">
        <w:rPr>
          <w:rFonts w:eastAsia="Times New Roman" w:cs="Arial"/>
          <w:color w:val="000000"/>
          <w:lang w:eastAsia="bg-BG"/>
        </w:rPr>
        <w:t>т.т. при плъхове (след 26 седмици на приложение).</w:t>
      </w:r>
    </w:p>
    <w:p w14:paraId="2044B29C" w14:textId="77777777" w:rsidR="00642A01" w:rsidRPr="00642A01" w:rsidRDefault="00642A01" w:rsidP="00642A01">
      <w:pPr>
        <w:spacing w:line="240" w:lineRule="auto"/>
        <w:rPr>
          <w:rFonts w:eastAsia="Times New Roman" w:cs="Arial"/>
        </w:rPr>
      </w:pPr>
      <w:r w:rsidRPr="00642A01">
        <w:rPr>
          <w:rFonts w:eastAsia="Times New Roman" w:cs="Arial"/>
          <w:color w:val="000000"/>
          <w:lang w:eastAsia="bg-BG"/>
        </w:rPr>
        <w:t>Не са установени тератогенни ефекти на мидекамицин при плъхове и зайци. Не са намерени данни за мутагенни и канцерогенни ефекти на лекарственото вещество в литературата.</w:t>
      </w:r>
    </w:p>
    <w:p w14:paraId="12999D27" w14:textId="77777777" w:rsidR="00642A01" w:rsidRPr="00642A01" w:rsidRDefault="00642A01" w:rsidP="00642A01"/>
    <w:p w14:paraId="6A7820AB" w14:textId="7BCEC244" w:rsidR="008A6AF2" w:rsidRDefault="002C50EE" w:rsidP="00395555">
      <w:pPr>
        <w:pStyle w:val="Heading1"/>
      </w:pPr>
      <w:r>
        <w:t>7. ПРИТЕЖАТЕЛ НА РАЗРЕШЕНИЕТО ЗА УПОТРЕБА</w:t>
      </w:r>
    </w:p>
    <w:p w14:paraId="45FFA882" w14:textId="7BF05C2A" w:rsidR="00642A01" w:rsidRDefault="00642A01" w:rsidP="00642A01"/>
    <w:p w14:paraId="4F0CA866" w14:textId="6977CFC0" w:rsidR="00642A01" w:rsidRPr="00642A01" w:rsidRDefault="00642A01" w:rsidP="00642A01">
      <w:r>
        <w:t xml:space="preserve">KRKA, d.d., Novo mesto, Smarjeska cesta 6,8501 Novo mesto, </w:t>
      </w:r>
      <w:r>
        <w:rPr>
          <w:lang w:eastAsia="bg-BG"/>
        </w:rPr>
        <w:t>Словения</w:t>
      </w:r>
    </w:p>
    <w:p w14:paraId="04840D59" w14:textId="3469E1E0" w:rsidR="002C50EE" w:rsidRDefault="002C50EE" w:rsidP="00395555">
      <w:pPr>
        <w:pStyle w:val="Heading1"/>
      </w:pPr>
      <w:r>
        <w:t>8. НОМЕР НА РАЗРЕШЕНИЕТО ЗА УПОТРЕБА</w:t>
      </w:r>
    </w:p>
    <w:p w14:paraId="5D0B2225" w14:textId="0F29C222" w:rsidR="00642A01" w:rsidRDefault="00642A01" w:rsidP="00642A01"/>
    <w:p w14:paraId="500939EA" w14:textId="7B93C8B5" w:rsidR="00642A01" w:rsidRPr="00642A01" w:rsidRDefault="00642A01" w:rsidP="00642A01">
      <w:r>
        <w:t>20010098</w:t>
      </w:r>
    </w:p>
    <w:p w14:paraId="2CCB5832" w14:textId="6F87BCDD" w:rsidR="007C605B" w:rsidRDefault="002C50EE" w:rsidP="007C605B">
      <w:pPr>
        <w:pStyle w:val="Heading1"/>
      </w:pPr>
      <w:r>
        <w:t>9. ДАТА НА ПЪРВО РАЗРЕШАВАНЕ/ПОДНОВЯВАНЕ НА РАЗРЕШЕНИЕТО ЗА УПОТРЕБА</w:t>
      </w:r>
    </w:p>
    <w:p w14:paraId="456566E4" w14:textId="5E29155D" w:rsidR="00642A01" w:rsidRDefault="00642A01" w:rsidP="00642A01"/>
    <w:p w14:paraId="70B263D0" w14:textId="77777777" w:rsidR="00642A01" w:rsidRPr="00642A01" w:rsidRDefault="00642A01" w:rsidP="00642A01">
      <w:pPr>
        <w:rPr>
          <w:sz w:val="24"/>
          <w:szCs w:val="24"/>
        </w:rPr>
      </w:pPr>
      <w:r w:rsidRPr="00642A01">
        <w:rPr>
          <w:lang w:eastAsia="bg-BG"/>
        </w:rPr>
        <w:t>Дата на първо разрешаване: 22.06.2006</w:t>
      </w:r>
    </w:p>
    <w:p w14:paraId="69257723" w14:textId="24B6A18B" w:rsidR="00642A01" w:rsidRPr="00642A01" w:rsidRDefault="00642A01" w:rsidP="00642A01">
      <w:pPr>
        <w:rPr>
          <w:sz w:val="24"/>
          <w:szCs w:val="24"/>
        </w:rPr>
      </w:pPr>
      <w:r w:rsidRPr="00642A01">
        <w:rPr>
          <w:lang w:eastAsia="bg-BG"/>
        </w:rPr>
        <w:t>Дата на последно подновяване: 11.10.2011</w:t>
      </w:r>
    </w:p>
    <w:p w14:paraId="0E9D0119" w14:textId="0245C6D7" w:rsidR="002C50EE" w:rsidRDefault="002C50EE" w:rsidP="002C50EE">
      <w:pPr>
        <w:pStyle w:val="Heading1"/>
      </w:pPr>
      <w:r>
        <w:lastRenderedPageBreak/>
        <w:t>10. ДАТА НА АКТУАЛИЗИРАНЕ НА ТЕКСТА</w:t>
      </w:r>
    </w:p>
    <w:p w14:paraId="43FB38A2" w14:textId="619A12D1" w:rsidR="007C605B" w:rsidRPr="002B0A88" w:rsidRDefault="007C605B" w:rsidP="002B0A88">
      <w:pPr>
        <w:rPr>
          <w:sz w:val="24"/>
          <w:szCs w:val="24"/>
        </w:rPr>
      </w:pPr>
      <w:bookmarkStart w:id="1" w:name="_GoBack"/>
      <w:bookmarkEnd w:id="0"/>
      <w:bookmarkEnd w:id="1"/>
    </w:p>
    <w:sectPr w:rsidR="007C605B" w:rsidRPr="002B0A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894126"/>
    <w:multiLevelType w:val="multilevel"/>
    <w:tmpl w:val="588ED07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0AE4925"/>
    <w:multiLevelType w:val="multilevel"/>
    <w:tmpl w:val="4CC8ED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4834C69"/>
    <w:multiLevelType w:val="multilevel"/>
    <w:tmpl w:val="DC0A1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99A0F47"/>
    <w:multiLevelType w:val="hybridMultilevel"/>
    <w:tmpl w:val="5F3E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A2C2D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19016EEE"/>
    <w:multiLevelType w:val="hybridMultilevel"/>
    <w:tmpl w:val="52F6376E"/>
    <w:lvl w:ilvl="0" w:tplc="4F7A938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343B0"/>
    <w:multiLevelType w:val="hybridMultilevel"/>
    <w:tmpl w:val="DD4E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258ED"/>
    <w:multiLevelType w:val="hybridMultilevel"/>
    <w:tmpl w:val="AA423BD4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6177103"/>
    <w:multiLevelType w:val="multilevel"/>
    <w:tmpl w:val="E82C6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C0F0359"/>
    <w:multiLevelType w:val="hybridMultilevel"/>
    <w:tmpl w:val="44CA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60FB9"/>
    <w:multiLevelType w:val="hybridMultilevel"/>
    <w:tmpl w:val="BA3E8EEE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002FE"/>
    <w:multiLevelType w:val="hybridMultilevel"/>
    <w:tmpl w:val="60D4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46DE1"/>
    <w:multiLevelType w:val="hybridMultilevel"/>
    <w:tmpl w:val="559E0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87B8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03D3417"/>
    <w:multiLevelType w:val="multilevel"/>
    <w:tmpl w:val="B57254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42823E3C"/>
    <w:multiLevelType w:val="hybridMultilevel"/>
    <w:tmpl w:val="80B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E33D8"/>
    <w:multiLevelType w:val="hybridMultilevel"/>
    <w:tmpl w:val="7130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D0C31"/>
    <w:multiLevelType w:val="hybridMultilevel"/>
    <w:tmpl w:val="2946DD8C"/>
    <w:lvl w:ilvl="0" w:tplc="83C2330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17B77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4B960DEC"/>
    <w:multiLevelType w:val="hybridMultilevel"/>
    <w:tmpl w:val="DE7AABEA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1061F"/>
    <w:multiLevelType w:val="hybridMultilevel"/>
    <w:tmpl w:val="7BE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E48DA"/>
    <w:multiLevelType w:val="hybridMultilevel"/>
    <w:tmpl w:val="8D98A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088CA4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B1ABA"/>
    <w:multiLevelType w:val="hybridMultilevel"/>
    <w:tmpl w:val="EEEC7F7E"/>
    <w:lvl w:ilvl="0" w:tplc="E38E44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8116B"/>
    <w:multiLevelType w:val="hybridMultilevel"/>
    <w:tmpl w:val="F18C2434"/>
    <w:lvl w:ilvl="0" w:tplc="04B87F8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2302E"/>
    <w:multiLevelType w:val="hybridMultilevel"/>
    <w:tmpl w:val="FF02B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90E5A"/>
    <w:multiLevelType w:val="hybridMultilevel"/>
    <w:tmpl w:val="8B9C664C"/>
    <w:lvl w:ilvl="0" w:tplc="47AAC4D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F677A"/>
    <w:multiLevelType w:val="hybridMultilevel"/>
    <w:tmpl w:val="96EC7004"/>
    <w:lvl w:ilvl="0" w:tplc="D63C337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539E2"/>
    <w:multiLevelType w:val="hybridMultilevel"/>
    <w:tmpl w:val="E3BC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C7DEC"/>
    <w:multiLevelType w:val="hybridMultilevel"/>
    <w:tmpl w:val="EE04B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BD4F54"/>
    <w:multiLevelType w:val="hybridMultilevel"/>
    <w:tmpl w:val="0894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AD1413"/>
    <w:multiLevelType w:val="hybridMultilevel"/>
    <w:tmpl w:val="9B941132"/>
    <w:lvl w:ilvl="0" w:tplc="7E0614A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FB2D78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28"/>
  </w:num>
  <w:num w:numId="2">
    <w:abstractNumId w:val="0"/>
  </w:num>
  <w:num w:numId="3">
    <w:abstractNumId w:val="12"/>
  </w:num>
  <w:num w:numId="4">
    <w:abstractNumId w:val="3"/>
  </w:num>
  <w:num w:numId="5">
    <w:abstractNumId w:val="1"/>
  </w:num>
  <w:num w:numId="6">
    <w:abstractNumId w:val="16"/>
  </w:num>
  <w:num w:numId="7">
    <w:abstractNumId w:val="10"/>
  </w:num>
  <w:num w:numId="8">
    <w:abstractNumId w:val="15"/>
  </w:num>
  <w:num w:numId="9">
    <w:abstractNumId w:val="2"/>
  </w:num>
  <w:num w:numId="10">
    <w:abstractNumId w:val="4"/>
  </w:num>
  <w:num w:numId="11">
    <w:abstractNumId w:val="30"/>
  </w:num>
  <w:num w:numId="12">
    <w:abstractNumId w:val="13"/>
  </w:num>
  <w:num w:numId="13">
    <w:abstractNumId w:val="19"/>
  </w:num>
  <w:num w:numId="14">
    <w:abstractNumId w:val="11"/>
  </w:num>
  <w:num w:numId="15">
    <w:abstractNumId w:val="29"/>
  </w:num>
  <w:num w:numId="16">
    <w:abstractNumId w:val="9"/>
  </w:num>
  <w:num w:numId="17">
    <w:abstractNumId w:val="24"/>
  </w:num>
  <w:num w:numId="18">
    <w:abstractNumId w:val="7"/>
  </w:num>
  <w:num w:numId="19">
    <w:abstractNumId w:val="26"/>
  </w:num>
  <w:num w:numId="20">
    <w:abstractNumId w:val="23"/>
  </w:num>
  <w:num w:numId="21">
    <w:abstractNumId w:val="17"/>
  </w:num>
  <w:num w:numId="22">
    <w:abstractNumId w:val="25"/>
  </w:num>
  <w:num w:numId="23">
    <w:abstractNumId w:val="18"/>
  </w:num>
  <w:num w:numId="24">
    <w:abstractNumId w:val="8"/>
  </w:num>
  <w:num w:numId="25">
    <w:abstractNumId w:val="22"/>
  </w:num>
  <w:num w:numId="26">
    <w:abstractNumId w:val="21"/>
  </w:num>
  <w:num w:numId="27">
    <w:abstractNumId w:val="32"/>
  </w:num>
  <w:num w:numId="28">
    <w:abstractNumId w:val="6"/>
  </w:num>
  <w:num w:numId="29">
    <w:abstractNumId w:val="20"/>
  </w:num>
  <w:num w:numId="30">
    <w:abstractNumId w:val="33"/>
  </w:num>
  <w:num w:numId="31">
    <w:abstractNumId w:val="5"/>
  </w:num>
  <w:num w:numId="32">
    <w:abstractNumId w:val="14"/>
  </w:num>
  <w:num w:numId="33">
    <w:abstractNumId w:val="3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00"/>
    <w:rsid w:val="00185A46"/>
    <w:rsid w:val="001915B6"/>
    <w:rsid w:val="001D1B23"/>
    <w:rsid w:val="002B0A88"/>
    <w:rsid w:val="002B3C38"/>
    <w:rsid w:val="002B4DBB"/>
    <w:rsid w:val="002C50EE"/>
    <w:rsid w:val="00340A0A"/>
    <w:rsid w:val="003765DC"/>
    <w:rsid w:val="00395555"/>
    <w:rsid w:val="003E3126"/>
    <w:rsid w:val="004223E9"/>
    <w:rsid w:val="004D4D6B"/>
    <w:rsid w:val="00517A5B"/>
    <w:rsid w:val="00593A00"/>
    <w:rsid w:val="005A66D9"/>
    <w:rsid w:val="00605BCA"/>
    <w:rsid w:val="006158A1"/>
    <w:rsid w:val="00617B1F"/>
    <w:rsid w:val="00642A01"/>
    <w:rsid w:val="00672487"/>
    <w:rsid w:val="00672600"/>
    <w:rsid w:val="00681D4A"/>
    <w:rsid w:val="00685882"/>
    <w:rsid w:val="0075649D"/>
    <w:rsid w:val="007C605B"/>
    <w:rsid w:val="00814073"/>
    <w:rsid w:val="00826F0D"/>
    <w:rsid w:val="00893B92"/>
    <w:rsid w:val="008A6AF2"/>
    <w:rsid w:val="008C70A2"/>
    <w:rsid w:val="009773E4"/>
    <w:rsid w:val="009B171C"/>
    <w:rsid w:val="009F1313"/>
    <w:rsid w:val="00A20351"/>
    <w:rsid w:val="00AA23EC"/>
    <w:rsid w:val="00AC63CE"/>
    <w:rsid w:val="00AE2107"/>
    <w:rsid w:val="00B275A8"/>
    <w:rsid w:val="00BF2600"/>
    <w:rsid w:val="00C0049F"/>
    <w:rsid w:val="00C07B84"/>
    <w:rsid w:val="00C33464"/>
    <w:rsid w:val="00C809A7"/>
    <w:rsid w:val="00C83063"/>
    <w:rsid w:val="00C87E90"/>
    <w:rsid w:val="00CA1B57"/>
    <w:rsid w:val="00D86297"/>
    <w:rsid w:val="00DD466D"/>
    <w:rsid w:val="00DF4C8E"/>
    <w:rsid w:val="00EB6364"/>
    <w:rsid w:val="00F37B64"/>
    <w:rsid w:val="00F44498"/>
    <w:rsid w:val="00FD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84BA7"/>
  <w15:docId w15:val="{3DA60348-CCDC-4D6D-877F-EA9575E0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364"/>
    <w:pPr>
      <w:spacing w:after="0" w:line="256" w:lineRule="auto"/>
    </w:pPr>
    <w:rPr>
      <w:rFonts w:ascii="Arial" w:hAnsi="Arial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D4A"/>
    <w:pPr>
      <w:keepNext/>
      <w:keepLines/>
      <w:spacing w:before="240" w:line="259" w:lineRule="auto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1D4A"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1D4A"/>
    <w:pPr>
      <w:keepNext/>
      <w:keepLines/>
      <w:spacing w:before="40" w:line="259" w:lineRule="auto"/>
      <w:outlineLvl w:val="2"/>
    </w:pPr>
    <w:rPr>
      <w:rFonts w:eastAsiaTheme="majorEastAsia" w:cstheme="majorBidi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1D4A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Стил1"/>
    <w:basedOn w:val="Heading3"/>
    <w:next w:val="Normal"/>
    <w:link w:val="10"/>
    <w:qFormat/>
    <w:rsid w:val="00C87E90"/>
    <w:pPr>
      <w:widowControl w:val="0"/>
      <w:spacing w:after="1080" w:line="240" w:lineRule="auto"/>
      <w:ind w:left="4400"/>
      <w:jc w:val="center"/>
    </w:pPr>
    <w:rPr>
      <w:b/>
      <w:sz w:val="22"/>
      <w:szCs w:val="22"/>
    </w:rPr>
  </w:style>
  <w:style w:type="character" w:customStyle="1" w:styleId="10">
    <w:name w:val="Стил1 Знак"/>
    <w:basedOn w:val="Heading3Char"/>
    <w:link w:val="1"/>
    <w:rsid w:val="00C87E90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81D4A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ListParagraph">
    <w:name w:val="List Paragraph"/>
    <w:basedOn w:val="Normal"/>
    <w:uiPriority w:val="34"/>
    <w:qFormat/>
    <w:rsid w:val="00685882"/>
    <w:pPr>
      <w:spacing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1D4A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1D4A"/>
    <w:rPr>
      <w:rFonts w:ascii="Arial" w:eastAsiaTheme="majorEastAsia" w:hAnsi="Arial" w:cstheme="majorBidi"/>
      <w:color w:val="000000" w:themeColor="tex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81D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5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10659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vasilev</dc:creator>
  <cp:keywords/>
  <dc:description/>
  <cp:lastModifiedBy>SATHealth-Guest</cp:lastModifiedBy>
  <cp:revision>2</cp:revision>
  <dcterms:created xsi:type="dcterms:W3CDTF">2023-03-10T13:05:00Z</dcterms:created>
  <dcterms:modified xsi:type="dcterms:W3CDTF">2023-03-10T13:05:00Z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8080e56-8894-418a-9b19-f357e77b996f_Enabled">
    <vt:lpwstr>true</vt:lpwstr>
  </property>
  <property fmtid="{D5CDD505-2E9C-101B-9397-08002B2CF9AE}" pid="3" name="MSIP_Label_78080e56-8894-418a-9b19-f357e77b996f_SetDate">
    <vt:lpwstr>2021-02-06T20:50:59Z</vt:lpwstr>
  </property>
  <property fmtid="{D5CDD505-2E9C-101B-9397-08002B2CF9AE}" pid="4" name="MSIP_Label_78080e56-8894-418a-9b19-f357e77b996f_Method">
    <vt:lpwstr>Standard</vt:lpwstr>
  </property>
  <property fmtid="{D5CDD505-2E9C-101B-9397-08002B2CF9AE}" pid="5" name="MSIP_Label_78080e56-8894-418a-9b19-f357e77b996f_Name">
    <vt:lpwstr>Internal Use Unencrypted</vt:lpwstr>
  </property>
  <property fmtid="{D5CDD505-2E9C-101B-9397-08002B2CF9AE}" pid="6" name="MSIP_Label_78080e56-8894-418a-9b19-f357e77b996f_SiteId">
    <vt:lpwstr>6c7fadf5-6b9d-485a-85cb-f8112e9720ec</vt:lpwstr>
  </property>
  <property fmtid="{D5CDD505-2E9C-101B-9397-08002B2CF9AE}" pid="7" name="MSIP_Label_78080e56-8894-418a-9b19-f357e77b996f_ActionId">
    <vt:lpwstr>0a32757c-47c4-4949-90c3-637a5e65fde2</vt:lpwstr>
  </property>
  <property fmtid="{D5CDD505-2E9C-101B-9397-08002B2CF9AE}" pid="8" name="MSIP_Label_78080e56-8894-418a-9b19-f357e77b996f_ContentBits">
    <vt:lpwstr>2</vt:lpwstr>
  </property>
</Properties>
</file>