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179D39CE" w:rsidR="00AA23EC" w:rsidRDefault="00DD466D" w:rsidP="00DD466D">
      <w:pPr>
        <w:pStyle w:val="1"/>
      </w:pPr>
      <w:r>
        <w:t>1.ИМЕ НА ЛЕКАРСТВЕНИЯ ПРОДУКТ</w:t>
      </w:r>
    </w:p>
    <w:p w14:paraId="05BF4FA2" w14:textId="175EAB62" w:rsidR="001320ED" w:rsidRDefault="001320ED" w:rsidP="001320ED"/>
    <w:p w14:paraId="23F5EDBC" w14:textId="77777777" w:rsidR="001320ED" w:rsidRDefault="001320ED" w:rsidP="001320ED">
      <w:pPr>
        <w:rPr>
          <w:lang w:eastAsia="bg-BG"/>
        </w:rPr>
      </w:pPr>
      <w:proofErr w:type="spellStart"/>
      <w:r>
        <w:rPr>
          <w:lang w:eastAsia="bg-BG"/>
        </w:rPr>
        <w:t>Малтофер</w:t>
      </w:r>
      <w:proofErr w:type="spellEnd"/>
      <w:r>
        <w:rPr>
          <w:lang w:eastAsia="bg-BG"/>
        </w:rPr>
        <w:t xml:space="preserve"> Фол 100 </w:t>
      </w:r>
      <w:proofErr w:type="spellStart"/>
      <w:r>
        <w:t>mg</w:t>
      </w:r>
      <w:proofErr w:type="spellEnd"/>
      <w:r>
        <w:t xml:space="preserve">/0,35 </w:t>
      </w:r>
      <w:proofErr w:type="spellStart"/>
      <w:r>
        <w:t>mg</w:t>
      </w:r>
      <w:proofErr w:type="spellEnd"/>
      <w:r>
        <w:t xml:space="preserve"> </w:t>
      </w:r>
      <w:r>
        <w:rPr>
          <w:lang w:eastAsia="bg-BG"/>
        </w:rPr>
        <w:t xml:space="preserve">таблетки за дъвчене </w:t>
      </w:r>
    </w:p>
    <w:p w14:paraId="25E1848D" w14:textId="78B07142" w:rsidR="001320ED" w:rsidRPr="001320ED" w:rsidRDefault="001320ED" w:rsidP="001320ED">
      <w:proofErr w:type="spellStart"/>
      <w:r>
        <w:t>Maltofer</w:t>
      </w:r>
      <w:proofErr w:type="spellEnd"/>
      <w:r>
        <w:t xml:space="preserve"> </w:t>
      </w:r>
      <w:proofErr w:type="spellStart"/>
      <w:r>
        <w:t>Fol</w:t>
      </w:r>
      <w:proofErr w:type="spellEnd"/>
      <w:r>
        <w:t xml:space="preserve"> </w:t>
      </w:r>
      <w:r>
        <w:rPr>
          <w:lang w:eastAsia="bg-BG"/>
        </w:rPr>
        <w:t xml:space="preserve">100 </w:t>
      </w:r>
      <w:proofErr w:type="spellStart"/>
      <w:r>
        <w:t>mg</w:t>
      </w:r>
      <w:proofErr w:type="spellEnd"/>
      <w:r>
        <w:t xml:space="preserve">/0,35 </w:t>
      </w:r>
      <w:proofErr w:type="spellStart"/>
      <w:r>
        <w:t>mg</w:t>
      </w:r>
      <w:proofErr w:type="spellEnd"/>
      <w:r>
        <w:t xml:space="preserve"> </w:t>
      </w:r>
      <w:proofErr w:type="spellStart"/>
      <w:r>
        <w:t>chewable</w:t>
      </w:r>
      <w:proofErr w:type="spellEnd"/>
      <w:r>
        <w:t xml:space="preserve"> </w:t>
      </w:r>
      <w:proofErr w:type="spellStart"/>
      <w:r>
        <w:t>tablets</w:t>
      </w:r>
      <w:proofErr w:type="spellEnd"/>
    </w:p>
    <w:p w14:paraId="0A368469" w14:textId="2CAE0968" w:rsidR="00C0049F" w:rsidRDefault="00DD466D" w:rsidP="009F1313">
      <w:pPr>
        <w:pStyle w:val="1"/>
      </w:pPr>
      <w:r>
        <w:t>2. КАЧЕСТВЕН И КОЛИЧЕСТВЕН СЪСТАВ</w:t>
      </w:r>
    </w:p>
    <w:p w14:paraId="2BABB8E5" w14:textId="75E0E20F" w:rsidR="001320ED" w:rsidRDefault="001320ED" w:rsidP="001320ED"/>
    <w:p w14:paraId="5B393FB0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Всяка таблетка за дъвчене съдържа:</w:t>
      </w:r>
    </w:p>
    <w:p w14:paraId="3E4D3534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Желязо като желязо (Ш)-</w:t>
      </w:r>
      <w:proofErr w:type="spellStart"/>
      <w:r w:rsidRPr="001320ED">
        <w:rPr>
          <w:lang w:eastAsia="bg-BG"/>
        </w:rPr>
        <w:t>хидроксиполималтозен</w:t>
      </w:r>
      <w:proofErr w:type="spellEnd"/>
      <w:r w:rsidRPr="001320ED">
        <w:rPr>
          <w:lang w:eastAsia="bg-BG"/>
        </w:rPr>
        <w:t xml:space="preserve"> комплекс </w:t>
      </w:r>
      <w:r w:rsidRPr="001320ED">
        <w:rPr>
          <w:lang w:val="en-US"/>
        </w:rPr>
        <w:t>(iron (III)-hydroxide polymaltose</w:t>
      </w:r>
    </w:p>
    <w:p w14:paraId="32FEE5CE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val="en-US"/>
        </w:rPr>
        <w:t>complex) 100 mg</w:t>
      </w:r>
    </w:p>
    <w:p w14:paraId="4F4D547B" w14:textId="77C2E879" w:rsidR="001320ED" w:rsidRPr="001320ED" w:rsidRDefault="001320ED" w:rsidP="001320ED">
      <w:r w:rsidRPr="001320ED">
        <w:rPr>
          <w:lang w:eastAsia="bg-BG"/>
        </w:rPr>
        <w:t xml:space="preserve">Фолиева киселина </w:t>
      </w:r>
      <w:r w:rsidRPr="001320ED">
        <w:rPr>
          <w:lang w:val="en-US"/>
        </w:rPr>
        <w:t>(Folic acid) 0,35 mg</w:t>
      </w:r>
    </w:p>
    <w:p w14:paraId="5E332777" w14:textId="0B5D6598" w:rsidR="005A66D9" w:rsidRDefault="00DD466D" w:rsidP="00CA1B57">
      <w:pPr>
        <w:pStyle w:val="1"/>
      </w:pPr>
      <w:r>
        <w:t>3. ЛЕКАРСТВЕНА ФОРМА</w:t>
      </w:r>
    </w:p>
    <w:p w14:paraId="190F209C" w14:textId="7462B079" w:rsidR="001320ED" w:rsidRDefault="001320ED" w:rsidP="001320ED"/>
    <w:p w14:paraId="29F11BB8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Таблетки за дъвчене</w:t>
      </w:r>
    </w:p>
    <w:p w14:paraId="7006A7B6" w14:textId="77777777" w:rsidR="001320ED" w:rsidRDefault="001320ED" w:rsidP="001320ED">
      <w:pPr>
        <w:rPr>
          <w:lang w:eastAsia="bg-BG"/>
        </w:rPr>
      </w:pPr>
    </w:p>
    <w:p w14:paraId="21C13371" w14:textId="0FEC1C4E" w:rsidR="001320ED" w:rsidRPr="001320ED" w:rsidRDefault="001320ED" w:rsidP="001320ED">
      <w:pPr>
        <w:rPr>
          <w:sz w:val="24"/>
          <w:szCs w:val="24"/>
        </w:rPr>
      </w:pPr>
      <w:proofErr w:type="spellStart"/>
      <w:r w:rsidRPr="001320ED">
        <w:rPr>
          <w:lang w:eastAsia="bg-BG"/>
        </w:rPr>
        <w:t>Кафявобели</w:t>
      </w:r>
      <w:proofErr w:type="spellEnd"/>
      <w:r w:rsidRPr="001320ED">
        <w:rPr>
          <w:lang w:eastAsia="bg-BG"/>
        </w:rPr>
        <w:t xml:space="preserve"> пъстри, кръгли и плоски таблетки, с делителна черта от едната страна.</w:t>
      </w:r>
    </w:p>
    <w:p w14:paraId="0BDF487A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Делителната черта е само за улесняване на счупването с цел по-лесно поглъщане, а не за разделяне на равни дози.</w:t>
      </w:r>
    </w:p>
    <w:p w14:paraId="09190DD1" w14:textId="77777777" w:rsidR="001320ED" w:rsidRPr="001320ED" w:rsidRDefault="001320ED" w:rsidP="001320ED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754A29C8" w14:textId="50A08603" w:rsidR="00C0049F" w:rsidRDefault="002C50EE" w:rsidP="009F1313">
      <w:pPr>
        <w:pStyle w:val="2"/>
      </w:pPr>
      <w:r>
        <w:t>4.1. Терапевтични показания</w:t>
      </w:r>
    </w:p>
    <w:p w14:paraId="3941EFB1" w14:textId="31952188" w:rsidR="001320ED" w:rsidRDefault="001320ED" w:rsidP="001320ED"/>
    <w:p w14:paraId="41343C24" w14:textId="589093BC" w:rsidR="001320ED" w:rsidRDefault="001320ED" w:rsidP="001320ED">
      <w:r>
        <w:t xml:space="preserve">Лечение на железен дефицит без анемия и </w:t>
      </w:r>
      <w:proofErr w:type="spellStart"/>
      <w:r>
        <w:t>желязодефицитна</w:t>
      </w:r>
      <w:proofErr w:type="spellEnd"/>
      <w:r>
        <w:t xml:space="preserve"> анемия </w:t>
      </w:r>
      <w:r>
        <w:rPr>
          <w:lang w:val="en-US"/>
        </w:rPr>
        <w:t xml:space="preserve">(IDA), </w:t>
      </w:r>
      <w:r>
        <w:t>както и превенция на дефицит на желязо и фолиева киселина преди, по време на и след бременността (по време на кърменето).</w:t>
      </w:r>
    </w:p>
    <w:p w14:paraId="3D806D23" w14:textId="77777777" w:rsidR="001320ED" w:rsidRPr="001320ED" w:rsidRDefault="001320ED" w:rsidP="001320ED"/>
    <w:p w14:paraId="7C0CA5EB" w14:textId="1659C290" w:rsidR="00C0049F" w:rsidRDefault="002C50EE" w:rsidP="009F1313">
      <w:pPr>
        <w:pStyle w:val="2"/>
      </w:pPr>
      <w:r>
        <w:t>4.2. Дозировка и начин на приложение</w:t>
      </w:r>
    </w:p>
    <w:p w14:paraId="0C5A145C" w14:textId="76CBB548" w:rsidR="001320ED" w:rsidRDefault="001320ED" w:rsidP="001320ED"/>
    <w:p w14:paraId="3D934EAD" w14:textId="77777777" w:rsidR="001320ED" w:rsidRPr="001320ED" w:rsidRDefault="001320ED" w:rsidP="001320ED">
      <w:pPr>
        <w:pStyle w:val="3"/>
        <w:rPr>
          <w:rFonts w:eastAsia="Times New Roman"/>
          <w:u w:val="single"/>
        </w:rPr>
      </w:pPr>
      <w:r w:rsidRPr="001320ED">
        <w:rPr>
          <w:rFonts w:eastAsia="Times New Roman"/>
          <w:u w:val="single"/>
          <w:lang w:eastAsia="bg-BG"/>
        </w:rPr>
        <w:t>Дозировка</w:t>
      </w:r>
    </w:p>
    <w:p w14:paraId="1E889EE4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3E2860" w14:textId="789C4825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Лечение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желязодефицитна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анемия по време на бременност: 200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 xml:space="preserve">желязо, 0,70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 xml:space="preserve">фолиева киселина до 300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 xml:space="preserve">желязо, 1,05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>фолиева киселина (2 до 3 таблетки) дневно до нормализиране на стойността на хемоглобина (Н</w:t>
      </w:r>
      <w:r w:rsidRPr="001320ED">
        <w:rPr>
          <w:rFonts w:eastAsia="Times New Roman" w:cs="Arial"/>
          <w:color w:val="000000"/>
          <w:lang w:val="en-US"/>
        </w:rPr>
        <w:t>b</w:t>
      </w:r>
      <w:r w:rsidRPr="001320ED">
        <w:rPr>
          <w:rFonts w:eastAsia="Times New Roman" w:cs="Arial"/>
          <w:color w:val="000000"/>
          <w:lang w:eastAsia="bg-BG"/>
        </w:rPr>
        <w:t xml:space="preserve">). След това терапията трябва да продължи със 100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 xml:space="preserve">желязо, 0,35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 xml:space="preserve">фолиева киселина (1 таблетка) дневно най-малко до края на бременността, с цел попълване на железните депа и добавка с оглед на повишените нужди от желязо по време на бременността. Лечение на железен дефицит без анемия и превенция на дефицит на желязо и фолиева киселина: 100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 xml:space="preserve">желязо, 0,35 </w:t>
      </w:r>
      <w:r w:rsidRPr="001320ED">
        <w:rPr>
          <w:rFonts w:eastAsia="Times New Roman" w:cs="Arial"/>
          <w:color w:val="000000"/>
          <w:lang w:val="en-US"/>
        </w:rPr>
        <w:t xml:space="preserve">mg </w:t>
      </w:r>
      <w:r w:rsidRPr="001320ED">
        <w:rPr>
          <w:rFonts w:eastAsia="Times New Roman" w:cs="Arial"/>
          <w:color w:val="000000"/>
          <w:lang w:eastAsia="bg-BG"/>
        </w:rPr>
        <w:t>фолиева киселина (1 таблетка) дневно.</w:t>
      </w:r>
    </w:p>
    <w:p w14:paraId="5967A7C6" w14:textId="77777777" w:rsidR="001320ED" w:rsidRPr="001320ED" w:rsidRDefault="001320ED" w:rsidP="001320ED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069FC970" w14:textId="60B6A1BD" w:rsidR="001320ED" w:rsidRPr="001320ED" w:rsidRDefault="001320ED" w:rsidP="001320ED">
      <w:pPr>
        <w:pStyle w:val="3"/>
        <w:rPr>
          <w:rFonts w:eastAsia="Times New Roman"/>
          <w:u w:val="single"/>
        </w:rPr>
      </w:pPr>
      <w:r w:rsidRPr="001320ED">
        <w:rPr>
          <w:rFonts w:eastAsia="Times New Roman"/>
          <w:u w:val="single"/>
          <w:lang w:eastAsia="bg-BG"/>
        </w:rPr>
        <w:lastRenderedPageBreak/>
        <w:t>Начин на приложение</w:t>
      </w:r>
      <w:bookmarkEnd w:id="1"/>
    </w:p>
    <w:p w14:paraId="3AFF8A01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Дневната доза може да се раздели на отделни дози или да се приеме наведнъж.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таблетки за дъвчене могат да се дъвчат или поглъщат цели, като трябва да се приемат по време на или непосредствено след хранене.</w:t>
      </w:r>
    </w:p>
    <w:p w14:paraId="7FF69443" w14:textId="77777777" w:rsidR="001320ED" w:rsidRPr="001320ED" w:rsidRDefault="001320ED" w:rsidP="001320ED"/>
    <w:p w14:paraId="78E4CE10" w14:textId="532AB196" w:rsidR="00C0049F" w:rsidRDefault="002C50EE" w:rsidP="009F1313">
      <w:pPr>
        <w:pStyle w:val="2"/>
      </w:pPr>
      <w:r>
        <w:t>4.3. Противопоказания</w:t>
      </w:r>
    </w:p>
    <w:p w14:paraId="27EBB257" w14:textId="18258E32" w:rsidR="001320ED" w:rsidRDefault="001320ED" w:rsidP="001320ED"/>
    <w:p w14:paraId="287A6470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Известна свръхчувствителност към желязо (</w:t>
      </w:r>
      <w:r w:rsidRPr="001320ED">
        <w:rPr>
          <w:rFonts w:eastAsia="Times New Roman" w:cs="Arial"/>
          <w:color w:val="000000"/>
          <w:lang w:val="en-US"/>
        </w:rPr>
        <w:t>III</w:t>
      </w:r>
      <w:r w:rsidRPr="001320ED">
        <w:rPr>
          <w:rFonts w:eastAsia="Times New Roman" w:cs="Arial"/>
          <w:color w:val="000000"/>
          <w:lang w:eastAsia="bg-BG"/>
        </w:rPr>
        <w:t>)-</w:t>
      </w:r>
      <w:proofErr w:type="spellStart"/>
      <w:r w:rsidRPr="001320ED">
        <w:rPr>
          <w:rFonts w:eastAsia="Times New Roman" w:cs="Arial"/>
          <w:color w:val="000000"/>
          <w:lang w:eastAsia="bg-BG"/>
        </w:rPr>
        <w:t>хидроксиполималтозния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комплекс </w:t>
      </w:r>
      <w:r w:rsidRPr="001320ED">
        <w:rPr>
          <w:rFonts w:eastAsia="Times New Roman" w:cs="Arial"/>
          <w:color w:val="000000"/>
          <w:lang w:val="en-US"/>
        </w:rPr>
        <w:t xml:space="preserve">(IPC), </w:t>
      </w:r>
      <w:r w:rsidRPr="001320ED">
        <w:rPr>
          <w:rFonts w:eastAsia="Times New Roman" w:cs="Arial"/>
          <w:color w:val="000000"/>
          <w:lang w:eastAsia="bg-BG"/>
        </w:rPr>
        <w:t xml:space="preserve">фолиева киселина или към някое от помощните вещества, изброени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изброени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в точка 6.1.</w:t>
      </w:r>
    </w:p>
    <w:p w14:paraId="19F43C05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6BE0A5" w14:textId="5F675351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Претоварване с желязо, например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хемахроматоза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хемосидероза</w:t>
      </w:r>
      <w:proofErr w:type="spellEnd"/>
      <w:r w:rsidRPr="001320ED">
        <w:rPr>
          <w:rFonts w:eastAsia="Times New Roman" w:cs="Arial"/>
          <w:color w:val="000000"/>
          <w:lang w:eastAsia="bg-BG"/>
        </w:rPr>
        <w:t>.</w:t>
      </w:r>
    </w:p>
    <w:p w14:paraId="5B79816F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96107B" w14:textId="4B56C968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1320ED">
        <w:rPr>
          <w:rFonts w:eastAsia="Times New Roman" w:cs="Arial"/>
          <w:color w:val="000000"/>
          <w:lang w:eastAsia="bg-BG"/>
        </w:rPr>
        <w:t xml:space="preserve">Смущения в усвояването на желязото, например анемия вследствие на отравяне с олово,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сидероахрестична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анемия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нли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таласемия</w:t>
      </w:r>
      <w:proofErr w:type="spellEnd"/>
      <w:r w:rsidRPr="001320ED">
        <w:rPr>
          <w:rFonts w:eastAsia="Times New Roman" w:cs="Arial"/>
          <w:color w:val="000000"/>
          <w:lang w:eastAsia="bg-BG"/>
        </w:rPr>
        <w:t>.</w:t>
      </w:r>
    </w:p>
    <w:p w14:paraId="0C20101A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02FFF1" w14:textId="5521C8C5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Анемия,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непричинена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от железен дефицит, например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анемия или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мегалобластна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анемия, дължаща се на дефицит на витамин В</w:t>
      </w:r>
      <w:r w:rsidRPr="001320ED">
        <w:rPr>
          <w:rFonts w:eastAsia="Times New Roman" w:cs="Arial"/>
          <w:color w:val="000000"/>
          <w:vertAlign w:val="subscript"/>
          <w:lang w:eastAsia="bg-BG"/>
        </w:rPr>
        <w:t>12</w:t>
      </w:r>
      <w:r w:rsidRPr="001320ED">
        <w:rPr>
          <w:rFonts w:eastAsia="Times New Roman" w:cs="Arial"/>
          <w:color w:val="000000"/>
          <w:lang w:eastAsia="bg-BG"/>
        </w:rPr>
        <w:t>.</w:t>
      </w:r>
    </w:p>
    <w:p w14:paraId="73CCDECA" w14:textId="77777777" w:rsidR="001320ED" w:rsidRPr="001320ED" w:rsidRDefault="001320ED" w:rsidP="001320ED"/>
    <w:p w14:paraId="447F6F23" w14:textId="3FDC514D" w:rsidR="00C0049F" w:rsidRDefault="002C50EE" w:rsidP="009F1313">
      <w:pPr>
        <w:pStyle w:val="2"/>
      </w:pPr>
      <w:r>
        <w:t>4.4. Специални предупреждения и предпазни мерки при употреба</w:t>
      </w:r>
    </w:p>
    <w:p w14:paraId="0227C3DA" w14:textId="4A91439B" w:rsidR="001320ED" w:rsidRDefault="001320ED" w:rsidP="001320ED"/>
    <w:p w14:paraId="20BFCDC8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По време на лечението с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може да се наблюдава тъмно оцветяване на фекалиите (изпражненията), но това няма клинично значение.</w:t>
      </w:r>
    </w:p>
    <w:p w14:paraId="60B8E0EF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463936" w14:textId="1A5C4467" w:rsidR="001320ED" w:rsidRPr="001320ED" w:rsidRDefault="001320ED" w:rsidP="001320ED">
      <w:pPr>
        <w:spacing w:line="240" w:lineRule="auto"/>
        <w:rPr>
          <w:rFonts w:eastAsia="Times New Roman" w:cs="Arial"/>
        </w:rPr>
      </w:pP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съдържа фолиева киселина, която може да маскира дефицита на витамин В</w:t>
      </w:r>
      <w:r w:rsidRPr="001320ED">
        <w:rPr>
          <w:rFonts w:eastAsia="Times New Roman" w:cs="Arial"/>
          <w:color w:val="000000"/>
          <w:vertAlign w:val="subscript"/>
          <w:lang w:eastAsia="bg-BG"/>
        </w:rPr>
        <w:t>12</w:t>
      </w:r>
      <w:r w:rsidRPr="001320ED">
        <w:rPr>
          <w:rFonts w:eastAsia="Times New Roman" w:cs="Arial"/>
          <w:color w:val="000000"/>
          <w:lang w:eastAsia="bg-BG"/>
        </w:rPr>
        <w:t>.</w:t>
      </w:r>
    </w:p>
    <w:p w14:paraId="4B7D20B3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0DB85E" w14:textId="5753F8D0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Инфекции или тумор могат да причинят анемия. Тъй като желязото може да бъде оползотворено само след коригиране на първичното заболяване, препоръчва се оценка на съотношението полза/риск.</w:t>
      </w:r>
    </w:p>
    <w:p w14:paraId="0DB79822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66A96B" w14:textId="287E3B59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Информация за диабетици: Една таблетка за дъвчене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е еквивалентна на 0,03 хлебни единици. Не се очаква приемът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да окаже влияние върху ежедневното лечение с инсулин на пациенти с диабет.</w:t>
      </w:r>
    </w:p>
    <w:p w14:paraId="41DB811B" w14:textId="77777777" w:rsidR="001320ED" w:rsidRPr="001320ED" w:rsidRDefault="001320ED" w:rsidP="001320ED"/>
    <w:p w14:paraId="46F5FD89" w14:textId="3D1EFCE3" w:rsidR="00C0049F" w:rsidRDefault="002C50EE" w:rsidP="009F1313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68D86B5A" w14:textId="519B4232" w:rsidR="001320ED" w:rsidRDefault="001320ED" w:rsidP="001320ED"/>
    <w:p w14:paraId="3C815E34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Взаимодействия на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с </w:t>
      </w:r>
      <w:proofErr w:type="spellStart"/>
      <w:r w:rsidRPr="001320ED">
        <w:rPr>
          <w:lang w:eastAsia="bg-BG"/>
        </w:rPr>
        <w:t>тетрациклин</w:t>
      </w:r>
      <w:proofErr w:type="spellEnd"/>
      <w:r w:rsidRPr="001320ED">
        <w:rPr>
          <w:lang w:eastAsia="bg-BG"/>
        </w:rPr>
        <w:t xml:space="preserve"> или алуминиев хидроксид са изследвани в три проучвания при хора (кръстосан модел, 22 пациенти за проучване). Не е наблюдавано значително намаляване на абсорбцията на </w:t>
      </w:r>
      <w:proofErr w:type="spellStart"/>
      <w:r w:rsidRPr="001320ED">
        <w:rPr>
          <w:lang w:eastAsia="bg-BG"/>
        </w:rPr>
        <w:t>тетрациклин</w:t>
      </w:r>
      <w:proofErr w:type="spellEnd"/>
      <w:r w:rsidRPr="001320ED">
        <w:rPr>
          <w:lang w:eastAsia="bg-BG"/>
        </w:rPr>
        <w:t xml:space="preserve">. Плазмената концентрация на </w:t>
      </w:r>
      <w:proofErr w:type="spellStart"/>
      <w:r w:rsidRPr="001320ED">
        <w:rPr>
          <w:lang w:eastAsia="bg-BG"/>
        </w:rPr>
        <w:t>тетрациклин</w:t>
      </w:r>
      <w:proofErr w:type="spellEnd"/>
      <w:r w:rsidRPr="001320ED">
        <w:rPr>
          <w:lang w:eastAsia="bg-BG"/>
        </w:rPr>
        <w:t xml:space="preserve"> не спада под нивото, необходимо за ефикасността. Абсорбцията на желязо от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не се намалява от алуминиев </w:t>
      </w:r>
      <w:proofErr w:type="spellStart"/>
      <w:r w:rsidRPr="001320ED">
        <w:rPr>
          <w:lang w:eastAsia="bg-BG"/>
        </w:rPr>
        <w:t>хидроксцц</w:t>
      </w:r>
      <w:proofErr w:type="spellEnd"/>
      <w:r w:rsidRPr="001320ED">
        <w:rPr>
          <w:lang w:eastAsia="bg-BG"/>
        </w:rPr>
        <w:t xml:space="preserve"> или </w:t>
      </w:r>
      <w:proofErr w:type="spellStart"/>
      <w:r w:rsidRPr="001320ED">
        <w:rPr>
          <w:lang w:eastAsia="bg-BG"/>
        </w:rPr>
        <w:t>тетрациклин</w:t>
      </w:r>
      <w:proofErr w:type="spellEnd"/>
      <w:r w:rsidRPr="001320ED">
        <w:rPr>
          <w:lang w:eastAsia="bg-BG"/>
        </w:rPr>
        <w:t xml:space="preserve">. Следователно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може да се прилага едновременно с </w:t>
      </w:r>
      <w:proofErr w:type="spellStart"/>
      <w:r w:rsidRPr="001320ED">
        <w:rPr>
          <w:lang w:eastAsia="bg-BG"/>
        </w:rPr>
        <w:t>тетрациклин</w:t>
      </w:r>
      <w:proofErr w:type="spellEnd"/>
      <w:r w:rsidRPr="001320ED">
        <w:rPr>
          <w:lang w:eastAsia="bg-BG"/>
        </w:rPr>
        <w:t xml:space="preserve"> или други </w:t>
      </w:r>
      <w:proofErr w:type="spellStart"/>
      <w:r w:rsidRPr="001320ED">
        <w:rPr>
          <w:lang w:eastAsia="bg-BG"/>
        </w:rPr>
        <w:t>фенолни</w:t>
      </w:r>
      <w:proofErr w:type="spellEnd"/>
      <w:r w:rsidRPr="001320ED">
        <w:rPr>
          <w:lang w:eastAsia="bg-BG"/>
        </w:rPr>
        <w:t xml:space="preserve"> съединения, както и с алуминиев хидроксид.</w:t>
      </w:r>
    </w:p>
    <w:p w14:paraId="41B5AB5C" w14:textId="77777777" w:rsidR="001320ED" w:rsidRDefault="001320ED" w:rsidP="001320ED">
      <w:pPr>
        <w:rPr>
          <w:lang w:eastAsia="bg-BG"/>
        </w:rPr>
      </w:pPr>
    </w:p>
    <w:p w14:paraId="4A07D645" w14:textId="52AFEA20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Проучвания при плъхове с </w:t>
      </w:r>
      <w:proofErr w:type="spellStart"/>
      <w:r w:rsidRPr="001320ED">
        <w:rPr>
          <w:lang w:eastAsia="bg-BG"/>
        </w:rPr>
        <w:t>тетрациклин</w:t>
      </w:r>
      <w:proofErr w:type="spellEnd"/>
      <w:r w:rsidRPr="001320ED">
        <w:rPr>
          <w:lang w:eastAsia="bg-BG"/>
        </w:rPr>
        <w:t xml:space="preserve">, алуминиев </w:t>
      </w:r>
      <w:proofErr w:type="spellStart"/>
      <w:r w:rsidRPr="001320ED">
        <w:rPr>
          <w:lang w:eastAsia="bg-BG"/>
        </w:rPr>
        <w:t>хидроксцц</w:t>
      </w:r>
      <w:proofErr w:type="spellEnd"/>
      <w:r w:rsidRPr="001320ED">
        <w:rPr>
          <w:lang w:eastAsia="bg-BG"/>
        </w:rPr>
        <w:t xml:space="preserve">, </w:t>
      </w:r>
      <w:proofErr w:type="spellStart"/>
      <w:r w:rsidRPr="001320ED">
        <w:rPr>
          <w:lang w:eastAsia="bg-BG"/>
        </w:rPr>
        <w:t>ацетилсалицилат</w:t>
      </w:r>
      <w:proofErr w:type="spellEnd"/>
      <w:r w:rsidRPr="001320ED">
        <w:rPr>
          <w:lang w:eastAsia="bg-BG"/>
        </w:rPr>
        <w:t xml:space="preserve">, </w:t>
      </w:r>
      <w:proofErr w:type="spellStart"/>
      <w:r w:rsidRPr="001320ED">
        <w:rPr>
          <w:lang w:eastAsia="bg-BG"/>
        </w:rPr>
        <w:t>сулфасалазин</w:t>
      </w:r>
      <w:proofErr w:type="spellEnd"/>
      <w:r w:rsidRPr="001320ED">
        <w:rPr>
          <w:lang w:eastAsia="bg-BG"/>
        </w:rPr>
        <w:t xml:space="preserve">, калциев карбонат, калциев ацетат и калциев фосфат в комбинация с </w:t>
      </w:r>
      <w:r w:rsidRPr="001320ED">
        <w:rPr>
          <w:lang w:eastAsia="bg-BG"/>
        </w:rPr>
        <w:lastRenderedPageBreak/>
        <w:t xml:space="preserve">витамин </w:t>
      </w:r>
      <w:r w:rsidRPr="001320ED">
        <w:rPr>
          <w:lang w:val="en-US"/>
        </w:rPr>
        <w:t xml:space="preserve">D3, </w:t>
      </w:r>
      <w:proofErr w:type="spellStart"/>
      <w:r w:rsidRPr="001320ED">
        <w:rPr>
          <w:lang w:eastAsia="bg-BG"/>
        </w:rPr>
        <w:t>бромазепам</w:t>
      </w:r>
      <w:proofErr w:type="spellEnd"/>
      <w:r w:rsidRPr="001320ED">
        <w:rPr>
          <w:lang w:eastAsia="bg-BG"/>
        </w:rPr>
        <w:t xml:space="preserve">, магнезиев аспартат, </w:t>
      </w:r>
      <w:r w:rsidRPr="001320ED">
        <w:rPr>
          <w:lang w:val="en-US"/>
        </w:rPr>
        <w:t>D</w:t>
      </w:r>
      <w:r w:rsidRPr="001320ED">
        <w:rPr>
          <w:lang w:eastAsia="bg-BG"/>
        </w:rPr>
        <w:t>-</w:t>
      </w:r>
      <w:proofErr w:type="spellStart"/>
      <w:r w:rsidRPr="001320ED">
        <w:rPr>
          <w:lang w:eastAsia="bg-BG"/>
        </w:rPr>
        <w:t>пенициламин</w:t>
      </w:r>
      <w:proofErr w:type="spellEnd"/>
      <w:r w:rsidRPr="001320ED">
        <w:rPr>
          <w:lang w:eastAsia="bg-BG"/>
        </w:rPr>
        <w:t xml:space="preserve">, </w:t>
      </w:r>
      <w:proofErr w:type="spellStart"/>
      <w:r w:rsidRPr="001320ED">
        <w:rPr>
          <w:lang w:eastAsia="bg-BG"/>
        </w:rPr>
        <w:t>метилдопа</w:t>
      </w:r>
      <w:proofErr w:type="spellEnd"/>
      <w:r w:rsidRPr="001320ED">
        <w:rPr>
          <w:lang w:eastAsia="bg-BG"/>
        </w:rPr>
        <w:t xml:space="preserve">, </w:t>
      </w:r>
      <w:proofErr w:type="spellStart"/>
      <w:r w:rsidRPr="001320ED">
        <w:rPr>
          <w:lang w:eastAsia="bg-BG"/>
        </w:rPr>
        <w:t>парацетамол</w:t>
      </w:r>
      <w:proofErr w:type="spellEnd"/>
      <w:r w:rsidRPr="001320ED">
        <w:rPr>
          <w:lang w:eastAsia="bg-BG"/>
        </w:rPr>
        <w:t xml:space="preserve"> и </w:t>
      </w:r>
      <w:proofErr w:type="spellStart"/>
      <w:r w:rsidRPr="001320ED">
        <w:rPr>
          <w:lang w:eastAsia="bg-BG"/>
        </w:rPr>
        <w:t>ауранофин</w:t>
      </w:r>
      <w:proofErr w:type="spellEnd"/>
      <w:r w:rsidRPr="001320ED">
        <w:rPr>
          <w:lang w:eastAsia="bg-BG"/>
        </w:rPr>
        <w:t xml:space="preserve"> не са показали никакви взаимодействия с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Фол.</w:t>
      </w:r>
    </w:p>
    <w:p w14:paraId="797D3039" w14:textId="77777777" w:rsidR="001320ED" w:rsidRDefault="001320ED" w:rsidP="001320ED">
      <w:pPr>
        <w:rPr>
          <w:lang w:eastAsia="bg-BG"/>
        </w:rPr>
      </w:pPr>
    </w:p>
    <w:p w14:paraId="29B3E5B1" w14:textId="7317F775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Също така не са наблюдавани взаимодействия с хранителни съставки като </w:t>
      </w:r>
      <w:proofErr w:type="spellStart"/>
      <w:r w:rsidRPr="001320ED">
        <w:rPr>
          <w:lang w:eastAsia="bg-BG"/>
        </w:rPr>
        <w:t>фитинова</w:t>
      </w:r>
      <w:proofErr w:type="spellEnd"/>
      <w:r w:rsidRPr="001320ED">
        <w:rPr>
          <w:lang w:eastAsia="bg-BG"/>
        </w:rPr>
        <w:t xml:space="preserve"> киселина, </w:t>
      </w:r>
      <w:proofErr w:type="spellStart"/>
      <w:r w:rsidRPr="001320ED">
        <w:rPr>
          <w:lang w:eastAsia="bg-BG"/>
        </w:rPr>
        <w:t>оксалова</w:t>
      </w:r>
      <w:proofErr w:type="spellEnd"/>
      <w:r w:rsidRPr="001320ED">
        <w:rPr>
          <w:lang w:eastAsia="bg-BG"/>
        </w:rPr>
        <w:t xml:space="preserve"> киселина, танин, натриев </w:t>
      </w:r>
      <w:proofErr w:type="spellStart"/>
      <w:r w:rsidRPr="001320ED">
        <w:rPr>
          <w:lang w:eastAsia="bg-BG"/>
        </w:rPr>
        <w:t>алгинат</w:t>
      </w:r>
      <w:proofErr w:type="spellEnd"/>
      <w:r w:rsidRPr="001320ED">
        <w:rPr>
          <w:lang w:eastAsia="bg-BG"/>
        </w:rPr>
        <w:t xml:space="preserve">, </w:t>
      </w:r>
      <w:proofErr w:type="spellStart"/>
      <w:r w:rsidRPr="001320ED">
        <w:rPr>
          <w:lang w:eastAsia="bg-BG"/>
        </w:rPr>
        <w:t>холин</w:t>
      </w:r>
      <w:proofErr w:type="spellEnd"/>
      <w:r w:rsidRPr="001320ED">
        <w:rPr>
          <w:lang w:eastAsia="bg-BG"/>
        </w:rPr>
        <w:t xml:space="preserve"> и </w:t>
      </w:r>
      <w:proofErr w:type="spellStart"/>
      <w:r w:rsidRPr="001320ED">
        <w:rPr>
          <w:lang w:eastAsia="bg-BG"/>
        </w:rPr>
        <w:t>холинови</w:t>
      </w:r>
      <w:proofErr w:type="spellEnd"/>
      <w:r w:rsidRPr="001320ED">
        <w:rPr>
          <w:lang w:eastAsia="bg-BG"/>
        </w:rPr>
        <w:t xml:space="preserve"> соли, витамин А, витамин </w:t>
      </w:r>
      <w:r w:rsidRPr="001320ED">
        <w:rPr>
          <w:lang w:val="en-US"/>
        </w:rPr>
        <w:t xml:space="preserve">D3 </w:t>
      </w:r>
      <w:r w:rsidRPr="001320ED">
        <w:rPr>
          <w:lang w:eastAsia="bg-BG"/>
        </w:rPr>
        <w:t xml:space="preserve">и витамин Е, соево масло и соево брашно в </w:t>
      </w:r>
      <w:r w:rsidRPr="001320ED">
        <w:rPr>
          <w:lang w:val="en-US"/>
        </w:rPr>
        <w:t xml:space="preserve">in vitro </w:t>
      </w:r>
      <w:r w:rsidRPr="001320ED">
        <w:rPr>
          <w:lang w:eastAsia="bg-BG"/>
        </w:rPr>
        <w:t xml:space="preserve">проучвания с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Фол. Тези резултати предполагат, че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може да се приема по време на или непосредствено след прием на храна.</w:t>
      </w:r>
    </w:p>
    <w:p w14:paraId="6CE39D57" w14:textId="77777777" w:rsidR="001320ED" w:rsidRDefault="001320ED" w:rsidP="001320ED">
      <w:pPr>
        <w:rPr>
          <w:lang w:eastAsia="bg-BG"/>
        </w:rPr>
      </w:pPr>
    </w:p>
    <w:p w14:paraId="4C476496" w14:textId="717BCB2D" w:rsidR="001320ED" w:rsidRDefault="001320ED" w:rsidP="001320ED">
      <w:pPr>
        <w:rPr>
          <w:lang w:eastAsia="bg-BG"/>
        </w:rPr>
      </w:pPr>
      <w:proofErr w:type="spellStart"/>
      <w:r w:rsidRPr="001320ED">
        <w:rPr>
          <w:lang w:eastAsia="bg-BG"/>
        </w:rPr>
        <w:t>Хемокултният</w:t>
      </w:r>
      <w:proofErr w:type="spellEnd"/>
      <w:r w:rsidRPr="001320ED">
        <w:rPr>
          <w:lang w:eastAsia="bg-BG"/>
        </w:rPr>
        <w:t xml:space="preserve"> тест (специфичен за Н</w:t>
      </w:r>
      <w:r w:rsidRPr="001320ED">
        <w:rPr>
          <w:lang w:val="en-US"/>
        </w:rPr>
        <w:t>b</w:t>
      </w:r>
      <w:r w:rsidRPr="001320ED">
        <w:rPr>
          <w:lang w:eastAsia="bg-BG"/>
        </w:rPr>
        <w:t>) за откриване на окултни (скрити) кръвоизливи не е нарушен, поради което не е необходимо да се прекъсва терапията с желязо.</w:t>
      </w:r>
    </w:p>
    <w:p w14:paraId="071186EA" w14:textId="2D570AA9" w:rsidR="001320ED" w:rsidRDefault="001320ED" w:rsidP="001320ED"/>
    <w:p w14:paraId="3DC292A5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Едновременното приложение на парентерално и перорално желязо не се препоръчва, тъй като абсорбцията на пероралното желязо ще бъде инхибирана.</w:t>
      </w:r>
    </w:p>
    <w:p w14:paraId="6C808D98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Терапията с фолиева киселина може да усили метаболизма на </w:t>
      </w:r>
      <w:proofErr w:type="spellStart"/>
      <w:r w:rsidRPr="001320ED">
        <w:rPr>
          <w:lang w:eastAsia="bg-BG"/>
        </w:rPr>
        <w:t>фенитоин</w:t>
      </w:r>
      <w:proofErr w:type="spellEnd"/>
      <w:r w:rsidRPr="001320ED">
        <w:rPr>
          <w:lang w:eastAsia="bg-BG"/>
        </w:rPr>
        <w:t xml:space="preserve">, което води до понижаване на серумните концентрации на </w:t>
      </w:r>
      <w:proofErr w:type="spellStart"/>
      <w:r w:rsidRPr="001320ED">
        <w:rPr>
          <w:lang w:eastAsia="bg-BG"/>
        </w:rPr>
        <w:t>фенитоин</w:t>
      </w:r>
      <w:proofErr w:type="spellEnd"/>
      <w:r w:rsidRPr="001320ED">
        <w:rPr>
          <w:lang w:eastAsia="bg-BG"/>
        </w:rPr>
        <w:t xml:space="preserve">, особено при пациенти с дефицит на </w:t>
      </w:r>
      <w:proofErr w:type="spellStart"/>
      <w:r w:rsidRPr="001320ED">
        <w:rPr>
          <w:lang w:eastAsia="bg-BG"/>
        </w:rPr>
        <w:t>фолат</w:t>
      </w:r>
      <w:proofErr w:type="spellEnd"/>
      <w:r w:rsidRPr="001320ED">
        <w:rPr>
          <w:lang w:eastAsia="bg-BG"/>
        </w:rPr>
        <w:t xml:space="preserve">. Въпреки че това взаимодействие обикновено не е клинично значимо, при някои пациенти честотата на припадъците може да се увеличи. Всеки пациент, който приема </w:t>
      </w:r>
      <w:proofErr w:type="spellStart"/>
      <w:r w:rsidRPr="001320ED">
        <w:rPr>
          <w:lang w:eastAsia="bg-BG"/>
        </w:rPr>
        <w:t>фенитоин</w:t>
      </w:r>
      <w:proofErr w:type="spellEnd"/>
      <w:r w:rsidRPr="001320ED">
        <w:rPr>
          <w:lang w:eastAsia="bg-BG"/>
        </w:rPr>
        <w:t xml:space="preserve"> или други антиконвулсивни лекарства, трябва да се консултира с лекар преди приема на добавка с фолиева киселина.</w:t>
      </w:r>
    </w:p>
    <w:p w14:paraId="136EA474" w14:textId="77777777" w:rsidR="001320ED" w:rsidRDefault="001320ED" w:rsidP="001320ED">
      <w:pPr>
        <w:rPr>
          <w:lang w:eastAsia="bg-BG"/>
        </w:rPr>
      </w:pPr>
    </w:p>
    <w:p w14:paraId="1AC4EF44" w14:textId="101BBEAD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Има съобщения, че едновременното приложение на </w:t>
      </w:r>
      <w:proofErr w:type="spellStart"/>
      <w:r w:rsidRPr="001320ED">
        <w:rPr>
          <w:lang w:eastAsia="bg-BG"/>
        </w:rPr>
        <w:t>хлорамфеникол</w:t>
      </w:r>
      <w:proofErr w:type="spellEnd"/>
      <w:r w:rsidRPr="001320ED">
        <w:rPr>
          <w:lang w:eastAsia="bg-BG"/>
        </w:rPr>
        <w:t xml:space="preserve"> и фолиева киселина при пациенти с дефицит на </w:t>
      </w:r>
      <w:proofErr w:type="spellStart"/>
      <w:r w:rsidRPr="001320ED">
        <w:rPr>
          <w:lang w:eastAsia="bg-BG"/>
        </w:rPr>
        <w:t>фолат</w:t>
      </w:r>
      <w:proofErr w:type="spellEnd"/>
      <w:r w:rsidRPr="001320ED">
        <w:rPr>
          <w:lang w:eastAsia="bg-BG"/>
        </w:rPr>
        <w:t xml:space="preserve"> може да доведе до антагонизъм на </w:t>
      </w:r>
      <w:proofErr w:type="spellStart"/>
      <w:r w:rsidRPr="001320ED">
        <w:rPr>
          <w:lang w:eastAsia="bg-BG"/>
        </w:rPr>
        <w:t>хемопоетичния</w:t>
      </w:r>
      <w:proofErr w:type="spellEnd"/>
      <w:r w:rsidRPr="001320ED">
        <w:rPr>
          <w:lang w:eastAsia="bg-BG"/>
        </w:rPr>
        <w:t xml:space="preserve"> отговор към фолиевата киселина. Въпреки че значението и механизмът на взаимодействието са неясни, хематологичният отговор към фолиева киселина при пациенти, приемащи и двете лекарства, трябва да бъде внимателно наблюдаван.</w:t>
      </w:r>
    </w:p>
    <w:p w14:paraId="7F40B0E2" w14:textId="77777777" w:rsidR="001320ED" w:rsidRPr="001320ED" w:rsidRDefault="001320ED" w:rsidP="001320ED"/>
    <w:p w14:paraId="2ABE132C" w14:textId="46716333" w:rsidR="00C0049F" w:rsidRDefault="002C50EE" w:rsidP="009F1313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6F76B1B" w14:textId="5CD49A89" w:rsidR="001320ED" w:rsidRDefault="001320ED" w:rsidP="001320ED"/>
    <w:p w14:paraId="01AF388B" w14:textId="77777777" w:rsidR="001320ED" w:rsidRPr="001320ED" w:rsidRDefault="001320ED" w:rsidP="001320ED">
      <w:pPr>
        <w:pStyle w:val="3"/>
        <w:rPr>
          <w:rFonts w:eastAsia="Times New Roman"/>
          <w:u w:val="single"/>
        </w:rPr>
      </w:pPr>
      <w:r w:rsidRPr="001320ED">
        <w:rPr>
          <w:rFonts w:eastAsia="Times New Roman"/>
          <w:u w:val="single"/>
          <w:lang w:eastAsia="bg-BG"/>
        </w:rPr>
        <w:t>Бременност</w:t>
      </w:r>
    </w:p>
    <w:p w14:paraId="3A18E405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Липсват данни от клинични проучвания относно употребата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при бременни жени през първия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триместьр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. Към днешна дата няма съобщения за сериозни нежелани реакции след прием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в терапевтични дози за лечение на анемия по време на бременност. Данни от проучвания при животни не показват риск за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и майката.</w:t>
      </w:r>
    </w:p>
    <w:p w14:paraId="67F05E25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Проучвания при бременни жени след първия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триместьр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не показват нежелани ефекти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върху майките и/или новородените. Следователно има малка вероятност за отрицателно влияние върху </w:t>
      </w:r>
      <w:proofErr w:type="spellStart"/>
      <w:r w:rsidRPr="001320ED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при приложение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Фол.</w:t>
      </w:r>
    </w:p>
    <w:p w14:paraId="3FDB062F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B58A97B" w14:textId="193275B9" w:rsidR="001320ED" w:rsidRPr="001320ED" w:rsidRDefault="001320ED" w:rsidP="001320ED">
      <w:pPr>
        <w:pStyle w:val="3"/>
        <w:rPr>
          <w:rFonts w:eastAsia="Times New Roman"/>
          <w:u w:val="single"/>
        </w:rPr>
      </w:pPr>
      <w:r w:rsidRPr="001320ED">
        <w:rPr>
          <w:rFonts w:eastAsia="Times New Roman"/>
          <w:u w:val="single"/>
          <w:lang w:eastAsia="bg-BG"/>
        </w:rPr>
        <w:t>Кърмене</w:t>
      </w:r>
    </w:p>
    <w:p w14:paraId="636A86B5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Кърмата при хора съдържа желязо, което е свързано с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лактоферин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. Количеството желязо, което преминава от комплекса в майчината кърма, е неизвестно. Има малка вероятност приложението на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при кърмещи жени да причини нежелани лекарствени реакции у кърмачето.</w:t>
      </w:r>
    </w:p>
    <w:p w14:paraId="08BEC259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Като предпазна мярка жените в детеродна възраст, бременните и кърмачките трябва да използват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Малтофер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Фол само след консултация с лекар. Препоръчва се оценка на съотношението полза/риск.</w:t>
      </w:r>
    </w:p>
    <w:p w14:paraId="63396EA8" w14:textId="77777777" w:rsidR="001320ED" w:rsidRPr="001320ED" w:rsidRDefault="001320ED" w:rsidP="001320ED"/>
    <w:p w14:paraId="13465597" w14:textId="3827FA93" w:rsidR="003765DC" w:rsidRDefault="002C50EE" w:rsidP="002B3C38">
      <w:pPr>
        <w:pStyle w:val="2"/>
      </w:pPr>
      <w:r>
        <w:lastRenderedPageBreak/>
        <w:t>4.7. Ефекти върху способността за шофиране и работа с машини</w:t>
      </w:r>
    </w:p>
    <w:p w14:paraId="7406F2D8" w14:textId="77777777" w:rsidR="001320ED" w:rsidRDefault="001320ED" w:rsidP="001320ED"/>
    <w:p w14:paraId="70C4A095" w14:textId="499F3ABC" w:rsidR="001320ED" w:rsidRDefault="001320ED" w:rsidP="001320ED">
      <w:r>
        <w:t>Липсват данни</w:t>
      </w:r>
    </w:p>
    <w:p w14:paraId="7C9D1848" w14:textId="77777777" w:rsidR="001320ED" w:rsidRPr="001320ED" w:rsidRDefault="001320ED" w:rsidP="001320ED"/>
    <w:p w14:paraId="7CF9AE95" w14:textId="31B98821" w:rsidR="00C0049F" w:rsidRDefault="002C50EE" w:rsidP="009F1313">
      <w:pPr>
        <w:pStyle w:val="2"/>
      </w:pPr>
      <w:r>
        <w:t>4.8. Нежелани лекарствени реакции</w:t>
      </w:r>
    </w:p>
    <w:p w14:paraId="35A82B23" w14:textId="0F8BACB1" w:rsidR="001320ED" w:rsidRDefault="001320ED" w:rsidP="001320ED"/>
    <w:p w14:paraId="17920DCD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Безопасността и </w:t>
      </w:r>
      <w:proofErr w:type="spellStart"/>
      <w:r w:rsidRPr="001320ED">
        <w:rPr>
          <w:lang w:eastAsia="bg-BG"/>
        </w:rPr>
        <w:t>поносимостга</w:t>
      </w:r>
      <w:proofErr w:type="spellEnd"/>
      <w:r w:rsidRPr="001320ED">
        <w:rPr>
          <w:lang w:eastAsia="bg-BG"/>
        </w:rPr>
        <w:t xml:space="preserve"> на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е оценена в многобройни клинични проучвания и публикувани съобщения. Основните нежелани лекарствени реакции, съобщени в тези проучвания, са от следните три </w:t>
      </w:r>
      <w:proofErr w:type="spellStart"/>
      <w:r w:rsidRPr="001320ED">
        <w:rPr>
          <w:lang w:eastAsia="bg-BG"/>
        </w:rPr>
        <w:t>системо</w:t>
      </w:r>
      <w:proofErr w:type="spellEnd"/>
      <w:r w:rsidRPr="001320ED">
        <w:rPr>
          <w:lang w:eastAsia="bg-BG"/>
        </w:rPr>
        <w:t>-органни класа:</w:t>
      </w:r>
    </w:p>
    <w:p w14:paraId="39EDDF4A" w14:textId="77777777" w:rsidR="001320ED" w:rsidRDefault="001320ED" w:rsidP="001320ED">
      <w:pPr>
        <w:rPr>
          <w:lang w:eastAsia="bg-BG"/>
        </w:rPr>
      </w:pPr>
    </w:p>
    <w:p w14:paraId="7C6CC702" w14:textId="759BDB4B" w:rsidR="001320ED" w:rsidRDefault="001320ED" w:rsidP="001320ED">
      <w:pPr>
        <w:rPr>
          <w:lang w:eastAsia="bg-BG"/>
        </w:rPr>
      </w:pPr>
      <w:r w:rsidRPr="001320ED">
        <w:rPr>
          <w:lang w:eastAsia="bg-BG"/>
        </w:rPr>
        <w:t>Таблица 1. Нежелани лекарствени реакции (НЛР), установени в клинични проучвания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2347"/>
        <w:gridCol w:w="2326"/>
        <w:gridCol w:w="2338"/>
      </w:tblGrid>
      <w:tr w:rsidR="001320ED" w14:paraId="64CCA4E1" w14:textId="77777777" w:rsidTr="009B448F">
        <w:tc>
          <w:tcPr>
            <w:tcW w:w="2394" w:type="dxa"/>
            <w:vAlign w:val="bottom"/>
          </w:tcPr>
          <w:p w14:paraId="00466AAE" w14:textId="6CB1B388" w:rsidR="001320ED" w:rsidRPr="001320ED" w:rsidRDefault="001320ED" w:rsidP="001320ED">
            <w:pPr>
              <w:rPr>
                <w:lang w:eastAsia="bg-BG"/>
              </w:rPr>
            </w:pPr>
            <w:proofErr w:type="spellStart"/>
            <w:r w:rsidRPr="001320ED">
              <w:rPr>
                <w:b/>
                <w:bCs/>
              </w:rPr>
              <w:t>Снстемо</w:t>
            </w:r>
            <w:proofErr w:type="spellEnd"/>
            <w:r w:rsidRPr="001320ED">
              <w:rPr>
                <w:b/>
                <w:bCs/>
              </w:rPr>
              <w:t>-органен клас</w:t>
            </w:r>
          </w:p>
        </w:tc>
        <w:tc>
          <w:tcPr>
            <w:tcW w:w="2394" w:type="dxa"/>
          </w:tcPr>
          <w:p w14:paraId="2877453E" w14:textId="784159C5" w:rsidR="001320ED" w:rsidRPr="001320ED" w:rsidRDefault="001320ED" w:rsidP="001320ED">
            <w:pPr>
              <w:rPr>
                <w:lang w:eastAsia="bg-BG"/>
              </w:rPr>
            </w:pPr>
            <w:r w:rsidRPr="001320ED">
              <w:rPr>
                <w:b/>
                <w:bCs/>
              </w:rPr>
              <w:t>Много чести (</w:t>
            </w:r>
            <w:r w:rsidRPr="001320ED">
              <w:rPr>
                <w:b/>
                <w:bCs/>
                <w:lang w:val="en-US"/>
              </w:rPr>
              <w:t>≥</w:t>
            </w:r>
            <w:r w:rsidRPr="001320ED">
              <w:rPr>
                <w:b/>
                <w:bCs/>
              </w:rPr>
              <w:t>1/10)</w:t>
            </w:r>
          </w:p>
        </w:tc>
        <w:tc>
          <w:tcPr>
            <w:tcW w:w="2394" w:type="dxa"/>
          </w:tcPr>
          <w:p w14:paraId="02A81F90" w14:textId="7E1DD406" w:rsidR="001320ED" w:rsidRPr="001320ED" w:rsidRDefault="001320ED" w:rsidP="001320ED">
            <w:pPr>
              <w:rPr>
                <w:lang w:eastAsia="bg-BG"/>
              </w:rPr>
            </w:pPr>
            <w:r w:rsidRPr="001320ED">
              <w:rPr>
                <w:b/>
                <w:bCs/>
              </w:rPr>
              <w:t>Чести (</w:t>
            </w:r>
            <w:r w:rsidRPr="001320ED">
              <w:rPr>
                <w:b/>
                <w:bCs/>
                <w:lang w:val="en-US"/>
              </w:rPr>
              <w:t>≥</w:t>
            </w:r>
            <w:r w:rsidRPr="001320ED">
              <w:rPr>
                <w:b/>
                <w:bCs/>
              </w:rPr>
              <w:t>1/100, &lt;1/10)</w:t>
            </w:r>
          </w:p>
        </w:tc>
        <w:tc>
          <w:tcPr>
            <w:tcW w:w="2394" w:type="dxa"/>
            <w:vAlign w:val="bottom"/>
          </w:tcPr>
          <w:p w14:paraId="06CF967B" w14:textId="595BD4F4" w:rsidR="001320ED" w:rsidRPr="001320ED" w:rsidRDefault="001320ED" w:rsidP="001320ED">
            <w:pPr>
              <w:rPr>
                <w:lang w:eastAsia="bg-BG"/>
              </w:rPr>
            </w:pPr>
            <w:r w:rsidRPr="001320ED">
              <w:rPr>
                <w:b/>
                <w:bCs/>
              </w:rPr>
              <w:t>Нечести (</w:t>
            </w:r>
            <w:r w:rsidRPr="001320ED">
              <w:rPr>
                <w:b/>
                <w:bCs/>
                <w:lang w:val="en-US"/>
              </w:rPr>
              <w:t>≥</w:t>
            </w:r>
            <w:r w:rsidRPr="001320ED">
              <w:rPr>
                <w:b/>
                <w:bCs/>
              </w:rPr>
              <w:t>1/1000, &lt;1/100)</w:t>
            </w:r>
          </w:p>
        </w:tc>
      </w:tr>
      <w:tr w:rsidR="001320ED" w14:paraId="2B4A1B18" w14:textId="77777777" w:rsidTr="009B448F">
        <w:tc>
          <w:tcPr>
            <w:tcW w:w="2394" w:type="dxa"/>
            <w:vAlign w:val="bottom"/>
          </w:tcPr>
          <w:p w14:paraId="19DE456A" w14:textId="33056856" w:rsidR="001320ED" w:rsidRPr="001320ED" w:rsidRDefault="001320ED" w:rsidP="001320ED">
            <w:pPr>
              <w:rPr>
                <w:lang w:eastAsia="bg-BG"/>
              </w:rPr>
            </w:pPr>
            <w:r w:rsidRPr="001320ED">
              <w:rPr>
                <w:b/>
                <w:bCs/>
              </w:rPr>
              <w:t>Стомашно- чревни нарушения</w:t>
            </w:r>
          </w:p>
        </w:tc>
        <w:tc>
          <w:tcPr>
            <w:tcW w:w="2394" w:type="dxa"/>
          </w:tcPr>
          <w:p w14:paraId="7F19BD75" w14:textId="718080F5" w:rsidR="001320ED" w:rsidRPr="001320ED" w:rsidRDefault="001320ED" w:rsidP="001320ED">
            <w:pPr>
              <w:rPr>
                <w:lang w:eastAsia="bg-BG"/>
              </w:rPr>
            </w:pPr>
            <w:r w:rsidRPr="001320ED">
              <w:t>Оцветени изпражнения</w:t>
            </w:r>
            <w:r w:rsidRPr="001320ED">
              <w:rPr>
                <w:vertAlign w:val="superscript"/>
              </w:rPr>
              <w:t>1</w:t>
            </w:r>
          </w:p>
        </w:tc>
        <w:tc>
          <w:tcPr>
            <w:tcW w:w="2394" w:type="dxa"/>
          </w:tcPr>
          <w:p w14:paraId="19863C6C" w14:textId="69E02F69" w:rsidR="001320ED" w:rsidRPr="001320ED" w:rsidRDefault="001320ED" w:rsidP="001320ED">
            <w:pPr>
              <w:rPr>
                <w:lang w:eastAsia="bg-BG"/>
              </w:rPr>
            </w:pPr>
            <w:r w:rsidRPr="001320ED">
              <w:t>Диария, гадене, диспепсия</w:t>
            </w:r>
          </w:p>
        </w:tc>
        <w:tc>
          <w:tcPr>
            <w:tcW w:w="2394" w:type="dxa"/>
            <w:vAlign w:val="bottom"/>
          </w:tcPr>
          <w:p w14:paraId="4DC8CC15" w14:textId="5887CB73" w:rsidR="001320ED" w:rsidRPr="001320ED" w:rsidRDefault="001320ED" w:rsidP="001320ED">
            <w:pPr>
              <w:rPr>
                <w:lang w:eastAsia="bg-BG"/>
              </w:rPr>
            </w:pPr>
            <w:r w:rsidRPr="001320ED">
              <w:t>Повръщане, запек, коремна болка, оцветяване на зъбите</w:t>
            </w:r>
            <w:r w:rsidRPr="001320ED">
              <w:rPr>
                <w:vertAlign w:val="superscript"/>
              </w:rPr>
              <w:t>2</w:t>
            </w:r>
          </w:p>
        </w:tc>
      </w:tr>
      <w:tr w:rsidR="001320ED" w14:paraId="16B43492" w14:textId="77777777" w:rsidTr="009B448F">
        <w:tc>
          <w:tcPr>
            <w:tcW w:w="2394" w:type="dxa"/>
            <w:vAlign w:val="bottom"/>
          </w:tcPr>
          <w:p w14:paraId="54FE3CE9" w14:textId="373157AA" w:rsidR="001320ED" w:rsidRPr="001320ED" w:rsidRDefault="001320ED" w:rsidP="001320ED">
            <w:pPr>
              <w:rPr>
                <w:lang w:eastAsia="bg-BG"/>
              </w:rPr>
            </w:pPr>
            <w:r w:rsidRPr="001320ED">
              <w:rPr>
                <w:b/>
                <w:bCs/>
              </w:rPr>
              <w:t>Нарушения на кожата и подкожната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точка</w:t>
            </w:r>
          </w:p>
        </w:tc>
        <w:tc>
          <w:tcPr>
            <w:tcW w:w="2394" w:type="dxa"/>
          </w:tcPr>
          <w:p w14:paraId="3873A4A4" w14:textId="77777777" w:rsidR="001320ED" w:rsidRPr="001320ED" w:rsidRDefault="001320ED" w:rsidP="001320ED">
            <w:pPr>
              <w:rPr>
                <w:lang w:eastAsia="bg-BG"/>
              </w:rPr>
            </w:pPr>
          </w:p>
        </w:tc>
        <w:tc>
          <w:tcPr>
            <w:tcW w:w="2394" w:type="dxa"/>
          </w:tcPr>
          <w:p w14:paraId="477FF3EE" w14:textId="77777777" w:rsidR="001320ED" w:rsidRPr="001320ED" w:rsidRDefault="001320ED" w:rsidP="001320ED">
            <w:pPr>
              <w:rPr>
                <w:lang w:eastAsia="bg-BG"/>
              </w:rPr>
            </w:pPr>
          </w:p>
        </w:tc>
        <w:tc>
          <w:tcPr>
            <w:tcW w:w="2394" w:type="dxa"/>
          </w:tcPr>
          <w:p w14:paraId="12BDCED3" w14:textId="26A48C71" w:rsidR="001320ED" w:rsidRPr="001320ED" w:rsidRDefault="001320ED" w:rsidP="001320ED">
            <w:pPr>
              <w:rPr>
                <w:lang w:eastAsia="bg-BG"/>
              </w:rPr>
            </w:pPr>
            <w:r w:rsidRPr="001320ED">
              <w:t>Обрив, сърбеж</w:t>
            </w:r>
          </w:p>
        </w:tc>
      </w:tr>
      <w:tr w:rsidR="001320ED" w14:paraId="495ABA06" w14:textId="77777777" w:rsidTr="001320ED">
        <w:tc>
          <w:tcPr>
            <w:tcW w:w="2394" w:type="dxa"/>
          </w:tcPr>
          <w:p w14:paraId="1A517632" w14:textId="46307D88" w:rsidR="001320ED" w:rsidRPr="001320ED" w:rsidRDefault="001320ED" w:rsidP="001320ED">
            <w:pPr>
              <w:rPr>
                <w:b/>
                <w:bCs/>
                <w:lang w:eastAsia="bg-BG"/>
              </w:rPr>
            </w:pPr>
            <w:r w:rsidRPr="001320ED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2394" w:type="dxa"/>
          </w:tcPr>
          <w:p w14:paraId="423015A2" w14:textId="77777777" w:rsidR="001320ED" w:rsidRDefault="001320ED" w:rsidP="001320ED">
            <w:pPr>
              <w:rPr>
                <w:lang w:eastAsia="bg-BG"/>
              </w:rPr>
            </w:pPr>
          </w:p>
        </w:tc>
        <w:tc>
          <w:tcPr>
            <w:tcW w:w="2394" w:type="dxa"/>
          </w:tcPr>
          <w:p w14:paraId="49BACDE7" w14:textId="77777777" w:rsidR="001320ED" w:rsidRDefault="001320ED" w:rsidP="001320ED">
            <w:pPr>
              <w:rPr>
                <w:lang w:eastAsia="bg-BG"/>
              </w:rPr>
            </w:pPr>
          </w:p>
        </w:tc>
        <w:tc>
          <w:tcPr>
            <w:tcW w:w="2394" w:type="dxa"/>
          </w:tcPr>
          <w:p w14:paraId="1E79FFE5" w14:textId="4D4CABAA" w:rsidR="001320ED" w:rsidRDefault="001320ED" w:rsidP="001320ED">
            <w:pPr>
              <w:rPr>
                <w:lang w:eastAsia="bg-BG"/>
              </w:rPr>
            </w:pPr>
            <w:r>
              <w:t>Главоболие</w:t>
            </w:r>
          </w:p>
        </w:tc>
      </w:tr>
    </w:tbl>
    <w:p w14:paraId="6D438F37" w14:textId="7BC1B327" w:rsidR="001320ED" w:rsidRPr="001320ED" w:rsidRDefault="001320ED" w:rsidP="001320ED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„Оцветени изпражнения“ много често се съобщава като нежелано събитие (23% от пациентите) и е добре позната НЛР за пероралните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желязосъдържащи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лекарства.</w:t>
      </w:r>
    </w:p>
    <w:p w14:paraId="53DA195B" w14:textId="78FF92B1" w:rsidR="001320ED" w:rsidRPr="001320ED" w:rsidRDefault="001320ED" w:rsidP="001320ED">
      <w:pPr>
        <w:pStyle w:val="a3"/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„Оцветяване на зъбите“ се съобщава като нежелано събитие при 0,6% от пациентите и е позната НЛР за пероралните </w:t>
      </w:r>
      <w:proofErr w:type="spellStart"/>
      <w:r w:rsidRPr="001320ED">
        <w:rPr>
          <w:rFonts w:eastAsia="Times New Roman" w:cs="Arial"/>
          <w:color w:val="000000"/>
          <w:lang w:eastAsia="bg-BG"/>
        </w:rPr>
        <w:t>желязосъдържащи</w:t>
      </w:r>
      <w:proofErr w:type="spellEnd"/>
      <w:r w:rsidRPr="001320ED">
        <w:rPr>
          <w:rFonts w:eastAsia="Times New Roman" w:cs="Arial"/>
          <w:color w:val="000000"/>
          <w:lang w:eastAsia="bg-BG"/>
        </w:rPr>
        <w:t xml:space="preserve"> лекарства.</w:t>
      </w:r>
    </w:p>
    <w:p w14:paraId="710B92F2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Забележки: „</w:t>
      </w:r>
      <w:proofErr w:type="spellStart"/>
      <w:r w:rsidRPr="001320ED">
        <w:rPr>
          <w:rFonts w:eastAsia="Times New Roman" w:cs="Arial"/>
          <w:color w:val="000000"/>
          <w:lang w:eastAsia="bg-BG"/>
        </w:rPr>
        <w:t>Екзантем</w:t>
      </w:r>
      <w:proofErr w:type="spellEnd"/>
      <w:r w:rsidRPr="001320ED">
        <w:rPr>
          <w:rFonts w:eastAsia="Times New Roman" w:cs="Arial"/>
          <w:color w:val="000000"/>
          <w:lang w:eastAsia="bg-BG"/>
        </w:rPr>
        <w:t>“ е комбинирана с „обрив“ и представена като „обрив“ в таблицата.</w:t>
      </w:r>
    </w:p>
    <w:p w14:paraId="0FB176CB" w14:textId="77777777" w:rsidR="001320ED" w:rsidRPr="001320ED" w:rsidRDefault="001320ED" w:rsidP="001320ED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11346A" w14:textId="25FA5592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314B2EF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4C2127EE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2F05BCA4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ул. „Дамян Груев“ № 8</w:t>
      </w:r>
    </w:p>
    <w:p w14:paraId="0A22AEA2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1303 София</w:t>
      </w:r>
    </w:p>
    <w:p w14:paraId="6F92222A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>Тел.:+359 2 8903417</w:t>
      </w:r>
    </w:p>
    <w:p w14:paraId="543590A1" w14:textId="77777777" w:rsidR="001320ED" w:rsidRPr="001320ED" w:rsidRDefault="001320ED" w:rsidP="001320ED">
      <w:pPr>
        <w:spacing w:line="240" w:lineRule="auto"/>
        <w:rPr>
          <w:rFonts w:eastAsia="Times New Roman" w:cs="Arial"/>
        </w:rPr>
      </w:pPr>
      <w:r w:rsidRPr="001320ED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1320ED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7738BC09" w14:textId="77777777" w:rsidR="001320ED" w:rsidRPr="001320ED" w:rsidRDefault="001320ED" w:rsidP="001320ED">
      <w:pPr>
        <w:rPr>
          <w:lang w:eastAsia="bg-BG"/>
        </w:rPr>
      </w:pPr>
    </w:p>
    <w:p w14:paraId="4ED30546" w14:textId="4A566A00" w:rsidR="007C605B" w:rsidRDefault="002C50EE" w:rsidP="009F1313">
      <w:pPr>
        <w:pStyle w:val="2"/>
      </w:pPr>
      <w:r>
        <w:t>4.9. Предозиране</w:t>
      </w:r>
    </w:p>
    <w:p w14:paraId="434F8E58" w14:textId="77777777" w:rsidR="001320ED" w:rsidRDefault="001320ED" w:rsidP="001320ED">
      <w:pPr>
        <w:rPr>
          <w:lang w:eastAsia="bg-BG"/>
        </w:rPr>
      </w:pPr>
    </w:p>
    <w:p w14:paraId="283E1E8D" w14:textId="2DA2381D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В случай на предозиране има малка вероятност за претоварване с желязо или интоксикации с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поради слабата токсичност на </w:t>
      </w:r>
      <w:r w:rsidRPr="001320ED">
        <w:rPr>
          <w:lang w:val="en-US"/>
        </w:rPr>
        <w:t xml:space="preserve">IPC </w:t>
      </w:r>
      <w:r w:rsidRPr="001320ED">
        <w:rPr>
          <w:lang w:eastAsia="bg-BG"/>
        </w:rPr>
        <w:t xml:space="preserve">(т.е. при мишки или плъхове: летална доза, 50% </w:t>
      </w:r>
      <w:r w:rsidRPr="001320ED">
        <w:rPr>
          <w:lang w:val="en-US"/>
        </w:rPr>
        <w:t>(LD</w:t>
      </w:r>
      <w:r w:rsidRPr="001320ED">
        <w:rPr>
          <w:vertAlign w:val="subscript"/>
          <w:lang w:val="en-US"/>
        </w:rPr>
        <w:t>50</w:t>
      </w:r>
      <w:r w:rsidRPr="001320ED">
        <w:rPr>
          <w:lang w:val="en-US"/>
        </w:rPr>
        <w:t xml:space="preserve">) </w:t>
      </w:r>
      <w:r w:rsidRPr="001320ED">
        <w:rPr>
          <w:lang w:eastAsia="bg-BG"/>
        </w:rPr>
        <w:t xml:space="preserve">&gt; 2000 </w:t>
      </w:r>
      <w:r w:rsidRPr="001320ED">
        <w:rPr>
          <w:lang w:val="en-US"/>
        </w:rPr>
        <w:t xml:space="preserve">mg Fe/kg </w:t>
      </w:r>
      <w:r w:rsidRPr="001320ED">
        <w:rPr>
          <w:lang w:eastAsia="bg-BG"/>
        </w:rPr>
        <w:t>телесно тегло) и контролираното обратно захващане на желязото.</w:t>
      </w:r>
    </w:p>
    <w:p w14:paraId="7226E029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Няма съобщени случаи на инцидентно отравяне с фатален изход.</w:t>
      </w:r>
    </w:p>
    <w:p w14:paraId="09661E39" w14:textId="77777777" w:rsidR="001320ED" w:rsidRDefault="001320ED" w:rsidP="001320ED">
      <w:pPr>
        <w:rPr>
          <w:lang w:eastAsia="bg-BG"/>
        </w:rPr>
      </w:pPr>
    </w:p>
    <w:p w14:paraId="58727609" w14:textId="3A271BE6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lastRenderedPageBreak/>
        <w:t>Има съобщения, че прекомерна доза на фолиева киселина може да предизвика промени в централната нервна система (по-специално промени в психичното състояние, променени модели на съня, раздразнителност и хиперактивност), гадене, раздуване на корема и образуване на газове.</w:t>
      </w:r>
    </w:p>
    <w:p w14:paraId="702D6940" w14:textId="77777777" w:rsidR="001320ED" w:rsidRPr="001320ED" w:rsidRDefault="001320ED" w:rsidP="001320ED"/>
    <w:p w14:paraId="18EF4AFE" w14:textId="056BD415" w:rsidR="002C50EE" w:rsidRDefault="002C50EE" w:rsidP="002C50EE">
      <w:pPr>
        <w:pStyle w:val="1"/>
      </w:pPr>
      <w:r>
        <w:t>5. ФАРМАКОЛОГИЧНИ СВОЙСТВА</w:t>
      </w:r>
    </w:p>
    <w:p w14:paraId="44B79BDF" w14:textId="77777777" w:rsidR="001320ED" w:rsidRDefault="001320ED" w:rsidP="001320ED">
      <w:pPr>
        <w:rPr>
          <w:lang w:eastAsia="bg-BG"/>
        </w:rPr>
      </w:pPr>
    </w:p>
    <w:p w14:paraId="18435A01" w14:textId="44CE985A" w:rsidR="001320ED" w:rsidRPr="001320ED" w:rsidRDefault="001320ED" w:rsidP="001320ED">
      <w:pPr>
        <w:rPr>
          <w:sz w:val="24"/>
          <w:szCs w:val="24"/>
        </w:rPr>
      </w:pPr>
      <w:proofErr w:type="spellStart"/>
      <w:r w:rsidRPr="001320ED">
        <w:rPr>
          <w:lang w:eastAsia="bg-BG"/>
        </w:rPr>
        <w:t>Фармакотерапевтична</w:t>
      </w:r>
      <w:proofErr w:type="spellEnd"/>
      <w:r w:rsidRPr="001320ED">
        <w:rPr>
          <w:lang w:eastAsia="bg-BG"/>
        </w:rPr>
        <w:t xml:space="preserve"> група: Антианемични средства - желязо в комбинация с фолиева киселина</w:t>
      </w:r>
    </w:p>
    <w:p w14:paraId="6AE0955A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АТС код: </w:t>
      </w:r>
      <w:r w:rsidRPr="001320ED">
        <w:rPr>
          <w:lang w:val="en-US"/>
        </w:rPr>
        <w:t>B03AD04</w:t>
      </w:r>
    </w:p>
    <w:p w14:paraId="14B3DEFB" w14:textId="77777777" w:rsidR="001320ED" w:rsidRPr="001320ED" w:rsidRDefault="001320ED" w:rsidP="001320ED"/>
    <w:p w14:paraId="703D7DA1" w14:textId="49301992" w:rsidR="001320ED" w:rsidRDefault="002C50EE" w:rsidP="001320ED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551C649" w14:textId="3D30CCF7" w:rsidR="001320ED" w:rsidRDefault="001320ED" w:rsidP="001320ED"/>
    <w:p w14:paraId="67856A97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Ядрата на поли нуклеарния железен (III) хидроксид са повърхностно заобиколени от </w:t>
      </w:r>
      <w:proofErr w:type="spellStart"/>
      <w:r w:rsidRPr="001320ED">
        <w:rPr>
          <w:lang w:eastAsia="bg-BG"/>
        </w:rPr>
        <w:t>нековалентно</w:t>
      </w:r>
      <w:proofErr w:type="spellEnd"/>
      <w:r w:rsidRPr="001320ED">
        <w:rPr>
          <w:lang w:eastAsia="bg-BG"/>
        </w:rPr>
        <w:t xml:space="preserve"> свързани </w:t>
      </w:r>
      <w:proofErr w:type="spellStart"/>
      <w:r w:rsidRPr="001320ED">
        <w:rPr>
          <w:lang w:eastAsia="bg-BG"/>
        </w:rPr>
        <w:t>полималтозни</w:t>
      </w:r>
      <w:proofErr w:type="spellEnd"/>
      <w:r w:rsidRPr="001320ED">
        <w:rPr>
          <w:lang w:eastAsia="bg-BG"/>
        </w:rPr>
        <w:t xml:space="preserve"> молекули, в резултат на което е получен комплекс с молекулна маса приблизително </w:t>
      </w:r>
      <w:r w:rsidRPr="001320ED">
        <w:rPr>
          <w:lang w:val="en-US"/>
        </w:rPr>
        <w:t>M</w:t>
      </w:r>
      <w:r w:rsidRPr="001320ED">
        <w:rPr>
          <w:vertAlign w:val="subscript"/>
          <w:lang w:val="en-US"/>
        </w:rPr>
        <w:t>w</w:t>
      </w:r>
      <w:r w:rsidRPr="001320ED">
        <w:rPr>
          <w:lang w:val="en-US"/>
        </w:rPr>
        <w:t xml:space="preserve"> </w:t>
      </w:r>
      <w:r w:rsidRPr="001320ED">
        <w:rPr>
          <w:lang w:eastAsia="bg-BG"/>
        </w:rPr>
        <w:t xml:space="preserve">50 </w:t>
      </w:r>
      <w:proofErr w:type="spellStart"/>
      <w:r w:rsidRPr="001320ED">
        <w:rPr>
          <w:lang w:val="en-US"/>
        </w:rPr>
        <w:t>kD</w:t>
      </w:r>
      <w:proofErr w:type="spellEnd"/>
      <w:r w:rsidRPr="001320ED">
        <w:rPr>
          <w:lang w:val="en-US"/>
        </w:rPr>
        <w:t xml:space="preserve">, </w:t>
      </w:r>
      <w:r w:rsidRPr="001320ED">
        <w:rPr>
          <w:lang w:eastAsia="bg-BG"/>
        </w:rPr>
        <w:t xml:space="preserve">който е толкова голям, че дифузията през </w:t>
      </w:r>
      <w:proofErr w:type="spellStart"/>
      <w:r w:rsidRPr="001320ED">
        <w:rPr>
          <w:lang w:eastAsia="bg-BG"/>
        </w:rPr>
        <w:t>мукозната</w:t>
      </w:r>
      <w:proofErr w:type="spellEnd"/>
      <w:r w:rsidRPr="001320ED">
        <w:rPr>
          <w:lang w:eastAsia="bg-BG"/>
        </w:rPr>
        <w:t xml:space="preserve"> мембрана е около 40 пъти по-малка от тази на комплекса </w:t>
      </w:r>
      <w:proofErr w:type="spellStart"/>
      <w:r w:rsidRPr="001320ED">
        <w:rPr>
          <w:lang w:eastAsia="bg-BG"/>
        </w:rPr>
        <w:t>хексахидро</w:t>
      </w:r>
      <w:proofErr w:type="spellEnd"/>
      <w:r w:rsidRPr="001320ED">
        <w:rPr>
          <w:lang w:eastAsia="bg-BG"/>
        </w:rPr>
        <w:t>-желязо (II).</w:t>
      </w:r>
    </w:p>
    <w:p w14:paraId="04570B89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Комплексът е стабилен и не освобождава йонизирано желязо при физиологични условия.</w:t>
      </w:r>
    </w:p>
    <w:p w14:paraId="1A6230BB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Желязото в </w:t>
      </w:r>
      <w:proofErr w:type="spellStart"/>
      <w:r w:rsidRPr="001320ED">
        <w:rPr>
          <w:lang w:eastAsia="bg-BG"/>
        </w:rPr>
        <w:t>полинуклеарните</w:t>
      </w:r>
      <w:proofErr w:type="spellEnd"/>
      <w:r w:rsidRPr="001320ED">
        <w:rPr>
          <w:lang w:eastAsia="bg-BG"/>
        </w:rPr>
        <w:t xml:space="preserve"> ядра е свързано в структура, подобна на структурата на физиологично срещания </w:t>
      </w:r>
      <w:proofErr w:type="spellStart"/>
      <w:r w:rsidRPr="001320ED">
        <w:rPr>
          <w:lang w:eastAsia="bg-BG"/>
        </w:rPr>
        <w:t>феритин</w:t>
      </w:r>
      <w:proofErr w:type="spellEnd"/>
      <w:r w:rsidRPr="001320ED">
        <w:rPr>
          <w:lang w:eastAsia="bg-BG"/>
        </w:rPr>
        <w:t xml:space="preserve">. Поради това сходство само тривалентното желязо от комплекса се абсорбира чрез процес на активна абсорбция. Посредством конкурентен обмен с </w:t>
      </w:r>
      <w:proofErr w:type="spellStart"/>
      <w:r w:rsidRPr="001320ED">
        <w:rPr>
          <w:lang w:eastAsia="bg-BG"/>
        </w:rPr>
        <w:t>лигандите</w:t>
      </w:r>
      <w:proofErr w:type="spellEnd"/>
      <w:r w:rsidRPr="001320ED">
        <w:rPr>
          <w:lang w:eastAsia="bg-BG"/>
        </w:rPr>
        <w:t xml:space="preserve"> всеки </w:t>
      </w:r>
      <w:proofErr w:type="spellStart"/>
      <w:r w:rsidRPr="001320ED">
        <w:rPr>
          <w:lang w:eastAsia="bg-BG"/>
        </w:rPr>
        <w:t>желязосвързащ</w:t>
      </w:r>
      <w:proofErr w:type="spellEnd"/>
      <w:r w:rsidRPr="001320ED">
        <w:rPr>
          <w:lang w:eastAsia="bg-BG"/>
        </w:rPr>
        <w:t xml:space="preserve"> протеин в гастроинтестиналната течност и на повърхността на </w:t>
      </w:r>
      <w:proofErr w:type="spellStart"/>
      <w:r w:rsidRPr="001320ED">
        <w:rPr>
          <w:lang w:eastAsia="bg-BG"/>
        </w:rPr>
        <w:t>епитела</w:t>
      </w:r>
      <w:proofErr w:type="spellEnd"/>
      <w:r w:rsidRPr="001320ED">
        <w:rPr>
          <w:lang w:eastAsia="bg-BG"/>
        </w:rPr>
        <w:t xml:space="preserve"> може да захваща желязо (III). Абсорбираното желязо се складира предимно в черния дроб, където се свързва с </w:t>
      </w:r>
      <w:proofErr w:type="spellStart"/>
      <w:r w:rsidRPr="001320ED">
        <w:rPr>
          <w:lang w:eastAsia="bg-BG"/>
        </w:rPr>
        <w:t>феригин</w:t>
      </w:r>
      <w:proofErr w:type="spellEnd"/>
      <w:r w:rsidRPr="001320ED">
        <w:rPr>
          <w:lang w:eastAsia="bg-BG"/>
        </w:rPr>
        <w:t>. По-късно в костния мозък то се включва в състава на хемоглобина.</w:t>
      </w:r>
    </w:p>
    <w:p w14:paraId="1433EF88" w14:textId="43F444FC" w:rsidR="001320ED" w:rsidRDefault="001320ED" w:rsidP="001320ED"/>
    <w:p w14:paraId="0D07433A" w14:textId="5DC46557" w:rsidR="001320ED" w:rsidRDefault="001320ED" w:rsidP="001320ED">
      <w:r>
        <w:t>Желязо (</w:t>
      </w:r>
      <w:r>
        <w:rPr>
          <w:lang w:val="en-US"/>
        </w:rPr>
        <w:t>III</w:t>
      </w:r>
      <w:r>
        <w:t>)-</w:t>
      </w:r>
      <w:proofErr w:type="spellStart"/>
      <w:r>
        <w:t>хидроксиполималтозният</w:t>
      </w:r>
      <w:proofErr w:type="spellEnd"/>
      <w:r>
        <w:t xml:space="preserve"> комплекс няма </w:t>
      </w:r>
      <w:proofErr w:type="spellStart"/>
      <w:r>
        <w:t>прооксидативни</w:t>
      </w:r>
      <w:proofErr w:type="spellEnd"/>
      <w:r>
        <w:t xml:space="preserve"> свойства като солите на двувалентното желязо. Податливостта на </w:t>
      </w:r>
      <w:proofErr w:type="spellStart"/>
      <w:r>
        <w:t>липопротеините</w:t>
      </w:r>
      <w:proofErr w:type="spellEnd"/>
      <w:r>
        <w:t xml:space="preserve"> като </w:t>
      </w:r>
      <w:r>
        <w:rPr>
          <w:lang w:val="en-US"/>
        </w:rPr>
        <w:t xml:space="preserve">VLDL </w:t>
      </w:r>
      <w:r>
        <w:t xml:space="preserve">+ </w:t>
      </w:r>
      <w:r>
        <w:rPr>
          <w:lang w:val="en-US"/>
        </w:rPr>
        <w:t xml:space="preserve">LDL </w:t>
      </w:r>
      <w:r>
        <w:t>на оксидиране е намалена.</w:t>
      </w:r>
    </w:p>
    <w:p w14:paraId="52709A10" w14:textId="77777777" w:rsidR="001320ED" w:rsidRPr="001320ED" w:rsidRDefault="001320ED" w:rsidP="001320ED"/>
    <w:p w14:paraId="63D1DD4E" w14:textId="44D34163" w:rsidR="007C605B" w:rsidRDefault="002C50EE" w:rsidP="009F1313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7804A2E" w14:textId="0FAAB10A" w:rsidR="001320ED" w:rsidRDefault="001320ED" w:rsidP="001320ED"/>
    <w:p w14:paraId="10170855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Проучвания, при които е използвана двойноизотопна техника </w:t>
      </w:r>
      <w:r w:rsidRPr="001320ED">
        <w:rPr>
          <w:lang w:val="en-US"/>
        </w:rPr>
        <w:t>(</w:t>
      </w:r>
      <w:r w:rsidRPr="001320ED">
        <w:rPr>
          <w:vertAlign w:val="superscript"/>
          <w:lang w:val="en-US"/>
        </w:rPr>
        <w:t>55</w:t>
      </w:r>
      <w:r w:rsidRPr="001320ED">
        <w:rPr>
          <w:lang w:val="en-US"/>
        </w:rPr>
        <w:t xml:space="preserve">Fe </w:t>
      </w:r>
      <w:r w:rsidRPr="001320ED">
        <w:rPr>
          <w:lang w:eastAsia="bg-BG"/>
        </w:rPr>
        <w:t xml:space="preserve">и </w:t>
      </w:r>
      <w:r w:rsidRPr="001320ED">
        <w:rPr>
          <w:vertAlign w:val="superscript"/>
          <w:lang w:val="en-US"/>
        </w:rPr>
        <w:t>59</w:t>
      </w:r>
      <w:r w:rsidRPr="001320ED">
        <w:rPr>
          <w:lang w:val="en-US"/>
        </w:rPr>
        <w:t xml:space="preserve">Fe), </w:t>
      </w:r>
      <w:r w:rsidRPr="001320ED">
        <w:rPr>
          <w:lang w:eastAsia="bg-BG"/>
        </w:rPr>
        <w:t xml:space="preserve">показват, че абсорбцията на желязото, измерена като хемоглобин в еритроцитите, е обратно </w:t>
      </w:r>
      <w:proofErr w:type="spellStart"/>
      <w:r w:rsidRPr="001320ED">
        <w:rPr>
          <w:lang w:eastAsia="bg-BG"/>
        </w:rPr>
        <w:t>порпорционална</w:t>
      </w:r>
      <w:proofErr w:type="spellEnd"/>
      <w:r w:rsidRPr="001320ED">
        <w:rPr>
          <w:lang w:eastAsia="bg-BG"/>
        </w:rPr>
        <w:t xml:space="preserve"> на получената доза (колкото по-висока е дозата, толкова по-ниска е абсорбцията). Съществува статистически отрицателна връзка между степента на железния дефицит и количеството на абсорбираното желязо (колкото по-голям е железният дефицит, толкова по-добра е абсорбцията). Най-голяма е абсорбцията на желязо в дванадесетопръстника и </w:t>
      </w:r>
      <w:proofErr w:type="spellStart"/>
      <w:r w:rsidRPr="001320ED">
        <w:rPr>
          <w:lang w:eastAsia="bg-BG"/>
        </w:rPr>
        <w:t>йеюнума</w:t>
      </w:r>
      <w:proofErr w:type="spellEnd"/>
      <w:r w:rsidRPr="001320ED">
        <w:rPr>
          <w:lang w:eastAsia="bg-BG"/>
        </w:rPr>
        <w:t xml:space="preserve">. Неабсорбираното желязо се </w:t>
      </w:r>
      <w:proofErr w:type="spellStart"/>
      <w:r w:rsidRPr="001320ED">
        <w:rPr>
          <w:lang w:eastAsia="bg-BG"/>
        </w:rPr>
        <w:t>екскретира</w:t>
      </w:r>
      <w:proofErr w:type="spellEnd"/>
      <w:r w:rsidRPr="001320ED">
        <w:rPr>
          <w:lang w:eastAsia="bg-BG"/>
        </w:rPr>
        <w:t xml:space="preserve"> чрез изпражненията. Екскрецията чрез </w:t>
      </w:r>
      <w:proofErr w:type="spellStart"/>
      <w:r w:rsidRPr="001320ED">
        <w:rPr>
          <w:lang w:eastAsia="bg-BG"/>
        </w:rPr>
        <w:t>ексфолиация</w:t>
      </w:r>
      <w:proofErr w:type="spellEnd"/>
      <w:r w:rsidRPr="001320ED">
        <w:rPr>
          <w:lang w:eastAsia="bg-BG"/>
        </w:rPr>
        <w:t xml:space="preserve"> на епителните клетки от гастроинтестиналния тракт и кожата, а също и чрез потта, жлъчката и урината, възлиза само на прибл. 1 </w:t>
      </w:r>
      <w:r w:rsidRPr="001320ED">
        <w:rPr>
          <w:lang w:val="en-US"/>
        </w:rPr>
        <w:t xml:space="preserve">mg </w:t>
      </w:r>
      <w:r w:rsidRPr="001320ED">
        <w:rPr>
          <w:lang w:eastAsia="bg-BG"/>
        </w:rPr>
        <w:t>желязо дневно. За жени загубата на желязо поради менструация също трябва да се вземе под внимание.</w:t>
      </w:r>
    </w:p>
    <w:p w14:paraId="7648CC90" w14:textId="77777777" w:rsidR="001320ED" w:rsidRDefault="001320ED" w:rsidP="001320ED">
      <w:pPr>
        <w:rPr>
          <w:lang w:eastAsia="bg-BG"/>
        </w:rPr>
      </w:pPr>
    </w:p>
    <w:p w14:paraId="5EA7580E" w14:textId="2D3F73C3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lastRenderedPageBreak/>
        <w:t xml:space="preserve">Фолиевата киселина се абсорбира предимно в тънкото черво, най-вече в дванадесетопръстника и </w:t>
      </w:r>
      <w:proofErr w:type="spellStart"/>
      <w:r w:rsidRPr="001320ED">
        <w:rPr>
          <w:lang w:eastAsia="bg-BG"/>
        </w:rPr>
        <w:t>йеюнума</w:t>
      </w:r>
      <w:proofErr w:type="spellEnd"/>
      <w:r w:rsidRPr="001320ED">
        <w:rPr>
          <w:lang w:eastAsia="bg-BG"/>
        </w:rPr>
        <w:t xml:space="preserve">. В рамките на 30-60 минути най-високи концентрации се постигат в кръвта. При доза 0,35 </w:t>
      </w:r>
      <w:r w:rsidRPr="001320ED">
        <w:rPr>
          <w:lang w:val="en-US"/>
        </w:rPr>
        <w:t xml:space="preserve">mg </w:t>
      </w:r>
      <w:r w:rsidRPr="001320ED">
        <w:rPr>
          <w:lang w:eastAsia="bg-BG"/>
        </w:rPr>
        <w:t xml:space="preserve">може да се очаква прибл. 80% абсорбция. Фолиевата киселина се </w:t>
      </w:r>
      <w:proofErr w:type="spellStart"/>
      <w:r w:rsidRPr="001320ED">
        <w:rPr>
          <w:lang w:eastAsia="bg-BG"/>
        </w:rPr>
        <w:t>метаболизира</w:t>
      </w:r>
      <w:proofErr w:type="spellEnd"/>
      <w:r w:rsidRPr="001320ED">
        <w:rPr>
          <w:lang w:eastAsia="bg-BG"/>
        </w:rPr>
        <w:t xml:space="preserve"> в клетките на червата и черния дроб, както и на други места.</w:t>
      </w:r>
    </w:p>
    <w:p w14:paraId="54E9ED3F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Тези </w:t>
      </w:r>
      <w:proofErr w:type="spellStart"/>
      <w:r w:rsidRPr="001320ED">
        <w:rPr>
          <w:lang w:eastAsia="bg-BG"/>
        </w:rPr>
        <w:t>фолати</w:t>
      </w:r>
      <w:proofErr w:type="spellEnd"/>
      <w:r w:rsidRPr="001320ED">
        <w:rPr>
          <w:lang w:eastAsia="bg-BG"/>
        </w:rPr>
        <w:t>, свързани с транспортни протеини, след това се разпределят във всички органи. Елиминирането става предимно чрез бъбреците, а също и чрез храносмилателния тракт.</w:t>
      </w:r>
    </w:p>
    <w:p w14:paraId="22567685" w14:textId="77777777" w:rsidR="001320ED" w:rsidRPr="001320ED" w:rsidRDefault="001320ED" w:rsidP="001320ED"/>
    <w:p w14:paraId="1A21E006" w14:textId="61DCB083" w:rsidR="009F1313" w:rsidRDefault="002C50EE" w:rsidP="009F1313">
      <w:pPr>
        <w:pStyle w:val="2"/>
      </w:pPr>
      <w:r>
        <w:t>5.3. Предклинични данни за безопасност</w:t>
      </w:r>
    </w:p>
    <w:p w14:paraId="6A6C89B3" w14:textId="60EB7862" w:rsidR="001320ED" w:rsidRDefault="001320ED" w:rsidP="001320ED"/>
    <w:p w14:paraId="12A1350E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 xml:space="preserve">Не може да се определи </w:t>
      </w:r>
      <w:r w:rsidRPr="001320ED">
        <w:rPr>
          <w:lang w:val="en-US"/>
        </w:rPr>
        <w:t>LD</w:t>
      </w:r>
      <w:r w:rsidRPr="001320ED">
        <w:rPr>
          <w:vertAlign w:val="subscript"/>
          <w:lang w:val="en-US"/>
        </w:rPr>
        <w:t>50</w:t>
      </w:r>
      <w:r w:rsidRPr="001320ED">
        <w:rPr>
          <w:lang w:val="en-US"/>
        </w:rPr>
        <w:t xml:space="preserve"> </w:t>
      </w:r>
      <w:r w:rsidRPr="001320ED">
        <w:rPr>
          <w:lang w:eastAsia="bg-BG"/>
        </w:rPr>
        <w:t xml:space="preserve">за </w:t>
      </w:r>
      <w:proofErr w:type="spellStart"/>
      <w:r w:rsidRPr="001320ED">
        <w:rPr>
          <w:lang w:eastAsia="bg-BG"/>
        </w:rPr>
        <w:t>Малтофер</w:t>
      </w:r>
      <w:proofErr w:type="spellEnd"/>
      <w:r w:rsidRPr="001320ED">
        <w:rPr>
          <w:lang w:eastAsia="bg-BG"/>
        </w:rPr>
        <w:t xml:space="preserve"> Фол в проучвания при животни с бели мишки и плъхове до перорално приложена доза от 2000 </w:t>
      </w:r>
      <w:r w:rsidRPr="001320ED">
        <w:rPr>
          <w:lang w:val="en-US"/>
        </w:rPr>
        <w:t xml:space="preserve">mg </w:t>
      </w:r>
      <w:r w:rsidRPr="001320ED">
        <w:rPr>
          <w:lang w:eastAsia="bg-BG"/>
        </w:rPr>
        <w:t>желязо за килограм телесно тегло.</w:t>
      </w:r>
    </w:p>
    <w:p w14:paraId="44763812" w14:textId="77777777" w:rsidR="001320ED" w:rsidRPr="001320ED" w:rsidRDefault="001320ED" w:rsidP="001320ED"/>
    <w:p w14:paraId="7E1E1511" w14:textId="4D7D0E16" w:rsidR="009F1313" w:rsidRDefault="002C50EE" w:rsidP="001320ED">
      <w:pPr>
        <w:pStyle w:val="1"/>
      </w:pPr>
      <w:r>
        <w:t>7. ПРИТЕЖАТЕЛ НА РАЗРЕШЕНИЕТО ЗА УПОТРЕБА</w:t>
      </w:r>
    </w:p>
    <w:p w14:paraId="51923E14" w14:textId="7264682B" w:rsidR="001320ED" w:rsidRDefault="001320ED" w:rsidP="001320ED"/>
    <w:p w14:paraId="12FB7053" w14:textId="77777777" w:rsidR="001320ED" w:rsidRPr="001320ED" w:rsidRDefault="001320ED" w:rsidP="001320ED">
      <w:pPr>
        <w:rPr>
          <w:sz w:val="24"/>
          <w:szCs w:val="24"/>
          <w:lang w:val="en-US"/>
        </w:rPr>
      </w:pPr>
      <w:proofErr w:type="spellStart"/>
      <w:r w:rsidRPr="001320ED">
        <w:rPr>
          <w:lang w:val="en-US"/>
        </w:rPr>
        <w:t>Vifor</w:t>
      </w:r>
      <w:proofErr w:type="spellEnd"/>
      <w:r w:rsidRPr="001320ED">
        <w:rPr>
          <w:lang w:val="en-US"/>
        </w:rPr>
        <w:t xml:space="preserve"> France</w:t>
      </w:r>
    </w:p>
    <w:p w14:paraId="5310E922" w14:textId="77777777" w:rsidR="001320ED" w:rsidRPr="001320ED" w:rsidRDefault="001320ED" w:rsidP="001320ED">
      <w:pPr>
        <w:rPr>
          <w:sz w:val="24"/>
          <w:szCs w:val="24"/>
          <w:lang w:val="en-US"/>
        </w:rPr>
      </w:pPr>
      <w:r w:rsidRPr="001320ED">
        <w:rPr>
          <w:lang w:eastAsia="bg-BG"/>
        </w:rPr>
        <w:t xml:space="preserve">100-101 </w:t>
      </w:r>
      <w:r w:rsidRPr="001320ED">
        <w:rPr>
          <w:lang w:val="en-US"/>
        </w:rPr>
        <w:t xml:space="preserve">Terrasse </w:t>
      </w:r>
      <w:proofErr w:type="spellStart"/>
      <w:r w:rsidRPr="001320ED">
        <w:rPr>
          <w:lang w:val="en-US"/>
        </w:rPr>
        <w:t>Boieldieu</w:t>
      </w:r>
      <w:proofErr w:type="spellEnd"/>
    </w:p>
    <w:p w14:paraId="4ACC940B" w14:textId="77777777" w:rsidR="001320ED" w:rsidRPr="001320ED" w:rsidRDefault="001320ED" w:rsidP="001320ED">
      <w:pPr>
        <w:rPr>
          <w:sz w:val="24"/>
          <w:szCs w:val="24"/>
          <w:lang w:val="en-US"/>
        </w:rPr>
      </w:pPr>
      <w:r w:rsidRPr="001320ED">
        <w:rPr>
          <w:lang w:val="en-US"/>
        </w:rPr>
        <w:t>Tour Franklin La Defense 8</w:t>
      </w:r>
    </w:p>
    <w:p w14:paraId="255849E8" w14:textId="77777777" w:rsidR="001320ED" w:rsidRPr="001320ED" w:rsidRDefault="001320ED" w:rsidP="001320ED">
      <w:pPr>
        <w:rPr>
          <w:sz w:val="24"/>
          <w:szCs w:val="24"/>
          <w:lang w:val="en-US"/>
        </w:rPr>
      </w:pPr>
      <w:r w:rsidRPr="001320ED">
        <w:rPr>
          <w:lang w:val="en-US"/>
        </w:rPr>
        <w:t>92042 Paris La Defense Cedex</w:t>
      </w:r>
    </w:p>
    <w:p w14:paraId="47180FF0" w14:textId="77777777" w:rsidR="001320ED" w:rsidRPr="001320ED" w:rsidRDefault="001320ED" w:rsidP="001320ED">
      <w:pPr>
        <w:rPr>
          <w:sz w:val="24"/>
          <w:szCs w:val="24"/>
          <w:lang w:val="en-US"/>
        </w:rPr>
      </w:pPr>
      <w:r w:rsidRPr="001320ED">
        <w:rPr>
          <w:lang w:eastAsia="bg-BG"/>
        </w:rPr>
        <w:t>Франция</w:t>
      </w:r>
    </w:p>
    <w:p w14:paraId="01284F0C" w14:textId="77777777" w:rsidR="001320ED" w:rsidRPr="001320ED" w:rsidRDefault="001320ED" w:rsidP="001320ED">
      <w:pPr>
        <w:rPr>
          <w:sz w:val="24"/>
          <w:szCs w:val="24"/>
          <w:lang w:val="en-US"/>
        </w:rPr>
      </w:pPr>
      <w:r w:rsidRPr="001320ED">
        <w:rPr>
          <w:lang w:eastAsia="bg-BG"/>
        </w:rPr>
        <w:t xml:space="preserve">Тел.:+ </w:t>
      </w:r>
      <w:r w:rsidRPr="001320ED">
        <w:rPr>
          <w:lang w:val="en-US"/>
        </w:rPr>
        <w:t>33 (0) 141 06 58 90</w:t>
      </w:r>
    </w:p>
    <w:p w14:paraId="026D1F35" w14:textId="77777777" w:rsidR="001320ED" w:rsidRPr="001320ED" w:rsidRDefault="001320ED" w:rsidP="001320ED">
      <w:pPr>
        <w:rPr>
          <w:sz w:val="24"/>
          <w:szCs w:val="24"/>
          <w:lang w:val="en-US"/>
        </w:rPr>
      </w:pPr>
      <w:r w:rsidRPr="001320ED">
        <w:rPr>
          <w:lang w:eastAsia="bg-BG"/>
        </w:rPr>
        <w:t xml:space="preserve">Факс:+ </w:t>
      </w:r>
      <w:r w:rsidRPr="001320ED">
        <w:rPr>
          <w:lang w:val="en-US"/>
        </w:rPr>
        <w:t>33 (0) 141 06 58 99</w:t>
      </w:r>
    </w:p>
    <w:p w14:paraId="10FD30D6" w14:textId="77777777" w:rsidR="001320ED" w:rsidRPr="001320ED" w:rsidRDefault="001320ED" w:rsidP="001320ED"/>
    <w:p w14:paraId="04840D59" w14:textId="2F52EF4D" w:rsidR="002C50EE" w:rsidRDefault="002C50EE" w:rsidP="001320ED">
      <w:pPr>
        <w:pStyle w:val="1"/>
      </w:pPr>
      <w:r>
        <w:t>8. НОМЕР НА РАЗРЕШЕНИЕТО ЗА УПОТРЕБА</w:t>
      </w:r>
    </w:p>
    <w:p w14:paraId="1BB3210C" w14:textId="420779CD" w:rsidR="001320ED" w:rsidRDefault="001320ED" w:rsidP="001320ED"/>
    <w:p w14:paraId="33D884A7" w14:textId="336539BB" w:rsidR="001320ED" w:rsidRPr="001320ED" w:rsidRDefault="001320ED" w:rsidP="001320ED">
      <w:r>
        <w:t>20020376</w:t>
      </w:r>
    </w:p>
    <w:p w14:paraId="2CCB5832" w14:textId="4D647F91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237EC634" w14:textId="51867B47" w:rsidR="001320ED" w:rsidRDefault="001320ED" w:rsidP="001320ED"/>
    <w:p w14:paraId="0D8BB656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Дата на първо разрешаване: 16 май 2002 г.</w:t>
      </w:r>
    </w:p>
    <w:p w14:paraId="43DEC99F" w14:textId="77777777" w:rsidR="001320ED" w:rsidRPr="001320ED" w:rsidRDefault="001320ED" w:rsidP="001320ED">
      <w:pPr>
        <w:rPr>
          <w:sz w:val="24"/>
          <w:szCs w:val="24"/>
        </w:rPr>
      </w:pPr>
      <w:r w:rsidRPr="001320ED">
        <w:rPr>
          <w:lang w:eastAsia="bg-BG"/>
        </w:rPr>
        <w:t>Дата на последно подновяване: 20 август 2007 г.</w:t>
      </w:r>
    </w:p>
    <w:p w14:paraId="2F342A16" w14:textId="77777777" w:rsidR="001320ED" w:rsidRPr="001320ED" w:rsidRDefault="001320ED" w:rsidP="001320ED"/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3FB38A2" w14:textId="2317A57B" w:rsidR="007C605B" w:rsidRPr="003E3126" w:rsidRDefault="001320ED" w:rsidP="001320ED">
      <w:r>
        <w:t>юни 2016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1067983"/>
    <w:multiLevelType w:val="hybridMultilevel"/>
    <w:tmpl w:val="2BC4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7FAA6FD6"/>
    <w:multiLevelType w:val="hybridMultilevel"/>
    <w:tmpl w:val="4DA4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28"/>
  </w:num>
  <w:num w:numId="12">
    <w:abstractNumId w:val="13"/>
  </w:num>
  <w:num w:numId="13">
    <w:abstractNumId w:val="18"/>
  </w:num>
  <w:num w:numId="14">
    <w:abstractNumId w:val="11"/>
  </w:num>
  <w:num w:numId="15">
    <w:abstractNumId w:val="27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29"/>
  </w:num>
  <w:num w:numId="28">
    <w:abstractNumId w:val="6"/>
  </w:num>
  <w:num w:numId="29">
    <w:abstractNumId w:val="19"/>
  </w:num>
  <w:num w:numId="30">
    <w:abstractNumId w:val="30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320ED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320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20ED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1320ED"/>
    <w:rPr>
      <w:rFonts w:ascii="Arial" w:hAnsi="Arial"/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20ED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1320ED"/>
    <w:rPr>
      <w:rFonts w:ascii="Arial" w:hAnsi="Arial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2021-11-02T11:49:00Z</dcterms:created>
  <dcterms:modified xsi:type="dcterms:W3CDTF">2021-11-02T11:49:00Z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