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7B7F9CBA" w:rsidR="0091385D" w:rsidRDefault="0091385D" w:rsidP="0091385D"/>
    <w:p w14:paraId="5B8FDCE1" w14:textId="77777777"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t xml:space="preserve">Меаксин 100 </w:t>
      </w:r>
      <w:r w:rsidRPr="00475FDF">
        <w:rPr>
          <w:rFonts w:eastAsia="Times New Roman" w:cs="Arial"/>
          <w:color w:val="000000"/>
          <w:lang w:val="en-US"/>
        </w:rPr>
        <w:t xml:space="preserve">mg </w:t>
      </w:r>
      <w:r w:rsidRPr="00475FDF">
        <w:rPr>
          <w:rFonts w:eastAsia="Times New Roman" w:cs="Arial"/>
          <w:color w:val="000000"/>
          <w:lang w:eastAsia="bg-BG"/>
        </w:rPr>
        <w:t>филмирани таблетки</w:t>
      </w:r>
    </w:p>
    <w:p w14:paraId="69AC8148" w14:textId="25B37D3F" w:rsidR="00EC41ED" w:rsidRPr="00475FDF" w:rsidRDefault="00475FDF" w:rsidP="00475FDF">
      <w:pPr>
        <w:rPr>
          <w:rFonts w:eastAsia="Times New Roman" w:cs="Arial"/>
          <w:color w:val="000000"/>
          <w:lang w:eastAsia="bg-BG"/>
        </w:rPr>
      </w:pPr>
      <w:r w:rsidRPr="00475FDF">
        <w:rPr>
          <w:rFonts w:eastAsia="Times New Roman" w:cs="Arial"/>
          <w:color w:val="000000"/>
          <w:lang w:eastAsia="bg-BG"/>
        </w:rPr>
        <w:t xml:space="preserve">Меаксин 400 </w:t>
      </w:r>
      <w:r w:rsidRPr="00475FDF">
        <w:rPr>
          <w:rFonts w:eastAsia="Times New Roman" w:cs="Arial"/>
          <w:color w:val="000000"/>
          <w:lang w:val="en-US"/>
        </w:rPr>
        <w:t xml:space="preserve">mg </w:t>
      </w:r>
      <w:r w:rsidRPr="00475FDF">
        <w:rPr>
          <w:rFonts w:eastAsia="Times New Roman" w:cs="Arial"/>
          <w:color w:val="000000"/>
          <w:lang w:eastAsia="bg-BG"/>
        </w:rPr>
        <w:t>филмирани таблетки</w:t>
      </w:r>
    </w:p>
    <w:p w14:paraId="71D8918E" w14:textId="1C54F338" w:rsidR="00475FDF" w:rsidRPr="00475FDF" w:rsidRDefault="00475FDF" w:rsidP="00475FDF">
      <w:pPr>
        <w:rPr>
          <w:rFonts w:eastAsia="Times New Roman" w:cs="Arial"/>
          <w:color w:val="000000"/>
          <w:lang w:eastAsia="bg-BG"/>
        </w:rPr>
      </w:pPr>
    </w:p>
    <w:p w14:paraId="10F6DE4D" w14:textId="77777777" w:rsidR="00475FDF" w:rsidRPr="00475FDF" w:rsidRDefault="00475FDF" w:rsidP="00475FDF">
      <w:pPr>
        <w:spacing w:line="240" w:lineRule="auto"/>
        <w:rPr>
          <w:rFonts w:eastAsia="Times New Roman" w:cs="Arial"/>
          <w:sz w:val="24"/>
          <w:szCs w:val="24"/>
          <w:lang w:val="en-US" w:eastAsia="bg-BG"/>
        </w:rPr>
      </w:pPr>
      <w:r w:rsidRPr="00475FDF">
        <w:rPr>
          <w:rFonts w:eastAsia="Times New Roman" w:cs="Arial"/>
          <w:color w:val="000000"/>
          <w:lang w:val="en-US"/>
        </w:rPr>
        <w:t>Meaxin 100 mg film-coated tablets</w:t>
      </w:r>
    </w:p>
    <w:p w14:paraId="02035DED" w14:textId="69BAF0EF" w:rsidR="00475FDF" w:rsidRPr="00475FDF" w:rsidRDefault="00475FDF" w:rsidP="00475FDF">
      <w:pPr>
        <w:rPr>
          <w:rFonts w:cs="Arial"/>
        </w:rPr>
      </w:pPr>
      <w:r w:rsidRPr="00475FDF">
        <w:rPr>
          <w:rFonts w:eastAsia="Times New Roman" w:cs="Arial"/>
          <w:color w:val="000000"/>
          <w:lang w:val="en-US"/>
        </w:rPr>
        <w:t>Meaxin 400 mg film-coated tablets</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478BAC70" w:rsidR="0091385D" w:rsidRDefault="0091385D" w:rsidP="0091385D"/>
    <w:p w14:paraId="1F3AE397" w14:textId="77777777"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t xml:space="preserve">Меаксин 100 </w:t>
      </w:r>
      <w:r w:rsidRPr="00475FDF">
        <w:rPr>
          <w:rFonts w:eastAsia="Times New Roman" w:cs="Arial"/>
          <w:color w:val="000000"/>
          <w:lang w:val="en-US"/>
        </w:rPr>
        <w:t xml:space="preserve">mg </w:t>
      </w:r>
      <w:r w:rsidRPr="00475FDF">
        <w:rPr>
          <w:rFonts w:eastAsia="Times New Roman" w:cs="Arial"/>
          <w:color w:val="000000"/>
          <w:lang w:eastAsia="bg-BG"/>
        </w:rPr>
        <w:t>филмирани таблетки</w:t>
      </w:r>
    </w:p>
    <w:p w14:paraId="3139E93B" w14:textId="77777777"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t xml:space="preserve">Всяка филмирана таблетка съдържа 100 </w:t>
      </w:r>
      <w:r w:rsidRPr="00475FDF">
        <w:rPr>
          <w:rFonts w:eastAsia="Times New Roman" w:cs="Arial"/>
          <w:color w:val="000000"/>
          <w:lang w:val="en-US"/>
        </w:rPr>
        <w:t xml:space="preserve">mg </w:t>
      </w:r>
      <w:r w:rsidRPr="00475FDF">
        <w:rPr>
          <w:rFonts w:eastAsia="Times New Roman" w:cs="Arial"/>
          <w:color w:val="000000"/>
          <w:lang w:eastAsia="bg-BG"/>
        </w:rPr>
        <w:t xml:space="preserve">иматиниб </w:t>
      </w:r>
      <w:r w:rsidRPr="00475FDF">
        <w:rPr>
          <w:rFonts w:eastAsia="Times New Roman" w:cs="Arial"/>
          <w:i/>
          <w:iCs/>
          <w:color w:val="000000"/>
          <w:lang w:val="en-US"/>
        </w:rPr>
        <w:t>(imatinib)</w:t>
      </w:r>
      <w:r w:rsidRPr="00475FDF">
        <w:rPr>
          <w:rFonts w:eastAsia="Times New Roman" w:cs="Arial"/>
          <w:color w:val="000000"/>
          <w:lang w:val="en-US"/>
        </w:rPr>
        <w:t xml:space="preserve"> </w:t>
      </w:r>
      <w:r w:rsidRPr="00475FDF">
        <w:rPr>
          <w:rFonts w:eastAsia="Times New Roman" w:cs="Arial"/>
          <w:color w:val="000000"/>
          <w:lang w:eastAsia="bg-BG"/>
        </w:rPr>
        <w:t xml:space="preserve">като иматиниб мезилат </w:t>
      </w:r>
      <w:r w:rsidRPr="00475FDF">
        <w:rPr>
          <w:rFonts w:eastAsia="Times New Roman" w:cs="Arial"/>
          <w:i/>
          <w:iCs/>
          <w:color w:val="000000"/>
          <w:lang w:val="en-US"/>
        </w:rPr>
        <w:t>(imatinib mesilate).</w:t>
      </w:r>
    </w:p>
    <w:p w14:paraId="1A115356" w14:textId="77777777" w:rsidR="00475FDF" w:rsidRPr="00475FDF" w:rsidRDefault="00475FDF" w:rsidP="00475FDF">
      <w:pPr>
        <w:spacing w:line="240" w:lineRule="auto"/>
        <w:rPr>
          <w:rFonts w:eastAsia="Times New Roman" w:cs="Arial"/>
          <w:color w:val="000000"/>
          <w:u w:val="single"/>
          <w:lang w:eastAsia="bg-BG"/>
        </w:rPr>
      </w:pPr>
    </w:p>
    <w:p w14:paraId="15B539F4" w14:textId="0990FB9C"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u w:val="single"/>
          <w:lang w:eastAsia="bg-BG"/>
        </w:rPr>
        <w:t>Помощно вещество с известно действие</w:t>
      </w:r>
      <w:r w:rsidRPr="00475FDF">
        <w:rPr>
          <w:rFonts w:eastAsia="Times New Roman" w:cs="Arial"/>
          <w:color w:val="000000"/>
          <w:lang w:eastAsia="bg-BG"/>
        </w:rPr>
        <w:t>:</w:t>
      </w:r>
    </w:p>
    <w:p w14:paraId="647CFDFC" w14:textId="77777777"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t xml:space="preserve">Всяка филмирана таблетка съдържа 114 </w:t>
      </w:r>
      <w:r w:rsidRPr="00475FDF">
        <w:rPr>
          <w:rFonts w:eastAsia="Times New Roman" w:cs="Arial"/>
          <w:color w:val="000000"/>
          <w:lang w:val="en-US"/>
        </w:rPr>
        <w:t xml:space="preserve">mg </w:t>
      </w:r>
      <w:r w:rsidRPr="00475FDF">
        <w:rPr>
          <w:rFonts w:eastAsia="Times New Roman" w:cs="Arial"/>
          <w:color w:val="000000"/>
          <w:lang w:eastAsia="bg-BG"/>
        </w:rPr>
        <w:t>лактоза.</w:t>
      </w:r>
    </w:p>
    <w:p w14:paraId="6EB8AC17" w14:textId="77777777" w:rsidR="00475FDF" w:rsidRPr="00475FDF" w:rsidRDefault="00475FDF" w:rsidP="00475FDF">
      <w:pPr>
        <w:spacing w:line="240" w:lineRule="auto"/>
        <w:rPr>
          <w:rFonts w:eastAsia="Times New Roman" w:cs="Arial"/>
          <w:color w:val="000000"/>
          <w:lang w:eastAsia="bg-BG"/>
        </w:rPr>
      </w:pPr>
    </w:p>
    <w:p w14:paraId="2A289D2A" w14:textId="79E6226C"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t xml:space="preserve">Меаксин 400 </w:t>
      </w:r>
      <w:r w:rsidRPr="00475FDF">
        <w:rPr>
          <w:rFonts w:eastAsia="Times New Roman" w:cs="Arial"/>
          <w:color w:val="000000"/>
          <w:lang w:val="en-US"/>
        </w:rPr>
        <w:t xml:space="preserve">mg </w:t>
      </w:r>
      <w:r w:rsidRPr="00475FDF">
        <w:rPr>
          <w:rFonts w:eastAsia="Times New Roman" w:cs="Arial"/>
          <w:color w:val="000000"/>
          <w:lang w:eastAsia="bg-BG"/>
        </w:rPr>
        <w:t>филмирани таблетки</w:t>
      </w:r>
    </w:p>
    <w:p w14:paraId="73222E52" w14:textId="77777777"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t xml:space="preserve">Всяка филмирана таблетка съдържа 400 </w:t>
      </w:r>
      <w:r w:rsidRPr="00475FDF">
        <w:rPr>
          <w:rFonts w:eastAsia="Times New Roman" w:cs="Arial"/>
          <w:color w:val="000000"/>
          <w:lang w:val="en-US"/>
        </w:rPr>
        <w:t xml:space="preserve">mg </w:t>
      </w:r>
      <w:r w:rsidRPr="00475FDF">
        <w:rPr>
          <w:rFonts w:eastAsia="Times New Roman" w:cs="Arial"/>
          <w:color w:val="000000"/>
          <w:lang w:eastAsia="bg-BG"/>
        </w:rPr>
        <w:t xml:space="preserve">иматиниб </w:t>
      </w:r>
      <w:r w:rsidRPr="00475FDF">
        <w:rPr>
          <w:rFonts w:eastAsia="Times New Roman" w:cs="Arial"/>
          <w:i/>
          <w:iCs/>
          <w:color w:val="000000"/>
          <w:lang w:val="en-US"/>
        </w:rPr>
        <w:t>(imatinib)</w:t>
      </w:r>
      <w:r w:rsidRPr="00475FDF">
        <w:rPr>
          <w:rFonts w:eastAsia="Times New Roman" w:cs="Arial"/>
          <w:color w:val="000000"/>
          <w:lang w:val="en-US"/>
        </w:rPr>
        <w:t xml:space="preserve"> </w:t>
      </w:r>
      <w:r w:rsidRPr="00475FDF">
        <w:rPr>
          <w:rFonts w:eastAsia="Times New Roman" w:cs="Arial"/>
          <w:color w:val="000000"/>
          <w:lang w:eastAsia="bg-BG"/>
        </w:rPr>
        <w:t xml:space="preserve">като иматиниб мезилат </w:t>
      </w:r>
      <w:r w:rsidRPr="00475FDF">
        <w:rPr>
          <w:rFonts w:eastAsia="Times New Roman" w:cs="Arial"/>
          <w:i/>
          <w:iCs/>
          <w:color w:val="000000"/>
          <w:lang w:val="en-US"/>
        </w:rPr>
        <w:t>(imatinib mesilate).</w:t>
      </w:r>
    </w:p>
    <w:p w14:paraId="42519878" w14:textId="77777777" w:rsidR="00475FDF" w:rsidRPr="00475FDF" w:rsidRDefault="00475FDF" w:rsidP="00475FDF">
      <w:pPr>
        <w:spacing w:line="240" w:lineRule="auto"/>
        <w:rPr>
          <w:rFonts w:eastAsia="Times New Roman" w:cs="Arial"/>
          <w:color w:val="000000"/>
          <w:u w:val="single"/>
          <w:lang w:eastAsia="bg-BG"/>
        </w:rPr>
      </w:pPr>
    </w:p>
    <w:p w14:paraId="0157E65F" w14:textId="0CC37AFB"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u w:val="single"/>
          <w:lang w:eastAsia="bg-BG"/>
        </w:rPr>
        <w:t>Помощно вещество с известно действие</w:t>
      </w:r>
      <w:r w:rsidRPr="00475FDF">
        <w:rPr>
          <w:rFonts w:eastAsia="Times New Roman" w:cs="Arial"/>
          <w:color w:val="000000"/>
          <w:lang w:eastAsia="bg-BG"/>
        </w:rPr>
        <w:t>:</w:t>
      </w:r>
    </w:p>
    <w:p w14:paraId="242D7140" w14:textId="77777777"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t xml:space="preserve">Всяка филмирана таблетка съдържа 456 </w:t>
      </w:r>
      <w:r w:rsidRPr="00475FDF">
        <w:rPr>
          <w:rFonts w:eastAsia="Times New Roman" w:cs="Arial"/>
          <w:color w:val="000000"/>
          <w:lang w:val="en-US"/>
        </w:rPr>
        <w:t xml:space="preserve">mg </w:t>
      </w:r>
      <w:r w:rsidRPr="00475FDF">
        <w:rPr>
          <w:rFonts w:eastAsia="Times New Roman" w:cs="Arial"/>
          <w:color w:val="000000"/>
          <w:lang w:eastAsia="bg-BG"/>
        </w:rPr>
        <w:t>лактоза.</w:t>
      </w:r>
    </w:p>
    <w:p w14:paraId="1D962FD2" w14:textId="77777777" w:rsidR="00475FDF" w:rsidRPr="00475FDF" w:rsidRDefault="00475FDF" w:rsidP="00475FDF">
      <w:pPr>
        <w:rPr>
          <w:rFonts w:eastAsia="Times New Roman" w:cs="Arial"/>
          <w:color w:val="000000"/>
          <w:lang w:eastAsia="bg-BG"/>
        </w:rPr>
      </w:pPr>
    </w:p>
    <w:p w14:paraId="54632B43" w14:textId="18CD788B" w:rsidR="00EC41ED" w:rsidRPr="00475FDF" w:rsidRDefault="00475FDF" w:rsidP="00475FDF">
      <w:pPr>
        <w:rPr>
          <w:rFonts w:cs="Arial"/>
        </w:rPr>
      </w:pPr>
      <w:r w:rsidRPr="00475FDF">
        <w:rPr>
          <w:rFonts w:eastAsia="Times New Roman" w:cs="Arial"/>
          <w:color w:val="000000"/>
          <w:lang w:eastAsia="bg-BG"/>
        </w:rPr>
        <w:t>За пълния списък на помощните вещества, вижте точка 6.1.</w:t>
      </w:r>
    </w:p>
    <w:p w14:paraId="3C47C299" w14:textId="77777777" w:rsidR="00A73575" w:rsidRPr="0091385D" w:rsidRDefault="00A73575" w:rsidP="0091385D"/>
    <w:p w14:paraId="614984C4" w14:textId="3FC552C3" w:rsidR="008A6AF2" w:rsidRDefault="00DD466D" w:rsidP="002C50EE">
      <w:pPr>
        <w:pStyle w:val="Heading1"/>
      </w:pPr>
      <w:r>
        <w:t>3. ЛЕКАРСТВЕНА ФОРМА</w:t>
      </w:r>
    </w:p>
    <w:p w14:paraId="1004E96C" w14:textId="67F9C61D" w:rsidR="0091385D" w:rsidRDefault="0091385D" w:rsidP="0091385D"/>
    <w:p w14:paraId="34002D9F" w14:textId="77777777"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t>Филмирани таблетки (таблетки)</w:t>
      </w:r>
    </w:p>
    <w:p w14:paraId="219CE072" w14:textId="77777777" w:rsidR="00475FDF" w:rsidRPr="00475FDF" w:rsidRDefault="00475FDF" w:rsidP="00475FDF">
      <w:pPr>
        <w:spacing w:line="240" w:lineRule="auto"/>
        <w:rPr>
          <w:rFonts w:eastAsia="Times New Roman" w:cs="Arial"/>
          <w:color w:val="000000"/>
          <w:lang w:eastAsia="bg-BG"/>
        </w:rPr>
      </w:pPr>
    </w:p>
    <w:p w14:paraId="05E2EA6E" w14:textId="086EE6E7"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t xml:space="preserve">100 </w:t>
      </w:r>
      <w:r w:rsidRPr="00475FDF">
        <w:rPr>
          <w:rFonts w:eastAsia="Times New Roman" w:cs="Arial"/>
          <w:color w:val="000000"/>
          <w:lang w:val="en-US"/>
        </w:rPr>
        <w:t xml:space="preserve">mg: </w:t>
      </w:r>
      <w:r w:rsidRPr="00475FDF">
        <w:rPr>
          <w:rFonts w:eastAsia="Times New Roman" w:cs="Arial"/>
          <w:color w:val="000000"/>
          <w:lang w:eastAsia="bg-BG"/>
        </w:rPr>
        <w:t xml:space="preserve">Оранжево-кафяви, кръгли, (диаметър 11 </w:t>
      </w:r>
      <w:r w:rsidRPr="00475FDF">
        <w:rPr>
          <w:rFonts w:eastAsia="Times New Roman" w:cs="Arial"/>
          <w:color w:val="000000"/>
          <w:lang w:val="en-US"/>
        </w:rPr>
        <w:t xml:space="preserve">mm), </w:t>
      </w:r>
      <w:r w:rsidRPr="00475FDF">
        <w:rPr>
          <w:rFonts w:eastAsia="Times New Roman" w:cs="Arial"/>
          <w:color w:val="000000"/>
          <w:lang w:eastAsia="bg-BG"/>
        </w:rPr>
        <w:t>леко двойноизпъкнали филмирани таблетки със скосени ръбове и с делителна черта от едната страна. Таблетката може да бъде разделена на равни дози.</w:t>
      </w:r>
    </w:p>
    <w:p w14:paraId="743244F0" w14:textId="6D48443E" w:rsidR="00EC41ED" w:rsidRPr="00475FDF" w:rsidRDefault="00475FDF" w:rsidP="00475FDF">
      <w:pPr>
        <w:rPr>
          <w:rFonts w:cs="Arial"/>
        </w:rPr>
      </w:pPr>
      <w:r w:rsidRPr="00475FDF">
        <w:rPr>
          <w:rFonts w:eastAsia="Times New Roman" w:cs="Arial"/>
          <w:color w:val="000000"/>
          <w:lang w:eastAsia="bg-BG"/>
        </w:rPr>
        <w:t xml:space="preserve">400 </w:t>
      </w:r>
      <w:r w:rsidRPr="00475FDF">
        <w:rPr>
          <w:rFonts w:eastAsia="Times New Roman" w:cs="Arial"/>
          <w:color w:val="000000"/>
          <w:lang w:val="en-US"/>
        </w:rPr>
        <w:t xml:space="preserve">mg: </w:t>
      </w:r>
      <w:r w:rsidRPr="00475FDF">
        <w:rPr>
          <w:rFonts w:eastAsia="Times New Roman" w:cs="Arial"/>
          <w:color w:val="000000"/>
          <w:lang w:eastAsia="bg-BG"/>
        </w:rPr>
        <w:t xml:space="preserve">Оранжево-кафяви, овални (с размери 22 </w:t>
      </w:r>
      <w:r w:rsidRPr="00475FDF">
        <w:rPr>
          <w:rFonts w:eastAsia="Times New Roman" w:cs="Arial"/>
          <w:color w:val="000000"/>
          <w:lang w:val="en-US"/>
        </w:rPr>
        <w:t xml:space="preserve">mm </w:t>
      </w:r>
      <w:r w:rsidRPr="00475FDF">
        <w:rPr>
          <w:rFonts w:eastAsia="Times New Roman" w:cs="Arial"/>
          <w:color w:val="000000"/>
          <w:lang w:eastAsia="bg-BG"/>
        </w:rPr>
        <w:t xml:space="preserve">х 9 </w:t>
      </w:r>
      <w:r w:rsidRPr="00475FDF">
        <w:rPr>
          <w:rFonts w:eastAsia="Times New Roman" w:cs="Arial"/>
          <w:color w:val="000000"/>
          <w:lang w:val="en-US"/>
        </w:rPr>
        <w:t xml:space="preserve">mm), </w:t>
      </w:r>
      <w:r w:rsidRPr="00475FDF">
        <w:rPr>
          <w:rFonts w:eastAsia="Times New Roman" w:cs="Arial"/>
          <w:color w:val="000000"/>
          <w:lang w:eastAsia="bg-BG"/>
        </w:rPr>
        <w:t>двойноизпъкнали филмирани таблетки.</w:t>
      </w:r>
    </w:p>
    <w:p w14:paraId="7D287A22" w14:textId="77777777" w:rsidR="00A73575" w:rsidRPr="0091385D" w:rsidRDefault="00A73575"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46511431" w14:textId="77777777"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lastRenderedPageBreak/>
        <w:t>Меаксин е показан за лечение на:</w:t>
      </w:r>
    </w:p>
    <w:p w14:paraId="6BA82202" w14:textId="77777777" w:rsidR="00475FDF" w:rsidRPr="00475FDF" w:rsidRDefault="00475FDF" w:rsidP="00475FDF">
      <w:pPr>
        <w:pStyle w:val="ListParagraph"/>
        <w:numPr>
          <w:ilvl w:val="0"/>
          <w:numId w:val="38"/>
        </w:numPr>
        <w:spacing w:line="240" w:lineRule="auto"/>
        <w:rPr>
          <w:rFonts w:eastAsia="Times New Roman" w:cs="Arial"/>
          <w:sz w:val="24"/>
          <w:szCs w:val="24"/>
          <w:lang w:eastAsia="bg-BG"/>
        </w:rPr>
      </w:pPr>
      <w:r w:rsidRPr="00475FDF">
        <w:rPr>
          <w:rFonts w:eastAsia="Times New Roman" w:cs="Arial"/>
          <w:color w:val="000000"/>
          <w:lang w:eastAsia="bg-BG"/>
        </w:rPr>
        <w:t xml:space="preserve">възрастни и педиатрични пациенти с новодиагностицирана, положителна по Филаделфийската хромозома </w:t>
      </w:r>
      <w:r w:rsidRPr="00475FDF">
        <w:rPr>
          <w:rFonts w:eastAsia="Times New Roman" w:cs="Arial"/>
          <w:color w:val="000000"/>
          <w:lang w:val="en-US"/>
        </w:rPr>
        <w:t xml:space="preserve">(bcr-abl) (Ph+) </w:t>
      </w:r>
      <w:r w:rsidRPr="00475FDF">
        <w:rPr>
          <w:rFonts w:eastAsia="Times New Roman" w:cs="Arial"/>
          <w:color w:val="000000"/>
          <w:lang w:eastAsia="bg-BG"/>
        </w:rPr>
        <w:t>хронична миелоидна левкемия (ХМЛ), при които костно-мозъчната трансплантация не се разглежда като първа линия лечение,</w:t>
      </w:r>
    </w:p>
    <w:p w14:paraId="440D76D8" w14:textId="77777777" w:rsidR="00475FDF" w:rsidRPr="00475FDF" w:rsidRDefault="00475FDF" w:rsidP="00475FDF">
      <w:pPr>
        <w:pStyle w:val="ListParagraph"/>
        <w:numPr>
          <w:ilvl w:val="0"/>
          <w:numId w:val="38"/>
        </w:numPr>
        <w:spacing w:line="240" w:lineRule="auto"/>
        <w:rPr>
          <w:rFonts w:eastAsia="Times New Roman" w:cs="Arial"/>
          <w:sz w:val="24"/>
          <w:szCs w:val="24"/>
          <w:lang w:eastAsia="bg-BG"/>
        </w:rPr>
      </w:pPr>
      <w:r w:rsidRPr="00475FDF">
        <w:rPr>
          <w:rFonts w:eastAsia="Times New Roman" w:cs="Arial"/>
          <w:color w:val="000000"/>
          <w:lang w:eastAsia="bg-BG"/>
        </w:rPr>
        <w:t xml:space="preserve">възрастни и педиатрични пациенти с </w:t>
      </w:r>
      <w:r w:rsidRPr="00475FDF">
        <w:rPr>
          <w:rFonts w:eastAsia="Times New Roman" w:cs="Arial"/>
          <w:color w:val="000000"/>
          <w:lang w:val="en-US"/>
        </w:rPr>
        <w:t xml:space="preserve">Ph+ </w:t>
      </w:r>
      <w:r w:rsidRPr="00475FDF">
        <w:rPr>
          <w:rFonts w:eastAsia="Times New Roman" w:cs="Arial"/>
          <w:color w:val="000000"/>
          <w:lang w:eastAsia="bg-BG"/>
        </w:rPr>
        <w:t xml:space="preserve">ХМЛ в хронична фаза след неуспех от лечението с интерферон-алфа, или във фаза на акцелерация или бластна криза. </w:t>
      </w:r>
    </w:p>
    <w:p w14:paraId="2F8066F5" w14:textId="53D596F7" w:rsidR="00475FDF" w:rsidRPr="00475FDF" w:rsidRDefault="00475FDF" w:rsidP="00475FDF">
      <w:pPr>
        <w:pStyle w:val="ListParagraph"/>
        <w:numPr>
          <w:ilvl w:val="0"/>
          <w:numId w:val="38"/>
        </w:numPr>
        <w:spacing w:line="240" w:lineRule="auto"/>
        <w:rPr>
          <w:rFonts w:eastAsia="Times New Roman" w:cs="Arial"/>
          <w:sz w:val="24"/>
          <w:szCs w:val="24"/>
          <w:lang w:eastAsia="bg-BG"/>
        </w:rPr>
      </w:pPr>
      <w:r w:rsidRPr="00475FDF">
        <w:rPr>
          <w:rFonts w:eastAsia="Times New Roman" w:cs="Arial"/>
          <w:color w:val="000000"/>
          <w:lang w:eastAsia="bg-BG"/>
        </w:rPr>
        <w:t xml:space="preserve">възрастни и педиатрични пациенти с новодиагностицирана положителна по Филаделфийска хромозома остра лимфобластна левкемия </w:t>
      </w:r>
      <w:r w:rsidRPr="00475FDF">
        <w:rPr>
          <w:rFonts w:eastAsia="Times New Roman" w:cs="Arial"/>
          <w:color w:val="000000"/>
          <w:lang w:val="en-US"/>
        </w:rPr>
        <w:t xml:space="preserve">(Ph+ </w:t>
      </w:r>
      <w:r w:rsidRPr="00475FDF">
        <w:rPr>
          <w:rFonts w:eastAsia="Times New Roman" w:cs="Arial"/>
          <w:color w:val="000000"/>
          <w:lang w:eastAsia="bg-BG"/>
        </w:rPr>
        <w:t>ОЛЛ)</w:t>
      </w:r>
      <w:r w:rsidRPr="00475FDF">
        <w:rPr>
          <w:rFonts w:eastAsia="Times New Roman" w:cs="Arial"/>
          <w:color w:val="000000"/>
          <w:lang w:val="en-US"/>
        </w:rPr>
        <w:t xml:space="preserve"> </w:t>
      </w:r>
      <w:r w:rsidRPr="00475FDF">
        <w:rPr>
          <w:rFonts w:eastAsia="Times New Roman" w:cs="Arial"/>
          <w:color w:val="000000"/>
          <w:lang w:eastAsia="bg-BG"/>
        </w:rPr>
        <w:t>заедно с</w:t>
      </w:r>
    </w:p>
    <w:p w14:paraId="71084E28" w14:textId="77777777"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t>химиотерапия.</w:t>
      </w:r>
    </w:p>
    <w:p w14:paraId="3C98359D" w14:textId="77777777" w:rsidR="00475FDF" w:rsidRPr="00475FDF" w:rsidRDefault="00475FDF" w:rsidP="00475FDF">
      <w:pPr>
        <w:pStyle w:val="ListParagraph"/>
        <w:numPr>
          <w:ilvl w:val="0"/>
          <w:numId w:val="39"/>
        </w:numPr>
        <w:spacing w:line="240" w:lineRule="auto"/>
        <w:rPr>
          <w:rFonts w:eastAsia="Times New Roman" w:cs="Arial"/>
          <w:sz w:val="24"/>
          <w:szCs w:val="24"/>
          <w:lang w:eastAsia="bg-BG"/>
        </w:rPr>
      </w:pPr>
      <w:r w:rsidRPr="00475FDF">
        <w:rPr>
          <w:rFonts w:eastAsia="Times New Roman" w:cs="Arial"/>
          <w:color w:val="000000"/>
          <w:lang w:eastAsia="bg-BG"/>
        </w:rPr>
        <w:t xml:space="preserve">възрастни с рецидив или рефракторна </w:t>
      </w:r>
      <w:r w:rsidRPr="00475FDF">
        <w:rPr>
          <w:rFonts w:eastAsia="Times New Roman" w:cs="Arial"/>
          <w:color w:val="000000"/>
          <w:lang w:val="en-US"/>
        </w:rPr>
        <w:t xml:space="preserve">Ph+ </w:t>
      </w:r>
      <w:r w:rsidRPr="00475FDF">
        <w:rPr>
          <w:rFonts w:eastAsia="Times New Roman" w:cs="Arial"/>
          <w:color w:val="000000"/>
          <w:lang w:eastAsia="bg-BG"/>
        </w:rPr>
        <w:t>ОЛЛ като монотерапия.</w:t>
      </w:r>
    </w:p>
    <w:p w14:paraId="6DFA4B9D" w14:textId="5E77FFAB" w:rsidR="0091385D" w:rsidRPr="00475FDF" w:rsidRDefault="00475FDF" w:rsidP="00475FDF">
      <w:pPr>
        <w:pStyle w:val="ListParagraph"/>
        <w:numPr>
          <w:ilvl w:val="0"/>
          <w:numId w:val="39"/>
        </w:numPr>
        <w:spacing w:line="240" w:lineRule="auto"/>
        <w:rPr>
          <w:rFonts w:eastAsia="Times New Roman" w:cs="Arial"/>
          <w:sz w:val="24"/>
          <w:szCs w:val="24"/>
          <w:lang w:eastAsia="bg-BG"/>
        </w:rPr>
      </w:pPr>
      <w:r w:rsidRPr="00475FDF">
        <w:rPr>
          <w:rFonts w:eastAsia="Times New Roman" w:cs="Arial"/>
          <w:color w:val="000000"/>
          <w:lang w:eastAsia="bg-BG"/>
        </w:rPr>
        <w:t xml:space="preserve">възрастни пациенти с миелодиспластичнен синдром/миелопролиферативни заболявания (МДС/МПЗ), свързани с генни пренареждания на рецептора на тромбоцитния растежен фактор </w:t>
      </w:r>
      <w:r w:rsidRPr="00475FDF">
        <w:rPr>
          <w:rFonts w:eastAsia="Times New Roman" w:cs="Arial"/>
          <w:color w:val="000000"/>
          <w:lang w:val="en-US"/>
        </w:rPr>
        <w:t>(PDGFR).</w:t>
      </w:r>
    </w:p>
    <w:p w14:paraId="1B69F96F" w14:textId="77777777" w:rsidR="00475FDF" w:rsidRPr="00475FDF" w:rsidRDefault="00475FDF" w:rsidP="00475FDF">
      <w:pPr>
        <w:pStyle w:val="ListParagraph"/>
        <w:numPr>
          <w:ilvl w:val="0"/>
          <w:numId w:val="39"/>
        </w:numPr>
        <w:spacing w:line="240" w:lineRule="auto"/>
        <w:rPr>
          <w:rFonts w:eastAsia="Times New Roman" w:cs="Arial"/>
          <w:sz w:val="24"/>
          <w:szCs w:val="24"/>
          <w:lang w:eastAsia="bg-BG"/>
        </w:rPr>
      </w:pPr>
      <w:r w:rsidRPr="00475FDF">
        <w:rPr>
          <w:rFonts w:eastAsia="Times New Roman" w:cs="Arial"/>
          <w:color w:val="000000"/>
          <w:lang w:eastAsia="bg-BG"/>
        </w:rPr>
        <w:t xml:space="preserve">-възрастни пациенти с напреднал хипереозинофилен синдром (ХЕС) и/или хронична еозинофилна левкемия (ХЕЛ)с генни пренареждания на </w:t>
      </w:r>
      <w:r w:rsidRPr="00475FDF">
        <w:rPr>
          <w:rFonts w:eastAsia="Times New Roman" w:cs="Arial"/>
          <w:color w:val="000000"/>
          <w:lang w:val="en-US"/>
        </w:rPr>
        <w:t>F1PI Ll-PDGFR</w:t>
      </w:r>
      <w:r w:rsidRPr="00475FDF">
        <w:rPr>
          <w:rFonts w:eastAsia="Times New Roman" w:cs="Arial"/>
          <w:color w:val="000000"/>
          <w:lang w:eastAsia="bg-BG"/>
        </w:rPr>
        <w:t>α</w:t>
      </w:r>
      <w:r w:rsidRPr="00475FDF">
        <w:rPr>
          <w:rFonts w:eastAsia="Times New Roman" w:cs="Arial"/>
          <w:color w:val="000000"/>
          <w:lang w:val="en-US"/>
        </w:rPr>
        <w:t>.</w:t>
      </w:r>
    </w:p>
    <w:p w14:paraId="5F93A2BC" w14:textId="77777777" w:rsidR="00475FDF" w:rsidRPr="00475FDF" w:rsidRDefault="00475FDF" w:rsidP="00475FDF">
      <w:pPr>
        <w:spacing w:line="240" w:lineRule="auto"/>
        <w:rPr>
          <w:rFonts w:eastAsia="Times New Roman" w:cs="Arial"/>
          <w:color w:val="000000"/>
          <w:lang w:eastAsia="bg-BG"/>
        </w:rPr>
      </w:pPr>
    </w:p>
    <w:p w14:paraId="201F6369" w14:textId="106A783E"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t>Ефектът на Меаксин върху резултата от костно-мозъчната трансплантация не е установен.</w:t>
      </w:r>
    </w:p>
    <w:p w14:paraId="1B56F0BE" w14:textId="77777777" w:rsidR="00475FDF" w:rsidRPr="00475FDF" w:rsidRDefault="00475FDF" w:rsidP="00475FDF">
      <w:pPr>
        <w:spacing w:line="240" w:lineRule="auto"/>
        <w:rPr>
          <w:rFonts w:eastAsia="Times New Roman" w:cs="Arial"/>
          <w:color w:val="000000"/>
          <w:lang w:eastAsia="bg-BG"/>
        </w:rPr>
      </w:pPr>
    </w:p>
    <w:p w14:paraId="6F357C32" w14:textId="71711C48"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t>Меаксин е показан за</w:t>
      </w:r>
    </w:p>
    <w:p w14:paraId="71EA8E2F" w14:textId="77777777" w:rsidR="00475FDF" w:rsidRPr="00475FDF" w:rsidRDefault="00475FDF" w:rsidP="00475FDF">
      <w:pPr>
        <w:pStyle w:val="ListParagraph"/>
        <w:numPr>
          <w:ilvl w:val="0"/>
          <w:numId w:val="39"/>
        </w:numPr>
        <w:spacing w:line="240" w:lineRule="auto"/>
        <w:rPr>
          <w:rFonts w:eastAsia="Times New Roman" w:cs="Arial"/>
          <w:sz w:val="24"/>
          <w:szCs w:val="24"/>
          <w:lang w:eastAsia="bg-BG"/>
        </w:rPr>
      </w:pPr>
      <w:r w:rsidRPr="00475FDF">
        <w:rPr>
          <w:rFonts w:eastAsia="Times New Roman" w:cs="Arial"/>
          <w:color w:val="000000"/>
          <w:lang w:eastAsia="bg-BG"/>
        </w:rPr>
        <w:t xml:space="preserve">-лечение на възрастни с положителни за </w:t>
      </w:r>
      <w:r w:rsidRPr="00475FDF">
        <w:rPr>
          <w:rFonts w:eastAsia="Times New Roman" w:cs="Arial"/>
          <w:color w:val="000000"/>
          <w:lang w:val="en-US"/>
        </w:rPr>
        <w:t xml:space="preserve">Kit (CD </w:t>
      </w:r>
      <w:r w:rsidRPr="00475FDF">
        <w:rPr>
          <w:rFonts w:eastAsia="Times New Roman" w:cs="Arial"/>
          <w:color w:val="000000"/>
          <w:lang w:eastAsia="bg-BG"/>
        </w:rPr>
        <w:t>117) неподлежащи на резекция и/или метастатични малигнени гастро-интестинални стромални тумори (ГИСТ).</w:t>
      </w:r>
    </w:p>
    <w:p w14:paraId="4E5DA360" w14:textId="77777777" w:rsidR="00475FDF" w:rsidRPr="00475FDF" w:rsidRDefault="00475FDF" w:rsidP="00475FDF">
      <w:pPr>
        <w:pStyle w:val="ListParagraph"/>
        <w:numPr>
          <w:ilvl w:val="0"/>
          <w:numId w:val="39"/>
        </w:numPr>
        <w:spacing w:line="240" w:lineRule="auto"/>
        <w:rPr>
          <w:rFonts w:eastAsia="Times New Roman" w:cs="Arial"/>
          <w:sz w:val="24"/>
          <w:szCs w:val="24"/>
          <w:lang w:eastAsia="bg-BG"/>
        </w:rPr>
      </w:pPr>
      <w:r w:rsidRPr="00475FDF">
        <w:rPr>
          <w:rFonts w:eastAsia="Times New Roman" w:cs="Arial"/>
          <w:color w:val="000000"/>
          <w:lang w:eastAsia="bg-BG"/>
        </w:rPr>
        <w:t xml:space="preserve">-адювантна терапия при възрастни пациенти с повишен риск от рецидив след резекция на </w:t>
      </w:r>
      <w:r w:rsidRPr="00475FDF">
        <w:rPr>
          <w:rFonts w:eastAsia="Times New Roman" w:cs="Arial"/>
          <w:color w:val="000000"/>
          <w:lang w:val="en-US"/>
        </w:rPr>
        <w:t>Kit (CD117</w:t>
      </w:r>
      <w:r w:rsidRPr="00475FDF">
        <w:rPr>
          <w:rFonts w:eastAsia="Times New Roman" w:cs="Arial"/>
          <w:color w:val="000000"/>
          <w:lang w:eastAsia="bg-BG"/>
        </w:rPr>
        <w:t>)-позитивни ГИСТ. Пациентите с нисък или много нисък риск от рецидив не трябва да провеждат адювантна терапия.</w:t>
      </w:r>
    </w:p>
    <w:p w14:paraId="79516EEA" w14:textId="77777777" w:rsidR="00475FDF" w:rsidRPr="00475FDF" w:rsidRDefault="00475FDF" w:rsidP="00475FDF">
      <w:pPr>
        <w:pStyle w:val="ListParagraph"/>
        <w:numPr>
          <w:ilvl w:val="0"/>
          <w:numId w:val="39"/>
        </w:numPr>
        <w:spacing w:line="240" w:lineRule="auto"/>
        <w:rPr>
          <w:rFonts w:eastAsia="Times New Roman" w:cs="Arial"/>
          <w:sz w:val="24"/>
          <w:szCs w:val="24"/>
          <w:lang w:eastAsia="bg-BG"/>
        </w:rPr>
      </w:pPr>
      <w:r w:rsidRPr="00475FDF">
        <w:rPr>
          <w:rFonts w:eastAsia="Times New Roman" w:cs="Arial"/>
          <w:color w:val="000000"/>
          <w:lang w:eastAsia="bg-BG"/>
        </w:rPr>
        <w:t>-лечение на възрастни с неподлежаща на резекция дерматофибросаркома протруберанс (ДФСП) и пациенти с рекурентни и/или метастатични ДФСП, които на са подходящи за хирургично лечение.</w:t>
      </w:r>
    </w:p>
    <w:p w14:paraId="67C2CC75" w14:textId="77777777" w:rsidR="00475FDF" w:rsidRPr="00475FDF" w:rsidRDefault="00475FDF" w:rsidP="00475FDF">
      <w:pPr>
        <w:rPr>
          <w:rFonts w:eastAsia="Times New Roman" w:cs="Arial"/>
          <w:color w:val="000000"/>
          <w:lang w:eastAsia="bg-BG"/>
        </w:rPr>
      </w:pPr>
    </w:p>
    <w:p w14:paraId="642F56D9" w14:textId="44CC2C0D" w:rsidR="00EC41ED" w:rsidRPr="00475FDF" w:rsidRDefault="00475FDF" w:rsidP="00475FDF">
      <w:pPr>
        <w:rPr>
          <w:rFonts w:cs="Arial"/>
        </w:rPr>
      </w:pPr>
      <w:r w:rsidRPr="00475FDF">
        <w:rPr>
          <w:rFonts w:eastAsia="Times New Roman" w:cs="Arial"/>
          <w:color w:val="000000"/>
          <w:lang w:eastAsia="bg-BG"/>
        </w:rPr>
        <w:t xml:space="preserve">При възрастни и педиатрични пациенти, ефективността на иматиниб се основава на общата степен на повлияване, на хематологичния и цитогенетичен отговор и преживяемостта без прогресия при ХМЛ, на степента на повлияване на хематологичния и цитогенетичен отговор при </w:t>
      </w:r>
      <w:r w:rsidRPr="00475FDF">
        <w:rPr>
          <w:rFonts w:eastAsia="Times New Roman" w:cs="Arial"/>
          <w:color w:val="000000"/>
          <w:lang w:val="en-US"/>
        </w:rPr>
        <w:t>Ph</w:t>
      </w:r>
      <w:r w:rsidRPr="00475FDF">
        <w:rPr>
          <w:rFonts w:eastAsia="Times New Roman" w:cs="Arial"/>
          <w:color w:val="000000"/>
          <w:lang w:eastAsia="bg-BG"/>
        </w:rPr>
        <w:t xml:space="preserve">+ОЛЛ, МДС/МПЗ, на степента на повлияване на хематологичния отговор при ХЕС/ХЕЛ и обективната степен на повлияване при възрастни с неподлежащи на резекция и/или метастатични ГИСТ и ДФСП и на преживяемостта без рецидив при адювантна терапия на ГИСТ. Опитът с иматиниб при пациенти с МДС/МПЗ свързани с генни пренареждания на </w:t>
      </w:r>
      <w:r w:rsidRPr="00475FDF">
        <w:rPr>
          <w:rFonts w:eastAsia="Times New Roman" w:cs="Arial"/>
          <w:color w:val="000000"/>
          <w:lang w:val="en-US"/>
        </w:rPr>
        <w:t xml:space="preserve">PDGFR </w:t>
      </w:r>
      <w:r w:rsidRPr="00475FDF">
        <w:rPr>
          <w:rFonts w:eastAsia="Times New Roman" w:cs="Arial"/>
          <w:color w:val="000000"/>
          <w:lang w:eastAsia="bg-BG"/>
        </w:rPr>
        <w:t>е много ограничен (вж. точка 5.1). Освен при ново диагностицирана ХМЛ в хронична фаза, липсват контролирани клинични проучвания, показващи клинична полза или повишена преживяемост при тези заболявания.</w:t>
      </w:r>
    </w:p>
    <w:p w14:paraId="58ACFE0D" w14:textId="77777777" w:rsidR="00475FDF" w:rsidRPr="0091385D" w:rsidRDefault="00475FDF" w:rsidP="0091385D"/>
    <w:p w14:paraId="30BE2C7B" w14:textId="3633C1E4" w:rsidR="008134C8" w:rsidRDefault="002C50EE" w:rsidP="004A448E">
      <w:pPr>
        <w:pStyle w:val="Heading2"/>
      </w:pPr>
      <w:r>
        <w:t>4.2. Дозировка и начин на приложение</w:t>
      </w:r>
    </w:p>
    <w:p w14:paraId="7AA22B68" w14:textId="0723B40D" w:rsidR="0091385D" w:rsidRDefault="0091385D" w:rsidP="0091385D"/>
    <w:p w14:paraId="67D7A38F" w14:textId="77777777" w:rsidR="00475FDF" w:rsidRPr="00BB4833" w:rsidRDefault="00475FDF" w:rsidP="00BB4833">
      <w:pPr>
        <w:pStyle w:val="Heading3"/>
        <w:rPr>
          <w:rFonts w:eastAsia="Times New Roman"/>
          <w:u w:val="single"/>
          <w:lang w:eastAsia="bg-BG"/>
        </w:rPr>
      </w:pPr>
      <w:r w:rsidRPr="00BB4833">
        <w:rPr>
          <w:rFonts w:eastAsia="Times New Roman"/>
          <w:u w:val="single"/>
          <w:lang w:eastAsia="bg-BG"/>
        </w:rPr>
        <w:t>Дозировка</w:t>
      </w:r>
    </w:p>
    <w:p w14:paraId="716B242E" w14:textId="77777777" w:rsidR="00475FDF" w:rsidRPr="00475FDF" w:rsidRDefault="00475FDF" w:rsidP="00475FDF">
      <w:pPr>
        <w:spacing w:line="240" w:lineRule="auto"/>
        <w:rPr>
          <w:rFonts w:eastAsia="Times New Roman" w:cs="Arial"/>
          <w:color w:val="000000"/>
          <w:lang w:eastAsia="bg-BG"/>
        </w:rPr>
      </w:pPr>
    </w:p>
    <w:p w14:paraId="56AAA4C7" w14:textId="0F920F8C"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t>Терапията трябва да се започне от лекар с опит в лечението на пациенти с хематологични злокачествени заболявания и малигнени саркоми, според изискванията.</w:t>
      </w:r>
    </w:p>
    <w:p w14:paraId="662BEF3E" w14:textId="77777777" w:rsidR="00475FDF" w:rsidRPr="00475FDF" w:rsidRDefault="00475FDF" w:rsidP="00475FDF">
      <w:pPr>
        <w:spacing w:line="240" w:lineRule="auto"/>
        <w:rPr>
          <w:rFonts w:eastAsia="Times New Roman" w:cs="Arial"/>
          <w:color w:val="000000"/>
          <w:lang w:eastAsia="bg-BG"/>
        </w:rPr>
      </w:pPr>
    </w:p>
    <w:p w14:paraId="6B803B7C" w14:textId="3657ED00"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t xml:space="preserve">За дозите от 400 </w:t>
      </w:r>
      <w:r w:rsidRPr="00475FDF">
        <w:rPr>
          <w:rFonts w:eastAsia="Times New Roman" w:cs="Arial"/>
          <w:color w:val="000000"/>
          <w:lang w:val="en-US"/>
        </w:rPr>
        <w:t xml:space="preserve">mg </w:t>
      </w:r>
      <w:r w:rsidRPr="00475FDF">
        <w:rPr>
          <w:rFonts w:eastAsia="Times New Roman" w:cs="Arial"/>
          <w:color w:val="000000"/>
          <w:lang w:eastAsia="bg-BG"/>
        </w:rPr>
        <w:t xml:space="preserve">или по-високи (вж. препоръките за дозиране по-долу) са налични таблетки от 400 </w:t>
      </w:r>
      <w:r w:rsidRPr="00475FDF">
        <w:rPr>
          <w:rFonts w:eastAsia="Times New Roman" w:cs="Arial"/>
          <w:color w:val="000000"/>
          <w:lang w:val="en-US"/>
        </w:rPr>
        <w:t xml:space="preserve">mg </w:t>
      </w:r>
      <w:r w:rsidRPr="00475FDF">
        <w:rPr>
          <w:rFonts w:eastAsia="Times New Roman" w:cs="Arial"/>
          <w:color w:val="000000"/>
          <w:lang w:eastAsia="bg-BG"/>
        </w:rPr>
        <w:t>(не са делими).</w:t>
      </w:r>
    </w:p>
    <w:p w14:paraId="3176F20B" w14:textId="77777777"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t xml:space="preserve">За дози, различни от 400 </w:t>
      </w:r>
      <w:r w:rsidRPr="00475FDF">
        <w:rPr>
          <w:rFonts w:eastAsia="Times New Roman" w:cs="Arial"/>
          <w:color w:val="000000"/>
          <w:lang w:val="en-US"/>
        </w:rPr>
        <w:t xml:space="preserve">mg </w:t>
      </w:r>
      <w:r w:rsidRPr="00475FDF">
        <w:rPr>
          <w:rFonts w:eastAsia="Times New Roman" w:cs="Arial"/>
          <w:color w:val="000000"/>
          <w:lang w:eastAsia="bg-BG"/>
        </w:rPr>
        <w:t xml:space="preserve">или 800 </w:t>
      </w:r>
      <w:r w:rsidRPr="00475FDF">
        <w:rPr>
          <w:rFonts w:eastAsia="Times New Roman" w:cs="Arial"/>
          <w:color w:val="000000"/>
          <w:lang w:val="en-US"/>
        </w:rPr>
        <w:t xml:space="preserve">mg </w:t>
      </w:r>
      <w:r w:rsidRPr="00475FDF">
        <w:rPr>
          <w:rFonts w:eastAsia="Times New Roman" w:cs="Arial"/>
          <w:color w:val="000000"/>
          <w:lang w:eastAsia="bg-BG"/>
        </w:rPr>
        <w:t xml:space="preserve">(вж. препоръките за дозиране по-долу) са налични таблетки от 100 </w:t>
      </w:r>
      <w:r w:rsidRPr="00475FDF">
        <w:rPr>
          <w:rFonts w:eastAsia="Times New Roman" w:cs="Arial"/>
          <w:color w:val="000000"/>
          <w:lang w:val="en-US"/>
        </w:rPr>
        <w:t>mg.</w:t>
      </w:r>
    </w:p>
    <w:p w14:paraId="34D417EE" w14:textId="77777777" w:rsidR="00475FDF" w:rsidRPr="00475FDF" w:rsidRDefault="00475FDF" w:rsidP="00475FDF">
      <w:pPr>
        <w:spacing w:line="240" w:lineRule="auto"/>
        <w:rPr>
          <w:rFonts w:eastAsia="Times New Roman" w:cs="Arial"/>
          <w:color w:val="000000"/>
          <w:lang w:eastAsia="bg-BG"/>
        </w:rPr>
      </w:pPr>
    </w:p>
    <w:p w14:paraId="3B305C59" w14:textId="3E85F9FC"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t xml:space="preserve">Предписаната доза трябва трябва да се прилага перорално по време на хранене и с голяма чаша вода, за да се минимизира риска от стомашно-чревно дразнене. Дозите от 400 </w:t>
      </w:r>
      <w:r w:rsidRPr="00475FDF">
        <w:rPr>
          <w:rFonts w:eastAsia="Times New Roman" w:cs="Arial"/>
          <w:color w:val="000000"/>
          <w:lang w:val="en-US"/>
        </w:rPr>
        <w:t xml:space="preserve">mg </w:t>
      </w:r>
      <w:r w:rsidRPr="00475FDF">
        <w:rPr>
          <w:rFonts w:eastAsia="Times New Roman" w:cs="Arial"/>
          <w:color w:val="000000"/>
          <w:lang w:eastAsia="bg-BG"/>
        </w:rPr>
        <w:t xml:space="preserve">или 600 </w:t>
      </w:r>
      <w:r w:rsidRPr="00475FDF">
        <w:rPr>
          <w:rFonts w:eastAsia="Times New Roman" w:cs="Arial"/>
          <w:color w:val="000000"/>
          <w:lang w:val="en-US"/>
        </w:rPr>
        <w:t xml:space="preserve">mg </w:t>
      </w:r>
      <w:r w:rsidRPr="00475FDF">
        <w:rPr>
          <w:rFonts w:eastAsia="Times New Roman" w:cs="Arial"/>
          <w:color w:val="000000"/>
          <w:lang w:eastAsia="bg-BG"/>
        </w:rPr>
        <w:t xml:space="preserve">се прилагат веднъж дневно, докато дневната доза от 800 </w:t>
      </w:r>
      <w:r w:rsidRPr="00475FDF">
        <w:rPr>
          <w:rFonts w:eastAsia="Times New Roman" w:cs="Arial"/>
          <w:color w:val="000000"/>
          <w:lang w:val="en-US"/>
        </w:rPr>
        <w:t xml:space="preserve">mg </w:t>
      </w:r>
      <w:r w:rsidRPr="00475FDF">
        <w:rPr>
          <w:rFonts w:eastAsia="Times New Roman" w:cs="Arial"/>
          <w:color w:val="000000"/>
          <w:lang w:eastAsia="bg-BG"/>
        </w:rPr>
        <w:t xml:space="preserve">трябва да се прилага като 400 </w:t>
      </w:r>
      <w:r w:rsidRPr="00475FDF">
        <w:rPr>
          <w:rFonts w:eastAsia="Times New Roman" w:cs="Arial"/>
          <w:color w:val="000000"/>
          <w:lang w:val="en-US"/>
        </w:rPr>
        <w:t xml:space="preserve">mg </w:t>
      </w:r>
      <w:r w:rsidRPr="00475FDF">
        <w:rPr>
          <w:rFonts w:eastAsia="Times New Roman" w:cs="Arial"/>
          <w:color w:val="000000"/>
          <w:lang w:eastAsia="bg-BG"/>
        </w:rPr>
        <w:t>два пъти дневно сутрин и вечер.</w:t>
      </w:r>
    </w:p>
    <w:p w14:paraId="6921AF83" w14:textId="77777777" w:rsidR="00475FDF" w:rsidRPr="00475FDF" w:rsidRDefault="00475FDF" w:rsidP="00475FDF">
      <w:pPr>
        <w:spacing w:line="240" w:lineRule="auto"/>
        <w:rPr>
          <w:rFonts w:eastAsia="Times New Roman" w:cs="Arial"/>
          <w:color w:val="000000"/>
          <w:lang w:eastAsia="bg-BG"/>
        </w:rPr>
      </w:pPr>
    </w:p>
    <w:p w14:paraId="49539FB1" w14:textId="47A6E811"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t xml:space="preserve">За пациентите, които не могат да преглътнат филмираните таблетки, таблетката може да се разтвори в чаша негазирана вода или ябълков сок. Необходимият брой таблетки трябва да се поставят в подходящ обем от напитката (около 50 </w:t>
      </w:r>
      <w:r w:rsidRPr="00475FDF">
        <w:rPr>
          <w:rFonts w:eastAsia="Times New Roman" w:cs="Arial"/>
          <w:color w:val="000000"/>
          <w:lang w:val="en-US"/>
        </w:rPr>
        <w:t xml:space="preserve">ml </w:t>
      </w:r>
      <w:r w:rsidRPr="00475FDF">
        <w:rPr>
          <w:rFonts w:eastAsia="Times New Roman" w:cs="Arial"/>
          <w:color w:val="000000"/>
          <w:lang w:eastAsia="bg-BG"/>
        </w:rPr>
        <w:t xml:space="preserve">за една таблетка от 100 </w:t>
      </w:r>
      <w:r w:rsidRPr="00475FDF">
        <w:rPr>
          <w:rFonts w:eastAsia="Times New Roman" w:cs="Arial"/>
          <w:color w:val="000000"/>
          <w:lang w:val="en-US"/>
        </w:rPr>
        <w:t xml:space="preserve">mg </w:t>
      </w:r>
      <w:r w:rsidRPr="00475FDF">
        <w:rPr>
          <w:rFonts w:eastAsia="Times New Roman" w:cs="Arial"/>
          <w:color w:val="000000"/>
          <w:lang w:eastAsia="bg-BG"/>
        </w:rPr>
        <w:t xml:space="preserve">и 200 </w:t>
      </w:r>
      <w:r w:rsidRPr="00475FDF">
        <w:rPr>
          <w:rFonts w:eastAsia="Times New Roman" w:cs="Arial"/>
          <w:color w:val="000000"/>
          <w:lang w:val="en-US"/>
        </w:rPr>
        <w:t xml:space="preserve">ml </w:t>
      </w:r>
      <w:r w:rsidRPr="00475FDF">
        <w:rPr>
          <w:rFonts w:eastAsia="Times New Roman" w:cs="Arial"/>
          <w:color w:val="000000"/>
          <w:lang w:eastAsia="bg-BG"/>
        </w:rPr>
        <w:t xml:space="preserve">за таблетката от 400 </w:t>
      </w:r>
      <w:r w:rsidRPr="00475FDF">
        <w:rPr>
          <w:rFonts w:eastAsia="Times New Roman" w:cs="Arial"/>
          <w:color w:val="000000"/>
          <w:lang w:val="en-US"/>
        </w:rPr>
        <w:t xml:space="preserve">mg) </w:t>
      </w:r>
      <w:r w:rsidRPr="00475FDF">
        <w:rPr>
          <w:rFonts w:eastAsia="Times New Roman" w:cs="Arial"/>
          <w:color w:val="000000"/>
          <w:lang w:eastAsia="bg-BG"/>
        </w:rPr>
        <w:t>и се разбърква с лъжица. Суспензията трябва да се приеме веднага след пълното разпадане на таблетката(ите).</w:t>
      </w:r>
    </w:p>
    <w:p w14:paraId="453B67D4" w14:textId="77777777" w:rsidR="00475FDF" w:rsidRPr="00475FDF" w:rsidRDefault="00475FDF" w:rsidP="00475FDF">
      <w:pPr>
        <w:spacing w:line="240" w:lineRule="auto"/>
        <w:rPr>
          <w:rFonts w:eastAsia="Times New Roman" w:cs="Arial"/>
          <w:color w:val="000000"/>
          <w:u w:val="single"/>
          <w:lang w:eastAsia="bg-BG"/>
        </w:rPr>
      </w:pPr>
    </w:p>
    <w:p w14:paraId="28222F94" w14:textId="4C571E8A"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u w:val="single"/>
          <w:lang w:eastAsia="bg-BG"/>
        </w:rPr>
        <w:t>Дозиране при ХМЛ при възрастни пациенти</w:t>
      </w:r>
    </w:p>
    <w:p w14:paraId="28E7CF58" w14:textId="77777777" w:rsidR="00475FDF" w:rsidRPr="00475FDF" w:rsidRDefault="00475FDF" w:rsidP="00475FDF">
      <w:pPr>
        <w:spacing w:line="240" w:lineRule="auto"/>
        <w:rPr>
          <w:rFonts w:eastAsia="Times New Roman" w:cs="Arial"/>
          <w:color w:val="000000"/>
          <w:lang w:eastAsia="bg-BG"/>
        </w:rPr>
      </w:pPr>
    </w:p>
    <w:p w14:paraId="7A1861FC" w14:textId="489232E3"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t>При възрастни пациенти в хронична фаза на ХМЛ препоръчваната дозировка</w:t>
      </w:r>
      <w:r w:rsidRPr="00475FDF">
        <w:rPr>
          <w:rFonts w:eastAsia="Times New Roman" w:cs="Arial"/>
          <w:color w:val="000000"/>
          <w:lang w:val="en-US"/>
        </w:rPr>
        <w:t xml:space="preserve"> </w:t>
      </w:r>
      <w:r w:rsidRPr="00475FDF">
        <w:rPr>
          <w:rFonts w:eastAsia="Times New Roman" w:cs="Arial"/>
          <w:color w:val="000000"/>
          <w:lang w:eastAsia="bg-BG"/>
        </w:rPr>
        <w:t>на Меаксин е</w:t>
      </w:r>
      <w:r>
        <w:rPr>
          <w:rFonts w:eastAsia="Times New Roman" w:cs="Arial"/>
          <w:sz w:val="24"/>
          <w:szCs w:val="24"/>
          <w:lang w:eastAsia="bg-BG"/>
        </w:rPr>
        <w:t xml:space="preserve"> </w:t>
      </w:r>
      <w:r w:rsidRPr="00475FDF">
        <w:rPr>
          <w:rFonts w:eastAsia="Times New Roman" w:cs="Arial"/>
          <w:color w:val="000000"/>
          <w:lang w:eastAsia="bg-BG"/>
        </w:rPr>
        <w:t xml:space="preserve">400 </w:t>
      </w:r>
      <w:r w:rsidRPr="00475FDF">
        <w:rPr>
          <w:rFonts w:eastAsia="Times New Roman" w:cs="Arial"/>
          <w:color w:val="000000"/>
          <w:lang w:val="en-US"/>
        </w:rPr>
        <w:t>mg</w:t>
      </w:r>
      <w:r w:rsidRPr="00475FDF">
        <w:rPr>
          <w:rFonts w:eastAsia="Times New Roman" w:cs="Arial"/>
          <w:color w:val="000000"/>
          <w:lang w:eastAsia="bg-BG"/>
        </w:rPr>
        <w:t>/ден. Хроничната фаза на ХМЛ се дефинира, ако са изпълнени всички следващи</w:t>
      </w:r>
    </w:p>
    <w:p w14:paraId="14740CF7" w14:textId="77777777"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t>критерии: бласти &lt;15% в кръвта и костния мозък, базофили в периферната кръв &lt;20%.</w:t>
      </w:r>
    </w:p>
    <w:p w14:paraId="7FBF1BCE" w14:textId="4322227E" w:rsidR="00EC41ED" w:rsidRPr="00475FDF" w:rsidRDefault="00475FDF" w:rsidP="00475FDF">
      <w:pPr>
        <w:rPr>
          <w:rFonts w:cs="Arial"/>
        </w:rPr>
      </w:pPr>
      <w:r w:rsidRPr="00475FDF">
        <w:rPr>
          <w:rFonts w:eastAsia="Times New Roman" w:cs="Arial"/>
          <w:color w:val="000000"/>
          <w:lang w:eastAsia="bg-BG"/>
        </w:rPr>
        <w:t>тромбоцити &gt;100 х 10</w:t>
      </w:r>
      <w:r w:rsidRPr="00475FDF">
        <w:rPr>
          <w:rFonts w:eastAsia="Times New Roman" w:cs="Arial"/>
          <w:color w:val="000000"/>
          <w:vertAlign w:val="superscript"/>
          <w:lang w:eastAsia="bg-BG"/>
        </w:rPr>
        <w:t>9</w:t>
      </w:r>
      <w:r w:rsidRPr="00475FDF">
        <w:rPr>
          <w:rFonts w:eastAsia="Times New Roman" w:cs="Arial"/>
          <w:color w:val="000000"/>
          <w:lang w:eastAsia="bg-BG"/>
        </w:rPr>
        <w:t>/</w:t>
      </w:r>
      <w:r w:rsidRPr="00475FDF">
        <w:rPr>
          <w:rFonts w:eastAsia="Times New Roman" w:cs="Arial"/>
          <w:color w:val="000000"/>
          <w:lang w:val="en-US"/>
        </w:rPr>
        <w:t>l</w:t>
      </w:r>
      <w:r w:rsidRPr="00475FDF">
        <w:rPr>
          <w:rFonts w:eastAsia="Times New Roman" w:cs="Arial"/>
          <w:color w:val="000000"/>
          <w:lang w:eastAsia="bg-BG"/>
        </w:rPr>
        <w:t>.</w:t>
      </w:r>
    </w:p>
    <w:p w14:paraId="132F3111" w14:textId="600A38D6" w:rsidR="005B0F27" w:rsidRPr="00475FDF" w:rsidRDefault="005B0F27" w:rsidP="0091385D">
      <w:pPr>
        <w:rPr>
          <w:rFonts w:cs="Arial"/>
        </w:rPr>
      </w:pPr>
    </w:p>
    <w:p w14:paraId="1752F8B1" w14:textId="77777777"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t xml:space="preserve">При възрастни пациенти във фаза на акцелерация препоръчваната дозировка на Меаксин е 600 </w:t>
      </w:r>
      <w:r w:rsidRPr="00475FDF">
        <w:rPr>
          <w:rFonts w:eastAsia="Times New Roman" w:cs="Arial"/>
          <w:color w:val="000000"/>
          <w:lang w:val="en-US"/>
        </w:rPr>
        <w:t>mg</w:t>
      </w:r>
      <w:r w:rsidRPr="00475FDF">
        <w:rPr>
          <w:rFonts w:eastAsia="Times New Roman" w:cs="Arial"/>
          <w:color w:val="000000"/>
          <w:lang w:eastAsia="bg-BG"/>
        </w:rPr>
        <w:t>/ден. Фазата на акцелерация се дефинира от наличието на някой от следните критерии: бласти ≥15%, но &lt;30% в кръвта или костния мозък, бласти плюс промиелоцити ≥30% в кръвта или костния мозък (при &lt;30% бласти), базофили в периферната кръв ≥20%, тромбоцити &lt;100 х 10</w:t>
      </w:r>
      <w:r w:rsidRPr="00475FDF">
        <w:rPr>
          <w:rFonts w:eastAsia="Times New Roman" w:cs="Arial"/>
          <w:color w:val="000000"/>
          <w:vertAlign w:val="superscript"/>
          <w:lang w:eastAsia="bg-BG"/>
        </w:rPr>
        <w:t>9</w:t>
      </w:r>
      <w:r w:rsidRPr="00475FDF">
        <w:rPr>
          <w:rFonts w:eastAsia="Times New Roman" w:cs="Arial"/>
          <w:color w:val="000000"/>
          <w:lang w:eastAsia="bg-BG"/>
        </w:rPr>
        <w:t>/</w:t>
      </w:r>
      <w:r w:rsidRPr="00475FDF">
        <w:rPr>
          <w:rFonts w:eastAsia="Times New Roman" w:cs="Arial"/>
          <w:color w:val="000000"/>
          <w:lang w:val="en-US"/>
        </w:rPr>
        <w:t>l</w:t>
      </w:r>
      <w:r w:rsidRPr="00475FDF">
        <w:rPr>
          <w:rFonts w:eastAsia="Times New Roman" w:cs="Arial"/>
          <w:color w:val="000000"/>
          <w:lang w:eastAsia="bg-BG"/>
        </w:rPr>
        <w:t>, независимо от лечението.</w:t>
      </w:r>
    </w:p>
    <w:p w14:paraId="6999A9DC" w14:textId="77777777" w:rsidR="00475FDF" w:rsidRPr="00475FDF" w:rsidRDefault="00475FDF" w:rsidP="00475FDF">
      <w:pPr>
        <w:spacing w:line="240" w:lineRule="auto"/>
        <w:rPr>
          <w:rFonts w:eastAsia="Times New Roman" w:cs="Arial"/>
          <w:color w:val="000000"/>
          <w:lang w:eastAsia="bg-BG"/>
        </w:rPr>
      </w:pPr>
    </w:p>
    <w:p w14:paraId="651B50F3" w14:textId="173BBBA0"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t xml:space="preserve">Препоръчваната доза Меаксин е 600 </w:t>
      </w:r>
      <w:r w:rsidRPr="00475FDF">
        <w:rPr>
          <w:rFonts w:eastAsia="Times New Roman" w:cs="Arial"/>
          <w:color w:val="000000"/>
          <w:lang w:val="en-US"/>
        </w:rPr>
        <w:t>mg</w:t>
      </w:r>
      <w:r w:rsidRPr="00475FDF">
        <w:rPr>
          <w:rFonts w:eastAsia="Times New Roman" w:cs="Arial"/>
          <w:color w:val="000000"/>
          <w:lang w:eastAsia="bg-BG"/>
        </w:rPr>
        <w:t>/ден при възрастни пациенти с бластна криза. Властната криза се дефинира като бласти ≥ 30% в кръвта или костния мозък или екстрамедуларна заболяване, различно от хепатоспленомегалия.</w:t>
      </w:r>
    </w:p>
    <w:p w14:paraId="3FA36A70" w14:textId="77777777" w:rsidR="00475FDF" w:rsidRPr="00475FDF" w:rsidRDefault="00475FDF" w:rsidP="00475FDF">
      <w:pPr>
        <w:spacing w:line="240" w:lineRule="auto"/>
        <w:rPr>
          <w:rFonts w:eastAsia="Times New Roman" w:cs="Arial"/>
          <w:color w:val="000000"/>
          <w:lang w:eastAsia="bg-BG"/>
        </w:rPr>
      </w:pPr>
    </w:p>
    <w:p w14:paraId="63FD7263" w14:textId="47165ABA"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t>Продължителност на лечението: При клинични проучвания, лечението с иматиниб е продължавано до прогресия на заболяването. Не е изследван ефектът от спиране на лечението след постигане на пълен цитогенетичен отговор.</w:t>
      </w:r>
    </w:p>
    <w:p w14:paraId="0A3406BD" w14:textId="77777777" w:rsidR="00475FDF" w:rsidRPr="00475FDF" w:rsidRDefault="00475FDF" w:rsidP="00475FDF">
      <w:pPr>
        <w:spacing w:line="240" w:lineRule="auto"/>
        <w:rPr>
          <w:rFonts w:eastAsia="Times New Roman" w:cs="Arial"/>
          <w:color w:val="000000"/>
          <w:lang w:eastAsia="bg-BG"/>
        </w:rPr>
      </w:pPr>
    </w:p>
    <w:p w14:paraId="0D1A2053" w14:textId="7B370E7F"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t xml:space="preserve">Повишаването на дозите от 400 </w:t>
      </w:r>
      <w:r w:rsidRPr="00475FDF">
        <w:rPr>
          <w:rFonts w:eastAsia="Times New Roman" w:cs="Arial"/>
          <w:color w:val="000000"/>
          <w:lang w:val="en-US"/>
        </w:rPr>
        <w:t xml:space="preserve">mg </w:t>
      </w:r>
      <w:r w:rsidRPr="00475FDF">
        <w:rPr>
          <w:rFonts w:eastAsia="Times New Roman" w:cs="Arial"/>
          <w:color w:val="000000"/>
          <w:lang w:eastAsia="bg-BG"/>
        </w:rPr>
        <w:t xml:space="preserve">на 600 </w:t>
      </w:r>
      <w:r w:rsidRPr="00475FDF">
        <w:rPr>
          <w:rFonts w:eastAsia="Times New Roman" w:cs="Arial"/>
          <w:color w:val="000000"/>
          <w:lang w:val="en-US"/>
        </w:rPr>
        <w:t xml:space="preserve">mg </w:t>
      </w:r>
      <w:r w:rsidRPr="00475FDF">
        <w:rPr>
          <w:rFonts w:eastAsia="Times New Roman" w:cs="Arial"/>
          <w:color w:val="000000"/>
          <w:lang w:eastAsia="bg-BG"/>
        </w:rPr>
        <w:t xml:space="preserve">или 800 </w:t>
      </w:r>
      <w:r w:rsidRPr="00475FDF">
        <w:rPr>
          <w:rFonts w:eastAsia="Times New Roman" w:cs="Arial"/>
          <w:color w:val="000000"/>
          <w:lang w:val="en-US"/>
        </w:rPr>
        <w:t xml:space="preserve">mg </w:t>
      </w:r>
      <w:r w:rsidRPr="00475FDF">
        <w:rPr>
          <w:rFonts w:eastAsia="Times New Roman" w:cs="Arial"/>
          <w:color w:val="000000"/>
          <w:lang w:eastAsia="bg-BG"/>
        </w:rPr>
        <w:t xml:space="preserve">при пациенти със заболяване в хронична фаза или от 600 </w:t>
      </w:r>
      <w:r w:rsidRPr="00475FDF">
        <w:rPr>
          <w:rFonts w:eastAsia="Times New Roman" w:cs="Arial"/>
          <w:color w:val="000000"/>
          <w:lang w:val="en-US"/>
        </w:rPr>
        <w:t xml:space="preserve">mg </w:t>
      </w:r>
      <w:r w:rsidRPr="00475FDF">
        <w:rPr>
          <w:rFonts w:eastAsia="Times New Roman" w:cs="Arial"/>
          <w:color w:val="000000"/>
          <w:lang w:eastAsia="bg-BG"/>
        </w:rPr>
        <w:t xml:space="preserve">до максималната от 800 </w:t>
      </w:r>
      <w:r w:rsidRPr="00475FDF">
        <w:rPr>
          <w:rFonts w:eastAsia="Times New Roman" w:cs="Arial"/>
          <w:color w:val="000000"/>
          <w:lang w:val="en-US"/>
        </w:rPr>
        <w:t xml:space="preserve">mg </w:t>
      </w:r>
      <w:r w:rsidRPr="00475FDF">
        <w:rPr>
          <w:rFonts w:eastAsia="Times New Roman" w:cs="Arial"/>
          <w:color w:val="000000"/>
          <w:lang w:eastAsia="bg-BG"/>
        </w:rPr>
        <w:t xml:space="preserve">(давани като 400 </w:t>
      </w:r>
      <w:r w:rsidRPr="00475FDF">
        <w:rPr>
          <w:rFonts w:eastAsia="Times New Roman" w:cs="Arial"/>
          <w:color w:val="000000"/>
          <w:lang w:val="en-US"/>
        </w:rPr>
        <w:t xml:space="preserve">mg </w:t>
      </w:r>
      <w:r w:rsidRPr="00475FDF">
        <w:rPr>
          <w:rFonts w:eastAsia="Times New Roman" w:cs="Arial"/>
          <w:color w:val="000000"/>
          <w:lang w:eastAsia="bg-BG"/>
        </w:rPr>
        <w:t>два пъти дневно) при пациенти във фаза на акцелерация или с бластна криза може да се обсъжда при липса на тежки нежелани лекарствени реакции и тежка несвързана с левкемията неутропения или тромбоцитопения при следните обстоятелства: прогресия на заболяването (по всяко време); неуспех да се постигне задоволителен хематологичен отговор след поне 3 месеца лечение; неуспех да се постигне цитогенетичен отговор след 12 месеца лечение; или загуба на постигнат преди това хематологичен и/или цитогенетичен отговор. Пациентите трябва да се проследяват внимателно след повишаване на дозата поради възможността за повишена честота на нежеланите реакции при по-високи дози.</w:t>
      </w:r>
    </w:p>
    <w:p w14:paraId="786B4E9F" w14:textId="77777777" w:rsidR="00475FDF" w:rsidRPr="00475FDF" w:rsidRDefault="00475FDF" w:rsidP="00475FDF">
      <w:pPr>
        <w:spacing w:line="240" w:lineRule="auto"/>
        <w:rPr>
          <w:rFonts w:eastAsia="Times New Roman" w:cs="Arial"/>
          <w:color w:val="000000"/>
          <w:u w:val="single"/>
          <w:lang w:eastAsia="bg-BG"/>
        </w:rPr>
      </w:pPr>
    </w:p>
    <w:p w14:paraId="3E56DA42" w14:textId="08F34A05"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u w:val="single"/>
          <w:lang w:eastAsia="bg-BG"/>
        </w:rPr>
        <w:t>Дозиране при ХМЛ при деца</w:t>
      </w:r>
    </w:p>
    <w:p w14:paraId="24FFE21B" w14:textId="77777777"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lastRenderedPageBreak/>
        <w:t xml:space="preserve">Дозирането при деца трябва да се основава на площа на телесната повърхност </w:t>
      </w:r>
      <w:r w:rsidRPr="00475FDF">
        <w:rPr>
          <w:rFonts w:eastAsia="Times New Roman" w:cs="Arial"/>
          <w:color w:val="000000"/>
          <w:lang w:val="en-US"/>
        </w:rPr>
        <w:t>(mg/m</w:t>
      </w:r>
      <w:r w:rsidRPr="00475FDF">
        <w:rPr>
          <w:rFonts w:eastAsia="Times New Roman" w:cs="Arial"/>
          <w:color w:val="000000"/>
          <w:vertAlign w:val="superscript"/>
          <w:lang w:val="en-US"/>
        </w:rPr>
        <w:t>2</w:t>
      </w:r>
      <w:r w:rsidRPr="00475FDF">
        <w:rPr>
          <w:rFonts w:eastAsia="Times New Roman" w:cs="Arial"/>
          <w:color w:val="000000"/>
          <w:lang w:val="en-US"/>
        </w:rPr>
        <w:t xml:space="preserve">). </w:t>
      </w:r>
      <w:r w:rsidRPr="00475FDF">
        <w:rPr>
          <w:rFonts w:eastAsia="Times New Roman" w:cs="Arial"/>
          <w:color w:val="000000"/>
          <w:lang w:eastAsia="bg-BG"/>
        </w:rPr>
        <w:t xml:space="preserve">Препоръчва се доза от 340 </w:t>
      </w:r>
      <w:r w:rsidRPr="00475FDF">
        <w:rPr>
          <w:rFonts w:eastAsia="Times New Roman" w:cs="Arial"/>
          <w:color w:val="000000"/>
          <w:lang w:val="en-US"/>
        </w:rPr>
        <w:t>mg/m</w:t>
      </w:r>
      <w:r w:rsidRPr="00475FDF">
        <w:rPr>
          <w:rFonts w:eastAsia="Times New Roman" w:cs="Arial"/>
          <w:color w:val="000000"/>
          <w:vertAlign w:val="superscript"/>
          <w:lang w:val="en-US"/>
        </w:rPr>
        <w:t>2</w:t>
      </w:r>
      <w:r w:rsidRPr="00475FDF">
        <w:rPr>
          <w:rFonts w:eastAsia="Times New Roman" w:cs="Arial"/>
          <w:color w:val="000000"/>
          <w:lang w:val="en-US"/>
        </w:rPr>
        <w:t xml:space="preserve"> </w:t>
      </w:r>
      <w:r w:rsidRPr="00475FDF">
        <w:rPr>
          <w:rFonts w:eastAsia="Times New Roman" w:cs="Arial"/>
          <w:color w:val="000000"/>
          <w:lang w:eastAsia="bg-BG"/>
        </w:rPr>
        <w:t xml:space="preserve">дневно за деца и възрастни в хронична фаза на ХМЛ и в авансирала фаза на ХМЛ (не трябва да превишава общата доза от 800 </w:t>
      </w:r>
      <w:r w:rsidRPr="00475FDF">
        <w:rPr>
          <w:rFonts w:eastAsia="Times New Roman" w:cs="Arial"/>
          <w:color w:val="000000"/>
          <w:lang w:val="en-US"/>
        </w:rPr>
        <w:t xml:space="preserve">mg). </w:t>
      </w:r>
      <w:r w:rsidRPr="00475FDF">
        <w:rPr>
          <w:rFonts w:eastAsia="Times New Roman" w:cs="Arial"/>
          <w:color w:val="000000"/>
          <w:lang w:eastAsia="bg-BG"/>
        </w:rPr>
        <w:t>Лечението може да се прилага като еднократна дневна доза или като алтернатива дневната доза да се раздели на два приема - един сутрин и един вечер. Препоръката за дозата понастоящем се основава на малък брой педиатрични пациенти (вж. точки 5.1 и 5.2).</w:t>
      </w:r>
    </w:p>
    <w:p w14:paraId="1681A7FB" w14:textId="77777777" w:rsidR="00475FDF" w:rsidRPr="00475FDF" w:rsidRDefault="00475FDF" w:rsidP="00475FDF">
      <w:pPr>
        <w:spacing w:line="240" w:lineRule="auto"/>
        <w:rPr>
          <w:rFonts w:eastAsia="Times New Roman" w:cs="Arial"/>
          <w:color w:val="000000"/>
          <w:lang w:eastAsia="bg-BG"/>
        </w:rPr>
      </w:pPr>
    </w:p>
    <w:p w14:paraId="0791EE45" w14:textId="36347BE4"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t>Липсва опит с лечението на деца под 2 годишна възраст.</w:t>
      </w:r>
    </w:p>
    <w:p w14:paraId="638D1391" w14:textId="77777777" w:rsidR="00475FDF" w:rsidRPr="00475FDF" w:rsidRDefault="00475FDF" w:rsidP="00475FDF">
      <w:pPr>
        <w:spacing w:line="240" w:lineRule="auto"/>
        <w:rPr>
          <w:rFonts w:eastAsia="Times New Roman" w:cs="Arial"/>
          <w:color w:val="000000"/>
          <w:lang w:eastAsia="bg-BG"/>
        </w:rPr>
      </w:pPr>
    </w:p>
    <w:p w14:paraId="046E72FC" w14:textId="47B41B6E"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t xml:space="preserve">Увеличаване на дозата от 340 </w:t>
      </w:r>
      <w:r w:rsidRPr="00475FDF">
        <w:rPr>
          <w:rFonts w:eastAsia="Times New Roman" w:cs="Arial"/>
          <w:color w:val="000000"/>
          <w:lang w:val="en-US"/>
        </w:rPr>
        <w:t>mg/m</w:t>
      </w:r>
      <w:r w:rsidRPr="00475FDF">
        <w:rPr>
          <w:rFonts w:eastAsia="Times New Roman" w:cs="Arial"/>
          <w:color w:val="000000"/>
          <w:vertAlign w:val="superscript"/>
          <w:lang w:val="en-US"/>
        </w:rPr>
        <w:t>2</w:t>
      </w:r>
      <w:r w:rsidRPr="00475FDF">
        <w:rPr>
          <w:rFonts w:eastAsia="Times New Roman" w:cs="Arial"/>
          <w:color w:val="000000"/>
          <w:lang w:val="en-US"/>
        </w:rPr>
        <w:t xml:space="preserve"> </w:t>
      </w:r>
      <w:r w:rsidRPr="00475FDF">
        <w:rPr>
          <w:rFonts w:eastAsia="Times New Roman" w:cs="Arial"/>
          <w:color w:val="000000"/>
          <w:lang w:eastAsia="bg-BG"/>
        </w:rPr>
        <w:t xml:space="preserve">дневно до 570 </w:t>
      </w:r>
      <w:r w:rsidRPr="00475FDF">
        <w:rPr>
          <w:rFonts w:eastAsia="Times New Roman" w:cs="Arial"/>
          <w:color w:val="000000"/>
          <w:lang w:val="en-US"/>
        </w:rPr>
        <w:t>mg/m</w:t>
      </w:r>
      <w:r w:rsidRPr="00475FDF">
        <w:rPr>
          <w:rFonts w:eastAsia="Times New Roman" w:cs="Arial"/>
          <w:color w:val="000000"/>
          <w:vertAlign w:val="superscript"/>
          <w:lang w:val="en-US"/>
        </w:rPr>
        <w:t>2</w:t>
      </w:r>
      <w:r w:rsidRPr="00475FDF">
        <w:rPr>
          <w:rFonts w:eastAsia="Times New Roman" w:cs="Arial"/>
          <w:color w:val="000000"/>
          <w:lang w:val="en-US"/>
        </w:rPr>
        <w:t xml:space="preserve"> </w:t>
      </w:r>
      <w:r w:rsidRPr="00475FDF">
        <w:rPr>
          <w:rFonts w:eastAsia="Times New Roman" w:cs="Arial"/>
          <w:color w:val="000000"/>
          <w:lang w:eastAsia="bg-BG"/>
        </w:rPr>
        <w:t xml:space="preserve">дневно (не трябва да превишава общата доза от 800 </w:t>
      </w:r>
      <w:r w:rsidRPr="00475FDF">
        <w:rPr>
          <w:rFonts w:eastAsia="Times New Roman" w:cs="Arial"/>
          <w:color w:val="000000"/>
          <w:lang w:val="en-US"/>
        </w:rPr>
        <w:t xml:space="preserve">mg) </w:t>
      </w:r>
      <w:r w:rsidRPr="00475FDF">
        <w:rPr>
          <w:rFonts w:eastAsia="Times New Roman" w:cs="Arial"/>
          <w:color w:val="000000"/>
          <w:lang w:eastAsia="bg-BG"/>
        </w:rPr>
        <w:t>може да бъде обсъждано при деца и възрастни при липса на тежки нежелани лекарствени реакции и тежка несвързана с левкемията неутропения или тромбоцитопения, при следните обстоятелства: прогресия на заболяването (по всяко време); неуспех за постигане на задоволителен хематологичен отговор след поне 3 месеца на лечение; неуспех за постигане на цитогенетичен отговор след 12 месеца на лечение; или загуба на постигнат преди това хематологичен и/или цитогенетичен отговор. Пациентите трябва да бъдат наблюдавани внимателно след увеличаване на дозата като се има в предвид потенциала за повишена честота на нежелани лекарствени реакции при по-високи дози.</w:t>
      </w:r>
    </w:p>
    <w:p w14:paraId="5E4A18E8" w14:textId="77777777" w:rsidR="00475FDF" w:rsidRPr="00475FDF" w:rsidRDefault="00475FDF" w:rsidP="00475FDF">
      <w:pPr>
        <w:spacing w:line="240" w:lineRule="auto"/>
        <w:rPr>
          <w:rFonts w:eastAsia="Times New Roman" w:cs="Arial"/>
          <w:color w:val="000000"/>
          <w:u w:val="single"/>
          <w:lang w:eastAsia="bg-BG"/>
        </w:rPr>
      </w:pPr>
    </w:p>
    <w:p w14:paraId="1C3DDD94" w14:textId="785E8CBD"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u w:val="single"/>
          <w:lang w:eastAsia="bg-BG"/>
        </w:rPr>
        <w:t xml:space="preserve">Дозиране при </w:t>
      </w:r>
      <w:r w:rsidRPr="00475FDF">
        <w:rPr>
          <w:rFonts w:eastAsia="Times New Roman" w:cs="Arial"/>
          <w:color w:val="000000"/>
          <w:u w:val="single"/>
          <w:lang w:val="en-US"/>
        </w:rPr>
        <w:t>Ph</w:t>
      </w:r>
      <w:r w:rsidRPr="00475FDF">
        <w:rPr>
          <w:rFonts w:eastAsia="Times New Roman" w:cs="Arial"/>
          <w:color w:val="000000"/>
          <w:u w:val="single"/>
          <w:lang w:eastAsia="bg-BG"/>
        </w:rPr>
        <w:t>+ОЛЛ при възрастни пациенти</w:t>
      </w:r>
    </w:p>
    <w:p w14:paraId="0C6A3ACE" w14:textId="3283764F"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t xml:space="preserve">Препоръчваната доза Меаксин е 600 </w:t>
      </w:r>
      <w:r w:rsidRPr="00475FDF">
        <w:rPr>
          <w:rFonts w:eastAsia="Times New Roman" w:cs="Arial"/>
          <w:color w:val="000000"/>
          <w:lang w:val="en-US"/>
        </w:rPr>
        <w:t>mg</w:t>
      </w:r>
      <w:r w:rsidRPr="00475FDF">
        <w:rPr>
          <w:rFonts w:eastAsia="Times New Roman" w:cs="Arial"/>
          <w:color w:val="000000"/>
          <w:lang w:eastAsia="bg-BG"/>
        </w:rPr>
        <w:t xml:space="preserve">/ден при възрастни пациенти с </w:t>
      </w:r>
      <w:r w:rsidRPr="00475FDF">
        <w:rPr>
          <w:rFonts w:eastAsia="Times New Roman" w:cs="Arial"/>
          <w:color w:val="000000"/>
          <w:lang w:val="en-US"/>
        </w:rPr>
        <w:t>Ph</w:t>
      </w:r>
      <w:r w:rsidRPr="00475FDF">
        <w:rPr>
          <w:rFonts w:eastAsia="Times New Roman" w:cs="Arial"/>
          <w:color w:val="000000"/>
          <w:lang w:eastAsia="bg-BG"/>
        </w:rPr>
        <w:t>+ОЛЛ. Хематолозите, експерти в лечението на това заболяване, трябва да проследяват терапията във всичките й фази.</w:t>
      </w:r>
    </w:p>
    <w:p w14:paraId="33FE0F2C" w14:textId="77777777" w:rsidR="00475FDF" w:rsidRPr="00475FDF" w:rsidRDefault="00475FDF" w:rsidP="00475FDF">
      <w:pPr>
        <w:spacing w:line="240" w:lineRule="auto"/>
        <w:rPr>
          <w:rFonts w:eastAsia="Times New Roman" w:cs="Arial"/>
          <w:color w:val="000000"/>
          <w:lang w:eastAsia="bg-BG"/>
        </w:rPr>
      </w:pPr>
    </w:p>
    <w:p w14:paraId="033349BB" w14:textId="27399059"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t xml:space="preserve">Схема на лечение: Въз основа на наличните данни, е показано, че иматиниб е ефикасен и безопасен когато е прилаган в дози от 600 </w:t>
      </w:r>
      <w:r w:rsidRPr="00475FDF">
        <w:rPr>
          <w:rFonts w:eastAsia="Times New Roman" w:cs="Arial"/>
          <w:color w:val="000000"/>
          <w:lang w:val="en-US"/>
        </w:rPr>
        <w:t>mg</w:t>
      </w:r>
      <w:r w:rsidRPr="00475FDF">
        <w:rPr>
          <w:rFonts w:eastAsia="Times New Roman" w:cs="Arial"/>
          <w:color w:val="000000"/>
          <w:lang w:eastAsia="bg-BG"/>
        </w:rPr>
        <w:t>/ден в комбинация с химиотерапия във фазата на индукция, фазите на консолидация и поддържане на химиотерапията (вж, точка 5.1)</w:t>
      </w:r>
      <w:r w:rsidRPr="00475FDF">
        <w:rPr>
          <w:rFonts w:eastAsia="Times New Roman" w:cs="Arial"/>
          <w:color w:val="000000"/>
          <w:lang w:val="en-US"/>
        </w:rPr>
        <w:t xml:space="preserve"> </w:t>
      </w:r>
      <w:r w:rsidRPr="00475FDF">
        <w:rPr>
          <w:rFonts w:eastAsia="Times New Roman" w:cs="Arial"/>
          <w:color w:val="000000"/>
          <w:lang w:eastAsia="bg-BG"/>
        </w:rPr>
        <w:t xml:space="preserve">при възрастни с новодиагностицирана </w:t>
      </w:r>
      <w:r w:rsidRPr="00475FDF">
        <w:rPr>
          <w:rFonts w:eastAsia="Times New Roman" w:cs="Arial"/>
          <w:color w:val="000000"/>
          <w:lang w:val="en-US"/>
        </w:rPr>
        <w:t xml:space="preserve">Ph+ </w:t>
      </w:r>
      <w:r w:rsidRPr="00475FDF">
        <w:rPr>
          <w:rFonts w:eastAsia="Times New Roman" w:cs="Arial"/>
          <w:color w:val="000000"/>
          <w:lang w:eastAsia="bg-BG"/>
        </w:rPr>
        <w:t>ОЛЛ. Продължителността на лечението с иматиниб може да бъде различна в зависимост от избраната програма за лечение, но като цяло по-продължителният прием на иматиниб е дал по-добри резултати.</w:t>
      </w:r>
    </w:p>
    <w:p w14:paraId="59B288E6" w14:textId="66636379" w:rsidR="00475FDF" w:rsidRDefault="00475FDF" w:rsidP="0091385D"/>
    <w:p w14:paraId="230EF69F" w14:textId="77777777"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t xml:space="preserve">При възрастни пациенти с рецидив или рефрактерна </w:t>
      </w:r>
      <w:r w:rsidRPr="00475FDF">
        <w:rPr>
          <w:rFonts w:eastAsia="Times New Roman" w:cs="Arial"/>
          <w:color w:val="000000"/>
          <w:lang w:val="en-US"/>
        </w:rPr>
        <w:t>Ph</w:t>
      </w:r>
      <w:r w:rsidRPr="00475FDF">
        <w:rPr>
          <w:rFonts w:eastAsia="Times New Roman" w:cs="Arial"/>
          <w:color w:val="000000"/>
          <w:lang w:eastAsia="bg-BG"/>
        </w:rPr>
        <w:t xml:space="preserve">+ОЛЛ, монотерапията с иматиниб от 600 </w:t>
      </w:r>
      <w:r w:rsidRPr="00475FDF">
        <w:rPr>
          <w:rFonts w:eastAsia="Times New Roman" w:cs="Arial"/>
          <w:color w:val="000000"/>
          <w:lang w:val="en-US"/>
        </w:rPr>
        <w:t>mg</w:t>
      </w:r>
      <w:r w:rsidRPr="00475FDF">
        <w:rPr>
          <w:rFonts w:eastAsia="Times New Roman" w:cs="Arial"/>
          <w:color w:val="000000"/>
          <w:lang w:eastAsia="bg-BG"/>
        </w:rPr>
        <w:t>/ден е безопасна, ефективна и може да бъде прилагана до настъпване на прогресия на заболяването.</w:t>
      </w:r>
    </w:p>
    <w:p w14:paraId="5FFDE767" w14:textId="77777777" w:rsidR="00475FDF" w:rsidRPr="00475FDF" w:rsidRDefault="00475FDF" w:rsidP="00475FDF">
      <w:pPr>
        <w:spacing w:line="240" w:lineRule="auto"/>
        <w:rPr>
          <w:rFonts w:eastAsia="Times New Roman" w:cs="Arial"/>
          <w:color w:val="000000"/>
          <w:u w:val="single"/>
          <w:lang w:eastAsia="bg-BG"/>
        </w:rPr>
      </w:pPr>
    </w:p>
    <w:p w14:paraId="1017F99F" w14:textId="6138ED8B"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u w:val="single"/>
          <w:lang w:eastAsia="bg-BG"/>
        </w:rPr>
        <w:t xml:space="preserve">Дозиране при </w:t>
      </w:r>
      <w:r w:rsidRPr="00475FDF">
        <w:rPr>
          <w:rFonts w:eastAsia="Times New Roman" w:cs="Arial"/>
          <w:color w:val="000000"/>
          <w:u w:val="single"/>
          <w:lang w:val="en-US"/>
        </w:rPr>
        <w:t>Ph</w:t>
      </w:r>
      <w:r w:rsidRPr="00475FDF">
        <w:rPr>
          <w:rFonts w:eastAsia="Times New Roman" w:cs="Arial"/>
          <w:color w:val="000000"/>
          <w:u w:val="single"/>
          <w:lang w:eastAsia="bg-BG"/>
        </w:rPr>
        <w:t>+ОЛЛ при деца</w:t>
      </w:r>
    </w:p>
    <w:p w14:paraId="02D003A9" w14:textId="77777777"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t xml:space="preserve">Дозата при деца се изчислява на базата на телесната повърхност </w:t>
      </w:r>
      <w:r w:rsidRPr="00475FDF">
        <w:rPr>
          <w:rFonts w:eastAsia="Times New Roman" w:cs="Arial"/>
          <w:color w:val="000000"/>
          <w:lang w:val="en-US"/>
        </w:rPr>
        <w:t>(mg/m</w:t>
      </w:r>
      <w:r w:rsidRPr="00475FDF">
        <w:rPr>
          <w:rFonts w:eastAsia="Times New Roman" w:cs="Arial"/>
          <w:color w:val="000000"/>
          <w:vertAlign w:val="superscript"/>
          <w:lang w:val="en-US"/>
        </w:rPr>
        <w:t>2</w:t>
      </w:r>
      <w:r w:rsidRPr="00475FDF">
        <w:rPr>
          <w:rFonts w:eastAsia="Times New Roman" w:cs="Arial"/>
          <w:color w:val="000000"/>
          <w:lang w:val="en-US"/>
        </w:rPr>
        <w:t xml:space="preserve">). </w:t>
      </w:r>
      <w:r w:rsidRPr="00475FDF">
        <w:rPr>
          <w:rFonts w:eastAsia="Times New Roman" w:cs="Arial"/>
          <w:color w:val="000000"/>
          <w:lang w:eastAsia="bg-BG"/>
        </w:rPr>
        <w:t xml:space="preserve">Препоръчва се доза от 340 </w:t>
      </w:r>
      <w:r w:rsidRPr="00475FDF">
        <w:rPr>
          <w:rFonts w:eastAsia="Times New Roman" w:cs="Arial"/>
          <w:color w:val="000000"/>
          <w:lang w:val="en-US"/>
        </w:rPr>
        <w:t>mg/m</w:t>
      </w:r>
      <w:r w:rsidRPr="00475FDF">
        <w:rPr>
          <w:rFonts w:eastAsia="Times New Roman" w:cs="Arial"/>
          <w:color w:val="000000"/>
          <w:vertAlign w:val="superscript"/>
          <w:lang w:val="en-US"/>
        </w:rPr>
        <w:t>2</w:t>
      </w:r>
      <w:r w:rsidRPr="00475FDF">
        <w:rPr>
          <w:rFonts w:eastAsia="Times New Roman" w:cs="Arial"/>
          <w:color w:val="000000"/>
          <w:lang w:val="en-US"/>
        </w:rPr>
        <w:t xml:space="preserve"> </w:t>
      </w:r>
      <w:r w:rsidRPr="00475FDF">
        <w:rPr>
          <w:rFonts w:eastAsia="Times New Roman" w:cs="Arial"/>
          <w:color w:val="000000"/>
          <w:lang w:eastAsia="bg-BG"/>
        </w:rPr>
        <w:t xml:space="preserve">дневно при деца с </w:t>
      </w:r>
      <w:r w:rsidRPr="00475FDF">
        <w:rPr>
          <w:rFonts w:eastAsia="Times New Roman" w:cs="Arial"/>
          <w:color w:val="000000"/>
          <w:lang w:val="en-US"/>
        </w:rPr>
        <w:t>Ph</w:t>
      </w:r>
      <w:r w:rsidRPr="00475FDF">
        <w:rPr>
          <w:rFonts w:eastAsia="Times New Roman" w:cs="Arial"/>
          <w:color w:val="000000"/>
          <w:lang w:eastAsia="bg-BG"/>
        </w:rPr>
        <w:t xml:space="preserve">+ОЛЛ (не трябва да се превишава общата доза от 600 </w:t>
      </w:r>
      <w:r w:rsidRPr="00475FDF">
        <w:rPr>
          <w:rFonts w:eastAsia="Times New Roman" w:cs="Arial"/>
          <w:color w:val="000000"/>
          <w:lang w:val="en-US"/>
        </w:rPr>
        <w:t>mg).</w:t>
      </w:r>
    </w:p>
    <w:p w14:paraId="5523969A" w14:textId="77777777" w:rsidR="00475FDF" w:rsidRPr="00475FDF" w:rsidRDefault="00475FDF" w:rsidP="00475FDF">
      <w:pPr>
        <w:spacing w:line="240" w:lineRule="auto"/>
        <w:rPr>
          <w:rFonts w:eastAsia="Times New Roman" w:cs="Arial"/>
          <w:color w:val="000000"/>
          <w:u w:val="single"/>
          <w:lang w:eastAsia="bg-BG"/>
        </w:rPr>
      </w:pPr>
    </w:p>
    <w:p w14:paraId="01291508" w14:textId="2AA34890"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u w:val="single"/>
          <w:lang w:eastAsia="bg-BG"/>
        </w:rPr>
        <w:t>Дозиране при МДС/МПЗ</w:t>
      </w:r>
    </w:p>
    <w:p w14:paraId="201894F3" w14:textId="77777777"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t xml:space="preserve">Препоръчваната доза Меаксин е 400 </w:t>
      </w:r>
      <w:r w:rsidRPr="00475FDF">
        <w:rPr>
          <w:rFonts w:eastAsia="Times New Roman" w:cs="Arial"/>
          <w:color w:val="000000"/>
          <w:lang w:val="en-US"/>
        </w:rPr>
        <w:t>mg</w:t>
      </w:r>
      <w:r w:rsidRPr="00475FDF">
        <w:rPr>
          <w:rFonts w:eastAsia="Times New Roman" w:cs="Arial"/>
          <w:color w:val="000000"/>
          <w:lang w:eastAsia="bg-BG"/>
        </w:rPr>
        <w:t>/ден при възрастни пациенти с МДС/МПЗ.</w:t>
      </w:r>
    </w:p>
    <w:p w14:paraId="545FB7D7" w14:textId="77777777" w:rsidR="00475FDF" w:rsidRPr="00475FDF" w:rsidRDefault="00475FDF" w:rsidP="00475FDF">
      <w:pPr>
        <w:spacing w:line="240" w:lineRule="auto"/>
        <w:rPr>
          <w:rFonts w:eastAsia="Times New Roman" w:cs="Arial"/>
          <w:color w:val="000000"/>
          <w:lang w:eastAsia="bg-BG"/>
        </w:rPr>
      </w:pPr>
    </w:p>
    <w:p w14:paraId="6A16EBDC" w14:textId="51556710"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t>Продължителност на лечението: в единственото клинично проучване проведено досега, лечението с иматиниб е продължило до прогресия на заболяването (вж. точка 5.1). Към момента на анализа, средната продължителност на лечението е била 47 месеца (24 дни - 60 месеца).</w:t>
      </w:r>
    </w:p>
    <w:p w14:paraId="5F0EC2DA" w14:textId="77777777" w:rsidR="00475FDF" w:rsidRPr="00475FDF" w:rsidRDefault="00475FDF" w:rsidP="00475FDF">
      <w:pPr>
        <w:spacing w:line="240" w:lineRule="auto"/>
        <w:rPr>
          <w:rFonts w:eastAsia="Times New Roman" w:cs="Arial"/>
          <w:color w:val="000000"/>
          <w:u w:val="single"/>
          <w:lang w:eastAsia="bg-BG"/>
        </w:rPr>
      </w:pPr>
    </w:p>
    <w:p w14:paraId="0C634FD2" w14:textId="797A2C9F"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u w:val="single"/>
          <w:lang w:eastAsia="bg-BG"/>
        </w:rPr>
        <w:t>Дозиране при ХЕС/ХЕЛ</w:t>
      </w:r>
    </w:p>
    <w:p w14:paraId="58F9F4DE" w14:textId="77777777"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t xml:space="preserve">Препоръчваната доза Меаксин е 100 </w:t>
      </w:r>
      <w:r w:rsidRPr="00475FDF">
        <w:rPr>
          <w:rFonts w:eastAsia="Times New Roman" w:cs="Arial"/>
          <w:color w:val="000000"/>
          <w:lang w:val="en-US"/>
        </w:rPr>
        <w:t>mg</w:t>
      </w:r>
      <w:r w:rsidRPr="00475FDF">
        <w:rPr>
          <w:rFonts w:eastAsia="Times New Roman" w:cs="Arial"/>
          <w:color w:val="000000"/>
          <w:lang w:eastAsia="bg-BG"/>
        </w:rPr>
        <w:t>/ден при възрастни пациенти с ХЕС/ХЕЛ.</w:t>
      </w:r>
    </w:p>
    <w:p w14:paraId="1BF0A1C1" w14:textId="77777777" w:rsidR="00475FDF" w:rsidRPr="00475FDF" w:rsidRDefault="00475FDF" w:rsidP="00475FDF">
      <w:pPr>
        <w:spacing w:line="240" w:lineRule="auto"/>
        <w:rPr>
          <w:rFonts w:eastAsia="Times New Roman" w:cs="Arial"/>
          <w:color w:val="000000"/>
          <w:lang w:eastAsia="bg-BG"/>
        </w:rPr>
      </w:pPr>
    </w:p>
    <w:p w14:paraId="0833D0BA" w14:textId="771C8393"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t xml:space="preserve">Увеличаване на дозата от 100 </w:t>
      </w:r>
      <w:r w:rsidRPr="00475FDF">
        <w:rPr>
          <w:rFonts w:eastAsia="Times New Roman" w:cs="Arial"/>
          <w:color w:val="000000"/>
          <w:lang w:val="en-US"/>
        </w:rPr>
        <w:t xml:space="preserve">mg </w:t>
      </w:r>
      <w:r w:rsidRPr="00475FDF">
        <w:rPr>
          <w:rFonts w:eastAsia="Times New Roman" w:cs="Arial"/>
          <w:color w:val="000000"/>
          <w:lang w:eastAsia="bg-BG"/>
        </w:rPr>
        <w:t xml:space="preserve">на 400 </w:t>
      </w:r>
      <w:r w:rsidRPr="00475FDF">
        <w:rPr>
          <w:rFonts w:eastAsia="Times New Roman" w:cs="Arial"/>
          <w:color w:val="000000"/>
          <w:lang w:val="en-US"/>
        </w:rPr>
        <w:t xml:space="preserve">mg </w:t>
      </w:r>
      <w:r w:rsidRPr="00475FDF">
        <w:rPr>
          <w:rFonts w:eastAsia="Times New Roman" w:cs="Arial"/>
          <w:color w:val="000000"/>
          <w:lang w:eastAsia="bg-BG"/>
        </w:rPr>
        <w:t>може да се има предвид при липса на нежелани лекарствени реакции, ако оценката свидетелства за незадоволителен терапевтичен отговор.</w:t>
      </w:r>
    </w:p>
    <w:p w14:paraId="0225CDF2" w14:textId="77777777" w:rsidR="00475FDF" w:rsidRPr="00475FDF" w:rsidRDefault="00475FDF" w:rsidP="00475FDF">
      <w:pPr>
        <w:spacing w:line="240" w:lineRule="auto"/>
        <w:rPr>
          <w:rFonts w:eastAsia="Times New Roman" w:cs="Arial"/>
          <w:color w:val="000000"/>
          <w:lang w:eastAsia="bg-BG"/>
        </w:rPr>
      </w:pPr>
    </w:p>
    <w:p w14:paraId="46DB2E83" w14:textId="5455FF09"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t>Лечението трябва да се продължи докато пациентът се повлиява от него.</w:t>
      </w:r>
    </w:p>
    <w:p w14:paraId="4B853EC7" w14:textId="77777777" w:rsidR="00475FDF" w:rsidRPr="00475FDF" w:rsidRDefault="00475FDF" w:rsidP="00475FDF">
      <w:pPr>
        <w:spacing w:line="240" w:lineRule="auto"/>
        <w:rPr>
          <w:rFonts w:eastAsia="Times New Roman" w:cs="Arial"/>
          <w:color w:val="000000"/>
          <w:u w:val="single"/>
          <w:lang w:eastAsia="bg-BG"/>
        </w:rPr>
      </w:pPr>
    </w:p>
    <w:p w14:paraId="6194213E" w14:textId="7F5A6FF0"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u w:val="single"/>
          <w:lang w:eastAsia="bg-BG"/>
        </w:rPr>
        <w:t>Дозиране при ГИСТ</w:t>
      </w:r>
    </w:p>
    <w:p w14:paraId="0ACC3692" w14:textId="77777777"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t xml:space="preserve">При възрастни пациенти с неподлежащи на резекция и/или метастатични малигнени ГИСТ препоръчваната доза на Меаксин е 400 </w:t>
      </w:r>
      <w:r w:rsidRPr="00475FDF">
        <w:rPr>
          <w:rFonts w:eastAsia="Times New Roman" w:cs="Arial"/>
          <w:color w:val="000000"/>
          <w:lang w:val="en-US"/>
        </w:rPr>
        <w:t>mg</w:t>
      </w:r>
      <w:r w:rsidRPr="00475FDF">
        <w:rPr>
          <w:rFonts w:eastAsia="Times New Roman" w:cs="Arial"/>
          <w:color w:val="000000"/>
          <w:lang w:eastAsia="bg-BG"/>
        </w:rPr>
        <w:t>/ден.</w:t>
      </w:r>
    </w:p>
    <w:p w14:paraId="3CD70481" w14:textId="77777777" w:rsidR="00475FDF" w:rsidRPr="00475FDF" w:rsidRDefault="00475FDF" w:rsidP="00475FDF">
      <w:pPr>
        <w:spacing w:line="240" w:lineRule="auto"/>
        <w:rPr>
          <w:rFonts w:eastAsia="Times New Roman" w:cs="Arial"/>
          <w:color w:val="000000"/>
          <w:lang w:eastAsia="bg-BG"/>
        </w:rPr>
      </w:pPr>
    </w:p>
    <w:p w14:paraId="575639DB" w14:textId="51C63B1F"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t xml:space="preserve">Известни са ограничени данни за ефекта на повишението на дозата от 400 </w:t>
      </w:r>
      <w:r w:rsidRPr="00475FDF">
        <w:rPr>
          <w:rFonts w:eastAsia="Times New Roman" w:cs="Arial"/>
          <w:color w:val="000000"/>
          <w:lang w:val="en-US"/>
        </w:rPr>
        <w:t xml:space="preserve">mg </w:t>
      </w:r>
      <w:r w:rsidRPr="00475FDF">
        <w:rPr>
          <w:rFonts w:eastAsia="Times New Roman" w:cs="Arial"/>
          <w:color w:val="000000"/>
          <w:lang w:eastAsia="bg-BG"/>
        </w:rPr>
        <w:t xml:space="preserve">до 600 </w:t>
      </w:r>
      <w:r w:rsidRPr="00475FDF">
        <w:rPr>
          <w:rFonts w:eastAsia="Times New Roman" w:cs="Arial"/>
          <w:color w:val="000000"/>
          <w:lang w:val="en-US"/>
        </w:rPr>
        <w:t xml:space="preserve">mg </w:t>
      </w:r>
      <w:r w:rsidRPr="00475FDF">
        <w:rPr>
          <w:rFonts w:eastAsia="Times New Roman" w:cs="Arial"/>
          <w:color w:val="000000"/>
          <w:lang w:eastAsia="bg-BG"/>
        </w:rPr>
        <w:t xml:space="preserve">или 800 </w:t>
      </w:r>
      <w:r w:rsidRPr="00475FDF">
        <w:rPr>
          <w:rFonts w:eastAsia="Times New Roman" w:cs="Arial"/>
          <w:color w:val="000000"/>
          <w:lang w:val="en-US"/>
        </w:rPr>
        <w:t xml:space="preserve">mg </w:t>
      </w:r>
      <w:r w:rsidRPr="00475FDF">
        <w:rPr>
          <w:rFonts w:eastAsia="Times New Roman" w:cs="Arial"/>
          <w:color w:val="000000"/>
          <w:lang w:eastAsia="bg-BG"/>
        </w:rPr>
        <w:t>при пациенти с прогресия при по-ниската доза (вж. точка 5.1).</w:t>
      </w:r>
    </w:p>
    <w:p w14:paraId="3C025E99" w14:textId="77777777" w:rsidR="00475FDF" w:rsidRPr="00475FDF" w:rsidRDefault="00475FDF" w:rsidP="00475FDF">
      <w:pPr>
        <w:spacing w:line="240" w:lineRule="auto"/>
        <w:rPr>
          <w:rFonts w:eastAsia="Times New Roman" w:cs="Arial"/>
          <w:color w:val="000000"/>
          <w:lang w:eastAsia="bg-BG"/>
        </w:rPr>
      </w:pPr>
    </w:p>
    <w:p w14:paraId="21F676F4" w14:textId="1FD4A673"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t>Продължителност на лечението: При клиничните проучвания при пациенти с ГИСТ лечението с иматиниб продължава до прогресиране на заболяването. Към момента на анализа продължителността на лечението е средно 7 месеца (7 дни до 13 месеца). Не е изследван ефектът от спирането на лечението след постигане на отговор.</w:t>
      </w:r>
    </w:p>
    <w:p w14:paraId="43B4B341" w14:textId="77777777" w:rsidR="00475FDF" w:rsidRPr="00475FDF" w:rsidRDefault="00475FDF" w:rsidP="00475FDF">
      <w:pPr>
        <w:spacing w:line="240" w:lineRule="auto"/>
        <w:rPr>
          <w:rFonts w:eastAsia="Times New Roman" w:cs="Arial"/>
          <w:color w:val="000000"/>
          <w:lang w:eastAsia="bg-BG"/>
        </w:rPr>
      </w:pPr>
    </w:p>
    <w:p w14:paraId="073E33CE" w14:textId="41F3DEBC"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t xml:space="preserve">Препоръчваната доза Меаксин, прилаган като адювантна терапия при възрастни пациенти след резекция на ГИСТ, е 400 </w:t>
      </w:r>
      <w:r w:rsidRPr="00475FDF">
        <w:rPr>
          <w:rFonts w:eastAsia="Times New Roman" w:cs="Arial"/>
          <w:color w:val="000000"/>
          <w:lang w:val="en-US"/>
        </w:rPr>
        <w:t>mg</w:t>
      </w:r>
      <w:r w:rsidRPr="00475FDF">
        <w:rPr>
          <w:rFonts w:eastAsia="Times New Roman" w:cs="Arial"/>
          <w:color w:val="000000"/>
          <w:lang w:eastAsia="bg-BG"/>
        </w:rPr>
        <w:t>/ден. Оптималната продължителност на лечението все още не е установена. Продължителността на лечението по време на клиничните изпитвания в подкрепа на тази индикация е била 36 месеца (вж. точка 5.1).</w:t>
      </w:r>
    </w:p>
    <w:p w14:paraId="6B03D6F7" w14:textId="77777777" w:rsidR="00475FDF" w:rsidRPr="00475FDF" w:rsidRDefault="00475FDF" w:rsidP="00475FDF">
      <w:pPr>
        <w:spacing w:line="240" w:lineRule="auto"/>
        <w:rPr>
          <w:rFonts w:eastAsia="Times New Roman" w:cs="Arial"/>
          <w:color w:val="000000"/>
          <w:u w:val="single"/>
          <w:lang w:eastAsia="bg-BG"/>
        </w:rPr>
      </w:pPr>
    </w:p>
    <w:p w14:paraId="78560C0C" w14:textId="064DA01B"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u w:val="single"/>
          <w:lang w:eastAsia="bg-BG"/>
        </w:rPr>
        <w:t>Дозиране при ДФСП</w:t>
      </w:r>
    </w:p>
    <w:p w14:paraId="18191AA1" w14:textId="77777777"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t xml:space="preserve">При възрастни пациенти с ДФСП препоръчваната доза на Меаксин е 800 </w:t>
      </w:r>
      <w:r w:rsidRPr="00475FDF">
        <w:rPr>
          <w:rFonts w:eastAsia="Times New Roman" w:cs="Arial"/>
          <w:color w:val="000000"/>
          <w:lang w:val="en-US"/>
        </w:rPr>
        <w:t>mg</w:t>
      </w:r>
      <w:r w:rsidRPr="00475FDF">
        <w:rPr>
          <w:rFonts w:eastAsia="Times New Roman" w:cs="Arial"/>
          <w:color w:val="000000"/>
          <w:lang w:eastAsia="bg-BG"/>
        </w:rPr>
        <w:t>/ден.</w:t>
      </w:r>
    </w:p>
    <w:p w14:paraId="6BA6D866" w14:textId="77777777" w:rsidR="00475FDF" w:rsidRPr="00475FDF" w:rsidRDefault="00475FDF" w:rsidP="00475FDF">
      <w:pPr>
        <w:spacing w:line="240" w:lineRule="auto"/>
        <w:rPr>
          <w:rFonts w:eastAsia="Times New Roman" w:cs="Arial"/>
          <w:color w:val="000000"/>
          <w:u w:val="single"/>
          <w:lang w:eastAsia="bg-BG"/>
        </w:rPr>
      </w:pPr>
    </w:p>
    <w:p w14:paraId="161F461E" w14:textId="0D5AB38D"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u w:val="single"/>
          <w:lang w:eastAsia="bg-BG"/>
        </w:rPr>
        <w:t>Промяна на дозата при нежелани реакции</w:t>
      </w:r>
    </w:p>
    <w:p w14:paraId="76BD6040" w14:textId="77777777" w:rsidR="00475FDF" w:rsidRPr="00475FDF" w:rsidRDefault="00475FDF" w:rsidP="00475FDF">
      <w:pPr>
        <w:spacing w:line="240" w:lineRule="auto"/>
        <w:rPr>
          <w:rFonts w:eastAsia="Times New Roman" w:cs="Arial"/>
          <w:i/>
          <w:iCs/>
          <w:color w:val="000000"/>
          <w:lang w:eastAsia="bg-BG"/>
        </w:rPr>
      </w:pPr>
    </w:p>
    <w:p w14:paraId="48D1A625" w14:textId="338454FE" w:rsidR="00475FDF" w:rsidRPr="00475FDF" w:rsidRDefault="00475FDF" w:rsidP="00475FDF">
      <w:pPr>
        <w:spacing w:line="240" w:lineRule="auto"/>
        <w:rPr>
          <w:rFonts w:eastAsia="Times New Roman" w:cs="Arial"/>
          <w:sz w:val="24"/>
          <w:szCs w:val="24"/>
          <w:lang w:eastAsia="bg-BG"/>
        </w:rPr>
      </w:pPr>
      <w:r w:rsidRPr="00475FDF">
        <w:rPr>
          <w:rFonts w:eastAsia="Times New Roman" w:cs="Arial"/>
          <w:i/>
          <w:iCs/>
          <w:color w:val="000000"/>
          <w:lang w:eastAsia="bg-BG"/>
        </w:rPr>
        <w:t>Нехематологични нежелани реакции</w:t>
      </w:r>
    </w:p>
    <w:p w14:paraId="2DDFAA97" w14:textId="77777777"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t>Ако при употреба на иматиниб се развие сериозна нехематологична нежелана реакция, лечението трябва да се спре, докато реакцията отзвучи. След това лечението може да се възобнови в зависимост от началната тежест на реакцията.</w:t>
      </w:r>
    </w:p>
    <w:p w14:paraId="017D0062" w14:textId="77777777" w:rsidR="00475FDF" w:rsidRPr="00475FDF" w:rsidRDefault="00475FDF" w:rsidP="00475FDF">
      <w:pPr>
        <w:spacing w:line="240" w:lineRule="auto"/>
        <w:rPr>
          <w:rFonts w:eastAsia="Times New Roman" w:cs="Arial"/>
          <w:color w:val="000000"/>
          <w:lang w:eastAsia="bg-BG"/>
        </w:rPr>
      </w:pPr>
    </w:p>
    <w:p w14:paraId="449A08E0" w14:textId="6CF91AC7"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t>При повишение на билирубина &gt; 3 пъти над горната референтна граница на нормата (</w:t>
      </w:r>
      <w:r w:rsidRPr="00475FDF">
        <w:rPr>
          <w:rFonts w:eastAsia="Times New Roman" w:cs="Arial"/>
          <w:color w:val="000000"/>
          <w:lang w:val="en-US"/>
        </w:rPr>
        <w:t>IULN</w:t>
      </w:r>
      <w:r>
        <w:rPr>
          <w:rFonts w:eastAsia="Times New Roman" w:cs="Arial"/>
          <w:color w:val="000000"/>
          <w:lang w:eastAsia="bg-BG"/>
        </w:rPr>
        <w:t xml:space="preserve">) </w:t>
      </w:r>
      <w:r w:rsidRPr="00475FDF">
        <w:rPr>
          <w:rFonts w:eastAsia="Times New Roman" w:cs="Arial"/>
          <w:color w:val="000000"/>
          <w:lang w:eastAsia="bg-BG"/>
        </w:rPr>
        <w:t xml:space="preserve">или на чернодробните трансаминази &gt; 5 пъти спрямо </w:t>
      </w:r>
      <w:r w:rsidRPr="00475FDF">
        <w:rPr>
          <w:rFonts w:eastAsia="Times New Roman" w:cs="Arial"/>
          <w:color w:val="000000"/>
          <w:lang w:val="en-US"/>
        </w:rPr>
        <w:t xml:space="preserve">IULN </w:t>
      </w:r>
      <w:r w:rsidRPr="00475FDF">
        <w:rPr>
          <w:rFonts w:eastAsia="Times New Roman" w:cs="Arial"/>
          <w:color w:val="000000"/>
          <w:lang w:eastAsia="bg-BG"/>
        </w:rPr>
        <w:t>иматиниб трябва да се спре докато</w:t>
      </w:r>
      <w:r>
        <w:rPr>
          <w:rFonts w:eastAsia="Times New Roman" w:cs="Arial"/>
          <w:sz w:val="24"/>
          <w:szCs w:val="24"/>
          <w:lang w:eastAsia="bg-BG"/>
        </w:rPr>
        <w:t xml:space="preserve"> </w:t>
      </w:r>
      <w:r w:rsidRPr="00475FDF">
        <w:rPr>
          <w:rFonts w:eastAsia="Times New Roman" w:cs="Arial"/>
          <w:color w:val="000000"/>
          <w:lang w:eastAsia="bg-BG"/>
        </w:rPr>
        <w:t xml:space="preserve">нивата на билирубина се върнат до &lt; 1,5 пъти спрямо </w:t>
      </w:r>
      <w:r w:rsidRPr="00475FDF">
        <w:rPr>
          <w:rFonts w:eastAsia="Times New Roman" w:cs="Arial"/>
          <w:color w:val="000000"/>
          <w:lang w:val="en-US"/>
        </w:rPr>
        <w:t xml:space="preserve">IULN, </w:t>
      </w:r>
      <w:r w:rsidRPr="00475FDF">
        <w:rPr>
          <w:rFonts w:eastAsia="Times New Roman" w:cs="Arial"/>
          <w:color w:val="000000"/>
          <w:lang w:eastAsia="bg-BG"/>
        </w:rPr>
        <w:t xml:space="preserve">а нивата на трансаминазите до &lt; 2,5 пъти спрямо </w:t>
      </w:r>
      <w:r w:rsidRPr="00475FDF">
        <w:rPr>
          <w:rFonts w:eastAsia="Times New Roman" w:cs="Arial"/>
          <w:color w:val="000000"/>
          <w:lang w:val="en-US"/>
        </w:rPr>
        <w:t xml:space="preserve">IULN. </w:t>
      </w:r>
      <w:r w:rsidRPr="00475FDF">
        <w:rPr>
          <w:rFonts w:eastAsia="Times New Roman" w:cs="Arial"/>
          <w:color w:val="000000"/>
          <w:lang w:eastAsia="bg-BG"/>
        </w:rPr>
        <w:t xml:space="preserve">Лечението с иматиниб след това може да се продължи с намалена дневна доза. При възрастни дозата трябва да се намали от 400 до 300 </w:t>
      </w:r>
      <w:r w:rsidRPr="00475FDF">
        <w:rPr>
          <w:rFonts w:eastAsia="Times New Roman" w:cs="Arial"/>
          <w:color w:val="000000"/>
          <w:lang w:val="en-US"/>
        </w:rPr>
        <w:t xml:space="preserve">mg </w:t>
      </w:r>
      <w:r w:rsidRPr="00475FDF">
        <w:rPr>
          <w:rFonts w:eastAsia="Times New Roman" w:cs="Arial"/>
          <w:color w:val="000000"/>
          <w:lang w:eastAsia="bg-BG"/>
        </w:rPr>
        <w:t xml:space="preserve">или от 600 на 400 </w:t>
      </w:r>
      <w:r w:rsidRPr="00475FDF">
        <w:rPr>
          <w:rFonts w:eastAsia="Times New Roman" w:cs="Arial"/>
          <w:color w:val="000000"/>
          <w:lang w:val="en-US"/>
        </w:rPr>
        <w:t xml:space="preserve">mg, </w:t>
      </w:r>
      <w:r w:rsidRPr="00475FDF">
        <w:rPr>
          <w:rFonts w:eastAsia="Times New Roman" w:cs="Arial"/>
          <w:color w:val="000000"/>
          <w:lang w:eastAsia="bg-BG"/>
        </w:rPr>
        <w:t xml:space="preserve">или от 800 </w:t>
      </w:r>
      <w:r w:rsidRPr="00475FDF">
        <w:rPr>
          <w:rFonts w:eastAsia="Times New Roman" w:cs="Arial"/>
          <w:color w:val="000000"/>
          <w:lang w:val="en-US"/>
        </w:rPr>
        <w:t xml:space="preserve">mg </w:t>
      </w:r>
      <w:r w:rsidRPr="00475FDF">
        <w:rPr>
          <w:rFonts w:eastAsia="Times New Roman" w:cs="Arial"/>
          <w:color w:val="000000"/>
          <w:lang w:eastAsia="bg-BG"/>
        </w:rPr>
        <w:t xml:space="preserve">на 600 </w:t>
      </w:r>
      <w:r w:rsidRPr="00475FDF">
        <w:rPr>
          <w:rFonts w:eastAsia="Times New Roman" w:cs="Arial"/>
          <w:color w:val="000000"/>
          <w:lang w:val="en-US"/>
        </w:rPr>
        <w:t xml:space="preserve">mg, </w:t>
      </w:r>
      <w:r w:rsidRPr="00475FDF">
        <w:rPr>
          <w:rFonts w:eastAsia="Times New Roman" w:cs="Arial"/>
          <w:color w:val="000000"/>
          <w:lang w:eastAsia="bg-BG"/>
        </w:rPr>
        <w:t xml:space="preserve">а при деца от 340 на 260 </w:t>
      </w:r>
      <w:r w:rsidRPr="00475FDF">
        <w:rPr>
          <w:rFonts w:eastAsia="Times New Roman" w:cs="Arial"/>
          <w:color w:val="000000"/>
          <w:lang w:val="en-US"/>
        </w:rPr>
        <w:t>mg/ m</w:t>
      </w:r>
      <w:r w:rsidRPr="00475FDF">
        <w:rPr>
          <w:rFonts w:eastAsia="Times New Roman" w:cs="Arial"/>
          <w:color w:val="000000"/>
          <w:vertAlign w:val="superscript"/>
          <w:lang w:val="en-US"/>
        </w:rPr>
        <w:t>2</w:t>
      </w:r>
      <w:r w:rsidRPr="00475FDF">
        <w:rPr>
          <w:rFonts w:eastAsia="Times New Roman" w:cs="Arial"/>
          <w:color w:val="000000"/>
          <w:vertAlign w:val="superscript"/>
          <w:lang w:eastAsia="bg-BG"/>
        </w:rPr>
        <w:t>/</w:t>
      </w:r>
      <w:r w:rsidRPr="00475FDF">
        <w:rPr>
          <w:rFonts w:eastAsia="Times New Roman" w:cs="Arial"/>
          <w:color w:val="000000"/>
          <w:lang w:eastAsia="bg-BG"/>
        </w:rPr>
        <w:t>ден.</w:t>
      </w:r>
    </w:p>
    <w:p w14:paraId="3EF5A02B" w14:textId="77777777" w:rsidR="00475FDF" w:rsidRPr="00475FDF" w:rsidRDefault="00475FDF" w:rsidP="00475FDF">
      <w:pPr>
        <w:spacing w:line="240" w:lineRule="auto"/>
        <w:rPr>
          <w:rFonts w:eastAsia="Times New Roman" w:cs="Arial"/>
          <w:i/>
          <w:iCs/>
          <w:color w:val="000000"/>
          <w:lang w:eastAsia="bg-BG"/>
        </w:rPr>
      </w:pPr>
    </w:p>
    <w:p w14:paraId="64534A98" w14:textId="13DDCC5C" w:rsidR="00475FDF" w:rsidRPr="00475FDF" w:rsidRDefault="00475FDF" w:rsidP="00475FDF">
      <w:pPr>
        <w:spacing w:line="240" w:lineRule="auto"/>
        <w:rPr>
          <w:rFonts w:eastAsia="Times New Roman" w:cs="Arial"/>
          <w:sz w:val="24"/>
          <w:szCs w:val="24"/>
          <w:lang w:eastAsia="bg-BG"/>
        </w:rPr>
      </w:pPr>
      <w:r w:rsidRPr="00475FDF">
        <w:rPr>
          <w:rFonts w:eastAsia="Times New Roman" w:cs="Arial"/>
          <w:i/>
          <w:iCs/>
          <w:color w:val="000000"/>
          <w:lang w:eastAsia="bg-BG"/>
        </w:rPr>
        <w:t>Хематологични нежелани реакции</w:t>
      </w:r>
    </w:p>
    <w:p w14:paraId="6A61A586" w14:textId="77777777" w:rsidR="00475FDF" w:rsidRPr="00475FDF" w:rsidRDefault="00475FDF" w:rsidP="00475FDF">
      <w:pPr>
        <w:spacing w:line="240" w:lineRule="auto"/>
        <w:rPr>
          <w:rFonts w:eastAsia="Times New Roman" w:cs="Arial"/>
          <w:sz w:val="24"/>
          <w:szCs w:val="24"/>
          <w:lang w:eastAsia="bg-BG"/>
        </w:rPr>
      </w:pPr>
      <w:r w:rsidRPr="00475FDF">
        <w:rPr>
          <w:rFonts w:eastAsia="Times New Roman" w:cs="Arial"/>
          <w:color w:val="000000"/>
          <w:lang w:eastAsia="bg-BG"/>
        </w:rPr>
        <w:t>Понижаването на дозата или прекъсването на лечението поради тежка неутропения и тромбоцитопения се препоръчват, както е посочено в таблицата по-долу.</w:t>
      </w:r>
    </w:p>
    <w:p w14:paraId="70D386DA" w14:textId="77777777" w:rsidR="00475FDF" w:rsidRPr="00475FDF" w:rsidRDefault="00475FDF" w:rsidP="00475FDF">
      <w:pPr>
        <w:rPr>
          <w:rFonts w:eastAsia="Times New Roman" w:cs="Arial"/>
          <w:color w:val="000000"/>
          <w:lang w:eastAsia="bg-BG"/>
        </w:rPr>
      </w:pPr>
    </w:p>
    <w:p w14:paraId="0DEBFB31" w14:textId="700E54AE" w:rsidR="00475FDF" w:rsidRPr="00475FDF" w:rsidRDefault="00475FDF" w:rsidP="00475FDF">
      <w:pPr>
        <w:rPr>
          <w:rFonts w:cs="Arial"/>
        </w:rPr>
      </w:pPr>
      <w:r w:rsidRPr="00475FDF">
        <w:rPr>
          <w:rFonts w:eastAsia="Times New Roman" w:cs="Arial"/>
          <w:color w:val="000000"/>
          <w:lang w:eastAsia="bg-BG"/>
        </w:rPr>
        <w:t>Промени в дозата при неутропения и тромбоцитопения:</w:t>
      </w:r>
    </w:p>
    <w:p w14:paraId="57591ECD" w14:textId="7DE94BE8" w:rsidR="00475FDF" w:rsidRDefault="00475FDF" w:rsidP="0091385D"/>
    <w:tbl>
      <w:tblPr>
        <w:tblStyle w:val="TableGrid"/>
        <w:tblW w:w="0" w:type="auto"/>
        <w:tblLook w:val="04A0" w:firstRow="1" w:lastRow="0" w:firstColumn="1" w:lastColumn="0" w:noHBand="0" w:noVBand="1"/>
      </w:tblPr>
      <w:tblGrid>
        <w:gridCol w:w="3116"/>
        <w:gridCol w:w="3117"/>
        <w:gridCol w:w="3117"/>
      </w:tblGrid>
      <w:tr w:rsidR="00294674" w14:paraId="19FA61F8" w14:textId="77777777" w:rsidTr="00294674">
        <w:tc>
          <w:tcPr>
            <w:tcW w:w="3116" w:type="dxa"/>
          </w:tcPr>
          <w:p w14:paraId="5BE262A7" w14:textId="05337C20" w:rsidR="00294674" w:rsidRDefault="00294674" w:rsidP="00294674">
            <w:r>
              <w:t xml:space="preserve">ХЕС/ХЕЛ (начална доза 100 </w:t>
            </w:r>
            <w:r>
              <w:rPr>
                <w:lang w:val="en-US"/>
              </w:rPr>
              <w:t>mg)</w:t>
            </w:r>
          </w:p>
        </w:tc>
        <w:tc>
          <w:tcPr>
            <w:tcW w:w="3117" w:type="dxa"/>
          </w:tcPr>
          <w:p w14:paraId="16EF84C6" w14:textId="232D8269" w:rsidR="00294674" w:rsidRDefault="00294674" w:rsidP="00294674">
            <w:r>
              <w:rPr>
                <w:lang w:val="en-US"/>
              </w:rPr>
              <w:t>ANC &lt;1,0 x10</w:t>
            </w:r>
            <w:r>
              <w:rPr>
                <w:vertAlign w:val="superscript"/>
                <w:lang w:val="en-US"/>
              </w:rPr>
              <w:t>9</w:t>
            </w:r>
            <w:r>
              <w:rPr>
                <w:lang w:val="en-US"/>
              </w:rPr>
              <w:t xml:space="preserve">/l </w:t>
            </w:r>
            <w:r>
              <w:t xml:space="preserve">и/или тромбоцити &lt; 50 х </w:t>
            </w:r>
            <w:r>
              <w:rPr>
                <w:lang w:val="en-US"/>
              </w:rPr>
              <w:t>10</w:t>
            </w:r>
            <w:r>
              <w:rPr>
                <w:vertAlign w:val="superscript"/>
                <w:lang w:val="en-US"/>
              </w:rPr>
              <w:t>9</w:t>
            </w:r>
            <w:r>
              <w:rPr>
                <w:lang w:val="en-US"/>
              </w:rPr>
              <w:t>/l</w:t>
            </w:r>
          </w:p>
        </w:tc>
        <w:tc>
          <w:tcPr>
            <w:tcW w:w="3117" w:type="dxa"/>
          </w:tcPr>
          <w:p w14:paraId="47AE8EB7" w14:textId="0EA5E35E" w:rsidR="00294674" w:rsidRDefault="00294674" w:rsidP="00294674">
            <w:pPr>
              <w:pStyle w:val="ListParagraph"/>
              <w:numPr>
                <w:ilvl w:val="0"/>
                <w:numId w:val="41"/>
              </w:numPr>
              <w:spacing w:line="240" w:lineRule="auto"/>
            </w:pPr>
            <w:r>
              <w:t xml:space="preserve">Прекратете приема на иматиниб докато </w:t>
            </w:r>
            <w:r w:rsidRPr="00294674">
              <w:rPr>
                <w:lang w:val="en-US"/>
              </w:rPr>
              <w:lastRenderedPageBreak/>
              <w:t xml:space="preserve">ANC </w:t>
            </w:r>
            <w:r>
              <w:t>≥1,5 х 10</w:t>
            </w:r>
            <w:r w:rsidRPr="00294674">
              <w:rPr>
                <w:vertAlign w:val="superscript"/>
              </w:rPr>
              <w:t>9</w:t>
            </w:r>
            <w:r>
              <w:t xml:space="preserve">/1 и тромбоцитите ≥ 75 х </w:t>
            </w:r>
            <w:r w:rsidRPr="00294674">
              <w:rPr>
                <w:lang w:val="en-US"/>
              </w:rPr>
              <w:t>10</w:t>
            </w:r>
            <w:r w:rsidRPr="00294674">
              <w:rPr>
                <w:vertAlign w:val="superscript"/>
                <w:lang w:val="en-US"/>
              </w:rPr>
              <w:t>9</w:t>
            </w:r>
            <w:r w:rsidRPr="00294674">
              <w:rPr>
                <w:lang w:val="en-US"/>
              </w:rPr>
              <w:t>/l</w:t>
            </w:r>
            <w:r>
              <w:t>.</w:t>
            </w:r>
          </w:p>
          <w:p w14:paraId="0D103B4F" w14:textId="77777777" w:rsidR="00294674" w:rsidRDefault="00294674" w:rsidP="00294674">
            <w:pPr>
              <w:pStyle w:val="ListParagraph"/>
              <w:spacing w:line="240" w:lineRule="auto"/>
            </w:pPr>
          </w:p>
          <w:p w14:paraId="7DC56D2D" w14:textId="4B0987E1" w:rsidR="00294674" w:rsidRDefault="00294674" w:rsidP="00294674">
            <w:pPr>
              <w:pStyle w:val="ListParagraph"/>
              <w:numPr>
                <w:ilvl w:val="0"/>
                <w:numId w:val="41"/>
              </w:numPr>
              <w:spacing w:line="240" w:lineRule="auto"/>
            </w:pPr>
            <w:r>
              <w:t>Възобновете лечението с иматиниб, започвайки от предишната доза (т.е. тази преди сериозна нежелана лекарствена реакция).</w:t>
            </w:r>
          </w:p>
        </w:tc>
      </w:tr>
      <w:tr w:rsidR="00294674" w14:paraId="1EFD1483" w14:textId="77777777" w:rsidTr="00294674">
        <w:tc>
          <w:tcPr>
            <w:tcW w:w="3116" w:type="dxa"/>
          </w:tcPr>
          <w:p w14:paraId="7A96EB95" w14:textId="77777777" w:rsidR="00294674" w:rsidRDefault="00294674" w:rsidP="00294674">
            <w:r>
              <w:lastRenderedPageBreak/>
              <w:t xml:space="preserve">Хронична фаза на ХМЛ, МДС/МПЗ и ГИСТ (начална доза 400 </w:t>
            </w:r>
            <w:r>
              <w:rPr>
                <w:lang w:val="en-US"/>
              </w:rPr>
              <w:t>mg)</w:t>
            </w:r>
          </w:p>
          <w:p w14:paraId="0AD8BE20" w14:textId="77777777" w:rsidR="00294674" w:rsidRDefault="00294674" w:rsidP="00294674">
            <w:r>
              <w:t>ХЕС/ХЕЛ</w:t>
            </w:r>
          </w:p>
          <w:p w14:paraId="358D1C12" w14:textId="38028301" w:rsidR="00294674" w:rsidRDefault="00294674" w:rsidP="00294674">
            <w:r>
              <w:t xml:space="preserve">(в доза от 400 </w:t>
            </w:r>
            <w:r>
              <w:rPr>
                <w:lang w:val="en-US"/>
              </w:rPr>
              <w:t>mg)</w:t>
            </w:r>
          </w:p>
        </w:tc>
        <w:tc>
          <w:tcPr>
            <w:tcW w:w="3117" w:type="dxa"/>
          </w:tcPr>
          <w:p w14:paraId="53688BBD" w14:textId="77777777" w:rsidR="00294674" w:rsidRDefault="00294674" w:rsidP="00294674">
            <w:r>
              <w:rPr>
                <w:lang w:val="en-US"/>
              </w:rPr>
              <w:t xml:space="preserve">ANC </w:t>
            </w:r>
            <w:r>
              <w:t xml:space="preserve">&lt; 1,0 х </w:t>
            </w:r>
            <w:r>
              <w:rPr>
                <w:lang w:val="en-US"/>
              </w:rPr>
              <w:t>10</w:t>
            </w:r>
            <w:r>
              <w:rPr>
                <w:vertAlign w:val="superscript"/>
                <w:lang w:val="en-US"/>
              </w:rPr>
              <w:t>9</w:t>
            </w:r>
            <w:r>
              <w:rPr>
                <w:lang w:val="en-US"/>
              </w:rPr>
              <w:t>/l</w:t>
            </w:r>
            <w:r>
              <w:t xml:space="preserve"> и/или</w:t>
            </w:r>
          </w:p>
          <w:p w14:paraId="017AA221" w14:textId="6CC5AB59" w:rsidR="00294674" w:rsidRDefault="00294674" w:rsidP="00294674">
            <w:r>
              <w:t xml:space="preserve">тромбоцити &lt; 50 х </w:t>
            </w:r>
            <w:r>
              <w:rPr>
                <w:lang w:val="en-US"/>
              </w:rPr>
              <w:t>10</w:t>
            </w:r>
            <w:r>
              <w:rPr>
                <w:vertAlign w:val="superscript"/>
                <w:lang w:val="en-US"/>
              </w:rPr>
              <w:t>9</w:t>
            </w:r>
            <w:r>
              <w:rPr>
                <w:lang w:val="en-US"/>
              </w:rPr>
              <w:t>/l</w:t>
            </w:r>
          </w:p>
        </w:tc>
        <w:tc>
          <w:tcPr>
            <w:tcW w:w="3117" w:type="dxa"/>
          </w:tcPr>
          <w:p w14:paraId="764B5F6D" w14:textId="77777777" w:rsidR="00294674" w:rsidRDefault="00294674" w:rsidP="00294674">
            <w:pPr>
              <w:numPr>
                <w:ilvl w:val="0"/>
                <w:numId w:val="5"/>
              </w:numPr>
              <w:spacing w:line="240" w:lineRule="auto"/>
            </w:pPr>
            <w:r>
              <w:t xml:space="preserve">Прекратете приема на иматиниб докато </w:t>
            </w:r>
            <w:r>
              <w:rPr>
                <w:lang w:val="en-US"/>
              </w:rPr>
              <w:t>ANC</w:t>
            </w:r>
          </w:p>
          <w:p w14:paraId="4498E098" w14:textId="77777777" w:rsidR="00294674" w:rsidRDefault="00294674" w:rsidP="00294674">
            <w:r>
              <w:t xml:space="preserve">≥ 1,5 х </w:t>
            </w:r>
            <w:r>
              <w:rPr>
                <w:lang w:val="en-US"/>
              </w:rPr>
              <w:t>10</w:t>
            </w:r>
            <w:r>
              <w:rPr>
                <w:vertAlign w:val="superscript"/>
                <w:lang w:val="en-US"/>
              </w:rPr>
              <w:t>9</w:t>
            </w:r>
            <w:r>
              <w:rPr>
                <w:lang w:val="en-US"/>
              </w:rPr>
              <w:t>/l</w:t>
            </w:r>
            <w:r>
              <w:t xml:space="preserve"> и тромбоцитите ≥ 75 х </w:t>
            </w:r>
            <w:r>
              <w:rPr>
                <w:lang w:val="en-US"/>
              </w:rPr>
              <w:t>10</w:t>
            </w:r>
            <w:r>
              <w:rPr>
                <w:vertAlign w:val="superscript"/>
                <w:lang w:val="en-US"/>
              </w:rPr>
              <w:t>9</w:t>
            </w:r>
            <w:r>
              <w:rPr>
                <w:lang w:val="en-US"/>
              </w:rPr>
              <w:t>/l</w:t>
            </w:r>
            <w:r>
              <w:t>.</w:t>
            </w:r>
          </w:p>
          <w:p w14:paraId="37ECF4C5" w14:textId="77777777" w:rsidR="00294674" w:rsidRDefault="00294674" w:rsidP="00294674">
            <w:pPr>
              <w:numPr>
                <w:ilvl w:val="0"/>
                <w:numId w:val="5"/>
              </w:numPr>
              <w:spacing w:line="240" w:lineRule="auto"/>
            </w:pPr>
            <w:r>
              <w:t>Възобновете лечението с иматиниб с предишната доза (т.е. преди тежката нежелана реакция).</w:t>
            </w:r>
          </w:p>
          <w:p w14:paraId="18770355" w14:textId="77777777" w:rsidR="00294674" w:rsidRDefault="00294674" w:rsidP="00294674">
            <w:pPr>
              <w:numPr>
                <w:ilvl w:val="0"/>
                <w:numId w:val="5"/>
              </w:numPr>
              <w:spacing w:line="240" w:lineRule="auto"/>
            </w:pPr>
            <w:r>
              <w:t>В случай на повторно понижение на</w:t>
            </w:r>
          </w:p>
          <w:p w14:paraId="58AA7952" w14:textId="28C79E96" w:rsidR="00294674" w:rsidRDefault="00294674" w:rsidP="00294674">
            <w:r>
              <w:rPr>
                <w:lang w:val="en-US"/>
              </w:rPr>
              <w:t xml:space="preserve">ANC </w:t>
            </w:r>
            <w:r>
              <w:t xml:space="preserve">&lt; 1,0 х </w:t>
            </w:r>
            <w:r>
              <w:rPr>
                <w:lang w:val="en-US"/>
              </w:rPr>
              <w:t>10</w:t>
            </w:r>
            <w:r>
              <w:rPr>
                <w:vertAlign w:val="superscript"/>
                <w:lang w:val="en-US"/>
              </w:rPr>
              <w:t>9</w:t>
            </w:r>
            <w:r>
              <w:rPr>
                <w:lang w:val="en-US"/>
              </w:rPr>
              <w:t>/l</w:t>
            </w:r>
            <w:r>
              <w:t xml:space="preserve"> и/или тромбоцити &lt; 50 х </w:t>
            </w:r>
            <w:r>
              <w:rPr>
                <w:lang w:val="en-US"/>
              </w:rPr>
              <w:t>10</w:t>
            </w:r>
            <w:r>
              <w:rPr>
                <w:vertAlign w:val="superscript"/>
                <w:lang w:val="en-US"/>
              </w:rPr>
              <w:t>9</w:t>
            </w:r>
            <w:r>
              <w:rPr>
                <w:lang w:val="en-US"/>
              </w:rPr>
              <w:t>/l</w:t>
            </w:r>
            <w:r>
              <w:t xml:space="preserve">, повторете стъпка 1 и възобновете лечението с иматиниб с намалена доза от 300 </w:t>
            </w:r>
            <w:r>
              <w:rPr>
                <w:lang w:val="en-US"/>
              </w:rPr>
              <w:t>mg.</w:t>
            </w:r>
          </w:p>
        </w:tc>
      </w:tr>
      <w:tr w:rsidR="00294674" w14:paraId="4A8EBABD" w14:textId="77777777" w:rsidTr="00294674">
        <w:tc>
          <w:tcPr>
            <w:tcW w:w="3116" w:type="dxa"/>
          </w:tcPr>
          <w:p w14:paraId="6E089CBC" w14:textId="0D1B97A5" w:rsidR="00294674" w:rsidRDefault="00294674" w:rsidP="00294674">
            <w:r>
              <w:t xml:space="preserve">Хронична фаза на ХМЛ в детска възраст (в доза от 340 </w:t>
            </w:r>
            <w:r>
              <w:rPr>
                <w:lang w:val="en-US"/>
              </w:rPr>
              <w:t>mg/m</w:t>
            </w:r>
            <w:r>
              <w:rPr>
                <w:vertAlign w:val="superscript"/>
                <w:lang w:val="en-US"/>
              </w:rPr>
              <w:t>2</w:t>
            </w:r>
            <w:r>
              <w:rPr>
                <w:lang w:val="en-US"/>
              </w:rPr>
              <w:t>)</w:t>
            </w:r>
          </w:p>
        </w:tc>
        <w:tc>
          <w:tcPr>
            <w:tcW w:w="3117" w:type="dxa"/>
          </w:tcPr>
          <w:p w14:paraId="5B71CC82" w14:textId="76953C6D" w:rsidR="00294674" w:rsidRDefault="00294674" w:rsidP="00294674">
            <w:r>
              <w:rPr>
                <w:lang w:val="en-US"/>
              </w:rPr>
              <w:t xml:space="preserve">ANC </w:t>
            </w:r>
            <w:r>
              <w:t xml:space="preserve">&lt; 1,0 х </w:t>
            </w:r>
            <w:r>
              <w:rPr>
                <w:lang w:val="en-US"/>
              </w:rPr>
              <w:t>10</w:t>
            </w:r>
            <w:r>
              <w:rPr>
                <w:vertAlign w:val="superscript"/>
                <w:lang w:val="en-US"/>
              </w:rPr>
              <w:t>9</w:t>
            </w:r>
            <w:r>
              <w:rPr>
                <w:lang w:val="en-US"/>
              </w:rPr>
              <w:t>/l</w:t>
            </w:r>
            <w:r>
              <w:t xml:space="preserve"> и/или тромбоцити &lt; 50 х </w:t>
            </w:r>
            <w:r>
              <w:rPr>
                <w:lang w:val="en-US"/>
              </w:rPr>
              <w:t>10</w:t>
            </w:r>
            <w:r>
              <w:rPr>
                <w:vertAlign w:val="superscript"/>
                <w:lang w:val="en-US"/>
              </w:rPr>
              <w:t>9</w:t>
            </w:r>
            <w:r>
              <w:rPr>
                <w:lang w:val="en-US"/>
              </w:rPr>
              <w:t>/l</w:t>
            </w:r>
          </w:p>
        </w:tc>
        <w:tc>
          <w:tcPr>
            <w:tcW w:w="3117" w:type="dxa"/>
          </w:tcPr>
          <w:p w14:paraId="563C173C" w14:textId="77777777" w:rsidR="00294674" w:rsidRDefault="00294674" w:rsidP="00294674">
            <w:pPr>
              <w:numPr>
                <w:ilvl w:val="0"/>
                <w:numId w:val="40"/>
              </w:numPr>
              <w:spacing w:line="240" w:lineRule="auto"/>
            </w:pPr>
            <w:r>
              <w:t xml:space="preserve">.Прекратете приема на иматиниб докато </w:t>
            </w:r>
            <w:r>
              <w:rPr>
                <w:lang w:val="en-US"/>
              </w:rPr>
              <w:t>ANC</w:t>
            </w:r>
          </w:p>
          <w:p w14:paraId="5A543987" w14:textId="77777777" w:rsidR="00294674" w:rsidRDefault="00294674" w:rsidP="00294674">
            <w:r>
              <w:t xml:space="preserve">≥ 1,5 х </w:t>
            </w:r>
            <w:r>
              <w:rPr>
                <w:lang w:val="en-US"/>
              </w:rPr>
              <w:t>10</w:t>
            </w:r>
            <w:r>
              <w:rPr>
                <w:vertAlign w:val="superscript"/>
                <w:lang w:val="en-US"/>
              </w:rPr>
              <w:t>9</w:t>
            </w:r>
            <w:r>
              <w:rPr>
                <w:lang w:val="en-US"/>
              </w:rPr>
              <w:t>/l</w:t>
            </w:r>
            <w:r>
              <w:t xml:space="preserve"> и тромбоцити</w:t>
            </w:r>
          </w:p>
          <w:p w14:paraId="6C2FDCFD" w14:textId="77777777" w:rsidR="00294674" w:rsidRDefault="00294674" w:rsidP="00294674">
            <w:r>
              <w:t>≥</w:t>
            </w:r>
            <w:r>
              <w:rPr>
                <w:lang w:val="en-US"/>
              </w:rPr>
              <w:t xml:space="preserve"> 75x 10</w:t>
            </w:r>
            <w:r>
              <w:rPr>
                <w:vertAlign w:val="superscript"/>
                <w:lang w:val="en-US"/>
              </w:rPr>
              <w:t>9</w:t>
            </w:r>
            <w:r>
              <w:rPr>
                <w:lang w:val="en-US"/>
              </w:rPr>
              <w:t>/l.</w:t>
            </w:r>
          </w:p>
          <w:p w14:paraId="033DB3CD" w14:textId="77777777" w:rsidR="00294674" w:rsidRDefault="00294674" w:rsidP="00294674">
            <w:pPr>
              <w:numPr>
                <w:ilvl w:val="0"/>
                <w:numId w:val="40"/>
              </w:numPr>
              <w:spacing w:line="240" w:lineRule="auto"/>
            </w:pPr>
            <w:r>
              <w:t>Възобновете лечението с иматиниб с предишната доза (т.е. преди тежката нежелана реакция).</w:t>
            </w:r>
          </w:p>
          <w:p w14:paraId="37BF8CF1" w14:textId="71276383" w:rsidR="00294674" w:rsidRDefault="00294674" w:rsidP="00294674">
            <w:r>
              <w:t xml:space="preserve">В случай на повторно понижение на </w:t>
            </w:r>
            <w:r>
              <w:rPr>
                <w:lang w:val="en-US"/>
              </w:rPr>
              <w:t xml:space="preserve">ANC </w:t>
            </w:r>
            <w:r>
              <w:t xml:space="preserve">&lt; 1,0 х </w:t>
            </w:r>
            <w:r>
              <w:rPr>
                <w:lang w:val="en-US"/>
              </w:rPr>
              <w:t>10</w:t>
            </w:r>
            <w:r>
              <w:rPr>
                <w:vertAlign w:val="superscript"/>
                <w:lang w:val="en-US"/>
              </w:rPr>
              <w:t>9</w:t>
            </w:r>
            <w:r>
              <w:rPr>
                <w:lang w:val="en-US"/>
              </w:rPr>
              <w:t>/l</w:t>
            </w:r>
            <w:r>
              <w:t>| и/или тромбоцити &lt; 50 х</w:t>
            </w:r>
            <w:r>
              <w:rPr>
                <w:lang w:val="en-US"/>
              </w:rPr>
              <w:t xml:space="preserve"> 10</w:t>
            </w:r>
            <w:r>
              <w:rPr>
                <w:vertAlign w:val="superscript"/>
                <w:lang w:val="en-US"/>
              </w:rPr>
              <w:t>9</w:t>
            </w:r>
            <w:r>
              <w:rPr>
                <w:lang w:val="en-US"/>
              </w:rPr>
              <w:t>/l</w:t>
            </w:r>
            <w:r>
              <w:t>, повторете стъпка 1 и възобновете лечението с иматиниб с намалено</w:t>
            </w:r>
          </w:p>
        </w:tc>
      </w:tr>
      <w:tr w:rsidR="00294674" w14:paraId="6FC756F0" w14:textId="77777777" w:rsidTr="007552C9">
        <w:tc>
          <w:tcPr>
            <w:tcW w:w="3116" w:type="dxa"/>
          </w:tcPr>
          <w:p w14:paraId="609EBF8C" w14:textId="1599A788" w:rsidR="00294674" w:rsidRDefault="00294674" w:rsidP="00294674">
            <w:r>
              <w:t xml:space="preserve">Фаза на акцелерация на ХМЛ и бластна криза и </w:t>
            </w:r>
            <w:r>
              <w:rPr>
                <w:lang w:val="en-US"/>
              </w:rPr>
              <w:t>Ph</w:t>
            </w:r>
            <w:r>
              <w:t xml:space="preserve">+ОЛЛ (начална доза 600 </w:t>
            </w:r>
            <w:r>
              <w:rPr>
                <w:lang w:val="en-US"/>
              </w:rPr>
              <w:t>mg)</w:t>
            </w:r>
          </w:p>
        </w:tc>
        <w:tc>
          <w:tcPr>
            <w:tcW w:w="3117" w:type="dxa"/>
          </w:tcPr>
          <w:p w14:paraId="4527445C" w14:textId="42BCC9C6" w:rsidR="00294674" w:rsidRDefault="00294674" w:rsidP="00294674">
            <w:r>
              <w:rPr>
                <w:vertAlign w:val="superscript"/>
                <w:lang w:val="en-US"/>
              </w:rPr>
              <w:t>a</w:t>
            </w:r>
            <w:r>
              <w:rPr>
                <w:lang w:val="en-US"/>
              </w:rPr>
              <w:t xml:space="preserve">ANC </w:t>
            </w:r>
            <w:r>
              <w:t>&lt; 0,5 х 10</w:t>
            </w:r>
            <w:r>
              <w:rPr>
                <w:vertAlign w:val="superscript"/>
              </w:rPr>
              <w:t>9</w:t>
            </w:r>
            <w:r>
              <w:t>/</w:t>
            </w:r>
            <w:r>
              <w:rPr>
                <w:lang w:val="en-US"/>
              </w:rPr>
              <w:t>l</w:t>
            </w:r>
            <w:r>
              <w:t xml:space="preserve"> и/или тробмоцити </w:t>
            </w:r>
            <w:r>
              <w:rPr>
                <w:lang w:val="en-US"/>
              </w:rPr>
              <w:t xml:space="preserve">&lt;10 x </w:t>
            </w:r>
            <w:r>
              <w:t>10</w:t>
            </w:r>
            <w:r>
              <w:rPr>
                <w:vertAlign w:val="superscript"/>
              </w:rPr>
              <w:t>9</w:t>
            </w:r>
            <w:r>
              <w:t>/</w:t>
            </w:r>
            <w:r>
              <w:rPr>
                <w:lang w:val="en-US"/>
              </w:rPr>
              <w:t>l</w:t>
            </w:r>
          </w:p>
        </w:tc>
        <w:tc>
          <w:tcPr>
            <w:tcW w:w="3117" w:type="dxa"/>
            <w:vAlign w:val="bottom"/>
          </w:tcPr>
          <w:p w14:paraId="6626A5C0" w14:textId="73B19DA0" w:rsidR="00294674" w:rsidRDefault="00294674" w:rsidP="00294674">
            <w:pPr>
              <w:pStyle w:val="ListParagraph"/>
              <w:numPr>
                <w:ilvl w:val="0"/>
                <w:numId w:val="42"/>
              </w:numPr>
              <w:spacing w:line="240" w:lineRule="auto"/>
            </w:pPr>
            <w:r>
              <w:t xml:space="preserve">Проверете дали цитопенията е свързана с левкемията (костно- </w:t>
            </w:r>
            <w:r>
              <w:lastRenderedPageBreak/>
              <w:t>мозъчна аспирация или биопсия)</w:t>
            </w:r>
          </w:p>
          <w:p w14:paraId="7FF8EC05" w14:textId="77777777" w:rsidR="00294674" w:rsidRDefault="00294674" w:rsidP="00294674">
            <w:pPr>
              <w:pStyle w:val="ListParagraph"/>
              <w:spacing w:line="240" w:lineRule="auto"/>
            </w:pPr>
          </w:p>
          <w:p w14:paraId="382B704E" w14:textId="7580360D" w:rsidR="00294674" w:rsidRPr="00294674" w:rsidRDefault="00294674" w:rsidP="00294674">
            <w:pPr>
              <w:pStyle w:val="ListParagraph"/>
              <w:numPr>
                <w:ilvl w:val="0"/>
                <w:numId w:val="42"/>
              </w:numPr>
              <w:spacing w:line="240" w:lineRule="auto"/>
            </w:pPr>
            <w:r>
              <w:t xml:space="preserve">Ако цитопенията не е свързана с левкемията, понижете дозата на иматиниб до 400 </w:t>
            </w:r>
            <w:r w:rsidRPr="00294674">
              <w:rPr>
                <w:lang w:val="en-US"/>
              </w:rPr>
              <w:t>mg.</w:t>
            </w:r>
          </w:p>
          <w:p w14:paraId="52A68922" w14:textId="77777777" w:rsidR="00294674" w:rsidRPr="00294674" w:rsidRDefault="00294674" w:rsidP="00294674">
            <w:pPr>
              <w:pStyle w:val="ListParagraph"/>
              <w:spacing w:line="240" w:lineRule="auto"/>
            </w:pPr>
          </w:p>
          <w:p w14:paraId="040D8F9E" w14:textId="174B4F88" w:rsidR="00294674" w:rsidRPr="00294674" w:rsidRDefault="00294674" w:rsidP="00294674">
            <w:pPr>
              <w:pStyle w:val="ListParagraph"/>
              <w:numPr>
                <w:ilvl w:val="0"/>
                <w:numId w:val="42"/>
              </w:numPr>
              <w:spacing w:line="240" w:lineRule="auto"/>
            </w:pPr>
            <w:r>
              <w:t xml:space="preserve">Ако цитопенията персистира в продължение на 2 седмици, понижете допълнително дозата до 400 </w:t>
            </w:r>
            <w:r w:rsidRPr="00294674">
              <w:rPr>
                <w:lang w:val="en-US"/>
              </w:rPr>
              <w:t>mg.</w:t>
            </w:r>
          </w:p>
          <w:p w14:paraId="3F36D18C" w14:textId="77777777" w:rsidR="00294674" w:rsidRPr="00294674" w:rsidRDefault="00294674" w:rsidP="00294674">
            <w:pPr>
              <w:pStyle w:val="ListParagraph"/>
              <w:spacing w:line="240" w:lineRule="auto"/>
            </w:pPr>
          </w:p>
          <w:p w14:paraId="0E7669D9" w14:textId="0A86F57B" w:rsidR="00294674" w:rsidRDefault="00294674" w:rsidP="00294674">
            <w:pPr>
              <w:pStyle w:val="ListParagraph"/>
              <w:numPr>
                <w:ilvl w:val="0"/>
                <w:numId w:val="42"/>
              </w:numPr>
              <w:spacing w:line="240" w:lineRule="auto"/>
            </w:pPr>
            <w:r>
              <w:t xml:space="preserve">Ако цитопенията персистира в продължение на 4 седмици и все още не е свързана с левкемията прекратете приложението на иматиниб до </w:t>
            </w:r>
            <w:r w:rsidRPr="00294674">
              <w:rPr>
                <w:lang w:val="en-US"/>
              </w:rPr>
              <w:t>ANC</w:t>
            </w:r>
            <w:r>
              <w:t xml:space="preserve"> ≥1 х 10</w:t>
            </w:r>
            <w:r w:rsidRPr="00294674">
              <w:rPr>
                <w:vertAlign w:val="superscript"/>
              </w:rPr>
              <w:t>9</w:t>
            </w:r>
            <w:r>
              <w:t>/</w:t>
            </w:r>
            <w:r w:rsidRPr="00294674">
              <w:rPr>
                <w:lang w:val="en-US"/>
              </w:rPr>
              <w:t xml:space="preserve">l </w:t>
            </w:r>
            <w:r>
              <w:t>и тромбоцитите ≥ 20 х 10</w:t>
            </w:r>
            <w:r w:rsidRPr="00294674">
              <w:rPr>
                <w:vertAlign w:val="superscript"/>
              </w:rPr>
              <w:t>9</w:t>
            </w:r>
            <w:r>
              <w:t>/</w:t>
            </w:r>
            <w:r w:rsidRPr="00294674">
              <w:rPr>
                <w:lang w:val="en-US"/>
              </w:rPr>
              <w:t>l</w:t>
            </w:r>
            <w:r>
              <w:t xml:space="preserve"> и след това възобновете лечението с 300 </w:t>
            </w:r>
            <w:r w:rsidRPr="00294674">
              <w:rPr>
                <w:lang w:val="en-US"/>
              </w:rPr>
              <w:t>mg.</w:t>
            </w:r>
          </w:p>
        </w:tc>
      </w:tr>
      <w:tr w:rsidR="00294674" w14:paraId="0CE12CB9" w14:textId="77777777" w:rsidTr="007552C9">
        <w:tc>
          <w:tcPr>
            <w:tcW w:w="3116" w:type="dxa"/>
          </w:tcPr>
          <w:p w14:paraId="4D5F1C5D" w14:textId="4B4679B4" w:rsidR="00294674" w:rsidRDefault="00294674" w:rsidP="00294674">
            <w:r>
              <w:lastRenderedPageBreak/>
              <w:t xml:space="preserve">Фаза на акцелерация на ХМЛ и бластна криза в детска възраст (начална доза 340 </w:t>
            </w:r>
            <w:r>
              <w:rPr>
                <w:lang w:val="en-US"/>
              </w:rPr>
              <w:t>mg/ m</w:t>
            </w:r>
            <w:r>
              <w:rPr>
                <w:vertAlign w:val="superscript"/>
                <w:lang w:val="en-US"/>
              </w:rPr>
              <w:t>2</w:t>
            </w:r>
            <w:r>
              <w:rPr>
                <w:lang w:val="en-US"/>
              </w:rPr>
              <w:t>)</w:t>
            </w:r>
          </w:p>
        </w:tc>
        <w:tc>
          <w:tcPr>
            <w:tcW w:w="3117" w:type="dxa"/>
          </w:tcPr>
          <w:p w14:paraId="54CFFA45" w14:textId="69B7D2CB" w:rsidR="00294674" w:rsidRDefault="00294674" w:rsidP="00294674">
            <w:r>
              <w:rPr>
                <w:vertAlign w:val="superscript"/>
                <w:lang w:val="en-US"/>
              </w:rPr>
              <w:t>a</w:t>
            </w:r>
            <w:r>
              <w:rPr>
                <w:lang w:val="en-US"/>
              </w:rPr>
              <w:t xml:space="preserve">ANC </w:t>
            </w:r>
            <w:r>
              <w:t>&lt; 0,5 х 10</w:t>
            </w:r>
            <w:r>
              <w:rPr>
                <w:vertAlign w:val="superscript"/>
              </w:rPr>
              <w:t>9</w:t>
            </w:r>
            <w:r>
              <w:t>/</w:t>
            </w:r>
            <w:r>
              <w:rPr>
                <w:lang w:val="en-US"/>
              </w:rPr>
              <w:t>l</w:t>
            </w:r>
            <w:r>
              <w:t xml:space="preserve"> и/или тромбоцити &lt; 10 х 10</w:t>
            </w:r>
            <w:r>
              <w:rPr>
                <w:vertAlign w:val="superscript"/>
              </w:rPr>
              <w:t>9</w:t>
            </w:r>
            <w:r>
              <w:t>/</w:t>
            </w:r>
            <w:r>
              <w:rPr>
                <w:lang w:val="en-US"/>
              </w:rPr>
              <w:t>l</w:t>
            </w:r>
          </w:p>
        </w:tc>
        <w:tc>
          <w:tcPr>
            <w:tcW w:w="3117" w:type="dxa"/>
            <w:vAlign w:val="bottom"/>
          </w:tcPr>
          <w:p w14:paraId="3AB634F7" w14:textId="4BAB2743" w:rsidR="00294674" w:rsidRDefault="00294674" w:rsidP="00294674">
            <w:pPr>
              <w:pStyle w:val="ListParagraph"/>
              <w:numPr>
                <w:ilvl w:val="0"/>
                <w:numId w:val="44"/>
              </w:numPr>
              <w:spacing w:line="240" w:lineRule="auto"/>
            </w:pPr>
            <w:r>
              <w:t>Проверете дали цитопенията е свързана с левкемията (костно- мозъчна аспирация или биопсия)</w:t>
            </w:r>
          </w:p>
          <w:p w14:paraId="000E134E" w14:textId="77777777" w:rsidR="00294674" w:rsidRDefault="00294674" w:rsidP="00294674">
            <w:pPr>
              <w:pStyle w:val="ListParagraph"/>
              <w:spacing w:line="240" w:lineRule="auto"/>
            </w:pPr>
          </w:p>
          <w:p w14:paraId="112084EF" w14:textId="2D7A47C9" w:rsidR="00294674" w:rsidRPr="00294674" w:rsidRDefault="00294674" w:rsidP="00294674">
            <w:pPr>
              <w:pStyle w:val="ListParagraph"/>
              <w:numPr>
                <w:ilvl w:val="0"/>
                <w:numId w:val="44"/>
              </w:numPr>
              <w:spacing w:line="240" w:lineRule="auto"/>
            </w:pPr>
            <w:r>
              <w:t xml:space="preserve">Ако цитопенията не е свързана с левкемията, понижете дозата на иматиниб до 260 </w:t>
            </w:r>
            <w:r w:rsidRPr="00294674">
              <w:rPr>
                <w:lang w:val="en-US"/>
              </w:rPr>
              <w:t>mg/m</w:t>
            </w:r>
            <w:r w:rsidRPr="00294674">
              <w:rPr>
                <w:vertAlign w:val="superscript"/>
                <w:lang w:val="en-US"/>
              </w:rPr>
              <w:t>2</w:t>
            </w:r>
          </w:p>
          <w:p w14:paraId="4720AD74" w14:textId="77777777" w:rsidR="00294674" w:rsidRPr="00294674" w:rsidRDefault="00294674" w:rsidP="00294674">
            <w:pPr>
              <w:pStyle w:val="ListParagraph"/>
              <w:spacing w:line="240" w:lineRule="auto"/>
            </w:pPr>
          </w:p>
          <w:p w14:paraId="79B9151A" w14:textId="77777777" w:rsidR="00294674" w:rsidRPr="00294674" w:rsidRDefault="00294674" w:rsidP="00294674">
            <w:pPr>
              <w:pStyle w:val="ListParagraph"/>
              <w:numPr>
                <w:ilvl w:val="0"/>
                <w:numId w:val="44"/>
              </w:numPr>
              <w:spacing w:line="240" w:lineRule="auto"/>
            </w:pPr>
            <w:r>
              <w:t xml:space="preserve">Ако цитопенията персистира в продължение на 2 седмици, понижете допълнително дозата 200 </w:t>
            </w:r>
            <w:r w:rsidRPr="00294674">
              <w:rPr>
                <w:lang w:val="en-US"/>
              </w:rPr>
              <w:t>mg/m</w:t>
            </w:r>
            <w:r w:rsidRPr="00294674">
              <w:rPr>
                <w:vertAlign w:val="superscript"/>
                <w:lang w:val="en-US"/>
              </w:rPr>
              <w:t>2</w:t>
            </w:r>
            <w:r w:rsidRPr="00294674">
              <w:rPr>
                <w:lang w:val="en-US"/>
              </w:rPr>
              <w:t>.</w:t>
            </w:r>
          </w:p>
          <w:p w14:paraId="49C104C7" w14:textId="3D0108E0" w:rsidR="00294674" w:rsidRDefault="00294674" w:rsidP="00294674">
            <w:pPr>
              <w:pStyle w:val="ListParagraph"/>
              <w:numPr>
                <w:ilvl w:val="0"/>
                <w:numId w:val="44"/>
              </w:numPr>
              <w:spacing w:line="240" w:lineRule="auto"/>
            </w:pPr>
            <w:r>
              <w:lastRenderedPageBreak/>
              <w:t xml:space="preserve">Ако цитопенията персистира в продължение на 4 седмици и все още не е свързана с левкемията прекратете приложението иматиниб до </w:t>
            </w:r>
            <w:r w:rsidRPr="00294674">
              <w:rPr>
                <w:lang w:val="en-US"/>
              </w:rPr>
              <w:t xml:space="preserve">ANC </w:t>
            </w:r>
            <w:r>
              <w:t>≥</w:t>
            </w:r>
            <w:r w:rsidRPr="00294674">
              <w:rPr>
                <w:lang w:val="en-US"/>
              </w:rPr>
              <w:t xml:space="preserve"> 1 x</w:t>
            </w:r>
            <w:r>
              <w:t xml:space="preserve"> 10</w:t>
            </w:r>
            <w:r w:rsidRPr="00294674">
              <w:rPr>
                <w:vertAlign w:val="superscript"/>
              </w:rPr>
              <w:t>9</w:t>
            </w:r>
            <w:r>
              <w:t>/</w:t>
            </w:r>
            <w:r w:rsidRPr="00294674">
              <w:rPr>
                <w:lang w:val="en-US"/>
              </w:rPr>
              <w:t xml:space="preserve">l </w:t>
            </w:r>
            <w:r>
              <w:t>и тромбоцитите ≥</w:t>
            </w:r>
            <w:r w:rsidRPr="00294674">
              <w:rPr>
                <w:lang w:val="en-US"/>
              </w:rPr>
              <w:t xml:space="preserve"> 20</w:t>
            </w:r>
            <w:r>
              <w:t xml:space="preserve"> х 10</w:t>
            </w:r>
            <w:r w:rsidRPr="00294674">
              <w:rPr>
                <w:vertAlign w:val="superscript"/>
              </w:rPr>
              <w:t>9</w:t>
            </w:r>
            <w:r>
              <w:t>/</w:t>
            </w:r>
            <w:r w:rsidRPr="00294674">
              <w:rPr>
                <w:lang w:val="en-US"/>
              </w:rPr>
              <w:t xml:space="preserve">l </w:t>
            </w:r>
            <w:r>
              <w:t>и след това</w:t>
            </w:r>
            <w:r w:rsidRPr="00294674">
              <w:rPr>
                <w:smallCaps/>
              </w:rPr>
              <w:t xml:space="preserve"> </w:t>
            </w:r>
            <w:r>
              <w:t xml:space="preserve">възобновете лечението с 200 </w:t>
            </w:r>
            <w:r w:rsidRPr="00294674">
              <w:rPr>
                <w:lang w:val="en-US"/>
              </w:rPr>
              <w:t>mg/m</w:t>
            </w:r>
            <w:r w:rsidRPr="00294674">
              <w:rPr>
                <w:vertAlign w:val="superscript"/>
                <w:lang w:val="en-US"/>
              </w:rPr>
              <w:t>2</w:t>
            </w:r>
          </w:p>
        </w:tc>
      </w:tr>
      <w:tr w:rsidR="00294674" w14:paraId="56DA8E72" w14:textId="77777777" w:rsidTr="00294674">
        <w:tc>
          <w:tcPr>
            <w:tcW w:w="3116" w:type="dxa"/>
          </w:tcPr>
          <w:p w14:paraId="1A7E0ADF" w14:textId="77777777" w:rsidR="00294674" w:rsidRDefault="00294674" w:rsidP="00294674">
            <w:r>
              <w:lastRenderedPageBreak/>
              <w:t>ДФСП</w:t>
            </w:r>
          </w:p>
          <w:p w14:paraId="357D744C" w14:textId="7073C02F" w:rsidR="00294674" w:rsidRDefault="00294674" w:rsidP="00294674">
            <w:r>
              <w:t xml:space="preserve">(в доза от 800 </w:t>
            </w:r>
            <w:r>
              <w:rPr>
                <w:lang w:val="en-US"/>
              </w:rPr>
              <w:t>mg)</w:t>
            </w:r>
          </w:p>
        </w:tc>
        <w:tc>
          <w:tcPr>
            <w:tcW w:w="3117" w:type="dxa"/>
          </w:tcPr>
          <w:p w14:paraId="23A0CD9A" w14:textId="77777777" w:rsidR="00294674" w:rsidRDefault="00294674" w:rsidP="00294674">
            <w:r>
              <w:rPr>
                <w:lang w:val="en-US"/>
              </w:rPr>
              <w:t xml:space="preserve">ANC </w:t>
            </w:r>
            <w:r>
              <w:t>&lt; 1,0 х 10</w:t>
            </w:r>
            <w:r>
              <w:rPr>
                <w:vertAlign w:val="superscript"/>
              </w:rPr>
              <w:t>9</w:t>
            </w:r>
            <w:r>
              <w:t>/</w:t>
            </w:r>
            <w:r>
              <w:rPr>
                <w:lang w:val="en-US"/>
              </w:rPr>
              <w:t>l</w:t>
            </w:r>
            <w:r>
              <w:t xml:space="preserve"> и/или</w:t>
            </w:r>
          </w:p>
          <w:p w14:paraId="28E35F34" w14:textId="6AFC509A" w:rsidR="00294674" w:rsidRDefault="00294674" w:rsidP="00294674">
            <w:r>
              <w:t>тромбоцити &lt; 50 х 10</w:t>
            </w:r>
            <w:r>
              <w:rPr>
                <w:vertAlign w:val="superscript"/>
              </w:rPr>
              <w:t>9</w:t>
            </w:r>
            <w:r>
              <w:t>/</w:t>
            </w:r>
            <w:r>
              <w:rPr>
                <w:lang w:val="en-US"/>
              </w:rPr>
              <w:t>l</w:t>
            </w:r>
          </w:p>
        </w:tc>
        <w:tc>
          <w:tcPr>
            <w:tcW w:w="3117" w:type="dxa"/>
          </w:tcPr>
          <w:p w14:paraId="312A97FC" w14:textId="4A15698D" w:rsidR="00294674" w:rsidRDefault="00294674" w:rsidP="00294674">
            <w:pPr>
              <w:pStyle w:val="ListParagraph"/>
              <w:numPr>
                <w:ilvl w:val="0"/>
                <w:numId w:val="43"/>
              </w:numPr>
              <w:spacing w:line="240" w:lineRule="auto"/>
            </w:pPr>
            <w:r>
              <w:t xml:space="preserve">Спрете приема на иматиниб докато </w:t>
            </w:r>
            <w:r w:rsidRPr="00294674">
              <w:rPr>
                <w:lang w:val="en-US"/>
              </w:rPr>
              <w:t xml:space="preserve">ANC </w:t>
            </w:r>
            <w:r>
              <w:t>≥ 1,5 х 10</w:t>
            </w:r>
            <w:r w:rsidRPr="00294674">
              <w:rPr>
                <w:vertAlign w:val="superscript"/>
              </w:rPr>
              <w:t>9</w:t>
            </w:r>
            <w:r>
              <w:t>/</w:t>
            </w:r>
            <w:r w:rsidRPr="00294674">
              <w:rPr>
                <w:lang w:val="en-US"/>
              </w:rPr>
              <w:t>l</w:t>
            </w:r>
            <w:r>
              <w:t xml:space="preserve"> и тромбицити≥75 х 10</w:t>
            </w:r>
            <w:r w:rsidRPr="00294674">
              <w:rPr>
                <w:vertAlign w:val="superscript"/>
              </w:rPr>
              <w:t>9</w:t>
            </w:r>
            <w:r>
              <w:t>/</w:t>
            </w:r>
            <w:r w:rsidRPr="00294674">
              <w:rPr>
                <w:lang w:val="en-US"/>
              </w:rPr>
              <w:t>l</w:t>
            </w:r>
            <w:r>
              <w:t>.</w:t>
            </w:r>
          </w:p>
          <w:p w14:paraId="327F193F" w14:textId="77777777" w:rsidR="00294674" w:rsidRDefault="00294674" w:rsidP="00294674">
            <w:pPr>
              <w:pStyle w:val="ListParagraph"/>
              <w:spacing w:line="240" w:lineRule="auto"/>
            </w:pPr>
          </w:p>
          <w:p w14:paraId="0EC8CD3B" w14:textId="4875FDD7" w:rsidR="00294674" w:rsidRPr="00294674" w:rsidRDefault="00294674" w:rsidP="00294674">
            <w:pPr>
              <w:pStyle w:val="ListParagraph"/>
              <w:numPr>
                <w:ilvl w:val="0"/>
                <w:numId w:val="43"/>
              </w:numPr>
              <w:spacing w:line="240" w:lineRule="auto"/>
            </w:pPr>
            <w:r>
              <w:t xml:space="preserve">Възобновете лечението с иматиниб с 600 </w:t>
            </w:r>
            <w:r w:rsidRPr="00294674">
              <w:rPr>
                <w:lang w:val="en-US"/>
              </w:rPr>
              <w:t>mg.</w:t>
            </w:r>
          </w:p>
          <w:p w14:paraId="7197FDCA" w14:textId="77777777" w:rsidR="00294674" w:rsidRPr="00294674" w:rsidRDefault="00294674" w:rsidP="00294674">
            <w:pPr>
              <w:pStyle w:val="ListParagraph"/>
              <w:spacing w:line="240" w:lineRule="auto"/>
            </w:pPr>
          </w:p>
          <w:p w14:paraId="35C80E54" w14:textId="1346C641" w:rsidR="00294674" w:rsidRDefault="00294674" w:rsidP="00294674">
            <w:pPr>
              <w:pStyle w:val="ListParagraph"/>
              <w:numPr>
                <w:ilvl w:val="0"/>
                <w:numId w:val="43"/>
              </w:numPr>
              <w:spacing w:line="240" w:lineRule="auto"/>
            </w:pPr>
            <w:r>
              <w:t xml:space="preserve">В случай на повторно понижение на </w:t>
            </w:r>
            <w:r w:rsidRPr="00294674">
              <w:rPr>
                <w:lang w:val="en-US"/>
              </w:rPr>
              <w:t xml:space="preserve">ANC </w:t>
            </w:r>
            <w:r>
              <w:t>&lt; 1,0 х 10</w:t>
            </w:r>
            <w:r w:rsidRPr="00294674">
              <w:rPr>
                <w:vertAlign w:val="superscript"/>
              </w:rPr>
              <w:t>9</w:t>
            </w:r>
            <w:r>
              <w:t>/</w:t>
            </w:r>
            <w:r w:rsidRPr="00294674">
              <w:rPr>
                <w:lang w:val="en-US"/>
              </w:rPr>
              <w:t>l</w:t>
            </w:r>
            <w:r>
              <w:t xml:space="preserve"> и/или тромбоцити &lt; 50 х 10</w:t>
            </w:r>
            <w:r w:rsidRPr="00294674">
              <w:rPr>
                <w:vertAlign w:val="superscript"/>
              </w:rPr>
              <w:t>9</w:t>
            </w:r>
            <w:r>
              <w:t>/</w:t>
            </w:r>
            <w:r w:rsidRPr="00294674">
              <w:rPr>
                <w:lang w:val="en-US"/>
              </w:rPr>
              <w:t>l</w:t>
            </w:r>
            <w:r>
              <w:t xml:space="preserve">, повторете стъпка 1 и възобновете лечението с иматиниб с намалена доза от 400 </w:t>
            </w:r>
            <w:r w:rsidRPr="00294674">
              <w:rPr>
                <w:lang w:val="en-US"/>
              </w:rPr>
              <w:t>mg.</w:t>
            </w:r>
          </w:p>
        </w:tc>
      </w:tr>
      <w:tr w:rsidR="00294674" w14:paraId="418577D8" w14:textId="77777777" w:rsidTr="007552C9">
        <w:tc>
          <w:tcPr>
            <w:tcW w:w="9350" w:type="dxa"/>
            <w:gridSpan w:val="3"/>
          </w:tcPr>
          <w:p w14:paraId="269BC947" w14:textId="4AD77DD3" w:rsidR="00294674" w:rsidRDefault="00294674" w:rsidP="0091385D">
            <w:r>
              <w:rPr>
                <w:lang w:val="en-US"/>
              </w:rPr>
              <w:t xml:space="preserve">ANC </w:t>
            </w:r>
            <w:r>
              <w:t xml:space="preserve">= абсолютен брой на неутрофилите </w:t>
            </w:r>
            <w:r>
              <w:rPr>
                <w:vertAlign w:val="superscript"/>
              </w:rPr>
              <w:t>а</w:t>
            </w:r>
            <w:r>
              <w:t xml:space="preserve"> поява след поне 1 месец лечение</w:t>
            </w:r>
          </w:p>
        </w:tc>
      </w:tr>
    </w:tbl>
    <w:p w14:paraId="7A120714" w14:textId="4802F246" w:rsidR="00475FDF" w:rsidRDefault="00475FDF" w:rsidP="0091385D"/>
    <w:p w14:paraId="0DE7A04B" w14:textId="77777777" w:rsidR="00294674" w:rsidRPr="00294674" w:rsidRDefault="00294674" w:rsidP="00294674">
      <w:pPr>
        <w:spacing w:line="240" w:lineRule="auto"/>
        <w:rPr>
          <w:rFonts w:eastAsia="Times New Roman" w:cs="Arial"/>
          <w:sz w:val="24"/>
          <w:szCs w:val="24"/>
          <w:lang w:eastAsia="bg-BG"/>
        </w:rPr>
      </w:pPr>
      <w:r w:rsidRPr="00294674">
        <w:rPr>
          <w:rFonts w:eastAsia="Times New Roman" w:cs="Arial"/>
          <w:color w:val="000000"/>
          <w:u w:val="single"/>
          <w:lang w:eastAsia="bg-BG"/>
        </w:rPr>
        <w:t>Специални популации</w:t>
      </w:r>
    </w:p>
    <w:p w14:paraId="09FD11A0" w14:textId="77777777" w:rsidR="00294674" w:rsidRPr="00294674" w:rsidRDefault="00294674" w:rsidP="00294674">
      <w:pPr>
        <w:spacing w:line="240" w:lineRule="auto"/>
        <w:rPr>
          <w:rFonts w:eastAsia="Times New Roman" w:cs="Arial"/>
          <w:sz w:val="24"/>
          <w:szCs w:val="24"/>
          <w:lang w:eastAsia="bg-BG"/>
        </w:rPr>
      </w:pPr>
      <w:r w:rsidRPr="00294674">
        <w:rPr>
          <w:rFonts w:eastAsia="Times New Roman" w:cs="Arial"/>
          <w:i/>
          <w:iCs/>
          <w:color w:val="000000"/>
          <w:lang w:eastAsia="bg-BG"/>
        </w:rPr>
        <w:t>Педиатрична популация:</w:t>
      </w:r>
      <w:r w:rsidRPr="00294674">
        <w:rPr>
          <w:rFonts w:eastAsia="Times New Roman" w:cs="Arial"/>
          <w:color w:val="000000"/>
          <w:lang w:eastAsia="bg-BG"/>
        </w:rPr>
        <w:t xml:space="preserve"> Липсва опит при деца с ХМЛ под 2 годишна възраст (вж. точка 5.1) и с </w:t>
      </w:r>
      <w:r w:rsidRPr="00294674">
        <w:rPr>
          <w:rFonts w:eastAsia="Times New Roman" w:cs="Arial"/>
          <w:color w:val="000000"/>
          <w:lang w:val="en-US"/>
        </w:rPr>
        <w:t>Ph</w:t>
      </w:r>
      <w:r w:rsidRPr="00294674">
        <w:rPr>
          <w:rFonts w:eastAsia="Times New Roman" w:cs="Arial"/>
          <w:color w:val="000000"/>
          <w:lang w:eastAsia="bg-BG"/>
        </w:rPr>
        <w:t>+ОЛЛ под 1 годишна възраст (виж точка 5.1). Опитът при деца с МДС/МПЗ, ДФСП, ГИСТ и ХЕС/ХЕЛ е много ограничен.</w:t>
      </w:r>
    </w:p>
    <w:p w14:paraId="30756F27" w14:textId="77777777" w:rsidR="00294674" w:rsidRPr="00294674" w:rsidRDefault="00294674" w:rsidP="00294674">
      <w:pPr>
        <w:spacing w:line="240" w:lineRule="auto"/>
        <w:rPr>
          <w:rFonts w:eastAsia="Times New Roman" w:cs="Arial"/>
          <w:color w:val="000000"/>
          <w:lang w:eastAsia="bg-BG"/>
        </w:rPr>
      </w:pPr>
    </w:p>
    <w:p w14:paraId="4C99D954" w14:textId="34D37D29" w:rsidR="00294674" w:rsidRPr="00294674" w:rsidRDefault="00294674" w:rsidP="00294674">
      <w:pPr>
        <w:spacing w:line="240" w:lineRule="auto"/>
        <w:rPr>
          <w:rFonts w:eastAsia="Times New Roman" w:cs="Arial"/>
          <w:sz w:val="24"/>
          <w:szCs w:val="24"/>
          <w:lang w:eastAsia="bg-BG"/>
        </w:rPr>
      </w:pPr>
      <w:r w:rsidRPr="00294674">
        <w:rPr>
          <w:rFonts w:eastAsia="Times New Roman" w:cs="Arial"/>
          <w:color w:val="000000"/>
          <w:lang w:eastAsia="bg-BG"/>
        </w:rPr>
        <w:t>Безопасността и ефикасността на иматиниб при деца и възрастни с МДС/МПЗ, ДФСП, ГИСТ и ХЕС/ХЕЛ на възраст под 18 години не са установени при клинични изпитвания. Наличните понастоящем публикувани данни са описани в точка 5.1, но препоръки за дозировката не могат да бъдат дадени.</w:t>
      </w:r>
    </w:p>
    <w:p w14:paraId="4617BEA9" w14:textId="77777777" w:rsidR="00294674" w:rsidRPr="00294674" w:rsidRDefault="00294674" w:rsidP="00294674">
      <w:pPr>
        <w:spacing w:line="240" w:lineRule="auto"/>
        <w:rPr>
          <w:rFonts w:eastAsia="Times New Roman" w:cs="Arial"/>
          <w:i/>
          <w:iCs/>
          <w:color w:val="000000"/>
          <w:lang w:eastAsia="bg-BG"/>
        </w:rPr>
      </w:pPr>
    </w:p>
    <w:p w14:paraId="453339D1" w14:textId="2435FC2B" w:rsidR="00294674" w:rsidRPr="00294674" w:rsidRDefault="00294674" w:rsidP="00294674">
      <w:pPr>
        <w:spacing w:line="240" w:lineRule="auto"/>
        <w:rPr>
          <w:rFonts w:eastAsia="Times New Roman" w:cs="Arial"/>
          <w:sz w:val="24"/>
          <w:szCs w:val="24"/>
          <w:lang w:eastAsia="bg-BG"/>
        </w:rPr>
      </w:pPr>
      <w:r w:rsidRPr="00294674">
        <w:rPr>
          <w:rFonts w:eastAsia="Times New Roman" w:cs="Arial"/>
          <w:i/>
          <w:iCs/>
          <w:color w:val="000000"/>
          <w:lang w:eastAsia="bg-BG"/>
        </w:rPr>
        <w:t>Чернодробно увреждане:</w:t>
      </w:r>
      <w:r w:rsidRPr="00294674">
        <w:rPr>
          <w:rFonts w:eastAsia="Times New Roman" w:cs="Arial"/>
          <w:color w:val="000000"/>
          <w:lang w:eastAsia="bg-BG"/>
        </w:rPr>
        <w:t xml:space="preserve"> Иматиниб се метаболизира основно през черния дроб. На пациентите с леко, умерено или тежко нарушена чернодробна функция трябва да се дава </w:t>
      </w:r>
      <w:r w:rsidRPr="00294674">
        <w:rPr>
          <w:rFonts w:eastAsia="Times New Roman" w:cs="Arial"/>
          <w:color w:val="000000"/>
          <w:lang w:eastAsia="bg-BG"/>
        </w:rPr>
        <w:lastRenderedPageBreak/>
        <w:t xml:space="preserve">минималната препоръчвана доза от 400 </w:t>
      </w:r>
      <w:r w:rsidRPr="00294674">
        <w:rPr>
          <w:rFonts w:eastAsia="Times New Roman" w:cs="Arial"/>
          <w:color w:val="000000"/>
          <w:lang w:val="en-US"/>
        </w:rPr>
        <w:t xml:space="preserve">mg </w:t>
      </w:r>
      <w:r w:rsidRPr="00294674">
        <w:rPr>
          <w:rFonts w:eastAsia="Times New Roman" w:cs="Arial"/>
          <w:color w:val="000000"/>
          <w:lang w:eastAsia="bg-BG"/>
        </w:rPr>
        <w:t>дневно. Дозата може да се намали, ако не се понася (вж. точки 4.4, 4.8 и 5.2).</w:t>
      </w:r>
    </w:p>
    <w:p w14:paraId="729DECB6" w14:textId="77777777" w:rsidR="00294674" w:rsidRPr="00294674" w:rsidRDefault="00294674" w:rsidP="00294674">
      <w:pPr>
        <w:rPr>
          <w:rFonts w:eastAsia="Times New Roman" w:cs="Arial"/>
          <w:color w:val="000000"/>
          <w:u w:val="single"/>
          <w:lang w:eastAsia="bg-BG"/>
        </w:rPr>
      </w:pPr>
    </w:p>
    <w:p w14:paraId="3415537A" w14:textId="17FA2659" w:rsidR="00294674" w:rsidRPr="00294674" w:rsidRDefault="00294674" w:rsidP="00294674">
      <w:pPr>
        <w:rPr>
          <w:rFonts w:cs="Arial"/>
        </w:rPr>
      </w:pPr>
      <w:r w:rsidRPr="00294674">
        <w:rPr>
          <w:rFonts w:eastAsia="Times New Roman" w:cs="Arial"/>
          <w:color w:val="000000"/>
          <w:u w:val="single"/>
          <w:lang w:eastAsia="bg-BG"/>
        </w:rPr>
        <w:t>Класификация на чернодробната дисфункция</w:t>
      </w:r>
      <w:r w:rsidRPr="00294674">
        <w:rPr>
          <w:rFonts w:eastAsia="Times New Roman" w:cs="Arial"/>
          <w:color w:val="000000"/>
          <w:lang w:eastAsia="bg-BG"/>
        </w:rPr>
        <w:t>:</w:t>
      </w:r>
    </w:p>
    <w:p w14:paraId="2D468FEF" w14:textId="2F8EEDCA" w:rsidR="00475FDF" w:rsidRDefault="00475FDF" w:rsidP="0091385D"/>
    <w:tbl>
      <w:tblPr>
        <w:tblStyle w:val="TableGrid"/>
        <w:tblW w:w="0" w:type="auto"/>
        <w:tblLook w:val="04A0" w:firstRow="1" w:lastRow="0" w:firstColumn="1" w:lastColumn="0" w:noHBand="0" w:noVBand="1"/>
      </w:tblPr>
      <w:tblGrid>
        <w:gridCol w:w="4675"/>
        <w:gridCol w:w="4675"/>
      </w:tblGrid>
      <w:tr w:rsidR="00294674" w14:paraId="007AA026" w14:textId="77777777" w:rsidTr="00294674">
        <w:tc>
          <w:tcPr>
            <w:tcW w:w="4675" w:type="dxa"/>
          </w:tcPr>
          <w:p w14:paraId="4D5338BC" w14:textId="09E78439" w:rsidR="00294674" w:rsidRDefault="00294674" w:rsidP="00294674">
            <w:r>
              <w:t>Увреждане на чернодробната функция</w:t>
            </w:r>
          </w:p>
        </w:tc>
        <w:tc>
          <w:tcPr>
            <w:tcW w:w="4675" w:type="dxa"/>
          </w:tcPr>
          <w:p w14:paraId="0CB46B07" w14:textId="11C83B7A" w:rsidR="00294674" w:rsidRDefault="00294674" w:rsidP="00294674">
            <w:r>
              <w:t>Функционални чернодробни изследвания</w:t>
            </w:r>
          </w:p>
        </w:tc>
      </w:tr>
      <w:tr w:rsidR="00294674" w14:paraId="2365FD48" w14:textId="77777777" w:rsidTr="00294674">
        <w:tc>
          <w:tcPr>
            <w:tcW w:w="4675" w:type="dxa"/>
          </w:tcPr>
          <w:p w14:paraId="7B5E728C" w14:textId="499E76B6" w:rsidR="00294674" w:rsidRDefault="00294674" w:rsidP="00294674">
            <w:r>
              <w:t>Леко</w:t>
            </w:r>
          </w:p>
        </w:tc>
        <w:tc>
          <w:tcPr>
            <w:tcW w:w="4675" w:type="dxa"/>
          </w:tcPr>
          <w:p w14:paraId="5F3CF138" w14:textId="77777777" w:rsidR="00294674" w:rsidRDefault="00294674" w:rsidP="00294674">
            <w:r>
              <w:t xml:space="preserve">Общ билирубин: = 1,5 </w:t>
            </w:r>
            <w:r>
              <w:rPr>
                <w:lang w:val="en-US"/>
              </w:rPr>
              <w:t>ULN</w:t>
            </w:r>
          </w:p>
          <w:p w14:paraId="715D4D28" w14:textId="3FFEC7A9" w:rsidR="00294674" w:rsidRDefault="00294674" w:rsidP="00294674">
            <w:r>
              <w:rPr>
                <w:lang w:val="en-US"/>
              </w:rPr>
              <w:t>AST</w:t>
            </w:r>
            <w:r>
              <w:t xml:space="preserve">: &gt; </w:t>
            </w:r>
            <w:r>
              <w:rPr>
                <w:lang w:val="en-US"/>
              </w:rPr>
              <w:t xml:space="preserve">ULN </w:t>
            </w:r>
            <w:r>
              <w:t xml:space="preserve">(може да бъде в норма или &lt; </w:t>
            </w:r>
            <w:r>
              <w:rPr>
                <w:lang w:val="en-US"/>
              </w:rPr>
              <w:t xml:space="preserve">ULN </w:t>
            </w:r>
            <w:r>
              <w:t xml:space="preserve">ако общият билирубин е &gt; </w:t>
            </w:r>
            <w:r>
              <w:rPr>
                <w:lang w:val="en-US"/>
              </w:rPr>
              <w:t>ULN)</w:t>
            </w:r>
          </w:p>
        </w:tc>
      </w:tr>
      <w:tr w:rsidR="00294674" w14:paraId="12FF8B2C" w14:textId="77777777" w:rsidTr="00294674">
        <w:tc>
          <w:tcPr>
            <w:tcW w:w="4675" w:type="dxa"/>
          </w:tcPr>
          <w:p w14:paraId="1AB26F7A" w14:textId="2C3E81D3" w:rsidR="00294674" w:rsidRDefault="00294674" w:rsidP="00294674">
            <w:r>
              <w:t>Умерено</w:t>
            </w:r>
          </w:p>
        </w:tc>
        <w:tc>
          <w:tcPr>
            <w:tcW w:w="4675" w:type="dxa"/>
          </w:tcPr>
          <w:p w14:paraId="4A6B5743" w14:textId="750756E9" w:rsidR="00294674" w:rsidRDefault="00294674" w:rsidP="00294674">
            <w:r>
              <w:t xml:space="preserve">Общ билирубин: &gt; 1,5-3,0 </w:t>
            </w:r>
            <w:r>
              <w:rPr>
                <w:lang w:val="en-US"/>
              </w:rPr>
              <w:t xml:space="preserve">ULN AST: </w:t>
            </w:r>
            <w:r>
              <w:t>всяка стойност</w:t>
            </w:r>
          </w:p>
        </w:tc>
      </w:tr>
      <w:tr w:rsidR="00294674" w14:paraId="5B22C804" w14:textId="77777777" w:rsidTr="00294674">
        <w:tc>
          <w:tcPr>
            <w:tcW w:w="4675" w:type="dxa"/>
          </w:tcPr>
          <w:p w14:paraId="708AC4B0" w14:textId="359E31FD" w:rsidR="00294674" w:rsidRDefault="00294674" w:rsidP="00294674">
            <w:r>
              <w:t>Тежко</w:t>
            </w:r>
          </w:p>
        </w:tc>
        <w:tc>
          <w:tcPr>
            <w:tcW w:w="4675" w:type="dxa"/>
          </w:tcPr>
          <w:p w14:paraId="16A88C80" w14:textId="10F08ECE" w:rsidR="00294674" w:rsidRDefault="00294674" w:rsidP="00294674">
            <w:r>
              <w:t xml:space="preserve">Общ билирубин: &gt; 3-10 </w:t>
            </w:r>
            <w:r>
              <w:rPr>
                <w:lang w:val="en-US"/>
              </w:rPr>
              <w:t xml:space="preserve">ULN AST: </w:t>
            </w:r>
            <w:r>
              <w:t>всяка стойност</w:t>
            </w:r>
          </w:p>
        </w:tc>
      </w:tr>
    </w:tbl>
    <w:p w14:paraId="194538F9" w14:textId="77A32AC8" w:rsidR="00294674" w:rsidRDefault="00294674" w:rsidP="0091385D"/>
    <w:p w14:paraId="5EA36C85" w14:textId="77777777" w:rsidR="00294674" w:rsidRPr="00294674" w:rsidRDefault="00294674" w:rsidP="00294674">
      <w:pPr>
        <w:spacing w:line="240" w:lineRule="auto"/>
        <w:rPr>
          <w:rFonts w:eastAsia="Times New Roman" w:cs="Arial"/>
          <w:sz w:val="24"/>
          <w:szCs w:val="24"/>
          <w:lang w:eastAsia="bg-BG"/>
        </w:rPr>
      </w:pPr>
      <w:r w:rsidRPr="00294674">
        <w:rPr>
          <w:rFonts w:eastAsia="Times New Roman" w:cs="Arial"/>
          <w:color w:val="000000"/>
          <w:lang w:val="en-US"/>
        </w:rPr>
        <w:t xml:space="preserve">ULN = </w:t>
      </w:r>
      <w:r w:rsidRPr="00294674">
        <w:rPr>
          <w:rFonts w:eastAsia="Times New Roman" w:cs="Arial"/>
          <w:color w:val="000000"/>
          <w:lang w:eastAsia="bg-BG"/>
        </w:rPr>
        <w:t>горна граница на нормата за лечебното заведение</w:t>
      </w:r>
    </w:p>
    <w:p w14:paraId="3E870D4C" w14:textId="77777777" w:rsidR="00294674" w:rsidRPr="00294674" w:rsidRDefault="00294674" w:rsidP="00294674">
      <w:pPr>
        <w:spacing w:line="240" w:lineRule="auto"/>
        <w:rPr>
          <w:rFonts w:eastAsia="Times New Roman" w:cs="Arial"/>
          <w:sz w:val="24"/>
          <w:szCs w:val="24"/>
          <w:lang w:eastAsia="bg-BG"/>
        </w:rPr>
      </w:pPr>
      <w:r w:rsidRPr="00294674">
        <w:rPr>
          <w:rFonts w:eastAsia="Times New Roman" w:cs="Arial"/>
          <w:color w:val="000000"/>
          <w:lang w:val="en-US"/>
        </w:rPr>
        <w:t xml:space="preserve">AST </w:t>
      </w:r>
      <w:r w:rsidRPr="00294674">
        <w:rPr>
          <w:rFonts w:eastAsia="Times New Roman" w:cs="Arial"/>
          <w:color w:val="000000"/>
          <w:lang w:eastAsia="bg-BG"/>
        </w:rPr>
        <w:t>= аспартат-аминотрансфераза</w:t>
      </w:r>
    </w:p>
    <w:p w14:paraId="00E16E60" w14:textId="77777777" w:rsidR="00294674" w:rsidRPr="00294674" w:rsidRDefault="00294674" w:rsidP="00294674">
      <w:pPr>
        <w:spacing w:line="240" w:lineRule="auto"/>
        <w:rPr>
          <w:rFonts w:eastAsia="Times New Roman" w:cs="Arial"/>
          <w:i/>
          <w:iCs/>
          <w:color w:val="000000"/>
          <w:lang w:eastAsia="bg-BG"/>
        </w:rPr>
      </w:pPr>
    </w:p>
    <w:p w14:paraId="5E15F46C" w14:textId="6965C91E" w:rsidR="00294674" w:rsidRPr="00294674" w:rsidRDefault="00294674" w:rsidP="00294674">
      <w:pPr>
        <w:spacing w:line="240" w:lineRule="auto"/>
        <w:rPr>
          <w:rFonts w:eastAsia="Times New Roman" w:cs="Arial"/>
          <w:sz w:val="24"/>
          <w:szCs w:val="24"/>
          <w:lang w:eastAsia="bg-BG"/>
        </w:rPr>
      </w:pPr>
      <w:r w:rsidRPr="00294674">
        <w:rPr>
          <w:rFonts w:eastAsia="Times New Roman" w:cs="Arial"/>
          <w:i/>
          <w:iCs/>
          <w:color w:val="000000"/>
          <w:lang w:eastAsia="bg-BG"/>
        </w:rPr>
        <w:t>Бъбречно увреждане:</w:t>
      </w:r>
      <w:r w:rsidRPr="00294674">
        <w:rPr>
          <w:rFonts w:eastAsia="Times New Roman" w:cs="Arial"/>
          <w:color w:val="000000"/>
          <w:lang w:eastAsia="bg-BG"/>
        </w:rPr>
        <w:t xml:space="preserve"> При пациентите с бъбречна дисфункция или при пациенти на диализа трябва да се прилага минималната препоръчвана доза от 400 </w:t>
      </w:r>
      <w:r w:rsidRPr="00294674">
        <w:rPr>
          <w:rFonts w:eastAsia="Times New Roman" w:cs="Arial"/>
          <w:color w:val="000000"/>
          <w:lang w:val="en-US"/>
        </w:rPr>
        <w:t xml:space="preserve">mg </w:t>
      </w:r>
      <w:r w:rsidRPr="00294674">
        <w:rPr>
          <w:rFonts w:eastAsia="Times New Roman" w:cs="Arial"/>
          <w:color w:val="000000"/>
          <w:lang w:eastAsia="bg-BG"/>
        </w:rPr>
        <w:t>дневно като начална доза. Все пак при тези пациенти се препоръчва предпазливо поведение. Дозата може да бъде понижена, ако не се понася. Ако се понася добре, дозата може да бъде повишена при липса на ефикасност (вж. точки 4.4 и 5.2).</w:t>
      </w:r>
    </w:p>
    <w:p w14:paraId="2B0E8300" w14:textId="77777777" w:rsidR="00294674" w:rsidRPr="00294674" w:rsidRDefault="00294674" w:rsidP="00294674">
      <w:pPr>
        <w:rPr>
          <w:rFonts w:eastAsia="Times New Roman" w:cs="Arial"/>
          <w:i/>
          <w:iCs/>
          <w:color w:val="000000"/>
          <w:lang w:eastAsia="bg-BG"/>
        </w:rPr>
      </w:pPr>
    </w:p>
    <w:p w14:paraId="49AD3277" w14:textId="77198F7C" w:rsidR="00294674" w:rsidRPr="00294674" w:rsidRDefault="00294674" w:rsidP="00294674">
      <w:pPr>
        <w:rPr>
          <w:rFonts w:cs="Arial"/>
        </w:rPr>
      </w:pPr>
      <w:r w:rsidRPr="00294674">
        <w:rPr>
          <w:rFonts w:eastAsia="Times New Roman" w:cs="Arial"/>
          <w:i/>
          <w:iCs/>
          <w:color w:val="000000"/>
          <w:lang w:eastAsia="bg-BG"/>
        </w:rPr>
        <w:t>Старческа възраст:</w:t>
      </w:r>
      <w:r w:rsidRPr="00294674">
        <w:rPr>
          <w:rFonts w:eastAsia="Times New Roman" w:cs="Arial"/>
          <w:color w:val="000000"/>
          <w:lang w:eastAsia="bg-BG"/>
        </w:rPr>
        <w:t xml:space="preserve"> Фармакокинетиката на иматиниб не е изследвана специално при хора в старческа възраст. Не се наблюдават никакви възрастови различия във фармакокинетиката при възрастни пациенти в условията на клинични проучвания, при които над 20% от пациентите са </w:t>
      </w:r>
      <w:r w:rsidRPr="00294674">
        <w:rPr>
          <w:rFonts w:cs="Arial"/>
        </w:rPr>
        <w:t>на възраст над 65 години. Не са необходими никакви специални препоръки за дозата при хора в старческа възраст.</w:t>
      </w:r>
    </w:p>
    <w:p w14:paraId="25F6E989" w14:textId="77777777" w:rsidR="00294674" w:rsidRPr="0091385D" w:rsidRDefault="00294674" w:rsidP="0091385D"/>
    <w:p w14:paraId="28C984E8" w14:textId="0756AE28" w:rsidR="008134C8" w:rsidRDefault="002C50EE" w:rsidP="004A448E">
      <w:pPr>
        <w:pStyle w:val="Heading2"/>
      </w:pPr>
      <w:r>
        <w:t>4.3. Противопоказания</w:t>
      </w:r>
    </w:p>
    <w:p w14:paraId="2363D607" w14:textId="619A99CE" w:rsidR="0091385D" w:rsidRDefault="0091385D" w:rsidP="0091385D"/>
    <w:p w14:paraId="030B6A4D" w14:textId="434175B4" w:rsidR="00EC41ED" w:rsidRDefault="00294674" w:rsidP="0091385D">
      <w:r>
        <w:t>Свръхчувствителност към активното вещество или към някое от помощните вещества, изброени в точка 6.1.</w:t>
      </w:r>
    </w:p>
    <w:p w14:paraId="31B39DC6" w14:textId="77777777" w:rsidR="0091385D" w:rsidRPr="0091385D" w:rsidRDefault="0091385D"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1E0703C7" w:rsidR="0091385D" w:rsidRDefault="0091385D" w:rsidP="0091385D"/>
    <w:p w14:paraId="04C16B16" w14:textId="6AF056E2" w:rsidR="00294674" w:rsidRPr="00294674" w:rsidRDefault="00294674" w:rsidP="00294674">
      <w:pPr>
        <w:spacing w:line="240" w:lineRule="auto"/>
        <w:rPr>
          <w:rFonts w:eastAsia="Times New Roman" w:cs="Arial"/>
          <w:sz w:val="24"/>
          <w:szCs w:val="24"/>
          <w:lang w:eastAsia="bg-BG"/>
        </w:rPr>
      </w:pPr>
      <w:r w:rsidRPr="00294674">
        <w:rPr>
          <w:rFonts w:eastAsia="Times New Roman" w:cs="Arial"/>
          <w:color w:val="000000"/>
          <w:lang w:eastAsia="bg-BG"/>
        </w:rPr>
        <w:t>Когато иматиниб се прилага съвместно с други лекарствени продукти съществува възможност за лекарствени взаимодействия. Необходимо е повишено внимание при прием на Меаксин с протеазни инхибитори, азолови антифунгициди, определени макролиди (виж точка 4.5).</w:t>
      </w:r>
      <w:r>
        <w:rPr>
          <w:rFonts w:eastAsia="Times New Roman" w:cs="Arial"/>
          <w:color w:val="000000"/>
          <w:lang w:val="en-US"/>
        </w:rPr>
        <w:t>CYP3</w:t>
      </w:r>
      <w:r w:rsidRPr="00294674">
        <w:rPr>
          <w:rFonts w:eastAsia="Times New Roman" w:cs="Arial"/>
          <w:color w:val="000000"/>
          <w:lang w:eastAsia="bg-BG"/>
        </w:rPr>
        <w:t>А4 субстрати с тесен терапевтичен прозорец (напр. циклоспорин, пимозид, такролимус, сиролимус, ерготамин, диерготамин, фентанил, алфентанил, терфенадин, бортезомиб, доцетаксел, квинидин) или варфаарин и други кумаринови деривати (виж точка 4.5).</w:t>
      </w:r>
    </w:p>
    <w:p w14:paraId="32B8653E" w14:textId="77777777" w:rsidR="00294674" w:rsidRPr="00294674" w:rsidRDefault="00294674" w:rsidP="00294674">
      <w:pPr>
        <w:spacing w:line="240" w:lineRule="auto"/>
        <w:rPr>
          <w:rFonts w:eastAsia="Times New Roman" w:cs="Arial"/>
          <w:color w:val="000000"/>
          <w:lang w:eastAsia="bg-BG"/>
        </w:rPr>
      </w:pPr>
    </w:p>
    <w:p w14:paraId="0B35D8C7" w14:textId="7A949F83" w:rsidR="00294674" w:rsidRPr="00294674" w:rsidRDefault="00294674" w:rsidP="00294674">
      <w:pPr>
        <w:spacing w:line="240" w:lineRule="auto"/>
        <w:rPr>
          <w:rFonts w:eastAsia="Times New Roman" w:cs="Arial"/>
          <w:sz w:val="24"/>
          <w:szCs w:val="24"/>
          <w:lang w:eastAsia="bg-BG"/>
        </w:rPr>
      </w:pPr>
      <w:r w:rsidRPr="00294674">
        <w:rPr>
          <w:rFonts w:eastAsia="Times New Roman" w:cs="Arial"/>
          <w:color w:val="000000"/>
          <w:lang w:eastAsia="bg-BG"/>
        </w:rPr>
        <w:t xml:space="preserve">Съвместната употреба на иматиниб и лекарствени продукти, които са индуктори на </w:t>
      </w:r>
      <w:r w:rsidRPr="00294674">
        <w:rPr>
          <w:rFonts w:eastAsia="Times New Roman" w:cs="Arial"/>
          <w:color w:val="000000"/>
          <w:lang w:val="en-US"/>
        </w:rPr>
        <w:t xml:space="preserve">CYP3A4 </w:t>
      </w:r>
      <w:r w:rsidRPr="00294674">
        <w:rPr>
          <w:rFonts w:eastAsia="Times New Roman" w:cs="Arial"/>
          <w:color w:val="000000"/>
          <w:lang w:eastAsia="bg-BG"/>
        </w:rPr>
        <w:t xml:space="preserve">(напр. дексаметазон, фенитоин, карбамазепин, рифампицин, фенобарбитал или растението </w:t>
      </w:r>
      <w:r w:rsidRPr="00294674">
        <w:rPr>
          <w:rFonts w:eastAsia="Times New Roman" w:cs="Arial"/>
          <w:i/>
          <w:iCs/>
          <w:color w:val="000000"/>
          <w:lang w:val="en-US"/>
        </w:rPr>
        <w:t>Hypericum perforatum,</w:t>
      </w:r>
      <w:r w:rsidRPr="00294674">
        <w:rPr>
          <w:rFonts w:eastAsia="Times New Roman" w:cs="Arial"/>
          <w:color w:val="000000"/>
          <w:lang w:val="en-US"/>
        </w:rPr>
        <w:t xml:space="preserve"> </w:t>
      </w:r>
      <w:r w:rsidRPr="00294674">
        <w:rPr>
          <w:rFonts w:eastAsia="Times New Roman" w:cs="Arial"/>
          <w:color w:val="000000"/>
          <w:lang w:eastAsia="bg-BG"/>
        </w:rPr>
        <w:t xml:space="preserve">известно още като жълт кантарион) може значително да понижат експозицията на иматиниб като така е възможно да се повиши риска от </w:t>
      </w:r>
      <w:r w:rsidRPr="00294674">
        <w:rPr>
          <w:rFonts w:eastAsia="Times New Roman" w:cs="Arial"/>
          <w:color w:val="000000"/>
          <w:lang w:eastAsia="bg-BG"/>
        </w:rPr>
        <w:lastRenderedPageBreak/>
        <w:t xml:space="preserve">терапевтичен неуспех. Затова трябва да се избягва съвместната употреба на мощни индуктори на </w:t>
      </w:r>
      <w:r w:rsidRPr="00294674">
        <w:rPr>
          <w:rFonts w:eastAsia="Times New Roman" w:cs="Arial"/>
          <w:color w:val="000000"/>
          <w:lang w:val="en-US"/>
        </w:rPr>
        <w:t xml:space="preserve">CYP3 </w:t>
      </w:r>
      <w:r w:rsidRPr="00294674">
        <w:rPr>
          <w:rFonts w:eastAsia="Times New Roman" w:cs="Arial"/>
          <w:color w:val="000000"/>
          <w:lang w:eastAsia="bg-BG"/>
        </w:rPr>
        <w:t>А4 и иматиниб (вж. точка 4.5).</w:t>
      </w:r>
    </w:p>
    <w:p w14:paraId="427AC2EC" w14:textId="77777777" w:rsidR="00294674" w:rsidRPr="00294674" w:rsidRDefault="00294674" w:rsidP="00294674">
      <w:pPr>
        <w:spacing w:line="240" w:lineRule="auto"/>
        <w:rPr>
          <w:rFonts w:eastAsia="Times New Roman" w:cs="Arial"/>
          <w:color w:val="000000"/>
          <w:u w:val="single"/>
          <w:lang w:eastAsia="bg-BG"/>
        </w:rPr>
      </w:pPr>
    </w:p>
    <w:p w14:paraId="2BC9FD19" w14:textId="273BF6E0" w:rsidR="00294674" w:rsidRPr="00294674" w:rsidRDefault="00294674" w:rsidP="00294674">
      <w:pPr>
        <w:spacing w:line="240" w:lineRule="auto"/>
        <w:rPr>
          <w:rFonts w:eastAsia="Times New Roman" w:cs="Arial"/>
          <w:sz w:val="24"/>
          <w:szCs w:val="24"/>
          <w:lang w:eastAsia="bg-BG"/>
        </w:rPr>
      </w:pPr>
      <w:r w:rsidRPr="00294674">
        <w:rPr>
          <w:rFonts w:eastAsia="Times New Roman" w:cs="Arial"/>
          <w:color w:val="000000"/>
          <w:u w:val="single"/>
          <w:lang w:eastAsia="bg-BG"/>
        </w:rPr>
        <w:t>Хипотиреоидизъм</w:t>
      </w:r>
    </w:p>
    <w:p w14:paraId="7EFF6166" w14:textId="77777777" w:rsidR="00294674" w:rsidRPr="00294674" w:rsidRDefault="00294674" w:rsidP="00294674">
      <w:pPr>
        <w:spacing w:line="240" w:lineRule="auto"/>
        <w:rPr>
          <w:rFonts w:eastAsia="Times New Roman" w:cs="Arial"/>
          <w:sz w:val="24"/>
          <w:szCs w:val="24"/>
          <w:lang w:eastAsia="bg-BG"/>
        </w:rPr>
      </w:pPr>
      <w:r w:rsidRPr="00294674">
        <w:rPr>
          <w:rFonts w:eastAsia="Times New Roman" w:cs="Arial"/>
          <w:color w:val="000000"/>
          <w:lang w:eastAsia="bg-BG"/>
        </w:rPr>
        <w:t>Клинични случаи на хипотиреоидизъм са били докладвани при тироидектомирани пациенти със заместителна терапия с левотироксин по време на лечението с иматиниб (вж. точка 4.5). Нивата на тироид стимулиращия хормон (ТСХ) трябва да се наблюдават редовно при такива пациенти.</w:t>
      </w:r>
    </w:p>
    <w:p w14:paraId="342915F4" w14:textId="77777777" w:rsidR="00294674" w:rsidRPr="00294674" w:rsidRDefault="00294674" w:rsidP="00294674">
      <w:pPr>
        <w:spacing w:line="240" w:lineRule="auto"/>
        <w:rPr>
          <w:rFonts w:eastAsia="Times New Roman" w:cs="Arial"/>
          <w:color w:val="000000"/>
          <w:u w:val="single"/>
          <w:lang w:eastAsia="bg-BG"/>
        </w:rPr>
      </w:pPr>
    </w:p>
    <w:p w14:paraId="26488489" w14:textId="573555CA" w:rsidR="00294674" w:rsidRPr="00294674" w:rsidRDefault="00294674" w:rsidP="00294674">
      <w:pPr>
        <w:spacing w:line="240" w:lineRule="auto"/>
        <w:rPr>
          <w:rFonts w:eastAsia="Times New Roman" w:cs="Arial"/>
          <w:sz w:val="24"/>
          <w:szCs w:val="24"/>
          <w:lang w:eastAsia="bg-BG"/>
        </w:rPr>
      </w:pPr>
      <w:r w:rsidRPr="00294674">
        <w:rPr>
          <w:rFonts w:eastAsia="Times New Roman" w:cs="Arial"/>
          <w:color w:val="000000"/>
          <w:u w:val="single"/>
          <w:lang w:eastAsia="bg-BG"/>
        </w:rPr>
        <w:t>Хепатотоксичност</w:t>
      </w:r>
    </w:p>
    <w:p w14:paraId="4711469F" w14:textId="77777777" w:rsidR="00294674" w:rsidRPr="00294674" w:rsidRDefault="00294674" w:rsidP="00294674">
      <w:pPr>
        <w:spacing w:line="240" w:lineRule="auto"/>
        <w:rPr>
          <w:rFonts w:eastAsia="Times New Roman" w:cs="Arial"/>
          <w:sz w:val="24"/>
          <w:szCs w:val="24"/>
          <w:lang w:eastAsia="bg-BG"/>
        </w:rPr>
      </w:pPr>
      <w:r w:rsidRPr="00294674">
        <w:rPr>
          <w:rFonts w:eastAsia="Times New Roman" w:cs="Arial"/>
          <w:color w:val="000000"/>
          <w:lang w:eastAsia="bg-BG"/>
        </w:rPr>
        <w:t>Иматиниб се метаболизира основно в черния дроб и само 13 % се екскретират през бъбреците. При пациентите с нарушение на чернодробната функция (леко, средно, тежко), внимателно трябва да се проследяват броя на клетките в периферната кръв и чернодробните ензими (вж. точки 4.2, 4.8 и 5.2). Трябва да се отбележи, че пациентите с ГИСТ могат да имат чернодробни метастази, които могат да доведат до чернодробно увреждане.</w:t>
      </w:r>
    </w:p>
    <w:p w14:paraId="0B23EA7B" w14:textId="77777777" w:rsidR="00294674" w:rsidRPr="00294674" w:rsidRDefault="00294674" w:rsidP="00294674">
      <w:pPr>
        <w:spacing w:line="240" w:lineRule="auto"/>
        <w:rPr>
          <w:rFonts w:eastAsia="Times New Roman" w:cs="Arial"/>
          <w:color w:val="000000"/>
          <w:lang w:eastAsia="bg-BG"/>
        </w:rPr>
      </w:pPr>
    </w:p>
    <w:p w14:paraId="7CCF2D35" w14:textId="6710D0B7" w:rsidR="00294674" w:rsidRPr="00294674" w:rsidRDefault="00294674" w:rsidP="00294674">
      <w:pPr>
        <w:spacing w:line="240" w:lineRule="auto"/>
        <w:rPr>
          <w:rFonts w:eastAsia="Times New Roman" w:cs="Arial"/>
          <w:sz w:val="24"/>
          <w:szCs w:val="24"/>
          <w:lang w:eastAsia="bg-BG"/>
        </w:rPr>
      </w:pPr>
      <w:r w:rsidRPr="00294674">
        <w:rPr>
          <w:rFonts w:eastAsia="Times New Roman" w:cs="Arial"/>
          <w:color w:val="000000"/>
          <w:lang w:eastAsia="bg-BG"/>
        </w:rPr>
        <w:t>Наблюдавани са случаи на чернодробно увреждане, включително чернодробна недостатъчност и чернодробна некроза при употреба на иматиниб. Когато иматиниб се комбинира с високо- дозови химиотерапевтични схеми, е отчетено увеличение на сериозните чернодробни нежелани реакции. Чернодобната функция трябва да се следи внимателно в случаи на комбиниране на иматиниб с химиотерапевтични схеми, за които също е известно, че са свързани с нарушение на чернодробната функция (вж. точки 4.5 и 4.8).</w:t>
      </w:r>
    </w:p>
    <w:p w14:paraId="6B5DA1D8" w14:textId="77777777" w:rsidR="00294674" w:rsidRPr="00294674" w:rsidRDefault="00294674" w:rsidP="00294674">
      <w:pPr>
        <w:spacing w:line="240" w:lineRule="auto"/>
        <w:rPr>
          <w:rFonts w:eastAsia="Times New Roman" w:cs="Arial"/>
          <w:color w:val="000000"/>
          <w:u w:val="single"/>
          <w:lang w:eastAsia="bg-BG"/>
        </w:rPr>
      </w:pPr>
    </w:p>
    <w:p w14:paraId="3306363A" w14:textId="7BE716AB" w:rsidR="00294674" w:rsidRPr="00294674" w:rsidRDefault="00294674" w:rsidP="00294674">
      <w:pPr>
        <w:spacing w:line="240" w:lineRule="auto"/>
        <w:rPr>
          <w:rFonts w:eastAsia="Times New Roman" w:cs="Arial"/>
          <w:sz w:val="24"/>
          <w:szCs w:val="24"/>
          <w:lang w:eastAsia="bg-BG"/>
        </w:rPr>
      </w:pPr>
      <w:r w:rsidRPr="00294674">
        <w:rPr>
          <w:rFonts w:eastAsia="Times New Roman" w:cs="Arial"/>
          <w:color w:val="000000"/>
          <w:u w:val="single"/>
          <w:lang w:eastAsia="bg-BG"/>
        </w:rPr>
        <w:t>Задръжка на течности</w:t>
      </w:r>
    </w:p>
    <w:p w14:paraId="12C79522" w14:textId="117D3BB0" w:rsidR="00294674" w:rsidRPr="00294674" w:rsidRDefault="00294674" w:rsidP="00294674">
      <w:pPr>
        <w:spacing w:line="240" w:lineRule="auto"/>
        <w:rPr>
          <w:rFonts w:eastAsia="Times New Roman" w:cs="Arial"/>
          <w:sz w:val="24"/>
          <w:szCs w:val="24"/>
          <w:lang w:eastAsia="bg-BG"/>
        </w:rPr>
      </w:pPr>
      <w:r w:rsidRPr="00294674">
        <w:rPr>
          <w:rFonts w:eastAsia="Times New Roman" w:cs="Arial"/>
          <w:color w:val="000000"/>
          <w:lang w:eastAsia="bg-BG"/>
        </w:rPr>
        <w:t>Случаи на тежка задръжка на течности (плеврални изливи, оток, белодробен оток, асцит, повърхностен оток) се съобщават при приблизително 2,5% от пациентите с ново диагностицирана ХМЛ, приемащи иматиниб. Затова силно се препоръчва телесното тегло на пациентите да се проследява редовно. Неочакваното бързо повишаване на телесното тегло  трябва да се изяснява внимателно и ако е необходимо да се предприемат съответни</w:t>
      </w:r>
      <w:r w:rsidRPr="00294674">
        <w:rPr>
          <w:rFonts w:eastAsia="Times New Roman" w:cs="Arial"/>
          <w:smallCaps/>
          <w:color w:val="000000"/>
          <w:lang w:eastAsia="bg-BG"/>
        </w:rPr>
        <w:t xml:space="preserve"> </w:t>
      </w:r>
      <w:r w:rsidRPr="00294674">
        <w:rPr>
          <w:rFonts w:eastAsia="Times New Roman" w:cs="Arial"/>
          <w:color w:val="000000"/>
          <w:lang w:eastAsia="bg-BG"/>
        </w:rPr>
        <w:t>поддържащи грижи и терапевтични мерки. При клинични проучвания има повишена честота на тези събития при хора в старческа възраст и тези с предхождаща анамнеза за сърдечно</w:t>
      </w:r>
      <w:r w:rsidRPr="00294674">
        <w:rPr>
          <w:rFonts w:eastAsia="Times New Roman" w:cs="Arial"/>
          <w:b/>
          <w:bCs/>
          <w:color w:val="000000"/>
          <w:lang w:eastAsia="bg-BG"/>
        </w:rPr>
        <w:t xml:space="preserve"> </w:t>
      </w:r>
      <w:r w:rsidRPr="00294674">
        <w:rPr>
          <w:rFonts w:eastAsia="Times New Roman" w:cs="Arial"/>
          <w:color w:val="000000"/>
          <w:lang w:eastAsia="bg-BG"/>
        </w:rPr>
        <w:t xml:space="preserve">заболяване. Затова </w:t>
      </w:r>
      <w:r w:rsidRPr="00294674">
        <w:rPr>
          <w:rFonts w:eastAsia="Times New Roman" w:cs="Arial"/>
          <w:i/>
          <w:iCs/>
          <w:color w:val="000000"/>
          <w:lang w:eastAsia="bg-BG"/>
        </w:rPr>
        <w:t>при</w:t>
      </w:r>
      <w:r w:rsidRPr="00294674">
        <w:rPr>
          <w:rFonts w:eastAsia="Times New Roman" w:cs="Arial"/>
          <w:color w:val="000000"/>
          <w:lang w:eastAsia="bg-BG"/>
        </w:rPr>
        <w:t xml:space="preserve"> пациенти е нарушена сърдечна функция трябва да се подхожда</w:t>
      </w:r>
      <w:r w:rsidRPr="00294674">
        <w:rPr>
          <w:rFonts w:eastAsia="Times New Roman" w:cs="Arial"/>
          <w:sz w:val="24"/>
          <w:szCs w:val="24"/>
          <w:lang w:eastAsia="bg-BG"/>
        </w:rPr>
        <w:t xml:space="preserve"> </w:t>
      </w:r>
      <w:r w:rsidRPr="00294674">
        <w:rPr>
          <w:rFonts w:eastAsia="Times New Roman" w:cs="Arial"/>
          <w:color w:val="000000"/>
          <w:lang w:eastAsia="bg-BG"/>
        </w:rPr>
        <w:t>предпазливо.</w:t>
      </w:r>
    </w:p>
    <w:p w14:paraId="3E1953B8" w14:textId="77777777" w:rsidR="00294674" w:rsidRPr="00294674" w:rsidRDefault="00294674" w:rsidP="00294674">
      <w:pPr>
        <w:rPr>
          <w:rFonts w:eastAsia="Times New Roman" w:cs="Arial"/>
          <w:color w:val="000000"/>
          <w:u w:val="single"/>
          <w:lang w:eastAsia="bg-BG"/>
        </w:rPr>
      </w:pPr>
    </w:p>
    <w:p w14:paraId="0E28BBDE" w14:textId="0216C1E6" w:rsidR="007A2185" w:rsidRPr="00294674" w:rsidRDefault="00294674" w:rsidP="00294674">
      <w:pPr>
        <w:rPr>
          <w:rFonts w:cs="Arial"/>
        </w:rPr>
      </w:pPr>
      <w:r w:rsidRPr="00294674">
        <w:rPr>
          <w:rFonts w:eastAsia="Times New Roman" w:cs="Arial"/>
          <w:color w:val="000000"/>
          <w:u w:val="single"/>
          <w:lang w:eastAsia="bg-BG"/>
        </w:rPr>
        <w:t>Пациенти със сърдечно заболяване</w:t>
      </w:r>
    </w:p>
    <w:p w14:paraId="4947BF56" w14:textId="77777777" w:rsidR="00294674" w:rsidRPr="00294674" w:rsidRDefault="00294674" w:rsidP="00294674">
      <w:pPr>
        <w:spacing w:line="240" w:lineRule="auto"/>
        <w:rPr>
          <w:rFonts w:eastAsia="Times New Roman" w:cs="Arial"/>
          <w:sz w:val="24"/>
          <w:szCs w:val="24"/>
          <w:lang w:eastAsia="bg-BG"/>
        </w:rPr>
      </w:pPr>
      <w:r w:rsidRPr="00294674">
        <w:rPr>
          <w:rFonts w:eastAsia="Times New Roman" w:cs="Arial"/>
          <w:color w:val="000000"/>
          <w:lang w:eastAsia="bg-BG"/>
        </w:rPr>
        <w:t>Пациентите със сърдечно заболяване, рискови фактори за сърдечна недостатъчност или анамнеза за бъбречна недостатъчност трябва да се наблюдават внимателно, а всеки пациент с признаци или симптоми характерни за сърдечна или бъбречна недостатъчност трябва да бъде изследван и лекуван.</w:t>
      </w:r>
    </w:p>
    <w:p w14:paraId="65E8C198" w14:textId="77777777" w:rsidR="00294674" w:rsidRPr="00294674" w:rsidRDefault="00294674" w:rsidP="00294674">
      <w:pPr>
        <w:spacing w:line="240" w:lineRule="auto"/>
        <w:rPr>
          <w:rFonts w:eastAsia="Times New Roman" w:cs="Arial"/>
          <w:color w:val="000000"/>
          <w:lang w:eastAsia="bg-BG"/>
        </w:rPr>
      </w:pPr>
    </w:p>
    <w:p w14:paraId="60842759" w14:textId="2E2894FF" w:rsidR="00294674" w:rsidRPr="00294674" w:rsidRDefault="00294674" w:rsidP="00294674">
      <w:pPr>
        <w:spacing w:line="240" w:lineRule="auto"/>
        <w:rPr>
          <w:rFonts w:eastAsia="Times New Roman" w:cs="Arial"/>
          <w:sz w:val="24"/>
          <w:szCs w:val="24"/>
          <w:lang w:eastAsia="bg-BG"/>
        </w:rPr>
      </w:pPr>
      <w:r w:rsidRPr="00294674">
        <w:rPr>
          <w:rFonts w:eastAsia="Times New Roman" w:cs="Arial"/>
          <w:color w:val="000000"/>
          <w:lang w:eastAsia="bg-BG"/>
        </w:rPr>
        <w:t>При пациенти с хипереозинофилен синдром (ХЕС) и със силна инфилтрация на ХЕС клетки в миокарда, изолирани случаи на кардиогенен шок/левокамерна дисфункция са били свързвани с ХЕС-клетъчна дегранулация поради започване на лечение с иматиниб. Докладваното състояние е било обратимо при системно приложение на кортикостероиди, циркулаторни поддържащи мерки и временно спиране на иматиниб. Тъй като сърдечносъдови нежелани реакции се докладват не често при иматиниб, преди започване на лечението трябва да се направи внимателна оценка на съотношението полза/риск на терапията с иматиниб при ХЕС/ХЕЛ популацията.</w:t>
      </w:r>
    </w:p>
    <w:p w14:paraId="1A373638" w14:textId="77777777" w:rsidR="00294674" w:rsidRPr="00294674" w:rsidRDefault="00294674" w:rsidP="00294674">
      <w:pPr>
        <w:spacing w:line="240" w:lineRule="auto"/>
        <w:rPr>
          <w:rFonts w:eastAsia="Times New Roman" w:cs="Arial"/>
          <w:color w:val="000000"/>
          <w:lang w:eastAsia="bg-BG"/>
        </w:rPr>
      </w:pPr>
    </w:p>
    <w:p w14:paraId="48E66AC2" w14:textId="2D57BE95" w:rsidR="00294674" w:rsidRPr="00294674" w:rsidRDefault="00294674" w:rsidP="00294674">
      <w:pPr>
        <w:spacing w:line="240" w:lineRule="auto"/>
        <w:rPr>
          <w:rFonts w:eastAsia="Times New Roman" w:cs="Arial"/>
          <w:sz w:val="24"/>
          <w:szCs w:val="24"/>
          <w:lang w:eastAsia="bg-BG"/>
        </w:rPr>
      </w:pPr>
      <w:r w:rsidRPr="00294674">
        <w:rPr>
          <w:rFonts w:eastAsia="Times New Roman" w:cs="Arial"/>
          <w:color w:val="000000"/>
          <w:lang w:eastAsia="bg-BG"/>
        </w:rPr>
        <w:lastRenderedPageBreak/>
        <w:t xml:space="preserve">Миелодиспластичен синдром/миелопролиферативни заболявания с </w:t>
      </w:r>
      <w:r w:rsidRPr="00294674">
        <w:rPr>
          <w:rFonts w:eastAsia="Times New Roman" w:cs="Arial"/>
          <w:color w:val="000000"/>
          <w:lang w:val="en-US"/>
        </w:rPr>
        <w:t xml:space="preserve">PDGFR </w:t>
      </w:r>
      <w:r w:rsidRPr="00294674">
        <w:rPr>
          <w:rFonts w:eastAsia="Times New Roman" w:cs="Arial"/>
          <w:color w:val="000000"/>
          <w:lang w:eastAsia="bg-BG"/>
        </w:rPr>
        <w:t xml:space="preserve">генни изменения може да са свързани с високи нива на еозинофилите. Поради тази причина е необходимо да се направят оценка от кардиолог, електрокардиограма и определяне на серумния тропонин при пациентите с ХЕС/ХЕЛ, и при пациенти с МДС/МПЗ свързани с високи нива на еозинофилите, когато се прилага иматиниб. Ако някое от горепосочените е извън нормата, при започване на терапията трябва да се има предвид консултация е кардиолог и профилактична употреба на системни кортикостероиди (1-2 </w:t>
      </w:r>
      <w:r w:rsidRPr="00294674">
        <w:rPr>
          <w:rFonts w:eastAsia="Times New Roman" w:cs="Arial"/>
          <w:color w:val="000000"/>
          <w:lang w:val="en-US"/>
        </w:rPr>
        <w:t xml:space="preserve">mg/kg) </w:t>
      </w:r>
      <w:r w:rsidRPr="00294674">
        <w:rPr>
          <w:rFonts w:eastAsia="Times New Roman" w:cs="Arial"/>
          <w:color w:val="000000"/>
          <w:lang w:eastAsia="bg-BG"/>
        </w:rPr>
        <w:t>в продължение на една или две седмици едновременно с иматиниб.</w:t>
      </w:r>
    </w:p>
    <w:p w14:paraId="0BD60FCB" w14:textId="77777777" w:rsidR="00294674" w:rsidRPr="00294674" w:rsidRDefault="00294674" w:rsidP="00294674">
      <w:pPr>
        <w:spacing w:line="240" w:lineRule="auto"/>
        <w:rPr>
          <w:rFonts w:eastAsia="Times New Roman" w:cs="Arial"/>
          <w:color w:val="000000"/>
          <w:u w:val="single"/>
          <w:lang w:eastAsia="bg-BG"/>
        </w:rPr>
      </w:pPr>
    </w:p>
    <w:p w14:paraId="4A9A5DC2" w14:textId="65A1D0D9" w:rsidR="00294674" w:rsidRPr="00294674" w:rsidRDefault="00294674" w:rsidP="00294674">
      <w:pPr>
        <w:spacing w:line="240" w:lineRule="auto"/>
        <w:rPr>
          <w:rFonts w:eastAsia="Times New Roman" w:cs="Arial"/>
          <w:sz w:val="24"/>
          <w:szCs w:val="24"/>
          <w:lang w:eastAsia="bg-BG"/>
        </w:rPr>
      </w:pPr>
      <w:r w:rsidRPr="00294674">
        <w:rPr>
          <w:rFonts w:eastAsia="Times New Roman" w:cs="Arial"/>
          <w:color w:val="000000"/>
          <w:u w:val="single"/>
          <w:lang w:eastAsia="bg-BG"/>
        </w:rPr>
        <w:t>Гастроинтестинапен кръвоизлив</w:t>
      </w:r>
    </w:p>
    <w:p w14:paraId="1F0BA7AE" w14:textId="77777777" w:rsidR="00294674" w:rsidRPr="00294674" w:rsidRDefault="00294674" w:rsidP="00294674">
      <w:pPr>
        <w:spacing w:line="240" w:lineRule="auto"/>
        <w:rPr>
          <w:rFonts w:eastAsia="Times New Roman" w:cs="Arial"/>
          <w:sz w:val="24"/>
          <w:szCs w:val="24"/>
          <w:lang w:eastAsia="bg-BG"/>
        </w:rPr>
      </w:pPr>
      <w:r w:rsidRPr="00294674">
        <w:rPr>
          <w:rFonts w:eastAsia="Times New Roman" w:cs="Arial"/>
          <w:color w:val="000000"/>
          <w:lang w:eastAsia="bg-BG"/>
        </w:rPr>
        <w:t>В проучване при пациенти с неподлежащи на резекция и/или метастатични ГИСТ се съобщават както гастро-интестинални, така и вътретуморни кръвоизливи (вж. точка 4.8). Въз основа на наличните данни не се установяват предразполагащи фактори (напр. размер на тумора, разположение на тумора и коагулационни нарушения), които да определят пациентите с ГИСТ в риск за някой от двата вида кръвоизливи. Тъй като повишената васкуларизация и склонност към кървене са част от естествения клиничен ход на ГИСТ, при всички пациенти трябва да се прилагат стандартната практика и процедури за проследяване и поведение при кръвоизливи.</w:t>
      </w:r>
    </w:p>
    <w:p w14:paraId="36D2DB50" w14:textId="77777777" w:rsidR="00294674" w:rsidRPr="00294674" w:rsidRDefault="00294674" w:rsidP="00294674">
      <w:pPr>
        <w:spacing w:line="240" w:lineRule="auto"/>
        <w:rPr>
          <w:rFonts w:eastAsia="Times New Roman" w:cs="Arial"/>
          <w:color w:val="000000"/>
          <w:lang w:eastAsia="bg-BG"/>
        </w:rPr>
      </w:pPr>
    </w:p>
    <w:p w14:paraId="1D2C8DA3" w14:textId="5327BEE3" w:rsidR="00294674" w:rsidRPr="00294674" w:rsidRDefault="00294674" w:rsidP="00294674">
      <w:pPr>
        <w:spacing w:line="240" w:lineRule="auto"/>
        <w:rPr>
          <w:rFonts w:eastAsia="Times New Roman" w:cs="Arial"/>
          <w:sz w:val="24"/>
          <w:szCs w:val="24"/>
          <w:lang w:eastAsia="bg-BG"/>
        </w:rPr>
      </w:pPr>
      <w:r w:rsidRPr="00294674">
        <w:rPr>
          <w:rFonts w:eastAsia="Times New Roman" w:cs="Arial"/>
          <w:color w:val="000000"/>
          <w:lang w:eastAsia="bg-BG"/>
        </w:rPr>
        <w:t xml:space="preserve">Освен това, по време на постмаркетинговия опит при пациенти с ХМЛ, ОЛЛ и други заболявания се съобщава за стомашна антрална съдова ектазия </w:t>
      </w:r>
      <w:r w:rsidRPr="00294674">
        <w:rPr>
          <w:rFonts w:eastAsia="Times New Roman" w:cs="Arial"/>
          <w:color w:val="000000"/>
          <w:lang w:val="en-US"/>
        </w:rPr>
        <w:t xml:space="preserve">(GAVE), </w:t>
      </w:r>
      <w:r w:rsidRPr="00294674">
        <w:rPr>
          <w:rFonts w:eastAsia="Times New Roman" w:cs="Arial"/>
          <w:color w:val="000000"/>
          <w:lang w:eastAsia="bg-BG"/>
        </w:rPr>
        <w:t>рядка причина за гастроинтестинален кръвоизлив (вж. точка 4.8). Когато е необходимо, може да се обмисли преустановяване на лечението с иматиниб.</w:t>
      </w:r>
    </w:p>
    <w:p w14:paraId="7079BBAB" w14:textId="77777777" w:rsidR="00294674" w:rsidRPr="00294674" w:rsidRDefault="00294674" w:rsidP="00294674">
      <w:pPr>
        <w:spacing w:line="240" w:lineRule="auto"/>
        <w:rPr>
          <w:rFonts w:eastAsia="Times New Roman" w:cs="Arial"/>
          <w:color w:val="000000"/>
          <w:u w:val="single"/>
          <w:lang w:eastAsia="bg-BG"/>
        </w:rPr>
      </w:pPr>
    </w:p>
    <w:p w14:paraId="51426E5F" w14:textId="1CCFF1BE" w:rsidR="00294674" w:rsidRPr="00294674" w:rsidRDefault="00294674" w:rsidP="00294674">
      <w:pPr>
        <w:spacing w:line="240" w:lineRule="auto"/>
        <w:rPr>
          <w:rFonts w:eastAsia="Times New Roman" w:cs="Arial"/>
          <w:sz w:val="24"/>
          <w:szCs w:val="24"/>
          <w:lang w:eastAsia="bg-BG"/>
        </w:rPr>
      </w:pPr>
      <w:r w:rsidRPr="00294674">
        <w:rPr>
          <w:rFonts w:eastAsia="Times New Roman" w:cs="Arial"/>
          <w:color w:val="000000"/>
          <w:u w:val="single"/>
          <w:lang w:eastAsia="bg-BG"/>
        </w:rPr>
        <w:t>Тумор-лизис синдром</w:t>
      </w:r>
    </w:p>
    <w:p w14:paraId="7C910946" w14:textId="77777777" w:rsidR="00294674" w:rsidRPr="00294674" w:rsidRDefault="00294674" w:rsidP="00294674">
      <w:pPr>
        <w:spacing w:line="240" w:lineRule="auto"/>
        <w:rPr>
          <w:rFonts w:eastAsia="Times New Roman" w:cs="Arial"/>
          <w:sz w:val="24"/>
          <w:szCs w:val="24"/>
          <w:lang w:eastAsia="bg-BG"/>
        </w:rPr>
      </w:pPr>
      <w:r w:rsidRPr="00294674">
        <w:rPr>
          <w:rFonts w:eastAsia="Times New Roman" w:cs="Arial"/>
          <w:color w:val="000000"/>
          <w:lang w:eastAsia="bg-BG"/>
        </w:rPr>
        <w:t>Поради възможността за възникване на тумор-лизис синдром (ТЛС) се препоръчва коригиране на клинично значимата дехидратация и високите нива на пикочна киселина преди започване на лечението с иматиниб (вж. точка 4.8).</w:t>
      </w:r>
    </w:p>
    <w:p w14:paraId="67D4B147" w14:textId="77777777" w:rsidR="00294674" w:rsidRPr="00294674" w:rsidRDefault="00294674" w:rsidP="00294674">
      <w:pPr>
        <w:spacing w:line="240" w:lineRule="auto"/>
        <w:rPr>
          <w:rFonts w:eastAsia="Times New Roman" w:cs="Arial"/>
          <w:color w:val="000000"/>
          <w:u w:val="single"/>
          <w:lang w:eastAsia="bg-BG"/>
        </w:rPr>
      </w:pPr>
    </w:p>
    <w:p w14:paraId="631DCFAB" w14:textId="0921916D" w:rsidR="00294674" w:rsidRPr="00294674" w:rsidRDefault="00294674" w:rsidP="00294674">
      <w:pPr>
        <w:spacing w:line="240" w:lineRule="auto"/>
        <w:rPr>
          <w:rFonts w:eastAsia="Times New Roman" w:cs="Arial"/>
          <w:sz w:val="24"/>
          <w:szCs w:val="24"/>
          <w:lang w:eastAsia="bg-BG"/>
        </w:rPr>
      </w:pPr>
      <w:r w:rsidRPr="00294674">
        <w:rPr>
          <w:rFonts w:eastAsia="Times New Roman" w:cs="Arial"/>
          <w:color w:val="000000"/>
          <w:u w:val="single"/>
          <w:lang w:eastAsia="bg-BG"/>
        </w:rPr>
        <w:t>Реактивиране на хепатит В</w:t>
      </w:r>
    </w:p>
    <w:p w14:paraId="09B4BC19" w14:textId="77777777" w:rsidR="00294674" w:rsidRPr="00294674" w:rsidRDefault="00294674" w:rsidP="00294674">
      <w:pPr>
        <w:spacing w:line="240" w:lineRule="auto"/>
        <w:rPr>
          <w:rFonts w:eastAsia="Times New Roman" w:cs="Arial"/>
          <w:sz w:val="24"/>
          <w:szCs w:val="24"/>
          <w:lang w:eastAsia="bg-BG"/>
        </w:rPr>
      </w:pPr>
      <w:r w:rsidRPr="00294674">
        <w:rPr>
          <w:rFonts w:eastAsia="Times New Roman" w:cs="Arial"/>
          <w:color w:val="000000"/>
          <w:lang w:eastAsia="bg-BG"/>
        </w:rPr>
        <w:t xml:space="preserve">Реактивиране на хепатит В при пациенти, които са хронични носители на този вирус е настъпила след като тези пациенти са били лекувани с </w:t>
      </w:r>
      <w:r w:rsidRPr="00294674">
        <w:rPr>
          <w:rFonts w:eastAsia="Times New Roman" w:cs="Arial"/>
          <w:color w:val="000000"/>
          <w:lang w:val="en-US"/>
        </w:rPr>
        <w:t xml:space="preserve">BCR-ABL </w:t>
      </w:r>
      <w:r w:rsidRPr="00294674">
        <w:rPr>
          <w:rFonts w:eastAsia="Times New Roman" w:cs="Arial"/>
          <w:color w:val="000000"/>
          <w:lang w:eastAsia="bg-BG"/>
        </w:rPr>
        <w:t>инхибитори на тирозин киназа. Някои случаи са довели до остра чернодробна недостатъчност или фулминантен хепатит, водещи до чернодробна трансплантация или фатален изход.</w:t>
      </w:r>
    </w:p>
    <w:p w14:paraId="3F27C13D" w14:textId="77777777" w:rsidR="00294674" w:rsidRPr="00294674" w:rsidRDefault="00294674" w:rsidP="00294674">
      <w:pPr>
        <w:spacing w:line="240" w:lineRule="auto"/>
        <w:rPr>
          <w:rFonts w:eastAsia="Times New Roman" w:cs="Arial"/>
          <w:color w:val="000000"/>
          <w:lang w:eastAsia="bg-BG"/>
        </w:rPr>
      </w:pPr>
    </w:p>
    <w:p w14:paraId="75A0D0EA" w14:textId="52346587" w:rsidR="00294674" w:rsidRPr="00294674" w:rsidRDefault="00294674" w:rsidP="00294674">
      <w:pPr>
        <w:spacing w:line="240" w:lineRule="auto"/>
        <w:rPr>
          <w:rFonts w:eastAsia="Times New Roman" w:cs="Arial"/>
          <w:sz w:val="24"/>
          <w:szCs w:val="24"/>
          <w:lang w:eastAsia="bg-BG"/>
        </w:rPr>
      </w:pPr>
      <w:r w:rsidRPr="00294674">
        <w:rPr>
          <w:rFonts w:eastAsia="Times New Roman" w:cs="Arial"/>
          <w:color w:val="000000"/>
          <w:lang w:eastAsia="bg-BG"/>
        </w:rPr>
        <w:t xml:space="preserve">Пациентите трябва да бъдат изследвани за </w:t>
      </w:r>
      <w:r w:rsidRPr="00294674">
        <w:rPr>
          <w:rFonts w:eastAsia="Times New Roman" w:cs="Arial"/>
          <w:color w:val="000000"/>
          <w:lang w:val="en-US"/>
        </w:rPr>
        <w:t xml:space="preserve">HBV </w:t>
      </w:r>
      <w:r w:rsidRPr="00294674">
        <w:rPr>
          <w:rFonts w:eastAsia="Times New Roman" w:cs="Arial"/>
          <w:color w:val="000000"/>
          <w:lang w:eastAsia="bg-BG"/>
        </w:rPr>
        <w:t>инфекция преди започване на лечение с</w:t>
      </w:r>
    </w:p>
    <w:p w14:paraId="24E3E82F" w14:textId="40FD263C" w:rsidR="0091385D" w:rsidRDefault="00294674" w:rsidP="00294674">
      <w:pPr>
        <w:spacing w:line="240" w:lineRule="auto"/>
        <w:rPr>
          <w:rFonts w:eastAsia="Times New Roman" w:cs="Arial"/>
          <w:color w:val="000000"/>
          <w:lang w:val="en-US" w:eastAsia="bg-BG"/>
        </w:rPr>
      </w:pPr>
      <w:r w:rsidRPr="00294674">
        <w:rPr>
          <w:rFonts w:eastAsia="Times New Roman" w:cs="Arial"/>
          <w:color w:val="000000"/>
          <w:lang w:eastAsia="bg-BG"/>
        </w:rPr>
        <w:t xml:space="preserve">Меаксин. Специалисти в лечението на чернодробно заболяване и хепатит В трябва да бъдат консултирани преди започване на лечението при пациенти с положителен серологичен тест за хепатит В (включително тези с активно заболяване) и при пациенти, които имат положителен тест за </w:t>
      </w:r>
      <w:r w:rsidRPr="00294674">
        <w:rPr>
          <w:rFonts w:eastAsia="Times New Roman" w:cs="Arial"/>
          <w:color w:val="000000"/>
          <w:lang w:val="en-US"/>
        </w:rPr>
        <w:t xml:space="preserve">HBV </w:t>
      </w:r>
      <w:r w:rsidRPr="00294674">
        <w:rPr>
          <w:rFonts w:eastAsia="Times New Roman" w:cs="Arial"/>
          <w:color w:val="000000"/>
          <w:lang w:eastAsia="bg-BG"/>
        </w:rPr>
        <w:t xml:space="preserve">инфекция по време на лечението. Носители на </w:t>
      </w:r>
      <w:r w:rsidRPr="00294674">
        <w:rPr>
          <w:rFonts w:eastAsia="Times New Roman" w:cs="Arial"/>
          <w:color w:val="000000"/>
          <w:lang w:val="en-US"/>
        </w:rPr>
        <w:t>HBV,</w:t>
      </w:r>
      <w:r w:rsidRPr="00294674">
        <w:rPr>
          <w:rFonts w:eastAsia="Times New Roman" w:cs="Arial"/>
          <w:color w:val="000000"/>
          <w:lang w:eastAsia="bg-BG"/>
        </w:rPr>
        <w:t xml:space="preserve"> които се нуждаят от лечение с Меаксин трябва да бъдат внимателно наблюдавани за признаци и симптоми на активна </w:t>
      </w:r>
      <w:r w:rsidRPr="00294674">
        <w:rPr>
          <w:rFonts w:eastAsia="Times New Roman" w:cs="Arial"/>
          <w:color w:val="000000"/>
          <w:lang w:val="en-US"/>
        </w:rPr>
        <w:t xml:space="preserve">HBV </w:t>
      </w:r>
      <w:r w:rsidRPr="00294674">
        <w:rPr>
          <w:rFonts w:eastAsia="Times New Roman" w:cs="Arial"/>
          <w:color w:val="000000"/>
          <w:lang w:eastAsia="bg-BG"/>
        </w:rPr>
        <w:t>инфекция по време на лечението и в продължение на няколко</w:t>
      </w:r>
      <w:r>
        <w:rPr>
          <w:rFonts w:eastAsia="Times New Roman" w:cs="Arial"/>
          <w:sz w:val="24"/>
          <w:szCs w:val="24"/>
          <w:lang w:eastAsia="bg-BG"/>
        </w:rPr>
        <w:t xml:space="preserve"> </w:t>
      </w:r>
      <w:r w:rsidRPr="00294674">
        <w:rPr>
          <w:rFonts w:eastAsia="Times New Roman" w:cs="Arial"/>
          <w:color w:val="000000"/>
          <w:lang w:eastAsia="bg-BG"/>
        </w:rPr>
        <w:t>месеца след края на лечението (вж. точка 4.8).</w:t>
      </w:r>
    </w:p>
    <w:p w14:paraId="4AB0B54C" w14:textId="7827F4DB" w:rsidR="007552C9" w:rsidRDefault="007552C9" w:rsidP="00294674">
      <w:pPr>
        <w:spacing w:line="240" w:lineRule="auto"/>
        <w:rPr>
          <w:rFonts w:eastAsia="Times New Roman" w:cs="Arial"/>
          <w:color w:val="000000"/>
          <w:lang w:val="en-US" w:eastAsia="bg-BG"/>
        </w:rPr>
      </w:pPr>
    </w:p>
    <w:p w14:paraId="48E7271F" w14:textId="77777777" w:rsidR="007552C9" w:rsidRPr="007552C9" w:rsidRDefault="007552C9" w:rsidP="007552C9">
      <w:pPr>
        <w:spacing w:line="240" w:lineRule="auto"/>
        <w:rPr>
          <w:rFonts w:eastAsia="Times New Roman" w:cs="Arial"/>
          <w:sz w:val="24"/>
          <w:szCs w:val="24"/>
          <w:lang w:eastAsia="bg-BG"/>
        </w:rPr>
      </w:pPr>
      <w:r w:rsidRPr="007552C9">
        <w:rPr>
          <w:rFonts w:eastAsia="Times New Roman" w:cs="Arial"/>
          <w:color w:val="000000"/>
          <w:u w:val="single"/>
          <w:lang w:eastAsia="bg-BG"/>
        </w:rPr>
        <w:t>Фототоксичност</w:t>
      </w:r>
    </w:p>
    <w:p w14:paraId="66D4A767" w14:textId="77777777" w:rsidR="007552C9" w:rsidRPr="007552C9" w:rsidRDefault="007552C9" w:rsidP="007552C9">
      <w:pPr>
        <w:spacing w:line="240" w:lineRule="auto"/>
        <w:rPr>
          <w:rFonts w:eastAsia="Times New Roman" w:cs="Arial"/>
          <w:sz w:val="24"/>
          <w:szCs w:val="24"/>
          <w:lang w:eastAsia="bg-BG"/>
        </w:rPr>
      </w:pPr>
      <w:r w:rsidRPr="007552C9">
        <w:rPr>
          <w:rFonts w:eastAsia="Times New Roman" w:cs="Arial"/>
          <w:color w:val="000000"/>
          <w:lang w:eastAsia="bg-BG"/>
        </w:rPr>
        <w:t xml:space="preserve">Излагането на директна слънчева светлина трябва да се избягва или намали до минимум поради риска от фототоксичност, свързана с лечението с иматиниб. Пациентите трябва да бъдат инструктирани да използват предпазни средства като предпазно облекло и слънцезащитни продукти с висок слънцезащитен фактор </w:t>
      </w:r>
      <w:r w:rsidRPr="007552C9">
        <w:rPr>
          <w:rFonts w:eastAsia="Times New Roman" w:cs="Arial"/>
          <w:color w:val="000000"/>
          <w:lang w:val="en-US"/>
        </w:rPr>
        <w:t>(SPF).</w:t>
      </w:r>
    </w:p>
    <w:p w14:paraId="5F77A517" w14:textId="77777777" w:rsidR="007552C9" w:rsidRPr="007552C9" w:rsidRDefault="007552C9" w:rsidP="007552C9">
      <w:pPr>
        <w:spacing w:line="240" w:lineRule="auto"/>
        <w:rPr>
          <w:rFonts w:eastAsia="Times New Roman" w:cs="Arial"/>
          <w:color w:val="000000"/>
          <w:u w:val="single"/>
          <w:lang w:eastAsia="bg-BG"/>
        </w:rPr>
      </w:pPr>
    </w:p>
    <w:p w14:paraId="0726FDC7" w14:textId="5F01B488" w:rsidR="007552C9" w:rsidRPr="007552C9" w:rsidRDefault="007552C9" w:rsidP="007552C9">
      <w:pPr>
        <w:spacing w:line="240" w:lineRule="auto"/>
        <w:rPr>
          <w:rFonts w:eastAsia="Times New Roman" w:cs="Arial"/>
          <w:sz w:val="24"/>
          <w:szCs w:val="24"/>
          <w:lang w:eastAsia="bg-BG"/>
        </w:rPr>
      </w:pPr>
      <w:r w:rsidRPr="007552C9">
        <w:rPr>
          <w:rFonts w:eastAsia="Times New Roman" w:cs="Arial"/>
          <w:color w:val="000000"/>
          <w:u w:val="single"/>
          <w:lang w:eastAsia="bg-BG"/>
        </w:rPr>
        <w:t>Тромботична микроангиопатия</w:t>
      </w:r>
    </w:p>
    <w:p w14:paraId="7DE26938" w14:textId="77777777" w:rsidR="007552C9" w:rsidRPr="007552C9" w:rsidRDefault="007552C9" w:rsidP="007552C9">
      <w:pPr>
        <w:spacing w:line="240" w:lineRule="auto"/>
        <w:rPr>
          <w:rFonts w:eastAsia="Times New Roman" w:cs="Arial"/>
          <w:sz w:val="24"/>
          <w:szCs w:val="24"/>
          <w:lang w:eastAsia="bg-BG"/>
        </w:rPr>
      </w:pPr>
      <w:r w:rsidRPr="007552C9">
        <w:rPr>
          <w:rFonts w:eastAsia="Times New Roman" w:cs="Arial"/>
          <w:color w:val="000000"/>
          <w:lang w:val="en-US"/>
        </w:rPr>
        <w:lastRenderedPageBreak/>
        <w:t xml:space="preserve">BCR-ABL </w:t>
      </w:r>
      <w:r w:rsidRPr="007552C9">
        <w:rPr>
          <w:rFonts w:eastAsia="Times New Roman" w:cs="Arial"/>
          <w:color w:val="000000"/>
          <w:lang w:eastAsia="bg-BG"/>
        </w:rPr>
        <w:t xml:space="preserve">тирозинкиназните инхибитори (ТКИ) се свързват с тромботична микроангиопатия (ТМА), включително съобщения на отделни случаи при Меаксин (вж. точка 4.8). Ако при пациенти на лечение с Меаксин възникнат лабораторни или клинични находки, свързани с ТМА, лечението трябва да се преустанови и да се направи задълбочена оценка за ТМА, включително определяне на активността на </w:t>
      </w:r>
      <w:r w:rsidRPr="007552C9">
        <w:rPr>
          <w:rFonts w:eastAsia="Times New Roman" w:cs="Arial"/>
          <w:color w:val="000000"/>
          <w:lang w:val="en-US"/>
        </w:rPr>
        <w:t xml:space="preserve">ADAMTS13 </w:t>
      </w:r>
      <w:r w:rsidRPr="007552C9">
        <w:rPr>
          <w:rFonts w:eastAsia="Times New Roman" w:cs="Arial"/>
          <w:color w:val="000000"/>
          <w:lang w:eastAsia="bg-BG"/>
        </w:rPr>
        <w:t>и наличието на анти</w:t>
      </w:r>
      <w:r w:rsidRPr="007552C9">
        <w:rPr>
          <w:rFonts w:eastAsia="Times New Roman" w:cs="Arial"/>
          <w:smallCaps/>
          <w:color w:val="000000"/>
          <w:lang w:val="en-US"/>
        </w:rPr>
        <w:t xml:space="preserve">-ADAMTS13 </w:t>
      </w:r>
      <w:r w:rsidRPr="007552C9">
        <w:rPr>
          <w:rFonts w:eastAsia="Times New Roman" w:cs="Arial"/>
          <w:color w:val="000000"/>
          <w:lang w:eastAsia="bg-BG"/>
        </w:rPr>
        <w:t>антитела. Ако анти</w:t>
      </w:r>
      <w:r w:rsidRPr="007552C9">
        <w:rPr>
          <w:rFonts w:eastAsia="Times New Roman" w:cs="Arial"/>
          <w:color w:val="000000"/>
          <w:lang w:val="en-US"/>
        </w:rPr>
        <w:t xml:space="preserve">-ADAMTS13 </w:t>
      </w:r>
      <w:r w:rsidRPr="007552C9">
        <w:rPr>
          <w:rFonts w:eastAsia="Times New Roman" w:cs="Arial"/>
          <w:color w:val="000000"/>
          <w:lang w:eastAsia="bg-BG"/>
        </w:rPr>
        <w:t xml:space="preserve">антителата са повишени, съчетано с ниска активност на </w:t>
      </w:r>
      <w:r w:rsidRPr="007552C9">
        <w:rPr>
          <w:rFonts w:eastAsia="Times New Roman" w:cs="Arial"/>
          <w:color w:val="000000"/>
          <w:lang w:val="en-US"/>
        </w:rPr>
        <w:t>ADAMTS1</w:t>
      </w:r>
      <w:r w:rsidRPr="007552C9">
        <w:rPr>
          <w:rFonts w:eastAsia="Times New Roman" w:cs="Arial"/>
          <w:color w:val="000000"/>
          <w:lang w:eastAsia="bg-BG"/>
        </w:rPr>
        <w:t>3, лечението с Меаксин не трябва да се подновява.</w:t>
      </w:r>
    </w:p>
    <w:p w14:paraId="3FC75BD0" w14:textId="77777777" w:rsidR="007552C9" w:rsidRPr="007552C9" w:rsidRDefault="007552C9" w:rsidP="007552C9">
      <w:pPr>
        <w:spacing w:line="240" w:lineRule="auto"/>
        <w:rPr>
          <w:rFonts w:eastAsia="Times New Roman" w:cs="Arial"/>
          <w:color w:val="000000"/>
          <w:u w:val="single"/>
          <w:lang w:eastAsia="bg-BG"/>
        </w:rPr>
      </w:pPr>
    </w:p>
    <w:p w14:paraId="71EB96CE" w14:textId="0C053B7A" w:rsidR="007552C9" w:rsidRPr="007552C9" w:rsidRDefault="007552C9" w:rsidP="007552C9">
      <w:pPr>
        <w:spacing w:line="240" w:lineRule="auto"/>
        <w:rPr>
          <w:rFonts w:eastAsia="Times New Roman" w:cs="Arial"/>
          <w:sz w:val="24"/>
          <w:szCs w:val="24"/>
          <w:lang w:eastAsia="bg-BG"/>
        </w:rPr>
      </w:pPr>
      <w:r w:rsidRPr="007552C9">
        <w:rPr>
          <w:rFonts w:eastAsia="Times New Roman" w:cs="Arial"/>
          <w:color w:val="000000"/>
          <w:u w:val="single"/>
          <w:lang w:eastAsia="bg-BG"/>
        </w:rPr>
        <w:t>Лабораторни изследвания</w:t>
      </w:r>
    </w:p>
    <w:p w14:paraId="76055AA3" w14:textId="77777777" w:rsidR="007552C9" w:rsidRPr="007552C9" w:rsidRDefault="007552C9" w:rsidP="007552C9">
      <w:pPr>
        <w:spacing w:line="240" w:lineRule="auto"/>
        <w:rPr>
          <w:rFonts w:eastAsia="Times New Roman" w:cs="Arial"/>
          <w:sz w:val="24"/>
          <w:szCs w:val="24"/>
          <w:lang w:eastAsia="bg-BG"/>
        </w:rPr>
      </w:pPr>
      <w:r w:rsidRPr="007552C9">
        <w:rPr>
          <w:rFonts w:eastAsia="Times New Roman" w:cs="Arial"/>
          <w:color w:val="000000"/>
          <w:lang w:eastAsia="bg-BG"/>
        </w:rPr>
        <w:t>По време на лечението с иматиниб редовно трябва да се извършва определяне на броя на всички кръвни клетки. Лечението с иматиниб при пациентите с ХМЛ е свързано с неутропения или тромбоцитопения. Честотата на тези цитопении обаче вероятно е свързана със стадия на заболяването, в който се прилага лечението, и са по-чести при пациенти с ХМЛ във фаза на акцелерация или бластна криза в сравнение с пациентите в хронична фаза на ХМЛ. Лечението с иматиниб може да се прекъсва или да се понижава дозата според препоръките в точка 4.2.</w:t>
      </w:r>
    </w:p>
    <w:p w14:paraId="267148EA" w14:textId="77777777" w:rsidR="007552C9" w:rsidRPr="007552C9" w:rsidRDefault="007552C9" w:rsidP="007552C9">
      <w:pPr>
        <w:spacing w:line="240" w:lineRule="auto"/>
        <w:rPr>
          <w:rFonts w:eastAsia="Times New Roman" w:cs="Arial"/>
          <w:color w:val="000000"/>
          <w:lang w:eastAsia="bg-BG"/>
        </w:rPr>
      </w:pPr>
    </w:p>
    <w:p w14:paraId="46731E85" w14:textId="5E19FFA5" w:rsidR="007552C9" w:rsidRPr="007552C9" w:rsidRDefault="007552C9" w:rsidP="007552C9">
      <w:pPr>
        <w:spacing w:line="240" w:lineRule="auto"/>
        <w:rPr>
          <w:rFonts w:eastAsia="Times New Roman" w:cs="Arial"/>
          <w:sz w:val="24"/>
          <w:szCs w:val="24"/>
          <w:lang w:eastAsia="bg-BG"/>
        </w:rPr>
      </w:pPr>
      <w:r w:rsidRPr="007552C9">
        <w:rPr>
          <w:rFonts w:eastAsia="Times New Roman" w:cs="Arial"/>
          <w:color w:val="000000"/>
          <w:lang w:eastAsia="bg-BG"/>
        </w:rPr>
        <w:t>При пациентите, получаващи иматиниб, редовно трябва да се следи функцията на черния дроб (трансаминази, билирубин, алкална фосфатаза).</w:t>
      </w:r>
    </w:p>
    <w:p w14:paraId="1FF25173" w14:textId="77777777" w:rsidR="007552C9" w:rsidRPr="007552C9" w:rsidRDefault="007552C9" w:rsidP="007552C9">
      <w:pPr>
        <w:spacing w:line="240" w:lineRule="auto"/>
        <w:rPr>
          <w:rFonts w:eastAsia="Times New Roman" w:cs="Arial"/>
          <w:color w:val="000000"/>
          <w:lang w:eastAsia="bg-BG"/>
        </w:rPr>
      </w:pPr>
    </w:p>
    <w:p w14:paraId="49669F2B" w14:textId="63070908" w:rsidR="007552C9" w:rsidRPr="007552C9" w:rsidRDefault="007552C9" w:rsidP="007552C9">
      <w:pPr>
        <w:spacing w:line="240" w:lineRule="auto"/>
        <w:rPr>
          <w:rFonts w:eastAsia="Times New Roman" w:cs="Arial"/>
          <w:sz w:val="24"/>
          <w:szCs w:val="24"/>
          <w:lang w:eastAsia="bg-BG"/>
        </w:rPr>
      </w:pPr>
      <w:r w:rsidRPr="007552C9">
        <w:rPr>
          <w:rFonts w:eastAsia="Times New Roman" w:cs="Arial"/>
          <w:color w:val="000000"/>
          <w:lang w:eastAsia="bg-BG"/>
        </w:rPr>
        <w:t xml:space="preserve">При пациенти с нарушена бъбречна функция, плазмената експозиция на иматиниб е по-висока отколкото при пациенти с нормална бъбречна функция, вероятно поради повишени плазмени нива на алфа-киселинния гликопротеин </w:t>
      </w:r>
      <w:r w:rsidRPr="007552C9">
        <w:rPr>
          <w:rFonts w:eastAsia="Times New Roman" w:cs="Arial"/>
          <w:color w:val="000000"/>
          <w:lang w:val="en-US"/>
        </w:rPr>
        <w:t xml:space="preserve">(AGP), </w:t>
      </w:r>
      <w:r w:rsidRPr="007552C9">
        <w:rPr>
          <w:rFonts w:eastAsia="Times New Roman" w:cs="Arial"/>
          <w:color w:val="000000"/>
          <w:lang w:eastAsia="bg-BG"/>
        </w:rPr>
        <w:t>иматиниб-свързващ протеин, при тези пациенти. При пациентите с бъбречна недостатъчност трябва да се прилага минималната начална доза. Пациентите с тежка бъбречна недостатъчност трябва да бъдат лекувани с повишено внимание. Ако не се понася, дозата може да бъде понижена, (вж. точки 4.2 и 5.2).</w:t>
      </w:r>
    </w:p>
    <w:p w14:paraId="50D81746" w14:textId="77777777" w:rsidR="007552C9" w:rsidRPr="007552C9" w:rsidRDefault="007552C9" w:rsidP="007552C9">
      <w:pPr>
        <w:spacing w:line="240" w:lineRule="auto"/>
        <w:rPr>
          <w:rFonts w:eastAsia="Times New Roman" w:cs="Arial"/>
          <w:color w:val="000000"/>
          <w:lang w:eastAsia="bg-BG"/>
        </w:rPr>
      </w:pPr>
    </w:p>
    <w:p w14:paraId="00F52013" w14:textId="2E2B5E94" w:rsidR="007552C9" w:rsidRPr="007552C9" w:rsidRDefault="007552C9" w:rsidP="007552C9">
      <w:pPr>
        <w:spacing w:line="240" w:lineRule="auto"/>
        <w:rPr>
          <w:rFonts w:eastAsia="Times New Roman" w:cs="Arial"/>
          <w:sz w:val="24"/>
          <w:szCs w:val="24"/>
          <w:lang w:eastAsia="bg-BG"/>
        </w:rPr>
      </w:pPr>
      <w:r w:rsidRPr="007552C9">
        <w:rPr>
          <w:rFonts w:eastAsia="Times New Roman" w:cs="Arial"/>
          <w:color w:val="000000"/>
          <w:lang w:eastAsia="bg-BG"/>
        </w:rPr>
        <w:t>Продължителното лечение с иматиниб може да бъде свръзано с клинично значимо намаляване на бъбречната функция. Поради тази причина бъбречната функция трябва да бъде оценена преди започване на лечението с иматиниб и да бъде внимателно проследявана по време на лечението, като се обърне специално внимание на пациентите, изложени на рискови фактори за развитие на бъбречна дисфункция. Ако се наблюдава бъбречна дисфункция, трябва да бъде предписано подходящо лечение в съответствие със стандартите за лечение.</w:t>
      </w:r>
    </w:p>
    <w:p w14:paraId="18E98728" w14:textId="77777777" w:rsidR="007552C9" w:rsidRPr="007552C9" w:rsidRDefault="007552C9" w:rsidP="007552C9">
      <w:pPr>
        <w:spacing w:line="240" w:lineRule="auto"/>
        <w:rPr>
          <w:rFonts w:eastAsia="Times New Roman" w:cs="Arial"/>
          <w:color w:val="000000"/>
          <w:u w:val="single"/>
          <w:lang w:eastAsia="bg-BG"/>
        </w:rPr>
      </w:pPr>
    </w:p>
    <w:p w14:paraId="56DC1825" w14:textId="0D01CB86" w:rsidR="007552C9" w:rsidRPr="007552C9" w:rsidRDefault="007552C9" w:rsidP="007552C9">
      <w:pPr>
        <w:spacing w:line="240" w:lineRule="auto"/>
        <w:rPr>
          <w:rFonts w:eastAsia="Times New Roman" w:cs="Arial"/>
          <w:sz w:val="24"/>
          <w:szCs w:val="24"/>
          <w:lang w:eastAsia="bg-BG"/>
        </w:rPr>
      </w:pPr>
      <w:r w:rsidRPr="007552C9">
        <w:rPr>
          <w:rFonts w:eastAsia="Times New Roman" w:cs="Arial"/>
          <w:color w:val="000000"/>
          <w:u w:val="single"/>
          <w:lang w:eastAsia="bg-BG"/>
        </w:rPr>
        <w:t>Педиатрична популация</w:t>
      </w:r>
    </w:p>
    <w:p w14:paraId="549739D4" w14:textId="77777777" w:rsidR="007552C9" w:rsidRPr="007552C9" w:rsidRDefault="007552C9" w:rsidP="007552C9">
      <w:pPr>
        <w:spacing w:line="240" w:lineRule="auto"/>
        <w:rPr>
          <w:rFonts w:eastAsia="Times New Roman" w:cs="Arial"/>
          <w:sz w:val="24"/>
          <w:szCs w:val="24"/>
          <w:lang w:eastAsia="bg-BG"/>
        </w:rPr>
      </w:pPr>
      <w:r w:rsidRPr="007552C9">
        <w:rPr>
          <w:rFonts w:eastAsia="Times New Roman" w:cs="Arial"/>
          <w:color w:val="000000"/>
          <w:lang w:eastAsia="bg-BG"/>
        </w:rPr>
        <w:t>Има съобщения за случаи на изоставане в растежа при деца и подрастващи, приемащи иматиниб. В обсервационно проучване при педиатричната популация с ХМЛ се съобщава за статистически значимо (но с неопределено клинично значение) понижение в медианата на скоровете за стандартно отклонение в ръста след 12 и 24 месеца лечение в две малки подгрупи, независимо от пубертетния статус или пола. Препоръчва се внимателно проследяване на растежа при децата на лечение с иматиниб (вж. точка 4.8).</w:t>
      </w:r>
    </w:p>
    <w:p w14:paraId="6CD03347" w14:textId="77777777" w:rsidR="007552C9" w:rsidRPr="007552C9" w:rsidRDefault="007552C9" w:rsidP="007552C9">
      <w:pPr>
        <w:spacing w:line="240" w:lineRule="auto"/>
        <w:rPr>
          <w:rFonts w:eastAsia="Times New Roman" w:cs="Arial"/>
          <w:i/>
          <w:iCs/>
          <w:color w:val="000000"/>
          <w:u w:val="single"/>
          <w:lang w:eastAsia="bg-BG"/>
        </w:rPr>
      </w:pPr>
    </w:p>
    <w:p w14:paraId="48925F05" w14:textId="51F2DB34" w:rsidR="007552C9" w:rsidRPr="007552C9" w:rsidRDefault="007552C9" w:rsidP="007552C9">
      <w:pPr>
        <w:spacing w:line="240" w:lineRule="auto"/>
        <w:rPr>
          <w:rFonts w:eastAsia="Times New Roman" w:cs="Arial"/>
          <w:sz w:val="24"/>
          <w:szCs w:val="24"/>
          <w:lang w:eastAsia="bg-BG"/>
        </w:rPr>
      </w:pPr>
      <w:r w:rsidRPr="007552C9">
        <w:rPr>
          <w:rFonts w:eastAsia="Times New Roman" w:cs="Arial"/>
          <w:i/>
          <w:iCs/>
          <w:color w:val="000000"/>
          <w:u w:val="single"/>
          <w:lang w:eastAsia="bg-BG"/>
        </w:rPr>
        <w:t>Лактоза</w:t>
      </w:r>
    </w:p>
    <w:p w14:paraId="2FE96401" w14:textId="325416F6" w:rsidR="007552C9" w:rsidRPr="007552C9" w:rsidRDefault="007552C9" w:rsidP="007552C9">
      <w:pPr>
        <w:spacing w:line="240" w:lineRule="auto"/>
        <w:rPr>
          <w:rFonts w:eastAsia="Times New Roman" w:cs="Arial"/>
          <w:sz w:val="24"/>
          <w:szCs w:val="24"/>
          <w:lang w:val="en-US" w:eastAsia="bg-BG"/>
        </w:rPr>
      </w:pPr>
      <w:r w:rsidRPr="007552C9">
        <w:rPr>
          <w:rFonts w:eastAsia="Times New Roman" w:cs="Arial"/>
          <w:color w:val="000000"/>
          <w:lang w:eastAsia="bg-BG"/>
        </w:rPr>
        <w:t>Меаксин съдържа лактоза. Пациенти с редки наследствени проблеми на непоносимосст към галактоза, пълен лактазен дефицит или глюкозо-галактозна малабсорбция не трябва да приемат</w:t>
      </w:r>
      <w:r w:rsidRPr="007552C9">
        <w:rPr>
          <w:rFonts w:eastAsia="Times New Roman" w:cs="Arial"/>
          <w:color w:val="000000"/>
          <w:vertAlign w:val="superscript"/>
          <w:lang w:eastAsia="bg-BG"/>
        </w:rPr>
        <w:t xml:space="preserve"> </w:t>
      </w:r>
      <w:r w:rsidRPr="007552C9">
        <w:rPr>
          <w:rFonts w:eastAsia="Times New Roman" w:cs="Arial"/>
          <w:color w:val="000000"/>
          <w:lang w:eastAsia="bg-BG"/>
        </w:rPr>
        <w:t>това лекарство.</w:t>
      </w:r>
    </w:p>
    <w:p w14:paraId="7BEE7810" w14:textId="77777777" w:rsidR="00294674" w:rsidRPr="0091385D" w:rsidRDefault="00294674" w:rsidP="0091385D"/>
    <w:p w14:paraId="619DED1E" w14:textId="564F257F" w:rsidR="004F498A" w:rsidRDefault="002C50EE" w:rsidP="004A448E">
      <w:pPr>
        <w:pStyle w:val="Heading2"/>
      </w:pPr>
      <w:r>
        <w:lastRenderedPageBreak/>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696CA34D" w14:textId="77777777" w:rsidR="007552C9" w:rsidRDefault="007552C9" w:rsidP="007552C9">
      <w:pPr>
        <w:spacing w:line="240" w:lineRule="auto"/>
      </w:pPr>
    </w:p>
    <w:p w14:paraId="7CEB7010" w14:textId="48471139" w:rsidR="007552C9" w:rsidRPr="007552C9" w:rsidRDefault="007552C9" w:rsidP="007552C9">
      <w:pPr>
        <w:spacing w:line="240" w:lineRule="auto"/>
        <w:rPr>
          <w:rFonts w:eastAsia="Times New Roman" w:cs="Arial"/>
          <w:sz w:val="24"/>
          <w:szCs w:val="24"/>
          <w:lang w:eastAsia="bg-BG"/>
        </w:rPr>
      </w:pPr>
      <w:r w:rsidRPr="007552C9">
        <w:rPr>
          <w:rFonts w:eastAsia="Times New Roman" w:cs="Arial"/>
          <w:color w:val="000000"/>
          <w:u w:val="single"/>
          <w:lang w:eastAsia="bg-BG"/>
        </w:rPr>
        <w:t xml:space="preserve">Активни вещества, които могат да </w:t>
      </w:r>
      <w:r w:rsidRPr="007552C9">
        <w:rPr>
          <w:rFonts w:eastAsia="Times New Roman" w:cs="Arial"/>
          <w:b/>
          <w:bCs/>
          <w:color w:val="000000"/>
          <w:u w:val="single"/>
          <w:lang w:eastAsia="bg-BG"/>
        </w:rPr>
        <w:t xml:space="preserve">повишат </w:t>
      </w:r>
      <w:r w:rsidRPr="007552C9">
        <w:rPr>
          <w:rFonts w:eastAsia="Times New Roman" w:cs="Arial"/>
          <w:color w:val="000000"/>
          <w:u w:val="single"/>
          <w:lang w:eastAsia="bg-BG"/>
        </w:rPr>
        <w:t xml:space="preserve">плазмените концентрации на иматиниб: </w:t>
      </w:r>
      <w:r w:rsidRPr="007552C9">
        <w:rPr>
          <w:rFonts w:eastAsia="Times New Roman" w:cs="Arial"/>
          <w:color w:val="000000"/>
          <w:lang w:eastAsia="bg-BG"/>
        </w:rPr>
        <w:t xml:space="preserve">Веществата, които инхибират активността на цитохром Р450 изоензима </w:t>
      </w:r>
      <w:r w:rsidRPr="007552C9">
        <w:rPr>
          <w:rFonts w:eastAsia="Times New Roman" w:cs="Arial"/>
          <w:color w:val="000000"/>
          <w:lang w:val="en-US"/>
        </w:rPr>
        <w:t xml:space="preserve">CYP4A4 </w:t>
      </w:r>
      <w:r w:rsidRPr="007552C9">
        <w:rPr>
          <w:rFonts w:eastAsia="Times New Roman" w:cs="Arial"/>
          <w:color w:val="000000"/>
          <w:lang w:eastAsia="bg-BG"/>
        </w:rPr>
        <w:t>(напр. протеазни инхибитори като индинавир, лопинавир/ритонавир, саквинавир, телапревир, нелфинавир, боцепревир, азолови антимикотици, включително кетоконазол, итраконазол, посаконазол, вориконазол, определени макролиди като еритромицин, кларитромицин и телитромицин) може да забавят метаболизма и да повишат концентрациите на иматиниб. При здрави лица има значимо повишение на експозицията на иматиниб (средната С</w:t>
      </w:r>
      <w:r w:rsidRPr="007552C9">
        <w:rPr>
          <w:rFonts w:eastAsia="Times New Roman" w:cs="Arial"/>
          <w:color w:val="000000"/>
          <w:vertAlign w:val="subscript"/>
          <w:lang w:val="en-US"/>
        </w:rPr>
        <w:t>max</w:t>
      </w:r>
      <w:r w:rsidRPr="007552C9">
        <w:rPr>
          <w:rFonts w:eastAsia="Times New Roman" w:cs="Arial"/>
          <w:color w:val="000000"/>
          <w:lang w:eastAsia="bg-BG"/>
        </w:rPr>
        <w:t xml:space="preserve"> и </w:t>
      </w:r>
      <w:r w:rsidRPr="007552C9">
        <w:rPr>
          <w:rFonts w:eastAsia="Times New Roman" w:cs="Arial"/>
          <w:color w:val="000000"/>
          <w:lang w:val="en-US"/>
        </w:rPr>
        <w:t xml:space="preserve">AUC </w:t>
      </w:r>
      <w:r w:rsidRPr="007552C9">
        <w:rPr>
          <w:rFonts w:eastAsia="Times New Roman" w:cs="Arial"/>
          <w:color w:val="000000"/>
          <w:lang w:eastAsia="bg-BG"/>
        </w:rPr>
        <w:t xml:space="preserve">на иматиниб нарастват съответно с 26% и 40%), ако той се прилага заедно с единична доза кетоконазол </w:t>
      </w:r>
      <w:r w:rsidRPr="007552C9">
        <w:rPr>
          <w:rFonts w:eastAsia="Times New Roman" w:cs="Arial"/>
          <w:color w:val="000000"/>
          <w:lang w:val="en-US"/>
        </w:rPr>
        <w:t xml:space="preserve">(CYP3A4 </w:t>
      </w:r>
      <w:r w:rsidRPr="007552C9">
        <w:rPr>
          <w:rFonts w:eastAsia="Times New Roman" w:cs="Arial"/>
          <w:color w:val="000000"/>
          <w:lang w:eastAsia="bg-BG"/>
        </w:rPr>
        <w:t xml:space="preserve">инхибитор). Трябва да се подхожда предпазливо, ако иматиниб се прилага съвместно с инхибитори от групата на </w:t>
      </w:r>
      <w:r w:rsidRPr="007552C9">
        <w:rPr>
          <w:rFonts w:eastAsia="Times New Roman" w:cs="Arial"/>
          <w:color w:val="000000"/>
          <w:lang w:val="en-US"/>
        </w:rPr>
        <w:t xml:space="preserve">CYP3A4 </w:t>
      </w:r>
      <w:r w:rsidRPr="007552C9">
        <w:rPr>
          <w:rFonts w:eastAsia="Times New Roman" w:cs="Arial"/>
          <w:color w:val="000000"/>
          <w:lang w:eastAsia="bg-BG"/>
        </w:rPr>
        <w:t>ензимите.</w:t>
      </w:r>
    </w:p>
    <w:p w14:paraId="1815FBD8" w14:textId="77777777" w:rsidR="007552C9" w:rsidRPr="007552C9" w:rsidRDefault="007552C9" w:rsidP="007552C9">
      <w:pPr>
        <w:spacing w:line="240" w:lineRule="auto"/>
        <w:rPr>
          <w:rFonts w:eastAsia="Times New Roman" w:cs="Arial"/>
          <w:color w:val="000000"/>
          <w:u w:val="single"/>
          <w:lang w:eastAsia="bg-BG"/>
        </w:rPr>
      </w:pPr>
    </w:p>
    <w:p w14:paraId="6F371FE7" w14:textId="5F88A45A" w:rsidR="007552C9" w:rsidRPr="007552C9" w:rsidRDefault="007552C9" w:rsidP="007552C9">
      <w:pPr>
        <w:spacing w:line="240" w:lineRule="auto"/>
        <w:rPr>
          <w:rFonts w:eastAsia="Times New Roman" w:cs="Arial"/>
          <w:sz w:val="24"/>
          <w:szCs w:val="24"/>
          <w:lang w:eastAsia="bg-BG"/>
        </w:rPr>
      </w:pPr>
      <w:r w:rsidRPr="007552C9">
        <w:rPr>
          <w:rFonts w:eastAsia="Times New Roman" w:cs="Arial"/>
          <w:color w:val="000000"/>
          <w:u w:val="single"/>
          <w:lang w:eastAsia="bg-BG"/>
        </w:rPr>
        <w:t xml:space="preserve">Активни вещества, които могат да </w:t>
      </w:r>
      <w:r w:rsidRPr="007552C9">
        <w:rPr>
          <w:rFonts w:eastAsia="Times New Roman" w:cs="Arial"/>
          <w:b/>
          <w:bCs/>
          <w:color w:val="000000"/>
          <w:u w:val="single"/>
          <w:lang w:eastAsia="bg-BG"/>
        </w:rPr>
        <w:t xml:space="preserve">понижат </w:t>
      </w:r>
      <w:r w:rsidRPr="007552C9">
        <w:rPr>
          <w:rFonts w:eastAsia="Times New Roman" w:cs="Arial"/>
          <w:color w:val="000000"/>
          <w:u w:val="single"/>
          <w:lang w:eastAsia="bg-BG"/>
        </w:rPr>
        <w:t xml:space="preserve">плазмените концентрации на иматиниб: </w:t>
      </w:r>
      <w:r w:rsidRPr="007552C9">
        <w:rPr>
          <w:rFonts w:eastAsia="Times New Roman" w:cs="Arial"/>
          <w:color w:val="000000"/>
          <w:lang w:eastAsia="bg-BG"/>
        </w:rPr>
        <w:t xml:space="preserve">Веществата, които са индуктори на активността на </w:t>
      </w:r>
      <w:r w:rsidRPr="007552C9">
        <w:rPr>
          <w:rFonts w:eastAsia="Times New Roman" w:cs="Arial"/>
          <w:color w:val="000000"/>
          <w:lang w:val="en-US"/>
        </w:rPr>
        <w:t xml:space="preserve">CYP3A4 </w:t>
      </w:r>
      <w:r w:rsidRPr="007552C9">
        <w:rPr>
          <w:rFonts w:eastAsia="Times New Roman" w:cs="Arial"/>
          <w:color w:val="000000"/>
          <w:lang w:eastAsia="bg-BG"/>
        </w:rPr>
        <w:t xml:space="preserve">(напр. дексаметазон, фенитоин, карбамазепин, рифампицин, фенобарбитал, фосфенитоин, примидон или растението </w:t>
      </w:r>
      <w:r w:rsidRPr="007552C9">
        <w:rPr>
          <w:rFonts w:eastAsia="Times New Roman" w:cs="Arial"/>
          <w:i/>
          <w:iCs/>
          <w:color w:val="000000"/>
          <w:lang w:val="en-US"/>
        </w:rPr>
        <w:t>Hypericum perforatum,</w:t>
      </w:r>
      <w:r w:rsidRPr="007552C9">
        <w:rPr>
          <w:rFonts w:eastAsia="Times New Roman" w:cs="Arial"/>
          <w:color w:val="000000"/>
          <w:lang w:val="en-US"/>
        </w:rPr>
        <w:t xml:space="preserve"> </w:t>
      </w:r>
      <w:r w:rsidRPr="007552C9">
        <w:rPr>
          <w:rFonts w:eastAsia="Times New Roman" w:cs="Arial"/>
          <w:color w:val="000000"/>
          <w:lang w:eastAsia="bg-BG"/>
        </w:rPr>
        <w:t xml:space="preserve">известно още като жълт кантарион) могат значително да понижат експозицията на иматиниб като така е възможно да повишат риска за неуспех от терапията. Предварителното прилагане на многократни дози рифампицин 600 </w:t>
      </w:r>
      <w:r w:rsidRPr="007552C9">
        <w:rPr>
          <w:rFonts w:eastAsia="Times New Roman" w:cs="Arial"/>
          <w:color w:val="000000"/>
          <w:lang w:val="en-US"/>
        </w:rPr>
        <w:t xml:space="preserve">mg, </w:t>
      </w:r>
      <w:r w:rsidRPr="007552C9">
        <w:rPr>
          <w:rFonts w:eastAsia="Times New Roman" w:cs="Arial"/>
          <w:color w:val="000000"/>
          <w:lang w:eastAsia="bg-BG"/>
        </w:rPr>
        <w:t xml:space="preserve">последвано от единична доза от 400 </w:t>
      </w:r>
      <w:r w:rsidRPr="007552C9">
        <w:rPr>
          <w:rFonts w:eastAsia="Times New Roman" w:cs="Arial"/>
          <w:color w:val="000000"/>
          <w:lang w:val="en-US"/>
        </w:rPr>
        <w:t xml:space="preserve">mg </w:t>
      </w:r>
      <w:r w:rsidRPr="007552C9">
        <w:rPr>
          <w:rFonts w:eastAsia="Times New Roman" w:cs="Arial"/>
          <w:color w:val="000000"/>
          <w:lang w:eastAsia="bg-BG"/>
        </w:rPr>
        <w:t>иматиниб води до понижение на С</w:t>
      </w:r>
      <w:r w:rsidRPr="007552C9">
        <w:rPr>
          <w:rFonts w:eastAsia="Times New Roman" w:cs="Arial"/>
          <w:color w:val="000000"/>
          <w:lang w:val="en-US"/>
        </w:rPr>
        <w:t>m</w:t>
      </w:r>
      <w:r w:rsidRPr="007552C9">
        <w:rPr>
          <w:rFonts w:eastAsia="Times New Roman" w:cs="Arial"/>
          <w:color w:val="000000"/>
          <w:lang w:eastAsia="bg-BG"/>
        </w:rPr>
        <w:t>ах и А</w:t>
      </w:r>
      <w:r w:rsidRPr="007552C9">
        <w:rPr>
          <w:rFonts w:eastAsia="Times New Roman" w:cs="Arial"/>
          <w:color w:val="000000"/>
          <w:lang w:val="en-US"/>
        </w:rPr>
        <w:t>UC</w:t>
      </w:r>
      <w:r w:rsidRPr="007552C9">
        <w:rPr>
          <w:rFonts w:eastAsia="Times New Roman" w:cs="Arial"/>
          <w:color w:val="000000"/>
          <w:lang w:eastAsia="bg-BG"/>
        </w:rPr>
        <w:t xml:space="preserve">(0-∞) с поне 54% и 74% от съответните стойности без лечение с рифампицин. Подобни резултати са наблюдавани при пациенти с малигнени глиоми, които са лекувани с иматиниб по време на приема на ензим-индуциращи антиепилептични лекарствени продукти </w:t>
      </w:r>
      <w:r w:rsidRPr="007552C9">
        <w:rPr>
          <w:rFonts w:eastAsia="Times New Roman" w:cs="Arial"/>
          <w:color w:val="000000"/>
          <w:lang w:val="en-US"/>
        </w:rPr>
        <w:t xml:space="preserve">(EIAEDs) </w:t>
      </w:r>
      <w:r w:rsidRPr="007552C9">
        <w:rPr>
          <w:rFonts w:eastAsia="Times New Roman" w:cs="Arial"/>
          <w:color w:val="000000"/>
          <w:lang w:eastAsia="bg-BG"/>
        </w:rPr>
        <w:t xml:space="preserve">като карбамазепин, окскарбазепин и фенитоин. Плазмената </w:t>
      </w:r>
      <w:r w:rsidRPr="007552C9">
        <w:rPr>
          <w:rFonts w:eastAsia="Times New Roman" w:cs="Arial"/>
          <w:color w:val="000000"/>
          <w:lang w:val="en-US"/>
        </w:rPr>
        <w:t xml:space="preserve">AUC </w:t>
      </w:r>
      <w:r w:rsidRPr="007552C9">
        <w:rPr>
          <w:rFonts w:eastAsia="Times New Roman" w:cs="Arial"/>
          <w:color w:val="000000"/>
          <w:lang w:eastAsia="bg-BG"/>
        </w:rPr>
        <w:t xml:space="preserve">за иматиниб се понижава с 73% в сравнение с пациентите, които не приемат </w:t>
      </w:r>
      <w:r w:rsidRPr="007552C9">
        <w:rPr>
          <w:rFonts w:eastAsia="Times New Roman" w:cs="Arial"/>
          <w:color w:val="000000"/>
          <w:lang w:val="en-US"/>
        </w:rPr>
        <w:t xml:space="preserve">EIAEDs. </w:t>
      </w:r>
      <w:r w:rsidRPr="007552C9">
        <w:rPr>
          <w:rFonts w:eastAsia="Times New Roman" w:cs="Arial"/>
          <w:color w:val="000000"/>
          <w:lang w:eastAsia="bg-BG"/>
        </w:rPr>
        <w:t xml:space="preserve">Трябва да се избягва съвместната употреба на рифампицин или други мощни индуктори на </w:t>
      </w:r>
      <w:r w:rsidRPr="007552C9">
        <w:rPr>
          <w:rFonts w:eastAsia="Times New Roman" w:cs="Arial"/>
          <w:color w:val="000000"/>
          <w:lang w:val="en-US"/>
        </w:rPr>
        <w:t xml:space="preserve">CYP3A4 </w:t>
      </w:r>
      <w:r w:rsidRPr="007552C9">
        <w:rPr>
          <w:rFonts w:eastAsia="Times New Roman" w:cs="Arial"/>
          <w:color w:val="000000"/>
          <w:lang w:eastAsia="bg-BG"/>
        </w:rPr>
        <w:t>и иматиниб.</w:t>
      </w:r>
    </w:p>
    <w:p w14:paraId="1222E3C4" w14:textId="77777777" w:rsidR="007552C9" w:rsidRPr="007552C9" w:rsidRDefault="007552C9" w:rsidP="007552C9">
      <w:pPr>
        <w:spacing w:line="240" w:lineRule="auto"/>
        <w:rPr>
          <w:rFonts w:eastAsia="Times New Roman" w:cs="Arial"/>
          <w:b/>
          <w:bCs/>
          <w:color w:val="000000"/>
          <w:lang w:eastAsia="bg-BG"/>
        </w:rPr>
      </w:pPr>
    </w:p>
    <w:p w14:paraId="30CFD821" w14:textId="1A42DCF2" w:rsidR="007552C9" w:rsidRPr="007552C9" w:rsidRDefault="007552C9" w:rsidP="007552C9">
      <w:pPr>
        <w:spacing w:line="240" w:lineRule="auto"/>
        <w:rPr>
          <w:rFonts w:eastAsia="Times New Roman" w:cs="Arial"/>
          <w:sz w:val="24"/>
          <w:szCs w:val="24"/>
          <w:lang w:eastAsia="bg-BG"/>
        </w:rPr>
      </w:pPr>
      <w:r w:rsidRPr="007552C9">
        <w:rPr>
          <w:rFonts w:eastAsia="Times New Roman" w:cs="Arial"/>
          <w:b/>
          <w:bCs/>
          <w:color w:val="000000"/>
          <w:lang w:eastAsia="bg-BG"/>
        </w:rPr>
        <w:t xml:space="preserve">Активни вещества, чиито плазмени концентрации могат да се променят от иматиниб </w:t>
      </w:r>
      <w:r w:rsidRPr="007552C9">
        <w:rPr>
          <w:rFonts w:eastAsia="Times New Roman" w:cs="Arial"/>
          <w:color w:val="000000"/>
          <w:lang w:eastAsia="bg-BG"/>
        </w:rPr>
        <w:t>Иматиниб повишава средните С</w:t>
      </w:r>
      <w:r w:rsidRPr="007552C9">
        <w:rPr>
          <w:rFonts w:eastAsia="Times New Roman" w:cs="Arial"/>
          <w:color w:val="000000"/>
          <w:vertAlign w:val="subscript"/>
          <w:lang w:val="en-US"/>
        </w:rPr>
        <w:t>ma</w:t>
      </w:r>
      <w:r w:rsidRPr="007552C9">
        <w:rPr>
          <w:rFonts w:eastAsia="Times New Roman" w:cs="Arial"/>
          <w:color w:val="000000"/>
          <w:vertAlign w:val="subscript"/>
          <w:lang w:eastAsia="bg-BG"/>
        </w:rPr>
        <w:t>х</w:t>
      </w:r>
      <w:r w:rsidRPr="007552C9">
        <w:rPr>
          <w:rFonts w:eastAsia="Times New Roman" w:cs="Arial"/>
          <w:color w:val="000000"/>
          <w:lang w:eastAsia="bg-BG"/>
        </w:rPr>
        <w:t xml:space="preserve"> и </w:t>
      </w:r>
      <w:r w:rsidRPr="007552C9">
        <w:rPr>
          <w:rFonts w:eastAsia="Times New Roman" w:cs="Arial"/>
          <w:color w:val="000000"/>
          <w:lang w:val="en-US"/>
        </w:rPr>
        <w:t xml:space="preserve">AUC </w:t>
      </w:r>
      <w:r w:rsidRPr="007552C9">
        <w:rPr>
          <w:rFonts w:eastAsia="Times New Roman" w:cs="Arial"/>
          <w:color w:val="000000"/>
          <w:lang w:eastAsia="bg-BG"/>
        </w:rPr>
        <w:t xml:space="preserve">на симвастатин (субстрат на </w:t>
      </w:r>
      <w:r w:rsidRPr="007552C9">
        <w:rPr>
          <w:rFonts w:eastAsia="Times New Roman" w:cs="Arial"/>
          <w:color w:val="000000"/>
          <w:lang w:val="en-US"/>
        </w:rPr>
        <w:t xml:space="preserve">CYP3A4) </w:t>
      </w:r>
      <w:r w:rsidRPr="007552C9">
        <w:rPr>
          <w:rFonts w:eastAsia="Times New Roman" w:cs="Arial"/>
          <w:color w:val="000000"/>
          <w:lang w:eastAsia="bg-BG"/>
        </w:rPr>
        <w:t xml:space="preserve">съответно 2 и 3,5 пъти, което показва инхибиране на </w:t>
      </w:r>
      <w:r w:rsidRPr="007552C9">
        <w:rPr>
          <w:rFonts w:eastAsia="Times New Roman" w:cs="Arial"/>
          <w:color w:val="000000"/>
          <w:lang w:val="en-US"/>
        </w:rPr>
        <w:t xml:space="preserve">CYP3A4 </w:t>
      </w:r>
      <w:r w:rsidRPr="007552C9">
        <w:rPr>
          <w:rFonts w:eastAsia="Times New Roman" w:cs="Arial"/>
          <w:color w:val="000000"/>
          <w:lang w:eastAsia="bg-BG"/>
        </w:rPr>
        <w:t xml:space="preserve">от иматиниб. Затова се препоръчва внимателно поведение, ако иматиниб се прилага със субстрати на </w:t>
      </w:r>
      <w:r w:rsidRPr="007552C9">
        <w:rPr>
          <w:rFonts w:eastAsia="Times New Roman" w:cs="Arial"/>
          <w:color w:val="000000"/>
          <w:lang w:val="en-US"/>
        </w:rPr>
        <w:t xml:space="preserve">CYP3A4 </w:t>
      </w:r>
      <w:r w:rsidRPr="007552C9">
        <w:rPr>
          <w:rFonts w:eastAsia="Times New Roman" w:cs="Arial"/>
          <w:color w:val="000000"/>
          <w:lang w:eastAsia="bg-BG"/>
        </w:rPr>
        <w:t xml:space="preserve">с тесен терапевтичен индекс (напр. циклоспорин, пимозид, такролимус, сиролимус, ерготамин, диерготамин, фентанил, алфентанил, терфенадин, борзетомиб, доцетаксел и хинидин). Иматиниб може да повиши плазмените концентрации на други метаболизирани от </w:t>
      </w:r>
      <w:r w:rsidRPr="007552C9">
        <w:rPr>
          <w:rFonts w:eastAsia="Times New Roman" w:cs="Arial"/>
          <w:color w:val="000000"/>
          <w:lang w:val="en-US"/>
        </w:rPr>
        <w:t xml:space="preserve">CYP3A4 </w:t>
      </w:r>
      <w:r w:rsidRPr="007552C9">
        <w:rPr>
          <w:rFonts w:eastAsia="Times New Roman" w:cs="Arial"/>
          <w:color w:val="000000"/>
          <w:lang w:eastAsia="bg-BG"/>
        </w:rPr>
        <w:t xml:space="preserve">лекарства (напр. триазолови бензодиазипини, блокери на калциевите канали от дихидропиридинов тип, определени инхибитори на </w:t>
      </w:r>
      <w:r w:rsidRPr="007552C9">
        <w:rPr>
          <w:rFonts w:eastAsia="Times New Roman" w:cs="Arial"/>
          <w:color w:val="000000"/>
          <w:lang w:val="en-US"/>
        </w:rPr>
        <w:t xml:space="preserve">HMG-CoA </w:t>
      </w:r>
      <w:r w:rsidRPr="007552C9">
        <w:rPr>
          <w:rFonts w:eastAsia="Times New Roman" w:cs="Arial"/>
          <w:color w:val="000000"/>
          <w:lang w:eastAsia="bg-BG"/>
        </w:rPr>
        <w:t>редуктазата, напр. статини и т.н.).</w:t>
      </w:r>
    </w:p>
    <w:p w14:paraId="2E2B37E2" w14:textId="77777777" w:rsidR="007552C9" w:rsidRPr="007552C9" w:rsidRDefault="007552C9" w:rsidP="007552C9">
      <w:pPr>
        <w:spacing w:line="240" w:lineRule="auto"/>
        <w:rPr>
          <w:rFonts w:eastAsia="Times New Roman" w:cs="Arial"/>
          <w:color w:val="000000"/>
          <w:lang w:eastAsia="bg-BG"/>
        </w:rPr>
      </w:pPr>
    </w:p>
    <w:p w14:paraId="30A34387" w14:textId="07C1BAE2" w:rsidR="007552C9" w:rsidRPr="007552C9" w:rsidRDefault="007552C9" w:rsidP="007552C9">
      <w:pPr>
        <w:spacing w:line="240" w:lineRule="auto"/>
        <w:rPr>
          <w:rFonts w:eastAsia="Times New Roman" w:cs="Arial"/>
          <w:sz w:val="24"/>
          <w:szCs w:val="24"/>
          <w:lang w:eastAsia="bg-BG"/>
        </w:rPr>
      </w:pPr>
      <w:r w:rsidRPr="007552C9">
        <w:rPr>
          <w:rFonts w:eastAsia="Times New Roman" w:cs="Arial"/>
          <w:color w:val="000000"/>
          <w:lang w:eastAsia="bg-BG"/>
        </w:rPr>
        <w:t>Поради известно повишаване на риска от кървене във връзка с употребата на иматиниб (напр. хеморагии), пациенти, които изискват антикуагуланти, трябва да получават ниско молекулен или стандартен хепарин, вместо кумаринови деривати като варфарин.</w:t>
      </w:r>
    </w:p>
    <w:p w14:paraId="02626E35" w14:textId="77777777" w:rsidR="007552C9" w:rsidRPr="007552C9" w:rsidRDefault="007552C9" w:rsidP="007552C9">
      <w:pPr>
        <w:spacing w:line="240" w:lineRule="auto"/>
        <w:rPr>
          <w:rFonts w:eastAsia="Times New Roman" w:cs="Arial"/>
          <w:sz w:val="24"/>
          <w:szCs w:val="24"/>
          <w:lang w:eastAsia="bg-BG"/>
        </w:rPr>
      </w:pPr>
      <w:r w:rsidRPr="007552C9">
        <w:rPr>
          <w:rFonts w:eastAsia="Times New Roman" w:cs="Arial"/>
          <w:i/>
          <w:iCs/>
          <w:color w:val="000000"/>
          <w:lang w:val="en-US"/>
        </w:rPr>
        <w:t>In vitro</w:t>
      </w:r>
      <w:r w:rsidRPr="007552C9">
        <w:rPr>
          <w:rFonts w:eastAsia="Times New Roman" w:cs="Arial"/>
          <w:color w:val="000000"/>
          <w:lang w:val="en-US"/>
        </w:rPr>
        <w:t xml:space="preserve"> </w:t>
      </w:r>
      <w:r w:rsidRPr="007552C9">
        <w:rPr>
          <w:rFonts w:eastAsia="Times New Roman" w:cs="Arial"/>
          <w:color w:val="000000"/>
          <w:lang w:eastAsia="bg-BG"/>
        </w:rPr>
        <w:t xml:space="preserve">иматиниб инхибира активността на цитохром Р450 изоензима </w:t>
      </w:r>
      <w:r w:rsidRPr="007552C9">
        <w:rPr>
          <w:rFonts w:eastAsia="Times New Roman" w:cs="Arial"/>
          <w:color w:val="000000"/>
          <w:lang w:val="en-US"/>
        </w:rPr>
        <w:t xml:space="preserve">CYP2D6 </w:t>
      </w:r>
      <w:r w:rsidRPr="007552C9">
        <w:rPr>
          <w:rFonts w:eastAsia="Times New Roman" w:cs="Arial"/>
          <w:color w:val="000000"/>
          <w:lang w:eastAsia="bg-BG"/>
        </w:rPr>
        <w:t xml:space="preserve">в концентрации, подобни на тези, които повлияват активността на </w:t>
      </w:r>
      <w:r w:rsidRPr="007552C9">
        <w:rPr>
          <w:rFonts w:eastAsia="Times New Roman" w:cs="Arial"/>
          <w:color w:val="000000"/>
          <w:lang w:val="en-US"/>
        </w:rPr>
        <w:t xml:space="preserve">CYP3A4. </w:t>
      </w:r>
      <w:r w:rsidRPr="007552C9">
        <w:rPr>
          <w:rFonts w:eastAsia="Times New Roman" w:cs="Arial"/>
          <w:color w:val="000000"/>
          <w:lang w:eastAsia="bg-BG"/>
        </w:rPr>
        <w:t xml:space="preserve">Иматиниб 400 </w:t>
      </w:r>
      <w:r w:rsidRPr="007552C9">
        <w:rPr>
          <w:rFonts w:eastAsia="Times New Roman" w:cs="Arial"/>
          <w:color w:val="000000"/>
          <w:lang w:val="en-US"/>
        </w:rPr>
        <w:t xml:space="preserve">mg, </w:t>
      </w:r>
      <w:r w:rsidRPr="007552C9">
        <w:rPr>
          <w:rFonts w:eastAsia="Times New Roman" w:cs="Arial"/>
          <w:color w:val="000000"/>
          <w:lang w:eastAsia="bg-BG"/>
        </w:rPr>
        <w:t>два пъти дневно има инхибиращ ефект върху С</w:t>
      </w:r>
      <w:r w:rsidRPr="007552C9">
        <w:rPr>
          <w:rFonts w:eastAsia="Times New Roman" w:cs="Arial"/>
          <w:color w:val="000000"/>
          <w:lang w:val="en-US"/>
        </w:rPr>
        <w:t>Y</w:t>
      </w:r>
      <w:r w:rsidRPr="007552C9">
        <w:rPr>
          <w:rFonts w:eastAsia="Times New Roman" w:cs="Arial"/>
          <w:color w:val="000000"/>
          <w:lang w:eastAsia="bg-BG"/>
        </w:rPr>
        <w:t>Р2</w:t>
      </w:r>
      <w:r w:rsidRPr="007552C9">
        <w:rPr>
          <w:rFonts w:eastAsia="Times New Roman" w:cs="Arial"/>
          <w:color w:val="000000"/>
          <w:lang w:val="en-US"/>
        </w:rPr>
        <w:t>D</w:t>
      </w:r>
      <w:r w:rsidRPr="007552C9">
        <w:rPr>
          <w:rFonts w:eastAsia="Times New Roman" w:cs="Arial"/>
          <w:color w:val="000000"/>
          <w:lang w:eastAsia="bg-BG"/>
        </w:rPr>
        <w:t>6-медиирания метаболизъм на метопролол, с приблизително повишение на С</w:t>
      </w:r>
      <w:r w:rsidRPr="007552C9">
        <w:rPr>
          <w:rFonts w:eastAsia="Times New Roman" w:cs="Arial"/>
          <w:color w:val="000000"/>
          <w:vertAlign w:val="subscript"/>
          <w:lang w:val="en-US"/>
        </w:rPr>
        <w:t>m</w:t>
      </w:r>
      <w:r w:rsidRPr="007552C9">
        <w:rPr>
          <w:rFonts w:eastAsia="Times New Roman" w:cs="Arial"/>
          <w:color w:val="000000"/>
          <w:vertAlign w:val="subscript"/>
          <w:lang w:eastAsia="bg-BG"/>
        </w:rPr>
        <w:t>ах</w:t>
      </w:r>
      <w:r w:rsidRPr="007552C9">
        <w:rPr>
          <w:rFonts w:eastAsia="Times New Roman" w:cs="Arial"/>
          <w:color w:val="000000"/>
          <w:lang w:eastAsia="bg-BG"/>
        </w:rPr>
        <w:t xml:space="preserve"> и </w:t>
      </w:r>
      <w:r w:rsidRPr="007552C9">
        <w:rPr>
          <w:rFonts w:eastAsia="Times New Roman" w:cs="Arial"/>
          <w:color w:val="000000"/>
          <w:lang w:val="en-US"/>
        </w:rPr>
        <w:t xml:space="preserve">AUC </w:t>
      </w:r>
      <w:r w:rsidRPr="007552C9">
        <w:rPr>
          <w:rFonts w:eastAsia="Times New Roman" w:cs="Arial"/>
          <w:color w:val="000000"/>
          <w:lang w:eastAsia="bg-BG"/>
        </w:rPr>
        <w:t xml:space="preserve">на метопролол, с 23% (90% </w:t>
      </w:r>
      <w:r w:rsidRPr="007552C9">
        <w:rPr>
          <w:rFonts w:eastAsia="Times New Roman" w:cs="Arial"/>
          <w:color w:val="000000"/>
          <w:lang w:val="en-US"/>
        </w:rPr>
        <w:t xml:space="preserve">CI </w:t>
      </w:r>
      <w:r w:rsidRPr="007552C9">
        <w:rPr>
          <w:rFonts w:eastAsia="Times New Roman" w:cs="Arial"/>
          <w:color w:val="000000"/>
          <w:lang w:eastAsia="bg-BG"/>
        </w:rPr>
        <w:t xml:space="preserve">[1,16-1,30]). Няма данни за необходимост от адаптиране на дозировката, когато иматиниб се приема едновременно с </w:t>
      </w:r>
      <w:r w:rsidRPr="007552C9">
        <w:rPr>
          <w:rFonts w:eastAsia="Times New Roman" w:cs="Arial"/>
          <w:color w:val="000000"/>
          <w:lang w:val="en-US"/>
        </w:rPr>
        <w:t xml:space="preserve">CYP2D6 </w:t>
      </w:r>
      <w:r w:rsidRPr="007552C9">
        <w:rPr>
          <w:rFonts w:eastAsia="Times New Roman" w:cs="Arial"/>
          <w:color w:val="000000"/>
          <w:lang w:eastAsia="bg-BG"/>
        </w:rPr>
        <w:t xml:space="preserve">субстрати, но все пак е необходимо повишено </w:t>
      </w:r>
      <w:r w:rsidRPr="007552C9">
        <w:rPr>
          <w:rFonts w:eastAsia="Times New Roman" w:cs="Arial"/>
          <w:color w:val="000000"/>
          <w:lang w:eastAsia="bg-BG"/>
        </w:rPr>
        <w:lastRenderedPageBreak/>
        <w:t xml:space="preserve">внимание при </w:t>
      </w:r>
      <w:r w:rsidRPr="007552C9">
        <w:rPr>
          <w:rFonts w:eastAsia="Times New Roman" w:cs="Arial"/>
          <w:color w:val="000000"/>
          <w:lang w:val="en-US"/>
        </w:rPr>
        <w:t xml:space="preserve">CYP2D6 </w:t>
      </w:r>
      <w:r w:rsidRPr="007552C9">
        <w:rPr>
          <w:rFonts w:eastAsia="Times New Roman" w:cs="Arial"/>
          <w:color w:val="000000"/>
          <w:lang w:eastAsia="bg-BG"/>
        </w:rPr>
        <w:t>субстрати с малка терапевтична ширина, като метопролол. При пациенти, лекувани сметопролол, трябва да се има предвид клинично наблюдение.</w:t>
      </w:r>
    </w:p>
    <w:p w14:paraId="1AEDD873" w14:textId="77777777" w:rsidR="007552C9" w:rsidRPr="007552C9" w:rsidRDefault="007552C9" w:rsidP="007552C9">
      <w:pPr>
        <w:spacing w:line="240" w:lineRule="auto"/>
        <w:rPr>
          <w:rFonts w:eastAsia="Times New Roman" w:cs="Arial"/>
          <w:i/>
          <w:iCs/>
          <w:color w:val="000000"/>
          <w:lang w:val="en-US"/>
        </w:rPr>
      </w:pPr>
    </w:p>
    <w:p w14:paraId="4DA0E386" w14:textId="77777777" w:rsidR="007552C9" w:rsidRPr="007552C9" w:rsidRDefault="007552C9" w:rsidP="007552C9">
      <w:pPr>
        <w:spacing w:line="240" w:lineRule="auto"/>
        <w:rPr>
          <w:rFonts w:eastAsia="Times New Roman" w:cs="Arial"/>
          <w:color w:val="000000"/>
          <w:lang w:val="en-US"/>
        </w:rPr>
      </w:pPr>
      <w:r w:rsidRPr="007552C9">
        <w:rPr>
          <w:rFonts w:eastAsia="Times New Roman" w:cs="Arial"/>
          <w:i/>
          <w:iCs/>
          <w:color w:val="000000"/>
          <w:lang w:val="en-US"/>
        </w:rPr>
        <w:t>In vitro</w:t>
      </w:r>
      <w:r w:rsidRPr="007552C9">
        <w:rPr>
          <w:rFonts w:eastAsia="Times New Roman" w:cs="Arial"/>
          <w:color w:val="000000"/>
          <w:lang w:val="en-US"/>
        </w:rPr>
        <w:t xml:space="preserve"> </w:t>
      </w:r>
      <w:r w:rsidRPr="007552C9">
        <w:rPr>
          <w:rFonts w:eastAsia="Times New Roman" w:cs="Arial"/>
          <w:color w:val="000000"/>
          <w:lang w:eastAsia="bg-BG"/>
        </w:rPr>
        <w:t xml:space="preserve">иматиниб инхибира О-глюкуронидирането на парацетамол със стойност на </w:t>
      </w:r>
      <w:r w:rsidRPr="007552C9">
        <w:rPr>
          <w:rFonts w:eastAsia="Times New Roman" w:cs="Arial"/>
          <w:color w:val="000000"/>
          <w:lang w:val="en-US"/>
        </w:rPr>
        <w:t>Ki - 58</w:t>
      </w:r>
      <w:proofErr w:type="gramStart"/>
      <w:r w:rsidRPr="007552C9">
        <w:rPr>
          <w:rFonts w:eastAsia="Times New Roman" w:cs="Arial"/>
          <w:color w:val="000000"/>
          <w:lang w:val="en-US"/>
        </w:rPr>
        <w:t>,5</w:t>
      </w:r>
      <w:proofErr w:type="gramEnd"/>
      <w:r w:rsidRPr="007552C9">
        <w:rPr>
          <w:rFonts w:eastAsia="Times New Roman" w:cs="Arial"/>
          <w:color w:val="000000"/>
          <w:u w:val="single"/>
          <w:lang w:val="en-US"/>
        </w:rPr>
        <w:t xml:space="preserve"> </w:t>
      </w:r>
      <w:r w:rsidRPr="007552C9">
        <w:rPr>
          <w:rFonts w:eastAsia="Times New Roman" w:cs="Arial"/>
          <w:color w:val="000000"/>
          <w:lang w:val="en-US"/>
        </w:rPr>
        <w:t xml:space="preserve">micromol/l. </w:t>
      </w:r>
    </w:p>
    <w:p w14:paraId="71CD2B8E" w14:textId="77777777" w:rsidR="007552C9" w:rsidRPr="007552C9" w:rsidRDefault="007552C9" w:rsidP="007552C9">
      <w:pPr>
        <w:spacing w:line="240" w:lineRule="auto"/>
        <w:rPr>
          <w:rFonts w:eastAsia="Times New Roman" w:cs="Arial"/>
          <w:color w:val="000000"/>
          <w:lang w:val="en-US"/>
        </w:rPr>
      </w:pPr>
    </w:p>
    <w:p w14:paraId="152AAAC4" w14:textId="304568AB" w:rsidR="007552C9" w:rsidRPr="007552C9" w:rsidRDefault="007552C9" w:rsidP="007552C9">
      <w:pPr>
        <w:spacing w:line="240" w:lineRule="auto"/>
        <w:rPr>
          <w:rFonts w:eastAsia="Times New Roman" w:cs="Arial"/>
          <w:sz w:val="24"/>
          <w:szCs w:val="24"/>
          <w:lang w:eastAsia="bg-BG"/>
        </w:rPr>
      </w:pPr>
      <w:r w:rsidRPr="007552C9">
        <w:rPr>
          <w:rFonts w:eastAsia="Times New Roman" w:cs="Arial"/>
          <w:i/>
          <w:iCs/>
          <w:color w:val="000000"/>
          <w:lang w:val="en-US"/>
        </w:rPr>
        <w:t>In vivo</w:t>
      </w:r>
      <w:r w:rsidRPr="007552C9">
        <w:rPr>
          <w:rFonts w:eastAsia="Times New Roman" w:cs="Arial"/>
          <w:color w:val="000000"/>
          <w:lang w:val="en-US"/>
        </w:rPr>
        <w:t xml:space="preserve"> </w:t>
      </w:r>
      <w:r w:rsidRPr="007552C9">
        <w:rPr>
          <w:rFonts w:eastAsia="Times New Roman" w:cs="Arial"/>
          <w:color w:val="000000"/>
          <w:lang w:eastAsia="bg-BG"/>
        </w:rPr>
        <w:t xml:space="preserve">не е наблюдавано подобно инхибиране при съвместно приложение на  иматиниб 400 </w:t>
      </w:r>
      <w:r w:rsidRPr="007552C9">
        <w:rPr>
          <w:rFonts w:eastAsia="Times New Roman" w:cs="Arial"/>
          <w:color w:val="000000"/>
          <w:lang w:val="en-US"/>
        </w:rPr>
        <w:t xml:space="preserve">mg </w:t>
      </w:r>
      <w:r w:rsidRPr="007552C9">
        <w:rPr>
          <w:rFonts w:eastAsia="Times New Roman" w:cs="Arial"/>
          <w:color w:val="000000"/>
          <w:lang w:eastAsia="bg-BG"/>
        </w:rPr>
        <w:t xml:space="preserve">и парацетамол 1000 </w:t>
      </w:r>
      <w:r w:rsidRPr="007552C9">
        <w:rPr>
          <w:rFonts w:eastAsia="Times New Roman" w:cs="Arial"/>
          <w:color w:val="000000"/>
          <w:lang w:val="en-US"/>
        </w:rPr>
        <w:t xml:space="preserve">mg. </w:t>
      </w:r>
      <w:r w:rsidRPr="007552C9">
        <w:rPr>
          <w:rFonts w:eastAsia="Times New Roman" w:cs="Arial"/>
          <w:color w:val="000000"/>
          <w:lang w:eastAsia="bg-BG"/>
        </w:rPr>
        <w:t>Приложение на по-високи дози иматиниб и парацетамол не е проучвано.</w:t>
      </w:r>
    </w:p>
    <w:p w14:paraId="71FC47C9" w14:textId="77777777" w:rsidR="007552C9" w:rsidRPr="007552C9" w:rsidRDefault="007552C9" w:rsidP="007552C9">
      <w:pPr>
        <w:spacing w:line="240" w:lineRule="auto"/>
        <w:rPr>
          <w:rFonts w:eastAsia="Times New Roman" w:cs="Arial"/>
          <w:color w:val="000000"/>
          <w:lang w:eastAsia="bg-BG"/>
        </w:rPr>
      </w:pPr>
    </w:p>
    <w:p w14:paraId="20E5EDEF" w14:textId="670CD2B5" w:rsidR="007552C9" w:rsidRPr="007552C9" w:rsidRDefault="007552C9" w:rsidP="007552C9">
      <w:pPr>
        <w:spacing w:line="240" w:lineRule="auto"/>
        <w:rPr>
          <w:rFonts w:eastAsia="Times New Roman" w:cs="Arial"/>
          <w:sz w:val="24"/>
          <w:szCs w:val="24"/>
          <w:lang w:eastAsia="bg-BG"/>
        </w:rPr>
      </w:pPr>
      <w:r w:rsidRPr="007552C9">
        <w:rPr>
          <w:rFonts w:eastAsia="Times New Roman" w:cs="Arial"/>
          <w:color w:val="000000"/>
          <w:lang w:eastAsia="bg-BG"/>
        </w:rPr>
        <w:t>Следователно трябва да се подхожда предпазливо, ако високи дози Меаксин се прилагат</w:t>
      </w:r>
    </w:p>
    <w:p w14:paraId="5B2761C5" w14:textId="2FE5B44E" w:rsidR="0091385D" w:rsidRPr="007552C9" w:rsidRDefault="007552C9" w:rsidP="007552C9">
      <w:pPr>
        <w:rPr>
          <w:rFonts w:cs="Arial"/>
        </w:rPr>
      </w:pPr>
      <w:r w:rsidRPr="007552C9">
        <w:rPr>
          <w:rFonts w:eastAsia="Times New Roman" w:cs="Arial"/>
          <w:color w:val="000000"/>
          <w:lang w:eastAsia="bg-BG"/>
        </w:rPr>
        <w:t>съвместно с парацетамол.</w:t>
      </w:r>
    </w:p>
    <w:p w14:paraId="0395BD2E" w14:textId="765AE8A5" w:rsidR="007A2185" w:rsidRPr="007552C9" w:rsidRDefault="007A2185" w:rsidP="0091385D">
      <w:pPr>
        <w:rPr>
          <w:rFonts w:cs="Arial"/>
        </w:rPr>
      </w:pPr>
    </w:p>
    <w:p w14:paraId="1CE326D7" w14:textId="77777777" w:rsidR="007552C9" w:rsidRPr="007552C9" w:rsidRDefault="007552C9" w:rsidP="007552C9">
      <w:pPr>
        <w:spacing w:line="240" w:lineRule="auto"/>
        <w:rPr>
          <w:rFonts w:eastAsia="Times New Roman" w:cs="Arial"/>
          <w:sz w:val="24"/>
          <w:szCs w:val="24"/>
          <w:lang w:eastAsia="bg-BG"/>
        </w:rPr>
      </w:pPr>
      <w:r w:rsidRPr="007552C9">
        <w:rPr>
          <w:rFonts w:eastAsia="Times New Roman" w:cs="Arial"/>
          <w:color w:val="000000"/>
          <w:lang w:eastAsia="bg-BG"/>
        </w:rPr>
        <w:t>При тироидектомирани пациенти, получаващи левотироксин, плазмената експозиция на левотироксин може да бъде понижена при едновременно приложение с иматиниб (вж. точка 4.4). Поради тази причина се препоръчва повишено внимание. Все пак, понастоящем не е известен механизмът на наблюдаваното взаимодействие.</w:t>
      </w:r>
    </w:p>
    <w:p w14:paraId="47728F7A" w14:textId="77777777" w:rsidR="007552C9" w:rsidRPr="007552C9" w:rsidRDefault="007552C9" w:rsidP="007552C9">
      <w:pPr>
        <w:rPr>
          <w:rFonts w:eastAsia="Times New Roman" w:cs="Arial"/>
          <w:color w:val="000000"/>
          <w:lang w:eastAsia="bg-BG"/>
        </w:rPr>
      </w:pPr>
    </w:p>
    <w:p w14:paraId="189C013F" w14:textId="61CE6E83" w:rsidR="007552C9" w:rsidRPr="007552C9" w:rsidRDefault="007552C9" w:rsidP="007552C9">
      <w:pPr>
        <w:rPr>
          <w:rFonts w:cs="Arial"/>
        </w:rPr>
      </w:pPr>
      <w:r w:rsidRPr="007552C9">
        <w:rPr>
          <w:rFonts w:eastAsia="Times New Roman" w:cs="Arial"/>
          <w:color w:val="000000"/>
          <w:lang w:eastAsia="bg-BG"/>
        </w:rPr>
        <w:t xml:space="preserve">При пациентите с </w:t>
      </w:r>
      <w:r w:rsidRPr="007552C9">
        <w:rPr>
          <w:rFonts w:eastAsia="Times New Roman" w:cs="Arial"/>
          <w:color w:val="000000"/>
          <w:lang w:val="en-US"/>
        </w:rPr>
        <w:t>Ph</w:t>
      </w:r>
      <w:r w:rsidRPr="007552C9">
        <w:rPr>
          <w:rFonts w:eastAsia="Times New Roman" w:cs="Arial"/>
          <w:color w:val="000000"/>
          <w:lang w:eastAsia="bg-BG"/>
        </w:rPr>
        <w:t xml:space="preserve">+ОЛЛ има клиничен опит с едновременното приложение на иматиниб и химиотерапия (виж точка 5.1), но лекарствените взаимодействия между иматиниб и химиотерапевтичните схеми не са добре характеризирани. Нежеланите лекарствени реакции на иматиниб напр. хепатотоксичност, миелосупресия или други, могат да се увеличат и има съобщения, че едновременната употреба с </w:t>
      </w:r>
      <w:r w:rsidRPr="007552C9">
        <w:rPr>
          <w:rFonts w:eastAsia="Times New Roman" w:cs="Arial"/>
          <w:color w:val="000000"/>
          <w:lang w:val="en-US"/>
        </w:rPr>
        <w:t>L</w:t>
      </w:r>
      <w:r w:rsidRPr="007552C9">
        <w:rPr>
          <w:rFonts w:eastAsia="Times New Roman" w:cs="Arial"/>
          <w:color w:val="000000"/>
          <w:lang w:eastAsia="bg-BG"/>
        </w:rPr>
        <w:t>-аспарагиназа може да се свърже с повишена хепатотоксичност (вж. точка 4.8). Следователно употребата на иматиниб в комбинация изисква специални предпазни мерки.</w:t>
      </w:r>
    </w:p>
    <w:p w14:paraId="7D38761B" w14:textId="77777777" w:rsidR="007552C9" w:rsidRPr="0091385D" w:rsidRDefault="007552C9" w:rsidP="0091385D"/>
    <w:p w14:paraId="394A7584" w14:textId="10DEA5B3" w:rsidR="004F498A" w:rsidRDefault="002C50EE" w:rsidP="004A448E">
      <w:pPr>
        <w:pStyle w:val="Heading2"/>
      </w:pPr>
      <w:r>
        <w:t>4.6. Фертилитет, бременност и кърмене</w:t>
      </w:r>
    </w:p>
    <w:p w14:paraId="4887836B" w14:textId="0528FAED" w:rsidR="0091385D" w:rsidRDefault="0091385D" w:rsidP="0091385D"/>
    <w:p w14:paraId="52A816A4" w14:textId="77777777" w:rsidR="007552C9" w:rsidRPr="007552C9" w:rsidRDefault="007552C9" w:rsidP="007552C9">
      <w:pPr>
        <w:spacing w:line="240" w:lineRule="auto"/>
        <w:rPr>
          <w:rFonts w:eastAsia="Times New Roman" w:cs="Arial"/>
          <w:sz w:val="24"/>
          <w:szCs w:val="24"/>
          <w:lang w:eastAsia="bg-BG"/>
        </w:rPr>
      </w:pPr>
      <w:r w:rsidRPr="007552C9">
        <w:rPr>
          <w:rFonts w:eastAsia="Times New Roman" w:cs="Arial"/>
          <w:color w:val="000000"/>
          <w:u w:val="single"/>
          <w:lang w:eastAsia="bg-BG"/>
        </w:rPr>
        <w:t>Жени с детероден потенциал</w:t>
      </w:r>
    </w:p>
    <w:p w14:paraId="15797BC1" w14:textId="77777777" w:rsidR="007552C9" w:rsidRPr="007552C9" w:rsidRDefault="007552C9" w:rsidP="007552C9">
      <w:pPr>
        <w:spacing w:line="240" w:lineRule="auto"/>
        <w:rPr>
          <w:rFonts w:eastAsia="Times New Roman" w:cs="Arial"/>
          <w:sz w:val="24"/>
          <w:szCs w:val="24"/>
          <w:lang w:eastAsia="bg-BG"/>
        </w:rPr>
      </w:pPr>
      <w:r w:rsidRPr="007552C9">
        <w:rPr>
          <w:rFonts w:eastAsia="Times New Roman" w:cs="Arial"/>
          <w:color w:val="000000"/>
          <w:lang w:eastAsia="bg-BG"/>
        </w:rPr>
        <w:t>Жени с детероден потенциал трябва да бъдат посъветвани да използват ефективна контрацепция по време на лечението и най-малко 15 дни след спиране на лечението с Меаксин.</w:t>
      </w:r>
    </w:p>
    <w:p w14:paraId="09F37F2D" w14:textId="77777777" w:rsidR="007552C9" w:rsidRPr="007552C9" w:rsidRDefault="007552C9" w:rsidP="007552C9">
      <w:pPr>
        <w:spacing w:line="240" w:lineRule="auto"/>
        <w:rPr>
          <w:rFonts w:eastAsia="Times New Roman" w:cs="Arial"/>
          <w:color w:val="000000"/>
          <w:u w:val="single"/>
          <w:lang w:eastAsia="bg-BG"/>
        </w:rPr>
      </w:pPr>
    </w:p>
    <w:p w14:paraId="708D5D59" w14:textId="7520E4B9" w:rsidR="007552C9" w:rsidRPr="007552C9" w:rsidRDefault="007552C9" w:rsidP="007552C9">
      <w:pPr>
        <w:pStyle w:val="Heading3"/>
        <w:rPr>
          <w:rFonts w:eastAsia="Times New Roman"/>
          <w:u w:val="single"/>
          <w:lang w:eastAsia="bg-BG"/>
        </w:rPr>
      </w:pPr>
      <w:r w:rsidRPr="007552C9">
        <w:rPr>
          <w:rFonts w:eastAsia="Times New Roman"/>
          <w:u w:val="single"/>
          <w:lang w:eastAsia="bg-BG"/>
        </w:rPr>
        <w:t>Бременн</w:t>
      </w:r>
      <w:bookmarkStart w:id="1" w:name="_GoBack"/>
      <w:bookmarkEnd w:id="1"/>
      <w:r w:rsidRPr="007552C9">
        <w:rPr>
          <w:rFonts w:eastAsia="Times New Roman"/>
          <w:u w:val="single"/>
          <w:lang w:eastAsia="bg-BG"/>
        </w:rPr>
        <w:t>ост</w:t>
      </w:r>
    </w:p>
    <w:p w14:paraId="7A430F0C" w14:textId="77777777" w:rsidR="007552C9" w:rsidRPr="007552C9" w:rsidRDefault="007552C9" w:rsidP="007552C9">
      <w:pPr>
        <w:spacing w:line="240" w:lineRule="auto"/>
        <w:rPr>
          <w:rFonts w:eastAsia="Times New Roman" w:cs="Arial"/>
          <w:sz w:val="24"/>
          <w:szCs w:val="24"/>
          <w:lang w:eastAsia="bg-BG"/>
        </w:rPr>
      </w:pPr>
      <w:r w:rsidRPr="007552C9">
        <w:rPr>
          <w:rFonts w:eastAsia="Times New Roman" w:cs="Arial"/>
          <w:color w:val="000000"/>
          <w:lang w:eastAsia="bg-BG"/>
        </w:rPr>
        <w:t>Има ограничени данни за употребата на иматиниб при бременни жени. Има постмаркетингови съобщения за спонтанни аборти и вродени аномалии при новородени от жени, които са приемали иматиниб по време на бременността. Въпреки че проучванията при животни показват репродуктивна токсичност (вж. точка 5.3), потенциалният риск за плода не е известен. Иматиниб не трябва да се прилага по време на бременност, освен вслучай на категорична необходимост. Ако той се използва по време на бременност, пациентката трябва да бъде информирана за възможния риск за плода.</w:t>
      </w:r>
    </w:p>
    <w:p w14:paraId="0CD226A3" w14:textId="77777777" w:rsidR="007552C9" w:rsidRPr="007552C9" w:rsidRDefault="007552C9" w:rsidP="007552C9">
      <w:pPr>
        <w:spacing w:line="240" w:lineRule="auto"/>
        <w:rPr>
          <w:rFonts w:eastAsia="Times New Roman" w:cs="Arial"/>
          <w:color w:val="000000"/>
          <w:u w:val="single"/>
          <w:lang w:eastAsia="bg-BG"/>
        </w:rPr>
      </w:pPr>
    </w:p>
    <w:p w14:paraId="79A538F7" w14:textId="389A26E0" w:rsidR="007552C9" w:rsidRPr="007552C9" w:rsidRDefault="007552C9" w:rsidP="007552C9">
      <w:pPr>
        <w:pStyle w:val="Heading3"/>
        <w:rPr>
          <w:rFonts w:eastAsia="Times New Roman"/>
          <w:u w:val="single"/>
          <w:lang w:eastAsia="bg-BG"/>
        </w:rPr>
      </w:pPr>
      <w:r w:rsidRPr="007552C9">
        <w:rPr>
          <w:rFonts w:eastAsia="Times New Roman"/>
          <w:u w:val="single"/>
          <w:lang w:eastAsia="bg-BG"/>
        </w:rPr>
        <w:t>Кърмене</w:t>
      </w:r>
    </w:p>
    <w:p w14:paraId="52875470" w14:textId="4BDEACDB" w:rsidR="007552C9" w:rsidRPr="007552C9" w:rsidRDefault="007552C9" w:rsidP="007552C9">
      <w:pPr>
        <w:spacing w:line="240" w:lineRule="auto"/>
        <w:rPr>
          <w:rFonts w:eastAsia="Times New Roman" w:cs="Arial"/>
          <w:sz w:val="24"/>
          <w:szCs w:val="24"/>
          <w:lang w:eastAsia="bg-BG"/>
        </w:rPr>
      </w:pPr>
      <w:r w:rsidRPr="007552C9">
        <w:rPr>
          <w:rFonts w:eastAsia="Times New Roman" w:cs="Arial"/>
          <w:color w:val="000000"/>
          <w:lang w:eastAsia="bg-BG"/>
        </w:rPr>
        <w:t xml:space="preserve">Налице е ограничена информация относно разпределението на иматиниб в кърмата. Проучвания при две кърмачки показват, че както иматиниб, така и неговите активни метаболити могат да преминават в човешкото мляко. Установено е, че съотношението кърма: плазма, проучено при една пациентка, е 0,5 за иматиниб и 0,9 за метаболитите му, което предполага по-високо разпределение на метаболитите в кърмата. Като се има </w:t>
      </w:r>
      <w:r w:rsidRPr="007552C9">
        <w:rPr>
          <w:rFonts w:eastAsia="Times New Roman" w:cs="Arial"/>
          <w:color w:val="000000"/>
          <w:lang w:eastAsia="bg-BG"/>
        </w:rPr>
        <w:lastRenderedPageBreak/>
        <w:t>предвид общата концентрация на иматиниб и метаболитите му и максималния дневен прием на кърма от кърмачета, би могло да се очаква, че общата експозиция ще е ниска (~ 10% от терапевтичната доза). Независимо от това, тъй като ефектите от експозицията на кърмачето на ниски дози иматиниб не са известни, жените не трябва да кърмят по време на лечението и най-малко 15 дни след спиране на лечението с Меаксин.</w:t>
      </w:r>
    </w:p>
    <w:p w14:paraId="40ABB51F" w14:textId="77777777" w:rsidR="007552C9" w:rsidRPr="007552C9" w:rsidRDefault="007552C9" w:rsidP="007552C9">
      <w:pPr>
        <w:spacing w:line="240" w:lineRule="auto"/>
        <w:rPr>
          <w:rFonts w:eastAsia="Times New Roman" w:cs="Arial"/>
          <w:color w:val="000000"/>
          <w:u w:val="single"/>
          <w:lang w:eastAsia="bg-BG"/>
        </w:rPr>
      </w:pPr>
    </w:p>
    <w:p w14:paraId="2CBF3E81" w14:textId="5118D4E2" w:rsidR="007552C9" w:rsidRPr="007552C9" w:rsidRDefault="007552C9" w:rsidP="007552C9">
      <w:pPr>
        <w:pStyle w:val="Heading3"/>
        <w:rPr>
          <w:rFonts w:eastAsia="Times New Roman"/>
          <w:u w:val="single"/>
          <w:lang w:eastAsia="bg-BG"/>
        </w:rPr>
      </w:pPr>
      <w:r w:rsidRPr="007552C9">
        <w:rPr>
          <w:rFonts w:eastAsia="Times New Roman"/>
          <w:u w:val="single"/>
          <w:lang w:eastAsia="bg-BG"/>
        </w:rPr>
        <w:t>Фертилитет</w:t>
      </w:r>
    </w:p>
    <w:p w14:paraId="102F0D07" w14:textId="3FCDB155" w:rsidR="007A2185" w:rsidRPr="007552C9" w:rsidRDefault="007552C9" w:rsidP="007552C9">
      <w:pPr>
        <w:rPr>
          <w:rFonts w:cs="Arial"/>
        </w:rPr>
      </w:pPr>
      <w:r w:rsidRPr="007552C9">
        <w:rPr>
          <w:rFonts w:eastAsia="Times New Roman" w:cs="Arial"/>
          <w:color w:val="000000"/>
          <w:lang w:eastAsia="bg-BG"/>
        </w:rPr>
        <w:t>При не-клинични проучвания, фертилитетът при мъжки и женски плъхове не е засегнат, въпреки че са наблюдавани ефекти върху репродуктивните параметри (вж. точка 5.3). Не са провеждани проучвания при пациенти, приемащи иматиниб във връзка с повлияването на фертилитета и гаметогенезата. Пациентите, които се притесняват относно влиянието на иматиниб върху фертилитета им, трябва да се консултират с техния лекуващ лекар.</w:t>
      </w:r>
    </w:p>
    <w:p w14:paraId="3E8789C3" w14:textId="77777777"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78136F1E" w:rsidR="0091385D" w:rsidRDefault="0091385D" w:rsidP="0091385D"/>
    <w:p w14:paraId="1C9ABB96" w14:textId="069C0A08" w:rsidR="007A2185" w:rsidRPr="007552C9" w:rsidRDefault="007552C9" w:rsidP="0091385D">
      <w:pPr>
        <w:rPr>
          <w:rFonts w:cs="Arial"/>
        </w:rPr>
      </w:pPr>
      <w:r w:rsidRPr="007552C9">
        <w:rPr>
          <w:rFonts w:cs="Arial"/>
        </w:rPr>
        <w:t>На пациентите трябва да се обясни, че биха могли да почувстват нежелани реакции като замаяност, замъглено виждане или сънливост по време на лечението с иматиниб. Затова трябва да се препоръча предпазливост при шофиране или работа с машини.</w:t>
      </w:r>
    </w:p>
    <w:p w14:paraId="35801A15" w14:textId="77777777" w:rsidR="0091385D" w:rsidRPr="0091385D" w:rsidRDefault="0091385D" w:rsidP="0091385D"/>
    <w:p w14:paraId="4838F52A" w14:textId="058F0B9C" w:rsidR="0091385D" w:rsidRDefault="002C50EE" w:rsidP="007A2185">
      <w:pPr>
        <w:pStyle w:val="Heading2"/>
      </w:pPr>
      <w:r>
        <w:t>4.8. Нежелани лекарствени реакции</w:t>
      </w:r>
    </w:p>
    <w:p w14:paraId="76E0B7A2" w14:textId="5BBD2581" w:rsidR="005B0F27" w:rsidRDefault="005B0F27" w:rsidP="0091385D"/>
    <w:p w14:paraId="0254AACC" w14:textId="673C62E5" w:rsidR="007A2185" w:rsidRPr="007552C9" w:rsidRDefault="007552C9" w:rsidP="0091385D">
      <w:pPr>
        <w:rPr>
          <w:rFonts w:cs="Arial"/>
        </w:rPr>
      </w:pPr>
      <w:r w:rsidRPr="007552C9">
        <w:rPr>
          <w:rFonts w:cs="Arial"/>
        </w:rPr>
        <w:t>Резюме на профила на безопасност</w:t>
      </w:r>
    </w:p>
    <w:p w14:paraId="5FA94FD4" w14:textId="77777777" w:rsidR="007552C9" w:rsidRPr="007552C9" w:rsidRDefault="007552C9" w:rsidP="007552C9">
      <w:pPr>
        <w:spacing w:line="240" w:lineRule="auto"/>
        <w:rPr>
          <w:rFonts w:eastAsia="Times New Roman" w:cs="Arial"/>
          <w:sz w:val="24"/>
          <w:szCs w:val="24"/>
          <w:lang w:eastAsia="bg-BG"/>
        </w:rPr>
      </w:pPr>
      <w:r w:rsidRPr="007552C9">
        <w:rPr>
          <w:rFonts w:eastAsia="Times New Roman" w:cs="Arial"/>
          <w:color w:val="000000"/>
          <w:lang w:eastAsia="bg-BG"/>
        </w:rPr>
        <w:t>Пациенти в напреднали стадии на злокачествени заболявания могат да имат многобройни припокриващи се медицински състояния, което затруднява оценката на причинно-следствената връзка за нежеланите реакции поради разнообразието на симптоми, свързани с основното заболяване, неговата прогресия и съвместното приложение на множество лекарствени продукти.</w:t>
      </w:r>
    </w:p>
    <w:p w14:paraId="19C6A89F" w14:textId="77777777" w:rsidR="007552C9" w:rsidRPr="007552C9" w:rsidRDefault="007552C9" w:rsidP="007552C9">
      <w:pPr>
        <w:spacing w:line="240" w:lineRule="auto"/>
        <w:rPr>
          <w:rFonts w:eastAsia="Times New Roman" w:cs="Arial"/>
          <w:color w:val="000000"/>
          <w:lang w:eastAsia="bg-BG"/>
        </w:rPr>
      </w:pPr>
    </w:p>
    <w:p w14:paraId="7D685E24" w14:textId="1CB65424" w:rsidR="007552C9" w:rsidRPr="007552C9" w:rsidRDefault="007552C9" w:rsidP="007552C9">
      <w:pPr>
        <w:spacing w:line="240" w:lineRule="auto"/>
        <w:rPr>
          <w:rFonts w:eastAsia="Times New Roman" w:cs="Arial"/>
          <w:sz w:val="24"/>
          <w:szCs w:val="24"/>
          <w:lang w:eastAsia="bg-BG"/>
        </w:rPr>
      </w:pPr>
      <w:r w:rsidRPr="007552C9">
        <w:rPr>
          <w:rFonts w:eastAsia="Times New Roman" w:cs="Arial"/>
          <w:color w:val="000000"/>
          <w:lang w:eastAsia="bg-BG"/>
        </w:rPr>
        <w:t>В хода на клинични проучвания при ХМЛ преустановяването на приема на лекарствения продукт поради нежелани лекарствени реакции се наблюдава при 2,4% от новодиагностицираните пациенти, при 4% от пациенти в късен хроничен стадий след неуспех от лечението с интерферон, при 4% от пациентите във фаза на акцелерация след неуспех от лечението с интерферон и при 5% от пациентите с бластна криза след неуспех от лечението с интерферон. При ГИСТ, приложението на изследвания лекартсвен продукт е спряно поради нежелани лекарствени реакции при 4% от пациентите.</w:t>
      </w:r>
    </w:p>
    <w:p w14:paraId="1CCDC2C9" w14:textId="77777777" w:rsidR="007552C9" w:rsidRPr="007552C9" w:rsidRDefault="007552C9" w:rsidP="007552C9">
      <w:pPr>
        <w:spacing w:line="240" w:lineRule="auto"/>
        <w:rPr>
          <w:rFonts w:eastAsia="Times New Roman" w:cs="Arial"/>
          <w:color w:val="000000"/>
          <w:lang w:eastAsia="bg-BG"/>
        </w:rPr>
      </w:pPr>
    </w:p>
    <w:p w14:paraId="27F07B06" w14:textId="1119909E" w:rsidR="007552C9" w:rsidRPr="007552C9" w:rsidRDefault="007552C9" w:rsidP="007552C9">
      <w:pPr>
        <w:spacing w:line="240" w:lineRule="auto"/>
        <w:rPr>
          <w:rFonts w:eastAsia="Times New Roman" w:cs="Arial"/>
          <w:sz w:val="24"/>
          <w:szCs w:val="24"/>
          <w:lang w:eastAsia="bg-BG"/>
        </w:rPr>
      </w:pPr>
      <w:r w:rsidRPr="007552C9">
        <w:rPr>
          <w:rFonts w:eastAsia="Times New Roman" w:cs="Arial"/>
          <w:color w:val="000000"/>
          <w:lang w:eastAsia="bg-BG"/>
        </w:rPr>
        <w:t xml:space="preserve">Нежеланите реакции при всички показания са сходни, с две изключения. По-често се наблюдава миелосупресия при пациенти с ХМЛ отколкото при тези с ГИСТ, което вероятно се дължи на основното заболяване. В проучване при пациенти с нерезектабилен или матастазирал ГИСТ 7 (5%) са получили по СТС сакла % кървене от СЧТ (3 пациента), интратуморно кървене (3 пациента) или и двете (1 пациент). Тумор на СЧТ може да бъде източник на кървене от страна на СЧТ (виж точка 4.4). Кървенето от СЧТ и туморното образование може да бъде сериозно и в някои случаи фатално. Най-често съобщаваните (≥10%) нежелани лекарствени реакции и в двете случая са леко гадене, повръщане, диария, коремна болка, умора, миалгия, мускулни крампи и обрив. Повърхностните отоци са обичайна находка във всички проучвания и са предимно периорбитални или на долните крайници. Тези отоци обаче рядко са тежки и се налага </w:t>
      </w:r>
      <w:r w:rsidRPr="007552C9">
        <w:rPr>
          <w:rFonts w:eastAsia="Times New Roman" w:cs="Arial"/>
          <w:color w:val="000000"/>
          <w:lang w:eastAsia="bg-BG"/>
        </w:rPr>
        <w:lastRenderedPageBreak/>
        <w:t>лечението им с диуретици, други поддържащи мерки, или чрез намаляване на дозата на иматиниб.</w:t>
      </w:r>
    </w:p>
    <w:p w14:paraId="16FD5E5B" w14:textId="77777777" w:rsidR="007552C9" w:rsidRPr="007552C9" w:rsidRDefault="007552C9" w:rsidP="007552C9">
      <w:pPr>
        <w:spacing w:line="240" w:lineRule="auto"/>
        <w:rPr>
          <w:rFonts w:eastAsia="Times New Roman" w:cs="Arial"/>
          <w:color w:val="000000"/>
          <w:lang w:eastAsia="bg-BG"/>
        </w:rPr>
      </w:pPr>
    </w:p>
    <w:p w14:paraId="4FAC570B" w14:textId="787AB84D" w:rsidR="007552C9" w:rsidRPr="007552C9" w:rsidRDefault="007552C9" w:rsidP="007552C9">
      <w:pPr>
        <w:spacing w:line="240" w:lineRule="auto"/>
        <w:rPr>
          <w:rFonts w:eastAsia="Times New Roman" w:cs="Arial"/>
          <w:sz w:val="24"/>
          <w:szCs w:val="24"/>
          <w:lang w:eastAsia="bg-BG"/>
        </w:rPr>
      </w:pPr>
      <w:r w:rsidRPr="007552C9">
        <w:rPr>
          <w:rFonts w:eastAsia="Times New Roman" w:cs="Arial"/>
          <w:color w:val="000000"/>
          <w:lang w:eastAsia="bg-BG"/>
        </w:rPr>
        <w:t xml:space="preserve">Когато иматиниб се комбинира с високи дози химиотерапия при пациенти с </w:t>
      </w:r>
      <w:r w:rsidRPr="007552C9">
        <w:rPr>
          <w:rFonts w:eastAsia="Times New Roman" w:cs="Arial"/>
          <w:color w:val="000000"/>
          <w:lang w:val="en-US"/>
        </w:rPr>
        <w:t>Ph</w:t>
      </w:r>
      <w:r w:rsidRPr="007552C9">
        <w:rPr>
          <w:rFonts w:eastAsia="Times New Roman" w:cs="Arial"/>
          <w:color w:val="000000"/>
          <w:lang w:eastAsia="bg-BG"/>
        </w:rPr>
        <w:t xml:space="preserve">+ОЛЛ, са наблюдавани преходна чернодробна токсичност под формата на повишаване на трансаминазите и хипербилирубинемия. Вземайки предвид ограничената база данни за безопасност, до момента нежеланите събития, съобщавани при деца са в съответствие с познатия профил на безопасност при възрастни пациенти с </w:t>
      </w:r>
      <w:r w:rsidRPr="007552C9">
        <w:rPr>
          <w:rFonts w:eastAsia="Times New Roman" w:cs="Arial"/>
          <w:color w:val="000000"/>
          <w:lang w:val="en-US"/>
        </w:rPr>
        <w:t xml:space="preserve">Ph+ </w:t>
      </w:r>
      <w:r w:rsidRPr="007552C9">
        <w:rPr>
          <w:rFonts w:eastAsia="Times New Roman" w:cs="Arial"/>
          <w:color w:val="000000"/>
          <w:lang w:eastAsia="bg-BG"/>
        </w:rPr>
        <w:t xml:space="preserve">ОЛЛ. Базата данни за безопасност при деца с </w:t>
      </w:r>
      <w:r w:rsidRPr="007552C9">
        <w:rPr>
          <w:rFonts w:eastAsia="Times New Roman" w:cs="Arial"/>
          <w:color w:val="000000"/>
          <w:lang w:val="en-US"/>
        </w:rPr>
        <w:t xml:space="preserve">Ph+ </w:t>
      </w:r>
      <w:r w:rsidRPr="007552C9">
        <w:rPr>
          <w:rFonts w:eastAsia="Times New Roman" w:cs="Arial"/>
          <w:color w:val="000000"/>
          <w:lang w:eastAsia="bg-BG"/>
        </w:rPr>
        <w:t>ОЛЛ е силно ограничена, обаче нови събития, засягащи безопасността не са установени.</w:t>
      </w:r>
    </w:p>
    <w:p w14:paraId="564A3907" w14:textId="77777777" w:rsidR="007552C9" w:rsidRPr="007552C9" w:rsidRDefault="007552C9" w:rsidP="007552C9">
      <w:pPr>
        <w:spacing w:line="240" w:lineRule="auto"/>
        <w:rPr>
          <w:rFonts w:eastAsia="Times New Roman" w:cs="Arial"/>
          <w:color w:val="000000"/>
          <w:lang w:eastAsia="bg-BG"/>
        </w:rPr>
      </w:pPr>
    </w:p>
    <w:p w14:paraId="21940DE0" w14:textId="64316706" w:rsidR="007552C9" w:rsidRPr="007552C9" w:rsidRDefault="007552C9" w:rsidP="007552C9">
      <w:pPr>
        <w:spacing w:line="240" w:lineRule="auto"/>
        <w:rPr>
          <w:rFonts w:eastAsia="Times New Roman" w:cs="Arial"/>
          <w:sz w:val="24"/>
          <w:szCs w:val="24"/>
          <w:lang w:eastAsia="bg-BG"/>
        </w:rPr>
      </w:pPr>
      <w:r w:rsidRPr="007552C9">
        <w:rPr>
          <w:rFonts w:eastAsia="Times New Roman" w:cs="Arial"/>
          <w:color w:val="000000"/>
          <w:lang w:eastAsia="bg-BG"/>
        </w:rPr>
        <w:t>Разнообразни нежелани реакции като плеврален излив, асцит, белодробен оток и бързо повишаване на теглото със или без повърхностни отоци могат общо да се опишат като “задръжка на течности”. Тези реакции могат да се лекуват обикновено чрез временно спиране на иматиниб и с диуретици, и с други подходящи поддържащи лечебни мерки. Въпреки това, някои от тези реакции могат да са опасни или животозастрашаващи и няколко пациенти с бластна криза са починали с утежнена клинична анамнеза за плеврални изливи, застойна сърдечна недостатъчност и бъбречна недостатъчност. Липсват специални находки по отношение на безопасността при клиничните проучвания на деца.</w:t>
      </w:r>
    </w:p>
    <w:p w14:paraId="09AA454E" w14:textId="77777777" w:rsidR="007552C9" w:rsidRPr="007552C9" w:rsidRDefault="007552C9" w:rsidP="007552C9">
      <w:pPr>
        <w:spacing w:line="240" w:lineRule="auto"/>
        <w:rPr>
          <w:rFonts w:eastAsia="Times New Roman" w:cs="Arial"/>
          <w:b/>
          <w:bCs/>
          <w:color w:val="000000"/>
          <w:lang w:eastAsia="bg-BG"/>
        </w:rPr>
      </w:pPr>
      <w:bookmarkStart w:id="2" w:name="bookmark0"/>
    </w:p>
    <w:p w14:paraId="47E50BCA" w14:textId="29D91FEB" w:rsidR="007552C9" w:rsidRPr="007552C9" w:rsidRDefault="007552C9" w:rsidP="007552C9">
      <w:pPr>
        <w:spacing w:line="240" w:lineRule="auto"/>
        <w:rPr>
          <w:rFonts w:eastAsia="Times New Roman" w:cs="Arial"/>
          <w:sz w:val="24"/>
          <w:szCs w:val="24"/>
          <w:lang w:eastAsia="bg-BG"/>
        </w:rPr>
      </w:pPr>
      <w:r w:rsidRPr="007552C9">
        <w:rPr>
          <w:rFonts w:eastAsia="Times New Roman" w:cs="Arial"/>
          <w:b/>
          <w:bCs/>
          <w:color w:val="000000"/>
          <w:lang w:eastAsia="bg-BG"/>
        </w:rPr>
        <w:t>Нежелани реакции</w:t>
      </w:r>
      <w:bookmarkEnd w:id="2"/>
    </w:p>
    <w:p w14:paraId="39020DD0" w14:textId="77777777" w:rsidR="007552C9" w:rsidRPr="007552C9" w:rsidRDefault="007552C9" w:rsidP="007552C9">
      <w:pPr>
        <w:spacing w:line="240" w:lineRule="auto"/>
        <w:rPr>
          <w:rFonts w:eastAsia="Times New Roman" w:cs="Arial"/>
          <w:sz w:val="24"/>
          <w:szCs w:val="24"/>
          <w:lang w:eastAsia="bg-BG"/>
        </w:rPr>
      </w:pPr>
      <w:r w:rsidRPr="007552C9">
        <w:rPr>
          <w:rFonts w:eastAsia="Times New Roman" w:cs="Arial"/>
          <w:color w:val="000000"/>
          <w:lang w:eastAsia="bg-BG"/>
        </w:rPr>
        <w:t>Нежеланите реакции, описани при повече от един изолиран случай, са посочени по-долу по системо-органни класове и по честота. Категориите честоти се определят съгласно следната конвенция: много чести (≥1/10), чести (≥1/100 до &lt;1/10), нечести (≥1/1 000 до &lt;1/100), редки (≥ 1/10 000 до &lt;1/1 000), много редки (&lt;1/10 000), с неизвестна честота (от наличните може да бъде направена оценка).</w:t>
      </w:r>
    </w:p>
    <w:p w14:paraId="1ED8BEB4" w14:textId="77777777" w:rsidR="007552C9" w:rsidRPr="007552C9" w:rsidRDefault="007552C9" w:rsidP="007552C9">
      <w:pPr>
        <w:spacing w:line="240" w:lineRule="auto"/>
        <w:rPr>
          <w:rFonts w:eastAsia="Times New Roman" w:cs="Arial"/>
          <w:sz w:val="24"/>
          <w:szCs w:val="24"/>
          <w:lang w:eastAsia="bg-BG"/>
        </w:rPr>
      </w:pPr>
      <w:r w:rsidRPr="007552C9">
        <w:rPr>
          <w:rFonts w:eastAsia="Times New Roman" w:cs="Arial"/>
          <w:color w:val="000000"/>
          <w:lang w:eastAsia="bg-BG"/>
        </w:rPr>
        <w:t>При всяко групиране в зависимост от честотата, нежеланите лекарствени реакции се изброяват по ред на честотата, като се започва с най-честите.</w:t>
      </w:r>
      <w:bookmarkStart w:id="3" w:name="bookmark2"/>
      <w:bookmarkEnd w:id="3"/>
    </w:p>
    <w:p w14:paraId="7C18C692" w14:textId="77777777" w:rsidR="007552C9" w:rsidRPr="007552C9" w:rsidRDefault="007552C9" w:rsidP="007552C9">
      <w:pPr>
        <w:spacing w:line="240" w:lineRule="auto"/>
        <w:rPr>
          <w:rFonts w:eastAsia="Times New Roman" w:cs="Arial"/>
          <w:sz w:val="24"/>
          <w:szCs w:val="24"/>
          <w:lang w:eastAsia="bg-BG"/>
        </w:rPr>
      </w:pPr>
    </w:p>
    <w:p w14:paraId="12AAE900" w14:textId="5D86BE4E" w:rsidR="007552C9" w:rsidRPr="007552C9" w:rsidRDefault="007552C9" w:rsidP="007552C9">
      <w:pPr>
        <w:rPr>
          <w:rFonts w:cs="Arial"/>
        </w:rPr>
      </w:pPr>
      <w:r w:rsidRPr="007552C9">
        <w:rPr>
          <w:rFonts w:eastAsia="Times New Roman" w:cs="Arial"/>
          <w:color w:val="000000"/>
          <w:lang w:eastAsia="bg-BG"/>
        </w:rPr>
        <w:t>Нежеланите реакции и честотата им са съобщени в Таблица 1.</w:t>
      </w:r>
    </w:p>
    <w:p w14:paraId="443BC107" w14:textId="08A8466A" w:rsidR="005B0F27" w:rsidRDefault="005B0F27" w:rsidP="0091385D"/>
    <w:p w14:paraId="3AA21511" w14:textId="0E26ACF6" w:rsidR="007552C9" w:rsidRDefault="007552C9" w:rsidP="0091385D">
      <w:pPr>
        <w:rPr>
          <w:b/>
          <w:bCs/>
        </w:rPr>
      </w:pPr>
      <w:r>
        <w:rPr>
          <w:b/>
          <w:bCs/>
        </w:rPr>
        <w:t>Таблица 1 Таблично обобщение на нежеланите реакции</w:t>
      </w:r>
    </w:p>
    <w:p w14:paraId="7CC62438" w14:textId="586863CA" w:rsidR="007552C9" w:rsidRDefault="007552C9" w:rsidP="0091385D">
      <w:pPr>
        <w:rPr>
          <w:b/>
          <w:bCs/>
        </w:rPr>
      </w:pPr>
    </w:p>
    <w:tbl>
      <w:tblPr>
        <w:tblStyle w:val="TableGrid"/>
        <w:tblW w:w="0" w:type="auto"/>
        <w:tblLook w:val="04A0" w:firstRow="1" w:lastRow="0" w:firstColumn="1" w:lastColumn="0" w:noHBand="0" w:noVBand="1"/>
      </w:tblPr>
      <w:tblGrid>
        <w:gridCol w:w="4675"/>
        <w:gridCol w:w="4675"/>
      </w:tblGrid>
      <w:tr w:rsidR="007552C9" w14:paraId="61A6EDDE" w14:textId="77777777" w:rsidTr="007552C9">
        <w:tc>
          <w:tcPr>
            <w:tcW w:w="9350" w:type="dxa"/>
            <w:gridSpan w:val="2"/>
          </w:tcPr>
          <w:p w14:paraId="55CAD700" w14:textId="42E9AA08" w:rsidR="007552C9" w:rsidRPr="00385AFF" w:rsidRDefault="007552C9" w:rsidP="0091385D">
            <w:pPr>
              <w:rPr>
                <w:rFonts w:cs="Arial"/>
              </w:rPr>
            </w:pPr>
            <w:r w:rsidRPr="00385AFF">
              <w:rPr>
                <w:rFonts w:cs="Arial"/>
                <w:b/>
                <w:bCs/>
              </w:rPr>
              <w:t>Инфекции и инфестации</w:t>
            </w:r>
          </w:p>
        </w:tc>
      </w:tr>
      <w:tr w:rsidR="007552C9" w14:paraId="5C33D8F1" w14:textId="77777777" w:rsidTr="007552C9">
        <w:tc>
          <w:tcPr>
            <w:tcW w:w="4675" w:type="dxa"/>
          </w:tcPr>
          <w:p w14:paraId="5C0059CE" w14:textId="7334DC42" w:rsidR="007552C9" w:rsidRPr="00385AFF" w:rsidRDefault="007552C9" w:rsidP="007552C9">
            <w:pPr>
              <w:rPr>
                <w:rFonts w:cs="Arial"/>
              </w:rPr>
            </w:pPr>
            <w:r w:rsidRPr="00385AFF">
              <w:rPr>
                <w:rFonts w:cs="Arial"/>
                <w:i/>
                <w:iCs/>
              </w:rPr>
              <w:t>Нечести:</w:t>
            </w:r>
          </w:p>
        </w:tc>
        <w:tc>
          <w:tcPr>
            <w:tcW w:w="4675" w:type="dxa"/>
            <w:vAlign w:val="bottom"/>
          </w:tcPr>
          <w:p w14:paraId="4DF2BFEB" w14:textId="77777777" w:rsidR="007552C9" w:rsidRPr="00385AFF" w:rsidRDefault="007552C9" w:rsidP="007552C9">
            <w:pPr>
              <w:rPr>
                <w:rFonts w:cs="Arial"/>
              </w:rPr>
            </w:pPr>
          </w:p>
          <w:p w14:paraId="14820CDB" w14:textId="74B98298" w:rsidR="007552C9" w:rsidRPr="00385AFF" w:rsidRDefault="007552C9" w:rsidP="007552C9">
            <w:pPr>
              <w:rPr>
                <w:rFonts w:cs="Arial"/>
              </w:rPr>
            </w:pPr>
            <w:r w:rsidRPr="00385AFF">
              <w:rPr>
                <w:rFonts w:cs="Arial"/>
              </w:rPr>
              <w:t>Херпес зостер, херпес симплекс, назофарингит, пневмония, синузит, целулит, инфекции на горните дихателни пътища, грип, инфекции на пикочните пътища, гастроентерит, сепсис</w:t>
            </w:r>
          </w:p>
        </w:tc>
      </w:tr>
      <w:tr w:rsidR="007552C9" w14:paraId="2D38D2E1" w14:textId="77777777" w:rsidTr="007552C9">
        <w:tc>
          <w:tcPr>
            <w:tcW w:w="4675" w:type="dxa"/>
            <w:vAlign w:val="bottom"/>
          </w:tcPr>
          <w:p w14:paraId="4C1675E8" w14:textId="0BD3F476" w:rsidR="007552C9" w:rsidRPr="00385AFF" w:rsidRDefault="007552C9" w:rsidP="007552C9">
            <w:pPr>
              <w:rPr>
                <w:rFonts w:cs="Arial"/>
              </w:rPr>
            </w:pPr>
            <w:r w:rsidRPr="00385AFF">
              <w:rPr>
                <w:rFonts w:cs="Arial"/>
                <w:i/>
                <w:iCs/>
              </w:rPr>
              <w:t>Редки:</w:t>
            </w:r>
          </w:p>
        </w:tc>
        <w:tc>
          <w:tcPr>
            <w:tcW w:w="4675" w:type="dxa"/>
            <w:vAlign w:val="bottom"/>
          </w:tcPr>
          <w:p w14:paraId="14B635C0" w14:textId="5D56146E" w:rsidR="007552C9" w:rsidRPr="00385AFF" w:rsidRDefault="007552C9" w:rsidP="007552C9">
            <w:pPr>
              <w:rPr>
                <w:rFonts w:cs="Arial"/>
              </w:rPr>
            </w:pPr>
            <w:r w:rsidRPr="00385AFF">
              <w:rPr>
                <w:rFonts w:cs="Arial"/>
              </w:rPr>
              <w:t>Гъбични инфекции</w:t>
            </w:r>
          </w:p>
        </w:tc>
      </w:tr>
      <w:tr w:rsidR="007552C9" w14:paraId="7CA74197" w14:textId="77777777" w:rsidTr="007552C9">
        <w:tc>
          <w:tcPr>
            <w:tcW w:w="4675" w:type="dxa"/>
            <w:vAlign w:val="bottom"/>
          </w:tcPr>
          <w:p w14:paraId="77FECA31" w14:textId="4A5A9754" w:rsidR="007552C9" w:rsidRPr="00385AFF" w:rsidRDefault="007552C9" w:rsidP="007552C9">
            <w:pPr>
              <w:rPr>
                <w:rFonts w:cs="Arial"/>
              </w:rPr>
            </w:pPr>
            <w:r w:rsidRPr="00385AFF">
              <w:rPr>
                <w:rFonts w:cs="Arial"/>
                <w:i/>
                <w:iCs/>
              </w:rPr>
              <w:t>С неизвестна честота</w:t>
            </w:r>
          </w:p>
        </w:tc>
        <w:tc>
          <w:tcPr>
            <w:tcW w:w="4675" w:type="dxa"/>
            <w:vAlign w:val="bottom"/>
          </w:tcPr>
          <w:p w14:paraId="049FAC72" w14:textId="106C436A" w:rsidR="007552C9" w:rsidRPr="00385AFF" w:rsidRDefault="007552C9" w:rsidP="007552C9">
            <w:pPr>
              <w:rPr>
                <w:rFonts w:cs="Arial"/>
              </w:rPr>
            </w:pPr>
            <w:r w:rsidRPr="00385AFF">
              <w:rPr>
                <w:rFonts w:cs="Arial"/>
              </w:rPr>
              <w:t>Реактивиране на хепатит В*</w:t>
            </w:r>
          </w:p>
        </w:tc>
      </w:tr>
      <w:tr w:rsidR="007552C9" w14:paraId="5A17AADF" w14:textId="77777777" w:rsidTr="007552C9">
        <w:tc>
          <w:tcPr>
            <w:tcW w:w="9350" w:type="dxa"/>
            <w:gridSpan w:val="2"/>
          </w:tcPr>
          <w:p w14:paraId="1907C4DA" w14:textId="5119027F" w:rsidR="007552C9" w:rsidRPr="00385AFF" w:rsidRDefault="00385AFF" w:rsidP="0091385D">
            <w:pPr>
              <w:rPr>
                <w:rFonts w:cs="Arial"/>
              </w:rPr>
            </w:pPr>
            <w:r w:rsidRPr="00385AFF">
              <w:rPr>
                <w:rFonts w:cs="Arial"/>
                <w:b/>
                <w:bCs/>
              </w:rPr>
              <w:t>Неоплазми - доброкачествени, злокачествени и неопределени (вкл. кисти и полипи)</w:t>
            </w:r>
          </w:p>
        </w:tc>
      </w:tr>
      <w:tr w:rsidR="007552C9" w14:paraId="2046AA75" w14:textId="77777777" w:rsidTr="007552C9">
        <w:tc>
          <w:tcPr>
            <w:tcW w:w="4675" w:type="dxa"/>
            <w:vAlign w:val="bottom"/>
          </w:tcPr>
          <w:p w14:paraId="59031862" w14:textId="3C12EF88" w:rsidR="007552C9" w:rsidRPr="00385AFF" w:rsidRDefault="007552C9" w:rsidP="007552C9">
            <w:pPr>
              <w:rPr>
                <w:rFonts w:cs="Arial"/>
              </w:rPr>
            </w:pPr>
            <w:r w:rsidRPr="00385AFF">
              <w:rPr>
                <w:rFonts w:cs="Arial"/>
                <w:i/>
                <w:iCs/>
              </w:rPr>
              <w:t>Редки:</w:t>
            </w:r>
          </w:p>
        </w:tc>
        <w:tc>
          <w:tcPr>
            <w:tcW w:w="4675" w:type="dxa"/>
            <w:vAlign w:val="bottom"/>
          </w:tcPr>
          <w:p w14:paraId="66CB4C9A" w14:textId="3D7C0328" w:rsidR="007552C9" w:rsidRPr="00385AFF" w:rsidRDefault="007552C9" w:rsidP="007552C9">
            <w:pPr>
              <w:rPr>
                <w:rFonts w:cs="Arial"/>
              </w:rPr>
            </w:pPr>
            <w:r w:rsidRPr="00385AFF">
              <w:rPr>
                <w:rFonts w:cs="Arial"/>
              </w:rPr>
              <w:t>Тумор-лизис синдром</w:t>
            </w:r>
          </w:p>
        </w:tc>
      </w:tr>
      <w:tr w:rsidR="007552C9" w14:paraId="2DD68CEF" w14:textId="77777777" w:rsidTr="007552C9">
        <w:tc>
          <w:tcPr>
            <w:tcW w:w="4675" w:type="dxa"/>
          </w:tcPr>
          <w:p w14:paraId="5205FD4E" w14:textId="5991EBB3" w:rsidR="007552C9" w:rsidRPr="00385AFF" w:rsidRDefault="007552C9" w:rsidP="007552C9">
            <w:pPr>
              <w:rPr>
                <w:rFonts w:cs="Arial"/>
              </w:rPr>
            </w:pPr>
            <w:r w:rsidRPr="00385AFF">
              <w:rPr>
                <w:rFonts w:cs="Arial"/>
                <w:i/>
                <w:iCs/>
              </w:rPr>
              <w:t>С неизвестна честота</w:t>
            </w:r>
          </w:p>
        </w:tc>
        <w:tc>
          <w:tcPr>
            <w:tcW w:w="4675" w:type="dxa"/>
          </w:tcPr>
          <w:p w14:paraId="4AD37905" w14:textId="4E0C0785" w:rsidR="007552C9" w:rsidRPr="00385AFF" w:rsidRDefault="007552C9" w:rsidP="007552C9">
            <w:pPr>
              <w:rPr>
                <w:rFonts w:cs="Arial"/>
              </w:rPr>
            </w:pPr>
            <w:r w:rsidRPr="00385AFF">
              <w:rPr>
                <w:rFonts w:cs="Arial"/>
              </w:rPr>
              <w:t>Туморна хеморагия/ туморна некроза*</w:t>
            </w:r>
          </w:p>
        </w:tc>
      </w:tr>
      <w:tr w:rsidR="007552C9" w14:paraId="036E1039" w14:textId="77777777" w:rsidTr="007552C9">
        <w:tc>
          <w:tcPr>
            <w:tcW w:w="9350" w:type="dxa"/>
            <w:gridSpan w:val="2"/>
          </w:tcPr>
          <w:p w14:paraId="09A1134C" w14:textId="6156CDA1" w:rsidR="007552C9" w:rsidRPr="00385AFF" w:rsidRDefault="00385AFF" w:rsidP="0091385D">
            <w:pPr>
              <w:rPr>
                <w:rFonts w:cs="Arial"/>
              </w:rPr>
            </w:pPr>
            <w:r w:rsidRPr="00385AFF">
              <w:rPr>
                <w:rFonts w:cs="Arial"/>
                <w:b/>
                <w:bCs/>
              </w:rPr>
              <w:t>Нарушения на имунната система</w:t>
            </w:r>
          </w:p>
        </w:tc>
      </w:tr>
      <w:tr w:rsidR="007552C9" w14:paraId="681A3319" w14:textId="77777777" w:rsidTr="007552C9">
        <w:tc>
          <w:tcPr>
            <w:tcW w:w="4675" w:type="dxa"/>
            <w:vAlign w:val="bottom"/>
          </w:tcPr>
          <w:p w14:paraId="3071045E" w14:textId="3DE7250B" w:rsidR="007552C9" w:rsidRPr="00385AFF" w:rsidRDefault="007552C9" w:rsidP="007552C9">
            <w:pPr>
              <w:rPr>
                <w:rFonts w:cs="Arial"/>
              </w:rPr>
            </w:pPr>
            <w:r w:rsidRPr="00385AFF">
              <w:rPr>
                <w:rFonts w:cs="Arial"/>
                <w:i/>
                <w:iCs/>
              </w:rPr>
              <w:t>С неизвестна честота:</w:t>
            </w:r>
          </w:p>
        </w:tc>
        <w:tc>
          <w:tcPr>
            <w:tcW w:w="4675" w:type="dxa"/>
            <w:vAlign w:val="bottom"/>
          </w:tcPr>
          <w:p w14:paraId="7AC163AF" w14:textId="6784E7C4" w:rsidR="007552C9" w:rsidRPr="00385AFF" w:rsidRDefault="007552C9" w:rsidP="007552C9">
            <w:pPr>
              <w:rPr>
                <w:rFonts w:cs="Arial"/>
              </w:rPr>
            </w:pPr>
            <w:r w:rsidRPr="00385AFF">
              <w:rPr>
                <w:rFonts w:cs="Arial"/>
              </w:rPr>
              <w:t>Анафилактичен шок*</w:t>
            </w:r>
          </w:p>
        </w:tc>
      </w:tr>
      <w:tr w:rsidR="007552C9" w14:paraId="1F9B318E" w14:textId="77777777" w:rsidTr="007552C9">
        <w:tc>
          <w:tcPr>
            <w:tcW w:w="9350" w:type="dxa"/>
            <w:gridSpan w:val="2"/>
          </w:tcPr>
          <w:p w14:paraId="0A6D567A" w14:textId="3EC75A9F" w:rsidR="007552C9" w:rsidRPr="00385AFF" w:rsidRDefault="00385AFF" w:rsidP="0091385D">
            <w:pPr>
              <w:rPr>
                <w:rFonts w:cs="Arial"/>
              </w:rPr>
            </w:pPr>
            <w:r w:rsidRPr="00385AFF">
              <w:rPr>
                <w:rFonts w:cs="Arial"/>
                <w:b/>
                <w:bCs/>
              </w:rPr>
              <w:lastRenderedPageBreak/>
              <w:t>Нарушения на кръвта и лимфната система</w:t>
            </w:r>
          </w:p>
        </w:tc>
      </w:tr>
      <w:tr w:rsidR="007552C9" w14:paraId="01B64649" w14:textId="77777777" w:rsidTr="007552C9">
        <w:tc>
          <w:tcPr>
            <w:tcW w:w="4675" w:type="dxa"/>
            <w:vAlign w:val="bottom"/>
          </w:tcPr>
          <w:p w14:paraId="1FC8E702" w14:textId="50911AB1" w:rsidR="007552C9" w:rsidRPr="00385AFF" w:rsidRDefault="007552C9" w:rsidP="007552C9">
            <w:pPr>
              <w:rPr>
                <w:rFonts w:cs="Arial"/>
              </w:rPr>
            </w:pPr>
            <w:r w:rsidRPr="00385AFF">
              <w:rPr>
                <w:rFonts w:cs="Arial"/>
                <w:i/>
                <w:iCs/>
              </w:rPr>
              <w:t>Много чести:</w:t>
            </w:r>
          </w:p>
        </w:tc>
        <w:tc>
          <w:tcPr>
            <w:tcW w:w="4675" w:type="dxa"/>
            <w:vAlign w:val="bottom"/>
          </w:tcPr>
          <w:p w14:paraId="79530A12" w14:textId="69B9E7F2" w:rsidR="007552C9" w:rsidRPr="00385AFF" w:rsidRDefault="007552C9" w:rsidP="007552C9">
            <w:pPr>
              <w:rPr>
                <w:rFonts w:cs="Arial"/>
              </w:rPr>
            </w:pPr>
            <w:r w:rsidRPr="00385AFF">
              <w:rPr>
                <w:rFonts w:cs="Arial"/>
              </w:rPr>
              <w:t>Неутропения, тромбоцитопения, анемия</w:t>
            </w:r>
          </w:p>
        </w:tc>
      </w:tr>
      <w:tr w:rsidR="007552C9" w14:paraId="718FC6F5" w14:textId="77777777" w:rsidTr="007552C9">
        <w:tc>
          <w:tcPr>
            <w:tcW w:w="4675" w:type="dxa"/>
            <w:vAlign w:val="bottom"/>
          </w:tcPr>
          <w:p w14:paraId="48B307CE" w14:textId="1C04121F" w:rsidR="007552C9" w:rsidRPr="00385AFF" w:rsidRDefault="007552C9" w:rsidP="007552C9">
            <w:pPr>
              <w:rPr>
                <w:rFonts w:cs="Arial"/>
              </w:rPr>
            </w:pPr>
            <w:r w:rsidRPr="00385AFF">
              <w:rPr>
                <w:rFonts w:cs="Arial"/>
                <w:i/>
                <w:iCs/>
              </w:rPr>
              <w:t>Чести:</w:t>
            </w:r>
          </w:p>
        </w:tc>
        <w:tc>
          <w:tcPr>
            <w:tcW w:w="4675" w:type="dxa"/>
            <w:vAlign w:val="bottom"/>
          </w:tcPr>
          <w:p w14:paraId="173F46E7" w14:textId="6337F59E" w:rsidR="007552C9" w:rsidRPr="00385AFF" w:rsidRDefault="007552C9" w:rsidP="007552C9">
            <w:pPr>
              <w:rPr>
                <w:rFonts w:cs="Arial"/>
              </w:rPr>
            </w:pPr>
            <w:r w:rsidRPr="00385AFF">
              <w:rPr>
                <w:rFonts w:cs="Arial"/>
              </w:rPr>
              <w:t>Панцитопения, фебрилна неутропения</w:t>
            </w:r>
          </w:p>
        </w:tc>
      </w:tr>
      <w:tr w:rsidR="007552C9" w14:paraId="24E064ED" w14:textId="77777777" w:rsidTr="007552C9">
        <w:tc>
          <w:tcPr>
            <w:tcW w:w="4675" w:type="dxa"/>
          </w:tcPr>
          <w:p w14:paraId="33D0AA4D" w14:textId="74D69DBD" w:rsidR="007552C9" w:rsidRPr="00385AFF" w:rsidRDefault="007552C9" w:rsidP="007552C9">
            <w:pPr>
              <w:rPr>
                <w:rFonts w:cs="Arial"/>
              </w:rPr>
            </w:pPr>
            <w:r w:rsidRPr="00385AFF">
              <w:rPr>
                <w:rFonts w:cs="Arial"/>
                <w:i/>
                <w:iCs/>
              </w:rPr>
              <w:t>Нечести:</w:t>
            </w:r>
          </w:p>
        </w:tc>
        <w:tc>
          <w:tcPr>
            <w:tcW w:w="4675" w:type="dxa"/>
            <w:vAlign w:val="bottom"/>
          </w:tcPr>
          <w:p w14:paraId="67222B34" w14:textId="686E58B7" w:rsidR="007552C9" w:rsidRPr="00385AFF" w:rsidRDefault="007552C9" w:rsidP="007552C9">
            <w:pPr>
              <w:rPr>
                <w:rFonts w:cs="Arial"/>
              </w:rPr>
            </w:pPr>
            <w:r w:rsidRPr="00385AFF">
              <w:rPr>
                <w:rFonts w:cs="Arial"/>
              </w:rPr>
              <w:t>Тромбоцитемия, лимфопения, потискане на костния мозък, еозинофилия, лимфаденопатия</w:t>
            </w:r>
          </w:p>
        </w:tc>
      </w:tr>
      <w:tr w:rsidR="007552C9" w14:paraId="0FA87015" w14:textId="77777777" w:rsidTr="007552C9">
        <w:tc>
          <w:tcPr>
            <w:tcW w:w="4675" w:type="dxa"/>
            <w:vAlign w:val="bottom"/>
          </w:tcPr>
          <w:p w14:paraId="4F8C9550" w14:textId="6C4E4476" w:rsidR="007552C9" w:rsidRPr="00385AFF" w:rsidRDefault="007552C9" w:rsidP="007552C9">
            <w:pPr>
              <w:rPr>
                <w:rFonts w:cs="Arial"/>
              </w:rPr>
            </w:pPr>
            <w:r w:rsidRPr="00385AFF">
              <w:rPr>
                <w:rFonts w:cs="Arial"/>
                <w:i/>
                <w:iCs/>
              </w:rPr>
              <w:t>Редки:</w:t>
            </w:r>
          </w:p>
        </w:tc>
        <w:tc>
          <w:tcPr>
            <w:tcW w:w="4675" w:type="dxa"/>
            <w:vAlign w:val="bottom"/>
          </w:tcPr>
          <w:p w14:paraId="5F490743" w14:textId="11A556DC" w:rsidR="007552C9" w:rsidRPr="00385AFF" w:rsidRDefault="007552C9" w:rsidP="007552C9">
            <w:pPr>
              <w:rPr>
                <w:rFonts w:cs="Arial"/>
              </w:rPr>
            </w:pPr>
            <w:r w:rsidRPr="00385AFF">
              <w:rPr>
                <w:rFonts w:cs="Arial"/>
              </w:rPr>
              <w:t>Хемолитична анемия, тромботична микроангиопатия</w:t>
            </w:r>
          </w:p>
        </w:tc>
      </w:tr>
      <w:tr w:rsidR="007552C9" w14:paraId="2DD119EF" w14:textId="77777777" w:rsidTr="007552C9">
        <w:tc>
          <w:tcPr>
            <w:tcW w:w="9350" w:type="dxa"/>
            <w:gridSpan w:val="2"/>
          </w:tcPr>
          <w:p w14:paraId="7FC7C4AD" w14:textId="30DE619A" w:rsidR="007552C9" w:rsidRPr="00385AFF" w:rsidRDefault="00385AFF" w:rsidP="0091385D">
            <w:pPr>
              <w:rPr>
                <w:rFonts w:cs="Arial"/>
              </w:rPr>
            </w:pPr>
            <w:r w:rsidRPr="00385AFF">
              <w:rPr>
                <w:rFonts w:cs="Arial"/>
                <w:b/>
                <w:bCs/>
              </w:rPr>
              <w:t>Нарушения на метаболизма и храненето</w:t>
            </w:r>
          </w:p>
        </w:tc>
      </w:tr>
      <w:tr w:rsidR="007552C9" w14:paraId="3D7A4597" w14:textId="77777777" w:rsidTr="007552C9">
        <w:tc>
          <w:tcPr>
            <w:tcW w:w="4675" w:type="dxa"/>
            <w:vAlign w:val="bottom"/>
          </w:tcPr>
          <w:p w14:paraId="49DCADAE" w14:textId="60F31A6A" w:rsidR="007552C9" w:rsidRPr="00385AFF" w:rsidRDefault="007552C9" w:rsidP="007552C9">
            <w:pPr>
              <w:rPr>
                <w:rFonts w:cs="Arial"/>
              </w:rPr>
            </w:pPr>
            <w:r w:rsidRPr="00385AFF">
              <w:rPr>
                <w:rFonts w:cs="Arial"/>
                <w:i/>
                <w:iCs/>
              </w:rPr>
              <w:t>Чести:</w:t>
            </w:r>
          </w:p>
        </w:tc>
        <w:tc>
          <w:tcPr>
            <w:tcW w:w="4675" w:type="dxa"/>
            <w:vAlign w:val="bottom"/>
          </w:tcPr>
          <w:p w14:paraId="31FFCD78" w14:textId="69494473" w:rsidR="007552C9" w:rsidRPr="00385AFF" w:rsidRDefault="007552C9" w:rsidP="007552C9">
            <w:pPr>
              <w:rPr>
                <w:rFonts w:cs="Arial"/>
              </w:rPr>
            </w:pPr>
            <w:r w:rsidRPr="00385AFF">
              <w:rPr>
                <w:rFonts w:cs="Arial"/>
              </w:rPr>
              <w:t>Анорексия</w:t>
            </w:r>
          </w:p>
        </w:tc>
      </w:tr>
      <w:tr w:rsidR="007552C9" w14:paraId="6B2783D7" w14:textId="77777777" w:rsidTr="007552C9">
        <w:tc>
          <w:tcPr>
            <w:tcW w:w="4675" w:type="dxa"/>
          </w:tcPr>
          <w:p w14:paraId="16CC9942" w14:textId="3AD3D7DA" w:rsidR="007552C9" w:rsidRPr="00385AFF" w:rsidRDefault="007552C9" w:rsidP="007552C9">
            <w:pPr>
              <w:rPr>
                <w:rFonts w:cs="Arial"/>
              </w:rPr>
            </w:pPr>
            <w:r w:rsidRPr="00385AFF">
              <w:rPr>
                <w:rFonts w:cs="Arial"/>
                <w:i/>
                <w:iCs/>
              </w:rPr>
              <w:t>Нечести:</w:t>
            </w:r>
          </w:p>
        </w:tc>
        <w:tc>
          <w:tcPr>
            <w:tcW w:w="4675" w:type="dxa"/>
            <w:vAlign w:val="bottom"/>
          </w:tcPr>
          <w:p w14:paraId="422045EE" w14:textId="6C0CAB7F" w:rsidR="007552C9" w:rsidRPr="00385AFF" w:rsidRDefault="007552C9" w:rsidP="007552C9">
            <w:pPr>
              <w:rPr>
                <w:rFonts w:cs="Arial"/>
              </w:rPr>
            </w:pPr>
            <w:r w:rsidRPr="00385AFF">
              <w:rPr>
                <w:rFonts w:cs="Arial"/>
              </w:rPr>
              <w:t>Хипокалиемия, повишен апетит, хипофосфатемия, понижен апетит, дехидратация, подагра, хиперурикемия, хиперкалциемия, хипергликемия, хипонатриемия</w:t>
            </w:r>
          </w:p>
        </w:tc>
      </w:tr>
      <w:tr w:rsidR="007552C9" w14:paraId="049C2EBC" w14:textId="77777777" w:rsidTr="007552C9">
        <w:tc>
          <w:tcPr>
            <w:tcW w:w="4675" w:type="dxa"/>
            <w:vAlign w:val="bottom"/>
          </w:tcPr>
          <w:p w14:paraId="65F9BAC7" w14:textId="3D1C1728" w:rsidR="007552C9" w:rsidRPr="00385AFF" w:rsidRDefault="007552C9" w:rsidP="007552C9">
            <w:pPr>
              <w:rPr>
                <w:rFonts w:cs="Arial"/>
              </w:rPr>
            </w:pPr>
            <w:r w:rsidRPr="00385AFF">
              <w:rPr>
                <w:rFonts w:cs="Arial"/>
                <w:i/>
                <w:iCs/>
              </w:rPr>
              <w:t>Редки:</w:t>
            </w:r>
          </w:p>
        </w:tc>
        <w:tc>
          <w:tcPr>
            <w:tcW w:w="4675" w:type="dxa"/>
            <w:vAlign w:val="bottom"/>
          </w:tcPr>
          <w:p w14:paraId="387F3EE2" w14:textId="79B12249" w:rsidR="007552C9" w:rsidRPr="00385AFF" w:rsidRDefault="007552C9" w:rsidP="007552C9">
            <w:pPr>
              <w:rPr>
                <w:rFonts w:cs="Arial"/>
              </w:rPr>
            </w:pPr>
            <w:r w:rsidRPr="00385AFF">
              <w:rPr>
                <w:rFonts w:cs="Arial"/>
              </w:rPr>
              <w:t>Хиперкалиемия, хипомагнезиемия</w:t>
            </w:r>
          </w:p>
        </w:tc>
      </w:tr>
      <w:tr w:rsidR="00385AFF" w14:paraId="39BE204C" w14:textId="77777777" w:rsidTr="00C267CF">
        <w:tc>
          <w:tcPr>
            <w:tcW w:w="9350" w:type="dxa"/>
            <w:gridSpan w:val="2"/>
          </w:tcPr>
          <w:p w14:paraId="4835244B" w14:textId="6E22A5F8" w:rsidR="00385AFF" w:rsidRPr="00385AFF" w:rsidRDefault="00385AFF" w:rsidP="0091385D">
            <w:pPr>
              <w:rPr>
                <w:rFonts w:cs="Arial"/>
              </w:rPr>
            </w:pPr>
            <w:r w:rsidRPr="00385AFF">
              <w:rPr>
                <w:rFonts w:cs="Arial"/>
                <w:b/>
                <w:bCs/>
              </w:rPr>
              <w:t>Психични нарушения</w:t>
            </w:r>
          </w:p>
        </w:tc>
      </w:tr>
      <w:tr w:rsidR="00385AFF" w14:paraId="38C225D5" w14:textId="77777777" w:rsidTr="00C267CF">
        <w:tc>
          <w:tcPr>
            <w:tcW w:w="4675" w:type="dxa"/>
            <w:vAlign w:val="bottom"/>
          </w:tcPr>
          <w:p w14:paraId="4DE9CF49" w14:textId="6EFBFA6E" w:rsidR="00385AFF" w:rsidRPr="00385AFF" w:rsidRDefault="00385AFF" w:rsidP="00385AFF">
            <w:pPr>
              <w:rPr>
                <w:rFonts w:cs="Arial"/>
              </w:rPr>
            </w:pPr>
            <w:r w:rsidRPr="00385AFF">
              <w:rPr>
                <w:rFonts w:cs="Arial"/>
                <w:i/>
                <w:iCs/>
              </w:rPr>
              <w:t>Чести:</w:t>
            </w:r>
          </w:p>
        </w:tc>
        <w:tc>
          <w:tcPr>
            <w:tcW w:w="4675" w:type="dxa"/>
            <w:vAlign w:val="bottom"/>
          </w:tcPr>
          <w:p w14:paraId="1DC20EE5" w14:textId="53C348C4" w:rsidR="00385AFF" w:rsidRPr="00385AFF" w:rsidRDefault="00385AFF" w:rsidP="00385AFF">
            <w:pPr>
              <w:rPr>
                <w:rFonts w:cs="Arial"/>
              </w:rPr>
            </w:pPr>
            <w:r w:rsidRPr="00385AFF">
              <w:rPr>
                <w:rFonts w:cs="Arial"/>
              </w:rPr>
              <w:t>Безсъние</w:t>
            </w:r>
          </w:p>
        </w:tc>
      </w:tr>
      <w:tr w:rsidR="00385AFF" w14:paraId="01290728" w14:textId="77777777" w:rsidTr="00C267CF">
        <w:tc>
          <w:tcPr>
            <w:tcW w:w="4675" w:type="dxa"/>
            <w:vAlign w:val="bottom"/>
          </w:tcPr>
          <w:p w14:paraId="0B323087" w14:textId="05CB7C52" w:rsidR="00385AFF" w:rsidRPr="00385AFF" w:rsidRDefault="00385AFF" w:rsidP="00385AFF">
            <w:pPr>
              <w:rPr>
                <w:rFonts w:cs="Arial"/>
              </w:rPr>
            </w:pPr>
            <w:r w:rsidRPr="00385AFF">
              <w:rPr>
                <w:rFonts w:cs="Arial"/>
                <w:i/>
                <w:iCs/>
              </w:rPr>
              <w:t>Нечести::</w:t>
            </w:r>
          </w:p>
        </w:tc>
        <w:tc>
          <w:tcPr>
            <w:tcW w:w="4675" w:type="dxa"/>
            <w:vAlign w:val="bottom"/>
          </w:tcPr>
          <w:p w14:paraId="1F7C5DD9" w14:textId="6A6D0597" w:rsidR="00385AFF" w:rsidRPr="00385AFF" w:rsidRDefault="00385AFF" w:rsidP="00385AFF">
            <w:pPr>
              <w:rPr>
                <w:rFonts w:cs="Arial"/>
              </w:rPr>
            </w:pPr>
            <w:r w:rsidRPr="00385AFF">
              <w:rPr>
                <w:rFonts w:cs="Arial"/>
              </w:rPr>
              <w:t>Депресия, понижено либидо, тревожност</w:t>
            </w:r>
          </w:p>
        </w:tc>
      </w:tr>
      <w:tr w:rsidR="00385AFF" w14:paraId="2E5D7576" w14:textId="77777777" w:rsidTr="00C267CF">
        <w:tc>
          <w:tcPr>
            <w:tcW w:w="4675" w:type="dxa"/>
            <w:vAlign w:val="bottom"/>
          </w:tcPr>
          <w:p w14:paraId="1E043B49" w14:textId="737C6DB6" w:rsidR="00385AFF" w:rsidRPr="00385AFF" w:rsidRDefault="00385AFF" w:rsidP="00385AFF">
            <w:pPr>
              <w:rPr>
                <w:rFonts w:cs="Arial"/>
              </w:rPr>
            </w:pPr>
            <w:r w:rsidRPr="00385AFF">
              <w:rPr>
                <w:rFonts w:cs="Arial"/>
                <w:i/>
                <w:iCs/>
              </w:rPr>
              <w:t>Редки:</w:t>
            </w:r>
          </w:p>
        </w:tc>
        <w:tc>
          <w:tcPr>
            <w:tcW w:w="4675" w:type="dxa"/>
            <w:vAlign w:val="bottom"/>
          </w:tcPr>
          <w:p w14:paraId="23632A60" w14:textId="0789C2A0" w:rsidR="00385AFF" w:rsidRPr="00385AFF" w:rsidRDefault="00385AFF" w:rsidP="00385AFF">
            <w:pPr>
              <w:rPr>
                <w:rFonts w:cs="Arial"/>
              </w:rPr>
            </w:pPr>
            <w:r w:rsidRPr="00385AFF">
              <w:rPr>
                <w:rFonts w:cs="Arial"/>
              </w:rPr>
              <w:t>Обърканост</w:t>
            </w:r>
          </w:p>
        </w:tc>
      </w:tr>
      <w:tr w:rsidR="00385AFF" w14:paraId="7683FC18" w14:textId="77777777" w:rsidTr="00C267CF">
        <w:tc>
          <w:tcPr>
            <w:tcW w:w="9350" w:type="dxa"/>
            <w:gridSpan w:val="2"/>
          </w:tcPr>
          <w:p w14:paraId="2E5B1010" w14:textId="631A6B79" w:rsidR="00385AFF" w:rsidRPr="00385AFF" w:rsidRDefault="00385AFF" w:rsidP="0091385D">
            <w:pPr>
              <w:rPr>
                <w:rFonts w:cs="Arial"/>
              </w:rPr>
            </w:pPr>
            <w:r w:rsidRPr="00385AFF">
              <w:rPr>
                <w:rFonts w:cs="Arial"/>
                <w:b/>
                <w:bCs/>
              </w:rPr>
              <w:t>Нарушения на нервната система</w:t>
            </w:r>
          </w:p>
        </w:tc>
      </w:tr>
      <w:tr w:rsidR="00385AFF" w14:paraId="30D61CD0" w14:textId="77777777" w:rsidTr="00C267CF">
        <w:tc>
          <w:tcPr>
            <w:tcW w:w="4675" w:type="dxa"/>
            <w:vAlign w:val="bottom"/>
          </w:tcPr>
          <w:p w14:paraId="406B0D18" w14:textId="2C253B60" w:rsidR="00385AFF" w:rsidRPr="00385AFF" w:rsidRDefault="00385AFF" w:rsidP="00385AFF">
            <w:pPr>
              <w:rPr>
                <w:rFonts w:cs="Arial"/>
              </w:rPr>
            </w:pPr>
            <w:r w:rsidRPr="00385AFF">
              <w:rPr>
                <w:rFonts w:cs="Arial"/>
                <w:i/>
                <w:iCs/>
              </w:rPr>
              <w:t>Много чести:</w:t>
            </w:r>
          </w:p>
        </w:tc>
        <w:tc>
          <w:tcPr>
            <w:tcW w:w="4675" w:type="dxa"/>
            <w:vAlign w:val="bottom"/>
          </w:tcPr>
          <w:p w14:paraId="65E22C9B" w14:textId="2B639370" w:rsidR="00385AFF" w:rsidRPr="00385AFF" w:rsidRDefault="00385AFF" w:rsidP="00385AFF">
            <w:pPr>
              <w:rPr>
                <w:rFonts w:cs="Arial"/>
              </w:rPr>
            </w:pPr>
            <w:r w:rsidRPr="00385AFF">
              <w:rPr>
                <w:rFonts w:cs="Arial"/>
              </w:rPr>
              <w:t>Главоболие</w:t>
            </w:r>
            <w:r w:rsidRPr="00385AFF">
              <w:rPr>
                <w:rFonts w:cs="Arial"/>
                <w:vertAlign w:val="superscript"/>
              </w:rPr>
              <w:t>2</w:t>
            </w:r>
          </w:p>
        </w:tc>
      </w:tr>
      <w:tr w:rsidR="00385AFF" w14:paraId="4BAC2E9C" w14:textId="77777777" w:rsidTr="00C267CF">
        <w:tc>
          <w:tcPr>
            <w:tcW w:w="4675" w:type="dxa"/>
            <w:vAlign w:val="bottom"/>
          </w:tcPr>
          <w:p w14:paraId="211C1D9F" w14:textId="261C070E" w:rsidR="00385AFF" w:rsidRPr="00385AFF" w:rsidRDefault="00385AFF" w:rsidP="00385AFF">
            <w:pPr>
              <w:rPr>
                <w:rFonts w:cs="Arial"/>
              </w:rPr>
            </w:pPr>
            <w:r w:rsidRPr="00385AFF">
              <w:rPr>
                <w:rFonts w:cs="Arial"/>
                <w:i/>
                <w:iCs/>
              </w:rPr>
              <w:t>Чести:</w:t>
            </w:r>
          </w:p>
        </w:tc>
        <w:tc>
          <w:tcPr>
            <w:tcW w:w="4675" w:type="dxa"/>
            <w:vAlign w:val="bottom"/>
          </w:tcPr>
          <w:p w14:paraId="4EA9303B" w14:textId="1C4775FC" w:rsidR="00385AFF" w:rsidRPr="00385AFF" w:rsidRDefault="00385AFF" w:rsidP="00385AFF">
            <w:pPr>
              <w:rPr>
                <w:rFonts w:cs="Arial"/>
              </w:rPr>
            </w:pPr>
            <w:r w:rsidRPr="00385AFF">
              <w:rPr>
                <w:rFonts w:cs="Arial"/>
              </w:rPr>
              <w:t>Замаяност, парестезия, нарушения във вкуса, хипоестезия</w:t>
            </w:r>
          </w:p>
        </w:tc>
      </w:tr>
      <w:tr w:rsidR="00385AFF" w14:paraId="4A4A560F" w14:textId="77777777" w:rsidTr="00C267CF">
        <w:tc>
          <w:tcPr>
            <w:tcW w:w="4675" w:type="dxa"/>
          </w:tcPr>
          <w:p w14:paraId="2784F515" w14:textId="7C860C7A" w:rsidR="00385AFF" w:rsidRPr="00385AFF" w:rsidRDefault="00385AFF" w:rsidP="00385AFF">
            <w:pPr>
              <w:rPr>
                <w:rFonts w:cs="Arial"/>
              </w:rPr>
            </w:pPr>
            <w:r w:rsidRPr="00385AFF">
              <w:rPr>
                <w:rFonts w:cs="Arial"/>
                <w:i/>
                <w:iCs/>
              </w:rPr>
              <w:t>Нечести:</w:t>
            </w:r>
          </w:p>
        </w:tc>
        <w:tc>
          <w:tcPr>
            <w:tcW w:w="4675" w:type="dxa"/>
            <w:vAlign w:val="bottom"/>
          </w:tcPr>
          <w:p w14:paraId="32BAFB60" w14:textId="3D998C8C" w:rsidR="00385AFF" w:rsidRPr="00385AFF" w:rsidRDefault="00385AFF" w:rsidP="00385AFF">
            <w:pPr>
              <w:rPr>
                <w:rFonts w:cs="Arial"/>
              </w:rPr>
            </w:pPr>
            <w:r w:rsidRPr="00385AFF">
              <w:rPr>
                <w:rFonts w:cs="Arial"/>
              </w:rPr>
              <w:t>Мигрена, сомнолентност, синкоп, периферна невропатия, нарушения на паметта, ишиас, синдром на уморените крака, тремор, мозъчен кръвоизлив</w:t>
            </w:r>
          </w:p>
        </w:tc>
      </w:tr>
      <w:tr w:rsidR="00385AFF" w14:paraId="1076C394" w14:textId="77777777" w:rsidTr="00C267CF">
        <w:tc>
          <w:tcPr>
            <w:tcW w:w="4675" w:type="dxa"/>
            <w:vAlign w:val="bottom"/>
          </w:tcPr>
          <w:p w14:paraId="20D46288" w14:textId="46B1A3D0" w:rsidR="00385AFF" w:rsidRPr="00385AFF" w:rsidRDefault="00385AFF" w:rsidP="00385AFF">
            <w:pPr>
              <w:rPr>
                <w:rFonts w:cs="Arial"/>
              </w:rPr>
            </w:pPr>
            <w:r w:rsidRPr="00385AFF">
              <w:rPr>
                <w:rFonts w:cs="Arial"/>
                <w:i/>
                <w:iCs/>
              </w:rPr>
              <w:t>Редки:</w:t>
            </w:r>
          </w:p>
        </w:tc>
        <w:tc>
          <w:tcPr>
            <w:tcW w:w="4675" w:type="dxa"/>
            <w:vAlign w:val="bottom"/>
          </w:tcPr>
          <w:p w14:paraId="0ED4B029" w14:textId="27E62AF2" w:rsidR="00385AFF" w:rsidRPr="00385AFF" w:rsidRDefault="00385AFF" w:rsidP="00385AFF">
            <w:pPr>
              <w:rPr>
                <w:rFonts w:cs="Arial"/>
              </w:rPr>
            </w:pPr>
            <w:r w:rsidRPr="00385AFF">
              <w:rPr>
                <w:rFonts w:cs="Arial"/>
              </w:rPr>
              <w:t xml:space="preserve">Повишено вътречерепно налягане, гърчове, неврит на </w:t>
            </w:r>
            <w:r w:rsidRPr="00385AFF">
              <w:rPr>
                <w:rFonts w:cs="Arial"/>
                <w:lang w:val="en-US"/>
              </w:rPr>
              <w:t>n. Opticus</w:t>
            </w:r>
          </w:p>
        </w:tc>
      </w:tr>
      <w:tr w:rsidR="00385AFF" w14:paraId="3C42507B" w14:textId="77777777" w:rsidTr="00C267CF">
        <w:tc>
          <w:tcPr>
            <w:tcW w:w="4675" w:type="dxa"/>
            <w:vAlign w:val="bottom"/>
          </w:tcPr>
          <w:p w14:paraId="3739BE76" w14:textId="440A4B39" w:rsidR="00385AFF" w:rsidRPr="00385AFF" w:rsidRDefault="00385AFF" w:rsidP="00385AFF">
            <w:pPr>
              <w:rPr>
                <w:rFonts w:cs="Arial"/>
              </w:rPr>
            </w:pPr>
            <w:r w:rsidRPr="00385AFF">
              <w:rPr>
                <w:rFonts w:cs="Arial"/>
                <w:i/>
                <w:iCs/>
              </w:rPr>
              <w:t>С неизвестна честота:</w:t>
            </w:r>
          </w:p>
        </w:tc>
        <w:tc>
          <w:tcPr>
            <w:tcW w:w="4675" w:type="dxa"/>
            <w:vAlign w:val="bottom"/>
          </w:tcPr>
          <w:p w14:paraId="3D4C8976" w14:textId="59F4A438" w:rsidR="00385AFF" w:rsidRPr="00385AFF" w:rsidRDefault="00385AFF" w:rsidP="00385AFF">
            <w:pPr>
              <w:rPr>
                <w:rFonts w:cs="Arial"/>
              </w:rPr>
            </w:pPr>
            <w:r w:rsidRPr="00385AFF">
              <w:rPr>
                <w:rFonts w:cs="Arial"/>
              </w:rPr>
              <w:t>Церебрален оток*</w:t>
            </w:r>
          </w:p>
        </w:tc>
      </w:tr>
      <w:tr w:rsidR="00385AFF" w14:paraId="5264BFA3" w14:textId="77777777" w:rsidTr="00C267CF">
        <w:tc>
          <w:tcPr>
            <w:tcW w:w="9350" w:type="dxa"/>
            <w:gridSpan w:val="2"/>
          </w:tcPr>
          <w:p w14:paraId="0C7A7EF2" w14:textId="2D0CF8CA" w:rsidR="00385AFF" w:rsidRPr="00385AFF" w:rsidRDefault="00385AFF" w:rsidP="0091385D">
            <w:pPr>
              <w:rPr>
                <w:rFonts w:cs="Arial"/>
              </w:rPr>
            </w:pPr>
            <w:r w:rsidRPr="00385AFF">
              <w:rPr>
                <w:rFonts w:cs="Arial"/>
                <w:b/>
                <w:bCs/>
              </w:rPr>
              <w:t>Нарушения на очите</w:t>
            </w:r>
          </w:p>
        </w:tc>
      </w:tr>
      <w:tr w:rsidR="00385AFF" w14:paraId="527874B6" w14:textId="77777777" w:rsidTr="00C267CF">
        <w:tc>
          <w:tcPr>
            <w:tcW w:w="4675" w:type="dxa"/>
          </w:tcPr>
          <w:p w14:paraId="7E18B31E" w14:textId="482077AE" w:rsidR="00385AFF" w:rsidRPr="00385AFF" w:rsidRDefault="00385AFF" w:rsidP="00385AFF">
            <w:pPr>
              <w:rPr>
                <w:rFonts w:cs="Arial"/>
              </w:rPr>
            </w:pPr>
            <w:r w:rsidRPr="00385AFF">
              <w:rPr>
                <w:rFonts w:cs="Arial"/>
                <w:i/>
                <w:iCs/>
              </w:rPr>
              <w:t>Чести:</w:t>
            </w:r>
          </w:p>
        </w:tc>
        <w:tc>
          <w:tcPr>
            <w:tcW w:w="4675" w:type="dxa"/>
            <w:vAlign w:val="bottom"/>
          </w:tcPr>
          <w:p w14:paraId="209C3790" w14:textId="77777777" w:rsidR="00385AFF" w:rsidRPr="00385AFF" w:rsidRDefault="00385AFF" w:rsidP="00385AFF">
            <w:pPr>
              <w:rPr>
                <w:rFonts w:cs="Arial"/>
              </w:rPr>
            </w:pPr>
            <w:r w:rsidRPr="00385AFF">
              <w:rPr>
                <w:rFonts w:cs="Arial"/>
              </w:rPr>
              <w:t>Оток на клепачите, повишено сълзене, конюнктивални кръвоизливи,</w:t>
            </w:r>
          </w:p>
          <w:p w14:paraId="149C7D1D" w14:textId="240C51A0" w:rsidR="00385AFF" w:rsidRPr="00385AFF" w:rsidRDefault="00385AFF" w:rsidP="00385AFF">
            <w:pPr>
              <w:rPr>
                <w:rFonts w:cs="Arial"/>
              </w:rPr>
            </w:pPr>
            <w:r w:rsidRPr="00385AFF">
              <w:rPr>
                <w:rFonts w:cs="Arial"/>
              </w:rPr>
              <w:t>конюнктивит, сухота на очите, замъглено виждане</w:t>
            </w:r>
          </w:p>
        </w:tc>
      </w:tr>
      <w:tr w:rsidR="00385AFF" w14:paraId="16399BED" w14:textId="77777777" w:rsidTr="00C267CF">
        <w:tc>
          <w:tcPr>
            <w:tcW w:w="4675" w:type="dxa"/>
          </w:tcPr>
          <w:p w14:paraId="72224647" w14:textId="07A43774" w:rsidR="00385AFF" w:rsidRPr="00385AFF" w:rsidRDefault="00385AFF" w:rsidP="00385AFF">
            <w:pPr>
              <w:rPr>
                <w:rFonts w:cs="Arial"/>
              </w:rPr>
            </w:pPr>
            <w:r w:rsidRPr="00385AFF">
              <w:rPr>
                <w:rFonts w:cs="Arial"/>
                <w:i/>
                <w:iCs/>
              </w:rPr>
              <w:t>Нечести:</w:t>
            </w:r>
          </w:p>
        </w:tc>
        <w:tc>
          <w:tcPr>
            <w:tcW w:w="4675" w:type="dxa"/>
            <w:vAlign w:val="bottom"/>
          </w:tcPr>
          <w:p w14:paraId="27EEFBAB" w14:textId="41F005D4" w:rsidR="00385AFF" w:rsidRPr="00385AFF" w:rsidRDefault="00385AFF" w:rsidP="00385AFF">
            <w:pPr>
              <w:rPr>
                <w:rFonts w:cs="Arial"/>
              </w:rPr>
            </w:pPr>
            <w:r w:rsidRPr="00385AFF">
              <w:rPr>
                <w:rFonts w:cs="Arial"/>
              </w:rPr>
              <w:t>Очно дразнене, болка в очите, орбитален оток, кръвоизлив на склерата, кръвоизлив на ретината, блефарит, оток на макулата</w:t>
            </w:r>
          </w:p>
        </w:tc>
      </w:tr>
      <w:tr w:rsidR="00385AFF" w14:paraId="5E31351F" w14:textId="77777777" w:rsidTr="00C267CF">
        <w:tc>
          <w:tcPr>
            <w:tcW w:w="4675" w:type="dxa"/>
            <w:vAlign w:val="bottom"/>
          </w:tcPr>
          <w:p w14:paraId="3B1F8D8B" w14:textId="301C61B2" w:rsidR="00385AFF" w:rsidRPr="00385AFF" w:rsidRDefault="00385AFF" w:rsidP="00385AFF">
            <w:pPr>
              <w:rPr>
                <w:rFonts w:cs="Arial"/>
              </w:rPr>
            </w:pPr>
            <w:r w:rsidRPr="00385AFF">
              <w:rPr>
                <w:rFonts w:cs="Arial"/>
                <w:i/>
                <w:iCs/>
              </w:rPr>
              <w:t>Редки:</w:t>
            </w:r>
          </w:p>
        </w:tc>
        <w:tc>
          <w:tcPr>
            <w:tcW w:w="4675" w:type="dxa"/>
          </w:tcPr>
          <w:p w14:paraId="4BDCAEAC" w14:textId="77777777" w:rsidR="00385AFF" w:rsidRPr="00385AFF" w:rsidRDefault="00385AFF" w:rsidP="00385AFF">
            <w:pPr>
              <w:rPr>
                <w:rFonts w:cs="Arial"/>
              </w:rPr>
            </w:pPr>
          </w:p>
          <w:p w14:paraId="4485DB0C" w14:textId="6C25E17C" w:rsidR="00385AFF" w:rsidRPr="00385AFF" w:rsidRDefault="00385AFF" w:rsidP="00385AFF">
            <w:pPr>
              <w:rPr>
                <w:rFonts w:cs="Arial"/>
              </w:rPr>
            </w:pPr>
            <w:r w:rsidRPr="00385AFF">
              <w:rPr>
                <w:rFonts w:cs="Arial"/>
              </w:rPr>
              <w:t>Катаракта, глаукома, оток на палилата</w:t>
            </w:r>
            <w:r w:rsidRPr="00385AFF">
              <w:rPr>
                <w:rFonts w:cs="Arial"/>
              </w:rPr>
              <w:tab/>
            </w:r>
          </w:p>
        </w:tc>
      </w:tr>
      <w:tr w:rsidR="00385AFF" w14:paraId="586FCD64" w14:textId="77777777" w:rsidTr="00C267CF">
        <w:tc>
          <w:tcPr>
            <w:tcW w:w="4675" w:type="dxa"/>
            <w:vAlign w:val="bottom"/>
          </w:tcPr>
          <w:p w14:paraId="20CFD755" w14:textId="04484C8F" w:rsidR="00385AFF" w:rsidRPr="00385AFF" w:rsidRDefault="00385AFF" w:rsidP="00385AFF">
            <w:pPr>
              <w:rPr>
                <w:rFonts w:cs="Arial"/>
              </w:rPr>
            </w:pPr>
            <w:r w:rsidRPr="00385AFF">
              <w:rPr>
                <w:rFonts w:cs="Arial"/>
                <w:i/>
                <w:iCs/>
              </w:rPr>
              <w:t>С неизвестна честота:</w:t>
            </w:r>
          </w:p>
        </w:tc>
        <w:tc>
          <w:tcPr>
            <w:tcW w:w="4675" w:type="dxa"/>
            <w:vAlign w:val="bottom"/>
          </w:tcPr>
          <w:p w14:paraId="60848F06" w14:textId="64ADBCD3" w:rsidR="00385AFF" w:rsidRPr="00385AFF" w:rsidRDefault="00385AFF" w:rsidP="00385AFF">
            <w:pPr>
              <w:rPr>
                <w:rFonts w:cs="Arial"/>
              </w:rPr>
            </w:pPr>
            <w:r w:rsidRPr="00385AFF">
              <w:rPr>
                <w:rFonts w:cs="Arial"/>
              </w:rPr>
              <w:t>Витреална хеморагия*</w:t>
            </w:r>
          </w:p>
        </w:tc>
      </w:tr>
      <w:tr w:rsidR="00385AFF" w14:paraId="2644EA13" w14:textId="77777777" w:rsidTr="00C267CF">
        <w:tc>
          <w:tcPr>
            <w:tcW w:w="9350" w:type="dxa"/>
            <w:gridSpan w:val="2"/>
          </w:tcPr>
          <w:p w14:paraId="073F6651" w14:textId="6B765A82" w:rsidR="00385AFF" w:rsidRPr="00385AFF" w:rsidRDefault="00385AFF" w:rsidP="0091385D">
            <w:pPr>
              <w:rPr>
                <w:rFonts w:cs="Arial"/>
              </w:rPr>
            </w:pPr>
            <w:r w:rsidRPr="00385AFF">
              <w:rPr>
                <w:rFonts w:cs="Arial"/>
                <w:b/>
                <w:bCs/>
              </w:rPr>
              <w:t>Нарушения на ухото и лабиринта</w:t>
            </w:r>
          </w:p>
        </w:tc>
      </w:tr>
      <w:tr w:rsidR="00385AFF" w14:paraId="4A50CA1A" w14:textId="77777777" w:rsidTr="00C267CF">
        <w:tc>
          <w:tcPr>
            <w:tcW w:w="4675" w:type="dxa"/>
            <w:vAlign w:val="bottom"/>
          </w:tcPr>
          <w:p w14:paraId="3CD49AAB" w14:textId="5DC506A0" w:rsidR="00385AFF" w:rsidRPr="00385AFF" w:rsidRDefault="00385AFF" w:rsidP="00385AFF">
            <w:pPr>
              <w:rPr>
                <w:rFonts w:cs="Arial"/>
              </w:rPr>
            </w:pPr>
            <w:r w:rsidRPr="00385AFF">
              <w:rPr>
                <w:rFonts w:cs="Arial"/>
                <w:i/>
                <w:iCs/>
              </w:rPr>
              <w:t>Нечести:</w:t>
            </w:r>
          </w:p>
        </w:tc>
        <w:tc>
          <w:tcPr>
            <w:tcW w:w="4675" w:type="dxa"/>
            <w:vAlign w:val="bottom"/>
          </w:tcPr>
          <w:p w14:paraId="433E5BB3" w14:textId="6A9C1D16" w:rsidR="00385AFF" w:rsidRPr="00385AFF" w:rsidRDefault="00385AFF" w:rsidP="00385AFF">
            <w:pPr>
              <w:rPr>
                <w:rFonts w:cs="Arial"/>
              </w:rPr>
            </w:pPr>
            <w:r w:rsidRPr="00385AFF">
              <w:rPr>
                <w:rFonts w:cs="Arial"/>
              </w:rPr>
              <w:t>Световъртеж, тинитус, загуба на слуха</w:t>
            </w:r>
          </w:p>
        </w:tc>
      </w:tr>
      <w:tr w:rsidR="00385AFF" w14:paraId="0F23DD77" w14:textId="77777777" w:rsidTr="00C267CF">
        <w:tc>
          <w:tcPr>
            <w:tcW w:w="9350" w:type="dxa"/>
            <w:gridSpan w:val="2"/>
          </w:tcPr>
          <w:p w14:paraId="22CF8B68" w14:textId="6CC0AA79" w:rsidR="00385AFF" w:rsidRPr="00385AFF" w:rsidRDefault="00385AFF" w:rsidP="0091385D">
            <w:pPr>
              <w:rPr>
                <w:rFonts w:cs="Arial"/>
              </w:rPr>
            </w:pPr>
            <w:r w:rsidRPr="00385AFF">
              <w:rPr>
                <w:rFonts w:cs="Arial"/>
                <w:b/>
                <w:bCs/>
              </w:rPr>
              <w:t>Сърдечни нарушения</w:t>
            </w:r>
          </w:p>
        </w:tc>
      </w:tr>
      <w:tr w:rsidR="00385AFF" w14:paraId="62165E45" w14:textId="77777777" w:rsidTr="00C267CF">
        <w:tc>
          <w:tcPr>
            <w:tcW w:w="4675" w:type="dxa"/>
          </w:tcPr>
          <w:p w14:paraId="6DF3D90C" w14:textId="00E89FFC" w:rsidR="00385AFF" w:rsidRPr="00385AFF" w:rsidRDefault="00385AFF" w:rsidP="00385AFF">
            <w:pPr>
              <w:rPr>
                <w:rFonts w:cs="Arial"/>
              </w:rPr>
            </w:pPr>
            <w:r w:rsidRPr="00385AFF">
              <w:rPr>
                <w:rFonts w:cs="Arial"/>
                <w:i/>
                <w:iCs/>
              </w:rPr>
              <w:lastRenderedPageBreak/>
              <w:t>Нечести:</w:t>
            </w:r>
          </w:p>
        </w:tc>
        <w:tc>
          <w:tcPr>
            <w:tcW w:w="4675" w:type="dxa"/>
            <w:vAlign w:val="bottom"/>
          </w:tcPr>
          <w:p w14:paraId="3EDA91C1" w14:textId="774E2F9B" w:rsidR="00385AFF" w:rsidRPr="00385AFF" w:rsidRDefault="00385AFF" w:rsidP="00385AFF">
            <w:pPr>
              <w:rPr>
                <w:rFonts w:cs="Arial"/>
              </w:rPr>
            </w:pPr>
            <w:r w:rsidRPr="00385AFF">
              <w:rPr>
                <w:rFonts w:cs="Arial"/>
              </w:rPr>
              <w:t>Сърцебиене, тахикардия, застойна сърдечна недостатъчност</w:t>
            </w:r>
            <w:r w:rsidRPr="00385AFF">
              <w:rPr>
                <w:rFonts w:cs="Arial"/>
                <w:vertAlign w:val="superscript"/>
              </w:rPr>
              <w:t>3</w:t>
            </w:r>
            <w:r w:rsidRPr="00385AFF">
              <w:rPr>
                <w:rFonts w:cs="Arial"/>
              </w:rPr>
              <w:t>, белодробен оток</w:t>
            </w:r>
          </w:p>
        </w:tc>
      </w:tr>
      <w:tr w:rsidR="00385AFF" w14:paraId="6B41A266" w14:textId="77777777" w:rsidTr="00C267CF">
        <w:tc>
          <w:tcPr>
            <w:tcW w:w="4675" w:type="dxa"/>
          </w:tcPr>
          <w:p w14:paraId="0F2B7002" w14:textId="0D853BD5" w:rsidR="00385AFF" w:rsidRPr="00385AFF" w:rsidRDefault="00385AFF" w:rsidP="00385AFF">
            <w:pPr>
              <w:rPr>
                <w:rFonts w:cs="Arial"/>
              </w:rPr>
            </w:pPr>
            <w:r w:rsidRPr="00385AFF">
              <w:rPr>
                <w:rFonts w:cs="Arial"/>
                <w:i/>
                <w:iCs/>
              </w:rPr>
              <w:t>Редки:</w:t>
            </w:r>
          </w:p>
        </w:tc>
        <w:tc>
          <w:tcPr>
            <w:tcW w:w="4675" w:type="dxa"/>
            <w:vAlign w:val="bottom"/>
          </w:tcPr>
          <w:p w14:paraId="1074C8A2" w14:textId="4B551665" w:rsidR="00385AFF" w:rsidRPr="00385AFF" w:rsidRDefault="00385AFF" w:rsidP="00385AFF">
            <w:pPr>
              <w:rPr>
                <w:rFonts w:cs="Arial"/>
              </w:rPr>
            </w:pPr>
            <w:r w:rsidRPr="00385AFF">
              <w:rPr>
                <w:rFonts w:cs="Arial"/>
              </w:rPr>
              <w:t>Аритмия, предсърдно мъждене, сърдечен арест, инфаркт на миокарда, ангина пекторис, перикарден излив</w:t>
            </w:r>
          </w:p>
        </w:tc>
      </w:tr>
      <w:tr w:rsidR="00385AFF" w14:paraId="73D23750" w14:textId="77777777" w:rsidTr="00C267CF">
        <w:tc>
          <w:tcPr>
            <w:tcW w:w="4675" w:type="dxa"/>
            <w:vAlign w:val="bottom"/>
          </w:tcPr>
          <w:p w14:paraId="5000220F" w14:textId="1A490D7D" w:rsidR="00385AFF" w:rsidRPr="00385AFF" w:rsidRDefault="00385AFF" w:rsidP="00385AFF">
            <w:pPr>
              <w:rPr>
                <w:rFonts w:cs="Arial"/>
              </w:rPr>
            </w:pPr>
            <w:r w:rsidRPr="00385AFF">
              <w:rPr>
                <w:rFonts w:cs="Arial"/>
                <w:i/>
                <w:iCs/>
              </w:rPr>
              <w:t>С неизвестна честота:</w:t>
            </w:r>
          </w:p>
        </w:tc>
        <w:tc>
          <w:tcPr>
            <w:tcW w:w="4675" w:type="dxa"/>
            <w:vAlign w:val="bottom"/>
          </w:tcPr>
          <w:p w14:paraId="30276ECB" w14:textId="7F97445B" w:rsidR="00385AFF" w:rsidRPr="00385AFF" w:rsidRDefault="00385AFF" w:rsidP="00385AFF">
            <w:pPr>
              <w:rPr>
                <w:rFonts w:cs="Arial"/>
              </w:rPr>
            </w:pPr>
            <w:r w:rsidRPr="00385AFF">
              <w:rPr>
                <w:rFonts w:cs="Arial"/>
              </w:rPr>
              <w:t>Перикардит*, сърдечна тампонада*</w:t>
            </w:r>
          </w:p>
        </w:tc>
      </w:tr>
      <w:tr w:rsidR="00385AFF" w14:paraId="407C99D8" w14:textId="77777777" w:rsidTr="00C267CF">
        <w:tc>
          <w:tcPr>
            <w:tcW w:w="9350" w:type="dxa"/>
            <w:gridSpan w:val="2"/>
          </w:tcPr>
          <w:p w14:paraId="511F7FF4" w14:textId="231D7541" w:rsidR="00385AFF" w:rsidRPr="00385AFF" w:rsidRDefault="00385AFF" w:rsidP="0091385D">
            <w:pPr>
              <w:rPr>
                <w:rFonts w:cs="Arial"/>
              </w:rPr>
            </w:pPr>
            <w:r w:rsidRPr="00385AFF">
              <w:rPr>
                <w:rFonts w:cs="Arial"/>
                <w:b/>
                <w:bCs/>
              </w:rPr>
              <w:t>Съдови нарушения</w:t>
            </w:r>
            <w:r w:rsidRPr="00385AFF">
              <w:rPr>
                <w:rFonts w:cs="Arial"/>
                <w:b/>
                <w:bCs/>
                <w:vertAlign w:val="superscript"/>
              </w:rPr>
              <w:t>4</w:t>
            </w:r>
          </w:p>
        </w:tc>
      </w:tr>
      <w:tr w:rsidR="00385AFF" w14:paraId="67B4C875" w14:textId="77777777" w:rsidTr="00C267CF">
        <w:tc>
          <w:tcPr>
            <w:tcW w:w="4675" w:type="dxa"/>
            <w:vAlign w:val="bottom"/>
          </w:tcPr>
          <w:p w14:paraId="0726C405" w14:textId="29DE1AF3" w:rsidR="00385AFF" w:rsidRPr="00385AFF" w:rsidRDefault="00385AFF" w:rsidP="00385AFF">
            <w:pPr>
              <w:rPr>
                <w:rFonts w:cs="Arial"/>
              </w:rPr>
            </w:pPr>
            <w:r w:rsidRPr="00385AFF">
              <w:rPr>
                <w:rFonts w:cs="Arial"/>
                <w:i/>
                <w:iCs/>
              </w:rPr>
              <w:t>Чести:</w:t>
            </w:r>
          </w:p>
        </w:tc>
        <w:tc>
          <w:tcPr>
            <w:tcW w:w="4675" w:type="dxa"/>
            <w:vAlign w:val="bottom"/>
          </w:tcPr>
          <w:p w14:paraId="753AB168" w14:textId="48BC97B2" w:rsidR="00385AFF" w:rsidRPr="00385AFF" w:rsidRDefault="00385AFF" w:rsidP="00385AFF">
            <w:pPr>
              <w:rPr>
                <w:rFonts w:cs="Arial"/>
              </w:rPr>
            </w:pPr>
            <w:r w:rsidRPr="00385AFF">
              <w:rPr>
                <w:rFonts w:cs="Arial"/>
              </w:rPr>
              <w:t>Зачервяване, хеморагия</w:t>
            </w:r>
          </w:p>
        </w:tc>
      </w:tr>
      <w:tr w:rsidR="00385AFF" w14:paraId="727E0CA1" w14:textId="77777777" w:rsidTr="00C267CF">
        <w:tc>
          <w:tcPr>
            <w:tcW w:w="4675" w:type="dxa"/>
          </w:tcPr>
          <w:p w14:paraId="1D7B1D14" w14:textId="06146315" w:rsidR="00385AFF" w:rsidRPr="00385AFF" w:rsidRDefault="00385AFF" w:rsidP="00385AFF">
            <w:pPr>
              <w:rPr>
                <w:rFonts w:cs="Arial"/>
              </w:rPr>
            </w:pPr>
            <w:r w:rsidRPr="00385AFF">
              <w:rPr>
                <w:rFonts w:cs="Arial"/>
                <w:i/>
                <w:iCs/>
              </w:rPr>
              <w:t>Нечести:</w:t>
            </w:r>
          </w:p>
        </w:tc>
        <w:tc>
          <w:tcPr>
            <w:tcW w:w="4675" w:type="dxa"/>
            <w:vAlign w:val="bottom"/>
          </w:tcPr>
          <w:p w14:paraId="17174350" w14:textId="5729C0D1" w:rsidR="00385AFF" w:rsidRPr="00385AFF" w:rsidRDefault="00385AFF" w:rsidP="00385AFF">
            <w:pPr>
              <w:rPr>
                <w:rFonts w:cs="Arial"/>
              </w:rPr>
            </w:pPr>
            <w:r w:rsidRPr="00385AFF">
              <w:rPr>
                <w:rFonts w:cs="Arial"/>
              </w:rPr>
              <w:t xml:space="preserve">Хипертония, хематом, субдурален хематом, студени крайници, хипотония, синдром на </w:t>
            </w:r>
            <w:r w:rsidRPr="00385AFF">
              <w:rPr>
                <w:rFonts w:cs="Arial"/>
                <w:lang w:val="en-US"/>
              </w:rPr>
              <w:t>Raynaud</w:t>
            </w:r>
          </w:p>
        </w:tc>
      </w:tr>
      <w:tr w:rsidR="00385AFF" w14:paraId="17903ED4" w14:textId="77777777" w:rsidTr="00C267CF">
        <w:tc>
          <w:tcPr>
            <w:tcW w:w="4675" w:type="dxa"/>
            <w:vAlign w:val="bottom"/>
          </w:tcPr>
          <w:p w14:paraId="68B78202" w14:textId="77D707DC" w:rsidR="00385AFF" w:rsidRPr="00385AFF" w:rsidRDefault="00385AFF" w:rsidP="00385AFF">
            <w:pPr>
              <w:rPr>
                <w:rFonts w:cs="Arial"/>
              </w:rPr>
            </w:pPr>
            <w:r w:rsidRPr="00385AFF">
              <w:rPr>
                <w:rFonts w:cs="Arial"/>
                <w:i/>
                <w:iCs/>
              </w:rPr>
              <w:t>С неизвестна честота:</w:t>
            </w:r>
          </w:p>
        </w:tc>
        <w:tc>
          <w:tcPr>
            <w:tcW w:w="4675" w:type="dxa"/>
            <w:vAlign w:val="bottom"/>
          </w:tcPr>
          <w:p w14:paraId="63037AF0" w14:textId="0F557F62" w:rsidR="00385AFF" w:rsidRPr="00385AFF" w:rsidRDefault="00385AFF" w:rsidP="00385AFF">
            <w:pPr>
              <w:rPr>
                <w:rFonts w:cs="Arial"/>
              </w:rPr>
            </w:pPr>
            <w:r w:rsidRPr="00385AFF">
              <w:rPr>
                <w:rFonts w:cs="Arial"/>
              </w:rPr>
              <w:t>Тромбоза/емболизъм *</w:t>
            </w:r>
          </w:p>
        </w:tc>
      </w:tr>
      <w:tr w:rsidR="00385AFF" w14:paraId="61B89DF6" w14:textId="77777777" w:rsidTr="00C267CF">
        <w:tc>
          <w:tcPr>
            <w:tcW w:w="9350" w:type="dxa"/>
            <w:gridSpan w:val="2"/>
          </w:tcPr>
          <w:p w14:paraId="5520ADCE" w14:textId="20CC8E2C" w:rsidR="00385AFF" w:rsidRPr="00385AFF" w:rsidRDefault="00385AFF" w:rsidP="0091385D">
            <w:pPr>
              <w:rPr>
                <w:rFonts w:cs="Arial"/>
              </w:rPr>
            </w:pPr>
            <w:r w:rsidRPr="00385AFF">
              <w:rPr>
                <w:rFonts w:cs="Arial"/>
                <w:b/>
                <w:bCs/>
              </w:rPr>
              <w:t>Респираторни, гръдни и медиастинални нарушения</w:t>
            </w:r>
          </w:p>
        </w:tc>
      </w:tr>
      <w:tr w:rsidR="00385AFF" w14:paraId="3B119D3C" w14:textId="77777777" w:rsidTr="00C267CF">
        <w:tc>
          <w:tcPr>
            <w:tcW w:w="4675" w:type="dxa"/>
            <w:vAlign w:val="bottom"/>
          </w:tcPr>
          <w:p w14:paraId="0290D650" w14:textId="595C8CF0" w:rsidR="00385AFF" w:rsidRPr="00385AFF" w:rsidRDefault="00385AFF" w:rsidP="00385AFF">
            <w:pPr>
              <w:rPr>
                <w:rFonts w:cs="Arial"/>
              </w:rPr>
            </w:pPr>
            <w:r w:rsidRPr="00385AFF">
              <w:rPr>
                <w:rFonts w:cs="Arial"/>
                <w:i/>
                <w:iCs/>
              </w:rPr>
              <w:t>Чести:</w:t>
            </w:r>
          </w:p>
        </w:tc>
        <w:tc>
          <w:tcPr>
            <w:tcW w:w="4675" w:type="dxa"/>
            <w:vAlign w:val="bottom"/>
          </w:tcPr>
          <w:p w14:paraId="097A7CC7" w14:textId="4E97B8F1" w:rsidR="00385AFF" w:rsidRPr="00385AFF" w:rsidRDefault="00385AFF" w:rsidP="00385AFF">
            <w:pPr>
              <w:rPr>
                <w:rFonts w:cs="Arial"/>
              </w:rPr>
            </w:pPr>
            <w:r w:rsidRPr="00385AFF">
              <w:rPr>
                <w:rFonts w:cs="Arial"/>
              </w:rPr>
              <w:t>Диспнея, епистаксис, кашлица</w:t>
            </w:r>
          </w:p>
        </w:tc>
      </w:tr>
      <w:tr w:rsidR="00385AFF" w14:paraId="420906B8" w14:textId="77777777" w:rsidTr="00C267CF">
        <w:tc>
          <w:tcPr>
            <w:tcW w:w="4675" w:type="dxa"/>
            <w:vAlign w:val="bottom"/>
          </w:tcPr>
          <w:p w14:paraId="2DC9E772" w14:textId="2D9EC2A7" w:rsidR="00385AFF" w:rsidRPr="00385AFF" w:rsidRDefault="00385AFF" w:rsidP="00385AFF">
            <w:pPr>
              <w:rPr>
                <w:rFonts w:cs="Arial"/>
              </w:rPr>
            </w:pPr>
            <w:r w:rsidRPr="00385AFF">
              <w:rPr>
                <w:rFonts w:cs="Arial"/>
                <w:i/>
                <w:iCs/>
              </w:rPr>
              <w:t>Нечести:</w:t>
            </w:r>
          </w:p>
        </w:tc>
        <w:tc>
          <w:tcPr>
            <w:tcW w:w="4675" w:type="dxa"/>
            <w:vAlign w:val="bottom"/>
          </w:tcPr>
          <w:p w14:paraId="35C0D71B" w14:textId="3E9E56FC" w:rsidR="00385AFF" w:rsidRPr="00385AFF" w:rsidRDefault="00385AFF" w:rsidP="00385AFF">
            <w:pPr>
              <w:rPr>
                <w:rFonts w:cs="Arial"/>
              </w:rPr>
            </w:pPr>
            <w:r w:rsidRPr="00385AFF">
              <w:rPr>
                <w:rFonts w:cs="Arial"/>
              </w:rPr>
              <w:t>Плеврален излив</w:t>
            </w:r>
            <w:r w:rsidRPr="00385AFF">
              <w:rPr>
                <w:rFonts w:cs="Arial"/>
                <w:vertAlign w:val="superscript"/>
              </w:rPr>
              <w:t>5</w:t>
            </w:r>
            <w:r w:rsidRPr="00385AFF">
              <w:rPr>
                <w:rFonts w:cs="Arial"/>
              </w:rPr>
              <w:t>, фаринголарингеална болка, фарингит</w:t>
            </w:r>
          </w:p>
        </w:tc>
      </w:tr>
      <w:tr w:rsidR="00385AFF" w14:paraId="04D34F6C" w14:textId="77777777" w:rsidTr="00C267CF">
        <w:tc>
          <w:tcPr>
            <w:tcW w:w="4675" w:type="dxa"/>
          </w:tcPr>
          <w:p w14:paraId="6F538780" w14:textId="5B7BE4FA" w:rsidR="00385AFF" w:rsidRPr="00385AFF" w:rsidRDefault="00385AFF" w:rsidP="00385AFF">
            <w:pPr>
              <w:rPr>
                <w:rFonts w:cs="Arial"/>
              </w:rPr>
            </w:pPr>
            <w:r w:rsidRPr="00385AFF">
              <w:rPr>
                <w:rFonts w:cs="Arial"/>
                <w:i/>
                <w:iCs/>
              </w:rPr>
              <w:t>Редки:</w:t>
            </w:r>
          </w:p>
        </w:tc>
        <w:tc>
          <w:tcPr>
            <w:tcW w:w="4675" w:type="dxa"/>
            <w:vAlign w:val="bottom"/>
          </w:tcPr>
          <w:p w14:paraId="72821E5A" w14:textId="3B0C2615" w:rsidR="00385AFF" w:rsidRPr="00385AFF" w:rsidRDefault="00385AFF" w:rsidP="00385AFF">
            <w:pPr>
              <w:rPr>
                <w:rFonts w:cs="Arial"/>
              </w:rPr>
            </w:pPr>
            <w:r w:rsidRPr="00385AFF">
              <w:rPr>
                <w:rFonts w:cs="Arial"/>
              </w:rPr>
              <w:t>Плеврална болка, белодробна фиброза, белодробна хипертония, белодробен кръвоизлив</w:t>
            </w:r>
          </w:p>
        </w:tc>
      </w:tr>
      <w:tr w:rsidR="00385AFF" w14:paraId="73E8CF43" w14:textId="77777777" w:rsidTr="007552C9">
        <w:tc>
          <w:tcPr>
            <w:tcW w:w="4675" w:type="dxa"/>
          </w:tcPr>
          <w:p w14:paraId="399A84ED" w14:textId="5C1DD69C" w:rsidR="00385AFF" w:rsidRPr="00385AFF" w:rsidRDefault="00385AFF" w:rsidP="00385AFF">
            <w:pPr>
              <w:rPr>
                <w:rFonts w:cs="Arial"/>
              </w:rPr>
            </w:pPr>
            <w:r w:rsidRPr="00385AFF">
              <w:rPr>
                <w:rFonts w:cs="Arial"/>
                <w:i/>
                <w:iCs/>
              </w:rPr>
              <w:t>С неизвестна честота:</w:t>
            </w:r>
          </w:p>
        </w:tc>
        <w:tc>
          <w:tcPr>
            <w:tcW w:w="4675" w:type="dxa"/>
          </w:tcPr>
          <w:p w14:paraId="77EA55C1" w14:textId="7FBEF67C" w:rsidR="00385AFF" w:rsidRPr="00385AFF" w:rsidRDefault="00385AFF" w:rsidP="00385AFF">
            <w:pPr>
              <w:rPr>
                <w:rFonts w:cs="Arial"/>
              </w:rPr>
            </w:pPr>
            <w:r w:rsidRPr="00385AFF">
              <w:rPr>
                <w:rFonts w:cs="Arial"/>
              </w:rPr>
              <w:t>Остра дихателна недостатъчност</w:t>
            </w:r>
            <w:r w:rsidRPr="00385AFF">
              <w:rPr>
                <w:rFonts w:cs="Arial"/>
                <w:vertAlign w:val="superscript"/>
              </w:rPr>
              <w:t>11</w:t>
            </w:r>
            <w:r w:rsidRPr="00385AFF">
              <w:rPr>
                <w:rFonts w:cs="Arial"/>
              </w:rPr>
              <w:t>*, интерстициална белодробна болест*</w:t>
            </w:r>
          </w:p>
        </w:tc>
      </w:tr>
      <w:tr w:rsidR="00385AFF" w14:paraId="43ECF537" w14:textId="77777777" w:rsidTr="00C267CF">
        <w:tc>
          <w:tcPr>
            <w:tcW w:w="9350" w:type="dxa"/>
            <w:gridSpan w:val="2"/>
          </w:tcPr>
          <w:p w14:paraId="2ECB2F93" w14:textId="038B618A" w:rsidR="00385AFF" w:rsidRPr="00385AFF" w:rsidRDefault="00385AFF" w:rsidP="0091385D">
            <w:pPr>
              <w:rPr>
                <w:rFonts w:cs="Arial"/>
              </w:rPr>
            </w:pPr>
            <w:r w:rsidRPr="00385AFF">
              <w:rPr>
                <w:rFonts w:cs="Arial"/>
                <w:b/>
                <w:bCs/>
              </w:rPr>
              <w:t>Стомашно-чревни нарушения</w:t>
            </w:r>
          </w:p>
        </w:tc>
      </w:tr>
      <w:tr w:rsidR="00385AFF" w14:paraId="2A988399" w14:textId="77777777" w:rsidTr="00C267CF">
        <w:tc>
          <w:tcPr>
            <w:tcW w:w="4675" w:type="dxa"/>
            <w:vAlign w:val="bottom"/>
          </w:tcPr>
          <w:p w14:paraId="74881E83" w14:textId="16F1938B" w:rsidR="00385AFF" w:rsidRPr="00385AFF" w:rsidRDefault="00385AFF" w:rsidP="00385AFF">
            <w:pPr>
              <w:rPr>
                <w:rFonts w:cs="Arial"/>
              </w:rPr>
            </w:pPr>
            <w:r w:rsidRPr="00385AFF">
              <w:rPr>
                <w:rFonts w:cs="Arial"/>
                <w:i/>
                <w:iCs/>
              </w:rPr>
              <w:t>Много чести:</w:t>
            </w:r>
          </w:p>
        </w:tc>
        <w:tc>
          <w:tcPr>
            <w:tcW w:w="4675" w:type="dxa"/>
            <w:vAlign w:val="bottom"/>
          </w:tcPr>
          <w:p w14:paraId="25077822" w14:textId="4CB60C91" w:rsidR="00385AFF" w:rsidRPr="00385AFF" w:rsidRDefault="00385AFF" w:rsidP="00385AFF">
            <w:pPr>
              <w:rPr>
                <w:rFonts w:cs="Arial"/>
              </w:rPr>
            </w:pPr>
            <w:r w:rsidRPr="00385AFF">
              <w:rPr>
                <w:rFonts w:cs="Arial"/>
              </w:rPr>
              <w:t>Гадене, диария, повръщане, диспепсия, коремна болка</w:t>
            </w:r>
            <w:r w:rsidRPr="00385AFF">
              <w:rPr>
                <w:rFonts w:cs="Arial"/>
                <w:vertAlign w:val="superscript"/>
              </w:rPr>
              <w:t>6</w:t>
            </w:r>
          </w:p>
        </w:tc>
      </w:tr>
      <w:tr w:rsidR="00385AFF" w14:paraId="6745A4B6" w14:textId="77777777" w:rsidTr="00C267CF">
        <w:tc>
          <w:tcPr>
            <w:tcW w:w="4675" w:type="dxa"/>
          </w:tcPr>
          <w:p w14:paraId="37FD56DB" w14:textId="7F0D050B" w:rsidR="00385AFF" w:rsidRPr="00385AFF" w:rsidRDefault="00385AFF" w:rsidP="00385AFF">
            <w:pPr>
              <w:rPr>
                <w:rFonts w:cs="Arial"/>
              </w:rPr>
            </w:pPr>
            <w:r w:rsidRPr="00385AFF">
              <w:rPr>
                <w:rFonts w:cs="Arial"/>
                <w:i/>
                <w:iCs/>
              </w:rPr>
              <w:t>Чести:</w:t>
            </w:r>
          </w:p>
        </w:tc>
        <w:tc>
          <w:tcPr>
            <w:tcW w:w="4675" w:type="dxa"/>
            <w:vAlign w:val="bottom"/>
          </w:tcPr>
          <w:p w14:paraId="0CF9D3F9" w14:textId="31876631" w:rsidR="00385AFF" w:rsidRPr="00385AFF" w:rsidRDefault="00385AFF" w:rsidP="00385AFF">
            <w:pPr>
              <w:rPr>
                <w:rFonts w:cs="Arial"/>
              </w:rPr>
            </w:pPr>
            <w:r w:rsidRPr="00385AFF">
              <w:rPr>
                <w:rFonts w:cs="Arial"/>
              </w:rPr>
              <w:t>Флатуленция, подуване на корема, гастроезофагеален рефлукс, констипация, сухота в устата, гастрит</w:t>
            </w:r>
          </w:p>
        </w:tc>
      </w:tr>
      <w:tr w:rsidR="00385AFF" w14:paraId="4D534996" w14:textId="77777777" w:rsidTr="00C267CF">
        <w:tc>
          <w:tcPr>
            <w:tcW w:w="4675" w:type="dxa"/>
          </w:tcPr>
          <w:p w14:paraId="75CCCF3A" w14:textId="32682E8F" w:rsidR="00385AFF" w:rsidRPr="00385AFF" w:rsidRDefault="00385AFF" w:rsidP="00385AFF">
            <w:pPr>
              <w:rPr>
                <w:rFonts w:cs="Arial"/>
              </w:rPr>
            </w:pPr>
            <w:r w:rsidRPr="00385AFF">
              <w:rPr>
                <w:rFonts w:cs="Arial"/>
                <w:i/>
                <w:iCs/>
              </w:rPr>
              <w:t>Нечести:</w:t>
            </w:r>
          </w:p>
        </w:tc>
        <w:tc>
          <w:tcPr>
            <w:tcW w:w="4675" w:type="dxa"/>
            <w:vAlign w:val="bottom"/>
          </w:tcPr>
          <w:p w14:paraId="4D36E09A" w14:textId="61CEE5BC" w:rsidR="00385AFF" w:rsidRPr="00385AFF" w:rsidRDefault="00385AFF" w:rsidP="00385AFF">
            <w:pPr>
              <w:rPr>
                <w:rFonts w:cs="Arial"/>
              </w:rPr>
            </w:pPr>
            <w:r w:rsidRPr="00385AFF">
              <w:rPr>
                <w:rFonts w:cs="Arial"/>
              </w:rPr>
              <w:t>Стоматит, разязвявания в устната кухина, стомашно-чревен кръвоизлив</w:t>
            </w:r>
            <w:r w:rsidRPr="00385AFF">
              <w:rPr>
                <w:rFonts w:cs="Arial"/>
                <w:vertAlign w:val="superscript"/>
              </w:rPr>
              <w:t>7</w:t>
            </w:r>
            <w:r w:rsidRPr="00385AFF">
              <w:rPr>
                <w:rFonts w:cs="Arial"/>
              </w:rPr>
              <w:t>, оригване, мелена, езофагит, асцит, стомашна язва, хематемеза, хейлит, дисфагия, панкреатит</w:t>
            </w:r>
          </w:p>
        </w:tc>
      </w:tr>
      <w:tr w:rsidR="00385AFF" w14:paraId="3D8C3D2C" w14:textId="77777777" w:rsidTr="00C267CF">
        <w:tc>
          <w:tcPr>
            <w:tcW w:w="4675" w:type="dxa"/>
            <w:vAlign w:val="bottom"/>
          </w:tcPr>
          <w:p w14:paraId="0F3AF0F0" w14:textId="59504991" w:rsidR="00385AFF" w:rsidRPr="00385AFF" w:rsidRDefault="00385AFF" w:rsidP="00385AFF">
            <w:pPr>
              <w:rPr>
                <w:rFonts w:cs="Arial"/>
              </w:rPr>
            </w:pPr>
            <w:r w:rsidRPr="00385AFF">
              <w:rPr>
                <w:rFonts w:cs="Arial"/>
                <w:i/>
                <w:iCs/>
              </w:rPr>
              <w:t>Редки:</w:t>
            </w:r>
          </w:p>
        </w:tc>
        <w:tc>
          <w:tcPr>
            <w:tcW w:w="4675" w:type="dxa"/>
            <w:vAlign w:val="bottom"/>
          </w:tcPr>
          <w:p w14:paraId="6339DAD0" w14:textId="78232B92" w:rsidR="00385AFF" w:rsidRPr="00385AFF" w:rsidRDefault="00385AFF" w:rsidP="00385AFF">
            <w:pPr>
              <w:rPr>
                <w:rFonts w:cs="Arial"/>
              </w:rPr>
            </w:pPr>
            <w:r w:rsidRPr="00385AFF">
              <w:rPr>
                <w:rFonts w:cs="Arial"/>
              </w:rPr>
              <w:t>Колит, илеит, възпалителни заболявания на червата</w:t>
            </w:r>
          </w:p>
        </w:tc>
      </w:tr>
      <w:tr w:rsidR="00385AFF" w14:paraId="110BE83A" w14:textId="77777777" w:rsidTr="00C267CF">
        <w:tc>
          <w:tcPr>
            <w:tcW w:w="4675" w:type="dxa"/>
          </w:tcPr>
          <w:p w14:paraId="48139222" w14:textId="784B6F74" w:rsidR="00385AFF" w:rsidRPr="00385AFF" w:rsidRDefault="00385AFF" w:rsidP="00385AFF">
            <w:pPr>
              <w:rPr>
                <w:rFonts w:cs="Arial"/>
              </w:rPr>
            </w:pPr>
            <w:r w:rsidRPr="00385AFF">
              <w:rPr>
                <w:rFonts w:cs="Arial"/>
                <w:i/>
                <w:iCs/>
              </w:rPr>
              <w:t>С неизвестна честота:</w:t>
            </w:r>
          </w:p>
        </w:tc>
        <w:tc>
          <w:tcPr>
            <w:tcW w:w="4675" w:type="dxa"/>
            <w:vAlign w:val="bottom"/>
          </w:tcPr>
          <w:p w14:paraId="31D9F154" w14:textId="00FFB93E" w:rsidR="00385AFF" w:rsidRPr="00385AFF" w:rsidRDefault="00385AFF" w:rsidP="00385AFF">
            <w:pPr>
              <w:rPr>
                <w:rFonts w:cs="Arial"/>
              </w:rPr>
            </w:pPr>
            <w:r w:rsidRPr="00385AFF">
              <w:rPr>
                <w:rFonts w:cs="Arial"/>
              </w:rPr>
              <w:t xml:space="preserve">Илеус/интестинална обструкция*, гастроинтестинална перфорация*, дивертикулит*, стомашна антрална съдова ектазия </w:t>
            </w:r>
            <w:r w:rsidRPr="00385AFF">
              <w:rPr>
                <w:rFonts w:cs="Arial"/>
                <w:lang w:val="en-US"/>
              </w:rPr>
              <w:t>(GAVE)*</w:t>
            </w:r>
          </w:p>
        </w:tc>
      </w:tr>
      <w:tr w:rsidR="00385AFF" w14:paraId="7D48ED32" w14:textId="77777777" w:rsidTr="00C267CF">
        <w:tc>
          <w:tcPr>
            <w:tcW w:w="9350" w:type="dxa"/>
            <w:gridSpan w:val="2"/>
          </w:tcPr>
          <w:p w14:paraId="669F0327" w14:textId="65EEF29D" w:rsidR="00385AFF" w:rsidRPr="00385AFF" w:rsidRDefault="00385AFF" w:rsidP="0091385D">
            <w:pPr>
              <w:rPr>
                <w:rFonts w:cs="Arial"/>
              </w:rPr>
            </w:pPr>
            <w:r w:rsidRPr="00385AFF">
              <w:rPr>
                <w:rFonts w:cs="Arial"/>
                <w:b/>
                <w:bCs/>
              </w:rPr>
              <w:t>Хепатобилиарни нарушения</w:t>
            </w:r>
          </w:p>
        </w:tc>
      </w:tr>
      <w:tr w:rsidR="00385AFF" w14:paraId="2346EA86" w14:textId="77777777" w:rsidTr="00C267CF">
        <w:tc>
          <w:tcPr>
            <w:tcW w:w="4675" w:type="dxa"/>
            <w:vAlign w:val="bottom"/>
          </w:tcPr>
          <w:p w14:paraId="71C084EE" w14:textId="3B89AE54" w:rsidR="00385AFF" w:rsidRPr="00385AFF" w:rsidRDefault="00385AFF" w:rsidP="00385AFF">
            <w:pPr>
              <w:rPr>
                <w:rFonts w:cs="Arial"/>
              </w:rPr>
            </w:pPr>
            <w:r w:rsidRPr="00385AFF">
              <w:rPr>
                <w:rFonts w:cs="Arial"/>
                <w:i/>
                <w:iCs/>
              </w:rPr>
              <w:t>Чести:</w:t>
            </w:r>
          </w:p>
        </w:tc>
        <w:tc>
          <w:tcPr>
            <w:tcW w:w="4675" w:type="dxa"/>
            <w:vAlign w:val="bottom"/>
          </w:tcPr>
          <w:p w14:paraId="01B8A2B7" w14:textId="2BF19B6B" w:rsidR="00385AFF" w:rsidRPr="00385AFF" w:rsidRDefault="00385AFF" w:rsidP="00385AFF">
            <w:pPr>
              <w:rPr>
                <w:rFonts w:cs="Arial"/>
              </w:rPr>
            </w:pPr>
            <w:r w:rsidRPr="00385AFF">
              <w:rPr>
                <w:rFonts w:cs="Arial"/>
              </w:rPr>
              <w:t>Повишени чернодробни ензими</w:t>
            </w:r>
          </w:p>
        </w:tc>
      </w:tr>
      <w:tr w:rsidR="00385AFF" w14:paraId="56D07410" w14:textId="77777777" w:rsidTr="00C267CF">
        <w:tc>
          <w:tcPr>
            <w:tcW w:w="4675" w:type="dxa"/>
            <w:vAlign w:val="bottom"/>
          </w:tcPr>
          <w:p w14:paraId="729FD851" w14:textId="6EE4159C" w:rsidR="00385AFF" w:rsidRPr="00385AFF" w:rsidRDefault="00385AFF" w:rsidP="00385AFF">
            <w:pPr>
              <w:rPr>
                <w:rFonts w:cs="Arial"/>
              </w:rPr>
            </w:pPr>
            <w:r w:rsidRPr="00385AFF">
              <w:rPr>
                <w:rFonts w:cs="Arial"/>
                <w:i/>
                <w:iCs/>
              </w:rPr>
              <w:t>Нечести:</w:t>
            </w:r>
          </w:p>
        </w:tc>
        <w:tc>
          <w:tcPr>
            <w:tcW w:w="4675" w:type="dxa"/>
            <w:vAlign w:val="bottom"/>
          </w:tcPr>
          <w:p w14:paraId="793A90C3" w14:textId="3F1DF549" w:rsidR="00385AFF" w:rsidRPr="00385AFF" w:rsidRDefault="00385AFF" w:rsidP="00385AFF">
            <w:pPr>
              <w:rPr>
                <w:rFonts w:cs="Arial"/>
              </w:rPr>
            </w:pPr>
            <w:r w:rsidRPr="00385AFF">
              <w:rPr>
                <w:rFonts w:cs="Arial"/>
              </w:rPr>
              <w:t>Хипербилирубинемия, хепатит, иктер</w:t>
            </w:r>
          </w:p>
        </w:tc>
      </w:tr>
      <w:tr w:rsidR="00385AFF" w14:paraId="3E3031EE" w14:textId="77777777" w:rsidTr="00C267CF">
        <w:tc>
          <w:tcPr>
            <w:tcW w:w="4675" w:type="dxa"/>
            <w:vAlign w:val="bottom"/>
          </w:tcPr>
          <w:p w14:paraId="160160F5" w14:textId="7B57D5D8" w:rsidR="00385AFF" w:rsidRPr="00385AFF" w:rsidRDefault="00385AFF" w:rsidP="00385AFF">
            <w:pPr>
              <w:rPr>
                <w:rFonts w:cs="Arial"/>
              </w:rPr>
            </w:pPr>
            <w:r w:rsidRPr="00385AFF">
              <w:rPr>
                <w:rFonts w:cs="Arial"/>
                <w:i/>
                <w:iCs/>
              </w:rPr>
              <w:t>Редки:</w:t>
            </w:r>
          </w:p>
        </w:tc>
        <w:tc>
          <w:tcPr>
            <w:tcW w:w="4675" w:type="dxa"/>
            <w:vAlign w:val="bottom"/>
          </w:tcPr>
          <w:p w14:paraId="4DF153FF" w14:textId="73B3C7FC" w:rsidR="00385AFF" w:rsidRPr="00385AFF" w:rsidRDefault="00385AFF" w:rsidP="00385AFF">
            <w:pPr>
              <w:rPr>
                <w:rFonts w:cs="Arial"/>
              </w:rPr>
            </w:pPr>
            <w:r w:rsidRPr="00385AFF">
              <w:rPr>
                <w:rFonts w:cs="Arial"/>
              </w:rPr>
              <w:t>Чернодробна недостатъчност</w:t>
            </w:r>
            <w:r w:rsidRPr="00385AFF">
              <w:rPr>
                <w:rFonts w:cs="Arial"/>
                <w:vertAlign w:val="superscript"/>
              </w:rPr>
              <w:t>8</w:t>
            </w:r>
            <w:r w:rsidRPr="00385AFF">
              <w:rPr>
                <w:rFonts w:cs="Arial"/>
              </w:rPr>
              <w:t>, чернодробна некроза</w:t>
            </w:r>
          </w:p>
        </w:tc>
      </w:tr>
      <w:tr w:rsidR="00385AFF" w14:paraId="35F471FB" w14:textId="77777777" w:rsidTr="00C267CF">
        <w:tc>
          <w:tcPr>
            <w:tcW w:w="9350" w:type="dxa"/>
            <w:gridSpan w:val="2"/>
          </w:tcPr>
          <w:p w14:paraId="285091C1" w14:textId="402ED0C3" w:rsidR="00385AFF" w:rsidRPr="00385AFF" w:rsidRDefault="00385AFF" w:rsidP="0091385D">
            <w:pPr>
              <w:rPr>
                <w:rFonts w:cs="Arial"/>
              </w:rPr>
            </w:pPr>
            <w:r w:rsidRPr="00385AFF">
              <w:rPr>
                <w:rFonts w:cs="Arial"/>
                <w:b/>
                <w:bCs/>
              </w:rPr>
              <w:t>Нарушения на кожата и подкожната тъкан</w:t>
            </w:r>
          </w:p>
        </w:tc>
      </w:tr>
      <w:tr w:rsidR="00385AFF" w14:paraId="61FE07BA" w14:textId="77777777" w:rsidTr="00C267CF">
        <w:tc>
          <w:tcPr>
            <w:tcW w:w="4675" w:type="dxa"/>
            <w:vAlign w:val="bottom"/>
          </w:tcPr>
          <w:p w14:paraId="7DC56DFE" w14:textId="68EA4C28" w:rsidR="00385AFF" w:rsidRPr="00385AFF" w:rsidRDefault="00385AFF" w:rsidP="00385AFF">
            <w:pPr>
              <w:rPr>
                <w:rFonts w:cs="Arial"/>
              </w:rPr>
            </w:pPr>
            <w:r w:rsidRPr="00385AFF">
              <w:rPr>
                <w:rFonts w:cs="Arial"/>
                <w:i/>
                <w:iCs/>
              </w:rPr>
              <w:t>Много чести:</w:t>
            </w:r>
          </w:p>
        </w:tc>
        <w:tc>
          <w:tcPr>
            <w:tcW w:w="4675" w:type="dxa"/>
            <w:vAlign w:val="bottom"/>
          </w:tcPr>
          <w:p w14:paraId="1A1991E0" w14:textId="7F788D65" w:rsidR="00385AFF" w:rsidRPr="00385AFF" w:rsidRDefault="00385AFF" w:rsidP="00385AFF">
            <w:pPr>
              <w:rPr>
                <w:rFonts w:cs="Arial"/>
              </w:rPr>
            </w:pPr>
            <w:r w:rsidRPr="00385AFF">
              <w:rPr>
                <w:rFonts w:cs="Arial"/>
              </w:rPr>
              <w:t>Периорбитален оток, дерматит/екзема/обрив</w:t>
            </w:r>
          </w:p>
        </w:tc>
      </w:tr>
      <w:tr w:rsidR="00385AFF" w14:paraId="76CEC010" w14:textId="77777777" w:rsidTr="00C267CF">
        <w:tc>
          <w:tcPr>
            <w:tcW w:w="4675" w:type="dxa"/>
          </w:tcPr>
          <w:p w14:paraId="697B641A" w14:textId="4ED546FD" w:rsidR="00385AFF" w:rsidRPr="00385AFF" w:rsidRDefault="00385AFF" w:rsidP="00385AFF">
            <w:pPr>
              <w:rPr>
                <w:rFonts w:cs="Arial"/>
              </w:rPr>
            </w:pPr>
            <w:r w:rsidRPr="00385AFF">
              <w:rPr>
                <w:rFonts w:cs="Arial"/>
                <w:i/>
                <w:iCs/>
              </w:rPr>
              <w:lastRenderedPageBreak/>
              <w:t>Чести:</w:t>
            </w:r>
          </w:p>
        </w:tc>
        <w:tc>
          <w:tcPr>
            <w:tcW w:w="4675" w:type="dxa"/>
            <w:vAlign w:val="bottom"/>
          </w:tcPr>
          <w:p w14:paraId="3DBC2B1D" w14:textId="671135F1" w:rsidR="00385AFF" w:rsidRPr="00385AFF" w:rsidRDefault="00385AFF" w:rsidP="00385AFF">
            <w:pPr>
              <w:rPr>
                <w:rFonts w:cs="Arial"/>
              </w:rPr>
            </w:pPr>
            <w:r w:rsidRPr="00385AFF">
              <w:rPr>
                <w:rFonts w:cs="Arial"/>
              </w:rPr>
              <w:t>Пруритус, оток на лицето, суха кожа, еритем, алопеция, нощни изпотявания, фоточувствителна реакция</w:t>
            </w:r>
          </w:p>
        </w:tc>
      </w:tr>
      <w:tr w:rsidR="00385AFF" w14:paraId="5410D395" w14:textId="77777777" w:rsidTr="00C267CF">
        <w:tc>
          <w:tcPr>
            <w:tcW w:w="4675" w:type="dxa"/>
          </w:tcPr>
          <w:p w14:paraId="74AB1F6B" w14:textId="1A4F5D2F" w:rsidR="00385AFF" w:rsidRPr="00385AFF" w:rsidRDefault="00385AFF" w:rsidP="00385AFF">
            <w:pPr>
              <w:rPr>
                <w:rFonts w:cs="Arial"/>
              </w:rPr>
            </w:pPr>
            <w:r w:rsidRPr="00385AFF">
              <w:rPr>
                <w:rFonts w:cs="Arial"/>
                <w:i/>
                <w:iCs/>
              </w:rPr>
              <w:t>Нечести:</w:t>
            </w:r>
          </w:p>
        </w:tc>
        <w:tc>
          <w:tcPr>
            <w:tcW w:w="4675" w:type="dxa"/>
            <w:vAlign w:val="bottom"/>
          </w:tcPr>
          <w:p w14:paraId="63E14494" w14:textId="71B68680" w:rsidR="00385AFF" w:rsidRPr="00385AFF" w:rsidRDefault="00385AFF" w:rsidP="00385AFF">
            <w:pPr>
              <w:rPr>
                <w:rFonts w:cs="Arial"/>
              </w:rPr>
            </w:pPr>
            <w:r w:rsidRPr="00385AFF">
              <w:rPr>
                <w:rFonts w:cs="Arial"/>
              </w:rPr>
              <w:t>Пустулозен обрив, контузия, повишено изпотяване, уртикария, екхимоза, повишена склонност към насиняване, хипотрихоза, кожна хипопигментация, ексфолиативен дерматит, увреждане на ноктите, фоликулит, петехии, псориазис, пурпура, хипрепигментация, булозни ерупции</w:t>
            </w:r>
          </w:p>
        </w:tc>
      </w:tr>
      <w:tr w:rsidR="00385AFF" w14:paraId="11373E84" w14:textId="77777777" w:rsidTr="00C267CF">
        <w:tc>
          <w:tcPr>
            <w:tcW w:w="4675" w:type="dxa"/>
          </w:tcPr>
          <w:p w14:paraId="2491D199" w14:textId="0252BFB6" w:rsidR="00385AFF" w:rsidRPr="00385AFF" w:rsidRDefault="00385AFF" w:rsidP="00385AFF">
            <w:pPr>
              <w:rPr>
                <w:rFonts w:cs="Arial"/>
              </w:rPr>
            </w:pPr>
            <w:r w:rsidRPr="00385AFF">
              <w:rPr>
                <w:rFonts w:cs="Arial"/>
                <w:i/>
                <w:iCs/>
              </w:rPr>
              <w:t>Редки:</w:t>
            </w:r>
          </w:p>
        </w:tc>
        <w:tc>
          <w:tcPr>
            <w:tcW w:w="4675" w:type="dxa"/>
            <w:vAlign w:val="bottom"/>
          </w:tcPr>
          <w:p w14:paraId="0922A597" w14:textId="3B91491D" w:rsidR="00385AFF" w:rsidRPr="00385AFF" w:rsidRDefault="00385AFF" w:rsidP="00385AFF">
            <w:pPr>
              <w:rPr>
                <w:rFonts w:cs="Arial"/>
              </w:rPr>
            </w:pPr>
            <w:r w:rsidRPr="00385AFF">
              <w:rPr>
                <w:rFonts w:cs="Arial"/>
              </w:rPr>
              <w:t xml:space="preserve">Остра фебрилна неутрофилна дерматоза (синдром на </w:t>
            </w:r>
            <w:r w:rsidRPr="00385AFF">
              <w:rPr>
                <w:rFonts w:cs="Arial"/>
                <w:lang w:val="en-US"/>
              </w:rPr>
              <w:t>sweet)</w:t>
            </w:r>
            <w:r w:rsidRPr="00385AFF">
              <w:rPr>
                <w:rFonts w:cs="Arial"/>
              </w:rPr>
              <w:t xml:space="preserve"> потъмняване на ноктите, ангиоедем, везикулозен</w:t>
            </w:r>
            <w:r w:rsidRPr="00385AFF">
              <w:rPr>
                <w:rFonts w:cs="Arial"/>
                <w:lang w:val="en-US"/>
              </w:rPr>
              <w:t xml:space="preserve"> </w:t>
            </w:r>
            <w:r w:rsidRPr="00385AFF">
              <w:rPr>
                <w:rFonts w:cs="Arial"/>
              </w:rPr>
              <w:t xml:space="preserve">обрив, еритема мултиформе, левкоцитокластичен васкулит, синдром на </w:t>
            </w:r>
            <w:r w:rsidRPr="00385AFF">
              <w:rPr>
                <w:rFonts w:cs="Arial"/>
                <w:lang w:val="en-US"/>
              </w:rPr>
              <w:t xml:space="preserve">Steven- Johnson, </w:t>
            </w:r>
            <w:r w:rsidRPr="00385AFF">
              <w:rPr>
                <w:rFonts w:cs="Arial"/>
              </w:rPr>
              <w:t xml:space="preserve">остра генерализирана екзантематозна </w:t>
            </w:r>
            <w:r w:rsidRPr="00385AFF">
              <w:rPr>
                <w:rFonts w:cs="Arial"/>
                <w:lang w:val="en-US"/>
              </w:rPr>
              <w:t>ny</w:t>
            </w:r>
            <w:r w:rsidRPr="00385AFF">
              <w:rPr>
                <w:rFonts w:cs="Arial"/>
              </w:rPr>
              <w:t>стулоза (</w:t>
            </w:r>
            <w:r w:rsidRPr="00385AFF">
              <w:rPr>
                <w:rFonts w:cs="Arial"/>
                <w:lang w:val="en-US"/>
              </w:rPr>
              <w:t>ACEP)</w:t>
            </w:r>
          </w:p>
        </w:tc>
      </w:tr>
      <w:tr w:rsidR="007552C9" w14:paraId="4F5A7BCF" w14:textId="77777777" w:rsidTr="007552C9">
        <w:tc>
          <w:tcPr>
            <w:tcW w:w="4675" w:type="dxa"/>
          </w:tcPr>
          <w:p w14:paraId="0F660B53" w14:textId="5723425D" w:rsidR="007552C9" w:rsidRPr="00385AFF" w:rsidRDefault="007552C9" w:rsidP="007552C9">
            <w:pPr>
              <w:rPr>
                <w:rFonts w:cs="Arial"/>
              </w:rPr>
            </w:pPr>
            <w:r w:rsidRPr="00385AFF">
              <w:rPr>
                <w:rFonts w:cs="Arial"/>
                <w:i/>
                <w:iCs/>
              </w:rPr>
              <w:t>С неизвестна честота:</w:t>
            </w:r>
          </w:p>
        </w:tc>
        <w:tc>
          <w:tcPr>
            <w:tcW w:w="4675" w:type="dxa"/>
          </w:tcPr>
          <w:p w14:paraId="58CD1990" w14:textId="7EB5CF16" w:rsidR="007552C9" w:rsidRPr="00385AFF" w:rsidRDefault="007552C9" w:rsidP="007552C9">
            <w:pPr>
              <w:rPr>
                <w:rFonts w:cs="Arial"/>
              </w:rPr>
            </w:pPr>
            <w:r w:rsidRPr="00385AFF">
              <w:rPr>
                <w:rFonts w:cs="Arial"/>
              </w:rPr>
              <w:t xml:space="preserve">Синдром на палмарно-плантарна еритродистезия*, лихеноидна кератоза*, лихен планус*, токсична епидермална некролиза*, лекарствен обрив с еозинофилия и системни симптоми </w:t>
            </w:r>
            <w:r w:rsidRPr="00385AFF">
              <w:rPr>
                <w:rFonts w:cs="Arial"/>
                <w:lang w:val="en-US"/>
              </w:rPr>
              <w:t xml:space="preserve">(DRESS)*, </w:t>
            </w:r>
            <w:r w:rsidRPr="00385AFF">
              <w:rPr>
                <w:rFonts w:cs="Arial"/>
              </w:rPr>
              <w:t>псевдопорфирия*</w:t>
            </w:r>
          </w:p>
        </w:tc>
      </w:tr>
      <w:tr w:rsidR="007552C9" w14:paraId="43568F7E" w14:textId="77777777" w:rsidTr="007552C9">
        <w:tc>
          <w:tcPr>
            <w:tcW w:w="9350" w:type="dxa"/>
            <w:gridSpan w:val="2"/>
          </w:tcPr>
          <w:p w14:paraId="5CDDC835" w14:textId="371299B2" w:rsidR="007552C9" w:rsidRPr="00385AFF" w:rsidRDefault="00385AFF" w:rsidP="0091385D">
            <w:pPr>
              <w:rPr>
                <w:rFonts w:cs="Arial"/>
              </w:rPr>
            </w:pPr>
            <w:r w:rsidRPr="00385AFF">
              <w:rPr>
                <w:rFonts w:cs="Arial"/>
                <w:b/>
                <w:bCs/>
              </w:rPr>
              <w:t>Нарушения на мускулно-скелетната система и съединителната тъкан</w:t>
            </w:r>
          </w:p>
        </w:tc>
      </w:tr>
      <w:tr w:rsidR="007552C9" w14:paraId="0F8AF7EC" w14:textId="77777777" w:rsidTr="007552C9">
        <w:tc>
          <w:tcPr>
            <w:tcW w:w="4675" w:type="dxa"/>
          </w:tcPr>
          <w:p w14:paraId="6ACBA060" w14:textId="328C2E4B" w:rsidR="007552C9" w:rsidRPr="00385AFF" w:rsidRDefault="007552C9" w:rsidP="007552C9">
            <w:pPr>
              <w:rPr>
                <w:rFonts w:cs="Arial"/>
              </w:rPr>
            </w:pPr>
            <w:r w:rsidRPr="00385AFF">
              <w:rPr>
                <w:rFonts w:cs="Arial"/>
                <w:i/>
                <w:iCs/>
              </w:rPr>
              <w:t>Много чести:</w:t>
            </w:r>
          </w:p>
        </w:tc>
        <w:tc>
          <w:tcPr>
            <w:tcW w:w="4675" w:type="dxa"/>
          </w:tcPr>
          <w:p w14:paraId="20D46748" w14:textId="46D8D387" w:rsidR="007552C9" w:rsidRPr="00385AFF" w:rsidRDefault="007552C9" w:rsidP="007552C9">
            <w:pPr>
              <w:rPr>
                <w:rFonts w:cs="Arial"/>
              </w:rPr>
            </w:pPr>
            <w:r w:rsidRPr="00385AFF">
              <w:rPr>
                <w:rFonts w:cs="Arial"/>
              </w:rPr>
              <w:t>Мускулни спазми и крампи, мускулно-скелетна болка включително миалгия</w:t>
            </w:r>
            <w:r w:rsidRPr="00385AFF">
              <w:rPr>
                <w:rFonts w:cs="Arial"/>
                <w:vertAlign w:val="superscript"/>
              </w:rPr>
              <w:t>9</w:t>
            </w:r>
            <w:r w:rsidRPr="00385AFF">
              <w:rPr>
                <w:rFonts w:cs="Arial"/>
              </w:rPr>
              <w:t>, артралгия, болка в костите'</w:t>
            </w:r>
            <w:r w:rsidRPr="00385AFF">
              <w:rPr>
                <w:rFonts w:cs="Arial"/>
                <w:vertAlign w:val="superscript"/>
              </w:rPr>
              <w:t>0</w:t>
            </w:r>
          </w:p>
        </w:tc>
      </w:tr>
      <w:tr w:rsidR="007552C9" w14:paraId="1FF84021" w14:textId="77777777" w:rsidTr="007552C9">
        <w:tc>
          <w:tcPr>
            <w:tcW w:w="4675" w:type="dxa"/>
          </w:tcPr>
          <w:p w14:paraId="6155C624" w14:textId="0737CB8C" w:rsidR="007552C9" w:rsidRPr="00385AFF" w:rsidRDefault="007552C9" w:rsidP="007552C9">
            <w:pPr>
              <w:rPr>
                <w:rFonts w:cs="Arial"/>
              </w:rPr>
            </w:pPr>
            <w:r w:rsidRPr="00385AFF">
              <w:rPr>
                <w:rFonts w:cs="Arial"/>
                <w:i/>
                <w:iCs/>
              </w:rPr>
              <w:t>Чести:</w:t>
            </w:r>
          </w:p>
        </w:tc>
        <w:tc>
          <w:tcPr>
            <w:tcW w:w="4675" w:type="dxa"/>
          </w:tcPr>
          <w:p w14:paraId="329F2FC4" w14:textId="028863C0" w:rsidR="007552C9" w:rsidRPr="00385AFF" w:rsidRDefault="007552C9" w:rsidP="007552C9">
            <w:pPr>
              <w:rPr>
                <w:rFonts w:cs="Arial"/>
              </w:rPr>
            </w:pPr>
            <w:r w:rsidRPr="00385AFF">
              <w:rPr>
                <w:rFonts w:cs="Arial"/>
              </w:rPr>
              <w:t>Оток на ставите</w:t>
            </w:r>
          </w:p>
        </w:tc>
      </w:tr>
      <w:tr w:rsidR="007552C9" w14:paraId="161A7F94" w14:textId="77777777" w:rsidTr="007552C9">
        <w:tc>
          <w:tcPr>
            <w:tcW w:w="4675" w:type="dxa"/>
          </w:tcPr>
          <w:p w14:paraId="11C1083C" w14:textId="45675E78" w:rsidR="007552C9" w:rsidRPr="00385AFF" w:rsidRDefault="007552C9" w:rsidP="007552C9">
            <w:pPr>
              <w:rPr>
                <w:rFonts w:cs="Arial"/>
              </w:rPr>
            </w:pPr>
            <w:r w:rsidRPr="00385AFF">
              <w:rPr>
                <w:rFonts w:cs="Arial"/>
                <w:i/>
                <w:iCs/>
              </w:rPr>
              <w:t>Нечести:</w:t>
            </w:r>
          </w:p>
        </w:tc>
        <w:tc>
          <w:tcPr>
            <w:tcW w:w="4675" w:type="dxa"/>
          </w:tcPr>
          <w:p w14:paraId="35659BE5" w14:textId="299FF165" w:rsidR="007552C9" w:rsidRPr="00385AFF" w:rsidRDefault="007552C9" w:rsidP="007552C9">
            <w:pPr>
              <w:rPr>
                <w:rFonts w:cs="Arial"/>
              </w:rPr>
            </w:pPr>
            <w:r w:rsidRPr="00385AFF">
              <w:rPr>
                <w:rFonts w:cs="Arial"/>
              </w:rPr>
              <w:t>Ставна и мускулна скованост</w:t>
            </w:r>
          </w:p>
        </w:tc>
      </w:tr>
      <w:tr w:rsidR="007552C9" w14:paraId="5CAF0CC2" w14:textId="77777777" w:rsidTr="007552C9">
        <w:tc>
          <w:tcPr>
            <w:tcW w:w="4675" w:type="dxa"/>
          </w:tcPr>
          <w:p w14:paraId="119D0D03" w14:textId="77FC8B53" w:rsidR="007552C9" w:rsidRPr="00385AFF" w:rsidRDefault="007552C9" w:rsidP="007552C9">
            <w:pPr>
              <w:rPr>
                <w:rFonts w:cs="Arial"/>
              </w:rPr>
            </w:pPr>
            <w:r w:rsidRPr="00385AFF">
              <w:rPr>
                <w:rFonts w:cs="Arial"/>
                <w:i/>
                <w:iCs/>
              </w:rPr>
              <w:t>Редки:</w:t>
            </w:r>
          </w:p>
        </w:tc>
        <w:tc>
          <w:tcPr>
            <w:tcW w:w="4675" w:type="dxa"/>
          </w:tcPr>
          <w:p w14:paraId="5108E110" w14:textId="2E79F4FA" w:rsidR="007552C9" w:rsidRPr="00385AFF" w:rsidRDefault="007552C9" w:rsidP="007552C9">
            <w:pPr>
              <w:rPr>
                <w:rFonts w:cs="Arial"/>
              </w:rPr>
            </w:pPr>
            <w:r w:rsidRPr="00385AFF">
              <w:rPr>
                <w:rFonts w:cs="Arial"/>
              </w:rPr>
              <w:t>Мускулна слабост, артрит, рабдомиолиза/миопатия</w:t>
            </w:r>
          </w:p>
        </w:tc>
      </w:tr>
      <w:tr w:rsidR="007552C9" w14:paraId="31B6FE75" w14:textId="77777777" w:rsidTr="007552C9">
        <w:tc>
          <w:tcPr>
            <w:tcW w:w="4675" w:type="dxa"/>
          </w:tcPr>
          <w:p w14:paraId="42896889" w14:textId="17B7DE2F" w:rsidR="007552C9" w:rsidRPr="00385AFF" w:rsidRDefault="007552C9" w:rsidP="007552C9">
            <w:pPr>
              <w:rPr>
                <w:rFonts w:cs="Arial"/>
              </w:rPr>
            </w:pPr>
            <w:r w:rsidRPr="00385AFF">
              <w:rPr>
                <w:rFonts w:cs="Arial"/>
                <w:i/>
                <w:iCs/>
              </w:rPr>
              <w:t>С неизвестна честота:</w:t>
            </w:r>
          </w:p>
        </w:tc>
        <w:tc>
          <w:tcPr>
            <w:tcW w:w="4675" w:type="dxa"/>
          </w:tcPr>
          <w:p w14:paraId="2C7C257D" w14:textId="03D36FDE" w:rsidR="007552C9" w:rsidRPr="00385AFF" w:rsidRDefault="007552C9" w:rsidP="007552C9">
            <w:pPr>
              <w:rPr>
                <w:rFonts w:cs="Arial"/>
              </w:rPr>
            </w:pPr>
            <w:r w:rsidRPr="00385AFF">
              <w:rPr>
                <w:rFonts w:cs="Arial"/>
              </w:rPr>
              <w:t>Аваскуларна некроза/некроза на бедрената кост*, изоставане в растежа при деца*</w:t>
            </w:r>
          </w:p>
        </w:tc>
      </w:tr>
      <w:tr w:rsidR="007552C9" w14:paraId="1B61C5C4" w14:textId="77777777" w:rsidTr="007552C9">
        <w:tc>
          <w:tcPr>
            <w:tcW w:w="9350" w:type="dxa"/>
            <w:gridSpan w:val="2"/>
          </w:tcPr>
          <w:p w14:paraId="1B4AB07F" w14:textId="56C4B64F" w:rsidR="007552C9" w:rsidRPr="00385AFF" w:rsidRDefault="00385AFF" w:rsidP="0091385D">
            <w:pPr>
              <w:rPr>
                <w:rFonts w:cs="Arial"/>
              </w:rPr>
            </w:pPr>
            <w:r w:rsidRPr="00385AFF">
              <w:rPr>
                <w:rFonts w:cs="Arial"/>
                <w:b/>
                <w:bCs/>
              </w:rPr>
              <w:t>Нарушения на бъбреците и пикочните пътища</w:t>
            </w:r>
          </w:p>
        </w:tc>
      </w:tr>
      <w:tr w:rsidR="007552C9" w14:paraId="7A98946E" w14:textId="77777777" w:rsidTr="007552C9">
        <w:tc>
          <w:tcPr>
            <w:tcW w:w="4675" w:type="dxa"/>
          </w:tcPr>
          <w:p w14:paraId="10ECAA93" w14:textId="74D907A2" w:rsidR="007552C9" w:rsidRPr="00385AFF" w:rsidRDefault="007552C9" w:rsidP="007552C9">
            <w:pPr>
              <w:rPr>
                <w:rFonts w:cs="Arial"/>
              </w:rPr>
            </w:pPr>
            <w:r w:rsidRPr="00385AFF">
              <w:rPr>
                <w:rFonts w:cs="Arial"/>
                <w:i/>
                <w:iCs/>
              </w:rPr>
              <w:t>Нечести:</w:t>
            </w:r>
          </w:p>
        </w:tc>
        <w:tc>
          <w:tcPr>
            <w:tcW w:w="4675" w:type="dxa"/>
          </w:tcPr>
          <w:p w14:paraId="62588FFC" w14:textId="4506B8E1" w:rsidR="007552C9" w:rsidRPr="00385AFF" w:rsidRDefault="007552C9" w:rsidP="007552C9">
            <w:pPr>
              <w:rPr>
                <w:rFonts w:cs="Arial"/>
              </w:rPr>
            </w:pPr>
            <w:r w:rsidRPr="00385AFF">
              <w:rPr>
                <w:rFonts w:cs="Arial"/>
              </w:rPr>
              <w:t>Бъбречна болка, хематурия, остра бъбречна недостатъчност, повишена честота на уриниране</w:t>
            </w:r>
          </w:p>
        </w:tc>
      </w:tr>
      <w:tr w:rsidR="007552C9" w14:paraId="43A7507C" w14:textId="77777777" w:rsidTr="007552C9">
        <w:tc>
          <w:tcPr>
            <w:tcW w:w="4675" w:type="dxa"/>
          </w:tcPr>
          <w:p w14:paraId="4A8330A7" w14:textId="2DEF604A" w:rsidR="007552C9" w:rsidRPr="00385AFF" w:rsidRDefault="007552C9" w:rsidP="007552C9">
            <w:pPr>
              <w:rPr>
                <w:rFonts w:cs="Arial"/>
              </w:rPr>
            </w:pPr>
            <w:r w:rsidRPr="00385AFF">
              <w:rPr>
                <w:rFonts w:cs="Arial"/>
                <w:i/>
                <w:iCs/>
              </w:rPr>
              <w:t>С неизвестна честота:</w:t>
            </w:r>
          </w:p>
        </w:tc>
        <w:tc>
          <w:tcPr>
            <w:tcW w:w="4675" w:type="dxa"/>
          </w:tcPr>
          <w:p w14:paraId="25EE57B4" w14:textId="534DB479" w:rsidR="007552C9" w:rsidRPr="00385AFF" w:rsidRDefault="007552C9" w:rsidP="007552C9">
            <w:pPr>
              <w:rPr>
                <w:rFonts w:cs="Arial"/>
              </w:rPr>
            </w:pPr>
            <w:r w:rsidRPr="00385AFF">
              <w:rPr>
                <w:rFonts w:cs="Arial"/>
              </w:rPr>
              <w:t>Хронична бъбречна недостатъчност</w:t>
            </w:r>
          </w:p>
        </w:tc>
      </w:tr>
      <w:tr w:rsidR="007552C9" w14:paraId="77D91A40" w14:textId="77777777" w:rsidTr="007552C9">
        <w:tc>
          <w:tcPr>
            <w:tcW w:w="9350" w:type="dxa"/>
            <w:gridSpan w:val="2"/>
          </w:tcPr>
          <w:p w14:paraId="727E719A" w14:textId="1B280BBA" w:rsidR="007552C9" w:rsidRPr="00385AFF" w:rsidRDefault="00385AFF" w:rsidP="0091385D">
            <w:pPr>
              <w:rPr>
                <w:rFonts w:cs="Arial"/>
              </w:rPr>
            </w:pPr>
            <w:r w:rsidRPr="00385AFF">
              <w:rPr>
                <w:rFonts w:cs="Arial"/>
                <w:b/>
                <w:bCs/>
              </w:rPr>
              <w:t>Нарушения на възпроизводителната система и гърдата</w:t>
            </w:r>
          </w:p>
        </w:tc>
      </w:tr>
      <w:tr w:rsidR="007552C9" w14:paraId="287F0873" w14:textId="77777777" w:rsidTr="007552C9">
        <w:tc>
          <w:tcPr>
            <w:tcW w:w="4675" w:type="dxa"/>
          </w:tcPr>
          <w:p w14:paraId="5ED10C73" w14:textId="292E1CE4" w:rsidR="007552C9" w:rsidRPr="00385AFF" w:rsidRDefault="007552C9" w:rsidP="007552C9">
            <w:pPr>
              <w:rPr>
                <w:rFonts w:cs="Arial"/>
              </w:rPr>
            </w:pPr>
            <w:r w:rsidRPr="00385AFF">
              <w:rPr>
                <w:rFonts w:cs="Arial"/>
                <w:i/>
                <w:iCs/>
              </w:rPr>
              <w:t>Нечести:</w:t>
            </w:r>
          </w:p>
        </w:tc>
        <w:tc>
          <w:tcPr>
            <w:tcW w:w="4675" w:type="dxa"/>
          </w:tcPr>
          <w:p w14:paraId="14D773B8" w14:textId="691712EB" w:rsidR="007552C9" w:rsidRPr="00385AFF" w:rsidRDefault="007552C9" w:rsidP="007552C9">
            <w:pPr>
              <w:rPr>
                <w:rFonts w:cs="Arial"/>
              </w:rPr>
            </w:pPr>
            <w:r w:rsidRPr="00385AFF">
              <w:rPr>
                <w:rFonts w:cs="Arial"/>
              </w:rPr>
              <w:t>Гинекомастия, еректилна дисфункция, менорагия, нередовна менструация, сексуална дисфункция, болка в гръдното зърно, уголемяване на млечната жлеза, скротален оток</w:t>
            </w:r>
          </w:p>
        </w:tc>
      </w:tr>
      <w:tr w:rsidR="007552C9" w14:paraId="5F463105" w14:textId="77777777" w:rsidTr="007552C9">
        <w:tc>
          <w:tcPr>
            <w:tcW w:w="4675" w:type="dxa"/>
          </w:tcPr>
          <w:p w14:paraId="2C73FCDE" w14:textId="353DB523" w:rsidR="007552C9" w:rsidRPr="00385AFF" w:rsidRDefault="007552C9" w:rsidP="007552C9">
            <w:pPr>
              <w:rPr>
                <w:rFonts w:cs="Arial"/>
              </w:rPr>
            </w:pPr>
            <w:r w:rsidRPr="00385AFF">
              <w:rPr>
                <w:rFonts w:cs="Arial"/>
                <w:i/>
                <w:iCs/>
              </w:rPr>
              <w:lastRenderedPageBreak/>
              <w:t>Редки:</w:t>
            </w:r>
          </w:p>
        </w:tc>
        <w:tc>
          <w:tcPr>
            <w:tcW w:w="4675" w:type="dxa"/>
          </w:tcPr>
          <w:p w14:paraId="78B8A95C" w14:textId="1B5ACB8B" w:rsidR="007552C9" w:rsidRPr="00385AFF" w:rsidRDefault="007552C9" w:rsidP="007552C9">
            <w:pPr>
              <w:rPr>
                <w:rFonts w:cs="Arial"/>
              </w:rPr>
            </w:pPr>
            <w:r w:rsidRPr="00385AFF">
              <w:rPr>
                <w:rFonts w:cs="Arial"/>
              </w:rPr>
              <w:t>Хеморагичен корпус лутеум/хеморагична овариална киста</w:t>
            </w:r>
          </w:p>
        </w:tc>
      </w:tr>
      <w:tr w:rsidR="007552C9" w14:paraId="4CA9951B" w14:textId="77777777" w:rsidTr="007552C9">
        <w:tc>
          <w:tcPr>
            <w:tcW w:w="9350" w:type="dxa"/>
            <w:gridSpan w:val="2"/>
          </w:tcPr>
          <w:p w14:paraId="268B64DF" w14:textId="2C90ECAD" w:rsidR="007552C9" w:rsidRPr="00385AFF" w:rsidRDefault="00385AFF" w:rsidP="0091385D">
            <w:pPr>
              <w:rPr>
                <w:rFonts w:cs="Arial"/>
              </w:rPr>
            </w:pPr>
            <w:r w:rsidRPr="00385AFF">
              <w:rPr>
                <w:rFonts w:cs="Arial"/>
                <w:b/>
                <w:bCs/>
              </w:rPr>
              <w:t>Общи нарушения и ефекти на мястото на приложение</w:t>
            </w:r>
          </w:p>
        </w:tc>
      </w:tr>
      <w:tr w:rsidR="007552C9" w14:paraId="63ADDDB8" w14:textId="77777777" w:rsidTr="007552C9">
        <w:tc>
          <w:tcPr>
            <w:tcW w:w="4675" w:type="dxa"/>
          </w:tcPr>
          <w:p w14:paraId="20C9FB56" w14:textId="6791C4CD" w:rsidR="007552C9" w:rsidRPr="00385AFF" w:rsidRDefault="007552C9" w:rsidP="007552C9">
            <w:pPr>
              <w:rPr>
                <w:rFonts w:cs="Arial"/>
              </w:rPr>
            </w:pPr>
            <w:r w:rsidRPr="00385AFF">
              <w:rPr>
                <w:rFonts w:cs="Arial"/>
                <w:i/>
                <w:iCs/>
              </w:rPr>
              <w:t>Много чести:</w:t>
            </w:r>
          </w:p>
        </w:tc>
        <w:tc>
          <w:tcPr>
            <w:tcW w:w="4675" w:type="dxa"/>
          </w:tcPr>
          <w:p w14:paraId="7FBBD380" w14:textId="5E37CE54" w:rsidR="007552C9" w:rsidRPr="00385AFF" w:rsidRDefault="007552C9" w:rsidP="007552C9">
            <w:pPr>
              <w:rPr>
                <w:rFonts w:cs="Arial"/>
              </w:rPr>
            </w:pPr>
            <w:r w:rsidRPr="00385AFF">
              <w:rPr>
                <w:rFonts w:cs="Arial"/>
              </w:rPr>
              <w:t>Задръжка на течности и оток, умора</w:t>
            </w:r>
          </w:p>
        </w:tc>
      </w:tr>
      <w:tr w:rsidR="007552C9" w14:paraId="68556197" w14:textId="77777777" w:rsidTr="007552C9">
        <w:tc>
          <w:tcPr>
            <w:tcW w:w="4675" w:type="dxa"/>
          </w:tcPr>
          <w:p w14:paraId="201FBE60" w14:textId="1DF34EE6" w:rsidR="007552C9" w:rsidRPr="00385AFF" w:rsidRDefault="007552C9" w:rsidP="007552C9">
            <w:pPr>
              <w:rPr>
                <w:rFonts w:cs="Arial"/>
              </w:rPr>
            </w:pPr>
            <w:r w:rsidRPr="00385AFF">
              <w:rPr>
                <w:rFonts w:cs="Arial"/>
                <w:i/>
                <w:iCs/>
              </w:rPr>
              <w:t>Чести:</w:t>
            </w:r>
          </w:p>
        </w:tc>
        <w:tc>
          <w:tcPr>
            <w:tcW w:w="4675" w:type="dxa"/>
          </w:tcPr>
          <w:p w14:paraId="7CD73D3E" w14:textId="1A2693FD" w:rsidR="007552C9" w:rsidRPr="00385AFF" w:rsidRDefault="007552C9" w:rsidP="007552C9">
            <w:pPr>
              <w:rPr>
                <w:rFonts w:cs="Arial"/>
              </w:rPr>
            </w:pPr>
            <w:r w:rsidRPr="00385AFF">
              <w:rPr>
                <w:rFonts w:cs="Arial"/>
              </w:rPr>
              <w:t>Слабост, пирексия, аназарка, втрисане, скованост</w:t>
            </w:r>
          </w:p>
        </w:tc>
      </w:tr>
      <w:tr w:rsidR="007552C9" w14:paraId="0CB2670F" w14:textId="77777777" w:rsidTr="007552C9">
        <w:tc>
          <w:tcPr>
            <w:tcW w:w="4675" w:type="dxa"/>
          </w:tcPr>
          <w:p w14:paraId="2E8DD79E" w14:textId="550820DC" w:rsidR="007552C9" w:rsidRPr="00385AFF" w:rsidRDefault="007552C9" w:rsidP="007552C9">
            <w:pPr>
              <w:rPr>
                <w:rFonts w:cs="Arial"/>
              </w:rPr>
            </w:pPr>
            <w:r w:rsidRPr="00385AFF">
              <w:rPr>
                <w:rFonts w:cs="Arial"/>
                <w:i/>
                <w:iCs/>
              </w:rPr>
              <w:t>Нечести:</w:t>
            </w:r>
          </w:p>
        </w:tc>
        <w:tc>
          <w:tcPr>
            <w:tcW w:w="4675" w:type="dxa"/>
          </w:tcPr>
          <w:p w14:paraId="1295823F" w14:textId="33E16A7E" w:rsidR="007552C9" w:rsidRPr="00385AFF" w:rsidRDefault="007552C9" w:rsidP="007552C9">
            <w:pPr>
              <w:rPr>
                <w:rFonts w:cs="Arial"/>
              </w:rPr>
            </w:pPr>
            <w:r w:rsidRPr="00385AFF">
              <w:rPr>
                <w:rFonts w:cs="Arial"/>
              </w:rPr>
              <w:t>Болка в гърдите, прималяване</w:t>
            </w:r>
          </w:p>
        </w:tc>
      </w:tr>
      <w:tr w:rsidR="007552C9" w14:paraId="109D12F1" w14:textId="77777777" w:rsidTr="007552C9">
        <w:tc>
          <w:tcPr>
            <w:tcW w:w="9350" w:type="dxa"/>
            <w:gridSpan w:val="2"/>
          </w:tcPr>
          <w:p w14:paraId="2DD64836" w14:textId="187C88CF" w:rsidR="007552C9" w:rsidRPr="00385AFF" w:rsidRDefault="00385AFF" w:rsidP="0091385D">
            <w:pPr>
              <w:rPr>
                <w:rFonts w:cs="Arial"/>
              </w:rPr>
            </w:pPr>
            <w:r w:rsidRPr="00385AFF">
              <w:rPr>
                <w:rFonts w:cs="Arial"/>
                <w:b/>
                <w:bCs/>
              </w:rPr>
              <w:t>Изследвания</w:t>
            </w:r>
          </w:p>
        </w:tc>
      </w:tr>
      <w:tr w:rsidR="007552C9" w14:paraId="3DA1E165" w14:textId="77777777" w:rsidTr="007552C9">
        <w:tc>
          <w:tcPr>
            <w:tcW w:w="4675" w:type="dxa"/>
          </w:tcPr>
          <w:p w14:paraId="74EC5A6D" w14:textId="1DCB0DC3" w:rsidR="007552C9" w:rsidRPr="00385AFF" w:rsidRDefault="007552C9" w:rsidP="007552C9">
            <w:pPr>
              <w:rPr>
                <w:rFonts w:cs="Arial"/>
              </w:rPr>
            </w:pPr>
            <w:r w:rsidRPr="00385AFF">
              <w:rPr>
                <w:rFonts w:cs="Arial"/>
                <w:i/>
                <w:iCs/>
              </w:rPr>
              <w:t>Много чести:</w:t>
            </w:r>
          </w:p>
        </w:tc>
        <w:tc>
          <w:tcPr>
            <w:tcW w:w="4675" w:type="dxa"/>
          </w:tcPr>
          <w:p w14:paraId="2A55EE40" w14:textId="11DBB8BA" w:rsidR="007552C9" w:rsidRPr="00385AFF" w:rsidRDefault="007552C9" w:rsidP="007552C9">
            <w:pPr>
              <w:rPr>
                <w:rFonts w:cs="Arial"/>
              </w:rPr>
            </w:pPr>
            <w:r w:rsidRPr="00385AFF">
              <w:rPr>
                <w:rFonts w:cs="Arial"/>
              </w:rPr>
              <w:t>Повишаване на телесното тегло</w:t>
            </w:r>
          </w:p>
        </w:tc>
      </w:tr>
      <w:tr w:rsidR="007552C9" w14:paraId="182DE7A4" w14:textId="77777777" w:rsidTr="007552C9">
        <w:tc>
          <w:tcPr>
            <w:tcW w:w="4675" w:type="dxa"/>
          </w:tcPr>
          <w:p w14:paraId="0650B8DC" w14:textId="354A649A" w:rsidR="007552C9" w:rsidRPr="00385AFF" w:rsidRDefault="007552C9" w:rsidP="007552C9">
            <w:pPr>
              <w:rPr>
                <w:rFonts w:cs="Arial"/>
              </w:rPr>
            </w:pPr>
            <w:r w:rsidRPr="00385AFF">
              <w:rPr>
                <w:rFonts w:cs="Arial"/>
                <w:i/>
                <w:iCs/>
              </w:rPr>
              <w:t>Чести:</w:t>
            </w:r>
          </w:p>
        </w:tc>
        <w:tc>
          <w:tcPr>
            <w:tcW w:w="4675" w:type="dxa"/>
          </w:tcPr>
          <w:p w14:paraId="61D0893E" w14:textId="02024828" w:rsidR="007552C9" w:rsidRPr="00385AFF" w:rsidRDefault="007552C9" w:rsidP="007552C9">
            <w:pPr>
              <w:rPr>
                <w:rFonts w:cs="Arial"/>
              </w:rPr>
            </w:pPr>
            <w:r w:rsidRPr="00385AFF">
              <w:rPr>
                <w:rFonts w:cs="Arial"/>
              </w:rPr>
              <w:t>Понижаване на телесното тегло</w:t>
            </w:r>
          </w:p>
        </w:tc>
      </w:tr>
      <w:tr w:rsidR="007552C9" w14:paraId="152F3DC1" w14:textId="77777777" w:rsidTr="007552C9">
        <w:tc>
          <w:tcPr>
            <w:tcW w:w="4675" w:type="dxa"/>
          </w:tcPr>
          <w:p w14:paraId="341C496F" w14:textId="2C96E2B3" w:rsidR="007552C9" w:rsidRPr="00385AFF" w:rsidRDefault="007552C9" w:rsidP="007552C9">
            <w:pPr>
              <w:rPr>
                <w:rFonts w:cs="Arial"/>
              </w:rPr>
            </w:pPr>
            <w:r w:rsidRPr="00385AFF">
              <w:rPr>
                <w:rFonts w:cs="Arial"/>
                <w:i/>
                <w:iCs/>
              </w:rPr>
              <w:t>Нечести:</w:t>
            </w:r>
          </w:p>
        </w:tc>
        <w:tc>
          <w:tcPr>
            <w:tcW w:w="4675" w:type="dxa"/>
          </w:tcPr>
          <w:p w14:paraId="3C39EC69" w14:textId="3383C166" w:rsidR="007552C9" w:rsidRPr="00385AFF" w:rsidRDefault="007552C9" w:rsidP="007552C9">
            <w:pPr>
              <w:rPr>
                <w:rFonts w:cs="Arial"/>
              </w:rPr>
            </w:pPr>
            <w:r w:rsidRPr="00385AFF">
              <w:rPr>
                <w:rFonts w:cs="Arial"/>
              </w:rPr>
              <w:t>Повишен креатинин в кръвта, повишение на креатинин фосфокиназата в кръвта, повишение на лактат дехидрогеназата в кръвта, повишаване на алкалната фосфатаза в кръвта</w:t>
            </w:r>
          </w:p>
        </w:tc>
      </w:tr>
      <w:tr w:rsidR="007552C9" w14:paraId="205E1EC7" w14:textId="77777777" w:rsidTr="007552C9">
        <w:tc>
          <w:tcPr>
            <w:tcW w:w="4675" w:type="dxa"/>
          </w:tcPr>
          <w:p w14:paraId="5060E523" w14:textId="609F44C3" w:rsidR="007552C9" w:rsidRPr="00385AFF" w:rsidRDefault="007552C9" w:rsidP="007552C9">
            <w:pPr>
              <w:rPr>
                <w:rFonts w:cs="Arial"/>
              </w:rPr>
            </w:pPr>
            <w:r w:rsidRPr="00385AFF">
              <w:rPr>
                <w:rFonts w:cs="Arial"/>
                <w:i/>
                <w:iCs/>
              </w:rPr>
              <w:t>Редки:</w:t>
            </w:r>
          </w:p>
        </w:tc>
        <w:tc>
          <w:tcPr>
            <w:tcW w:w="4675" w:type="dxa"/>
          </w:tcPr>
          <w:p w14:paraId="30434941" w14:textId="591DDD75" w:rsidR="007552C9" w:rsidRPr="00385AFF" w:rsidRDefault="007552C9" w:rsidP="007552C9">
            <w:pPr>
              <w:rPr>
                <w:rFonts w:cs="Arial"/>
              </w:rPr>
            </w:pPr>
            <w:r w:rsidRPr="00385AFF">
              <w:rPr>
                <w:rFonts w:cs="Arial"/>
              </w:rPr>
              <w:t>Повишение на амилазата в кръвта</w:t>
            </w:r>
          </w:p>
        </w:tc>
      </w:tr>
    </w:tbl>
    <w:p w14:paraId="37C92881" w14:textId="55CF7BCD" w:rsidR="007552C9" w:rsidRDefault="007552C9" w:rsidP="0091385D"/>
    <w:p w14:paraId="2A581179" w14:textId="30C34550" w:rsidR="007552C9" w:rsidRPr="007552C9" w:rsidRDefault="007552C9" w:rsidP="007552C9">
      <w:pPr>
        <w:spacing w:line="240" w:lineRule="auto"/>
        <w:rPr>
          <w:rFonts w:eastAsia="Times New Roman" w:cs="Arial"/>
          <w:color w:val="000000"/>
          <w:lang w:eastAsia="bg-BG"/>
        </w:rPr>
      </w:pPr>
      <w:r w:rsidRPr="007552C9">
        <w:rPr>
          <w:rFonts w:eastAsia="Times New Roman" w:cs="Arial"/>
          <w:color w:val="000000"/>
          <w:lang w:eastAsia="bg-BG"/>
        </w:rPr>
        <w:t>*Тези видове реакции са били съобщени предимно по време на постмаркетинговия опит с иматиниб. Включват се както спонтанни съобщения, така и сериозни нежелани събития от текущи проучвания, от програми с разширен достъп, клинични фармакологични проучвания и експлораторни проучвания при неодобрени показания. Тъй като тези реакции са съобщени при популация с неопределен размер, не винаги е възможно да се оцени тяхната честота или причинно-следствената връзка с експозицията на иматиниб.</w:t>
      </w:r>
    </w:p>
    <w:p w14:paraId="4E46CBF4" w14:textId="77777777" w:rsidR="007552C9" w:rsidRPr="007552C9" w:rsidRDefault="007552C9" w:rsidP="007552C9">
      <w:pPr>
        <w:spacing w:line="240" w:lineRule="auto"/>
        <w:rPr>
          <w:rFonts w:eastAsia="Times New Roman" w:cs="Arial"/>
          <w:sz w:val="24"/>
          <w:szCs w:val="24"/>
          <w:lang w:eastAsia="bg-BG"/>
        </w:rPr>
      </w:pPr>
    </w:p>
    <w:p w14:paraId="5568B802" w14:textId="77777777" w:rsidR="007552C9" w:rsidRPr="007552C9" w:rsidRDefault="007552C9" w:rsidP="007552C9">
      <w:pPr>
        <w:spacing w:line="240" w:lineRule="auto"/>
        <w:rPr>
          <w:rFonts w:eastAsia="Times New Roman" w:cs="Arial"/>
          <w:color w:val="000000"/>
          <w:lang w:eastAsia="bg-BG"/>
        </w:rPr>
      </w:pPr>
      <w:r w:rsidRPr="007552C9">
        <w:rPr>
          <w:rFonts w:eastAsia="Times New Roman" w:cs="Arial"/>
          <w:color w:val="000000"/>
          <w:lang w:val="en-US" w:eastAsia="bg-BG"/>
        </w:rPr>
        <w:t xml:space="preserve">1. </w:t>
      </w:r>
      <w:r w:rsidRPr="007552C9">
        <w:rPr>
          <w:rFonts w:eastAsia="Times New Roman" w:cs="Arial"/>
          <w:color w:val="000000"/>
          <w:lang w:eastAsia="bg-BG"/>
        </w:rPr>
        <w:t xml:space="preserve">За пневмония се съобщава най-често при пациенти с трансформирана ХМЛ и при пациенти с </w:t>
      </w:r>
      <w:r w:rsidRPr="007552C9">
        <w:rPr>
          <w:rFonts w:eastAsia="Times New Roman" w:cs="Arial"/>
          <w:color w:val="000000"/>
          <w:lang w:val="en-US"/>
        </w:rPr>
        <w:t>GIST.</w:t>
      </w:r>
    </w:p>
    <w:p w14:paraId="1684C3B8" w14:textId="6F0E1A50" w:rsidR="007552C9" w:rsidRPr="007552C9" w:rsidRDefault="007552C9" w:rsidP="007552C9">
      <w:pPr>
        <w:spacing w:line="240" w:lineRule="auto"/>
        <w:rPr>
          <w:rFonts w:eastAsia="Times New Roman" w:cs="Arial"/>
          <w:color w:val="000000"/>
          <w:lang w:eastAsia="bg-BG"/>
        </w:rPr>
      </w:pPr>
      <w:r w:rsidRPr="007552C9">
        <w:rPr>
          <w:rFonts w:eastAsia="Times New Roman" w:cs="Arial"/>
          <w:color w:val="000000"/>
          <w:lang w:val="en-US" w:eastAsia="bg-BG"/>
        </w:rPr>
        <w:t xml:space="preserve">2. </w:t>
      </w:r>
      <w:r w:rsidRPr="007552C9">
        <w:rPr>
          <w:rFonts w:eastAsia="Times New Roman" w:cs="Arial"/>
          <w:color w:val="000000"/>
          <w:lang w:eastAsia="bg-BG"/>
        </w:rPr>
        <w:t xml:space="preserve">Главоболието е най-често при пациенти с </w:t>
      </w:r>
      <w:r w:rsidRPr="007552C9">
        <w:rPr>
          <w:rFonts w:eastAsia="Times New Roman" w:cs="Arial"/>
          <w:color w:val="000000"/>
          <w:lang w:val="en-US"/>
        </w:rPr>
        <w:t>GIST.</w:t>
      </w:r>
    </w:p>
    <w:p w14:paraId="6A8299C3" w14:textId="07C33D5D" w:rsidR="007552C9" w:rsidRPr="007552C9" w:rsidRDefault="007552C9" w:rsidP="007552C9">
      <w:pPr>
        <w:spacing w:line="240" w:lineRule="auto"/>
        <w:rPr>
          <w:rFonts w:eastAsia="Times New Roman" w:cs="Arial"/>
          <w:color w:val="000000"/>
          <w:lang w:eastAsia="bg-BG"/>
        </w:rPr>
      </w:pPr>
      <w:r w:rsidRPr="007552C9">
        <w:rPr>
          <w:rFonts w:eastAsia="Times New Roman" w:cs="Arial"/>
          <w:color w:val="000000"/>
          <w:lang w:val="en-US" w:eastAsia="bg-BG"/>
        </w:rPr>
        <w:t xml:space="preserve">3. </w:t>
      </w:r>
      <w:r w:rsidRPr="007552C9">
        <w:rPr>
          <w:rFonts w:eastAsia="Times New Roman" w:cs="Arial"/>
          <w:color w:val="000000"/>
          <w:lang w:eastAsia="bg-BG"/>
        </w:rPr>
        <w:t>Въз основа на пациентогодини, сърдечните събития включително застойната сърдечна</w:t>
      </w:r>
    </w:p>
    <w:p w14:paraId="6EE9CD02" w14:textId="77777777" w:rsidR="007552C9" w:rsidRPr="007552C9" w:rsidRDefault="007552C9" w:rsidP="007552C9">
      <w:pPr>
        <w:spacing w:line="240" w:lineRule="auto"/>
        <w:rPr>
          <w:rFonts w:eastAsia="Times New Roman" w:cs="Arial"/>
          <w:sz w:val="24"/>
          <w:szCs w:val="24"/>
          <w:lang w:eastAsia="bg-BG"/>
        </w:rPr>
      </w:pPr>
      <w:r w:rsidRPr="007552C9">
        <w:rPr>
          <w:rFonts w:eastAsia="Times New Roman" w:cs="Arial"/>
          <w:color w:val="000000"/>
          <w:lang w:eastAsia="bg-BG"/>
        </w:rPr>
        <w:t>недостатъчност са наблюдавани по-често при пациенти с трансформирана отколкото при пациенти с хронична ХМЛ.</w:t>
      </w:r>
    </w:p>
    <w:p w14:paraId="704C0551" w14:textId="4BCA9554" w:rsidR="007552C9" w:rsidRPr="007552C9" w:rsidRDefault="007552C9" w:rsidP="007552C9">
      <w:pPr>
        <w:spacing w:line="240" w:lineRule="auto"/>
        <w:rPr>
          <w:rFonts w:eastAsia="Times New Roman" w:cs="Arial"/>
          <w:sz w:val="24"/>
          <w:szCs w:val="24"/>
          <w:lang w:eastAsia="bg-BG"/>
        </w:rPr>
      </w:pPr>
      <w:r w:rsidRPr="007552C9">
        <w:rPr>
          <w:rFonts w:eastAsia="Times New Roman" w:cs="Arial"/>
          <w:color w:val="000000"/>
          <w:lang w:val="en-US" w:eastAsia="bg-BG"/>
        </w:rPr>
        <w:t xml:space="preserve">4. </w:t>
      </w:r>
      <w:r w:rsidRPr="007552C9">
        <w:rPr>
          <w:rFonts w:eastAsia="Times New Roman" w:cs="Arial"/>
          <w:color w:val="000000"/>
          <w:lang w:eastAsia="bg-BG"/>
        </w:rPr>
        <w:t xml:space="preserve">Зачервяването е най-често при пациентите с </w:t>
      </w:r>
      <w:r w:rsidRPr="007552C9">
        <w:rPr>
          <w:rFonts w:eastAsia="Times New Roman" w:cs="Arial"/>
          <w:color w:val="000000"/>
          <w:lang w:val="en-US"/>
        </w:rPr>
        <w:t xml:space="preserve">GIST, </w:t>
      </w:r>
      <w:r w:rsidRPr="007552C9">
        <w:rPr>
          <w:rFonts w:eastAsia="Times New Roman" w:cs="Arial"/>
          <w:color w:val="000000"/>
          <w:lang w:eastAsia="bg-BG"/>
        </w:rPr>
        <w:t>а кървенето (хематом, хеморагия)</w:t>
      </w:r>
      <w:r w:rsidRPr="007552C9">
        <w:rPr>
          <w:rFonts w:eastAsia="Times New Roman" w:cs="Arial"/>
          <w:color w:val="000000"/>
          <w:lang w:val="en-US"/>
        </w:rPr>
        <w:t xml:space="preserve"> </w:t>
      </w:r>
      <w:proofErr w:type="gramStart"/>
      <w:r w:rsidRPr="007552C9">
        <w:rPr>
          <w:rFonts w:eastAsia="Times New Roman" w:cs="Arial"/>
          <w:color w:val="000000"/>
          <w:lang w:val="en-US"/>
        </w:rPr>
        <w:t>e</w:t>
      </w:r>
      <w:r w:rsidRPr="007552C9">
        <w:rPr>
          <w:rFonts w:eastAsia="Times New Roman" w:cs="Arial"/>
          <w:color w:val="000000"/>
          <w:lang w:eastAsia="bg-BG"/>
        </w:rPr>
        <w:t xml:space="preserve">  най</w:t>
      </w:r>
      <w:proofErr w:type="gramEnd"/>
      <w:r w:rsidRPr="007552C9">
        <w:rPr>
          <w:rFonts w:eastAsia="Times New Roman" w:cs="Arial"/>
          <w:color w:val="000000"/>
          <w:lang w:eastAsia="bg-BG"/>
        </w:rPr>
        <w:t xml:space="preserve">-често при пациенти с </w:t>
      </w:r>
      <w:r w:rsidRPr="007552C9">
        <w:rPr>
          <w:rFonts w:eastAsia="Times New Roman" w:cs="Arial"/>
          <w:color w:val="000000"/>
          <w:lang w:val="en-US"/>
        </w:rPr>
        <w:t xml:space="preserve">GIST </w:t>
      </w:r>
      <w:r w:rsidRPr="007552C9">
        <w:rPr>
          <w:rFonts w:eastAsia="Times New Roman" w:cs="Arial"/>
          <w:color w:val="000000"/>
          <w:lang w:eastAsia="bg-BG"/>
        </w:rPr>
        <w:t>и с трансформирана ХМЛ (ХМЛ</w:t>
      </w:r>
      <w:r w:rsidRPr="007552C9">
        <w:rPr>
          <w:rFonts w:eastAsia="Times New Roman" w:cs="Arial"/>
          <w:color w:val="000000"/>
          <w:lang w:val="en-US"/>
        </w:rPr>
        <w:t xml:space="preserve">-AP </w:t>
      </w:r>
      <w:r w:rsidRPr="007552C9">
        <w:rPr>
          <w:rFonts w:eastAsia="Times New Roman" w:cs="Arial"/>
          <w:color w:val="000000"/>
          <w:lang w:eastAsia="bg-BG"/>
        </w:rPr>
        <w:t>и</w:t>
      </w:r>
      <w:r w:rsidRPr="007552C9">
        <w:rPr>
          <w:rFonts w:eastAsia="Times New Roman" w:cs="Arial"/>
          <w:color w:val="000000"/>
          <w:lang w:val="en-US"/>
        </w:rPr>
        <w:t xml:space="preserve"> </w:t>
      </w:r>
      <w:r w:rsidRPr="007552C9">
        <w:rPr>
          <w:rFonts w:eastAsia="Times New Roman" w:cs="Arial"/>
          <w:color w:val="000000"/>
          <w:lang w:eastAsia="bg-BG"/>
        </w:rPr>
        <w:t>ХМЛ-ВС).</w:t>
      </w:r>
    </w:p>
    <w:p w14:paraId="13CD5A91" w14:textId="6CD3EB7D" w:rsidR="007552C9" w:rsidRPr="007552C9" w:rsidRDefault="007552C9" w:rsidP="007552C9">
      <w:pPr>
        <w:rPr>
          <w:rFonts w:cs="Arial"/>
        </w:rPr>
      </w:pPr>
      <w:r w:rsidRPr="007552C9">
        <w:rPr>
          <w:rFonts w:eastAsia="Times New Roman" w:cs="Arial"/>
          <w:color w:val="000000"/>
          <w:lang w:val="en-US" w:eastAsia="bg-BG"/>
        </w:rPr>
        <w:t xml:space="preserve">5. </w:t>
      </w:r>
      <w:r w:rsidRPr="007552C9">
        <w:rPr>
          <w:rFonts w:eastAsia="Times New Roman" w:cs="Arial"/>
          <w:color w:val="000000"/>
          <w:lang w:eastAsia="bg-BG"/>
        </w:rPr>
        <w:t xml:space="preserve">Плеврални изливи са съобщавани по-често при пациенти с </w:t>
      </w:r>
      <w:r w:rsidRPr="007552C9">
        <w:rPr>
          <w:rFonts w:eastAsia="Times New Roman" w:cs="Arial"/>
          <w:color w:val="000000"/>
          <w:lang w:val="en-US"/>
        </w:rPr>
        <w:t xml:space="preserve">GIST </w:t>
      </w:r>
      <w:r w:rsidRPr="007552C9">
        <w:rPr>
          <w:rFonts w:eastAsia="Times New Roman" w:cs="Arial"/>
          <w:color w:val="000000"/>
          <w:lang w:eastAsia="bg-BG"/>
        </w:rPr>
        <w:t>и при пациенти с трансформирана ХМЛ (ХМЛ</w:t>
      </w:r>
      <w:r w:rsidRPr="007552C9">
        <w:rPr>
          <w:rFonts w:eastAsia="Times New Roman" w:cs="Arial"/>
          <w:color w:val="000000"/>
          <w:lang w:val="en-US"/>
        </w:rPr>
        <w:t xml:space="preserve">-AP </w:t>
      </w:r>
      <w:r w:rsidRPr="007552C9">
        <w:rPr>
          <w:rFonts w:eastAsia="Times New Roman" w:cs="Arial"/>
          <w:color w:val="000000"/>
          <w:lang w:eastAsia="bg-BG"/>
        </w:rPr>
        <w:t>и ХМЛ-ВС), отколкото при пациенти с хронична ХМЛ.</w:t>
      </w:r>
    </w:p>
    <w:p w14:paraId="4A14BAEE" w14:textId="057349AF" w:rsidR="00385AFF" w:rsidRPr="00385AFF" w:rsidRDefault="00385AFF" w:rsidP="00385AFF">
      <w:pPr>
        <w:spacing w:line="240" w:lineRule="auto"/>
        <w:rPr>
          <w:rFonts w:eastAsia="Times New Roman" w:cs="Arial"/>
          <w:lang w:eastAsia="bg-BG"/>
        </w:rPr>
      </w:pPr>
      <w:r w:rsidRPr="00385AFF">
        <w:rPr>
          <w:rFonts w:eastAsia="Times New Roman" w:cs="Arial"/>
          <w:color w:val="000000"/>
          <w:lang w:eastAsia="bg-BG"/>
        </w:rPr>
        <w:t>6+7</w:t>
      </w:r>
      <w:r w:rsidRPr="00385AFF">
        <w:rPr>
          <w:rFonts w:eastAsia="Times New Roman" w:cs="Arial"/>
          <w:color w:val="000000"/>
          <w:lang w:val="en-US" w:eastAsia="bg-BG"/>
        </w:rPr>
        <w:t>.</w:t>
      </w:r>
      <w:r w:rsidRPr="00385AFF">
        <w:rPr>
          <w:rFonts w:eastAsia="Times New Roman" w:cs="Arial"/>
          <w:color w:val="000000"/>
          <w:lang w:eastAsia="bg-BG"/>
        </w:rPr>
        <w:t xml:space="preserve"> Коремна болка и стомашно-чревен кръвоизлив са наблюдавани най-често при пациенти с </w:t>
      </w:r>
      <w:r w:rsidRPr="00385AFF">
        <w:rPr>
          <w:rFonts w:eastAsia="Times New Roman" w:cs="Arial"/>
          <w:color w:val="000000"/>
          <w:lang w:val="en-US"/>
        </w:rPr>
        <w:t>GIST.</w:t>
      </w:r>
    </w:p>
    <w:p w14:paraId="185423F1" w14:textId="2AFD8C19" w:rsidR="00385AFF" w:rsidRPr="00385AFF" w:rsidRDefault="00385AFF" w:rsidP="00385AFF">
      <w:pPr>
        <w:spacing w:line="240" w:lineRule="auto"/>
        <w:rPr>
          <w:rFonts w:eastAsia="Times New Roman" w:cs="Arial"/>
          <w:color w:val="000000"/>
          <w:lang w:eastAsia="bg-BG"/>
        </w:rPr>
      </w:pPr>
      <w:r w:rsidRPr="00385AFF">
        <w:rPr>
          <w:rFonts w:eastAsia="Times New Roman" w:cs="Arial"/>
          <w:color w:val="000000"/>
          <w:lang w:val="en-US" w:eastAsia="bg-BG"/>
        </w:rPr>
        <w:t xml:space="preserve">8. </w:t>
      </w:r>
      <w:r w:rsidRPr="00385AFF">
        <w:rPr>
          <w:rFonts w:eastAsia="Times New Roman" w:cs="Arial"/>
          <w:color w:val="000000"/>
          <w:lang w:eastAsia="bg-BG"/>
        </w:rPr>
        <w:t>Съобщени са няколко фатални случая на чернодробна недостатъчност и чернодробна некроза.</w:t>
      </w:r>
    </w:p>
    <w:p w14:paraId="6EF3821B" w14:textId="1A947B76" w:rsidR="00385AFF" w:rsidRPr="00385AFF" w:rsidRDefault="00385AFF" w:rsidP="00385AFF">
      <w:pPr>
        <w:spacing w:line="240" w:lineRule="auto"/>
        <w:rPr>
          <w:rFonts w:eastAsia="Times New Roman" w:cs="Arial"/>
          <w:color w:val="000000"/>
          <w:lang w:eastAsia="bg-BG"/>
        </w:rPr>
      </w:pPr>
      <w:r w:rsidRPr="00385AFF">
        <w:rPr>
          <w:rFonts w:eastAsia="Times New Roman" w:cs="Arial"/>
          <w:color w:val="000000"/>
          <w:lang w:val="en-US" w:eastAsia="bg-BG"/>
        </w:rPr>
        <w:t xml:space="preserve">9. </w:t>
      </w:r>
      <w:r w:rsidRPr="00385AFF">
        <w:rPr>
          <w:rFonts w:eastAsia="Times New Roman" w:cs="Arial"/>
          <w:color w:val="000000"/>
          <w:lang w:eastAsia="bg-BG"/>
        </w:rPr>
        <w:t>Мускулно-скелетна болка по време на лечението с иматиниб или след преустановяването му е наблюдавана по време на постмаркетинговия период.</w:t>
      </w:r>
    </w:p>
    <w:p w14:paraId="0ED3306F" w14:textId="2C0A5265" w:rsidR="00385AFF" w:rsidRPr="00385AFF" w:rsidRDefault="00385AFF" w:rsidP="00385AFF">
      <w:pPr>
        <w:spacing w:line="240" w:lineRule="auto"/>
        <w:rPr>
          <w:rFonts w:eastAsia="Times New Roman" w:cs="Arial"/>
          <w:color w:val="000000"/>
          <w:lang w:eastAsia="bg-BG"/>
        </w:rPr>
      </w:pPr>
      <w:r w:rsidRPr="00385AFF">
        <w:rPr>
          <w:rFonts w:eastAsia="Times New Roman" w:cs="Arial"/>
          <w:color w:val="000000"/>
          <w:lang w:val="en-US" w:eastAsia="bg-BG"/>
        </w:rPr>
        <w:t xml:space="preserve">10. </w:t>
      </w:r>
      <w:r w:rsidRPr="00385AFF">
        <w:rPr>
          <w:rFonts w:eastAsia="Times New Roman" w:cs="Arial"/>
          <w:color w:val="000000"/>
          <w:lang w:eastAsia="bg-BG"/>
        </w:rPr>
        <w:t>Мускулно-скелетна болка и свързани с нея нежелани събития са наблюдавани по-често</w:t>
      </w:r>
    </w:p>
    <w:p w14:paraId="56F5D815" w14:textId="77777777" w:rsidR="00385AFF" w:rsidRPr="00385AFF" w:rsidRDefault="00385AFF" w:rsidP="00385AFF">
      <w:pPr>
        <w:spacing w:line="240" w:lineRule="auto"/>
        <w:rPr>
          <w:rFonts w:eastAsia="Times New Roman" w:cs="Arial"/>
          <w:lang w:eastAsia="bg-BG"/>
        </w:rPr>
      </w:pPr>
      <w:r w:rsidRPr="00385AFF">
        <w:rPr>
          <w:rFonts w:eastAsia="Times New Roman" w:cs="Arial"/>
          <w:color w:val="000000"/>
          <w:lang w:eastAsia="bg-BG"/>
        </w:rPr>
        <w:t xml:space="preserve">при пациенти с ХМЛ, отколкото при пациенти с </w:t>
      </w:r>
      <w:r w:rsidRPr="00385AFF">
        <w:rPr>
          <w:rFonts w:eastAsia="Times New Roman" w:cs="Arial"/>
          <w:color w:val="000000"/>
          <w:lang w:val="en-US"/>
        </w:rPr>
        <w:t>GIST.</w:t>
      </w:r>
    </w:p>
    <w:p w14:paraId="7BD72B62" w14:textId="214A3567" w:rsidR="007552C9" w:rsidRPr="00385AFF" w:rsidRDefault="00385AFF" w:rsidP="00385AFF">
      <w:pPr>
        <w:rPr>
          <w:rFonts w:cs="Arial"/>
        </w:rPr>
      </w:pPr>
      <w:r w:rsidRPr="00385AFF">
        <w:rPr>
          <w:rFonts w:eastAsia="Times New Roman" w:cs="Arial"/>
          <w:color w:val="000000"/>
          <w:lang w:val="en-US" w:eastAsia="bg-BG"/>
        </w:rPr>
        <w:t xml:space="preserve">11. </w:t>
      </w:r>
      <w:r w:rsidRPr="00385AFF">
        <w:rPr>
          <w:rFonts w:eastAsia="Times New Roman" w:cs="Arial"/>
          <w:color w:val="000000"/>
          <w:lang w:eastAsia="bg-BG"/>
        </w:rPr>
        <w:t>Фатални случаи са съобщени при пациенти с напреднало заболяване, тежки инфекции, тежка неутропения и други сериозни придружаващи състояния.</w:t>
      </w:r>
    </w:p>
    <w:p w14:paraId="57A09C1C" w14:textId="32DE69F5" w:rsidR="00385AFF" w:rsidRPr="00385AFF" w:rsidRDefault="00385AFF" w:rsidP="0091385D">
      <w:pPr>
        <w:rPr>
          <w:rFonts w:cs="Arial"/>
        </w:rPr>
      </w:pPr>
    </w:p>
    <w:p w14:paraId="51A9F3AD" w14:textId="77777777" w:rsidR="00385AFF" w:rsidRPr="00385AFF" w:rsidRDefault="00385AFF" w:rsidP="00385AFF">
      <w:pPr>
        <w:spacing w:line="240" w:lineRule="auto"/>
        <w:rPr>
          <w:rFonts w:eastAsia="Times New Roman" w:cs="Arial"/>
          <w:lang w:eastAsia="bg-BG"/>
        </w:rPr>
      </w:pPr>
      <w:r w:rsidRPr="00385AFF">
        <w:rPr>
          <w:rFonts w:eastAsia="Times New Roman" w:cs="Arial"/>
          <w:color w:val="000000"/>
          <w:u w:val="single"/>
          <w:lang w:eastAsia="bg-BG"/>
        </w:rPr>
        <w:t>Отклонения в лабораторните изследвания</w:t>
      </w:r>
    </w:p>
    <w:p w14:paraId="7FF60597" w14:textId="77777777" w:rsidR="00385AFF" w:rsidRPr="00385AFF" w:rsidRDefault="00385AFF" w:rsidP="00385AFF">
      <w:pPr>
        <w:spacing w:line="240" w:lineRule="auto"/>
        <w:rPr>
          <w:rFonts w:eastAsia="Times New Roman" w:cs="Arial"/>
          <w:lang w:eastAsia="bg-BG"/>
        </w:rPr>
      </w:pPr>
      <w:r w:rsidRPr="00385AFF">
        <w:rPr>
          <w:rFonts w:eastAsia="Times New Roman" w:cs="Arial"/>
          <w:i/>
          <w:iCs/>
          <w:color w:val="000000"/>
          <w:lang w:eastAsia="bg-BG"/>
        </w:rPr>
        <w:t>Хематология</w:t>
      </w:r>
    </w:p>
    <w:p w14:paraId="1C417894" w14:textId="77777777" w:rsidR="00385AFF" w:rsidRPr="00385AFF" w:rsidRDefault="00385AFF" w:rsidP="00385AFF">
      <w:pPr>
        <w:spacing w:line="240" w:lineRule="auto"/>
        <w:rPr>
          <w:rFonts w:eastAsia="Times New Roman" w:cs="Arial"/>
          <w:lang w:eastAsia="bg-BG"/>
        </w:rPr>
      </w:pPr>
      <w:r w:rsidRPr="00385AFF">
        <w:rPr>
          <w:rFonts w:eastAsia="Times New Roman" w:cs="Arial"/>
          <w:color w:val="000000"/>
          <w:lang w:eastAsia="bg-BG"/>
        </w:rPr>
        <w:lastRenderedPageBreak/>
        <w:t>Цитопениите при ХМЛ, особено неутропения и тромбоцитопения, са постоянна находка във всички проучвания, с предполагаемо по-висока честота при по-високи дози ≥</w:t>
      </w:r>
      <w:r w:rsidRPr="00385AFF">
        <w:rPr>
          <w:rFonts w:eastAsia="Times New Roman" w:cs="Arial"/>
          <w:color w:val="000000"/>
          <w:lang w:val="en-US"/>
        </w:rPr>
        <w:t xml:space="preserve"> </w:t>
      </w:r>
      <w:r w:rsidRPr="00385AFF">
        <w:rPr>
          <w:rFonts w:eastAsia="Times New Roman" w:cs="Arial"/>
          <w:color w:val="000000"/>
          <w:lang w:eastAsia="bg-BG"/>
        </w:rPr>
        <w:t>750 (фаза I проучване). Появата на цитопениите обаче е също така в ясна зависимост от стадия на заболяването. Честота на неутропениите степен 3 или 4 (АБН &lt;1,0 х 10</w:t>
      </w:r>
      <w:r w:rsidRPr="00385AFF">
        <w:rPr>
          <w:rFonts w:eastAsia="Times New Roman" w:cs="Arial"/>
          <w:color w:val="000000"/>
          <w:vertAlign w:val="superscript"/>
          <w:lang w:eastAsia="bg-BG"/>
        </w:rPr>
        <w:t>9</w:t>
      </w:r>
      <w:r w:rsidRPr="00385AFF">
        <w:rPr>
          <w:rFonts w:eastAsia="Times New Roman" w:cs="Arial"/>
          <w:color w:val="000000"/>
          <w:lang w:eastAsia="bg-BG"/>
        </w:rPr>
        <w:t>/</w:t>
      </w:r>
      <w:r w:rsidRPr="00385AFF">
        <w:rPr>
          <w:rFonts w:eastAsia="Times New Roman" w:cs="Arial"/>
          <w:color w:val="000000"/>
          <w:lang w:val="en-US"/>
        </w:rPr>
        <w:t>l</w:t>
      </w:r>
      <w:r w:rsidRPr="00385AFF">
        <w:rPr>
          <w:rFonts w:eastAsia="Times New Roman" w:cs="Arial"/>
          <w:color w:val="000000"/>
          <w:lang w:eastAsia="bg-BG"/>
        </w:rPr>
        <w:t>) и тромбоцитопениите (тромбоцитен брой &lt;50 х 10</w:t>
      </w:r>
      <w:r w:rsidRPr="00385AFF">
        <w:rPr>
          <w:rFonts w:eastAsia="Times New Roman" w:cs="Arial"/>
          <w:color w:val="000000"/>
          <w:vertAlign w:val="superscript"/>
          <w:lang w:eastAsia="bg-BG"/>
        </w:rPr>
        <w:t>9</w:t>
      </w:r>
      <w:r w:rsidRPr="00385AFF">
        <w:rPr>
          <w:rFonts w:eastAsia="Times New Roman" w:cs="Arial"/>
          <w:color w:val="000000"/>
          <w:lang w:eastAsia="bg-BG"/>
        </w:rPr>
        <w:t>/</w:t>
      </w:r>
      <w:r w:rsidRPr="00385AFF">
        <w:rPr>
          <w:rFonts w:eastAsia="Times New Roman" w:cs="Arial"/>
          <w:color w:val="000000"/>
          <w:lang w:val="en-US"/>
        </w:rPr>
        <w:t>l</w:t>
      </w:r>
      <w:r w:rsidRPr="00385AFF">
        <w:rPr>
          <w:rFonts w:eastAsia="Times New Roman" w:cs="Arial"/>
          <w:color w:val="000000"/>
          <w:lang w:eastAsia="bg-BG"/>
        </w:rPr>
        <w:t>) е между 4 и 6 пъти по-висока при бластна криза и фаза на акцелерация (59-64% и 44-63%, съответно за неутропенията и тромбоцитопенията) в сравнение с новодиагностицираните пациенти в хронична фаза на ХМЛ (16,7% неутропении и 8,9% тромбоцитопении). При новодиагностицирана хронична фаза на ХМЛ, неутропения степен 4 (АБН &lt;0,5 х 10</w:t>
      </w:r>
      <w:r w:rsidRPr="00385AFF">
        <w:rPr>
          <w:rFonts w:eastAsia="Times New Roman" w:cs="Arial"/>
          <w:color w:val="000000"/>
          <w:vertAlign w:val="superscript"/>
          <w:lang w:eastAsia="bg-BG"/>
        </w:rPr>
        <w:t>9</w:t>
      </w:r>
      <w:r w:rsidRPr="00385AFF">
        <w:rPr>
          <w:rFonts w:eastAsia="Times New Roman" w:cs="Arial"/>
          <w:color w:val="000000"/>
          <w:lang w:eastAsia="bg-BG"/>
        </w:rPr>
        <w:t>/</w:t>
      </w:r>
      <w:r w:rsidRPr="00385AFF">
        <w:rPr>
          <w:rFonts w:eastAsia="Times New Roman" w:cs="Arial"/>
          <w:color w:val="000000"/>
          <w:lang w:val="en-US"/>
        </w:rPr>
        <w:t>l</w:t>
      </w:r>
      <w:r w:rsidRPr="00385AFF">
        <w:rPr>
          <w:rFonts w:eastAsia="Times New Roman" w:cs="Arial"/>
          <w:color w:val="000000"/>
          <w:lang w:eastAsia="bg-BG"/>
        </w:rPr>
        <w:t>) и тромбоцитопения (тромбоцитен брой &lt;10 х 10</w:t>
      </w:r>
      <w:r w:rsidRPr="00385AFF">
        <w:rPr>
          <w:rFonts w:eastAsia="Times New Roman" w:cs="Arial"/>
          <w:color w:val="000000"/>
          <w:vertAlign w:val="superscript"/>
          <w:lang w:eastAsia="bg-BG"/>
        </w:rPr>
        <w:t>9</w:t>
      </w:r>
      <w:r w:rsidRPr="00385AFF">
        <w:rPr>
          <w:rFonts w:eastAsia="Times New Roman" w:cs="Arial"/>
          <w:color w:val="000000"/>
          <w:lang w:eastAsia="bg-BG"/>
        </w:rPr>
        <w:t>/</w:t>
      </w:r>
      <w:r w:rsidRPr="00385AFF">
        <w:rPr>
          <w:rFonts w:eastAsia="Times New Roman" w:cs="Arial"/>
          <w:color w:val="000000"/>
          <w:lang w:val="en-US"/>
        </w:rPr>
        <w:t>l</w:t>
      </w:r>
      <w:r w:rsidRPr="00385AFF">
        <w:rPr>
          <w:rFonts w:eastAsia="Times New Roman" w:cs="Arial"/>
          <w:color w:val="000000"/>
          <w:lang w:eastAsia="bg-BG"/>
        </w:rPr>
        <w:t>) се наблюдават съответно при 3,6% и &lt;1% от пациентите. Средната продължителност на епизодите на неутропения и тромбоцитопения обикновено варира съответно от 2 до 3 седмици, и от 3 до 4 седмици.</w:t>
      </w:r>
    </w:p>
    <w:p w14:paraId="16BB9006" w14:textId="77777777" w:rsidR="00385AFF" w:rsidRPr="00385AFF" w:rsidRDefault="00385AFF" w:rsidP="00385AFF">
      <w:pPr>
        <w:spacing w:line="240" w:lineRule="auto"/>
        <w:rPr>
          <w:rFonts w:eastAsia="Times New Roman" w:cs="Arial"/>
          <w:lang w:eastAsia="bg-BG"/>
        </w:rPr>
      </w:pPr>
      <w:r w:rsidRPr="00385AFF">
        <w:rPr>
          <w:rFonts w:eastAsia="Times New Roman" w:cs="Arial"/>
          <w:color w:val="000000"/>
          <w:lang w:eastAsia="bg-BG"/>
        </w:rPr>
        <w:t>Поведението при тези реакции обикновено включва или редуциране на дозата, или преустановяване на лечението с иматиниб, но в редки случаи може да се стигне до окончателно спиране на лечението. При пациенти с ХМЛ в детска възраст най-често наблюдаваните прояви на токсичност са цитопении степен 3 или 4, включващи неутропения, тромбоцитопения и анемия. Като цяло те настъпват през първите няколко месеца от лечението.</w:t>
      </w:r>
    </w:p>
    <w:p w14:paraId="26D2ED80" w14:textId="77777777" w:rsidR="00385AFF" w:rsidRPr="00385AFF" w:rsidRDefault="00385AFF" w:rsidP="00385AFF">
      <w:pPr>
        <w:spacing w:line="240" w:lineRule="auto"/>
        <w:rPr>
          <w:rFonts w:eastAsia="Times New Roman" w:cs="Arial"/>
          <w:color w:val="000000"/>
          <w:lang w:eastAsia="bg-BG"/>
        </w:rPr>
      </w:pPr>
    </w:p>
    <w:p w14:paraId="3490E9E2" w14:textId="7D93B6A6" w:rsidR="00385AFF" w:rsidRPr="00385AFF" w:rsidRDefault="00385AFF" w:rsidP="00385AFF">
      <w:pPr>
        <w:spacing w:line="240" w:lineRule="auto"/>
        <w:rPr>
          <w:rFonts w:eastAsia="Times New Roman" w:cs="Arial"/>
          <w:lang w:eastAsia="bg-BG"/>
        </w:rPr>
      </w:pPr>
      <w:r w:rsidRPr="00385AFF">
        <w:rPr>
          <w:rFonts w:eastAsia="Times New Roman" w:cs="Arial"/>
          <w:color w:val="000000"/>
          <w:lang w:eastAsia="bg-BG"/>
        </w:rPr>
        <w:t>В проучване при пациенти с неподлежащи на резекция и/или метастатични ГИСТ, степен 3 и 4, анемия се съобщава съответно при 5,4% и 0,7% от пациентите, и може би е свързана с гастроинтестиналното или вътре туморното кървене при някой от тези пациенти. Неутропения степен 3 и 4 се наблюдава съответно при 7,5% и 2,7% от пациентите, а степен 3 тромбоцитопения при 0,7% от пациентите. Пито един от пациентите не развива степен 4 тромбоцитопения. Понижението на общия левкоцитен и неутрофилен брой се проявява главно през първите шест седмици на лечението, със стойности, задържащи се относително стабилни след това.</w:t>
      </w:r>
    </w:p>
    <w:p w14:paraId="052BD4EA" w14:textId="77777777" w:rsidR="00385AFF" w:rsidRPr="00385AFF" w:rsidRDefault="00385AFF" w:rsidP="00385AFF">
      <w:pPr>
        <w:spacing w:line="240" w:lineRule="auto"/>
        <w:rPr>
          <w:rFonts w:eastAsia="Times New Roman" w:cs="Arial"/>
          <w:i/>
          <w:iCs/>
          <w:color w:val="000000"/>
          <w:lang w:eastAsia="bg-BG"/>
        </w:rPr>
      </w:pPr>
    </w:p>
    <w:p w14:paraId="36694351" w14:textId="171469CE" w:rsidR="00385AFF" w:rsidRPr="00385AFF" w:rsidRDefault="00385AFF" w:rsidP="00385AFF">
      <w:pPr>
        <w:spacing w:line="240" w:lineRule="auto"/>
        <w:rPr>
          <w:rFonts w:eastAsia="Times New Roman" w:cs="Arial"/>
          <w:lang w:eastAsia="bg-BG"/>
        </w:rPr>
      </w:pPr>
      <w:r w:rsidRPr="00385AFF">
        <w:rPr>
          <w:rFonts w:eastAsia="Times New Roman" w:cs="Arial"/>
          <w:i/>
          <w:iCs/>
          <w:color w:val="000000"/>
          <w:lang w:eastAsia="bg-BG"/>
        </w:rPr>
        <w:t>Биохимия</w:t>
      </w:r>
    </w:p>
    <w:p w14:paraId="7F484773" w14:textId="77777777" w:rsidR="00385AFF" w:rsidRPr="00385AFF" w:rsidRDefault="00385AFF" w:rsidP="00385AFF">
      <w:pPr>
        <w:spacing w:line="240" w:lineRule="auto"/>
        <w:rPr>
          <w:rFonts w:eastAsia="Times New Roman" w:cs="Arial"/>
          <w:lang w:eastAsia="bg-BG"/>
        </w:rPr>
      </w:pPr>
      <w:r w:rsidRPr="00385AFF">
        <w:rPr>
          <w:rFonts w:eastAsia="Times New Roman" w:cs="Arial"/>
          <w:color w:val="000000"/>
          <w:lang w:eastAsia="bg-BG"/>
        </w:rPr>
        <w:t xml:space="preserve">Значителното повишение на трансаминазите (&lt;5%) или билирубина (&lt;1%) се наблюдава при пациенти с ХМЛ и обикновено се овладява с намаляване на дозата или с прекъсване на лечението (средната продължителност на тези епизоди е приблизително една седмица). Лечението се прекратява окончателно поради отклонение в чернодробните показатели при по- малко от 1% от пациентите с ХМЛ. При пациентите с ГИСТ (проучване В2222) са наблюдавани повишаване на честотата на степен 3 или 4 повишение на </w:t>
      </w:r>
      <w:r w:rsidRPr="00385AFF">
        <w:rPr>
          <w:rFonts w:eastAsia="Times New Roman" w:cs="Arial"/>
          <w:color w:val="000000"/>
          <w:lang w:val="en-US"/>
        </w:rPr>
        <w:t xml:space="preserve">ALT </w:t>
      </w:r>
      <w:r w:rsidRPr="00385AFF">
        <w:rPr>
          <w:rFonts w:eastAsia="Times New Roman" w:cs="Arial"/>
          <w:color w:val="000000"/>
          <w:lang w:eastAsia="bg-BG"/>
        </w:rPr>
        <w:t xml:space="preserve">(аланин аминотрансфераза) при 6,8%, а на степен 3 или 4 повишение на </w:t>
      </w:r>
      <w:r w:rsidRPr="00385AFF">
        <w:rPr>
          <w:rFonts w:eastAsia="Times New Roman" w:cs="Arial"/>
          <w:color w:val="000000"/>
          <w:lang w:val="en-US"/>
        </w:rPr>
        <w:t xml:space="preserve">AST </w:t>
      </w:r>
      <w:r w:rsidRPr="00385AFF">
        <w:rPr>
          <w:rFonts w:eastAsia="Times New Roman" w:cs="Arial"/>
          <w:color w:val="000000"/>
          <w:lang w:eastAsia="bg-BG"/>
        </w:rPr>
        <w:t>(аспартат аминотрансфераза) при 4,8%.</w:t>
      </w:r>
    </w:p>
    <w:p w14:paraId="12E9FC7E" w14:textId="77777777" w:rsidR="00385AFF" w:rsidRPr="00385AFF" w:rsidRDefault="00385AFF" w:rsidP="00385AFF">
      <w:pPr>
        <w:spacing w:line="240" w:lineRule="auto"/>
        <w:rPr>
          <w:rFonts w:eastAsia="Times New Roman" w:cs="Arial"/>
          <w:lang w:eastAsia="bg-BG"/>
        </w:rPr>
      </w:pPr>
      <w:r w:rsidRPr="00385AFF">
        <w:rPr>
          <w:rFonts w:eastAsia="Times New Roman" w:cs="Arial"/>
          <w:color w:val="000000"/>
          <w:lang w:eastAsia="bg-BG"/>
        </w:rPr>
        <w:t>Повишаването на билирубина е при по-малко от 3%.</w:t>
      </w:r>
    </w:p>
    <w:p w14:paraId="3E4C7AEB" w14:textId="77777777" w:rsidR="00385AFF" w:rsidRPr="00385AFF" w:rsidRDefault="00385AFF" w:rsidP="00385AFF">
      <w:pPr>
        <w:spacing w:line="240" w:lineRule="auto"/>
        <w:rPr>
          <w:rFonts w:eastAsia="Times New Roman" w:cs="Arial"/>
          <w:color w:val="000000"/>
          <w:lang w:eastAsia="bg-BG"/>
        </w:rPr>
      </w:pPr>
    </w:p>
    <w:p w14:paraId="35882F09" w14:textId="47CDD40B" w:rsidR="00385AFF" w:rsidRPr="00385AFF" w:rsidRDefault="00385AFF" w:rsidP="00385AFF">
      <w:pPr>
        <w:spacing w:line="240" w:lineRule="auto"/>
        <w:rPr>
          <w:rFonts w:eastAsia="Times New Roman" w:cs="Arial"/>
          <w:lang w:eastAsia="bg-BG"/>
        </w:rPr>
      </w:pPr>
      <w:r w:rsidRPr="00385AFF">
        <w:rPr>
          <w:rFonts w:eastAsia="Times New Roman" w:cs="Arial"/>
          <w:color w:val="000000"/>
          <w:lang w:eastAsia="bg-BG"/>
        </w:rPr>
        <w:t>Има случаи на цитолитичен и холестатичен хепатит и чернодробна недостатъчност, като при някои от тях изходът е бил фатален, включително и един пациент с прием на висока доза на парацетамол.</w:t>
      </w:r>
    </w:p>
    <w:p w14:paraId="44814E20" w14:textId="77777777" w:rsidR="00385AFF" w:rsidRPr="00385AFF" w:rsidRDefault="00385AFF" w:rsidP="00385AFF">
      <w:pPr>
        <w:spacing w:line="240" w:lineRule="auto"/>
        <w:rPr>
          <w:rFonts w:eastAsia="Times New Roman" w:cs="Arial"/>
          <w:lang w:eastAsia="bg-BG"/>
        </w:rPr>
      </w:pPr>
    </w:p>
    <w:p w14:paraId="2F9F0402" w14:textId="77777777" w:rsidR="00385AFF" w:rsidRPr="00385AFF" w:rsidRDefault="00385AFF" w:rsidP="00385AFF">
      <w:pPr>
        <w:spacing w:line="240" w:lineRule="auto"/>
        <w:rPr>
          <w:rFonts w:eastAsia="Times New Roman" w:cs="Arial"/>
          <w:lang w:eastAsia="bg-BG"/>
        </w:rPr>
      </w:pPr>
      <w:r w:rsidRPr="00385AFF">
        <w:rPr>
          <w:rFonts w:eastAsia="Times New Roman" w:cs="Arial"/>
          <w:color w:val="000000"/>
          <w:u w:val="single"/>
          <w:lang w:eastAsia="bg-BG"/>
        </w:rPr>
        <w:t>Описание на избрани нежелани реакции:</w:t>
      </w:r>
    </w:p>
    <w:p w14:paraId="3E40517D" w14:textId="01678847" w:rsidR="00385AFF" w:rsidRPr="00385AFF" w:rsidRDefault="00385AFF" w:rsidP="00385AFF">
      <w:pPr>
        <w:spacing w:line="240" w:lineRule="auto"/>
        <w:rPr>
          <w:rFonts w:eastAsia="Times New Roman" w:cs="Arial"/>
          <w:lang w:eastAsia="bg-BG"/>
        </w:rPr>
      </w:pPr>
      <w:r w:rsidRPr="00385AFF">
        <w:rPr>
          <w:rFonts w:eastAsia="Times New Roman" w:cs="Arial"/>
          <w:color w:val="000000"/>
          <w:lang w:eastAsia="bg-BG"/>
        </w:rPr>
        <w:t xml:space="preserve">Реактивиране на хепатит В се съобщава във връзка с </w:t>
      </w:r>
      <w:r w:rsidRPr="00385AFF">
        <w:rPr>
          <w:rFonts w:eastAsia="Times New Roman" w:cs="Arial"/>
          <w:color w:val="000000"/>
          <w:lang w:val="en-US"/>
        </w:rPr>
        <w:t xml:space="preserve">BCR-ABL TKIs. </w:t>
      </w:r>
      <w:r w:rsidRPr="00385AFF">
        <w:rPr>
          <w:rFonts w:eastAsia="Times New Roman" w:cs="Arial"/>
          <w:color w:val="000000"/>
          <w:lang w:eastAsia="bg-BG"/>
        </w:rPr>
        <w:t>Някои случаи са довели</w:t>
      </w:r>
      <w:r>
        <w:rPr>
          <w:rFonts w:eastAsia="Times New Roman" w:cs="Arial"/>
          <w:lang w:val="en-US" w:eastAsia="bg-BG"/>
        </w:rPr>
        <w:t xml:space="preserve"> </w:t>
      </w:r>
      <w:r w:rsidRPr="00385AFF">
        <w:rPr>
          <w:rFonts w:eastAsia="Times New Roman" w:cs="Arial"/>
          <w:color w:val="000000"/>
          <w:lang w:eastAsia="bg-BG"/>
        </w:rPr>
        <w:t>до остра чернодробна недостатъчност или фулминантен хепатит, водещи до чернодробна</w:t>
      </w:r>
      <w:r w:rsidRPr="00385AFF">
        <w:rPr>
          <w:rFonts w:cs="Arial"/>
          <w:lang w:val="en-US"/>
        </w:rPr>
        <w:t xml:space="preserve"> </w:t>
      </w:r>
      <w:r w:rsidRPr="00385AFF">
        <w:rPr>
          <w:rFonts w:eastAsia="Times New Roman" w:cs="Arial"/>
          <w:color w:val="000000"/>
          <w:lang w:eastAsia="bg-BG"/>
        </w:rPr>
        <w:t>транс плантация или фатален изход (вж. точка 4.4).</w:t>
      </w:r>
    </w:p>
    <w:p w14:paraId="58374235" w14:textId="77777777" w:rsidR="00385AFF" w:rsidRPr="00385AFF" w:rsidRDefault="00385AFF" w:rsidP="00385AFF">
      <w:pPr>
        <w:spacing w:line="240" w:lineRule="auto"/>
        <w:rPr>
          <w:rFonts w:eastAsia="Times New Roman" w:cs="Arial"/>
          <w:color w:val="000000"/>
          <w:u w:val="single"/>
          <w:lang w:eastAsia="bg-BG"/>
        </w:rPr>
      </w:pPr>
    </w:p>
    <w:p w14:paraId="4482F729" w14:textId="791FE8EA" w:rsidR="00385AFF" w:rsidRPr="00385AFF" w:rsidRDefault="00385AFF" w:rsidP="00385AFF">
      <w:pPr>
        <w:spacing w:line="240" w:lineRule="auto"/>
        <w:rPr>
          <w:rFonts w:eastAsia="Times New Roman" w:cs="Arial"/>
          <w:lang w:eastAsia="bg-BG"/>
        </w:rPr>
      </w:pPr>
      <w:r w:rsidRPr="00385AFF">
        <w:rPr>
          <w:rFonts w:eastAsia="Times New Roman" w:cs="Arial"/>
          <w:color w:val="000000"/>
          <w:u w:val="single"/>
          <w:lang w:eastAsia="bg-BG"/>
        </w:rPr>
        <w:t>Съобщаване на подозирани нежелани реакции</w:t>
      </w:r>
    </w:p>
    <w:p w14:paraId="6F50B60F" w14:textId="77777777" w:rsidR="00385AFF" w:rsidRPr="00385AFF" w:rsidRDefault="00385AFF" w:rsidP="00385AFF">
      <w:pPr>
        <w:spacing w:line="240" w:lineRule="auto"/>
        <w:rPr>
          <w:rFonts w:eastAsia="Times New Roman" w:cs="Arial"/>
          <w:lang w:eastAsia="bg-BG"/>
        </w:rPr>
      </w:pPr>
      <w:r w:rsidRPr="00385AFF">
        <w:rPr>
          <w:rFonts w:eastAsia="Times New Roman" w:cs="Arial"/>
          <w:color w:val="000000"/>
          <w:lang w:eastAsia="bg-BG"/>
        </w:rPr>
        <w:t xml:space="preserve">Съобщаването </w:t>
      </w:r>
      <w:r w:rsidRPr="00385AFF">
        <w:rPr>
          <w:rFonts w:eastAsia="Times New Roman" w:cs="Arial"/>
          <w:i/>
          <w:iCs/>
          <w:color w:val="000000"/>
          <w:lang w:eastAsia="bg-BG"/>
        </w:rPr>
        <w:t>на</w:t>
      </w:r>
      <w:r w:rsidRPr="00385AFF">
        <w:rPr>
          <w:rFonts w:eastAsia="Times New Roman" w:cs="Arial"/>
          <w:color w:val="000000"/>
          <w:lang w:eastAsia="bg-BG"/>
        </w:rPr>
        <w:t xml:space="preserve"> подозирани нежелани реакции след разрешаване за употреба на лекарствения продукт е важно. Това позволява да продължи наблюдението на </w:t>
      </w:r>
      <w:r w:rsidRPr="00385AFF">
        <w:rPr>
          <w:rFonts w:eastAsia="Times New Roman" w:cs="Arial"/>
          <w:color w:val="000000"/>
          <w:lang w:eastAsia="bg-BG"/>
        </w:rPr>
        <w:lastRenderedPageBreak/>
        <w:t>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w:t>
      </w:r>
    </w:p>
    <w:p w14:paraId="54FF79D6" w14:textId="49469780" w:rsidR="00385AFF" w:rsidRPr="00385AFF" w:rsidRDefault="00385AFF" w:rsidP="00385AFF">
      <w:pPr>
        <w:rPr>
          <w:rFonts w:eastAsia="Times New Roman" w:cs="Arial"/>
          <w:lang w:eastAsia="bg-BG"/>
        </w:rPr>
      </w:pPr>
      <w:r w:rsidRPr="00385AFF">
        <w:rPr>
          <w:rFonts w:eastAsia="Times New Roman" w:cs="Arial"/>
          <w:color w:val="000000"/>
          <w:lang w:eastAsia="bg-BG"/>
        </w:rPr>
        <w:t xml:space="preserve">Тел.:+35 928903417 уебсайт: </w:t>
      </w:r>
      <w:hyperlink r:id="rId5" w:history="1">
        <w:r w:rsidRPr="00385AFF">
          <w:rPr>
            <w:rFonts w:eastAsia="Times New Roman" w:cs="Arial"/>
            <w:color w:val="000000"/>
            <w:u w:val="single"/>
            <w:lang w:val="en-US"/>
          </w:rPr>
          <w:t>www.bda.bg</w:t>
        </w:r>
      </w:hyperlink>
    </w:p>
    <w:p w14:paraId="0D47B799" w14:textId="77777777" w:rsidR="00385AFF" w:rsidRPr="00385AFF" w:rsidRDefault="00385AFF" w:rsidP="0091385D">
      <w:pPr>
        <w:rPr>
          <w:lang w:val="en-US"/>
        </w:rPr>
      </w:pPr>
    </w:p>
    <w:p w14:paraId="0A023CE0" w14:textId="13F87CFD" w:rsidR="00CF77F7" w:rsidRDefault="002C50EE" w:rsidP="004A448E">
      <w:pPr>
        <w:pStyle w:val="Heading2"/>
      </w:pPr>
      <w:r>
        <w:t>4.9. Предозиране</w:t>
      </w:r>
    </w:p>
    <w:p w14:paraId="3EDFC3FC" w14:textId="771B3817" w:rsidR="0091385D" w:rsidRDefault="0091385D" w:rsidP="0091385D"/>
    <w:p w14:paraId="5693D104" w14:textId="77777777" w:rsidR="00385AFF" w:rsidRPr="00385AFF" w:rsidRDefault="00385AFF" w:rsidP="00385AFF">
      <w:pPr>
        <w:spacing w:line="240" w:lineRule="auto"/>
        <w:rPr>
          <w:rFonts w:eastAsia="Times New Roman" w:cs="Arial"/>
          <w:lang w:eastAsia="bg-BG"/>
        </w:rPr>
      </w:pPr>
      <w:r w:rsidRPr="00385AFF">
        <w:rPr>
          <w:rFonts w:eastAsia="Times New Roman" w:cs="Arial"/>
          <w:color w:val="000000"/>
          <w:lang w:eastAsia="bg-BG"/>
        </w:rPr>
        <w:t>Опитът с дози, по-високи от препоръчваната терапевтична доза, е ограничен. Изолирани случаи на предозиране с иматиниб са били докладвани спонтанно и в литературата. В случай на предозиране пациентът трябва да бъде наблюдаван и да му се прилага съответното симптоматично лечение. Обикновено съобщените крайни резултати при тези случаи са “повлиял се” или “възстановен”. Събитията, които са били съобщавани при различните дозови интервали, са както следва:</w:t>
      </w:r>
    </w:p>
    <w:p w14:paraId="6CEDEB84" w14:textId="77777777" w:rsidR="00385AFF" w:rsidRPr="00385AFF" w:rsidRDefault="00385AFF" w:rsidP="00385AFF">
      <w:pPr>
        <w:spacing w:line="240" w:lineRule="auto"/>
        <w:rPr>
          <w:rFonts w:eastAsia="Times New Roman" w:cs="Arial"/>
          <w:i/>
          <w:iCs/>
          <w:color w:val="000000"/>
          <w:lang w:eastAsia="bg-BG"/>
        </w:rPr>
      </w:pPr>
    </w:p>
    <w:p w14:paraId="7FC67318" w14:textId="6319B97D" w:rsidR="00385AFF" w:rsidRPr="00385AFF" w:rsidRDefault="00385AFF" w:rsidP="00385AFF">
      <w:pPr>
        <w:spacing w:line="240" w:lineRule="auto"/>
        <w:rPr>
          <w:rFonts w:eastAsia="Times New Roman" w:cs="Arial"/>
          <w:lang w:eastAsia="bg-BG"/>
        </w:rPr>
      </w:pPr>
      <w:r w:rsidRPr="00385AFF">
        <w:rPr>
          <w:rFonts w:eastAsia="Times New Roman" w:cs="Arial"/>
          <w:i/>
          <w:iCs/>
          <w:color w:val="000000"/>
          <w:lang w:eastAsia="bg-BG"/>
        </w:rPr>
        <w:t>Възрастна популация</w:t>
      </w:r>
    </w:p>
    <w:p w14:paraId="7B3A6E74" w14:textId="77777777" w:rsidR="00385AFF" w:rsidRPr="00385AFF" w:rsidRDefault="00385AFF" w:rsidP="00385AFF">
      <w:pPr>
        <w:spacing w:line="240" w:lineRule="auto"/>
        <w:rPr>
          <w:rFonts w:eastAsia="Times New Roman" w:cs="Arial"/>
          <w:lang w:eastAsia="bg-BG"/>
        </w:rPr>
      </w:pPr>
      <w:r w:rsidRPr="00385AFF">
        <w:rPr>
          <w:rFonts w:eastAsia="Times New Roman" w:cs="Arial"/>
          <w:color w:val="000000"/>
          <w:lang w:eastAsia="bg-BG"/>
        </w:rPr>
        <w:t xml:space="preserve">1200 до 1600 </w:t>
      </w:r>
      <w:r w:rsidRPr="00385AFF">
        <w:rPr>
          <w:rFonts w:eastAsia="Times New Roman" w:cs="Arial"/>
          <w:color w:val="000000"/>
          <w:lang w:val="en-US"/>
        </w:rPr>
        <w:t xml:space="preserve">mg </w:t>
      </w:r>
      <w:r w:rsidRPr="00385AFF">
        <w:rPr>
          <w:rFonts w:eastAsia="Times New Roman" w:cs="Arial"/>
          <w:color w:val="000000"/>
          <w:lang w:eastAsia="bg-BG"/>
        </w:rPr>
        <w:t>(продължителността варира между 1 до 10 дни): гадене, повръщане, диария, обрив, еритем, едем, подуване, умора, мускулни спазми, тромбоцитопения, панцитопения, коремна болка, главоболие, понижен апетит.</w:t>
      </w:r>
    </w:p>
    <w:p w14:paraId="0BAC5965" w14:textId="77777777" w:rsidR="00385AFF" w:rsidRPr="00385AFF" w:rsidRDefault="00385AFF" w:rsidP="00385AFF">
      <w:pPr>
        <w:spacing w:line="240" w:lineRule="auto"/>
        <w:rPr>
          <w:rFonts w:eastAsia="Times New Roman" w:cs="Arial"/>
          <w:lang w:eastAsia="bg-BG"/>
        </w:rPr>
      </w:pPr>
      <w:r w:rsidRPr="00385AFF">
        <w:rPr>
          <w:rFonts w:eastAsia="Times New Roman" w:cs="Arial"/>
          <w:color w:val="000000"/>
          <w:lang w:eastAsia="bg-BG"/>
        </w:rPr>
        <w:t xml:space="preserve">1800 до 3200 </w:t>
      </w:r>
      <w:r w:rsidRPr="00385AFF">
        <w:rPr>
          <w:rFonts w:eastAsia="Times New Roman" w:cs="Arial"/>
          <w:color w:val="000000"/>
          <w:lang w:val="en-US"/>
        </w:rPr>
        <w:t xml:space="preserve">mg </w:t>
      </w:r>
      <w:r w:rsidRPr="00385AFF">
        <w:rPr>
          <w:rFonts w:eastAsia="Times New Roman" w:cs="Arial"/>
          <w:color w:val="000000"/>
          <w:lang w:eastAsia="bg-BG"/>
        </w:rPr>
        <w:t xml:space="preserve">(като 3200 </w:t>
      </w:r>
      <w:r w:rsidRPr="00385AFF">
        <w:rPr>
          <w:rFonts w:eastAsia="Times New Roman" w:cs="Arial"/>
          <w:color w:val="000000"/>
          <w:lang w:val="en-US"/>
        </w:rPr>
        <w:t xml:space="preserve">mg </w:t>
      </w:r>
      <w:r w:rsidRPr="00385AFF">
        <w:rPr>
          <w:rFonts w:eastAsia="Times New Roman" w:cs="Arial"/>
          <w:color w:val="000000"/>
          <w:lang w:eastAsia="bg-BG"/>
        </w:rPr>
        <w:t>на ден са прилагани в продължение на 6 дни): слабост, миалгия, повишаване на креатин фосфокиназата, повишаване на билирубина, стомашно-чревна болка.</w:t>
      </w:r>
    </w:p>
    <w:p w14:paraId="6DEE37E7" w14:textId="77777777" w:rsidR="00385AFF" w:rsidRPr="00385AFF" w:rsidRDefault="00385AFF" w:rsidP="00385AFF">
      <w:pPr>
        <w:spacing w:line="240" w:lineRule="auto"/>
        <w:rPr>
          <w:rFonts w:eastAsia="Times New Roman" w:cs="Arial"/>
          <w:lang w:eastAsia="bg-BG"/>
        </w:rPr>
      </w:pPr>
      <w:r w:rsidRPr="00385AFF">
        <w:rPr>
          <w:rFonts w:eastAsia="Times New Roman" w:cs="Arial"/>
          <w:color w:val="000000"/>
          <w:lang w:eastAsia="bg-BG"/>
        </w:rPr>
        <w:t xml:space="preserve">6400 </w:t>
      </w:r>
      <w:r w:rsidRPr="00385AFF">
        <w:rPr>
          <w:rFonts w:eastAsia="Times New Roman" w:cs="Arial"/>
          <w:color w:val="000000"/>
          <w:lang w:val="en-US"/>
        </w:rPr>
        <w:t xml:space="preserve">mg </w:t>
      </w:r>
      <w:r w:rsidRPr="00385AFF">
        <w:rPr>
          <w:rFonts w:eastAsia="Times New Roman" w:cs="Arial"/>
          <w:color w:val="000000"/>
          <w:lang w:eastAsia="bg-BG"/>
        </w:rPr>
        <w:t>(еднократна доза): в литературата има съобщен един случай на пациент, който е бил с гадене, повръщане, коремна болка, пирексия, подуване на лицето, намаляване на броя на неутрофилите, повишаване на трансаминазите.</w:t>
      </w:r>
    </w:p>
    <w:p w14:paraId="66E38C4E" w14:textId="77777777" w:rsidR="00385AFF" w:rsidRPr="00385AFF" w:rsidRDefault="00385AFF" w:rsidP="00385AFF">
      <w:pPr>
        <w:spacing w:line="240" w:lineRule="auto"/>
        <w:rPr>
          <w:rFonts w:eastAsia="Times New Roman" w:cs="Arial"/>
          <w:lang w:eastAsia="bg-BG"/>
        </w:rPr>
      </w:pPr>
      <w:r w:rsidRPr="00385AFF">
        <w:rPr>
          <w:rFonts w:eastAsia="Times New Roman" w:cs="Arial"/>
          <w:color w:val="000000"/>
          <w:lang w:eastAsia="bg-BG"/>
        </w:rPr>
        <w:t xml:space="preserve">8 до </w:t>
      </w:r>
      <w:r w:rsidRPr="00385AFF">
        <w:rPr>
          <w:rFonts w:eastAsia="Times New Roman" w:cs="Arial"/>
          <w:color w:val="000000"/>
          <w:lang w:val="en-US"/>
        </w:rPr>
        <w:t xml:space="preserve">10g </w:t>
      </w:r>
      <w:r w:rsidRPr="00385AFF">
        <w:rPr>
          <w:rFonts w:eastAsia="Times New Roman" w:cs="Arial"/>
          <w:color w:val="000000"/>
          <w:lang w:eastAsia="bg-BG"/>
        </w:rPr>
        <w:t>(еднократна доза): съобщава се за повръщане и стомашно-чревна болка.</w:t>
      </w:r>
    </w:p>
    <w:p w14:paraId="5846C9B4" w14:textId="77777777" w:rsidR="00385AFF" w:rsidRPr="00385AFF" w:rsidRDefault="00385AFF" w:rsidP="00385AFF">
      <w:pPr>
        <w:spacing w:line="240" w:lineRule="auto"/>
        <w:rPr>
          <w:rFonts w:eastAsia="Times New Roman" w:cs="Arial"/>
          <w:i/>
          <w:iCs/>
          <w:color w:val="000000"/>
          <w:lang w:eastAsia="bg-BG"/>
        </w:rPr>
      </w:pPr>
    </w:p>
    <w:p w14:paraId="428A820C" w14:textId="60AFEDE8" w:rsidR="00385AFF" w:rsidRPr="00385AFF" w:rsidRDefault="00385AFF" w:rsidP="00385AFF">
      <w:pPr>
        <w:spacing w:line="240" w:lineRule="auto"/>
        <w:rPr>
          <w:rFonts w:eastAsia="Times New Roman" w:cs="Arial"/>
          <w:lang w:eastAsia="bg-BG"/>
        </w:rPr>
      </w:pPr>
      <w:r w:rsidRPr="00385AFF">
        <w:rPr>
          <w:rFonts w:eastAsia="Times New Roman" w:cs="Arial"/>
          <w:i/>
          <w:iCs/>
          <w:color w:val="000000"/>
          <w:lang w:eastAsia="bg-BG"/>
        </w:rPr>
        <w:t>Педиатрична популация</w:t>
      </w:r>
    </w:p>
    <w:p w14:paraId="56ABEDE9" w14:textId="77777777" w:rsidR="00385AFF" w:rsidRPr="00385AFF" w:rsidRDefault="00385AFF" w:rsidP="00385AFF">
      <w:pPr>
        <w:spacing w:line="240" w:lineRule="auto"/>
        <w:rPr>
          <w:rFonts w:eastAsia="Times New Roman" w:cs="Arial"/>
          <w:lang w:eastAsia="bg-BG"/>
        </w:rPr>
      </w:pPr>
      <w:r w:rsidRPr="00385AFF">
        <w:rPr>
          <w:rFonts w:eastAsia="Times New Roman" w:cs="Arial"/>
          <w:color w:val="000000"/>
          <w:lang w:eastAsia="bg-BG"/>
        </w:rPr>
        <w:t xml:space="preserve">Едно 3-годишно момче при излагане на еднократна доза от 400 </w:t>
      </w:r>
      <w:r w:rsidRPr="00385AFF">
        <w:rPr>
          <w:rFonts w:eastAsia="Times New Roman" w:cs="Arial"/>
          <w:color w:val="000000"/>
          <w:lang w:val="en-US"/>
        </w:rPr>
        <w:t xml:space="preserve">mg </w:t>
      </w:r>
      <w:r w:rsidRPr="00385AFF">
        <w:rPr>
          <w:rFonts w:eastAsia="Times New Roman" w:cs="Arial"/>
          <w:color w:val="000000"/>
          <w:lang w:eastAsia="bg-BG"/>
        </w:rPr>
        <w:t xml:space="preserve">е било с повръщане, диария и анорексия, а друго 3-годишно момче при излагане на еднократна доза от 980 </w:t>
      </w:r>
      <w:r w:rsidRPr="00385AFF">
        <w:rPr>
          <w:rFonts w:eastAsia="Times New Roman" w:cs="Arial"/>
          <w:color w:val="000000"/>
          <w:lang w:val="en-US"/>
        </w:rPr>
        <w:t xml:space="preserve">mg </w:t>
      </w:r>
      <w:r w:rsidRPr="00385AFF">
        <w:rPr>
          <w:rFonts w:eastAsia="Times New Roman" w:cs="Arial"/>
          <w:color w:val="000000"/>
          <w:lang w:eastAsia="bg-BG"/>
        </w:rPr>
        <w:t>е било с намален брой бели кръвни клетки и диария.</w:t>
      </w:r>
    </w:p>
    <w:p w14:paraId="69E3CC19" w14:textId="77777777" w:rsidR="00385AFF" w:rsidRPr="00385AFF" w:rsidRDefault="00385AFF" w:rsidP="00385AFF">
      <w:pPr>
        <w:rPr>
          <w:rFonts w:eastAsia="Times New Roman" w:cs="Arial"/>
          <w:color w:val="000000"/>
          <w:lang w:eastAsia="bg-BG"/>
        </w:rPr>
      </w:pPr>
    </w:p>
    <w:p w14:paraId="6A43B8F3" w14:textId="2EB4D1DD" w:rsidR="007A2185" w:rsidRPr="00385AFF" w:rsidRDefault="00385AFF" w:rsidP="00385AFF">
      <w:pPr>
        <w:rPr>
          <w:rFonts w:cs="Arial"/>
        </w:rPr>
      </w:pPr>
      <w:r w:rsidRPr="00385AFF">
        <w:rPr>
          <w:rFonts w:eastAsia="Times New Roman" w:cs="Arial"/>
          <w:color w:val="000000"/>
          <w:lang w:eastAsia="bg-BG"/>
        </w:rPr>
        <w:t>В случай на предозиране, пациентът трябва да се наблюдава и да се проведе необходимото поддържащо лечение.</w:t>
      </w:r>
    </w:p>
    <w:p w14:paraId="48FF1584" w14:textId="77777777" w:rsidR="0091385D" w:rsidRPr="0091385D" w:rsidRDefault="0091385D"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73F11A6B" w:rsidR="0091385D" w:rsidRDefault="0091385D" w:rsidP="0091385D"/>
    <w:p w14:paraId="62AA7CF9" w14:textId="77777777" w:rsidR="00385AFF" w:rsidRPr="00385AFF" w:rsidRDefault="00385AFF" w:rsidP="00385AFF">
      <w:pPr>
        <w:spacing w:line="240" w:lineRule="auto"/>
        <w:rPr>
          <w:rFonts w:eastAsia="Times New Roman" w:cs="Arial"/>
          <w:lang w:eastAsia="bg-BG"/>
        </w:rPr>
      </w:pPr>
      <w:r w:rsidRPr="00385AFF">
        <w:rPr>
          <w:rFonts w:eastAsia="Times New Roman" w:cs="Arial"/>
          <w:color w:val="000000"/>
          <w:lang w:eastAsia="bg-BG"/>
        </w:rPr>
        <w:t xml:space="preserve">Фармакотерапевтична група: Антинеопластични агенти, протеин-тирозин киназен инхибитор, АТС код: </w:t>
      </w:r>
      <w:r w:rsidRPr="00385AFF">
        <w:rPr>
          <w:rFonts w:eastAsia="Times New Roman" w:cs="Arial"/>
          <w:color w:val="000000"/>
          <w:lang w:val="en-US"/>
        </w:rPr>
        <w:t>L01EA01</w:t>
      </w:r>
    </w:p>
    <w:p w14:paraId="2A0AA46D" w14:textId="77777777" w:rsidR="00385AFF" w:rsidRPr="00385AFF" w:rsidRDefault="00385AFF" w:rsidP="00385AFF">
      <w:pPr>
        <w:spacing w:line="240" w:lineRule="auto"/>
        <w:rPr>
          <w:rFonts w:eastAsia="Times New Roman" w:cs="Arial"/>
          <w:color w:val="000000"/>
          <w:u w:val="single"/>
          <w:lang w:eastAsia="bg-BG"/>
        </w:rPr>
      </w:pPr>
    </w:p>
    <w:p w14:paraId="4189359F" w14:textId="033BD943" w:rsidR="00385AFF" w:rsidRPr="00385AFF" w:rsidRDefault="00385AFF" w:rsidP="00385AFF">
      <w:pPr>
        <w:spacing w:line="240" w:lineRule="auto"/>
        <w:rPr>
          <w:rFonts w:eastAsia="Times New Roman" w:cs="Arial"/>
          <w:lang w:eastAsia="bg-BG"/>
        </w:rPr>
      </w:pPr>
      <w:r w:rsidRPr="00385AFF">
        <w:rPr>
          <w:rFonts w:eastAsia="Times New Roman" w:cs="Arial"/>
          <w:color w:val="000000"/>
          <w:u w:val="single"/>
          <w:lang w:eastAsia="bg-BG"/>
        </w:rPr>
        <w:t>Механизъм на действие</w:t>
      </w:r>
    </w:p>
    <w:p w14:paraId="47DAF472" w14:textId="77777777" w:rsidR="00385AFF" w:rsidRPr="00385AFF" w:rsidRDefault="00385AFF" w:rsidP="00385AFF">
      <w:pPr>
        <w:spacing w:line="240" w:lineRule="auto"/>
        <w:rPr>
          <w:rFonts w:eastAsia="Times New Roman" w:cs="Arial"/>
          <w:lang w:eastAsia="bg-BG"/>
        </w:rPr>
      </w:pPr>
      <w:r w:rsidRPr="00385AFF">
        <w:rPr>
          <w:rFonts w:eastAsia="Times New Roman" w:cs="Arial"/>
          <w:color w:val="000000"/>
          <w:lang w:eastAsia="bg-BG"/>
        </w:rPr>
        <w:t xml:space="preserve">Иматиниб е малка молекула, протеин тирозин киназен инхибитор, който мощно потиска активността на </w:t>
      </w:r>
      <w:r w:rsidRPr="00385AFF">
        <w:rPr>
          <w:rFonts w:eastAsia="Times New Roman" w:cs="Arial"/>
          <w:color w:val="000000"/>
          <w:lang w:val="en-US"/>
        </w:rPr>
        <w:t xml:space="preserve">Bcr-Abl </w:t>
      </w:r>
      <w:r w:rsidRPr="00385AFF">
        <w:rPr>
          <w:rFonts w:eastAsia="Times New Roman" w:cs="Arial"/>
          <w:color w:val="000000"/>
          <w:lang w:eastAsia="bg-BG"/>
        </w:rPr>
        <w:t xml:space="preserve">тирозин киназата (ТК), както и на няколко ТК рецептора </w:t>
      </w:r>
      <w:r w:rsidRPr="00385AFF">
        <w:rPr>
          <w:rFonts w:eastAsia="Times New Roman" w:cs="Arial"/>
          <w:color w:val="000000"/>
          <w:lang w:val="en-US"/>
        </w:rPr>
        <w:t xml:space="preserve">Kit, </w:t>
      </w:r>
      <w:r w:rsidRPr="00385AFF">
        <w:rPr>
          <w:rFonts w:eastAsia="Times New Roman" w:cs="Arial"/>
          <w:color w:val="000000"/>
          <w:lang w:eastAsia="bg-BG"/>
        </w:rPr>
        <w:t xml:space="preserve">рецептора </w:t>
      </w:r>
      <w:r w:rsidRPr="00385AFF">
        <w:rPr>
          <w:rFonts w:eastAsia="Times New Roman" w:cs="Arial"/>
          <w:b/>
          <w:bCs/>
          <w:color w:val="000000"/>
          <w:lang w:eastAsia="bg-BG"/>
        </w:rPr>
        <w:t xml:space="preserve"> </w:t>
      </w:r>
      <w:r w:rsidRPr="00385AFF">
        <w:rPr>
          <w:rFonts w:eastAsia="Times New Roman" w:cs="Arial"/>
          <w:color w:val="000000"/>
          <w:lang w:eastAsia="bg-BG"/>
        </w:rPr>
        <w:t xml:space="preserve">за стволовоклетъчния фактор </w:t>
      </w:r>
      <w:r w:rsidRPr="00385AFF">
        <w:rPr>
          <w:rFonts w:eastAsia="Times New Roman" w:cs="Arial"/>
          <w:color w:val="000000"/>
          <w:lang w:val="en-US"/>
        </w:rPr>
        <w:t xml:space="preserve">(SCF), </w:t>
      </w:r>
      <w:r w:rsidRPr="00385AFF">
        <w:rPr>
          <w:rFonts w:eastAsia="Times New Roman" w:cs="Arial"/>
          <w:color w:val="000000"/>
          <w:lang w:eastAsia="bg-BG"/>
        </w:rPr>
        <w:t xml:space="preserve">кодиран от </w:t>
      </w:r>
      <w:r w:rsidRPr="00385AFF">
        <w:rPr>
          <w:rFonts w:eastAsia="Times New Roman" w:cs="Arial"/>
          <w:color w:val="000000"/>
          <w:lang w:val="en-US"/>
        </w:rPr>
        <w:t xml:space="preserve">c-Kit </w:t>
      </w:r>
      <w:r w:rsidRPr="00385AFF">
        <w:rPr>
          <w:rFonts w:eastAsia="Times New Roman" w:cs="Arial"/>
          <w:color w:val="000000"/>
          <w:lang w:eastAsia="bg-BG"/>
        </w:rPr>
        <w:t xml:space="preserve">прото-онкогена, дискоиден домейн рецепторите </w:t>
      </w:r>
      <w:r w:rsidRPr="00385AFF">
        <w:rPr>
          <w:rFonts w:eastAsia="Times New Roman" w:cs="Arial"/>
          <w:color w:val="000000"/>
          <w:lang w:val="en-US"/>
        </w:rPr>
        <w:t xml:space="preserve">(DDR1 </w:t>
      </w:r>
      <w:r w:rsidRPr="00385AFF">
        <w:rPr>
          <w:rFonts w:eastAsia="Times New Roman" w:cs="Arial"/>
          <w:color w:val="000000"/>
          <w:lang w:eastAsia="bg-BG"/>
        </w:rPr>
        <w:t xml:space="preserve">и </w:t>
      </w:r>
      <w:r w:rsidRPr="00385AFF">
        <w:rPr>
          <w:rFonts w:eastAsia="Times New Roman" w:cs="Arial"/>
          <w:color w:val="000000"/>
          <w:lang w:val="en-US"/>
        </w:rPr>
        <w:t xml:space="preserve">DDR2), </w:t>
      </w:r>
      <w:r w:rsidRPr="00385AFF">
        <w:rPr>
          <w:rFonts w:eastAsia="Times New Roman" w:cs="Arial"/>
          <w:color w:val="000000"/>
          <w:lang w:eastAsia="bg-BG"/>
        </w:rPr>
        <w:t>рецептора за колониостимулиращия фактор (</w:t>
      </w:r>
      <w:r w:rsidRPr="00385AFF">
        <w:rPr>
          <w:rFonts w:eastAsia="Times New Roman" w:cs="Arial"/>
          <w:color w:val="000000"/>
          <w:lang w:val="en-US"/>
        </w:rPr>
        <w:t xml:space="preserve">CSF-R) </w:t>
      </w:r>
      <w:r w:rsidRPr="00385AFF">
        <w:rPr>
          <w:rFonts w:eastAsia="Times New Roman" w:cs="Arial"/>
          <w:color w:val="000000"/>
          <w:lang w:eastAsia="bg-BG"/>
        </w:rPr>
        <w:t>и алфа-</w:t>
      </w:r>
    </w:p>
    <w:p w14:paraId="7B374BE1" w14:textId="77777777" w:rsidR="00385AFF" w:rsidRPr="00385AFF" w:rsidRDefault="00385AFF" w:rsidP="00385AFF">
      <w:pPr>
        <w:rPr>
          <w:rFonts w:eastAsia="Times New Roman" w:cs="Arial"/>
          <w:lang w:eastAsia="bg-BG"/>
        </w:rPr>
      </w:pPr>
      <w:r w:rsidRPr="00385AFF">
        <w:rPr>
          <w:rFonts w:eastAsia="Times New Roman" w:cs="Arial"/>
          <w:color w:val="000000"/>
          <w:lang w:eastAsia="bg-BG"/>
        </w:rPr>
        <w:lastRenderedPageBreak/>
        <w:t>бета рецепторите за произхождащите от тромбоцитите растежни фактори (</w:t>
      </w:r>
      <w:r w:rsidRPr="00385AFF">
        <w:rPr>
          <w:rFonts w:eastAsia="Times New Roman" w:cs="Arial"/>
          <w:color w:val="000000"/>
          <w:lang w:val="en-US"/>
        </w:rPr>
        <w:t xml:space="preserve">PDGFR- </w:t>
      </w:r>
      <w:r w:rsidRPr="00385AFF">
        <w:rPr>
          <w:rFonts w:eastAsia="Times New Roman" w:cs="Arial"/>
          <w:color w:val="000000"/>
          <w:lang w:eastAsia="bg-BG"/>
        </w:rPr>
        <w:t>алфа и</w:t>
      </w:r>
      <w:r w:rsidRPr="00385AFF">
        <w:rPr>
          <w:rFonts w:eastAsia="Times New Roman" w:cs="Arial"/>
          <w:color w:val="000000"/>
          <w:lang w:val="en-US" w:eastAsia="bg-BG"/>
        </w:rPr>
        <w:t xml:space="preserve"> </w:t>
      </w:r>
      <w:r w:rsidRPr="00385AFF">
        <w:rPr>
          <w:rFonts w:eastAsia="Times New Roman" w:cs="Arial"/>
          <w:color w:val="000000"/>
          <w:lang w:val="en-US"/>
        </w:rPr>
        <w:t>PDGFR</w:t>
      </w:r>
      <w:r w:rsidRPr="00385AFF">
        <w:rPr>
          <w:rFonts w:eastAsia="Times New Roman" w:cs="Arial"/>
          <w:color w:val="000000"/>
          <w:lang w:eastAsia="bg-BG"/>
        </w:rPr>
        <w:t>-бета). Иматиниб може също така да инхибира клетъчни събития, медиирани от активирането на тези рецепторни кинази.</w:t>
      </w:r>
    </w:p>
    <w:p w14:paraId="6EA9A511" w14:textId="77777777" w:rsidR="00385AFF" w:rsidRPr="00385AFF" w:rsidRDefault="00385AFF" w:rsidP="00385AFF">
      <w:pPr>
        <w:spacing w:line="240" w:lineRule="auto"/>
        <w:rPr>
          <w:rFonts w:eastAsia="Times New Roman" w:cs="Arial"/>
          <w:color w:val="000000"/>
          <w:u w:val="single"/>
          <w:lang w:eastAsia="bg-BG"/>
        </w:rPr>
      </w:pPr>
    </w:p>
    <w:p w14:paraId="1366E63C" w14:textId="10B79A5D" w:rsidR="00385AFF" w:rsidRPr="00385AFF" w:rsidRDefault="00385AFF" w:rsidP="00385AFF">
      <w:pPr>
        <w:spacing w:line="240" w:lineRule="auto"/>
        <w:rPr>
          <w:rFonts w:eastAsia="Times New Roman" w:cs="Arial"/>
          <w:lang w:eastAsia="bg-BG"/>
        </w:rPr>
      </w:pPr>
      <w:r w:rsidRPr="00385AFF">
        <w:rPr>
          <w:rFonts w:eastAsia="Times New Roman" w:cs="Arial"/>
          <w:color w:val="000000"/>
          <w:u w:val="single"/>
          <w:lang w:eastAsia="bg-BG"/>
        </w:rPr>
        <w:t>Фармакодина.мични ефекти</w:t>
      </w:r>
    </w:p>
    <w:p w14:paraId="6D9B4A0F" w14:textId="77777777" w:rsidR="00385AFF" w:rsidRPr="00385AFF" w:rsidRDefault="00385AFF" w:rsidP="00385AFF">
      <w:pPr>
        <w:spacing w:line="240" w:lineRule="auto"/>
        <w:rPr>
          <w:rFonts w:eastAsia="Times New Roman" w:cs="Arial"/>
          <w:lang w:eastAsia="bg-BG"/>
        </w:rPr>
      </w:pPr>
      <w:r w:rsidRPr="00385AFF">
        <w:rPr>
          <w:rFonts w:eastAsia="Times New Roman" w:cs="Arial"/>
          <w:color w:val="000000"/>
          <w:lang w:eastAsia="bg-BG"/>
        </w:rPr>
        <w:t xml:space="preserve">Иматиниб е протеин-тирозин киназен инхибитор, който мощно инхибира </w:t>
      </w:r>
      <w:r w:rsidRPr="00385AFF">
        <w:rPr>
          <w:rFonts w:eastAsia="Times New Roman" w:cs="Arial"/>
          <w:color w:val="000000"/>
          <w:lang w:val="en-US"/>
        </w:rPr>
        <w:t xml:space="preserve">Bcr-Abl </w:t>
      </w:r>
      <w:r w:rsidRPr="00385AFF">
        <w:rPr>
          <w:rFonts w:eastAsia="Times New Roman" w:cs="Arial"/>
          <w:color w:val="000000"/>
          <w:lang w:eastAsia="bg-BG"/>
        </w:rPr>
        <w:t xml:space="preserve">тирозин киназата на </w:t>
      </w:r>
      <w:r w:rsidRPr="00385AFF">
        <w:rPr>
          <w:rFonts w:eastAsia="Times New Roman" w:cs="Arial"/>
          <w:i/>
          <w:iCs/>
          <w:color w:val="000000"/>
          <w:lang w:val="en-US"/>
        </w:rPr>
        <w:t>in vitro,</w:t>
      </w:r>
      <w:r w:rsidRPr="00385AFF">
        <w:rPr>
          <w:rFonts w:eastAsia="Times New Roman" w:cs="Arial"/>
          <w:color w:val="000000"/>
          <w:lang w:val="en-US"/>
        </w:rPr>
        <w:t xml:space="preserve"> </w:t>
      </w:r>
      <w:r w:rsidRPr="00385AFF">
        <w:rPr>
          <w:rFonts w:eastAsia="Times New Roman" w:cs="Arial"/>
          <w:color w:val="000000"/>
          <w:lang w:eastAsia="bg-BG"/>
        </w:rPr>
        <w:t xml:space="preserve">клетъчно и </w:t>
      </w:r>
      <w:r w:rsidRPr="00385AFF">
        <w:rPr>
          <w:rFonts w:eastAsia="Times New Roman" w:cs="Arial"/>
          <w:i/>
          <w:iCs/>
          <w:color w:val="000000"/>
          <w:lang w:val="en-US"/>
        </w:rPr>
        <w:t>in vivo</w:t>
      </w:r>
      <w:r w:rsidRPr="00385AFF">
        <w:rPr>
          <w:rFonts w:eastAsia="Times New Roman" w:cs="Arial"/>
          <w:color w:val="000000"/>
          <w:lang w:val="en-US"/>
        </w:rPr>
        <w:t xml:space="preserve"> </w:t>
      </w:r>
      <w:r w:rsidRPr="00385AFF">
        <w:rPr>
          <w:rFonts w:eastAsia="Times New Roman" w:cs="Arial"/>
          <w:color w:val="000000"/>
          <w:lang w:eastAsia="bg-BG"/>
        </w:rPr>
        <w:t xml:space="preserve">ниво. Веществото избирателно инхибира пролиферацията и предизвиква апоптоза </w:t>
      </w:r>
      <w:r w:rsidRPr="00385AFF">
        <w:rPr>
          <w:rFonts w:eastAsia="Times New Roman" w:cs="Arial"/>
          <w:i/>
          <w:iCs/>
          <w:color w:val="000000"/>
          <w:lang w:eastAsia="bg-BG"/>
        </w:rPr>
        <w:t>в</w:t>
      </w:r>
      <w:r w:rsidRPr="00385AFF">
        <w:rPr>
          <w:rFonts w:eastAsia="Times New Roman" w:cs="Arial"/>
          <w:color w:val="000000"/>
          <w:lang w:eastAsia="bg-BG"/>
        </w:rPr>
        <w:t xml:space="preserve"> </w:t>
      </w:r>
      <w:r w:rsidRPr="00385AFF">
        <w:rPr>
          <w:rFonts w:eastAsia="Times New Roman" w:cs="Arial"/>
          <w:color w:val="000000"/>
          <w:lang w:val="en-US"/>
        </w:rPr>
        <w:t xml:space="preserve">Bcr-Abl </w:t>
      </w:r>
      <w:r w:rsidRPr="00385AFF">
        <w:rPr>
          <w:rFonts w:eastAsia="Times New Roman" w:cs="Arial"/>
          <w:color w:val="000000"/>
          <w:lang w:eastAsia="bg-BG"/>
        </w:rPr>
        <w:t>положителни клетъчни линии както и на свежи левкемични клетки от положителна за Филаделфийска хромозома ХМЛ и от пациенти с остра лимфобластна левкемия (ОЛЛ).</w:t>
      </w:r>
    </w:p>
    <w:p w14:paraId="4CEF3B02" w14:textId="77777777" w:rsidR="00385AFF" w:rsidRPr="00385AFF" w:rsidRDefault="00385AFF" w:rsidP="00385AFF">
      <w:pPr>
        <w:spacing w:line="240" w:lineRule="auto"/>
        <w:rPr>
          <w:rFonts w:eastAsia="Times New Roman" w:cs="Arial"/>
          <w:i/>
          <w:iCs/>
          <w:color w:val="000000"/>
          <w:lang w:val="en-US"/>
        </w:rPr>
      </w:pPr>
    </w:p>
    <w:p w14:paraId="79751F7A" w14:textId="46ABEEA6" w:rsidR="00385AFF" w:rsidRPr="00385AFF" w:rsidRDefault="00385AFF" w:rsidP="00385AFF">
      <w:pPr>
        <w:spacing w:line="240" w:lineRule="auto"/>
        <w:rPr>
          <w:rFonts w:eastAsia="Times New Roman" w:cs="Arial"/>
          <w:lang w:eastAsia="bg-BG"/>
        </w:rPr>
      </w:pPr>
      <w:r w:rsidRPr="00385AFF">
        <w:rPr>
          <w:rFonts w:eastAsia="Times New Roman" w:cs="Arial"/>
          <w:i/>
          <w:iCs/>
          <w:color w:val="000000"/>
          <w:lang w:val="en-US"/>
        </w:rPr>
        <w:t>In vivo</w:t>
      </w:r>
      <w:r w:rsidRPr="00385AFF">
        <w:rPr>
          <w:rFonts w:eastAsia="Times New Roman" w:cs="Arial"/>
          <w:color w:val="000000"/>
          <w:lang w:val="en-US"/>
        </w:rPr>
        <w:t xml:space="preserve"> </w:t>
      </w:r>
      <w:r w:rsidRPr="00385AFF">
        <w:rPr>
          <w:rFonts w:eastAsia="Times New Roman" w:cs="Arial"/>
          <w:color w:val="000000"/>
          <w:lang w:eastAsia="bg-BG"/>
        </w:rPr>
        <w:t xml:space="preserve">веществото показва противотуморно действие като самостоятелно средство при животински модели с използване на </w:t>
      </w:r>
      <w:r w:rsidRPr="00385AFF">
        <w:rPr>
          <w:rFonts w:eastAsia="Times New Roman" w:cs="Arial"/>
          <w:color w:val="000000"/>
          <w:lang w:val="en-US"/>
        </w:rPr>
        <w:t xml:space="preserve">Bcr-Abl </w:t>
      </w:r>
      <w:r w:rsidRPr="00385AFF">
        <w:rPr>
          <w:rFonts w:eastAsia="Times New Roman" w:cs="Arial"/>
          <w:color w:val="000000"/>
          <w:lang w:eastAsia="bg-BG"/>
        </w:rPr>
        <w:t>позитивни туморни клетки.</w:t>
      </w:r>
    </w:p>
    <w:p w14:paraId="1D45793E" w14:textId="77777777" w:rsidR="00385AFF" w:rsidRPr="00385AFF" w:rsidRDefault="00385AFF" w:rsidP="00385AFF">
      <w:pPr>
        <w:spacing w:line="240" w:lineRule="auto"/>
        <w:rPr>
          <w:rFonts w:eastAsia="Times New Roman" w:cs="Arial"/>
          <w:lang w:eastAsia="bg-BG"/>
        </w:rPr>
      </w:pPr>
      <w:r w:rsidRPr="00385AFF">
        <w:rPr>
          <w:rFonts w:eastAsia="Times New Roman" w:cs="Arial"/>
          <w:color w:val="000000"/>
          <w:lang w:eastAsia="bg-BG"/>
        </w:rPr>
        <w:t xml:space="preserve">Иматиниб е също така инхибитор за рецепторните тирозин кинази за тромбоцитния растежен фактор </w:t>
      </w:r>
      <w:r w:rsidRPr="00385AFF">
        <w:rPr>
          <w:rFonts w:eastAsia="Times New Roman" w:cs="Arial"/>
          <w:color w:val="000000"/>
          <w:lang w:val="en-US"/>
        </w:rPr>
        <w:t xml:space="preserve">(PDGF), PDGF-R, </w:t>
      </w:r>
      <w:r w:rsidRPr="00385AFF">
        <w:rPr>
          <w:rFonts w:eastAsia="Times New Roman" w:cs="Arial"/>
          <w:color w:val="000000"/>
          <w:lang w:eastAsia="bg-BG"/>
        </w:rPr>
        <w:t xml:space="preserve">и стволоклетъчния фактор </w:t>
      </w:r>
      <w:r w:rsidRPr="00385AFF">
        <w:rPr>
          <w:rFonts w:eastAsia="Times New Roman" w:cs="Arial"/>
          <w:color w:val="000000"/>
          <w:lang w:val="en-US"/>
        </w:rPr>
        <w:t xml:space="preserve">(SCF), c-Kit, </w:t>
      </w:r>
      <w:r w:rsidRPr="00385AFF">
        <w:rPr>
          <w:rFonts w:eastAsia="Times New Roman" w:cs="Arial"/>
          <w:color w:val="000000"/>
          <w:lang w:eastAsia="bg-BG"/>
        </w:rPr>
        <w:t xml:space="preserve">и така инхибира медиираните от </w:t>
      </w:r>
      <w:r w:rsidRPr="00385AFF">
        <w:rPr>
          <w:rFonts w:eastAsia="Times New Roman" w:cs="Arial"/>
          <w:color w:val="000000"/>
          <w:lang w:val="en-US"/>
        </w:rPr>
        <w:t xml:space="preserve">PDGF </w:t>
      </w:r>
      <w:r w:rsidRPr="00385AFF">
        <w:rPr>
          <w:rFonts w:eastAsia="Times New Roman" w:cs="Arial"/>
          <w:color w:val="000000"/>
          <w:lang w:eastAsia="bg-BG"/>
        </w:rPr>
        <w:t xml:space="preserve">и </w:t>
      </w:r>
      <w:r w:rsidRPr="00385AFF">
        <w:rPr>
          <w:rFonts w:eastAsia="Times New Roman" w:cs="Arial"/>
          <w:color w:val="000000"/>
          <w:lang w:val="en-US"/>
        </w:rPr>
        <w:t xml:space="preserve">SCF </w:t>
      </w:r>
      <w:r w:rsidRPr="00385AFF">
        <w:rPr>
          <w:rFonts w:eastAsia="Times New Roman" w:cs="Arial"/>
          <w:color w:val="000000"/>
          <w:lang w:eastAsia="bg-BG"/>
        </w:rPr>
        <w:t xml:space="preserve">клетъчни реакции. </w:t>
      </w:r>
      <w:r w:rsidRPr="00385AFF">
        <w:rPr>
          <w:rFonts w:eastAsia="Times New Roman" w:cs="Arial"/>
          <w:i/>
          <w:iCs/>
          <w:color w:val="000000"/>
          <w:lang w:val="en-US"/>
        </w:rPr>
        <w:t>In vitro</w:t>
      </w:r>
      <w:r w:rsidRPr="00385AFF">
        <w:rPr>
          <w:rFonts w:eastAsia="Times New Roman" w:cs="Arial"/>
          <w:color w:val="000000"/>
          <w:lang w:val="en-US"/>
        </w:rPr>
        <w:t xml:space="preserve"> </w:t>
      </w:r>
      <w:r w:rsidRPr="00385AFF">
        <w:rPr>
          <w:rFonts w:eastAsia="Times New Roman" w:cs="Arial"/>
          <w:color w:val="000000"/>
          <w:lang w:eastAsia="bg-BG"/>
        </w:rPr>
        <w:t xml:space="preserve">иматиниб инхибира пролиферацията и предизвиква апоптоза в клетките на гастро-интестиналните стромапни тумори </w:t>
      </w:r>
      <w:r w:rsidRPr="00385AFF">
        <w:rPr>
          <w:rFonts w:eastAsia="Times New Roman" w:cs="Arial"/>
          <w:color w:val="000000"/>
          <w:lang w:val="en-US"/>
        </w:rPr>
        <w:t xml:space="preserve">(GIST), </w:t>
      </w:r>
      <w:r w:rsidRPr="00385AFF">
        <w:rPr>
          <w:rFonts w:eastAsia="Times New Roman" w:cs="Arial"/>
          <w:color w:val="000000"/>
          <w:lang w:eastAsia="bg-BG"/>
        </w:rPr>
        <w:t xml:space="preserve">които експресират активираща </w:t>
      </w:r>
      <w:r w:rsidRPr="00385AFF">
        <w:rPr>
          <w:rFonts w:eastAsia="Times New Roman" w:cs="Arial"/>
          <w:i/>
          <w:iCs/>
          <w:color w:val="000000"/>
          <w:lang w:val="en-US"/>
        </w:rPr>
        <w:t>kit</w:t>
      </w:r>
      <w:r w:rsidRPr="00385AFF">
        <w:rPr>
          <w:rFonts w:eastAsia="Times New Roman" w:cs="Arial"/>
          <w:color w:val="000000"/>
          <w:lang w:val="en-US"/>
        </w:rPr>
        <w:t xml:space="preserve"> </w:t>
      </w:r>
      <w:r w:rsidRPr="00385AFF">
        <w:rPr>
          <w:rFonts w:eastAsia="Times New Roman" w:cs="Arial"/>
          <w:color w:val="000000"/>
          <w:lang w:eastAsia="bg-BG"/>
        </w:rPr>
        <w:t xml:space="preserve">мутация. В патогенезата на МДС/МПЗ, ХЕС/ХЕЛ и ДФСП са включени структурното активиране на </w:t>
      </w:r>
      <w:r w:rsidRPr="00385AFF">
        <w:rPr>
          <w:rFonts w:eastAsia="Times New Roman" w:cs="Arial"/>
          <w:color w:val="000000"/>
          <w:lang w:val="en-US"/>
        </w:rPr>
        <w:t xml:space="preserve">PDGF </w:t>
      </w:r>
      <w:r w:rsidRPr="00385AFF">
        <w:rPr>
          <w:rFonts w:eastAsia="Times New Roman" w:cs="Arial"/>
          <w:color w:val="000000"/>
          <w:lang w:eastAsia="bg-BG"/>
        </w:rPr>
        <w:t>рецептора или А</w:t>
      </w:r>
      <w:r w:rsidRPr="00385AFF">
        <w:rPr>
          <w:rFonts w:eastAsia="Times New Roman" w:cs="Arial"/>
          <w:color w:val="000000"/>
          <w:lang w:val="en-US"/>
        </w:rPr>
        <w:t>bl</w:t>
      </w:r>
      <w:r w:rsidRPr="00385AFF">
        <w:rPr>
          <w:rFonts w:eastAsia="Times New Roman" w:cs="Arial"/>
          <w:color w:val="000000"/>
          <w:lang w:eastAsia="bg-BG"/>
        </w:rPr>
        <w:t xml:space="preserve"> протеин тирозин киназите в резултат на дифузия до различни свързващи протеини или съществена продукция на </w:t>
      </w:r>
      <w:r w:rsidRPr="00385AFF">
        <w:rPr>
          <w:rFonts w:eastAsia="Times New Roman" w:cs="Arial"/>
          <w:color w:val="000000"/>
          <w:lang w:val="en-US"/>
        </w:rPr>
        <w:t xml:space="preserve">PDGF. </w:t>
      </w:r>
      <w:r w:rsidRPr="00385AFF">
        <w:rPr>
          <w:rFonts w:eastAsia="Times New Roman" w:cs="Arial"/>
          <w:color w:val="000000"/>
          <w:lang w:eastAsia="bg-BG"/>
        </w:rPr>
        <w:t xml:space="preserve">Иматиниб инхибира клетъчната пролиферация и сигнализиране водени от нарушената регулация на </w:t>
      </w:r>
      <w:r w:rsidRPr="00385AFF">
        <w:rPr>
          <w:rFonts w:eastAsia="Times New Roman" w:cs="Arial"/>
          <w:color w:val="000000"/>
          <w:lang w:val="en-US"/>
        </w:rPr>
        <w:t xml:space="preserve">PDGFR </w:t>
      </w:r>
      <w:r w:rsidRPr="00385AFF">
        <w:rPr>
          <w:rFonts w:eastAsia="Times New Roman" w:cs="Arial"/>
          <w:color w:val="000000"/>
          <w:lang w:eastAsia="bg-BG"/>
        </w:rPr>
        <w:t>и А</w:t>
      </w:r>
      <w:r w:rsidRPr="00385AFF">
        <w:rPr>
          <w:rFonts w:eastAsia="Times New Roman" w:cs="Arial"/>
          <w:color w:val="000000"/>
          <w:lang w:val="en-US"/>
        </w:rPr>
        <w:t>bl</w:t>
      </w:r>
      <w:r w:rsidRPr="00385AFF">
        <w:rPr>
          <w:rFonts w:eastAsia="Times New Roman" w:cs="Arial"/>
          <w:color w:val="000000"/>
          <w:lang w:eastAsia="bg-BG"/>
        </w:rPr>
        <w:t xml:space="preserve"> киназна активност.</w:t>
      </w:r>
    </w:p>
    <w:p w14:paraId="2B57571C" w14:textId="77777777" w:rsidR="00385AFF" w:rsidRPr="00385AFF" w:rsidRDefault="00385AFF" w:rsidP="00385AFF">
      <w:pPr>
        <w:spacing w:line="240" w:lineRule="auto"/>
        <w:rPr>
          <w:rFonts w:eastAsia="Times New Roman" w:cs="Arial"/>
          <w:color w:val="000000"/>
          <w:u w:val="single"/>
          <w:lang w:eastAsia="bg-BG"/>
        </w:rPr>
      </w:pPr>
    </w:p>
    <w:p w14:paraId="0D4904FC" w14:textId="40E1A3D7" w:rsidR="00385AFF" w:rsidRPr="00385AFF" w:rsidRDefault="00385AFF" w:rsidP="00385AFF">
      <w:pPr>
        <w:spacing w:line="240" w:lineRule="auto"/>
        <w:rPr>
          <w:rFonts w:eastAsia="Times New Roman" w:cs="Arial"/>
          <w:lang w:eastAsia="bg-BG"/>
        </w:rPr>
      </w:pPr>
      <w:r w:rsidRPr="00385AFF">
        <w:rPr>
          <w:rFonts w:eastAsia="Times New Roman" w:cs="Arial"/>
          <w:color w:val="000000"/>
          <w:u w:val="single"/>
          <w:lang w:eastAsia="bg-BG"/>
        </w:rPr>
        <w:t>Клинични проучвания при хронична миелоидна левкемия</w:t>
      </w:r>
    </w:p>
    <w:p w14:paraId="4550F9A2" w14:textId="77777777" w:rsidR="00385AFF" w:rsidRPr="00385AFF" w:rsidRDefault="00385AFF" w:rsidP="00385AFF">
      <w:pPr>
        <w:spacing w:line="240" w:lineRule="auto"/>
        <w:rPr>
          <w:rFonts w:eastAsia="Times New Roman" w:cs="Arial"/>
          <w:lang w:eastAsia="bg-BG"/>
        </w:rPr>
      </w:pPr>
      <w:r w:rsidRPr="00385AFF">
        <w:rPr>
          <w:rFonts w:eastAsia="Times New Roman" w:cs="Arial"/>
          <w:color w:val="000000"/>
          <w:lang w:eastAsia="bg-BG"/>
        </w:rPr>
        <w:t>Ефективността на иматиниб се основава на цялостния хематологичен и цитогенетичен отговор и преживяемостта без от прогресия. Освен при ново диагностицирана ХМЛ в хронична фаза, няма контролирани проучвания, които да показват клинична полза, изразена като подобрение в свързаните с болестта симптоми или удължена преживяемост.</w:t>
      </w:r>
    </w:p>
    <w:p w14:paraId="5EC1AA37" w14:textId="77777777" w:rsidR="00385AFF" w:rsidRPr="00385AFF" w:rsidRDefault="00385AFF" w:rsidP="00385AFF">
      <w:pPr>
        <w:spacing w:line="240" w:lineRule="auto"/>
        <w:rPr>
          <w:rFonts w:eastAsia="Times New Roman" w:cs="Arial"/>
          <w:color w:val="000000"/>
          <w:lang w:eastAsia="bg-BG"/>
        </w:rPr>
      </w:pPr>
    </w:p>
    <w:p w14:paraId="4E859DA2" w14:textId="50B58525" w:rsidR="00385AFF" w:rsidRPr="00385AFF" w:rsidRDefault="00385AFF" w:rsidP="00385AFF">
      <w:pPr>
        <w:spacing w:line="240" w:lineRule="auto"/>
        <w:rPr>
          <w:rFonts w:eastAsia="Times New Roman" w:cs="Arial"/>
          <w:lang w:eastAsia="bg-BG"/>
        </w:rPr>
      </w:pPr>
      <w:r w:rsidRPr="00385AFF">
        <w:rPr>
          <w:rFonts w:eastAsia="Times New Roman" w:cs="Arial"/>
          <w:color w:val="000000"/>
          <w:lang w:eastAsia="bg-BG"/>
        </w:rPr>
        <w:t xml:space="preserve">Проведени са три големи, международни, отворени, неконтролирани проучвания във фаза 11 при пациенти с напреднала, положителна за Филаделфийска хромозома </w:t>
      </w:r>
      <w:r w:rsidRPr="00385AFF">
        <w:rPr>
          <w:rFonts w:eastAsia="Times New Roman" w:cs="Arial"/>
          <w:color w:val="000000"/>
          <w:lang w:val="en-US"/>
        </w:rPr>
        <w:t xml:space="preserve">(Ph+) </w:t>
      </w:r>
      <w:r w:rsidRPr="00385AFF">
        <w:rPr>
          <w:rFonts w:eastAsia="Times New Roman" w:cs="Arial"/>
          <w:color w:val="000000"/>
          <w:lang w:eastAsia="bg-BG"/>
        </w:rPr>
        <w:t xml:space="preserve">ХМЛ - бластна криза или фаза на акцелерация, при други </w:t>
      </w:r>
      <w:r w:rsidRPr="00385AFF">
        <w:rPr>
          <w:rFonts w:eastAsia="Times New Roman" w:cs="Arial"/>
          <w:color w:val="000000"/>
          <w:lang w:val="en-US"/>
        </w:rPr>
        <w:t xml:space="preserve">Ph+ </w:t>
      </w:r>
      <w:r w:rsidRPr="00385AFF">
        <w:rPr>
          <w:rFonts w:eastAsia="Times New Roman" w:cs="Arial"/>
          <w:color w:val="000000"/>
          <w:lang w:eastAsia="bg-BG"/>
        </w:rPr>
        <w:t xml:space="preserve">левкемии или ХМЛ в хронична фаза, но с предхождаща неуспешна терапия с интерферон-алфа </w:t>
      </w:r>
      <w:r w:rsidRPr="00385AFF">
        <w:rPr>
          <w:rFonts w:eastAsia="Times New Roman" w:cs="Arial"/>
          <w:color w:val="000000"/>
          <w:lang w:val="en-US"/>
        </w:rPr>
        <w:t xml:space="preserve">(IFN). </w:t>
      </w:r>
      <w:r w:rsidRPr="00385AFF">
        <w:rPr>
          <w:rFonts w:eastAsia="Times New Roman" w:cs="Arial"/>
          <w:color w:val="000000"/>
          <w:lang w:eastAsia="bg-BG"/>
        </w:rPr>
        <w:t xml:space="preserve">Проведено е едно голямо, отворено, многоцентрово, международно рандомизирано проучване във фаза III при новодиагностицирани пациенти с </w:t>
      </w:r>
      <w:r w:rsidRPr="00385AFF">
        <w:rPr>
          <w:rFonts w:eastAsia="Times New Roman" w:cs="Arial"/>
          <w:color w:val="000000"/>
          <w:lang w:val="en-US"/>
        </w:rPr>
        <w:t xml:space="preserve">Ph+ </w:t>
      </w:r>
      <w:r w:rsidRPr="00385AFF">
        <w:rPr>
          <w:rFonts w:eastAsia="Times New Roman" w:cs="Arial"/>
          <w:color w:val="000000"/>
          <w:lang w:eastAsia="bg-BG"/>
        </w:rPr>
        <w:t>ХМЛ. Освен това при деца са проведени две проучвания във фаза I и едно във фаза II.</w:t>
      </w:r>
    </w:p>
    <w:p w14:paraId="2A8FEC18" w14:textId="77777777" w:rsidR="00385AFF" w:rsidRPr="00385AFF" w:rsidRDefault="00385AFF" w:rsidP="00385AFF">
      <w:pPr>
        <w:spacing w:line="240" w:lineRule="auto"/>
        <w:rPr>
          <w:rFonts w:eastAsia="Times New Roman" w:cs="Arial"/>
          <w:color w:val="000000"/>
          <w:lang w:eastAsia="bg-BG"/>
        </w:rPr>
      </w:pPr>
    </w:p>
    <w:p w14:paraId="76FD2B43" w14:textId="5E3B78A3" w:rsidR="00385AFF" w:rsidRPr="00385AFF" w:rsidRDefault="00385AFF" w:rsidP="00385AFF">
      <w:pPr>
        <w:spacing w:line="240" w:lineRule="auto"/>
        <w:rPr>
          <w:rFonts w:eastAsia="Times New Roman" w:cs="Arial"/>
          <w:lang w:eastAsia="bg-BG"/>
        </w:rPr>
      </w:pPr>
      <w:r w:rsidRPr="00385AFF">
        <w:rPr>
          <w:rFonts w:eastAsia="Times New Roman" w:cs="Arial"/>
          <w:color w:val="000000"/>
          <w:lang w:eastAsia="bg-BG"/>
        </w:rPr>
        <w:t>При всички клинични проучвания 38%-40% от пациентите са били ≥ 60 години и 10-12% от тях са били ≥70 години.</w:t>
      </w:r>
    </w:p>
    <w:p w14:paraId="7C337C7B" w14:textId="77777777" w:rsidR="00385AFF" w:rsidRPr="00385AFF" w:rsidRDefault="00385AFF" w:rsidP="00385AFF">
      <w:pPr>
        <w:spacing w:line="240" w:lineRule="auto"/>
        <w:rPr>
          <w:rFonts w:eastAsia="Times New Roman" w:cs="Arial"/>
          <w:i/>
          <w:iCs/>
          <w:color w:val="000000"/>
          <w:lang w:eastAsia="bg-BG"/>
        </w:rPr>
      </w:pPr>
    </w:p>
    <w:p w14:paraId="69719A41" w14:textId="7D2E81B8" w:rsidR="00385AFF" w:rsidRPr="00385AFF" w:rsidRDefault="00385AFF" w:rsidP="00385AFF">
      <w:pPr>
        <w:spacing w:line="240" w:lineRule="auto"/>
        <w:rPr>
          <w:rFonts w:eastAsia="Times New Roman" w:cs="Arial"/>
          <w:lang w:eastAsia="bg-BG"/>
        </w:rPr>
      </w:pPr>
      <w:r w:rsidRPr="00385AFF">
        <w:rPr>
          <w:rFonts w:eastAsia="Times New Roman" w:cs="Arial"/>
          <w:i/>
          <w:iCs/>
          <w:color w:val="000000"/>
          <w:lang w:eastAsia="bg-BG"/>
        </w:rPr>
        <w:t>Хронична фаза, новодиагностицирани пациенти:</w:t>
      </w:r>
      <w:r w:rsidRPr="00385AFF">
        <w:rPr>
          <w:rFonts w:eastAsia="Times New Roman" w:cs="Arial"/>
          <w:color w:val="000000"/>
          <w:lang w:eastAsia="bg-BG"/>
        </w:rPr>
        <w:t xml:space="preserve"> Фаза III проучване при възрастни пациенти сравнява лечението с иматиниб самостоятелно с комбинация от интерферон-алфа </w:t>
      </w:r>
      <w:r w:rsidRPr="00385AFF">
        <w:rPr>
          <w:rFonts w:eastAsia="Times New Roman" w:cs="Arial"/>
          <w:color w:val="000000"/>
          <w:lang w:val="en-US"/>
        </w:rPr>
        <w:t xml:space="preserve">(1FN) </w:t>
      </w:r>
      <w:r w:rsidRPr="00385AFF">
        <w:rPr>
          <w:rFonts w:eastAsia="Times New Roman" w:cs="Arial"/>
          <w:color w:val="000000"/>
          <w:lang w:eastAsia="bg-BG"/>
        </w:rPr>
        <w:t xml:space="preserve">плюс цитарабин </w:t>
      </w:r>
      <w:r w:rsidRPr="00385AFF">
        <w:rPr>
          <w:rFonts w:eastAsia="Times New Roman" w:cs="Arial"/>
          <w:color w:val="000000"/>
          <w:lang w:val="en-US"/>
        </w:rPr>
        <w:t>(Ara</w:t>
      </w:r>
      <w:r w:rsidRPr="00385AFF">
        <w:rPr>
          <w:rFonts w:eastAsia="Times New Roman" w:cs="Arial"/>
          <w:color w:val="000000"/>
          <w:lang w:eastAsia="bg-BG"/>
        </w:rPr>
        <w:t xml:space="preserve">-С). На пациентите, които показват липса на отговор (липса на пълен хематологичен отговор - ПХО или </w:t>
      </w:r>
      <w:r w:rsidRPr="00385AFF">
        <w:rPr>
          <w:rFonts w:eastAsia="Times New Roman" w:cs="Arial"/>
          <w:color w:val="000000"/>
          <w:lang w:val="en-US"/>
        </w:rPr>
        <w:t xml:space="preserve">CHR) </w:t>
      </w:r>
      <w:r w:rsidRPr="00385AFF">
        <w:rPr>
          <w:rFonts w:eastAsia="Times New Roman" w:cs="Arial"/>
          <w:color w:val="000000"/>
          <w:lang w:eastAsia="bg-BG"/>
        </w:rPr>
        <w:t xml:space="preserve">на 6-ия месец, повишаване на левкоцитите, липса на голям цитогенетичен отговор - ГЦО </w:t>
      </w:r>
      <w:r w:rsidRPr="00385AFF">
        <w:rPr>
          <w:rFonts w:eastAsia="Times New Roman" w:cs="Arial"/>
          <w:color w:val="000000"/>
          <w:lang w:val="en-US"/>
        </w:rPr>
        <w:t xml:space="preserve">(MCgR) </w:t>
      </w:r>
      <w:r w:rsidRPr="00385AFF">
        <w:rPr>
          <w:rFonts w:eastAsia="Times New Roman" w:cs="Arial"/>
          <w:color w:val="000000"/>
          <w:lang w:eastAsia="bg-BG"/>
        </w:rPr>
        <w:t xml:space="preserve">на 24-ия месец), загуба на отговор (загуба на </w:t>
      </w:r>
      <w:r w:rsidRPr="00385AFF">
        <w:rPr>
          <w:rFonts w:eastAsia="Times New Roman" w:cs="Arial"/>
          <w:color w:val="000000"/>
          <w:lang w:val="en-US"/>
        </w:rPr>
        <w:t xml:space="preserve">CHR </w:t>
      </w:r>
      <w:r w:rsidRPr="00385AFF">
        <w:rPr>
          <w:rFonts w:eastAsia="Times New Roman" w:cs="Arial"/>
          <w:color w:val="000000"/>
          <w:lang w:eastAsia="bg-BG"/>
        </w:rPr>
        <w:t xml:space="preserve">или </w:t>
      </w:r>
      <w:r w:rsidRPr="00385AFF">
        <w:rPr>
          <w:rFonts w:eastAsia="Times New Roman" w:cs="Arial"/>
          <w:color w:val="000000"/>
          <w:lang w:val="en-US"/>
        </w:rPr>
        <w:t xml:space="preserve">MCgR) </w:t>
      </w:r>
      <w:r w:rsidRPr="00385AFF">
        <w:rPr>
          <w:rFonts w:eastAsia="Times New Roman" w:cs="Arial"/>
          <w:color w:val="000000"/>
          <w:lang w:eastAsia="bg-BG"/>
        </w:rPr>
        <w:t xml:space="preserve">или тежка непоносимост към лечението е разрешено да преминат в алтернативното терапевтично рамо. В рамото на иматиниб, пациентите са лекувани с доза 400 </w:t>
      </w:r>
      <w:r w:rsidRPr="00385AFF">
        <w:rPr>
          <w:rFonts w:eastAsia="Times New Roman" w:cs="Arial"/>
          <w:color w:val="000000"/>
          <w:lang w:val="en-US"/>
        </w:rPr>
        <w:t xml:space="preserve">mg </w:t>
      </w:r>
      <w:r w:rsidRPr="00385AFF">
        <w:rPr>
          <w:rFonts w:eastAsia="Times New Roman" w:cs="Arial"/>
          <w:color w:val="000000"/>
          <w:lang w:eastAsia="bg-BG"/>
        </w:rPr>
        <w:t xml:space="preserve">дневно. При лечението с </w:t>
      </w:r>
      <w:r w:rsidRPr="00385AFF">
        <w:rPr>
          <w:rFonts w:eastAsia="Times New Roman" w:cs="Arial"/>
          <w:color w:val="000000"/>
          <w:lang w:val="en-US"/>
        </w:rPr>
        <w:t xml:space="preserve">IFN, </w:t>
      </w:r>
      <w:r w:rsidRPr="00385AFF">
        <w:rPr>
          <w:rFonts w:eastAsia="Times New Roman" w:cs="Arial"/>
          <w:color w:val="000000"/>
          <w:lang w:eastAsia="bg-BG"/>
        </w:rPr>
        <w:t xml:space="preserve">пациентите са лекувани с прицелна доза на </w:t>
      </w:r>
      <w:r w:rsidRPr="00385AFF">
        <w:rPr>
          <w:rFonts w:eastAsia="Times New Roman" w:cs="Arial"/>
          <w:color w:val="000000"/>
          <w:lang w:val="en-US"/>
        </w:rPr>
        <w:t xml:space="preserve">IFN </w:t>
      </w:r>
      <w:r w:rsidRPr="00385AFF">
        <w:rPr>
          <w:rFonts w:eastAsia="Times New Roman" w:cs="Arial"/>
          <w:color w:val="000000"/>
          <w:lang w:eastAsia="bg-BG"/>
        </w:rPr>
        <w:t>от 5 МЮ/</w:t>
      </w:r>
      <w:r w:rsidRPr="00385AFF">
        <w:rPr>
          <w:rFonts w:eastAsia="Times New Roman" w:cs="Arial"/>
          <w:color w:val="000000"/>
          <w:lang w:val="en-US"/>
        </w:rPr>
        <w:t>m</w:t>
      </w:r>
      <w:r w:rsidRPr="00385AFF">
        <w:rPr>
          <w:rFonts w:eastAsia="Times New Roman" w:cs="Arial"/>
          <w:color w:val="000000"/>
          <w:vertAlign w:val="superscript"/>
          <w:lang w:eastAsia="bg-BG"/>
        </w:rPr>
        <w:t>2</w:t>
      </w:r>
      <w:r w:rsidRPr="00385AFF">
        <w:rPr>
          <w:rFonts w:eastAsia="Times New Roman" w:cs="Arial"/>
          <w:color w:val="000000"/>
          <w:lang w:eastAsia="bg-BG"/>
        </w:rPr>
        <w:t xml:space="preserve">/дневно подкожно, в комбинация с </w:t>
      </w:r>
      <w:r w:rsidRPr="00385AFF">
        <w:rPr>
          <w:rFonts w:eastAsia="Times New Roman" w:cs="Arial"/>
          <w:color w:val="000000"/>
          <w:lang w:val="en-US"/>
        </w:rPr>
        <w:t>Ara-C 20mg/m</w:t>
      </w:r>
      <w:r w:rsidRPr="00385AFF">
        <w:rPr>
          <w:rFonts w:eastAsia="Times New Roman" w:cs="Arial"/>
          <w:color w:val="000000"/>
          <w:vertAlign w:val="superscript"/>
          <w:lang w:val="en-US"/>
        </w:rPr>
        <w:t>2</w:t>
      </w:r>
      <w:r w:rsidRPr="00385AFF">
        <w:rPr>
          <w:rFonts w:eastAsia="Times New Roman" w:cs="Arial"/>
          <w:color w:val="000000"/>
          <w:lang w:val="en-US"/>
        </w:rPr>
        <w:t>/</w:t>
      </w:r>
      <w:r w:rsidRPr="00385AFF">
        <w:rPr>
          <w:rFonts w:eastAsia="Times New Roman" w:cs="Arial"/>
          <w:color w:val="000000"/>
          <w:lang w:eastAsia="bg-BG"/>
        </w:rPr>
        <w:t>дневно</w:t>
      </w:r>
      <w:r w:rsidRPr="00385AFF">
        <w:rPr>
          <w:rFonts w:eastAsia="Times New Roman" w:cs="Arial"/>
          <w:color w:val="000000"/>
          <w:lang w:val="en-US"/>
        </w:rPr>
        <w:t xml:space="preserve"> </w:t>
      </w:r>
      <w:r w:rsidRPr="00385AFF">
        <w:rPr>
          <w:rFonts w:eastAsia="Times New Roman" w:cs="Arial"/>
          <w:color w:val="000000"/>
          <w:lang w:eastAsia="bg-BG"/>
        </w:rPr>
        <w:t>подкожно за 10 дни/месечно.</w:t>
      </w:r>
    </w:p>
    <w:p w14:paraId="1DC5FDD8" w14:textId="77777777" w:rsidR="00385AFF" w:rsidRPr="00385AFF" w:rsidRDefault="00385AFF" w:rsidP="00385AFF">
      <w:pPr>
        <w:spacing w:line="240" w:lineRule="auto"/>
        <w:rPr>
          <w:rFonts w:eastAsia="Times New Roman" w:cs="Arial"/>
          <w:color w:val="000000"/>
          <w:lang w:eastAsia="bg-BG"/>
        </w:rPr>
      </w:pPr>
    </w:p>
    <w:p w14:paraId="24B3E08A" w14:textId="5A4B6A50" w:rsidR="00BF503E" w:rsidRPr="00BF503E" w:rsidRDefault="00385AFF" w:rsidP="00BF503E">
      <w:pPr>
        <w:spacing w:line="240" w:lineRule="auto"/>
        <w:rPr>
          <w:rFonts w:eastAsia="Times New Roman" w:cs="Arial"/>
          <w:lang w:val="en-US" w:eastAsia="bg-BG"/>
        </w:rPr>
      </w:pPr>
      <w:r w:rsidRPr="00385AFF">
        <w:rPr>
          <w:rFonts w:eastAsia="Times New Roman" w:cs="Arial"/>
          <w:color w:val="000000"/>
          <w:lang w:eastAsia="bg-BG"/>
        </w:rPr>
        <w:t>Рандомизирани са общо 1 106 пациента - по 553 във всяко рамо. Изходните характеристики са били добре балансирани между двете рамена. Медианата на възрастта е била 51 години (</w:t>
      </w:r>
      <w:r w:rsidRPr="00385AFF">
        <w:rPr>
          <w:rFonts w:eastAsia="Times New Roman" w:cs="Arial"/>
          <w:color w:val="000000"/>
          <w:lang w:val="en-US"/>
        </w:rPr>
        <w:t xml:space="preserve"> </w:t>
      </w:r>
      <w:r w:rsidRPr="00385AFF">
        <w:rPr>
          <w:rFonts w:eastAsia="Times New Roman" w:cs="Arial"/>
          <w:color w:val="000000"/>
          <w:lang w:eastAsia="bg-BG"/>
        </w:rPr>
        <w:t>от 18 до 70 години), като 21,9% от пациентите са били на възраст ≥ 60 години. Мъжете са били 59%,</w:t>
      </w:r>
      <w:r w:rsidRPr="00385AFF">
        <w:rPr>
          <w:rFonts w:eastAsia="Times New Roman" w:cs="Arial"/>
          <w:color w:val="000000"/>
          <w:lang w:val="en-US"/>
        </w:rPr>
        <w:t xml:space="preserve"> a</w:t>
      </w:r>
      <w:r w:rsidR="00BF503E">
        <w:rPr>
          <w:rFonts w:eastAsia="Times New Roman" w:cs="Arial"/>
          <w:lang w:val="en-US" w:eastAsia="bg-BG"/>
        </w:rPr>
        <w:t xml:space="preserve"> </w:t>
      </w:r>
      <w:r w:rsidRPr="00385AFF">
        <w:rPr>
          <w:rFonts w:eastAsia="Times New Roman" w:cs="Arial"/>
          <w:color w:val="000000"/>
          <w:lang w:eastAsia="bg-BG"/>
        </w:rPr>
        <w:t xml:space="preserve">жените -41%; 89,9% са били от бялата раса и 4,7% - от негроидната раса. Седем години след включване на последния пациент, медианата на продължителност на терапията на първа линия </w:t>
      </w:r>
      <w:r w:rsidRPr="00385AFF">
        <w:rPr>
          <w:rFonts w:eastAsia="Times New Roman" w:cs="Arial"/>
          <w:i/>
          <w:iCs/>
          <w:color w:val="000000"/>
          <w:lang w:eastAsia="bg-BG"/>
        </w:rPr>
        <w:t xml:space="preserve"> е</w:t>
      </w:r>
      <w:r w:rsidRPr="00385AFF">
        <w:rPr>
          <w:rFonts w:eastAsia="Times New Roman" w:cs="Arial"/>
          <w:color w:val="000000"/>
          <w:lang w:eastAsia="bg-BG"/>
        </w:rPr>
        <w:t xml:space="preserve"> била 82 и 8 месеца, съответно в групата на иматиниб и </w:t>
      </w:r>
      <w:r w:rsidRPr="00385AFF">
        <w:rPr>
          <w:rFonts w:eastAsia="Times New Roman" w:cs="Arial"/>
          <w:color w:val="000000"/>
          <w:lang w:val="en-US"/>
        </w:rPr>
        <w:t xml:space="preserve">IFN. </w:t>
      </w:r>
      <w:r w:rsidRPr="00385AFF">
        <w:rPr>
          <w:rFonts w:eastAsia="Times New Roman" w:cs="Arial"/>
          <w:color w:val="000000"/>
          <w:lang w:eastAsia="bg-BG"/>
        </w:rPr>
        <w:t>Медианата на продължителност</w:t>
      </w:r>
      <w:r w:rsidR="00BF503E">
        <w:rPr>
          <w:rFonts w:eastAsia="Times New Roman" w:cs="Arial"/>
          <w:color w:val="000000"/>
          <w:lang w:val="en-US" w:eastAsia="bg-BG"/>
        </w:rPr>
        <w:t xml:space="preserve"> </w:t>
      </w:r>
      <w:r w:rsidR="00BF503E" w:rsidRPr="00BF503E">
        <w:rPr>
          <w:rFonts w:eastAsia="Times New Roman" w:cs="Arial"/>
          <w:color w:val="000000"/>
          <w:lang w:eastAsia="bg-BG"/>
        </w:rPr>
        <w:t xml:space="preserve">на лечението на втора линия с иматиниб е била 64 месеца. Като цяло, при пациенти получаващи иматиниб като терапия на първа линия, средната получена дневна доза е била 406 ± 76 </w:t>
      </w:r>
      <w:r w:rsidR="00BF503E" w:rsidRPr="00BF503E">
        <w:rPr>
          <w:rFonts w:eastAsia="Times New Roman" w:cs="Arial"/>
          <w:color w:val="000000"/>
          <w:lang w:val="en-US"/>
        </w:rPr>
        <w:t xml:space="preserve">mg. </w:t>
      </w:r>
      <w:r w:rsidR="00BF503E" w:rsidRPr="00BF503E">
        <w:rPr>
          <w:rFonts w:eastAsia="Times New Roman" w:cs="Arial"/>
          <w:color w:val="000000"/>
          <w:lang w:eastAsia="bg-BG"/>
        </w:rPr>
        <w:t xml:space="preserve">Първичната крайна цел за ефективност на проучването е била свободната от прогресия преживяемост. Прогресията се дефинира като едно от следните събития: прогресия към фаза на акцелерация или бластна криза, смърт, загуба на ПХО </w:t>
      </w:r>
      <w:r w:rsidR="00BF503E" w:rsidRPr="00BF503E">
        <w:rPr>
          <w:rFonts w:eastAsia="Times New Roman" w:cs="Arial"/>
          <w:color w:val="000000"/>
          <w:lang w:val="en-US"/>
        </w:rPr>
        <w:t xml:space="preserve">(CHR) </w:t>
      </w:r>
      <w:r w:rsidR="00BF503E" w:rsidRPr="00BF503E">
        <w:rPr>
          <w:rFonts w:eastAsia="Times New Roman" w:cs="Arial"/>
          <w:color w:val="000000"/>
          <w:lang w:eastAsia="bg-BG"/>
        </w:rPr>
        <w:t xml:space="preserve">или ГЦО </w:t>
      </w:r>
      <w:r w:rsidR="00BF503E" w:rsidRPr="00BF503E">
        <w:rPr>
          <w:rFonts w:eastAsia="Times New Roman" w:cs="Arial"/>
          <w:color w:val="000000"/>
          <w:lang w:val="en-US"/>
        </w:rPr>
        <w:t xml:space="preserve">(MCgR) </w:t>
      </w:r>
      <w:r w:rsidR="00BF503E" w:rsidRPr="00BF503E">
        <w:rPr>
          <w:rFonts w:eastAsia="Times New Roman" w:cs="Arial"/>
          <w:color w:val="000000"/>
          <w:lang w:eastAsia="bg-BG"/>
        </w:rPr>
        <w:t xml:space="preserve">или при пациенти, непостигнали ПХО </w:t>
      </w:r>
      <w:r w:rsidR="00BF503E" w:rsidRPr="00BF503E">
        <w:rPr>
          <w:rFonts w:eastAsia="Times New Roman" w:cs="Arial"/>
          <w:color w:val="000000"/>
          <w:lang w:val="en-US"/>
        </w:rPr>
        <w:t xml:space="preserve">(CHR)- </w:t>
      </w:r>
      <w:r w:rsidR="00BF503E" w:rsidRPr="00BF503E">
        <w:rPr>
          <w:rFonts w:eastAsia="Times New Roman" w:cs="Arial"/>
          <w:color w:val="000000"/>
          <w:lang w:eastAsia="bg-BG"/>
        </w:rPr>
        <w:t>повишаване на левкоцитите независимо от подходящо приложената терапия. Вторичните крайни цели са голям цитогенетичен отговор, хематологичен отговор, молекулярен отговор (оценка на минималната резидуална болест), времето до достигане на фаза на акцелерация или бластна криза и преживяемостта. Данните за отговора от лечението са представени в Таблица 2.</w:t>
      </w:r>
    </w:p>
    <w:p w14:paraId="40A4F0AA" w14:textId="77777777" w:rsidR="00BF503E" w:rsidRPr="00BF503E" w:rsidRDefault="00BF503E" w:rsidP="00BF503E">
      <w:pPr>
        <w:rPr>
          <w:rFonts w:eastAsia="Times New Roman" w:cs="Arial"/>
          <w:b/>
          <w:bCs/>
          <w:color w:val="000000"/>
          <w:lang w:eastAsia="bg-BG"/>
        </w:rPr>
      </w:pPr>
    </w:p>
    <w:p w14:paraId="70DF502B" w14:textId="12B1834D" w:rsidR="00BF503E" w:rsidRPr="00BF503E" w:rsidRDefault="00BF503E" w:rsidP="00BF503E">
      <w:pPr>
        <w:rPr>
          <w:rFonts w:eastAsia="Times New Roman" w:cs="Arial"/>
          <w:b/>
          <w:bCs/>
          <w:color w:val="000000"/>
          <w:lang w:eastAsia="bg-BG"/>
        </w:rPr>
      </w:pPr>
      <w:r w:rsidRPr="00BF503E">
        <w:rPr>
          <w:rFonts w:eastAsia="Times New Roman" w:cs="Arial"/>
          <w:b/>
          <w:bCs/>
          <w:color w:val="000000"/>
          <w:lang w:eastAsia="bg-BG"/>
        </w:rPr>
        <w:t>Таблица 2 Отговори в проучване при иоводиагноетицнрани пациенти с ХМЛ (84-месечни данни)</w:t>
      </w:r>
    </w:p>
    <w:p w14:paraId="3F06D6C6" w14:textId="046A2D72" w:rsidR="00BF503E" w:rsidRDefault="00BF503E" w:rsidP="00BF503E">
      <w:pPr>
        <w:rPr>
          <w:rFonts w:ascii="Times New Roman" w:eastAsia="Times New Roman" w:hAnsi="Times New Roman" w:cs="Times New Roman"/>
          <w:b/>
          <w:bCs/>
          <w:color w:val="000000"/>
          <w:lang w:eastAsia="bg-BG"/>
        </w:rPr>
      </w:pPr>
    </w:p>
    <w:tbl>
      <w:tblPr>
        <w:tblStyle w:val="TableGrid"/>
        <w:tblW w:w="0" w:type="auto"/>
        <w:tblLook w:val="04A0" w:firstRow="1" w:lastRow="0" w:firstColumn="1" w:lastColumn="0" w:noHBand="0" w:noVBand="1"/>
      </w:tblPr>
      <w:tblGrid>
        <w:gridCol w:w="3116"/>
        <w:gridCol w:w="3117"/>
        <w:gridCol w:w="3117"/>
      </w:tblGrid>
      <w:tr w:rsidR="00BF503E" w14:paraId="2C138EB7" w14:textId="77777777" w:rsidTr="00BF503E">
        <w:tc>
          <w:tcPr>
            <w:tcW w:w="3116" w:type="dxa"/>
          </w:tcPr>
          <w:p w14:paraId="1576FC85" w14:textId="266A10F2" w:rsidR="00BF503E" w:rsidRPr="00BF503E" w:rsidRDefault="00BF503E" w:rsidP="00BF503E">
            <w:r w:rsidRPr="00BF503E">
              <w:rPr>
                <w:b/>
                <w:bCs/>
              </w:rPr>
              <w:t>(Честота на най-добър отговор)</w:t>
            </w:r>
          </w:p>
        </w:tc>
        <w:tc>
          <w:tcPr>
            <w:tcW w:w="3117" w:type="dxa"/>
          </w:tcPr>
          <w:p w14:paraId="10C24A45" w14:textId="4E18CB83" w:rsidR="00BF503E" w:rsidRPr="00BF503E" w:rsidRDefault="00BF503E" w:rsidP="00BF503E">
            <w:r w:rsidRPr="00BF503E">
              <w:rPr>
                <w:b/>
                <w:bCs/>
              </w:rPr>
              <w:t xml:space="preserve">иматиниб </w:t>
            </w:r>
            <w:r w:rsidRPr="00BF503E">
              <w:rPr>
                <w:b/>
                <w:bCs/>
                <w:lang w:val="en-US"/>
              </w:rPr>
              <w:t>n</w:t>
            </w:r>
            <w:r w:rsidRPr="00BF503E">
              <w:t>=553</w:t>
            </w:r>
          </w:p>
        </w:tc>
        <w:tc>
          <w:tcPr>
            <w:tcW w:w="3117" w:type="dxa"/>
          </w:tcPr>
          <w:p w14:paraId="284431E4" w14:textId="77777777" w:rsidR="00BF503E" w:rsidRPr="00BF503E" w:rsidRDefault="00BF503E" w:rsidP="00BF503E">
            <w:r w:rsidRPr="00BF503E">
              <w:rPr>
                <w:b/>
                <w:bCs/>
                <w:lang w:val="en-US"/>
              </w:rPr>
              <w:t>IFN+Ara-C</w:t>
            </w:r>
          </w:p>
          <w:p w14:paraId="08A7E547" w14:textId="5B3AAE60" w:rsidR="00BF503E" w:rsidRPr="00BF503E" w:rsidRDefault="00BF503E" w:rsidP="00BF503E">
            <w:r w:rsidRPr="00BF503E">
              <w:rPr>
                <w:lang w:val="en-US"/>
              </w:rPr>
              <w:t>n</w:t>
            </w:r>
            <w:r w:rsidRPr="00BF503E">
              <w:t>=553</w:t>
            </w:r>
          </w:p>
        </w:tc>
      </w:tr>
      <w:tr w:rsidR="00BF503E" w14:paraId="5542ABEA" w14:textId="77777777" w:rsidTr="00C267CF">
        <w:tc>
          <w:tcPr>
            <w:tcW w:w="3116" w:type="dxa"/>
            <w:vAlign w:val="bottom"/>
          </w:tcPr>
          <w:p w14:paraId="0556C59F" w14:textId="75407BB4" w:rsidR="00BF503E" w:rsidRPr="00BF503E" w:rsidRDefault="00BF503E" w:rsidP="00BF503E">
            <w:r w:rsidRPr="00BF503E">
              <w:rPr>
                <w:b/>
                <w:bCs/>
              </w:rPr>
              <w:t>Хематологичен отговор</w:t>
            </w:r>
          </w:p>
        </w:tc>
        <w:tc>
          <w:tcPr>
            <w:tcW w:w="3117" w:type="dxa"/>
          </w:tcPr>
          <w:p w14:paraId="6CE80EA5" w14:textId="77777777" w:rsidR="00BF503E" w:rsidRPr="00BF503E" w:rsidRDefault="00BF503E" w:rsidP="00BF503E"/>
        </w:tc>
        <w:tc>
          <w:tcPr>
            <w:tcW w:w="3117" w:type="dxa"/>
          </w:tcPr>
          <w:p w14:paraId="1D86BE63" w14:textId="77777777" w:rsidR="00BF503E" w:rsidRPr="00BF503E" w:rsidRDefault="00BF503E" w:rsidP="00BF503E"/>
        </w:tc>
      </w:tr>
      <w:tr w:rsidR="00BF503E" w14:paraId="18C4710B" w14:textId="77777777" w:rsidTr="00C267CF">
        <w:tc>
          <w:tcPr>
            <w:tcW w:w="3116" w:type="dxa"/>
            <w:vAlign w:val="bottom"/>
          </w:tcPr>
          <w:p w14:paraId="79CA0293" w14:textId="45D698A2" w:rsidR="00BF503E" w:rsidRPr="00BF503E" w:rsidRDefault="00BF503E" w:rsidP="00BF503E">
            <w:r w:rsidRPr="00BF503E">
              <w:t xml:space="preserve">Честота на ПХО </w:t>
            </w:r>
            <w:r w:rsidRPr="00BF503E">
              <w:rPr>
                <w:lang w:val="en-US"/>
              </w:rPr>
              <w:t xml:space="preserve">(CHR) </w:t>
            </w:r>
            <w:r w:rsidRPr="00BF503E">
              <w:t>п (%)</w:t>
            </w:r>
          </w:p>
        </w:tc>
        <w:tc>
          <w:tcPr>
            <w:tcW w:w="3117" w:type="dxa"/>
            <w:vAlign w:val="bottom"/>
          </w:tcPr>
          <w:p w14:paraId="55D1C80C" w14:textId="54AA5C96" w:rsidR="00BF503E" w:rsidRPr="00BF503E" w:rsidRDefault="00BF503E" w:rsidP="00BF503E">
            <w:r w:rsidRPr="00BF503E">
              <w:t xml:space="preserve">534 </w:t>
            </w:r>
            <w:r w:rsidRPr="00BF503E">
              <w:rPr>
                <w:i/>
                <w:iCs/>
              </w:rPr>
              <w:t>(96,</w:t>
            </w:r>
            <w:r w:rsidRPr="00BF503E">
              <w:t>6%)*</w:t>
            </w:r>
          </w:p>
        </w:tc>
        <w:tc>
          <w:tcPr>
            <w:tcW w:w="3117" w:type="dxa"/>
            <w:vAlign w:val="bottom"/>
          </w:tcPr>
          <w:p w14:paraId="6BF45DEE" w14:textId="26AEC940" w:rsidR="00BF503E" w:rsidRPr="00BF503E" w:rsidRDefault="00BF503E" w:rsidP="00BF503E">
            <w:r w:rsidRPr="00BF503E">
              <w:t>313(56,6%)*</w:t>
            </w:r>
          </w:p>
        </w:tc>
      </w:tr>
      <w:tr w:rsidR="00BF503E" w14:paraId="3582B093" w14:textId="77777777" w:rsidTr="00BF503E">
        <w:tc>
          <w:tcPr>
            <w:tcW w:w="3116" w:type="dxa"/>
          </w:tcPr>
          <w:p w14:paraId="433176F5" w14:textId="1A6B5F2A" w:rsidR="00BF503E" w:rsidRPr="00BF503E" w:rsidRDefault="00BF503E" w:rsidP="00BF503E">
            <w:r w:rsidRPr="00BF503E">
              <w:t>[95% С</w:t>
            </w:r>
            <w:r w:rsidRPr="00BF503E">
              <w:rPr>
                <w:lang w:val="en-US"/>
              </w:rPr>
              <w:t>I</w:t>
            </w:r>
            <w:r w:rsidRPr="00BF503E">
              <w:t>]</w:t>
            </w:r>
          </w:p>
        </w:tc>
        <w:tc>
          <w:tcPr>
            <w:tcW w:w="3117" w:type="dxa"/>
          </w:tcPr>
          <w:p w14:paraId="5BAD652D" w14:textId="242E899A" w:rsidR="00BF503E" w:rsidRPr="00BF503E" w:rsidRDefault="00BF503E" w:rsidP="00BF503E">
            <w:r w:rsidRPr="00BF503E">
              <w:t>[94,7%, 97,9%]</w:t>
            </w:r>
          </w:p>
        </w:tc>
        <w:tc>
          <w:tcPr>
            <w:tcW w:w="3117" w:type="dxa"/>
          </w:tcPr>
          <w:p w14:paraId="260F56D3" w14:textId="2861AD64" w:rsidR="00BF503E" w:rsidRPr="00BF503E" w:rsidRDefault="00BF503E" w:rsidP="00BF503E">
            <w:r w:rsidRPr="00BF503E">
              <w:t>[52,4%, 60,8%]</w:t>
            </w:r>
          </w:p>
        </w:tc>
      </w:tr>
      <w:tr w:rsidR="00BF503E" w14:paraId="3A9B473B" w14:textId="77777777" w:rsidTr="00C267CF">
        <w:tc>
          <w:tcPr>
            <w:tcW w:w="3116" w:type="dxa"/>
            <w:vAlign w:val="bottom"/>
          </w:tcPr>
          <w:p w14:paraId="71BCBBA9" w14:textId="4645A401" w:rsidR="00BF503E" w:rsidRPr="00BF503E" w:rsidRDefault="00BF503E" w:rsidP="00BF503E">
            <w:r w:rsidRPr="00BF503E">
              <w:rPr>
                <w:b/>
                <w:bCs/>
              </w:rPr>
              <w:t>Цитогенетичен отговор</w:t>
            </w:r>
          </w:p>
        </w:tc>
        <w:tc>
          <w:tcPr>
            <w:tcW w:w="3117" w:type="dxa"/>
          </w:tcPr>
          <w:p w14:paraId="70782E70" w14:textId="78B1898F" w:rsidR="00BF503E" w:rsidRPr="00BF503E" w:rsidRDefault="00BF503E" w:rsidP="00BF503E">
            <w:r w:rsidRPr="00BF503E">
              <w:rPr>
                <w:rFonts w:cs="Arial"/>
              </w:rPr>
              <w:t xml:space="preserve"> </w:t>
            </w:r>
            <w:r w:rsidRPr="00BF503E">
              <w:rPr>
                <w:rFonts w:cs="Arial"/>
              </w:rPr>
              <w:tab/>
              <w:t>-</w:t>
            </w:r>
          </w:p>
        </w:tc>
        <w:tc>
          <w:tcPr>
            <w:tcW w:w="3117" w:type="dxa"/>
          </w:tcPr>
          <w:p w14:paraId="4D9A7C31" w14:textId="77777777" w:rsidR="00BF503E" w:rsidRPr="00BF503E" w:rsidRDefault="00BF503E" w:rsidP="00BF503E"/>
        </w:tc>
      </w:tr>
      <w:tr w:rsidR="00BF503E" w14:paraId="25CD2CB1" w14:textId="77777777" w:rsidTr="00C267CF">
        <w:tc>
          <w:tcPr>
            <w:tcW w:w="3116" w:type="dxa"/>
            <w:vAlign w:val="bottom"/>
          </w:tcPr>
          <w:p w14:paraId="72087DB2" w14:textId="4DF732ED" w:rsidR="00BF503E" w:rsidRPr="00BF503E" w:rsidRDefault="00BF503E" w:rsidP="00BF503E">
            <w:r w:rsidRPr="00BF503E">
              <w:t xml:space="preserve">Голям отговор </w:t>
            </w:r>
            <w:r w:rsidRPr="00BF503E">
              <w:rPr>
                <w:lang w:val="en-US"/>
              </w:rPr>
              <w:t>n</w:t>
            </w:r>
            <w:r w:rsidRPr="00BF503E">
              <w:t xml:space="preserve"> (%)</w:t>
            </w:r>
          </w:p>
        </w:tc>
        <w:tc>
          <w:tcPr>
            <w:tcW w:w="3117" w:type="dxa"/>
            <w:vAlign w:val="bottom"/>
          </w:tcPr>
          <w:p w14:paraId="4ACAF8A5" w14:textId="1F69913B" w:rsidR="00BF503E" w:rsidRPr="00BF503E" w:rsidRDefault="00BF503E" w:rsidP="00BF503E">
            <w:r w:rsidRPr="00BF503E">
              <w:t>490 (88,6%)*</w:t>
            </w:r>
          </w:p>
        </w:tc>
        <w:tc>
          <w:tcPr>
            <w:tcW w:w="3117" w:type="dxa"/>
            <w:vAlign w:val="bottom"/>
          </w:tcPr>
          <w:p w14:paraId="67B1A9D5" w14:textId="2FF543D3" w:rsidR="00BF503E" w:rsidRPr="00BF503E" w:rsidRDefault="00BF503E" w:rsidP="00BF503E">
            <w:r w:rsidRPr="00BF503E">
              <w:t>129 (23,3%)*</w:t>
            </w:r>
          </w:p>
        </w:tc>
      </w:tr>
      <w:tr w:rsidR="00BF503E" w14:paraId="068C1199" w14:textId="77777777" w:rsidTr="00C267CF">
        <w:tc>
          <w:tcPr>
            <w:tcW w:w="3116" w:type="dxa"/>
            <w:vAlign w:val="bottom"/>
          </w:tcPr>
          <w:p w14:paraId="4B3853BF" w14:textId="6F37C2C0" w:rsidR="00BF503E" w:rsidRPr="00BF503E" w:rsidRDefault="00BF503E" w:rsidP="00BF503E">
            <w:r w:rsidRPr="00BF503E">
              <w:t xml:space="preserve">[95% </w:t>
            </w:r>
            <w:r w:rsidRPr="00BF503E">
              <w:rPr>
                <w:lang w:val="en-US"/>
              </w:rPr>
              <w:t>CI]</w:t>
            </w:r>
          </w:p>
        </w:tc>
        <w:tc>
          <w:tcPr>
            <w:tcW w:w="3117" w:type="dxa"/>
            <w:vAlign w:val="bottom"/>
          </w:tcPr>
          <w:p w14:paraId="4AF1B13C" w14:textId="49373C6E" w:rsidR="00BF503E" w:rsidRPr="00BF503E" w:rsidRDefault="00BF503E" w:rsidP="00BF503E">
            <w:r w:rsidRPr="00BF503E">
              <w:t>[85,7%, 91,1%]</w:t>
            </w:r>
          </w:p>
        </w:tc>
        <w:tc>
          <w:tcPr>
            <w:tcW w:w="3117" w:type="dxa"/>
            <w:vAlign w:val="bottom"/>
          </w:tcPr>
          <w:p w14:paraId="35292563" w14:textId="67162B64" w:rsidR="00BF503E" w:rsidRPr="00BF503E" w:rsidRDefault="00BF503E" w:rsidP="00BF503E">
            <w:r w:rsidRPr="00BF503E">
              <w:t>[19,9%, 27,1%]</w:t>
            </w:r>
          </w:p>
        </w:tc>
      </w:tr>
      <w:tr w:rsidR="00BF503E" w14:paraId="6923310B" w14:textId="77777777" w:rsidTr="00C267CF">
        <w:tc>
          <w:tcPr>
            <w:tcW w:w="3116" w:type="dxa"/>
            <w:vAlign w:val="bottom"/>
          </w:tcPr>
          <w:p w14:paraId="468BCAC3" w14:textId="588B7697" w:rsidR="00BF503E" w:rsidRPr="00BF503E" w:rsidRDefault="00BF503E" w:rsidP="00BF503E">
            <w:r w:rsidRPr="00BF503E">
              <w:t xml:space="preserve">Пълен ЦО </w:t>
            </w:r>
            <w:r w:rsidRPr="00BF503E">
              <w:rPr>
                <w:lang w:val="en-US"/>
              </w:rPr>
              <w:t>(CgR) n</w:t>
            </w:r>
            <w:r w:rsidRPr="00BF503E">
              <w:t xml:space="preserve"> (%)</w:t>
            </w:r>
          </w:p>
        </w:tc>
        <w:tc>
          <w:tcPr>
            <w:tcW w:w="3117" w:type="dxa"/>
            <w:vAlign w:val="bottom"/>
          </w:tcPr>
          <w:p w14:paraId="7BEE6CCF" w14:textId="795161D5" w:rsidR="00BF503E" w:rsidRPr="00BF503E" w:rsidRDefault="00BF503E" w:rsidP="00BF503E">
            <w:r w:rsidRPr="00BF503E">
              <w:t>456 (82,5%)*</w:t>
            </w:r>
          </w:p>
        </w:tc>
        <w:tc>
          <w:tcPr>
            <w:tcW w:w="3117" w:type="dxa"/>
            <w:vAlign w:val="bottom"/>
          </w:tcPr>
          <w:p w14:paraId="04D13677" w14:textId="4223268F" w:rsidR="00BF503E" w:rsidRPr="00BF503E" w:rsidRDefault="00BF503E" w:rsidP="00BF503E">
            <w:r w:rsidRPr="00BF503E">
              <w:t>64(11,6%)*</w:t>
            </w:r>
          </w:p>
        </w:tc>
      </w:tr>
      <w:tr w:rsidR="00BF503E" w14:paraId="566DD463" w14:textId="77777777" w:rsidTr="00C267CF">
        <w:tc>
          <w:tcPr>
            <w:tcW w:w="3116" w:type="dxa"/>
            <w:vAlign w:val="bottom"/>
          </w:tcPr>
          <w:p w14:paraId="061D6D95" w14:textId="598B114B" w:rsidR="00BF503E" w:rsidRPr="00BF503E" w:rsidRDefault="00BF503E" w:rsidP="00BF503E">
            <w:r w:rsidRPr="00BF503E">
              <w:t xml:space="preserve">Частичен ЦО </w:t>
            </w:r>
            <w:r w:rsidRPr="00BF503E">
              <w:rPr>
                <w:lang w:val="en-US"/>
              </w:rPr>
              <w:t>(CgR) n</w:t>
            </w:r>
            <w:r w:rsidRPr="00BF503E">
              <w:t xml:space="preserve"> (%)</w:t>
            </w:r>
          </w:p>
        </w:tc>
        <w:tc>
          <w:tcPr>
            <w:tcW w:w="3117" w:type="dxa"/>
            <w:vAlign w:val="bottom"/>
          </w:tcPr>
          <w:p w14:paraId="3201A6E6" w14:textId="47233FD0" w:rsidR="00BF503E" w:rsidRPr="00BF503E" w:rsidRDefault="00BF503E" w:rsidP="00BF503E">
            <w:r w:rsidRPr="00BF503E">
              <w:t>34(6,1%)</w:t>
            </w:r>
          </w:p>
        </w:tc>
        <w:tc>
          <w:tcPr>
            <w:tcW w:w="3117" w:type="dxa"/>
            <w:vAlign w:val="bottom"/>
          </w:tcPr>
          <w:p w14:paraId="046CA11F" w14:textId="2E53F909" w:rsidR="00BF503E" w:rsidRPr="00BF503E" w:rsidRDefault="00BF503E" w:rsidP="00BF503E">
            <w:r w:rsidRPr="00BF503E">
              <w:t>65(11,8%)</w:t>
            </w:r>
          </w:p>
        </w:tc>
      </w:tr>
      <w:tr w:rsidR="00BF503E" w14:paraId="37CFB45C" w14:textId="77777777" w:rsidTr="00C267CF">
        <w:tc>
          <w:tcPr>
            <w:tcW w:w="3116" w:type="dxa"/>
            <w:vAlign w:val="bottom"/>
          </w:tcPr>
          <w:p w14:paraId="4E79C7A9" w14:textId="6685AC61" w:rsidR="00BF503E" w:rsidRPr="00BF503E" w:rsidRDefault="00BF503E" w:rsidP="00BF503E">
            <w:r w:rsidRPr="00BF503E">
              <w:rPr>
                <w:b/>
                <w:bCs/>
              </w:rPr>
              <w:t>Молекулярен отговор**</w:t>
            </w:r>
          </w:p>
        </w:tc>
        <w:tc>
          <w:tcPr>
            <w:tcW w:w="3117" w:type="dxa"/>
          </w:tcPr>
          <w:p w14:paraId="30ED753D" w14:textId="77777777" w:rsidR="00BF503E" w:rsidRPr="00BF503E" w:rsidRDefault="00BF503E" w:rsidP="00BF503E"/>
        </w:tc>
        <w:tc>
          <w:tcPr>
            <w:tcW w:w="3117" w:type="dxa"/>
          </w:tcPr>
          <w:p w14:paraId="20B76CA5" w14:textId="77777777" w:rsidR="00BF503E" w:rsidRPr="00BF503E" w:rsidRDefault="00BF503E" w:rsidP="00BF503E"/>
        </w:tc>
      </w:tr>
      <w:tr w:rsidR="00BF503E" w14:paraId="70A27FED" w14:textId="77777777" w:rsidTr="00C267CF">
        <w:tc>
          <w:tcPr>
            <w:tcW w:w="3116" w:type="dxa"/>
            <w:vAlign w:val="bottom"/>
          </w:tcPr>
          <w:p w14:paraId="3646ECAA" w14:textId="3132E479" w:rsidR="00BF503E" w:rsidRPr="00BF503E" w:rsidRDefault="00BF503E" w:rsidP="00BF503E">
            <w:r w:rsidRPr="00BF503E">
              <w:t>Голям отговор на 12-ия месец (%)</w:t>
            </w:r>
          </w:p>
        </w:tc>
        <w:tc>
          <w:tcPr>
            <w:tcW w:w="3117" w:type="dxa"/>
            <w:vAlign w:val="bottom"/>
          </w:tcPr>
          <w:p w14:paraId="59F1F4EC" w14:textId="0873CAA1" w:rsidR="00BF503E" w:rsidRPr="00BF503E" w:rsidRDefault="00BF503E" w:rsidP="00BF503E">
            <w:r w:rsidRPr="00BF503E">
              <w:t>153/305=50,2%</w:t>
            </w:r>
          </w:p>
        </w:tc>
        <w:tc>
          <w:tcPr>
            <w:tcW w:w="3117" w:type="dxa"/>
            <w:vAlign w:val="bottom"/>
          </w:tcPr>
          <w:p w14:paraId="324DE04C" w14:textId="5D313FB4" w:rsidR="00BF503E" w:rsidRPr="00BF503E" w:rsidRDefault="00BF503E" w:rsidP="00BF503E">
            <w:r w:rsidRPr="00BF503E">
              <w:t>8/83=9,6%</w:t>
            </w:r>
          </w:p>
        </w:tc>
      </w:tr>
      <w:tr w:rsidR="00BF503E" w14:paraId="7EC4A732" w14:textId="77777777" w:rsidTr="00C267CF">
        <w:tc>
          <w:tcPr>
            <w:tcW w:w="3116" w:type="dxa"/>
            <w:vAlign w:val="bottom"/>
          </w:tcPr>
          <w:p w14:paraId="25128968" w14:textId="4565C597" w:rsidR="00BF503E" w:rsidRPr="00BF503E" w:rsidRDefault="00BF503E" w:rsidP="00BF503E">
            <w:r w:rsidRPr="00BF503E">
              <w:t>Голям отговор на 24-ия месец (%)</w:t>
            </w:r>
          </w:p>
        </w:tc>
        <w:tc>
          <w:tcPr>
            <w:tcW w:w="3117" w:type="dxa"/>
            <w:vAlign w:val="bottom"/>
          </w:tcPr>
          <w:p w14:paraId="532E1A3F" w14:textId="6C5A0C97" w:rsidR="00BF503E" w:rsidRPr="00BF503E" w:rsidRDefault="00BF503E" w:rsidP="00BF503E">
            <w:r w:rsidRPr="00BF503E">
              <w:t>73/104=70,2%</w:t>
            </w:r>
          </w:p>
        </w:tc>
        <w:tc>
          <w:tcPr>
            <w:tcW w:w="3117" w:type="dxa"/>
            <w:vAlign w:val="bottom"/>
          </w:tcPr>
          <w:p w14:paraId="2AB1B6F5" w14:textId="55A1FBC8" w:rsidR="00BF503E" w:rsidRPr="00BF503E" w:rsidRDefault="00BF503E" w:rsidP="00BF503E">
            <w:r w:rsidRPr="00BF503E">
              <w:t>3/12=25%</w:t>
            </w:r>
          </w:p>
        </w:tc>
      </w:tr>
      <w:tr w:rsidR="00BF503E" w14:paraId="242A2568" w14:textId="77777777" w:rsidTr="00C267CF">
        <w:tc>
          <w:tcPr>
            <w:tcW w:w="3116" w:type="dxa"/>
            <w:vAlign w:val="bottom"/>
          </w:tcPr>
          <w:p w14:paraId="594F3355" w14:textId="42451C78" w:rsidR="00BF503E" w:rsidRPr="00BF503E" w:rsidRDefault="00BF503E" w:rsidP="00BF503E">
            <w:r w:rsidRPr="00BF503E">
              <w:t>Голям отговор на 84-ия месец (%)</w:t>
            </w:r>
          </w:p>
        </w:tc>
        <w:tc>
          <w:tcPr>
            <w:tcW w:w="3117" w:type="dxa"/>
            <w:vAlign w:val="bottom"/>
          </w:tcPr>
          <w:p w14:paraId="4E711B9F" w14:textId="70620840" w:rsidR="00BF503E" w:rsidRPr="00BF503E" w:rsidRDefault="00BF503E" w:rsidP="00BF503E">
            <w:r w:rsidRPr="00BF503E">
              <w:t>102/116=87,9%</w:t>
            </w:r>
          </w:p>
        </w:tc>
        <w:tc>
          <w:tcPr>
            <w:tcW w:w="3117" w:type="dxa"/>
            <w:vAlign w:val="bottom"/>
          </w:tcPr>
          <w:p w14:paraId="643D7123" w14:textId="7BE36539" w:rsidR="00BF503E" w:rsidRPr="00BF503E" w:rsidRDefault="00BF503E" w:rsidP="00BF503E">
            <w:r w:rsidRPr="00BF503E">
              <w:t>3/4=75%</w:t>
            </w:r>
          </w:p>
        </w:tc>
      </w:tr>
    </w:tbl>
    <w:p w14:paraId="4AD960C3" w14:textId="05856E2D" w:rsidR="00BF503E" w:rsidRPr="00BF503E" w:rsidRDefault="00BF503E" w:rsidP="00BF503E">
      <w:pPr>
        <w:spacing w:line="240" w:lineRule="auto"/>
        <w:rPr>
          <w:rFonts w:eastAsia="Times New Roman" w:cs="Arial"/>
          <w:color w:val="000000"/>
          <w:lang w:val="en-US"/>
        </w:rPr>
      </w:pPr>
      <w:r>
        <w:rPr>
          <w:rFonts w:eastAsia="Times New Roman" w:cs="Arial"/>
          <w:color w:val="000000"/>
          <w:lang w:val="en-US"/>
        </w:rPr>
        <w:t>*</w:t>
      </w:r>
      <w:r w:rsidRPr="00BF503E">
        <w:rPr>
          <w:rFonts w:eastAsia="Times New Roman" w:cs="Arial"/>
          <w:color w:val="000000"/>
          <w:lang w:val="en-US"/>
        </w:rPr>
        <w:t>p&lt;0,001, Fischer exact test</w:t>
      </w:r>
    </w:p>
    <w:p w14:paraId="1061E319" w14:textId="5B6D2731" w:rsidR="00BF503E" w:rsidRPr="00BF503E" w:rsidRDefault="00BF503E" w:rsidP="00BF503E">
      <w:pPr>
        <w:spacing w:line="240" w:lineRule="auto"/>
        <w:rPr>
          <w:rFonts w:eastAsia="Times New Roman" w:cs="Arial"/>
          <w:color w:val="000000"/>
          <w:lang w:val="en-US"/>
        </w:rPr>
      </w:pPr>
      <w:r>
        <w:rPr>
          <w:rFonts w:eastAsia="Times New Roman" w:cs="Arial"/>
          <w:color w:val="000000"/>
          <w:lang w:val="en-US"/>
        </w:rPr>
        <w:t>**</w:t>
      </w:r>
      <w:r w:rsidRPr="00BF503E">
        <w:rPr>
          <w:rFonts w:eastAsia="Times New Roman" w:cs="Arial"/>
          <w:color w:val="000000"/>
          <w:lang w:eastAsia="bg-BG"/>
        </w:rPr>
        <w:t>изчислените проценти на молекулярен отговор са на база на наличните проби</w:t>
      </w:r>
    </w:p>
    <w:p w14:paraId="1651E9C9" w14:textId="77777777" w:rsidR="00BF503E" w:rsidRPr="00BF503E" w:rsidRDefault="00BF503E" w:rsidP="00BF503E">
      <w:pPr>
        <w:spacing w:line="240" w:lineRule="auto"/>
        <w:rPr>
          <w:rFonts w:eastAsia="Times New Roman" w:cs="Arial"/>
          <w:sz w:val="24"/>
          <w:szCs w:val="24"/>
          <w:lang w:eastAsia="bg-BG"/>
        </w:rPr>
      </w:pPr>
      <w:r w:rsidRPr="00BF503E">
        <w:rPr>
          <w:rFonts w:eastAsia="Times New Roman" w:cs="Arial"/>
          <w:b/>
          <w:bCs/>
          <w:color w:val="000000"/>
          <w:lang w:eastAsia="bg-BG"/>
        </w:rPr>
        <w:t>Критерии за хематологичен отговор (всички отговори трябва да се потвърдят след ≥4 седмици):</w:t>
      </w:r>
    </w:p>
    <w:p w14:paraId="5F82843B" w14:textId="77777777" w:rsidR="00BF503E" w:rsidRPr="00BF503E" w:rsidRDefault="00BF503E" w:rsidP="00BF503E">
      <w:pPr>
        <w:spacing w:line="240" w:lineRule="auto"/>
        <w:rPr>
          <w:rFonts w:eastAsia="Times New Roman" w:cs="Arial"/>
          <w:sz w:val="24"/>
          <w:szCs w:val="24"/>
          <w:lang w:eastAsia="bg-BG"/>
        </w:rPr>
      </w:pPr>
      <w:r w:rsidRPr="00BF503E">
        <w:rPr>
          <w:rFonts w:eastAsia="Times New Roman" w:cs="Arial"/>
          <w:color w:val="000000"/>
          <w:lang w:eastAsia="bg-BG"/>
        </w:rPr>
        <w:t>Брой левкоцити (БЛ) &lt;10 х 10</w:t>
      </w:r>
      <w:r w:rsidRPr="00BF503E">
        <w:rPr>
          <w:rFonts w:eastAsia="Times New Roman" w:cs="Arial"/>
          <w:color w:val="000000"/>
          <w:vertAlign w:val="superscript"/>
          <w:lang w:eastAsia="bg-BG"/>
        </w:rPr>
        <w:t>9</w:t>
      </w:r>
      <w:r w:rsidRPr="00BF503E">
        <w:rPr>
          <w:rFonts w:eastAsia="Times New Roman" w:cs="Arial"/>
          <w:color w:val="000000"/>
          <w:lang w:eastAsia="bg-BG"/>
        </w:rPr>
        <w:t>/</w:t>
      </w:r>
      <w:r w:rsidRPr="00BF503E">
        <w:rPr>
          <w:rFonts w:eastAsia="Times New Roman" w:cs="Arial"/>
          <w:color w:val="000000"/>
          <w:lang w:val="en-US"/>
        </w:rPr>
        <w:t>l</w:t>
      </w:r>
      <w:r w:rsidRPr="00BF503E">
        <w:rPr>
          <w:rFonts w:eastAsia="Times New Roman" w:cs="Arial"/>
          <w:color w:val="000000"/>
          <w:lang w:eastAsia="bg-BG"/>
        </w:rPr>
        <w:t>, тромбоцити &lt;450 х 10</w:t>
      </w:r>
      <w:r w:rsidRPr="00BF503E">
        <w:rPr>
          <w:rFonts w:eastAsia="Times New Roman" w:cs="Arial"/>
          <w:color w:val="000000"/>
          <w:vertAlign w:val="superscript"/>
          <w:lang w:eastAsia="bg-BG"/>
        </w:rPr>
        <w:t>9</w:t>
      </w:r>
      <w:r w:rsidRPr="00BF503E">
        <w:rPr>
          <w:rFonts w:eastAsia="Times New Roman" w:cs="Arial"/>
          <w:color w:val="000000"/>
          <w:lang w:eastAsia="bg-BG"/>
        </w:rPr>
        <w:t xml:space="preserve">/1, миелоцити + метамиелоцити </w:t>
      </w:r>
      <w:r w:rsidRPr="00BF503E">
        <w:rPr>
          <w:rFonts w:eastAsia="Times New Roman" w:cs="Arial"/>
          <w:i/>
          <w:iCs/>
          <w:color w:val="000000"/>
          <w:lang w:eastAsia="bg-BG"/>
        </w:rPr>
        <w:t xml:space="preserve">&lt;5% в </w:t>
      </w:r>
      <w:r w:rsidRPr="00BF503E">
        <w:rPr>
          <w:rFonts w:eastAsia="Times New Roman" w:cs="Arial"/>
          <w:color w:val="000000"/>
          <w:lang w:eastAsia="bg-BG"/>
        </w:rPr>
        <w:t>кръвта, без бласти и промиелоцити в кръвта, базофили &lt;20%, липса на екстрамедуларно засягане</w:t>
      </w:r>
    </w:p>
    <w:p w14:paraId="2D17BED3" w14:textId="77777777" w:rsidR="00BF503E" w:rsidRPr="00BF503E" w:rsidRDefault="00BF503E" w:rsidP="00BF503E">
      <w:pPr>
        <w:spacing w:line="240" w:lineRule="auto"/>
        <w:rPr>
          <w:rFonts w:eastAsia="Times New Roman" w:cs="Arial"/>
          <w:sz w:val="24"/>
          <w:szCs w:val="24"/>
          <w:lang w:eastAsia="bg-BG"/>
        </w:rPr>
      </w:pPr>
      <w:r w:rsidRPr="00BF503E">
        <w:rPr>
          <w:rFonts w:eastAsia="Times New Roman" w:cs="Arial"/>
          <w:b/>
          <w:bCs/>
          <w:color w:val="000000"/>
          <w:lang w:eastAsia="bg-BG"/>
        </w:rPr>
        <w:lastRenderedPageBreak/>
        <w:t xml:space="preserve">Критерии за цитогенетичен отговор: </w:t>
      </w:r>
      <w:r w:rsidRPr="00BF503E">
        <w:rPr>
          <w:rFonts w:eastAsia="Times New Roman" w:cs="Arial"/>
          <w:color w:val="000000"/>
          <w:lang w:eastAsia="bg-BG"/>
        </w:rPr>
        <w:t xml:space="preserve">пълен (0% </w:t>
      </w:r>
      <w:r w:rsidRPr="00BF503E">
        <w:rPr>
          <w:rFonts w:eastAsia="Times New Roman" w:cs="Arial"/>
          <w:color w:val="000000"/>
          <w:lang w:val="en-US"/>
        </w:rPr>
        <w:t xml:space="preserve">Ph+ </w:t>
      </w:r>
      <w:r w:rsidRPr="00BF503E">
        <w:rPr>
          <w:rFonts w:eastAsia="Times New Roman" w:cs="Arial"/>
          <w:color w:val="000000"/>
          <w:lang w:eastAsia="bg-BG"/>
        </w:rPr>
        <w:t>метафазни пластинки), частичен (1- 35%), малък (36-65%) или минимален (66-95%). Големият отговор (0-35%) включва пълния и частичен отговор.</w:t>
      </w:r>
    </w:p>
    <w:p w14:paraId="03007401" w14:textId="77777777" w:rsidR="00BF503E" w:rsidRPr="00BF503E" w:rsidRDefault="00BF503E" w:rsidP="00BF503E">
      <w:pPr>
        <w:spacing w:line="240" w:lineRule="auto"/>
        <w:rPr>
          <w:rFonts w:eastAsia="Times New Roman" w:cs="Arial"/>
          <w:sz w:val="24"/>
          <w:szCs w:val="24"/>
          <w:lang w:eastAsia="bg-BG"/>
        </w:rPr>
      </w:pPr>
      <w:r w:rsidRPr="00BF503E">
        <w:rPr>
          <w:rFonts w:eastAsia="Times New Roman" w:cs="Arial"/>
          <w:b/>
          <w:bCs/>
          <w:color w:val="000000"/>
          <w:lang w:eastAsia="bg-BG"/>
        </w:rPr>
        <w:t xml:space="preserve">Критерии за голям молекулярен отговор: </w:t>
      </w:r>
      <w:r w:rsidRPr="00BF503E">
        <w:rPr>
          <w:rFonts w:eastAsia="Times New Roman" w:cs="Arial"/>
          <w:color w:val="000000"/>
          <w:lang w:eastAsia="bg-BG"/>
        </w:rPr>
        <w:t xml:space="preserve">понижение в периферната кръв с ≥3 логаритмични единици на количеството </w:t>
      </w:r>
      <w:r w:rsidRPr="00BF503E">
        <w:rPr>
          <w:rFonts w:eastAsia="Times New Roman" w:cs="Arial"/>
          <w:color w:val="000000"/>
          <w:lang w:val="en-US"/>
        </w:rPr>
        <w:t xml:space="preserve">Bcr-Abl </w:t>
      </w:r>
      <w:r w:rsidRPr="00BF503E">
        <w:rPr>
          <w:rFonts w:eastAsia="Times New Roman" w:cs="Arial"/>
          <w:color w:val="000000"/>
          <w:lang w:eastAsia="bg-BG"/>
        </w:rPr>
        <w:t xml:space="preserve">транскрипти (измерено чрез количествен </w:t>
      </w:r>
      <w:r w:rsidRPr="00BF503E">
        <w:rPr>
          <w:rFonts w:eastAsia="Times New Roman" w:cs="Arial"/>
          <w:color w:val="000000"/>
          <w:lang w:val="en-US"/>
        </w:rPr>
        <w:t xml:space="preserve">PCR </w:t>
      </w:r>
      <w:r w:rsidRPr="00BF503E">
        <w:rPr>
          <w:rFonts w:eastAsia="Times New Roman" w:cs="Arial"/>
          <w:color w:val="000000"/>
          <w:lang w:eastAsia="bg-BG"/>
        </w:rPr>
        <w:t>с обратна транскриптаза в реално време), спрямо стандартизирано изходно ниво.</w:t>
      </w:r>
    </w:p>
    <w:p w14:paraId="24205EAE" w14:textId="77777777" w:rsidR="00BF503E" w:rsidRPr="00BF503E" w:rsidRDefault="00BF503E" w:rsidP="00BF503E">
      <w:pPr>
        <w:rPr>
          <w:rFonts w:eastAsia="Times New Roman" w:cs="Arial"/>
          <w:color w:val="000000"/>
          <w:lang w:eastAsia="bg-BG"/>
        </w:rPr>
      </w:pPr>
    </w:p>
    <w:p w14:paraId="785E14C6" w14:textId="161AFB1E" w:rsidR="00BF503E" w:rsidRPr="00BF503E" w:rsidRDefault="00BF503E" w:rsidP="00BF503E">
      <w:pPr>
        <w:rPr>
          <w:rFonts w:cs="Arial"/>
        </w:rPr>
      </w:pPr>
      <w:r w:rsidRPr="00BF503E">
        <w:rPr>
          <w:rFonts w:eastAsia="Times New Roman" w:cs="Arial"/>
          <w:color w:val="000000"/>
          <w:lang w:eastAsia="bg-BG"/>
        </w:rPr>
        <w:t xml:space="preserve">Степента на постигане на пълен хематологичен отговор, голям цитогенетичен отговор и пълен цитогенетичен отговор на първа линия на терапия е била оценявана по метода на </w:t>
      </w:r>
      <w:r w:rsidRPr="00BF503E">
        <w:rPr>
          <w:rFonts w:eastAsia="Times New Roman" w:cs="Arial"/>
          <w:color w:val="000000"/>
          <w:lang w:val="en-US"/>
        </w:rPr>
        <w:t xml:space="preserve">Kaplan Meier, </w:t>
      </w:r>
      <w:r w:rsidRPr="00BF503E">
        <w:rPr>
          <w:rFonts w:eastAsia="Times New Roman" w:cs="Arial"/>
          <w:color w:val="000000"/>
          <w:lang w:eastAsia="bg-BG"/>
        </w:rPr>
        <w:t>при който пациентите, неотговорили на лечението са били отстранени от анализа към датата на  последния преглед. Използвайки този метод, степените на кумулативен отговор на първа линия. терапия с иматиниб се подобряват от 12 месечното лечение до 84 месечното, както следва:</w:t>
      </w:r>
      <w:r w:rsidRPr="00BF503E">
        <w:rPr>
          <w:rFonts w:eastAsia="Times New Roman" w:cs="Arial"/>
          <w:color w:val="000000"/>
          <w:lang w:val="en-US"/>
        </w:rPr>
        <w:t xml:space="preserve"> CHR</w:t>
      </w:r>
      <w:r w:rsidRPr="00BF503E">
        <w:rPr>
          <w:rFonts w:eastAsia="Times New Roman" w:cs="Arial"/>
          <w:color w:val="000000"/>
          <w:lang w:eastAsia="bg-BG"/>
        </w:rPr>
        <w:t xml:space="preserve"> от 96,4% на 98,4% и </w:t>
      </w:r>
      <w:r w:rsidRPr="00BF503E">
        <w:rPr>
          <w:rFonts w:eastAsia="Times New Roman" w:cs="Arial"/>
          <w:color w:val="000000"/>
          <w:lang w:val="en-US"/>
        </w:rPr>
        <w:t xml:space="preserve">CCyR </w:t>
      </w:r>
      <w:r w:rsidRPr="00BF503E">
        <w:rPr>
          <w:rFonts w:eastAsia="Times New Roman" w:cs="Arial"/>
          <w:color w:val="000000"/>
          <w:lang w:eastAsia="bg-BG"/>
        </w:rPr>
        <w:t>от 69,5% на 87,2%, съответно.</w:t>
      </w:r>
    </w:p>
    <w:p w14:paraId="7DB977D1" w14:textId="4387D1B6" w:rsidR="00BF503E" w:rsidRDefault="00BF503E" w:rsidP="0091385D"/>
    <w:p w14:paraId="717B6E85" w14:textId="77777777" w:rsidR="00BF503E" w:rsidRPr="00BF503E" w:rsidRDefault="00BF503E" w:rsidP="00BF503E">
      <w:pPr>
        <w:spacing w:line="240" w:lineRule="auto"/>
        <w:rPr>
          <w:rFonts w:eastAsia="Times New Roman" w:cs="Arial"/>
          <w:sz w:val="24"/>
          <w:szCs w:val="24"/>
          <w:lang w:eastAsia="bg-BG"/>
        </w:rPr>
      </w:pPr>
      <w:r w:rsidRPr="00BF503E">
        <w:rPr>
          <w:rFonts w:eastAsia="Times New Roman" w:cs="Arial"/>
          <w:color w:val="000000"/>
          <w:lang w:eastAsia="bg-BG"/>
        </w:rPr>
        <w:t xml:space="preserve">След 7-годишно проследяване, са наблюдавани </w:t>
      </w:r>
      <w:r w:rsidRPr="00BF503E">
        <w:rPr>
          <w:rFonts w:eastAsia="Times New Roman" w:cs="Arial"/>
          <w:i/>
          <w:iCs/>
          <w:color w:val="000000"/>
          <w:lang w:eastAsia="bg-BG"/>
        </w:rPr>
        <w:t>93</w:t>
      </w:r>
      <w:r w:rsidRPr="00BF503E">
        <w:rPr>
          <w:rFonts w:eastAsia="Times New Roman" w:cs="Arial"/>
          <w:color w:val="000000"/>
          <w:lang w:eastAsia="bg-BG"/>
        </w:rPr>
        <w:t xml:space="preserve"> (16,8%) случая на прогресия в групата на иматиниб: 37 (6,7%) включващи прогресия до фаза на акцелерация/бластна криза, 31 (5,6%) загуба на </w:t>
      </w:r>
      <w:r w:rsidRPr="00BF503E">
        <w:rPr>
          <w:rFonts w:eastAsia="Times New Roman" w:cs="Arial"/>
          <w:color w:val="000000"/>
          <w:lang w:val="en-US"/>
        </w:rPr>
        <w:t xml:space="preserve">MCyR, </w:t>
      </w:r>
      <w:r w:rsidRPr="00BF503E">
        <w:rPr>
          <w:rFonts w:eastAsia="Times New Roman" w:cs="Arial"/>
          <w:color w:val="000000"/>
          <w:lang w:eastAsia="bg-BG"/>
        </w:rPr>
        <w:t xml:space="preserve">15 (2,7%) загуба на </w:t>
      </w:r>
      <w:r w:rsidRPr="00BF503E">
        <w:rPr>
          <w:rFonts w:eastAsia="Times New Roman" w:cs="Arial"/>
          <w:color w:val="000000"/>
          <w:lang w:val="en-US"/>
        </w:rPr>
        <w:t xml:space="preserve">CHR </w:t>
      </w:r>
      <w:r w:rsidRPr="00BF503E">
        <w:rPr>
          <w:rFonts w:eastAsia="Times New Roman" w:cs="Arial"/>
          <w:color w:val="000000"/>
          <w:lang w:eastAsia="bg-BG"/>
        </w:rPr>
        <w:t xml:space="preserve">или повишение на </w:t>
      </w:r>
      <w:r w:rsidRPr="00BF503E">
        <w:rPr>
          <w:rFonts w:eastAsia="Times New Roman" w:cs="Arial"/>
          <w:color w:val="000000"/>
          <w:lang w:val="en-US"/>
        </w:rPr>
        <w:t xml:space="preserve">WBC </w:t>
      </w:r>
      <w:r w:rsidRPr="00BF503E">
        <w:rPr>
          <w:rFonts w:eastAsia="Times New Roman" w:cs="Arial"/>
          <w:color w:val="000000"/>
          <w:lang w:eastAsia="bg-BG"/>
        </w:rPr>
        <w:t xml:space="preserve">и 10 (1,8%) несвързани с ХМЛ смъртни случая. За разлика от тях, са наблюдавани 165 (29,8%) случая в групата на </w:t>
      </w:r>
      <w:r w:rsidRPr="00BF503E">
        <w:rPr>
          <w:rFonts w:eastAsia="Times New Roman" w:cs="Arial"/>
          <w:color w:val="000000"/>
          <w:lang w:val="en-US"/>
        </w:rPr>
        <w:t xml:space="preserve">IFN+Ara-C, </w:t>
      </w:r>
      <w:r w:rsidRPr="00BF503E">
        <w:rPr>
          <w:rFonts w:eastAsia="Times New Roman" w:cs="Arial"/>
          <w:color w:val="000000"/>
          <w:lang w:eastAsia="bg-BG"/>
        </w:rPr>
        <w:t xml:space="preserve">от които 130 са настъпили по време на първа линия терапия с </w:t>
      </w:r>
      <w:r w:rsidRPr="00BF503E">
        <w:rPr>
          <w:rFonts w:eastAsia="Times New Roman" w:cs="Arial"/>
          <w:color w:val="000000"/>
          <w:lang w:val="en-US"/>
        </w:rPr>
        <w:t>IFN+Ara-C.</w:t>
      </w:r>
    </w:p>
    <w:p w14:paraId="0FFE23D9" w14:textId="77777777" w:rsidR="00BF503E" w:rsidRPr="00BF503E" w:rsidRDefault="00BF503E" w:rsidP="00BF503E">
      <w:pPr>
        <w:spacing w:line="240" w:lineRule="auto"/>
        <w:rPr>
          <w:rFonts w:eastAsia="Times New Roman" w:cs="Arial"/>
          <w:color w:val="000000"/>
          <w:lang w:eastAsia="bg-BG"/>
        </w:rPr>
      </w:pPr>
    </w:p>
    <w:p w14:paraId="274BE98A" w14:textId="50CE28C0" w:rsidR="00BF503E" w:rsidRPr="00BF503E" w:rsidRDefault="00BF503E" w:rsidP="00BF503E">
      <w:pPr>
        <w:spacing w:line="240" w:lineRule="auto"/>
        <w:rPr>
          <w:rFonts w:eastAsia="Times New Roman" w:cs="Arial"/>
          <w:sz w:val="24"/>
          <w:szCs w:val="24"/>
          <w:lang w:eastAsia="bg-BG"/>
        </w:rPr>
      </w:pPr>
      <w:r w:rsidRPr="00BF503E">
        <w:rPr>
          <w:rFonts w:eastAsia="Times New Roman" w:cs="Arial"/>
          <w:color w:val="000000"/>
          <w:lang w:eastAsia="bg-BG"/>
        </w:rPr>
        <w:t xml:space="preserve">Процентът пациенти свободни от прогресия до фаза на акцелерация или бластна криза след 84 месеца е значително по-висок в групата на иматиниб, отколкото в групата на </w:t>
      </w:r>
      <w:r w:rsidRPr="00BF503E">
        <w:rPr>
          <w:rFonts w:eastAsia="Times New Roman" w:cs="Arial"/>
          <w:color w:val="000000"/>
          <w:lang w:val="en-US"/>
        </w:rPr>
        <w:t xml:space="preserve">IFN </w:t>
      </w:r>
      <w:r w:rsidRPr="00BF503E">
        <w:rPr>
          <w:rFonts w:eastAsia="Times New Roman" w:cs="Arial"/>
          <w:color w:val="000000"/>
          <w:lang w:eastAsia="bg-BG"/>
        </w:rPr>
        <w:t>(92,5% спрямо 85,1%, р&lt;0,001). Годишният процент на прогресия до фаза на акцелерация или бластна криза намалява с времето на фона на терапията и е по-малко от 1% годишно на четвъртата и петата година. Процентът на преживяемостта без прогресия на 84-тия месец е 81,2% в групата на иматиниб и 60,6% в контролната група (р&lt;0,001). Годишният процент на прогресия, от какъвто и да е вид при иматиниб също намалява с времето.</w:t>
      </w:r>
    </w:p>
    <w:p w14:paraId="7A846EE5" w14:textId="77777777" w:rsidR="00BF503E" w:rsidRPr="00BF503E" w:rsidRDefault="00BF503E" w:rsidP="00BF503E">
      <w:pPr>
        <w:spacing w:line="240" w:lineRule="auto"/>
        <w:rPr>
          <w:rFonts w:eastAsia="Times New Roman" w:cs="Arial"/>
          <w:color w:val="000000"/>
          <w:lang w:eastAsia="bg-BG"/>
        </w:rPr>
      </w:pPr>
    </w:p>
    <w:p w14:paraId="264B2B7A" w14:textId="23B1E3FF" w:rsidR="00BF503E" w:rsidRPr="00BF503E" w:rsidRDefault="00BF503E" w:rsidP="00BF503E">
      <w:pPr>
        <w:spacing w:line="240" w:lineRule="auto"/>
        <w:rPr>
          <w:rFonts w:eastAsia="Times New Roman" w:cs="Arial"/>
          <w:sz w:val="24"/>
          <w:szCs w:val="24"/>
          <w:lang w:eastAsia="bg-BG"/>
        </w:rPr>
      </w:pPr>
      <w:r w:rsidRPr="00BF503E">
        <w:rPr>
          <w:rFonts w:eastAsia="Times New Roman" w:cs="Arial"/>
          <w:color w:val="000000"/>
          <w:lang w:eastAsia="bg-BG"/>
        </w:rPr>
        <w:t xml:space="preserve">Общо 71 (12,8%) и 85 (15,4%) пациенти са починали съответно в групите на иматиниб и </w:t>
      </w:r>
      <w:r w:rsidRPr="00BF503E">
        <w:rPr>
          <w:rFonts w:eastAsia="Times New Roman" w:cs="Arial"/>
          <w:color w:val="000000"/>
          <w:lang w:val="en-US"/>
        </w:rPr>
        <w:t xml:space="preserve">IFN+Ara-C. </w:t>
      </w:r>
      <w:r w:rsidRPr="00BF503E">
        <w:rPr>
          <w:rFonts w:eastAsia="Times New Roman" w:cs="Arial"/>
          <w:color w:val="000000"/>
          <w:lang w:eastAsia="bg-BG"/>
        </w:rPr>
        <w:t xml:space="preserve">На 84-тия месец общата преживяемост се оценява на 86,4% (83,90) спрямо 83,3% (80, 87) в рандомизираните групи на иматиниб и </w:t>
      </w:r>
      <w:r w:rsidRPr="00BF503E">
        <w:rPr>
          <w:rFonts w:eastAsia="Times New Roman" w:cs="Arial"/>
          <w:color w:val="000000"/>
          <w:lang w:val="en-US"/>
        </w:rPr>
        <w:t xml:space="preserve">IFN+Ara-C, </w:t>
      </w:r>
      <w:r w:rsidRPr="00BF503E">
        <w:rPr>
          <w:rFonts w:eastAsia="Times New Roman" w:cs="Arial"/>
          <w:color w:val="000000"/>
          <w:lang w:eastAsia="bg-BG"/>
        </w:rPr>
        <w:t xml:space="preserve">съответно (р=0,073, </w:t>
      </w:r>
      <w:r w:rsidRPr="00BF503E">
        <w:rPr>
          <w:rFonts w:eastAsia="Times New Roman" w:cs="Arial"/>
          <w:color w:val="000000"/>
          <w:lang w:val="en-US"/>
        </w:rPr>
        <w:t xml:space="preserve">log-rank test). </w:t>
      </w:r>
      <w:r w:rsidRPr="00BF503E">
        <w:rPr>
          <w:rFonts w:eastAsia="Times New Roman" w:cs="Arial"/>
          <w:color w:val="000000"/>
          <w:lang w:eastAsia="bg-BG"/>
        </w:rPr>
        <w:t xml:space="preserve">Тази крайна точка на “време до събитие” е силно повлиявана от високата степен на преминаване на пациенти от рамото на </w:t>
      </w:r>
      <w:r w:rsidRPr="00BF503E">
        <w:rPr>
          <w:rFonts w:eastAsia="Times New Roman" w:cs="Arial"/>
          <w:color w:val="000000"/>
          <w:lang w:val="en-US"/>
        </w:rPr>
        <w:t xml:space="preserve">IFN+Ara-C </w:t>
      </w:r>
      <w:r w:rsidRPr="00BF503E">
        <w:rPr>
          <w:rFonts w:eastAsia="Times New Roman" w:cs="Arial"/>
          <w:color w:val="000000"/>
          <w:lang w:eastAsia="bg-BG"/>
        </w:rPr>
        <w:t xml:space="preserve">в това на иматиниб. Ефектът от лечението с иматиниб върху преживяемостта при новодиагностицирана ХМЛ в хронична фаза е бил изследван допълнително чрез ретроспективен анализ на горе-изложените данни за иматиниб и първичните данни от друго фаза III проучване, използващо </w:t>
      </w:r>
      <w:r w:rsidRPr="00BF503E">
        <w:rPr>
          <w:rFonts w:eastAsia="Times New Roman" w:cs="Arial"/>
          <w:color w:val="000000"/>
          <w:lang w:val="en-US"/>
        </w:rPr>
        <w:t xml:space="preserve">IFN+Ara-C </w:t>
      </w:r>
      <w:r w:rsidRPr="00BF503E">
        <w:rPr>
          <w:rFonts w:eastAsia="Times New Roman" w:cs="Arial"/>
          <w:color w:val="000000"/>
          <w:lang w:eastAsia="bg-BG"/>
        </w:rPr>
        <w:t>(</w:t>
      </w:r>
      <w:r w:rsidRPr="00BF503E">
        <w:rPr>
          <w:rFonts w:eastAsia="Times New Roman" w:cs="Arial"/>
          <w:color w:val="000000"/>
          <w:lang w:val="en-US"/>
        </w:rPr>
        <w:t>n</w:t>
      </w:r>
      <w:r w:rsidRPr="00BF503E">
        <w:rPr>
          <w:rFonts w:eastAsia="Times New Roman" w:cs="Arial"/>
          <w:color w:val="000000"/>
          <w:lang w:eastAsia="bg-BG"/>
        </w:rPr>
        <w:t xml:space="preserve">=325) в същата дозировка. При този ретроспективен анализ се доказва превъзходството на иматиниб пред </w:t>
      </w:r>
      <w:r w:rsidRPr="00BF503E">
        <w:rPr>
          <w:rFonts w:eastAsia="Times New Roman" w:cs="Arial"/>
          <w:color w:val="000000"/>
          <w:lang w:val="en-US"/>
        </w:rPr>
        <w:t xml:space="preserve">IFN+Ara-C </w:t>
      </w:r>
      <w:r w:rsidRPr="00BF503E">
        <w:rPr>
          <w:rFonts w:eastAsia="Times New Roman" w:cs="Arial"/>
          <w:color w:val="000000"/>
          <w:lang w:eastAsia="bg-BG"/>
        </w:rPr>
        <w:t xml:space="preserve">по отношение на общата преживяемост (р&lt;0,001); за период от 42 месеца, 47 (8,5%) от пациентите на иматиниб и 63 (19,4%) от пациентите на </w:t>
      </w:r>
      <w:r w:rsidRPr="00BF503E">
        <w:rPr>
          <w:rFonts w:eastAsia="Times New Roman" w:cs="Arial"/>
          <w:color w:val="000000"/>
          <w:lang w:val="en-US"/>
        </w:rPr>
        <w:t xml:space="preserve">IFN+Ara-C </w:t>
      </w:r>
      <w:r w:rsidRPr="00BF503E">
        <w:rPr>
          <w:rFonts w:eastAsia="Times New Roman" w:cs="Arial"/>
          <w:color w:val="000000"/>
          <w:lang w:eastAsia="bg-BG"/>
        </w:rPr>
        <w:t>са починали.</w:t>
      </w:r>
    </w:p>
    <w:p w14:paraId="2972B979" w14:textId="77777777" w:rsidR="00BF503E" w:rsidRPr="00BF503E" w:rsidRDefault="00BF503E" w:rsidP="00BF503E">
      <w:pPr>
        <w:spacing w:line="240" w:lineRule="auto"/>
        <w:rPr>
          <w:rFonts w:eastAsia="Times New Roman" w:cs="Arial"/>
          <w:color w:val="000000"/>
          <w:lang w:eastAsia="bg-BG"/>
        </w:rPr>
      </w:pPr>
    </w:p>
    <w:p w14:paraId="2CCFA0B8" w14:textId="283C3966" w:rsidR="00BF503E" w:rsidRPr="00BF503E" w:rsidRDefault="00BF503E" w:rsidP="00BF503E">
      <w:pPr>
        <w:spacing w:line="240" w:lineRule="auto"/>
        <w:rPr>
          <w:rFonts w:eastAsia="Times New Roman" w:cs="Arial"/>
          <w:sz w:val="24"/>
          <w:szCs w:val="24"/>
          <w:lang w:eastAsia="bg-BG"/>
        </w:rPr>
      </w:pPr>
      <w:r w:rsidRPr="00BF503E">
        <w:rPr>
          <w:rFonts w:eastAsia="Times New Roman" w:cs="Arial"/>
          <w:color w:val="000000"/>
          <w:lang w:eastAsia="bg-BG"/>
        </w:rPr>
        <w:t xml:space="preserve">Степента на цитогенетичен и молекулярен отговор показва отчетлив ефект върху дългосрочните резултати при пациентите на иматиниб. Докато 96% (93%) от пациентите с </w:t>
      </w:r>
      <w:r w:rsidRPr="00BF503E">
        <w:rPr>
          <w:rFonts w:eastAsia="Times New Roman" w:cs="Arial"/>
          <w:color w:val="000000"/>
          <w:lang w:val="en-US"/>
        </w:rPr>
        <w:t xml:space="preserve">CCyR (PCyR) </w:t>
      </w:r>
      <w:r w:rsidRPr="00BF503E">
        <w:rPr>
          <w:rFonts w:eastAsia="Times New Roman" w:cs="Arial"/>
          <w:color w:val="000000"/>
          <w:lang w:eastAsia="bg-BG"/>
        </w:rPr>
        <w:t xml:space="preserve">на 12-тия месец са били свободни от прогресия до фаза на акцелерация/бластна криза на 84-тия месец, само 81% от пациентите без </w:t>
      </w:r>
      <w:r w:rsidRPr="00BF503E">
        <w:rPr>
          <w:rFonts w:eastAsia="Times New Roman" w:cs="Arial"/>
          <w:color w:val="000000"/>
          <w:lang w:val="en-US"/>
        </w:rPr>
        <w:t xml:space="preserve">MCyR </w:t>
      </w:r>
      <w:r w:rsidRPr="00BF503E">
        <w:rPr>
          <w:rFonts w:eastAsia="Times New Roman" w:cs="Arial"/>
          <w:color w:val="000000"/>
          <w:lang w:eastAsia="bg-BG"/>
        </w:rPr>
        <w:t xml:space="preserve">на 12-тия месец са били свободни от прогресия до авансирала ХМЛ на 84-тия месец (р&lt;0,001 общо, р=0,25 между </w:t>
      </w:r>
      <w:r w:rsidRPr="00BF503E">
        <w:rPr>
          <w:rFonts w:eastAsia="Times New Roman" w:cs="Arial"/>
          <w:color w:val="000000"/>
          <w:lang w:val="en-US"/>
        </w:rPr>
        <w:t xml:space="preserve">CCyR </w:t>
      </w:r>
      <w:r w:rsidRPr="00BF503E">
        <w:rPr>
          <w:rFonts w:eastAsia="Times New Roman" w:cs="Arial"/>
          <w:color w:val="000000"/>
          <w:lang w:eastAsia="bg-BG"/>
        </w:rPr>
        <w:t xml:space="preserve">и </w:t>
      </w:r>
      <w:r w:rsidRPr="00BF503E">
        <w:rPr>
          <w:rFonts w:eastAsia="Times New Roman" w:cs="Arial"/>
          <w:color w:val="000000"/>
          <w:lang w:val="en-US"/>
        </w:rPr>
        <w:t xml:space="preserve">PCyR). </w:t>
      </w:r>
      <w:r w:rsidRPr="00BF503E">
        <w:rPr>
          <w:rFonts w:eastAsia="Times New Roman" w:cs="Arial"/>
          <w:color w:val="000000"/>
          <w:lang w:eastAsia="bg-BG"/>
        </w:rPr>
        <w:t xml:space="preserve">При пациентите с понижение в </w:t>
      </w:r>
      <w:r w:rsidRPr="00BF503E">
        <w:rPr>
          <w:rFonts w:eastAsia="Times New Roman" w:cs="Arial"/>
          <w:color w:val="000000"/>
          <w:lang w:val="en-US"/>
        </w:rPr>
        <w:t xml:space="preserve">Bcr-Abl </w:t>
      </w:r>
      <w:r w:rsidRPr="00BF503E">
        <w:rPr>
          <w:rFonts w:eastAsia="Times New Roman" w:cs="Arial"/>
          <w:color w:val="000000"/>
          <w:lang w:eastAsia="bg-BG"/>
        </w:rPr>
        <w:t xml:space="preserve">транскриптите с поне 3 порядъка на 12-тия месец, вероятността за запазване на свободно от прогресия до </w:t>
      </w:r>
      <w:r w:rsidRPr="00BF503E">
        <w:rPr>
          <w:rFonts w:eastAsia="Times New Roman" w:cs="Arial"/>
          <w:color w:val="000000"/>
          <w:lang w:eastAsia="bg-BG"/>
        </w:rPr>
        <w:lastRenderedPageBreak/>
        <w:t>фаза на акцелерация/бластна криза заболяване е била 99% на 84-тия месец. Подобни данни се установяват на базата на 18-месечен етапен анализ.</w:t>
      </w:r>
    </w:p>
    <w:p w14:paraId="53933111" w14:textId="77777777" w:rsidR="00BF503E" w:rsidRPr="00BF503E" w:rsidRDefault="00BF503E" w:rsidP="00BF503E">
      <w:pPr>
        <w:spacing w:line="240" w:lineRule="auto"/>
        <w:rPr>
          <w:rFonts w:eastAsia="Times New Roman" w:cs="Arial"/>
          <w:color w:val="000000"/>
          <w:lang w:eastAsia="bg-BG"/>
        </w:rPr>
      </w:pPr>
    </w:p>
    <w:p w14:paraId="34556B91" w14:textId="3142325F" w:rsidR="00BF503E" w:rsidRPr="00BF503E" w:rsidRDefault="00BF503E" w:rsidP="00BF503E">
      <w:pPr>
        <w:spacing w:line="240" w:lineRule="auto"/>
        <w:rPr>
          <w:rFonts w:eastAsia="Times New Roman" w:cs="Arial"/>
          <w:sz w:val="24"/>
          <w:szCs w:val="24"/>
          <w:lang w:eastAsia="bg-BG"/>
        </w:rPr>
      </w:pPr>
      <w:r w:rsidRPr="00BF503E">
        <w:rPr>
          <w:rFonts w:eastAsia="Times New Roman" w:cs="Arial"/>
          <w:color w:val="000000"/>
          <w:lang w:eastAsia="bg-BG"/>
        </w:rPr>
        <w:t xml:space="preserve">При това проучване е разрешено повишаване на дозата от 400 </w:t>
      </w:r>
      <w:r w:rsidRPr="00BF503E">
        <w:rPr>
          <w:rFonts w:eastAsia="Times New Roman" w:cs="Arial"/>
          <w:color w:val="000000"/>
          <w:lang w:val="en-US"/>
        </w:rPr>
        <w:t xml:space="preserve">mg </w:t>
      </w:r>
      <w:r w:rsidRPr="00BF503E">
        <w:rPr>
          <w:rFonts w:eastAsia="Times New Roman" w:cs="Arial"/>
          <w:color w:val="000000"/>
          <w:lang w:eastAsia="bg-BG"/>
        </w:rPr>
        <w:t xml:space="preserve">дневно на 600 </w:t>
      </w:r>
      <w:r w:rsidRPr="00BF503E">
        <w:rPr>
          <w:rFonts w:eastAsia="Times New Roman" w:cs="Arial"/>
          <w:color w:val="000000"/>
          <w:lang w:val="en-US"/>
        </w:rPr>
        <w:t xml:space="preserve">mg </w:t>
      </w:r>
      <w:r w:rsidRPr="00BF503E">
        <w:rPr>
          <w:rFonts w:eastAsia="Times New Roman" w:cs="Arial"/>
          <w:color w:val="000000"/>
          <w:lang w:eastAsia="bg-BG"/>
        </w:rPr>
        <w:t xml:space="preserve">дневно и след това от 600 </w:t>
      </w:r>
      <w:r w:rsidRPr="00BF503E">
        <w:rPr>
          <w:rFonts w:eastAsia="Times New Roman" w:cs="Arial"/>
          <w:color w:val="000000"/>
          <w:lang w:val="en-US"/>
        </w:rPr>
        <w:t xml:space="preserve">mg </w:t>
      </w:r>
      <w:r w:rsidRPr="00BF503E">
        <w:rPr>
          <w:rFonts w:eastAsia="Times New Roman" w:cs="Arial"/>
          <w:color w:val="000000"/>
          <w:lang w:eastAsia="bg-BG"/>
        </w:rPr>
        <w:t xml:space="preserve">дневно на 800 </w:t>
      </w:r>
      <w:r w:rsidRPr="00BF503E">
        <w:rPr>
          <w:rFonts w:eastAsia="Times New Roman" w:cs="Arial"/>
          <w:color w:val="000000"/>
          <w:lang w:val="en-US"/>
        </w:rPr>
        <w:t xml:space="preserve">mg </w:t>
      </w:r>
      <w:r w:rsidRPr="00BF503E">
        <w:rPr>
          <w:rFonts w:eastAsia="Times New Roman" w:cs="Arial"/>
          <w:color w:val="000000"/>
          <w:lang w:eastAsia="bg-BG"/>
        </w:rPr>
        <w:t xml:space="preserve">дневно. След 42 месечно проследяване, 11 от пациентите имат потвърдена загуба (в рамките на 4 седмици) на цитогенетичния отговор. От тези 11 пациента, при 4 дозата е била повишена до 800 </w:t>
      </w:r>
      <w:r w:rsidRPr="00BF503E">
        <w:rPr>
          <w:rFonts w:eastAsia="Times New Roman" w:cs="Arial"/>
          <w:color w:val="000000"/>
          <w:lang w:val="en-US"/>
        </w:rPr>
        <w:t xml:space="preserve">mg </w:t>
      </w:r>
      <w:r w:rsidRPr="00BF503E">
        <w:rPr>
          <w:rFonts w:eastAsia="Times New Roman" w:cs="Arial"/>
          <w:color w:val="000000"/>
          <w:lang w:eastAsia="bg-BG"/>
        </w:rPr>
        <w:t xml:space="preserve">дневно, от които двама отново постигат цитогенетичен отговор (единият — частичен, а другият — пълен, като последният постига също молекулярен отговор), докато при 7 пациенти, при които дозата не е повишена, само при един е постигнат пълен цитогенетичен отговор. Процентът на някои нежелани реакции е по-висок при пациентите, при които дозата е повишена на 800 </w:t>
      </w:r>
      <w:r w:rsidRPr="00BF503E">
        <w:rPr>
          <w:rFonts w:eastAsia="Times New Roman" w:cs="Arial"/>
          <w:color w:val="000000"/>
          <w:lang w:val="en-US"/>
        </w:rPr>
        <w:t xml:space="preserve">mg </w:t>
      </w:r>
      <w:r w:rsidRPr="00BF503E">
        <w:rPr>
          <w:rFonts w:eastAsia="Times New Roman" w:cs="Arial"/>
          <w:color w:val="000000"/>
          <w:lang w:eastAsia="bg-BG"/>
        </w:rPr>
        <w:t>дневно, в сравнение с групата пациенти преди повишаването на дозата (</w:t>
      </w:r>
      <w:r w:rsidRPr="00BF503E">
        <w:rPr>
          <w:rFonts w:eastAsia="Times New Roman" w:cs="Arial"/>
          <w:color w:val="000000"/>
          <w:lang w:val="en-US"/>
        </w:rPr>
        <w:t>n</w:t>
      </w:r>
      <w:r w:rsidRPr="00BF503E">
        <w:rPr>
          <w:rFonts w:eastAsia="Times New Roman" w:cs="Arial"/>
          <w:color w:val="000000"/>
          <w:lang w:eastAsia="bg-BG"/>
        </w:rPr>
        <w:t>=551). Най-честите нежелани реакции включват гастро- интестинални кръвоизливи, конюнктивити и повишаване на трансаминазите или билирубина. Други нежелани реакции са описани с еднаква или по-ниска честота.</w:t>
      </w:r>
    </w:p>
    <w:p w14:paraId="0BB651AE" w14:textId="77777777" w:rsidR="00BF503E" w:rsidRPr="00BF503E" w:rsidRDefault="00BF503E" w:rsidP="00BF503E">
      <w:pPr>
        <w:spacing w:line="240" w:lineRule="auto"/>
        <w:rPr>
          <w:rFonts w:eastAsia="Times New Roman" w:cs="Arial"/>
          <w:i/>
          <w:iCs/>
          <w:color w:val="000000"/>
          <w:lang w:eastAsia="bg-BG"/>
        </w:rPr>
      </w:pPr>
    </w:p>
    <w:p w14:paraId="4C0C6068" w14:textId="459F4F69" w:rsidR="00BF503E" w:rsidRPr="00BF503E" w:rsidRDefault="00BF503E" w:rsidP="00BF503E">
      <w:pPr>
        <w:spacing w:line="240" w:lineRule="auto"/>
        <w:rPr>
          <w:rFonts w:eastAsia="Times New Roman" w:cs="Arial"/>
          <w:sz w:val="24"/>
          <w:szCs w:val="24"/>
          <w:lang w:eastAsia="bg-BG"/>
        </w:rPr>
      </w:pPr>
      <w:r w:rsidRPr="00BF503E">
        <w:rPr>
          <w:rFonts w:eastAsia="Times New Roman" w:cs="Arial"/>
          <w:i/>
          <w:iCs/>
          <w:color w:val="000000"/>
          <w:lang w:eastAsia="bg-BG"/>
        </w:rPr>
        <w:t>Хронична фаза, неуспех от интерфероновата терапия:</w:t>
      </w:r>
      <w:r w:rsidRPr="00BF503E">
        <w:rPr>
          <w:rFonts w:eastAsia="Times New Roman" w:cs="Arial"/>
          <w:color w:val="000000"/>
          <w:lang w:eastAsia="bg-BG"/>
        </w:rPr>
        <w:t xml:space="preserve"> Лекувани са 532 възрастни с начална доза от 400 </w:t>
      </w:r>
      <w:r w:rsidRPr="00BF503E">
        <w:rPr>
          <w:rFonts w:eastAsia="Times New Roman" w:cs="Arial"/>
          <w:color w:val="000000"/>
          <w:lang w:val="en-US"/>
        </w:rPr>
        <w:t xml:space="preserve">mg. </w:t>
      </w:r>
      <w:r w:rsidRPr="00BF503E">
        <w:rPr>
          <w:rFonts w:eastAsia="Times New Roman" w:cs="Arial"/>
          <w:color w:val="000000"/>
          <w:lang w:eastAsia="bg-BG"/>
        </w:rPr>
        <w:t>Пациентите са били разделени в три основни категории: хематологичен неуспех (29%), цитогенетичен неуспех (35%) или непоносимост към интерферона (36%).</w:t>
      </w:r>
      <w:r w:rsidRPr="00BF503E">
        <w:rPr>
          <w:rFonts w:eastAsia="Times New Roman" w:cs="Arial"/>
          <w:color w:val="000000"/>
          <w:lang w:val="en-US"/>
        </w:rPr>
        <w:t xml:space="preserve"> </w:t>
      </w:r>
      <w:r w:rsidRPr="00BF503E">
        <w:rPr>
          <w:rFonts w:eastAsia="Times New Roman" w:cs="Arial"/>
          <w:color w:val="000000"/>
          <w:lang w:eastAsia="bg-BG"/>
        </w:rPr>
        <w:t xml:space="preserve">Пациентите са получавали предхождаща </w:t>
      </w:r>
      <w:r w:rsidRPr="00BF503E">
        <w:rPr>
          <w:rFonts w:eastAsia="Times New Roman" w:cs="Arial"/>
          <w:color w:val="000000"/>
          <w:lang w:val="en-US"/>
        </w:rPr>
        <w:t xml:space="preserve">IFN </w:t>
      </w:r>
      <w:r w:rsidRPr="00BF503E">
        <w:rPr>
          <w:rFonts w:eastAsia="Times New Roman" w:cs="Arial"/>
          <w:color w:val="000000"/>
          <w:lang w:eastAsia="bg-BG"/>
        </w:rPr>
        <w:t>терапия с медиана на продължителност 14 месеца в доза ≥</w:t>
      </w:r>
      <w:r w:rsidRPr="00BF503E">
        <w:rPr>
          <w:rFonts w:eastAsia="Times New Roman" w:cs="Arial"/>
          <w:color w:val="000000"/>
          <w:lang w:val="en-US"/>
        </w:rPr>
        <w:t xml:space="preserve"> 25 x</w:t>
      </w:r>
      <w:r w:rsidRPr="00BF503E">
        <w:rPr>
          <w:rFonts w:eastAsia="Times New Roman" w:cs="Arial"/>
          <w:color w:val="000000"/>
          <w:lang w:eastAsia="bg-BG"/>
        </w:rPr>
        <w:t xml:space="preserve"> 10</w:t>
      </w:r>
      <w:r w:rsidRPr="00BF503E">
        <w:rPr>
          <w:rFonts w:eastAsia="Times New Roman" w:cs="Arial"/>
          <w:color w:val="000000"/>
          <w:vertAlign w:val="subscript"/>
          <w:lang w:eastAsia="bg-BG"/>
        </w:rPr>
        <w:t>6</w:t>
      </w:r>
      <w:r w:rsidRPr="00BF503E">
        <w:rPr>
          <w:rFonts w:eastAsia="Times New Roman" w:cs="Arial"/>
          <w:color w:val="000000"/>
          <w:lang w:val="en-US"/>
        </w:rPr>
        <w:t>IU</w:t>
      </w:r>
      <w:r w:rsidRPr="00BF503E">
        <w:rPr>
          <w:rFonts w:eastAsia="Times New Roman" w:cs="Arial"/>
          <w:color w:val="000000"/>
          <w:lang w:eastAsia="bg-BG"/>
        </w:rPr>
        <w:t xml:space="preserve">/седмично, всички са били в късна хронична фаза, с медиана на периода след поставяне на диагнозата от 32 месеца. Първичната крайна точка за ефикасността на проучването е честотата, на голям цитогенетичен отговор (пълен плюс частичен отговор, 0 до 35% </w:t>
      </w:r>
      <w:r w:rsidRPr="00BF503E">
        <w:rPr>
          <w:rFonts w:eastAsia="Times New Roman" w:cs="Arial"/>
          <w:color w:val="000000"/>
          <w:lang w:val="en-US"/>
        </w:rPr>
        <w:t xml:space="preserve">Ph + </w:t>
      </w:r>
      <w:r w:rsidRPr="00BF503E">
        <w:rPr>
          <w:rFonts w:eastAsia="Times New Roman" w:cs="Arial"/>
          <w:color w:val="000000"/>
          <w:lang w:eastAsia="bg-BG"/>
        </w:rPr>
        <w:t>метафазни</w:t>
      </w:r>
    </w:p>
    <w:p w14:paraId="4C851ECA" w14:textId="11DB619B" w:rsidR="00BF503E" w:rsidRPr="00BF503E" w:rsidRDefault="00BF503E" w:rsidP="00BF503E">
      <w:pPr>
        <w:rPr>
          <w:rFonts w:cs="Arial"/>
        </w:rPr>
      </w:pPr>
      <w:r w:rsidRPr="00BF503E">
        <w:rPr>
          <w:rFonts w:eastAsia="Times New Roman" w:cs="Arial"/>
          <w:color w:val="000000"/>
          <w:lang w:eastAsia="bg-BG"/>
        </w:rPr>
        <w:t>пластинки в костния мозък).</w:t>
      </w:r>
    </w:p>
    <w:p w14:paraId="1E1E0C38" w14:textId="6C682E37" w:rsidR="00BF503E" w:rsidRPr="00BF503E" w:rsidRDefault="00BF503E" w:rsidP="0091385D">
      <w:pPr>
        <w:rPr>
          <w:rFonts w:cs="Arial"/>
        </w:rPr>
      </w:pPr>
    </w:p>
    <w:p w14:paraId="61537143" w14:textId="77777777" w:rsidR="00BF503E" w:rsidRPr="00BF503E" w:rsidRDefault="00BF503E" w:rsidP="00BF503E">
      <w:pPr>
        <w:spacing w:line="240" w:lineRule="auto"/>
        <w:rPr>
          <w:rFonts w:eastAsia="Times New Roman" w:cs="Arial"/>
          <w:sz w:val="24"/>
          <w:szCs w:val="24"/>
          <w:lang w:eastAsia="bg-BG"/>
        </w:rPr>
      </w:pPr>
      <w:r w:rsidRPr="00BF503E">
        <w:rPr>
          <w:rFonts w:eastAsia="Times New Roman" w:cs="Arial"/>
          <w:color w:val="000000"/>
          <w:lang w:eastAsia="bg-BG"/>
        </w:rPr>
        <w:t>При това проучване 65% от пациентите постигат голям цитогенетичен отговор, който е пълен при 53% (потвърден в 43%) от пациентите (Таблица 3). Пълен хематологичен отговор е постигнат при 95% от пациентите.</w:t>
      </w:r>
    </w:p>
    <w:p w14:paraId="43124E52" w14:textId="77777777" w:rsidR="00BF503E" w:rsidRPr="00BF503E" w:rsidRDefault="00BF503E" w:rsidP="00BF503E">
      <w:pPr>
        <w:spacing w:line="240" w:lineRule="auto"/>
        <w:rPr>
          <w:rFonts w:eastAsia="Times New Roman" w:cs="Arial"/>
          <w:i/>
          <w:iCs/>
          <w:color w:val="000000"/>
          <w:lang w:eastAsia="bg-BG"/>
        </w:rPr>
      </w:pPr>
    </w:p>
    <w:p w14:paraId="592D0CAD" w14:textId="24B15B8F" w:rsidR="00BF503E" w:rsidRPr="00BF503E" w:rsidRDefault="00BF503E" w:rsidP="00BF503E">
      <w:pPr>
        <w:spacing w:line="240" w:lineRule="auto"/>
        <w:rPr>
          <w:rFonts w:eastAsia="Times New Roman" w:cs="Arial"/>
          <w:sz w:val="24"/>
          <w:szCs w:val="24"/>
          <w:lang w:eastAsia="bg-BG"/>
        </w:rPr>
      </w:pPr>
      <w:r w:rsidRPr="00BF503E">
        <w:rPr>
          <w:rFonts w:eastAsia="Times New Roman" w:cs="Arial"/>
          <w:i/>
          <w:iCs/>
          <w:color w:val="000000"/>
          <w:lang w:eastAsia="bg-BG"/>
        </w:rPr>
        <w:t>Фаза на акцелерация:</w:t>
      </w:r>
      <w:r w:rsidRPr="00BF503E">
        <w:rPr>
          <w:rFonts w:eastAsia="Times New Roman" w:cs="Arial"/>
          <w:color w:val="000000"/>
          <w:lang w:eastAsia="bg-BG"/>
        </w:rPr>
        <w:t xml:space="preserve"> Включени са 235 възрастни пациенти със заболяване във фаза на акцелерация. При първите 77 пациенти лечението е започнато е 400 </w:t>
      </w:r>
      <w:r w:rsidRPr="00BF503E">
        <w:rPr>
          <w:rFonts w:eastAsia="Times New Roman" w:cs="Arial"/>
          <w:color w:val="000000"/>
          <w:lang w:val="en-US"/>
        </w:rPr>
        <w:t xml:space="preserve">mg, </w:t>
      </w:r>
      <w:r w:rsidRPr="00BF503E">
        <w:rPr>
          <w:rFonts w:eastAsia="Times New Roman" w:cs="Arial"/>
          <w:color w:val="000000"/>
          <w:lang w:eastAsia="bg-BG"/>
        </w:rPr>
        <w:t xml:space="preserve">като впоследствие протоколът е променен, като се позволят по-високи дози, така че при останалите 158 пациенти лечението е започнато с 600 </w:t>
      </w:r>
      <w:r w:rsidRPr="00BF503E">
        <w:rPr>
          <w:rFonts w:eastAsia="Times New Roman" w:cs="Arial"/>
          <w:color w:val="000000"/>
          <w:lang w:val="en-US"/>
        </w:rPr>
        <w:t>mg.</w:t>
      </w:r>
    </w:p>
    <w:p w14:paraId="5C7C395C" w14:textId="77777777" w:rsidR="00BF503E" w:rsidRPr="00BF503E" w:rsidRDefault="00BF503E" w:rsidP="00BF503E">
      <w:pPr>
        <w:spacing w:line="240" w:lineRule="auto"/>
        <w:rPr>
          <w:rFonts w:eastAsia="Times New Roman" w:cs="Arial"/>
          <w:color w:val="000000"/>
          <w:lang w:eastAsia="bg-BG"/>
        </w:rPr>
      </w:pPr>
    </w:p>
    <w:p w14:paraId="304C33EC" w14:textId="5C023A1C" w:rsidR="00BF503E" w:rsidRPr="00BF503E" w:rsidRDefault="00BF503E" w:rsidP="00BF503E">
      <w:pPr>
        <w:spacing w:line="240" w:lineRule="auto"/>
        <w:rPr>
          <w:rFonts w:eastAsia="Times New Roman" w:cs="Arial"/>
          <w:sz w:val="24"/>
          <w:szCs w:val="24"/>
          <w:lang w:eastAsia="bg-BG"/>
        </w:rPr>
      </w:pPr>
      <w:r w:rsidRPr="00BF503E">
        <w:rPr>
          <w:rFonts w:eastAsia="Times New Roman" w:cs="Arial"/>
          <w:color w:val="000000"/>
          <w:lang w:eastAsia="bg-BG"/>
        </w:rPr>
        <w:t xml:space="preserve">Първичната крайна точка за ефикасността е била честотата на хематологичен отговор, докладвана или като пълен хематологичен отговор, без данни за левкемия (т.е. изчистване на костния мозък и кръвта от бласти, но без пълно възстановяване на периферната кръв както при пълния отговор) или преминаване отново в хроничната фаза на ХМЛ. Потвърден хематологичен отговор е постигнат при 71,5% от пациентите (Таблица 3). Важно е да се отбележи, че 27,7% от пациенти също постигат голям цитогенетичен отговор, който е бил пълен при 20,4% (потвърден при 16%) от пациентите. За пациентите лекувани с 600 </w:t>
      </w:r>
      <w:r w:rsidRPr="00BF503E">
        <w:rPr>
          <w:rFonts w:eastAsia="Times New Roman" w:cs="Arial"/>
          <w:color w:val="000000"/>
          <w:lang w:val="en-US"/>
        </w:rPr>
        <w:t xml:space="preserve">mg, </w:t>
      </w:r>
      <w:r w:rsidRPr="00BF503E">
        <w:rPr>
          <w:rFonts w:eastAsia="Times New Roman" w:cs="Arial"/>
          <w:color w:val="000000"/>
          <w:lang w:eastAsia="bg-BG"/>
        </w:rPr>
        <w:t>текущите оценки за медианата на преживяемост без прогресия и обща преживяемост са 22,9 и 42,5 месеца, съответно.</w:t>
      </w:r>
    </w:p>
    <w:p w14:paraId="163DCD86" w14:textId="77777777" w:rsidR="00BF503E" w:rsidRPr="00BF503E" w:rsidRDefault="00BF503E" w:rsidP="00BF503E">
      <w:pPr>
        <w:spacing w:line="240" w:lineRule="auto"/>
        <w:rPr>
          <w:rFonts w:eastAsia="Times New Roman" w:cs="Arial"/>
          <w:i/>
          <w:iCs/>
          <w:color w:val="000000"/>
          <w:lang w:eastAsia="bg-BG"/>
        </w:rPr>
      </w:pPr>
    </w:p>
    <w:p w14:paraId="7670ADDD" w14:textId="4D998987" w:rsidR="00BF503E" w:rsidRPr="00BF503E" w:rsidRDefault="00BF503E" w:rsidP="00BF503E">
      <w:pPr>
        <w:spacing w:line="240" w:lineRule="auto"/>
        <w:rPr>
          <w:rFonts w:eastAsia="Times New Roman" w:cs="Arial"/>
          <w:sz w:val="24"/>
          <w:szCs w:val="24"/>
          <w:lang w:eastAsia="bg-BG"/>
        </w:rPr>
      </w:pPr>
      <w:r w:rsidRPr="00BF503E">
        <w:rPr>
          <w:rFonts w:eastAsia="Times New Roman" w:cs="Arial"/>
          <w:i/>
          <w:iCs/>
          <w:color w:val="000000"/>
          <w:lang w:eastAsia="bg-BG"/>
        </w:rPr>
        <w:t>Миелоидна властна криза:</w:t>
      </w:r>
      <w:r w:rsidRPr="00BF503E">
        <w:rPr>
          <w:rFonts w:eastAsia="Times New Roman" w:cs="Arial"/>
          <w:color w:val="000000"/>
          <w:lang w:eastAsia="bg-BG"/>
        </w:rPr>
        <w:t xml:space="preserve"> Включени са 260 пациенти с миелоидна бластна криза. 95 (37%) пациенти са получавали предхождаща химиотерапия за лечение на фаза на акцелерация или бластна криза (“предварително лекувани пациенти”) докато останалите 165 (63%) не са получавали (“нелекувани пациенти”) лечение. Първите 37 пациенти започват лечението 400 </w:t>
      </w:r>
      <w:r w:rsidRPr="00BF503E">
        <w:rPr>
          <w:rFonts w:eastAsia="Times New Roman" w:cs="Arial"/>
          <w:color w:val="000000"/>
          <w:lang w:val="en-US"/>
        </w:rPr>
        <w:t xml:space="preserve">mg </w:t>
      </w:r>
      <w:r w:rsidRPr="00BF503E">
        <w:rPr>
          <w:rFonts w:eastAsia="Times New Roman" w:cs="Arial"/>
          <w:color w:val="000000"/>
          <w:lang w:eastAsia="bg-BG"/>
        </w:rPr>
        <w:t xml:space="preserve">като впоследствие протоколът е променен, така че да се позволи по-високи дози, и при останалите 223 пациенти лечението е започнато с 600 </w:t>
      </w:r>
      <w:r w:rsidRPr="00BF503E">
        <w:rPr>
          <w:rFonts w:eastAsia="Times New Roman" w:cs="Arial"/>
          <w:color w:val="000000"/>
          <w:lang w:val="en-US"/>
        </w:rPr>
        <w:t>mg.</w:t>
      </w:r>
    </w:p>
    <w:p w14:paraId="1CD25F2A" w14:textId="77777777" w:rsidR="00BF503E" w:rsidRPr="00BF503E" w:rsidRDefault="00BF503E" w:rsidP="00BF503E">
      <w:pPr>
        <w:spacing w:line="240" w:lineRule="auto"/>
        <w:rPr>
          <w:rFonts w:eastAsia="Times New Roman" w:cs="Arial"/>
          <w:color w:val="000000"/>
          <w:lang w:eastAsia="bg-BG"/>
        </w:rPr>
      </w:pPr>
    </w:p>
    <w:p w14:paraId="5BCADBEA" w14:textId="3B17D851" w:rsidR="00BF503E" w:rsidRPr="00BF503E" w:rsidRDefault="00BF503E" w:rsidP="00BF503E">
      <w:pPr>
        <w:spacing w:line="240" w:lineRule="auto"/>
        <w:rPr>
          <w:rFonts w:eastAsia="Times New Roman" w:cs="Arial"/>
          <w:sz w:val="24"/>
          <w:szCs w:val="24"/>
          <w:lang w:eastAsia="bg-BG"/>
        </w:rPr>
      </w:pPr>
      <w:r w:rsidRPr="00BF503E">
        <w:rPr>
          <w:rFonts w:eastAsia="Times New Roman" w:cs="Arial"/>
          <w:color w:val="000000"/>
          <w:lang w:eastAsia="bg-BG"/>
        </w:rPr>
        <w:t xml:space="preserve">Първичната крайна точка за ефикасността е честотата на хематологичен отговор, докладван или като пълен хематологичен отговор, без данни за левкемия или преминаване отново в хроничната фаза на ХМЛ, като се използват същите критерии, както при проучването във фазата на акцелерация. При това проучване 31 % от пациентите постигат хематологичен отговор. (36% от предварително нелекуваните пациенти и 22% от предварително лекуваните пациенти) (Таблица 3). Честотата на отговор е също по-висока при пациентите, лекувани с 600 </w:t>
      </w:r>
      <w:r w:rsidRPr="00BF503E">
        <w:rPr>
          <w:rFonts w:eastAsia="Times New Roman" w:cs="Arial"/>
          <w:color w:val="000000"/>
          <w:lang w:val="en-US"/>
        </w:rPr>
        <w:t xml:space="preserve">mg </w:t>
      </w:r>
      <w:r w:rsidRPr="00BF503E">
        <w:rPr>
          <w:rFonts w:eastAsia="Times New Roman" w:cs="Arial"/>
          <w:color w:val="000000"/>
          <w:lang w:eastAsia="bg-BG"/>
        </w:rPr>
        <w:t xml:space="preserve">(33%), в сравнение с тези, които са лекувани с 400 </w:t>
      </w:r>
      <w:r w:rsidRPr="00BF503E">
        <w:rPr>
          <w:rFonts w:eastAsia="Times New Roman" w:cs="Arial"/>
          <w:color w:val="000000"/>
          <w:lang w:val="en-US"/>
        </w:rPr>
        <w:t xml:space="preserve">mg </w:t>
      </w:r>
      <w:r w:rsidRPr="00BF503E">
        <w:rPr>
          <w:rFonts w:eastAsia="Times New Roman" w:cs="Arial"/>
          <w:color w:val="000000"/>
          <w:lang w:eastAsia="bg-BG"/>
        </w:rPr>
        <w:t>(16%, р=0,0220). Текущата оценка за средната преживяемост на предварително нелекуваните и лекуваните пациенти е съответно 7,7 и 4,7 месеца.</w:t>
      </w:r>
    </w:p>
    <w:p w14:paraId="106377C1" w14:textId="77777777" w:rsidR="00BF503E" w:rsidRPr="00BF503E" w:rsidRDefault="00BF503E" w:rsidP="00BF503E">
      <w:pPr>
        <w:spacing w:line="240" w:lineRule="auto"/>
        <w:rPr>
          <w:rFonts w:eastAsia="Times New Roman" w:cs="Arial"/>
          <w:sz w:val="24"/>
          <w:szCs w:val="24"/>
          <w:lang w:eastAsia="bg-BG"/>
        </w:rPr>
      </w:pPr>
      <w:r w:rsidRPr="00BF503E">
        <w:rPr>
          <w:rFonts w:eastAsia="Times New Roman" w:cs="Arial"/>
          <w:i/>
          <w:iCs/>
          <w:color w:val="000000"/>
          <w:lang w:eastAsia="bg-BG"/>
        </w:rPr>
        <w:t>Лимфобластиа криза: Включени са</w:t>
      </w:r>
      <w:r w:rsidRPr="00BF503E">
        <w:rPr>
          <w:rFonts w:eastAsia="Times New Roman" w:cs="Arial"/>
          <w:color w:val="000000"/>
          <w:lang w:eastAsia="bg-BG"/>
        </w:rPr>
        <w:t xml:space="preserve"> малък брой пациенти във фаза I проучвания (</w:t>
      </w:r>
      <w:r w:rsidRPr="00BF503E">
        <w:rPr>
          <w:rFonts w:eastAsia="Times New Roman" w:cs="Arial"/>
          <w:color w:val="000000"/>
          <w:lang w:val="en-US"/>
        </w:rPr>
        <w:t>n</w:t>
      </w:r>
      <w:r w:rsidRPr="00BF503E">
        <w:rPr>
          <w:rFonts w:eastAsia="Times New Roman" w:cs="Arial"/>
          <w:color w:val="000000"/>
          <w:lang w:eastAsia="bg-BG"/>
        </w:rPr>
        <w:t>=10). Честотата на хематологичен отговор е 70% с продължителност 2-3 месеца.</w:t>
      </w:r>
    </w:p>
    <w:p w14:paraId="0EEF15D5" w14:textId="77777777" w:rsidR="00BF503E" w:rsidRPr="00BF503E" w:rsidRDefault="00BF503E" w:rsidP="00BF503E">
      <w:pPr>
        <w:rPr>
          <w:rFonts w:eastAsia="Times New Roman" w:cs="Arial"/>
          <w:b/>
          <w:bCs/>
          <w:color w:val="000000"/>
          <w:lang w:eastAsia="bg-BG"/>
        </w:rPr>
      </w:pPr>
    </w:p>
    <w:p w14:paraId="73C1E20C" w14:textId="305383AB" w:rsidR="00BF503E" w:rsidRPr="00BF503E" w:rsidRDefault="00BF503E" w:rsidP="00BF503E">
      <w:pPr>
        <w:rPr>
          <w:rFonts w:cs="Arial"/>
        </w:rPr>
      </w:pPr>
      <w:r w:rsidRPr="00BF503E">
        <w:rPr>
          <w:rFonts w:eastAsia="Times New Roman" w:cs="Arial"/>
          <w:b/>
          <w:bCs/>
          <w:color w:val="000000"/>
          <w:lang w:eastAsia="bg-BG"/>
        </w:rPr>
        <w:t>Таблица 3 Отговор при проучвания на ХМЛ при възрастни</w:t>
      </w:r>
    </w:p>
    <w:tbl>
      <w:tblPr>
        <w:tblStyle w:val="TableGrid"/>
        <w:tblW w:w="0" w:type="auto"/>
        <w:tblLook w:val="04A0" w:firstRow="1" w:lastRow="0" w:firstColumn="1" w:lastColumn="0" w:noHBand="0" w:noVBand="1"/>
      </w:tblPr>
      <w:tblGrid>
        <w:gridCol w:w="2337"/>
        <w:gridCol w:w="2337"/>
        <w:gridCol w:w="2338"/>
        <w:gridCol w:w="2338"/>
      </w:tblGrid>
      <w:tr w:rsidR="00C267CF" w14:paraId="4D6A5D28" w14:textId="77777777" w:rsidTr="00C267CF">
        <w:tc>
          <w:tcPr>
            <w:tcW w:w="2337" w:type="dxa"/>
          </w:tcPr>
          <w:p w14:paraId="7191AFBD" w14:textId="77777777" w:rsidR="00C267CF" w:rsidRPr="00C267CF" w:rsidRDefault="00C267CF" w:rsidP="00C267CF">
            <w:pPr>
              <w:rPr>
                <w:rFonts w:cs="Arial"/>
              </w:rPr>
            </w:pPr>
          </w:p>
        </w:tc>
        <w:tc>
          <w:tcPr>
            <w:tcW w:w="2337" w:type="dxa"/>
          </w:tcPr>
          <w:p w14:paraId="7D0FEA6E" w14:textId="65C45D3E" w:rsidR="00C267CF" w:rsidRPr="00C267CF" w:rsidRDefault="00C267CF" w:rsidP="00C267CF">
            <w:pPr>
              <w:rPr>
                <w:rFonts w:cs="Arial"/>
              </w:rPr>
            </w:pPr>
            <w:r w:rsidRPr="00C267CF">
              <w:rPr>
                <w:rFonts w:cs="Arial"/>
              </w:rPr>
              <w:t>Проучване 0110 37-месечни данни Хронична фаза Неуспех с интерферон (</w:t>
            </w:r>
            <w:r w:rsidRPr="00C267CF">
              <w:rPr>
                <w:rFonts w:cs="Arial"/>
                <w:lang w:val="en-US"/>
              </w:rPr>
              <w:t>n=</w:t>
            </w:r>
            <w:r w:rsidRPr="00C267CF">
              <w:rPr>
                <w:rFonts w:cs="Arial"/>
              </w:rPr>
              <w:t>532)</w:t>
            </w:r>
          </w:p>
        </w:tc>
        <w:tc>
          <w:tcPr>
            <w:tcW w:w="2338" w:type="dxa"/>
          </w:tcPr>
          <w:p w14:paraId="66A17911" w14:textId="393A0890" w:rsidR="00C267CF" w:rsidRPr="00C267CF" w:rsidRDefault="00C267CF" w:rsidP="00C267CF">
            <w:pPr>
              <w:rPr>
                <w:rFonts w:cs="Arial"/>
              </w:rPr>
            </w:pPr>
            <w:r w:rsidRPr="00C267CF">
              <w:rPr>
                <w:rFonts w:cs="Arial"/>
              </w:rPr>
              <w:t>Проучване 0109 40,5-месечни данни Фаза на акцелерация (</w:t>
            </w:r>
            <w:r w:rsidRPr="00C267CF">
              <w:rPr>
                <w:rFonts w:cs="Arial"/>
                <w:lang w:val="en-US"/>
              </w:rPr>
              <w:t>n</w:t>
            </w:r>
            <w:r w:rsidRPr="00C267CF">
              <w:rPr>
                <w:rFonts w:cs="Arial"/>
              </w:rPr>
              <w:t>=235)</w:t>
            </w:r>
          </w:p>
        </w:tc>
        <w:tc>
          <w:tcPr>
            <w:tcW w:w="2338" w:type="dxa"/>
          </w:tcPr>
          <w:p w14:paraId="5BAE6BCC" w14:textId="02674B84" w:rsidR="00C267CF" w:rsidRPr="00C267CF" w:rsidRDefault="00C267CF" w:rsidP="00C267CF">
            <w:pPr>
              <w:rPr>
                <w:rFonts w:cs="Arial"/>
              </w:rPr>
            </w:pPr>
            <w:r w:rsidRPr="00C267CF">
              <w:rPr>
                <w:rFonts w:cs="Arial"/>
              </w:rPr>
              <w:t>Проучване 0102 Данни от 38 месеца Миелобластна криза (</w:t>
            </w:r>
            <w:r w:rsidRPr="00C267CF">
              <w:rPr>
                <w:rFonts w:cs="Arial"/>
                <w:lang w:val="en-US"/>
              </w:rPr>
              <w:t>n</w:t>
            </w:r>
            <w:r w:rsidRPr="00C267CF">
              <w:rPr>
                <w:rFonts w:cs="Arial"/>
              </w:rPr>
              <w:t>=260)</w:t>
            </w:r>
          </w:p>
        </w:tc>
      </w:tr>
      <w:tr w:rsidR="00C267CF" w14:paraId="750C2E1A" w14:textId="77777777" w:rsidTr="00C267CF">
        <w:tc>
          <w:tcPr>
            <w:tcW w:w="2337" w:type="dxa"/>
          </w:tcPr>
          <w:p w14:paraId="04849E87" w14:textId="77777777" w:rsidR="00C267CF" w:rsidRPr="00C267CF" w:rsidRDefault="00C267CF" w:rsidP="00C267CF">
            <w:pPr>
              <w:rPr>
                <w:rFonts w:cs="Arial"/>
              </w:rPr>
            </w:pPr>
          </w:p>
        </w:tc>
        <w:tc>
          <w:tcPr>
            <w:tcW w:w="2337" w:type="dxa"/>
          </w:tcPr>
          <w:p w14:paraId="6EC25018" w14:textId="77777777" w:rsidR="00C267CF" w:rsidRPr="00C267CF" w:rsidRDefault="00C267CF" w:rsidP="00C267CF">
            <w:pPr>
              <w:rPr>
                <w:rFonts w:cs="Arial"/>
              </w:rPr>
            </w:pPr>
          </w:p>
        </w:tc>
        <w:tc>
          <w:tcPr>
            <w:tcW w:w="2338" w:type="dxa"/>
          </w:tcPr>
          <w:p w14:paraId="2F87AB9F" w14:textId="62719C64" w:rsidR="00C267CF" w:rsidRPr="00C267CF" w:rsidRDefault="00C267CF" w:rsidP="00C267CF">
            <w:pPr>
              <w:rPr>
                <w:rFonts w:cs="Arial"/>
              </w:rPr>
            </w:pPr>
            <w:r w:rsidRPr="00C267CF">
              <w:rPr>
                <w:rFonts w:cs="Arial"/>
              </w:rPr>
              <w:t>% пациенти (</w:t>
            </w:r>
            <w:r w:rsidRPr="00C267CF">
              <w:rPr>
                <w:rFonts w:cs="Arial"/>
                <w:lang w:val="en-US"/>
              </w:rPr>
              <w:t>CI</w:t>
            </w:r>
            <w:r w:rsidRPr="00C267CF">
              <w:rPr>
                <w:rFonts w:cs="Arial"/>
                <w:vertAlign w:val="subscript"/>
                <w:lang w:val="en-US"/>
              </w:rPr>
              <w:t>95%</w:t>
            </w:r>
            <w:r w:rsidRPr="00C267CF">
              <w:rPr>
                <w:rFonts w:cs="Arial"/>
              </w:rPr>
              <w:t>)</w:t>
            </w:r>
          </w:p>
        </w:tc>
        <w:tc>
          <w:tcPr>
            <w:tcW w:w="2338" w:type="dxa"/>
          </w:tcPr>
          <w:p w14:paraId="02CFB2D4" w14:textId="77777777" w:rsidR="00C267CF" w:rsidRPr="00C267CF" w:rsidRDefault="00C267CF" w:rsidP="00C267CF">
            <w:pPr>
              <w:rPr>
                <w:rFonts w:cs="Arial"/>
              </w:rPr>
            </w:pPr>
          </w:p>
        </w:tc>
      </w:tr>
      <w:tr w:rsidR="00C267CF" w14:paraId="4B458671" w14:textId="77777777" w:rsidTr="00C267CF">
        <w:tc>
          <w:tcPr>
            <w:tcW w:w="2337" w:type="dxa"/>
          </w:tcPr>
          <w:p w14:paraId="6F519966" w14:textId="3B89A35C" w:rsidR="00C267CF" w:rsidRPr="00C267CF" w:rsidRDefault="00C267CF" w:rsidP="00C267CF">
            <w:pPr>
              <w:rPr>
                <w:rFonts w:cs="Arial"/>
              </w:rPr>
            </w:pPr>
            <w:r w:rsidRPr="00C267CF">
              <w:rPr>
                <w:rFonts w:cs="Arial"/>
              </w:rPr>
              <w:t>Хематологичен отговор</w:t>
            </w:r>
            <w:r w:rsidRPr="00C267CF">
              <w:rPr>
                <w:rFonts w:cs="Arial"/>
                <w:vertAlign w:val="superscript"/>
              </w:rPr>
              <w:t>1</w:t>
            </w:r>
          </w:p>
        </w:tc>
        <w:tc>
          <w:tcPr>
            <w:tcW w:w="2337" w:type="dxa"/>
          </w:tcPr>
          <w:p w14:paraId="2876DBDC" w14:textId="2A4CE401" w:rsidR="00C267CF" w:rsidRPr="00C267CF" w:rsidRDefault="00C267CF" w:rsidP="00C267CF">
            <w:pPr>
              <w:rPr>
                <w:rFonts w:cs="Arial"/>
              </w:rPr>
            </w:pPr>
            <w:r w:rsidRPr="00C267CF">
              <w:rPr>
                <w:rFonts w:cs="Arial"/>
              </w:rPr>
              <w:t>95% (92,3-96,3)</w:t>
            </w:r>
          </w:p>
        </w:tc>
        <w:tc>
          <w:tcPr>
            <w:tcW w:w="2338" w:type="dxa"/>
          </w:tcPr>
          <w:p w14:paraId="72DD5FDC" w14:textId="62D3BD33" w:rsidR="00C267CF" w:rsidRPr="00C267CF" w:rsidRDefault="00C267CF" w:rsidP="00C267CF">
            <w:pPr>
              <w:rPr>
                <w:rFonts w:cs="Arial"/>
              </w:rPr>
            </w:pPr>
            <w:r w:rsidRPr="00C267CF">
              <w:rPr>
                <w:rFonts w:cs="Arial"/>
              </w:rPr>
              <w:t>71% (65,3-77,2)</w:t>
            </w:r>
          </w:p>
        </w:tc>
        <w:tc>
          <w:tcPr>
            <w:tcW w:w="2338" w:type="dxa"/>
          </w:tcPr>
          <w:p w14:paraId="31B36C11" w14:textId="700E2843" w:rsidR="00C267CF" w:rsidRPr="00C267CF" w:rsidRDefault="00C267CF" w:rsidP="00C267CF">
            <w:pPr>
              <w:rPr>
                <w:rFonts w:cs="Arial"/>
              </w:rPr>
            </w:pPr>
            <w:r w:rsidRPr="00C267CF">
              <w:rPr>
                <w:rFonts w:cs="Arial"/>
                <w:lang w:val="en-US"/>
              </w:rPr>
              <w:t>31% (25,2 -36,8)</w:t>
            </w:r>
          </w:p>
        </w:tc>
      </w:tr>
      <w:tr w:rsidR="00C267CF" w14:paraId="3F85B523" w14:textId="77777777" w:rsidTr="00C267CF">
        <w:tc>
          <w:tcPr>
            <w:tcW w:w="2337" w:type="dxa"/>
          </w:tcPr>
          <w:p w14:paraId="454374B8" w14:textId="6A2B9144" w:rsidR="00C267CF" w:rsidRPr="00C267CF" w:rsidRDefault="00C267CF" w:rsidP="00C267CF">
            <w:pPr>
              <w:rPr>
                <w:rFonts w:cs="Arial"/>
              </w:rPr>
            </w:pPr>
            <w:r w:rsidRPr="00C267CF">
              <w:rPr>
                <w:rFonts w:cs="Arial"/>
              </w:rPr>
              <w:t>Пълен хематологичен отговор (ПХО)</w:t>
            </w:r>
          </w:p>
        </w:tc>
        <w:tc>
          <w:tcPr>
            <w:tcW w:w="2337" w:type="dxa"/>
          </w:tcPr>
          <w:p w14:paraId="47E17E40" w14:textId="2470D285" w:rsidR="00C267CF" w:rsidRPr="00C267CF" w:rsidRDefault="00C267CF" w:rsidP="00C267CF">
            <w:pPr>
              <w:rPr>
                <w:rFonts w:cs="Arial"/>
              </w:rPr>
            </w:pPr>
            <w:r w:rsidRPr="00C267CF">
              <w:rPr>
                <w:rFonts w:cs="Arial"/>
              </w:rPr>
              <w:t>95%</w:t>
            </w:r>
          </w:p>
        </w:tc>
        <w:tc>
          <w:tcPr>
            <w:tcW w:w="2338" w:type="dxa"/>
          </w:tcPr>
          <w:p w14:paraId="30B53B10" w14:textId="1748F29D" w:rsidR="00C267CF" w:rsidRPr="00C267CF" w:rsidRDefault="00C267CF" w:rsidP="00C267CF">
            <w:pPr>
              <w:rPr>
                <w:rFonts w:cs="Arial"/>
              </w:rPr>
            </w:pPr>
            <w:r w:rsidRPr="00C267CF">
              <w:rPr>
                <w:rFonts w:cs="Arial"/>
              </w:rPr>
              <w:t>42%</w:t>
            </w:r>
          </w:p>
        </w:tc>
        <w:tc>
          <w:tcPr>
            <w:tcW w:w="2338" w:type="dxa"/>
          </w:tcPr>
          <w:p w14:paraId="33A7982D" w14:textId="649030A6" w:rsidR="00C267CF" w:rsidRPr="00C267CF" w:rsidRDefault="00C267CF" w:rsidP="00C267CF">
            <w:pPr>
              <w:rPr>
                <w:rFonts w:cs="Arial"/>
              </w:rPr>
            </w:pPr>
            <w:r w:rsidRPr="00C267CF">
              <w:rPr>
                <w:rFonts w:cs="Arial"/>
                <w:lang w:val="en-US"/>
              </w:rPr>
              <w:t xml:space="preserve">8% </w:t>
            </w:r>
          </w:p>
        </w:tc>
      </w:tr>
      <w:tr w:rsidR="00C267CF" w14:paraId="098C9838" w14:textId="77777777" w:rsidTr="00C267CF">
        <w:tc>
          <w:tcPr>
            <w:tcW w:w="2337" w:type="dxa"/>
          </w:tcPr>
          <w:p w14:paraId="0782E1CD" w14:textId="0AA73251" w:rsidR="00C267CF" w:rsidRPr="00C267CF" w:rsidRDefault="00C267CF" w:rsidP="00C267CF">
            <w:pPr>
              <w:rPr>
                <w:rFonts w:cs="Arial"/>
              </w:rPr>
            </w:pPr>
            <w:r w:rsidRPr="00C267CF">
              <w:rPr>
                <w:rFonts w:cs="Arial"/>
              </w:rPr>
              <w:t>Без данни за левкемия (БДЛ)</w:t>
            </w:r>
          </w:p>
        </w:tc>
        <w:tc>
          <w:tcPr>
            <w:tcW w:w="2337" w:type="dxa"/>
          </w:tcPr>
          <w:p w14:paraId="431D2008" w14:textId="4B41F104" w:rsidR="00C267CF" w:rsidRPr="00C267CF" w:rsidRDefault="00C267CF" w:rsidP="00C267CF">
            <w:pPr>
              <w:rPr>
                <w:rFonts w:cs="Arial"/>
              </w:rPr>
            </w:pPr>
            <w:r w:rsidRPr="00C267CF">
              <w:rPr>
                <w:rFonts w:cs="Arial"/>
              </w:rPr>
              <w:t>Не е приложимо</w:t>
            </w:r>
          </w:p>
        </w:tc>
        <w:tc>
          <w:tcPr>
            <w:tcW w:w="2338" w:type="dxa"/>
          </w:tcPr>
          <w:p w14:paraId="4F62B357" w14:textId="3BC80B02" w:rsidR="00C267CF" w:rsidRPr="00C267CF" w:rsidRDefault="00C267CF" w:rsidP="00C267CF">
            <w:pPr>
              <w:rPr>
                <w:rFonts w:cs="Arial"/>
              </w:rPr>
            </w:pPr>
            <w:r w:rsidRPr="00C267CF">
              <w:rPr>
                <w:rFonts w:cs="Arial"/>
              </w:rPr>
              <w:t>12%</w:t>
            </w:r>
          </w:p>
        </w:tc>
        <w:tc>
          <w:tcPr>
            <w:tcW w:w="2338" w:type="dxa"/>
          </w:tcPr>
          <w:p w14:paraId="1886E1AE" w14:textId="045B1C6E" w:rsidR="00C267CF" w:rsidRPr="00C267CF" w:rsidRDefault="00C267CF" w:rsidP="00C267CF">
            <w:pPr>
              <w:rPr>
                <w:rFonts w:cs="Arial"/>
              </w:rPr>
            </w:pPr>
            <w:r w:rsidRPr="00C267CF">
              <w:rPr>
                <w:rFonts w:cs="Arial"/>
              </w:rPr>
              <w:t>5%</w:t>
            </w:r>
          </w:p>
        </w:tc>
      </w:tr>
      <w:tr w:rsidR="00F331C8" w14:paraId="02812534" w14:textId="77777777" w:rsidTr="00246BD9">
        <w:trPr>
          <w:trHeight w:val="810"/>
        </w:trPr>
        <w:tc>
          <w:tcPr>
            <w:tcW w:w="2337" w:type="dxa"/>
          </w:tcPr>
          <w:p w14:paraId="7F896412" w14:textId="77777777" w:rsidR="00F331C8" w:rsidRPr="00C267CF" w:rsidRDefault="00F331C8" w:rsidP="00C267CF">
            <w:pPr>
              <w:rPr>
                <w:rFonts w:cs="Arial"/>
              </w:rPr>
            </w:pPr>
            <w:r w:rsidRPr="00C267CF">
              <w:rPr>
                <w:rFonts w:cs="Arial"/>
              </w:rPr>
              <w:t>Връщане към хронична</w:t>
            </w:r>
          </w:p>
          <w:p w14:paraId="71B8652C" w14:textId="54D109D0" w:rsidR="00F331C8" w:rsidRPr="00C267CF" w:rsidRDefault="00F331C8" w:rsidP="00C267CF">
            <w:pPr>
              <w:rPr>
                <w:rFonts w:cs="Arial"/>
              </w:rPr>
            </w:pPr>
            <w:r w:rsidRPr="00C267CF">
              <w:rPr>
                <w:rFonts w:cs="Arial"/>
              </w:rPr>
              <w:t>фаза(ПХФ)</w:t>
            </w:r>
          </w:p>
        </w:tc>
        <w:tc>
          <w:tcPr>
            <w:tcW w:w="2337" w:type="dxa"/>
          </w:tcPr>
          <w:p w14:paraId="4A0E381A" w14:textId="5AC1A20F" w:rsidR="00F331C8" w:rsidRPr="00C267CF" w:rsidRDefault="00F331C8" w:rsidP="00C267CF">
            <w:pPr>
              <w:rPr>
                <w:rFonts w:cs="Arial"/>
              </w:rPr>
            </w:pPr>
            <w:r w:rsidRPr="00C267CF">
              <w:rPr>
                <w:rFonts w:cs="Arial"/>
              </w:rPr>
              <w:t>Не е приложимо</w:t>
            </w:r>
          </w:p>
        </w:tc>
        <w:tc>
          <w:tcPr>
            <w:tcW w:w="2338" w:type="dxa"/>
          </w:tcPr>
          <w:p w14:paraId="1E8B25AC" w14:textId="517306B2" w:rsidR="00F331C8" w:rsidRPr="00C267CF" w:rsidRDefault="00F331C8" w:rsidP="00C267CF">
            <w:pPr>
              <w:rPr>
                <w:rFonts w:cs="Arial"/>
              </w:rPr>
            </w:pPr>
            <w:r w:rsidRPr="00C267CF">
              <w:rPr>
                <w:rFonts w:cs="Arial"/>
              </w:rPr>
              <w:t>17%</w:t>
            </w:r>
          </w:p>
        </w:tc>
        <w:tc>
          <w:tcPr>
            <w:tcW w:w="2338" w:type="dxa"/>
          </w:tcPr>
          <w:p w14:paraId="5B31045C" w14:textId="44D4AE0F" w:rsidR="00F331C8" w:rsidRPr="00C267CF" w:rsidRDefault="00F331C8" w:rsidP="00C267CF">
            <w:pPr>
              <w:rPr>
                <w:rFonts w:cs="Arial"/>
              </w:rPr>
            </w:pPr>
            <w:r w:rsidRPr="00C267CF">
              <w:rPr>
                <w:rFonts w:cs="Arial"/>
                <w:lang w:val="en-US"/>
              </w:rPr>
              <w:t>18%</w:t>
            </w:r>
          </w:p>
        </w:tc>
      </w:tr>
      <w:tr w:rsidR="00C267CF" w14:paraId="208D78DB" w14:textId="77777777" w:rsidTr="00C267CF">
        <w:tc>
          <w:tcPr>
            <w:tcW w:w="2337" w:type="dxa"/>
          </w:tcPr>
          <w:p w14:paraId="43EBD5A3" w14:textId="77777777" w:rsidR="00C267CF" w:rsidRPr="00C267CF" w:rsidRDefault="00C267CF" w:rsidP="00C267CF">
            <w:pPr>
              <w:rPr>
                <w:rFonts w:cs="Arial"/>
              </w:rPr>
            </w:pPr>
            <w:r w:rsidRPr="00C267CF">
              <w:rPr>
                <w:rFonts w:cs="Arial"/>
              </w:rPr>
              <w:t>Голям цитогенетичен</w:t>
            </w:r>
          </w:p>
          <w:p w14:paraId="496FA103" w14:textId="77777777" w:rsidR="00C267CF" w:rsidRPr="00C267CF" w:rsidRDefault="00C267CF" w:rsidP="00C267CF">
            <w:pPr>
              <w:rPr>
                <w:rFonts w:cs="Arial"/>
              </w:rPr>
            </w:pPr>
            <w:r w:rsidRPr="00C267CF">
              <w:rPr>
                <w:rFonts w:cs="Arial"/>
              </w:rPr>
              <w:t>7 отговор</w:t>
            </w:r>
          </w:p>
          <w:p w14:paraId="5A80BEEA" w14:textId="77777777" w:rsidR="00C267CF" w:rsidRPr="00C267CF" w:rsidRDefault="00C267CF" w:rsidP="00C267CF">
            <w:pPr>
              <w:rPr>
                <w:rFonts w:cs="Arial"/>
              </w:rPr>
            </w:pPr>
            <w:r w:rsidRPr="00C267CF">
              <w:rPr>
                <w:rFonts w:cs="Arial"/>
              </w:rPr>
              <w:t>Пълен</w:t>
            </w:r>
          </w:p>
          <w:p w14:paraId="28BB88C5" w14:textId="1828F425" w:rsidR="00C267CF" w:rsidRPr="00C267CF" w:rsidRDefault="00C267CF" w:rsidP="00C267CF">
            <w:pPr>
              <w:rPr>
                <w:rFonts w:cs="Arial"/>
              </w:rPr>
            </w:pPr>
            <w:r w:rsidRPr="00C267CF">
              <w:rPr>
                <w:rFonts w:cs="Arial"/>
              </w:rPr>
              <w:t>(Потвърден</w:t>
            </w:r>
            <w:r w:rsidRPr="00C267CF">
              <w:rPr>
                <w:rFonts w:cs="Arial"/>
                <w:vertAlign w:val="superscript"/>
              </w:rPr>
              <w:t>3</w:t>
            </w:r>
            <w:r w:rsidRPr="00C267CF">
              <w:rPr>
                <w:rFonts w:cs="Arial"/>
              </w:rPr>
              <w:t xml:space="preserve">) [95% </w:t>
            </w:r>
            <w:r w:rsidRPr="00C267CF">
              <w:rPr>
                <w:rFonts w:cs="Arial"/>
                <w:lang w:val="en-US"/>
              </w:rPr>
              <w:t xml:space="preserve">CI] </w:t>
            </w:r>
            <w:r w:rsidRPr="00C267CF">
              <w:rPr>
                <w:rFonts w:cs="Arial"/>
              </w:rPr>
              <w:t>Частичен</w:t>
            </w:r>
          </w:p>
        </w:tc>
        <w:tc>
          <w:tcPr>
            <w:tcW w:w="2337" w:type="dxa"/>
          </w:tcPr>
          <w:p w14:paraId="762B00D0" w14:textId="77777777" w:rsidR="00C267CF" w:rsidRPr="00C267CF" w:rsidRDefault="00C267CF" w:rsidP="00C267CF">
            <w:pPr>
              <w:rPr>
                <w:rFonts w:cs="Arial"/>
              </w:rPr>
            </w:pPr>
            <w:r w:rsidRPr="00C267CF">
              <w:rPr>
                <w:rFonts w:cs="Arial"/>
              </w:rPr>
              <w:t>65% (61,2-69,5)</w:t>
            </w:r>
          </w:p>
          <w:p w14:paraId="3D7AACE2" w14:textId="6ACB0F71" w:rsidR="00C267CF" w:rsidRPr="00C267CF" w:rsidRDefault="00C267CF" w:rsidP="00C267CF">
            <w:pPr>
              <w:rPr>
                <w:rFonts w:cs="Arial"/>
              </w:rPr>
            </w:pPr>
            <w:r w:rsidRPr="00C267CF">
              <w:rPr>
                <w:rFonts w:cs="Arial"/>
              </w:rPr>
              <w:t>53% (43%) [38,6-47,2] 12%</w:t>
            </w:r>
          </w:p>
        </w:tc>
        <w:tc>
          <w:tcPr>
            <w:tcW w:w="2338" w:type="dxa"/>
          </w:tcPr>
          <w:p w14:paraId="0B1C40D7" w14:textId="77777777" w:rsidR="00C267CF" w:rsidRPr="00C267CF" w:rsidRDefault="00C267CF" w:rsidP="00C267CF">
            <w:pPr>
              <w:rPr>
                <w:rFonts w:cs="Arial"/>
              </w:rPr>
            </w:pPr>
            <w:r w:rsidRPr="00C267CF">
              <w:rPr>
                <w:rFonts w:cs="Arial"/>
              </w:rPr>
              <w:t>28% (22,0-33,9)</w:t>
            </w:r>
          </w:p>
          <w:p w14:paraId="2647203D" w14:textId="55F0230A" w:rsidR="00C267CF" w:rsidRPr="00C267CF" w:rsidRDefault="00C267CF" w:rsidP="00C267CF">
            <w:pPr>
              <w:rPr>
                <w:rFonts w:cs="Arial"/>
              </w:rPr>
            </w:pPr>
            <w:r w:rsidRPr="00C267CF">
              <w:rPr>
                <w:rFonts w:cs="Arial"/>
              </w:rPr>
              <w:t>20% (16%) [11,3-21,0] 7%</w:t>
            </w:r>
          </w:p>
        </w:tc>
        <w:tc>
          <w:tcPr>
            <w:tcW w:w="2338" w:type="dxa"/>
          </w:tcPr>
          <w:p w14:paraId="787D138A" w14:textId="77777777" w:rsidR="00C267CF" w:rsidRPr="00C267CF" w:rsidRDefault="00C267CF" w:rsidP="00C267CF">
            <w:pPr>
              <w:rPr>
                <w:rFonts w:cs="Arial"/>
              </w:rPr>
            </w:pPr>
            <w:r w:rsidRPr="00C267CF">
              <w:rPr>
                <w:rFonts w:cs="Arial"/>
              </w:rPr>
              <w:t>15% (11.2-20.4)</w:t>
            </w:r>
          </w:p>
          <w:p w14:paraId="71639E53" w14:textId="77777777" w:rsidR="00C267CF" w:rsidRPr="00C267CF" w:rsidRDefault="00C267CF" w:rsidP="00C267CF">
            <w:pPr>
              <w:rPr>
                <w:rFonts w:cs="Arial"/>
              </w:rPr>
            </w:pPr>
            <w:r w:rsidRPr="00C267CF">
              <w:rPr>
                <w:rFonts w:cs="Arial"/>
              </w:rPr>
              <w:t>7% (2%) [0.6-4.4]</w:t>
            </w:r>
          </w:p>
          <w:p w14:paraId="11AC783D" w14:textId="15BDC679" w:rsidR="00C267CF" w:rsidRPr="00C267CF" w:rsidRDefault="00C267CF" w:rsidP="00C267CF">
            <w:pPr>
              <w:rPr>
                <w:rFonts w:cs="Arial"/>
              </w:rPr>
            </w:pPr>
            <w:r w:rsidRPr="00C267CF">
              <w:rPr>
                <w:rFonts w:cs="Arial"/>
              </w:rPr>
              <w:t>8%</w:t>
            </w:r>
          </w:p>
        </w:tc>
      </w:tr>
      <w:tr w:rsidR="00C267CF" w14:paraId="6B342866" w14:textId="77777777" w:rsidTr="00C267CF">
        <w:tc>
          <w:tcPr>
            <w:tcW w:w="9350" w:type="dxa"/>
            <w:gridSpan w:val="4"/>
          </w:tcPr>
          <w:p w14:paraId="7CE9DB8C" w14:textId="77777777" w:rsidR="00C267CF" w:rsidRPr="00C267CF" w:rsidRDefault="00C267CF" w:rsidP="00C267CF">
            <w:pPr>
              <w:spacing w:line="240" w:lineRule="auto"/>
              <w:rPr>
                <w:rFonts w:eastAsia="Times New Roman" w:cs="Arial"/>
                <w:lang w:eastAsia="bg-BG"/>
              </w:rPr>
            </w:pPr>
            <w:r w:rsidRPr="00C267CF">
              <w:rPr>
                <w:rFonts w:eastAsia="Times New Roman" w:cs="Arial"/>
                <w:b/>
                <w:bCs/>
                <w:color w:val="000000"/>
                <w:vertAlign w:val="superscript"/>
                <w:lang w:eastAsia="bg-BG"/>
              </w:rPr>
              <w:t>1</w:t>
            </w:r>
            <w:r w:rsidRPr="00C267CF">
              <w:rPr>
                <w:rFonts w:eastAsia="Times New Roman" w:cs="Arial"/>
                <w:b/>
                <w:bCs/>
                <w:color w:val="000000"/>
                <w:lang w:eastAsia="bg-BG"/>
              </w:rPr>
              <w:t>Критерии за хематологичен отговор ( всички отговори трябва се потвърдят след</w:t>
            </w:r>
          </w:p>
          <w:p w14:paraId="32987515" w14:textId="77777777" w:rsidR="00C267CF" w:rsidRPr="00C267CF" w:rsidRDefault="00C267CF" w:rsidP="00C267CF">
            <w:pPr>
              <w:spacing w:line="240" w:lineRule="auto"/>
              <w:rPr>
                <w:rFonts w:eastAsia="Times New Roman" w:cs="Arial"/>
                <w:lang w:eastAsia="bg-BG"/>
              </w:rPr>
            </w:pPr>
            <w:r w:rsidRPr="00C267CF">
              <w:rPr>
                <w:rFonts w:eastAsia="Times New Roman" w:cs="Arial"/>
                <w:b/>
                <w:bCs/>
                <w:color w:val="000000"/>
                <w:lang w:eastAsia="bg-BG"/>
              </w:rPr>
              <w:t>≥4 седмици):</w:t>
            </w:r>
          </w:p>
          <w:p w14:paraId="1DD07DC6" w14:textId="77777777" w:rsidR="00C267CF" w:rsidRPr="00C267CF" w:rsidRDefault="00C267CF" w:rsidP="00C267CF">
            <w:pPr>
              <w:spacing w:line="240" w:lineRule="auto"/>
              <w:rPr>
                <w:rFonts w:eastAsia="Times New Roman" w:cs="Arial"/>
                <w:lang w:eastAsia="bg-BG"/>
              </w:rPr>
            </w:pPr>
            <w:r w:rsidRPr="00C267CF">
              <w:rPr>
                <w:rFonts w:eastAsia="Times New Roman" w:cs="Arial"/>
                <w:color w:val="000000"/>
                <w:lang w:eastAsia="bg-BG"/>
              </w:rPr>
              <w:t xml:space="preserve">ПХО: </w:t>
            </w:r>
            <w:r w:rsidRPr="00C267CF">
              <w:rPr>
                <w:rFonts w:eastAsia="Times New Roman" w:cs="Arial"/>
                <w:color w:val="000000"/>
                <w:lang w:val="en-US"/>
              </w:rPr>
              <w:t xml:space="preserve">(CHR): </w:t>
            </w:r>
            <w:r w:rsidRPr="00C267CF">
              <w:rPr>
                <w:rFonts w:eastAsia="Times New Roman" w:cs="Arial"/>
                <w:color w:val="000000"/>
                <w:lang w:eastAsia="bg-BG"/>
              </w:rPr>
              <w:t>Проучване 0110 [брой на левкоцити &lt;10 х 10</w:t>
            </w:r>
            <w:r w:rsidRPr="00C267CF">
              <w:rPr>
                <w:rFonts w:eastAsia="Times New Roman" w:cs="Arial"/>
                <w:color w:val="000000"/>
                <w:vertAlign w:val="superscript"/>
                <w:lang w:eastAsia="bg-BG"/>
              </w:rPr>
              <w:t>9</w:t>
            </w:r>
            <w:r w:rsidRPr="00C267CF">
              <w:rPr>
                <w:rFonts w:eastAsia="Times New Roman" w:cs="Arial"/>
                <w:color w:val="000000"/>
                <w:lang w:eastAsia="bg-BG"/>
              </w:rPr>
              <w:t>/1, тромбоцити &lt;450 х 10</w:t>
            </w:r>
            <w:r w:rsidRPr="00C267CF">
              <w:rPr>
                <w:rFonts w:eastAsia="Times New Roman" w:cs="Arial"/>
                <w:color w:val="000000"/>
                <w:vertAlign w:val="superscript"/>
                <w:lang w:eastAsia="bg-BG"/>
              </w:rPr>
              <w:t>9</w:t>
            </w:r>
            <w:r w:rsidRPr="00C267CF">
              <w:rPr>
                <w:rFonts w:eastAsia="Times New Roman" w:cs="Arial"/>
                <w:color w:val="000000"/>
                <w:lang w:eastAsia="bg-BG"/>
              </w:rPr>
              <w:t>/</w:t>
            </w:r>
            <w:r w:rsidRPr="00C267CF">
              <w:rPr>
                <w:rFonts w:eastAsia="Times New Roman" w:cs="Arial"/>
                <w:color w:val="000000"/>
                <w:lang w:val="en-US"/>
              </w:rPr>
              <w:t>l</w:t>
            </w:r>
            <w:r w:rsidRPr="00C267CF">
              <w:rPr>
                <w:rFonts w:eastAsia="Times New Roman" w:cs="Arial"/>
                <w:color w:val="000000"/>
                <w:lang w:eastAsia="bg-BG"/>
              </w:rPr>
              <w:t>, миелоцити + метамиелоцити &lt;5% в кръвта, без бласти и промиелоцити в кръвта, базофили &lt;20%, без екстрамедуларно засягане] и в проучванията 0102 и 010</w:t>
            </w:r>
            <w:r w:rsidRPr="00C267CF">
              <w:rPr>
                <w:rFonts w:eastAsia="Times New Roman" w:cs="Arial"/>
                <w:color w:val="000000"/>
                <w:vertAlign w:val="superscript"/>
                <w:lang w:eastAsia="bg-BG"/>
              </w:rPr>
              <w:t>9</w:t>
            </w:r>
            <w:r w:rsidRPr="00C267CF">
              <w:rPr>
                <w:rFonts w:eastAsia="Times New Roman" w:cs="Arial"/>
                <w:color w:val="000000"/>
                <w:lang w:eastAsia="bg-BG"/>
              </w:rPr>
              <w:t xml:space="preserve"> </w:t>
            </w:r>
            <w:r w:rsidRPr="00C267CF">
              <w:rPr>
                <w:rFonts w:eastAsia="Times New Roman" w:cs="Arial"/>
                <w:color w:val="000000"/>
                <w:lang w:val="en-US"/>
              </w:rPr>
              <w:t xml:space="preserve">[ANC </w:t>
            </w:r>
            <w:r w:rsidRPr="00C267CF">
              <w:rPr>
                <w:rFonts w:eastAsia="Times New Roman" w:cs="Arial"/>
                <w:color w:val="000000"/>
                <w:lang w:eastAsia="bg-BG"/>
              </w:rPr>
              <w:t>≥</w:t>
            </w:r>
            <w:r w:rsidRPr="00C267CF">
              <w:rPr>
                <w:rFonts w:eastAsia="Times New Roman" w:cs="Arial"/>
                <w:color w:val="000000"/>
                <w:lang w:val="en-US"/>
              </w:rPr>
              <w:t xml:space="preserve"> </w:t>
            </w:r>
            <w:r w:rsidRPr="00C267CF">
              <w:rPr>
                <w:rFonts w:eastAsia="Times New Roman" w:cs="Arial"/>
                <w:color w:val="000000"/>
                <w:lang w:eastAsia="bg-BG"/>
              </w:rPr>
              <w:t>1,5 х 10</w:t>
            </w:r>
            <w:r w:rsidRPr="00C267CF">
              <w:rPr>
                <w:rFonts w:eastAsia="Times New Roman" w:cs="Arial"/>
                <w:color w:val="000000"/>
                <w:vertAlign w:val="superscript"/>
                <w:lang w:eastAsia="bg-BG"/>
              </w:rPr>
              <w:t>9</w:t>
            </w:r>
            <w:r w:rsidRPr="00C267CF">
              <w:rPr>
                <w:rFonts w:eastAsia="Times New Roman" w:cs="Arial"/>
                <w:color w:val="000000"/>
                <w:lang w:eastAsia="bg-BG"/>
              </w:rPr>
              <w:t>/</w:t>
            </w:r>
            <w:r w:rsidRPr="00C267CF">
              <w:rPr>
                <w:rFonts w:eastAsia="Times New Roman" w:cs="Arial"/>
                <w:color w:val="000000"/>
                <w:lang w:val="en-US"/>
              </w:rPr>
              <w:t>l</w:t>
            </w:r>
            <w:r w:rsidRPr="00C267CF">
              <w:rPr>
                <w:rFonts w:eastAsia="Times New Roman" w:cs="Arial"/>
                <w:color w:val="000000"/>
                <w:lang w:eastAsia="bg-BG"/>
              </w:rPr>
              <w:t>, тромбоцити ≥</w:t>
            </w:r>
            <w:r w:rsidRPr="00C267CF">
              <w:rPr>
                <w:rFonts w:eastAsia="Times New Roman" w:cs="Arial"/>
                <w:color w:val="000000"/>
                <w:lang w:val="en-US"/>
              </w:rPr>
              <w:t xml:space="preserve"> </w:t>
            </w:r>
            <w:r w:rsidRPr="00C267CF">
              <w:rPr>
                <w:rFonts w:eastAsia="Times New Roman" w:cs="Arial"/>
                <w:color w:val="000000"/>
                <w:lang w:eastAsia="bg-BG"/>
              </w:rPr>
              <w:t>100 х 10</w:t>
            </w:r>
            <w:r w:rsidRPr="00C267CF">
              <w:rPr>
                <w:rFonts w:eastAsia="Times New Roman" w:cs="Arial"/>
                <w:color w:val="000000"/>
                <w:vertAlign w:val="superscript"/>
                <w:lang w:eastAsia="bg-BG"/>
              </w:rPr>
              <w:t>9</w:t>
            </w:r>
            <w:r w:rsidRPr="00C267CF">
              <w:rPr>
                <w:rFonts w:eastAsia="Times New Roman" w:cs="Arial"/>
                <w:color w:val="000000"/>
                <w:lang w:eastAsia="bg-BG"/>
              </w:rPr>
              <w:t>/</w:t>
            </w:r>
            <w:r w:rsidRPr="00C267CF">
              <w:rPr>
                <w:rFonts w:eastAsia="Times New Roman" w:cs="Arial"/>
                <w:color w:val="000000"/>
                <w:lang w:val="en-US"/>
              </w:rPr>
              <w:t>l</w:t>
            </w:r>
            <w:r w:rsidRPr="00C267CF">
              <w:rPr>
                <w:rFonts w:eastAsia="Times New Roman" w:cs="Arial"/>
                <w:color w:val="000000"/>
                <w:lang w:eastAsia="bg-BG"/>
              </w:rPr>
              <w:t>, без бласти в кръвта, бласти в КМ &lt;5% и без екстрамедуларно засягане]</w:t>
            </w:r>
          </w:p>
          <w:p w14:paraId="6275D1EB" w14:textId="77777777" w:rsidR="00C267CF" w:rsidRPr="00C267CF" w:rsidRDefault="00C267CF" w:rsidP="00C267CF">
            <w:pPr>
              <w:spacing w:line="240" w:lineRule="auto"/>
              <w:rPr>
                <w:rFonts w:eastAsia="Times New Roman" w:cs="Arial"/>
                <w:lang w:eastAsia="bg-BG"/>
              </w:rPr>
            </w:pPr>
            <w:r w:rsidRPr="00C267CF">
              <w:rPr>
                <w:rFonts w:eastAsia="Times New Roman" w:cs="Arial"/>
                <w:color w:val="000000"/>
                <w:lang w:eastAsia="bg-BG"/>
              </w:rPr>
              <w:t xml:space="preserve">БДЛ </w:t>
            </w:r>
            <w:r w:rsidRPr="00C267CF">
              <w:rPr>
                <w:rFonts w:eastAsia="Times New Roman" w:cs="Arial"/>
                <w:color w:val="000000"/>
                <w:lang w:val="en-US"/>
              </w:rPr>
              <w:t xml:space="preserve">(NEL): </w:t>
            </w:r>
            <w:r w:rsidRPr="00C267CF">
              <w:rPr>
                <w:rFonts w:eastAsia="Times New Roman" w:cs="Arial"/>
                <w:color w:val="000000"/>
                <w:lang w:eastAsia="bg-BG"/>
              </w:rPr>
              <w:t xml:space="preserve">Същите критерии както за </w:t>
            </w:r>
            <w:r w:rsidRPr="00C267CF">
              <w:rPr>
                <w:rFonts w:eastAsia="Times New Roman" w:cs="Arial"/>
                <w:color w:val="000000"/>
                <w:lang w:val="en-US"/>
              </w:rPr>
              <w:t xml:space="preserve">CHR, </w:t>
            </w:r>
            <w:r w:rsidRPr="00C267CF">
              <w:rPr>
                <w:rFonts w:eastAsia="Times New Roman" w:cs="Arial"/>
                <w:color w:val="000000"/>
                <w:lang w:eastAsia="bg-BG"/>
              </w:rPr>
              <w:t xml:space="preserve">но </w:t>
            </w:r>
            <w:r w:rsidRPr="00C267CF">
              <w:rPr>
                <w:rFonts w:eastAsia="Times New Roman" w:cs="Arial"/>
                <w:color w:val="000000"/>
                <w:lang w:val="en-US"/>
              </w:rPr>
              <w:t xml:space="preserve">ANC </w:t>
            </w:r>
            <w:r w:rsidRPr="00C267CF">
              <w:rPr>
                <w:rFonts w:eastAsia="Times New Roman" w:cs="Arial"/>
                <w:color w:val="000000"/>
                <w:lang w:eastAsia="bg-BG"/>
              </w:rPr>
              <w:t>≥1,0 х 10</w:t>
            </w:r>
            <w:r w:rsidRPr="00C267CF">
              <w:rPr>
                <w:rFonts w:eastAsia="Times New Roman" w:cs="Arial"/>
                <w:color w:val="000000"/>
                <w:vertAlign w:val="superscript"/>
                <w:lang w:eastAsia="bg-BG"/>
              </w:rPr>
              <w:t>9</w:t>
            </w:r>
            <w:r w:rsidRPr="00C267CF">
              <w:rPr>
                <w:rFonts w:eastAsia="Times New Roman" w:cs="Arial"/>
                <w:color w:val="000000"/>
                <w:lang w:eastAsia="bg-BG"/>
              </w:rPr>
              <w:t>/</w:t>
            </w:r>
            <w:r w:rsidRPr="00C267CF">
              <w:rPr>
                <w:rFonts w:eastAsia="Times New Roman" w:cs="Arial"/>
                <w:color w:val="000000"/>
                <w:lang w:val="en-US"/>
              </w:rPr>
              <w:t>l</w:t>
            </w:r>
            <w:r w:rsidRPr="00C267CF">
              <w:rPr>
                <w:rFonts w:eastAsia="Times New Roman" w:cs="Arial"/>
                <w:color w:val="000000"/>
                <w:lang w:eastAsia="bg-BG"/>
              </w:rPr>
              <w:t>, тромбоцити ≥</w:t>
            </w:r>
            <w:r w:rsidRPr="00C267CF">
              <w:rPr>
                <w:rFonts w:eastAsia="Times New Roman" w:cs="Arial"/>
                <w:color w:val="000000"/>
                <w:lang w:val="en-US"/>
              </w:rPr>
              <w:t xml:space="preserve"> </w:t>
            </w:r>
            <w:r w:rsidRPr="00C267CF">
              <w:rPr>
                <w:rFonts w:eastAsia="Times New Roman" w:cs="Arial"/>
                <w:color w:val="000000"/>
                <w:lang w:eastAsia="bg-BG"/>
              </w:rPr>
              <w:t>20 х 10</w:t>
            </w:r>
            <w:r w:rsidRPr="00C267CF">
              <w:rPr>
                <w:rFonts w:eastAsia="Times New Roman" w:cs="Arial"/>
                <w:color w:val="000000"/>
                <w:vertAlign w:val="superscript"/>
                <w:lang w:eastAsia="bg-BG"/>
              </w:rPr>
              <w:t>9</w:t>
            </w:r>
            <w:r w:rsidRPr="00C267CF">
              <w:rPr>
                <w:rFonts w:eastAsia="Times New Roman" w:cs="Arial"/>
                <w:color w:val="000000"/>
                <w:lang w:eastAsia="bg-BG"/>
              </w:rPr>
              <w:t>/</w:t>
            </w:r>
            <w:r w:rsidRPr="00C267CF">
              <w:rPr>
                <w:rFonts w:eastAsia="Times New Roman" w:cs="Arial"/>
                <w:color w:val="000000"/>
                <w:lang w:val="en-US"/>
              </w:rPr>
              <w:t>l</w:t>
            </w:r>
            <w:r w:rsidRPr="00C267CF">
              <w:rPr>
                <w:rFonts w:eastAsia="Times New Roman" w:cs="Arial"/>
                <w:color w:val="000000"/>
                <w:lang w:eastAsia="bg-BG"/>
              </w:rPr>
              <w:t xml:space="preserve"> (само за 0102 и 0109)</w:t>
            </w:r>
          </w:p>
          <w:p w14:paraId="5D031F07" w14:textId="77777777" w:rsidR="00C267CF" w:rsidRPr="00C267CF" w:rsidRDefault="00C267CF" w:rsidP="00C267CF">
            <w:pPr>
              <w:spacing w:line="240" w:lineRule="auto"/>
              <w:rPr>
                <w:rFonts w:eastAsia="Times New Roman" w:cs="Arial"/>
                <w:lang w:eastAsia="bg-BG"/>
              </w:rPr>
            </w:pPr>
            <w:r w:rsidRPr="00C267CF">
              <w:rPr>
                <w:rFonts w:eastAsia="Times New Roman" w:cs="Arial"/>
                <w:color w:val="000000"/>
                <w:lang w:eastAsia="bg-BG"/>
              </w:rPr>
              <w:t xml:space="preserve">ВХФ </w:t>
            </w:r>
            <w:r w:rsidRPr="00C267CF">
              <w:rPr>
                <w:rFonts w:eastAsia="Times New Roman" w:cs="Arial"/>
                <w:color w:val="000000"/>
                <w:lang w:val="en-US"/>
              </w:rPr>
              <w:t xml:space="preserve">(RTC): </w:t>
            </w:r>
            <w:r w:rsidRPr="00C267CF">
              <w:rPr>
                <w:rFonts w:eastAsia="Times New Roman" w:cs="Arial"/>
                <w:color w:val="000000"/>
                <w:lang w:eastAsia="bg-BG"/>
              </w:rPr>
              <w:t>&lt;15% бласти в КМ и ПК, &lt;30% бласти + промиелоцити в КМ и ПК, &lt;20% базофили в ПК,без друго екстрамедуларно засягане освен слезка и черен дроб (само за 0102 и 0109)</w:t>
            </w:r>
          </w:p>
          <w:p w14:paraId="5BCA36A5" w14:textId="77777777" w:rsidR="00C267CF" w:rsidRPr="00C267CF" w:rsidRDefault="00C267CF" w:rsidP="00C267CF">
            <w:pPr>
              <w:spacing w:line="240" w:lineRule="auto"/>
              <w:rPr>
                <w:rFonts w:eastAsia="Times New Roman" w:cs="Arial"/>
                <w:lang w:eastAsia="bg-BG"/>
              </w:rPr>
            </w:pPr>
            <w:r w:rsidRPr="00C267CF">
              <w:rPr>
                <w:rFonts w:eastAsia="Times New Roman" w:cs="Arial"/>
                <w:color w:val="000000"/>
                <w:lang w:eastAsia="bg-BG"/>
              </w:rPr>
              <w:t>КМ = костен мозък, ПК = периферна кръв</w:t>
            </w:r>
          </w:p>
          <w:p w14:paraId="779F2F61" w14:textId="77777777" w:rsidR="00C267CF" w:rsidRPr="00C267CF" w:rsidRDefault="00C267CF" w:rsidP="00C267CF">
            <w:pPr>
              <w:spacing w:line="240" w:lineRule="auto"/>
              <w:rPr>
                <w:rFonts w:eastAsia="Times New Roman" w:cs="Arial"/>
                <w:lang w:eastAsia="bg-BG"/>
              </w:rPr>
            </w:pPr>
            <w:r w:rsidRPr="00C267CF">
              <w:rPr>
                <w:rFonts w:eastAsia="Times New Roman" w:cs="Arial"/>
                <w:b/>
                <w:bCs/>
                <w:color w:val="000000"/>
                <w:vertAlign w:val="superscript"/>
                <w:lang w:eastAsia="bg-BG"/>
              </w:rPr>
              <w:lastRenderedPageBreak/>
              <w:t>2</w:t>
            </w:r>
            <w:r w:rsidRPr="00C267CF">
              <w:rPr>
                <w:rFonts w:eastAsia="Times New Roman" w:cs="Arial"/>
                <w:b/>
                <w:bCs/>
                <w:color w:val="000000"/>
                <w:lang w:eastAsia="bg-BG"/>
              </w:rPr>
              <w:t>Критерии за цитогенетичен отговор:</w:t>
            </w:r>
          </w:p>
          <w:p w14:paraId="30E99B78" w14:textId="77777777" w:rsidR="00C267CF" w:rsidRPr="00C267CF" w:rsidRDefault="00C267CF" w:rsidP="00C267CF">
            <w:pPr>
              <w:spacing w:line="240" w:lineRule="auto"/>
              <w:rPr>
                <w:rFonts w:eastAsia="Times New Roman" w:cs="Arial"/>
                <w:lang w:eastAsia="bg-BG"/>
              </w:rPr>
            </w:pPr>
            <w:r w:rsidRPr="00C267CF">
              <w:rPr>
                <w:rFonts w:eastAsia="Times New Roman" w:cs="Arial"/>
                <w:color w:val="000000"/>
                <w:lang w:eastAsia="bg-BG"/>
              </w:rPr>
              <w:t xml:space="preserve">Големият отговор съчетава едновременно пълния (0% </w:t>
            </w:r>
            <w:r w:rsidRPr="00C267CF">
              <w:rPr>
                <w:rFonts w:eastAsia="Times New Roman" w:cs="Arial"/>
                <w:color w:val="000000"/>
                <w:lang w:val="en-US"/>
              </w:rPr>
              <w:t xml:space="preserve">Ph+ </w:t>
            </w:r>
            <w:r w:rsidRPr="00C267CF">
              <w:rPr>
                <w:rFonts w:eastAsia="Times New Roman" w:cs="Arial"/>
                <w:color w:val="000000"/>
                <w:lang w:eastAsia="bg-BG"/>
              </w:rPr>
              <w:t>метафазни пластинки) и частичния (1-35%) отговори</w:t>
            </w:r>
          </w:p>
          <w:p w14:paraId="58DE8228" w14:textId="0CFE0E8F" w:rsidR="00C267CF" w:rsidRPr="00C267CF" w:rsidRDefault="00C267CF" w:rsidP="00C267CF">
            <w:pPr>
              <w:rPr>
                <w:rFonts w:cs="Arial"/>
              </w:rPr>
            </w:pPr>
            <w:r w:rsidRPr="00C267CF">
              <w:rPr>
                <w:rFonts w:eastAsia="Times New Roman" w:cs="Arial"/>
                <w:color w:val="000000"/>
                <w:vertAlign w:val="superscript"/>
                <w:lang w:eastAsia="bg-BG"/>
              </w:rPr>
              <w:t>3</w:t>
            </w:r>
            <w:r w:rsidRPr="00C267CF">
              <w:rPr>
                <w:rFonts w:eastAsia="Times New Roman" w:cs="Arial"/>
                <w:color w:val="000000"/>
                <w:lang w:eastAsia="bg-BG"/>
              </w:rPr>
              <w:t>Пълният цитогенетичен отговор, потвърден от второ цитогенетично изследване на костен мозък, извършено най-малко един месец след първоначалното изследване на костния мозък.</w:t>
            </w:r>
          </w:p>
        </w:tc>
      </w:tr>
    </w:tbl>
    <w:p w14:paraId="45E7BF2E" w14:textId="401ECF43" w:rsidR="00BF503E" w:rsidRDefault="00BF503E" w:rsidP="0091385D"/>
    <w:p w14:paraId="4B39EA17" w14:textId="77777777" w:rsidR="00F331C8" w:rsidRPr="00F331C8" w:rsidRDefault="00F331C8" w:rsidP="00F331C8">
      <w:pPr>
        <w:spacing w:line="240" w:lineRule="auto"/>
        <w:rPr>
          <w:rFonts w:eastAsia="Times New Roman" w:cs="Arial"/>
          <w:sz w:val="24"/>
          <w:szCs w:val="24"/>
          <w:lang w:eastAsia="bg-BG"/>
        </w:rPr>
      </w:pPr>
      <w:r w:rsidRPr="00F331C8">
        <w:rPr>
          <w:rFonts w:eastAsia="Times New Roman" w:cs="Arial"/>
          <w:i/>
          <w:iCs/>
          <w:color w:val="000000"/>
          <w:lang w:eastAsia="bg-BG"/>
        </w:rPr>
        <w:t>Педиатрична популация:</w:t>
      </w:r>
      <w:r w:rsidRPr="00F331C8">
        <w:rPr>
          <w:rFonts w:eastAsia="Times New Roman" w:cs="Arial"/>
          <w:color w:val="000000"/>
          <w:lang w:eastAsia="bg-BG"/>
        </w:rPr>
        <w:t xml:space="preserve"> Общо 26 пациенти на възраст &lt; 18 години или в хронична фаза на ХМЛ </w:t>
      </w:r>
      <w:r w:rsidRPr="00F331C8">
        <w:rPr>
          <w:rFonts w:eastAsia="Times New Roman" w:cs="Arial"/>
          <w:color w:val="000000"/>
          <w:lang w:val="en-US"/>
        </w:rPr>
        <w:t>(n=l</w:t>
      </w:r>
      <w:r w:rsidRPr="00F331C8">
        <w:rPr>
          <w:rFonts w:eastAsia="Times New Roman" w:cs="Arial"/>
          <w:color w:val="000000"/>
          <w:lang w:eastAsia="bg-BG"/>
        </w:rPr>
        <w:t xml:space="preserve">1) или </w:t>
      </w:r>
      <w:r w:rsidRPr="00F331C8">
        <w:rPr>
          <w:rFonts w:eastAsia="Times New Roman" w:cs="Arial"/>
          <w:i/>
          <w:iCs/>
          <w:color w:val="000000"/>
          <w:lang w:eastAsia="bg-BG"/>
        </w:rPr>
        <w:t>в бластня</w:t>
      </w:r>
      <w:r w:rsidRPr="00F331C8">
        <w:rPr>
          <w:rFonts w:eastAsia="Times New Roman" w:cs="Arial"/>
          <w:color w:val="000000"/>
          <w:lang w:eastAsia="bg-BG"/>
        </w:rPr>
        <w:t xml:space="preserve"> криза на ХМЛ или с остри </w:t>
      </w:r>
      <w:r w:rsidRPr="00F331C8">
        <w:rPr>
          <w:rFonts w:eastAsia="Times New Roman" w:cs="Arial"/>
          <w:color w:val="000000"/>
          <w:lang w:val="en-US"/>
        </w:rPr>
        <w:t xml:space="preserve">Ph+ </w:t>
      </w:r>
      <w:r w:rsidRPr="00F331C8">
        <w:rPr>
          <w:rFonts w:eastAsia="Times New Roman" w:cs="Arial"/>
          <w:color w:val="000000"/>
          <w:lang w:eastAsia="bg-BG"/>
        </w:rPr>
        <w:t xml:space="preserve">левкемии са включени във фаза I проучване с ескалация на дозата. Това е група пациенти, които са претърпели интензивна предхождаща терапия, като 46% от тях са били подложени преди това на костно-мозъчна трансплантация </w:t>
      </w:r>
      <w:r w:rsidRPr="00F331C8">
        <w:rPr>
          <w:rFonts w:eastAsia="Times New Roman" w:cs="Arial"/>
          <w:color w:val="000000"/>
          <w:lang w:val="en-US"/>
        </w:rPr>
        <w:t xml:space="preserve">(KMT), </w:t>
      </w:r>
      <w:r w:rsidRPr="00F331C8">
        <w:rPr>
          <w:rFonts w:eastAsia="Times New Roman" w:cs="Arial"/>
          <w:color w:val="000000"/>
          <w:lang w:eastAsia="bg-BG"/>
        </w:rPr>
        <w:t xml:space="preserve">а 73% са били на полихимиотерапия. Пациентите са лекувани с дози на Меаксин от 260 </w:t>
      </w:r>
      <w:r w:rsidRPr="00F331C8">
        <w:rPr>
          <w:rFonts w:eastAsia="Times New Roman" w:cs="Arial"/>
          <w:color w:val="000000"/>
          <w:lang w:val="en-US"/>
        </w:rPr>
        <w:t>mg/m</w:t>
      </w:r>
      <w:r w:rsidRPr="00F331C8">
        <w:rPr>
          <w:rFonts w:eastAsia="Times New Roman" w:cs="Arial"/>
          <w:color w:val="000000"/>
          <w:vertAlign w:val="superscript"/>
          <w:lang w:eastAsia="bg-BG"/>
        </w:rPr>
        <w:t>2</w:t>
      </w:r>
      <w:r w:rsidRPr="00F331C8">
        <w:rPr>
          <w:rFonts w:eastAsia="Times New Roman" w:cs="Arial"/>
          <w:color w:val="000000"/>
          <w:lang w:eastAsia="bg-BG"/>
        </w:rPr>
        <w:t>/ден (</w:t>
      </w:r>
      <w:r w:rsidRPr="00F331C8">
        <w:rPr>
          <w:rFonts w:eastAsia="Times New Roman" w:cs="Arial"/>
          <w:color w:val="000000"/>
          <w:lang w:val="en-US"/>
        </w:rPr>
        <w:t>n</w:t>
      </w:r>
      <w:r w:rsidRPr="00F331C8">
        <w:rPr>
          <w:rFonts w:eastAsia="Times New Roman" w:cs="Arial"/>
          <w:color w:val="000000"/>
          <w:lang w:eastAsia="bg-BG"/>
        </w:rPr>
        <w:t xml:space="preserve">=5), 340 </w:t>
      </w:r>
      <w:r w:rsidRPr="00F331C8">
        <w:rPr>
          <w:rFonts w:eastAsia="Times New Roman" w:cs="Arial"/>
          <w:color w:val="000000"/>
          <w:lang w:val="en-US"/>
        </w:rPr>
        <w:t>mg</w:t>
      </w:r>
      <w:r w:rsidRPr="00F331C8">
        <w:rPr>
          <w:rFonts w:eastAsia="Times New Roman" w:cs="Arial"/>
          <w:color w:val="000000"/>
          <w:lang w:eastAsia="bg-BG"/>
        </w:rPr>
        <w:t>/</w:t>
      </w:r>
      <w:r w:rsidRPr="00F331C8">
        <w:rPr>
          <w:rFonts w:eastAsia="Times New Roman" w:cs="Arial"/>
          <w:color w:val="000000"/>
          <w:lang w:val="en-US"/>
        </w:rPr>
        <w:t>mg</w:t>
      </w:r>
      <w:r w:rsidRPr="00F331C8">
        <w:rPr>
          <w:rFonts w:eastAsia="Times New Roman" w:cs="Arial"/>
          <w:color w:val="000000"/>
          <w:lang w:eastAsia="bg-BG"/>
        </w:rPr>
        <w:t>/ден (</w:t>
      </w:r>
      <w:r w:rsidRPr="00F331C8">
        <w:rPr>
          <w:rFonts w:eastAsia="Times New Roman" w:cs="Arial"/>
          <w:color w:val="000000"/>
          <w:lang w:val="en-US"/>
        </w:rPr>
        <w:t>n</w:t>
      </w:r>
      <w:r w:rsidRPr="00F331C8">
        <w:rPr>
          <w:rFonts w:eastAsia="Times New Roman" w:cs="Arial"/>
          <w:color w:val="000000"/>
          <w:lang w:eastAsia="bg-BG"/>
        </w:rPr>
        <w:t xml:space="preserve">=9), 440 </w:t>
      </w:r>
      <w:r w:rsidRPr="00F331C8">
        <w:rPr>
          <w:rFonts w:eastAsia="Times New Roman" w:cs="Arial"/>
          <w:color w:val="000000"/>
          <w:lang w:val="en-US"/>
        </w:rPr>
        <w:t>mg/m</w:t>
      </w:r>
      <w:r w:rsidRPr="00F331C8">
        <w:rPr>
          <w:rFonts w:eastAsia="Times New Roman" w:cs="Arial"/>
          <w:color w:val="000000"/>
          <w:vertAlign w:val="superscript"/>
          <w:lang w:val="en-US"/>
        </w:rPr>
        <w:t>2</w:t>
      </w:r>
      <w:r w:rsidRPr="00F331C8">
        <w:rPr>
          <w:rFonts w:eastAsia="Times New Roman" w:cs="Arial"/>
          <w:color w:val="000000"/>
          <w:lang w:val="en-US"/>
        </w:rPr>
        <w:t>/</w:t>
      </w:r>
      <w:r w:rsidRPr="00F331C8">
        <w:rPr>
          <w:rFonts w:eastAsia="Times New Roman" w:cs="Arial"/>
          <w:color w:val="000000"/>
          <w:lang w:eastAsia="bg-BG"/>
        </w:rPr>
        <w:t>ден</w:t>
      </w:r>
      <w:r w:rsidRPr="00F331C8">
        <w:rPr>
          <w:rFonts w:eastAsia="Times New Roman" w:cs="Arial"/>
          <w:color w:val="000000"/>
          <w:lang w:val="en-US"/>
        </w:rPr>
        <w:t xml:space="preserve"> </w:t>
      </w:r>
      <w:r w:rsidRPr="00F331C8">
        <w:rPr>
          <w:rFonts w:eastAsia="Times New Roman" w:cs="Arial"/>
          <w:color w:val="000000"/>
          <w:lang w:eastAsia="bg-BG"/>
        </w:rPr>
        <w:t>(</w:t>
      </w:r>
      <w:r w:rsidRPr="00F331C8">
        <w:rPr>
          <w:rFonts w:eastAsia="Times New Roman" w:cs="Arial"/>
          <w:color w:val="000000"/>
          <w:lang w:val="en-US"/>
        </w:rPr>
        <w:t>n</w:t>
      </w:r>
      <w:r w:rsidRPr="00F331C8">
        <w:rPr>
          <w:rFonts w:eastAsia="Times New Roman" w:cs="Arial"/>
          <w:color w:val="000000"/>
          <w:lang w:eastAsia="bg-BG"/>
        </w:rPr>
        <w:t xml:space="preserve">=7) и 570 </w:t>
      </w:r>
      <w:r w:rsidRPr="00F331C8">
        <w:rPr>
          <w:rFonts w:eastAsia="Times New Roman" w:cs="Arial"/>
          <w:color w:val="000000"/>
          <w:lang w:val="en-US"/>
        </w:rPr>
        <w:t>mg/m</w:t>
      </w:r>
      <w:r w:rsidRPr="00F331C8">
        <w:rPr>
          <w:rFonts w:eastAsia="Times New Roman" w:cs="Arial"/>
          <w:color w:val="000000"/>
          <w:vertAlign w:val="superscript"/>
          <w:lang w:val="en-US"/>
        </w:rPr>
        <w:t>2</w:t>
      </w:r>
      <w:r w:rsidRPr="00F331C8">
        <w:rPr>
          <w:rFonts w:eastAsia="Times New Roman" w:cs="Arial"/>
          <w:color w:val="000000"/>
          <w:lang w:eastAsia="bg-BG"/>
        </w:rPr>
        <w:t>/ден (</w:t>
      </w:r>
      <w:r w:rsidRPr="00F331C8">
        <w:rPr>
          <w:rFonts w:eastAsia="Times New Roman" w:cs="Arial"/>
          <w:color w:val="000000"/>
          <w:lang w:val="en-US"/>
        </w:rPr>
        <w:t>n</w:t>
      </w:r>
      <w:r w:rsidRPr="00F331C8">
        <w:rPr>
          <w:rFonts w:eastAsia="Times New Roman" w:cs="Arial"/>
          <w:color w:val="000000"/>
          <w:lang w:eastAsia="bg-BG"/>
        </w:rPr>
        <w:t xml:space="preserve">=5). </w:t>
      </w:r>
      <w:r w:rsidRPr="00F331C8">
        <w:rPr>
          <w:rFonts w:eastAsia="Times New Roman" w:cs="Arial"/>
          <w:smallCaps/>
          <w:color w:val="000000"/>
          <w:lang w:eastAsia="bg-BG"/>
        </w:rPr>
        <w:t xml:space="preserve">От </w:t>
      </w:r>
      <w:r w:rsidRPr="00F331C8">
        <w:rPr>
          <w:rFonts w:eastAsia="Times New Roman" w:cs="Arial"/>
          <w:i/>
          <w:iCs/>
          <w:color w:val="000000"/>
          <w:lang w:eastAsia="bg-BG"/>
        </w:rPr>
        <w:t>9</w:t>
      </w:r>
      <w:r w:rsidRPr="00F331C8">
        <w:rPr>
          <w:rFonts w:eastAsia="Times New Roman" w:cs="Arial"/>
          <w:color w:val="000000"/>
          <w:lang w:eastAsia="bg-BG"/>
        </w:rPr>
        <w:t xml:space="preserve"> пациента с хронична фаза на ХМЛ с налична цитогенетика, 4 (44%) и 3 (33%) постигат съответно пълен и частичен цитогенетичен отговор с честота на големия цитогенетичен отговор ГЦО от 77%.</w:t>
      </w:r>
    </w:p>
    <w:p w14:paraId="1EAFF837" w14:textId="77777777" w:rsidR="00F331C8" w:rsidRPr="00F331C8" w:rsidRDefault="00F331C8" w:rsidP="00F331C8">
      <w:pPr>
        <w:spacing w:line="240" w:lineRule="auto"/>
        <w:rPr>
          <w:rFonts w:eastAsia="Times New Roman" w:cs="Arial"/>
          <w:color w:val="000000"/>
          <w:lang w:eastAsia="bg-BG"/>
        </w:rPr>
      </w:pPr>
    </w:p>
    <w:p w14:paraId="07D65C23" w14:textId="4509A948" w:rsidR="00F331C8" w:rsidRPr="00F331C8" w:rsidRDefault="00F331C8" w:rsidP="00F331C8">
      <w:pPr>
        <w:spacing w:line="240" w:lineRule="auto"/>
        <w:rPr>
          <w:rFonts w:eastAsia="Times New Roman" w:cs="Arial"/>
          <w:sz w:val="24"/>
          <w:szCs w:val="24"/>
          <w:lang w:eastAsia="bg-BG"/>
        </w:rPr>
      </w:pPr>
      <w:r w:rsidRPr="00F331C8">
        <w:rPr>
          <w:rFonts w:eastAsia="Times New Roman" w:cs="Arial"/>
          <w:color w:val="000000"/>
          <w:lang w:eastAsia="bg-BG"/>
        </w:rPr>
        <w:t xml:space="preserve">Общо 51 пациента в детска възраст с новодиагностицирана и нелекувана ХМЛ в хронична фаза, са включени в отворено, мултицентрово, с едно терапевтично рамо проучване във фаза II. Пациентите са лекувани с иматиниб 340 </w:t>
      </w:r>
      <w:r w:rsidRPr="00F331C8">
        <w:rPr>
          <w:rFonts w:eastAsia="Times New Roman" w:cs="Arial"/>
          <w:color w:val="000000"/>
          <w:lang w:val="en-US"/>
        </w:rPr>
        <w:t>mg/m</w:t>
      </w:r>
      <w:r w:rsidRPr="00F331C8">
        <w:rPr>
          <w:rFonts w:eastAsia="Times New Roman" w:cs="Arial"/>
          <w:color w:val="000000"/>
          <w:vertAlign w:val="superscript"/>
          <w:lang w:val="en-US"/>
        </w:rPr>
        <w:t>2</w:t>
      </w:r>
      <w:r w:rsidRPr="00F331C8">
        <w:rPr>
          <w:rFonts w:eastAsia="Times New Roman" w:cs="Arial"/>
          <w:color w:val="000000"/>
          <w:lang w:val="en-US"/>
        </w:rPr>
        <w:t>/</w:t>
      </w:r>
      <w:r w:rsidRPr="00F331C8">
        <w:rPr>
          <w:rFonts w:eastAsia="Times New Roman" w:cs="Arial"/>
          <w:color w:val="000000"/>
          <w:lang w:eastAsia="bg-BG"/>
        </w:rPr>
        <w:t>ден</w:t>
      </w:r>
      <w:r w:rsidRPr="00F331C8">
        <w:rPr>
          <w:rFonts w:eastAsia="Times New Roman" w:cs="Arial"/>
          <w:color w:val="000000"/>
          <w:lang w:val="en-US"/>
        </w:rPr>
        <w:t xml:space="preserve"> </w:t>
      </w:r>
      <w:r w:rsidRPr="00F331C8">
        <w:rPr>
          <w:rFonts w:eastAsia="Times New Roman" w:cs="Arial"/>
          <w:color w:val="000000"/>
          <w:lang w:eastAsia="bg-BG"/>
        </w:rPr>
        <w:t xml:space="preserve">без прекъсване при липса на доза- лимитирана токсичност. Лечението с иматиниб предизвиква бърз отговор при ново диагностицирани педиатрични пациенти с ХМЛ, с ПХО от 78% след 8 седмици лечение. Високата честота на ПХО е съпроводена с развитие на пълен цитогенетичен отговор ПЦО от 65%, който е сравним с резултатите, наблюдавани при възрастни. В допълнение, частичен цитогенетичен отговор ЧЦО е наблюдаван при 16% с честота на големия цитогенетичен отговор ГЦО от 81%. По- голяма част от пациентите, които постигат ПЦО, развиват ПЦО между 3 и 10 месец със средно време до отговора, основано на изчислението на </w:t>
      </w:r>
      <w:r w:rsidRPr="00F331C8">
        <w:rPr>
          <w:rFonts w:eastAsia="Times New Roman" w:cs="Arial"/>
          <w:color w:val="000000"/>
          <w:lang w:val="en-US"/>
        </w:rPr>
        <w:t xml:space="preserve">Kaplan-Meier </w:t>
      </w:r>
      <w:r w:rsidRPr="00F331C8">
        <w:rPr>
          <w:rFonts w:eastAsia="Times New Roman" w:cs="Arial"/>
          <w:color w:val="000000"/>
          <w:lang w:eastAsia="bg-BG"/>
        </w:rPr>
        <w:t>от 5,6 месеца.</w:t>
      </w:r>
    </w:p>
    <w:p w14:paraId="7456E7DB" w14:textId="77777777" w:rsidR="00F331C8" w:rsidRPr="00F331C8" w:rsidRDefault="00F331C8" w:rsidP="00F331C8">
      <w:pPr>
        <w:spacing w:line="240" w:lineRule="auto"/>
        <w:rPr>
          <w:rFonts w:eastAsia="Times New Roman" w:cs="Arial"/>
          <w:color w:val="000000"/>
          <w:u w:val="single"/>
          <w:lang w:eastAsia="bg-BG"/>
        </w:rPr>
      </w:pPr>
    </w:p>
    <w:p w14:paraId="45994DC8" w14:textId="7277ADE4" w:rsidR="00F331C8" w:rsidRPr="00F331C8" w:rsidRDefault="00F331C8" w:rsidP="00F331C8">
      <w:pPr>
        <w:spacing w:line="240" w:lineRule="auto"/>
        <w:rPr>
          <w:rFonts w:eastAsia="Times New Roman" w:cs="Arial"/>
          <w:sz w:val="24"/>
          <w:szCs w:val="24"/>
          <w:lang w:eastAsia="bg-BG"/>
        </w:rPr>
      </w:pPr>
      <w:r w:rsidRPr="00F331C8">
        <w:rPr>
          <w:rFonts w:eastAsia="Times New Roman" w:cs="Arial"/>
          <w:color w:val="000000"/>
          <w:u w:val="single"/>
          <w:lang w:eastAsia="bg-BG"/>
        </w:rPr>
        <w:t xml:space="preserve">Клинични проучвания при </w:t>
      </w:r>
      <w:r w:rsidRPr="00F331C8">
        <w:rPr>
          <w:rFonts w:eastAsia="Times New Roman" w:cs="Arial"/>
          <w:color w:val="000000"/>
          <w:u w:val="single"/>
          <w:lang w:val="en-US"/>
        </w:rPr>
        <w:t>Ph</w:t>
      </w:r>
      <w:r w:rsidRPr="00F331C8">
        <w:rPr>
          <w:rFonts w:eastAsia="Times New Roman" w:cs="Arial"/>
          <w:color w:val="000000"/>
          <w:u w:val="single"/>
          <w:lang w:eastAsia="bg-BG"/>
        </w:rPr>
        <w:t>+ОЛЛ</w:t>
      </w:r>
    </w:p>
    <w:p w14:paraId="72A4F94E" w14:textId="77777777" w:rsidR="00F331C8" w:rsidRPr="00F331C8" w:rsidRDefault="00F331C8" w:rsidP="00F331C8">
      <w:pPr>
        <w:rPr>
          <w:rFonts w:eastAsia="Times New Roman" w:cs="Arial"/>
          <w:sz w:val="24"/>
          <w:szCs w:val="24"/>
          <w:lang w:eastAsia="bg-BG"/>
        </w:rPr>
      </w:pPr>
      <w:r w:rsidRPr="00F331C8">
        <w:rPr>
          <w:rFonts w:eastAsia="Times New Roman" w:cs="Arial"/>
          <w:i/>
          <w:iCs/>
          <w:color w:val="000000"/>
          <w:lang w:eastAsia="bg-BG"/>
        </w:rPr>
        <w:t xml:space="preserve">Новодиагностицирани случаи на </w:t>
      </w:r>
      <w:r w:rsidRPr="00F331C8">
        <w:rPr>
          <w:rFonts w:eastAsia="Times New Roman" w:cs="Arial"/>
          <w:i/>
          <w:iCs/>
          <w:color w:val="000000"/>
          <w:lang w:val="en-US"/>
        </w:rPr>
        <w:t>Ph</w:t>
      </w:r>
      <w:r w:rsidRPr="00F331C8">
        <w:rPr>
          <w:rFonts w:eastAsia="Times New Roman" w:cs="Arial"/>
          <w:i/>
          <w:iCs/>
          <w:color w:val="000000"/>
          <w:lang w:eastAsia="bg-BG"/>
        </w:rPr>
        <w:t>+ОЛЛ:</w:t>
      </w:r>
      <w:r w:rsidRPr="00F331C8">
        <w:rPr>
          <w:rFonts w:eastAsia="Times New Roman" w:cs="Arial"/>
          <w:color w:val="000000"/>
          <w:lang w:eastAsia="bg-BG"/>
        </w:rPr>
        <w:t xml:space="preserve"> При контролирано проучване (</w:t>
      </w:r>
      <w:r w:rsidRPr="00F331C8">
        <w:rPr>
          <w:rFonts w:eastAsia="Times New Roman" w:cs="Arial"/>
          <w:color w:val="000000"/>
          <w:lang w:val="en-US"/>
        </w:rPr>
        <w:t>ADE10</w:t>
      </w:r>
      <w:r w:rsidRPr="00F331C8">
        <w:rPr>
          <w:rFonts w:eastAsia="Times New Roman" w:cs="Arial"/>
          <w:color w:val="000000"/>
          <w:lang w:eastAsia="bg-BG"/>
        </w:rPr>
        <w:t>)</w:t>
      </w:r>
      <w:r w:rsidRPr="00F331C8">
        <w:rPr>
          <w:rFonts w:eastAsia="Times New Roman" w:cs="Arial"/>
          <w:color w:val="000000"/>
          <w:lang w:val="en-US"/>
        </w:rPr>
        <w:t xml:space="preserve"> </w:t>
      </w:r>
      <w:r w:rsidRPr="00F331C8">
        <w:rPr>
          <w:rFonts w:eastAsia="Times New Roman" w:cs="Arial"/>
          <w:color w:val="000000"/>
          <w:lang w:eastAsia="bg-BG"/>
        </w:rPr>
        <w:t>на иматиниб</w:t>
      </w:r>
      <w:r>
        <w:rPr>
          <w:rFonts w:eastAsia="Times New Roman" w:cs="Arial"/>
          <w:color w:val="000000"/>
          <w:lang w:val="en-US" w:eastAsia="bg-BG"/>
        </w:rPr>
        <w:t xml:space="preserve"> </w:t>
      </w:r>
      <w:r w:rsidRPr="00F331C8">
        <w:rPr>
          <w:rFonts w:eastAsia="Times New Roman" w:cs="Arial"/>
          <w:color w:val="000000"/>
          <w:lang w:eastAsia="bg-BG"/>
        </w:rPr>
        <w:t>спрямо химиотерапевтична индукция при 55 новодиагностицрани пациенти на възраст над 55</w:t>
      </w:r>
      <w:r w:rsidRPr="00F331C8">
        <w:rPr>
          <w:rFonts w:eastAsia="Times New Roman" w:cs="Arial"/>
          <w:sz w:val="24"/>
          <w:szCs w:val="24"/>
          <w:lang w:val="en-US" w:eastAsia="bg-BG"/>
        </w:rPr>
        <w:t xml:space="preserve"> </w:t>
      </w:r>
      <w:r w:rsidRPr="00F331C8">
        <w:rPr>
          <w:rFonts w:eastAsia="Times New Roman" w:cs="Arial"/>
          <w:color w:val="000000"/>
          <w:lang w:eastAsia="bg-BG"/>
        </w:rPr>
        <w:t>години, иматиниб, използван като самостоятелно средство, предизвиква значимо по-висока</w:t>
      </w:r>
      <w:r w:rsidRPr="00F331C8">
        <w:rPr>
          <w:rFonts w:eastAsia="Times New Roman" w:cs="Arial"/>
          <w:color w:val="000000"/>
          <w:lang w:val="en-US" w:eastAsia="bg-BG"/>
        </w:rPr>
        <w:t xml:space="preserve"> </w:t>
      </w:r>
      <w:r w:rsidRPr="00F331C8">
        <w:rPr>
          <w:rFonts w:eastAsia="Times New Roman" w:cs="Arial"/>
          <w:color w:val="000000"/>
          <w:lang w:eastAsia="bg-BG"/>
        </w:rPr>
        <w:t xml:space="preserve">честота на пълен цитогенетичен отговор в сравнение с химиотерапията (96,3% спр. 50%; р=0,0001). Прилагането на спасителна терапия с иматимиб при пациенти, които не са отговорили или които отговарят лошо на химиотерапията, води до постигане на пълен хематологичен отговор при 9 от 11 пациента (81,8%). Този клиничен отговор се дължи на по- високата редукция на </w:t>
      </w:r>
      <w:r w:rsidRPr="00F331C8">
        <w:rPr>
          <w:rFonts w:eastAsia="Times New Roman" w:cs="Arial"/>
          <w:color w:val="000000"/>
          <w:lang w:val="en-US"/>
        </w:rPr>
        <w:t xml:space="preserve">bcr-abl </w:t>
      </w:r>
      <w:r w:rsidRPr="00F331C8">
        <w:rPr>
          <w:rFonts w:eastAsia="Times New Roman" w:cs="Arial"/>
          <w:color w:val="000000"/>
          <w:lang w:eastAsia="bg-BG"/>
        </w:rPr>
        <w:t xml:space="preserve">транскриптите при лекуваните с иматиниб пациенти в сравнение с тези, лекувани с химиотерапия, след 2 седмици лечение (р=0,02). Всички пациенти получават иматиниб и консолидационна химиотерапия (вж. Таблица 4) след индукцията като нивата на </w:t>
      </w:r>
      <w:r w:rsidRPr="00F331C8">
        <w:rPr>
          <w:rFonts w:eastAsia="Times New Roman" w:cs="Arial"/>
          <w:color w:val="000000"/>
          <w:lang w:val="en-US"/>
        </w:rPr>
        <w:t xml:space="preserve">bcr-abl </w:t>
      </w:r>
      <w:r w:rsidRPr="00F331C8">
        <w:rPr>
          <w:rFonts w:eastAsia="Times New Roman" w:cs="Arial"/>
          <w:color w:val="000000"/>
          <w:lang w:eastAsia="bg-BG"/>
        </w:rPr>
        <w:t xml:space="preserve">транскриптите са идентични в двете рамена след 8 седмици. </w:t>
      </w:r>
      <w:r w:rsidRPr="00F331C8">
        <w:rPr>
          <w:rFonts w:eastAsia="Times New Roman" w:cs="Arial"/>
          <w:i/>
          <w:iCs/>
          <w:color w:val="000000"/>
          <w:lang w:eastAsia="bg-BG"/>
        </w:rPr>
        <w:t>Както се</w:t>
      </w:r>
      <w:r w:rsidRPr="00F331C8">
        <w:rPr>
          <w:rFonts w:eastAsia="Times New Roman" w:cs="Arial"/>
          <w:color w:val="000000"/>
          <w:lang w:eastAsia="bg-BG"/>
        </w:rPr>
        <w:t xml:space="preserve"> очаква, въз основа на дизайна на проучването, не се наблюдава разлика в продължителността на ремисията, преживяемостта без заболяване и общата преживяемост, въпреки че пациентите с пълен молекулярен отговор и оставащи в минималната резидуална болест имат по-добър изход по отношение както на продължителността на ремисията (р=0,01), така и на преживяемостта без заболяване (р=0,02).</w:t>
      </w:r>
    </w:p>
    <w:p w14:paraId="16D5A0E1" w14:textId="77777777" w:rsidR="00F331C8" w:rsidRPr="00F331C8" w:rsidRDefault="00F331C8" w:rsidP="00F331C8">
      <w:pPr>
        <w:spacing w:line="240" w:lineRule="auto"/>
        <w:rPr>
          <w:rFonts w:eastAsia="Times New Roman" w:cs="Arial"/>
          <w:color w:val="000000"/>
          <w:lang w:eastAsia="bg-BG"/>
        </w:rPr>
      </w:pPr>
    </w:p>
    <w:p w14:paraId="3DFD25C3" w14:textId="20A28BB0" w:rsidR="00F331C8" w:rsidRPr="00F331C8" w:rsidRDefault="00F331C8" w:rsidP="00F331C8">
      <w:pPr>
        <w:spacing w:line="240" w:lineRule="auto"/>
        <w:rPr>
          <w:rFonts w:eastAsia="Times New Roman" w:cs="Arial"/>
          <w:sz w:val="24"/>
          <w:szCs w:val="24"/>
          <w:lang w:eastAsia="bg-BG"/>
        </w:rPr>
      </w:pPr>
      <w:r w:rsidRPr="00F331C8">
        <w:rPr>
          <w:rFonts w:eastAsia="Times New Roman" w:cs="Arial"/>
          <w:color w:val="000000"/>
          <w:lang w:eastAsia="bg-BG"/>
        </w:rPr>
        <w:lastRenderedPageBreak/>
        <w:t xml:space="preserve">Резултатите, наблюдавани в група от 211 новодиагностицирани пациенти с </w:t>
      </w:r>
      <w:r w:rsidRPr="00F331C8">
        <w:rPr>
          <w:rFonts w:eastAsia="Times New Roman" w:cs="Arial"/>
          <w:color w:val="000000"/>
          <w:lang w:val="en-US"/>
        </w:rPr>
        <w:t>Ph</w:t>
      </w:r>
      <w:r w:rsidRPr="00F331C8">
        <w:rPr>
          <w:rFonts w:eastAsia="Times New Roman" w:cs="Arial"/>
          <w:color w:val="000000"/>
          <w:lang w:eastAsia="bg-BG"/>
        </w:rPr>
        <w:t xml:space="preserve">+ОЛЛ в четири неконтролирани клинични проучвания </w:t>
      </w:r>
      <w:r w:rsidRPr="00F331C8">
        <w:rPr>
          <w:rFonts w:eastAsia="Times New Roman" w:cs="Arial"/>
          <w:color w:val="000000"/>
          <w:lang w:val="en-US"/>
        </w:rPr>
        <w:t xml:space="preserve">(AAU02, ADE04, AJP01 </w:t>
      </w:r>
      <w:r w:rsidRPr="00F331C8">
        <w:rPr>
          <w:rFonts w:eastAsia="Times New Roman" w:cs="Arial"/>
          <w:color w:val="000000"/>
          <w:lang w:eastAsia="bg-BG"/>
        </w:rPr>
        <w:t xml:space="preserve">и </w:t>
      </w:r>
      <w:r w:rsidRPr="00F331C8">
        <w:rPr>
          <w:rFonts w:eastAsia="Times New Roman" w:cs="Arial"/>
          <w:color w:val="000000"/>
          <w:lang w:val="en-US"/>
        </w:rPr>
        <w:t xml:space="preserve">AUS01), </w:t>
      </w:r>
      <w:r w:rsidRPr="00F331C8">
        <w:rPr>
          <w:rFonts w:eastAsia="Times New Roman" w:cs="Arial"/>
          <w:color w:val="000000"/>
          <w:lang w:eastAsia="bg-BG"/>
        </w:rPr>
        <w:t>отговарят на описаните по-горе резултати. Иматиниб в комбинация с химиотерапевтична индукция (вж. Таблица 4) води до честота на пълен хематологичен отговор от 93% (147 от 158 оценявани пациенти) и честота на голям цитогенетичен отговор от 90% ( 19 от 21 оценявани пациенти). Честотата на пълен молекулярен отговор е 48% (49 от 102 оценявани пациенти).</w:t>
      </w:r>
    </w:p>
    <w:p w14:paraId="339E9091" w14:textId="77777777" w:rsidR="00F331C8" w:rsidRPr="00F331C8" w:rsidRDefault="00F331C8" w:rsidP="00F331C8">
      <w:pPr>
        <w:spacing w:line="240" w:lineRule="auto"/>
        <w:rPr>
          <w:rFonts w:eastAsia="Times New Roman" w:cs="Arial"/>
          <w:sz w:val="24"/>
          <w:szCs w:val="24"/>
          <w:lang w:eastAsia="bg-BG"/>
        </w:rPr>
      </w:pPr>
      <w:r w:rsidRPr="00F331C8">
        <w:rPr>
          <w:rFonts w:eastAsia="Times New Roman" w:cs="Arial"/>
          <w:color w:val="000000"/>
          <w:lang w:eastAsia="bg-BG"/>
        </w:rPr>
        <w:t xml:space="preserve">Преживяемостта без заболяване (ПБЗ) и общата преживяемост (ОП) трайно надвишават 1 година и са по-добри от хистологичния контрол (ПБЗ р&lt;0,001; ОП р&lt;0,0001) в две проучвания </w:t>
      </w:r>
      <w:r w:rsidRPr="00F331C8">
        <w:rPr>
          <w:rFonts w:eastAsia="Times New Roman" w:cs="Arial"/>
          <w:color w:val="000000"/>
          <w:lang w:val="en-US"/>
        </w:rPr>
        <w:t xml:space="preserve">(AJP01 </w:t>
      </w:r>
      <w:r w:rsidRPr="00F331C8">
        <w:rPr>
          <w:rFonts w:eastAsia="Times New Roman" w:cs="Arial"/>
          <w:color w:val="000000"/>
          <w:lang w:eastAsia="bg-BG"/>
        </w:rPr>
        <w:t xml:space="preserve">и </w:t>
      </w:r>
      <w:r w:rsidRPr="00F331C8">
        <w:rPr>
          <w:rFonts w:eastAsia="Times New Roman" w:cs="Arial"/>
          <w:color w:val="000000"/>
          <w:lang w:val="en-US"/>
        </w:rPr>
        <w:t>AUS01).</w:t>
      </w:r>
    </w:p>
    <w:p w14:paraId="62C898FF" w14:textId="77777777" w:rsidR="00F331C8" w:rsidRPr="00F331C8" w:rsidRDefault="00F331C8" w:rsidP="00F331C8">
      <w:pPr>
        <w:spacing w:line="240" w:lineRule="auto"/>
        <w:rPr>
          <w:rFonts w:eastAsia="Times New Roman" w:cs="Arial"/>
          <w:b/>
          <w:bCs/>
          <w:color w:val="000000"/>
          <w:lang w:eastAsia="bg-BG"/>
        </w:rPr>
      </w:pPr>
    </w:p>
    <w:p w14:paraId="79020C50" w14:textId="1C898539" w:rsidR="00F331C8" w:rsidRPr="00F331C8" w:rsidRDefault="00F331C8" w:rsidP="00F331C8">
      <w:pPr>
        <w:spacing w:line="240" w:lineRule="auto"/>
        <w:rPr>
          <w:rFonts w:eastAsia="Times New Roman" w:cs="Arial"/>
          <w:sz w:val="24"/>
          <w:szCs w:val="24"/>
          <w:lang w:val="en-US" w:eastAsia="bg-BG"/>
        </w:rPr>
      </w:pPr>
      <w:r w:rsidRPr="00F331C8">
        <w:rPr>
          <w:rFonts w:eastAsia="Times New Roman" w:cs="Arial"/>
          <w:b/>
          <w:bCs/>
          <w:color w:val="000000"/>
          <w:lang w:eastAsia="bg-BG"/>
        </w:rPr>
        <w:t>Таблица 4 Химиотерапевтична схема използвана в комбинация с иматиниб</w:t>
      </w:r>
    </w:p>
    <w:p w14:paraId="04795EEB" w14:textId="67754442" w:rsidR="00BF503E" w:rsidRDefault="00BF503E" w:rsidP="0091385D"/>
    <w:tbl>
      <w:tblPr>
        <w:tblStyle w:val="TableGrid"/>
        <w:tblW w:w="0" w:type="auto"/>
        <w:tblLook w:val="04A0" w:firstRow="1" w:lastRow="0" w:firstColumn="1" w:lastColumn="0" w:noHBand="0" w:noVBand="1"/>
      </w:tblPr>
      <w:tblGrid>
        <w:gridCol w:w="4675"/>
        <w:gridCol w:w="4675"/>
      </w:tblGrid>
      <w:tr w:rsidR="00CE6CFD" w14:paraId="56B64180" w14:textId="77777777" w:rsidTr="00246BD9">
        <w:tc>
          <w:tcPr>
            <w:tcW w:w="9350" w:type="dxa"/>
            <w:gridSpan w:val="2"/>
          </w:tcPr>
          <w:p w14:paraId="33D6E905" w14:textId="593278FB" w:rsidR="00CE6CFD" w:rsidRDefault="00CE6CFD" w:rsidP="0091385D">
            <w:r>
              <w:rPr>
                <w:b/>
                <w:bCs/>
              </w:rPr>
              <w:t xml:space="preserve">Проучване </w:t>
            </w:r>
            <w:r>
              <w:rPr>
                <w:b/>
                <w:bCs/>
                <w:lang w:val="en-US"/>
              </w:rPr>
              <w:t>ADE10</w:t>
            </w:r>
          </w:p>
        </w:tc>
      </w:tr>
      <w:tr w:rsidR="00CE6CFD" w14:paraId="6A7B9C96" w14:textId="77777777" w:rsidTr="00CE6CFD">
        <w:tc>
          <w:tcPr>
            <w:tcW w:w="4675" w:type="dxa"/>
          </w:tcPr>
          <w:p w14:paraId="28FBBFCA" w14:textId="606A29FA" w:rsidR="00CE6CFD" w:rsidRDefault="00CE6CFD" w:rsidP="00CE6CFD">
            <w:r>
              <w:t>Префаза</w:t>
            </w:r>
          </w:p>
        </w:tc>
        <w:tc>
          <w:tcPr>
            <w:tcW w:w="4675" w:type="dxa"/>
          </w:tcPr>
          <w:p w14:paraId="5CF97EA0" w14:textId="63D93A01" w:rsidR="00CE6CFD" w:rsidRDefault="00CE6CFD" w:rsidP="00CE6CFD">
            <w:r>
              <w:rPr>
                <w:lang w:val="en-US"/>
              </w:rPr>
              <w:t xml:space="preserve">DEX </w:t>
            </w:r>
            <w:r>
              <w:t xml:space="preserve">10 </w:t>
            </w:r>
            <w:r>
              <w:rPr>
                <w:lang w:val="en-US"/>
              </w:rPr>
              <w:t xml:space="preserve">mg/m2 </w:t>
            </w:r>
            <w:r>
              <w:t xml:space="preserve">перорално, дни 1-5; СР 200 </w:t>
            </w:r>
            <w:r>
              <w:rPr>
                <w:lang w:val="en-US"/>
              </w:rPr>
              <w:t xml:space="preserve">mg/m2 i.v., </w:t>
            </w:r>
            <w:r>
              <w:t xml:space="preserve">дни 3, 4, 5; МТХ 12 </w:t>
            </w:r>
            <w:r>
              <w:rPr>
                <w:lang w:val="en-US"/>
              </w:rPr>
              <w:t xml:space="preserve">mg </w:t>
            </w:r>
            <w:r>
              <w:t>интратекално, ден 1</w:t>
            </w:r>
          </w:p>
        </w:tc>
      </w:tr>
      <w:tr w:rsidR="00CE6CFD" w14:paraId="68E42C85" w14:textId="77777777" w:rsidTr="00CE6CFD">
        <w:tc>
          <w:tcPr>
            <w:tcW w:w="4675" w:type="dxa"/>
          </w:tcPr>
          <w:p w14:paraId="233305E1" w14:textId="1F931E91" w:rsidR="00CE6CFD" w:rsidRDefault="00CE6CFD" w:rsidP="00CE6CFD">
            <w:r>
              <w:t>Индукция на ремисията</w:t>
            </w:r>
          </w:p>
        </w:tc>
        <w:tc>
          <w:tcPr>
            <w:tcW w:w="4675" w:type="dxa"/>
          </w:tcPr>
          <w:p w14:paraId="777544FA" w14:textId="6A087139" w:rsidR="00CE6CFD" w:rsidRDefault="00CE6CFD" w:rsidP="00CE6CFD">
            <w:r>
              <w:rPr>
                <w:lang w:val="en-US"/>
              </w:rPr>
              <w:t xml:space="preserve">DEX </w:t>
            </w:r>
            <w:r>
              <w:t xml:space="preserve">10 </w:t>
            </w:r>
            <w:r>
              <w:rPr>
                <w:lang w:val="en-US"/>
              </w:rPr>
              <w:t xml:space="preserve">mg/m2 </w:t>
            </w:r>
            <w:r>
              <w:t xml:space="preserve">перорално, дни 6-7, 13-16; </w:t>
            </w:r>
            <w:r>
              <w:rPr>
                <w:lang w:val="en-US"/>
              </w:rPr>
              <w:t xml:space="preserve">VCR </w:t>
            </w:r>
            <w:r>
              <w:t xml:space="preserve">1 </w:t>
            </w:r>
            <w:r>
              <w:rPr>
                <w:lang w:val="en-US"/>
              </w:rPr>
              <w:t xml:space="preserve">mg i.v., </w:t>
            </w:r>
            <w:r>
              <w:t xml:space="preserve">дни 7, 14; </w:t>
            </w:r>
            <w:r>
              <w:rPr>
                <w:lang w:val="en-US"/>
              </w:rPr>
              <w:t xml:space="preserve">IDA </w:t>
            </w:r>
            <w:r>
              <w:t xml:space="preserve">8 </w:t>
            </w:r>
            <w:r>
              <w:rPr>
                <w:lang w:val="en-US"/>
              </w:rPr>
              <w:t xml:space="preserve">mg/m2 i.v. </w:t>
            </w:r>
            <w:r>
              <w:t xml:space="preserve">(0,5 часа), дни 7, 8, 14, 15; СР 500 </w:t>
            </w:r>
            <w:r>
              <w:rPr>
                <w:lang w:val="en-US"/>
              </w:rPr>
              <w:t xml:space="preserve">mg/m2 i.v.( </w:t>
            </w:r>
            <w:r>
              <w:t xml:space="preserve">1 час) ден 1; Ага-С 60 </w:t>
            </w:r>
            <w:r>
              <w:rPr>
                <w:lang w:val="en-US"/>
              </w:rPr>
              <w:t xml:space="preserve">mg/m2 i.v., </w:t>
            </w:r>
            <w:r>
              <w:t>дни 22-25, 29-32</w:t>
            </w:r>
          </w:p>
        </w:tc>
      </w:tr>
      <w:tr w:rsidR="00CE6CFD" w14:paraId="126D70AB" w14:textId="77777777" w:rsidTr="00CE6CFD">
        <w:tc>
          <w:tcPr>
            <w:tcW w:w="4675" w:type="dxa"/>
          </w:tcPr>
          <w:p w14:paraId="148CD458" w14:textId="60EC7BA9" w:rsidR="00CE6CFD" w:rsidRDefault="00CE6CFD" w:rsidP="00CE6CFD">
            <w:r>
              <w:t xml:space="preserve">Консолидационна терапия </w:t>
            </w:r>
            <w:r>
              <w:rPr>
                <w:lang w:val="en-US"/>
              </w:rPr>
              <w:t xml:space="preserve">I, </w:t>
            </w:r>
            <w:r>
              <w:t>Ш, V</w:t>
            </w:r>
          </w:p>
        </w:tc>
        <w:tc>
          <w:tcPr>
            <w:tcW w:w="4675" w:type="dxa"/>
          </w:tcPr>
          <w:p w14:paraId="79BAE844" w14:textId="6B50E812" w:rsidR="00CE6CFD" w:rsidRDefault="00CE6CFD" w:rsidP="00CE6CFD">
            <w:r>
              <w:t xml:space="preserve">МТХ 500 </w:t>
            </w:r>
            <w:r>
              <w:rPr>
                <w:lang w:val="en-US"/>
              </w:rPr>
              <w:t xml:space="preserve">mg/m2 i.v. </w:t>
            </w:r>
            <w:r>
              <w:t xml:space="preserve">(24 часа), дни 1, 15; 6- МР 25 </w:t>
            </w:r>
            <w:r>
              <w:rPr>
                <w:lang w:val="en-US"/>
              </w:rPr>
              <w:t xml:space="preserve">mg/m2 </w:t>
            </w:r>
            <w:r>
              <w:t>перорално, дни 1 -20</w:t>
            </w:r>
          </w:p>
        </w:tc>
      </w:tr>
      <w:tr w:rsidR="00CE6CFD" w14:paraId="4379CBB8" w14:textId="77777777" w:rsidTr="00CE6CFD">
        <w:tc>
          <w:tcPr>
            <w:tcW w:w="4675" w:type="dxa"/>
          </w:tcPr>
          <w:p w14:paraId="0B87FC42" w14:textId="19E3E70A" w:rsidR="00CE6CFD" w:rsidRDefault="00CE6CFD" w:rsidP="00CE6CFD">
            <w:r>
              <w:t>Консолидационна терапия П, IV</w:t>
            </w:r>
          </w:p>
        </w:tc>
        <w:tc>
          <w:tcPr>
            <w:tcW w:w="4675" w:type="dxa"/>
          </w:tcPr>
          <w:p w14:paraId="7AE522ED" w14:textId="57231EB5" w:rsidR="00CE6CFD" w:rsidRDefault="00CE6CFD" w:rsidP="00CE6CFD">
            <w:r>
              <w:t>А</w:t>
            </w:r>
            <w:r>
              <w:rPr>
                <w:lang w:val="en-US"/>
              </w:rPr>
              <w:t>r</w:t>
            </w:r>
            <w:r>
              <w:t xml:space="preserve">а-С 75 </w:t>
            </w:r>
            <w:r>
              <w:rPr>
                <w:lang w:val="en-US"/>
              </w:rPr>
              <w:t xml:space="preserve">mg/m2 i.v. </w:t>
            </w:r>
            <w:r>
              <w:t xml:space="preserve">(1 час), дни 1-5; </w:t>
            </w:r>
            <w:r>
              <w:rPr>
                <w:lang w:val="en-US"/>
              </w:rPr>
              <w:t xml:space="preserve">VM26 </w:t>
            </w:r>
            <w:r>
              <w:t xml:space="preserve">60 </w:t>
            </w:r>
            <w:r>
              <w:rPr>
                <w:lang w:val="en-US"/>
              </w:rPr>
              <w:t xml:space="preserve">mg/m2 i.v. </w:t>
            </w:r>
            <w:r>
              <w:t>(1 час), дни 1-5</w:t>
            </w:r>
          </w:p>
        </w:tc>
      </w:tr>
      <w:tr w:rsidR="00CE6CFD" w14:paraId="6F0A72B5" w14:textId="77777777" w:rsidTr="00246BD9">
        <w:tc>
          <w:tcPr>
            <w:tcW w:w="9350" w:type="dxa"/>
            <w:gridSpan w:val="2"/>
          </w:tcPr>
          <w:p w14:paraId="51E23B51" w14:textId="044A8637" w:rsidR="00CE6CFD" w:rsidRDefault="00CE6CFD" w:rsidP="0091385D">
            <w:r>
              <w:rPr>
                <w:b/>
                <w:bCs/>
              </w:rPr>
              <w:t xml:space="preserve">Проучване </w:t>
            </w:r>
            <w:r>
              <w:rPr>
                <w:b/>
                <w:bCs/>
                <w:lang w:val="en-US"/>
              </w:rPr>
              <w:t>AAU02</w:t>
            </w:r>
          </w:p>
        </w:tc>
      </w:tr>
      <w:tr w:rsidR="00CE6CFD" w14:paraId="2DA56A71" w14:textId="77777777" w:rsidTr="00CE6CFD">
        <w:tc>
          <w:tcPr>
            <w:tcW w:w="4675" w:type="dxa"/>
          </w:tcPr>
          <w:p w14:paraId="7EDF7340" w14:textId="26A7B1A4" w:rsidR="00CE6CFD" w:rsidRDefault="00CE6CFD" w:rsidP="00CE6CFD">
            <w:r>
              <w:t>Индукционна терапия (</w:t>
            </w:r>
            <w:r>
              <w:rPr>
                <w:i/>
                <w:iCs/>
                <w:lang w:val="en-US"/>
              </w:rPr>
              <w:t>de novo</w:t>
            </w:r>
            <w:r>
              <w:rPr>
                <w:lang w:val="en-US"/>
              </w:rPr>
              <w:t xml:space="preserve"> Ph+ </w:t>
            </w:r>
            <w:r>
              <w:t>ОЛЛ)</w:t>
            </w:r>
          </w:p>
        </w:tc>
        <w:tc>
          <w:tcPr>
            <w:tcW w:w="4675" w:type="dxa"/>
          </w:tcPr>
          <w:p w14:paraId="0A56B94C" w14:textId="77777777" w:rsidR="00CE6CFD" w:rsidRDefault="00CE6CFD" w:rsidP="00CE6CFD">
            <w:r>
              <w:t xml:space="preserve">Даунорубицин 30 </w:t>
            </w:r>
            <w:r>
              <w:rPr>
                <w:lang w:val="en-US"/>
              </w:rPr>
              <w:t xml:space="preserve">mg/m2 i.v., </w:t>
            </w:r>
            <w:r>
              <w:t xml:space="preserve">дни 1-3,15-16; </w:t>
            </w:r>
            <w:r>
              <w:rPr>
                <w:lang w:val="en-US"/>
              </w:rPr>
              <w:t xml:space="preserve">VCR </w:t>
            </w:r>
            <w:r>
              <w:t xml:space="preserve">2 </w:t>
            </w:r>
            <w:r>
              <w:rPr>
                <w:lang w:val="en-US"/>
              </w:rPr>
              <w:t xml:space="preserve">mg </w:t>
            </w:r>
            <w:r>
              <w:t xml:space="preserve">обща доза </w:t>
            </w:r>
            <w:r>
              <w:rPr>
                <w:lang w:val="en-US"/>
              </w:rPr>
              <w:t xml:space="preserve">i.v., </w:t>
            </w:r>
            <w:r>
              <w:t>дни 1,8, 15, 22;</w:t>
            </w:r>
          </w:p>
          <w:p w14:paraId="5D5554DC" w14:textId="3C0F4E7C" w:rsidR="00CE6CFD" w:rsidRDefault="00CE6CFD" w:rsidP="00CE6CFD">
            <w:r>
              <w:t xml:space="preserve">СР 750 </w:t>
            </w:r>
            <w:r>
              <w:rPr>
                <w:lang w:val="en-US"/>
              </w:rPr>
              <w:t xml:space="preserve">mg/m2 i.v., </w:t>
            </w:r>
            <w:r>
              <w:t xml:space="preserve">дни 1, 8; преднизон 60 </w:t>
            </w:r>
            <w:r>
              <w:rPr>
                <w:lang w:val="en-US"/>
              </w:rPr>
              <w:t xml:space="preserve">mg/m2 </w:t>
            </w:r>
            <w:r>
              <w:t xml:space="preserve">перорално, дни 1-7, 15-21; </w:t>
            </w:r>
            <w:r>
              <w:rPr>
                <w:lang w:val="en-US"/>
              </w:rPr>
              <w:t xml:space="preserve">IDA </w:t>
            </w:r>
            <w:r>
              <w:t xml:space="preserve">9 </w:t>
            </w:r>
            <w:r>
              <w:rPr>
                <w:lang w:val="en-US"/>
              </w:rPr>
              <w:t xml:space="preserve">mg/m2 </w:t>
            </w:r>
            <w:r>
              <w:t xml:space="preserve">перорално, дни 1-28; МТХ 15 </w:t>
            </w:r>
            <w:r>
              <w:rPr>
                <w:lang w:val="en-US"/>
              </w:rPr>
              <w:t xml:space="preserve">mg </w:t>
            </w:r>
            <w:r>
              <w:t xml:space="preserve">интратекално, дни 1, 8, 15, 22; Ага-С 40 </w:t>
            </w:r>
            <w:r>
              <w:rPr>
                <w:lang w:val="en-US"/>
              </w:rPr>
              <w:t xml:space="preserve">mg </w:t>
            </w:r>
            <w:r>
              <w:t xml:space="preserve">интратекално, дни 1,8, 15, 22; метилпреднизолон 40 </w:t>
            </w:r>
            <w:r>
              <w:rPr>
                <w:lang w:val="en-US"/>
              </w:rPr>
              <w:t xml:space="preserve">mg </w:t>
            </w:r>
            <w:r>
              <w:t>интратекално, дни 1,8, 15, 22</w:t>
            </w:r>
          </w:p>
        </w:tc>
      </w:tr>
      <w:tr w:rsidR="00CE6CFD" w14:paraId="4767B85F" w14:textId="77777777" w:rsidTr="00CE6CFD">
        <w:tc>
          <w:tcPr>
            <w:tcW w:w="4675" w:type="dxa"/>
          </w:tcPr>
          <w:p w14:paraId="3DF147D1" w14:textId="3242B587" w:rsidR="00CE6CFD" w:rsidRDefault="00CE6CFD" w:rsidP="00CE6CFD">
            <w:r>
              <w:t>Консолидация (</w:t>
            </w:r>
            <w:r>
              <w:rPr>
                <w:i/>
                <w:iCs/>
                <w:lang w:val="en-US"/>
              </w:rPr>
              <w:t>de novo</w:t>
            </w:r>
            <w:r>
              <w:rPr>
                <w:lang w:val="en-US"/>
              </w:rPr>
              <w:t xml:space="preserve"> Ph+ </w:t>
            </w:r>
            <w:r>
              <w:t>ОЛЛ)</w:t>
            </w:r>
          </w:p>
        </w:tc>
        <w:tc>
          <w:tcPr>
            <w:tcW w:w="4675" w:type="dxa"/>
          </w:tcPr>
          <w:p w14:paraId="443AC4A6" w14:textId="77777777" w:rsidR="00CE6CFD" w:rsidRDefault="00CE6CFD" w:rsidP="00CE6CFD">
            <w:r>
              <w:t xml:space="preserve">Ага-С 1,000 </w:t>
            </w:r>
            <w:r>
              <w:rPr>
                <w:lang w:val="en-US"/>
              </w:rPr>
              <w:t xml:space="preserve">mg/m2/12 </w:t>
            </w:r>
            <w:r>
              <w:t xml:space="preserve">часа </w:t>
            </w:r>
            <w:r>
              <w:rPr>
                <w:lang w:val="en-US"/>
              </w:rPr>
              <w:t xml:space="preserve">i.v.(3 </w:t>
            </w:r>
            <w:r>
              <w:t>часа),</w:t>
            </w:r>
            <w:r>
              <w:rPr>
                <w:lang w:val="en-US"/>
              </w:rPr>
              <w:t xml:space="preserve"> </w:t>
            </w:r>
            <w:r>
              <w:t xml:space="preserve">дни 1 -4; митоксантрон 10 </w:t>
            </w:r>
            <w:r>
              <w:rPr>
                <w:lang w:val="en-US"/>
              </w:rPr>
              <w:t xml:space="preserve">mg/m2 i.v. </w:t>
            </w:r>
            <w:r>
              <w:t>дни 3-5</w:t>
            </w:r>
          </w:p>
          <w:p w14:paraId="6C5D03CD" w14:textId="1D96EE85" w:rsidR="00CE6CFD" w:rsidRDefault="00CE6CFD" w:rsidP="00CE6CFD">
            <w:r>
              <w:t xml:space="preserve">МТХ 15 </w:t>
            </w:r>
            <w:r>
              <w:rPr>
                <w:lang w:val="en-US"/>
              </w:rPr>
              <w:t xml:space="preserve">mg </w:t>
            </w:r>
            <w:r>
              <w:t>интратекално, ден 1;</w:t>
            </w:r>
            <w:r>
              <w:rPr>
                <w:i/>
                <w:iCs/>
              </w:rPr>
              <w:t xml:space="preserve"> </w:t>
            </w:r>
            <w:r>
              <w:t xml:space="preserve">метилпреднизолон 40 </w:t>
            </w:r>
            <w:r>
              <w:rPr>
                <w:lang w:val="en-US"/>
              </w:rPr>
              <w:t xml:space="preserve">mg </w:t>
            </w:r>
            <w:r>
              <w:t xml:space="preserve">интратекално </w:t>
            </w:r>
            <w:r>
              <w:rPr>
                <w:lang w:val="en-US"/>
              </w:rPr>
              <w:t xml:space="preserve">day </w:t>
            </w:r>
            <w:r>
              <w:t>1</w:t>
            </w:r>
          </w:p>
        </w:tc>
      </w:tr>
      <w:tr w:rsidR="00CE6CFD" w14:paraId="1B550312" w14:textId="77777777" w:rsidTr="00246BD9">
        <w:tc>
          <w:tcPr>
            <w:tcW w:w="9350" w:type="dxa"/>
            <w:gridSpan w:val="2"/>
          </w:tcPr>
          <w:p w14:paraId="6631B0B5" w14:textId="58F2C08D" w:rsidR="00CE6CFD" w:rsidRDefault="00CE6CFD" w:rsidP="0091385D">
            <w:r>
              <w:rPr>
                <w:b/>
                <w:bCs/>
              </w:rPr>
              <w:t xml:space="preserve">Проучване </w:t>
            </w:r>
            <w:r>
              <w:rPr>
                <w:b/>
                <w:bCs/>
                <w:lang w:val="en-US"/>
              </w:rPr>
              <w:t>ADE04</w:t>
            </w:r>
          </w:p>
        </w:tc>
      </w:tr>
      <w:tr w:rsidR="00CE6CFD" w14:paraId="3EF71083" w14:textId="77777777" w:rsidTr="00CE6CFD">
        <w:tc>
          <w:tcPr>
            <w:tcW w:w="4675" w:type="dxa"/>
          </w:tcPr>
          <w:p w14:paraId="276391EC" w14:textId="7FC0AD3F" w:rsidR="00CE6CFD" w:rsidRDefault="00CE6CFD" w:rsidP="00CE6CFD">
            <w:r>
              <w:t>Префаза</w:t>
            </w:r>
          </w:p>
        </w:tc>
        <w:tc>
          <w:tcPr>
            <w:tcW w:w="4675" w:type="dxa"/>
          </w:tcPr>
          <w:p w14:paraId="31E1D00B" w14:textId="1DC34958" w:rsidR="00CE6CFD" w:rsidRDefault="00CE6CFD" w:rsidP="00CE6CFD">
            <w:r>
              <w:rPr>
                <w:lang w:val="en-US"/>
              </w:rPr>
              <w:t xml:space="preserve">DEX </w:t>
            </w:r>
            <w:r>
              <w:t xml:space="preserve">10 </w:t>
            </w:r>
            <w:r>
              <w:rPr>
                <w:lang w:val="en-US"/>
              </w:rPr>
              <w:t xml:space="preserve">mg/m2 </w:t>
            </w:r>
            <w:r>
              <w:t xml:space="preserve">перорално, дни 1-5; СР 200 </w:t>
            </w:r>
            <w:r>
              <w:rPr>
                <w:lang w:val="en-US"/>
              </w:rPr>
              <w:t xml:space="preserve">mg/m2 i.v., </w:t>
            </w:r>
            <w:r>
              <w:t xml:space="preserve">дни 3-5; МТХ 15 </w:t>
            </w:r>
            <w:r>
              <w:rPr>
                <w:lang w:val="en-US"/>
              </w:rPr>
              <w:t xml:space="preserve">mg </w:t>
            </w:r>
            <w:r>
              <w:t>интратекално ден 1</w:t>
            </w:r>
          </w:p>
        </w:tc>
      </w:tr>
      <w:tr w:rsidR="00CE6CFD" w14:paraId="48708C9B" w14:textId="77777777" w:rsidTr="00CE6CFD">
        <w:tc>
          <w:tcPr>
            <w:tcW w:w="4675" w:type="dxa"/>
          </w:tcPr>
          <w:p w14:paraId="27413540" w14:textId="67E16765" w:rsidR="00CE6CFD" w:rsidRDefault="00CE6CFD" w:rsidP="00CE6CFD">
            <w:r>
              <w:t>Индукционна терапия I</w:t>
            </w:r>
          </w:p>
        </w:tc>
        <w:tc>
          <w:tcPr>
            <w:tcW w:w="4675" w:type="dxa"/>
          </w:tcPr>
          <w:p w14:paraId="0BA4B2EB" w14:textId="4D4870E5" w:rsidR="00CE6CFD" w:rsidRDefault="00CE6CFD" w:rsidP="00CE6CFD">
            <w:r>
              <w:rPr>
                <w:lang w:val="en-US"/>
              </w:rPr>
              <w:t xml:space="preserve">DEX </w:t>
            </w:r>
            <w:r>
              <w:t xml:space="preserve">10 </w:t>
            </w:r>
            <w:r>
              <w:rPr>
                <w:lang w:val="en-US"/>
              </w:rPr>
              <w:t xml:space="preserve">mg/m2 </w:t>
            </w:r>
            <w:r>
              <w:t xml:space="preserve">перорално, дни 1-5; </w:t>
            </w:r>
            <w:r>
              <w:rPr>
                <w:lang w:val="en-US"/>
              </w:rPr>
              <w:t xml:space="preserve">VCR </w:t>
            </w:r>
            <w:r>
              <w:t xml:space="preserve">2 </w:t>
            </w:r>
            <w:r>
              <w:rPr>
                <w:lang w:val="en-US"/>
              </w:rPr>
              <w:t xml:space="preserve">mg i.v., </w:t>
            </w:r>
            <w:r>
              <w:t xml:space="preserve">дни 6, 13, 20; даунорубицин 45 </w:t>
            </w:r>
            <w:r>
              <w:rPr>
                <w:lang w:val="en-US"/>
              </w:rPr>
              <w:t xml:space="preserve">mg/m2 i.v., </w:t>
            </w:r>
            <w:r>
              <w:t>дни 6-7, 13-14</w:t>
            </w:r>
          </w:p>
        </w:tc>
      </w:tr>
      <w:tr w:rsidR="00CE6CFD" w14:paraId="24BA3589" w14:textId="77777777" w:rsidTr="00CE6CFD">
        <w:tc>
          <w:tcPr>
            <w:tcW w:w="4675" w:type="dxa"/>
          </w:tcPr>
          <w:p w14:paraId="20CEE8BB" w14:textId="6F1FEDE9" w:rsidR="00CE6CFD" w:rsidRDefault="00CE6CFD" w:rsidP="00CE6CFD">
            <w:r>
              <w:lastRenderedPageBreak/>
              <w:t>Индукционна терапия II</w:t>
            </w:r>
          </w:p>
        </w:tc>
        <w:tc>
          <w:tcPr>
            <w:tcW w:w="4675" w:type="dxa"/>
          </w:tcPr>
          <w:p w14:paraId="3CC32048" w14:textId="36F6F2FD" w:rsidR="00CE6CFD" w:rsidRDefault="00CE6CFD" w:rsidP="00CE6CFD">
            <w:r>
              <w:t xml:space="preserve">СР 1 </w:t>
            </w:r>
            <w:r>
              <w:rPr>
                <w:lang w:val="en-US"/>
              </w:rPr>
              <w:t>g</w:t>
            </w:r>
            <w:r>
              <w:t>/</w:t>
            </w:r>
            <w:r>
              <w:rPr>
                <w:lang w:val="en-US"/>
              </w:rPr>
              <w:t>m2</w:t>
            </w:r>
            <w:r>
              <w:t xml:space="preserve"> </w:t>
            </w:r>
            <w:r>
              <w:rPr>
                <w:lang w:val="en-US"/>
              </w:rPr>
              <w:t xml:space="preserve">i.v. </w:t>
            </w:r>
            <w:r>
              <w:t xml:space="preserve">(1 час), дни 26, 46; Ага-С 75 </w:t>
            </w:r>
            <w:r>
              <w:rPr>
                <w:lang w:val="en-US"/>
              </w:rPr>
              <w:t xml:space="preserve">mg/m2 i.v. </w:t>
            </w:r>
            <w:r>
              <w:t xml:space="preserve">(1 час), дни 28-31, 35-38, 42- 45; 6-МР 60 </w:t>
            </w:r>
            <w:r>
              <w:rPr>
                <w:lang w:val="en-US"/>
              </w:rPr>
              <w:t xml:space="preserve">mg/m2 </w:t>
            </w:r>
            <w:r>
              <w:t>перорално, дни 26-46</w:t>
            </w:r>
          </w:p>
        </w:tc>
      </w:tr>
      <w:tr w:rsidR="00CE6CFD" w14:paraId="15945073" w14:textId="77777777" w:rsidTr="00CE6CFD">
        <w:tc>
          <w:tcPr>
            <w:tcW w:w="4675" w:type="dxa"/>
          </w:tcPr>
          <w:p w14:paraId="16A49845" w14:textId="3AD4AAC1" w:rsidR="00CE6CFD" w:rsidRDefault="00CE6CFD" w:rsidP="00CE6CFD">
            <w:r>
              <w:t>Консолидационна терапия</w:t>
            </w:r>
          </w:p>
        </w:tc>
        <w:tc>
          <w:tcPr>
            <w:tcW w:w="4675" w:type="dxa"/>
          </w:tcPr>
          <w:p w14:paraId="0BA77599" w14:textId="77777777" w:rsidR="00CE6CFD" w:rsidRDefault="00CE6CFD" w:rsidP="00CE6CFD">
            <w:r>
              <w:rPr>
                <w:lang w:val="en-US"/>
              </w:rPr>
              <w:t xml:space="preserve">DEX </w:t>
            </w:r>
            <w:r>
              <w:t xml:space="preserve">10 </w:t>
            </w:r>
            <w:r>
              <w:rPr>
                <w:lang w:val="en-US"/>
              </w:rPr>
              <w:t xml:space="preserve">mg/m2 </w:t>
            </w:r>
            <w:r>
              <w:t>перорално, дни 1-5;</w:t>
            </w:r>
          </w:p>
          <w:p w14:paraId="43725E31" w14:textId="32572D00" w:rsidR="00CE6CFD" w:rsidRDefault="00CE6CFD" w:rsidP="00CE6CFD">
            <w:r>
              <w:t xml:space="preserve">виндезин 3 </w:t>
            </w:r>
            <w:r>
              <w:rPr>
                <w:lang w:val="en-US"/>
              </w:rPr>
              <w:t xml:space="preserve">mg/m2 i.v., </w:t>
            </w:r>
            <w:r>
              <w:t xml:space="preserve">ден 1; МТХ 1,5 </w:t>
            </w:r>
            <w:r>
              <w:rPr>
                <w:lang w:val="en-US"/>
              </w:rPr>
              <w:t xml:space="preserve">g/m2 i.v. </w:t>
            </w:r>
            <w:r>
              <w:t xml:space="preserve">(24 часа), ден 1; етопозид 250 </w:t>
            </w:r>
            <w:r>
              <w:rPr>
                <w:lang w:val="en-US"/>
              </w:rPr>
              <w:t xml:space="preserve">mg/rm i.v. </w:t>
            </w:r>
            <w:r>
              <w:t xml:space="preserve">(1 час) дни 4-5; Ага-С 2х 2 </w:t>
            </w:r>
            <w:r>
              <w:rPr>
                <w:lang w:val="en-US"/>
              </w:rPr>
              <w:t xml:space="preserve">g/m2 i.v. </w:t>
            </w:r>
            <w:r>
              <w:t xml:space="preserve">(3 часа, </w:t>
            </w:r>
            <w:r>
              <w:rPr>
                <w:lang w:val="en-US"/>
              </w:rPr>
              <w:t xml:space="preserve">q </w:t>
            </w:r>
            <w:r>
              <w:t>12 часа), ден 5</w:t>
            </w:r>
          </w:p>
        </w:tc>
      </w:tr>
      <w:tr w:rsidR="00CE6CFD" w14:paraId="5618FE69" w14:textId="77777777" w:rsidTr="00246BD9">
        <w:tc>
          <w:tcPr>
            <w:tcW w:w="9350" w:type="dxa"/>
            <w:gridSpan w:val="2"/>
          </w:tcPr>
          <w:p w14:paraId="08F5BB24" w14:textId="556769FE" w:rsidR="00CE6CFD" w:rsidRDefault="00CE6CFD" w:rsidP="0091385D">
            <w:r>
              <w:rPr>
                <w:b/>
                <w:bCs/>
              </w:rPr>
              <w:t xml:space="preserve">Проучване </w:t>
            </w:r>
            <w:r>
              <w:rPr>
                <w:b/>
                <w:bCs/>
                <w:lang w:val="en-US"/>
              </w:rPr>
              <w:t>AJP01</w:t>
            </w:r>
          </w:p>
        </w:tc>
      </w:tr>
      <w:tr w:rsidR="00CE6CFD" w14:paraId="623D18A2" w14:textId="77777777" w:rsidTr="00CE6CFD">
        <w:tc>
          <w:tcPr>
            <w:tcW w:w="4675" w:type="dxa"/>
          </w:tcPr>
          <w:p w14:paraId="17E4F40A" w14:textId="37D2B681" w:rsidR="00CE6CFD" w:rsidRDefault="00CE6CFD" w:rsidP="00CE6CFD">
            <w:r>
              <w:t>Индукционна терапия</w:t>
            </w:r>
          </w:p>
        </w:tc>
        <w:tc>
          <w:tcPr>
            <w:tcW w:w="4675" w:type="dxa"/>
          </w:tcPr>
          <w:p w14:paraId="4572DAB5" w14:textId="29B034F4" w:rsidR="00CE6CFD" w:rsidRDefault="00CE6CFD" w:rsidP="00CE6CFD">
            <w:r>
              <w:t xml:space="preserve">СР 1,2 </w:t>
            </w:r>
            <w:r>
              <w:rPr>
                <w:lang w:val="en-US"/>
              </w:rPr>
              <w:t xml:space="preserve">g/m2 i.v. </w:t>
            </w:r>
            <w:r>
              <w:t xml:space="preserve">(3 часа), ден 1; даунорубицин 60 </w:t>
            </w:r>
            <w:r>
              <w:rPr>
                <w:lang w:val="en-US"/>
              </w:rPr>
              <w:t xml:space="preserve">mg/m2 i.v. </w:t>
            </w:r>
            <w:r>
              <w:t xml:space="preserve">(1 час), дни 1- 3; винкристин 1,3 </w:t>
            </w:r>
            <w:r>
              <w:rPr>
                <w:lang w:val="en-US"/>
              </w:rPr>
              <w:t xml:space="preserve">mg/m2 i.v., </w:t>
            </w:r>
            <w:r>
              <w:t xml:space="preserve">дни 1, 8, 15, 21; преднизолон 60 </w:t>
            </w:r>
            <w:r>
              <w:rPr>
                <w:lang w:val="en-US"/>
              </w:rPr>
              <w:t>mg/rm</w:t>
            </w:r>
            <w:r>
              <w:t>/ден перорално</w:t>
            </w:r>
          </w:p>
        </w:tc>
      </w:tr>
      <w:tr w:rsidR="00CE6CFD" w14:paraId="574A9245" w14:textId="77777777" w:rsidTr="00CE6CFD">
        <w:tc>
          <w:tcPr>
            <w:tcW w:w="4675" w:type="dxa"/>
          </w:tcPr>
          <w:p w14:paraId="5CE6F89C" w14:textId="67EC300F" w:rsidR="00CE6CFD" w:rsidRDefault="00CE6CFD" w:rsidP="00CE6CFD">
            <w:r>
              <w:t>Консолидационна терапия</w:t>
            </w:r>
          </w:p>
        </w:tc>
        <w:tc>
          <w:tcPr>
            <w:tcW w:w="4675" w:type="dxa"/>
          </w:tcPr>
          <w:p w14:paraId="23DC58E2" w14:textId="6AFC8ADC" w:rsidR="00CE6CFD" w:rsidRDefault="00CE6CFD" w:rsidP="00CE6CFD">
            <w:r>
              <w:t xml:space="preserve">Алтерниращ химиотерапевтичен курс: високо-дозова химиотерапия с МТХ 1 </w:t>
            </w:r>
            <w:r>
              <w:rPr>
                <w:lang w:val="en-US"/>
              </w:rPr>
              <w:t xml:space="preserve">g/m2 i.v. </w:t>
            </w:r>
            <w:r>
              <w:t>(24 часа), ден 1, и А</w:t>
            </w:r>
            <w:r>
              <w:rPr>
                <w:lang w:val="en-US"/>
              </w:rPr>
              <w:t>r</w:t>
            </w:r>
            <w:r>
              <w:t xml:space="preserve">а-С 2 </w:t>
            </w:r>
            <w:r>
              <w:rPr>
                <w:lang w:val="en-US"/>
              </w:rPr>
              <w:t>g/m2 i.v. (q 12</w:t>
            </w:r>
            <w:r>
              <w:t xml:space="preserve"> часа), дни 2-3, за 4 цикъла</w:t>
            </w:r>
          </w:p>
        </w:tc>
      </w:tr>
      <w:tr w:rsidR="00CE6CFD" w14:paraId="5CF7C60D" w14:textId="77777777" w:rsidTr="00CE6CFD">
        <w:tc>
          <w:tcPr>
            <w:tcW w:w="4675" w:type="dxa"/>
          </w:tcPr>
          <w:p w14:paraId="315E11A2" w14:textId="75680AD6" w:rsidR="00CE6CFD" w:rsidRDefault="00CE6CFD" w:rsidP="00CE6CFD">
            <w:r>
              <w:t>Поддържане</w:t>
            </w:r>
          </w:p>
        </w:tc>
        <w:tc>
          <w:tcPr>
            <w:tcW w:w="4675" w:type="dxa"/>
          </w:tcPr>
          <w:p w14:paraId="00D7417B" w14:textId="3374A9C1" w:rsidR="00CE6CFD" w:rsidRDefault="00CE6CFD" w:rsidP="00CE6CFD">
            <w:r>
              <w:rPr>
                <w:lang w:val="en-US"/>
              </w:rPr>
              <w:t xml:space="preserve">VCR </w:t>
            </w:r>
            <w:r>
              <w:t xml:space="preserve">1,3 </w:t>
            </w:r>
            <w:r>
              <w:rPr>
                <w:lang w:val="en-US"/>
              </w:rPr>
              <w:t xml:space="preserve">g/m2 i.v., </w:t>
            </w:r>
            <w:r>
              <w:t xml:space="preserve">ден 1; преднизолон 60 </w:t>
            </w:r>
            <w:r>
              <w:rPr>
                <w:lang w:val="en-US"/>
              </w:rPr>
              <w:t xml:space="preserve">mg/rm </w:t>
            </w:r>
            <w:r>
              <w:t>перорално, дни 1-5</w:t>
            </w:r>
          </w:p>
        </w:tc>
      </w:tr>
      <w:tr w:rsidR="00CE6CFD" w14:paraId="5280A461" w14:textId="77777777" w:rsidTr="00246BD9">
        <w:tc>
          <w:tcPr>
            <w:tcW w:w="9350" w:type="dxa"/>
            <w:gridSpan w:val="2"/>
          </w:tcPr>
          <w:p w14:paraId="3938C8EB" w14:textId="4D58423F" w:rsidR="00CE6CFD" w:rsidRDefault="00CE6CFD" w:rsidP="0091385D">
            <w:r>
              <w:rPr>
                <w:b/>
                <w:bCs/>
                <w:u w:val="single"/>
              </w:rPr>
              <w:t xml:space="preserve">Проучване </w:t>
            </w:r>
            <w:r>
              <w:rPr>
                <w:b/>
                <w:bCs/>
                <w:u w:val="single"/>
                <w:lang w:val="en-US"/>
              </w:rPr>
              <w:t>AUS01</w:t>
            </w:r>
          </w:p>
        </w:tc>
      </w:tr>
      <w:tr w:rsidR="00CE6CFD" w14:paraId="40326C02" w14:textId="77777777" w:rsidTr="00CE6CFD">
        <w:tc>
          <w:tcPr>
            <w:tcW w:w="4675" w:type="dxa"/>
          </w:tcPr>
          <w:p w14:paraId="1E05F14A" w14:textId="02FDB9CF" w:rsidR="00CE6CFD" w:rsidRDefault="00CE6CFD" w:rsidP="00CE6CFD">
            <w:r>
              <w:t>Индукционно-консолидационна терапия</w:t>
            </w:r>
          </w:p>
        </w:tc>
        <w:tc>
          <w:tcPr>
            <w:tcW w:w="4675" w:type="dxa"/>
            <w:vMerge w:val="restart"/>
          </w:tcPr>
          <w:p w14:paraId="65065D33" w14:textId="5ACDECD9" w:rsidR="00CE6CFD" w:rsidRDefault="00CE6CFD" w:rsidP="00CE6CFD">
            <w:r>
              <w:t>Хипер</w:t>
            </w:r>
            <w:r>
              <w:rPr>
                <w:lang w:val="en-US"/>
              </w:rPr>
              <w:t xml:space="preserve">-CVAD </w:t>
            </w:r>
            <w:r>
              <w:t xml:space="preserve">режим: СР 300 </w:t>
            </w:r>
            <w:r>
              <w:rPr>
                <w:lang w:val="en-US"/>
              </w:rPr>
              <w:t xml:space="preserve">mg/m2 i.v. </w:t>
            </w:r>
            <w:r>
              <w:t xml:space="preserve">(3 часа, </w:t>
            </w:r>
            <w:r>
              <w:rPr>
                <w:lang w:val="en-US"/>
              </w:rPr>
              <w:t xml:space="preserve">q </w:t>
            </w:r>
            <w:r>
              <w:t xml:space="preserve">12 часа), дни 1-3; винкристин 2 </w:t>
            </w:r>
            <w:r>
              <w:rPr>
                <w:lang w:val="en-US"/>
              </w:rPr>
              <w:t xml:space="preserve">mg i.v., </w:t>
            </w:r>
            <w:r>
              <w:t xml:space="preserve">дни 4, 11; доксорубицин 50 </w:t>
            </w:r>
            <w:r>
              <w:rPr>
                <w:lang w:val="en-US"/>
              </w:rPr>
              <w:t xml:space="preserve">mg/m2 i.v. </w:t>
            </w:r>
            <w:r>
              <w:t xml:space="preserve">(24 часа), ден 4; </w:t>
            </w:r>
            <w:r>
              <w:rPr>
                <w:lang w:val="en-US"/>
              </w:rPr>
              <w:t xml:space="preserve">DEX </w:t>
            </w:r>
            <w:r>
              <w:t xml:space="preserve">40 </w:t>
            </w:r>
            <w:r>
              <w:rPr>
                <w:lang w:val="en-US"/>
              </w:rPr>
              <w:t>mg/</w:t>
            </w:r>
            <w:r>
              <w:t xml:space="preserve">ден в дни 1-4 и 11-14, алтернирана с МТХ 1 </w:t>
            </w:r>
            <w:r>
              <w:rPr>
                <w:lang w:val="en-US"/>
              </w:rPr>
              <w:t xml:space="preserve">g/rm i.v. </w:t>
            </w:r>
            <w:r>
              <w:t xml:space="preserve">(24 часа), ден 1, Ага-С 1 </w:t>
            </w:r>
            <w:r>
              <w:rPr>
                <w:lang w:val="en-US"/>
              </w:rPr>
              <w:t>g</w:t>
            </w:r>
            <w:r>
              <w:t>/</w:t>
            </w:r>
            <w:r>
              <w:rPr>
                <w:lang w:val="en-US"/>
              </w:rPr>
              <w:t>m2</w:t>
            </w:r>
            <w:r>
              <w:t xml:space="preserve"> </w:t>
            </w:r>
            <w:r>
              <w:rPr>
                <w:lang w:val="en-US"/>
              </w:rPr>
              <w:t xml:space="preserve">i.v. </w:t>
            </w:r>
            <w:r>
              <w:t xml:space="preserve">(2 часа, </w:t>
            </w:r>
            <w:r>
              <w:rPr>
                <w:lang w:val="en-US"/>
              </w:rPr>
              <w:t xml:space="preserve">q </w:t>
            </w:r>
            <w:r>
              <w:t>12 часа), дни 2-3 (общо 8 курса)</w:t>
            </w:r>
          </w:p>
        </w:tc>
      </w:tr>
      <w:tr w:rsidR="00CE6CFD" w14:paraId="79415871" w14:textId="77777777" w:rsidTr="00CE6CFD">
        <w:tc>
          <w:tcPr>
            <w:tcW w:w="4675" w:type="dxa"/>
          </w:tcPr>
          <w:p w14:paraId="5EA40E0B" w14:textId="77777777" w:rsidR="00CE6CFD" w:rsidRDefault="00CE6CFD" w:rsidP="00CE6CFD"/>
        </w:tc>
        <w:tc>
          <w:tcPr>
            <w:tcW w:w="4675" w:type="dxa"/>
            <w:vMerge/>
          </w:tcPr>
          <w:p w14:paraId="56BBAF4F" w14:textId="77777777" w:rsidR="00CE6CFD" w:rsidRDefault="00CE6CFD" w:rsidP="00CE6CFD"/>
        </w:tc>
      </w:tr>
      <w:tr w:rsidR="00CE6CFD" w14:paraId="638ADC47" w14:textId="77777777" w:rsidTr="00CE6CFD">
        <w:tc>
          <w:tcPr>
            <w:tcW w:w="4675" w:type="dxa"/>
          </w:tcPr>
          <w:p w14:paraId="66294396" w14:textId="39F4D373" w:rsidR="00CE6CFD" w:rsidRDefault="00CE6CFD" w:rsidP="00CE6CFD">
            <w:r>
              <w:t>Поддържане</w:t>
            </w:r>
          </w:p>
        </w:tc>
        <w:tc>
          <w:tcPr>
            <w:tcW w:w="4675" w:type="dxa"/>
            <w:vMerge w:val="restart"/>
          </w:tcPr>
          <w:p w14:paraId="5812C7E1" w14:textId="0060BD98" w:rsidR="00CE6CFD" w:rsidRDefault="00CE6CFD" w:rsidP="00CE6CFD">
            <w:r>
              <w:rPr>
                <w:lang w:val="en-US"/>
              </w:rPr>
              <w:t xml:space="preserve">VCR </w:t>
            </w:r>
            <w:r>
              <w:t xml:space="preserve">2 </w:t>
            </w:r>
            <w:r>
              <w:rPr>
                <w:lang w:val="en-US"/>
              </w:rPr>
              <w:t xml:space="preserve">mg i.v. </w:t>
            </w:r>
            <w:r>
              <w:t xml:space="preserve">месечно за 13 месеца; преднизолон 200 </w:t>
            </w:r>
            <w:r>
              <w:rPr>
                <w:lang w:val="en-US"/>
              </w:rPr>
              <w:t xml:space="preserve">mg </w:t>
            </w:r>
            <w:r>
              <w:t>перорално, 5 дена в месеца за 13 месеца</w:t>
            </w:r>
          </w:p>
        </w:tc>
      </w:tr>
      <w:tr w:rsidR="00CE6CFD" w14:paraId="5DE5CE78" w14:textId="77777777" w:rsidTr="00CE6CFD">
        <w:tc>
          <w:tcPr>
            <w:tcW w:w="4675" w:type="dxa"/>
          </w:tcPr>
          <w:p w14:paraId="7501E9AD" w14:textId="77777777" w:rsidR="00CE6CFD" w:rsidRDefault="00CE6CFD" w:rsidP="0091385D"/>
        </w:tc>
        <w:tc>
          <w:tcPr>
            <w:tcW w:w="4675" w:type="dxa"/>
            <w:vMerge/>
          </w:tcPr>
          <w:p w14:paraId="656E920C" w14:textId="77777777" w:rsidR="00CE6CFD" w:rsidRDefault="00CE6CFD" w:rsidP="0091385D"/>
        </w:tc>
      </w:tr>
      <w:tr w:rsidR="00CE6CFD" w14:paraId="6F711E7E" w14:textId="77777777" w:rsidTr="00246BD9">
        <w:tc>
          <w:tcPr>
            <w:tcW w:w="9350" w:type="dxa"/>
            <w:gridSpan w:val="2"/>
          </w:tcPr>
          <w:p w14:paraId="10718E69" w14:textId="1DC13EA0" w:rsidR="00CE6CFD" w:rsidRDefault="00CE6CFD" w:rsidP="0091385D">
            <w:r>
              <w:t>Всички схеми на лечение включват прилагане на стероиди за профилактика на ЦНС.</w:t>
            </w:r>
          </w:p>
        </w:tc>
      </w:tr>
      <w:tr w:rsidR="00CE6CFD" w14:paraId="2568528D" w14:textId="77777777" w:rsidTr="00246BD9">
        <w:tc>
          <w:tcPr>
            <w:tcW w:w="9350" w:type="dxa"/>
            <w:gridSpan w:val="2"/>
          </w:tcPr>
          <w:p w14:paraId="756100CB" w14:textId="484706FB" w:rsidR="00CE6CFD" w:rsidRDefault="00CE6CFD" w:rsidP="0091385D">
            <w:r>
              <w:t xml:space="preserve">Ага-С: цитозин арабинозид; СР: циклофосфамид; </w:t>
            </w:r>
            <w:r>
              <w:rPr>
                <w:lang w:val="en-US"/>
              </w:rPr>
              <w:t xml:space="preserve">DEX: </w:t>
            </w:r>
            <w:r>
              <w:t xml:space="preserve">дексаметазон; МТХ: метотрексат; 6-МР: 6-меркаптопурин </w:t>
            </w:r>
            <w:r>
              <w:rPr>
                <w:lang w:val="en-US"/>
              </w:rPr>
              <w:t xml:space="preserve">VM26: </w:t>
            </w:r>
            <w:r>
              <w:t xml:space="preserve">Тенипозид; </w:t>
            </w:r>
            <w:r>
              <w:rPr>
                <w:lang w:val="en-US"/>
              </w:rPr>
              <w:t xml:space="preserve">VCR: </w:t>
            </w:r>
            <w:r>
              <w:t xml:space="preserve">винкристин; </w:t>
            </w:r>
            <w:r>
              <w:rPr>
                <w:lang w:val="en-US"/>
              </w:rPr>
              <w:t xml:space="preserve">IDA: </w:t>
            </w:r>
            <w:r>
              <w:t xml:space="preserve">идарубицин; </w:t>
            </w:r>
            <w:r>
              <w:rPr>
                <w:lang w:val="en-US"/>
              </w:rPr>
              <w:t xml:space="preserve">i.v.: </w:t>
            </w:r>
            <w:r>
              <w:t>интравенозно</w:t>
            </w:r>
          </w:p>
        </w:tc>
      </w:tr>
    </w:tbl>
    <w:p w14:paraId="0582E722" w14:textId="4A600278" w:rsidR="00CE6CFD" w:rsidRDefault="00CE6CFD" w:rsidP="0091385D"/>
    <w:p w14:paraId="0C8D896D" w14:textId="77777777" w:rsidR="00CE6CFD" w:rsidRPr="00CE6CFD" w:rsidRDefault="00CE6CFD" w:rsidP="00CE6CFD">
      <w:pPr>
        <w:rPr>
          <w:rFonts w:ascii="Times New Roman" w:eastAsia="Times New Roman" w:hAnsi="Times New Roman" w:cs="Times New Roman"/>
          <w:sz w:val="24"/>
          <w:szCs w:val="24"/>
          <w:lang w:eastAsia="bg-BG"/>
        </w:rPr>
      </w:pPr>
      <w:r>
        <w:rPr>
          <w:rFonts w:eastAsia="Times New Roman" w:cs="Arial"/>
          <w:i/>
          <w:iCs/>
          <w:color w:val="000000"/>
          <w:lang w:eastAsia="bg-BG"/>
        </w:rPr>
        <w:t xml:space="preserve">Педиатрични пациенти: </w:t>
      </w:r>
      <w:r w:rsidRPr="00CE6CFD">
        <w:rPr>
          <w:rFonts w:eastAsia="Times New Roman" w:cs="Arial"/>
          <w:iCs/>
          <w:color w:val="000000"/>
          <w:lang w:eastAsia="bg-BG"/>
        </w:rPr>
        <w:t>В</w:t>
      </w:r>
      <w:r w:rsidRPr="00CE6CFD">
        <w:rPr>
          <w:rFonts w:eastAsia="Times New Roman" w:cs="Arial"/>
          <w:color w:val="000000"/>
          <w:lang w:eastAsia="bg-BG"/>
        </w:rPr>
        <w:t xml:space="preserve"> проучване 12301 </w:t>
      </w:r>
      <w:r w:rsidRPr="00CE6CFD">
        <w:rPr>
          <w:rFonts w:eastAsia="Times New Roman" w:cs="Arial"/>
          <w:i/>
          <w:iCs/>
          <w:color w:val="000000"/>
          <w:lang w:eastAsia="bg-BG"/>
        </w:rPr>
        <w:t>общо</w:t>
      </w:r>
      <w:r w:rsidRPr="00CE6CFD">
        <w:rPr>
          <w:rFonts w:eastAsia="Times New Roman" w:cs="Arial"/>
          <w:color w:val="000000"/>
          <w:lang w:eastAsia="bg-BG"/>
        </w:rPr>
        <w:t xml:space="preserve"> 93 педиатрични </w:t>
      </w:r>
      <w:r w:rsidRPr="00CE6CFD">
        <w:rPr>
          <w:rFonts w:eastAsia="Times New Roman" w:cs="Arial"/>
          <w:i/>
          <w:iCs/>
          <w:color w:val="000000"/>
          <w:lang w:eastAsia="bg-BG"/>
        </w:rPr>
        <w:t>пациенти, юноши</w:t>
      </w:r>
      <w:r w:rsidRPr="00CE6CFD">
        <w:rPr>
          <w:rFonts w:eastAsia="Times New Roman" w:cs="Arial"/>
          <w:color w:val="000000"/>
          <w:lang w:eastAsia="bg-BG"/>
        </w:rPr>
        <w:t xml:space="preserve"> и млади възрастни (на възраст от 1 до 22 години) с </w:t>
      </w:r>
      <w:r w:rsidRPr="00CE6CFD">
        <w:rPr>
          <w:rFonts w:eastAsia="Times New Roman" w:cs="Arial"/>
          <w:color w:val="000000"/>
          <w:lang w:val="en-US"/>
        </w:rPr>
        <w:t xml:space="preserve">Ph+ </w:t>
      </w:r>
      <w:r w:rsidRPr="00CE6CFD">
        <w:rPr>
          <w:rFonts w:eastAsia="Times New Roman" w:cs="Arial"/>
          <w:color w:val="000000"/>
          <w:lang w:eastAsia="bg-BG"/>
        </w:rPr>
        <w:t xml:space="preserve">ОЛЯ са включени в отворено, многоцентрово, нерандомизирано фаза III изпитване с последователни кохорти. Пациентите са лекувани с иматиниб (340 </w:t>
      </w:r>
      <w:r w:rsidRPr="00CE6CFD">
        <w:rPr>
          <w:rFonts w:eastAsia="Times New Roman" w:cs="Arial"/>
          <w:color w:val="000000"/>
          <w:lang w:val="en-US"/>
        </w:rPr>
        <w:t>mg/ m</w:t>
      </w:r>
      <w:r w:rsidRPr="00CE6CFD">
        <w:rPr>
          <w:rFonts w:eastAsia="Times New Roman" w:cs="Arial"/>
          <w:color w:val="000000"/>
          <w:vertAlign w:val="superscript"/>
          <w:lang w:eastAsia="bg-BG"/>
        </w:rPr>
        <w:t>2</w:t>
      </w:r>
      <w:r w:rsidRPr="00CE6CFD">
        <w:rPr>
          <w:rFonts w:eastAsia="Times New Roman" w:cs="Arial"/>
          <w:color w:val="000000"/>
          <w:lang w:eastAsia="bg-BG"/>
        </w:rPr>
        <w:t>/ден) в комбинация с интензивна химиотерапия, след индукционна терапия. Иматиниб е прилаган интермитентно в кохорти 1 -5, с увеличаваща се продължителност и по-ранно започване на иматиниб от кохорта на кохорта, кохорта 1 го е получавала с най-ниска интензивност, а кохорта 5 с най-висока интензивност (най-дълга продължителност в дни с непрекъснато ежедневно приложение на иматиниб през първия химиотерапевтичен курс). Продължителната ежедневна експозиция на иматиниб в ранните етапи от лечението в комбинация с химиотерапия при пациентите в кохорта 5</w:t>
      </w:r>
      <w:r w:rsidRPr="00CE6CFD">
        <w:rPr>
          <w:rFonts w:eastAsia="Times New Roman" w:cs="Arial"/>
          <w:color w:val="000000"/>
          <w:lang w:val="en-US"/>
        </w:rPr>
        <w:t xml:space="preserve"> (n=50) </w:t>
      </w:r>
      <w:r w:rsidRPr="00CE6CFD">
        <w:rPr>
          <w:rFonts w:eastAsia="Times New Roman" w:cs="Arial"/>
          <w:color w:val="000000"/>
          <w:lang w:eastAsia="bg-BG"/>
        </w:rPr>
        <w:t>подобрява</w:t>
      </w:r>
      <w:r w:rsidRPr="00CE6CFD">
        <w:rPr>
          <w:rFonts w:eastAsia="Times New Roman" w:cs="Arial"/>
          <w:sz w:val="24"/>
          <w:szCs w:val="24"/>
          <w:lang w:eastAsia="bg-BG"/>
        </w:rPr>
        <w:t xml:space="preserve"> </w:t>
      </w:r>
      <w:r w:rsidRPr="00CE6CFD">
        <w:rPr>
          <w:rFonts w:eastAsia="Times New Roman" w:cs="Arial"/>
          <w:color w:val="000000"/>
          <w:lang w:eastAsia="bg-BG"/>
        </w:rPr>
        <w:t>4-годишната преживяемост без събития (ПБР) спрямо контроли от минали проучвания (</w:t>
      </w:r>
      <w:r w:rsidRPr="00CE6CFD">
        <w:rPr>
          <w:rFonts w:eastAsia="Times New Roman" w:cs="Arial"/>
          <w:color w:val="000000"/>
          <w:lang w:val="en-US"/>
        </w:rPr>
        <w:t>n=120</w:t>
      </w:r>
      <w:r w:rsidRPr="00CE6CFD">
        <w:rPr>
          <w:rFonts w:eastAsia="Times New Roman" w:cs="Arial"/>
          <w:color w:val="000000"/>
          <w:lang w:eastAsia="bg-BG"/>
        </w:rPr>
        <w:t>),</w:t>
      </w:r>
      <w:r w:rsidRPr="00CE6CFD">
        <w:rPr>
          <w:rFonts w:eastAsia="Times New Roman" w:cs="Arial"/>
          <w:sz w:val="24"/>
          <w:szCs w:val="24"/>
          <w:lang w:eastAsia="bg-BG"/>
        </w:rPr>
        <w:t xml:space="preserve"> </w:t>
      </w:r>
      <w:r w:rsidRPr="00CE6CFD">
        <w:rPr>
          <w:rFonts w:eastAsia="Times New Roman" w:cs="Arial"/>
          <w:color w:val="000000"/>
          <w:lang w:eastAsia="bg-BG"/>
        </w:rPr>
        <w:t xml:space="preserve">получаващи стандартна химиотерапия </w:t>
      </w:r>
      <w:r w:rsidRPr="00CE6CFD">
        <w:rPr>
          <w:rFonts w:eastAsia="Times New Roman" w:cs="Arial"/>
          <w:color w:val="000000"/>
          <w:lang w:eastAsia="bg-BG"/>
        </w:rPr>
        <w:lastRenderedPageBreak/>
        <w:t>без Иматиниб (съответно 69,6% спрямо 1</w:t>
      </w:r>
      <w:r>
        <w:rPr>
          <w:rFonts w:eastAsia="Times New Roman" w:cs="Arial"/>
          <w:color w:val="000000"/>
          <w:lang w:eastAsia="bg-BG"/>
        </w:rPr>
        <w:t xml:space="preserve">,6 % Изчислената 4-годишна обща </w:t>
      </w:r>
      <w:r w:rsidRPr="00CE6CFD">
        <w:rPr>
          <w:rFonts w:eastAsia="Times New Roman" w:cs="Arial"/>
          <w:color w:val="000000"/>
          <w:lang w:eastAsia="bg-BG"/>
        </w:rPr>
        <w:t>преживяемост на пациентите в кохорта 5 е</w:t>
      </w:r>
      <w:r w:rsidRPr="00CE6CFD">
        <w:rPr>
          <w:rFonts w:eastAsia="Times New Roman" w:cs="Arial"/>
          <w:color w:val="000000"/>
          <w:lang w:val="en-US"/>
        </w:rPr>
        <w:t xml:space="preserve"> 83,6 %</w:t>
      </w:r>
      <w:r w:rsidRPr="00CE6CFD">
        <w:rPr>
          <w:rFonts w:eastAsia="Times New Roman" w:cs="Arial"/>
          <w:color w:val="000000"/>
          <w:lang w:eastAsia="bg-BG"/>
        </w:rPr>
        <w:t xml:space="preserve"> спрямо 44,8%</w:t>
      </w:r>
      <w:r>
        <w:rPr>
          <w:rFonts w:eastAsia="Times New Roman" w:cs="Arial"/>
          <w:color w:val="000000"/>
          <w:lang w:eastAsia="bg-BG"/>
        </w:rPr>
        <w:t xml:space="preserve"> </w:t>
      </w:r>
      <w:r w:rsidRPr="00CE6CFD">
        <w:rPr>
          <w:rFonts w:ascii="Times New Roman" w:eastAsia="Times New Roman" w:hAnsi="Times New Roman" w:cs="Times New Roman"/>
          <w:color w:val="000000"/>
          <w:lang w:eastAsia="bg-BG"/>
        </w:rPr>
        <w:t xml:space="preserve">при контролите от минали проучвания. При 20 от 50 (40%) пациенти в кохорта 5 е направена трансплантация </w:t>
      </w:r>
      <w:r w:rsidRPr="00CE6CFD">
        <w:rPr>
          <w:rFonts w:ascii="Times New Roman" w:eastAsia="Times New Roman" w:hAnsi="Times New Roman" w:cs="Times New Roman"/>
          <w:i/>
          <w:iCs/>
          <w:color w:val="000000"/>
          <w:lang w:eastAsia="bg-BG"/>
        </w:rPr>
        <w:t>на</w:t>
      </w:r>
      <w:r w:rsidRPr="00CE6CFD">
        <w:rPr>
          <w:rFonts w:ascii="Times New Roman" w:eastAsia="Times New Roman" w:hAnsi="Times New Roman" w:cs="Times New Roman"/>
          <w:color w:val="000000"/>
          <w:lang w:eastAsia="bg-BG"/>
        </w:rPr>
        <w:t xml:space="preserve"> хемопоетични стволови клетки.</w:t>
      </w:r>
    </w:p>
    <w:p w14:paraId="2334E7BD" w14:textId="77777777" w:rsidR="00CE6CFD" w:rsidRDefault="00CE6CFD" w:rsidP="00CE6CFD">
      <w:pPr>
        <w:spacing w:line="240" w:lineRule="auto"/>
        <w:rPr>
          <w:rFonts w:ascii="Times New Roman" w:eastAsia="Times New Roman" w:hAnsi="Times New Roman" w:cs="Times New Roman"/>
          <w:b/>
          <w:bCs/>
          <w:color w:val="000000"/>
          <w:lang w:eastAsia="bg-BG"/>
        </w:rPr>
      </w:pPr>
    </w:p>
    <w:p w14:paraId="589151BF" w14:textId="55F7EC66" w:rsidR="00CE6CFD" w:rsidRPr="00CE6CFD" w:rsidRDefault="00CE6CFD" w:rsidP="00CE6CFD">
      <w:pPr>
        <w:spacing w:line="240" w:lineRule="auto"/>
        <w:rPr>
          <w:rFonts w:eastAsia="Times New Roman" w:cs="Arial"/>
          <w:sz w:val="24"/>
          <w:szCs w:val="24"/>
          <w:lang w:eastAsia="bg-BG"/>
        </w:rPr>
      </w:pPr>
      <w:r w:rsidRPr="00CE6CFD">
        <w:rPr>
          <w:rFonts w:eastAsia="Times New Roman" w:cs="Arial"/>
          <w:b/>
          <w:bCs/>
          <w:color w:val="000000"/>
          <w:lang w:eastAsia="bg-BG"/>
        </w:rPr>
        <w:t>Таблица 5 Химиотерапевтична схема използвана в комбинация с иматиниб в проучване 12301</w:t>
      </w:r>
    </w:p>
    <w:p w14:paraId="415B5268" w14:textId="3FAAF99A" w:rsidR="00F331C8" w:rsidRDefault="00F331C8" w:rsidP="0091385D"/>
    <w:tbl>
      <w:tblPr>
        <w:tblStyle w:val="TableGrid"/>
        <w:tblW w:w="0" w:type="auto"/>
        <w:tblLook w:val="04A0" w:firstRow="1" w:lastRow="0" w:firstColumn="1" w:lastColumn="0" w:noHBand="0" w:noVBand="1"/>
      </w:tblPr>
      <w:tblGrid>
        <w:gridCol w:w="4675"/>
        <w:gridCol w:w="4675"/>
      </w:tblGrid>
      <w:tr w:rsidR="00CE6CFD" w14:paraId="2C273606" w14:textId="77777777" w:rsidTr="00CE6CFD">
        <w:tc>
          <w:tcPr>
            <w:tcW w:w="4675" w:type="dxa"/>
          </w:tcPr>
          <w:p w14:paraId="68CF1063" w14:textId="02422685" w:rsidR="00CE6CFD" w:rsidRDefault="00CE6CFD" w:rsidP="00CE6CFD">
            <w:r>
              <w:t>Консолидационен блок 1 (3 седмици)</w:t>
            </w:r>
          </w:p>
        </w:tc>
        <w:tc>
          <w:tcPr>
            <w:tcW w:w="4675" w:type="dxa"/>
          </w:tcPr>
          <w:p w14:paraId="3ECC77A9" w14:textId="77777777" w:rsidR="00CE6CFD" w:rsidRDefault="00CE6CFD" w:rsidP="00CE6CFD">
            <w:r>
              <w:rPr>
                <w:lang w:val="en-US"/>
              </w:rPr>
              <w:t xml:space="preserve">VP-16 </w:t>
            </w:r>
            <w:r>
              <w:t xml:space="preserve">(100 </w:t>
            </w:r>
            <w:r>
              <w:rPr>
                <w:lang w:val="en-US"/>
              </w:rPr>
              <w:t>mg</w:t>
            </w:r>
            <w:r>
              <w:t>/</w:t>
            </w:r>
            <w:r>
              <w:rPr>
                <w:lang w:val="en-US"/>
              </w:rPr>
              <w:t>m</w:t>
            </w:r>
            <w:r>
              <w:rPr>
                <w:vertAlign w:val="superscript"/>
                <w:lang w:val="en-US"/>
              </w:rPr>
              <w:t>2</w:t>
            </w:r>
            <w:r>
              <w:t xml:space="preserve">/ден, IV): дни 1-5 Ифосфамид (1,8 </w:t>
            </w:r>
            <w:r>
              <w:rPr>
                <w:lang w:val="en-US"/>
              </w:rPr>
              <w:t>g</w:t>
            </w:r>
            <w:r>
              <w:t xml:space="preserve">/пг/ден, IV): дни 1-5 </w:t>
            </w:r>
            <w:r>
              <w:rPr>
                <w:lang w:val="en-US"/>
              </w:rPr>
              <w:t xml:space="preserve">MESNA </w:t>
            </w:r>
            <w:r>
              <w:t xml:space="preserve">(360 </w:t>
            </w:r>
            <w:r>
              <w:rPr>
                <w:lang w:val="en-US"/>
              </w:rPr>
              <w:t>mg/m</w:t>
            </w:r>
            <w:r>
              <w:rPr>
                <w:vertAlign w:val="superscript"/>
                <w:lang w:val="en-US"/>
              </w:rPr>
              <w:t>2</w:t>
            </w:r>
            <w:r>
              <w:rPr>
                <w:lang w:val="en-US"/>
              </w:rPr>
              <w:t>/</w:t>
            </w:r>
            <w:r>
              <w:t>доза на 3 ч, х 8 дози/ден, IV): дни 1-5</w:t>
            </w:r>
          </w:p>
          <w:p w14:paraId="451762D7" w14:textId="77777777" w:rsidR="00CE6CFD" w:rsidRDefault="00CE6CFD" w:rsidP="00CE6CFD">
            <w:r>
              <w:rPr>
                <w:lang w:val="en-US"/>
              </w:rPr>
              <w:t xml:space="preserve">G-CSF </w:t>
            </w:r>
            <w:r>
              <w:t>(5 μ</w:t>
            </w:r>
            <w:r>
              <w:rPr>
                <w:lang w:val="en-US"/>
              </w:rPr>
              <w:t xml:space="preserve">g/kg, SC): </w:t>
            </w:r>
            <w:r>
              <w:t xml:space="preserve">дни 6-15 или докато </w:t>
            </w:r>
            <w:r>
              <w:rPr>
                <w:lang w:val="en-US"/>
              </w:rPr>
              <w:t xml:space="preserve">ANC </w:t>
            </w:r>
            <w:r>
              <w:t>&gt; 1500 след надир</w:t>
            </w:r>
          </w:p>
          <w:p w14:paraId="2D37B7C9" w14:textId="77777777" w:rsidR="00CE6CFD" w:rsidRDefault="00CE6CFD" w:rsidP="00CE6CFD">
            <w:r>
              <w:rPr>
                <w:lang w:val="en-US"/>
              </w:rPr>
              <w:t xml:space="preserve">IT </w:t>
            </w:r>
            <w:r>
              <w:t>метотрексат (в зависимост от възрастта): САМО ден 1</w:t>
            </w:r>
          </w:p>
          <w:p w14:paraId="6AB490E3" w14:textId="4D926027" w:rsidR="00CE6CFD" w:rsidRDefault="00CE6CFD" w:rsidP="00CE6CFD">
            <w:r>
              <w:t xml:space="preserve">Тройна </w:t>
            </w:r>
            <w:r>
              <w:rPr>
                <w:lang w:val="en-US"/>
              </w:rPr>
              <w:t xml:space="preserve">IT </w:t>
            </w:r>
            <w:r>
              <w:t>терапия (в зависимост от възрастта): дни 8,15</w:t>
            </w:r>
          </w:p>
        </w:tc>
      </w:tr>
      <w:tr w:rsidR="00CE6CFD" w14:paraId="751C5801" w14:textId="77777777" w:rsidTr="00CE6CFD">
        <w:tc>
          <w:tcPr>
            <w:tcW w:w="4675" w:type="dxa"/>
          </w:tcPr>
          <w:p w14:paraId="77504AAF" w14:textId="037F929C" w:rsidR="00CE6CFD" w:rsidRDefault="00CE6CFD" w:rsidP="00CE6CFD">
            <w:r>
              <w:t>Консолидационен блок 2 (3 седмици)</w:t>
            </w:r>
          </w:p>
        </w:tc>
        <w:tc>
          <w:tcPr>
            <w:tcW w:w="4675" w:type="dxa"/>
          </w:tcPr>
          <w:p w14:paraId="5028275D" w14:textId="77777777" w:rsidR="00CE6CFD" w:rsidRDefault="00CE6CFD" w:rsidP="00CE6CFD">
            <w:r>
              <w:t xml:space="preserve">Метотрексат (5 </w:t>
            </w:r>
            <w:r>
              <w:rPr>
                <w:lang w:val="en-US"/>
              </w:rPr>
              <w:t xml:space="preserve">g/im </w:t>
            </w:r>
            <w:r>
              <w:t>в продължение на 24</w:t>
            </w:r>
          </w:p>
          <w:p w14:paraId="2F7AF992" w14:textId="77777777" w:rsidR="00CE6CFD" w:rsidRDefault="00CE6CFD" w:rsidP="00CE6CFD">
            <w:r>
              <w:t>часа, IV): ден 1</w:t>
            </w:r>
          </w:p>
          <w:p w14:paraId="1BC52744" w14:textId="77777777" w:rsidR="00CE6CFD" w:rsidRDefault="00CE6CFD" w:rsidP="00CE6CFD">
            <w:r>
              <w:t xml:space="preserve">Левковорин (75 </w:t>
            </w:r>
            <w:r>
              <w:rPr>
                <w:lang w:val="en-US"/>
              </w:rPr>
              <w:t xml:space="preserve">mg/m2 </w:t>
            </w:r>
            <w:r>
              <w:t>на 36-ти час, IV;</w:t>
            </w:r>
          </w:p>
          <w:p w14:paraId="75800B48" w14:textId="77777777" w:rsidR="00CE6CFD" w:rsidRDefault="00CE6CFD" w:rsidP="00CE6CFD">
            <w:r>
              <w:t xml:space="preserve">15 </w:t>
            </w:r>
            <w:r>
              <w:rPr>
                <w:lang w:val="en-US"/>
              </w:rPr>
              <w:t xml:space="preserve">mg/m2 </w:t>
            </w:r>
            <w:r>
              <w:t>IV или РО на 6 ч х 6 дози)</w:t>
            </w:r>
            <w:r>
              <w:rPr>
                <w:lang w:val="en-US"/>
              </w:rPr>
              <w:t>iii</w:t>
            </w:r>
            <w:r>
              <w:t>: дни 2 и 3</w:t>
            </w:r>
          </w:p>
          <w:p w14:paraId="4C3DB01B" w14:textId="77777777" w:rsidR="00CE6CFD" w:rsidRDefault="00CE6CFD" w:rsidP="00CE6CFD">
            <w:r>
              <w:t xml:space="preserve">Тройна </w:t>
            </w:r>
            <w:r>
              <w:rPr>
                <w:lang w:val="en-US"/>
              </w:rPr>
              <w:t xml:space="preserve">IT </w:t>
            </w:r>
            <w:r>
              <w:t>терапия (в зависимост от</w:t>
            </w:r>
          </w:p>
          <w:p w14:paraId="7599EBD3" w14:textId="77777777" w:rsidR="00CE6CFD" w:rsidRDefault="00CE6CFD" w:rsidP="00CE6CFD">
            <w:r>
              <w:t>възрастта): ден 1</w:t>
            </w:r>
          </w:p>
          <w:p w14:paraId="2CF8ECB3" w14:textId="77777777" w:rsidR="00CE6CFD" w:rsidRDefault="00CE6CFD" w:rsidP="00CE6CFD">
            <w:r>
              <w:rPr>
                <w:lang w:val="en-US"/>
              </w:rPr>
              <w:t xml:space="preserve">ARA-C </w:t>
            </w:r>
            <w:r>
              <w:t xml:space="preserve">(3 </w:t>
            </w:r>
            <w:r>
              <w:rPr>
                <w:lang w:val="en-US"/>
              </w:rPr>
              <w:t>g/m</w:t>
            </w:r>
            <w:r>
              <w:rPr>
                <w:vertAlign w:val="superscript"/>
                <w:lang w:val="en-US"/>
              </w:rPr>
              <w:t>2</w:t>
            </w:r>
            <w:r>
              <w:rPr>
                <w:lang w:val="en-US"/>
              </w:rPr>
              <w:t>/</w:t>
            </w:r>
            <w:r>
              <w:t>доза</w:t>
            </w:r>
            <w:r>
              <w:rPr>
                <w:lang w:val="en-US"/>
              </w:rPr>
              <w:t xml:space="preserve"> </w:t>
            </w:r>
            <w:r>
              <w:t>на 12 ч х 4, IV): дни 2 и 3</w:t>
            </w:r>
          </w:p>
          <w:p w14:paraId="649D49FE" w14:textId="77777777" w:rsidR="00CE6CFD" w:rsidRDefault="00CE6CFD" w:rsidP="00CE6CFD">
            <w:r>
              <w:rPr>
                <w:lang w:val="en-US"/>
              </w:rPr>
              <w:t xml:space="preserve">G-CSF </w:t>
            </w:r>
            <w:r>
              <w:t>(5 μ</w:t>
            </w:r>
            <w:r>
              <w:rPr>
                <w:lang w:val="en-US"/>
              </w:rPr>
              <w:t xml:space="preserve">g/kg, SC): </w:t>
            </w:r>
            <w:r>
              <w:t>дни 4-13 или докато</w:t>
            </w:r>
          </w:p>
          <w:p w14:paraId="5E4E18DA" w14:textId="012C939B" w:rsidR="00CE6CFD" w:rsidRDefault="00CE6CFD" w:rsidP="00CE6CFD">
            <w:r>
              <w:rPr>
                <w:lang w:val="en-US"/>
              </w:rPr>
              <w:t xml:space="preserve">ANC </w:t>
            </w:r>
            <w:r>
              <w:t>&gt;1500 след надир</w:t>
            </w:r>
          </w:p>
        </w:tc>
      </w:tr>
      <w:tr w:rsidR="00CE6CFD" w14:paraId="0D2AFD84" w14:textId="77777777" w:rsidTr="00CE6CFD">
        <w:tc>
          <w:tcPr>
            <w:tcW w:w="4675" w:type="dxa"/>
          </w:tcPr>
          <w:p w14:paraId="5B692562" w14:textId="26275E3A" w:rsidR="00CE6CFD" w:rsidRDefault="00CE6CFD" w:rsidP="00CE6CFD">
            <w:r>
              <w:t>Реиндукционен блок 1 (3 седмици)</w:t>
            </w:r>
          </w:p>
        </w:tc>
        <w:tc>
          <w:tcPr>
            <w:tcW w:w="4675" w:type="dxa"/>
          </w:tcPr>
          <w:p w14:paraId="4F56A466" w14:textId="77777777" w:rsidR="00CE6CFD" w:rsidRDefault="00CE6CFD" w:rsidP="00CE6CFD">
            <w:r>
              <w:rPr>
                <w:lang w:val="en-US"/>
              </w:rPr>
              <w:t>VCR.(1,5 mg/m</w:t>
            </w:r>
            <w:r>
              <w:rPr>
                <w:vertAlign w:val="superscript"/>
                <w:lang w:val="en-US"/>
              </w:rPr>
              <w:t>2</w:t>
            </w:r>
            <w:r>
              <w:rPr>
                <w:lang w:val="en-US"/>
              </w:rPr>
              <w:t>/</w:t>
            </w:r>
            <w:r>
              <w:t>ден</w:t>
            </w:r>
            <w:r>
              <w:rPr>
                <w:lang w:val="en-US"/>
              </w:rPr>
              <w:t xml:space="preserve">, </w:t>
            </w:r>
            <w:r>
              <w:t>IV): дни 1, 8 и 15</w:t>
            </w:r>
          </w:p>
          <w:p w14:paraId="49EDAD6A" w14:textId="77777777" w:rsidR="00CE6CFD" w:rsidRDefault="00CE6CFD" w:rsidP="00CE6CFD">
            <w:r>
              <w:rPr>
                <w:lang w:val="en-US"/>
              </w:rPr>
              <w:t xml:space="preserve">DAUN </w:t>
            </w:r>
            <w:r>
              <w:t xml:space="preserve">(45 </w:t>
            </w:r>
            <w:r>
              <w:rPr>
                <w:lang w:val="en-US"/>
              </w:rPr>
              <w:t>mg/m</w:t>
            </w:r>
            <w:r>
              <w:rPr>
                <w:vertAlign w:val="superscript"/>
                <w:lang w:val="en-US"/>
              </w:rPr>
              <w:t>2</w:t>
            </w:r>
            <w:r>
              <w:rPr>
                <w:lang w:val="en-US"/>
              </w:rPr>
              <w:t>/</w:t>
            </w:r>
            <w:r>
              <w:t>ден</w:t>
            </w:r>
            <w:r>
              <w:rPr>
                <w:lang w:val="en-US"/>
              </w:rPr>
              <w:t xml:space="preserve"> </w:t>
            </w:r>
            <w:r>
              <w:t>болус, IV): дни 1 и 2</w:t>
            </w:r>
          </w:p>
          <w:p w14:paraId="3E22A143" w14:textId="77777777" w:rsidR="00CE6CFD" w:rsidRDefault="00CE6CFD" w:rsidP="00CE6CFD">
            <w:r>
              <w:t xml:space="preserve">СРМ (250 </w:t>
            </w:r>
            <w:r>
              <w:rPr>
                <w:lang w:val="en-US"/>
              </w:rPr>
              <w:t>mg/m</w:t>
            </w:r>
            <w:r>
              <w:rPr>
                <w:vertAlign w:val="superscript"/>
                <w:lang w:val="en-US"/>
              </w:rPr>
              <w:t>2</w:t>
            </w:r>
            <w:r>
              <w:rPr>
                <w:lang w:val="en-US"/>
              </w:rPr>
              <w:t>/</w:t>
            </w:r>
            <w:r>
              <w:t>доза на 12 ч х 4 дози, IV): дни 3 и 4</w:t>
            </w:r>
          </w:p>
          <w:p w14:paraId="51915471" w14:textId="77777777" w:rsidR="00CE6CFD" w:rsidRDefault="00CE6CFD" w:rsidP="00CE6CFD">
            <w:r>
              <w:rPr>
                <w:lang w:val="en-US"/>
              </w:rPr>
              <w:t xml:space="preserve">PEG-ASP </w:t>
            </w:r>
            <w:r>
              <w:t xml:space="preserve">(2500 </w:t>
            </w:r>
            <w:r>
              <w:rPr>
                <w:lang w:val="en-US"/>
              </w:rPr>
              <w:t>IUnits</w:t>
            </w:r>
            <w:r>
              <w:t>/</w:t>
            </w:r>
            <w:r>
              <w:rPr>
                <w:lang w:val="en-US"/>
              </w:rPr>
              <w:t>m2</w:t>
            </w:r>
            <w:r>
              <w:t xml:space="preserve">, </w:t>
            </w:r>
            <w:r>
              <w:rPr>
                <w:lang w:val="en-US"/>
              </w:rPr>
              <w:t xml:space="preserve">IM): </w:t>
            </w:r>
            <w:r>
              <w:t>ден 4</w:t>
            </w:r>
          </w:p>
          <w:p w14:paraId="4F61495E" w14:textId="77777777" w:rsidR="00CE6CFD" w:rsidRDefault="00CE6CFD" w:rsidP="00CE6CFD">
            <w:r>
              <w:rPr>
                <w:lang w:val="en-US"/>
              </w:rPr>
              <w:t xml:space="preserve">G-CSF </w:t>
            </w:r>
            <w:r>
              <w:t>(5</w:t>
            </w:r>
            <w:r>
              <w:rPr>
                <w:lang w:val="en-US"/>
              </w:rPr>
              <w:t xml:space="preserve"> </w:t>
            </w:r>
            <w:r>
              <w:t>μ</w:t>
            </w:r>
            <w:r>
              <w:rPr>
                <w:lang w:val="en-US"/>
              </w:rPr>
              <w:t xml:space="preserve">g/kg, SC): </w:t>
            </w:r>
            <w:r>
              <w:t xml:space="preserve">дни </w:t>
            </w:r>
            <w:r>
              <w:rPr>
                <w:lang w:val="en-US"/>
              </w:rPr>
              <w:t xml:space="preserve">5-14 </w:t>
            </w:r>
            <w:r>
              <w:t>или докато</w:t>
            </w:r>
          </w:p>
          <w:p w14:paraId="62487E94" w14:textId="77777777" w:rsidR="00CE6CFD" w:rsidRDefault="00CE6CFD" w:rsidP="00CE6CFD">
            <w:r>
              <w:rPr>
                <w:lang w:val="en-US"/>
              </w:rPr>
              <w:t xml:space="preserve">ANC </w:t>
            </w:r>
            <w:r>
              <w:t>&gt;1500 след надир</w:t>
            </w:r>
          </w:p>
          <w:p w14:paraId="122CCF08" w14:textId="77777777" w:rsidR="00CE6CFD" w:rsidRDefault="00CE6CFD" w:rsidP="00CE6CFD">
            <w:r>
              <w:t xml:space="preserve">Тройна </w:t>
            </w:r>
            <w:r>
              <w:rPr>
                <w:lang w:val="en-US"/>
              </w:rPr>
              <w:t xml:space="preserve">IT </w:t>
            </w:r>
            <w:r>
              <w:t>терапия (в зависимост от възрастта): дни 1 и 15</w:t>
            </w:r>
          </w:p>
          <w:p w14:paraId="6BCC06BA" w14:textId="5C0F2286" w:rsidR="00CE6CFD" w:rsidRDefault="00CE6CFD" w:rsidP="00CE6CFD">
            <w:r>
              <w:rPr>
                <w:lang w:val="en-US"/>
              </w:rPr>
              <w:t xml:space="preserve">DEX </w:t>
            </w:r>
            <w:r>
              <w:t xml:space="preserve">(6 </w:t>
            </w:r>
            <w:r>
              <w:rPr>
                <w:lang w:val="en-US"/>
              </w:rPr>
              <w:t>mg</w:t>
            </w:r>
            <w:r>
              <w:t>/</w:t>
            </w:r>
            <w:r>
              <w:rPr>
                <w:lang w:val="en-US"/>
              </w:rPr>
              <w:t>m</w:t>
            </w:r>
            <w:r>
              <w:rPr>
                <w:vertAlign w:val="superscript"/>
              </w:rPr>
              <w:t>2</w:t>
            </w:r>
            <w:r>
              <w:t>/ден, РО): дни 1-7 и 15-21</w:t>
            </w:r>
          </w:p>
        </w:tc>
      </w:tr>
      <w:tr w:rsidR="00CE6CFD" w14:paraId="6DD6083F" w14:textId="77777777" w:rsidTr="00CE6CFD">
        <w:tc>
          <w:tcPr>
            <w:tcW w:w="4675" w:type="dxa"/>
          </w:tcPr>
          <w:p w14:paraId="454C72D1" w14:textId="4BAC467F" w:rsidR="00CE6CFD" w:rsidRDefault="00CE6CFD" w:rsidP="00CE6CFD">
            <w:r>
              <w:t>Интензифициращ блок 1 (9 седмици)</w:t>
            </w:r>
          </w:p>
        </w:tc>
        <w:tc>
          <w:tcPr>
            <w:tcW w:w="4675" w:type="dxa"/>
          </w:tcPr>
          <w:p w14:paraId="2B194B7B" w14:textId="77777777" w:rsidR="00CE6CFD" w:rsidRDefault="00CE6CFD" w:rsidP="00CE6CFD">
            <w:r>
              <w:t xml:space="preserve">Метотрексат (5 </w:t>
            </w:r>
            <w:r>
              <w:rPr>
                <w:lang w:val="en-US"/>
              </w:rPr>
              <w:t>g/m</w:t>
            </w:r>
            <w:r>
              <w:rPr>
                <w:vertAlign w:val="superscript"/>
                <w:lang w:val="en-US"/>
              </w:rPr>
              <w:t>2</w:t>
            </w:r>
            <w:r>
              <w:rPr>
                <w:lang w:val="en-US"/>
              </w:rPr>
              <w:t xml:space="preserve"> </w:t>
            </w:r>
            <w:r>
              <w:t>в продължение на 24 часа, IV): дни 1 и 15</w:t>
            </w:r>
          </w:p>
          <w:p w14:paraId="04718341" w14:textId="77777777" w:rsidR="00CE6CFD" w:rsidRDefault="00CE6CFD" w:rsidP="00CE6CFD">
            <w:r>
              <w:t xml:space="preserve">Левковорин (75 </w:t>
            </w:r>
            <w:r>
              <w:rPr>
                <w:lang w:val="en-US"/>
              </w:rPr>
              <w:t>mg/m</w:t>
            </w:r>
            <w:r>
              <w:rPr>
                <w:vertAlign w:val="superscript"/>
                <w:lang w:val="en-US"/>
              </w:rPr>
              <w:t>2</w:t>
            </w:r>
            <w:r>
              <w:rPr>
                <w:vertAlign w:val="superscript"/>
              </w:rPr>
              <w:t xml:space="preserve"> </w:t>
            </w:r>
            <w:r>
              <w:t>н</w:t>
            </w:r>
            <w:r>
              <w:rPr>
                <w:lang w:val="en-US"/>
              </w:rPr>
              <w:t xml:space="preserve">a </w:t>
            </w:r>
            <w:r>
              <w:t>36-ти час, IV;</w:t>
            </w:r>
          </w:p>
          <w:p w14:paraId="11C518BA" w14:textId="77777777" w:rsidR="00CE6CFD" w:rsidRDefault="00CE6CFD" w:rsidP="00CE6CFD">
            <w:r>
              <w:t xml:space="preserve">15 </w:t>
            </w:r>
            <w:r>
              <w:rPr>
                <w:lang w:val="en-US"/>
              </w:rPr>
              <w:t xml:space="preserve">mg/m2 </w:t>
            </w:r>
            <w:r>
              <w:t>IV или РО на 6 ч х 6 дози)</w:t>
            </w:r>
            <w:r>
              <w:rPr>
                <w:lang w:val="en-US"/>
              </w:rPr>
              <w:t>iii</w:t>
            </w:r>
            <w:r>
              <w:t>: дни 2, 3, 16 и 17</w:t>
            </w:r>
          </w:p>
          <w:p w14:paraId="51524F51" w14:textId="77777777" w:rsidR="00CE6CFD" w:rsidRDefault="00CE6CFD" w:rsidP="00CE6CFD">
            <w:r>
              <w:t xml:space="preserve">Тройна </w:t>
            </w:r>
            <w:r>
              <w:rPr>
                <w:lang w:val="en-US"/>
              </w:rPr>
              <w:t xml:space="preserve">IT </w:t>
            </w:r>
            <w:r>
              <w:t>терапия (в зависимост от възрастта): дни 1 и 22</w:t>
            </w:r>
          </w:p>
          <w:p w14:paraId="5DB9B5A8" w14:textId="77777777" w:rsidR="00CE6CFD" w:rsidRDefault="00CE6CFD" w:rsidP="00CE6CFD">
            <w:r>
              <w:rPr>
                <w:lang w:val="en-US"/>
              </w:rPr>
              <w:t xml:space="preserve">VP-16 </w:t>
            </w:r>
            <w:r>
              <w:t xml:space="preserve">(100 </w:t>
            </w:r>
            <w:r>
              <w:rPr>
                <w:lang w:val="en-US"/>
              </w:rPr>
              <w:t>mg/m</w:t>
            </w:r>
            <w:r>
              <w:rPr>
                <w:vertAlign w:val="superscript"/>
                <w:lang w:val="en-US"/>
              </w:rPr>
              <w:t>2</w:t>
            </w:r>
            <w:r>
              <w:rPr>
                <w:lang w:val="en-US"/>
              </w:rPr>
              <w:t xml:space="preserve">MeH, </w:t>
            </w:r>
            <w:r>
              <w:t>IV): дни 22-26</w:t>
            </w:r>
          </w:p>
          <w:p w14:paraId="387AE910" w14:textId="77777777" w:rsidR="00CE6CFD" w:rsidRDefault="00CE6CFD" w:rsidP="00CE6CFD">
            <w:r>
              <w:t xml:space="preserve">СРМ (300 </w:t>
            </w:r>
            <w:r>
              <w:rPr>
                <w:lang w:val="en-US"/>
              </w:rPr>
              <w:t>mg/m</w:t>
            </w:r>
            <w:r>
              <w:rPr>
                <w:vertAlign w:val="superscript"/>
                <w:lang w:val="en-US"/>
              </w:rPr>
              <w:t>2</w:t>
            </w:r>
            <w:r>
              <w:rPr>
                <w:lang w:val="en-US"/>
              </w:rPr>
              <w:t xml:space="preserve">MeH, </w:t>
            </w:r>
            <w:r>
              <w:t>IV): дни 22-26</w:t>
            </w:r>
          </w:p>
          <w:p w14:paraId="5E4BEE64" w14:textId="77777777" w:rsidR="00CE6CFD" w:rsidRDefault="00CE6CFD" w:rsidP="00CE6CFD">
            <w:r>
              <w:rPr>
                <w:lang w:val="en-US"/>
              </w:rPr>
              <w:lastRenderedPageBreak/>
              <w:t xml:space="preserve">MESNA </w:t>
            </w:r>
            <w:r>
              <w:t xml:space="preserve">(150 </w:t>
            </w:r>
            <w:r>
              <w:rPr>
                <w:lang w:val="en-US"/>
              </w:rPr>
              <w:t>mg/m</w:t>
            </w:r>
            <w:r>
              <w:rPr>
                <w:vertAlign w:val="superscript"/>
              </w:rPr>
              <w:t>2</w:t>
            </w:r>
            <w:r>
              <w:t>/ден, IV): дни 22-26</w:t>
            </w:r>
          </w:p>
          <w:p w14:paraId="22055B88" w14:textId="77777777" w:rsidR="00CE6CFD" w:rsidRDefault="00CE6CFD" w:rsidP="00CE6CFD">
            <w:r>
              <w:rPr>
                <w:lang w:val="en-US"/>
              </w:rPr>
              <w:t xml:space="preserve">G-CSF </w:t>
            </w:r>
            <w:r>
              <w:t xml:space="preserve">(5 </w:t>
            </w:r>
            <w:r>
              <w:rPr>
                <w:lang w:val="en-US"/>
              </w:rPr>
              <w:t xml:space="preserve">pg/kg, SC): </w:t>
            </w:r>
            <w:r>
              <w:t xml:space="preserve">дни 27-36 или докато </w:t>
            </w:r>
            <w:r>
              <w:rPr>
                <w:lang w:val="en-US"/>
              </w:rPr>
              <w:t xml:space="preserve">ANC </w:t>
            </w:r>
            <w:r>
              <w:t>&gt; 1500 след надир</w:t>
            </w:r>
          </w:p>
          <w:p w14:paraId="429524C8" w14:textId="77777777" w:rsidR="00CE6CFD" w:rsidRDefault="00CE6CFD" w:rsidP="00CE6CFD">
            <w:r>
              <w:rPr>
                <w:lang w:val="en-US"/>
              </w:rPr>
              <w:t xml:space="preserve">ARA-C </w:t>
            </w:r>
            <w:r>
              <w:t xml:space="preserve">(3 </w:t>
            </w:r>
            <w:r>
              <w:rPr>
                <w:lang w:val="en-US"/>
              </w:rPr>
              <w:t>g/m</w:t>
            </w:r>
            <w:r>
              <w:rPr>
                <w:vertAlign w:val="superscript"/>
                <w:lang w:val="en-US"/>
              </w:rPr>
              <w:t>2</w:t>
            </w:r>
            <w:r>
              <w:rPr>
                <w:lang w:val="en-US"/>
              </w:rPr>
              <w:t xml:space="preserve">, </w:t>
            </w:r>
            <w:r>
              <w:t>на 12 ч, IV): дни 43, 44</w:t>
            </w:r>
          </w:p>
          <w:p w14:paraId="20DD88CE" w14:textId="6EB0E538" w:rsidR="00CE6CFD" w:rsidRDefault="00CE6CFD" w:rsidP="00CE6CFD">
            <w:r>
              <w:rPr>
                <w:lang w:val="en-US"/>
              </w:rPr>
              <w:t xml:space="preserve">L-ASP </w:t>
            </w:r>
            <w:r>
              <w:t xml:space="preserve">(6000 </w:t>
            </w:r>
            <w:r>
              <w:rPr>
                <w:lang w:val="en-US"/>
              </w:rPr>
              <w:t xml:space="preserve">lUnits/im, IM): </w:t>
            </w:r>
            <w:r>
              <w:t>ден 44</w:t>
            </w:r>
          </w:p>
        </w:tc>
      </w:tr>
      <w:tr w:rsidR="00CE6CFD" w14:paraId="1C4BE4E1" w14:textId="77777777" w:rsidTr="00CE6CFD">
        <w:tc>
          <w:tcPr>
            <w:tcW w:w="4675" w:type="dxa"/>
          </w:tcPr>
          <w:p w14:paraId="470748AE" w14:textId="49881782" w:rsidR="00CE6CFD" w:rsidRDefault="00CE6CFD" w:rsidP="00CE6CFD">
            <w:r>
              <w:lastRenderedPageBreak/>
              <w:t>Реиндукционен блок 2 (3 седмици)</w:t>
            </w:r>
          </w:p>
        </w:tc>
        <w:tc>
          <w:tcPr>
            <w:tcW w:w="4675" w:type="dxa"/>
          </w:tcPr>
          <w:p w14:paraId="04FABE15" w14:textId="77777777" w:rsidR="00CE6CFD" w:rsidRDefault="00CE6CFD" w:rsidP="00CE6CFD">
            <w:r>
              <w:rPr>
                <w:lang w:val="en-US"/>
              </w:rPr>
              <w:t xml:space="preserve">VCR </w:t>
            </w:r>
            <w:r>
              <w:t xml:space="preserve">(1,5 </w:t>
            </w:r>
            <w:r>
              <w:rPr>
                <w:lang w:val="en-US"/>
              </w:rPr>
              <w:t>mg/m2/</w:t>
            </w:r>
            <w:r>
              <w:t>д</w:t>
            </w:r>
            <w:r>
              <w:rPr>
                <w:lang w:val="en-US"/>
              </w:rPr>
              <w:t>e</w:t>
            </w:r>
            <w:r>
              <w:t>н</w:t>
            </w:r>
            <w:r>
              <w:rPr>
                <w:lang w:val="en-US"/>
              </w:rPr>
              <w:t xml:space="preserve">, </w:t>
            </w:r>
            <w:r>
              <w:t>IV): дни 1, 8 и 15</w:t>
            </w:r>
          </w:p>
          <w:p w14:paraId="225AD5AA" w14:textId="77777777" w:rsidR="00CE6CFD" w:rsidRDefault="00CE6CFD" w:rsidP="00CE6CFD">
            <w:r>
              <w:rPr>
                <w:lang w:val="en-US"/>
              </w:rPr>
              <w:t xml:space="preserve">DAUN </w:t>
            </w:r>
            <w:r>
              <w:t xml:space="preserve">(45 </w:t>
            </w:r>
            <w:r>
              <w:rPr>
                <w:lang w:val="en-US"/>
              </w:rPr>
              <w:t>mg/m</w:t>
            </w:r>
            <w:r>
              <w:rPr>
                <w:vertAlign w:val="superscript"/>
                <w:lang w:val="en-US"/>
              </w:rPr>
              <w:t>2</w:t>
            </w:r>
            <w:r>
              <w:rPr>
                <w:lang w:val="en-US"/>
              </w:rPr>
              <w:t>/</w:t>
            </w:r>
            <w:r>
              <w:t>ден болус, IV): ден 1 и 2</w:t>
            </w:r>
          </w:p>
          <w:p w14:paraId="11C3B0C7" w14:textId="77777777" w:rsidR="00CE6CFD" w:rsidRDefault="00CE6CFD" w:rsidP="00CE6CFD">
            <w:r>
              <w:t xml:space="preserve">СРМ (250 </w:t>
            </w:r>
            <w:r>
              <w:rPr>
                <w:lang w:val="en-US"/>
              </w:rPr>
              <w:t>mg/m</w:t>
            </w:r>
            <w:r>
              <w:rPr>
                <w:vertAlign w:val="superscript"/>
                <w:lang w:val="en-US"/>
              </w:rPr>
              <w:t>2</w:t>
            </w:r>
            <w:r>
              <w:t xml:space="preserve">/доза на 12 ч х 4 дози, </w:t>
            </w:r>
            <w:r>
              <w:rPr>
                <w:lang w:val="en-US"/>
              </w:rPr>
              <w:t xml:space="preserve">iv): </w:t>
            </w:r>
            <w:r>
              <w:t>дни 3 и 4</w:t>
            </w:r>
          </w:p>
          <w:p w14:paraId="1B6189DA" w14:textId="77777777" w:rsidR="00CE6CFD" w:rsidRDefault="00CE6CFD" w:rsidP="00CE6CFD">
            <w:r>
              <w:rPr>
                <w:lang w:val="en-US"/>
              </w:rPr>
              <w:t xml:space="preserve">PEG-ASP </w:t>
            </w:r>
            <w:r>
              <w:t xml:space="preserve">(2500 </w:t>
            </w:r>
            <w:r>
              <w:rPr>
                <w:lang w:val="en-US"/>
              </w:rPr>
              <w:t>IUnits</w:t>
            </w:r>
            <w:r>
              <w:t>/</w:t>
            </w:r>
            <w:r>
              <w:rPr>
                <w:lang w:val="en-US"/>
              </w:rPr>
              <w:t>m2</w:t>
            </w:r>
            <w:r>
              <w:t xml:space="preserve">, </w:t>
            </w:r>
            <w:r>
              <w:rPr>
                <w:lang w:val="en-US"/>
              </w:rPr>
              <w:t xml:space="preserve">IM): </w:t>
            </w:r>
            <w:r>
              <w:t>ден 4</w:t>
            </w:r>
          </w:p>
          <w:p w14:paraId="07F23595" w14:textId="77777777" w:rsidR="00CE6CFD" w:rsidRDefault="00CE6CFD" w:rsidP="00CE6CFD">
            <w:r>
              <w:rPr>
                <w:lang w:val="en-US"/>
              </w:rPr>
              <w:t xml:space="preserve">G-CSF </w:t>
            </w:r>
            <w:r>
              <w:t>(5 μ</w:t>
            </w:r>
            <w:r>
              <w:rPr>
                <w:lang w:val="en-US"/>
              </w:rPr>
              <w:t xml:space="preserve">g/kg, SC): </w:t>
            </w:r>
            <w:r>
              <w:t>дни 5-14 или докато</w:t>
            </w:r>
          </w:p>
          <w:p w14:paraId="71FE503F" w14:textId="77777777" w:rsidR="00CE6CFD" w:rsidRDefault="00CE6CFD" w:rsidP="00CE6CFD">
            <w:r>
              <w:rPr>
                <w:lang w:val="en-US"/>
              </w:rPr>
              <w:t xml:space="preserve">ANC </w:t>
            </w:r>
            <w:r>
              <w:t>&gt;1500 след надир</w:t>
            </w:r>
          </w:p>
          <w:p w14:paraId="445966CA" w14:textId="77777777" w:rsidR="00CE6CFD" w:rsidRDefault="00CE6CFD" w:rsidP="00CE6CFD">
            <w:r>
              <w:t xml:space="preserve">Тройна </w:t>
            </w:r>
            <w:r>
              <w:rPr>
                <w:lang w:val="en-US"/>
              </w:rPr>
              <w:t xml:space="preserve">IT </w:t>
            </w:r>
            <w:r>
              <w:t>терапия (в зависимост от възрастта): дни 1 и 15</w:t>
            </w:r>
          </w:p>
          <w:p w14:paraId="7D7C1559" w14:textId="34C92E6C" w:rsidR="00CE6CFD" w:rsidRDefault="00CE6CFD" w:rsidP="00CE6CFD">
            <w:r>
              <w:rPr>
                <w:lang w:val="en-US"/>
              </w:rPr>
              <w:t xml:space="preserve">DEX </w:t>
            </w:r>
            <w:r>
              <w:t xml:space="preserve">(6 </w:t>
            </w:r>
            <w:r>
              <w:rPr>
                <w:lang w:val="en-US"/>
              </w:rPr>
              <w:t>mg/m</w:t>
            </w:r>
            <w:r>
              <w:rPr>
                <w:vertAlign w:val="superscript"/>
                <w:lang w:val="en-US"/>
              </w:rPr>
              <w:t>2</w:t>
            </w:r>
            <w:r>
              <w:rPr>
                <w:lang w:val="en-US"/>
              </w:rPr>
              <w:t>/</w:t>
            </w:r>
            <w:r>
              <w:t>ден</w:t>
            </w:r>
            <w:r>
              <w:rPr>
                <w:lang w:val="en-US"/>
              </w:rPr>
              <w:t xml:space="preserve">, </w:t>
            </w:r>
            <w:r>
              <w:t>РО): дни 1-7 и 15-21</w:t>
            </w:r>
          </w:p>
        </w:tc>
      </w:tr>
      <w:tr w:rsidR="00CE6CFD" w14:paraId="5649EA91" w14:textId="77777777" w:rsidTr="00246BD9">
        <w:tc>
          <w:tcPr>
            <w:tcW w:w="4675" w:type="dxa"/>
          </w:tcPr>
          <w:p w14:paraId="269854CC" w14:textId="2506B350" w:rsidR="00CE6CFD" w:rsidRDefault="00CE6CFD" w:rsidP="00CE6CFD">
            <w:r>
              <w:t>Интезифициращ блок 2 (9 седмици)</w:t>
            </w:r>
          </w:p>
        </w:tc>
        <w:tc>
          <w:tcPr>
            <w:tcW w:w="4675" w:type="dxa"/>
            <w:vAlign w:val="bottom"/>
          </w:tcPr>
          <w:p w14:paraId="0D19C1E2" w14:textId="77777777" w:rsidR="00CE6CFD" w:rsidRDefault="00CE6CFD" w:rsidP="00CE6CFD">
            <w:r>
              <w:t xml:space="preserve">Метотрексат (5 </w:t>
            </w:r>
            <w:r>
              <w:rPr>
                <w:lang w:val="en-US"/>
              </w:rPr>
              <w:t xml:space="preserve">g/m2 </w:t>
            </w:r>
            <w:r>
              <w:t>в продължение на 24 часа, IV): дни 1 и 15</w:t>
            </w:r>
          </w:p>
          <w:p w14:paraId="302FA8F5" w14:textId="77777777" w:rsidR="00CE6CFD" w:rsidRDefault="00CE6CFD" w:rsidP="00CE6CFD">
            <w:r>
              <w:t xml:space="preserve">Левковорин (75 </w:t>
            </w:r>
            <w:r>
              <w:rPr>
                <w:lang w:val="en-US"/>
              </w:rPr>
              <w:t>mg/m</w:t>
            </w:r>
            <w:r>
              <w:rPr>
                <w:vertAlign w:val="superscript"/>
                <w:lang w:val="en-US"/>
              </w:rPr>
              <w:t>2</w:t>
            </w:r>
            <w:r>
              <w:rPr>
                <w:lang w:val="en-US"/>
              </w:rPr>
              <w:t xml:space="preserve"> </w:t>
            </w:r>
            <w:r>
              <w:t>на 36-ти час, IV;</w:t>
            </w:r>
          </w:p>
          <w:p w14:paraId="2F719F23" w14:textId="77777777" w:rsidR="00CE6CFD" w:rsidRDefault="00CE6CFD" w:rsidP="00CE6CFD">
            <w:r>
              <w:t xml:space="preserve">15 </w:t>
            </w:r>
            <w:r>
              <w:rPr>
                <w:lang w:val="en-US"/>
              </w:rPr>
              <w:t>mg/ m</w:t>
            </w:r>
            <w:r>
              <w:rPr>
                <w:vertAlign w:val="superscript"/>
                <w:lang w:val="en-US"/>
              </w:rPr>
              <w:t>2</w:t>
            </w:r>
            <w:r>
              <w:rPr>
                <w:lang w:val="en-US"/>
              </w:rPr>
              <w:t xml:space="preserve"> </w:t>
            </w:r>
            <w:r>
              <w:t>IV или РО на 6 ч х 6 дози)</w:t>
            </w:r>
            <w:r>
              <w:rPr>
                <w:lang w:val="en-US"/>
              </w:rPr>
              <w:t>iii</w:t>
            </w:r>
            <w:r>
              <w:t>: дни 2, 3, 16 и 17</w:t>
            </w:r>
          </w:p>
          <w:p w14:paraId="34F2DD47" w14:textId="77777777" w:rsidR="00CE6CFD" w:rsidRDefault="00CE6CFD" w:rsidP="00CE6CFD">
            <w:r>
              <w:t xml:space="preserve">Тройна </w:t>
            </w:r>
            <w:r>
              <w:rPr>
                <w:lang w:val="en-US"/>
              </w:rPr>
              <w:t xml:space="preserve">IT </w:t>
            </w:r>
            <w:r>
              <w:t>терапия (в зависимост от възрастта): дни 1 и 22</w:t>
            </w:r>
          </w:p>
          <w:p w14:paraId="641FC548" w14:textId="77777777" w:rsidR="00CE6CFD" w:rsidRDefault="00CE6CFD" w:rsidP="00CE6CFD">
            <w:r>
              <w:rPr>
                <w:lang w:val="en-US"/>
              </w:rPr>
              <w:t xml:space="preserve">VP-16 </w:t>
            </w:r>
            <w:r>
              <w:t xml:space="preserve">(100 </w:t>
            </w:r>
            <w:r>
              <w:rPr>
                <w:lang w:val="en-US"/>
              </w:rPr>
              <w:t>mg/m</w:t>
            </w:r>
            <w:r>
              <w:rPr>
                <w:vertAlign w:val="superscript"/>
                <w:lang w:val="en-US"/>
              </w:rPr>
              <w:t>2</w:t>
            </w:r>
            <w:r>
              <w:rPr>
                <w:lang w:val="en-US"/>
              </w:rPr>
              <w:t>/</w:t>
            </w:r>
            <w:r>
              <w:t>ден</w:t>
            </w:r>
            <w:r>
              <w:rPr>
                <w:lang w:val="en-US"/>
              </w:rPr>
              <w:t xml:space="preserve">, </w:t>
            </w:r>
            <w:r>
              <w:t xml:space="preserve">IV): дни 22-26 СРМ (300 </w:t>
            </w:r>
            <w:r>
              <w:rPr>
                <w:lang w:val="en-US"/>
              </w:rPr>
              <w:t>mg/m</w:t>
            </w:r>
            <w:r>
              <w:rPr>
                <w:vertAlign w:val="superscript"/>
                <w:lang w:val="en-US"/>
              </w:rPr>
              <w:t>2</w:t>
            </w:r>
            <w:r>
              <w:rPr>
                <w:lang w:val="en-US"/>
              </w:rPr>
              <w:t>/</w:t>
            </w:r>
            <w:r>
              <w:t>ден</w:t>
            </w:r>
            <w:r>
              <w:rPr>
                <w:lang w:val="en-US"/>
              </w:rPr>
              <w:t xml:space="preserve">, </w:t>
            </w:r>
            <w:r>
              <w:t xml:space="preserve">IV): дни 22-26 </w:t>
            </w:r>
            <w:r>
              <w:rPr>
                <w:lang w:val="en-US"/>
              </w:rPr>
              <w:t xml:space="preserve">MESNA </w:t>
            </w:r>
            <w:r>
              <w:t xml:space="preserve">(150 </w:t>
            </w:r>
            <w:r>
              <w:rPr>
                <w:lang w:val="en-US"/>
              </w:rPr>
              <w:t>mg/m</w:t>
            </w:r>
            <w:r>
              <w:rPr>
                <w:vertAlign w:val="superscript"/>
                <w:lang w:val="en-US"/>
              </w:rPr>
              <w:t>2</w:t>
            </w:r>
            <w:r>
              <w:rPr>
                <w:lang w:val="en-US"/>
              </w:rPr>
              <w:t>/</w:t>
            </w:r>
            <w:r>
              <w:t>ден</w:t>
            </w:r>
            <w:r>
              <w:rPr>
                <w:lang w:val="en-US"/>
              </w:rPr>
              <w:t xml:space="preserve">, </w:t>
            </w:r>
            <w:r>
              <w:t xml:space="preserve">IV): дни 22-26 </w:t>
            </w:r>
            <w:r>
              <w:rPr>
                <w:lang w:val="en-US"/>
              </w:rPr>
              <w:t xml:space="preserve">G-CSF </w:t>
            </w:r>
            <w:r>
              <w:t>(5 μ</w:t>
            </w:r>
            <w:r>
              <w:rPr>
                <w:lang w:val="en-US"/>
              </w:rPr>
              <w:t xml:space="preserve">g/kg, SC): </w:t>
            </w:r>
            <w:r>
              <w:t xml:space="preserve">дни 27-36 или докато </w:t>
            </w:r>
            <w:r>
              <w:rPr>
                <w:lang w:val="en-US"/>
              </w:rPr>
              <w:t xml:space="preserve">ANC </w:t>
            </w:r>
            <w:r>
              <w:t>&gt; 1500 след надир</w:t>
            </w:r>
          </w:p>
          <w:p w14:paraId="31E048DA" w14:textId="77777777" w:rsidR="00CE6CFD" w:rsidRDefault="00CE6CFD" w:rsidP="00CE6CFD">
            <w:r>
              <w:rPr>
                <w:lang w:val="en-US"/>
              </w:rPr>
              <w:t xml:space="preserve">ARA-C </w:t>
            </w:r>
            <w:r>
              <w:t xml:space="preserve">(3 </w:t>
            </w:r>
            <w:r>
              <w:rPr>
                <w:lang w:val="en-US"/>
              </w:rPr>
              <w:t>g/m</w:t>
            </w:r>
            <w:r>
              <w:rPr>
                <w:vertAlign w:val="superscript"/>
                <w:lang w:val="en-US"/>
              </w:rPr>
              <w:t>2</w:t>
            </w:r>
            <w:r>
              <w:rPr>
                <w:lang w:val="en-US"/>
              </w:rPr>
              <w:t xml:space="preserve">, </w:t>
            </w:r>
            <w:r>
              <w:t>на 12 ч, IV): дни 43, 44</w:t>
            </w:r>
          </w:p>
          <w:p w14:paraId="3CF9CD68" w14:textId="0457AA0B" w:rsidR="00CE6CFD" w:rsidRDefault="00CE6CFD" w:rsidP="00CE6CFD">
            <w:r>
              <w:rPr>
                <w:lang w:val="en-US"/>
              </w:rPr>
              <w:t xml:space="preserve">L-ASP </w:t>
            </w:r>
            <w:r>
              <w:t xml:space="preserve">(6000 </w:t>
            </w:r>
            <w:r>
              <w:rPr>
                <w:lang w:val="en-US"/>
              </w:rPr>
              <w:t xml:space="preserve">IUnits/m2, IM): </w:t>
            </w:r>
            <w:r>
              <w:t>ден 44</w:t>
            </w:r>
          </w:p>
        </w:tc>
      </w:tr>
      <w:tr w:rsidR="00CE6CFD" w14:paraId="4828240D" w14:textId="77777777" w:rsidTr="00246BD9">
        <w:tc>
          <w:tcPr>
            <w:tcW w:w="4675" w:type="dxa"/>
          </w:tcPr>
          <w:p w14:paraId="6CB8AA12" w14:textId="3223091E" w:rsidR="00CE6CFD" w:rsidRDefault="00CE6CFD" w:rsidP="00CE6CFD">
            <w:r>
              <w:t>Поддържане (8-седмични цикли) Цикли 1-4</w:t>
            </w:r>
          </w:p>
        </w:tc>
        <w:tc>
          <w:tcPr>
            <w:tcW w:w="4675" w:type="dxa"/>
            <w:vAlign w:val="bottom"/>
          </w:tcPr>
          <w:p w14:paraId="05218251" w14:textId="77777777" w:rsidR="00CE6CFD" w:rsidRDefault="00CE6CFD" w:rsidP="00CE6CFD">
            <w:r>
              <w:t xml:space="preserve">МТХ (5 </w:t>
            </w:r>
            <w:r>
              <w:rPr>
                <w:lang w:val="en-US"/>
              </w:rPr>
              <w:t>g/m</w:t>
            </w:r>
            <w:r>
              <w:rPr>
                <w:vertAlign w:val="superscript"/>
                <w:lang w:val="en-US"/>
              </w:rPr>
              <w:t>2</w:t>
            </w:r>
            <w:r>
              <w:rPr>
                <w:lang w:val="en-US"/>
              </w:rPr>
              <w:t xml:space="preserve"> </w:t>
            </w:r>
            <w:r>
              <w:t>в продължение на 24 часа, IV): ден 1</w:t>
            </w:r>
          </w:p>
          <w:p w14:paraId="71911CAA" w14:textId="77777777" w:rsidR="00CE6CFD" w:rsidRDefault="00CE6CFD" w:rsidP="00CE6CFD">
            <w:r>
              <w:t xml:space="preserve">Левковорин (75 </w:t>
            </w:r>
            <w:r>
              <w:rPr>
                <w:lang w:val="en-US"/>
              </w:rPr>
              <w:t>mg/m</w:t>
            </w:r>
            <w:r>
              <w:rPr>
                <w:vertAlign w:val="superscript"/>
                <w:lang w:val="en-US"/>
              </w:rPr>
              <w:t>2</w:t>
            </w:r>
            <w:r>
              <w:rPr>
                <w:lang w:val="en-US"/>
              </w:rPr>
              <w:t xml:space="preserve"> </w:t>
            </w:r>
            <w:r>
              <w:t>на 36-ти час, IV;</w:t>
            </w:r>
          </w:p>
          <w:p w14:paraId="67058B49" w14:textId="77777777" w:rsidR="00CE6CFD" w:rsidRDefault="00CE6CFD" w:rsidP="00CE6CFD">
            <w:r>
              <w:t xml:space="preserve">15 </w:t>
            </w:r>
            <w:r>
              <w:rPr>
                <w:lang w:val="en-US"/>
              </w:rPr>
              <w:t xml:space="preserve">mg/m2 </w:t>
            </w:r>
            <w:r>
              <w:t>IV или РО на 6 ч х 6 дози)</w:t>
            </w:r>
            <w:r>
              <w:rPr>
                <w:lang w:val="en-US"/>
              </w:rPr>
              <w:t>iii</w:t>
            </w:r>
            <w:r>
              <w:t>:</w:t>
            </w:r>
          </w:p>
          <w:p w14:paraId="5ABD4E27" w14:textId="77777777" w:rsidR="00CE6CFD" w:rsidRDefault="00CE6CFD" w:rsidP="00CE6CFD">
            <w:r>
              <w:t>дни 2 и 3</w:t>
            </w:r>
          </w:p>
          <w:p w14:paraId="2B6C17D2" w14:textId="77777777" w:rsidR="00CE6CFD" w:rsidRDefault="00CE6CFD" w:rsidP="00CE6CFD">
            <w:r>
              <w:t xml:space="preserve">Тройна </w:t>
            </w:r>
            <w:r>
              <w:rPr>
                <w:lang w:val="en-US"/>
              </w:rPr>
              <w:t xml:space="preserve">IT </w:t>
            </w:r>
            <w:r>
              <w:t>терапия (в зависимост от</w:t>
            </w:r>
          </w:p>
          <w:p w14:paraId="6CDA8B1C" w14:textId="77777777" w:rsidR="00CE6CFD" w:rsidRDefault="00CE6CFD" w:rsidP="00CE6CFD">
            <w:r>
              <w:t>възрастта): дни 1, 29</w:t>
            </w:r>
          </w:p>
          <w:p w14:paraId="17179760" w14:textId="77777777" w:rsidR="00CE6CFD" w:rsidRDefault="00CE6CFD" w:rsidP="00CE6CFD">
            <w:r>
              <w:rPr>
                <w:lang w:val="en-US"/>
              </w:rPr>
              <w:t xml:space="preserve">VCR </w:t>
            </w:r>
            <w:r>
              <w:t xml:space="preserve">(1,5 </w:t>
            </w:r>
            <w:r>
              <w:rPr>
                <w:lang w:val="en-US"/>
              </w:rPr>
              <w:t>mg/m</w:t>
            </w:r>
            <w:r>
              <w:rPr>
                <w:vertAlign w:val="superscript"/>
                <w:lang w:val="en-US"/>
              </w:rPr>
              <w:t>2</w:t>
            </w:r>
            <w:r>
              <w:rPr>
                <w:lang w:val="en-US"/>
              </w:rPr>
              <w:t xml:space="preserve">, </w:t>
            </w:r>
            <w:r>
              <w:t>IV): дни 1, 29</w:t>
            </w:r>
          </w:p>
          <w:p w14:paraId="7F170E6B" w14:textId="77777777" w:rsidR="00CE6CFD" w:rsidRDefault="00CE6CFD" w:rsidP="00CE6CFD">
            <w:r>
              <w:rPr>
                <w:lang w:val="en-US"/>
              </w:rPr>
              <w:t xml:space="preserve">DEX </w:t>
            </w:r>
            <w:r>
              <w:t xml:space="preserve">(6 </w:t>
            </w:r>
            <w:r>
              <w:rPr>
                <w:lang w:val="en-US"/>
              </w:rPr>
              <w:t>mg/m</w:t>
            </w:r>
            <w:r>
              <w:rPr>
                <w:vertAlign w:val="superscript"/>
                <w:lang w:val="en-US"/>
              </w:rPr>
              <w:t>2</w:t>
            </w:r>
            <w:r>
              <w:rPr>
                <w:lang w:val="en-US"/>
              </w:rPr>
              <w:t>/</w:t>
            </w:r>
            <w:r>
              <w:t>ден</w:t>
            </w:r>
            <w:r>
              <w:rPr>
                <w:lang w:val="en-US"/>
              </w:rPr>
              <w:t xml:space="preserve"> </w:t>
            </w:r>
            <w:r>
              <w:t>РО): дни 1-5; 29-33</w:t>
            </w:r>
          </w:p>
          <w:p w14:paraId="32912931" w14:textId="77777777" w:rsidR="00CE6CFD" w:rsidRDefault="00CE6CFD" w:rsidP="00CE6CFD">
            <w:r>
              <w:t xml:space="preserve">6-МР (75 </w:t>
            </w:r>
            <w:r>
              <w:rPr>
                <w:lang w:val="en-US"/>
              </w:rPr>
              <w:t>mg/m2/</w:t>
            </w:r>
            <w:r>
              <w:t>д</w:t>
            </w:r>
            <w:r>
              <w:rPr>
                <w:lang w:val="en-US"/>
              </w:rPr>
              <w:t>e</w:t>
            </w:r>
            <w:r>
              <w:t>н</w:t>
            </w:r>
            <w:r>
              <w:rPr>
                <w:lang w:val="en-US"/>
              </w:rPr>
              <w:t xml:space="preserve">, </w:t>
            </w:r>
            <w:r>
              <w:t>РО): дни 8-28</w:t>
            </w:r>
          </w:p>
          <w:p w14:paraId="05E5FC45" w14:textId="77777777" w:rsidR="00CE6CFD" w:rsidRDefault="00CE6CFD" w:rsidP="00CE6CFD">
            <w:r>
              <w:t xml:space="preserve">Метотрексат (20 </w:t>
            </w:r>
            <w:r>
              <w:rPr>
                <w:lang w:val="en-US"/>
              </w:rPr>
              <w:t>mg</w:t>
            </w:r>
            <w:r>
              <w:t>/</w:t>
            </w:r>
            <w:r>
              <w:rPr>
                <w:lang w:val="en-US"/>
              </w:rPr>
              <w:t>m</w:t>
            </w:r>
            <w:r>
              <w:rPr>
                <w:vertAlign w:val="superscript"/>
                <w:lang w:val="en-US"/>
              </w:rPr>
              <w:t>2</w:t>
            </w:r>
            <w:r>
              <w:t>/седмица, РО): дни 8, 15,22</w:t>
            </w:r>
          </w:p>
          <w:p w14:paraId="630B90C5" w14:textId="77777777" w:rsidR="00CE6CFD" w:rsidRDefault="00CE6CFD" w:rsidP="00CE6CFD">
            <w:r>
              <w:rPr>
                <w:lang w:val="en-US"/>
              </w:rPr>
              <w:t xml:space="preserve">VP-16 </w:t>
            </w:r>
            <w:r>
              <w:t xml:space="preserve">(100 </w:t>
            </w:r>
            <w:r>
              <w:rPr>
                <w:lang w:val="en-US"/>
              </w:rPr>
              <w:t>mg/ m</w:t>
            </w:r>
            <w:r>
              <w:rPr>
                <w:vertAlign w:val="superscript"/>
                <w:lang w:val="en-US"/>
              </w:rPr>
              <w:t>2</w:t>
            </w:r>
            <w:r>
              <w:rPr>
                <w:lang w:val="en-US"/>
              </w:rPr>
              <w:t xml:space="preserve">, </w:t>
            </w:r>
            <w:r>
              <w:t>IV): дни 29-33</w:t>
            </w:r>
          </w:p>
          <w:p w14:paraId="4DBDCE20" w14:textId="77777777" w:rsidR="00CE6CFD" w:rsidRDefault="00CE6CFD" w:rsidP="00CE6CFD">
            <w:r>
              <w:t xml:space="preserve">СРМ (300 </w:t>
            </w:r>
            <w:r>
              <w:rPr>
                <w:lang w:val="en-US"/>
              </w:rPr>
              <w:t>mg/ m</w:t>
            </w:r>
            <w:r>
              <w:rPr>
                <w:vertAlign w:val="superscript"/>
                <w:lang w:val="en-US"/>
              </w:rPr>
              <w:t>2</w:t>
            </w:r>
            <w:r>
              <w:rPr>
                <w:lang w:val="en-US"/>
              </w:rPr>
              <w:t xml:space="preserve">, </w:t>
            </w:r>
            <w:r>
              <w:t>IV): дни 29-33</w:t>
            </w:r>
          </w:p>
          <w:p w14:paraId="0599856F" w14:textId="77777777" w:rsidR="00CE6CFD" w:rsidRDefault="00CE6CFD" w:rsidP="00CE6CFD">
            <w:r>
              <w:rPr>
                <w:lang w:val="en-US"/>
              </w:rPr>
              <w:t xml:space="preserve">MESNA </w:t>
            </w:r>
            <w:r>
              <w:t>IV дни 29-33</w:t>
            </w:r>
          </w:p>
          <w:p w14:paraId="036155E0" w14:textId="6DA0A4B3" w:rsidR="00CE6CFD" w:rsidRDefault="00CE6CFD" w:rsidP="00CE6CFD">
            <w:r>
              <w:rPr>
                <w:lang w:val="en-US"/>
              </w:rPr>
              <w:t xml:space="preserve">G-CSF </w:t>
            </w:r>
            <w:r>
              <w:t>(5 μ</w:t>
            </w:r>
            <w:r>
              <w:rPr>
                <w:lang w:val="en-US"/>
              </w:rPr>
              <w:t xml:space="preserve">g/kg, SC): </w:t>
            </w:r>
            <w:r>
              <w:t xml:space="preserve">дни </w:t>
            </w:r>
            <w:r>
              <w:rPr>
                <w:lang w:val="en-US"/>
              </w:rPr>
              <w:t>34-43</w:t>
            </w:r>
          </w:p>
        </w:tc>
      </w:tr>
      <w:tr w:rsidR="00CE6CFD" w14:paraId="380EC3FE" w14:textId="77777777" w:rsidTr="00246BD9">
        <w:tc>
          <w:tcPr>
            <w:tcW w:w="4675" w:type="dxa"/>
          </w:tcPr>
          <w:p w14:paraId="46FBF0F9" w14:textId="46DB5BC4" w:rsidR="00CE6CFD" w:rsidRDefault="00CE6CFD" w:rsidP="00CE6CFD">
            <w:r>
              <w:t>Поддържане (8-седмични цикли) Цикъл 5</w:t>
            </w:r>
          </w:p>
        </w:tc>
        <w:tc>
          <w:tcPr>
            <w:tcW w:w="4675" w:type="dxa"/>
            <w:vAlign w:val="bottom"/>
          </w:tcPr>
          <w:p w14:paraId="685C480A" w14:textId="77777777" w:rsidR="00CE6CFD" w:rsidRDefault="00CE6CFD" w:rsidP="00CE6CFD">
            <w:r>
              <w:t xml:space="preserve">Краниална ирадиация (Само блок 5) 12 </w:t>
            </w:r>
            <w:r>
              <w:rPr>
                <w:lang w:val="en-US"/>
              </w:rPr>
              <w:t xml:space="preserve">Gy </w:t>
            </w:r>
            <w:r>
              <w:t xml:space="preserve">на 8 фракции при всички пациенти, които </w:t>
            </w:r>
            <w:r>
              <w:lastRenderedPageBreak/>
              <w:t xml:space="preserve">са </w:t>
            </w:r>
            <w:r>
              <w:rPr>
                <w:lang w:val="en-US"/>
              </w:rPr>
              <w:t xml:space="preserve">CNS1 </w:t>
            </w:r>
            <w:r>
              <w:t xml:space="preserve">и </w:t>
            </w:r>
            <w:r>
              <w:rPr>
                <w:lang w:val="en-US"/>
              </w:rPr>
              <w:t xml:space="preserve">CNS2 </w:t>
            </w:r>
            <w:r>
              <w:t>при поставяне на диагнозата</w:t>
            </w:r>
          </w:p>
          <w:p w14:paraId="37449FAB" w14:textId="77777777" w:rsidR="00CE6CFD" w:rsidRDefault="00CE6CFD" w:rsidP="00CE6CFD">
            <w:r>
              <w:t xml:space="preserve">18 </w:t>
            </w:r>
            <w:r>
              <w:rPr>
                <w:lang w:val="en-US"/>
              </w:rPr>
              <w:t xml:space="preserve">Gy </w:t>
            </w:r>
            <w:r>
              <w:t xml:space="preserve">на 10 фракции при пациенти, които са </w:t>
            </w:r>
            <w:r>
              <w:rPr>
                <w:lang w:val="en-US"/>
              </w:rPr>
              <w:t xml:space="preserve">CNS3 </w:t>
            </w:r>
            <w:r>
              <w:t>при поставяне на диагнозата</w:t>
            </w:r>
          </w:p>
          <w:p w14:paraId="5EAE3C82" w14:textId="77777777" w:rsidR="00CE6CFD" w:rsidRDefault="00CE6CFD" w:rsidP="00CE6CFD">
            <w:r>
              <w:rPr>
                <w:lang w:val="en-US"/>
              </w:rPr>
              <w:t xml:space="preserve">VCR </w:t>
            </w:r>
            <w:r>
              <w:t xml:space="preserve">(1,5 </w:t>
            </w:r>
            <w:r>
              <w:rPr>
                <w:lang w:val="en-US"/>
              </w:rPr>
              <w:t>mg/ m</w:t>
            </w:r>
            <w:r>
              <w:rPr>
                <w:vertAlign w:val="superscript"/>
              </w:rPr>
              <w:t>2</w:t>
            </w:r>
            <w:r>
              <w:t>/ден, IV): дни 1, 29</w:t>
            </w:r>
          </w:p>
          <w:p w14:paraId="5D543BD0" w14:textId="77777777" w:rsidR="00CE6CFD" w:rsidRDefault="00CE6CFD" w:rsidP="00CE6CFD">
            <w:r>
              <w:rPr>
                <w:lang w:val="en-US"/>
              </w:rPr>
              <w:t xml:space="preserve">DEX </w:t>
            </w:r>
            <w:r>
              <w:t xml:space="preserve">(6 </w:t>
            </w:r>
            <w:r>
              <w:rPr>
                <w:lang w:val="en-US"/>
              </w:rPr>
              <w:t>mg/ m</w:t>
            </w:r>
            <w:r>
              <w:rPr>
                <w:vertAlign w:val="superscript"/>
              </w:rPr>
              <w:t>2</w:t>
            </w:r>
            <w:r>
              <w:t>/ден, РО): дни 1-5;</w:t>
            </w:r>
          </w:p>
          <w:p w14:paraId="03878CAF" w14:textId="77777777" w:rsidR="00CE6CFD" w:rsidRDefault="00CE6CFD" w:rsidP="00CE6CFD">
            <w:r>
              <w:t xml:space="preserve">6-МР (75 </w:t>
            </w:r>
            <w:r>
              <w:rPr>
                <w:lang w:val="en-US"/>
              </w:rPr>
              <w:t>mg/ m</w:t>
            </w:r>
            <w:r>
              <w:rPr>
                <w:vertAlign w:val="superscript"/>
              </w:rPr>
              <w:t>2</w:t>
            </w:r>
            <w:r>
              <w:t>/ден, РО): дни</w:t>
            </w:r>
            <w:r>
              <w:rPr>
                <w:lang w:val="en-US"/>
              </w:rPr>
              <w:t xml:space="preserve"> 11-56</w:t>
            </w:r>
          </w:p>
          <w:p w14:paraId="022CBB31" w14:textId="77777777" w:rsidR="00CE6CFD" w:rsidRDefault="00CE6CFD" w:rsidP="00CE6CFD">
            <w:r>
              <w:t>(Спиране на 6-МР, започнат на ден 1 от Цикъл 5 по време на 6-10 дни краниална</w:t>
            </w:r>
          </w:p>
          <w:p w14:paraId="09160153" w14:textId="77777777" w:rsidR="00CE6CFD" w:rsidRDefault="00CE6CFD" w:rsidP="00CE6CFD">
            <w:r>
              <w:t>ирадиация. Започване на 6-</w:t>
            </w:r>
            <w:r>
              <w:rPr>
                <w:lang w:val="en-US"/>
              </w:rPr>
              <w:t xml:space="preserve">MP </w:t>
            </w:r>
            <w:r>
              <w:t>на 11-ия ден</w:t>
            </w:r>
          </w:p>
          <w:p w14:paraId="4A5849A9" w14:textId="2C3D7B50" w:rsidR="00CE6CFD" w:rsidRDefault="00CE6CFD" w:rsidP="00CE6CFD">
            <w:r>
              <w:t>след приключване на краниалната</w:t>
            </w:r>
          </w:p>
        </w:tc>
      </w:tr>
      <w:tr w:rsidR="00CE6CFD" w14:paraId="2ECFD6D4" w14:textId="77777777" w:rsidTr="00CE6CFD">
        <w:tc>
          <w:tcPr>
            <w:tcW w:w="4675" w:type="dxa"/>
          </w:tcPr>
          <w:p w14:paraId="2981BAD2" w14:textId="77777777" w:rsidR="00CE6CFD" w:rsidRDefault="00CE6CFD" w:rsidP="00CE6CFD"/>
        </w:tc>
        <w:tc>
          <w:tcPr>
            <w:tcW w:w="4675" w:type="dxa"/>
          </w:tcPr>
          <w:p w14:paraId="707BF36F" w14:textId="77777777" w:rsidR="00CE6CFD" w:rsidRDefault="00CE6CFD" w:rsidP="00CE6CFD">
            <w:r>
              <w:t>ирадиация.)</w:t>
            </w:r>
          </w:p>
          <w:p w14:paraId="70E8D211" w14:textId="5E36EBDA" w:rsidR="00CE6CFD" w:rsidRDefault="00CE6CFD" w:rsidP="00CE6CFD">
            <w:r>
              <w:t xml:space="preserve">Метотрексат (20 </w:t>
            </w:r>
            <w:r>
              <w:rPr>
                <w:lang w:val="en-US"/>
              </w:rPr>
              <w:t>mg/m</w:t>
            </w:r>
            <w:r>
              <w:rPr>
                <w:vertAlign w:val="superscript"/>
              </w:rPr>
              <w:t>2</w:t>
            </w:r>
            <w:r>
              <w:t>/седмица, РО): дни 8, 15, 22, 29,36, 43,50</w:t>
            </w:r>
          </w:p>
        </w:tc>
      </w:tr>
      <w:tr w:rsidR="00CE6CFD" w14:paraId="5FBB7E9A" w14:textId="77777777" w:rsidTr="00CE6CFD">
        <w:tc>
          <w:tcPr>
            <w:tcW w:w="4675" w:type="dxa"/>
          </w:tcPr>
          <w:p w14:paraId="76715835" w14:textId="7C02E4C8" w:rsidR="00CE6CFD" w:rsidRDefault="00CE6CFD" w:rsidP="00CE6CFD">
            <w:r>
              <w:t>Поддържане (8-седмични цикли) Цикли 6-12</w:t>
            </w:r>
          </w:p>
        </w:tc>
        <w:tc>
          <w:tcPr>
            <w:tcW w:w="4675" w:type="dxa"/>
          </w:tcPr>
          <w:p w14:paraId="7551D73F" w14:textId="160FBDA7" w:rsidR="00CE6CFD" w:rsidRDefault="00CE6CFD" w:rsidP="00CE6CFD">
            <w:r>
              <w:rPr>
                <w:lang w:val="en-US"/>
              </w:rPr>
              <w:t xml:space="preserve">VCR </w:t>
            </w:r>
            <w:r>
              <w:t xml:space="preserve">(1,5 </w:t>
            </w:r>
            <w:r>
              <w:rPr>
                <w:lang w:val="en-US"/>
              </w:rPr>
              <w:t>mg/ m</w:t>
            </w:r>
            <w:r>
              <w:rPr>
                <w:vertAlign w:val="superscript"/>
              </w:rPr>
              <w:t>2</w:t>
            </w:r>
            <w:r>
              <w:t xml:space="preserve">/ден, IV): дни 1, 29 </w:t>
            </w:r>
            <w:r>
              <w:rPr>
                <w:lang w:val="en-US"/>
              </w:rPr>
              <w:t xml:space="preserve">DEX </w:t>
            </w:r>
            <w:r>
              <w:t xml:space="preserve">(6 </w:t>
            </w:r>
            <w:r>
              <w:rPr>
                <w:lang w:val="en-US"/>
              </w:rPr>
              <w:t>mg/ m</w:t>
            </w:r>
            <w:r>
              <w:rPr>
                <w:vertAlign w:val="superscript"/>
              </w:rPr>
              <w:t>2</w:t>
            </w:r>
            <w:r>
              <w:t xml:space="preserve">/ден, РО): дни 1-5; 29-33 6-МР (75 </w:t>
            </w:r>
            <w:r>
              <w:rPr>
                <w:lang w:val="en-US"/>
              </w:rPr>
              <w:t>mg/ m</w:t>
            </w:r>
            <w:r>
              <w:rPr>
                <w:vertAlign w:val="superscript"/>
              </w:rPr>
              <w:t>2</w:t>
            </w:r>
            <w:r>
              <w:t xml:space="preserve">/ден, РО): дни 1-56 Метотрексат (20 </w:t>
            </w:r>
            <w:r>
              <w:rPr>
                <w:lang w:val="en-US"/>
              </w:rPr>
              <w:t>mg/ m</w:t>
            </w:r>
            <w:r>
              <w:rPr>
                <w:vertAlign w:val="superscript"/>
              </w:rPr>
              <w:t>2</w:t>
            </w:r>
            <w:r>
              <w:t>/седмица, РО): дни 1, 8, 15,22,29,36, 43,50</w:t>
            </w:r>
          </w:p>
        </w:tc>
      </w:tr>
    </w:tbl>
    <w:p w14:paraId="1D366EC6" w14:textId="36F4B762" w:rsidR="00CE6CFD" w:rsidRDefault="00CE6CFD" w:rsidP="0091385D"/>
    <w:p w14:paraId="3B1D31F9" w14:textId="77777777" w:rsidR="00CE6CFD" w:rsidRPr="00CE6CFD" w:rsidRDefault="00CE6CFD" w:rsidP="00CE6CFD">
      <w:pPr>
        <w:spacing w:line="240" w:lineRule="auto"/>
        <w:rPr>
          <w:rFonts w:eastAsia="Times New Roman" w:cs="Arial"/>
          <w:sz w:val="24"/>
          <w:szCs w:val="24"/>
          <w:lang w:eastAsia="bg-BG"/>
        </w:rPr>
      </w:pPr>
      <w:r w:rsidRPr="00CE6CFD">
        <w:rPr>
          <w:rFonts w:eastAsia="Times New Roman" w:cs="Arial"/>
          <w:color w:val="000000"/>
          <w:lang w:val="en-US"/>
        </w:rPr>
        <w:t xml:space="preserve">G-CSF = </w:t>
      </w:r>
      <w:r w:rsidRPr="00CE6CFD">
        <w:rPr>
          <w:rFonts w:eastAsia="Times New Roman" w:cs="Arial"/>
          <w:color w:val="000000"/>
          <w:lang w:eastAsia="bg-BG"/>
        </w:rPr>
        <w:t xml:space="preserve">гранулоцит-колониостимулиращ фактор, </w:t>
      </w:r>
      <w:r w:rsidRPr="00CE6CFD">
        <w:rPr>
          <w:rFonts w:eastAsia="Times New Roman" w:cs="Arial"/>
          <w:color w:val="000000"/>
          <w:lang w:val="en-US"/>
        </w:rPr>
        <w:t xml:space="preserve">VP-16 </w:t>
      </w:r>
      <w:r w:rsidRPr="00CE6CFD">
        <w:rPr>
          <w:rFonts w:eastAsia="Times New Roman" w:cs="Arial"/>
          <w:color w:val="000000"/>
          <w:lang w:eastAsia="bg-BG"/>
        </w:rPr>
        <w:t xml:space="preserve">= етопозид, МТХ = метотрексат, IV = интравенозно, </w:t>
      </w:r>
      <w:r w:rsidRPr="00CE6CFD">
        <w:rPr>
          <w:rFonts w:eastAsia="Times New Roman" w:cs="Arial"/>
          <w:color w:val="000000"/>
          <w:lang w:val="en-US"/>
        </w:rPr>
        <w:t xml:space="preserve">SC </w:t>
      </w:r>
      <w:r w:rsidRPr="00CE6CFD">
        <w:rPr>
          <w:rFonts w:eastAsia="Times New Roman" w:cs="Arial"/>
          <w:color w:val="000000"/>
          <w:lang w:eastAsia="bg-BG"/>
        </w:rPr>
        <w:t xml:space="preserve">= подкожно, </w:t>
      </w:r>
      <w:r w:rsidRPr="00CE6CFD">
        <w:rPr>
          <w:rFonts w:eastAsia="Times New Roman" w:cs="Arial"/>
          <w:color w:val="000000"/>
          <w:lang w:val="en-US"/>
        </w:rPr>
        <w:t xml:space="preserve">IT </w:t>
      </w:r>
      <w:r w:rsidRPr="00CE6CFD">
        <w:rPr>
          <w:rFonts w:eastAsia="Times New Roman" w:cs="Arial"/>
          <w:color w:val="000000"/>
          <w:lang w:eastAsia="bg-BG"/>
        </w:rPr>
        <w:t xml:space="preserve">= интратекално, РО = перорално, </w:t>
      </w:r>
      <w:r w:rsidRPr="00CE6CFD">
        <w:rPr>
          <w:rFonts w:eastAsia="Times New Roman" w:cs="Arial"/>
          <w:color w:val="000000"/>
          <w:lang w:val="en-US"/>
        </w:rPr>
        <w:t xml:space="preserve">IM </w:t>
      </w:r>
      <w:r w:rsidRPr="00CE6CFD">
        <w:rPr>
          <w:rFonts w:eastAsia="Times New Roman" w:cs="Arial"/>
          <w:color w:val="000000"/>
          <w:lang w:eastAsia="bg-BG"/>
        </w:rPr>
        <w:t xml:space="preserve">= интрамускулно, </w:t>
      </w:r>
      <w:r w:rsidRPr="00CE6CFD">
        <w:rPr>
          <w:rFonts w:eastAsia="Times New Roman" w:cs="Arial"/>
          <w:color w:val="000000"/>
          <w:lang w:val="en-US"/>
        </w:rPr>
        <w:t xml:space="preserve">ARA- </w:t>
      </w:r>
      <w:r w:rsidRPr="00CE6CFD">
        <w:rPr>
          <w:rFonts w:eastAsia="Times New Roman" w:cs="Arial"/>
          <w:color w:val="000000"/>
          <w:lang w:eastAsia="bg-BG"/>
        </w:rPr>
        <w:t xml:space="preserve">С = цитарабин, СРМ = циклофосфамид, </w:t>
      </w:r>
      <w:r w:rsidRPr="00CE6CFD">
        <w:rPr>
          <w:rFonts w:eastAsia="Times New Roman" w:cs="Arial"/>
          <w:color w:val="000000"/>
          <w:lang w:val="en-US"/>
        </w:rPr>
        <w:t xml:space="preserve">VCR </w:t>
      </w:r>
      <w:r w:rsidRPr="00CE6CFD">
        <w:rPr>
          <w:rFonts w:eastAsia="Times New Roman" w:cs="Arial"/>
          <w:color w:val="000000"/>
          <w:lang w:eastAsia="bg-BG"/>
        </w:rPr>
        <w:t xml:space="preserve">= винкристин, </w:t>
      </w:r>
      <w:r w:rsidRPr="00CE6CFD">
        <w:rPr>
          <w:rFonts w:eastAsia="Times New Roman" w:cs="Arial"/>
          <w:color w:val="000000"/>
          <w:lang w:val="en-US"/>
        </w:rPr>
        <w:t xml:space="preserve">DEX </w:t>
      </w:r>
      <w:r w:rsidRPr="00CE6CFD">
        <w:rPr>
          <w:rFonts w:eastAsia="Times New Roman" w:cs="Arial"/>
          <w:color w:val="000000"/>
          <w:lang w:eastAsia="bg-BG"/>
        </w:rPr>
        <w:t xml:space="preserve">= дексаметазон, </w:t>
      </w:r>
      <w:r w:rsidRPr="00CE6CFD">
        <w:rPr>
          <w:rFonts w:eastAsia="Times New Roman" w:cs="Arial"/>
          <w:color w:val="000000"/>
          <w:lang w:val="en-US"/>
        </w:rPr>
        <w:t xml:space="preserve">DALTN </w:t>
      </w:r>
      <w:r w:rsidRPr="00CE6CFD">
        <w:rPr>
          <w:rFonts w:eastAsia="Times New Roman" w:cs="Arial"/>
          <w:color w:val="000000"/>
          <w:lang w:eastAsia="bg-BG"/>
        </w:rPr>
        <w:t xml:space="preserve">= даунорубицин, 6-МР = 6-меркаптопурин, </w:t>
      </w:r>
      <w:r w:rsidRPr="00CE6CFD">
        <w:rPr>
          <w:rFonts w:eastAsia="Times New Roman" w:cs="Arial"/>
          <w:color w:val="000000"/>
          <w:lang w:val="en-US"/>
        </w:rPr>
        <w:t xml:space="preserve">E.Coli L-ASP </w:t>
      </w:r>
      <w:r w:rsidRPr="00CE6CFD">
        <w:rPr>
          <w:rFonts w:eastAsia="Times New Roman" w:cs="Arial"/>
          <w:color w:val="000000"/>
          <w:lang w:eastAsia="bg-BG"/>
        </w:rPr>
        <w:t xml:space="preserve">= </w:t>
      </w:r>
      <w:r w:rsidRPr="00CE6CFD">
        <w:rPr>
          <w:rFonts w:eastAsia="Times New Roman" w:cs="Arial"/>
          <w:color w:val="000000"/>
          <w:lang w:val="en-US"/>
        </w:rPr>
        <w:t>L</w:t>
      </w:r>
      <w:r w:rsidRPr="00CE6CFD">
        <w:rPr>
          <w:rFonts w:eastAsia="Times New Roman" w:cs="Arial"/>
          <w:color w:val="000000"/>
          <w:lang w:eastAsia="bg-BG"/>
        </w:rPr>
        <w:t xml:space="preserve">-аспаргиназа, </w:t>
      </w:r>
      <w:r w:rsidRPr="00CE6CFD">
        <w:rPr>
          <w:rFonts w:eastAsia="Times New Roman" w:cs="Arial"/>
          <w:color w:val="000000"/>
          <w:lang w:val="en-US"/>
        </w:rPr>
        <w:t xml:space="preserve">PEG-ASP </w:t>
      </w:r>
      <w:r w:rsidRPr="00CE6CFD">
        <w:rPr>
          <w:rFonts w:eastAsia="Times New Roman" w:cs="Arial"/>
          <w:color w:val="000000"/>
          <w:lang w:eastAsia="bg-BG"/>
        </w:rPr>
        <w:t xml:space="preserve">= </w:t>
      </w:r>
      <w:r w:rsidRPr="00CE6CFD">
        <w:rPr>
          <w:rFonts w:eastAsia="Times New Roman" w:cs="Arial"/>
          <w:color w:val="000000"/>
          <w:lang w:val="en-US"/>
        </w:rPr>
        <w:t xml:space="preserve">PEG </w:t>
      </w:r>
      <w:r w:rsidRPr="00CE6CFD">
        <w:rPr>
          <w:rFonts w:eastAsia="Times New Roman" w:cs="Arial"/>
          <w:color w:val="000000"/>
          <w:lang w:eastAsia="bg-BG"/>
        </w:rPr>
        <w:t xml:space="preserve">аспаргиназа, </w:t>
      </w:r>
      <w:r w:rsidRPr="00CE6CFD">
        <w:rPr>
          <w:rFonts w:eastAsia="Times New Roman" w:cs="Arial"/>
          <w:color w:val="000000"/>
          <w:lang w:val="en-US"/>
        </w:rPr>
        <w:t xml:space="preserve">MESNA= </w:t>
      </w:r>
      <w:r w:rsidRPr="00CE6CFD">
        <w:rPr>
          <w:rFonts w:eastAsia="Times New Roman" w:cs="Arial"/>
          <w:color w:val="000000"/>
          <w:lang w:eastAsia="bg-BG"/>
        </w:rPr>
        <w:t xml:space="preserve">2-меркаптоетан сулфонат натрий, </w:t>
      </w:r>
      <w:r w:rsidRPr="00CE6CFD">
        <w:rPr>
          <w:rFonts w:eastAsia="Times New Roman" w:cs="Arial"/>
          <w:color w:val="000000"/>
          <w:lang w:val="en-US"/>
        </w:rPr>
        <w:t xml:space="preserve">iii= </w:t>
      </w:r>
      <w:r w:rsidRPr="00CE6CFD">
        <w:rPr>
          <w:rFonts w:eastAsia="Times New Roman" w:cs="Arial"/>
          <w:color w:val="000000"/>
          <w:lang w:eastAsia="bg-BG"/>
        </w:rPr>
        <w:t xml:space="preserve">или докато нивото на МТХ е &lt;0,1 рМ, на 6 ч = на всеки 6 часа, </w:t>
      </w:r>
      <w:r w:rsidRPr="00CE6CFD">
        <w:rPr>
          <w:rFonts w:eastAsia="Times New Roman" w:cs="Arial"/>
          <w:color w:val="000000"/>
          <w:lang w:val="en-US"/>
        </w:rPr>
        <w:t xml:space="preserve">Gy= </w:t>
      </w:r>
      <w:r w:rsidRPr="00CE6CFD">
        <w:rPr>
          <w:rFonts w:eastAsia="Times New Roman" w:cs="Arial"/>
          <w:color w:val="000000"/>
          <w:lang w:eastAsia="bg-BG"/>
        </w:rPr>
        <w:t>Грей</w:t>
      </w:r>
    </w:p>
    <w:p w14:paraId="779F10F6" w14:textId="77777777" w:rsidR="00CE6CFD" w:rsidRPr="00CE6CFD" w:rsidRDefault="00CE6CFD" w:rsidP="00CE6CFD">
      <w:pPr>
        <w:spacing w:line="240" w:lineRule="auto"/>
        <w:rPr>
          <w:rFonts w:eastAsia="Times New Roman" w:cs="Arial"/>
          <w:color w:val="000000"/>
          <w:lang w:eastAsia="bg-BG"/>
        </w:rPr>
      </w:pPr>
    </w:p>
    <w:p w14:paraId="6A12E3E3" w14:textId="3020DBDA" w:rsidR="00CE6CFD" w:rsidRPr="00CE6CFD" w:rsidRDefault="00CE6CFD" w:rsidP="00CE6CFD">
      <w:pPr>
        <w:spacing w:line="240" w:lineRule="auto"/>
        <w:rPr>
          <w:rFonts w:eastAsia="Times New Roman" w:cs="Arial"/>
          <w:sz w:val="24"/>
          <w:szCs w:val="24"/>
          <w:lang w:eastAsia="bg-BG"/>
        </w:rPr>
      </w:pPr>
      <w:r w:rsidRPr="00CE6CFD">
        <w:rPr>
          <w:rFonts w:eastAsia="Times New Roman" w:cs="Arial"/>
          <w:color w:val="000000"/>
          <w:lang w:eastAsia="bg-BG"/>
        </w:rPr>
        <w:t xml:space="preserve">Проучване </w:t>
      </w:r>
      <w:r w:rsidRPr="00CE6CFD">
        <w:rPr>
          <w:rFonts w:eastAsia="Times New Roman" w:cs="Arial"/>
          <w:color w:val="000000"/>
          <w:lang w:val="en-US"/>
        </w:rPr>
        <w:t xml:space="preserve">AIT07 </w:t>
      </w:r>
      <w:r w:rsidRPr="00CE6CFD">
        <w:rPr>
          <w:rFonts w:eastAsia="Times New Roman" w:cs="Arial"/>
          <w:color w:val="000000"/>
          <w:lang w:eastAsia="bg-BG"/>
        </w:rPr>
        <w:t xml:space="preserve">е многоцентрово, отворено, рандомизирано, фаза </w:t>
      </w:r>
      <w:r w:rsidRPr="00CE6CFD">
        <w:rPr>
          <w:rFonts w:eastAsia="Times New Roman" w:cs="Arial"/>
          <w:color w:val="000000"/>
          <w:lang w:val="en-US"/>
        </w:rPr>
        <w:t xml:space="preserve">II/III </w:t>
      </w:r>
      <w:r w:rsidRPr="00CE6CFD">
        <w:rPr>
          <w:rFonts w:eastAsia="Times New Roman" w:cs="Arial"/>
          <w:color w:val="000000"/>
          <w:lang w:eastAsia="bg-BG"/>
        </w:rPr>
        <w:t xml:space="preserve">проучване, което включва 128 пациенти (1 до &lt;18 години), лекувани с иматиниб в комбинация с химиотерапия. Получените от проучването данни за безопасността, съответстват на профила на безопасност на иматиниб при пациенти с </w:t>
      </w:r>
      <w:r w:rsidRPr="00CE6CFD">
        <w:rPr>
          <w:rFonts w:eastAsia="Times New Roman" w:cs="Arial"/>
          <w:color w:val="000000"/>
          <w:lang w:val="en-US"/>
        </w:rPr>
        <w:t xml:space="preserve">Ph+ </w:t>
      </w:r>
      <w:r w:rsidRPr="00CE6CFD">
        <w:rPr>
          <w:rFonts w:eastAsia="Times New Roman" w:cs="Arial"/>
          <w:color w:val="000000"/>
          <w:lang w:eastAsia="bg-BG"/>
        </w:rPr>
        <w:t>ОЛЛ.</w:t>
      </w:r>
    </w:p>
    <w:p w14:paraId="06A9835B" w14:textId="77777777" w:rsidR="00CE6CFD" w:rsidRPr="00CE6CFD" w:rsidRDefault="00CE6CFD" w:rsidP="00CE6CFD">
      <w:pPr>
        <w:spacing w:line="240" w:lineRule="auto"/>
        <w:rPr>
          <w:rFonts w:eastAsia="Times New Roman" w:cs="Arial"/>
          <w:i/>
          <w:iCs/>
          <w:color w:val="000000"/>
          <w:lang w:eastAsia="bg-BG"/>
        </w:rPr>
      </w:pPr>
    </w:p>
    <w:p w14:paraId="71BD71C6" w14:textId="3E98CAD1" w:rsidR="00CE6CFD" w:rsidRPr="00CE6CFD" w:rsidRDefault="00CE6CFD" w:rsidP="00CE6CFD">
      <w:pPr>
        <w:spacing w:line="240" w:lineRule="auto"/>
        <w:rPr>
          <w:rFonts w:eastAsia="Times New Roman" w:cs="Arial"/>
          <w:sz w:val="24"/>
          <w:szCs w:val="24"/>
          <w:lang w:eastAsia="bg-BG"/>
        </w:rPr>
      </w:pPr>
      <w:r w:rsidRPr="00CE6CFD">
        <w:rPr>
          <w:rFonts w:eastAsia="Times New Roman" w:cs="Arial"/>
          <w:i/>
          <w:iCs/>
          <w:color w:val="000000"/>
          <w:lang w:eastAsia="bg-BG"/>
        </w:rPr>
        <w:t xml:space="preserve">Рецидив/рефрактерна </w:t>
      </w:r>
      <w:r w:rsidRPr="00CE6CFD">
        <w:rPr>
          <w:rFonts w:eastAsia="Times New Roman" w:cs="Arial"/>
          <w:i/>
          <w:iCs/>
          <w:color w:val="000000"/>
          <w:lang w:val="en-US"/>
        </w:rPr>
        <w:t xml:space="preserve">Ph+ </w:t>
      </w:r>
      <w:r w:rsidRPr="00CE6CFD">
        <w:rPr>
          <w:rFonts w:eastAsia="Times New Roman" w:cs="Arial"/>
          <w:i/>
          <w:iCs/>
          <w:color w:val="000000"/>
          <w:lang w:eastAsia="bg-BG"/>
        </w:rPr>
        <w:t>ОЛЛ:</w:t>
      </w:r>
      <w:r w:rsidRPr="00CE6CFD">
        <w:rPr>
          <w:rFonts w:eastAsia="Times New Roman" w:cs="Arial"/>
          <w:color w:val="000000"/>
          <w:lang w:eastAsia="bg-BG"/>
        </w:rPr>
        <w:t xml:space="preserve"> Употребата на иматиниб като самостоятелно средство при пациенти с рецидив/рефрактерна </w:t>
      </w:r>
      <w:r w:rsidRPr="00CE6CFD">
        <w:rPr>
          <w:rFonts w:eastAsia="Times New Roman" w:cs="Arial"/>
          <w:color w:val="000000"/>
          <w:lang w:val="en-US"/>
        </w:rPr>
        <w:t xml:space="preserve">Ph+ </w:t>
      </w:r>
      <w:r w:rsidRPr="00CE6CFD">
        <w:rPr>
          <w:rFonts w:eastAsia="Times New Roman" w:cs="Arial"/>
          <w:color w:val="000000"/>
          <w:lang w:eastAsia="bg-BG"/>
        </w:rPr>
        <w:t xml:space="preserve">ОЛЛ води, при 53 от 411 оценявани за отговор пациенти, до честота на хематологичен отговор от 30% (9% пълен) и честота на голям цитогенетичен отговор от 23%. (Трябва да се отбележи, че от 411 пациенти, 353 са лекувани в програма за разширен достъп без събрани данни за първичен отговор). Средното време до прогресия в общата група от 411 пациенти с рецидив/рефрактерна </w:t>
      </w:r>
      <w:r w:rsidRPr="00CE6CFD">
        <w:rPr>
          <w:rFonts w:eastAsia="Times New Roman" w:cs="Arial"/>
          <w:color w:val="000000"/>
          <w:lang w:val="en-US"/>
        </w:rPr>
        <w:t>Ph</w:t>
      </w:r>
      <w:r w:rsidRPr="00CE6CFD">
        <w:rPr>
          <w:rFonts w:eastAsia="Times New Roman" w:cs="Arial"/>
          <w:color w:val="000000"/>
          <w:lang w:eastAsia="bg-BG"/>
        </w:rPr>
        <w:t>+ОЛЛ варира от 2,6 до 3,1 месеца и средната обща преживяемост при 401 оценявани пациента варира от 4,9 до 9 месеца. Данните са подобни при провеждане на повторен анализ за включване само на пациентите на възраст над 55 години.</w:t>
      </w:r>
    </w:p>
    <w:p w14:paraId="0EC53541" w14:textId="77777777" w:rsidR="00CE6CFD" w:rsidRPr="00CE6CFD" w:rsidRDefault="00CE6CFD" w:rsidP="00CE6CFD">
      <w:pPr>
        <w:spacing w:line="240" w:lineRule="auto"/>
        <w:rPr>
          <w:rFonts w:eastAsia="Times New Roman" w:cs="Arial"/>
          <w:color w:val="000000"/>
          <w:u w:val="single"/>
          <w:lang w:eastAsia="bg-BG"/>
        </w:rPr>
      </w:pPr>
    </w:p>
    <w:p w14:paraId="0BC2B1DE" w14:textId="158E4A4D" w:rsidR="00CE6CFD" w:rsidRPr="00CE6CFD" w:rsidRDefault="00CE6CFD" w:rsidP="00CE6CFD">
      <w:pPr>
        <w:spacing w:line="240" w:lineRule="auto"/>
        <w:rPr>
          <w:rFonts w:eastAsia="Times New Roman" w:cs="Arial"/>
          <w:sz w:val="24"/>
          <w:szCs w:val="24"/>
          <w:lang w:eastAsia="bg-BG"/>
        </w:rPr>
      </w:pPr>
      <w:r w:rsidRPr="00CE6CFD">
        <w:rPr>
          <w:rFonts w:eastAsia="Times New Roman" w:cs="Arial"/>
          <w:color w:val="000000"/>
          <w:u w:val="single"/>
          <w:lang w:eastAsia="bg-BG"/>
        </w:rPr>
        <w:t>Клинични проучвания при МДС/МПЗ</w:t>
      </w:r>
    </w:p>
    <w:p w14:paraId="63BA9427" w14:textId="77777777" w:rsidR="00CE6CFD" w:rsidRPr="00CE6CFD" w:rsidRDefault="00CE6CFD" w:rsidP="00CE6CFD">
      <w:pPr>
        <w:spacing w:line="240" w:lineRule="auto"/>
        <w:rPr>
          <w:rFonts w:eastAsia="Times New Roman" w:cs="Arial"/>
          <w:sz w:val="24"/>
          <w:szCs w:val="24"/>
          <w:lang w:eastAsia="bg-BG"/>
        </w:rPr>
      </w:pPr>
      <w:r w:rsidRPr="00CE6CFD">
        <w:rPr>
          <w:rFonts w:eastAsia="Times New Roman" w:cs="Arial"/>
          <w:color w:val="000000"/>
          <w:lang w:eastAsia="bg-BG"/>
        </w:rPr>
        <w:t>Опитът с иматиниб при това показание е много ограничен и се базира на степента на повлияване на хематологичния и цитогенетичен отговор. Няма контролирани проучвания, демонстриращи клинична полза или повишена преживяемост. Едно отворено, мултицентрово, фаза 11 клинично проучване (проучване В2225) е било проведено за изпитване на иматиниб при различни популации пациенти страдащи от живото-</w:t>
      </w:r>
      <w:r w:rsidRPr="00CE6CFD">
        <w:rPr>
          <w:rFonts w:eastAsia="Times New Roman" w:cs="Arial"/>
          <w:color w:val="000000"/>
          <w:lang w:eastAsia="bg-BG"/>
        </w:rPr>
        <w:lastRenderedPageBreak/>
        <w:t xml:space="preserve">застрашаващи заболявания, свързани с </w:t>
      </w:r>
      <w:r w:rsidRPr="00CE6CFD">
        <w:rPr>
          <w:rFonts w:eastAsia="Times New Roman" w:cs="Arial"/>
          <w:color w:val="000000"/>
          <w:lang w:val="en-US"/>
        </w:rPr>
        <w:t xml:space="preserve">Abl, Kit </w:t>
      </w:r>
      <w:r w:rsidRPr="00CE6CFD">
        <w:rPr>
          <w:rFonts w:eastAsia="Times New Roman" w:cs="Arial"/>
          <w:color w:val="000000"/>
          <w:lang w:eastAsia="bg-BG"/>
        </w:rPr>
        <w:t xml:space="preserve">или </w:t>
      </w:r>
      <w:r w:rsidRPr="00CE6CFD">
        <w:rPr>
          <w:rFonts w:eastAsia="Times New Roman" w:cs="Arial"/>
          <w:smallCaps/>
          <w:color w:val="000000"/>
          <w:lang w:val="en-US"/>
        </w:rPr>
        <w:t>PDGFR</w:t>
      </w:r>
      <w:r w:rsidRPr="00CE6CFD">
        <w:rPr>
          <w:rFonts w:eastAsia="Times New Roman" w:cs="Arial"/>
          <w:color w:val="000000"/>
          <w:lang w:val="en-US"/>
        </w:rPr>
        <w:t xml:space="preserve"> </w:t>
      </w:r>
      <w:r w:rsidRPr="00CE6CFD">
        <w:rPr>
          <w:rFonts w:eastAsia="Times New Roman" w:cs="Arial"/>
          <w:color w:val="000000"/>
          <w:lang w:eastAsia="bg-BG"/>
        </w:rPr>
        <w:t xml:space="preserve">протеин тирозин кинази. Проучването е включвало 7 пациента с МДС/МПЗ които са били лекувани с иматиниб 400 </w:t>
      </w:r>
      <w:r w:rsidRPr="00CE6CFD">
        <w:rPr>
          <w:rFonts w:eastAsia="Times New Roman" w:cs="Arial"/>
          <w:color w:val="000000"/>
          <w:lang w:val="en-US"/>
        </w:rPr>
        <w:t xml:space="preserve">mg </w:t>
      </w:r>
      <w:r w:rsidRPr="00CE6CFD">
        <w:rPr>
          <w:rFonts w:eastAsia="Times New Roman" w:cs="Arial"/>
          <w:color w:val="000000"/>
          <w:lang w:eastAsia="bg-BG"/>
        </w:rPr>
        <w:t xml:space="preserve">дневно. При трима пациента е наблюдаван пълен хематологичен отговор </w:t>
      </w:r>
      <w:r w:rsidRPr="00CE6CFD">
        <w:rPr>
          <w:rFonts w:eastAsia="Times New Roman" w:cs="Arial"/>
          <w:color w:val="000000"/>
          <w:lang w:val="en-US"/>
        </w:rPr>
        <w:t xml:space="preserve">(CHR) </w:t>
      </w:r>
      <w:r w:rsidRPr="00CE6CFD">
        <w:rPr>
          <w:rFonts w:eastAsia="Times New Roman" w:cs="Arial"/>
          <w:color w:val="000000"/>
          <w:lang w:eastAsia="bg-BG"/>
        </w:rPr>
        <w:t>и при един пациент - частичен хематологичен отговор (</w:t>
      </w:r>
      <w:r w:rsidRPr="00CE6CFD">
        <w:rPr>
          <w:rFonts w:eastAsia="Times New Roman" w:cs="Arial"/>
          <w:color w:val="000000"/>
          <w:lang w:val="en-US"/>
        </w:rPr>
        <w:t>PHR</w:t>
      </w:r>
      <w:r w:rsidRPr="00CE6CFD">
        <w:rPr>
          <w:rFonts w:eastAsia="Times New Roman" w:cs="Arial"/>
          <w:color w:val="000000"/>
          <w:lang w:eastAsia="bg-BG"/>
        </w:rPr>
        <w:t xml:space="preserve">). Към момента на началния анализ, трима от четиримата пациента с </w:t>
      </w:r>
      <w:r w:rsidRPr="00CE6CFD">
        <w:rPr>
          <w:rFonts w:eastAsia="Times New Roman" w:cs="Arial"/>
          <w:color w:val="000000"/>
          <w:lang w:val="en-US"/>
        </w:rPr>
        <w:t xml:space="preserve">PDGFR </w:t>
      </w:r>
      <w:r w:rsidRPr="00CE6CFD">
        <w:rPr>
          <w:rFonts w:eastAsia="Times New Roman" w:cs="Arial"/>
          <w:color w:val="000000"/>
          <w:lang w:eastAsia="bg-BG"/>
        </w:rPr>
        <w:t xml:space="preserve">генни пренареждания са развили хематологичен отговор (2 </w:t>
      </w:r>
      <w:r w:rsidRPr="00CE6CFD">
        <w:rPr>
          <w:rFonts w:eastAsia="Times New Roman" w:cs="Arial"/>
          <w:color w:val="000000"/>
          <w:lang w:val="en-US"/>
        </w:rPr>
        <w:t xml:space="preserve">CHR </w:t>
      </w:r>
      <w:r w:rsidRPr="00CE6CFD">
        <w:rPr>
          <w:rFonts w:eastAsia="Times New Roman" w:cs="Arial"/>
          <w:color w:val="000000"/>
          <w:lang w:eastAsia="bg-BG"/>
        </w:rPr>
        <w:t xml:space="preserve">и 1 </w:t>
      </w:r>
      <w:r w:rsidRPr="00CE6CFD">
        <w:rPr>
          <w:rFonts w:eastAsia="Times New Roman" w:cs="Arial"/>
          <w:color w:val="000000"/>
          <w:lang w:val="en-US"/>
        </w:rPr>
        <w:t xml:space="preserve">PHR). </w:t>
      </w:r>
      <w:r w:rsidRPr="00CE6CFD">
        <w:rPr>
          <w:rFonts w:eastAsia="Times New Roman" w:cs="Arial"/>
          <w:color w:val="000000"/>
          <w:lang w:eastAsia="bg-BG"/>
        </w:rPr>
        <w:t>Възрастта на пациентите варира от 20 до 72 години.</w:t>
      </w:r>
    </w:p>
    <w:p w14:paraId="33531661" w14:textId="77777777" w:rsidR="00CE6CFD" w:rsidRPr="00CE6CFD" w:rsidRDefault="00CE6CFD" w:rsidP="00CE6CFD">
      <w:pPr>
        <w:spacing w:line="240" w:lineRule="auto"/>
        <w:rPr>
          <w:rFonts w:eastAsia="Times New Roman" w:cs="Arial"/>
          <w:sz w:val="24"/>
          <w:szCs w:val="24"/>
          <w:lang w:eastAsia="bg-BG"/>
        </w:rPr>
      </w:pPr>
    </w:p>
    <w:p w14:paraId="193C0962" w14:textId="77777777" w:rsidR="00273BFE" w:rsidRPr="00273BFE" w:rsidRDefault="00CE6CFD" w:rsidP="00273BFE">
      <w:pPr>
        <w:rPr>
          <w:rFonts w:eastAsia="Times New Roman" w:cs="Arial"/>
          <w:sz w:val="24"/>
          <w:szCs w:val="24"/>
          <w:lang w:eastAsia="bg-BG"/>
        </w:rPr>
      </w:pPr>
      <w:r w:rsidRPr="00CE6CFD">
        <w:rPr>
          <w:rFonts w:eastAsia="Times New Roman" w:cs="Arial"/>
          <w:color w:val="000000"/>
          <w:lang w:eastAsia="bg-BG"/>
        </w:rPr>
        <w:t xml:space="preserve">Заведен е обсервационен регистър (проучване </w:t>
      </w:r>
      <w:r w:rsidRPr="00CE6CFD">
        <w:rPr>
          <w:rFonts w:eastAsia="Times New Roman" w:cs="Arial"/>
          <w:color w:val="000000"/>
          <w:lang w:val="en-US"/>
        </w:rPr>
        <w:t>L2401</w:t>
      </w:r>
      <w:r w:rsidRPr="00CE6CFD">
        <w:rPr>
          <w:rFonts w:eastAsia="Times New Roman" w:cs="Arial"/>
          <w:color w:val="000000"/>
          <w:lang w:eastAsia="bg-BG"/>
        </w:rPr>
        <w:t xml:space="preserve">), за да се съберат дългосрочните </w:t>
      </w:r>
      <w:r w:rsidRPr="00273BFE">
        <w:rPr>
          <w:rFonts w:eastAsia="Times New Roman" w:cs="Arial"/>
          <w:color w:val="000000"/>
          <w:lang w:eastAsia="bg-BG"/>
        </w:rPr>
        <w:t xml:space="preserve">данни за безопасност и ефикасност при пациенти с миелопролиферативни заболявания </w:t>
      </w:r>
      <w:r w:rsidRPr="00273BFE">
        <w:rPr>
          <w:rFonts w:eastAsia="Times New Roman" w:cs="Arial"/>
          <w:color w:val="000000"/>
          <w:lang w:val="en-US"/>
        </w:rPr>
        <w:t>PDGFR-</w:t>
      </w:r>
      <w:r w:rsidRPr="00273BFE">
        <w:rPr>
          <w:rFonts w:eastAsia="Times New Roman" w:cs="Arial"/>
          <w:color w:val="000000"/>
          <w:lang w:eastAsia="bg-BG"/>
        </w:rPr>
        <w:t>β</w:t>
      </w:r>
      <w:r w:rsidR="00273BFE" w:rsidRPr="00273BFE">
        <w:rPr>
          <w:rFonts w:eastAsia="Times New Roman" w:cs="Arial"/>
          <w:color w:val="000000"/>
          <w:lang w:eastAsia="bg-BG"/>
        </w:rPr>
        <w:t xml:space="preserve"> генни пренареждания, приемали иматиниб. 23-мата пациенти, включени в регистъра са приемали иматиниб като медианата на дневната доза е 264 </w:t>
      </w:r>
      <w:r w:rsidR="00273BFE" w:rsidRPr="00273BFE">
        <w:rPr>
          <w:rFonts w:eastAsia="Times New Roman" w:cs="Arial"/>
          <w:color w:val="000000"/>
          <w:lang w:val="en-US"/>
        </w:rPr>
        <w:t xml:space="preserve">mg </w:t>
      </w:r>
      <w:r w:rsidR="00273BFE" w:rsidRPr="00273BFE">
        <w:rPr>
          <w:rFonts w:eastAsia="Times New Roman" w:cs="Arial"/>
          <w:color w:val="000000"/>
          <w:lang w:eastAsia="bg-BG"/>
        </w:rPr>
        <w:t xml:space="preserve">(интервал: 100 до 400 </w:t>
      </w:r>
      <w:r w:rsidR="00273BFE" w:rsidRPr="00273BFE">
        <w:rPr>
          <w:rFonts w:eastAsia="Times New Roman" w:cs="Arial"/>
          <w:color w:val="000000"/>
          <w:lang w:val="en-US"/>
        </w:rPr>
        <w:t xml:space="preserve">mg), </w:t>
      </w:r>
      <w:r w:rsidR="00273BFE" w:rsidRPr="00273BFE">
        <w:rPr>
          <w:rFonts w:eastAsia="Times New Roman" w:cs="Arial"/>
          <w:color w:val="000000"/>
          <w:lang w:eastAsia="bg-BG"/>
        </w:rPr>
        <w:t>а медианата на продължителността на приема е 7,2 години (интервал 0,1 до 12,7 години). Поради обсервационния характер на регистъра, данни, оценяващи хематологичния, цитогенетичния и молекулярния отговор са налични съответно при 22,9 и 17 от 23-мата включени пациенти. Ако допуснем консервативно, че пациентите, при които липсват данни, са нереспондери, ПХО се наблюдава съответно при 20/23 (87%) пациенти, ПЦО при 9/23 (39,1%) пациенти, а МО при 11/23 (47,8%) пациенти. Когато степента на повлияване се изчислява при пациенти с поне една валидна оценка, степента на повлияване по отношение на ПХО, ПЦО и МО е съответно 20/22 (90,9%), 9/9 (100%) и 11/17 (64,7%).</w:t>
      </w:r>
    </w:p>
    <w:p w14:paraId="2C97A2B2" w14:textId="77777777" w:rsidR="00273BFE" w:rsidRPr="00273BFE" w:rsidRDefault="00273BFE" w:rsidP="00273BFE">
      <w:pPr>
        <w:spacing w:line="240" w:lineRule="auto"/>
        <w:rPr>
          <w:rFonts w:eastAsia="Times New Roman" w:cs="Arial"/>
          <w:color w:val="000000"/>
          <w:lang w:eastAsia="bg-BG"/>
        </w:rPr>
      </w:pPr>
    </w:p>
    <w:p w14:paraId="2F40B6D7" w14:textId="2C8CB20F" w:rsidR="00273BFE" w:rsidRPr="00273BFE" w:rsidRDefault="00273BFE" w:rsidP="00273BFE">
      <w:pPr>
        <w:spacing w:line="240" w:lineRule="auto"/>
        <w:rPr>
          <w:rFonts w:eastAsia="Times New Roman" w:cs="Arial"/>
          <w:sz w:val="24"/>
          <w:szCs w:val="24"/>
          <w:lang w:eastAsia="bg-BG"/>
        </w:rPr>
      </w:pPr>
      <w:r w:rsidRPr="00273BFE">
        <w:rPr>
          <w:rFonts w:eastAsia="Times New Roman" w:cs="Arial"/>
          <w:color w:val="000000"/>
          <w:lang w:eastAsia="bg-BG"/>
        </w:rPr>
        <w:t xml:space="preserve">Освен това, други 24 пациента с МДС/МПЗ са били докладвани в 13 публикации. 21 пациента са били лекувани с иматиниб 400 </w:t>
      </w:r>
      <w:r w:rsidRPr="00273BFE">
        <w:rPr>
          <w:rFonts w:eastAsia="Times New Roman" w:cs="Arial"/>
          <w:color w:val="000000"/>
          <w:lang w:val="en-US"/>
        </w:rPr>
        <w:t xml:space="preserve">mg </w:t>
      </w:r>
      <w:r w:rsidRPr="00273BFE">
        <w:rPr>
          <w:rFonts w:eastAsia="Times New Roman" w:cs="Arial"/>
          <w:color w:val="000000"/>
          <w:lang w:eastAsia="bg-BG"/>
        </w:rPr>
        <w:t xml:space="preserve">дневно, докато другите 3 пациента са получавали по- ниски дози. При 11 пациента са открити </w:t>
      </w:r>
      <w:r w:rsidRPr="00273BFE">
        <w:rPr>
          <w:rFonts w:eastAsia="Times New Roman" w:cs="Arial"/>
          <w:color w:val="000000"/>
          <w:lang w:val="en-US"/>
        </w:rPr>
        <w:t xml:space="preserve">PDGFR </w:t>
      </w:r>
      <w:r w:rsidRPr="00273BFE">
        <w:rPr>
          <w:rFonts w:eastAsia="Times New Roman" w:cs="Arial"/>
          <w:color w:val="000000"/>
          <w:lang w:eastAsia="bg-BG"/>
        </w:rPr>
        <w:t xml:space="preserve">генни пренареждания, 9 от тях са достигнали </w:t>
      </w:r>
      <w:r w:rsidRPr="00273BFE">
        <w:rPr>
          <w:rFonts w:eastAsia="Times New Roman" w:cs="Arial"/>
          <w:color w:val="000000"/>
          <w:lang w:val="en-US"/>
        </w:rPr>
        <w:t xml:space="preserve">CHR </w:t>
      </w:r>
      <w:r w:rsidRPr="00273BFE">
        <w:rPr>
          <w:rFonts w:eastAsia="Times New Roman" w:cs="Arial"/>
          <w:color w:val="000000"/>
          <w:lang w:eastAsia="bg-BG"/>
        </w:rPr>
        <w:t xml:space="preserve">и 1 </w:t>
      </w:r>
      <w:r w:rsidRPr="00273BFE">
        <w:rPr>
          <w:rFonts w:eastAsia="Times New Roman" w:cs="Arial"/>
          <w:color w:val="000000"/>
          <w:lang w:val="en-US"/>
        </w:rPr>
        <w:t xml:space="preserve">PHR. </w:t>
      </w:r>
      <w:r w:rsidRPr="00273BFE">
        <w:rPr>
          <w:rFonts w:eastAsia="Times New Roman" w:cs="Arial"/>
          <w:color w:val="000000"/>
          <w:lang w:eastAsia="bg-BG"/>
        </w:rPr>
        <w:t xml:space="preserve">Възрастта на тези пациенти варира от 2 до 79 години. В скорошна публикация осъвременени данни за 6 от тези 11 пациента разкриват, че всички тези пациенти са в цитогенетична ремисия (варираща между 32-38 месеца). Същата публикация докладва данни от дългосрочно проследяване на 12 МДС/МПЗ пациента с </w:t>
      </w:r>
      <w:r w:rsidRPr="00273BFE">
        <w:rPr>
          <w:rFonts w:eastAsia="Times New Roman" w:cs="Arial"/>
          <w:color w:val="000000"/>
          <w:lang w:val="en-US"/>
        </w:rPr>
        <w:t xml:space="preserve">PDGFR </w:t>
      </w:r>
      <w:r w:rsidRPr="00273BFE">
        <w:rPr>
          <w:rFonts w:eastAsia="Times New Roman" w:cs="Arial"/>
          <w:color w:val="000000"/>
          <w:lang w:eastAsia="bg-BG"/>
        </w:rPr>
        <w:t xml:space="preserve">генни пренареждания (5 пациента от проучване В2225). Тези пациенти са приемали иматиниб средно за 47 месеца (от 24 дни - 60 месеца). При 6 от тези пациенти проследяването към момента надвишава 4 години. Единадесет пациента са достигнали бърз </w:t>
      </w:r>
      <w:r w:rsidRPr="00273BFE">
        <w:rPr>
          <w:rFonts w:eastAsia="Times New Roman" w:cs="Arial"/>
          <w:color w:val="000000"/>
          <w:lang w:val="en-US"/>
        </w:rPr>
        <w:t xml:space="preserve">CHR; </w:t>
      </w:r>
      <w:r w:rsidRPr="00273BFE">
        <w:rPr>
          <w:rFonts w:eastAsia="Times New Roman" w:cs="Arial"/>
          <w:color w:val="000000"/>
          <w:lang w:eastAsia="bg-BG"/>
        </w:rPr>
        <w:t xml:space="preserve">при десет се наблюдава пълно отзвучаване на цитогенетичните аномалии и намаляване или изчезване на измерените с </w:t>
      </w:r>
      <w:r w:rsidRPr="00273BFE">
        <w:rPr>
          <w:rFonts w:eastAsia="Times New Roman" w:cs="Arial"/>
          <w:color w:val="000000"/>
          <w:lang w:val="en-US"/>
        </w:rPr>
        <w:t xml:space="preserve">RT-PCR </w:t>
      </w:r>
      <w:r w:rsidRPr="00273BFE">
        <w:rPr>
          <w:rFonts w:eastAsia="Times New Roman" w:cs="Arial"/>
          <w:color w:val="000000"/>
          <w:lang w:eastAsia="bg-BG"/>
        </w:rPr>
        <w:t>фузионни последователности. Хематологичния и цитогенетичен отговор са били поддържани средно за 49 месеца (варират 19-60) и 47 месеца (варират 16-59), съответно. Общата преживяемост е 65 месеца от диагностицирането (варира 25-234). Прилагането на иматиниб без генетична транслокация като цяло не води до подобрение.</w:t>
      </w:r>
    </w:p>
    <w:p w14:paraId="06D17546" w14:textId="77777777" w:rsidR="00273BFE" w:rsidRPr="00273BFE" w:rsidRDefault="00273BFE" w:rsidP="00273BFE">
      <w:pPr>
        <w:spacing w:line="240" w:lineRule="auto"/>
        <w:rPr>
          <w:rFonts w:eastAsia="Times New Roman" w:cs="Arial"/>
          <w:color w:val="000000"/>
          <w:lang w:eastAsia="bg-BG"/>
        </w:rPr>
      </w:pPr>
    </w:p>
    <w:p w14:paraId="60B31F75" w14:textId="62342DE4" w:rsidR="00273BFE" w:rsidRPr="00273BFE" w:rsidRDefault="00273BFE" w:rsidP="00273BFE">
      <w:pPr>
        <w:spacing w:line="240" w:lineRule="auto"/>
        <w:rPr>
          <w:rFonts w:eastAsia="Times New Roman" w:cs="Arial"/>
          <w:sz w:val="24"/>
          <w:szCs w:val="24"/>
          <w:lang w:eastAsia="bg-BG"/>
        </w:rPr>
      </w:pPr>
      <w:r w:rsidRPr="00273BFE">
        <w:rPr>
          <w:rFonts w:eastAsia="Times New Roman" w:cs="Arial"/>
          <w:color w:val="000000"/>
          <w:lang w:eastAsia="bg-BG"/>
        </w:rPr>
        <w:t xml:space="preserve">Няма контролирани изпитвания при педиатрични пациенти с МДС/МПЗ. В 4 публикации се съобщава за 5 пациенти с МДС/МПЗ свързани с </w:t>
      </w:r>
      <w:r w:rsidRPr="00273BFE">
        <w:rPr>
          <w:rFonts w:eastAsia="Times New Roman" w:cs="Arial"/>
          <w:color w:val="000000"/>
          <w:lang w:val="en-US"/>
        </w:rPr>
        <w:t xml:space="preserve">PDGFR </w:t>
      </w:r>
      <w:r w:rsidRPr="00273BFE">
        <w:rPr>
          <w:rFonts w:eastAsia="Times New Roman" w:cs="Arial"/>
          <w:color w:val="000000"/>
          <w:lang w:eastAsia="bg-BG"/>
        </w:rPr>
        <w:t xml:space="preserve">генни пренареждания. Възрастта на тези пациенти варира от 3 месеца до 4 години, а иматиниб е прилаган в доза от 50 </w:t>
      </w:r>
      <w:r w:rsidRPr="00273BFE">
        <w:rPr>
          <w:rFonts w:eastAsia="Times New Roman" w:cs="Arial"/>
          <w:color w:val="000000"/>
          <w:lang w:val="en-US"/>
        </w:rPr>
        <w:t xml:space="preserve">mg </w:t>
      </w:r>
      <w:r w:rsidRPr="00273BFE">
        <w:rPr>
          <w:rFonts w:eastAsia="Times New Roman" w:cs="Arial"/>
          <w:color w:val="000000"/>
          <w:lang w:eastAsia="bg-BG"/>
        </w:rPr>
        <w:t xml:space="preserve">дневно или в дози в интервала от 92,5 до 340 </w:t>
      </w:r>
      <w:r w:rsidRPr="00273BFE">
        <w:rPr>
          <w:rFonts w:eastAsia="Times New Roman" w:cs="Arial"/>
          <w:color w:val="000000"/>
          <w:lang w:val="en-US"/>
        </w:rPr>
        <w:t xml:space="preserve">mg/m2 </w:t>
      </w:r>
      <w:r w:rsidRPr="00273BFE">
        <w:rPr>
          <w:rFonts w:eastAsia="Times New Roman" w:cs="Arial"/>
          <w:color w:val="000000"/>
          <w:lang w:eastAsia="bg-BG"/>
        </w:rPr>
        <w:t>дневно. При всички пациенти е постигнат пълен хематологичен, цитогенетичен и/или клиничен отговор.</w:t>
      </w:r>
    </w:p>
    <w:p w14:paraId="6016B53F" w14:textId="77777777" w:rsidR="00273BFE" w:rsidRPr="00273BFE" w:rsidRDefault="00273BFE" w:rsidP="00273BFE">
      <w:pPr>
        <w:spacing w:line="240" w:lineRule="auto"/>
        <w:rPr>
          <w:rFonts w:eastAsia="Times New Roman" w:cs="Arial"/>
          <w:color w:val="000000"/>
          <w:u w:val="single"/>
          <w:lang w:eastAsia="bg-BG"/>
        </w:rPr>
      </w:pPr>
    </w:p>
    <w:p w14:paraId="52CAC509" w14:textId="787CA018" w:rsidR="00273BFE" w:rsidRPr="00273BFE" w:rsidRDefault="00273BFE" w:rsidP="00273BFE">
      <w:pPr>
        <w:spacing w:line="240" w:lineRule="auto"/>
        <w:rPr>
          <w:rFonts w:eastAsia="Times New Roman" w:cs="Arial"/>
          <w:sz w:val="24"/>
          <w:szCs w:val="24"/>
          <w:lang w:eastAsia="bg-BG"/>
        </w:rPr>
      </w:pPr>
      <w:r w:rsidRPr="00273BFE">
        <w:rPr>
          <w:rFonts w:eastAsia="Times New Roman" w:cs="Arial"/>
          <w:color w:val="000000"/>
          <w:u w:val="single"/>
          <w:lang w:eastAsia="bg-BG"/>
        </w:rPr>
        <w:t>Клинични проучвания при ХЕС/ХЕЛ</w:t>
      </w:r>
    </w:p>
    <w:p w14:paraId="47F5DBF0" w14:textId="77777777" w:rsidR="00273BFE" w:rsidRPr="00273BFE" w:rsidRDefault="00273BFE" w:rsidP="00273BFE">
      <w:pPr>
        <w:spacing w:line="240" w:lineRule="auto"/>
        <w:rPr>
          <w:rFonts w:eastAsia="Times New Roman" w:cs="Arial"/>
          <w:sz w:val="24"/>
          <w:szCs w:val="24"/>
          <w:lang w:eastAsia="bg-BG"/>
        </w:rPr>
      </w:pPr>
      <w:r w:rsidRPr="00273BFE">
        <w:rPr>
          <w:rFonts w:eastAsia="Times New Roman" w:cs="Arial"/>
          <w:color w:val="000000"/>
          <w:lang w:eastAsia="bg-BG"/>
        </w:rPr>
        <w:t xml:space="preserve">Отворено, мултицентрово, фаза II клинично проучване (проучване В2225) е било проведено за изпитване на иматиниб при различни популации пациенти, страдащи от животозастрашаващи заболявания свързани с </w:t>
      </w:r>
      <w:r w:rsidRPr="00273BFE">
        <w:rPr>
          <w:rFonts w:eastAsia="Times New Roman" w:cs="Arial"/>
          <w:color w:val="000000"/>
          <w:lang w:val="en-US"/>
        </w:rPr>
        <w:t xml:space="preserve">Abl, Kit </w:t>
      </w:r>
      <w:r w:rsidRPr="00273BFE">
        <w:rPr>
          <w:rFonts w:eastAsia="Times New Roman" w:cs="Arial"/>
          <w:color w:val="000000"/>
          <w:lang w:eastAsia="bg-BG"/>
        </w:rPr>
        <w:t xml:space="preserve">или </w:t>
      </w:r>
      <w:r w:rsidRPr="00273BFE">
        <w:rPr>
          <w:rFonts w:eastAsia="Times New Roman" w:cs="Arial"/>
          <w:color w:val="000000"/>
          <w:lang w:val="en-US"/>
        </w:rPr>
        <w:t xml:space="preserve">PDGFR </w:t>
      </w:r>
      <w:r w:rsidRPr="00273BFE">
        <w:rPr>
          <w:rFonts w:eastAsia="Times New Roman" w:cs="Arial"/>
          <w:color w:val="000000"/>
          <w:lang w:eastAsia="bg-BG"/>
        </w:rPr>
        <w:t xml:space="preserve">протеин тирозин кинази. При това проучване, 14 пациента с ХЕС/ХЕЛ са били лекувани с от 100 </w:t>
      </w:r>
      <w:r w:rsidRPr="00273BFE">
        <w:rPr>
          <w:rFonts w:eastAsia="Times New Roman" w:cs="Arial"/>
          <w:color w:val="000000"/>
          <w:lang w:val="en-US"/>
        </w:rPr>
        <w:t xml:space="preserve">mg </w:t>
      </w:r>
      <w:r w:rsidRPr="00273BFE">
        <w:rPr>
          <w:rFonts w:eastAsia="Times New Roman" w:cs="Arial"/>
          <w:color w:val="000000"/>
          <w:lang w:eastAsia="bg-BG"/>
        </w:rPr>
        <w:t xml:space="preserve">до 1 000 </w:t>
      </w:r>
      <w:r w:rsidRPr="00273BFE">
        <w:rPr>
          <w:rFonts w:eastAsia="Times New Roman" w:cs="Arial"/>
          <w:color w:val="000000"/>
          <w:lang w:val="en-US"/>
        </w:rPr>
        <w:t xml:space="preserve">mg </w:t>
      </w:r>
      <w:r w:rsidRPr="00273BFE">
        <w:rPr>
          <w:rFonts w:eastAsia="Times New Roman" w:cs="Arial"/>
          <w:color w:val="000000"/>
          <w:lang w:eastAsia="bg-BG"/>
        </w:rPr>
        <w:t xml:space="preserve">иматиниб дневно. Други 162 пациента с ХЕС/ХЕЛ, докладвани в 35 публикувани </w:t>
      </w:r>
      <w:r w:rsidRPr="00273BFE">
        <w:rPr>
          <w:rFonts w:eastAsia="Times New Roman" w:cs="Arial"/>
          <w:color w:val="000000"/>
          <w:lang w:eastAsia="bg-BG"/>
        </w:rPr>
        <w:lastRenderedPageBreak/>
        <w:t xml:space="preserve">клинични случая и серии от случаи са приемали иматиниб в дози от 75 </w:t>
      </w:r>
      <w:r w:rsidRPr="00273BFE">
        <w:rPr>
          <w:rFonts w:eastAsia="Times New Roman" w:cs="Arial"/>
          <w:color w:val="000000"/>
          <w:lang w:val="en-US"/>
        </w:rPr>
        <w:t xml:space="preserve">mg </w:t>
      </w:r>
      <w:r w:rsidRPr="00273BFE">
        <w:rPr>
          <w:rFonts w:eastAsia="Times New Roman" w:cs="Arial"/>
          <w:color w:val="000000"/>
          <w:lang w:eastAsia="bg-BG"/>
        </w:rPr>
        <w:t xml:space="preserve">до 800 </w:t>
      </w:r>
      <w:r w:rsidRPr="00273BFE">
        <w:rPr>
          <w:rFonts w:eastAsia="Times New Roman" w:cs="Arial"/>
          <w:color w:val="000000"/>
          <w:lang w:val="en-US"/>
        </w:rPr>
        <w:t xml:space="preserve">mg </w:t>
      </w:r>
      <w:r w:rsidRPr="00273BFE">
        <w:rPr>
          <w:rFonts w:eastAsia="Times New Roman" w:cs="Arial"/>
          <w:color w:val="000000"/>
          <w:lang w:eastAsia="bg-BG"/>
        </w:rPr>
        <w:t xml:space="preserve">дневно. Цитогенетичните аномалии са оценени при 117 от общата популация от 176 пациента. При 61 от тези 117 пациента е идентифицирана </w:t>
      </w:r>
      <w:r w:rsidRPr="00273BFE">
        <w:rPr>
          <w:rFonts w:eastAsia="Times New Roman" w:cs="Arial"/>
          <w:color w:val="000000"/>
          <w:lang w:val="en-US"/>
        </w:rPr>
        <w:t>FIP</w:t>
      </w:r>
      <w:r w:rsidRPr="00273BFE">
        <w:rPr>
          <w:rFonts w:eastAsia="Times New Roman" w:cs="Arial"/>
          <w:color w:val="000000"/>
          <w:lang w:eastAsia="bg-BG"/>
        </w:rPr>
        <w:t>1</w:t>
      </w:r>
      <w:r w:rsidRPr="00273BFE">
        <w:rPr>
          <w:rFonts w:eastAsia="Times New Roman" w:cs="Arial"/>
          <w:color w:val="000000"/>
          <w:lang w:val="en-US"/>
        </w:rPr>
        <w:t>L</w:t>
      </w:r>
      <w:r w:rsidRPr="00273BFE">
        <w:rPr>
          <w:rFonts w:eastAsia="Times New Roman" w:cs="Arial"/>
          <w:color w:val="000000"/>
          <w:lang w:eastAsia="bg-BG"/>
        </w:rPr>
        <w:t xml:space="preserve">1 </w:t>
      </w:r>
      <w:r w:rsidRPr="00273BFE">
        <w:rPr>
          <w:rFonts w:eastAsia="Times New Roman" w:cs="Arial"/>
          <w:color w:val="000000"/>
          <w:lang w:val="en-US"/>
        </w:rPr>
        <w:t>-PDGFR</w:t>
      </w:r>
      <w:r w:rsidRPr="00273BFE">
        <w:rPr>
          <w:rFonts w:eastAsia="Times New Roman" w:cs="Arial"/>
          <w:color w:val="000000"/>
          <w:lang w:eastAsia="bg-BG"/>
        </w:rPr>
        <w:t>α</w:t>
      </w:r>
      <w:r w:rsidRPr="00273BFE">
        <w:rPr>
          <w:rFonts w:eastAsia="Times New Roman" w:cs="Arial"/>
          <w:color w:val="000000"/>
          <w:lang w:val="en-US"/>
        </w:rPr>
        <w:t xml:space="preserve"> </w:t>
      </w:r>
      <w:r w:rsidRPr="00273BFE">
        <w:rPr>
          <w:rFonts w:eastAsia="Times New Roman" w:cs="Arial"/>
          <w:color w:val="000000"/>
          <w:lang w:eastAsia="bg-BG"/>
        </w:rPr>
        <w:t xml:space="preserve">фузионна киназа. Освен това, четири </w:t>
      </w:r>
      <w:r w:rsidRPr="00273BFE">
        <w:rPr>
          <w:rFonts w:eastAsia="Times New Roman" w:cs="Arial"/>
          <w:color w:val="000000"/>
          <w:lang w:val="en-US"/>
        </w:rPr>
        <w:t xml:space="preserve">HES </w:t>
      </w:r>
      <w:r w:rsidRPr="00273BFE">
        <w:rPr>
          <w:rFonts w:eastAsia="Times New Roman" w:cs="Arial"/>
          <w:color w:val="000000"/>
          <w:lang w:eastAsia="bg-BG"/>
        </w:rPr>
        <w:t xml:space="preserve">пациента са диагностицирани като </w:t>
      </w:r>
      <w:r w:rsidRPr="00273BFE">
        <w:rPr>
          <w:rFonts w:eastAsia="Times New Roman" w:cs="Arial"/>
          <w:color w:val="000000"/>
          <w:lang w:val="en-US"/>
        </w:rPr>
        <w:t>FIPlLl-PDGFRa</w:t>
      </w:r>
      <w:r w:rsidRPr="00273BFE">
        <w:rPr>
          <w:rFonts w:eastAsia="Times New Roman" w:cs="Arial"/>
          <w:color w:val="000000"/>
          <w:lang w:eastAsia="bg-BG"/>
        </w:rPr>
        <w:t xml:space="preserve">-позитивни в 3 други публикувани доклада. Всички 65 </w:t>
      </w:r>
      <w:r w:rsidRPr="00273BFE">
        <w:rPr>
          <w:rFonts w:eastAsia="Times New Roman" w:cs="Arial"/>
          <w:color w:val="000000"/>
          <w:lang w:val="en-US"/>
        </w:rPr>
        <w:t xml:space="preserve">FIPILl-PDGFRa </w:t>
      </w:r>
      <w:r w:rsidRPr="00273BFE">
        <w:rPr>
          <w:rFonts w:eastAsia="Times New Roman" w:cs="Arial"/>
          <w:color w:val="000000"/>
          <w:lang w:eastAsia="bg-BG"/>
        </w:rPr>
        <w:t xml:space="preserve">фузионна киназа-позитивни пациенти са постигнали </w:t>
      </w:r>
      <w:r w:rsidRPr="00273BFE">
        <w:rPr>
          <w:rFonts w:eastAsia="Times New Roman" w:cs="Arial"/>
          <w:color w:val="000000"/>
          <w:lang w:val="en-US"/>
        </w:rPr>
        <w:t xml:space="preserve">CHR </w:t>
      </w:r>
      <w:r w:rsidRPr="00273BFE">
        <w:rPr>
          <w:rFonts w:eastAsia="Times New Roman" w:cs="Arial"/>
          <w:color w:val="000000"/>
          <w:lang w:eastAsia="bg-BG"/>
        </w:rPr>
        <w:t>подържан в продължение на месеци (варира от 1 + до 44+ месеца измерени към датата на докладване). Както се докладва в скорошна публикация, 21 от тези 65 пациента също са постигнали пълна молекулярна ремисия при средно проследяване от 28 месеца (варира 13-67 месеца). Възрастта на тези пациенти варира от 25 до 72 години. В допълнение, подобрение в симптоматиката и другите органни нарушения са били докладвани от изследователите на тези клинични случаи. Подобрения се докладват в сърдечносъдовата, нервната, кожа/подкожни тъкани, дихателна/торакална/медиастинална, скелетно-мускулна/съединителнотъкънна/съдова и стомашно-чревна органни системи</w:t>
      </w:r>
    </w:p>
    <w:p w14:paraId="4DF62F2D" w14:textId="77777777" w:rsidR="00273BFE" w:rsidRPr="00273BFE" w:rsidRDefault="00273BFE" w:rsidP="00273BFE">
      <w:pPr>
        <w:spacing w:line="240" w:lineRule="auto"/>
        <w:rPr>
          <w:rFonts w:eastAsia="Times New Roman" w:cs="Arial"/>
          <w:color w:val="000000"/>
          <w:lang w:eastAsia="bg-BG"/>
        </w:rPr>
      </w:pPr>
    </w:p>
    <w:p w14:paraId="3E034EB8" w14:textId="2F2C34E6" w:rsidR="00273BFE" w:rsidRPr="00273BFE" w:rsidRDefault="00273BFE" w:rsidP="00273BFE">
      <w:pPr>
        <w:spacing w:line="240" w:lineRule="auto"/>
        <w:rPr>
          <w:rFonts w:eastAsia="Times New Roman" w:cs="Arial"/>
          <w:sz w:val="24"/>
          <w:szCs w:val="24"/>
          <w:lang w:eastAsia="bg-BG"/>
        </w:rPr>
      </w:pPr>
      <w:r w:rsidRPr="00273BFE">
        <w:rPr>
          <w:rFonts w:eastAsia="Times New Roman" w:cs="Arial"/>
          <w:color w:val="000000"/>
          <w:lang w:eastAsia="bg-BG"/>
        </w:rPr>
        <w:t xml:space="preserve">Няма контролирани клинични изпитвания при педиатрични пациенти с ХЕС/ХЕЛ. В 3 публикации се съобщава за 3 пациенти с ХЕС и ХЕЛ, свързани с </w:t>
      </w:r>
      <w:r w:rsidRPr="00273BFE">
        <w:rPr>
          <w:rFonts w:eastAsia="Times New Roman" w:cs="Arial"/>
          <w:color w:val="000000"/>
          <w:lang w:val="en-US"/>
        </w:rPr>
        <w:t xml:space="preserve">PDGFR </w:t>
      </w:r>
      <w:r w:rsidRPr="00273BFE">
        <w:rPr>
          <w:rFonts w:eastAsia="Times New Roman" w:cs="Arial"/>
          <w:color w:val="000000"/>
          <w:lang w:eastAsia="bg-BG"/>
        </w:rPr>
        <w:t>генни пренареждания.</w:t>
      </w:r>
    </w:p>
    <w:p w14:paraId="1FEFBC17" w14:textId="77777777" w:rsidR="00273BFE" w:rsidRPr="00273BFE" w:rsidRDefault="00273BFE" w:rsidP="00273BFE">
      <w:pPr>
        <w:spacing w:line="240" w:lineRule="auto"/>
        <w:rPr>
          <w:rFonts w:eastAsia="Times New Roman" w:cs="Arial"/>
          <w:sz w:val="24"/>
          <w:szCs w:val="24"/>
          <w:lang w:eastAsia="bg-BG"/>
        </w:rPr>
      </w:pPr>
      <w:r w:rsidRPr="00273BFE">
        <w:rPr>
          <w:rFonts w:eastAsia="Times New Roman" w:cs="Arial"/>
          <w:color w:val="000000"/>
          <w:lang w:eastAsia="bg-BG"/>
        </w:rPr>
        <w:t>Възрастта на тези пациенти варира от 2 до 16 години, а иматиниб е прилаган в доза от</w:t>
      </w:r>
    </w:p>
    <w:p w14:paraId="1BAC2E76" w14:textId="77777777" w:rsidR="00273BFE" w:rsidRPr="00273BFE" w:rsidRDefault="00273BFE" w:rsidP="00273BFE">
      <w:pPr>
        <w:rPr>
          <w:rFonts w:eastAsia="Times New Roman" w:cs="Arial"/>
          <w:sz w:val="24"/>
          <w:szCs w:val="24"/>
          <w:lang w:eastAsia="bg-BG"/>
        </w:rPr>
      </w:pPr>
      <w:r w:rsidRPr="00273BFE">
        <w:rPr>
          <w:rFonts w:eastAsia="Times New Roman" w:cs="Arial"/>
          <w:color w:val="000000"/>
          <w:lang w:eastAsia="bg-BG"/>
        </w:rPr>
        <w:t xml:space="preserve">300 </w:t>
      </w:r>
      <w:r w:rsidRPr="00273BFE">
        <w:rPr>
          <w:rFonts w:eastAsia="Times New Roman" w:cs="Arial"/>
          <w:color w:val="000000"/>
          <w:lang w:val="en-US"/>
        </w:rPr>
        <w:t xml:space="preserve">mg/m2 </w:t>
      </w:r>
      <w:r w:rsidRPr="00273BFE">
        <w:rPr>
          <w:rFonts w:eastAsia="Times New Roman" w:cs="Arial"/>
          <w:color w:val="000000"/>
          <w:lang w:eastAsia="bg-BG"/>
        </w:rPr>
        <w:t xml:space="preserve">дневно или в дози в интервала от 200 до 400 </w:t>
      </w:r>
      <w:r w:rsidRPr="00273BFE">
        <w:rPr>
          <w:rFonts w:eastAsia="Times New Roman" w:cs="Arial"/>
          <w:color w:val="000000"/>
          <w:lang w:val="en-US"/>
        </w:rPr>
        <w:t xml:space="preserve">mg </w:t>
      </w:r>
      <w:r w:rsidRPr="00273BFE">
        <w:rPr>
          <w:rFonts w:eastAsia="Times New Roman" w:cs="Arial"/>
          <w:color w:val="000000"/>
          <w:lang w:eastAsia="bg-BG"/>
        </w:rPr>
        <w:t>дневно. При всички пациенти е постигнат пълен хематологичен, цитогенетичен и/или молекулярен отговор.</w:t>
      </w:r>
    </w:p>
    <w:p w14:paraId="06C72481" w14:textId="77777777" w:rsidR="00273BFE" w:rsidRPr="00273BFE" w:rsidRDefault="00273BFE" w:rsidP="00273BFE">
      <w:pPr>
        <w:spacing w:line="240" w:lineRule="auto"/>
        <w:rPr>
          <w:rFonts w:eastAsia="Times New Roman" w:cs="Arial"/>
          <w:color w:val="000000"/>
          <w:lang w:eastAsia="bg-BG"/>
        </w:rPr>
      </w:pPr>
    </w:p>
    <w:p w14:paraId="377F151F" w14:textId="484128CD" w:rsidR="00273BFE" w:rsidRPr="00273BFE" w:rsidRDefault="00273BFE" w:rsidP="00273BFE">
      <w:pPr>
        <w:spacing w:line="240" w:lineRule="auto"/>
        <w:rPr>
          <w:rFonts w:eastAsia="Times New Roman" w:cs="Arial"/>
          <w:sz w:val="24"/>
          <w:szCs w:val="24"/>
          <w:lang w:eastAsia="bg-BG"/>
        </w:rPr>
      </w:pPr>
      <w:r w:rsidRPr="00273BFE">
        <w:rPr>
          <w:rFonts w:eastAsia="Times New Roman" w:cs="Arial"/>
          <w:color w:val="000000"/>
          <w:lang w:eastAsia="bg-BG"/>
        </w:rPr>
        <w:t xml:space="preserve">Клинични проучвания при неподлежащи на резекция и/или метастатични ГИСТ Проведено е едно фаза II, отворено, рандомизирано, неконтролирано многонационално проучване при пациенти с неподлежащи на резекция или метастатични злокачествени гастро- интестинални стромални тумори (ГИСТ). В това проучване са включени 147 пациенти, които са рандомизирани да получават перорално 400 </w:t>
      </w:r>
      <w:r w:rsidRPr="00273BFE">
        <w:rPr>
          <w:rFonts w:eastAsia="Times New Roman" w:cs="Arial"/>
          <w:color w:val="000000"/>
          <w:lang w:val="en-US"/>
        </w:rPr>
        <w:t xml:space="preserve">mg </w:t>
      </w:r>
      <w:r w:rsidRPr="00273BFE">
        <w:rPr>
          <w:rFonts w:eastAsia="Times New Roman" w:cs="Arial"/>
          <w:color w:val="000000"/>
          <w:lang w:eastAsia="bg-BG"/>
        </w:rPr>
        <w:t xml:space="preserve">или 600 </w:t>
      </w:r>
      <w:r w:rsidRPr="00273BFE">
        <w:rPr>
          <w:rFonts w:eastAsia="Times New Roman" w:cs="Arial"/>
          <w:color w:val="000000"/>
          <w:lang w:val="en-US"/>
        </w:rPr>
        <w:t xml:space="preserve">mg </w:t>
      </w:r>
      <w:r w:rsidRPr="00273BFE">
        <w:rPr>
          <w:rFonts w:eastAsia="Times New Roman" w:cs="Arial"/>
          <w:color w:val="000000"/>
          <w:lang w:eastAsia="bg-BG"/>
        </w:rPr>
        <w:t xml:space="preserve">веднъж дневно за период до 36 месеца. Възрастта на тези пациенти е от 18 до 83 години и са с патохистологична диагноза за положителен за </w:t>
      </w:r>
      <w:r w:rsidRPr="00273BFE">
        <w:rPr>
          <w:rFonts w:eastAsia="Times New Roman" w:cs="Arial"/>
          <w:color w:val="000000"/>
          <w:lang w:val="en-US"/>
        </w:rPr>
        <w:t xml:space="preserve">Kit </w:t>
      </w:r>
      <w:r w:rsidRPr="00273BFE">
        <w:rPr>
          <w:rFonts w:eastAsia="Times New Roman" w:cs="Arial"/>
          <w:color w:val="000000"/>
          <w:lang w:eastAsia="bg-BG"/>
        </w:rPr>
        <w:t xml:space="preserve">злокачествен ГИСТ, който не подлежи на хирургично отстраняване и/или е метастатичен. Извършено е рутинно имунохистохимично изследване с антитяло за </w:t>
      </w:r>
      <w:r w:rsidRPr="00273BFE">
        <w:rPr>
          <w:rFonts w:eastAsia="Times New Roman" w:cs="Arial"/>
          <w:color w:val="000000"/>
          <w:lang w:val="en-US"/>
        </w:rPr>
        <w:t xml:space="preserve">Kit </w:t>
      </w:r>
      <w:r w:rsidRPr="00273BFE">
        <w:rPr>
          <w:rFonts w:eastAsia="Times New Roman" w:cs="Arial"/>
          <w:color w:val="000000"/>
          <w:lang w:eastAsia="bg-BG"/>
        </w:rPr>
        <w:t xml:space="preserve">(А-4502, заешки поликлонален антисерум, 1:100; </w:t>
      </w:r>
      <w:r w:rsidRPr="00273BFE">
        <w:rPr>
          <w:rFonts w:eastAsia="Times New Roman" w:cs="Arial"/>
          <w:i/>
          <w:iCs/>
          <w:color w:val="000000"/>
          <w:lang w:val="en-US"/>
        </w:rPr>
        <w:t xml:space="preserve">DAKO Corporation, Carpinteria, </w:t>
      </w:r>
      <w:r w:rsidRPr="00273BFE">
        <w:rPr>
          <w:rFonts w:eastAsia="Times New Roman" w:cs="Arial"/>
          <w:i/>
          <w:iCs/>
          <w:color w:val="000000"/>
          <w:lang w:eastAsia="bg-BG"/>
        </w:rPr>
        <w:t>СА)</w:t>
      </w:r>
      <w:r w:rsidRPr="00273BFE">
        <w:rPr>
          <w:rFonts w:eastAsia="Times New Roman" w:cs="Arial"/>
          <w:color w:val="000000"/>
          <w:lang w:eastAsia="bg-BG"/>
        </w:rPr>
        <w:t xml:space="preserve"> в съответствие с анализа по авидин-биотин-пероксидазен метод след антигенно възстановяване.</w:t>
      </w:r>
    </w:p>
    <w:p w14:paraId="743FA245" w14:textId="77777777" w:rsidR="00273BFE" w:rsidRPr="00273BFE" w:rsidRDefault="00273BFE" w:rsidP="00273BFE">
      <w:pPr>
        <w:spacing w:line="240" w:lineRule="auto"/>
        <w:rPr>
          <w:rFonts w:eastAsia="Times New Roman" w:cs="Arial"/>
          <w:color w:val="000000"/>
          <w:lang w:eastAsia="bg-BG"/>
        </w:rPr>
      </w:pPr>
    </w:p>
    <w:p w14:paraId="215A1F34" w14:textId="4E88E17F" w:rsidR="00273BFE" w:rsidRPr="00273BFE" w:rsidRDefault="00273BFE" w:rsidP="00273BFE">
      <w:pPr>
        <w:spacing w:line="240" w:lineRule="auto"/>
        <w:rPr>
          <w:rFonts w:eastAsia="Times New Roman" w:cs="Arial"/>
          <w:sz w:val="24"/>
          <w:szCs w:val="24"/>
          <w:lang w:eastAsia="bg-BG"/>
        </w:rPr>
      </w:pPr>
      <w:r w:rsidRPr="00273BFE">
        <w:rPr>
          <w:rFonts w:eastAsia="Times New Roman" w:cs="Arial"/>
          <w:color w:val="000000"/>
          <w:lang w:eastAsia="bg-BG"/>
        </w:rPr>
        <w:t xml:space="preserve">Първичните данни за ефикасността се основават на обективната степен на отговор. Необходимо е туморите да са измерими в поне едно от местата на засягане, а характеристиката на отговора се основава на критериите на </w:t>
      </w:r>
      <w:r w:rsidRPr="00273BFE">
        <w:rPr>
          <w:rFonts w:eastAsia="Times New Roman" w:cs="Arial"/>
          <w:i/>
          <w:iCs/>
          <w:color w:val="000000"/>
          <w:lang w:val="en-US"/>
        </w:rPr>
        <w:t>Southwestern Oncology Group (SWOG).</w:t>
      </w:r>
      <w:r w:rsidRPr="00273BFE">
        <w:rPr>
          <w:rFonts w:eastAsia="Times New Roman" w:cs="Arial"/>
          <w:color w:val="000000"/>
          <w:lang w:val="en-US"/>
        </w:rPr>
        <w:t xml:space="preserve"> </w:t>
      </w:r>
      <w:r w:rsidRPr="00273BFE">
        <w:rPr>
          <w:rFonts w:eastAsia="Times New Roman" w:cs="Arial"/>
          <w:color w:val="000000"/>
          <w:lang w:eastAsia="bg-BG"/>
        </w:rPr>
        <w:t>Резултатите са представени в Таблица 6.</w:t>
      </w:r>
    </w:p>
    <w:p w14:paraId="6BDE69AC" w14:textId="77777777" w:rsidR="00273BFE" w:rsidRPr="00273BFE" w:rsidRDefault="00273BFE" w:rsidP="00273BFE">
      <w:pPr>
        <w:spacing w:line="240" w:lineRule="auto"/>
        <w:rPr>
          <w:rFonts w:eastAsia="Times New Roman" w:cs="Arial"/>
          <w:b/>
          <w:bCs/>
          <w:color w:val="000000"/>
          <w:lang w:eastAsia="bg-BG"/>
        </w:rPr>
      </w:pPr>
    </w:p>
    <w:p w14:paraId="652BF17B" w14:textId="5963FC99" w:rsidR="00CE6CFD" w:rsidRPr="00273BFE" w:rsidRDefault="00273BFE" w:rsidP="00273BFE">
      <w:pPr>
        <w:spacing w:line="240" w:lineRule="auto"/>
        <w:rPr>
          <w:rFonts w:eastAsia="Times New Roman" w:cs="Arial"/>
          <w:sz w:val="24"/>
          <w:szCs w:val="24"/>
          <w:lang w:eastAsia="bg-BG"/>
        </w:rPr>
      </w:pPr>
      <w:r w:rsidRPr="00273BFE">
        <w:rPr>
          <w:rFonts w:eastAsia="Times New Roman" w:cs="Arial"/>
          <w:b/>
          <w:bCs/>
          <w:color w:val="000000"/>
          <w:lang w:eastAsia="bg-BG"/>
        </w:rPr>
        <w:t xml:space="preserve">Таблица 6 Най-добър отговор от срана на тумора при проучване </w:t>
      </w:r>
      <w:r w:rsidRPr="00273BFE">
        <w:rPr>
          <w:rFonts w:eastAsia="Times New Roman" w:cs="Arial"/>
          <w:b/>
          <w:bCs/>
          <w:color w:val="000000"/>
          <w:lang w:val="en-US"/>
        </w:rPr>
        <w:t xml:space="preserve">STIB2222 </w:t>
      </w:r>
      <w:r w:rsidRPr="00273BFE">
        <w:rPr>
          <w:rFonts w:eastAsia="Times New Roman" w:cs="Arial"/>
          <w:b/>
          <w:bCs/>
          <w:color w:val="000000"/>
          <w:lang w:eastAsia="bg-BG"/>
        </w:rPr>
        <w:t>(ГИСТ)</w:t>
      </w:r>
    </w:p>
    <w:p w14:paraId="796FB031" w14:textId="31B7E383" w:rsidR="00CE6CFD" w:rsidRDefault="00CE6CFD" w:rsidP="0091385D"/>
    <w:tbl>
      <w:tblPr>
        <w:tblStyle w:val="TableGrid"/>
        <w:tblW w:w="0" w:type="auto"/>
        <w:tblLook w:val="04A0" w:firstRow="1" w:lastRow="0" w:firstColumn="1" w:lastColumn="0" w:noHBand="0" w:noVBand="1"/>
      </w:tblPr>
      <w:tblGrid>
        <w:gridCol w:w="4675"/>
        <w:gridCol w:w="4675"/>
      </w:tblGrid>
      <w:tr w:rsidR="00273BFE" w14:paraId="734C08B9" w14:textId="77777777" w:rsidTr="00273BFE">
        <w:tc>
          <w:tcPr>
            <w:tcW w:w="4675" w:type="dxa"/>
          </w:tcPr>
          <w:p w14:paraId="122DD8C2" w14:textId="69947BF9" w:rsidR="00273BFE" w:rsidRDefault="00273BFE" w:rsidP="00273BFE">
            <w:r>
              <w:t>Най-добър отговор</w:t>
            </w:r>
          </w:p>
        </w:tc>
        <w:tc>
          <w:tcPr>
            <w:tcW w:w="4675" w:type="dxa"/>
          </w:tcPr>
          <w:p w14:paraId="0064E464" w14:textId="77777777" w:rsidR="00273BFE" w:rsidRDefault="00273BFE" w:rsidP="00273BFE">
            <w:r>
              <w:t>Всички дози (</w:t>
            </w:r>
            <w:r>
              <w:rPr>
                <w:lang w:val="en-US"/>
              </w:rPr>
              <w:t>n</w:t>
            </w:r>
            <w:r>
              <w:t>=147)</w:t>
            </w:r>
          </w:p>
          <w:p w14:paraId="399A7724" w14:textId="77777777" w:rsidR="00273BFE" w:rsidRDefault="00273BFE" w:rsidP="00273BFE">
            <w:r>
              <w:t xml:space="preserve">400 </w:t>
            </w:r>
            <w:r>
              <w:rPr>
                <w:lang w:val="en-US"/>
              </w:rPr>
              <w:t xml:space="preserve">mg </w:t>
            </w:r>
            <w:r>
              <w:t>(</w:t>
            </w:r>
            <w:r>
              <w:rPr>
                <w:lang w:val="en-US"/>
              </w:rPr>
              <w:t>n</w:t>
            </w:r>
            <w:r>
              <w:t>=73)</w:t>
            </w:r>
          </w:p>
          <w:p w14:paraId="03E13F74" w14:textId="75D97D5D" w:rsidR="00273BFE" w:rsidRDefault="00273BFE" w:rsidP="00273BFE">
            <w:r>
              <w:t xml:space="preserve">600 </w:t>
            </w:r>
            <w:r>
              <w:rPr>
                <w:lang w:val="en-US"/>
              </w:rPr>
              <w:t xml:space="preserve">mg </w:t>
            </w:r>
            <w:r>
              <w:t>(</w:t>
            </w:r>
            <w:r>
              <w:rPr>
                <w:lang w:val="en-US"/>
              </w:rPr>
              <w:t>n</w:t>
            </w:r>
            <w:r>
              <w:t xml:space="preserve">=74) </w:t>
            </w:r>
            <w:r>
              <w:rPr>
                <w:lang w:val="en-US"/>
              </w:rPr>
              <w:t>n</w:t>
            </w:r>
            <w:r>
              <w:t xml:space="preserve"> (%)</w:t>
            </w:r>
          </w:p>
        </w:tc>
      </w:tr>
      <w:tr w:rsidR="00273BFE" w14:paraId="0838C228" w14:textId="77777777" w:rsidTr="00273BFE">
        <w:tc>
          <w:tcPr>
            <w:tcW w:w="4675" w:type="dxa"/>
          </w:tcPr>
          <w:p w14:paraId="46F79B44" w14:textId="33AB467B" w:rsidR="00273BFE" w:rsidRDefault="00273BFE" w:rsidP="00273BFE">
            <w:r>
              <w:t>Пълен отговор</w:t>
            </w:r>
          </w:p>
        </w:tc>
        <w:tc>
          <w:tcPr>
            <w:tcW w:w="4675" w:type="dxa"/>
          </w:tcPr>
          <w:p w14:paraId="240C5580" w14:textId="4CBBB386" w:rsidR="00273BFE" w:rsidRDefault="00273BFE" w:rsidP="00273BFE">
            <w:r>
              <w:t>1 (0,7)</w:t>
            </w:r>
          </w:p>
        </w:tc>
      </w:tr>
      <w:tr w:rsidR="00273BFE" w14:paraId="1F62E841" w14:textId="77777777" w:rsidTr="00273BFE">
        <w:tc>
          <w:tcPr>
            <w:tcW w:w="4675" w:type="dxa"/>
          </w:tcPr>
          <w:p w14:paraId="047D23EB" w14:textId="57E30986" w:rsidR="00273BFE" w:rsidRDefault="00273BFE" w:rsidP="00273BFE">
            <w:r>
              <w:t>Частичен отговор</w:t>
            </w:r>
          </w:p>
        </w:tc>
        <w:tc>
          <w:tcPr>
            <w:tcW w:w="4675" w:type="dxa"/>
          </w:tcPr>
          <w:p w14:paraId="4FD7A85D" w14:textId="3BF13E75" w:rsidR="00273BFE" w:rsidRDefault="00273BFE" w:rsidP="00273BFE">
            <w:r>
              <w:t>98 (66,7)</w:t>
            </w:r>
          </w:p>
        </w:tc>
      </w:tr>
      <w:tr w:rsidR="00273BFE" w14:paraId="51C6F0F6" w14:textId="77777777" w:rsidTr="00273BFE">
        <w:tc>
          <w:tcPr>
            <w:tcW w:w="4675" w:type="dxa"/>
          </w:tcPr>
          <w:p w14:paraId="3074D1BE" w14:textId="30F5F41C" w:rsidR="00273BFE" w:rsidRDefault="00273BFE" w:rsidP="00273BFE">
            <w:r>
              <w:t>Стабилно заболяване</w:t>
            </w:r>
          </w:p>
        </w:tc>
        <w:tc>
          <w:tcPr>
            <w:tcW w:w="4675" w:type="dxa"/>
          </w:tcPr>
          <w:p w14:paraId="0C9F2E7C" w14:textId="66A29556" w:rsidR="00273BFE" w:rsidRDefault="00273BFE" w:rsidP="00273BFE">
            <w:r>
              <w:t>23(15,6)</w:t>
            </w:r>
          </w:p>
        </w:tc>
      </w:tr>
      <w:tr w:rsidR="00273BFE" w14:paraId="21662F85" w14:textId="77777777" w:rsidTr="00273BFE">
        <w:tc>
          <w:tcPr>
            <w:tcW w:w="4675" w:type="dxa"/>
          </w:tcPr>
          <w:p w14:paraId="5816E3C2" w14:textId="0647E2CE" w:rsidR="00273BFE" w:rsidRDefault="00273BFE" w:rsidP="00273BFE">
            <w:r>
              <w:t>Прогресиращо заболяване</w:t>
            </w:r>
          </w:p>
        </w:tc>
        <w:tc>
          <w:tcPr>
            <w:tcW w:w="4675" w:type="dxa"/>
          </w:tcPr>
          <w:p w14:paraId="012C73E1" w14:textId="0ED4B528" w:rsidR="00273BFE" w:rsidRDefault="00273BFE" w:rsidP="00273BFE">
            <w:r>
              <w:t>18(12,2)</w:t>
            </w:r>
          </w:p>
        </w:tc>
      </w:tr>
      <w:tr w:rsidR="00273BFE" w14:paraId="56BA238F" w14:textId="77777777" w:rsidTr="00273BFE">
        <w:tc>
          <w:tcPr>
            <w:tcW w:w="4675" w:type="dxa"/>
          </w:tcPr>
          <w:p w14:paraId="6839BE4F" w14:textId="11367B7A" w:rsidR="00273BFE" w:rsidRDefault="00273BFE" w:rsidP="00273BFE">
            <w:r>
              <w:t>Не може да бъде оценен</w:t>
            </w:r>
          </w:p>
        </w:tc>
        <w:tc>
          <w:tcPr>
            <w:tcW w:w="4675" w:type="dxa"/>
          </w:tcPr>
          <w:p w14:paraId="0A46BC80" w14:textId="722BB6C8" w:rsidR="00273BFE" w:rsidRDefault="00273BFE" w:rsidP="00273BFE">
            <w:r>
              <w:t>5 (3,4)</w:t>
            </w:r>
          </w:p>
        </w:tc>
      </w:tr>
      <w:tr w:rsidR="00273BFE" w14:paraId="4E59E54C" w14:textId="77777777" w:rsidTr="00273BFE">
        <w:tc>
          <w:tcPr>
            <w:tcW w:w="4675" w:type="dxa"/>
          </w:tcPr>
          <w:p w14:paraId="3DF31378" w14:textId="12101118" w:rsidR="00273BFE" w:rsidRDefault="00273BFE" w:rsidP="00273BFE">
            <w:r>
              <w:t>Неизвестен</w:t>
            </w:r>
          </w:p>
        </w:tc>
        <w:tc>
          <w:tcPr>
            <w:tcW w:w="4675" w:type="dxa"/>
          </w:tcPr>
          <w:p w14:paraId="313EB95D" w14:textId="0D6C71B4" w:rsidR="00273BFE" w:rsidRDefault="00273BFE" w:rsidP="00273BFE">
            <w:r>
              <w:t>2(1,4)</w:t>
            </w:r>
          </w:p>
        </w:tc>
      </w:tr>
    </w:tbl>
    <w:p w14:paraId="01BDE2D1" w14:textId="77777777" w:rsidR="00273BFE" w:rsidRPr="00273BFE" w:rsidRDefault="00273BFE" w:rsidP="00273BFE">
      <w:pPr>
        <w:spacing w:line="240" w:lineRule="auto"/>
        <w:rPr>
          <w:rFonts w:eastAsia="Times New Roman" w:cs="Arial"/>
          <w:sz w:val="24"/>
          <w:szCs w:val="24"/>
          <w:lang w:eastAsia="bg-BG"/>
        </w:rPr>
      </w:pPr>
      <w:r w:rsidRPr="00273BFE">
        <w:rPr>
          <w:rFonts w:eastAsia="Times New Roman" w:cs="Arial"/>
          <w:color w:val="000000"/>
          <w:lang w:eastAsia="bg-BG"/>
        </w:rPr>
        <w:lastRenderedPageBreak/>
        <w:t xml:space="preserve">Няма разлики в степените на отговор между двете дозови групи. Значителен брой от пациенти, които са със стабилно заболяване по време на междинния анализ постигат частичен отговор с по—продължително лечение (средно проследяване 31 месеца). Средното време за отговор е 13 седмици (95% ДИ 12-23). Средното време за неуспех от лечението при отговорилите е 122 седмици (95% ДИ 106-147), докато в общата популация на проучването е 84 седмици (95% ДИ 71-109). Средната обща преживяемост не е достигната. Оценката по </w:t>
      </w:r>
      <w:r w:rsidRPr="00273BFE">
        <w:rPr>
          <w:rFonts w:eastAsia="Times New Roman" w:cs="Arial"/>
          <w:color w:val="000000"/>
          <w:lang w:val="en-US"/>
        </w:rPr>
        <w:t xml:space="preserve">Kaplan-Meier </w:t>
      </w:r>
      <w:r w:rsidRPr="00273BFE">
        <w:rPr>
          <w:rFonts w:eastAsia="Times New Roman" w:cs="Arial"/>
          <w:color w:val="000000"/>
          <w:lang w:eastAsia="bg-BG"/>
        </w:rPr>
        <w:t>за преживяемостта след 36 месечно проследяване е 68%.</w:t>
      </w:r>
    </w:p>
    <w:p w14:paraId="0FD8CE0A" w14:textId="77777777" w:rsidR="00273BFE" w:rsidRPr="00273BFE" w:rsidRDefault="00273BFE" w:rsidP="00273BFE">
      <w:pPr>
        <w:spacing w:line="240" w:lineRule="auto"/>
        <w:rPr>
          <w:rFonts w:eastAsia="Times New Roman" w:cs="Arial"/>
          <w:color w:val="000000"/>
          <w:lang w:eastAsia="bg-BG"/>
        </w:rPr>
      </w:pPr>
    </w:p>
    <w:p w14:paraId="2DCE6F58" w14:textId="0E4972EF" w:rsidR="00273BFE" w:rsidRPr="00273BFE" w:rsidRDefault="00273BFE" w:rsidP="00273BFE">
      <w:pPr>
        <w:spacing w:line="240" w:lineRule="auto"/>
        <w:rPr>
          <w:rFonts w:eastAsia="Times New Roman" w:cs="Arial"/>
          <w:sz w:val="24"/>
          <w:szCs w:val="24"/>
          <w:lang w:eastAsia="bg-BG"/>
        </w:rPr>
      </w:pPr>
      <w:r w:rsidRPr="00273BFE">
        <w:rPr>
          <w:rFonts w:eastAsia="Times New Roman" w:cs="Arial"/>
          <w:color w:val="000000"/>
          <w:lang w:eastAsia="bg-BG"/>
        </w:rPr>
        <w:t xml:space="preserve">При две клинични проучвания (проучване В2222 и междугруповото проучване </w:t>
      </w:r>
      <w:r w:rsidRPr="00273BFE">
        <w:rPr>
          <w:rFonts w:eastAsia="Times New Roman" w:cs="Arial"/>
          <w:color w:val="000000"/>
          <w:lang w:val="en-US"/>
        </w:rPr>
        <w:t xml:space="preserve">S0033) </w:t>
      </w:r>
      <w:r w:rsidRPr="00273BFE">
        <w:rPr>
          <w:rFonts w:eastAsia="Times New Roman" w:cs="Arial"/>
          <w:color w:val="000000"/>
          <w:lang w:eastAsia="bg-BG"/>
        </w:rPr>
        <w:t xml:space="preserve">дневната доза на иматиниб е повишена на 800 </w:t>
      </w:r>
      <w:r w:rsidRPr="00273BFE">
        <w:rPr>
          <w:rFonts w:eastAsia="Times New Roman" w:cs="Arial"/>
          <w:color w:val="000000"/>
          <w:lang w:val="en-US"/>
        </w:rPr>
        <w:t xml:space="preserve">mg </w:t>
      </w:r>
      <w:r w:rsidRPr="00273BFE">
        <w:rPr>
          <w:rFonts w:eastAsia="Times New Roman" w:cs="Arial"/>
          <w:color w:val="000000"/>
          <w:lang w:eastAsia="bg-BG"/>
        </w:rPr>
        <w:t xml:space="preserve">при пациенти с прогресия на заболяването при ниски дневни дози от 400 </w:t>
      </w:r>
      <w:r w:rsidRPr="00273BFE">
        <w:rPr>
          <w:rFonts w:eastAsia="Times New Roman" w:cs="Arial"/>
          <w:color w:val="000000"/>
          <w:lang w:val="en-US"/>
        </w:rPr>
        <w:t xml:space="preserve">mg </w:t>
      </w:r>
      <w:r w:rsidRPr="00273BFE">
        <w:rPr>
          <w:rFonts w:eastAsia="Times New Roman" w:cs="Arial"/>
          <w:color w:val="000000"/>
          <w:lang w:eastAsia="bg-BG"/>
        </w:rPr>
        <w:t xml:space="preserve">или 600 </w:t>
      </w:r>
      <w:r w:rsidRPr="00273BFE">
        <w:rPr>
          <w:rFonts w:eastAsia="Times New Roman" w:cs="Arial"/>
          <w:color w:val="000000"/>
          <w:lang w:val="en-US"/>
        </w:rPr>
        <w:t xml:space="preserve">mg. </w:t>
      </w:r>
      <w:r w:rsidRPr="00273BFE">
        <w:rPr>
          <w:rFonts w:eastAsia="Times New Roman" w:cs="Arial"/>
          <w:color w:val="000000"/>
          <w:lang w:eastAsia="bg-BG"/>
        </w:rPr>
        <w:t xml:space="preserve">Дневната доза е повишена на 800 </w:t>
      </w:r>
      <w:r w:rsidRPr="00273BFE">
        <w:rPr>
          <w:rFonts w:eastAsia="Times New Roman" w:cs="Arial"/>
          <w:color w:val="000000"/>
          <w:lang w:val="en-US"/>
        </w:rPr>
        <w:t xml:space="preserve">mg </w:t>
      </w:r>
      <w:r w:rsidRPr="00273BFE">
        <w:rPr>
          <w:rFonts w:eastAsia="Times New Roman" w:cs="Arial"/>
          <w:color w:val="000000"/>
          <w:lang w:eastAsia="bg-BG"/>
        </w:rPr>
        <w:t>при общо 108 пациенти; 6 пациенти постигат частичен отговор и 21 стабилизиране на заболяването си след повишаване на дозата при обща клинична полза от 26%. Наличните данни за безопасност</w:t>
      </w:r>
      <w:r>
        <w:rPr>
          <w:rFonts w:eastAsia="Times New Roman" w:cs="Arial"/>
          <w:sz w:val="24"/>
          <w:szCs w:val="24"/>
          <w:lang w:eastAsia="bg-BG"/>
        </w:rPr>
        <w:t xml:space="preserve"> </w:t>
      </w:r>
      <w:r w:rsidRPr="00273BFE">
        <w:rPr>
          <w:rFonts w:eastAsia="Times New Roman" w:cs="Arial"/>
          <w:color w:val="000000"/>
          <w:lang w:eastAsia="bg-BG"/>
        </w:rPr>
        <w:t xml:space="preserve">показват, че повишаването на дозата на 800 </w:t>
      </w:r>
      <w:r w:rsidRPr="00273BFE">
        <w:rPr>
          <w:rFonts w:eastAsia="Times New Roman" w:cs="Arial"/>
          <w:color w:val="000000"/>
          <w:lang w:val="en-US"/>
        </w:rPr>
        <w:t xml:space="preserve">mg </w:t>
      </w:r>
      <w:r w:rsidRPr="00273BFE">
        <w:rPr>
          <w:rFonts w:eastAsia="Times New Roman" w:cs="Arial"/>
          <w:color w:val="000000"/>
          <w:lang w:eastAsia="bg-BG"/>
        </w:rPr>
        <w:t xml:space="preserve">дневно при пациенти с прогресия при ниските дози от 400 </w:t>
      </w:r>
      <w:r w:rsidRPr="00273BFE">
        <w:rPr>
          <w:rFonts w:eastAsia="Times New Roman" w:cs="Arial"/>
          <w:color w:val="000000"/>
          <w:lang w:val="en-US"/>
        </w:rPr>
        <w:t xml:space="preserve">mg </w:t>
      </w:r>
      <w:r w:rsidRPr="00273BFE">
        <w:rPr>
          <w:rFonts w:eastAsia="Times New Roman" w:cs="Arial"/>
          <w:color w:val="000000"/>
          <w:lang w:eastAsia="bg-BG"/>
        </w:rPr>
        <w:t xml:space="preserve">или 600 </w:t>
      </w:r>
      <w:r w:rsidRPr="00273BFE">
        <w:rPr>
          <w:rFonts w:eastAsia="Times New Roman" w:cs="Arial"/>
          <w:color w:val="000000"/>
          <w:lang w:val="en-US"/>
        </w:rPr>
        <w:t xml:space="preserve">mg </w:t>
      </w:r>
      <w:r w:rsidRPr="00273BFE">
        <w:rPr>
          <w:rFonts w:eastAsia="Times New Roman" w:cs="Arial"/>
          <w:color w:val="000000"/>
          <w:lang w:eastAsia="bg-BG"/>
        </w:rPr>
        <w:t>дневно не се отразява на профила на безопасност на иматиниб.</w:t>
      </w:r>
    </w:p>
    <w:p w14:paraId="63051CC0" w14:textId="77777777" w:rsidR="00273BFE" w:rsidRPr="00273BFE" w:rsidRDefault="00273BFE" w:rsidP="00273BFE">
      <w:pPr>
        <w:spacing w:line="240" w:lineRule="auto"/>
        <w:rPr>
          <w:rFonts w:eastAsia="Times New Roman" w:cs="Arial"/>
          <w:color w:val="000000"/>
          <w:u w:val="single"/>
          <w:lang w:eastAsia="bg-BG"/>
        </w:rPr>
      </w:pPr>
    </w:p>
    <w:p w14:paraId="63925A42" w14:textId="365B2E1F" w:rsidR="00273BFE" w:rsidRPr="00273BFE" w:rsidRDefault="00273BFE" w:rsidP="00273BFE">
      <w:pPr>
        <w:spacing w:line="240" w:lineRule="auto"/>
        <w:rPr>
          <w:rFonts w:eastAsia="Times New Roman" w:cs="Arial"/>
          <w:sz w:val="24"/>
          <w:szCs w:val="24"/>
          <w:lang w:eastAsia="bg-BG"/>
        </w:rPr>
      </w:pPr>
      <w:r w:rsidRPr="00273BFE">
        <w:rPr>
          <w:rFonts w:eastAsia="Times New Roman" w:cs="Arial"/>
          <w:color w:val="000000"/>
          <w:u w:val="single"/>
          <w:lang w:eastAsia="bg-BG"/>
        </w:rPr>
        <w:t>Клинични проучвания при адювантна терапия на ГИСТ</w:t>
      </w:r>
    </w:p>
    <w:p w14:paraId="0F166AAD" w14:textId="77777777" w:rsidR="00273BFE" w:rsidRPr="00273BFE" w:rsidRDefault="00273BFE" w:rsidP="00273BFE">
      <w:pPr>
        <w:rPr>
          <w:rFonts w:eastAsia="Times New Roman" w:cs="Arial"/>
          <w:sz w:val="24"/>
          <w:szCs w:val="24"/>
          <w:lang w:eastAsia="bg-BG"/>
        </w:rPr>
      </w:pPr>
      <w:r w:rsidRPr="00273BFE">
        <w:rPr>
          <w:rFonts w:eastAsia="Times New Roman" w:cs="Arial"/>
          <w:color w:val="000000"/>
          <w:lang w:eastAsia="bg-BG"/>
        </w:rPr>
        <w:t xml:space="preserve">Приложението на иматиниб като адювантна терапия е проучено в многоцентрово двойно- сляпо, проспективно, плацебо контролирано фаза III проучване </w:t>
      </w:r>
      <w:r w:rsidRPr="00273BFE">
        <w:rPr>
          <w:rFonts w:eastAsia="Times New Roman" w:cs="Arial"/>
          <w:color w:val="000000"/>
          <w:lang w:val="en-US"/>
        </w:rPr>
        <w:t>(Z900</w:t>
      </w:r>
      <w:r w:rsidRPr="00273BFE">
        <w:rPr>
          <w:rFonts w:eastAsia="Times New Roman" w:cs="Arial"/>
          <w:color w:val="000000"/>
          <w:lang w:eastAsia="bg-BG"/>
        </w:rPr>
        <w:t xml:space="preserve">1), включващо пациенти. Възрастта на пациентите варира от 18 до 91 години. В проучването са включени пациенти с хистологично диагностициран първичен ГИСТ, експресиращ </w:t>
      </w:r>
      <w:r w:rsidRPr="00273BFE">
        <w:rPr>
          <w:rFonts w:eastAsia="Times New Roman" w:cs="Arial"/>
          <w:color w:val="000000"/>
          <w:lang w:val="en-US"/>
        </w:rPr>
        <w:t xml:space="preserve">Kit </w:t>
      </w:r>
      <w:r w:rsidRPr="00273BFE">
        <w:rPr>
          <w:rFonts w:eastAsia="Times New Roman" w:cs="Arial"/>
          <w:color w:val="000000"/>
          <w:lang w:eastAsia="bg-BG"/>
        </w:rPr>
        <w:t xml:space="preserve">протеин при имунохистохимия и големина на тумора ≥3 </w:t>
      </w:r>
      <w:r w:rsidRPr="00273BFE">
        <w:rPr>
          <w:rFonts w:eastAsia="Times New Roman" w:cs="Arial"/>
          <w:color w:val="000000"/>
          <w:lang w:val="en-US"/>
        </w:rPr>
        <w:t xml:space="preserve">cm </w:t>
      </w:r>
      <w:r w:rsidRPr="00273BFE">
        <w:rPr>
          <w:rFonts w:eastAsia="Times New Roman" w:cs="Arial"/>
          <w:color w:val="000000"/>
          <w:lang w:eastAsia="bg-BG"/>
        </w:rPr>
        <w:t xml:space="preserve">в най-големия диаметър, претърпели тотална макроскопска резекция на ГИСТ в рамките на 14-70 дни преди регистрацията. След резекцията на първичния ГИСТ пациентите са рандомизирани в две рамена: да получават иматиниб 400 </w:t>
      </w:r>
      <w:r w:rsidRPr="00273BFE">
        <w:rPr>
          <w:rFonts w:eastAsia="Times New Roman" w:cs="Arial"/>
          <w:color w:val="000000"/>
          <w:lang w:val="en-US"/>
        </w:rPr>
        <w:t>mg</w:t>
      </w:r>
      <w:r w:rsidRPr="00273BFE">
        <w:rPr>
          <w:rFonts w:eastAsia="Times New Roman" w:cs="Arial"/>
          <w:color w:val="000000"/>
          <w:lang w:eastAsia="bg-BG"/>
        </w:rPr>
        <w:t>/ден или плацебо в продължение на една година.</w:t>
      </w:r>
    </w:p>
    <w:p w14:paraId="682998AF" w14:textId="77777777" w:rsidR="00273BFE" w:rsidRPr="00273BFE" w:rsidRDefault="00273BFE" w:rsidP="00273BFE">
      <w:pPr>
        <w:spacing w:line="240" w:lineRule="auto"/>
        <w:rPr>
          <w:rFonts w:eastAsia="Times New Roman" w:cs="Arial"/>
          <w:color w:val="000000"/>
          <w:lang w:eastAsia="bg-BG"/>
        </w:rPr>
      </w:pPr>
    </w:p>
    <w:p w14:paraId="6A073521" w14:textId="330BD650" w:rsidR="00273BFE" w:rsidRPr="00273BFE" w:rsidRDefault="00273BFE" w:rsidP="00273BFE">
      <w:pPr>
        <w:spacing w:line="240" w:lineRule="auto"/>
        <w:rPr>
          <w:rFonts w:eastAsia="Times New Roman" w:cs="Arial"/>
          <w:sz w:val="24"/>
          <w:szCs w:val="24"/>
          <w:lang w:eastAsia="bg-BG"/>
        </w:rPr>
      </w:pPr>
      <w:r w:rsidRPr="00273BFE">
        <w:rPr>
          <w:rFonts w:eastAsia="Times New Roman" w:cs="Arial"/>
          <w:color w:val="000000"/>
          <w:lang w:eastAsia="bg-BG"/>
        </w:rPr>
        <w:t>Първична крайна точка на проучването е преживяемостта без рецидив, определена като време от деня на рандомизацията до деня, в който настъпва рецидив на заболяването или смърт поради някаква друга причина.</w:t>
      </w:r>
    </w:p>
    <w:p w14:paraId="4CFC26EA" w14:textId="77777777" w:rsidR="00273BFE" w:rsidRPr="00273BFE" w:rsidRDefault="00273BFE" w:rsidP="00273BFE">
      <w:pPr>
        <w:spacing w:line="240" w:lineRule="auto"/>
        <w:rPr>
          <w:rFonts w:eastAsia="Times New Roman" w:cs="Arial"/>
          <w:color w:val="000000"/>
          <w:lang w:eastAsia="bg-BG"/>
        </w:rPr>
      </w:pPr>
    </w:p>
    <w:p w14:paraId="318E1B5D" w14:textId="78E0391E" w:rsidR="00273BFE" w:rsidRPr="00273BFE" w:rsidRDefault="00273BFE" w:rsidP="00273BFE">
      <w:pPr>
        <w:spacing w:line="240" w:lineRule="auto"/>
        <w:rPr>
          <w:rFonts w:eastAsia="Times New Roman" w:cs="Arial"/>
          <w:sz w:val="24"/>
          <w:szCs w:val="24"/>
          <w:lang w:eastAsia="bg-BG"/>
        </w:rPr>
      </w:pPr>
      <w:r w:rsidRPr="00273BFE">
        <w:rPr>
          <w:rFonts w:eastAsia="Times New Roman" w:cs="Arial"/>
          <w:color w:val="000000"/>
          <w:lang w:eastAsia="bg-BG"/>
        </w:rPr>
        <w:t>Иматиниб значимо удължава преживяемостта без рецидив, 75% от пациентите са без рецидив за период от 38 месеца в групата на Иматиниб спрямо 20 месеца в групата на плацебо (95% ДИ, [30 - неоценяеми]; съответно [14 - неоценяеми]); (коефициент на риск = 0,398 [0,259-0,610], р&lt;0,0001). На първата година общата преживяемост без рецидив е значимо по-висока при иматиниб (97,7%) спрямо плацебо (82,3%) (р&lt;0,0001). Рискът от рецидив на заболяването е редуциран с приблизително 89% в сравнение с плацебо (коефициент на риска = 0,113 [0.049- 0,264]).</w:t>
      </w:r>
    </w:p>
    <w:p w14:paraId="0B50BA68" w14:textId="77777777" w:rsidR="00273BFE" w:rsidRPr="00273BFE" w:rsidRDefault="00273BFE" w:rsidP="00273BFE">
      <w:pPr>
        <w:spacing w:line="240" w:lineRule="auto"/>
        <w:rPr>
          <w:rFonts w:eastAsia="Times New Roman" w:cs="Arial"/>
          <w:color w:val="000000"/>
          <w:lang w:eastAsia="bg-BG"/>
        </w:rPr>
      </w:pPr>
    </w:p>
    <w:p w14:paraId="33BC9999" w14:textId="006DB1F5" w:rsidR="00273BFE" w:rsidRPr="00273BFE" w:rsidRDefault="00273BFE" w:rsidP="00273BFE">
      <w:pPr>
        <w:spacing w:line="240" w:lineRule="auto"/>
        <w:rPr>
          <w:rFonts w:eastAsia="Times New Roman" w:cs="Arial"/>
          <w:sz w:val="24"/>
          <w:szCs w:val="24"/>
          <w:lang w:eastAsia="bg-BG"/>
        </w:rPr>
      </w:pPr>
      <w:r w:rsidRPr="00273BFE">
        <w:rPr>
          <w:rFonts w:eastAsia="Times New Roman" w:cs="Arial"/>
          <w:color w:val="000000"/>
          <w:lang w:eastAsia="bg-BG"/>
        </w:rPr>
        <w:t xml:space="preserve">Рискът от рецидив на заболяването при пациенти след оперативно лечение на първичен ГИСТ се оценява ретроспективно на база следните прогностични фактори: големина на тумора, митотичен индекс, локализация на тумора. Данни за митотичен индекс са налични при 556 от 713 </w:t>
      </w:r>
      <w:r w:rsidRPr="00273BFE">
        <w:rPr>
          <w:rFonts w:eastAsia="Times New Roman" w:cs="Arial"/>
          <w:color w:val="000000"/>
          <w:lang w:val="en-US"/>
        </w:rPr>
        <w:t xml:space="preserve">intention-to-treat (ITT) </w:t>
      </w:r>
      <w:r w:rsidRPr="00273BFE">
        <w:rPr>
          <w:rFonts w:eastAsia="Times New Roman" w:cs="Arial"/>
          <w:color w:val="000000"/>
          <w:lang w:eastAsia="bg-BG"/>
        </w:rPr>
        <w:t xml:space="preserve">пациенти. Резултатите от субгруповите анализи съгласно Националните здравни институти на САЩ </w:t>
      </w:r>
      <w:r w:rsidRPr="00273BFE">
        <w:rPr>
          <w:rFonts w:eastAsia="Times New Roman" w:cs="Arial"/>
          <w:color w:val="000000"/>
          <w:lang w:val="en-US"/>
        </w:rPr>
        <w:t xml:space="preserve">(United States National Institutes of Health (NIH)) </w:t>
      </w:r>
      <w:r w:rsidRPr="00273BFE">
        <w:rPr>
          <w:rFonts w:eastAsia="Times New Roman" w:cs="Arial"/>
          <w:color w:val="000000"/>
          <w:lang w:eastAsia="bg-BG"/>
        </w:rPr>
        <w:t xml:space="preserve">и класификацията на риска на Института на въоръжените сили по патология </w:t>
      </w:r>
      <w:r w:rsidRPr="00273BFE">
        <w:rPr>
          <w:rFonts w:eastAsia="Times New Roman" w:cs="Arial"/>
          <w:color w:val="000000"/>
          <w:lang w:val="en-US"/>
        </w:rPr>
        <w:t xml:space="preserve">(Armed Forces Institute of Pathology (AFIP)) </w:t>
      </w:r>
      <w:r w:rsidRPr="00273BFE">
        <w:rPr>
          <w:rFonts w:eastAsia="Times New Roman" w:cs="Arial"/>
          <w:color w:val="000000"/>
          <w:lang w:eastAsia="bg-BG"/>
        </w:rPr>
        <w:t xml:space="preserve">са показани в Таблица </w:t>
      </w:r>
      <w:r w:rsidRPr="00273BFE">
        <w:rPr>
          <w:rFonts w:eastAsia="Times New Roman" w:cs="Arial"/>
          <w:color w:val="000000"/>
          <w:lang w:val="en-US"/>
        </w:rPr>
        <w:t xml:space="preserve">7. </w:t>
      </w:r>
      <w:r w:rsidRPr="00273BFE">
        <w:rPr>
          <w:rFonts w:eastAsia="Times New Roman" w:cs="Arial"/>
          <w:color w:val="000000"/>
          <w:lang w:eastAsia="bg-BG"/>
        </w:rPr>
        <w:t>В групите с нисък и много нисък риск не се наблюдават клинични ползи. Ползи не се наблюдават и по отношение на общата преживяемост.</w:t>
      </w:r>
    </w:p>
    <w:p w14:paraId="26D9495D" w14:textId="77777777" w:rsidR="00273BFE" w:rsidRPr="00273BFE" w:rsidRDefault="00273BFE" w:rsidP="00273BFE">
      <w:pPr>
        <w:rPr>
          <w:rFonts w:eastAsia="Times New Roman" w:cs="Arial"/>
          <w:b/>
          <w:bCs/>
          <w:color w:val="000000"/>
          <w:lang w:eastAsia="bg-BG"/>
        </w:rPr>
      </w:pPr>
    </w:p>
    <w:p w14:paraId="769FE53D" w14:textId="4A89E314" w:rsidR="00273BFE" w:rsidRPr="00273BFE" w:rsidRDefault="00273BFE" w:rsidP="00273BFE">
      <w:pPr>
        <w:rPr>
          <w:rFonts w:cs="Arial"/>
        </w:rPr>
      </w:pPr>
      <w:r w:rsidRPr="00273BFE">
        <w:rPr>
          <w:rFonts w:eastAsia="Times New Roman" w:cs="Arial"/>
          <w:b/>
          <w:bCs/>
          <w:color w:val="000000"/>
          <w:lang w:eastAsia="bg-BG"/>
        </w:rPr>
        <w:lastRenderedPageBreak/>
        <w:t xml:space="preserve">Таблица 7 Обобщение на анализите на преживяемостта без рецидив при проучването </w:t>
      </w:r>
      <w:r w:rsidRPr="00273BFE">
        <w:rPr>
          <w:rFonts w:eastAsia="Times New Roman" w:cs="Arial"/>
          <w:b/>
          <w:bCs/>
          <w:color w:val="000000"/>
          <w:lang w:val="en-US"/>
        </w:rPr>
        <w:t xml:space="preserve">Z9001, </w:t>
      </w:r>
      <w:r w:rsidRPr="00273BFE">
        <w:rPr>
          <w:rFonts w:eastAsia="Times New Roman" w:cs="Arial"/>
          <w:b/>
          <w:bCs/>
          <w:color w:val="000000"/>
          <w:lang w:eastAsia="bg-BG"/>
        </w:rPr>
        <w:t xml:space="preserve">съгласно класификациите на риска на </w:t>
      </w:r>
      <w:r w:rsidRPr="00273BFE">
        <w:rPr>
          <w:rFonts w:eastAsia="Times New Roman" w:cs="Arial"/>
          <w:b/>
          <w:bCs/>
          <w:color w:val="000000"/>
          <w:lang w:val="en-US"/>
        </w:rPr>
        <w:t xml:space="preserve">NIH </w:t>
      </w:r>
      <w:r w:rsidRPr="00273BFE">
        <w:rPr>
          <w:rFonts w:eastAsia="Times New Roman" w:cs="Arial"/>
          <w:b/>
          <w:bCs/>
          <w:color w:val="000000"/>
          <w:lang w:eastAsia="bg-BG"/>
        </w:rPr>
        <w:t xml:space="preserve">и </w:t>
      </w:r>
      <w:r w:rsidRPr="00273BFE">
        <w:rPr>
          <w:rFonts w:eastAsia="Times New Roman" w:cs="Arial"/>
          <w:b/>
          <w:bCs/>
          <w:color w:val="000000"/>
          <w:lang w:val="en-US"/>
        </w:rPr>
        <w:t>AFIP</w:t>
      </w:r>
    </w:p>
    <w:tbl>
      <w:tblPr>
        <w:tblStyle w:val="TableGrid"/>
        <w:tblW w:w="0" w:type="auto"/>
        <w:tblLook w:val="04A0" w:firstRow="1" w:lastRow="0" w:firstColumn="1" w:lastColumn="0" w:noHBand="0" w:noVBand="1"/>
      </w:tblPr>
      <w:tblGrid>
        <w:gridCol w:w="1307"/>
        <w:gridCol w:w="1257"/>
        <w:gridCol w:w="1301"/>
        <w:gridCol w:w="1326"/>
        <w:gridCol w:w="1545"/>
        <w:gridCol w:w="1307"/>
        <w:gridCol w:w="1307"/>
      </w:tblGrid>
      <w:tr w:rsidR="00273BFE" w14:paraId="285AFE6E" w14:textId="77777777" w:rsidTr="00273BFE">
        <w:tc>
          <w:tcPr>
            <w:tcW w:w="1307" w:type="dxa"/>
            <w:vMerge w:val="restart"/>
          </w:tcPr>
          <w:p w14:paraId="70D2D757" w14:textId="7668F1E5" w:rsidR="00273BFE" w:rsidRDefault="00273BFE" w:rsidP="00273BFE">
            <w:r>
              <w:rPr>
                <w:b/>
                <w:bCs/>
              </w:rPr>
              <w:t>Критерии за риск</w:t>
            </w:r>
          </w:p>
        </w:tc>
        <w:tc>
          <w:tcPr>
            <w:tcW w:w="1257" w:type="dxa"/>
            <w:vMerge w:val="restart"/>
          </w:tcPr>
          <w:p w14:paraId="639C2B79" w14:textId="3314D867" w:rsidR="00273BFE" w:rsidRDefault="00273BFE" w:rsidP="00273BFE">
            <w:r>
              <w:rPr>
                <w:b/>
                <w:bCs/>
              </w:rPr>
              <w:t>Степен на риск</w:t>
            </w:r>
          </w:p>
        </w:tc>
        <w:tc>
          <w:tcPr>
            <w:tcW w:w="1301" w:type="dxa"/>
            <w:vMerge w:val="restart"/>
          </w:tcPr>
          <w:p w14:paraId="793CBF5C" w14:textId="41BEA4C9" w:rsidR="00273BFE" w:rsidRDefault="00273BFE" w:rsidP="00273BFE">
            <w:r>
              <w:rPr>
                <w:b/>
                <w:bCs/>
              </w:rPr>
              <w:t>% пациенти</w:t>
            </w:r>
          </w:p>
        </w:tc>
        <w:tc>
          <w:tcPr>
            <w:tcW w:w="1326" w:type="dxa"/>
            <w:vMerge w:val="restart"/>
          </w:tcPr>
          <w:p w14:paraId="727C88F1" w14:textId="77777777" w:rsidR="00273BFE" w:rsidRDefault="00273BFE" w:rsidP="00273BFE">
            <w:r>
              <w:rPr>
                <w:b/>
                <w:bCs/>
              </w:rPr>
              <w:t xml:space="preserve"> Брой събития/</w:t>
            </w:r>
          </w:p>
          <w:p w14:paraId="2A8616AC" w14:textId="2E9E7B0A" w:rsidR="00273BFE" w:rsidRDefault="00273BFE" w:rsidP="00273BFE">
            <w:r>
              <w:rPr>
                <w:b/>
                <w:bCs/>
              </w:rPr>
              <w:t xml:space="preserve"> Брой пациенти</w:t>
            </w:r>
          </w:p>
        </w:tc>
        <w:tc>
          <w:tcPr>
            <w:tcW w:w="1545" w:type="dxa"/>
            <w:vMerge w:val="restart"/>
          </w:tcPr>
          <w:p w14:paraId="75208DD6" w14:textId="10E30148" w:rsidR="00273BFE" w:rsidRDefault="00273BFE" w:rsidP="00273BFE">
            <w:r>
              <w:rPr>
                <w:b/>
                <w:bCs/>
              </w:rPr>
              <w:t>Общ коефициент на риск (95%ДИ)*</w:t>
            </w:r>
          </w:p>
        </w:tc>
        <w:tc>
          <w:tcPr>
            <w:tcW w:w="2614" w:type="dxa"/>
            <w:gridSpan w:val="2"/>
          </w:tcPr>
          <w:p w14:paraId="5BBE233F" w14:textId="37750511" w:rsidR="00273BFE" w:rsidRDefault="00273BFE" w:rsidP="00273BFE">
            <w:r>
              <w:rPr>
                <w:b/>
                <w:bCs/>
              </w:rPr>
              <w:t>Преживяемост без рецидив (%)</w:t>
            </w:r>
          </w:p>
        </w:tc>
      </w:tr>
      <w:tr w:rsidR="00273BFE" w14:paraId="21BC0E2A" w14:textId="77777777" w:rsidTr="00273BFE">
        <w:tc>
          <w:tcPr>
            <w:tcW w:w="1307" w:type="dxa"/>
            <w:vMerge/>
          </w:tcPr>
          <w:p w14:paraId="4C5FEAE3" w14:textId="77777777" w:rsidR="00273BFE" w:rsidRDefault="00273BFE" w:rsidP="00273BFE">
            <w:pPr>
              <w:rPr>
                <w:b/>
                <w:bCs/>
              </w:rPr>
            </w:pPr>
          </w:p>
        </w:tc>
        <w:tc>
          <w:tcPr>
            <w:tcW w:w="1257" w:type="dxa"/>
            <w:vMerge/>
          </w:tcPr>
          <w:p w14:paraId="16C2DF7C" w14:textId="77777777" w:rsidR="00273BFE" w:rsidRDefault="00273BFE" w:rsidP="00273BFE">
            <w:pPr>
              <w:rPr>
                <w:b/>
                <w:bCs/>
              </w:rPr>
            </w:pPr>
          </w:p>
        </w:tc>
        <w:tc>
          <w:tcPr>
            <w:tcW w:w="1301" w:type="dxa"/>
            <w:vMerge/>
          </w:tcPr>
          <w:p w14:paraId="4D04436E" w14:textId="77777777" w:rsidR="00273BFE" w:rsidRDefault="00273BFE" w:rsidP="00273BFE">
            <w:pPr>
              <w:rPr>
                <w:b/>
                <w:bCs/>
              </w:rPr>
            </w:pPr>
          </w:p>
        </w:tc>
        <w:tc>
          <w:tcPr>
            <w:tcW w:w="1326" w:type="dxa"/>
            <w:vMerge/>
          </w:tcPr>
          <w:p w14:paraId="379BB352" w14:textId="77777777" w:rsidR="00273BFE" w:rsidRDefault="00273BFE" w:rsidP="00273BFE">
            <w:pPr>
              <w:rPr>
                <w:b/>
                <w:bCs/>
              </w:rPr>
            </w:pPr>
          </w:p>
        </w:tc>
        <w:tc>
          <w:tcPr>
            <w:tcW w:w="1545" w:type="dxa"/>
            <w:vMerge/>
          </w:tcPr>
          <w:p w14:paraId="6B3B1AE4" w14:textId="77777777" w:rsidR="00273BFE" w:rsidRDefault="00273BFE" w:rsidP="00273BFE">
            <w:pPr>
              <w:rPr>
                <w:b/>
                <w:bCs/>
              </w:rPr>
            </w:pPr>
          </w:p>
        </w:tc>
        <w:tc>
          <w:tcPr>
            <w:tcW w:w="1307" w:type="dxa"/>
          </w:tcPr>
          <w:p w14:paraId="55838F51" w14:textId="2421AC6F" w:rsidR="00273BFE" w:rsidRDefault="00273BFE" w:rsidP="00273BFE">
            <w:r>
              <w:rPr>
                <w:b/>
                <w:bCs/>
              </w:rPr>
              <w:t xml:space="preserve">12 месеца </w:t>
            </w:r>
          </w:p>
        </w:tc>
        <w:tc>
          <w:tcPr>
            <w:tcW w:w="1307" w:type="dxa"/>
          </w:tcPr>
          <w:p w14:paraId="331E053F" w14:textId="5C432DB0" w:rsidR="00273BFE" w:rsidRDefault="00273BFE" w:rsidP="00273BFE">
            <w:r>
              <w:rPr>
                <w:b/>
                <w:bCs/>
              </w:rPr>
              <w:t xml:space="preserve">24 </w:t>
            </w:r>
            <w:r w:rsidRPr="00C66227">
              <w:rPr>
                <w:b/>
                <w:bCs/>
              </w:rPr>
              <w:t>месеца</w:t>
            </w:r>
          </w:p>
        </w:tc>
      </w:tr>
      <w:tr w:rsidR="00273BFE" w14:paraId="086E4B4D" w14:textId="77777777" w:rsidTr="00273BFE">
        <w:tc>
          <w:tcPr>
            <w:tcW w:w="1307" w:type="dxa"/>
          </w:tcPr>
          <w:p w14:paraId="45DF93EF" w14:textId="77777777" w:rsidR="00273BFE" w:rsidRDefault="00273BFE" w:rsidP="00273BFE"/>
        </w:tc>
        <w:tc>
          <w:tcPr>
            <w:tcW w:w="1257" w:type="dxa"/>
          </w:tcPr>
          <w:p w14:paraId="2D3B06BA" w14:textId="77777777" w:rsidR="00273BFE" w:rsidRDefault="00273BFE" w:rsidP="00273BFE"/>
        </w:tc>
        <w:tc>
          <w:tcPr>
            <w:tcW w:w="1301" w:type="dxa"/>
          </w:tcPr>
          <w:p w14:paraId="4C7DCB50" w14:textId="77777777" w:rsidR="00273BFE" w:rsidRDefault="00273BFE" w:rsidP="00273BFE"/>
        </w:tc>
        <w:tc>
          <w:tcPr>
            <w:tcW w:w="1326" w:type="dxa"/>
          </w:tcPr>
          <w:p w14:paraId="6FB4E80B" w14:textId="77777777" w:rsidR="00273BFE" w:rsidRDefault="00273BFE" w:rsidP="00273BFE">
            <w:r>
              <w:rPr>
                <w:b/>
                <w:bCs/>
              </w:rPr>
              <w:t>Иматиниб</w:t>
            </w:r>
          </w:p>
          <w:p w14:paraId="0A36D361" w14:textId="77777777" w:rsidR="00273BFE" w:rsidRDefault="00273BFE" w:rsidP="00273BFE">
            <w:r>
              <w:rPr>
                <w:b/>
                <w:bCs/>
                <w:lang w:val="en-US"/>
              </w:rPr>
              <w:t xml:space="preserve"> </w:t>
            </w:r>
            <w:r>
              <w:rPr>
                <w:b/>
                <w:bCs/>
              </w:rPr>
              <w:t>спрямо</w:t>
            </w:r>
          </w:p>
          <w:p w14:paraId="10ED8951" w14:textId="7457DA92" w:rsidR="00273BFE" w:rsidRDefault="00273BFE" w:rsidP="00273BFE">
            <w:r>
              <w:rPr>
                <w:b/>
                <w:bCs/>
              </w:rPr>
              <w:t>плацебо</w:t>
            </w:r>
          </w:p>
        </w:tc>
        <w:tc>
          <w:tcPr>
            <w:tcW w:w="1545" w:type="dxa"/>
          </w:tcPr>
          <w:p w14:paraId="03B9A652" w14:textId="77777777" w:rsidR="00273BFE" w:rsidRDefault="00273BFE" w:rsidP="00273BFE"/>
        </w:tc>
        <w:tc>
          <w:tcPr>
            <w:tcW w:w="1307" w:type="dxa"/>
          </w:tcPr>
          <w:p w14:paraId="399BC306" w14:textId="77777777" w:rsidR="00273BFE" w:rsidRDefault="00273BFE" w:rsidP="00273BFE">
            <w:r>
              <w:rPr>
                <w:b/>
                <w:bCs/>
              </w:rPr>
              <w:t>Иматиниб</w:t>
            </w:r>
          </w:p>
          <w:p w14:paraId="27958F27" w14:textId="77777777" w:rsidR="00273BFE" w:rsidRDefault="00273BFE" w:rsidP="00273BFE">
            <w:r>
              <w:rPr>
                <w:b/>
                <w:bCs/>
                <w:lang w:val="en-US"/>
              </w:rPr>
              <w:t xml:space="preserve"> </w:t>
            </w:r>
            <w:r>
              <w:rPr>
                <w:b/>
                <w:bCs/>
              </w:rPr>
              <w:t>спрямо</w:t>
            </w:r>
          </w:p>
          <w:p w14:paraId="042E4C9E" w14:textId="2FA19A12" w:rsidR="00273BFE" w:rsidRDefault="00273BFE" w:rsidP="00273BFE">
            <w:r>
              <w:rPr>
                <w:b/>
                <w:bCs/>
              </w:rPr>
              <w:t>плацебо</w:t>
            </w:r>
          </w:p>
        </w:tc>
        <w:tc>
          <w:tcPr>
            <w:tcW w:w="1307" w:type="dxa"/>
          </w:tcPr>
          <w:p w14:paraId="65A06247" w14:textId="77777777" w:rsidR="00273BFE" w:rsidRDefault="00273BFE" w:rsidP="00273BFE">
            <w:r>
              <w:rPr>
                <w:b/>
                <w:bCs/>
              </w:rPr>
              <w:t>Иматиниб</w:t>
            </w:r>
          </w:p>
          <w:p w14:paraId="54E73168" w14:textId="77777777" w:rsidR="00273BFE" w:rsidRDefault="00273BFE" w:rsidP="00273BFE">
            <w:r>
              <w:rPr>
                <w:b/>
                <w:bCs/>
                <w:lang w:val="en-US"/>
              </w:rPr>
              <w:t xml:space="preserve"> </w:t>
            </w:r>
            <w:r>
              <w:rPr>
                <w:b/>
                <w:bCs/>
              </w:rPr>
              <w:t>спрямо</w:t>
            </w:r>
          </w:p>
          <w:p w14:paraId="7F3DFF0B" w14:textId="445F4709" w:rsidR="00273BFE" w:rsidRDefault="00273BFE" w:rsidP="00273BFE">
            <w:r>
              <w:rPr>
                <w:b/>
                <w:bCs/>
              </w:rPr>
              <w:t>плацебо</w:t>
            </w:r>
          </w:p>
        </w:tc>
      </w:tr>
      <w:tr w:rsidR="00273BFE" w14:paraId="5E1DA4C2" w14:textId="77777777" w:rsidTr="00273BFE">
        <w:tc>
          <w:tcPr>
            <w:tcW w:w="1307" w:type="dxa"/>
          </w:tcPr>
          <w:p w14:paraId="0A4B77A8" w14:textId="49C483CB" w:rsidR="00273BFE" w:rsidRDefault="00273BFE" w:rsidP="00273BFE">
            <w:r>
              <w:rPr>
                <w:lang w:val="en-US"/>
              </w:rPr>
              <w:t>NIH</w:t>
            </w:r>
          </w:p>
        </w:tc>
        <w:tc>
          <w:tcPr>
            <w:tcW w:w="1257" w:type="dxa"/>
          </w:tcPr>
          <w:p w14:paraId="0C3A21BB" w14:textId="1300D53F" w:rsidR="00273BFE" w:rsidRDefault="00273BFE" w:rsidP="00273BFE">
            <w:r>
              <w:t>Ниска</w:t>
            </w:r>
          </w:p>
        </w:tc>
        <w:tc>
          <w:tcPr>
            <w:tcW w:w="1301" w:type="dxa"/>
          </w:tcPr>
          <w:p w14:paraId="2D2CB12A" w14:textId="220184D7" w:rsidR="00273BFE" w:rsidRDefault="00273BFE" w:rsidP="00273BFE">
            <w:r>
              <w:t>29.5</w:t>
            </w:r>
          </w:p>
        </w:tc>
        <w:tc>
          <w:tcPr>
            <w:tcW w:w="1326" w:type="dxa"/>
          </w:tcPr>
          <w:p w14:paraId="269574DF" w14:textId="696904EE" w:rsidR="00273BFE" w:rsidRDefault="00273BFE" w:rsidP="00273BFE">
            <w:r>
              <w:t xml:space="preserve"> 0/86 спрямо 2/90</w:t>
            </w:r>
          </w:p>
        </w:tc>
        <w:tc>
          <w:tcPr>
            <w:tcW w:w="1545" w:type="dxa"/>
          </w:tcPr>
          <w:p w14:paraId="4EB155F8" w14:textId="7CEEFBE5" w:rsidR="00273BFE" w:rsidRDefault="00273BFE" w:rsidP="00273BFE">
            <w:r>
              <w:t>Неоценяем</w:t>
            </w:r>
          </w:p>
        </w:tc>
        <w:tc>
          <w:tcPr>
            <w:tcW w:w="1307" w:type="dxa"/>
          </w:tcPr>
          <w:p w14:paraId="7188926A" w14:textId="77777777" w:rsidR="00273BFE" w:rsidRDefault="00273BFE" w:rsidP="00273BFE">
            <w:r>
              <w:t>100 спрямо</w:t>
            </w:r>
          </w:p>
          <w:p w14:paraId="043BE576" w14:textId="1F65DCD4" w:rsidR="00273BFE" w:rsidRDefault="00273BFE" w:rsidP="00273BFE">
            <w:r>
              <w:t>98.7</w:t>
            </w:r>
          </w:p>
        </w:tc>
        <w:tc>
          <w:tcPr>
            <w:tcW w:w="1307" w:type="dxa"/>
          </w:tcPr>
          <w:p w14:paraId="21D56F49" w14:textId="77777777" w:rsidR="00273BFE" w:rsidRDefault="00273BFE" w:rsidP="00273BFE">
            <w:r>
              <w:t>100 спрямо</w:t>
            </w:r>
          </w:p>
          <w:p w14:paraId="08DE9598" w14:textId="141AF4D3" w:rsidR="00273BFE" w:rsidRDefault="00273BFE" w:rsidP="00273BFE">
            <w:r>
              <w:t>95.5</w:t>
            </w:r>
          </w:p>
        </w:tc>
      </w:tr>
      <w:tr w:rsidR="00273BFE" w14:paraId="4E8D28FD" w14:textId="77777777" w:rsidTr="00273BFE">
        <w:tc>
          <w:tcPr>
            <w:tcW w:w="1307" w:type="dxa"/>
          </w:tcPr>
          <w:p w14:paraId="32469DB0" w14:textId="77777777" w:rsidR="00273BFE" w:rsidRDefault="00273BFE" w:rsidP="00273BFE"/>
        </w:tc>
        <w:tc>
          <w:tcPr>
            <w:tcW w:w="1257" w:type="dxa"/>
          </w:tcPr>
          <w:p w14:paraId="5A1C4267" w14:textId="2F51F35D" w:rsidR="00273BFE" w:rsidRDefault="00273BFE" w:rsidP="00273BFE">
            <w:r>
              <w:t>Средна</w:t>
            </w:r>
          </w:p>
        </w:tc>
        <w:tc>
          <w:tcPr>
            <w:tcW w:w="1301" w:type="dxa"/>
          </w:tcPr>
          <w:p w14:paraId="092C3E9D" w14:textId="75F206A8" w:rsidR="00273BFE" w:rsidRDefault="00273BFE" w:rsidP="00273BFE">
            <w:r>
              <w:t>25.7</w:t>
            </w:r>
          </w:p>
        </w:tc>
        <w:tc>
          <w:tcPr>
            <w:tcW w:w="1326" w:type="dxa"/>
          </w:tcPr>
          <w:p w14:paraId="016AD4AC" w14:textId="77426D6F" w:rsidR="00273BFE" w:rsidRDefault="00273BFE" w:rsidP="00273BFE">
            <w:r>
              <w:t xml:space="preserve"> 4/75 спрямо 6/78</w:t>
            </w:r>
          </w:p>
        </w:tc>
        <w:tc>
          <w:tcPr>
            <w:tcW w:w="1545" w:type="dxa"/>
          </w:tcPr>
          <w:p w14:paraId="7A6D7078" w14:textId="4A6D353B" w:rsidR="00273BFE" w:rsidRDefault="00273BFE" w:rsidP="00273BFE">
            <w:r>
              <w:t>0.59 (0.17; 2.10)</w:t>
            </w:r>
          </w:p>
        </w:tc>
        <w:tc>
          <w:tcPr>
            <w:tcW w:w="1307" w:type="dxa"/>
          </w:tcPr>
          <w:p w14:paraId="692F0A0F" w14:textId="77777777" w:rsidR="00273BFE" w:rsidRDefault="00273BFE" w:rsidP="00273BFE">
            <w:r>
              <w:t>100 спрямо</w:t>
            </w:r>
          </w:p>
          <w:p w14:paraId="5380AF51" w14:textId="4CA1BF42" w:rsidR="00273BFE" w:rsidRDefault="00273BFE" w:rsidP="00273BFE">
            <w:r>
              <w:t>94.8</w:t>
            </w:r>
          </w:p>
        </w:tc>
        <w:tc>
          <w:tcPr>
            <w:tcW w:w="1307" w:type="dxa"/>
          </w:tcPr>
          <w:p w14:paraId="743330B3" w14:textId="77777777" w:rsidR="00273BFE" w:rsidRDefault="00273BFE" w:rsidP="00273BFE">
            <w:r>
              <w:t>97.8 спрямо.</w:t>
            </w:r>
          </w:p>
          <w:p w14:paraId="0AD2A83F" w14:textId="6AE0282E" w:rsidR="00273BFE" w:rsidRDefault="00273BFE" w:rsidP="00273BFE">
            <w:r>
              <w:t>89.5</w:t>
            </w:r>
          </w:p>
        </w:tc>
      </w:tr>
      <w:tr w:rsidR="00273BFE" w14:paraId="17B3BA72" w14:textId="77777777" w:rsidTr="00273BFE">
        <w:tc>
          <w:tcPr>
            <w:tcW w:w="1307" w:type="dxa"/>
          </w:tcPr>
          <w:p w14:paraId="186A6348" w14:textId="77777777" w:rsidR="00273BFE" w:rsidRDefault="00273BFE" w:rsidP="00273BFE"/>
        </w:tc>
        <w:tc>
          <w:tcPr>
            <w:tcW w:w="1257" w:type="dxa"/>
          </w:tcPr>
          <w:p w14:paraId="446F6DD0" w14:textId="60F64CFF" w:rsidR="00273BFE" w:rsidRDefault="00273BFE" w:rsidP="00273BFE">
            <w:r>
              <w:t>Висока</w:t>
            </w:r>
          </w:p>
        </w:tc>
        <w:tc>
          <w:tcPr>
            <w:tcW w:w="1301" w:type="dxa"/>
          </w:tcPr>
          <w:p w14:paraId="01D4A84C" w14:textId="63F4B71D" w:rsidR="00273BFE" w:rsidRDefault="00273BFE" w:rsidP="00273BFE">
            <w:r>
              <w:t>44.8</w:t>
            </w:r>
          </w:p>
        </w:tc>
        <w:tc>
          <w:tcPr>
            <w:tcW w:w="1326" w:type="dxa"/>
          </w:tcPr>
          <w:p w14:paraId="5AA006A7" w14:textId="77777777" w:rsidR="00273BFE" w:rsidRDefault="00273BFE" w:rsidP="00273BFE">
            <w:r>
              <w:rPr>
                <w:lang w:val="en-US"/>
              </w:rPr>
              <w:t xml:space="preserve"> </w:t>
            </w:r>
            <w:r>
              <w:t>21/140</w:t>
            </w:r>
          </w:p>
          <w:p w14:paraId="482C15ED" w14:textId="77777777" w:rsidR="00273BFE" w:rsidRDefault="00273BFE" w:rsidP="00273BFE">
            <w:r>
              <w:t xml:space="preserve"> спрямо</w:t>
            </w:r>
          </w:p>
          <w:p w14:paraId="56491605" w14:textId="5E51F618" w:rsidR="00273BFE" w:rsidRDefault="00273BFE" w:rsidP="00273BFE">
            <w:r>
              <w:t>51/127</w:t>
            </w:r>
          </w:p>
        </w:tc>
        <w:tc>
          <w:tcPr>
            <w:tcW w:w="1545" w:type="dxa"/>
          </w:tcPr>
          <w:p w14:paraId="4CDE9050" w14:textId="095ADE20" w:rsidR="00273BFE" w:rsidRDefault="00273BFE" w:rsidP="00273BFE">
            <w:r>
              <w:t>0.29 (0.18; 0.49)</w:t>
            </w:r>
          </w:p>
        </w:tc>
        <w:tc>
          <w:tcPr>
            <w:tcW w:w="1307" w:type="dxa"/>
          </w:tcPr>
          <w:p w14:paraId="11533D62" w14:textId="34724EF1" w:rsidR="00273BFE" w:rsidRDefault="00273BFE" w:rsidP="00273BFE">
            <w:r>
              <w:t>94.8 спрямо 64.0</w:t>
            </w:r>
          </w:p>
        </w:tc>
        <w:tc>
          <w:tcPr>
            <w:tcW w:w="1307" w:type="dxa"/>
          </w:tcPr>
          <w:p w14:paraId="204B527D" w14:textId="77777777" w:rsidR="00273BFE" w:rsidRDefault="00273BFE" w:rsidP="00273BFE">
            <w:r>
              <w:t>80.7 спрямо</w:t>
            </w:r>
          </w:p>
          <w:p w14:paraId="416696CB" w14:textId="04A83E36" w:rsidR="00273BFE" w:rsidRDefault="00273BFE" w:rsidP="00273BFE">
            <w:r>
              <w:t>46.6</w:t>
            </w:r>
          </w:p>
        </w:tc>
      </w:tr>
      <w:tr w:rsidR="00273BFE" w14:paraId="79CE54F1" w14:textId="77777777" w:rsidTr="00273BFE">
        <w:tc>
          <w:tcPr>
            <w:tcW w:w="1307" w:type="dxa"/>
          </w:tcPr>
          <w:p w14:paraId="650472F1" w14:textId="3E21C3A1" w:rsidR="00273BFE" w:rsidRDefault="00273BFE" w:rsidP="00273BFE">
            <w:r>
              <w:rPr>
                <w:lang w:val="en-US"/>
              </w:rPr>
              <w:t>AF1P</w:t>
            </w:r>
          </w:p>
        </w:tc>
        <w:tc>
          <w:tcPr>
            <w:tcW w:w="1257" w:type="dxa"/>
          </w:tcPr>
          <w:p w14:paraId="76BA64FC" w14:textId="305AC723" w:rsidR="00273BFE" w:rsidRDefault="00273BFE" w:rsidP="00273BFE">
            <w:r>
              <w:t>Много ниска</w:t>
            </w:r>
          </w:p>
        </w:tc>
        <w:tc>
          <w:tcPr>
            <w:tcW w:w="1301" w:type="dxa"/>
          </w:tcPr>
          <w:p w14:paraId="67C104CA" w14:textId="259666C7" w:rsidR="00273BFE" w:rsidRDefault="00273BFE" w:rsidP="00273BFE">
            <w:r>
              <w:t>20.7</w:t>
            </w:r>
          </w:p>
        </w:tc>
        <w:tc>
          <w:tcPr>
            <w:tcW w:w="1326" w:type="dxa"/>
          </w:tcPr>
          <w:p w14:paraId="7E081836" w14:textId="77777777" w:rsidR="00273BFE" w:rsidRDefault="00273BFE" w:rsidP="00273BFE">
            <w:r>
              <w:t>0/52</w:t>
            </w:r>
          </w:p>
          <w:p w14:paraId="72E1B34A" w14:textId="1795BE5D" w:rsidR="00273BFE" w:rsidRDefault="00273BFE" w:rsidP="00273BFE">
            <w:r>
              <w:t xml:space="preserve"> спрямо 2/63</w:t>
            </w:r>
          </w:p>
        </w:tc>
        <w:tc>
          <w:tcPr>
            <w:tcW w:w="1545" w:type="dxa"/>
          </w:tcPr>
          <w:p w14:paraId="57A80C07" w14:textId="66B4BB3E" w:rsidR="00273BFE" w:rsidRDefault="00273BFE" w:rsidP="00273BFE">
            <w:r>
              <w:t>Неоценяем.</w:t>
            </w:r>
          </w:p>
        </w:tc>
        <w:tc>
          <w:tcPr>
            <w:tcW w:w="1307" w:type="dxa"/>
          </w:tcPr>
          <w:p w14:paraId="64E242FB" w14:textId="456744F4" w:rsidR="00273BFE" w:rsidRDefault="00273BFE" w:rsidP="00273BFE">
            <w:r>
              <w:t>100 спрямо 98.1</w:t>
            </w:r>
          </w:p>
        </w:tc>
        <w:tc>
          <w:tcPr>
            <w:tcW w:w="1307" w:type="dxa"/>
          </w:tcPr>
          <w:p w14:paraId="25CD2C58" w14:textId="77777777" w:rsidR="00273BFE" w:rsidRDefault="00273BFE" w:rsidP="00273BFE">
            <w:r>
              <w:t>100 спрямо</w:t>
            </w:r>
          </w:p>
          <w:p w14:paraId="57307A3D" w14:textId="4B2AEE6E" w:rsidR="00273BFE" w:rsidRDefault="00273BFE" w:rsidP="00273BFE">
            <w:r>
              <w:t>93,0</w:t>
            </w:r>
          </w:p>
        </w:tc>
      </w:tr>
      <w:tr w:rsidR="00273BFE" w14:paraId="7CA495FC" w14:textId="77777777" w:rsidTr="00273BFE">
        <w:tc>
          <w:tcPr>
            <w:tcW w:w="1307" w:type="dxa"/>
          </w:tcPr>
          <w:p w14:paraId="7B9D9922" w14:textId="77777777" w:rsidR="00273BFE" w:rsidRDefault="00273BFE" w:rsidP="00273BFE"/>
        </w:tc>
        <w:tc>
          <w:tcPr>
            <w:tcW w:w="1257" w:type="dxa"/>
          </w:tcPr>
          <w:p w14:paraId="6808A9A8" w14:textId="15F1AAB3" w:rsidR="00273BFE" w:rsidRDefault="00273BFE" w:rsidP="00273BFE">
            <w:r>
              <w:t>Ниска</w:t>
            </w:r>
          </w:p>
        </w:tc>
        <w:tc>
          <w:tcPr>
            <w:tcW w:w="1301" w:type="dxa"/>
          </w:tcPr>
          <w:p w14:paraId="2F61790F" w14:textId="732E56A9" w:rsidR="00273BFE" w:rsidRDefault="00273BFE" w:rsidP="00273BFE">
            <w:r>
              <w:t>25.0</w:t>
            </w:r>
          </w:p>
        </w:tc>
        <w:tc>
          <w:tcPr>
            <w:tcW w:w="1326" w:type="dxa"/>
          </w:tcPr>
          <w:p w14:paraId="3E8021F9" w14:textId="77777777" w:rsidR="00273BFE" w:rsidRDefault="00273BFE" w:rsidP="00273BFE">
            <w:r>
              <w:t>2/70</w:t>
            </w:r>
          </w:p>
          <w:p w14:paraId="496E04EC" w14:textId="54A42F3D" w:rsidR="00273BFE" w:rsidRDefault="00273BFE" w:rsidP="00273BFE">
            <w:r>
              <w:t xml:space="preserve"> спрямо 0/69</w:t>
            </w:r>
          </w:p>
        </w:tc>
        <w:tc>
          <w:tcPr>
            <w:tcW w:w="1545" w:type="dxa"/>
          </w:tcPr>
          <w:p w14:paraId="1CBFAEB9" w14:textId="39B51293" w:rsidR="00273BFE" w:rsidRDefault="00273BFE" w:rsidP="00273BFE">
            <w:r>
              <w:t>Неоценяем.</w:t>
            </w:r>
          </w:p>
        </w:tc>
        <w:tc>
          <w:tcPr>
            <w:tcW w:w="1307" w:type="dxa"/>
          </w:tcPr>
          <w:p w14:paraId="1071BFB3" w14:textId="77777777" w:rsidR="00273BFE" w:rsidRDefault="00273BFE" w:rsidP="00273BFE">
            <w:r>
              <w:t xml:space="preserve"> 100 спрямо</w:t>
            </w:r>
          </w:p>
          <w:p w14:paraId="009EB2A6" w14:textId="76D3FB68" w:rsidR="00273BFE" w:rsidRDefault="00273BFE" w:rsidP="00273BFE">
            <w:r>
              <w:t>100</w:t>
            </w:r>
            <w:r>
              <w:tab/>
            </w:r>
          </w:p>
        </w:tc>
        <w:tc>
          <w:tcPr>
            <w:tcW w:w="1307" w:type="dxa"/>
          </w:tcPr>
          <w:p w14:paraId="2F86B089" w14:textId="77777777" w:rsidR="00273BFE" w:rsidRPr="00273BFE" w:rsidRDefault="00273BFE" w:rsidP="00273BFE">
            <w:pPr>
              <w:spacing w:line="240" w:lineRule="auto"/>
              <w:rPr>
                <w:rFonts w:ascii="Times New Roman" w:eastAsia="Times New Roman" w:hAnsi="Times New Roman" w:cs="Times New Roman"/>
                <w:sz w:val="24"/>
                <w:szCs w:val="24"/>
                <w:lang w:eastAsia="bg-BG"/>
              </w:rPr>
            </w:pPr>
            <w:r w:rsidRPr="00273BFE">
              <w:rPr>
                <w:rFonts w:ascii="Times New Roman" w:eastAsia="Times New Roman" w:hAnsi="Times New Roman" w:cs="Times New Roman"/>
                <w:color w:val="000000"/>
                <w:lang w:eastAsia="bg-BG"/>
              </w:rPr>
              <w:t>97,8 спрямо</w:t>
            </w:r>
          </w:p>
          <w:p w14:paraId="633829B3" w14:textId="5D2F3249" w:rsidR="00273BFE" w:rsidRDefault="00273BFE" w:rsidP="00273BFE">
            <w:r w:rsidRPr="00273BFE">
              <w:rPr>
                <w:rFonts w:ascii="Times New Roman" w:eastAsia="Times New Roman" w:hAnsi="Times New Roman" w:cs="Times New Roman"/>
                <w:color w:val="000000"/>
                <w:lang w:eastAsia="bg-BG"/>
              </w:rPr>
              <w:t>100</w:t>
            </w:r>
          </w:p>
        </w:tc>
      </w:tr>
      <w:tr w:rsidR="00273BFE" w14:paraId="53490978" w14:textId="77777777" w:rsidTr="00246BD9">
        <w:trPr>
          <w:trHeight w:val="810"/>
        </w:trPr>
        <w:tc>
          <w:tcPr>
            <w:tcW w:w="1307" w:type="dxa"/>
          </w:tcPr>
          <w:p w14:paraId="511AE7AC" w14:textId="77777777" w:rsidR="00273BFE" w:rsidRDefault="00273BFE" w:rsidP="00273BFE"/>
        </w:tc>
        <w:tc>
          <w:tcPr>
            <w:tcW w:w="1257" w:type="dxa"/>
          </w:tcPr>
          <w:p w14:paraId="10368688" w14:textId="53BF9617" w:rsidR="00273BFE" w:rsidRDefault="00273BFE" w:rsidP="00273BFE">
            <w:r>
              <w:t>Умерена</w:t>
            </w:r>
          </w:p>
        </w:tc>
        <w:tc>
          <w:tcPr>
            <w:tcW w:w="1301" w:type="dxa"/>
          </w:tcPr>
          <w:p w14:paraId="16D3C91B" w14:textId="77EDE491" w:rsidR="00273BFE" w:rsidRDefault="00273BFE" w:rsidP="00273BFE">
            <w:r>
              <w:t>24.6</w:t>
            </w:r>
          </w:p>
        </w:tc>
        <w:tc>
          <w:tcPr>
            <w:tcW w:w="1326" w:type="dxa"/>
          </w:tcPr>
          <w:p w14:paraId="36305E56" w14:textId="77777777" w:rsidR="00273BFE" w:rsidRDefault="00273BFE" w:rsidP="00273BFE">
            <w:r>
              <w:t>2/70</w:t>
            </w:r>
          </w:p>
          <w:p w14:paraId="55D6BF0A" w14:textId="789FE1BB" w:rsidR="00273BFE" w:rsidRDefault="00273BFE" w:rsidP="00273BFE">
            <w:r>
              <w:t>спрямо 11/67</w:t>
            </w:r>
          </w:p>
        </w:tc>
        <w:tc>
          <w:tcPr>
            <w:tcW w:w="1545" w:type="dxa"/>
          </w:tcPr>
          <w:p w14:paraId="2A6BBF3F" w14:textId="0D529595" w:rsidR="00273BFE" w:rsidRDefault="00273BFE" w:rsidP="00273BFE">
            <w:r>
              <w:t>0.16 (0.03; 0.70)</w:t>
            </w:r>
          </w:p>
        </w:tc>
        <w:tc>
          <w:tcPr>
            <w:tcW w:w="1307" w:type="dxa"/>
          </w:tcPr>
          <w:p w14:paraId="7E6ADBF5" w14:textId="77777777" w:rsidR="00273BFE" w:rsidRDefault="00273BFE" w:rsidP="00273BFE">
            <w:r>
              <w:t>97.9 спрямо</w:t>
            </w:r>
          </w:p>
          <w:p w14:paraId="02949AD9" w14:textId="64854049" w:rsidR="00273BFE" w:rsidRDefault="00273BFE" w:rsidP="00273BFE">
            <w:r>
              <w:t>90.8</w:t>
            </w:r>
          </w:p>
        </w:tc>
        <w:tc>
          <w:tcPr>
            <w:tcW w:w="1307" w:type="dxa"/>
          </w:tcPr>
          <w:p w14:paraId="3E4C184B" w14:textId="77777777" w:rsidR="00273BFE" w:rsidRDefault="00273BFE" w:rsidP="00273BFE">
            <w:r>
              <w:t>97.9 спрямо</w:t>
            </w:r>
          </w:p>
          <w:p w14:paraId="1A052AD6" w14:textId="084CD289" w:rsidR="00273BFE" w:rsidRDefault="00273BFE" w:rsidP="00273BFE">
            <w:r>
              <w:t>73.3</w:t>
            </w:r>
          </w:p>
        </w:tc>
      </w:tr>
      <w:tr w:rsidR="00273BFE" w14:paraId="592D2641" w14:textId="77777777" w:rsidTr="00273BFE">
        <w:tc>
          <w:tcPr>
            <w:tcW w:w="1307" w:type="dxa"/>
          </w:tcPr>
          <w:p w14:paraId="54EDF56B" w14:textId="77777777" w:rsidR="00273BFE" w:rsidRDefault="00273BFE" w:rsidP="00273BFE"/>
        </w:tc>
        <w:tc>
          <w:tcPr>
            <w:tcW w:w="1257" w:type="dxa"/>
          </w:tcPr>
          <w:p w14:paraId="47ECE44F" w14:textId="3CBAAB4C" w:rsidR="00273BFE" w:rsidRDefault="00273BFE" w:rsidP="00273BFE">
            <w:r>
              <w:t>Висока</w:t>
            </w:r>
          </w:p>
        </w:tc>
        <w:tc>
          <w:tcPr>
            <w:tcW w:w="1301" w:type="dxa"/>
          </w:tcPr>
          <w:p w14:paraId="65FF8DC1" w14:textId="604A69C9" w:rsidR="00273BFE" w:rsidRDefault="00273BFE" w:rsidP="00273BFE">
            <w:r>
              <w:t>29.7</w:t>
            </w:r>
          </w:p>
        </w:tc>
        <w:tc>
          <w:tcPr>
            <w:tcW w:w="1326" w:type="dxa"/>
          </w:tcPr>
          <w:p w14:paraId="21C9226E" w14:textId="77777777" w:rsidR="00273BFE" w:rsidRDefault="00273BFE" w:rsidP="00273BFE">
            <w:r>
              <w:t>16/84</w:t>
            </w:r>
          </w:p>
          <w:p w14:paraId="17EE03E6" w14:textId="3C3AAAB5" w:rsidR="00273BFE" w:rsidRDefault="00273BFE" w:rsidP="00273BFE">
            <w:r>
              <w:t>спрямо 39/81</w:t>
            </w:r>
          </w:p>
        </w:tc>
        <w:tc>
          <w:tcPr>
            <w:tcW w:w="1545" w:type="dxa"/>
          </w:tcPr>
          <w:p w14:paraId="21185FC7" w14:textId="31B3A5F1" w:rsidR="00273BFE" w:rsidRDefault="00273BFE" w:rsidP="00273BFE">
            <w:r>
              <w:t>0.27 (0.15; 0.48)</w:t>
            </w:r>
          </w:p>
        </w:tc>
        <w:tc>
          <w:tcPr>
            <w:tcW w:w="1307" w:type="dxa"/>
          </w:tcPr>
          <w:p w14:paraId="53F1CD44" w14:textId="77777777" w:rsidR="00273BFE" w:rsidRDefault="00273BFE" w:rsidP="00273BFE">
            <w:r>
              <w:t>98.7 спрямо</w:t>
            </w:r>
          </w:p>
          <w:p w14:paraId="3F1F2B3C" w14:textId="7E5C84D0" w:rsidR="00273BFE" w:rsidRDefault="00273BFE" w:rsidP="00273BFE">
            <w:r>
              <w:t>56.1</w:t>
            </w:r>
          </w:p>
        </w:tc>
        <w:tc>
          <w:tcPr>
            <w:tcW w:w="1307" w:type="dxa"/>
          </w:tcPr>
          <w:p w14:paraId="3E601AF8" w14:textId="77777777" w:rsidR="00273BFE" w:rsidRDefault="00273BFE" w:rsidP="00273BFE">
            <w:r>
              <w:t>79.9 спрямо</w:t>
            </w:r>
          </w:p>
          <w:p w14:paraId="29CA83C0" w14:textId="07F77C3B" w:rsidR="00273BFE" w:rsidRDefault="00273BFE" w:rsidP="00273BFE">
            <w:r>
              <w:t>41.5</w:t>
            </w:r>
          </w:p>
        </w:tc>
      </w:tr>
    </w:tbl>
    <w:p w14:paraId="693BAF10" w14:textId="1ED35D10" w:rsidR="00273BFE" w:rsidRDefault="00273BFE" w:rsidP="0091385D"/>
    <w:p w14:paraId="35BC2A44" w14:textId="77777777" w:rsidR="00273BFE" w:rsidRPr="00273BFE" w:rsidRDefault="00273BFE" w:rsidP="00273BFE">
      <w:pPr>
        <w:spacing w:line="240" w:lineRule="auto"/>
        <w:rPr>
          <w:rFonts w:eastAsia="Times New Roman" w:cs="Arial"/>
          <w:sz w:val="24"/>
          <w:szCs w:val="24"/>
          <w:lang w:eastAsia="bg-BG"/>
        </w:rPr>
      </w:pPr>
      <w:r w:rsidRPr="00273BFE">
        <w:rPr>
          <w:rFonts w:eastAsia="Times New Roman" w:cs="Arial"/>
          <w:color w:val="000000"/>
          <w:lang w:eastAsia="bg-BG"/>
        </w:rPr>
        <w:t xml:space="preserve">* Пълен период на проследяване; </w:t>
      </w:r>
      <w:r w:rsidRPr="00273BFE">
        <w:rPr>
          <w:rFonts w:eastAsia="Times New Roman" w:cs="Arial"/>
          <w:color w:val="000000"/>
          <w:lang w:val="en-US"/>
        </w:rPr>
        <w:t xml:space="preserve">NE </w:t>
      </w:r>
      <w:r w:rsidRPr="00273BFE">
        <w:rPr>
          <w:rFonts w:eastAsia="Times New Roman" w:cs="Arial"/>
          <w:color w:val="000000"/>
          <w:lang w:eastAsia="bg-BG"/>
        </w:rPr>
        <w:t>- неоценяем</w:t>
      </w:r>
    </w:p>
    <w:p w14:paraId="6952B677" w14:textId="77777777" w:rsidR="00273BFE" w:rsidRPr="00273BFE" w:rsidRDefault="00273BFE" w:rsidP="00273BFE">
      <w:pPr>
        <w:spacing w:line="240" w:lineRule="auto"/>
        <w:rPr>
          <w:rFonts w:eastAsia="Times New Roman" w:cs="Arial"/>
          <w:color w:val="000000"/>
          <w:lang w:eastAsia="bg-BG"/>
        </w:rPr>
      </w:pPr>
    </w:p>
    <w:p w14:paraId="0EAE474D" w14:textId="43ECAA6B" w:rsidR="00273BFE" w:rsidRPr="00273BFE" w:rsidRDefault="00273BFE" w:rsidP="00273BFE">
      <w:pPr>
        <w:spacing w:line="240" w:lineRule="auto"/>
        <w:rPr>
          <w:rFonts w:eastAsia="Times New Roman" w:cs="Arial"/>
          <w:sz w:val="24"/>
          <w:szCs w:val="24"/>
          <w:lang w:eastAsia="bg-BG"/>
        </w:rPr>
      </w:pPr>
      <w:r w:rsidRPr="00273BFE">
        <w:rPr>
          <w:rFonts w:eastAsia="Times New Roman" w:cs="Arial"/>
          <w:color w:val="000000"/>
          <w:lang w:eastAsia="bg-BG"/>
        </w:rPr>
        <w:t xml:space="preserve">Второ моногоцентрово, отворено фаза III проучване </w:t>
      </w:r>
      <w:r w:rsidRPr="00273BFE">
        <w:rPr>
          <w:rFonts w:eastAsia="Times New Roman" w:cs="Arial"/>
          <w:color w:val="000000"/>
          <w:lang w:val="en-US"/>
        </w:rPr>
        <w:t xml:space="preserve">(SSG XVIII/AIO) </w:t>
      </w:r>
      <w:r w:rsidRPr="00273BFE">
        <w:rPr>
          <w:rFonts w:eastAsia="Times New Roman" w:cs="Arial"/>
          <w:color w:val="000000"/>
          <w:lang w:eastAsia="bg-BG"/>
        </w:rPr>
        <w:t xml:space="preserve">сравнява 12 месечното лечение с иматиниб 400 </w:t>
      </w:r>
      <w:r w:rsidRPr="00273BFE">
        <w:rPr>
          <w:rFonts w:eastAsia="Times New Roman" w:cs="Arial"/>
          <w:color w:val="000000"/>
          <w:lang w:val="en-US"/>
        </w:rPr>
        <w:t>mg</w:t>
      </w:r>
      <w:r w:rsidRPr="00273BFE">
        <w:rPr>
          <w:rFonts w:eastAsia="Times New Roman" w:cs="Arial"/>
          <w:color w:val="000000"/>
          <w:lang w:eastAsia="bg-BG"/>
        </w:rPr>
        <w:t xml:space="preserve">/ден спрямо 36 месечно лечение при пациенти след хирургична резекция на ГИСТ с една от следните характеристики: ту морен диаметър &gt;5 </w:t>
      </w:r>
      <w:r w:rsidRPr="00273BFE">
        <w:rPr>
          <w:rFonts w:eastAsia="Times New Roman" w:cs="Arial"/>
          <w:color w:val="000000"/>
          <w:lang w:val="en-US"/>
        </w:rPr>
        <w:t xml:space="preserve">cm </w:t>
      </w:r>
      <w:r w:rsidRPr="00273BFE">
        <w:rPr>
          <w:rFonts w:eastAsia="Times New Roman" w:cs="Arial"/>
          <w:color w:val="000000"/>
          <w:lang w:eastAsia="bg-BG"/>
        </w:rPr>
        <w:t xml:space="preserve">и &gt;5/50 броя митози на полета с голямо увеличение </w:t>
      </w:r>
      <w:r w:rsidRPr="00273BFE">
        <w:rPr>
          <w:rFonts w:eastAsia="Times New Roman" w:cs="Arial"/>
          <w:color w:val="000000"/>
          <w:lang w:val="en-US"/>
        </w:rPr>
        <w:t xml:space="preserve">(high power fields [HPF]); </w:t>
      </w:r>
      <w:r w:rsidRPr="00273BFE">
        <w:rPr>
          <w:rFonts w:eastAsia="Times New Roman" w:cs="Arial"/>
          <w:color w:val="000000"/>
          <w:lang w:eastAsia="bg-BG"/>
        </w:rPr>
        <w:t xml:space="preserve">или туморен диаметър &gt;10 см и какъвто и да е брой митози, или какъвто и да е размер на тумора с брой митози &gt;10/50 на </w:t>
      </w:r>
      <w:r w:rsidRPr="00273BFE">
        <w:rPr>
          <w:rFonts w:eastAsia="Times New Roman" w:cs="Arial"/>
          <w:color w:val="000000"/>
          <w:lang w:val="en-US"/>
        </w:rPr>
        <w:t xml:space="preserve">HPF, </w:t>
      </w:r>
      <w:r w:rsidRPr="00273BFE">
        <w:rPr>
          <w:rFonts w:eastAsia="Times New Roman" w:cs="Arial"/>
          <w:color w:val="000000"/>
          <w:lang w:eastAsia="bg-BG"/>
        </w:rPr>
        <w:t>или руптура на тумора в перитонеалната кухина. Общо 397 пациенти са включени и рандомизирани в проучването (199 пациенти в 12-месечното рамо и 198 пациенти в 36- месечното рамо), медианта на възрастта е 61 години (интервал 22 до 84 години). Медианата на времето на проследяване е 54 месеца (от датата на рандомизация до крайната дата), общо 83 месеца между първия рандомизиран пациент и крайната дата.</w:t>
      </w:r>
    </w:p>
    <w:p w14:paraId="2A0604A3" w14:textId="77777777" w:rsidR="00273BFE" w:rsidRPr="00273BFE" w:rsidRDefault="00273BFE" w:rsidP="00273BFE">
      <w:pPr>
        <w:spacing w:line="240" w:lineRule="auto"/>
        <w:rPr>
          <w:rFonts w:eastAsia="Times New Roman" w:cs="Arial"/>
          <w:color w:val="000000"/>
          <w:lang w:eastAsia="bg-BG"/>
        </w:rPr>
      </w:pPr>
    </w:p>
    <w:p w14:paraId="4EF20B38" w14:textId="7EE4C928" w:rsidR="00273BFE" w:rsidRPr="00273BFE" w:rsidRDefault="00273BFE" w:rsidP="00273BFE">
      <w:pPr>
        <w:spacing w:line="240" w:lineRule="auto"/>
        <w:rPr>
          <w:rFonts w:eastAsia="Times New Roman" w:cs="Arial"/>
          <w:sz w:val="24"/>
          <w:szCs w:val="24"/>
          <w:lang w:eastAsia="bg-BG"/>
        </w:rPr>
      </w:pPr>
      <w:r w:rsidRPr="00273BFE">
        <w:rPr>
          <w:rFonts w:eastAsia="Times New Roman" w:cs="Arial"/>
          <w:color w:val="000000"/>
          <w:lang w:eastAsia="bg-BG"/>
        </w:rPr>
        <w:t>Първична крайна точка на проучването е преживяемостта без рецидив (ПБР), дефинирана от времето на рандомизацаия до датата на поява на рецидив на заболяването или смърт поради някаква причина.</w:t>
      </w:r>
    </w:p>
    <w:p w14:paraId="0326B46F" w14:textId="77777777" w:rsidR="00273BFE" w:rsidRPr="00273BFE" w:rsidRDefault="00273BFE" w:rsidP="00273BFE">
      <w:pPr>
        <w:spacing w:line="240" w:lineRule="auto"/>
        <w:rPr>
          <w:rFonts w:eastAsia="Times New Roman" w:cs="Arial"/>
          <w:color w:val="000000"/>
          <w:lang w:eastAsia="bg-BG"/>
        </w:rPr>
      </w:pPr>
    </w:p>
    <w:p w14:paraId="36A550AA" w14:textId="279B12A3" w:rsidR="00273BFE" w:rsidRPr="00273BFE" w:rsidRDefault="00273BFE" w:rsidP="00273BFE">
      <w:pPr>
        <w:spacing w:line="240" w:lineRule="auto"/>
        <w:rPr>
          <w:rFonts w:eastAsia="Times New Roman" w:cs="Arial"/>
          <w:sz w:val="24"/>
          <w:szCs w:val="24"/>
          <w:lang w:eastAsia="bg-BG"/>
        </w:rPr>
      </w:pPr>
      <w:r w:rsidRPr="00273BFE">
        <w:rPr>
          <w:rFonts w:eastAsia="Times New Roman" w:cs="Arial"/>
          <w:color w:val="000000"/>
          <w:lang w:eastAsia="bg-BG"/>
        </w:rPr>
        <w:t xml:space="preserve">Тридесет и шест (36) месечното лечение с иматиниб значимо удължава преживяемостта без рецидив спрямо 12 месечното лечение с иматиниб (с общ коефициент на риска </w:t>
      </w:r>
      <w:r w:rsidRPr="00273BFE">
        <w:rPr>
          <w:rFonts w:eastAsia="Times New Roman" w:cs="Arial"/>
          <w:color w:val="000000"/>
          <w:lang w:val="en-US"/>
        </w:rPr>
        <w:t xml:space="preserve">(HR) </w:t>
      </w:r>
      <w:r w:rsidRPr="00273BFE">
        <w:rPr>
          <w:rFonts w:eastAsia="Times New Roman" w:cs="Arial"/>
          <w:color w:val="000000"/>
          <w:lang w:eastAsia="bg-BG"/>
        </w:rPr>
        <w:t>= 0,46 [0,32, 0,65], р&lt;0,0001) (Таблица 8, Фигура 1).</w:t>
      </w:r>
    </w:p>
    <w:p w14:paraId="5AB68863" w14:textId="77777777" w:rsidR="00273BFE" w:rsidRPr="00273BFE" w:rsidRDefault="00273BFE" w:rsidP="00273BFE">
      <w:pPr>
        <w:spacing w:line="240" w:lineRule="auto"/>
        <w:rPr>
          <w:rFonts w:eastAsia="Times New Roman" w:cs="Arial"/>
          <w:color w:val="000000"/>
          <w:lang w:eastAsia="bg-BG"/>
        </w:rPr>
      </w:pPr>
    </w:p>
    <w:p w14:paraId="7F14641E" w14:textId="34AC8D53" w:rsidR="00273BFE" w:rsidRPr="00273BFE" w:rsidRDefault="00273BFE" w:rsidP="00273BFE">
      <w:pPr>
        <w:spacing w:line="240" w:lineRule="auto"/>
        <w:rPr>
          <w:rFonts w:eastAsia="Times New Roman" w:cs="Arial"/>
          <w:sz w:val="24"/>
          <w:szCs w:val="24"/>
          <w:lang w:eastAsia="bg-BG"/>
        </w:rPr>
      </w:pPr>
      <w:r w:rsidRPr="00273BFE">
        <w:rPr>
          <w:rFonts w:eastAsia="Times New Roman" w:cs="Arial"/>
          <w:color w:val="000000"/>
          <w:lang w:eastAsia="bg-BG"/>
        </w:rPr>
        <w:t xml:space="preserve">В допълнение, тридесет и шест (36) месечното лечение с иматиниб значимо удължава общата преживяемост (ОП) спрямо 12 месечното лечение с </w:t>
      </w:r>
      <w:r w:rsidRPr="00273BFE">
        <w:rPr>
          <w:rFonts w:eastAsia="Times New Roman" w:cs="Arial"/>
          <w:color w:val="000000"/>
          <w:lang w:val="en-US"/>
        </w:rPr>
        <w:t xml:space="preserve">(HR </w:t>
      </w:r>
      <w:r w:rsidRPr="00273BFE">
        <w:rPr>
          <w:rFonts w:eastAsia="Times New Roman" w:cs="Arial"/>
          <w:color w:val="000000"/>
          <w:lang w:eastAsia="bg-BG"/>
        </w:rPr>
        <w:t>= 0,45 [0,22, 0,89], р=0,0187) (Таблица 8, Фигура 2).</w:t>
      </w:r>
    </w:p>
    <w:p w14:paraId="346C2AA3" w14:textId="77777777" w:rsidR="00273BFE" w:rsidRPr="00273BFE" w:rsidRDefault="00273BFE" w:rsidP="00273BFE">
      <w:pPr>
        <w:spacing w:line="240" w:lineRule="auto"/>
        <w:rPr>
          <w:rFonts w:eastAsia="Times New Roman" w:cs="Arial"/>
          <w:color w:val="000000"/>
          <w:lang w:eastAsia="bg-BG"/>
        </w:rPr>
      </w:pPr>
    </w:p>
    <w:p w14:paraId="4C51D559" w14:textId="0576AA33" w:rsidR="00273BFE" w:rsidRPr="00273BFE" w:rsidRDefault="00273BFE" w:rsidP="00273BFE">
      <w:pPr>
        <w:spacing w:line="240" w:lineRule="auto"/>
        <w:rPr>
          <w:rFonts w:eastAsia="Times New Roman" w:cs="Arial"/>
          <w:sz w:val="24"/>
          <w:szCs w:val="24"/>
          <w:lang w:eastAsia="bg-BG"/>
        </w:rPr>
      </w:pPr>
      <w:r w:rsidRPr="00273BFE">
        <w:rPr>
          <w:rFonts w:eastAsia="Times New Roman" w:cs="Arial"/>
          <w:color w:val="000000"/>
          <w:lang w:eastAsia="bg-BG"/>
        </w:rPr>
        <w:t>По-продължителното лечение (&gt;36 месеца) може да забави появата на по-нататъшен рецидив; въпреки че влиянието на този факт върху общата преживяемост остава неясно.</w:t>
      </w:r>
    </w:p>
    <w:p w14:paraId="01B963BD" w14:textId="77777777" w:rsidR="00273BFE" w:rsidRPr="00273BFE" w:rsidRDefault="00273BFE" w:rsidP="00273BFE">
      <w:pPr>
        <w:spacing w:line="240" w:lineRule="auto"/>
        <w:rPr>
          <w:rFonts w:eastAsia="Times New Roman" w:cs="Arial"/>
          <w:color w:val="000000"/>
          <w:lang w:eastAsia="bg-BG"/>
        </w:rPr>
      </w:pPr>
    </w:p>
    <w:p w14:paraId="7A729A4F" w14:textId="4D20E336" w:rsidR="00273BFE" w:rsidRPr="00273BFE" w:rsidRDefault="00273BFE" w:rsidP="00273BFE">
      <w:pPr>
        <w:spacing w:line="240" w:lineRule="auto"/>
        <w:rPr>
          <w:rFonts w:eastAsia="Times New Roman" w:cs="Arial"/>
          <w:sz w:val="24"/>
          <w:szCs w:val="24"/>
          <w:lang w:eastAsia="bg-BG"/>
        </w:rPr>
      </w:pPr>
      <w:r w:rsidRPr="00273BFE">
        <w:rPr>
          <w:rFonts w:eastAsia="Times New Roman" w:cs="Arial"/>
          <w:color w:val="000000"/>
          <w:lang w:eastAsia="bg-BG"/>
        </w:rPr>
        <w:t>Общият брои смъртни случаи е бил 25 в 12-месечното и 12 в 36-месечното терапевтично рамо.</w:t>
      </w:r>
    </w:p>
    <w:p w14:paraId="277CE2A1" w14:textId="77777777" w:rsidR="00273BFE" w:rsidRPr="00273BFE" w:rsidRDefault="00273BFE" w:rsidP="00273BFE">
      <w:pPr>
        <w:spacing w:line="240" w:lineRule="auto"/>
        <w:rPr>
          <w:rFonts w:eastAsia="Times New Roman" w:cs="Arial"/>
          <w:color w:val="000000"/>
          <w:lang w:eastAsia="bg-BG"/>
        </w:rPr>
      </w:pPr>
    </w:p>
    <w:p w14:paraId="1996C6E2" w14:textId="40340A53" w:rsidR="00273BFE" w:rsidRPr="00273BFE" w:rsidRDefault="00273BFE" w:rsidP="00273BFE">
      <w:pPr>
        <w:spacing w:line="240" w:lineRule="auto"/>
        <w:rPr>
          <w:rFonts w:eastAsia="Times New Roman" w:cs="Arial"/>
          <w:sz w:val="24"/>
          <w:szCs w:val="24"/>
          <w:lang w:eastAsia="bg-BG"/>
        </w:rPr>
      </w:pPr>
      <w:r w:rsidRPr="00273BFE">
        <w:rPr>
          <w:rFonts w:eastAsia="Times New Roman" w:cs="Arial"/>
          <w:color w:val="000000"/>
          <w:lang w:eastAsia="bg-BG"/>
        </w:rPr>
        <w:t xml:space="preserve">Лечението с иматиниб в продължение на 36 месеца превъзхожда 12-месечното лечение при анализ на на </w:t>
      </w:r>
      <w:r w:rsidRPr="00273BFE">
        <w:rPr>
          <w:rFonts w:eastAsia="Times New Roman" w:cs="Arial"/>
          <w:color w:val="000000"/>
          <w:lang w:val="en-US"/>
        </w:rPr>
        <w:t xml:space="preserve">ITT </w:t>
      </w:r>
      <w:r w:rsidRPr="00273BFE">
        <w:rPr>
          <w:rFonts w:eastAsia="Times New Roman" w:cs="Arial"/>
          <w:color w:val="000000"/>
          <w:lang w:eastAsia="bg-BG"/>
        </w:rPr>
        <w:t xml:space="preserve">популацията, т.е. включващ цялата популация от проучването. В планиран подгрупов анализ въз основа на вида на мутацията, коефициентът на риск </w:t>
      </w:r>
      <w:r w:rsidRPr="00273BFE">
        <w:rPr>
          <w:rFonts w:eastAsia="Times New Roman" w:cs="Arial"/>
          <w:color w:val="000000"/>
          <w:lang w:val="en-US"/>
        </w:rPr>
        <w:t xml:space="preserve">(HR) </w:t>
      </w:r>
      <w:r w:rsidRPr="00273BFE">
        <w:rPr>
          <w:rFonts w:eastAsia="Times New Roman" w:cs="Arial"/>
          <w:color w:val="000000"/>
          <w:lang w:eastAsia="bg-BG"/>
        </w:rPr>
        <w:t>за преживяемост без рецидив (ПЕР) по време на 36-месечното лечение при пациенти с мутация в екзон 11 е бил 0,35 [95% ДИ: 0,22, 0,56]. Не могат да бъдат направени изводи по отношение на другите по-рядко срещани групи мутации поради малкия брой наблюдавани събития.</w:t>
      </w:r>
    </w:p>
    <w:p w14:paraId="144C45DD" w14:textId="77777777" w:rsidR="00273BFE" w:rsidRPr="00273BFE" w:rsidRDefault="00273BFE" w:rsidP="00273BFE">
      <w:pPr>
        <w:rPr>
          <w:rFonts w:eastAsia="Times New Roman" w:cs="Arial"/>
          <w:b/>
          <w:bCs/>
          <w:color w:val="000000"/>
          <w:lang w:eastAsia="bg-BG"/>
        </w:rPr>
      </w:pPr>
    </w:p>
    <w:p w14:paraId="2DA5E4C3" w14:textId="5EDDECBC" w:rsidR="00273BFE" w:rsidRPr="00273BFE" w:rsidRDefault="00273BFE" w:rsidP="00273BFE">
      <w:pPr>
        <w:rPr>
          <w:rFonts w:cs="Arial"/>
        </w:rPr>
      </w:pPr>
      <w:r w:rsidRPr="00273BFE">
        <w:rPr>
          <w:rFonts w:eastAsia="Times New Roman" w:cs="Arial"/>
          <w:b/>
          <w:bCs/>
          <w:color w:val="000000"/>
          <w:lang w:eastAsia="bg-BG"/>
        </w:rPr>
        <w:t xml:space="preserve">Таблица 8 12-месечно и 36-месечно лечение с иматиниб (Изпитване </w:t>
      </w:r>
      <w:r w:rsidRPr="00273BFE">
        <w:rPr>
          <w:rFonts w:eastAsia="Times New Roman" w:cs="Arial"/>
          <w:b/>
          <w:bCs/>
          <w:color w:val="000000"/>
          <w:lang w:val="en-US"/>
        </w:rPr>
        <w:t>SSGXVIII/AIO)</w:t>
      </w:r>
    </w:p>
    <w:p w14:paraId="75E6145A" w14:textId="0C808AAF" w:rsidR="00273BFE" w:rsidRDefault="00273BFE" w:rsidP="0091385D"/>
    <w:tbl>
      <w:tblPr>
        <w:tblStyle w:val="TableGrid"/>
        <w:tblW w:w="0" w:type="auto"/>
        <w:tblLook w:val="04A0" w:firstRow="1" w:lastRow="0" w:firstColumn="1" w:lastColumn="0" w:noHBand="0" w:noVBand="1"/>
      </w:tblPr>
      <w:tblGrid>
        <w:gridCol w:w="3116"/>
        <w:gridCol w:w="3117"/>
        <w:gridCol w:w="3117"/>
      </w:tblGrid>
      <w:tr w:rsidR="00E87371" w14:paraId="4F039415" w14:textId="77777777" w:rsidTr="00E87371">
        <w:tc>
          <w:tcPr>
            <w:tcW w:w="3116" w:type="dxa"/>
          </w:tcPr>
          <w:p w14:paraId="09A1EAFE" w14:textId="77777777" w:rsidR="00E87371" w:rsidRDefault="00E87371" w:rsidP="00E87371"/>
        </w:tc>
        <w:tc>
          <w:tcPr>
            <w:tcW w:w="3117" w:type="dxa"/>
          </w:tcPr>
          <w:p w14:paraId="23C0CFB7" w14:textId="3DEDE835" w:rsidR="00E87371" w:rsidRDefault="00E87371" w:rsidP="00E87371">
            <w:r>
              <w:rPr>
                <w:b/>
                <w:bCs/>
              </w:rPr>
              <w:t>12-месечно терапевтично рамо</w:t>
            </w:r>
          </w:p>
        </w:tc>
        <w:tc>
          <w:tcPr>
            <w:tcW w:w="3117" w:type="dxa"/>
          </w:tcPr>
          <w:p w14:paraId="36ED7739" w14:textId="6AF1FBCA" w:rsidR="00E87371" w:rsidRDefault="00E87371" w:rsidP="00E87371">
            <w:r>
              <w:rPr>
                <w:b/>
                <w:bCs/>
              </w:rPr>
              <w:t>36-месечно терапевтично рамо</w:t>
            </w:r>
          </w:p>
        </w:tc>
      </w:tr>
      <w:tr w:rsidR="00E87371" w14:paraId="78DA2C89" w14:textId="77777777" w:rsidTr="00246BD9">
        <w:tc>
          <w:tcPr>
            <w:tcW w:w="3116" w:type="dxa"/>
            <w:vAlign w:val="bottom"/>
          </w:tcPr>
          <w:p w14:paraId="5754C351" w14:textId="6055599C" w:rsidR="00E87371" w:rsidRDefault="00E87371" w:rsidP="00E87371">
            <w:r>
              <w:rPr>
                <w:b/>
                <w:bCs/>
              </w:rPr>
              <w:t>ПБР</w:t>
            </w:r>
          </w:p>
        </w:tc>
        <w:tc>
          <w:tcPr>
            <w:tcW w:w="3117" w:type="dxa"/>
            <w:vAlign w:val="bottom"/>
          </w:tcPr>
          <w:p w14:paraId="69D5E486" w14:textId="455B9ECC" w:rsidR="00E87371" w:rsidRDefault="00E87371" w:rsidP="00E87371">
            <w:r>
              <w:rPr>
                <w:b/>
                <w:bCs/>
              </w:rPr>
              <w:t>%(ДИ)</w:t>
            </w:r>
          </w:p>
        </w:tc>
        <w:tc>
          <w:tcPr>
            <w:tcW w:w="3117" w:type="dxa"/>
            <w:vAlign w:val="bottom"/>
          </w:tcPr>
          <w:p w14:paraId="4DACCA50" w14:textId="66E7CBE1" w:rsidR="00E87371" w:rsidRDefault="00E87371" w:rsidP="00E87371">
            <w:r>
              <w:rPr>
                <w:b/>
                <w:bCs/>
              </w:rPr>
              <w:t>%(ДИ)</w:t>
            </w:r>
          </w:p>
        </w:tc>
      </w:tr>
      <w:tr w:rsidR="00E87371" w14:paraId="785D4E4A" w14:textId="77777777" w:rsidTr="00246BD9">
        <w:tc>
          <w:tcPr>
            <w:tcW w:w="3116" w:type="dxa"/>
            <w:vAlign w:val="bottom"/>
          </w:tcPr>
          <w:p w14:paraId="64EB7CED" w14:textId="6585536C" w:rsidR="00E87371" w:rsidRDefault="00E87371" w:rsidP="00E87371">
            <w:r>
              <w:t>12 месеца</w:t>
            </w:r>
          </w:p>
        </w:tc>
        <w:tc>
          <w:tcPr>
            <w:tcW w:w="3117" w:type="dxa"/>
            <w:vAlign w:val="bottom"/>
          </w:tcPr>
          <w:p w14:paraId="3924855C" w14:textId="46DE4A86" w:rsidR="00E87371" w:rsidRDefault="00E87371" w:rsidP="00E87371">
            <w:r>
              <w:t>93,7 (89,2-96,4)</w:t>
            </w:r>
          </w:p>
        </w:tc>
        <w:tc>
          <w:tcPr>
            <w:tcW w:w="3117" w:type="dxa"/>
            <w:vAlign w:val="bottom"/>
          </w:tcPr>
          <w:p w14:paraId="491CFE87" w14:textId="58DDCCEC" w:rsidR="00E87371" w:rsidRDefault="00E87371" w:rsidP="00E87371">
            <w:r>
              <w:t>95,9 (91,9-97,9)</w:t>
            </w:r>
          </w:p>
        </w:tc>
      </w:tr>
      <w:tr w:rsidR="00E87371" w14:paraId="745BECFE" w14:textId="77777777" w:rsidTr="00246BD9">
        <w:tc>
          <w:tcPr>
            <w:tcW w:w="3116" w:type="dxa"/>
            <w:vAlign w:val="bottom"/>
          </w:tcPr>
          <w:p w14:paraId="2E917780" w14:textId="500B5632" w:rsidR="00E87371" w:rsidRDefault="00E87371" w:rsidP="00E87371">
            <w:r>
              <w:t>24 месеца</w:t>
            </w:r>
          </w:p>
        </w:tc>
        <w:tc>
          <w:tcPr>
            <w:tcW w:w="3117" w:type="dxa"/>
            <w:vAlign w:val="bottom"/>
          </w:tcPr>
          <w:p w14:paraId="1DA244D7" w14:textId="5DF69B8C" w:rsidR="00E87371" w:rsidRDefault="00E87371" w:rsidP="00E87371">
            <w:r>
              <w:t>75,4 (68,6-81,0)</w:t>
            </w:r>
          </w:p>
        </w:tc>
        <w:tc>
          <w:tcPr>
            <w:tcW w:w="3117" w:type="dxa"/>
            <w:vAlign w:val="bottom"/>
          </w:tcPr>
          <w:p w14:paraId="7537AFB0" w14:textId="58BA2C77" w:rsidR="00E87371" w:rsidRDefault="00E87371" w:rsidP="00E87371">
            <w:r>
              <w:t>90,7 (85,6-94,0)</w:t>
            </w:r>
          </w:p>
        </w:tc>
      </w:tr>
      <w:tr w:rsidR="00E87371" w14:paraId="46C708ED" w14:textId="77777777" w:rsidTr="00246BD9">
        <w:tc>
          <w:tcPr>
            <w:tcW w:w="3116" w:type="dxa"/>
            <w:vAlign w:val="bottom"/>
          </w:tcPr>
          <w:p w14:paraId="059FC86F" w14:textId="7948AC91" w:rsidR="00E87371" w:rsidRDefault="00E87371" w:rsidP="00E87371">
            <w:r>
              <w:t>36 месеца</w:t>
            </w:r>
          </w:p>
        </w:tc>
        <w:tc>
          <w:tcPr>
            <w:tcW w:w="3117" w:type="dxa"/>
            <w:vAlign w:val="bottom"/>
          </w:tcPr>
          <w:p w14:paraId="5DD8FD0D" w14:textId="7411209F" w:rsidR="00E87371" w:rsidRDefault="00E87371" w:rsidP="00E87371">
            <w:r>
              <w:t>60,1 (52,5-66,9)</w:t>
            </w:r>
          </w:p>
        </w:tc>
        <w:tc>
          <w:tcPr>
            <w:tcW w:w="3117" w:type="dxa"/>
            <w:vAlign w:val="bottom"/>
          </w:tcPr>
          <w:p w14:paraId="6870B470" w14:textId="501D6DF8" w:rsidR="00E87371" w:rsidRDefault="00E87371" w:rsidP="00E87371">
            <w:r>
              <w:t>86,6 (80,8-90,8)</w:t>
            </w:r>
          </w:p>
        </w:tc>
      </w:tr>
      <w:tr w:rsidR="00E87371" w14:paraId="0CEBDFB9" w14:textId="77777777" w:rsidTr="00246BD9">
        <w:tc>
          <w:tcPr>
            <w:tcW w:w="3116" w:type="dxa"/>
          </w:tcPr>
          <w:p w14:paraId="5CAE3693" w14:textId="1410A6D4" w:rsidR="00E87371" w:rsidRDefault="00E87371" w:rsidP="00E87371">
            <w:r>
              <w:t>48 месеца</w:t>
            </w:r>
          </w:p>
        </w:tc>
        <w:tc>
          <w:tcPr>
            <w:tcW w:w="3117" w:type="dxa"/>
          </w:tcPr>
          <w:p w14:paraId="22709460" w14:textId="5DDCBD6C" w:rsidR="00E87371" w:rsidRDefault="00E87371" w:rsidP="00E87371">
            <w:r>
              <w:t>52,3 (44,0-59,8)</w:t>
            </w:r>
          </w:p>
        </w:tc>
        <w:tc>
          <w:tcPr>
            <w:tcW w:w="3117" w:type="dxa"/>
            <w:vAlign w:val="bottom"/>
          </w:tcPr>
          <w:p w14:paraId="785BD117" w14:textId="77777777" w:rsidR="00E87371" w:rsidRDefault="00E87371" w:rsidP="00E87371">
            <w:r>
              <w:t xml:space="preserve">78,3 (70,8-84,1) </w:t>
            </w:r>
          </w:p>
          <w:p w14:paraId="53F8DAB9" w14:textId="77777777" w:rsidR="00E87371" w:rsidRDefault="00E87371" w:rsidP="00E87371"/>
        </w:tc>
      </w:tr>
      <w:tr w:rsidR="00E87371" w14:paraId="084380DC" w14:textId="77777777" w:rsidTr="00246BD9">
        <w:tc>
          <w:tcPr>
            <w:tcW w:w="3116" w:type="dxa"/>
            <w:vAlign w:val="bottom"/>
          </w:tcPr>
          <w:p w14:paraId="4FF280FE" w14:textId="75715F08" w:rsidR="00E87371" w:rsidRDefault="00E87371" w:rsidP="00E87371">
            <w:r>
              <w:t>60 месеца</w:t>
            </w:r>
          </w:p>
        </w:tc>
        <w:tc>
          <w:tcPr>
            <w:tcW w:w="3117" w:type="dxa"/>
            <w:vAlign w:val="bottom"/>
          </w:tcPr>
          <w:p w14:paraId="254B6060" w14:textId="1957A387" w:rsidR="00E87371" w:rsidRDefault="00E87371" w:rsidP="00E87371">
            <w:r>
              <w:t>47,9 (39,0-56,3)</w:t>
            </w:r>
          </w:p>
        </w:tc>
        <w:tc>
          <w:tcPr>
            <w:tcW w:w="3117" w:type="dxa"/>
            <w:vAlign w:val="bottom"/>
          </w:tcPr>
          <w:p w14:paraId="57BCFD05" w14:textId="522941FE" w:rsidR="00E87371" w:rsidRDefault="00E87371" w:rsidP="00E87371">
            <w:r>
              <w:t>65,6(56,1-73,4)</w:t>
            </w:r>
          </w:p>
        </w:tc>
      </w:tr>
      <w:tr w:rsidR="00E87371" w14:paraId="52EF60FF" w14:textId="77777777" w:rsidTr="00E87371">
        <w:tc>
          <w:tcPr>
            <w:tcW w:w="3116" w:type="dxa"/>
          </w:tcPr>
          <w:p w14:paraId="20B33BCF" w14:textId="2A76E2B7" w:rsidR="00E87371" w:rsidRDefault="00E87371" w:rsidP="00E87371">
            <w:r>
              <w:rPr>
                <w:b/>
                <w:bCs/>
              </w:rPr>
              <w:t>Преживяемост</w:t>
            </w:r>
          </w:p>
        </w:tc>
        <w:tc>
          <w:tcPr>
            <w:tcW w:w="3117" w:type="dxa"/>
          </w:tcPr>
          <w:p w14:paraId="170A3D68" w14:textId="77777777" w:rsidR="00E87371" w:rsidRDefault="00E87371" w:rsidP="00E87371"/>
        </w:tc>
        <w:tc>
          <w:tcPr>
            <w:tcW w:w="3117" w:type="dxa"/>
          </w:tcPr>
          <w:p w14:paraId="7EE28403" w14:textId="77777777" w:rsidR="00E87371" w:rsidRDefault="00E87371" w:rsidP="00E87371"/>
        </w:tc>
      </w:tr>
      <w:tr w:rsidR="00E87371" w14:paraId="15BC7523" w14:textId="77777777" w:rsidTr="00E87371">
        <w:tc>
          <w:tcPr>
            <w:tcW w:w="3116" w:type="dxa"/>
          </w:tcPr>
          <w:p w14:paraId="446904DB" w14:textId="0D2EBB70" w:rsidR="00E87371" w:rsidRDefault="00E87371" w:rsidP="00E87371">
            <w:r>
              <w:t>36 месеца</w:t>
            </w:r>
          </w:p>
        </w:tc>
        <w:tc>
          <w:tcPr>
            <w:tcW w:w="3117" w:type="dxa"/>
          </w:tcPr>
          <w:p w14:paraId="0BEC26D2" w14:textId="54D95F19" w:rsidR="00E87371" w:rsidRDefault="00E87371" w:rsidP="00E87371">
            <w:r>
              <w:t>94,0 (89,5-96,7)</w:t>
            </w:r>
          </w:p>
        </w:tc>
        <w:tc>
          <w:tcPr>
            <w:tcW w:w="3117" w:type="dxa"/>
          </w:tcPr>
          <w:p w14:paraId="7D99F0EB" w14:textId="322230C1" w:rsidR="00E87371" w:rsidRDefault="00E87371" w:rsidP="00E87371">
            <w:r>
              <w:t>96,3 (92,4-98,2)</w:t>
            </w:r>
          </w:p>
        </w:tc>
      </w:tr>
      <w:tr w:rsidR="00E87371" w14:paraId="606F083D" w14:textId="77777777" w:rsidTr="00E87371">
        <w:tc>
          <w:tcPr>
            <w:tcW w:w="3116" w:type="dxa"/>
          </w:tcPr>
          <w:p w14:paraId="79E68CAA" w14:textId="64B51A74" w:rsidR="00E87371" w:rsidRDefault="00E87371" w:rsidP="00E87371">
            <w:r>
              <w:t>48 месеца</w:t>
            </w:r>
          </w:p>
        </w:tc>
        <w:tc>
          <w:tcPr>
            <w:tcW w:w="3117" w:type="dxa"/>
          </w:tcPr>
          <w:p w14:paraId="1CAF4481" w14:textId="12C4B2C7" w:rsidR="00E87371" w:rsidRDefault="00E87371" w:rsidP="00E87371">
            <w:r>
              <w:t>87,9 (81,1-92,3)</w:t>
            </w:r>
          </w:p>
        </w:tc>
        <w:tc>
          <w:tcPr>
            <w:tcW w:w="3117" w:type="dxa"/>
          </w:tcPr>
          <w:p w14:paraId="0AE3CE53" w14:textId="2C0AD46B" w:rsidR="00E87371" w:rsidRDefault="00E87371" w:rsidP="00E87371">
            <w:r>
              <w:t>95,6 (91,2-97,8)</w:t>
            </w:r>
          </w:p>
        </w:tc>
      </w:tr>
      <w:tr w:rsidR="00E87371" w14:paraId="2A81EF18" w14:textId="77777777" w:rsidTr="00E87371">
        <w:tc>
          <w:tcPr>
            <w:tcW w:w="3116" w:type="dxa"/>
          </w:tcPr>
          <w:p w14:paraId="1E9BEDF2" w14:textId="0D92EEF4" w:rsidR="00E87371" w:rsidRDefault="00E87371" w:rsidP="00E87371">
            <w:r>
              <w:t>60 месеца</w:t>
            </w:r>
          </w:p>
        </w:tc>
        <w:tc>
          <w:tcPr>
            <w:tcW w:w="3117" w:type="dxa"/>
          </w:tcPr>
          <w:p w14:paraId="5F0411F6" w14:textId="58E5C67A" w:rsidR="00E87371" w:rsidRDefault="00E87371" w:rsidP="00E87371">
            <w:r>
              <w:t>81,7 (73,0-87,8)</w:t>
            </w:r>
          </w:p>
        </w:tc>
        <w:tc>
          <w:tcPr>
            <w:tcW w:w="3117" w:type="dxa"/>
          </w:tcPr>
          <w:p w14:paraId="3A31FB49" w14:textId="4068DC95" w:rsidR="00E87371" w:rsidRDefault="00E87371" w:rsidP="00E87371">
            <w:r>
              <w:t>92,0 (85,3-95,7)</w:t>
            </w:r>
          </w:p>
        </w:tc>
      </w:tr>
    </w:tbl>
    <w:p w14:paraId="3A551173" w14:textId="13D57FD9" w:rsidR="00E87371" w:rsidRDefault="00E87371" w:rsidP="0091385D"/>
    <w:p w14:paraId="009661C1" w14:textId="4DE26835" w:rsidR="00E87371" w:rsidRDefault="00E87371" w:rsidP="0091385D">
      <w:pPr>
        <w:rPr>
          <w:b/>
          <w:bCs/>
        </w:rPr>
      </w:pPr>
      <w:r>
        <w:rPr>
          <w:b/>
          <w:bCs/>
        </w:rPr>
        <w:t xml:space="preserve">Фигура 1 Оценка но </w:t>
      </w:r>
      <w:r>
        <w:rPr>
          <w:b/>
          <w:bCs/>
          <w:lang w:val="en-US"/>
        </w:rPr>
        <w:t xml:space="preserve">Kaplan-Meier </w:t>
      </w:r>
      <w:r>
        <w:rPr>
          <w:b/>
          <w:bCs/>
        </w:rPr>
        <w:t xml:space="preserve">на преживяемостта без рецидив </w:t>
      </w:r>
      <w:r>
        <w:rPr>
          <w:b/>
          <w:bCs/>
          <w:lang w:val="en-US"/>
        </w:rPr>
        <w:t xml:space="preserve">(ITT </w:t>
      </w:r>
      <w:r>
        <w:rPr>
          <w:b/>
          <w:bCs/>
        </w:rPr>
        <w:t>популация)</w:t>
      </w:r>
    </w:p>
    <w:p w14:paraId="01C49A5D" w14:textId="6E62A4D8" w:rsidR="00E87371" w:rsidRDefault="00E87371" w:rsidP="0091385D">
      <w:pPr>
        <w:rPr>
          <w:b/>
          <w:bCs/>
        </w:rPr>
      </w:pPr>
    </w:p>
    <w:p w14:paraId="595AE21D" w14:textId="5E660040" w:rsidR="00E87371" w:rsidRDefault="00E87371" w:rsidP="0091385D">
      <w:r>
        <w:rPr>
          <w:noProof/>
          <w:lang w:eastAsia="bg-BG"/>
        </w:rPr>
        <w:lastRenderedPageBreak/>
        <w:drawing>
          <wp:inline distT="0" distB="0" distL="0" distR="0" wp14:anchorId="0A24827A" wp14:editId="4B41E58B">
            <wp:extent cx="4706007" cy="2324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1.png"/>
                    <pic:cNvPicPr/>
                  </pic:nvPicPr>
                  <pic:blipFill>
                    <a:blip r:embed="rId6">
                      <a:extLst>
                        <a:ext uri="{28A0092B-C50C-407E-A947-70E740481C1C}">
                          <a14:useLocalDpi xmlns:a14="http://schemas.microsoft.com/office/drawing/2010/main" val="0"/>
                        </a:ext>
                      </a:extLst>
                    </a:blip>
                    <a:stretch>
                      <a:fillRect/>
                    </a:stretch>
                  </pic:blipFill>
                  <pic:spPr>
                    <a:xfrm>
                      <a:off x="0" y="0"/>
                      <a:ext cx="4706007" cy="2324424"/>
                    </a:xfrm>
                    <a:prstGeom prst="rect">
                      <a:avLst/>
                    </a:prstGeom>
                  </pic:spPr>
                </pic:pic>
              </a:graphicData>
            </a:graphic>
          </wp:inline>
        </w:drawing>
      </w:r>
    </w:p>
    <w:p w14:paraId="333A3395" w14:textId="3E6ECD38" w:rsidR="00E87371" w:rsidRPr="00246BD9" w:rsidRDefault="00E87371" w:rsidP="0091385D">
      <w:pPr>
        <w:rPr>
          <w:rFonts w:cs="Arial"/>
        </w:rPr>
      </w:pPr>
      <w:r w:rsidRPr="00246BD9">
        <w:rPr>
          <w:rFonts w:cs="Arial"/>
        </w:rPr>
        <w:t>Изложени на риск: Събития</w:t>
      </w:r>
    </w:p>
    <w:p w14:paraId="69B81114" w14:textId="4255C285" w:rsidR="00E87371" w:rsidRPr="00246BD9" w:rsidRDefault="00E87371" w:rsidP="0091385D">
      <w:pPr>
        <w:rPr>
          <w:rFonts w:cs="Arial"/>
        </w:rPr>
      </w:pPr>
    </w:p>
    <w:tbl>
      <w:tblPr>
        <w:tblStyle w:val="TableGrid"/>
        <w:tblW w:w="9493" w:type="dxa"/>
        <w:tblLook w:val="04A0" w:firstRow="1" w:lastRow="0" w:firstColumn="1" w:lastColumn="0" w:noHBand="0" w:noVBand="1"/>
      </w:tblPr>
      <w:tblGrid>
        <w:gridCol w:w="400"/>
        <w:gridCol w:w="592"/>
        <w:gridCol w:w="592"/>
        <w:gridCol w:w="675"/>
        <w:gridCol w:w="675"/>
        <w:gridCol w:w="675"/>
        <w:gridCol w:w="675"/>
        <w:gridCol w:w="675"/>
        <w:gridCol w:w="675"/>
        <w:gridCol w:w="592"/>
        <w:gridCol w:w="592"/>
        <w:gridCol w:w="592"/>
        <w:gridCol w:w="592"/>
        <w:gridCol w:w="592"/>
        <w:gridCol w:w="508"/>
        <w:gridCol w:w="475"/>
        <w:gridCol w:w="34"/>
      </w:tblGrid>
      <w:tr w:rsidR="00E87371" w:rsidRPr="00246BD9" w14:paraId="52162F8B" w14:textId="77777777" w:rsidTr="00E87371">
        <w:trPr>
          <w:trHeight w:val="588"/>
        </w:trPr>
        <w:tc>
          <w:tcPr>
            <w:tcW w:w="391" w:type="dxa"/>
          </w:tcPr>
          <w:p w14:paraId="4CAB6A5B" w14:textId="131A0985" w:rsidR="00E87371" w:rsidRPr="00246BD9" w:rsidRDefault="00E87371" w:rsidP="00E87371">
            <w:pPr>
              <w:rPr>
                <w:rFonts w:cs="Arial"/>
              </w:rPr>
            </w:pPr>
            <w:r w:rsidRPr="00246BD9">
              <w:rPr>
                <w:rFonts w:cs="Arial"/>
                <w:sz w:val="15"/>
                <w:szCs w:val="15"/>
              </w:rPr>
              <w:t>(1)</w:t>
            </w:r>
          </w:p>
        </w:tc>
        <w:tc>
          <w:tcPr>
            <w:tcW w:w="575" w:type="dxa"/>
          </w:tcPr>
          <w:p w14:paraId="671BFB99" w14:textId="68EBFF4B" w:rsidR="00E87371" w:rsidRPr="00246BD9" w:rsidRDefault="00E87371" w:rsidP="00E87371">
            <w:pPr>
              <w:rPr>
                <w:rFonts w:cs="Arial"/>
              </w:rPr>
            </w:pPr>
            <w:r w:rsidRPr="00246BD9">
              <w:rPr>
                <w:rFonts w:cs="Arial"/>
                <w:sz w:val="15"/>
                <w:szCs w:val="15"/>
              </w:rPr>
              <w:t>199:0</w:t>
            </w:r>
          </w:p>
        </w:tc>
        <w:tc>
          <w:tcPr>
            <w:tcW w:w="576" w:type="dxa"/>
          </w:tcPr>
          <w:p w14:paraId="379014EB" w14:textId="40ADC121" w:rsidR="00E87371" w:rsidRPr="00246BD9" w:rsidRDefault="00E87371" w:rsidP="00E87371">
            <w:pPr>
              <w:rPr>
                <w:rFonts w:cs="Arial"/>
              </w:rPr>
            </w:pPr>
            <w:r w:rsidRPr="00246BD9">
              <w:rPr>
                <w:rFonts w:cs="Arial"/>
                <w:sz w:val="15"/>
                <w:szCs w:val="15"/>
              </w:rPr>
              <w:t>182:8</w:t>
            </w:r>
          </w:p>
        </w:tc>
        <w:tc>
          <w:tcPr>
            <w:tcW w:w="656" w:type="dxa"/>
          </w:tcPr>
          <w:p w14:paraId="2D7F4A46" w14:textId="64D6E381" w:rsidR="00E87371" w:rsidRPr="00246BD9" w:rsidRDefault="00E87371" w:rsidP="00E87371">
            <w:pPr>
              <w:rPr>
                <w:rFonts w:cs="Arial"/>
              </w:rPr>
            </w:pPr>
            <w:r w:rsidRPr="00246BD9">
              <w:rPr>
                <w:rFonts w:cs="Arial"/>
                <w:sz w:val="15"/>
                <w:szCs w:val="15"/>
              </w:rPr>
              <w:t>177:12</w:t>
            </w:r>
          </w:p>
        </w:tc>
        <w:tc>
          <w:tcPr>
            <w:tcW w:w="656" w:type="dxa"/>
          </w:tcPr>
          <w:p w14:paraId="07511D2D" w14:textId="22E2C7DF" w:rsidR="00E87371" w:rsidRPr="00246BD9" w:rsidRDefault="00E87371" w:rsidP="00E87371">
            <w:pPr>
              <w:rPr>
                <w:rFonts w:cs="Arial"/>
              </w:rPr>
            </w:pPr>
            <w:r w:rsidRPr="00246BD9">
              <w:rPr>
                <w:rFonts w:cs="Arial"/>
                <w:sz w:val="15"/>
                <w:szCs w:val="15"/>
              </w:rPr>
              <w:t>163:25</w:t>
            </w:r>
          </w:p>
        </w:tc>
        <w:tc>
          <w:tcPr>
            <w:tcW w:w="656" w:type="dxa"/>
          </w:tcPr>
          <w:p w14:paraId="4DD8EE3C" w14:textId="711A8116" w:rsidR="00E87371" w:rsidRPr="00246BD9" w:rsidRDefault="00E87371" w:rsidP="00E87371">
            <w:pPr>
              <w:rPr>
                <w:rFonts w:cs="Arial"/>
              </w:rPr>
            </w:pPr>
            <w:r w:rsidRPr="00246BD9">
              <w:rPr>
                <w:rFonts w:cs="Arial"/>
                <w:sz w:val="15"/>
                <w:szCs w:val="15"/>
              </w:rPr>
              <w:t>137:46</w:t>
            </w:r>
          </w:p>
        </w:tc>
        <w:tc>
          <w:tcPr>
            <w:tcW w:w="656" w:type="dxa"/>
          </w:tcPr>
          <w:p w14:paraId="1638580E" w14:textId="20D72959" w:rsidR="00E87371" w:rsidRPr="00246BD9" w:rsidRDefault="00E87371" w:rsidP="00E87371">
            <w:pPr>
              <w:rPr>
                <w:rFonts w:cs="Arial"/>
              </w:rPr>
            </w:pPr>
            <w:r w:rsidRPr="00246BD9">
              <w:rPr>
                <w:rFonts w:cs="Arial"/>
                <w:sz w:val="15"/>
                <w:szCs w:val="15"/>
              </w:rPr>
              <w:t>105:65</w:t>
            </w:r>
          </w:p>
        </w:tc>
        <w:tc>
          <w:tcPr>
            <w:tcW w:w="656" w:type="dxa"/>
          </w:tcPr>
          <w:p w14:paraId="0A96C5EA" w14:textId="7959F4A6" w:rsidR="00E87371" w:rsidRPr="00246BD9" w:rsidRDefault="00E87371" w:rsidP="00E87371">
            <w:pPr>
              <w:rPr>
                <w:rFonts w:cs="Arial"/>
              </w:rPr>
            </w:pPr>
            <w:r w:rsidRPr="00246BD9">
              <w:rPr>
                <w:rFonts w:cs="Arial"/>
                <w:sz w:val="15"/>
                <w:szCs w:val="15"/>
              </w:rPr>
              <w:t>88:72</w:t>
            </w:r>
          </w:p>
        </w:tc>
        <w:tc>
          <w:tcPr>
            <w:tcW w:w="656" w:type="dxa"/>
          </w:tcPr>
          <w:p w14:paraId="553357A8" w14:textId="0B0B82CA" w:rsidR="00E87371" w:rsidRPr="00246BD9" w:rsidRDefault="00E87371" w:rsidP="00E87371">
            <w:pPr>
              <w:rPr>
                <w:rFonts w:cs="Arial"/>
              </w:rPr>
            </w:pPr>
            <w:r w:rsidRPr="00246BD9">
              <w:rPr>
                <w:rFonts w:cs="Arial"/>
                <w:sz w:val="15"/>
                <w:szCs w:val="15"/>
              </w:rPr>
              <w:t>61:77</w:t>
            </w:r>
          </w:p>
        </w:tc>
        <w:tc>
          <w:tcPr>
            <w:tcW w:w="576" w:type="dxa"/>
          </w:tcPr>
          <w:p w14:paraId="2DB6A3F8" w14:textId="53A523DF" w:rsidR="00E87371" w:rsidRPr="00246BD9" w:rsidRDefault="00E87371" w:rsidP="00E87371">
            <w:pPr>
              <w:rPr>
                <w:rFonts w:cs="Arial"/>
              </w:rPr>
            </w:pPr>
            <w:r w:rsidRPr="00246BD9">
              <w:rPr>
                <w:rFonts w:cs="Arial"/>
                <w:sz w:val="15"/>
                <w:szCs w:val="15"/>
              </w:rPr>
              <w:t>49:81</w:t>
            </w:r>
          </w:p>
        </w:tc>
        <w:tc>
          <w:tcPr>
            <w:tcW w:w="576" w:type="dxa"/>
          </w:tcPr>
          <w:p w14:paraId="52BD3610" w14:textId="015E0D77" w:rsidR="00E87371" w:rsidRPr="00246BD9" w:rsidRDefault="00E87371" w:rsidP="00E87371">
            <w:pPr>
              <w:rPr>
                <w:rFonts w:cs="Arial"/>
              </w:rPr>
            </w:pPr>
            <w:r w:rsidRPr="00246BD9">
              <w:rPr>
                <w:rFonts w:cs="Arial"/>
                <w:sz w:val="15"/>
                <w:szCs w:val="15"/>
              </w:rPr>
              <w:t>36:83</w:t>
            </w:r>
          </w:p>
        </w:tc>
        <w:tc>
          <w:tcPr>
            <w:tcW w:w="576" w:type="dxa"/>
          </w:tcPr>
          <w:p w14:paraId="3FCFDCE7" w14:textId="10372D7B" w:rsidR="00E87371" w:rsidRPr="00246BD9" w:rsidRDefault="00E87371" w:rsidP="00E87371">
            <w:pPr>
              <w:rPr>
                <w:rFonts w:cs="Arial"/>
              </w:rPr>
            </w:pPr>
            <w:r w:rsidRPr="00246BD9">
              <w:rPr>
                <w:rFonts w:cs="Arial"/>
                <w:sz w:val="15"/>
                <w:szCs w:val="15"/>
              </w:rPr>
              <w:t>27:84</w:t>
            </w:r>
          </w:p>
        </w:tc>
        <w:tc>
          <w:tcPr>
            <w:tcW w:w="576" w:type="dxa"/>
          </w:tcPr>
          <w:p w14:paraId="245A62A3" w14:textId="2FD87159" w:rsidR="00E87371" w:rsidRPr="00246BD9" w:rsidRDefault="00E87371" w:rsidP="00E87371">
            <w:pPr>
              <w:rPr>
                <w:rFonts w:cs="Arial"/>
              </w:rPr>
            </w:pPr>
            <w:r w:rsidRPr="00246BD9">
              <w:rPr>
                <w:rFonts w:cs="Arial"/>
                <w:sz w:val="15"/>
                <w:szCs w:val="15"/>
              </w:rPr>
              <w:t>14:84</w:t>
            </w:r>
          </w:p>
        </w:tc>
        <w:tc>
          <w:tcPr>
            <w:tcW w:w="576" w:type="dxa"/>
          </w:tcPr>
          <w:p w14:paraId="3A86BD17" w14:textId="1D812203" w:rsidR="00E87371" w:rsidRPr="00246BD9" w:rsidRDefault="00E87371" w:rsidP="00E87371">
            <w:pPr>
              <w:rPr>
                <w:rFonts w:cs="Arial"/>
              </w:rPr>
            </w:pPr>
            <w:r w:rsidRPr="00246BD9">
              <w:rPr>
                <w:rFonts w:cs="Arial"/>
                <w:sz w:val="15"/>
                <w:szCs w:val="15"/>
              </w:rPr>
              <w:t>10:84</w:t>
            </w:r>
          </w:p>
        </w:tc>
        <w:tc>
          <w:tcPr>
            <w:tcW w:w="496" w:type="dxa"/>
          </w:tcPr>
          <w:p w14:paraId="5E10E5D5" w14:textId="7E029189" w:rsidR="00E87371" w:rsidRPr="00246BD9" w:rsidRDefault="00E87371" w:rsidP="00E87371">
            <w:pPr>
              <w:rPr>
                <w:rFonts w:cs="Arial"/>
              </w:rPr>
            </w:pPr>
            <w:r w:rsidRPr="00246BD9">
              <w:rPr>
                <w:rFonts w:cs="Arial"/>
                <w:sz w:val="15"/>
                <w:szCs w:val="15"/>
              </w:rPr>
              <w:t>2:84</w:t>
            </w:r>
          </w:p>
        </w:tc>
        <w:tc>
          <w:tcPr>
            <w:tcW w:w="639" w:type="dxa"/>
            <w:gridSpan w:val="2"/>
          </w:tcPr>
          <w:p w14:paraId="494E0B59" w14:textId="43961F0E" w:rsidR="00E87371" w:rsidRPr="00246BD9" w:rsidRDefault="00E87371" w:rsidP="00E87371">
            <w:pPr>
              <w:rPr>
                <w:rFonts w:cs="Arial"/>
              </w:rPr>
            </w:pPr>
            <w:r w:rsidRPr="00246BD9">
              <w:rPr>
                <w:rFonts w:cs="Arial"/>
                <w:sz w:val="15"/>
                <w:szCs w:val="15"/>
              </w:rPr>
              <w:t>0:84</w:t>
            </w:r>
          </w:p>
        </w:tc>
      </w:tr>
      <w:tr w:rsidR="00E87371" w:rsidRPr="00246BD9" w14:paraId="232D694A" w14:textId="77777777" w:rsidTr="00E87371">
        <w:trPr>
          <w:gridAfter w:val="1"/>
          <w:wAfter w:w="143" w:type="dxa"/>
          <w:trHeight w:val="566"/>
        </w:trPr>
        <w:tc>
          <w:tcPr>
            <w:tcW w:w="391" w:type="dxa"/>
          </w:tcPr>
          <w:p w14:paraId="382ADC03" w14:textId="71323C11" w:rsidR="00E87371" w:rsidRPr="00246BD9" w:rsidRDefault="00E87371" w:rsidP="00E87371">
            <w:pPr>
              <w:rPr>
                <w:rFonts w:cs="Arial"/>
              </w:rPr>
            </w:pPr>
            <w:r w:rsidRPr="00246BD9">
              <w:rPr>
                <w:rFonts w:cs="Arial"/>
                <w:sz w:val="15"/>
                <w:szCs w:val="15"/>
              </w:rPr>
              <w:t>(2)</w:t>
            </w:r>
          </w:p>
        </w:tc>
        <w:tc>
          <w:tcPr>
            <w:tcW w:w="575" w:type="dxa"/>
          </w:tcPr>
          <w:p w14:paraId="5F4723DF" w14:textId="2F374C2B" w:rsidR="00E87371" w:rsidRPr="00246BD9" w:rsidRDefault="00E87371" w:rsidP="00E87371">
            <w:pPr>
              <w:rPr>
                <w:rFonts w:cs="Arial"/>
              </w:rPr>
            </w:pPr>
            <w:r w:rsidRPr="00246BD9">
              <w:rPr>
                <w:rFonts w:cs="Arial"/>
                <w:sz w:val="15"/>
                <w:szCs w:val="15"/>
              </w:rPr>
              <w:t>198:0</w:t>
            </w:r>
          </w:p>
        </w:tc>
        <w:tc>
          <w:tcPr>
            <w:tcW w:w="576" w:type="dxa"/>
          </w:tcPr>
          <w:p w14:paraId="47381879" w14:textId="7771C7FD" w:rsidR="00E87371" w:rsidRPr="00246BD9" w:rsidRDefault="00E87371" w:rsidP="00E87371">
            <w:pPr>
              <w:rPr>
                <w:rFonts w:cs="Arial"/>
              </w:rPr>
            </w:pPr>
            <w:r w:rsidRPr="00246BD9">
              <w:rPr>
                <w:rFonts w:cs="Arial"/>
                <w:sz w:val="15"/>
                <w:szCs w:val="15"/>
              </w:rPr>
              <w:t>189:5</w:t>
            </w:r>
          </w:p>
        </w:tc>
        <w:tc>
          <w:tcPr>
            <w:tcW w:w="656" w:type="dxa"/>
          </w:tcPr>
          <w:p w14:paraId="4E0FBA77" w14:textId="631221DB" w:rsidR="00E87371" w:rsidRPr="00246BD9" w:rsidRDefault="00E87371" w:rsidP="00E87371">
            <w:pPr>
              <w:rPr>
                <w:rFonts w:cs="Arial"/>
              </w:rPr>
            </w:pPr>
            <w:r w:rsidRPr="00246BD9">
              <w:rPr>
                <w:rFonts w:cs="Arial"/>
                <w:sz w:val="15"/>
                <w:szCs w:val="15"/>
              </w:rPr>
              <w:t>184:8</w:t>
            </w:r>
          </w:p>
        </w:tc>
        <w:tc>
          <w:tcPr>
            <w:tcW w:w="656" w:type="dxa"/>
          </w:tcPr>
          <w:p w14:paraId="4C713F45" w14:textId="49A9AC98" w:rsidR="00E87371" w:rsidRPr="00246BD9" w:rsidRDefault="00E87371" w:rsidP="00E87371">
            <w:pPr>
              <w:rPr>
                <w:rFonts w:cs="Arial"/>
              </w:rPr>
            </w:pPr>
            <w:r w:rsidRPr="00246BD9">
              <w:rPr>
                <w:rFonts w:cs="Arial"/>
                <w:sz w:val="15"/>
                <w:szCs w:val="15"/>
              </w:rPr>
              <w:t>181:11</w:t>
            </w:r>
          </w:p>
        </w:tc>
        <w:tc>
          <w:tcPr>
            <w:tcW w:w="656" w:type="dxa"/>
          </w:tcPr>
          <w:p w14:paraId="2F952451" w14:textId="0D4F1B7D" w:rsidR="00E87371" w:rsidRPr="00246BD9" w:rsidRDefault="00E87371" w:rsidP="00E87371">
            <w:pPr>
              <w:rPr>
                <w:rFonts w:cs="Arial"/>
              </w:rPr>
            </w:pPr>
            <w:r w:rsidRPr="00246BD9">
              <w:rPr>
                <w:rFonts w:cs="Arial"/>
                <w:sz w:val="15"/>
                <w:szCs w:val="15"/>
              </w:rPr>
              <w:t>173:18</w:t>
            </w:r>
          </w:p>
        </w:tc>
        <w:tc>
          <w:tcPr>
            <w:tcW w:w="656" w:type="dxa"/>
          </w:tcPr>
          <w:p w14:paraId="079F00A2" w14:textId="2EDE3CD7" w:rsidR="00E87371" w:rsidRPr="00246BD9" w:rsidRDefault="00E87371" w:rsidP="00E87371">
            <w:pPr>
              <w:rPr>
                <w:rFonts w:cs="Arial"/>
              </w:rPr>
            </w:pPr>
            <w:r w:rsidRPr="00246BD9">
              <w:rPr>
                <w:rFonts w:cs="Arial"/>
                <w:sz w:val="15"/>
                <w:szCs w:val="15"/>
              </w:rPr>
              <w:t>152:22</w:t>
            </w:r>
          </w:p>
        </w:tc>
        <w:tc>
          <w:tcPr>
            <w:tcW w:w="656" w:type="dxa"/>
          </w:tcPr>
          <w:p w14:paraId="79E80C15" w14:textId="1ED0C0F3" w:rsidR="00E87371" w:rsidRPr="00246BD9" w:rsidRDefault="00E87371" w:rsidP="00E87371">
            <w:pPr>
              <w:rPr>
                <w:rFonts w:cs="Arial"/>
              </w:rPr>
            </w:pPr>
            <w:r w:rsidRPr="00246BD9">
              <w:rPr>
                <w:rFonts w:cs="Arial"/>
                <w:sz w:val="15"/>
                <w:szCs w:val="15"/>
              </w:rPr>
              <w:t>133:25</w:t>
            </w:r>
          </w:p>
        </w:tc>
        <w:tc>
          <w:tcPr>
            <w:tcW w:w="656" w:type="dxa"/>
          </w:tcPr>
          <w:p w14:paraId="56247B89" w14:textId="4986F0A2" w:rsidR="00E87371" w:rsidRPr="00246BD9" w:rsidRDefault="00E87371" w:rsidP="00E87371">
            <w:pPr>
              <w:rPr>
                <w:rFonts w:cs="Arial"/>
              </w:rPr>
            </w:pPr>
            <w:r w:rsidRPr="00246BD9">
              <w:rPr>
                <w:rFonts w:cs="Arial"/>
                <w:sz w:val="15"/>
                <w:szCs w:val="15"/>
              </w:rPr>
              <w:t>102:29</w:t>
            </w:r>
          </w:p>
        </w:tc>
        <w:tc>
          <w:tcPr>
            <w:tcW w:w="576" w:type="dxa"/>
          </w:tcPr>
          <w:p w14:paraId="50A424FD" w14:textId="58CA6632" w:rsidR="00E87371" w:rsidRPr="00246BD9" w:rsidRDefault="00E87371" w:rsidP="00E87371">
            <w:pPr>
              <w:rPr>
                <w:rFonts w:cs="Arial"/>
              </w:rPr>
            </w:pPr>
            <w:r w:rsidRPr="00246BD9">
              <w:rPr>
                <w:rFonts w:cs="Arial"/>
                <w:sz w:val="15"/>
                <w:szCs w:val="15"/>
              </w:rPr>
              <w:t>82:35</w:t>
            </w:r>
          </w:p>
        </w:tc>
        <w:tc>
          <w:tcPr>
            <w:tcW w:w="576" w:type="dxa"/>
          </w:tcPr>
          <w:p w14:paraId="442BDF2B" w14:textId="67BF62DB" w:rsidR="00E87371" w:rsidRPr="00246BD9" w:rsidRDefault="00E87371" w:rsidP="00E87371">
            <w:pPr>
              <w:rPr>
                <w:rFonts w:cs="Arial"/>
              </w:rPr>
            </w:pPr>
            <w:r w:rsidRPr="00246BD9">
              <w:rPr>
                <w:rFonts w:cs="Arial"/>
                <w:sz w:val="15"/>
                <w:szCs w:val="15"/>
              </w:rPr>
              <w:t>54:46</w:t>
            </w:r>
          </w:p>
        </w:tc>
        <w:tc>
          <w:tcPr>
            <w:tcW w:w="576" w:type="dxa"/>
          </w:tcPr>
          <w:p w14:paraId="621D459E" w14:textId="34404B78" w:rsidR="00E87371" w:rsidRPr="00246BD9" w:rsidRDefault="00E87371" w:rsidP="00E87371">
            <w:pPr>
              <w:rPr>
                <w:rFonts w:cs="Arial"/>
              </w:rPr>
            </w:pPr>
            <w:r w:rsidRPr="00246BD9">
              <w:rPr>
                <w:rFonts w:cs="Arial"/>
                <w:sz w:val="15"/>
                <w:szCs w:val="15"/>
              </w:rPr>
              <w:t>39:47</w:t>
            </w:r>
          </w:p>
        </w:tc>
        <w:tc>
          <w:tcPr>
            <w:tcW w:w="576" w:type="dxa"/>
          </w:tcPr>
          <w:p w14:paraId="1804A5CD" w14:textId="219C0141" w:rsidR="00E87371" w:rsidRPr="00246BD9" w:rsidRDefault="00E87371" w:rsidP="00E87371">
            <w:pPr>
              <w:rPr>
                <w:rFonts w:cs="Arial"/>
              </w:rPr>
            </w:pPr>
            <w:r w:rsidRPr="00246BD9">
              <w:rPr>
                <w:rFonts w:cs="Arial"/>
                <w:sz w:val="15"/>
                <w:szCs w:val="15"/>
              </w:rPr>
              <w:t>21:49</w:t>
            </w:r>
          </w:p>
        </w:tc>
        <w:tc>
          <w:tcPr>
            <w:tcW w:w="576" w:type="dxa"/>
          </w:tcPr>
          <w:p w14:paraId="0559766E" w14:textId="78E8D91A" w:rsidR="00E87371" w:rsidRPr="00246BD9" w:rsidRDefault="00E87371" w:rsidP="00E87371">
            <w:pPr>
              <w:rPr>
                <w:rFonts w:cs="Arial"/>
              </w:rPr>
            </w:pPr>
            <w:r w:rsidRPr="00246BD9">
              <w:rPr>
                <w:rFonts w:cs="Arial"/>
                <w:sz w:val="15"/>
                <w:szCs w:val="15"/>
              </w:rPr>
              <w:t>8:50</w:t>
            </w:r>
          </w:p>
        </w:tc>
        <w:tc>
          <w:tcPr>
            <w:tcW w:w="496" w:type="dxa"/>
          </w:tcPr>
          <w:p w14:paraId="5420FBFA" w14:textId="17DDA705" w:rsidR="00E87371" w:rsidRPr="00246BD9" w:rsidRDefault="00E87371" w:rsidP="00E87371">
            <w:pPr>
              <w:rPr>
                <w:rFonts w:cs="Arial"/>
              </w:rPr>
            </w:pPr>
            <w:r w:rsidRPr="00246BD9">
              <w:rPr>
                <w:rFonts w:cs="Arial"/>
                <w:sz w:val="15"/>
                <w:szCs w:val="15"/>
              </w:rPr>
              <w:t>0:50</w:t>
            </w:r>
          </w:p>
        </w:tc>
        <w:tc>
          <w:tcPr>
            <w:tcW w:w="496" w:type="dxa"/>
          </w:tcPr>
          <w:p w14:paraId="106F917F" w14:textId="77777777" w:rsidR="00E87371" w:rsidRPr="00246BD9" w:rsidRDefault="00E87371" w:rsidP="00E87371">
            <w:pPr>
              <w:rPr>
                <w:rFonts w:cs="Arial"/>
              </w:rPr>
            </w:pPr>
          </w:p>
        </w:tc>
      </w:tr>
    </w:tbl>
    <w:p w14:paraId="6F142FF2" w14:textId="5A350A8F" w:rsidR="00E87371" w:rsidRPr="00246BD9" w:rsidRDefault="00E87371" w:rsidP="0091385D">
      <w:pPr>
        <w:rPr>
          <w:rFonts w:cs="Arial"/>
        </w:rPr>
      </w:pPr>
    </w:p>
    <w:p w14:paraId="3FE306DC" w14:textId="30AD190C" w:rsidR="00E87371" w:rsidRPr="00246BD9" w:rsidRDefault="00E87371" w:rsidP="0091385D">
      <w:pPr>
        <w:rPr>
          <w:rFonts w:cs="Arial"/>
          <w:b/>
          <w:bCs/>
        </w:rPr>
      </w:pPr>
      <w:r w:rsidRPr="00246BD9">
        <w:rPr>
          <w:rFonts w:cs="Arial"/>
          <w:b/>
          <w:bCs/>
        </w:rPr>
        <w:t xml:space="preserve">Фигура 2 Оценка по </w:t>
      </w:r>
      <w:r w:rsidRPr="00246BD9">
        <w:rPr>
          <w:rFonts w:cs="Arial"/>
          <w:b/>
          <w:bCs/>
          <w:lang w:val="en-US"/>
        </w:rPr>
        <w:t xml:space="preserve">Kaplan-Meier </w:t>
      </w:r>
      <w:r w:rsidRPr="00246BD9">
        <w:rPr>
          <w:rFonts w:cs="Arial"/>
          <w:b/>
          <w:bCs/>
        </w:rPr>
        <w:t xml:space="preserve">на общата преживяемост </w:t>
      </w:r>
      <w:r w:rsidRPr="00246BD9">
        <w:rPr>
          <w:rFonts w:cs="Arial"/>
          <w:b/>
          <w:bCs/>
          <w:lang w:val="en-US"/>
        </w:rPr>
        <w:t xml:space="preserve">(ITT </w:t>
      </w:r>
      <w:r w:rsidRPr="00246BD9">
        <w:rPr>
          <w:rFonts w:cs="Arial"/>
          <w:b/>
          <w:bCs/>
        </w:rPr>
        <w:t>популация)</w:t>
      </w:r>
    </w:p>
    <w:p w14:paraId="7BA6B846" w14:textId="45F84A3E" w:rsidR="00E87371" w:rsidRPr="00246BD9" w:rsidRDefault="00E87371" w:rsidP="0091385D">
      <w:pPr>
        <w:rPr>
          <w:rFonts w:cs="Arial"/>
          <w:b/>
          <w:bCs/>
        </w:rPr>
      </w:pPr>
    </w:p>
    <w:p w14:paraId="61450D41" w14:textId="1CF8F4DA" w:rsidR="00E87371" w:rsidRPr="00246BD9" w:rsidRDefault="00E87371" w:rsidP="0091385D">
      <w:pPr>
        <w:rPr>
          <w:rFonts w:cs="Arial"/>
        </w:rPr>
      </w:pPr>
      <w:r w:rsidRPr="00246BD9">
        <w:rPr>
          <w:rFonts w:cs="Arial"/>
          <w:noProof/>
          <w:lang w:eastAsia="bg-BG"/>
        </w:rPr>
        <w:drawing>
          <wp:inline distT="0" distB="0" distL="0" distR="0" wp14:anchorId="7392D611" wp14:editId="66852568">
            <wp:extent cx="4887007" cy="1962424"/>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2.png"/>
                    <pic:cNvPicPr/>
                  </pic:nvPicPr>
                  <pic:blipFill>
                    <a:blip r:embed="rId7">
                      <a:extLst>
                        <a:ext uri="{28A0092B-C50C-407E-A947-70E740481C1C}">
                          <a14:useLocalDpi xmlns:a14="http://schemas.microsoft.com/office/drawing/2010/main" val="0"/>
                        </a:ext>
                      </a:extLst>
                    </a:blip>
                    <a:stretch>
                      <a:fillRect/>
                    </a:stretch>
                  </pic:blipFill>
                  <pic:spPr>
                    <a:xfrm>
                      <a:off x="0" y="0"/>
                      <a:ext cx="4887007" cy="1962424"/>
                    </a:xfrm>
                    <a:prstGeom prst="rect">
                      <a:avLst/>
                    </a:prstGeom>
                  </pic:spPr>
                </pic:pic>
              </a:graphicData>
            </a:graphic>
          </wp:inline>
        </w:drawing>
      </w:r>
    </w:p>
    <w:p w14:paraId="15D62285" w14:textId="503CD23F" w:rsidR="00E87371" w:rsidRPr="00246BD9" w:rsidRDefault="00E87371" w:rsidP="0091385D">
      <w:pPr>
        <w:rPr>
          <w:rFonts w:cs="Arial"/>
        </w:rPr>
      </w:pPr>
      <w:r w:rsidRPr="00246BD9">
        <w:rPr>
          <w:rFonts w:cs="Arial"/>
        </w:rPr>
        <w:t>Изложени на риск: Събития</w:t>
      </w:r>
    </w:p>
    <w:p w14:paraId="485AA463" w14:textId="58613A36" w:rsidR="00E87371" w:rsidRPr="00246BD9" w:rsidRDefault="00E87371" w:rsidP="0091385D">
      <w:pPr>
        <w:rPr>
          <w:rFonts w:cs="Arial"/>
        </w:rPr>
      </w:pPr>
    </w:p>
    <w:tbl>
      <w:tblPr>
        <w:tblStyle w:val="TableGrid"/>
        <w:tblW w:w="0" w:type="auto"/>
        <w:tblLook w:val="04A0" w:firstRow="1" w:lastRow="0" w:firstColumn="1" w:lastColumn="0" w:noHBand="0" w:noVBand="1"/>
      </w:tblPr>
      <w:tblGrid>
        <w:gridCol w:w="583"/>
        <w:gridCol w:w="618"/>
        <w:gridCol w:w="618"/>
        <w:gridCol w:w="618"/>
        <w:gridCol w:w="618"/>
        <w:gridCol w:w="618"/>
        <w:gridCol w:w="675"/>
        <w:gridCol w:w="675"/>
        <w:gridCol w:w="675"/>
        <w:gridCol w:w="618"/>
        <w:gridCol w:w="619"/>
        <w:gridCol w:w="593"/>
        <w:gridCol w:w="593"/>
        <w:gridCol w:w="645"/>
        <w:gridCol w:w="584"/>
      </w:tblGrid>
      <w:tr w:rsidR="00E87371" w:rsidRPr="00246BD9" w14:paraId="058B265D" w14:textId="77777777" w:rsidTr="009F341A">
        <w:tc>
          <w:tcPr>
            <w:tcW w:w="605" w:type="dxa"/>
            <w:vAlign w:val="bottom"/>
          </w:tcPr>
          <w:p w14:paraId="3B02C24D" w14:textId="7DDA3022" w:rsidR="00E87371" w:rsidRPr="00246BD9" w:rsidRDefault="00E87371" w:rsidP="00E87371">
            <w:pPr>
              <w:rPr>
                <w:rFonts w:cs="Arial"/>
                <w:sz w:val="15"/>
                <w:szCs w:val="15"/>
                <w:lang w:val="en-US"/>
              </w:rPr>
            </w:pPr>
            <w:r w:rsidRPr="00246BD9">
              <w:rPr>
                <w:rFonts w:cs="Arial"/>
                <w:sz w:val="15"/>
                <w:szCs w:val="15"/>
                <w:lang w:val="en-US"/>
              </w:rPr>
              <w:t>(1)</w:t>
            </w:r>
          </w:p>
          <w:p w14:paraId="1CAC3444" w14:textId="77777777" w:rsidR="00E87371" w:rsidRPr="00246BD9" w:rsidRDefault="00E87371" w:rsidP="00E87371">
            <w:pPr>
              <w:rPr>
                <w:rFonts w:cs="Arial"/>
                <w:sz w:val="15"/>
                <w:szCs w:val="15"/>
                <w:lang w:val="en-US"/>
              </w:rPr>
            </w:pPr>
          </w:p>
          <w:p w14:paraId="778248CE" w14:textId="349D96BA" w:rsidR="00E87371" w:rsidRPr="00246BD9" w:rsidRDefault="00E87371" w:rsidP="00E87371">
            <w:pPr>
              <w:rPr>
                <w:rFonts w:cs="Arial"/>
                <w:sz w:val="15"/>
                <w:szCs w:val="15"/>
                <w:lang w:val="en-US"/>
              </w:rPr>
            </w:pPr>
            <w:r w:rsidRPr="00246BD9">
              <w:rPr>
                <w:rFonts w:cs="Arial"/>
                <w:sz w:val="15"/>
                <w:szCs w:val="15"/>
                <w:lang w:val="en-US"/>
              </w:rPr>
              <w:t>(2)</w:t>
            </w:r>
          </w:p>
          <w:p w14:paraId="28479FD2" w14:textId="246F7A26" w:rsidR="00E87371" w:rsidRPr="00246BD9" w:rsidRDefault="00E87371" w:rsidP="00E87371">
            <w:pPr>
              <w:rPr>
                <w:rFonts w:cs="Arial"/>
                <w:sz w:val="15"/>
                <w:szCs w:val="15"/>
              </w:rPr>
            </w:pPr>
          </w:p>
        </w:tc>
        <w:tc>
          <w:tcPr>
            <w:tcW w:w="621" w:type="dxa"/>
            <w:vAlign w:val="bottom"/>
          </w:tcPr>
          <w:p w14:paraId="53136337" w14:textId="77777777" w:rsidR="00E87371" w:rsidRPr="00246BD9" w:rsidRDefault="00E87371" w:rsidP="00E87371">
            <w:pPr>
              <w:rPr>
                <w:rFonts w:cs="Arial"/>
                <w:sz w:val="15"/>
                <w:szCs w:val="15"/>
              </w:rPr>
            </w:pPr>
          </w:p>
          <w:p w14:paraId="530ABD2D" w14:textId="367574EC" w:rsidR="00E87371" w:rsidRPr="00246BD9" w:rsidRDefault="00E87371" w:rsidP="00E87371">
            <w:pPr>
              <w:rPr>
                <w:rFonts w:cs="Arial"/>
                <w:sz w:val="15"/>
                <w:szCs w:val="15"/>
              </w:rPr>
            </w:pPr>
            <w:r w:rsidRPr="00246BD9">
              <w:rPr>
                <w:rFonts w:cs="Arial"/>
                <w:sz w:val="15"/>
                <w:szCs w:val="15"/>
              </w:rPr>
              <w:t>199:0</w:t>
            </w:r>
          </w:p>
          <w:p w14:paraId="7C5E2B23" w14:textId="77777777" w:rsidR="00E87371" w:rsidRPr="00246BD9" w:rsidRDefault="00E87371" w:rsidP="00E87371">
            <w:pPr>
              <w:rPr>
                <w:rFonts w:cs="Arial"/>
                <w:sz w:val="15"/>
                <w:szCs w:val="15"/>
              </w:rPr>
            </w:pPr>
          </w:p>
          <w:p w14:paraId="5ECB046B" w14:textId="6736184A" w:rsidR="00E87371" w:rsidRPr="00246BD9" w:rsidRDefault="00E87371" w:rsidP="00E87371">
            <w:pPr>
              <w:rPr>
                <w:rFonts w:cs="Arial"/>
                <w:sz w:val="15"/>
                <w:szCs w:val="15"/>
              </w:rPr>
            </w:pPr>
            <w:r w:rsidRPr="00246BD9">
              <w:rPr>
                <w:rFonts w:cs="Arial"/>
                <w:sz w:val="15"/>
                <w:szCs w:val="15"/>
              </w:rPr>
              <w:t>198:0</w:t>
            </w:r>
          </w:p>
        </w:tc>
        <w:tc>
          <w:tcPr>
            <w:tcW w:w="621" w:type="dxa"/>
            <w:vAlign w:val="bottom"/>
          </w:tcPr>
          <w:p w14:paraId="016875B2" w14:textId="77777777" w:rsidR="00E87371" w:rsidRPr="00246BD9" w:rsidRDefault="00E87371" w:rsidP="00E87371">
            <w:pPr>
              <w:rPr>
                <w:rFonts w:cs="Arial"/>
                <w:sz w:val="15"/>
                <w:szCs w:val="15"/>
              </w:rPr>
            </w:pPr>
            <w:r w:rsidRPr="00246BD9">
              <w:rPr>
                <w:rFonts w:cs="Arial"/>
                <w:sz w:val="15"/>
                <w:szCs w:val="15"/>
              </w:rPr>
              <w:t>190:2</w:t>
            </w:r>
          </w:p>
          <w:p w14:paraId="67209406" w14:textId="77777777" w:rsidR="00E87371" w:rsidRPr="00246BD9" w:rsidRDefault="00E87371" w:rsidP="00E87371">
            <w:pPr>
              <w:rPr>
                <w:rFonts w:cs="Arial"/>
                <w:sz w:val="15"/>
                <w:szCs w:val="15"/>
              </w:rPr>
            </w:pPr>
          </w:p>
          <w:p w14:paraId="2D756180" w14:textId="214ECD24" w:rsidR="00E87371" w:rsidRPr="00246BD9" w:rsidRDefault="00E87371" w:rsidP="00E87371">
            <w:pPr>
              <w:rPr>
                <w:rFonts w:cs="Arial"/>
                <w:sz w:val="15"/>
                <w:szCs w:val="15"/>
              </w:rPr>
            </w:pPr>
            <w:r w:rsidRPr="00246BD9">
              <w:rPr>
                <w:rFonts w:cs="Arial"/>
                <w:sz w:val="15"/>
                <w:szCs w:val="15"/>
              </w:rPr>
              <w:t>196:0</w:t>
            </w:r>
          </w:p>
        </w:tc>
        <w:tc>
          <w:tcPr>
            <w:tcW w:w="621" w:type="dxa"/>
            <w:vAlign w:val="bottom"/>
          </w:tcPr>
          <w:p w14:paraId="539AC40C" w14:textId="77777777" w:rsidR="00E87371" w:rsidRPr="00246BD9" w:rsidRDefault="00E87371" w:rsidP="00E87371">
            <w:pPr>
              <w:rPr>
                <w:rFonts w:cs="Arial"/>
                <w:sz w:val="15"/>
                <w:szCs w:val="15"/>
              </w:rPr>
            </w:pPr>
            <w:r w:rsidRPr="00246BD9">
              <w:rPr>
                <w:rFonts w:cs="Arial"/>
                <w:sz w:val="15"/>
                <w:szCs w:val="15"/>
              </w:rPr>
              <w:t>188:2</w:t>
            </w:r>
          </w:p>
          <w:p w14:paraId="6FE251C1" w14:textId="77777777" w:rsidR="00E87371" w:rsidRPr="00246BD9" w:rsidRDefault="00E87371" w:rsidP="00E87371">
            <w:pPr>
              <w:rPr>
                <w:rFonts w:cs="Arial"/>
                <w:sz w:val="15"/>
                <w:szCs w:val="15"/>
              </w:rPr>
            </w:pPr>
          </w:p>
          <w:p w14:paraId="0B2A432B" w14:textId="67DBA1FD" w:rsidR="00E87371" w:rsidRPr="00246BD9" w:rsidRDefault="00E87371" w:rsidP="00E87371">
            <w:pPr>
              <w:rPr>
                <w:rFonts w:cs="Arial"/>
                <w:sz w:val="15"/>
                <w:szCs w:val="15"/>
              </w:rPr>
            </w:pPr>
            <w:r w:rsidRPr="00246BD9">
              <w:rPr>
                <w:rFonts w:cs="Arial"/>
                <w:sz w:val="15"/>
                <w:szCs w:val="15"/>
              </w:rPr>
              <w:t>192:0</w:t>
            </w:r>
          </w:p>
        </w:tc>
        <w:tc>
          <w:tcPr>
            <w:tcW w:w="621" w:type="dxa"/>
            <w:vAlign w:val="bottom"/>
          </w:tcPr>
          <w:p w14:paraId="3E3E83F1" w14:textId="77777777" w:rsidR="00E87371" w:rsidRPr="00246BD9" w:rsidRDefault="00E87371" w:rsidP="00E87371">
            <w:pPr>
              <w:rPr>
                <w:rFonts w:cs="Arial"/>
                <w:sz w:val="15"/>
                <w:szCs w:val="15"/>
              </w:rPr>
            </w:pPr>
            <w:r w:rsidRPr="00246BD9">
              <w:rPr>
                <w:rFonts w:cs="Arial"/>
                <w:sz w:val="15"/>
                <w:szCs w:val="15"/>
              </w:rPr>
              <w:t>183:6</w:t>
            </w:r>
          </w:p>
          <w:p w14:paraId="0FF708E2" w14:textId="77777777" w:rsidR="00E87371" w:rsidRPr="00246BD9" w:rsidRDefault="00E87371" w:rsidP="00E87371">
            <w:pPr>
              <w:rPr>
                <w:rFonts w:cs="Arial"/>
                <w:sz w:val="15"/>
                <w:szCs w:val="15"/>
              </w:rPr>
            </w:pPr>
          </w:p>
          <w:p w14:paraId="6F5F9006" w14:textId="58675A10" w:rsidR="00E87371" w:rsidRPr="00246BD9" w:rsidRDefault="00E87371" w:rsidP="00E87371">
            <w:pPr>
              <w:rPr>
                <w:rFonts w:cs="Arial"/>
                <w:sz w:val="15"/>
                <w:szCs w:val="15"/>
              </w:rPr>
            </w:pPr>
            <w:r w:rsidRPr="00246BD9">
              <w:rPr>
                <w:rFonts w:cs="Arial"/>
                <w:sz w:val="15"/>
                <w:szCs w:val="15"/>
              </w:rPr>
              <w:t>187:4</w:t>
            </w:r>
          </w:p>
        </w:tc>
        <w:tc>
          <w:tcPr>
            <w:tcW w:w="621" w:type="dxa"/>
            <w:vAlign w:val="bottom"/>
          </w:tcPr>
          <w:p w14:paraId="023BF0F0" w14:textId="77777777" w:rsidR="00E87371" w:rsidRPr="00246BD9" w:rsidRDefault="00E87371" w:rsidP="00E87371">
            <w:pPr>
              <w:rPr>
                <w:rFonts w:cs="Arial"/>
                <w:sz w:val="15"/>
                <w:szCs w:val="15"/>
              </w:rPr>
            </w:pPr>
            <w:r w:rsidRPr="00246BD9">
              <w:rPr>
                <w:rFonts w:cs="Arial"/>
                <w:sz w:val="15"/>
                <w:szCs w:val="15"/>
              </w:rPr>
              <w:t>176:8</w:t>
            </w:r>
          </w:p>
          <w:p w14:paraId="20E578B3" w14:textId="77777777" w:rsidR="00E87371" w:rsidRPr="00246BD9" w:rsidRDefault="00E87371" w:rsidP="00E87371">
            <w:pPr>
              <w:rPr>
                <w:rFonts w:cs="Arial"/>
                <w:sz w:val="15"/>
                <w:szCs w:val="15"/>
              </w:rPr>
            </w:pPr>
          </w:p>
          <w:p w14:paraId="40253A5A" w14:textId="3B755FB5" w:rsidR="00E87371" w:rsidRPr="00246BD9" w:rsidRDefault="00E87371" w:rsidP="00E87371">
            <w:pPr>
              <w:rPr>
                <w:rFonts w:cs="Arial"/>
                <w:sz w:val="15"/>
                <w:szCs w:val="15"/>
              </w:rPr>
            </w:pPr>
            <w:r w:rsidRPr="00246BD9">
              <w:rPr>
                <w:rFonts w:cs="Arial"/>
                <w:sz w:val="15"/>
                <w:szCs w:val="15"/>
              </w:rPr>
              <w:t>184:5</w:t>
            </w:r>
          </w:p>
        </w:tc>
        <w:tc>
          <w:tcPr>
            <w:tcW w:w="675" w:type="dxa"/>
            <w:vAlign w:val="bottom"/>
          </w:tcPr>
          <w:p w14:paraId="44C88F05" w14:textId="77777777" w:rsidR="00E87371" w:rsidRPr="00246BD9" w:rsidRDefault="00E87371" w:rsidP="00E87371">
            <w:pPr>
              <w:rPr>
                <w:rFonts w:cs="Arial"/>
                <w:sz w:val="15"/>
                <w:szCs w:val="15"/>
              </w:rPr>
            </w:pPr>
            <w:r w:rsidRPr="00246BD9">
              <w:rPr>
                <w:rFonts w:cs="Arial"/>
                <w:sz w:val="15"/>
                <w:szCs w:val="15"/>
              </w:rPr>
              <w:t>156:10</w:t>
            </w:r>
          </w:p>
          <w:p w14:paraId="360D68AC" w14:textId="77777777" w:rsidR="00E87371" w:rsidRPr="00246BD9" w:rsidRDefault="00E87371" w:rsidP="00E87371">
            <w:pPr>
              <w:rPr>
                <w:rFonts w:cs="Arial"/>
                <w:sz w:val="15"/>
                <w:szCs w:val="15"/>
              </w:rPr>
            </w:pPr>
          </w:p>
          <w:p w14:paraId="6F3C786B" w14:textId="180FED40" w:rsidR="00E87371" w:rsidRPr="00246BD9" w:rsidRDefault="00E87371" w:rsidP="00E87371">
            <w:pPr>
              <w:rPr>
                <w:rFonts w:cs="Arial"/>
                <w:sz w:val="15"/>
                <w:szCs w:val="15"/>
              </w:rPr>
            </w:pPr>
            <w:r w:rsidRPr="00246BD9">
              <w:rPr>
                <w:rFonts w:cs="Arial"/>
                <w:sz w:val="15"/>
                <w:szCs w:val="15"/>
              </w:rPr>
              <w:t>164:7</w:t>
            </w:r>
          </w:p>
        </w:tc>
        <w:tc>
          <w:tcPr>
            <w:tcW w:w="675" w:type="dxa"/>
            <w:vAlign w:val="bottom"/>
          </w:tcPr>
          <w:p w14:paraId="38FA2DA4" w14:textId="77777777" w:rsidR="00E87371" w:rsidRPr="00246BD9" w:rsidRDefault="00E87371" w:rsidP="00E87371">
            <w:pPr>
              <w:rPr>
                <w:rFonts w:cs="Arial"/>
                <w:sz w:val="15"/>
                <w:szCs w:val="15"/>
              </w:rPr>
            </w:pPr>
            <w:r w:rsidRPr="00246BD9">
              <w:rPr>
                <w:rFonts w:cs="Arial"/>
                <w:sz w:val="15"/>
                <w:szCs w:val="15"/>
              </w:rPr>
              <w:t>140:11</w:t>
            </w:r>
          </w:p>
          <w:p w14:paraId="789C1CF5" w14:textId="77777777" w:rsidR="00E87371" w:rsidRPr="00246BD9" w:rsidRDefault="00E87371" w:rsidP="00E87371">
            <w:pPr>
              <w:rPr>
                <w:rFonts w:cs="Arial"/>
                <w:sz w:val="15"/>
                <w:szCs w:val="15"/>
              </w:rPr>
            </w:pPr>
          </w:p>
          <w:p w14:paraId="7DE48605" w14:textId="7FF1C193" w:rsidR="00E87371" w:rsidRPr="00246BD9" w:rsidRDefault="00E87371" w:rsidP="00E87371">
            <w:pPr>
              <w:rPr>
                <w:rFonts w:cs="Arial"/>
                <w:sz w:val="15"/>
                <w:szCs w:val="15"/>
              </w:rPr>
            </w:pPr>
            <w:r w:rsidRPr="00246BD9">
              <w:rPr>
                <w:rFonts w:cs="Arial"/>
                <w:sz w:val="15"/>
                <w:szCs w:val="15"/>
              </w:rPr>
              <w:t>152:7</w:t>
            </w:r>
          </w:p>
        </w:tc>
        <w:tc>
          <w:tcPr>
            <w:tcW w:w="675" w:type="dxa"/>
            <w:vAlign w:val="bottom"/>
          </w:tcPr>
          <w:p w14:paraId="0955DF5D" w14:textId="77777777" w:rsidR="00E87371" w:rsidRPr="00246BD9" w:rsidRDefault="00E87371" w:rsidP="00E87371">
            <w:pPr>
              <w:rPr>
                <w:rFonts w:cs="Arial"/>
                <w:sz w:val="15"/>
                <w:szCs w:val="15"/>
              </w:rPr>
            </w:pPr>
            <w:r w:rsidRPr="00246BD9">
              <w:rPr>
                <w:rFonts w:cs="Arial"/>
                <w:sz w:val="15"/>
                <w:szCs w:val="15"/>
              </w:rPr>
              <w:t>105:14</w:t>
            </w:r>
          </w:p>
          <w:p w14:paraId="1562876B" w14:textId="77777777" w:rsidR="00E87371" w:rsidRPr="00246BD9" w:rsidRDefault="00E87371" w:rsidP="00E87371">
            <w:pPr>
              <w:rPr>
                <w:rFonts w:cs="Arial"/>
                <w:sz w:val="15"/>
                <w:szCs w:val="15"/>
              </w:rPr>
            </w:pPr>
          </w:p>
          <w:p w14:paraId="42F67669" w14:textId="2748228F" w:rsidR="00E87371" w:rsidRPr="00246BD9" w:rsidRDefault="00E87371" w:rsidP="00E87371">
            <w:pPr>
              <w:rPr>
                <w:rFonts w:cs="Arial"/>
                <w:sz w:val="15"/>
                <w:szCs w:val="15"/>
              </w:rPr>
            </w:pPr>
            <w:r w:rsidRPr="00246BD9">
              <w:rPr>
                <w:rFonts w:cs="Arial"/>
                <w:sz w:val="15"/>
                <w:szCs w:val="15"/>
              </w:rPr>
              <w:t>119:8</w:t>
            </w:r>
          </w:p>
        </w:tc>
        <w:tc>
          <w:tcPr>
            <w:tcW w:w="621" w:type="dxa"/>
            <w:vAlign w:val="bottom"/>
          </w:tcPr>
          <w:p w14:paraId="051BD1F6" w14:textId="77777777" w:rsidR="00E87371" w:rsidRPr="00246BD9" w:rsidRDefault="00E87371" w:rsidP="00E87371">
            <w:pPr>
              <w:rPr>
                <w:rFonts w:cs="Arial"/>
                <w:sz w:val="15"/>
                <w:szCs w:val="15"/>
              </w:rPr>
            </w:pPr>
            <w:r w:rsidRPr="00246BD9">
              <w:rPr>
                <w:rFonts w:cs="Arial"/>
                <w:sz w:val="15"/>
                <w:szCs w:val="15"/>
              </w:rPr>
              <w:t>87:18</w:t>
            </w:r>
          </w:p>
          <w:p w14:paraId="136BBD41" w14:textId="77777777" w:rsidR="00E87371" w:rsidRPr="00246BD9" w:rsidRDefault="00E87371" w:rsidP="00E87371">
            <w:pPr>
              <w:rPr>
                <w:rFonts w:cs="Arial"/>
                <w:sz w:val="15"/>
                <w:szCs w:val="15"/>
              </w:rPr>
            </w:pPr>
          </w:p>
          <w:p w14:paraId="04297915" w14:textId="05C937BB" w:rsidR="00E87371" w:rsidRPr="00246BD9" w:rsidRDefault="00E87371" w:rsidP="00E87371">
            <w:pPr>
              <w:rPr>
                <w:rFonts w:cs="Arial"/>
                <w:sz w:val="15"/>
                <w:szCs w:val="15"/>
              </w:rPr>
            </w:pPr>
            <w:r w:rsidRPr="00246BD9">
              <w:rPr>
                <w:rFonts w:cs="Arial"/>
                <w:sz w:val="15"/>
                <w:szCs w:val="15"/>
              </w:rPr>
              <w:t>100:8</w:t>
            </w:r>
          </w:p>
        </w:tc>
        <w:tc>
          <w:tcPr>
            <w:tcW w:w="622" w:type="dxa"/>
            <w:vAlign w:val="bottom"/>
          </w:tcPr>
          <w:p w14:paraId="52BE189F" w14:textId="77777777" w:rsidR="00E87371" w:rsidRPr="00246BD9" w:rsidRDefault="00E87371" w:rsidP="00E87371">
            <w:pPr>
              <w:rPr>
                <w:rFonts w:cs="Arial"/>
                <w:sz w:val="15"/>
                <w:szCs w:val="15"/>
              </w:rPr>
            </w:pPr>
            <w:r w:rsidRPr="00246BD9">
              <w:rPr>
                <w:rFonts w:cs="Arial"/>
                <w:sz w:val="15"/>
                <w:szCs w:val="15"/>
              </w:rPr>
              <w:t>64:22</w:t>
            </w:r>
          </w:p>
          <w:p w14:paraId="0F067528" w14:textId="77777777" w:rsidR="00E87371" w:rsidRPr="00246BD9" w:rsidRDefault="00E87371" w:rsidP="00E87371">
            <w:pPr>
              <w:rPr>
                <w:rFonts w:cs="Arial"/>
                <w:sz w:val="15"/>
                <w:szCs w:val="15"/>
              </w:rPr>
            </w:pPr>
          </w:p>
          <w:p w14:paraId="4616D36D" w14:textId="0A739421" w:rsidR="00E87371" w:rsidRPr="00246BD9" w:rsidRDefault="00E87371" w:rsidP="00E87371">
            <w:pPr>
              <w:rPr>
                <w:rFonts w:cs="Arial"/>
                <w:sz w:val="15"/>
                <w:szCs w:val="15"/>
              </w:rPr>
            </w:pPr>
            <w:r w:rsidRPr="00246BD9">
              <w:rPr>
                <w:rFonts w:cs="Arial"/>
                <w:sz w:val="15"/>
                <w:szCs w:val="15"/>
              </w:rPr>
              <w:t>76:10</w:t>
            </w:r>
          </w:p>
        </w:tc>
        <w:tc>
          <w:tcPr>
            <w:tcW w:w="593" w:type="dxa"/>
          </w:tcPr>
          <w:p w14:paraId="028332C7" w14:textId="77777777" w:rsidR="00E87371" w:rsidRPr="00246BD9" w:rsidRDefault="00E87371" w:rsidP="00E87371">
            <w:pPr>
              <w:rPr>
                <w:rFonts w:cs="Arial"/>
                <w:sz w:val="15"/>
                <w:szCs w:val="15"/>
                <w:lang w:eastAsia="bg-BG"/>
              </w:rPr>
            </w:pPr>
            <w:r w:rsidRPr="00246BD9">
              <w:rPr>
                <w:rFonts w:cs="Arial"/>
                <w:sz w:val="15"/>
                <w:szCs w:val="15"/>
              </w:rPr>
              <w:t>27:25</w:t>
            </w:r>
          </w:p>
          <w:p w14:paraId="74B9CA4C" w14:textId="7E3FB8FB" w:rsidR="00E87371" w:rsidRPr="00246BD9" w:rsidRDefault="00E87371" w:rsidP="00E87371">
            <w:pPr>
              <w:rPr>
                <w:rFonts w:cs="Arial"/>
                <w:sz w:val="15"/>
                <w:szCs w:val="15"/>
              </w:rPr>
            </w:pPr>
            <w:r w:rsidRPr="00246BD9">
              <w:rPr>
                <w:rFonts w:cs="Arial"/>
                <w:sz w:val="15"/>
                <w:szCs w:val="15"/>
              </w:rPr>
              <w:t>31:11</w:t>
            </w:r>
          </w:p>
        </w:tc>
        <w:tc>
          <w:tcPr>
            <w:tcW w:w="593" w:type="dxa"/>
            <w:vAlign w:val="bottom"/>
          </w:tcPr>
          <w:p w14:paraId="6DA87A55" w14:textId="77777777" w:rsidR="00E87371" w:rsidRPr="00246BD9" w:rsidRDefault="00E87371" w:rsidP="00E87371">
            <w:pPr>
              <w:rPr>
                <w:rFonts w:cs="Arial"/>
                <w:sz w:val="15"/>
                <w:szCs w:val="15"/>
                <w:lang w:eastAsia="bg-BG"/>
              </w:rPr>
            </w:pPr>
            <w:r w:rsidRPr="00246BD9">
              <w:rPr>
                <w:rFonts w:cs="Arial"/>
                <w:sz w:val="15"/>
                <w:szCs w:val="15"/>
              </w:rPr>
              <w:t>30:25</w:t>
            </w:r>
          </w:p>
          <w:p w14:paraId="1692AD50" w14:textId="7369F71A" w:rsidR="00E87371" w:rsidRPr="00246BD9" w:rsidRDefault="00E87371" w:rsidP="00E87371">
            <w:pPr>
              <w:rPr>
                <w:rFonts w:cs="Arial"/>
                <w:sz w:val="15"/>
                <w:szCs w:val="15"/>
              </w:rPr>
            </w:pPr>
            <w:r w:rsidRPr="00246BD9">
              <w:rPr>
                <w:rFonts w:cs="Arial"/>
                <w:sz w:val="15"/>
                <w:szCs w:val="15"/>
              </w:rPr>
              <w:t>13:12</w:t>
            </w:r>
          </w:p>
        </w:tc>
        <w:tc>
          <w:tcPr>
            <w:tcW w:w="593" w:type="dxa"/>
          </w:tcPr>
          <w:p w14:paraId="01861EDC" w14:textId="77777777" w:rsidR="00E87371" w:rsidRPr="00246BD9" w:rsidRDefault="00E87371" w:rsidP="00E87371">
            <w:pPr>
              <w:rPr>
                <w:rFonts w:cs="Arial"/>
                <w:sz w:val="15"/>
                <w:szCs w:val="15"/>
              </w:rPr>
            </w:pPr>
            <w:r w:rsidRPr="00246BD9">
              <w:rPr>
                <w:rFonts w:cs="Arial"/>
                <w:sz w:val="15"/>
                <w:szCs w:val="15"/>
              </w:rPr>
              <w:t>2:25</w:t>
            </w:r>
            <w:r w:rsidRPr="00246BD9">
              <w:rPr>
                <w:rFonts w:cs="Arial"/>
                <w:sz w:val="15"/>
                <w:szCs w:val="15"/>
              </w:rPr>
              <w:tab/>
            </w:r>
          </w:p>
          <w:p w14:paraId="140F9887" w14:textId="2BC361A7" w:rsidR="00E87371" w:rsidRPr="00246BD9" w:rsidRDefault="00E87371" w:rsidP="00E87371">
            <w:pPr>
              <w:rPr>
                <w:rFonts w:cs="Arial"/>
                <w:sz w:val="15"/>
                <w:szCs w:val="15"/>
                <w:lang w:eastAsia="bg-BG"/>
              </w:rPr>
            </w:pPr>
            <w:r w:rsidRPr="00246BD9">
              <w:rPr>
                <w:rFonts w:cs="Arial"/>
                <w:sz w:val="15"/>
                <w:szCs w:val="15"/>
              </w:rPr>
              <w:t>0:25</w:t>
            </w:r>
          </w:p>
        </w:tc>
        <w:tc>
          <w:tcPr>
            <w:tcW w:w="593" w:type="dxa"/>
          </w:tcPr>
          <w:p w14:paraId="2C3BF7E3" w14:textId="005835C5" w:rsidR="00E87371" w:rsidRPr="00246BD9" w:rsidRDefault="00E87371" w:rsidP="00E87371">
            <w:pPr>
              <w:rPr>
                <w:rFonts w:cs="Arial"/>
                <w:sz w:val="15"/>
                <w:szCs w:val="15"/>
                <w:lang w:eastAsia="bg-BG"/>
              </w:rPr>
            </w:pPr>
          </w:p>
          <w:p w14:paraId="355B2AF1" w14:textId="2D1E2B18" w:rsidR="00E87371" w:rsidRPr="00246BD9" w:rsidRDefault="00E87371" w:rsidP="00E87371">
            <w:pPr>
              <w:rPr>
                <w:rFonts w:cs="Arial"/>
                <w:sz w:val="15"/>
                <w:szCs w:val="15"/>
              </w:rPr>
            </w:pPr>
            <w:r w:rsidRPr="00246BD9">
              <w:rPr>
                <w:rFonts w:cs="Arial"/>
                <w:sz w:val="15"/>
                <w:szCs w:val="15"/>
              </w:rPr>
              <w:t>0:12</w:t>
            </w:r>
          </w:p>
        </w:tc>
      </w:tr>
    </w:tbl>
    <w:p w14:paraId="25031810" w14:textId="77777777" w:rsidR="00E87371" w:rsidRPr="00246BD9" w:rsidRDefault="00E87371" w:rsidP="0091385D">
      <w:pPr>
        <w:rPr>
          <w:rFonts w:cs="Arial"/>
        </w:rPr>
      </w:pPr>
    </w:p>
    <w:p w14:paraId="7FA29E43" w14:textId="77777777" w:rsidR="00246BD9" w:rsidRPr="00246BD9" w:rsidRDefault="00246BD9" w:rsidP="00246BD9">
      <w:pPr>
        <w:spacing w:line="240" w:lineRule="auto"/>
        <w:rPr>
          <w:rFonts w:eastAsia="Times New Roman" w:cs="Arial"/>
          <w:sz w:val="24"/>
          <w:szCs w:val="24"/>
          <w:lang w:eastAsia="bg-BG"/>
        </w:rPr>
      </w:pPr>
      <w:r w:rsidRPr="00246BD9">
        <w:rPr>
          <w:rFonts w:eastAsia="Times New Roman" w:cs="Arial"/>
          <w:color w:val="000000"/>
          <w:lang w:eastAsia="bg-BG"/>
        </w:rPr>
        <w:t xml:space="preserve">Няма контролирани клинични изпитвания при педиатрични пациенти с </w:t>
      </w:r>
      <w:r w:rsidRPr="00246BD9">
        <w:rPr>
          <w:rFonts w:eastAsia="Times New Roman" w:cs="Arial"/>
          <w:color w:val="000000"/>
          <w:lang w:val="en-US"/>
        </w:rPr>
        <w:t xml:space="preserve">c-Kit </w:t>
      </w:r>
      <w:r w:rsidRPr="00246BD9">
        <w:rPr>
          <w:rFonts w:eastAsia="Times New Roman" w:cs="Arial"/>
          <w:color w:val="000000"/>
          <w:lang w:eastAsia="bg-BG"/>
        </w:rPr>
        <w:t>позитивен ГИСТ.</w:t>
      </w:r>
    </w:p>
    <w:p w14:paraId="1C9E71BE" w14:textId="77777777" w:rsidR="00246BD9" w:rsidRPr="00246BD9" w:rsidRDefault="00246BD9" w:rsidP="00246BD9">
      <w:pPr>
        <w:spacing w:line="240" w:lineRule="auto"/>
        <w:rPr>
          <w:rFonts w:eastAsia="Times New Roman" w:cs="Arial"/>
          <w:sz w:val="24"/>
          <w:szCs w:val="24"/>
          <w:lang w:eastAsia="bg-BG"/>
        </w:rPr>
      </w:pPr>
      <w:r w:rsidRPr="00246BD9">
        <w:rPr>
          <w:rFonts w:eastAsia="Times New Roman" w:cs="Arial"/>
          <w:color w:val="000000"/>
          <w:lang w:eastAsia="bg-BG"/>
        </w:rPr>
        <w:t xml:space="preserve">В 7 публикации се съобщава за 17 пациенти с ГИСТ (със или без </w:t>
      </w:r>
      <w:r w:rsidRPr="00246BD9">
        <w:rPr>
          <w:rFonts w:eastAsia="Times New Roman" w:cs="Arial"/>
          <w:color w:val="000000"/>
          <w:lang w:val="en-US"/>
        </w:rPr>
        <w:t xml:space="preserve">Kit </w:t>
      </w:r>
      <w:r w:rsidRPr="00246BD9">
        <w:rPr>
          <w:rFonts w:eastAsia="Times New Roman" w:cs="Arial"/>
          <w:color w:val="000000"/>
          <w:lang w:eastAsia="bg-BG"/>
        </w:rPr>
        <w:t xml:space="preserve">и </w:t>
      </w:r>
      <w:r w:rsidRPr="00246BD9">
        <w:rPr>
          <w:rFonts w:eastAsia="Times New Roman" w:cs="Arial"/>
          <w:color w:val="000000"/>
          <w:lang w:val="en-US"/>
        </w:rPr>
        <w:t xml:space="preserve">PDGFR </w:t>
      </w:r>
      <w:r w:rsidRPr="00246BD9">
        <w:rPr>
          <w:rFonts w:eastAsia="Times New Roman" w:cs="Arial"/>
          <w:color w:val="000000"/>
          <w:lang w:eastAsia="bg-BG"/>
        </w:rPr>
        <w:t>мутации)</w:t>
      </w:r>
    </w:p>
    <w:p w14:paraId="057E542D" w14:textId="77777777" w:rsidR="00246BD9" w:rsidRPr="00246BD9" w:rsidRDefault="00246BD9" w:rsidP="00246BD9">
      <w:pPr>
        <w:spacing w:line="240" w:lineRule="auto"/>
        <w:rPr>
          <w:rFonts w:eastAsia="Times New Roman" w:cs="Arial"/>
          <w:sz w:val="24"/>
          <w:szCs w:val="24"/>
          <w:lang w:eastAsia="bg-BG"/>
        </w:rPr>
      </w:pPr>
      <w:r w:rsidRPr="00246BD9">
        <w:rPr>
          <w:rFonts w:eastAsia="Times New Roman" w:cs="Arial"/>
          <w:color w:val="000000"/>
          <w:lang w:eastAsia="bg-BG"/>
        </w:rPr>
        <w:t>Възрастта на тези пациенти варира от 8 до 18 години, иматиниб е прилаган както като</w:t>
      </w:r>
    </w:p>
    <w:p w14:paraId="05C4D7EA" w14:textId="7DBBF862" w:rsidR="009F450C" w:rsidRPr="009F450C" w:rsidRDefault="00246BD9" w:rsidP="009F450C">
      <w:pPr>
        <w:rPr>
          <w:rFonts w:cs="Arial"/>
        </w:rPr>
      </w:pPr>
      <w:r w:rsidRPr="00246BD9">
        <w:rPr>
          <w:rFonts w:eastAsia="Times New Roman" w:cs="Arial"/>
          <w:color w:val="000000"/>
          <w:lang w:eastAsia="bg-BG"/>
        </w:rPr>
        <w:t xml:space="preserve">адювантна терапия, така и при метастатични тумори в дози в интервала от </w:t>
      </w:r>
      <w:r w:rsidRPr="00246BD9">
        <w:rPr>
          <w:rFonts w:eastAsia="Times New Roman" w:cs="Arial"/>
          <w:color w:val="000000"/>
          <w:lang w:val="en-US"/>
        </w:rPr>
        <w:t>300</w:t>
      </w:r>
      <w:r w:rsidRPr="00246BD9">
        <w:rPr>
          <w:rFonts w:eastAsia="Times New Roman" w:cs="Arial"/>
          <w:color w:val="000000"/>
          <w:lang w:eastAsia="bg-BG"/>
        </w:rPr>
        <w:t xml:space="preserve"> до 800 </w:t>
      </w:r>
      <w:r w:rsidRPr="00246BD9">
        <w:rPr>
          <w:rFonts w:eastAsia="Times New Roman" w:cs="Arial"/>
          <w:color w:val="000000"/>
          <w:lang w:val="en-US"/>
        </w:rPr>
        <w:t>mg</w:t>
      </w:r>
      <w:r w:rsidR="009F450C">
        <w:rPr>
          <w:rFonts w:cs="Arial"/>
          <w:lang w:val="en-US"/>
        </w:rPr>
        <w:t xml:space="preserve"> </w:t>
      </w:r>
      <w:r w:rsidR="009F450C" w:rsidRPr="009F450C">
        <w:rPr>
          <w:rFonts w:eastAsia="Times New Roman" w:cs="Arial"/>
          <w:color w:val="000000"/>
          <w:lang w:eastAsia="bg-BG"/>
        </w:rPr>
        <w:t xml:space="preserve">дневно. При повечето от педиатричните пациенти, лекувани за ГИСТ липсват данни, които да потвърждават </w:t>
      </w:r>
      <w:r w:rsidR="009F450C" w:rsidRPr="009F450C">
        <w:rPr>
          <w:rFonts w:eastAsia="Times New Roman" w:cs="Arial"/>
          <w:color w:val="000000"/>
          <w:lang w:val="en-US"/>
        </w:rPr>
        <w:t xml:space="preserve">c-kit </w:t>
      </w:r>
      <w:r w:rsidR="009F450C" w:rsidRPr="009F450C">
        <w:rPr>
          <w:rFonts w:eastAsia="Times New Roman" w:cs="Arial"/>
          <w:color w:val="000000"/>
          <w:lang w:eastAsia="bg-BG"/>
        </w:rPr>
        <w:t xml:space="preserve">или </w:t>
      </w:r>
      <w:r w:rsidR="009F450C" w:rsidRPr="009F450C">
        <w:rPr>
          <w:rFonts w:eastAsia="Times New Roman" w:cs="Arial"/>
          <w:color w:val="000000"/>
          <w:lang w:val="en-US"/>
        </w:rPr>
        <w:t xml:space="preserve">PDGFR </w:t>
      </w:r>
      <w:r w:rsidR="009F450C" w:rsidRPr="009F450C">
        <w:rPr>
          <w:rFonts w:eastAsia="Times New Roman" w:cs="Arial"/>
          <w:color w:val="000000"/>
          <w:lang w:eastAsia="bg-BG"/>
        </w:rPr>
        <w:t>мутации, което може да доведе до противоречиви клинични резултати.</w:t>
      </w:r>
    </w:p>
    <w:p w14:paraId="5E66297F" w14:textId="77777777" w:rsidR="009F450C" w:rsidRPr="009F450C" w:rsidRDefault="009F450C" w:rsidP="009F450C">
      <w:pPr>
        <w:spacing w:line="240" w:lineRule="auto"/>
        <w:rPr>
          <w:rFonts w:eastAsia="Times New Roman" w:cs="Arial"/>
          <w:color w:val="000000"/>
          <w:u w:val="single"/>
          <w:lang w:eastAsia="bg-BG"/>
        </w:rPr>
      </w:pPr>
    </w:p>
    <w:p w14:paraId="6B9BE51A" w14:textId="3163D81A" w:rsidR="009F450C" w:rsidRPr="009F450C" w:rsidRDefault="009F450C" w:rsidP="009F450C">
      <w:pPr>
        <w:spacing w:line="240" w:lineRule="auto"/>
        <w:rPr>
          <w:rFonts w:eastAsia="Times New Roman" w:cs="Arial"/>
          <w:sz w:val="24"/>
          <w:szCs w:val="24"/>
          <w:lang w:eastAsia="bg-BG"/>
        </w:rPr>
      </w:pPr>
      <w:r w:rsidRPr="009F450C">
        <w:rPr>
          <w:rFonts w:eastAsia="Times New Roman" w:cs="Arial"/>
          <w:color w:val="000000"/>
          <w:u w:val="single"/>
          <w:lang w:eastAsia="bg-BG"/>
        </w:rPr>
        <w:t>Клинични проучвания при ДФСП</w:t>
      </w:r>
    </w:p>
    <w:p w14:paraId="56B10005" w14:textId="77777777" w:rsidR="009F450C" w:rsidRPr="009F450C" w:rsidRDefault="009F450C" w:rsidP="009F450C">
      <w:pPr>
        <w:spacing w:line="240" w:lineRule="auto"/>
        <w:rPr>
          <w:rFonts w:eastAsia="Times New Roman" w:cs="Arial"/>
          <w:sz w:val="24"/>
          <w:szCs w:val="24"/>
          <w:lang w:eastAsia="bg-BG"/>
        </w:rPr>
      </w:pPr>
      <w:r w:rsidRPr="009F450C">
        <w:rPr>
          <w:rFonts w:eastAsia="Times New Roman" w:cs="Arial"/>
          <w:color w:val="000000"/>
          <w:lang w:eastAsia="bg-BG"/>
        </w:rPr>
        <w:t xml:space="preserve">Проведено е едно фаза II, отворено, мултицентрово клинични проучване (проучване В2225) включващо 12 пациента с ДФСП, лекувани с иматиниб 800 </w:t>
      </w:r>
      <w:r w:rsidRPr="009F450C">
        <w:rPr>
          <w:rFonts w:eastAsia="Times New Roman" w:cs="Arial"/>
          <w:color w:val="000000"/>
          <w:lang w:val="en-US"/>
        </w:rPr>
        <w:t xml:space="preserve">mg </w:t>
      </w:r>
      <w:r w:rsidRPr="009F450C">
        <w:rPr>
          <w:rFonts w:eastAsia="Times New Roman" w:cs="Arial"/>
          <w:color w:val="000000"/>
          <w:lang w:eastAsia="bg-BG"/>
        </w:rPr>
        <w:t xml:space="preserve">дневно. Възрастта на пациентите с ДФСП варира от 23 до 75 години; ДФСП е метастатична, локално рекурентна след първоначална резекционна хирургия и не се счита за поддаваща се на по-нататъшна резекционна хирургия по време на включване в проучването. Първичното доказателство за ефикасност се основава на степента на обективен отговор. От 12 включени пациенти, 9 отговарят, един пълно и 8 частично. Три от частично отговорилите впоследствие са се освободили от заболяването чрез хирургия. Средната продължителност на лечението в проучването В2225 е 6,2 месеца, с максимална продължителност от 24,3 месеца. В 5 публикувани доклада за случаи са съобщени 6 допълнителни пациента с ДФСП, лекувани с иматиниб, като тяхната възраст варира от 18 месеца до 49 години. Възрастните пациенти, съобщени в публикуваната литература, са лекувани с 400 </w:t>
      </w:r>
      <w:r w:rsidRPr="009F450C">
        <w:rPr>
          <w:rFonts w:eastAsia="Times New Roman" w:cs="Arial"/>
          <w:color w:val="000000"/>
          <w:lang w:val="en-US"/>
        </w:rPr>
        <w:t xml:space="preserve">mg </w:t>
      </w:r>
      <w:r w:rsidRPr="009F450C">
        <w:rPr>
          <w:rFonts w:eastAsia="Times New Roman" w:cs="Arial"/>
          <w:color w:val="000000"/>
          <w:lang w:eastAsia="bg-BG"/>
        </w:rPr>
        <w:t xml:space="preserve">(4 случая) или 800 </w:t>
      </w:r>
      <w:r w:rsidRPr="009F450C">
        <w:rPr>
          <w:rFonts w:eastAsia="Times New Roman" w:cs="Arial"/>
          <w:color w:val="000000"/>
          <w:lang w:val="en-US"/>
        </w:rPr>
        <w:t xml:space="preserve">mg </w:t>
      </w:r>
      <w:r w:rsidRPr="009F450C">
        <w:rPr>
          <w:rFonts w:eastAsia="Times New Roman" w:cs="Arial"/>
          <w:color w:val="000000"/>
          <w:lang w:eastAsia="bg-BG"/>
        </w:rPr>
        <w:t xml:space="preserve">(1 случай) иматиниб дневно. Пет (5) пациента отговарят, 3 пълно и 2 частично. Средната продължителност на лечението в публикуваната литература варира между 4 седмици и повече от 20 месеца. Транслокацията </w:t>
      </w:r>
      <w:r w:rsidRPr="009F450C">
        <w:rPr>
          <w:rFonts w:eastAsia="Times New Roman" w:cs="Arial"/>
          <w:color w:val="000000"/>
          <w:lang w:val="en-US"/>
        </w:rPr>
        <w:t xml:space="preserve">t( </w:t>
      </w:r>
      <w:r w:rsidRPr="009F450C">
        <w:rPr>
          <w:rFonts w:eastAsia="Times New Roman" w:cs="Arial"/>
          <w:color w:val="000000"/>
          <w:lang w:eastAsia="bg-BG"/>
        </w:rPr>
        <w:t>1</w:t>
      </w:r>
      <w:r w:rsidRPr="009F450C">
        <w:rPr>
          <w:rFonts w:eastAsia="Times New Roman" w:cs="Arial"/>
          <w:color w:val="000000"/>
          <w:lang w:val="en-US"/>
        </w:rPr>
        <w:t xml:space="preserve">7:22)[(q22:q </w:t>
      </w:r>
      <w:r w:rsidRPr="009F450C">
        <w:rPr>
          <w:rFonts w:eastAsia="Times New Roman" w:cs="Arial"/>
          <w:color w:val="000000"/>
          <w:lang w:eastAsia="bg-BG"/>
        </w:rPr>
        <w:t>13)], или нейния генен продукт се наблюдава при почти всички отговорили на лечението с иматиниб.</w:t>
      </w:r>
    </w:p>
    <w:p w14:paraId="54C1BE4F" w14:textId="77777777" w:rsidR="009F450C" w:rsidRPr="009F450C" w:rsidRDefault="009F450C" w:rsidP="009F450C">
      <w:pPr>
        <w:rPr>
          <w:rFonts w:eastAsia="Times New Roman" w:cs="Arial"/>
          <w:color w:val="000000"/>
          <w:lang w:eastAsia="bg-BG"/>
        </w:rPr>
      </w:pPr>
    </w:p>
    <w:p w14:paraId="2058B331" w14:textId="27AEB2B8" w:rsidR="009F450C" w:rsidRPr="009F450C" w:rsidRDefault="009F450C" w:rsidP="009F450C">
      <w:pPr>
        <w:rPr>
          <w:rFonts w:eastAsia="Times New Roman" w:cs="Arial"/>
          <w:color w:val="000000"/>
          <w:lang w:eastAsia="bg-BG"/>
        </w:rPr>
      </w:pPr>
      <w:r w:rsidRPr="009F450C">
        <w:rPr>
          <w:rFonts w:eastAsia="Times New Roman" w:cs="Arial"/>
          <w:color w:val="000000"/>
          <w:lang w:eastAsia="bg-BG"/>
        </w:rPr>
        <w:t xml:space="preserve">Няма контролирани клинични изпитвания при педиатрични пациенти с ДФСП. В 3 публикации се съобщава за 5 пациенти с ДФСП и </w:t>
      </w:r>
      <w:r w:rsidRPr="009F450C">
        <w:rPr>
          <w:rFonts w:eastAsia="Times New Roman" w:cs="Arial"/>
          <w:color w:val="000000"/>
          <w:lang w:val="en-US"/>
        </w:rPr>
        <w:t xml:space="preserve">PDGFR </w:t>
      </w:r>
      <w:r w:rsidRPr="009F450C">
        <w:rPr>
          <w:rFonts w:eastAsia="Times New Roman" w:cs="Arial"/>
          <w:color w:val="000000"/>
          <w:lang w:eastAsia="bg-BG"/>
        </w:rPr>
        <w:t xml:space="preserve">генни пренареждания. Възрастта на тези пациенти варира от новородени до 14 години и иматиниб е прилаган в доза от 50 </w:t>
      </w:r>
      <w:r w:rsidRPr="009F450C">
        <w:rPr>
          <w:rFonts w:eastAsia="Times New Roman" w:cs="Arial"/>
          <w:color w:val="000000"/>
          <w:lang w:val="en-US"/>
        </w:rPr>
        <w:t xml:space="preserve">mg </w:t>
      </w:r>
      <w:r w:rsidRPr="009F450C">
        <w:rPr>
          <w:rFonts w:eastAsia="Times New Roman" w:cs="Arial"/>
          <w:color w:val="000000"/>
          <w:lang w:eastAsia="bg-BG"/>
        </w:rPr>
        <w:t xml:space="preserve">дневно или в дози в интервала от 400 до 520 </w:t>
      </w:r>
      <w:r w:rsidRPr="009F450C">
        <w:rPr>
          <w:rFonts w:eastAsia="Times New Roman" w:cs="Arial"/>
          <w:color w:val="000000"/>
          <w:lang w:val="en-US"/>
        </w:rPr>
        <w:t xml:space="preserve">mg/m2 </w:t>
      </w:r>
      <w:r w:rsidRPr="009F450C">
        <w:rPr>
          <w:rFonts w:eastAsia="Times New Roman" w:cs="Arial"/>
          <w:color w:val="000000"/>
          <w:lang w:eastAsia="bg-BG"/>
        </w:rPr>
        <w:t>дневно. При всички пациенти е постигнат частичен и/или пълен отговор.</w:t>
      </w:r>
    </w:p>
    <w:p w14:paraId="740B0466" w14:textId="77777777" w:rsidR="009F450C" w:rsidRPr="0091385D" w:rsidRDefault="009F450C" w:rsidP="009F450C"/>
    <w:p w14:paraId="5031193D" w14:textId="408B9A83" w:rsidR="0091385D" w:rsidRDefault="002C50EE" w:rsidP="007A2185">
      <w:pPr>
        <w:pStyle w:val="Heading2"/>
      </w:pPr>
      <w:r>
        <w:t>5.2. Фармакокинетични свойства</w:t>
      </w:r>
    </w:p>
    <w:p w14:paraId="46B35D05" w14:textId="6A0462F4" w:rsidR="007A2185" w:rsidRDefault="007A2185" w:rsidP="007A2185"/>
    <w:p w14:paraId="4826C1F6" w14:textId="77777777" w:rsidR="009F450C" w:rsidRPr="009F450C" w:rsidRDefault="009F450C" w:rsidP="009F450C">
      <w:pPr>
        <w:spacing w:line="240" w:lineRule="auto"/>
        <w:rPr>
          <w:rFonts w:eastAsia="Times New Roman" w:cs="Arial"/>
          <w:sz w:val="24"/>
          <w:szCs w:val="24"/>
          <w:lang w:eastAsia="bg-BG"/>
        </w:rPr>
      </w:pPr>
      <w:r w:rsidRPr="009F450C">
        <w:rPr>
          <w:rFonts w:eastAsia="Times New Roman" w:cs="Arial"/>
          <w:color w:val="000000"/>
          <w:u w:val="single"/>
          <w:lang w:eastAsia="bg-BG"/>
        </w:rPr>
        <w:t>Фармакокинетика на иматиниб</w:t>
      </w:r>
    </w:p>
    <w:p w14:paraId="11EBC779" w14:textId="77777777" w:rsidR="009F450C" w:rsidRPr="009F450C" w:rsidRDefault="009F450C" w:rsidP="009F450C">
      <w:pPr>
        <w:spacing w:line="240" w:lineRule="auto"/>
        <w:rPr>
          <w:rFonts w:eastAsia="Times New Roman" w:cs="Arial"/>
          <w:sz w:val="24"/>
          <w:szCs w:val="24"/>
          <w:lang w:eastAsia="bg-BG"/>
        </w:rPr>
      </w:pPr>
      <w:r w:rsidRPr="009F450C">
        <w:rPr>
          <w:rFonts w:eastAsia="Times New Roman" w:cs="Arial"/>
          <w:color w:val="000000"/>
          <w:lang w:eastAsia="bg-BG"/>
        </w:rPr>
        <w:t xml:space="preserve">Фармакокинетичните свойства на иматиниб са оценени при дози вариращи от 25 до 1 000 </w:t>
      </w:r>
      <w:r w:rsidRPr="009F450C">
        <w:rPr>
          <w:rFonts w:eastAsia="Times New Roman" w:cs="Arial"/>
          <w:color w:val="000000"/>
          <w:lang w:val="en-US"/>
        </w:rPr>
        <w:t xml:space="preserve">mg. </w:t>
      </w:r>
      <w:r w:rsidRPr="009F450C">
        <w:rPr>
          <w:rFonts w:eastAsia="Times New Roman" w:cs="Arial"/>
          <w:color w:val="000000"/>
          <w:lang w:eastAsia="bg-BG"/>
        </w:rPr>
        <w:t>Плазмените фармакокинетнчни профили са анализирани на 1-ви ден и след това или на 7-ми или на 28-ми ден, когато са достигнати стационарни концентрации.</w:t>
      </w:r>
    </w:p>
    <w:p w14:paraId="342A8214" w14:textId="77777777" w:rsidR="009F450C" w:rsidRPr="009F450C" w:rsidRDefault="009F450C" w:rsidP="009F450C">
      <w:pPr>
        <w:spacing w:line="240" w:lineRule="auto"/>
        <w:rPr>
          <w:rFonts w:eastAsia="Times New Roman" w:cs="Arial"/>
          <w:color w:val="000000"/>
          <w:u w:val="single"/>
          <w:lang w:eastAsia="bg-BG"/>
        </w:rPr>
      </w:pPr>
    </w:p>
    <w:p w14:paraId="1D501CEA" w14:textId="3075D99F" w:rsidR="009F450C" w:rsidRPr="009F450C" w:rsidRDefault="009F450C" w:rsidP="009F450C">
      <w:pPr>
        <w:pStyle w:val="Heading3"/>
        <w:rPr>
          <w:rFonts w:eastAsia="Times New Roman"/>
          <w:u w:val="single"/>
          <w:lang w:eastAsia="bg-BG"/>
        </w:rPr>
      </w:pPr>
      <w:r w:rsidRPr="009F450C">
        <w:rPr>
          <w:rFonts w:eastAsia="Times New Roman"/>
          <w:u w:val="single"/>
          <w:lang w:eastAsia="bg-BG"/>
        </w:rPr>
        <w:t>Абсорбция</w:t>
      </w:r>
    </w:p>
    <w:p w14:paraId="2571FA14" w14:textId="77777777" w:rsidR="009F450C" w:rsidRPr="009F450C" w:rsidRDefault="009F450C" w:rsidP="009F450C">
      <w:pPr>
        <w:spacing w:line="240" w:lineRule="auto"/>
        <w:rPr>
          <w:rFonts w:eastAsia="Times New Roman" w:cs="Arial"/>
          <w:sz w:val="24"/>
          <w:szCs w:val="24"/>
          <w:lang w:eastAsia="bg-BG"/>
        </w:rPr>
      </w:pPr>
      <w:r w:rsidRPr="009F450C">
        <w:rPr>
          <w:rFonts w:eastAsia="Times New Roman" w:cs="Arial"/>
          <w:color w:val="000000"/>
          <w:lang w:eastAsia="bg-BG"/>
        </w:rPr>
        <w:t xml:space="preserve">Средната абсолютна бионаличност е 98%. След перорално приложение има голяма вариабилност между пациентите в плазмените нива на </w:t>
      </w:r>
      <w:r w:rsidRPr="009F450C">
        <w:rPr>
          <w:rFonts w:eastAsia="Times New Roman" w:cs="Arial"/>
          <w:color w:val="000000"/>
          <w:lang w:val="en-US"/>
        </w:rPr>
        <w:t xml:space="preserve">AUC </w:t>
      </w:r>
      <w:r w:rsidRPr="009F450C">
        <w:rPr>
          <w:rFonts w:eastAsia="Times New Roman" w:cs="Arial"/>
          <w:color w:val="000000"/>
          <w:lang w:eastAsia="bg-BG"/>
        </w:rPr>
        <w:t>на иматиниб. При приемането му с храна с високо съдържание на мазнини, степента на абсорбция на иматиниб намалява минимално (11% понижение на Стах и удължаване на Ттах с 1</w:t>
      </w:r>
      <w:r w:rsidRPr="009F450C">
        <w:rPr>
          <w:rFonts w:eastAsia="Times New Roman" w:cs="Arial"/>
          <w:color w:val="000000"/>
          <w:lang w:val="en-US"/>
        </w:rPr>
        <w:t xml:space="preserve">,5h) </w:t>
      </w:r>
      <w:r w:rsidRPr="009F450C">
        <w:rPr>
          <w:rFonts w:eastAsia="Times New Roman" w:cs="Arial"/>
          <w:color w:val="000000"/>
          <w:lang w:eastAsia="bg-BG"/>
        </w:rPr>
        <w:t xml:space="preserve">с леко понижение на </w:t>
      </w:r>
      <w:r w:rsidRPr="009F450C">
        <w:rPr>
          <w:rFonts w:eastAsia="Times New Roman" w:cs="Arial"/>
          <w:color w:val="000000"/>
          <w:lang w:val="en-US"/>
        </w:rPr>
        <w:t xml:space="preserve">AUC </w:t>
      </w:r>
      <w:r w:rsidRPr="009F450C">
        <w:rPr>
          <w:rFonts w:eastAsia="Times New Roman" w:cs="Arial"/>
          <w:color w:val="000000"/>
          <w:lang w:eastAsia="bg-BG"/>
        </w:rPr>
        <w:t>(7,4%) в сравнение с прием на гладно. Не е изследван ефектът на предхождаща стомашно- чревна операция върху абсорбцията на иматиниб.</w:t>
      </w:r>
    </w:p>
    <w:p w14:paraId="59C49E13" w14:textId="77777777" w:rsidR="009F450C" w:rsidRPr="009F450C" w:rsidRDefault="009F450C" w:rsidP="009F450C">
      <w:pPr>
        <w:spacing w:line="240" w:lineRule="auto"/>
        <w:rPr>
          <w:rFonts w:eastAsia="Times New Roman" w:cs="Arial"/>
          <w:color w:val="000000"/>
          <w:u w:val="single"/>
          <w:lang w:eastAsia="bg-BG"/>
        </w:rPr>
      </w:pPr>
    </w:p>
    <w:p w14:paraId="2093862B" w14:textId="6B2A8887" w:rsidR="009F450C" w:rsidRPr="009F450C" w:rsidRDefault="009F450C" w:rsidP="009F450C">
      <w:pPr>
        <w:pStyle w:val="Heading3"/>
        <w:rPr>
          <w:rFonts w:eastAsia="Times New Roman"/>
          <w:u w:val="single"/>
          <w:lang w:eastAsia="bg-BG"/>
        </w:rPr>
      </w:pPr>
      <w:r w:rsidRPr="009F450C">
        <w:rPr>
          <w:rFonts w:eastAsia="Times New Roman"/>
          <w:u w:val="single"/>
          <w:lang w:eastAsia="bg-BG"/>
        </w:rPr>
        <w:t>Разпределение</w:t>
      </w:r>
    </w:p>
    <w:p w14:paraId="568EDC3D" w14:textId="77777777" w:rsidR="009F450C" w:rsidRPr="009F450C" w:rsidRDefault="009F450C" w:rsidP="009F450C">
      <w:pPr>
        <w:spacing w:line="240" w:lineRule="auto"/>
        <w:rPr>
          <w:rFonts w:eastAsia="Times New Roman" w:cs="Arial"/>
          <w:sz w:val="24"/>
          <w:szCs w:val="24"/>
          <w:lang w:eastAsia="bg-BG"/>
        </w:rPr>
      </w:pPr>
      <w:r w:rsidRPr="009F450C">
        <w:rPr>
          <w:rFonts w:eastAsia="Times New Roman" w:cs="Arial"/>
          <w:color w:val="000000"/>
          <w:lang w:eastAsia="bg-BG"/>
        </w:rPr>
        <w:t xml:space="preserve">По данни от </w:t>
      </w:r>
      <w:r w:rsidRPr="009F450C">
        <w:rPr>
          <w:rFonts w:eastAsia="Times New Roman" w:cs="Arial"/>
          <w:i/>
          <w:iCs/>
          <w:color w:val="000000"/>
          <w:lang w:val="en-US"/>
        </w:rPr>
        <w:t>in vitro</w:t>
      </w:r>
      <w:r w:rsidRPr="009F450C">
        <w:rPr>
          <w:rFonts w:eastAsia="Times New Roman" w:cs="Arial"/>
          <w:color w:val="000000"/>
          <w:lang w:val="en-US"/>
        </w:rPr>
        <w:t xml:space="preserve"> </w:t>
      </w:r>
      <w:r w:rsidRPr="009F450C">
        <w:rPr>
          <w:rFonts w:eastAsia="Times New Roman" w:cs="Arial"/>
          <w:color w:val="000000"/>
          <w:lang w:eastAsia="bg-BG"/>
        </w:rPr>
        <w:t>експерименти при клинично значими концентрации на иматиниб, свързването му с плазмените белтъци е около 95% предимно с албумина и с алфа-киселия гликопротеин и малка степен е липопротеини.</w:t>
      </w:r>
    </w:p>
    <w:p w14:paraId="4BCA71A0" w14:textId="77777777" w:rsidR="009F450C" w:rsidRPr="009F450C" w:rsidRDefault="009F450C" w:rsidP="009F450C">
      <w:pPr>
        <w:spacing w:line="240" w:lineRule="auto"/>
        <w:rPr>
          <w:rFonts w:eastAsia="Times New Roman" w:cs="Arial"/>
          <w:color w:val="000000"/>
          <w:u w:val="single"/>
          <w:lang w:eastAsia="bg-BG"/>
        </w:rPr>
      </w:pPr>
    </w:p>
    <w:p w14:paraId="41A3E7FA" w14:textId="66F122A1" w:rsidR="009F450C" w:rsidRPr="009F450C" w:rsidRDefault="009F450C" w:rsidP="009F450C">
      <w:pPr>
        <w:pStyle w:val="Heading3"/>
        <w:rPr>
          <w:rFonts w:eastAsia="Times New Roman"/>
          <w:u w:val="single"/>
          <w:lang w:eastAsia="bg-BG"/>
        </w:rPr>
      </w:pPr>
      <w:r w:rsidRPr="009F450C">
        <w:rPr>
          <w:rFonts w:eastAsia="Times New Roman"/>
          <w:u w:val="single"/>
          <w:lang w:eastAsia="bg-BG"/>
        </w:rPr>
        <w:t>Биотрансформация</w:t>
      </w:r>
    </w:p>
    <w:p w14:paraId="4807372A" w14:textId="77777777" w:rsidR="009F450C" w:rsidRPr="009F450C" w:rsidRDefault="009F450C" w:rsidP="009F450C">
      <w:pPr>
        <w:spacing w:line="240" w:lineRule="auto"/>
        <w:rPr>
          <w:rFonts w:eastAsia="Times New Roman" w:cs="Arial"/>
          <w:sz w:val="24"/>
          <w:szCs w:val="24"/>
          <w:lang w:eastAsia="bg-BG"/>
        </w:rPr>
      </w:pPr>
      <w:r w:rsidRPr="009F450C">
        <w:rPr>
          <w:rFonts w:eastAsia="Times New Roman" w:cs="Arial"/>
          <w:color w:val="000000"/>
          <w:lang w:eastAsia="bg-BG"/>
        </w:rPr>
        <w:t xml:space="preserve">Основният метаболит в кръвообращението при хора е </w:t>
      </w:r>
      <w:r w:rsidRPr="009F450C">
        <w:rPr>
          <w:rFonts w:eastAsia="Times New Roman" w:cs="Arial"/>
          <w:color w:val="000000"/>
          <w:lang w:val="en-US"/>
        </w:rPr>
        <w:t>N</w:t>
      </w:r>
      <w:r w:rsidRPr="009F450C">
        <w:rPr>
          <w:rFonts w:eastAsia="Times New Roman" w:cs="Arial"/>
          <w:color w:val="000000"/>
          <w:lang w:eastAsia="bg-BG"/>
        </w:rPr>
        <w:t xml:space="preserve">-деметилирано пиперазиново производно, което показва </w:t>
      </w:r>
      <w:r w:rsidRPr="009F450C">
        <w:rPr>
          <w:rFonts w:eastAsia="Times New Roman" w:cs="Arial"/>
          <w:i/>
          <w:iCs/>
          <w:color w:val="000000"/>
          <w:lang w:val="en-US"/>
        </w:rPr>
        <w:t>in vitro</w:t>
      </w:r>
      <w:r w:rsidRPr="009F450C">
        <w:rPr>
          <w:rFonts w:eastAsia="Times New Roman" w:cs="Arial"/>
          <w:color w:val="000000"/>
          <w:lang w:val="en-US"/>
        </w:rPr>
        <w:t xml:space="preserve"> </w:t>
      </w:r>
      <w:r w:rsidRPr="009F450C">
        <w:rPr>
          <w:rFonts w:eastAsia="Times New Roman" w:cs="Arial"/>
          <w:color w:val="000000"/>
          <w:lang w:eastAsia="bg-BG"/>
        </w:rPr>
        <w:t>активност близка до тази на изходното вещество.</w:t>
      </w:r>
    </w:p>
    <w:p w14:paraId="57DC1BD3" w14:textId="77777777" w:rsidR="009F450C" w:rsidRPr="009F450C" w:rsidRDefault="009F450C" w:rsidP="009F450C">
      <w:pPr>
        <w:spacing w:line="240" w:lineRule="auto"/>
        <w:rPr>
          <w:rFonts w:eastAsia="Times New Roman" w:cs="Arial"/>
          <w:sz w:val="24"/>
          <w:szCs w:val="24"/>
          <w:lang w:eastAsia="bg-BG"/>
        </w:rPr>
      </w:pPr>
      <w:r w:rsidRPr="009F450C">
        <w:rPr>
          <w:rFonts w:eastAsia="Times New Roman" w:cs="Arial"/>
          <w:color w:val="000000"/>
          <w:lang w:eastAsia="bg-BG"/>
        </w:rPr>
        <w:lastRenderedPageBreak/>
        <w:t xml:space="preserve">Установено, че плазмената </w:t>
      </w:r>
      <w:r w:rsidRPr="009F450C">
        <w:rPr>
          <w:rFonts w:eastAsia="Times New Roman" w:cs="Arial"/>
          <w:color w:val="000000"/>
          <w:lang w:val="en-US"/>
        </w:rPr>
        <w:t xml:space="preserve">AUC </w:t>
      </w:r>
      <w:r w:rsidRPr="009F450C">
        <w:rPr>
          <w:rFonts w:eastAsia="Times New Roman" w:cs="Arial"/>
          <w:color w:val="000000"/>
          <w:lang w:eastAsia="bg-BG"/>
        </w:rPr>
        <w:t xml:space="preserve">на този метаболит е само 16% от </w:t>
      </w:r>
      <w:r w:rsidRPr="009F450C">
        <w:rPr>
          <w:rFonts w:eastAsia="Times New Roman" w:cs="Arial"/>
          <w:color w:val="000000"/>
          <w:lang w:val="en-US"/>
        </w:rPr>
        <w:t xml:space="preserve">AUC </w:t>
      </w:r>
      <w:r w:rsidRPr="009F450C">
        <w:rPr>
          <w:rFonts w:eastAsia="Times New Roman" w:cs="Arial"/>
          <w:color w:val="000000"/>
          <w:lang w:eastAsia="bg-BG"/>
        </w:rPr>
        <w:t>за иматиниб.</w:t>
      </w:r>
    </w:p>
    <w:p w14:paraId="32245820" w14:textId="77777777" w:rsidR="009F450C" w:rsidRPr="009F450C" w:rsidRDefault="009F450C" w:rsidP="009F450C">
      <w:pPr>
        <w:spacing w:line="240" w:lineRule="auto"/>
        <w:rPr>
          <w:rFonts w:eastAsia="Times New Roman" w:cs="Arial"/>
          <w:sz w:val="24"/>
          <w:szCs w:val="24"/>
          <w:lang w:eastAsia="bg-BG"/>
        </w:rPr>
      </w:pPr>
      <w:r w:rsidRPr="009F450C">
        <w:rPr>
          <w:rFonts w:eastAsia="Times New Roman" w:cs="Arial"/>
          <w:color w:val="000000"/>
          <w:lang w:eastAsia="bg-BG"/>
        </w:rPr>
        <w:t xml:space="preserve">Свързването на </w:t>
      </w:r>
      <w:r w:rsidRPr="009F450C">
        <w:rPr>
          <w:rFonts w:eastAsia="Times New Roman" w:cs="Arial"/>
          <w:color w:val="000000"/>
          <w:lang w:val="en-US"/>
        </w:rPr>
        <w:t>N</w:t>
      </w:r>
      <w:r w:rsidRPr="009F450C">
        <w:rPr>
          <w:rFonts w:eastAsia="Times New Roman" w:cs="Arial"/>
          <w:color w:val="000000"/>
          <w:lang w:eastAsia="bg-BG"/>
        </w:rPr>
        <w:t>-деметилирания метаболит с плазмените белтъци е близка до тази на</w:t>
      </w:r>
    </w:p>
    <w:p w14:paraId="45551830" w14:textId="3755A1BC" w:rsidR="007A2185" w:rsidRPr="009F450C" w:rsidRDefault="009F450C" w:rsidP="009F450C">
      <w:pPr>
        <w:rPr>
          <w:rFonts w:cs="Arial"/>
        </w:rPr>
      </w:pPr>
      <w:r w:rsidRPr="009F450C">
        <w:rPr>
          <w:rFonts w:eastAsia="Times New Roman" w:cs="Arial"/>
          <w:color w:val="000000"/>
          <w:lang w:eastAsia="bg-BG"/>
        </w:rPr>
        <w:t>изходното вещество.</w:t>
      </w:r>
    </w:p>
    <w:p w14:paraId="4EE1BB0B" w14:textId="5DCD0085" w:rsidR="0091385D" w:rsidRPr="009F450C" w:rsidRDefault="0091385D" w:rsidP="0091385D">
      <w:pPr>
        <w:rPr>
          <w:rFonts w:cs="Arial"/>
        </w:rPr>
      </w:pPr>
    </w:p>
    <w:p w14:paraId="203D9731" w14:textId="77777777" w:rsidR="009F450C" w:rsidRPr="009F450C" w:rsidRDefault="009F450C" w:rsidP="009F450C">
      <w:pPr>
        <w:spacing w:line="240" w:lineRule="auto"/>
        <w:rPr>
          <w:rFonts w:eastAsia="Times New Roman" w:cs="Arial"/>
          <w:sz w:val="24"/>
          <w:szCs w:val="24"/>
          <w:lang w:eastAsia="bg-BG"/>
        </w:rPr>
      </w:pPr>
      <w:r w:rsidRPr="009F450C">
        <w:rPr>
          <w:rFonts w:eastAsia="Times New Roman" w:cs="Arial"/>
          <w:color w:val="000000"/>
          <w:lang w:eastAsia="bg-BG"/>
        </w:rPr>
        <w:t xml:space="preserve">Заедно </w:t>
      </w:r>
      <w:r w:rsidRPr="009F450C">
        <w:rPr>
          <w:rFonts w:eastAsia="Times New Roman" w:cs="Arial"/>
          <w:color w:val="000000"/>
          <w:lang w:val="en-US"/>
        </w:rPr>
        <w:t>N</w:t>
      </w:r>
      <w:r w:rsidRPr="009F450C">
        <w:rPr>
          <w:rFonts w:eastAsia="Times New Roman" w:cs="Arial"/>
          <w:color w:val="000000"/>
          <w:lang w:eastAsia="bg-BG"/>
        </w:rPr>
        <w:t xml:space="preserve">-деметилираният метаболит и иматиниб представляват около 65% от радиоактивността в кръвообръщението </w:t>
      </w:r>
      <w:r w:rsidRPr="009F450C">
        <w:rPr>
          <w:rFonts w:eastAsia="Times New Roman" w:cs="Arial"/>
          <w:color w:val="000000"/>
          <w:lang w:val="en-US"/>
        </w:rPr>
        <w:t xml:space="preserve">(AUC(0-48h)). </w:t>
      </w:r>
      <w:r w:rsidRPr="009F450C">
        <w:rPr>
          <w:rFonts w:eastAsia="Times New Roman" w:cs="Arial"/>
          <w:color w:val="000000"/>
          <w:lang w:eastAsia="bg-BG"/>
        </w:rPr>
        <w:t>Останалата част от радиоактивността се дължи на многобройни второстепенни метаболити.</w:t>
      </w:r>
    </w:p>
    <w:p w14:paraId="4DA1830D" w14:textId="77777777" w:rsidR="009F450C" w:rsidRPr="009F450C" w:rsidRDefault="009F450C" w:rsidP="009F450C">
      <w:pPr>
        <w:spacing w:line="240" w:lineRule="auto"/>
        <w:rPr>
          <w:rFonts w:eastAsia="Times New Roman" w:cs="Arial"/>
          <w:i/>
          <w:iCs/>
          <w:color w:val="000000"/>
          <w:lang w:val="en-US"/>
        </w:rPr>
      </w:pPr>
    </w:p>
    <w:p w14:paraId="75DDFA34" w14:textId="621EAB61" w:rsidR="009F450C" w:rsidRPr="009F450C" w:rsidRDefault="009F450C" w:rsidP="009F450C">
      <w:pPr>
        <w:spacing w:line="240" w:lineRule="auto"/>
        <w:rPr>
          <w:rFonts w:eastAsia="Times New Roman" w:cs="Arial"/>
          <w:sz w:val="24"/>
          <w:szCs w:val="24"/>
          <w:lang w:eastAsia="bg-BG"/>
        </w:rPr>
      </w:pPr>
      <w:r w:rsidRPr="009F450C">
        <w:rPr>
          <w:rFonts w:eastAsia="Times New Roman" w:cs="Arial"/>
          <w:i/>
          <w:iCs/>
          <w:color w:val="000000"/>
          <w:lang w:val="en-US"/>
        </w:rPr>
        <w:t>In vitro</w:t>
      </w:r>
      <w:r w:rsidRPr="009F450C">
        <w:rPr>
          <w:rFonts w:eastAsia="Times New Roman" w:cs="Arial"/>
          <w:color w:val="000000"/>
          <w:lang w:val="en-US"/>
        </w:rPr>
        <w:t xml:space="preserve"> </w:t>
      </w:r>
      <w:r w:rsidRPr="009F450C">
        <w:rPr>
          <w:rFonts w:eastAsia="Times New Roman" w:cs="Arial"/>
          <w:color w:val="000000"/>
          <w:lang w:eastAsia="bg-BG"/>
        </w:rPr>
        <w:t xml:space="preserve">резултатите показват, че </w:t>
      </w:r>
      <w:r w:rsidRPr="009F450C">
        <w:rPr>
          <w:rFonts w:eastAsia="Times New Roman" w:cs="Arial"/>
          <w:color w:val="000000"/>
          <w:lang w:val="en-US"/>
        </w:rPr>
        <w:t xml:space="preserve">CYP3A4 </w:t>
      </w:r>
      <w:r w:rsidRPr="009F450C">
        <w:rPr>
          <w:rFonts w:eastAsia="Times New Roman" w:cs="Arial"/>
          <w:color w:val="000000"/>
          <w:lang w:eastAsia="bg-BG"/>
        </w:rPr>
        <w:t xml:space="preserve">е основният човешки Р450 изоензим, катализиращ биотрансформация на иматиниб. От набора възможни лекарства за съвместно приложение (ацетаминофен, ацикловир, алопуринил, амфотерицин, цитарабин, еритромицин, флуконазол, хидроксиурея, норфлоксацин, пеницилин В) единствено еритромицин </w:t>
      </w:r>
      <w:r w:rsidRPr="009F450C">
        <w:rPr>
          <w:rFonts w:eastAsia="Times New Roman" w:cs="Arial"/>
          <w:color w:val="000000"/>
          <w:lang w:val="en-US"/>
        </w:rPr>
        <w:t>(IC</w:t>
      </w:r>
      <w:r w:rsidRPr="009F450C">
        <w:rPr>
          <w:rFonts w:eastAsia="Times New Roman" w:cs="Arial"/>
          <w:color w:val="000000"/>
          <w:vertAlign w:val="subscript"/>
          <w:lang w:val="en-US"/>
        </w:rPr>
        <w:t xml:space="preserve">50 </w:t>
      </w:r>
      <w:r w:rsidRPr="009F450C">
        <w:rPr>
          <w:rFonts w:eastAsia="Times New Roman" w:cs="Arial"/>
          <w:color w:val="000000"/>
          <w:lang w:eastAsia="bg-BG"/>
        </w:rPr>
        <w:t xml:space="preserve">50 μМ) и флуконазол </w:t>
      </w:r>
      <w:r w:rsidRPr="009F450C">
        <w:rPr>
          <w:rFonts w:eastAsia="Times New Roman" w:cs="Arial"/>
          <w:color w:val="000000"/>
          <w:lang w:val="en-US"/>
        </w:rPr>
        <w:t>(IC</w:t>
      </w:r>
      <w:r w:rsidRPr="009F450C">
        <w:rPr>
          <w:rFonts w:eastAsia="Times New Roman" w:cs="Arial"/>
          <w:color w:val="000000"/>
          <w:vertAlign w:val="subscript"/>
          <w:lang w:val="en-US"/>
        </w:rPr>
        <w:t>50</w:t>
      </w:r>
      <w:r w:rsidRPr="009F450C">
        <w:rPr>
          <w:rFonts w:eastAsia="Times New Roman" w:cs="Arial"/>
          <w:color w:val="000000"/>
          <w:lang w:val="en-US"/>
        </w:rPr>
        <w:t xml:space="preserve"> </w:t>
      </w:r>
      <w:r w:rsidRPr="009F450C">
        <w:rPr>
          <w:rFonts w:eastAsia="Times New Roman" w:cs="Arial"/>
          <w:color w:val="000000"/>
          <w:lang w:eastAsia="bg-BG"/>
        </w:rPr>
        <w:t>118 μМ) показват инхибиращо действие върху метаболизма на иматиниб, което може да има клинично значение.</w:t>
      </w:r>
    </w:p>
    <w:p w14:paraId="112BD329" w14:textId="77777777" w:rsidR="009F450C" w:rsidRPr="009F450C" w:rsidRDefault="009F450C" w:rsidP="009F450C">
      <w:pPr>
        <w:spacing w:line="240" w:lineRule="auto"/>
        <w:rPr>
          <w:rFonts w:eastAsia="Times New Roman" w:cs="Arial"/>
          <w:color w:val="000000"/>
          <w:lang w:eastAsia="bg-BG"/>
        </w:rPr>
      </w:pPr>
    </w:p>
    <w:p w14:paraId="5FD4A110" w14:textId="482D6942" w:rsidR="009F450C" w:rsidRPr="009F450C" w:rsidRDefault="009F450C" w:rsidP="009F450C">
      <w:pPr>
        <w:spacing w:line="240" w:lineRule="auto"/>
        <w:rPr>
          <w:rFonts w:eastAsia="Times New Roman" w:cs="Arial"/>
          <w:sz w:val="24"/>
          <w:szCs w:val="24"/>
          <w:lang w:eastAsia="bg-BG"/>
        </w:rPr>
      </w:pPr>
      <w:r w:rsidRPr="009F450C">
        <w:rPr>
          <w:rFonts w:eastAsia="Times New Roman" w:cs="Arial"/>
          <w:color w:val="000000"/>
          <w:lang w:eastAsia="bg-BG"/>
        </w:rPr>
        <w:t xml:space="preserve">Доказано е, че иматиниб в </w:t>
      </w:r>
      <w:r w:rsidRPr="009F450C">
        <w:rPr>
          <w:rFonts w:eastAsia="Times New Roman" w:cs="Arial"/>
          <w:i/>
          <w:iCs/>
          <w:color w:val="000000"/>
          <w:lang w:val="en-US"/>
        </w:rPr>
        <w:t>in vitro</w:t>
      </w:r>
      <w:r w:rsidRPr="009F450C">
        <w:rPr>
          <w:rFonts w:eastAsia="Times New Roman" w:cs="Arial"/>
          <w:color w:val="000000"/>
          <w:lang w:val="en-US"/>
        </w:rPr>
        <w:t xml:space="preserve"> </w:t>
      </w:r>
      <w:r w:rsidRPr="009F450C">
        <w:rPr>
          <w:rFonts w:eastAsia="Times New Roman" w:cs="Arial"/>
          <w:color w:val="000000"/>
          <w:lang w:eastAsia="bg-BG"/>
        </w:rPr>
        <w:t xml:space="preserve">условия е конкурентен инхибитор на маркиращи субстрати за </w:t>
      </w:r>
      <w:r w:rsidRPr="009F450C">
        <w:rPr>
          <w:rFonts w:eastAsia="Times New Roman" w:cs="Arial"/>
          <w:color w:val="000000"/>
          <w:lang w:val="en-US"/>
        </w:rPr>
        <w:t xml:space="preserve">CYP2C9, CYP2D6 </w:t>
      </w:r>
      <w:r w:rsidRPr="009F450C">
        <w:rPr>
          <w:rFonts w:eastAsia="Times New Roman" w:cs="Arial"/>
          <w:color w:val="000000"/>
          <w:lang w:eastAsia="bg-BG"/>
        </w:rPr>
        <w:t xml:space="preserve">и </w:t>
      </w:r>
      <w:r w:rsidRPr="009F450C">
        <w:rPr>
          <w:rFonts w:eastAsia="Times New Roman" w:cs="Arial"/>
          <w:color w:val="000000"/>
          <w:lang w:val="en-US"/>
        </w:rPr>
        <w:t xml:space="preserve">CYP3A4/5. </w:t>
      </w:r>
      <w:r w:rsidRPr="009F450C">
        <w:rPr>
          <w:rFonts w:eastAsia="Times New Roman" w:cs="Arial"/>
          <w:color w:val="000000"/>
          <w:lang w:eastAsia="bg-BG"/>
        </w:rPr>
        <w:t xml:space="preserve">Стойностите на </w:t>
      </w:r>
      <w:r w:rsidRPr="009F450C">
        <w:rPr>
          <w:rFonts w:eastAsia="Times New Roman" w:cs="Arial"/>
          <w:color w:val="000000"/>
          <w:lang w:val="en-US"/>
        </w:rPr>
        <w:t xml:space="preserve">Ki </w:t>
      </w:r>
      <w:r w:rsidRPr="009F450C">
        <w:rPr>
          <w:rFonts w:eastAsia="Times New Roman" w:cs="Arial"/>
          <w:color w:val="000000"/>
          <w:lang w:eastAsia="bg-BG"/>
        </w:rPr>
        <w:t>в човешките чернодробни микрозоми са съответно 27, 7,5 и 7,9 μ</w:t>
      </w:r>
      <w:r w:rsidRPr="009F450C">
        <w:rPr>
          <w:rFonts w:eastAsia="Times New Roman" w:cs="Arial"/>
          <w:color w:val="000000"/>
          <w:lang w:val="en-US"/>
        </w:rPr>
        <w:t xml:space="preserve">mol/l </w:t>
      </w:r>
      <w:r w:rsidRPr="009F450C">
        <w:rPr>
          <w:rFonts w:eastAsia="Times New Roman" w:cs="Arial"/>
          <w:color w:val="000000"/>
          <w:lang w:eastAsia="bg-BG"/>
        </w:rPr>
        <w:t>Максималните плазмени концентрации на иматиниб при пациентите са 2-4 μ</w:t>
      </w:r>
      <w:r w:rsidRPr="009F450C">
        <w:rPr>
          <w:rFonts w:eastAsia="Times New Roman" w:cs="Arial"/>
          <w:color w:val="000000"/>
          <w:lang w:val="en-US"/>
        </w:rPr>
        <w:t xml:space="preserve">mol/l. </w:t>
      </w:r>
      <w:r w:rsidRPr="009F450C">
        <w:rPr>
          <w:rFonts w:eastAsia="Times New Roman" w:cs="Arial"/>
          <w:color w:val="000000"/>
          <w:lang w:eastAsia="bg-BG"/>
        </w:rPr>
        <w:t xml:space="preserve">Следователно е възможно инхибиране на медиирания от </w:t>
      </w:r>
      <w:r w:rsidRPr="009F450C">
        <w:rPr>
          <w:rFonts w:eastAsia="Times New Roman" w:cs="Arial"/>
          <w:color w:val="000000"/>
          <w:lang w:val="en-US"/>
        </w:rPr>
        <w:t xml:space="preserve">CYP2D6 </w:t>
      </w:r>
      <w:r w:rsidRPr="009F450C">
        <w:rPr>
          <w:rFonts w:eastAsia="Times New Roman" w:cs="Arial"/>
          <w:color w:val="000000"/>
          <w:lang w:eastAsia="bg-BG"/>
        </w:rPr>
        <w:t xml:space="preserve">и/или </w:t>
      </w:r>
      <w:r w:rsidRPr="009F450C">
        <w:rPr>
          <w:rFonts w:eastAsia="Times New Roman" w:cs="Arial"/>
          <w:color w:val="000000"/>
          <w:lang w:val="en-US"/>
        </w:rPr>
        <w:t xml:space="preserve">CYP3A4/5 </w:t>
      </w:r>
      <w:r w:rsidRPr="009F450C">
        <w:rPr>
          <w:rFonts w:eastAsia="Times New Roman" w:cs="Arial"/>
          <w:color w:val="000000"/>
          <w:lang w:eastAsia="bg-BG"/>
        </w:rPr>
        <w:t xml:space="preserve">метаболизъм на съвместно приемания лекарствен продукт. Иматиниб не повлиява биотрансформацията на 5-флуорурацил, но инхибира метаболизма на паклитаксел в резултат на конкурентното инхибиране на </w:t>
      </w:r>
      <w:r w:rsidRPr="009F450C">
        <w:rPr>
          <w:rFonts w:eastAsia="Times New Roman" w:cs="Arial"/>
          <w:color w:val="000000"/>
          <w:lang w:val="en-US"/>
        </w:rPr>
        <w:t xml:space="preserve">CYP2C8 (Ki </w:t>
      </w:r>
      <w:r w:rsidRPr="009F450C">
        <w:rPr>
          <w:rFonts w:eastAsia="Times New Roman" w:cs="Arial"/>
          <w:color w:val="000000"/>
          <w:lang w:eastAsia="bg-BG"/>
        </w:rPr>
        <w:t>=34,7 μ</w:t>
      </w:r>
      <w:r w:rsidRPr="009F450C">
        <w:rPr>
          <w:rFonts w:eastAsia="Times New Roman" w:cs="Arial"/>
          <w:color w:val="000000"/>
          <w:lang w:val="en-US"/>
        </w:rPr>
        <w:t xml:space="preserve">M). </w:t>
      </w:r>
      <w:r w:rsidRPr="009F450C">
        <w:rPr>
          <w:rFonts w:eastAsia="Times New Roman" w:cs="Arial"/>
          <w:color w:val="000000"/>
          <w:lang w:eastAsia="bg-BG"/>
        </w:rPr>
        <w:t xml:space="preserve">Тази стойност на </w:t>
      </w:r>
      <w:r w:rsidRPr="009F450C">
        <w:rPr>
          <w:rFonts w:eastAsia="Times New Roman" w:cs="Arial"/>
          <w:color w:val="000000"/>
          <w:lang w:val="en-US"/>
        </w:rPr>
        <w:t xml:space="preserve">Ki </w:t>
      </w:r>
      <w:r w:rsidRPr="009F450C">
        <w:rPr>
          <w:rFonts w:eastAsia="Times New Roman" w:cs="Arial"/>
          <w:color w:val="000000"/>
          <w:lang w:eastAsia="bg-BG"/>
        </w:rPr>
        <w:t>е далеч по-висока от очакваните плазмени нива на иматиниб при пациенти, така че не се очаква никакво взаимодействие при съвместното му приложение с 5-флуороурацил или паклитаксел и иматиниб.</w:t>
      </w:r>
    </w:p>
    <w:p w14:paraId="10387CF6" w14:textId="77777777" w:rsidR="009F450C" w:rsidRPr="009F450C" w:rsidRDefault="009F450C" w:rsidP="009F450C">
      <w:pPr>
        <w:spacing w:line="240" w:lineRule="auto"/>
        <w:rPr>
          <w:rFonts w:eastAsia="Times New Roman" w:cs="Arial"/>
          <w:color w:val="000000"/>
          <w:u w:val="single"/>
          <w:lang w:eastAsia="bg-BG"/>
        </w:rPr>
      </w:pPr>
    </w:p>
    <w:p w14:paraId="7B33CC88" w14:textId="04962C92" w:rsidR="009F450C" w:rsidRPr="009F450C" w:rsidRDefault="009F450C" w:rsidP="009F450C">
      <w:pPr>
        <w:pStyle w:val="Heading3"/>
        <w:rPr>
          <w:rFonts w:eastAsia="Times New Roman"/>
          <w:u w:val="single"/>
          <w:lang w:eastAsia="bg-BG"/>
        </w:rPr>
      </w:pPr>
      <w:r w:rsidRPr="009F450C">
        <w:rPr>
          <w:rFonts w:eastAsia="Times New Roman"/>
          <w:u w:val="single"/>
          <w:lang w:eastAsia="bg-BG"/>
        </w:rPr>
        <w:t>Елиминиране</w:t>
      </w:r>
    </w:p>
    <w:p w14:paraId="0D3A88ED" w14:textId="77777777" w:rsidR="009F450C" w:rsidRPr="009F450C" w:rsidRDefault="009F450C" w:rsidP="009F450C">
      <w:pPr>
        <w:spacing w:line="240" w:lineRule="auto"/>
        <w:rPr>
          <w:rFonts w:eastAsia="Times New Roman" w:cs="Arial"/>
          <w:sz w:val="24"/>
          <w:szCs w:val="24"/>
          <w:lang w:eastAsia="bg-BG"/>
        </w:rPr>
      </w:pPr>
      <w:r w:rsidRPr="009F450C">
        <w:rPr>
          <w:rFonts w:eastAsia="Times New Roman" w:cs="Arial"/>
          <w:color w:val="000000"/>
          <w:lang w:eastAsia="bg-BG"/>
        </w:rPr>
        <w:t>Въз основава на данните за отделяне на съединението(а) след перорален прием на доза белязан с 14С иматиниб, приблизително 81% от дозата в рамките на 7 дни се отделя във фецеса (68% от дозата) и урината (13% от дозата). Неметаболизираният иматиниб съставлява около 25% от дозата (5% в урината, 20% във фецеса), останалата част се метаболизира.</w:t>
      </w:r>
    </w:p>
    <w:p w14:paraId="2F69B01E" w14:textId="77777777" w:rsidR="009F450C" w:rsidRPr="009F450C" w:rsidRDefault="009F450C" w:rsidP="009F450C">
      <w:pPr>
        <w:spacing w:line="240" w:lineRule="auto"/>
        <w:rPr>
          <w:rFonts w:eastAsia="Times New Roman" w:cs="Arial"/>
          <w:color w:val="000000"/>
          <w:u w:val="single"/>
          <w:lang w:eastAsia="bg-BG"/>
        </w:rPr>
      </w:pPr>
    </w:p>
    <w:p w14:paraId="19A3A7F8" w14:textId="4E7D13B4" w:rsidR="009F450C" w:rsidRPr="009F450C" w:rsidRDefault="009F450C" w:rsidP="009F450C">
      <w:pPr>
        <w:spacing w:line="240" w:lineRule="auto"/>
        <w:rPr>
          <w:rFonts w:eastAsia="Times New Roman" w:cs="Arial"/>
          <w:sz w:val="24"/>
          <w:szCs w:val="24"/>
          <w:lang w:eastAsia="bg-BG"/>
        </w:rPr>
      </w:pPr>
      <w:r w:rsidRPr="009F450C">
        <w:rPr>
          <w:rFonts w:eastAsia="Times New Roman" w:cs="Arial"/>
          <w:color w:val="000000"/>
          <w:u w:val="single"/>
          <w:lang w:eastAsia="bg-BG"/>
        </w:rPr>
        <w:t>Плазмена фармакокинетика</w:t>
      </w:r>
    </w:p>
    <w:p w14:paraId="366F8D97" w14:textId="77777777" w:rsidR="009F450C" w:rsidRPr="009F450C" w:rsidRDefault="009F450C" w:rsidP="009F450C">
      <w:pPr>
        <w:spacing w:line="240" w:lineRule="auto"/>
        <w:rPr>
          <w:rFonts w:eastAsia="Times New Roman" w:cs="Arial"/>
          <w:sz w:val="24"/>
          <w:szCs w:val="24"/>
          <w:lang w:eastAsia="bg-BG"/>
        </w:rPr>
      </w:pPr>
      <w:r w:rsidRPr="009F450C">
        <w:rPr>
          <w:rFonts w:eastAsia="Times New Roman" w:cs="Arial"/>
          <w:color w:val="000000"/>
          <w:lang w:eastAsia="bg-BG"/>
        </w:rPr>
        <w:t xml:space="preserve">Проследяването след перорално приложение при здрави доброволци показва, че е приблизително 18 </w:t>
      </w:r>
      <w:r w:rsidRPr="009F450C">
        <w:rPr>
          <w:rFonts w:eastAsia="Times New Roman" w:cs="Arial"/>
          <w:color w:val="000000"/>
          <w:lang w:val="en-US"/>
        </w:rPr>
        <w:t xml:space="preserve">h </w:t>
      </w:r>
      <w:r w:rsidRPr="009F450C">
        <w:rPr>
          <w:rFonts w:eastAsia="Times New Roman" w:cs="Arial"/>
          <w:color w:val="000000"/>
          <w:lang w:eastAsia="bg-BG"/>
        </w:rPr>
        <w:t xml:space="preserve">и това предполага, че приемането му веднъж дневно е правилно. Повишаването в средния </w:t>
      </w:r>
      <w:r w:rsidRPr="009F450C">
        <w:rPr>
          <w:rFonts w:eastAsia="Times New Roman" w:cs="Arial"/>
          <w:color w:val="000000"/>
          <w:lang w:val="en-US"/>
        </w:rPr>
        <w:t xml:space="preserve">AUC </w:t>
      </w:r>
      <w:r w:rsidRPr="009F450C">
        <w:rPr>
          <w:rFonts w:eastAsia="Times New Roman" w:cs="Arial"/>
          <w:color w:val="000000"/>
          <w:lang w:eastAsia="bg-BG"/>
        </w:rPr>
        <w:t xml:space="preserve">с увеличаване на дозата е линейно и пропорционално в интервала 25-1 000 </w:t>
      </w:r>
      <w:r w:rsidRPr="009F450C">
        <w:rPr>
          <w:rFonts w:eastAsia="Times New Roman" w:cs="Arial"/>
          <w:color w:val="000000"/>
          <w:lang w:val="en-US"/>
        </w:rPr>
        <w:t xml:space="preserve">mg </w:t>
      </w:r>
      <w:r w:rsidRPr="009F450C">
        <w:rPr>
          <w:rFonts w:eastAsia="Times New Roman" w:cs="Arial"/>
          <w:color w:val="000000"/>
          <w:lang w:eastAsia="bg-BG"/>
        </w:rPr>
        <w:t>след перорално приложение.Няма никаква промяна в кинетиката на иматиниб при многократно приложение, като кумулирането му е 1,5-2,5 по-стабилно при прием веднъж дневно.</w:t>
      </w:r>
    </w:p>
    <w:p w14:paraId="0C55B13C" w14:textId="77777777" w:rsidR="009F450C" w:rsidRPr="009F450C" w:rsidRDefault="009F450C" w:rsidP="009F450C">
      <w:pPr>
        <w:spacing w:line="240" w:lineRule="auto"/>
        <w:rPr>
          <w:rFonts w:eastAsia="Times New Roman" w:cs="Arial"/>
          <w:color w:val="000000"/>
          <w:u w:val="single"/>
          <w:lang w:eastAsia="bg-BG"/>
        </w:rPr>
      </w:pPr>
    </w:p>
    <w:p w14:paraId="7097B20B" w14:textId="1DF648DB" w:rsidR="009F450C" w:rsidRPr="009F450C" w:rsidRDefault="009F450C" w:rsidP="009F450C">
      <w:pPr>
        <w:spacing w:line="240" w:lineRule="auto"/>
        <w:rPr>
          <w:rFonts w:eastAsia="Times New Roman" w:cs="Arial"/>
          <w:sz w:val="24"/>
          <w:szCs w:val="24"/>
          <w:lang w:eastAsia="bg-BG"/>
        </w:rPr>
      </w:pPr>
      <w:r w:rsidRPr="009F450C">
        <w:rPr>
          <w:rFonts w:eastAsia="Times New Roman" w:cs="Arial"/>
          <w:color w:val="000000"/>
          <w:u w:val="single"/>
          <w:lang w:eastAsia="bg-BG"/>
        </w:rPr>
        <w:t>Фармакокинетика при ГИСТ пациентите</w:t>
      </w:r>
    </w:p>
    <w:p w14:paraId="0696482F" w14:textId="77777777" w:rsidR="009F450C" w:rsidRPr="009F450C" w:rsidRDefault="009F450C" w:rsidP="009F450C">
      <w:pPr>
        <w:spacing w:line="240" w:lineRule="auto"/>
        <w:rPr>
          <w:rFonts w:eastAsia="Times New Roman" w:cs="Arial"/>
          <w:sz w:val="24"/>
          <w:szCs w:val="24"/>
          <w:lang w:eastAsia="bg-BG"/>
        </w:rPr>
      </w:pPr>
      <w:r w:rsidRPr="009F450C">
        <w:rPr>
          <w:rFonts w:eastAsia="Times New Roman" w:cs="Arial"/>
          <w:color w:val="000000"/>
          <w:lang w:eastAsia="bg-BG"/>
        </w:rPr>
        <w:t xml:space="preserve">При пациенти с ГИСТ стационарната експозиция е 1,5 пъти по-висока от този, наблюдавана при пациенти с ХМЛ приа същата доза (400 </w:t>
      </w:r>
      <w:r w:rsidRPr="009F450C">
        <w:rPr>
          <w:rFonts w:eastAsia="Times New Roman" w:cs="Arial"/>
          <w:color w:val="000000"/>
          <w:lang w:val="en-US"/>
        </w:rPr>
        <w:t xml:space="preserve">mg </w:t>
      </w:r>
      <w:r w:rsidRPr="009F450C">
        <w:rPr>
          <w:rFonts w:eastAsia="Times New Roman" w:cs="Arial"/>
          <w:color w:val="000000"/>
          <w:lang w:eastAsia="bg-BG"/>
        </w:rPr>
        <w:t xml:space="preserve">дневно). Въз основа на предварителния популационен фармакокинетичен анализ при пациенти с ГИСТ, има три променливи (албумин, </w:t>
      </w:r>
      <w:r w:rsidRPr="009F450C">
        <w:rPr>
          <w:rFonts w:eastAsia="Times New Roman" w:cs="Arial"/>
          <w:color w:val="000000"/>
          <w:lang w:val="en-US"/>
        </w:rPr>
        <w:t xml:space="preserve">WBC </w:t>
      </w:r>
      <w:r w:rsidRPr="009F450C">
        <w:rPr>
          <w:rFonts w:eastAsia="Times New Roman" w:cs="Arial"/>
          <w:color w:val="000000"/>
          <w:lang w:eastAsia="bg-BG"/>
        </w:rPr>
        <w:t xml:space="preserve">и билирубин) за които е установено, че имат статистически значима връзка с фармакокинетиката на иматиниб. Понижените стойности на албумин, причиняват намален клирънс </w:t>
      </w:r>
      <w:r w:rsidRPr="009F450C">
        <w:rPr>
          <w:rFonts w:eastAsia="Times New Roman" w:cs="Arial"/>
          <w:color w:val="000000"/>
          <w:lang w:val="en-US"/>
        </w:rPr>
        <w:t xml:space="preserve">(CL </w:t>
      </w:r>
      <w:r w:rsidRPr="009F450C">
        <w:rPr>
          <w:rFonts w:eastAsia="Times New Roman" w:cs="Arial"/>
          <w:color w:val="000000"/>
          <w:lang w:eastAsia="bg-BG"/>
        </w:rPr>
        <w:t xml:space="preserve">/ </w:t>
      </w:r>
      <w:r w:rsidRPr="009F450C">
        <w:rPr>
          <w:rFonts w:eastAsia="Times New Roman" w:cs="Arial"/>
          <w:color w:val="000000"/>
          <w:lang w:val="en-US"/>
        </w:rPr>
        <w:t xml:space="preserve">f) </w:t>
      </w:r>
      <w:r w:rsidRPr="009F450C">
        <w:rPr>
          <w:rFonts w:eastAsia="Times New Roman" w:cs="Arial"/>
          <w:color w:val="000000"/>
          <w:lang w:eastAsia="bg-BG"/>
        </w:rPr>
        <w:t xml:space="preserve">и високи нива на </w:t>
      </w:r>
      <w:r w:rsidRPr="009F450C">
        <w:rPr>
          <w:rFonts w:eastAsia="Times New Roman" w:cs="Arial"/>
          <w:color w:val="000000"/>
          <w:lang w:val="en-US"/>
        </w:rPr>
        <w:t xml:space="preserve">WBC </w:t>
      </w:r>
      <w:r w:rsidRPr="009F450C">
        <w:rPr>
          <w:rFonts w:eastAsia="Times New Roman" w:cs="Arial"/>
          <w:color w:val="000000"/>
          <w:lang w:eastAsia="bg-BG"/>
        </w:rPr>
        <w:t xml:space="preserve">водят до редукция на на </w:t>
      </w:r>
      <w:r w:rsidRPr="009F450C">
        <w:rPr>
          <w:rFonts w:eastAsia="Times New Roman" w:cs="Arial"/>
          <w:color w:val="000000"/>
          <w:lang w:val="en-US"/>
        </w:rPr>
        <w:t xml:space="preserve">CL </w:t>
      </w:r>
      <w:r w:rsidRPr="009F450C">
        <w:rPr>
          <w:rFonts w:eastAsia="Times New Roman" w:cs="Arial"/>
          <w:color w:val="000000"/>
          <w:lang w:eastAsia="bg-BG"/>
        </w:rPr>
        <w:t xml:space="preserve">/ </w:t>
      </w:r>
      <w:r w:rsidRPr="009F450C">
        <w:rPr>
          <w:rFonts w:eastAsia="Times New Roman" w:cs="Arial"/>
          <w:color w:val="000000"/>
          <w:lang w:val="en-US"/>
        </w:rPr>
        <w:t xml:space="preserve">f. </w:t>
      </w:r>
      <w:r w:rsidRPr="009F450C">
        <w:rPr>
          <w:rFonts w:eastAsia="Times New Roman" w:cs="Arial"/>
          <w:color w:val="000000"/>
          <w:lang w:eastAsia="bg-BG"/>
        </w:rPr>
        <w:t xml:space="preserve">Въпреки това, тази асоциация не е достатъчно основание за коригиране на дозата. При </w:t>
      </w:r>
      <w:r w:rsidRPr="009F450C">
        <w:rPr>
          <w:rFonts w:eastAsia="Times New Roman" w:cs="Arial"/>
          <w:color w:val="000000"/>
          <w:lang w:eastAsia="bg-BG"/>
        </w:rPr>
        <w:lastRenderedPageBreak/>
        <w:t>тази популация пациенти, наличието на чернодробни метастази би могло да доведе до чернодробна недостатъчност и намалена обмяната на веществата.</w:t>
      </w:r>
    </w:p>
    <w:p w14:paraId="7F307CD2" w14:textId="77777777" w:rsidR="009F450C" w:rsidRPr="009F450C" w:rsidRDefault="009F450C" w:rsidP="009F450C">
      <w:pPr>
        <w:spacing w:line="240" w:lineRule="auto"/>
        <w:rPr>
          <w:rFonts w:eastAsia="Times New Roman" w:cs="Arial"/>
          <w:color w:val="000000"/>
          <w:u w:val="single"/>
          <w:lang w:eastAsia="bg-BG"/>
        </w:rPr>
      </w:pPr>
    </w:p>
    <w:p w14:paraId="4E5BF409" w14:textId="595078A0" w:rsidR="009F450C" w:rsidRPr="009F450C" w:rsidRDefault="009F450C" w:rsidP="009F450C">
      <w:pPr>
        <w:spacing w:line="240" w:lineRule="auto"/>
        <w:rPr>
          <w:rFonts w:eastAsia="Times New Roman" w:cs="Arial"/>
          <w:sz w:val="24"/>
          <w:szCs w:val="24"/>
          <w:lang w:eastAsia="bg-BG"/>
        </w:rPr>
      </w:pPr>
      <w:r w:rsidRPr="009F450C">
        <w:rPr>
          <w:rFonts w:eastAsia="Times New Roman" w:cs="Arial"/>
          <w:color w:val="000000"/>
          <w:u w:val="single"/>
          <w:lang w:eastAsia="bg-BG"/>
        </w:rPr>
        <w:t>Популационна фармакокинетика</w:t>
      </w:r>
    </w:p>
    <w:p w14:paraId="1C99E48E" w14:textId="4C3A48E9" w:rsidR="009F450C" w:rsidRPr="009F450C" w:rsidRDefault="009F450C" w:rsidP="009F450C">
      <w:pPr>
        <w:spacing w:line="240" w:lineRule="auto"/>
        <w:rPr>
          <w:rFonts w:eastAsia="Times New Roman" w:cs="Arial"/>
          <w:sz w:val="24"/>
          <w:szCs w:val="24"/>
          <w:lang w:eastAsia="bg-BG"/>
        </w:rPr>
      </w:pPr>
      <w:r w:rsidRPr="009F450C">
        <w:rPr>
          <w:rFonts w:eastAsia="Times New Roman" w:cs="Arial"/>
          <w:color w:val="000000"/>
          <w:lang w:eastAsia="bg-BG"/>
        </w:rPr>
        <w:t>Данните от популациония фармакокинетичен анализ при пациенти с ХМЛ показват, че възрастта оказва малък ефект върху обема на разпределение (12% повишение при</w:t>
      </w:r>
      <w:r w:rsidRPr="009F450C">
        <w:rPr>
          <w:rFonts w:eastAsia="Times New Roman" w:cs="Arial"/>
          <w:color w:val="000000"/>
          <w:lang w:val="en-US"/>
        </w:rPr>
        <w:t xml:space="preserve"> </w:t>
      </w:r>
      <w:r w:rsidRPr="009F450C">
        <w:rPr>
          <w:rFonts w:eastAsia="Times New Roman" w:cs="Arial"/>
          <w:color w:val="000000"/>
          <w:lang w:eastAsia="bg-BG"/>
        </w:rPr>
        <w:t xml:space="preserve">пациенти &gt;65 години). Тази промяна не се приема за статистически значима. Ефектът на телесното тегло върху клирънса на иматиниб е такъв, че за пациенти с тегло 50 </w:t>
      </w:r>
      <w:r w:rsidRPr="009F450C">
        <w:rPr>
          <w:rFonts w:eastAsia="Times New Roman" w:cs="Arial"/>
          <w:color w:val="000000"/>
          <w:lang w:val="en-US"/>
        </w:rPr>
        <w:t xml:space="preserve">kg </w:t>
      </w:r>
      <w:r w:rsidRPr="009F450C">
        <w:rPr>
          <w:rFonts w:eastAsia="Times New Roman" w:cs="Arial"/>
          <w:color w:val="000000"/>
          <w:lang w:eastAsia="bg-BG"/>
        </w:rPr>
        <w:t xml:space="preserve">средния клирънс се очаква да бъде 8,5 </w:t>
      </w:r>
      <w:r w:rsidRPr="009F450C">
        <w:rPr>
          <w:rFonts w:eastAsia="Times New Roman" w:cs="Arial"/>
          <w:color w:val="000000"/>
          <w:lang w:val="en-US" w:eastAsia="bg-BG"/>
        </w:rPr>
        <w:t>l</w:t>
      </w:r>
      <w:r w:rsidRPr="009F450C">
        <w:rPr>
          <w:rFonts w:eastAsia="Times New Roman" w:cs="Arial"/>
          <w:color w:val="000000"/>
          <w:lang w:eastAsia="bg-BG"/>
        </w:rPr>
        <w:t xml:space="preserve">/час, докато при пациенти, тежащи 100 </w:t>
      </w:r>
      <w:r w:rsidRPr="009F450C">
        <w:rPr>
          <w:rFonts w:eastAsia="Times New Roman" w:cs="Arial"/>
          <w:color w:val="000000"/>
          <w:lang w:val="en-US"/>
        </w:rPr>
        <w:t xml:space="preserve">kg </w:t>
      </w:r>
      <w:r w:rsidRPr="009F450C">
        <w:rPr>
          <w:rFonts w:eastAsia="Times New Roman" w:cs="Arial"/>
          <w:color w:val="000000"/>
          <w:lang w:eastAsia="bg-BG"/>
        </w:rPr>
        <w:t xml:space="preserve">се очаква да се повиши до 1,8 </w:t>
      </w:r>
      <w:r w:rsidRPr="009F450C">
        <w:rPr>
          <w:rFonts w:eastAsia="Times New Roman" w:cs="Arial"/>
          <w:color w:val="000000"/>
          <w:lang w:val="en-US"/>
        </w:rPr>
        <w:t>l/</w:t>
      </w:r>
      <w:r w:rsidRPr="009F450C">
        <w:rPr>
          <w:rFonts w:eastAsia="Times New Roman" w:cs="Arial"/>
          <w:color w:val="000000"/>
          <w:lang w:eastAsia="bg-BG"/>
        </w:rPr>
        <w:t>час. Тези промени не се смятат за достатъчно основание, за да доведе до коригиране на дозата в</w:t>
      </w:r>
      <w:r w:rsidRPr="009F450C">
        <w:rPr>
          <w:rFonts w:eastAsia="Times New Roman" w:cs="Arial"/>
          <w:sz w:val="24"/>
          <w:szCs w:val="24"/>
          <w:lang w:val="en-US" w:eastAsia="bg-BG"/>
        </w:rPr>
        <w:t xml:space="preserve"> </w:t>
      </w:r>
      <w:r w:rsidRPr="009F450C">
        <w:rPr>
          <w:rFonts w:eastAsia="Times New Roman" w:cs="Arial"/>
          <w:color w:val="000000"/>
          <w:lang w:eastAsia="bg-BG"/>
        </w:rPr>
        <w:t>зависимост от телесното тегло. Няма влияние на пола върху кинетиката на иматиниб.</w:t>
      </w:r>
    </w:p>
    <w:p w14:paraId="336F00D8" w14:textId="4CE7F9EC" w:rsidR="009F450C" w:rsidRPr="009F450C" w:rsidRDefault="009F450C" w:rsidP="0091385D">
      <w:pPr>
        <w:rPr>
          <w:rFonts w:cs="Arial"/>
        </w:rPr>
      </w:pPr>
    </w:p>
    <w:p w14:paraId="2E47534D" w14:textId="77777777" w:rsidR="009F450C" w:rsidRPr="009F450C" w:rsidRDefault="009F450C" w:rsidP="009F450C">
      <w:pPr>
        <w:spacing w:line="240" w:lineRule="auto"/>
        <w:rPr>
          <w:rFonts w:eastAsia="Times New Roman" w:cs="Arial"/>
          <w:sz w:val="24"/>
          <w:szCs w:val="24"/>
          <w:lang w:eastAsia="bg-BG"/>
        </w:rPr>
      </w:pPr>
      <w:r w:rsidRPr="009F450C">
        <w:rPr>
          <w:rFonts w:eastAsia="Times New Roman" w:cs="Arial"/>
          <w:color w:val="000000"/>
          <w:u w:val="single"/>
          <w:lang w:eastAsia="bg-BG"/>
        </w:rPr>
        <w:t>Фармакокинетика при деца и юноши</w:t>
      </w:r>
    </w:p>
    <w:p w14:paraId="015386EB" w14:textId="77777777" w:rsidR="009F450C" w:rsidRPr="009F450C" w:rsidRDefault="009F450C" w:rsidP="009F450C">
      <w:pPr>
        <w:spacing w:line="240" w:lineRule="auto"/>
        <w:rPr>
          <w:rFonts w:eastAsia="Times New Roman" w:cs="Arial"/>
          <w:sz w:val="24"/>
          <w:szCs w:val="24"/>
          <w:lang w:eastAsia="bg-BG"/>
        </w:rPr>
      </w:pPr>
      <w:r w:rsidRPr="009F450C">
        <w:rPr>
          <w:rFonts w:eastAsia="Times New Roman" w:cs="Arial"/>
          <w:color w:val="000000"/>
          <w:lang w:eastAsia="bg-BG"/>
        </w:rPr>
        <w:t xml:space="preserve">Както и при възрастни пациенти, така и при деца иматиниб се абсорбира бързо след перорален прием при проучвания от фаза I и фаза II. Дозите при деца и юноши от 260 и 340 </w:t>
      </w:r>
      <w:r w:rsidRPr="009F450C">
        <w:rPr>
          <w:rFonts w:eastAsia="Times New Roman" w:cs="Arial"/>
          <w:color w:val="000000"/>
          <w:lang w:val="en-US"/>
        </w:rPr>
        <w:t>mg/m</w:t>
      </w:r>
      <w:r w:rsidRPr="009F450C">
        <w:rPr>
          <w:rFonts w:eastAsia="Times New Roman" w:cs="Arial"/>
          <w:color w:val="000000"/>
          <w:vertAlign w:val="superscript"/>
          <w:lang w:val="en-US"/>
        </w:rPr>
        <w:t>2</w:t>
      </w:r>
      <w:r w:rsidRPr="009F450C">
        <w:rPr>
          <w:rFonts w:eastAsia="Times New Roman" w:cs="Arial"/>
          <w:color w:val="000000"/>
          <w:lang w:val="en-US"/>
        </w:rPr>
        <w:t>/</w:t>
      </w:r>
      <w:r w:rsidRPr="009F450C">
        <w:rPr>
          <w:rFonts w:eastAsia="Times New Roman" w:cs="Arial"/>
          <w:color w:val="000000"/>
          <w:lang w:eastAsia="bg-BG"/>
        </w:rPr>
        <w:t xml:space="preserve">ден водят до същата експозиция като съответно дозите от 400 </w:t>
      </w:r>
      <w:r w:rsidRPr="009F450C">
        <w:rPr>
          <w:rFonts w:eastAsia="Times New Roman" w:cs="Arial"/>
          <w:color w:val="000000"/>
          <w:lang w:val="en-US"/>
        </w:rPr>
        <w:t xml:space="preserve">mg </w:t>
      </w:r>
      <w:r w:rsidRPr="009F450C">
        <w:rPr>
          <w:rFonts w:eastAsia="Times New Roman" w:cs="Arial"/>
          <w:color w:val="000000"/>
          <w:lang w:eastAsia="bg-BG"/>
        </w:rPr>
        <w:t xml:space="preserve">и 600 </w:t>
      </w:r>
      <w:r w:rsidRPr="009F450C">
        <w:rPr>
          <w:rFonts w:eastAsia="Times New Roman" w:cs="Arial"/>
          <w:color w:val="000000"/>
          <w:lang w:val="en-US"/>
        </w:rPr>
        <w:t xml:space="preserve">mg </w:t>
      </w:r>
      <w:r w:rsidRPr="009F450C">
        <w:rPr>
          <w:rFonts w:eastAsia="Times New Roman" w:cs="Arial"/>
          <w:color w:val="000000"/>
          <w:lang w:eastAsia="bg-BG"/>
        </w:rPr>
        <w:t xml:space="preserve">при възрастни пациенти. Сравняването на </w:t>
      </w:r>
      <w:r w:rsidRPr="009F450C">
        <w:rPr>
          <w:rFonts w:eastAsia="Times New Roman" w:cs="Arial"/>
          <w:color w:val="000000"/>
          <w:lang w:val="en-US"/>
        </w:rPr>
        <w:t xml:space="preserve">AUC(0-24) </w:t>
      </w:r>
      <w:r w:rsidRPr="009F450C">
        <w:rPr>
          <w:rFonts w:eastAsia="Times New Roman" w:cs="Arial"/>
          <w:color w:val="000000"/>
          <w:lang w:eastAsia="bg-BG"/>
        </w:rPr>
        <w:t xml:space="preserve">на 8-ия и 1-ия ден при дози от 340 </w:t>
      </w:r>
      <w:r w:rsidRPr="009F450C">
        <w:rPr>
          <w:rFonts w:eastAsia="Times New Roman" w:cs="Arial"/>
          <w:color w:val="000000"/>
          <w:lang w:val="en-US"/>
        </w:rPr>
        <w:t>mg</w:t>
      </w:r>
      <w:r w:rsidRPr="009F450C">
        <w:rPr>
          <w:rFonts w:eastAsia="Times New Roman" w:cs="Arial"/>
          <w:color w:val="000000"/>
          <w:lang w:eastAsia="bg-BG"/>
        </w:rPr>
        <w:t>/</w:t>
      </w:r>
      <w:r w:rsidRPr="009F450C">
        <w:rPr>
          <w:rFonts w:eastAsia="Times New Roman" w:cs="Arial"/>
          <w:color w:val="000000"/>
          <w:lang w:val="en-US"/>
        </w:rPr>
        <w:t>m</w:t>
      </w:r>
      <w:r w:rsidRPr="009F450C">
        <w:rPr>
          <w:rFonts w:eastAsia="Times New Roman" w:cs="Arial"/>
          <w:color w:val="000000"/>
          <w:vertAlign w:val="superscript"/>
          <w:lang w:val="en-US"/>
        </w:rPr>
        <w:t>2</w:t>
      </w:r>
      <w:r w:rsidRPr="009F450C">
        <w:rPr>
          <w:rFonts w:eastAsia="Times New Roman" w:cs="Arial"/>
          <w:color w:val="000000"/>
          <w:lang w:eastAsia="bg-BG"/>
        </w:rPr>
        <w:t>/ден показва 1,7 пъти по- високо натрупване на лекарството след повторно еднократно дневно приложение.</w:t>
      </w:r>
    </w:p>
    <w:p w14:paraId="2C3F99ED" w14:textId="77777777" w:rsidR="009F450C" w:rsidRPr="009F450C" w:rsidRDefault="009F450C" w:rsidP="009F450C">
      <w:pPr>
        <w:spacing w:line="240" w:lineRule="auto"/>
        <w:rPr>
          <w:rFonts w:eastAsia="Times New Roman" w:cs="Arial"/>
          <w:color w:val="000000"/>
          <w:lang w:eastAsia="bg-BG"/>
        </w:rPr>
      </w:pPr>
    </w:p>
    <w:p w14:paraId="7C6BA5F5" w14:textId="730BF193" w:rsidR="009F450C" w:rsidRPr="009F450C" w:rsidRDefault="009F450C" w:rsidP="009F450C">
      <w:pPr>
        <w:spacing w:line="240" w:lineRule="auto"/>
        <w:rPr>
          <w:rFonts w:eastAsia="Times New Roman" w:cs="Arial"/>
          <w:sz w:val="24"/>
          <w:szCs w:val="24"/>
          <w:lang w:eastAsia="bg-BG"/>
        </w:rPr>
      </w:pPr>
      <w:r w:rsidRPr="009F450C">
        <w:rPr>
          <w:rFonts w:eastAsia="Times New Roman" w:cs="Arial"/>
          <w:color w:val="000000"/>
          <w:lang w:eastAsia="bg-BG"/>
        </w:rPr>
        <w:t xml:space="preserve">Въз основа на сборен популационен фармакокинетичен анализ при педиатрични пациенти с хематологични заболявания (ХМЛ, </w:t>
      </w:r>
      <w:r w:rsidRPr="009F450C">
        <w:rPr>
          <w:rFonts w:eastAsia="Times New Roman" w:cs="Arial"/>
          <w:color w:val="000000"/>
          <w:lang w:val="en-US"/>
        </w:rPr>
        <w:t xml:space="preserve">Ph+OJIJI </w:t>
      </w:r>
      <w:r w:rsidRPr="009F450C">
        <w:rPr>
          <w:rFonts w:eastAsia="Times New Roman" w:cs="Arial"/>
          <w:color w:val="000000"/>
          <w:lang w:eastAsia="bg-BG"/>
        </w:rPr>
        <w:t xml:space="preserve">или други хематологични заболявания лекувани с иматиниб), клирънсът на иматиниб се увеличава с увеличаване на телесната повърхност. След коригиране за ефекта на телесната повърхност останалите демографски показатели като възраст, телесно тегло и индекс на телесна маса нямат клинично значим ефект върху експозицията на иматиниб. Анализът потвърждава, че експозицията на иматиниб при педиатрични пациенти, получаващи 260 </w:t>
      </w:r>
      <w:r w:rsidRPr="009F450C">
        <w:rPr>
          <w:rFonts w:eastAsia="Times New Roman" w:cs="Arial"/>
          <w:color w:val="000000"/>
          <w:lang w:val="en-US"/>
        </w:rPr>
        <w:t>mg/ m</w:t>
      </w:r>
      <w:r w:rsidRPr="009F450C">
        <w:rPr>
          <w:rFonts w:eastAsia="Times New Roman" w:cs="Arial"/>
          <w:color w:val="000000"/>
          <w:vertAlign w:val="superscript"/>
          <w:lang w:val="en-US"/>
        </w:rPr>
        <w:t>2</w:t>
      </w:r>
      <w:r w:rsidRPr="009F450C">
        <w:rPr>
          <w:rFonts w:eastAsia="Times New Roman" w:cs="Arial"/>
          <w:color w:val="000000"/>
          <w:lang w:val="en-US"/>
        </w:rPr>
        <w:t xml:space="preserve"> </w:t>
      </w:r>
      <w:r w:rsidRPr="009F450C">
        <w:rPr>
          <w:rFonts w:eastAsia="Times New Roman" w:cs="Arial"/>
          <w:color w:val="000000"/>
          <w:lang w:eastAsia="bg-BG"/>
        </w:rPr>
        <w:t xml:space="preserve">веднъж дневно (без да се превишават 400 </w:t>
      </w:r>
      <w:r w:rsidRPr="009F450C">
        <w:rPr>
          <w:rFonts w:eastAsia="Times New Roman" w:cs="Arial"/>
          <w:color w:val="000000"/>
          <w:lang w:val="en-US"/>
        </w:rPr>
        <w:t xml:space="preserve">mg </w:t>
      </w:r>
      <w:r w:rsidRPr="009F450C">
        <w:rPr>
          <w:rFonts w:eastAsia="Times New Roman" w:cs="Arial"/>
          <w:color w:val="000000"/>
          <w:lang w:eastAsia="bg-BG"/>
        </w:rPr>
        <w:t xml:space="preserve">веднъж дневно) или 340 </w:t>
      </w:r>
      <w:r w:rsidRPr="009F450C">
        <w:rPr>
          <w:rFonts w:eastAsia="Times New Roman" w:cs="Arial"/>
          <w:color w:val="000000"/>
          <w:lang w:val="en-US"/>
        </w:rPr>
        <w:t>mg/ m</w:t>
      </w:r>
      <w:r w:rsidRPr="009F450C">
        <w:rPr>
          <w:rFonts w:eastAsia="Times New Roman" w:cs="Arial"/>
          <w:color w:val="000000"/>
          <w:vertAlign w:val="superscript"/>
          <w:lang w:val="en-US"/>
        </w:rPr>
        <w:t>2</w:t>
      </w:r>
      <w:r w:rsidRPr="009F450C">
        <w:rPr>
          <w:rFonts w:eastAsia="Times New Roman" w:cs="Arial"/>
          <w:color w:val="000000"/>
          <w:lang w:val="en-US"/>
        </w:rPr>
        <w:t xml:space="preserve"> </w:t>
      </w:r>
      <w:r w:rsidRPr="009F450C">
        <w:rPr>
          <w:rFonts w:eastAsia="Times New Roman" w:cs="Arial"/>
          <w:color w:val="000000"/>
          <w:lang w:eastAsia="bg-BG"/>
        </w:rPr>
        <w:t xml:space="preserve">веднъж днево (без да се превишават 600 </w:t>
      </w:r>
      <w:r w:rsidRPr="009F450C">
        <w:rPr>
          <w:rFonts w:eastAsia="Times New Roman" w:cs="Arial"/>
          <w:color w:val="000000"/>
          <w:lang w:val="en-US"/>
        </w:rPr>
        <w:t xml:space="preserve">mg </w:t>
      </w:r>
      <w:r w:rsidRPr="009F450C">
        <w:rPr>
          <w:rFonts w:eastAsia="Times New Roman" w:cs="Arial"/>
          <w:color w:val="000000"/>
          <w:lang w:eastAsia="bg-BG"/>
        </w:rPr>
        <w:t xml:space="preserve">веднъж дневно) е подобна на тази при възрастни пациенти, които получават иматиниб 400 </w:t>
      </w:r>
      <w:r w:rsidRPr="009F450C">
        <w:rPr>
          <w:rFonts w:eastAsia="Times New Roman" w:cs="Arial"/>
          <w:color w:val="000000"/>
          <w:lang w:val="en-US"/>
        </w:rPr>
        <w:t xml:space="preserve">mg </w:t>
      </w:r>
      <w:r w:rsidRPr="009F450C">
        <w:rPr>
          <w:rFonts w:eastAsia="Times New Roman" w:cs="Arial"/>
          <w:color w:val="000000"/>
          <w:lang w:eastAsia="bg-BG"/>
        </w:rPr>
        <w:t xml:space="preserve">или 600 </w:t>
      </w:r>
      <w:r w:rsidRPr="009F450C">
        <w:rPr>
          <w:rFonts w:eastAsia="Times New Roman" w:cs="Arial"/>
          <w:color w:val="000000"/>
          <w:lang w:val="en-US"/>
        </w:rPr>
        <w:t xml:space="preserve">mg </w:t>
      </w:r>
      <w:r w:rsidRPr="009F450C">
        <w:rPr>
          <w:rFonts w:eastAsia="Times New Roman" w:cs="Arial"/>
          <w:color w:val="000000"/>
          <w:lang w:eastAsia="bg-BG"/>
        </w:rPr>
        <w:t>веднъж дневно.</w:t>
      </w:r>
    </w:p>
    <w:p w14:paraId="00A8C78E" w14:textId="77777777" w:rsidR="009F450C" w:rsidRPr="009F450C" w:rsidRDefault="009F450C" w:rsidP="009F450C">
      <w:pPr>
        <w:spacing w:line="240" w:lineRule="auto"/>
        <w:rPr>
          <w:rFonts w:eastAsia="Times New Roman" w:cs="Arial"/>
          <w:color w:val="000000"/>
          <w:u w:val="single"/>
          <w:lang w:eastAsia="bg-BG"/>
        </w:rPr>
      </w:pPr>
    </w:p>
    <w:p w14:paraId="48CA97DF" w14:textId="1F00E6F3" w:rsidR="009F450C" w:rsidRPr="009F450C" w:rsidRDefault="009F450C" w:rsidP="009F450C">
      <w:pPr>
        <w:spacing w:line="240" w:lineRule="auto"/>
        <w:rPr>
          <w:rFonts w:eastAsia="Times New Roman" w:cs="Arial"/>
          <w:sz w:val="24"/>
          <w:szCs w:val="24"/>
          <w:lang w:eastAsia="bg-BG"/>
        </w:rPr>
      </w:pPr>
      <w:r w:rsidRPr="009F450C">
        <w:rPr>
          <w:rFonts w:eastAsia="Times New Roman" w:cs="Arial"/>
          <w:color w:val="000000"/>
          <w:u w:val="single"/>
          <w:lang w:eastAsia="bg-BG"/>
        </w:rPr>
        <w:t>Нарушена органна функция</w:t>
      </w:r>
    </w:p>
    <w:p w14:paraId="1F3132BC" w14:textId="77777777" w:rsidR="009F450C" w:rsidRPr="009F450C" w:rsidRDefault="009F450C" w:rsidP="009F450C">
      <w:pPr>
        <w:spacing w:line="240" w:lineRule="auto"/>
        <w:rPr>
          <w:rFonts w:eastAsia="Times New Roman" w:cs="Arial"/>
          <w:sz w:val="24"/>
          <w:szCs w:val="24"/>
          <w:lang w:eastAsia="bg-BG"/>
        </w:rPr>
      </w:pPr>
      <w:r w:rsidRPr="009F450C">
        <w:rPr>
          <w:rFonts w:eastAsia="Times New Roman" w:cs="Arial"/>
          <w:color w:val="000000"/>
          <w:lang w:eastAsia="bg-BG"/>
        </w:rPr>
        <w:t>Иматиниб и неговите метаболити не се отделят в значителна степен през бъбреците.</w:t>
      </w:r>
    </w:p>
    <w:p w14:paraId="3D741F47" w14:textId="77777777" w:rsidR="009F450C" w:rsidRPr="009F450C" w:rsidRDefault="009F450C" w:rsidP="009F450C">
      <w:pPr>
        <w:spacing w:line="240" w:lineRule="auto"/>
        <w:rPr>
          <w:rFonts w:eastAsia="Times New Roman" w:cs="Arial"/>
          <w:sz w:val="24"/>
          <w:szCs w:val="24"/>
          <w:lang w:eastAsia="bg-BG"/>
        </w:rPr>
      </w:pPr>
      <w:r w:rsidRPr="009F450C">
        <w:rPr>
          <w:rFonts w:eastAsia="Times New Roman" w:cs="Arial"/>
          <w:color w:val="000000"/>
          <w:lang w:eastAsia="bg-BG"/>
        </w:rPr>
        <w:t xml:space="preserve">Пациентите с леко до умерено нарушение на бъбречната функция показват по-висока плазмена експозиция от колкото при пациентите с нормална бъбречна функция. Повишението е приблизително 1,5- до 2-пъти, съответстващо на 1,5-кратно увеличение на плазмения </w:t>
      </w:r>
      <w:r w:rsidRPr="009F450C">
        <w:rPr>
          <w:rFonts w:eastAsia="Times New Roman" w:cs="Arial"/>
          <w:color w:val="000000"/>
          <w:lang w:val="en-US"/>
        </w:rPr>
        <w:t xml:space="preserve">AGP, </w:t>
      </w:r>
      <w:r w:rsidRPr="009F450C">
        <w:rPr>
          <w:rFonts w:eastAsia="Times New Roman" w:cs="Arial"/>
          <w:color w:val="000000"/>
          <w:lang w:eastAsia="bg-BG"/>
        </w:rPr>
        <w:t>към който иматиниб се свързва в голяма степен. Клирънсът на свободния иматиниб е вероятно подобен при пациентите с бъбречно нарушение и тези с нормална бъбречна функция, тъй като бъбречната екскреция представлява само малък път на елиминиране на иматиниб (вж. точка 4.2 и 4.4).</w:t>
      </w:r>
    </w:p>
    <w:p w14:paraId="1B1B59D9" w14:textId="77777777" w:rsidR="009F450C" w:rsidRPr="009F450C" w:rsidRDefault="009F450C" w:rsidP="009F450C">
      <w:pPr>
        <w:rPr>
          <w:rFonts w:eastAsia="Times New Roman" w:cs="Arial"/>
          <w:color w:val="000000"/>
          <w:lang w:eastAsia="bg-BG"/>
        </w:rPr>
      </w:pPr>
    </w:p>
    <w:p w14:paraId="7A6BAEAB" w14:textId="65FC4CCE" w:rsidR="009F450C" w:rsidRPr="009F450C" w:rsidRDefault="009F450C" w:rsidP="009F450C">
      <w:pPr>
        <w:rPr>
          <w:rFonts w:cs="Arial"/>
        </w:rPr>
      </w:pPr>
      <w:r w:rsidRPr="009F450C">
        <w:rPr>
          <w:rFonts w:eastAsia="Times New Roman" w:cs="Arial"/>
          <w:color w:val="000000"/>
          <w:lang w:eastAsia="bg-BG"/>
        </w:rPr>
        <w:t>Въпреки че резултатите от фармакокинетичния анализ показват съществуването на значимо индивидуално вариране, средната експозиция на иматиниб не се повишава при пациенти с различни по степен нарушения на чернодробната функция в сравнение с нормална чернодробна функция (вж. точки 4.2, 4.4 и 4.8).</w:t>
      </w:r>
    </w:p>
    <w:p w14:paraId="6DFAE31E" w14:textId="77777777" w:rsidR="009F450C" w:rsidRPr="0091385D" w:rsidRDefault="009F450C" w:rsidP="0091385D"/>
    <w:p w14:paraId="648E39DA" w14:textId="44D16CBD" w:rsidR="00CF77F7" w:rsidRDefault="002C50EE" w:rsidP="004A448E">
      <w:pPr>
        <w:pStyle w:val="Heading2"/>
      </w:pPr>
      <w:r>
        <w:t>5.3. Предклинични данни за безопасност</w:t>
      </w:r>
    </w:p>
    <w:p w14:paraId="20E967BE" w14:textId="751DCF54" w:rsidR="0091385D" w:rsidRDefault="0091385D" w:rsidP="0091385D"/>
    <w:p w14:paraId="265DAFB0" w14:textId="77777777" w:rsidR="009F450C" w:rsidRPr="009F450C" w:rsidRDefault="009F450C" w:rsidP="009F450C">
      <w:pPr>
        <w:spacing w:line="240" w:lineRule="auto"/>
        <w:rPr>
          <w:rFonts w:eastAsia="Times New Roman" w:cs="Arial"/>
          <w:sz w:val="24"/>
          <w:szCs w:val="24"/>
          <w:lang w:eastAsia="bg-BG"/>
        </w:rPr>
      </w:pPr>
      <w:r w:rsidRPr="009F450C">
        <w:rPr>
          <w:rFonts w:eastAsia="Times New Roman" w:cs="Arial"/>
          <w:color w:val="000000"/>
          <w:lang w:eastAsia="bg-BG"/>
        </w:rPr>
        <w:lastRenderedPageBreak/>
        <w:t>Предклиничният профил на безопасност на иматиниб е оценен при кучетата, плъхове, маймуни и зайци.</w:t>
      </w:r>
    </w:p>
    <w:p w14:paraId="72B9D74B" w14:textId="77777777" w:rsidR="009F450C" w:rsidRPr="009F450C" w:rsidRDefault="009F450C" w:rsidP="009F450C">
      <w:pPr>
        <w:spacing w:line="240" w:lineRule="auto"/>
        <w:rPr>
          <w:rFonts w:eastAsia="Times New Roman" w:cs="Arial"/>
          <w:color w:val="000000"/>
          <w:lang w:eastAsia="bg-BG"/>
        </w:rPr>
      </w:pPr>
    </w:p>
    <w:p w14:paraId="7329B88B" w14:textId="3B52CE1C" w:rsidR="009F450C" w:rsidRPr="009F450C" w:rsidRDefault="009F450C" w:rsidP="009F450C">
      <w:pPr>
        <w:spacing w:line="240" w:lineRule="auto"/>
        <w:rPr>
          <w:rFonts w:eastAsia="Times New Roman" w:cs="Arial"/>
          <w:sz w:val="24"/>
          <w:szCs w:val="24"/>
          <w:lang w:eastAsia="bg-BG"/>
        </w:rPr>
      </w:pPr>
      <w:r w:rsidRPr="009F450C">
        <w:rPr>
          <w:rFonts w:eastAsia="Times New Roman" w:cs="Arial"/>
          <w:color w:val="000000"/>
          <w:lang w:eastAsia="bg-BG"/>
        </w:rPr>
        <w:t>Проучванията за токсичност при многократно приложение показват леки до умерени хематологични промени при плъхове, кучета и маймуни, съпроводени с промени в костния мозък при кучета и плъхове.</w:t>
      </w:r>
    </w:p>
    <w:p w14:paraId="2AE5574C" w14:textId="77777777" w:rsidR="009F450C" w:rsidRPr="009F450C" w:rsidRDefault="009F450C" w:rsidP="009F450C">
      <w:pPr>
        <w:spacing w:line="240" w:lineRule="auto"/>
        <w:rPr>
          <w:rFonts w:eastAsia="Times New Roman" w:cs="Arial"/>
          <w:color w:val="000000"/>
          <w:lang w:eastAsia="bg-BG"/>
        </w:rPr>
      </w:pPr>
    </w:p>
    <w:p w14:paraId="2299A2E3" w14:textId="4592C6E7" w:rsidR="009F450C" w:rsidRPr="009F450C" w:rsidRDefault="009F450C" w:rsidP="009F450C">
      <w:pPr>
        <w:spacing w:line="240" w:lineRule="auto"/>
        <w:rPr>
          <w:rFonts w:eastAsia="Times New Roman" w:cs="Arial"/>
          <w:sz w:val="24"/>
          <w:szCs w:val="24"/>
          <w:lang w:eastAsia="bg-BG"/>
        </w:rPr>
      </w:pPr>
      <w:r w:rsidRPr="009F450C">
        <w:rPr>
          <w:rFonts w:eastAsia="Times New Roman" w:cs="Arial"/>
          <w:color w:val="000000"/>
          <w:lang w:eastAsia="bg-BG"/>
        </w:rPr>
        <w:t>Черният дроб е прицелния орган при плъхове и кучета. При двата вида се наблюдават леки до умерени повишения на нивата на трансаминазите и леко понижение на холестерола, триглицеридите, общия белтък и албумина. В черен дроб на плъхове не се откриват никакви хистопатологични промени. Тежка чернодробна токсичност се наблюдава след двуседмично третиране на кучета, с повишаване на чернодробните ензими, некроза на хепатоцитите, некроза и хиперплазия на жлъчните пътища.</w:t>
      </w:r>
    </w:p>
    <w:p w14:paraId="3B8B11F1" w14:textId="77777777" w:rsidR="009F450C" w:rsidRPr="009F450C" w:rsidRDefault="009F450C" w:rsidP="009F450C">
      <w:pPr>
        <w:spacing w:line="240" w:lineRule="auto"/>
        <w:rPr>
          <w:rFonts w:eastAsia="Times New Roman" w:cs="Arial"/>
          <w:color w:val="000000"/>
          <w:lang w:eastAsia="bg-BG"/>
        </w:rPr>
      </w:pPr>
    </w:p>
    <w:p w14:paraId="5F821CBD" w14:textId="71CCA6D0" w:rsidR="009F450C" w:rsidRPr="009F450C" w:rsidRDefault="009F450C" w:rsidP="009F450C">
      <w:pPr>
        <w:spacing w:line="240" w:lineRule="auto"/>
        <w:rPr>
          <w:rFonts w:eastAsia="Times New Roman" w:cs="Arial"/>
          <w:sz w:val="24"/>
          <w:szCs w:val="24"/>
          <w:lang w:eastAsia="bg-BG"/>
        </w:rPr>
      </w:pPr>
      <w:r w:rsidRPr="009F450C">
        <w:rPr>
          <w:rFonts w:eastAsia="Times New Roman" w:cs="Arial"/>
          <w:color w:val="000000"/>
          <w:lang w:eastAsia="bg-BG"/>
        </w:rPr>
        <w:t>При маймуни, третирани в продължение на 2 седмици, се наблюдава бъбречна токсичност, изразяваща се с фокална минерализация и дилатация на бъбречните каналчета и тубулна</w:t>
      </w:r>
      <w:r>
        <w:rPr>
          <w:rFonts w:eastAsia="Times New Roman" w:cs="Arial"/>
          <w:sz w:val="24"/>
          <w:szCs w:val="24"/>
          <w:lang w:val="en-US" w:eastAsia="bg-BG"/>
        </w:rPr>
        <w:t xml:space="preserve"> </w:t>
      </w:r>
      <w:r w:rsidRPr="009F450C">
        <w:rPr>
          <w:rFonts w:eastAsia="Times New Roman" w:cs="Arial"/>
          <w:color w:val="000000"/>
          <w:lang w:eastAsia="bg-BG"/>
        </w:rPr>
        <w:t>нефроза. При някои от тези животни се наблюдава повишаване на серумните урея и креатинин.</w:t>
      </w:r>
    </w:p>
    <w:p w14:paraId="13A7B62A" w14:textId="613C1088" w:rsidR="007A2185" w:rsidRPr="009F450C" w:rsidRDefault="009F450C" w:rsidP="009F450C">
      <w:pPr>
        <w:rPr>
          <w:rFonts w:eastAsia="Times New Roman" w:cs="Arial"/>
          <w:color w:val="000000"/>
          <w:lang w:eastAsia="bg-BG"/>
        </w:rPr>
      </w:pPr>
      <w:r w:rsidRPr="009F450C">
        <w:rPr>
          <w:rFonts w:eastAsia="Times New Roman" w:cs="Arial"/>
          <w:color w:val="000000"/>
          <w:lang w:eastAsia="bg-BG"/>
        </w:rPr>
        <w:t xml:space="preserve">При 13 седмично проучване на плъхове се наблюдава хиперплазия на преходния епител в бъбречната папила и на пикочния мехур при доза от 6 </w:t>
      </w:r>
      <w:r w:rsidRPr="009F450C">
        <w:rPr>
          <w:rFonts w:eastAsia="Times New Roman" w:cs="Arial"/>
          <w:color w:val="000000"/>
          <w:lang w:val="en-US"/>
        </w:rPr>
        <w:t xml:space="preserve">mg/kg </w:t>
      </w:r>
      <w:r w:rsidRPr="009F450C">
        <w:rPr>
          <w:rFonts w:eastAsia="Times New Roman" w:cs="Arial"/>
          <w:color w:val="000000"/>
          <w:lang w:eastAsia="bg-BG"/>
        </w:rPr>
        <w:t>без промени в серумните и уринните параметри. При хронично прилагане на иматиниб се наблюдава повишена честота на опортюнистичните инфекции.</w:t>
      </w:r>
    </w:p>
    <w:p w14:paraId="58532445" w14:textId="08A3565E" w:rsidR="009F450C" w:rsidRPr="009F450C" w:rsidRDefault="009F450C" w:rsidP="009F450C">
      <w:pPr>
        <w:rPr>
          <w:rFonts w:eastAsia="Times New Roman" w:cs="Arial"/>
          <w:color w:val="000000"/>
          <w:lang w:eastAsia="bg-BG"/>
        </w:rPr>
      </w:pPr>
    </w:p>
    <w:p w14:paraId="5949F09D" w14:textId="77777777" w:rsidR="009F450C" w:rsidRPr="009F450C" w:rsidRDefault="009F450C" w:rsidP="009F450C">
      <w:pPr>
        <w:spacing w:line="240" w:lineRule="auto"/>
        <w:rPr>
          <w:rFonts w:eastAsia="Times New Roman" w:cs="Arial"/>
          <w:sz w:val="24"/>
          <w:szCs w:val="24"/>
          <w:lang w:eastAsia="bg-BG"/>
        </w:rPr>
      </w:pPr>
      <w:r w:rsidRPr="009F450C">
        <w:rPr>
          <w:rFonts w:eastAsia="Times New Roman" w:cs="Arial"/>
          <w:color w:val="000000"/>
          <w:lang w:eastAsia="bg-BG"/>
        </w:rPr>
        <w:t xml:space="preserve">При 39 седмично проучване при маймуни, е установено ниво на липса на нежелани реакции при най-ниската доза от 15 </w:t>
      </w:r>
      <w:r w:rsidRPr="009F450C">
        <w:rPr>
          <w:rFonts w:eastAsia="Times New Roman" w:cs="Arial"/>
          <w:color w:val="000000"/>
          <w:lang w:val="en-US"/>
        </w:rPr>
        <w:t xml:space="preserve">mg/kg, </w:t>
      </w:r>
      <w:r w:rsidRPr="009F450C">
        <w:rPr>
          <w:rFonts w:eastAsia="Times New Roman" w:cs="Arial"/>
          <w:color w:val="000000"/>
          <w:lang w:eastAsia="bg-BG"/>
        </w:rPr>
        <w:t xml:space="preserve">което е приблизително една трета от максималната доза при хора от 800 </w:t>
      </w:r>
      <w:r w:rsidRPr="009F450C">
        <w:rPr>
          <w:rFonts w:eastAsia="Times New Roman" w:cs="Arial"/>
          <w:color w:val="000000"/>
          <w:lang w:val="en-US"/>
        </w:rPr>
        <w:t xml:space="preserve">mg </w:t>
      </w:r>
      <w:r w:rsidRPr="009F450C">
        <w:rPr>
          <w:rFonts w:eastAsia="Times New Roman" w:cs="Arial"/>
          <w:color w:val="000000"/>
          <w:lang w:eastAsia="bg-BG"/>
        </w:rPr>
        <w:t>според повърхността на тялото. Лечението води до влошаване на нормално потиснатите маларийни инфекции при тези животни.</w:t>
      </w:r>
    </w:p>
    <w:p w14:paraId="6A53D10A" w14:textId="77777777" w:rsidR="009F450C" w:rsidRPr="009F450C" w:rsidRDefault="009F450C" w:rsidP="009F450C">
      <w:pPr>
        <w:spacing w:line="240" w:lineRule="auto"/>
        <w:rPr>
          <w:rFonts w:eastAsia="Times New Roman" w:cs="Arial"/>
          <w:color w:val="000000"/>
          <w:lang w:eastAsia="bg-BG"/>
        </w:rPr>
      </w:pPr>
    </w:p>
    <w:p w14:paraId="04A0A602" w14:textId="75BCE2C0" w:rsidR="009F450C" w:rsidRPr="009F450C" w:rsidRDefault="009F450C" w:rsidP="009F450C">
      <w:pPr>
        <w:spacing w:line="240" w:lineRule="auto"/>
        <w:rPr>
          <w:rFonts w:eastAsia="Times New Roman" w:cs="Arial"/>
          <w:sz w:val="24"/>
          <w:szCs w:val="24"/>
          <w:lang w:eastAsia="bg-BG"/>
        </w:rPr>
      </w:pPr>
      <w:r w:rsidRPr="009F450C">
        <w:rPr>
          <w:rFonts w:eastAsia="Times New Roman" w:cs="Arial"/>
          <w:color w:val="000000"/>
          <w:lang w:eastAsia="bg-BG"/>
        </w:rPr>
        <w:t xml:space="preserve">Иматиниб не показва генотоксичност при изследването му </w:t>
      </w:r>
      <w:r w:rsidRPr="009F450C">
        <w:rPr>
          <w:rFonts w:eastAsia="Times New Roman" w:cs="Arial"/>
          <w:i/>
          <w:iCs/>
          <w:color w:val="000000"/>
          <w:lang w:val="en-US"/>
        </w:rPr>
        <w:t>in vitro</w:t>
      </w:r>
      <w:r w:rsidRPr="009F450C">
        <w:rPr>
          <w:rFonts w:eastAsia="Times New Roman" w:cs="Arial"/>
          <w:color w:val="000000"/>
          <w:lang w:val="en-US"/>
        </w:rPr>
        <w:t xml:space="preserve"> </w:t>
      </w:r>
      <w:r w:rsidRPr="009F450C">
        <w:rPr>
          <w:rFonts w:eastAsia="Times New Roman" w:cs="Arial"/>
          <w:color w:val="000000"/>
          <w:lang w:eastAsia="bg-BG"/>
        </w:rPr>
        <w:t xml:space="preserve">върху бактериална клетъчна култура (тест на </w:t>
      </w:r>
      <w:r w:rsidRPr="009F450C">
        <w:rPr>
          <w:rFonts w:eastAsia="Times New Roman" w:cs="Arial"/>
          <w:color w:val="000000"/>
          <w:lang w:val="en-US"/>
        </w:rPr>
        <w:t xml:space="preserve">Ames), </w:t>
      </w:r>
      <w:r w:rsidRPr="009F450C">
        <w:rPr>
          <w:rFonts w:eastAsia="Times New Roman" w:cs="Arial"/>
          <w:i/>
          <w:iCs/>
          <w:color w:val="000000"/>
          <w:lang w:val="en-US"/>
        </w:rPr>
        <w:t>in vitro</w:t>
      </w:r>
      <w:r w:rsidRPr="009F450C">
        <w:rPr>
          <w:rFonts w:eastAsia="Times New Roman" w:cs="Arial"/>
          <w:color w:val="000000"/>
          <w:lang w:val="en-US"/>
        </w:rPr>
        <w:t xml:space="preserve"> </w:t>
      </w:r>
      <w:r w:rsidRPr="009F450C">
        <w:rPr>
          <w:rFonts w:eastAsia="Times New Roman" w:cs="Arial"/>
          <w:color w:val="000000"/>
          <w:lang w:eastAsia="bg-BG"/>
        </w:rPr>
        <w:t xml:space="preserve">върху клетъчна култура от бозайници (лимфом при мишки), и </w:t>
      </w:r>
      <w:r w:rsidRPr="009F450C">
        <w:rPr>
          <w:rFonts w:eastAsia="Times New Roman" w:cs="Arial"/>
          <w:i/>
          <w:iCs/>
          <w:color w:val="000000"/>
          <w:lang w:val="en-US"/>
        </w:rPr>
        <w:t>in vivo</w:t>
      </w:r>
      <w:r w:rsidRPr="009F450C">
        <w:rPr>
          <w:rFonts w:eastAsia="Times New Roman" w:cs="Arial"/>
          <w:color w:val="000000"/>
          <w:lang w:val="en-US"/>
        </w:rPr>
        <w:t xml:space="preserve"> </w:t>
      </w:r>
      <w:r w:rsidRPr="009F450C">
        <w:rPr>
          <w:rFonts w:eastAsia="Times New Roman" w:cs="Arial"/>
          <w:color w:val="000000"/>
          <w:lang w:eastAsia="bg-BG"/>
        </w:rPr>
        <w:t xml:space="preserve">при микронуклеарен тест при плъхове. Положителни генотоксични ефекти за кластотоксичност (хромозомни аберации) при иматиниб се наблюдават </w:t>
      </w:r>
      <w:r w:rsidRPr="009F450C">
        <w:rPr>
          <w:rFonts w:eastAsia="Times New Roman" w:cs="Arial"/>
          <w:i/>
          <w:iCs/>
          <w:color w:val="000000"/>
          <w:lang w:val="en-US"/>
        </w:rPr>
        <w:t>in vitro</w:t>
      </w:r>
      <w:r w:rsidRPr="009F450C">
        <w:rPr>
          <w:rFonts w:eastAsia="Times New Roman" w:cs="Arial"/>
          <w:color w:val="000000"/>
          <w:lang w:val="en-US"/>
        </w:rPr>
        <w:t xml:space="preserve"> </w:t>
      </w:r>
      <w:r w:rsidRPr="009F450C">
        <w:rPr>
          <w:rFonts w:eastAsia="Times New Roman" w:cs="Arial"/>
          <w:color w:val="000000"/>
          <w:lang w:eastAsia="bg-BG"/>
        </w:rPr>
        <w:t xml:space="preserve">върху клетъчна култура от бозайници (яйчник от Китайски хамстер) в присъствието на метаболитна активация. Още два междинни продукта от производствения процес, които се намират и в крайния лекарствен продукт, дават положителен тест на </w:t>
      </w:r>
      <w:r w:rsidRPr="009F450C">
        <w:rPr>
          <w:rFonts w:eastAsia="Times New Roman" w:cs="Arial"/>
          <w:color w:val="000000"/>
          <w:lang w:val="en-US"/>
        </w:rPr>
        <w:t xml:space="preserve">Ames </w:t>
      </w:r>
      <w:r w:rsidRPr="009F450C">
        <w:rPr>
          <w:rFonts w:eastAsia="Times New Roman" w:cs="Arial"/>
          <w:color w:val="000000"/>
          <w:lang w:eastAsia="bg-BG"/>
        </w:rPr>
        <w:t>за мутации. Единият от тези междинни продукти се позитивира също при пробата от миши лимфом.</w:t>
      </w:r>
    </w:p>
    <w:p w14:paraId="60563735" w14:textId="77777777" w:rsidR="009F450C" w:rsidRPr="009F450C" w:rsidRDefault="009F450C" w:rsidP="009F450C">
      <w:pPr>
        <w:spacing w:line="240" w:lineRule="auto"/>
        <w:rPr>
          <w:rFonts w:eastAsia="Times New Roman" w:cs="Arial"/>
          <w:color w:val="000000"/>
          <w:lang w:eastAsia="bg-BG"/>
        </w:rPr>
      </w:pPr>
    </w:p>
    <w:p w14:paraId="220D4E94" w14:textId="2C875F0D" w:rsidR="009F450C" w:rsidRPr="009F450C" w:rsidRDefault="009F450C" w:rsidP="009F450C">
      <w:pPr>
        <w:spacing w:line="240" w:lineRule="auto"/>
        <w:rPr>
          <w:rFonts w:eastAsia="Times New Roman" w:cs="Arial"/>
          <w:sz w:val="24"/>
          <w:szCs w:val="24"/>
          <w:lang w:eastAsia="bg-BG"/>
        </w:rPr>
      </w:pPr>
      <w:r w:rsidRPr="009F450C">
        <w:rPr>
          <w:rFonts w:eastAsia="Times New Roman" w:cs="Arial"/>
          <w:color w:val="000000"/>
          <w:lang w:eastAsia="bg-BG"/>
        </w:rPr>
        <w:t xml:space="preserve">При изследване на плодовитостта при мъжки плъхове, третирани с иматиниб в продължение на 70 дни преди чифтосването се наблюдава намаляване на теглото на тестисите и епидидимите и процента на подвижните сперматозоидите при доза от 60 </w:t>
      </w:r>
      <w:r w:rsidRPr="009F450C">
        <w:rPr>
          <w:rFonts w:eastAsia="Times New Roman" w:cs="Arial"/>
          <w:color w:val="000000"/>
          <w:lang w:val="en-US"/>
        </w:rPr>
        <w:t xml:space="preserve">mg/kg, </w:t>
      </w:r>
      <w:r w:rsidRPr="009F450C">
        <w:rPr>
          <w:rFonts w:eastAsia="Times New Roman" w:cs="Arial"/>
          <w:color w:val="000000"/>
          <w:lang w:eastAsia="bg-BG"/>
        </w:rPr>
        <w:t xml:space="preserve">която е приблизително равна на максималната клинична доза от 800 </w:t>
      </w:r>
      <w:r w:rsidRPr="009F450C">
        <w:rPr>
          <w:rFonts w:eastAsia="Times New Roman" w:cs="Arial"/>
          <w:color w:val="000000"/>
          <w:lang w:val="en-US"/>
        </w:rPr>
        <w:t xml:space="preserve">mg/kg, </w:t>
      </w:r>
      <w:r w:rsidRPr="009F450C">
        <w:rPr>
          <w:rFonts w:eastAsia="Times New Roman" w:cs="Arial"/>
          <w:color w:val="000000"/>
          <w:lang w:eastAsia="bg-BG"/>
        </w:rPr>
        <w:t xml:space="preserve">отнесена към повърхността на тялото. Това не се наблюдава при доза &lt;20 </w:t>
      </w:r>
      <w:r w:rsidRPr="009F450C">
        <w:rPr>
          <w:rFonts w:eastAsia="Times New Roman" w:cs="Arial"/>
          <w:color w:val="000000"/>
          <w:lang w:val="en-US"/>
        </w:rPr>
        <w:t xml:space="preserve">mg/kg. </w:t>
      </w:r>
      <w:r w:rsidRPr="009F450C">
        <w:rPr>
          <w:rFonts w:eastAsia="Times New Roman" w:cs="Arial"/>
          <w:color w:val="000000"/>
          <w:lang w:eastAsia="bg-BG"/>
        </w:rPr>
        <w:t xml:space="preserve">Редукция на сперматогенезата в лека до умерена степен се наблюдава и при кучета при перорална доза от ≥30 </w:t>
      </w:r>
      <w:r w:rsidRPr="009F450C">
        <w:rPr>
          <w:rFonts w:eastAsia="Times New Roman" w:cs="Arial"/>
          <w:color w:val="000000"/>
          <w:lang w:val="en-US"/>
        </w:rPr>
        <w:t xml:space="preserve">mg/kg. </w:t>
      </w:r>
      <w:r w:rsidRPr="009F450C">
        <w:rPr>
          <w:rFonts w:eastAsia="Times New Roman" w:cs="Arial"/>
          <w:color w:val="000000"/>
          <w:lang w:eastAsia="bg-BG"/>
        </w:rPr>
        <w:t xml:space="preserve">При женски плъхове, които са третирани с лекарството 14 дни преди чифтосването до 6. гестационен ден, не се наблюдава ефект върху куполативната способност или върху броя на бременните женски. При доза от 60 </w:t>
      </w:r>
      <w:r w:rsidRPr="009F450C">
        <w:rPr>
          <w:rFonts w:eastAsia="Times New Roman" w:cs="Arial"/>
          <w:color w:val="000000"/>
          <w:lang w:val="en-US"/>
        </w:rPr>
        <w:t xml:space="preserve">mg/kg </w:t>
      </w:r>
      <w:r w:rsidRPr="009F450C">
        <w:rPr>
          <w:rFonts w:eastAsia="Times New Roman" w:cs="Arial"/>
          <w:color w:val="000000"/>
          <w:lang w:eastAsia="bg-BG"/>
        </w:rPr>
        <w:t xml:space="preserve">женските плъхове имат значителна постим платационна фетална загуба и намаление на броя на живите плодове. Това не се наблюдава при дози ≤20 </w:t>
      </w:r>
      <w:r w:rsidRPr="009F450C">
        <w:rPr>
          <w:rFonts w:eastAsia="Times New Roman" w:cs="Arial"/>
          <w:color w:val="000000"/>
          <w:lang w:val="en-US"/>
        </w:rPr>
        <w:t>mg/kg.</w:t>
      </w:r>
    </w:p>
    <w:p w14:paraId="5F61E678" w14:textId="77777777" w:rsidR="009F450C" w:rsidRPr="009F450C" w:rsidRDefault="009F450C" w:rsidP="009F450C">
      <w:pPr>
        <w:spacing w:line="240" w:lineRule="auto"/>
        <w:rPr>
          <w:rFonts w:eastAsia="Times New Roman" w:cs="Arial"/>
          <w:color w:val="000000"/>
          <w:lang w:eastAsia="bg-BG"/>
        </w:rPr>
      </w:pPr>
    </w:p>
    <w:p w14:paraId="738C51EA" w14:textId="6690E303" w:rsidR="009F450C" w:rsidRPr="009F450C" w:rsidRDefault="009F450C" w:rsidP="009F450C">
      <w:pPr>
        <w:spacing w:line="240" w:lineRule="auto"/>
        <w:rPr>
          <w:rFonts w:eastAsia="Times New Roman" w:cs="Arial"/>
          <w:sz w:val="24"/>
          <w:szCs w:val="24"/>
          <w:lang w:eastAsia="bg-BG"/>
        </w:rPr>
      </w:pPr>
      <w:r w:rsidRPr="009F450C">
        <w:rPr>
          <w:rFonts w:eastAsia="Times New Roman" w:cs="Arial"/>
          <w:color w:val="000000"/>
          <w:lang w:eastAsia="bg-BG"/>
        </w:rPr>
        <w:lastRenderedPageBreak/>
        <w:t xml:space="preserve">В проучване влиянието на пероралния прием върху пре- и постнаталното развитие при плъхове се описват вагинални кръвотечения в групата с доза от 45 </w:t>
      </w:r>
      <w:r w:rsidRPr="009F450C">
        <w:rPr>
          <w:rFonts w:eastAsia="Times New Roman" w:cs="Arial"/>
          <w:color w:val="000000"/>
          <w:lang w:val="en-US"/>
        </w:rPr>
        <w:t>mg/kg</w:t>
      </w:r>
      <w:r w:rsidRPr="009F450C">
        <w:rPr>
          <w:rFonts w:eastAsia="Times New Roman" w:cs="Arial"/>
          <w:color w:val="000000"/>
          <w:lang w:eastAsia="bg-BG"/>
        </w:rPr>
        <w:t xml:space="preserve">/ден или на 14, или на 15. гестационен ден. При същата доза, броят на мъртвородените плъхчета, както и на починалите между 0. и 4, ден след раждането е повишен. При поколение </w:t>
      </w:r>
      <w:r w:rsidRPr="009F450C">
        <w:rPr>
          <w:rFonts w:eastAsia="Times New Roman" w:cs="Arial"/>
          <w:color w:val="000000"/>
          <w:lang w:val="en-US"/>
        </w:rPr>
        <w:t xml:space="preserve">F1, </w:t>
      </w:r>
      <w:r w:rsidRPr="009F450C">
        <w:rPr>
          <w:rFonts w:eastAsia="Times New Roman" w:cs="Arial"/>
          <w:color w:val="000000"/>
          <w:lang w:eastAsia="bg-BG"/>
        </w:rPr>
        <w:t xml:space="preserve">при същото дозово ниво, средното телесно тегло е понижено от раждането до смъртта на животните и броят на новородените, достигащи критерий за отделяне е леко понижен. Фертилната способност на поколение </w:t>
      </w:r>
      <w:r w:rsidRPr="009F450C">
        <w:rPr>
          <w:rFonts w:eastAsia="Times New Roman" w:cs="Arial"/>
          <w:color w:val="000000"/>
          <w:lang w:val="en-US"/>
        </w:rPr>
        <w:t xml:space="preserve">F1 </w:t>
      </w:r>
      <w:r w:rsidRPr="009F450C">
        <w:rPr>
          <w:rFonts w:eastAsia="Times New Roman" w:cs="Arial"/>
          <w:color w:val="000000"/>
          <w:lang w:eastAsia="bg-BG"/>
        </w:rPr>
        <w:t xml:space="preserve">не е засегната, но се забелязва, че е повишен броят на резорбции и е намален броят на жизнеспособните плодове при 45 </w:t>
      </w:r>
      <w:r w:rsidRPr="009F450C">
        <w:rPr>
          <w:rFonts w:eastAsia="Times New Roman" w:cs="Arial"/>
          <w:color w:val="000000"/>
          <w:lang w:val="en-US"/>
        </w:rPr>
        <w:t>mg/kg</w:t>
      </w:r>
      <w:r w:rsidRPr="009F450C">
        <w:rPr>
          <w:rFonts w:eastAsia="Times New Roman" w:cs="Arial"/>
          <w:color w:val="000000"/>
          <w:lang w:eastAsia="bg-BG"/>
        </w:rPr>
        <w:t xml:space="preserve">/ден. Нивото на липса на нежелани реакции за майките и за поколение </w:t>
      </w:r>
      <w:r w:rsidRPr="009F450C">
        <w:rPr>
          <w:rFonts w:eastAsia="Times New Roman" w:cs="Arial"/>
          <w:color w:val="000000"/>
          <w:lang w:val="en-US"/>
        </w:rPr>
        <w:t>F</w:t>
      </w:r>
      <w:r w:rsidRPr="009F450C">
        <w:rPr>
          <w:rFonts w:eastAsia="Times New Roman" w:cs="Arial"/>
          <w:color w:val="000000"/>
          <w:lang w:eastAsia="bg-BG"/>
        </w:rPr>
        <w:t xml:space="preserve">1 е 15 </w:t>
      </w:r>
      <w:r w:rsidRPr="009F450C">
        <w:rPr>
          <w:rFonts w:eastAsia="Times New Roman" w:cs="Arial"/>
          <w:color w:val="000000"/>
          <w:lang w:val="en-US"/>
        </w:rPr>
        <w:t>mg/kg</w:t>
      </w:r>
      <w:r w:rsidRPr="009F450C">
        <w:rPr>
          <w:rFonts w:eastAsia="Times New Roman" w:cs="Arial"/>
          <w:color w:val="000000"/>
          <w:lang w:eastAsia="bg-BG"/>
        </w:rPr>
        <w:t xml:space="preserve">/ден (една четвърт от максималната доза за хора от 800 </w:t>
      </w:r>
      <w:r w:rsidRPr="009F450C">
        <w:rPr>
          <w:rFonts w:eastAsia="Times New Roman" w:cs="Arial"/>
          <w:color w:val="000000"/>
          <w:lang w:val="en-US"/>
        </w:rPr>
        <w:t>mg).</w:t>
      </w:r>
    </w:p>
    <w:p w14:paraId="509CC856" w14:textId="77777777" w:rsidR="009F450C" w:rsidRPr="009F450C" w:rsidRDefault="009F450C" w:rsidP="009F450C">
      <w:pPr>
        <w:spacing w:line="240" w:lineRule="auto"/>
        <w:rPr>
          <w:rFonts w:eastAsia="Times New Roman" w:cs="Arial"/>
          <w:color w:val="000000"/>
          <w:lang w:eastAsia="bg-BG"/>
        </w:rPr>
      </w:pPr>
    </w:p>
    <w:p w14:paraId="692F6927" w14:textId="49D37783" w:rsidR="009F450C" w:rsidRPr="009F450C" w:rsidRDefault="009F450C" w:rsidP="009F450C">
      <w:pPr>
        <w:spacing w:line="240" w:lineRule="auto"/>
        <w:rPr>
          <w:rFonts w:eastAsia="Times New Roman" w:cs="Arial"/>
          <w:sz w:val="24"/>
          <w:szCs w:val="24"/>
          <w:lang w:eastAsia="bg-BG"/>
        </w:rPr>
      </w:pPr>
      <w:r w:rsidRPr="009F450C">
        <w:rPr>
          <w:rFonts w:eastAsia="Times New Roman" w:cs="Arial"/>
          <w:color w:val="000000"/>
          <w:lang w:eastAsia="bg-BG"/>
        </w:rPr>
        <w:t xml:space="preserve">Иматиниб е тератогенен за плъхове, когато се прилага по време на органогенезата в дози ≥100 </w:t>
      </w:r>
      <w:r w:rsidRPr="009F450C">
        <w:rPr>
          <w:rFonts w:eastAsia="Times New Roman" w:cs="Arial"/>
          <w:color w:val="000000"/>
          <w:lang w:val="en-US"/>
        </w:rPr>
        <w:t xml:space="preserve">mg/kg, </w:t>
      </w:r>
      <w:r w:rsidRPr="009F450C">
        <w:rPr>
          <w:rFonts w:eastAsia="Times New Roman" w:cs="Arial"/>
          <w:color w:val="000000"/>
          <w:lang w:eastAsia="bg-BG"/>
        </w:rPr>
        <w:t xml:space="preserve">които са приблизително равни на максималната клинична доза от 800 </w:t>
      </w:r>
      <w:r w:rsidRPr="009F450C">
        <w:rPr>
          <w:rFonts w:eastAsia="Times New Roman" w:cs="Arial"/>
          <w:color w:val="000000"/>
          <w:lang w:val="en-US"/>
        </w:rPr>
        <w:t>mg</w:t>
      </w:r>
      <w:r w:rsidRPr="009F450C">
        <w:rPr>
          <w:rFonts w:eastAsia="Times New Roman" w:cs="Arial"/>
          <w:color w:val="000000"/>
          <w:lang w:eastAsia="bg-BG"/>
        </w:rPr>
        <w:t xml:space="preserve">/ден, отнесена към повърхността на тялото. Тератогенните ефекти се изразяват в екзенцефалия или енцефалоцеле, липсващи/редуцирани фронтални и липсващи париетални кости. Тези ефекти не се наблюдават при дози ≤30 </w:t>
      </w:r>
      <w:r w:rsidRPr="009F450C">
        <w:rPr>
          <w:rFonts w:eastAsia="Times New Roman" w:cs="Arial"/>
          <w:color w:val="000000"/>
          <w:lang w:val="en-US"/>
        </w:rPr>
        <w:t>mg/kg.</w:t>
      </w:r>
    </w:p>
    <w:p w14:paraId="1915D5EF" w14:textId="77777777" w:rsidR="009F450C" w:rsidRPr="009F450C" w:rsidRDefault="009F450C" w:rsidP="009F450C">
      <w:pPr>
        <w:spacing w:line="240" w:lineRule="auto"/>
        <w:rPr>
          <w:rFonts w:eastAsia="Times New Roman" w:cs="Arial"/>
          <w:color w:val="000000"/>
          <w:lang w:eastAsia="bg-BG"/>
        </w:rPr>
      </w:pPr>
    </w:p>
    <w:p w14:paraId="5AE1F3C7" w14:textId="32B9B307" w:rsidR="009F450C" w:rsidRPr="009F450C" w:rsidRDefault="009F450C" w:rsidP="009F450C">
      <w:pPr>
        <w:spacing w:line="240" w:lineRule="auto"/>
        <w:rPr>
          <w:rFonts w:eastAsia="Times New Roman" w:cs="Arial"/>
          <w:sz w:val="24"/>
          <w:szCs w:val="24"/>
          <w:lang w:eastAsia="bg-BG"/>
        </w:rPr>
      </w:pPr>
      <w:r w:rsidRPr="009F450C">
        <w:rPr>
          <w:rFonts w:eastAsia="Times New Roman" w:cs="Arial"/>
          <w:color w:val="000000"/>
          <w:lang w:eastAsia="bg-BG"/>
        </w:rPr>
        <w:t xml:space="preserve">В проучване за токсичност за развитието при млади плъхове (ден 10 до 70 след раждането) не са установени нови прицелни органи, като се имат предвид познатите прицелни органи при възрастни плъхове. В токсикологично проучване при млади плъхове, ефекти по отношение на растежа, забавено вагинално отваряне и разделяне на препуциума са наблюдавани при приблизително 0,3 до 2 пъти над средната педиатрична експозиция при най-високата препоръчителна доза от 340 </w:t>
      </w:r>
      <w:r w:rsidRPr="009F450C">
        <w:rPr>
          <w:rFonts w:eastAsia="Times New Roman" w:cs="Arial"/>
          <w:color w:val="000000"/>
          <w:lang w:val="en-US"/>
        </w:rPr>
        <w:t>mg/m</w:t>
      </w:r>
      <w:r w:rsidRPr="009F450C">
        <w:rPr>
          <w:rFonts w:eastAsia="Times New Roman" w:cs="Arial"/>
          <w:color w:val="000000"/>
          <w:vertAlign w:val="superscript"/>
          <w:lang w:val="en-US"/>
        </w:rPr>
        <w:t>2</w:t>
      </w:r>
      <w:r w:rsidRPr="009F450C">
        <w:rPr>
          <w:rFonts w:eastAsia="Times New Roman" w:cs="Arial"/>
          <w:color w:val="000000"/>
          <w:lang w:val="en-US"/>
        </w:rPr>
        <w:t xml:space="preserve">. </w:t>
      </w:r>
      <w:r w:rsidRPr="009F450C">
        <w:rPr>
          <w:rFonts w:eastAsia="Times New Roman" w:cs="Arial"/>
          <w:color w:val="000000"/>
          <w:lang w:eastAsia="bg-BG"/>
        </w:rPr>
        <w:t xml:space="preserve">Освен това е наблюдавана смъртност при млади животни (в периода на отбиване) при приблизително 2 пъти над средната педиатрична експозиция при най- високата препоръчителна доза от 340 </w:t>
      </w:r>
      <w:r w:rsidRPr="009F450C">
        <w:rPr>
          <w:rFonts w:eastAsia="Times New Roman" w:cs="Arial"/>
          <w:color w:val="000000"/>
          <w:lang w:val="en-US"/>
        </w:rPr>
        <w:t>mg/m</w:t>
      </w:r>
      <w:r w:rsidRPr="009F450C">
        <w:rPr>
          <w:rFonts w:eastAsia="Times New Roman" w:cs="Arial"/>
          <w:color w:val="000000"/>
          <w:vertAlign w:val="superscript"/>
          <w:lang w:val="en-US"/>
        </w:rPr>
        <w:t>2</w:t>
      </w:r>
      <w:r w:rsidRPr="009F450C">
        <w:rPr>
          <w:rFonts w:eastAsia="Times New Roman" w:cs="Arial"/>
          <w:color w:val="000000"/>
          <w:lang w:val="en-US"/>
        </w:rPr>
        <w:t>.</w:t>
      </w:r>
    </w:p>
    <w:p w14:paraId="095DDB1D" w14:textId="77777777" w:rsidR="009F450C" w:rsidRPr="009F450C" w:rsidRDefault="009F450C" w:rsidP="009F450C">
      <w:pPr>
        <w:spacing w:line="240" w:lineRule="auto"/>
        <w:rPr>
          <w:rFonts w:eastAsia="Times New Roman" w:cs="Arial"/>
          <w:color w:val="000000"/>
          <w:lang w:eastAsia="bg-BG"/>
        </w:rPr>
      </w:pPr>
    </w:p>
    <w:p w14:paraId="7D350BD1" w14:textId="7DD9F9BD" w:rsidR="009F450C" w:rsidRPr="009F450C" w:rsidRDefault="009F450C" w:rsidP="009F450C">
      <w:pPr>
        <w:spacing w:line="240" w:lineRule="auto"/>
        <w:rPr>
          <w:rFonts w:eastAsia="Times New Roman" w:cs="Arial"/>
          <w:sz w:val="24"/>
          <w:szCs w:val="24"/>
          <w:lang w:val="en-US" w:eastAsia="bg-BG"/>
        </w:rPr>
      </w:pPr>
      <w:r w:rsidRPr="009F450C">
        <w:rPr>
          <w:rFonts w:eastAsia="Times New Roman" w:cs="Arial"/>
          <w:color w:val="000000"/>
          <w:lang w:eastAsia="bg-BG"/>
        </w:rPr>
        <w:t>При 2-годишното проучване за карцерогеност при плъхове, приложението на иматиниб в дози</w:t>
      </w:r>
      <w:r>
        <w:rPr>
          <w:rFonts w:eastAsia="Times New Roman" w:cs="Arial"/>
          <w:sz w:val="24"/>
          <w:szCs w:val="24"/>
          <w:lang w:val="en-US" w:eastAsia="bg-BG"/>
        </w:rPr>
        <w:t xml:space="preserve"> </w:t>
      </w:r>
      <w:r w:rsidRPr="009F450C">
        <w:rPr>
          <w:rFonts w:eastAsia="Times New Roman" w:cs="Arial"/>
          <w:color w:val="000000"/>
          <w:lang w:eastAsia="bg-BG"/>
        </w:rPr>
        <w:t xml:space="preserve">от 15, 30 и 60 </w:t>
      </w:r>
      <w:r w:rsidRPr="009F450C">
        <w:rPr>
          <w:rFonts w:eastAsia="Times New Roman" w:cs="Arial"/>
          <w:color w:val="000000"/>
          <w:lang w:val="en-US"/>
        </w:rPr>
        <w:t>mg/kg</w:t>
      </w:r>
      <w:r w:rsidRPr="009F450C">
        <w:rPr>
          <w:rFonts w:eastAsia="Times New Roman" w:cs="Arial"/>
          <w:color w:val="000000"/>
          <w:lang w:eastAsia="bg-BG"/>
        </w:rPr>
        <w:t xml:space="preserve">/ден, води до статистически значимо понижение на продължителността на живота на мъжките животни при дози от 60 </w:t>
      </w:r>
      <w:r w:rsidRPr="009F450C">
        <w:rPr>
          <w:rFonts w:eastAsia="Times New Roman" w:cs="Arial"/>
          <w:color w:val="000000"/>
          <w:lang w:val="en-US"/>
        </w:rPr>
        <w:t>mg/kg</w:t>
      </w:r>
      <w:r w:rsidRPr="009F450C">
        <w:rPr>
          <w:rFonts w:eastAsia="Times New Roman" w:cs="Arial"/>
          <w:color w:val="000000"/>
          <w:lang w:eastAsia="bg-BG"/>
        </w:rPr>
        <w:t xml:space="preserve">/ден и на женските при дози ≥ 30 </w:t>
      </w:r>
      <w:r w:rsidRPr="009F450C">
        <w:rPr>
          <w:rFonts w:eastAsia="Times New Roman" w:cs="Arial"/>
          <w:color w:val="000000"/>
          <w:lang w:val="en-US"/>
        </w:rPr>
        <w:t>mg/kg/</w:t>
      </w:r>
      <w:r w:rsidRPr="009F450C">
        <w:rPr>
          <w:rFonts w:eastAsia="Times New Roman" w:cs="Arial"/>
          <w:color w:val="000000"/>
          <w:lang w:eastAsia="bg-BG"/>
        </w:rPr>
        <w:t>ден</w:t>
      </w:r>
      <w:r>
        <w:rPr>
          <w:rFonts w:eastAsia="Times New Roman" w:cs="Arial"/>
          <w:color w:val="000000"/>
          <w:lang w:val="en-US" w:eastAsia="bg-BG"/>
        </w:rPr>
        <w:t xml:space="preserve">. </w:t>
      </w:r>
      <w:r w:rsidRPr="009F450C">
        <w:rPr>
          <w:rFonts w:eastAsia="Times New Roman" w:cs="Arial"/>
          <w:color w:val="000000"/>
          <w:lang w:eastAsia="bg-BG"/>
        </w:rPr>
        <w:t>Хистопатологичната оценка на екзитиралите животни показва кардиомиопатия (двата пола).</w:t>
      </w:r>
    </w:p>
    <w:p w14:paraId="12FFA9B2" w14:textId="18A617A2" w:rsidR="007A2185" w:rsidRPr="009F450C" w:rsidRDefault="007A2185" w:rsidP="0091385D">
      <w:pPr>
        <w:rPr>
          <w:rFonts w:cs="Arial"/>
        </w:rPr>
      </w:pPr>
    </w:p>
    <w:p w14:paraId="21490906" w14:textId="77777777" w:rsidR="009F450C" w:rsidRPr="009F450C" w:rsidRDefault="009F450C" w:rsidP="009F450C">
      <w:pPr>
        <w:spacing w:line="240" w:lineRule="auto"/>
        <w:rPr>
          <w:rFonts w:eastAsia="Times New Roman" w:cs="Arial"/>
          <w:sz w:val="24"/>
          <w:szCs w:val="24"/>
          <w:lang w:eastAsia="bg-BG"/>
        </w:rPr>
      </w:pPr>
      <w:r w:rsidRPr="009F450C">
        <w:rPr>
          <w:rFonts w:eastAsia="Times New Roman" w:cs="Arial"/>
          <w:color w:val="000000"/>
          <w:lang w:eastAsia="bg-BG"/>
        </w:rPr>
        <w:t>хронична прогресивна нефропатия (женски индивиди) и папиломи на препуциумната жлеза като главни причини за смърт или основания за летален изход на животните. Таргетни органи за неопластични промени са бъбреците, пикочния мехур, уретрата, препуциумната и клиторната жлеза, тънкото черво, паращитов идните жлези, надбъбречните жлези и нежлезистата част на стомаха.</w:t>
      </w:r>
    </w:p>
    <w:p w14:paraId="10543A2E" w14:textId="77777777" w:rsidR="009F450C" w:rsidRPr="009F450C" w:rsidRDefault="009F450C" w:rsidP="009F450C">
      <w:pPr>
        <w:spacing w:line="240" w:lineRule="auto"/>
        <w:rPr>
          <w:rFonts w:eastAsia="Times New Roman" w:cs="Arial"/>
          <w:color w:val="000000"/>
          <w:lang w:eastAsia="bg-BG"/>
        </w:rPr>
      </w:pPr>
    </w:p>
    <w:p w14:paraId="09EBDE5C" w14:textId="0EEF6076" w:rsidR="009F450C" w:rsidRPr="009F450C" w:rsidRDefault="009F450C" w:rsidP="009F450C">
      <w:pPr>
        <w:spacing w:line="240" w:lineRule="auto"/>
        <w:rPr>
          <w:rFonts w:eastAsia="Times New Roman" w:cs="Arial"/>
          <w:sz w:val="24"/>
          <w:szCs w:val="24"/>
          <w:lang w:eastAsia="bg-BG"/>
        </w:rPr>
      </w:pPr>
      <w:r w:rsidRPr="009F450C">
        <w:rPr>
          <w:rFonts w:eastAsia="Times New Roman" w:cs="Arial"/>
          <w:color w:val="000000"/>
          <w:lang w:eastAsia="bg-BG"/>
        </w:rPr>
        <w:t xml:space="preserve">Папилом/карцином на препуциумната/клиторната жлеза се наблюдава при дози над 30 и 60 </w:t>
      </w:r>
      <w:r w:rsidRPr="009F450C">
        <w:rPr>
          <w:rFonts w:eastAsia="Times New Roman" w:cs="Arial"/>
          <w:color w:val="000000"/>
          <w:lang w:val="en-US"/>
        </w:rPr>
        <w:t>mg/kg</w:t>
      </w:r>
      <w:r w:rsidRPr="009F450C">
        <w:rPr>
          <w:rFonts w:eastAsia="Times New Roman" w:cs="Arial"/>
          <w:color w:val="000000"/>
          <w:lang w:eastAsia="bg-BG"/>
        </w:rPr>
        <w:t xml:space="preserve">/ден, което представлява приблизително 0,5 или 0,3 пъти над дневната експозиция при хора (въз основа на </w:t>
      </w:r>
      <w:r w:rsidRPr="009F450C">
        <w:rPr>
          <w:rFonts w:eastAsia="Times New Roman" w:cs="Arial"/>
          <w:color w:val="000000"/>
          <w:lang w:val="en-US"/>
        </w:rPr>
        <w:t xml:space="preserve">AUC) </w:t>
      </w:r>
      <w:r w:rsidRPr="009F450C">
        <w:rPr>
          <w:rFonts w:eastAsia="Times New Roman" w:cs="Arial"/>
          <w:color w:val="000000"/>
          <w:lang w:eastAsia="bg-BG"/>
        </w:rPr>
        <w:t xml:space="preserve">при съответно 400 </w:t>
      </w:r>
      <w:r w:rsidRPr="009F450C">
        <w:rPr>
          <w:rFonts w:eastAsia="Times New Roman" w:cs="Arial"/>
          <w:color w:val="000000"/>
          <w:lang w:val="en-US"/>
        </w:rPr>
        <w:t>mg</w:t>
      </w:r>
      <w:r w:rsidRPr="009F450C">
        <w:rPr>
          <w:rFonts w:eastAsia="Times New Roman" w:cs="Arial"/>
          <w:color w:val="000000"/>
          <w:lang w:eastAsia="bg-BG"/>
        </w:rPr>
        <w:t xml:space="preserve">/ден или 800 </w:t>
      </w:r>
      <w:r w:rsidRPr="009F450C">
        <w:rPr>
          <w:rFonts w:eastAsia="Times New Roman" w:cs="Arial"/>
          <w:color w:val="000000"/>
          <w:lang w:val="en-US"/>
        </w:rPr>
        <w:t>mg</w:t>
      </w:r>
      <w:r w:rsidRPr="009F450C">
        <w:rPr>
          <w:rFonts w:eastAsia="Times New Roman" w:cs="Arial"/>
          <w:color w:val="000000"/>
          <w:lang w:eastAsia="bg-BG"/>
        </w:rPr>
        <w:t xml:space="preserve">/ден и 0,4 пъти над дневната експозиция при деца (въз основа на </w:t>
      </w:r>
      <w:r w:rsidRPr="009F450C">
        <w:rPr>
          <w:rFonts w:eastAsia="Times New Roman" w:cs="Arial"/>
          <w:color w:val="000000"/>
          <w:lang w:val="en-US"/>
        </w:rPr>
        <w:t xml:space="preserve">AUC) </w:t>
      </w:r>
      <w:r w:rsidRPr="009F450C">
        <w:rPr>
          <w:rFonts w:eastAsia="Times New Roman" w:cs="Arial"/>
          <w:color w:val="000000"/>
          <w:lang w:eastAsia="bg-BG"/>
        </w:rPr>
        <w:t xml:space="preserve">при 340 </w:t>
      </w:r>
      <w:r w:rsidRPr="009F450C">
        <w:rPr>
          <w:rFonts w:eastAsia="Times New Roman" w:cs="Arial"/>
          <w:color w:val="000000"/>
          <w:lang w:val="en-US"/>
        </w:rPr>
        <w:t xml:space="preserve">mg/m2. </w:t>
      </w:r>
      <w:r w:rsidRPr="009F450C">
        <w:rPr>
          <w:rFonts w:eastAsia="Times New Roman" w:cs="Arial"/>
          <w:color w:val="000000"/>
          <w:lang w:eastAsia="bg-BG"/>
        </w:rPr>
        <w:t xml:space="preserve">Нивото без наблюдаван ефект (НБНЕ) е 15 </w:t>
      </w:r>
      <w:r w:rsidRPr="009F450C">
        <w:rPr>
          <w:rFonts w:eastAsia="Times New Roman" w:cs="Arial"/>
          <w:color w:val="000000"/>
          <w:lang w:val="en-US"/>
        </w:rPr>
        <w:t>mg/kg</w:t>
      </w:r>
      <w:r w:rsidRPr="009F450C">
        <w:rPr>
          <w:rFonts w:eastAsia="Times New Roman" w:cs="Arial"/>
          <w:color w:val="000000"/>
          <w:lang w:eastAsia="bg-BG"/>
        </w:rPr>
        <w:t xml:space="preserve">/ден. Бъбречен аденом/карцином, папилом на пикочния мехур и уретрата, аденокарциноми на тънкото черво, аденоми на паращитови дните жлези, доброкачествени и злокачествени медуларни тумори на надбъбречните жлези и папиломи/карциноми на нежлезистата част на стомаха са установени при доза от 60 </w:t>
      </w:r>
      <w:r w:rsidRPr="009F450C">
        <w:rPr>
          <w:rFonts w:eastAsia="Times New Roman" w:cs="Arial"/>
          <w:color w:val="000000"/>
          <w:lang w:val="en-US"/>
        </w:rPr>
        <w:t>mg/kg</w:t>
      </w:r>
      <w:r w:rsidRPr="009F450C">
        <w:rPr>
          <w:rFonts w:eastAsia="Times New Roman" w:cs="Arial"/>
          <w:color w:val="000000"/>
          <w:lang w:eastAsia="bg-BG"/>
        </w:rPr>
        <w:t xml:space="preserve">/ден, което представлява приблизително 1,7 или 1 път над дневната експозиция при хора (въз основа на </w:t>
      </w:r>
      <w:r w:rsidRPr="009F450C">
        <w:rPr>
          <w:rFonts w:eastAsia="Times New Roman" w:cs="Arial"/>
          <w:color w:val="000000"/>
          <w:lang w:val="en-US"/>
        </w:rPr>
        <w:t xml:space="preserve">AUC) </w:t>
      </w:r>
      <w:r w:rsidRPr="009F450C">
        <w:rPr>
          <w:rFonts w:eastAsia="Times New Roman" w:cs="Arial"/>
          <w:color w:val="000000"/>
          <w:lang w:eastAsia="bg-BG"/>
        </w:rPr>
        <w:t xml:space="preserve">при съответно 400 </w:t>
      </w:r>
      <w:r w:rsidRPr="009F450C">
        <w:rPr>
          <w:rFonts w:eastAsia="Times New Roman" w:cs="Arial"/>
          <w:color w:val="000000"/>
          <w:lang w:val="en-US"/>
        </w:rPr>
        <w:t>mg</w:t>
      </w:r>
      <w:r w:rsidRPr="009F450C">
        <w:rPr>
          <w:rFonts w:eastAsia="Times New Roman" w:cs="Arial"/>
          <w:color w:val="000000"/>
          <w:lang w:eastAsia="bg-BG"/>
        </w:rPr>
        <w:t xml:space="preserve">/ден или 800 </w:t>
      </w:r>
      <w:r w:rsidRPr="009F450C">
        <w:rPr>
          <w:rFonts w:eastAsia="Times New Roman" w:cs="Arial"/>
          <w:color w:val="000000"/>
          <w:lang w:val="en-US"/>
        </w:rPr>
        <w:t>mg</w:t>
      </w:r>
      <w:r w:rsidRPr="009F450C">
        <w:rPr>
          <w:rFonts w:eastAsia="Times New Roman" w:cs="Arial"/>
          <w:color w:val="000000"/>
          <w:lang w:eastAsia="bg-BG"/>
        </w:rPr>
        <w:t xml:space="preserve">/ден, и 1,2 пъти над дневната експозиция при деца и възрастни (въз основа на </w:t>
      </w:r>
      <w:r w:rsidRPr="009F450C">
        <w:rPr>
          <w:rFonts w:eastAsia="Times New Roman" w:cs="Arial"/>
          <w:color w:val="000000"/>
          <w:lang w:val="en-US"/>
        </w:rPr>
        <w:t xml:space="preserve">AUC) </w:t>
      </w:r>
      <w:r w:rsidRPr="009F450C">
        <w:rPr>
          <w:rFonts w:eastAsia="Times New Roman" w:cs="Arial"/>
          <w:color w:val="000000"/>
          <w:lang w:eastAsia="bg-BG"/>
        </w:rPr>
        <w:t xml:space="preserve">при 340 </w:t>
      </w:r>
      <w:r w:rsidRPr="009F450C">
        <w:rPr>
          <w:rFonts w:eastAsia="Times New Roman" w:cs="Arial"/>
          <w:color w:val="000000"/>
          <w:lang w:val="en-US"/>
        </w:rPr>
        <w:t>mg/m2/</w:t>
      </w:r>
      <w:r w:rsidRPr="009F450C">
        <w:rPr>
          <w:rFonts w:eastAsia="Times New Roman" w:cs="Arial"/>
          <w:color w:val="000000"/>
          <w:lang w:eastAsia="bg-BG"/>
        </w:rPr>
        <w:t>ден</w:t>
      </w:r>
      <w:r w:rsidRPr="009F450C">
        <w:rPr>
          <w:rFonts w:eastAsia="Times New Roman" w:cs="Arial"/>
          <w:color w:val="000000"/>
          <w:lang w:val="en-US"/>
        </w:rPr>
        <w:t xml:space="preserve">. </w:t>
      </w:r>
      <w:r w:rsidRPr="009F450C">
        <w:rPr>
          <w:rFonts w:eastAsia="Times New Roman" w:cs="Arial"/>
          <w:color w:val="000000"/>
          <w:lang w:eastAsia="bg-BG"/>
        </w:rPr>
        <w:t xml:space="preserve">Нивото без наблюдаван ефект (НБНЕ) е 30 </w:t>
      </w:r>
      <w:r w:rsidRPr="009F450C">
        <w:rPr>
          <w:rFonts w:eastAsia="Times New Roman" w:cs="Arial"/>
          <w:color w:val="000000"/>
          <w:lang w:val="en-US"/>
        </w:rPr>
        <w:t>mg/kg</w:t>
      </w:r>
      <w:r w:rsidRPr="009F450C">
        <w:rPr>
          <w:rFonts w:eastAsia="Times New Roman" w:cs="Arial"/>
          <w:color w:val="000000"/>
          <w:lang w:eastAsia="bg-BG"/>
        </w:rPr>
        <w:t>/ден.</w:t>
      </w:r>
    </w:p>
    <w:p w14:paraId="00DF3B37" w14:textId="77777777" w:rsidR="009F450C" w:rsidRPr="009F450C" w:rsidRDefault="009F450C" w:rsidP="009F450C">
      <w:pPr>
        <w:spacing w:line="240" w:lineRule="auto"/>
        <w:rPr>
          <w:rFonts w:eastAsia="Times New Roman" w:cs="Arial"/>
          <w:color w:val="000000"/>
          <w:lang w:eastAsia="bg-BG"/>
        </w:rPr>
      </w:pPr>
    </w:p>
    <w:p w14:paraId="38BE2539" w14:textId="6AC0C8AB" w:rsidR="009F450C" w:rsidRPr="009F450C" w:rsidRDefault="009F450C" w:rsidP="009F450C">
      <w:pPr>
        <w:spacing w:line="240" w:lineRule="auto"/>
        <w:rPr>
          <w:rFonts w:eastAsia="Times New Roman" w:cs="Arial"/>
          <w:sz w:val="24"/>
          <w:szCs w:val="24"/>
          <w:lang w:eastAsia="bg-BG"/>
        </w:rPr>
      </w:pPr>
      <w:r w:rsidRPr="009F450C">
        <w:rPr>
          <w:rFonts w:eastAsia="Times New Roman" w:cs="Arial"/>
          <w:color w:val="000000"/>
          <w:lang w:eastAsia="bg-BG"/>
        </w:rPr>
        <w:t>Все още не са изяснени механизмът и значението при хора на тези находки при проучвания на карцерогеността при плъхове.</w:t>
      </w:r>
    </w:p>
    <w:p w14:paraId="20D36AEA" w14:textId="77777777" w:rsidR="009F450C" w:rsidRPr="009F450C" w:rsidRDefault="009F450C" w:rsidP="009F450C">
      <w:pPr>
        <w:spacing w:line="240" w:lineRule="auto"/>
        <w:rPr>
          <w:rFonts w:eastAsia="Times New Roman" w:cs="Arial"/>
          <w:color w:val="000000"/>
          <w:lang w:eastAsia="bg-BG"/>
        </w:rPr>
      </w:pPr>
    </w:p>
    <w:p w14:paraId="71A6BF37" w14:textId="6EF75060" w:rsidR="009F450C" w:rsidRPr="009F450C" w:rsidRDefault="009F450C" w:rsidP="009F450C">
      <w:pPr>
        <w:spacing w:line="240" w:lineRule="auto"/>
        <w:rPr>
          <w:rFonts w:eastAsia="Times New Roman" w:cs="Arial"/>
          <w:sz w:val="24"/>
          <w:szCs w:val="24"/>
          <w:lang w:eastAsia="bg-BG"/>
        </w:rPr>
      </w:pPr>
      <w:r w:rsidRPr="009F450C">
        <w:rPr>
          <w:rFonts w:eastAsia="Times New Roman" w:cs="Arial"/>
          <w:color w:val="000000"/>
          <w:lang w:eastAsia="bg-BG"/>
        </w:rPr>
        <w:t>Ненеопластични лезии, неустановени при по-ранните предклинични проучвания са сърдечносъдовата система, панкреаса, ендокрините органи и зъбите. Най-важните промени включват сърдечна хипертрофия и дилатация, водещи до признаци на сърдечна недостатъчност при някои животни.</w:t>
      </w:r>
    </w:p>
    <w:p w14:paraId="03C6553D" w14:textId="77777777" w:rsidR="009F450C" w:rsidRPr="009F450C" w:rsidRDefault="009F450C" w:rsidP="009F450C">
      <w:pPr>
        <w:rPr>
          <w:rFonts w:eastAsia="Times New Roman" w:cs="Arial"/>
          <w:color w:val="000000"/>
          <w:lang w:eastAsia="bg-BG"/>
        </w:rPr>
      </w:pPr>
    </w:p>
    <w:p w14:paraId="36E55DA6" w14:textId="69B9462E" w:rsidR="009F450C" w:rsidRPr="009F450C" w:rsidRDefault="009F450C" w:rsidP="009F450C">
      <w:pPr>
        <w:rPr>
          <w:rFonts w:cs="Arial"/>
        </w:rPr>
      </w:pPr>
      <w:r w:rsidRPr="009F450C">
        <w:rPr>
          <w:rFonts w:eastAsia="Times New Roman" w:cs="Arial"/>
          <w:color w:val="000000"/>
          <w:lang w:eastAsia="bg-BG"/>
        </w:rPr>
        <w:t>Активното вещество иматиниб показва екологичен риск за седиментни организми.</w:t>
      </w:r>
    </w:p>
    <w:p w14:paraId="029491B2" w14:textId="77777777" w:rsidR="009F450C" w:rsidRPr="0091385D" w:rsidRDefault="009F450C" w:rsidP="0091385D"/>
    <w:p w14:paraId="6A7820AB" w14:textId="353DB6D2" w:rsidR="008A6AF2" w:rsidRDefault="002C50EE" w:rsidP="00395555">
      <w:pPr>
        <w:pStyle w:val="Heading1"/>
      </w:pPr>
      <w:r>
        <w:t>7. ПРИТЕЖАТЕЛ НА РАЗРЕШЕНИЕТО ЗА УПОТРЕБА</w:t>
      </w:r>
    </w:p>
    <w:p w14:paraId="1B9B651E" w14:textId="24042B6C" w:rsidR="0091385D" w:rsidRDefault="0091385D" w:rsidP="0091385D"/>
    <w:p w14:paraId="4F02909F" w14:textId="4C53C1E0" w:rsidR="007A2185" w:rsidRPr="009F450C" w:rsidRDefault="009F450C" w:rsidP="0091385D">
      <w:pPr>
        <w:rPr>
          <w:rFonts w:cs="Arial"/>
        </w:rPr>
      </w:pPr>
      <w:r w:rsidRPr="009F450C">
        <w:rPr>
          <w:rFonts w:cs="Arial"/>
        </w:rPr>
        <w:t xml:space="preserve">KRK.A, d.d. Novo mesto, Smarjeska cesta 6, 8501 Novo mesto, </w:t>
      </w:r>
      <w:r w:rsidRPr="009F450C">
        <w:rPr>
          <w:rFonts w:cs="Arial"/>
          <w:lang w:eastAsia="bg-BG"/>
        </w:rPr>
        <w:t>Словения</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3072FB0E" w:rsidR="0091385D" w:rsidRDefault="0091385D" w:rsidP="0091385D"/>
    <w:p w14:paraId="45724663" w14:textId="77777777" w:rsidR="009F450C" w:rsidRPr="009F450C" w:rsidRDefault="009F450C" w:rsidP="009F450C">
      <w:pPr>
        <w:spacing w:line="240" w:lineRule="auto"/>
        <w:rPr>
          <w:rFonts w:eastAsia="Times New Roman" w:cs="Arial"/>
          <w:lang w:eastAsia="bg-BG"/>
        </w:rPr>
      </w:pPr>
      <w:r w:rsidRPr="009F450C">
        <w:rPr>
          <w:rFonts w:eastAsia="Times New Roman" w:cs="Arial"/>
          <w:color w:val="000000"/>
          <w:lang w:eastAsia="bg-BG"/>
        </w:rPr>
        <w:t xml:space="preserve">Меаксин 100 </w:t>
      </w:r>
      <w:r w:rsidRPr="009F450C">
        <w:rPr>
          <w:rFonts w:eastAsia="Times New Roman" w:cs="Arial"/>
          <w:color w:val="000000"/>
          <w:lang w:val="en-US"/>
        </w:rPr>
        <w:t xml:space="preserve">mg </w:t>
      </w:r>
      <w:r w:rsidRPr="009F450C">
        <w:rPr>
          <w:rFonts w:eastAsia="Times New Roman" w:cs="Arial"/>
          <w:color w:val="000000"/>
          <w:lang w:eastAsia="bg-BG"/>
        </w:rPr>
        <w:t>- Рег.№: 20130193</w:t>
      </w:r>
    </w:p>
    <w:p w14:paraId="46161304" w14:textId="4C030E71" w:rsidR="007A2185" w:rsidRPr="009F450C" w:rsidRDefault="009F450C" w:rsidP="009F450C">
      <w:pPr>
        <w:rPr>
          <w:rFonts w:cs="Arial"/>
        </w:rPr>
      </w:pPr>
      <w:r w:rsidRPr="009F450C">
        <w:rPr>
          <w:rFonts w:eastAsia="Times New Roman" w:cs="Arial"/>
          <w:color w:val="000000"/>
          <w:lang w:eastAsia="bg-BG"/>
        </w:rPr>
        <w:t xml:space="preserve">Меаксин 400 </w:t>
      </w:r>
      <w:r w:rsidRPr="009F450C">
        <w:rPr>
          <w:rFonts w:eastAsia="Times New Roman" w:cs="Arial"/>
          <w:color w:val="000000"/>
          <w:lang w:val="en-US"/>
        </w:rPr>
        <w:t xml:space="preserve">mg - </w:t>
      </w:r>
      <w:r w:rsidRPr="009F450C">
        <w:rPr>
          <w:rFonts w:eastAsia="Times New Roman" w:cs="Arial"/>
          <w:color w:val="000000"/>
          <w:lang w:eastAsia="bg-BG"/>
        </w:rPr>
        <w:t>Рег.№: 20130194</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57E44C81" w:rsidR="0091385D" w:rsidRDefault="0091385D" w:rsidP="0091385D"/>
    <w:p w14:paraId="1A7C127F" w14:textId="77777777" w:rsidR="009F450C" w:rsidRPr="009F450C" w:rsidRDefault="009F450C" w:rsidP="009F450C">
      <w:pPr>
        <w:spacing w:line="240" w:lineRule="auto"/>
        <w:rPr>
          <w:rFonts w:eastAsia="Times New Roman" w:cs="Arial"/>
          <w:lang w:eastAsia="bg-BG"/>
        </w:rPr>
      </w:pPr>
      <w:r w:rsidRPr="009F450C">
        <w:rPr>
          <w:rFonts w:eastAsia="Times New Roman" w:cs="Arial"/>
          <w:color w:val="000000"/>
          <w:lang w:eastAsia="bg-BG"/>
        </w:rPr>
        <w:t>Дата на първо разрешаване: 28.05.2013</w:t>
      </w:r>
    </w:p>
    <w:p w14:paraId="6C57D8B6" w14:textId="24DE6383" w:rsidR="007A2185" w:rsidRPr="009F450C" w:rsidRDefault="009F450C" w:rsidP="009F450C">
      <w:pPr>
        <w:rPr>
          <w:rFonts w:cs="Arial"/>
        </w:rPr>
      </w:pPr>
      <w:r w:rsidRPr="009F450C">
        <w:rPr>
          <w:rFonts w:eastAsia="Times New Roman" w:cs="Arial"/>
          <w:color w:val="000000"/>
          <w:lang w:eastAsia="bg-BG"/>
        </w:rPr>
        <w:t>Дата на послдено подновяване: 04.01.2018</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0121B4E2" w:rsidR="0091385D" w:rsidRDefault="0091385D" w:rsidP="0091385D"/>
    <w:p w14:paraId="48C5B919" w14:textId="77777777" w:rsidR="009F450C" w:rsidRPr="009F450C" w:rsidRDefault="009F450C" w:rsidP="009F450C">
      <w:pPr>
        <w:spacing w:line="240" w:lineRule="auto"/>
        <w:rPr>
          <w:rFonts w:eastAsia="Times New Roman" w:cs="Arial"/>
          <w:lang w:eastAsia="bg-BG"/>
        </w:rPr>
      </w:pPr>
      <w:r w:rsidRPr="009F450C">
        <w:rPr>
          <w:rFonts w:eastAsia="Times New Roman" w:cs="Arial"/>
          <w:color w:val="000000"/>
          <w:lang w:eastAsia="bg-BG"/>
        </w:rPr>
        <w:t>08 Септември 2022</w:t>
      </w:r>
    </w:p>
    <w:p w14:paraId="0D1B7A48" w14:textId="77777777" w:rsidR="009F450C" w:rsidRPr="009F450C" w:rsidRDefault="009F450C" w:rsidP="009F450C">
      <w:pPr>
        <w:spacing w:line="240" w:lineRule="auto"/>
        <w:rPr>
          <w:rFonts w:eastAsia="Times New Roman" w:cs="Arial"/>
          <w:color w:val="000000"/>
          <w:lang w:eastAsia="bg-BG"/>
        </w:rPr>
      </w:pPr>
    </w:p>
    <w:p w14:paraId="645ABF88" w14:textId="356C0C2A" w:rsidR="009F450C" w:rsidRPr="009F450C" w:rsidRDefault="009F450C" w:rsidP="009F450C">
      <w:pPr>
        <w:spacing w:line="240" w:lineRule="auto"/>
        <w:rPr>
          <w:rFonts w:eastAsia="Times New Roman" w:cs="Arial"/>
          <w:lang w:eastAsia="bg-BG"/>
        </w:rPr>
      </w:pPr>
      <w:r w:rsidRPr="009F450C">
        <w:rPr>
          <w:rFonts w:eastAsia="Times New Roman" w:cs="Arial"/>
          <w:color w:val="000000"/>
          <w:lang w:eastAsia="bg-BG"/>
        </w:rPr>
        <w:t>Подробна информация за този лекарствен продукт е предоставена на уебсайта на Изпълнителна</w:t>
      </w:r>
    </w:p>
    <w:p w14:paraId="0524F1D6" w14:textId="0872C13E" w:rsidR="007A2185" w:rsidRPr="009F450C" w:rsidRDefault="009F450C" w:rsidP="009F450C">
      <w:pPr>
        <w:rPr>
          <w:rFonts w:cs="Arial"/>
        </w:rPr>
      </w:pPr>
      <w:r w:rsidRPr="009F450C">
        <w:rPr>
          <w:rFonts w:eastAsia="Times New Roman" w:cs="Arial"/>
          <w:color w:val="000000"/>
          <w:lang w:eastAsia="bg-BG"/>
        </w:rPr>
        <w:t xml:space="preserve">Агенция по лекарствата (ИАЛ) </w:t>
      </w:r>
      <w:hyperlink r:id="rId8" w:history="1">
        <w:r w:rsidRPr="009F450C">
          <w:rPr>
            <w:rFonts w:eastAsia="Times New Roman" w:cs="Arial"/>
            <w:color w:val="000000"/>
            <w:lang w:val="en-US"/>
          </w:rPr>
          <w:t>http://www.bda.bg</w:t>
        </w:r>
      </w:hyperlink>
      <w:r w:rsidRPr="009F450C">
        <w:rPr>
          <w:rFonts w:eastAsia="Times New Roman" w:cs="Arial"/>
          <w:color w:val="000000"/>
          <w:lang w:val="en-US"/>
        </w:rPr>
        <w:t>.</w:t>
      </w:r>
    </w:p>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3"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731079D"/>
    <w:multiLevelType w:val="hybridMultilevel"/>
    <w:tmpl w:val="6E90180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06257"/>
    <w:multiLevelType w:val="hybridMultilevel"/>
    <w:tmpl w:val="E4201AC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1D5C04DC"/>
    <w:multiLevelType w:val="hybridMultilevel"/>
    <w:tmpl w:val="2548A556"/>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4"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68A24EF"/>
    <w:multiLevelType w:val="hybridMultilevel"/>
    <w:tmpl w:val="507C2B2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3A6795"/>
    <w:multiLevelType w:val="hybridMultilevel"/>
    <w:tmpl w:val="0540A0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F2E06"/>
    <w:multiLevelType w:val="hybridMultilevel"/>
    <w:tmpl w:val="A214463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90086A"/>
    <w:multiLevelType w:val="hybridMultilevel"/>
    <w:tmpl w:val="054EF9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8"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AA5234"/>
    <w:multiLevelType w:val="hybridMultilevel"/>
    <w:tmpl w:val="CD082788"/>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6B86517F"/>
    <w:multiLevelType w:val="hybridMultilevel"/>
    <w:tmpl w:val="8AC2B7E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8346E6"/>
    <w:multiLevelType w:val="hybridMultilevel"/>
    <w:tmpl w:val="330E037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4"/>
  </w:num>
  <w:num w:numId="2">
    <w:abstractNumId w:val="0"/>
  </w:num>
  <w:num w:numId="3">
    <w:abstractNumId w:val="17"/>
  </w:num>
  <w:num w:numId="4">
    <w:abstractNumId w:val="4"/>
  </w:num>
  <w:num w:numId="5">
    <w:abstractNumId w:val="1"/>
  </w:num>
  <w:num w:numId="6">
    <w:abstractNumId w:val="22"/>
  </w:num>
  <w:num w:numId="7">
    <w:abstractNumId w:val="14"/>
  </w:num>
  <w:num w:numId="8">
    <w:abstractNumId w:val="21"/>
  </w:num>
  <w:num w:numId="9">
    <w:abstractNumId w:val="3"/>
  </w:num>
  <w:num w:numId="10">
    <w:abstractNumId w:val="5"/>
  </w:num>
  <w:num w:numId="11">
    <w:abstractNumId w:val="37"/>
  </w:num>
  <w:num w:numId="12">
    <w:abstractNumId w:val="19"/>
  </w:num>
  <w:num w:numId="13">
    <w:abstractNumId w:val="25"/>
  </w:num>
  <w:num w:numId="14">
    <w:abstractNumId w:val="16"/>
  </w:num>
  <w:num w:numId="15">
    <w:abstractNumId w:val="36"/>
  </w:num>
  <w:num w:numId="16">
    <w:abstractNumId w:val="13"/>
  </w:num>
  <w:num w:numId="17">
    <w:abstractNumId w:val="31"/>
  </w:num>
  <w:num w:numId="18">
    <w:abstractNumId w:val="9"/>
  </w:num>
  <w:num w:numId="19">
    <w:abstractNumId w:val="33"/>
  </w:num>
  <w:num w:numId="20">
    <w:abstractNumId w:val="30"/>
  </w:num>
  <w:num w:numId="21">
    <w:abstractNumId w:val="23"/>
  </w:num>
  <w:num w:numId="22">
    <w:abstractNumId w:val="32"/>
  </w:num>
  <w:num w:numId="23">
    <w:abstractNumId w:val="24"/>
  </w:num>
  <w:num w:numId="24">
    <w:abstractNumId w:val="10"/>
  </w:num>
  <w:num w:numId="25">
    <w:abstractNumId w:val="29"/>
  </w:num>
  <w:num w:numId="26">
    <w:abstractNumId w:val="28"/>
  </w:num>
  <w:num w:numId="27">
    <w:abstractNumId w:val="40"/>
  </w:num>
  <w:num w:numId="28">
    <w:abstractNumId w:val="8"/>
  </w:num>
  <w:num w:numId="29">
    <w:abstractNumId w:val="27"/>
  </w:num>
  <w:num w:numId="30">
    <w:abstractNumId w:val="44"/>
  </w:num>
  <w:num w:numId="31">
    <w:abstractNumId w:val="7"/>
  </w:num>
  <w:num w:numId="32">
    <w:abstractNumId w:val="43"/>
  </w:num>
  <w:num w:numId="33">
    <w:abstractNumId w:val="35"/>
  </w:num>
  <w:num w:numId="34">
    <w:abstractNumId w:val="41"/>
  </w:num>
  <w:num w:numId="35">
    <w:abstractNumId w:val="18"/>
  </w:num>
  <w:num w:numId="36">
    <w:abstractNumId w:val="26"/>
  </w:num>
  <w:num w:numId="37">
    <w:abstractNumId w:val="20"/>
  </w:num>
  <w:num w:numId="38">
    <w:abstractNumId w:val="12"/>
  </w:num>
  <w:num w:numId="39">
    <w:abstractNumId w:val="38"/>
  </w:num>
  <w:num w:numId="40">
    <w:abstractNumId w:val="2"/>
  </w:num>
  <w:num w:numId="41">
    <w:abstractNumId w:val="39"/>
  </w:num>
  <w:num w:numId="42">
    <w:abstractNumId w:val="15"/>
  </w:num>
  <w:num w:numId="43">
    <w:abstractNumId w:val="42"/>
  </w:num>
  <w:num w:numId="44">
    <w:abstractNumId w:val="11"/>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46BD9"/>
    <w:rsid w:val="00273BFE"/>
    <w:rsid w:val="00294674"/>
    <w:rsid w:val="002B3C38"/>
    <w:rsid w:val="002B4DBB"/>
    <w:rsid w:val="002C50EE"/>
    <w:rsid w:val="00340A0A"/>
    <w:rsid w:val="003765DC"/>
    <w:rsid w:val="00385AFF"/>
    <w:rsid w:val="00395555"/>
    <w:rsid w:val="003E3126"/>
    <w:rsid w:val="00426E5F"/>
    <w:rsid w:val="00475FDF"/>
    <w:rsid w:val="004A448E"/>
    <w:rsid w:val="004D4D6B"/>
    <w:rsid w:val="004F1CE7"/>
    <w:rsid w:val="004F498A"/>
    <w:rsid w:val="00517A5B"/>
    <w:rsid w:val="00593A00"/>
    <w:rsid w:val="005A66D9"/>
    <w:rsid w:val="005B0F27"/>
    <w:rsid w:val="00605BCA"/>
    <w:rsid w:val="006158A1"/>
    <w:rsid w:val="00617B1F"/>
    <w:rsid w:val="00672487"/>
    <w:rsid w:val="00672600"/>
    <w:rsid w:val="00681D4A"/>
    <w:rsid w:val="00682341"/>
    <w:rsid w:val="00685882"/>
    <w:rsid w:val="007552C9"/>
    <w:rsid w:val="0075649D"/>
    <w:rsid w:val="007A2185"/>
    <w:rsid w:val="007C605B"/>
    <w:rsid w:val="008134C8"/>
    <w:rsid w:val="00814073"/>
    <w:rsid w:val="00826F0D"/>
    <w:rsid w:val="00893B92"/>
    <w:rsid w:val="008A6AF2"/>
    <w:rsid w:val="008C70A2"/>
    <w:rsid w:val="008F1AF3"/>
    <w:rsid w:val="0091385D"/>
    <w:rsid w:val="009773E4"/>
    <w:rsid w:val="009B171C"/>
    <w:rsid w:val="009F1313"/>
    <w:rsid w:val="009F450C"/>
    <w:rsid w:val="00A20351"/>
    <w:rsid w:val="00A65A81"/>
    <w:rsid w:val="00A73575"/>
    <w:rsid w:val="00AA23EC"/>
    <w:rsid w:val="00AC63CE"/>
    <w:rsid w:val="00AE2107"/>
    <w:rsid w:val="00B275A8"/>
    <w:rsid w:val="00BB3B9C"/>
    <w:rsid w:val="00BB4833"/>
    <w:rsid w:val="00BF2600"/>
    <w:rsid w:val="00BF503E"/>
    <w:rsid w:val="00C0049F"/>
    <w:rsid w:val="00C07B84"/>
    <w:rsid w:val="00C267CF"/>
    <w:rsid w:val="00C33464"/>
    <w:rsid w:val="00C40420"/>
    <w:rsid w:val="00C809A7"/>
    <w:rsid w:val="00C83063"/>
    <w:rsid w:val="00C87E90"/>
    <w:rsid w:val="00CA1B57"/>
    <w:rsid w:val="00CE6CFD"/>
    <w:rsid w:val="00CF77F7"/>
    <w:rsid w:val="00D86297"/>
    <w:rsid w:val="00DD466D"/>
    <w:rsid w:val="00E87371"/>
    <w:rsid w:val="00EB6364"/>
    <w:rsid w:val="00EC41ED"/>
    <w:rsid w:val="00F331C8"/>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a.b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bda.b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16605</Words>
  <Characters>94651</Characters>
  <Application>Microsoft Office Word</Application>
  <DocSecurity>0</DocSecurity>
  <Lines>788</Lines>
  <Paragraphs>222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2023-01-23T22:36:00Z</dcterms:created>
  <dcterms:modified xsi:type="dcterms:W3CDTF">2023-01-23T22:36:00Z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